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杭州萧山国际机场航空物流有限公司</w:t>
      </w: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电动叉车采购项目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ind w:firstLine="1258" w:firstLineChars="393"/>
        <w:rPr>
          <w:rFonts w:eastAsia="黑体" w:cs="Calibri"/>
          <w:sz w:val="32"/>
          <w:szCs w:val="32"/>
        </w:rPr>
      </w:pPr>
      <w:r>
        <w:rPr>
          <w:rFonts w:eastAsia="黑体" w:cs="Calibri"/>
          <w:sz w:val="32"/>
          <w:szCs w:val="32"/>
        </w:rPr>
        <w:t>招标人：杭州萧山国际机场航空物流有限公司</w:t>
      </w:r>
    </w:p>
    <w:p>
      <w:pPr>
        <w:snapToGrid w:val="0"/>
        <w:ind w:firstLine="1258" w:firstLineChars="393"/>
        <w:rPr>
          <w:rFonts w:eastAsia="黑体" w:cs="Calibri"/>
          <w:sz w:val="32"/>
          <w:szCs w:val="32"/>
        </w:rPr>
      </w:pPr>
    </w:p>
    <w:p>
      <w:pPr>
        <w:ind w:firstLine="1078" w:firstLineChars="337"/>
        <w:jc w:val="cente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w:t>
      </w:r>
      <w:r>
        <w:rPr>
          <w:rFonts w:hint="eastAsia" w:ascii="Calibri" w:hAnsi="Calibri" w:eastAsia="黑体" w:cs="Calibri"/>
          <w:sz w:val="32"/>
          <w:szCs w:val="32"/>
        </w:rPr>
        <w:t>一</w:t>
      </w:r>
      <w:r>
        <w:rPr>
          <w:rFonts w:hint="eastAsia" w:ascii="Calibri" w:hAnsi="Calibri" w:eastAsia="黑体" w:cs="Calibri"/>
          <w:sz w:val="32"/>
          <w:szCs w:val="32"/>
          <w:lang w:val="en-US" w:eastAsia="zh-CN"/>
        </w:rPr>
        <w:t>九</w:t>
      </w:r>
      <w:r>
        <w:rPr>
          <w:rFonts w:hint="eastAsia" w:ascii="Calibri" w:hAnsi="Calibri" w:eastAsia="黑体" w:cs="Calibri"/>
          <w:sz w:val="32"/>
          <w:szCs w:val="32"/>
        </w:rPr>
        <w:t>年</w:t>
      </w:r>
      <w:r>
        <w:rPr>
          <w:rFonts w:hint="eastAsia" w:ascii="Calibri" w:hAnsi="Calibri" w:eastAsia="黑体" w:cs="Calibri"/>
          <w:sz w:val="32"/>
          <w:szCs w:val="32"/>
          <w:lang w:val="en-US" w:eastAsia="zh-CN"/>
        </w:rPr>
        <w:t>六</w:t>
      </w:r>
      <w:r>
        <w:rPr>
          <w:rFonts w:ascii="Calibri" w:hAnsi="Calibri" w:eastAsia="黑体" w:cs="Calibri"/>
          <w:sz w:val="32"/>
          <w:szCs w:val="32"/>
        </w:rPr>
        <w:t>月</w:t>
      </w:r>
    </w:p>
    <w:p>
      <w:pPr>
        <w:spacing w:line="560" w:lineRule="exact"/>
        <w:jc w:val="center"/>
        <w:rPr>
          <w:b/>
          <w:bCs/>
          <w:sz w:val="44"/>
          <w:szCs w:val="44"/>
        </w:rPr>
      </w:pPr>
      <w:r>
        <w:rPr>
          <w:b/>
          <w:bCs/>
          <w:sz w:val="44"/>
          <w:szCs w:val="44"/>
        </w:rPr>
        <w:br w:type="page"/>
      </w: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pStyle w:val="39"/>
        <w:tabs>
          <w:tab w:val="right" w:leader="dot" w:pos="9356"/>
        </w:tabs>
        <w:spacing w:line="360" w:lineRule="auto"/>
        <w:rPr>
          <w:rFonts w:asciiTheme="minorEastAsia" w:hAnsiTheme="minorEastAsia" w:eastAsiaTheme="minorEastAsia"/>
          <w:sz w:val="22"/>
          <w:szCs w:val="22"/>
        </w:rPr>
      </w:pPr>
      <w:r>
        <w:rPr>
          <w:rFonts w:asciiTheme="minorEastAsia" w:hAnsiTheme="minorEastAsia" w:eastAsiaTheme="minorEastAsia"/>
          <w:b/>
          <w:sz w:val="22"/>
          <w:szCs w:val="22"/>
        </w:rPr>
        <w:fldChar w:fldCharType="begin"/>
      </w:r>
      <w:r>
        <w:rPr>
          <w:rFonts w:hint="eastAsia" w:asciiTheme="minorEastAsia" w:hAnsiTheme="minorEastAsia" w:eastAsiaTheme="minorEastAsia"/>
          <w:b/>
          <w:sz w:val="22"/>
          <w:szCs w:val="22"/>
        </w:rPr>
        <w:instrText xml:space="preserve">TOC \o "1-1" \h \z \u</w:instrText>
      </w:r>
      <w:r>
        <w:rPr>
          <w:rFonts w:asciiTheme="minorEastAsia" w:hAnsiTheme="minorEastAsia" w:eastAsiaTheme="minorEastAsia"/>
          <w:b/>
          <w:sz w:val="22"/>
          <w:szCs w:val="22"/>
        </w:rPr>
        <w:fldChar w:fldCharType="separate"/>
      </w:r>
      <w:r>
        <w:fldChar w:fldCharType="begin"/>
      </w:r>
      <w:r>
        <w:instrText xml:space="preserve"> HYPERLINK \l "_Toc422638509" </w:instrText>
      </w:r>
      <w:r>
        <w:fldChar w:fldCharType="separate"/>
      </w:r>
      <w:r>
        <w:rPr>
          <w:rStyle w:val="57"/>
          <w:rFonts w:hint="eastAsia" w:asciiTheme="minorEastAsia" w:hAnsiTheme="minorEastAsia" w:eastAsiaTheme="minorEastAsia"/>
          <w:sz w:val="22"/>
          <w:szCs w:val="22"/>
        </w:rPr>
        <w:t>第一章  招标公告</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_Toc422638509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3</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39"/>
        <w:tabs>
          <w:tab w:val="right" w:leader="dot" w:pos="9356"/>
        </w:tabs>
        <w:spacing w:line="360" w:lineRule="auto"/>
        <w:rPr>
          <w:rFonts w:asciiTheme="minorEastAsia" w:hAnsiTheme="minorEastAsia" w:eastAsiaTheme="minorEastAsia"/>
          <w:sz w:val="22"/>
          <w:szCs w:val="22"/>
        </w:rPr>
      </w:pPr>
      <w:r>
        <w:fldChar w:fldCharType="begin"/>
      </w:r>
      <w:r>
        <w:instrText xml:space="preserve"> HYPERLINK \l "_Toc422638510" </w:instrText>
      </w:r>
      <w:r>
        <w:fldChar w:fldCharType="separate"/>
      </w:r>
      <w:r>
        <w:rPr>
          <w:rStyle w:val="57"/>
          <w:rFonts w:hint="eastAsia" w:asciiTheme="minorEastAsia" w:hAnsiTheme="minorEastAsia" w:eastAsiaTheme="minorEastAsia"/>
          <w:sz w:val="22"/>
          <w:szCs w:val="22"/>
        </w:rPr>
        <w:t>第二章  投标人须知</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_Toc422638510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4</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39"/>
        <w:tabs>
          <w:tab w:val="right" w:leader="dot" w:pos="9356"/>
        </w:tabs>
        <w:spacing w:line="360" w:lineRule="auto"/>
        <w:rPr>
          <w:rFonts w:asciiTheme="minorEastAsia" w:hAnsiTheme="minorEastAsia" w:eastAsiaTheme="minorEastAsia"/>
          <w:sz w:val="22"/>
          <w:szCs w:val="22"/>
        </w:rPr>
      </w:pPr>
      <w:r>
        <w:fldChar w:fldCharType="begin"/>
      </w:r>
      <w:r>
        <w:instrText xml:space="preserve"> HYPERLINK \l "_Toc422638511" </w:instrText>
      </w:r>
      <w:r>
        <w:fldChar w:fldCharType="separate"/>
      </w:r>
      <w:r>
        <w:rPr>
          <w:rStyle w:val="57"/>
          <w:rFonts w:hint="eastAsia" w:asciiTheme="minorEastAsia" w:hAnsiTheme="minorEastAsia" w:eastAsiaTheme="minorEastAsia"/>
          <w:sz w:val="22"/>
          <w:szCs w:val="22"/>
        </w:rPr>
        <w:t>第三章  合同条款</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_Toc422638511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14</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39"/>
        <w:tabs>
          <w:tab w:val="right" w:leader="dot" w:pos="9356"/>
        </w:tabs>
        <w:spacing w:line="360" w:lineRule="auto"/>
        <w:rPr>
          <w:rFonts w:asciiTheme="minorEastAsia" w:hAnsiTheme="minorEastAsia" w:eastAsiaTheme="minorEastAsia"/>
          <w:sz w:val="22"/>
          <w:szCs w:val="22"/>
        </w:rPr>
      </w:pPr>
      <w:r>
        <w:fldChar w:fldCharType="begin"/>
      </w:r>
      <w:r>
        <w:instrText xml:space="preserve"> HYPERLINK \l "_Toc422638523" </w:instrText>
      </w:r>
      <w:r>
        <w:fldChar w:fldCharType="separate"/>
      </w:r>
      <w:r>
        <w:rPr>
          <w:rStyle w:val="57"/>
          <w:rFonts w:hint="eastAsia" w:asciiTheme="minorEastAsia" w:hAnsiTheme="minorEastAsia" w:eastAsiaTheme="minorEastAsia"/>
          <w:sz w:val="22"/>
          <w:szCs w:val="22"/>
        </w:rPr>
        <w:t>第四章  货物需求一览表及技术规格</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_Toc422638523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19</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39"/>
        <w:tabs>
          <w:tab w:val="right" w:leader="dot" w:pos="9356"/>
        </w:tabs>
        <w:spacing w:line="360" w:lineRule="auto"/>
        <w:rPr>
          <w:rFonts w:asciiTheme="minorEastAsia" w:hAnsiTheme="minorEastAsia" w:eastAsiaTheme="minorEastAsia"/>
          <w:sz w:val="22"/>
          <w:szCs w:val="22"/>
        </w:rPr>
      </w:pPr>
      <w:r>
        <w:fldChar w:fldCharType="begin"/>
      </w:r>
      <w:r>
        <w:instrText xml:space="preserve"> HYPERLINK \l "_Toc422638527" </w:instrText>
      </w:r>
      <w:r>
        <w:fldChar w:fldCharType="separate"/>
      </w:r>
      <w:r>
        <w:rPr>
          <w:rStyle w:val="57"/>
          <w:rFonts w:hint="eastAsia" w:asciiTheme="minorEastAsia" w:hAnsiTheme="minorEastAsia" w:eastAsiaTheme="minorEastAsia"/>
          <w:sz w:val="22"/>
          <w:szCs w:val="22"/>
        </w:rPr>
        <w:t>第五章  投标文件格式</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_Toc422638527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19</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pStyle w:val="39"/>
        <w:tabs>
          <w:tab w:val="right" w:leader="dot" w:pos="9356"/>
        </w:tabs>
        <w:spacing w:line="360" w:lineRule="auto"/>
        <w:rPr>
          <w:rFonts w:asciiTheme="minorEastAsia" w:hAnsiTheme="minorEastAsia" w:eastAsiaTheme="minorEastAsia"/>
          <w:sz w:val="22"/>
          <w:szCs w:val="22"/>
        </w:rPr>
      </w:pPr>
      <w:r>
        <w:fldChar w:fldCharType="begin"/>
      </w:r>
      <w:r>
        <w:instrText xml:space="preserve"> HYPERLINK \l "_Toc422638528" </w:instrText>
      </w:r>
      <w:r>
        <w:fldChar w:fldCharType="separate"/>
      </w:r>
      <w:r>
        <w:rPr>
          <w:rStyle w:val="57"/>
          <w:rFonts w:hint="eastAsia" w:asciiTheme="minorEastAsia" w:hAnsiTheme="minorEastAsia" w:eastAsiaTheme="minorEastAsia"/>
          <w:sz w:val="22"/>
          <w:szCs w:val="22"/>
        </w:rPr>
        <w:t>第六章  评标办法</w:t>
      </w:r>
      <w:r>
        <w:rPr>
          <w:rFonts w:asciiTheme="minorEastAsia" w:hAnsiTheme="minorEastAsia" w:eastAsiaTheme="minorEastAsia"/>
          <w:sz w:val="22"/>
          <w:szCs w:val="22"/>
        </w:rPr>
        <w:tab/>
      </w:r>
      <w:r>
        <w:rPr>
          <w:rFonts w:asciiTheme="minorEastAsia" w:hAnsiTheme="minorEastAsia" w:eastAsiaTheme="minorEastAsia"/>
          <w:sz w:val="22"/>
          <w:szCs w:val="22"/>
        </w:rPr>
        <w:fldChar w:fldCharType="begin"/>
      </w:r>
      <w:r>
        <w:rPr>
          <w:rFonts w:asciiTheme="minorEastAsia" w:hAnsiTheme="minorEastAsia" w:eastAsiaTheme="minorEastAsia"/>
          <w:sz w:val="22"/>
          <w:szCs w:val="22"/>
        </w:rPr>
        <w:instrText xml:space="preserve"> PAGEREF _Toc422638528 \h </w:instrText>
      </w:r>
      <w:r>
        <w:rPr>
          <w:rFonts w:asciiTheme="minorEastAsia" w:hAnsiTheme="minorEastAsia" w:eastAsiaTheme="minorEastAsia"/>
          <w:sz w:val="22"/>
          <w:szCs w:val="22"/>
        </w:rPr>
        <w:fldChar w:fldCharType="separate"/>
      </w:r>
      <w:r>
        <w:rPr>
          <w:rFonts w:asciiTheme="minorEastAsia" w:hAnsiTheme="minorEastAsia" w:eastAsiaTheme="minorEastAsia"/>
          <w:sz w:val="22"/>
          <w:szCs w:val="22"/>
        </w:rPr>
        <w:t>39</w:t>
      </w:r>
      <w:r>
        <w:rPr>
          <w:rFonts w:asciiTheme="minorEastAsia" w:hAnsiTheme="minorEastAsia" w:eastAsiaTheme="minorEastAsia"/>
          <w:sz w:val="22"/>
          <w:szCs w:val="22"/>
        </w:rPr>
        <w:fldChar w:fldCharType="end"/>
      </w:r>
      <w:r>
        <w:rPr>
          <w:rFonts w:asciiTheme="minorEastAsia" w:hAnsiTheme="minorEastAsia" w:eastAsiaTheme="minorEastAsia"/>
          <w:sz w:val="22"/>
          <w:szCs w:val="22"/>
        </w:rPr>
        <w:fldChar w:fldCharType="end"/>
      </w:r>
    </w:p>
    <w:p>
      <w:pPr>
        <w:tabs>
          <w:tab w:val="right" w:leader="dot" w:pos="8222"/>
        </w:tabs>
        <w:spacing w:line="360" w:lineRule="auto"/>
        <w:rPr>
          <w:b/>
          <w:sz w:val="24"/>
        </w:rPr>
      </w:pPr>
      <w:r>
        <w:rPr>
          <w:rFonts w:asciiTheme="minorEastAsia" w:hAnsiTheme="minorEastAsia"/>
          <w:b/>
          <w:sz w:val="22"/>
        </w:rPr>
        <w:fldChar w:fldCharType="end"/>
      </w:r>
    </w:p>
    <w:p>
      <w:pPr>
        <w:spacing w:line="560" w:lineRule="exact"/>
        <w:rPr>
          <w:b/>
          <w:sz w:val="24"/>
        </w:rPr>
        <w:sectPr>
          <w:headerReference r:id="rId3" w:type="default"/>
          <w:footerReference r:id="rId4" w:type="default"/>
          <w:footerReference r:id="rId5" w:type="even"/>
          <w:pgSz w:w="11906" w:h="16838"/>
          <w:pgMar w:top="1191" w:right="1191" w:bottom="1247" w:left="1247" w:header="851" w:footer="992" w:gutter="0"/>
          <w:cols w:space="425" w:num="1"/>
          <w:titlePg/>
          <w:docGrid w:linePitch="312" w:charSpace="0"/>
        </w:sectPr>
      </w:pPr>
    </w:p>
    <w:p>
      <w:pPr>
        <w:pStyle w:val="52"/>
      </w:pPr>
      <w:bookmarkStart w:id="0" w:name="_Toc422638509"/>
      <w:r>
        <w:rPr>
          <w:rFonts w:hint="eastAsia"/>
        </w:rPr>
        <w:t>第一章  招标公告</w:t>
      </w:r>
      <w:bookmarkEnd w:id="0"/>
    </w:p>
    <w:p>
      <w:pPr>
        <w:widowControl/>
        <w:snapToGrid w:val="0"/>
        <w:spacing w:line="360" w:lineRule="exact"/>
        <w:jc w:val="left"/>
        <w:rPr>
          <w:rFonts w:ascii="Arial" w:hAnsi="Arial" w:cs="Arial"/>
          <w:kern w:val="0"/>
          <w:sz w:val="22"/>
        </w:rPr>
      </w:pPr>
      <w:r>
        <w:rPr>
          <w:rFonts w:hint="eastAsia" w:ascii="Arial" w:hAnsi="Arial"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杭州萧山国际机场航空物流有限公司就电动叉车采购项目进行公开招标，欢迎符合资格要求的供应商参与投标。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 xml:space="preserve">招标货物名称、数量及主要技术规格（设备型号）  </w:t>
      </w:r>
    </w:p>
    <w:tbl>
      <w:tblPr>
        <w:tblStyle w:val="59"/>
        <w:tblpPr w:leftFromText="180" w:rightFromText="180" w:vertAnchor="text" w:horzAnchor="page" w:tblpX="1107" w:tblpY="113"/>
        <w:tblOverlap w:val="never"/>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9"/>
        <w:gridCol w:w="1394"/>
        <w:gridCol w:w="993"/>
        <w:gridCol w:w="2409"/>
        <w:gridCol w:w="1843"/>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trPr>
        <w:tc>
          <w:tcPr>
            <w:tcW w:w="869" w:type="dxa"/>
            <w:vAlign w:val="center"/>
          </w:tcPr>
          <w:p>
            <w:pPr>
              <w:widowControl/>
              <w:snapToGrid w:val="0"/>
              <w:jc w:val="center"/>
              <w:textAlignment w:val="center"/>
              <w:rPr>
                <w:rFonts w:cs="宋体" w:asciiTheme="minorEastAsia" w:hAnsiTheme="minorEastAsia"/>
                <w:b/>
                <w:sz w:val="22"/>
              </w:rPr>
            </w:pPr>
            <w:r>
              <w:rPr>
                <w:rFonts w:hint="eastAsia" w:cs="宋体" w:asciiTheme="minorEastAsia" w:hAnsiTheme="minorEastAsia"/>
                <w:b/>
                <w:kern w:val="0"/>
                <w:sz w:val="22"/>
              </w:rPr>
              <w:t>序号</w:t>
            </w:r>
          </w:p>
        </w:tc>
        <w:tc>
          <w:tcPr>
            <w:tcW w:w="1394" w:type="dxa"/>
            <w:vAlign w:val="center"/>
          </w:tcPr>
          <w:p>
            <w:pPr>
              <w:widowControl/>
              <w:snapToGrid w:val="0"/>
              <w:jc w:val="center"/>
              <w:textAlignment w:val="center"/>
              <w:rPr>
                <w:rFonts w:cs="宋体" w:asciiTheme="minorEastAsia" w:hAnsiTheme="minorEastAsia"/>
                <w:b/>
                <w:sz w:val="22"/>
              </w:rPr>
            </w:pPr>
            <w:r>
              <w:rPr>
                <w:rFonts w:hint="eastAsia" w:cs="宋体" w:asciiTheme="minorEastAsia" w:hAnsiTheme="minorEastAsia"/>
                <w:b/>
                <w:kern w:val="0"/>
                <w:sz w:val="22"/>
              </w:rPr>
              <w:t>货物名称</w:t>
            </w:r>
          </w:p>
        </w:tc>
        <w:tc>
          <w:tcPr>
            <w:tcW w:w="993" w:type="dxa"/>
            <w:vAlign w:val="center"/>
          </w:tcPr>
          <w:p>
            <w:pPr>
              <w:widowControl/>
              <w:snapToGrid w:val="0"/>
              <w:jc w:val="center"/>
              <w:textAlignment w:val="center"/>
              <w:rPr>
                <w:rFonts w:cs="宋体" w:asciiTheme="minorEastAsia" w:hAnsiTheme="minorEastAsia"/>
                <w:b/>
                <w:sz w:val="22"/>
              </w:rPr>
            </w:pPr>
            <w:r>
              <w:rPr>
                <w:rFonts w:hint="eastAsia" w:cs="宋体" w:asciiTheme="minorEastAsia" w:hAnsiTheme="minorEastAsia"/>
                <w:b/>
                <w:kern w:val="0"/>
                <w:sz w:val="22"/>
              </w:rPr>
              <w:t>数量</w:t>
            </w:r>
          </w:p>
        </w:tc>
        <w:tc>
          <w:tcPr>
            <w:tcW w:w="2409" w:type="dxa"/>
            <w:vAlign w:val="center"/>
          </w:tcPr>
          <w:p>
            <w:pPr>
              <w:adjustRightInd w:val="0"/>
              <w:snapToGrid w:val="0"/>
              <w:jc w:val="center"/>
              <w:rPr>
                <w:rFonts w:asciiTheme="minorEastAsia" w:hAnsiTheme="minorEastAsia"/>
                <w:b/>
                <w:caps/>
                <w:sz w:val="22"/>
              </w:rPr>
            </w:pPr>
            <w:r>
              <w:rPr>
                <w:rFonts w:asciiTheme="minorEastAsia" w:hAnsiTheme="minorEastAsia"/>
                <w:b/>
                <w:caps/>
                <w:sz w:val="22"/>
              </w:rPr>
              <w:t>主要技术规格</w:t>
            </w:r>
          </w:p>
        </w:tc>
        <w:tc>
          <w:tcPr>
            <w:tcW w:w="1843" w:type="dxa"/>
            <w:vAlign w:val="center"/>
          </w:tcPr>
          <w:p>
            <w:pPr>
              <w:adjustRightInd w:val="0"/>
              <w:snapToGrid w:val="0"/>
              <w:jc w:val="center"/>
              <w:rPr>
                <w:rFonts w:asciiTheme="minorEastAsia" w:hAnsiTheme="minorEastAsia"/>
                <w:b/>
                <w:caps/>
                <w:sz w:val="22"/>
              </w:rPr>
            </w:pPr>
            <w:r>
              <w:rPr>
                <w:rFonts w:asciiTheme="minorEastAsia" w:hAnsiTheme="minorEastAsia"/>
                <w:b/>
                <w:caps/>
                <w:sz w:val="22"/>
              </w:rPr>
              <w:t>交货期</w:t>
            </w:r>
          </w:p>
        </w:tc>
        <w:tc>
          <w:tcPr>
            <w:tcW w:w="2146" w:type="dxa"/>
            <w:vAlign w:val="center"/>
          </w:tcPr>
          <w:p>
            <w:pPr>
              <w:adjustRightInd w:val="0"/>
              <w:snapToGrid w:val="0"/>
              <w:jc w:val="center"/>
              <w:rPr>
                <w:rFonts w:asciiTheme="minorEastAsia" w:hAnsiTheme="minorEastAsia"/>
                <w:b/>
                <w:caps/>
                <w:sz w:val="22"/>
              </w:rPr>
            </w:pPr>
            <w:r>
              <w:rPr>
                <w:rFonts w:asciiTheme="minorEastAsia" w:hAnsiTheme="minorEastAsia"/>
                <w:b/>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trPr>
        <w:tc>
          <w:tcPr>
            <w:tcW w:w="869" w:type="dxa"/>
            <w:vAlign w:val="center"/>
          </w:tcPr>
          <w:p>
            <w:pPr>
              <w:widowControl/>
              <w:snapToGrid w:val="0"/>
              <w:jc w:val="center"/>
              <w:textAlignment w:val="center"/>
              <w:rPr>
                <w:rFonts w:cs="楷体_GB2312" w:asciiTheme="minorEastAsia" w:hAnsiTheme="minorEastAsia"/>
                <w:sz w:val="22"/>
              </w:rPr>
            </w:pPr>
            <w:r>
              <w:rPr>
                <w:rFonts w:cs="楷体_GB2312" w:asciiTheme="minorEastAsia" w:hAnsiTheme="minorEastAsia"/>
                <w:kern w:val="0"/>
                <w:sz w:val="22"/>
              </w:rPr>
              <w:t>1</w:t>
            </w:r>
          </w:p>
        </w:tc>
        <w:tc>
          <w:tcPr>
            <w:tcW w:w="1394" w:type="dxa"/>
            <w:vAlign w:val="center"/>
          </w:tcPr>
          <w:p>
            <w:pPr>
              <w:widowControl/>
              <w:snapToGrid w:val="0"/>
              <w:jc w:val="center"/>
              <w:textAlignment w:val="center"/>
              <w:rPr>
                <w:rFonts w:cs="宋体" w:asciiTheme="minorEastAsia" w:hAnsiTheme="minorEastAsia"/>
                <w:sz w:val="22"/>
              </w:rPr>
            </w:pPr>
            <w:r>
              <w:rPr>
                <w:rStyle w:val="141"/>
                <w:rFonts w:hint="default" w:asciiTheme="minorEastAsia" w:hAnsiTheme="minorEastAsia" w:eastAsiaTheme="minorEastAsia"/>
                <w:color w:val="auto"/>
                <w:sz w:val="22"/>
                <w:szCs w:val="22"/>
              </w:rPr>
              <w:t>电动叉车</w:t>
            </w:r>
          </w:p>
        </w:tc>
        <w:tc>
          <w:tcPr>
            <w:tcW w:w="993" w:type="dxa"/>
            <w:vAlign w:val="center"/>
          </w:tcPr>
          <w:p>
            <w:pPr>
              <w:widowControl/>
              <w:snapToGrid w:val="0"/>
              <w:jc w:val="center"/>
              <w:textAlignment w:val="center"/>
              <w:rPr>
                <w:rFonts w:hint="eastAsia" w:cs="Times New Roman" w:asciiTheme="minorEastAsia" w:hAnsiTheme="minorEastAsia" w:eastAsiaTheme="minorEastAsia"/>
                <w:sz w:val="22"/>
                <w:lang w:val="en-US" w:eastAsia="zh-CN"/>
              </w:rPr>
            </w:pPr>
            <w:r>
              <w:rPr>
                <w:rFonts w:hint="eastAsia" w:cs="Times New Roman" w:asciiTheme="minorEastAsia" w:hAnsiTheme="minorEastAsia"/>
                <w:sz w:val="22"/>
                <w:lang w:val="en-US" w:eastAsia="zh-CN"/>
              </w:rPr>
              <w:t>2</w:t>
            </w:r>
          </w:p>
        </w:tc>
        <w:tc>
          <w:tcPr>
            <w:tcW w:w="2409" w:type="dxa"/>
            <w:vAlign w:val="center"/>
          </w:tcPr>
          <w:p>
            <w:pPr>
              <w:pStyle w:val="13"/>
              <w:snapToGrid w:val="0"/>
              <w:jc w:val="center"/>
              <w:rPr>
                <w:rFonts w:asciiTheme="minorEastAsia" w:hAnsiTheme="minorEastAsia"/>
                <w:sz w:val="22"/>
              </w:rPr>
            </w:pPr>
            <w:r>
              <w:rPr>
                <w:rFonts w:hint="eastAsia" w:asciiTheme="minorEastAsia" w:hAnsiTheme="minorEastAsia"/>
                <w:sz w:val="22"/>
              </w:rPr>
              <w:t>详细参数见</w:t>
            </w:r>
          </w:p>
          <w:p>
            <w:pPr>
              <w:pStyle w:val="13"/>
              <w:snapToGrid w:val="0"/>
              <w:jc w:val="center"/>
              <w:rPr>
                <w:rFonts w:asciiTheme="minorEastAsia" w:hAnsiTheme="minorEastAsia"/>
                <w:sz w:val="22"/>
              </w:rPr>
            </w:pPr>
            <w:r>
              <w:rPr>
                <w:rFonts w:hint="eastAsia" w:asciiTheme="minorEastAsia" w:hAnsiTheme="minorEastAsia"/>
                <w:sz w:val="22"/>
              </w:rPr>
              <w:t>第四章</w:t>
            </w:r>
          </w:p>
        </w:tc>
        <w:tc>
          <w:tcPr>
            <w:tcW w:w="1843" w:type="dxa"/>
            <w:vAlign w:val="center"/>
          </w:tcPr>
          <w:p>
            <w:pPr>
              <w:adjustRightInd w:val="0"/>
              <w:snapToGrid w:val="0"/>
              <w:jc w:val="center"/>
              <w:rPr>
                <w:rFonts w:asciiTheme="minorEastAsia" w:hAnsiTheme="minorEastAsia"/>
                <w:sz w:val="22"/>
              </w:rPr>
            </w:pPr>
            <w:r>
              <w:rPr>
                <w:rFonts w:hint="eastAsia" w:asciiTheme="minorEastAsia" w:hAnsiTheme="minorEastAsia"/>
                <w:sz w:val="22"/>
              </w:rPr>
              <w:t>合同签订后</w:t>
            </w:r>
          </w:p>
          <w:p>
            <w:pPr>
              <w:adjustRightInd w:val="0"/>
              <w:snapToGrid w:val="0"/>
              <w:jc w:val="center"/>
              <w:rPr>
                <w:rFonts w:asciiTheme="minorEastAsia" w:hAnsiTheme="minorEastAsia"/>
                <w:sz w:val="22"/>
              </w:rPr>
            </w:pPr>
            <w:r>
              <w:rPr>
                <w:rFonts w:hint="eastAsia" w:asciiTheme="minorEastAsia" w:hAnsiTheme="minorEastAsia"/>
                <w:sz w:val="22"/>
                <w:lang w:val="en-US" w:eastAsia="zh-CN"/>
              </w:rPr>
              <w:t>30</w:t>
            </w:r>
            <w:r>
              <w:rPr>
                <w:rFonts w:hint="eastAsia" w:asciiTheme="minorEastAsia" w:hAnsiTheme="minorEastAsia"/>
                <w:sz w:val="22"/>
              </w:rPr>
              <w:t>日内</w:t>
            </w:r>
          </w:p>
        </w:tc>
        <w:tc>
          <w:tcPr>
            <w:tcW w:w="2146" w:type="dxa"/>
            <w:vAlign w:val="center"/>
          </w:tcPr>
          <w:p>
            <w:pPr>
              <w:adjustRightInd w:val="0"/>
              <w:snapToGrid w:val="0"/>
              <w:jc w:val="center"/>
              <w:rPr>
                <w:rFonts w:asciiTheme="minorEastAsia" w:hAnsiTheme="minorEastAsia"/>
                <w:sz w:val="22"/>
              </w:rPr>
            </w:pPr>
            <w:r>
              <w:rPr>
                <w:rFonts w:asciiTheme="minorEastAsia" w:hAnsiTheme="minorEastAsia"/>
                <w:sz w:val="22"/>
              </w:rPr>
              <w:t>杭州萧山国际机场</w:t>
            </w:r>
          </w:p>
        </w:tc>
      </w:tr>
    </w:tbl>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（1）具有独立法人资格的制造商或代理商，注册资金不少于人民币50万元或等值外币(按投标截止日中国人民银行公布的汇率中间价换算)，需提供营业执照复印件并加盖投标人公章作为证明材料，</w:t>
      </w:r>
      <w:r>
        <w:rPr>
          <w:rFonts w:ascii="宋体" w:hAnsi="宋体"/>
          <w:sz w:val="22"/>
        </w:rPr>
        <w:t>代理商需具有招标设备制造商针对本项目的唯一授权书</w:t>
      </w:r>
      <w:r>
        <w:rPr>
          <w:rFonts w:hint="eastAsia" w:ascii="宋体" w:hAnsi="宋体"/>
          <w:sz w:val="22"/>
          <w:lang w:eastAsia="zh-CN"/>
        </w:rPr>
        <w:t>，</w:t>
      </w:r>
      <w:r>
        <w:rPr>
          <w:rFonts w:hint="eastAsia" w:cs="Arial" w:asciiTheme="minorEastAsia" w:hAnsiTheme="minorEastAsia"/>
          <w:kern w:val="0"/>
          <w:sz w:val="22"/>
          <w:szCs w:val="22"/>
        </w:rPr>
        <w:t>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hint="eastAsia" w:cs="Arial" w:asciiTheme="minorEastAsia" w:hAnsiTheme="minorEastAsia"/>
          <w:kern w:val="0"/>
          <w:sz w:val="22"/>
          <w:szCs w:val="22"/>
        </w:rPr>
      </w:pPr>
      <w:r>
        <w:rPr>
          <w:rFonts w:hint="eastAsia" w:cs="Arial" w:asciiTheme="minorEastAsia" w:hAnsiTheme="minorEastAsia"/>
          <w:kern w:val="0"/>
          <w:sz w:val="22"/>
          <w:szCs w:val="22"/>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hint="eastAsia" w:cs="Arial" w:asciiTheme="minorEastAsia" w:hAnsiTheme="minorEastAsia"/>
          <w:kern w:val="0"/>
          <w:sz w:val="22"/>
          <w:szCs w:val="22"/>
        </w:rPr>
      </w:pPr>
      <w:r>
        <w:rPr>
          <w:rFonts w:hint="eastAsia" w:cs="Arial" w:asciiTheme="minorEastAsia" w:hAnsiTheme="minorEastAsia"/>
          <w:kern w:val="0"/>
          <w:sz w:val="22"/>
          <w:szCs w:val="22"/>
          <w:lang w:eastAsia="zh-CN"/>
        </w:rPr>
        <w:t>（</w:t>
      </w:r>
      <w:r>
        <w:rPr>
          <w:rFonts w:hint="eastAsia" w:cs="Arial" w:asciiTheme="minorEastAsia" w:hAnsiTheme="minorEastAsia"/>
          <w:kern w:val="0"/>
          <w:sz w:val="22"/>
          <w:szCs w:val="22"/>
          <w:lang w:val="en-US" w:eastAsia="zh-CN"/>
        </w:rPr>
        <w:t>4</w:t>
      </w:r>
      <w:r>
        <w:rPr>
          <w:rFonts w:hint="eastAsia" w:cs="Arial" w:asciiTheme="minorEastAsia" w:hAnsiTheme="minorEastAsia"/>
          <w:kern w:val="0"/>
          <w:sz w:val="22"/>
          <w:szCs w:val="22"/>
          <w:lang w:eastAsia="zh-CN"/>
        </w:rPr>
        <w:t>）</w:t>
      </w:r>
      <w:r>
        <w:rPr>
          <w:rFonts w:hint="eastAsia" w:cs="Arial" w:asciiTheme="minorEastAsia" w:hAnsiTheme="minorEastAsia"/>
          <w:kern w:val="0"/>
          <w:sz w:val="22"/>
          <w:szCs w:val="22"/>
        </w:rPr>
        <w:t>具有一般纳税人资格，可提供税率为13%的增值税专用发票（需提供税务机关出具的一般纳税人资格认定相关证明材料复印件并加盖投标人公章作为证明材料，原件备查）</w:t>
      </w:r>
    </w:p>
    <w:p>
      <w:pPr>
        <w:widowControl/>
        <w:snapToGrid w:val="0"/>
        <w:spacing w:line="340" w:lineRule="exact"/>
        <w:ind w:firstLine="440" w:firstLineChars="200"/>
        <w:jc w:val="left"/>
        <w:rPr>
          <w:rFonts w:ascii="宋体" w:hAnsi="宋体"/>
          <w:sz w:val="22"/>
        </w:rPr>
      </w:pPr>
      <w:r>
        <w:rPr>
          <w:rFonts w:hint="eastAsia" w:cs="Arial" w:asciiTheme="minorEastAsia" w:hAnsiTheme="minorEastAsia"/>
          <w:kern w:val="0"/>
          <w:sz w:val="22"/>
          <w:szCs w:val="22"/>
        </w:rPr>
        <w:t>（</w:t>
      </w:r>
      <w:r>
        <w:rPr>
          <w:rFonts w:hint="eastAsia" w:cs="Arial" w:asciiTheme="minorEastAsia" w:hAnsiTheme="minorEastAsia"/>
          <w:kern w:val="0"/>
          <w:sz w:val="22"/>
          <w:szCs w:val="22"/>
          <w:lang w:val="en-US" w:eastAsia="zh-CN"/>
        </w:rPr>
        <w:t>5</w:t>
      </w:r>
      <w:r>
        <w:rPr>
          <w:rFonts w:hint="eastAsia" w:cs="Arial" w:asciiTheme="minorEastAsia" w:hAnsiTheme="minorEastAsia"/>
          <w:kern w:val="0"/>
          <w:sz w:val="22"/>
          <w:szCs w:val="22"/>
        </w:rPr>
        <w:t>）</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ind w:firstLine="440" w:firstLineChars="200"/>
        <w:jc w:val="left"/>
        <w:rPr>
          <w:rFonts w:ascii="宋体" w:hAnsi="宋体"/>
          <w:sz w:val="22"/>
        </w:rPr>
      </w:pPr>
      <w:r>
        <w:rPr>
          <w:rFonts w:hint="eastAsia" w:ascii="宋体" w:hAnsi="宋体"/>
          <w:sz w:val="22"/>
        </w:rPr>
        <w:t>（</w:t>
      </w:r>
      <w:r>
        <w:rPr>
          <w:rFonts w:hint="eastAsia" w:ascii="宋体" w:hAnsi="宋体"/>
          <w:sz w:val="22"/>
          <w:lang w:val="en-US" w:eastAsia="zh-CN"/>
        </w:rPr>
        <w:t>6</w:t>
      </w:r>
      <w:r>
        <w:rPr>
          <w:rFonts w:hint="eastAsia" w:ascii="宋体" w:hAnsi="宋体"/>
          <w:sz w:val="22"/>
        </w:rPr>
        <w:t>）拟投产品自</w:t>
      </w:r>
      <w:r>
        <w:rPr>
          <w:rFonts w:ascii="宋体" w:hAnsi="宋体"/>
          <w:sz w:val="22"/>
        </w:rPr>
        <w:t>201</w:t>
      </w:r>
      <w:r>
        <w:rPr>
          <w:rFonts w:hint="eastAsia" w:ascii="宋体" w:hAnsi="宋体"/>
          <w:sz w:val="22"/>
          <w:lang w:val="en-US" w:eastAsia="zh-CN"/>
        </w:rPr>
        <w:t>6</w:t>
      </w:r>
      <w:r>
        <w:rPr>
          <w:rFonts w:hint="eastAsia" w:ascii="宋体" w:hAnsi="宋体"/>
          <w:sz w:val="22"/>
        </w:rPr>
        <w:t>年</w:t>
      </w:r>
      <w:r>
        <w:rPr>
          <w:rFonts w:ascii="宋体" w:hAnsi="宋体"/>
          <w:sz w:val="22"/>
        </w:rPr>
        <w:t>1</w:t>
      </w:r>
      <w:r>
        <w:rPr>
          <w:rFonts w:hint="eastAsia" w:ascii="宋体" w:hAnsi="宋体"/>
          <w:sz w:val="22"/>
        </w:rPr>
        <w:t>月</w:t>
      </w:r>
      <w:r>
        <w:rPr>
          <w:rFonts w:ascii="宋体" w:hAnsi="宋体"/>
          <w:sz w:val="22"/>
        </w:rPr>
        <w:t>1</w:t>
      </w:r>
      <w:r>
        <w:rPr>
          <w:rFonts w:hint="eastAsia" w:ascii="宋体" w:hAnsi="宋体"/>
          <w:sz w:val="22"/>
        </w:rPr>
        <w:t>日（以合同签订日期为准）起在中国大陆（不含港、澳、台地区）至少具有1台销售业绩。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snapToGrid w:val="0"/>
        <w:spacing w:line="340" w:lineRule="exact"/>
        <w:ind w:firstLine="440" w:firstLineChars="200"/>
        <w:rPr>
          <w:rFonts w:ascii="宋体" w:hAnsi="宋体"/>
          <w:sz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22</w:t>
      </w:r>
      <w:r>
        <w:rPr>
          <w:rFonts w:hint="eastAsia" w:ascii="宋体" w:hAnsi="宋体" w:cs="Arial"/>
          <w:kern w:val="0"/>
          <w:sz w:val="22"/>
        </w:rPr>
        <w:t xml:space="preserve">日上午9时00分（北京时间）。投标文件在封口处加盖公章，并派专人于2019年 </w:t>
      </w:r>
      <w:r>
        <w:rPr>
          <w:rFonts w:hint="eastAsia" w:ascii="宋体" w:hAnsi="宋体" w:cs="Arial"/>
          <w:kern w:val="0"/>
          <w:sz w:val="22"/>
          <w:lang w:val="en-US" w:eastAsia="zh-CN"/>
        </w:rPr>
        <w:t>7</w:t>
      </w:r>
      <w:r>
        <w:rPr>
          <w:rFonts w:hint="eastAsia" w:ascii="宋体" w:hAnsi="宋体" w:cs="Arial"/>
          <w:kern w:val="0"/>
          <w:sz w:val="22"/>
        </w:rPr>
        <w:t xml:space="preserve">月 </w:t>
      </w:r>
      <w:r>
        <w:rPr>
          <w:rFonts w:hint="eastAsia" w:ascii="宋体" w:hAnsi="宋体" w:cs="Arial"/>
          <w:kern w:val="0"/>
          <w:sz w:val="22"/>
          <w:lang w:val="en-US" w:eastAsia="zh-CN"/>
        </w:rPr>
        <w:t>22</w:t>
      </w:r>
      <w:r>
        <w:rPr>
          <w:rFonts w:hint="eastAsia" w:ascii="宋体" w:hAnsi="宋体" w:cs="Arial"/>
          <w:kern w:val="0"/>
          <w:sz w:val="22"/>
        </w:rPr>
        <w:t xml:space="preserve">日上午9时00分（北京时间）前送至杭州萧山国际机场翔越路综合服务楼园区招标中心，逾期无效；若采用投递方式的，请于2019年 </w:t>
      </w:r>
      <w:r>
        <w:rPr>
          <w:rFonts w:hint="eastAsia" w:ascii="宋体" w:hAnsi="宋体" w:cs="Arial"/>
          <w:kern w:val="0"/>
          <w:sz w:val="22"/>
          <w:lang w:val="en-US" w:eastAsia="zh-CN"/>
        </w:rPr>
        <w:t>7</w:t>
      </w:r>
      <w:r>
        <w:rPr>
          <w:rFonts w:hint="eastAsia" w:ascii="宋体" w:hAnsi="宋体" w:cs="Arial"/>
          <w:kern w:val="0"/>
          <w:sz w:val="22"/>
        </w:rPr>
        <w:t xml:space="preserve">月 </w:t>
      </w:r>
      <w:r>
        <w:rPr>
          <w:rFonts w:hint="eastAsia" w:ascii="宋体" w:hAnsi="宋体" w:cs="Arial"/>
          <w:kern w:val="0"/>
          <w:sz w:val="22"/>
          <w:lang w:val="en-US" w:eastAsia="zh-CN"/>
        </w:rPr>
        <w:t>22</w:t>
      </w:r>
      <w:r>
        <w:rPr>
          <w:rFonts w:hint="eastAsia" w:ascii="宋体" w:hAnsi="宋体" w:cs="Arial"/>
          <w:kern w:val="0"/>
          <w:sz w:val="22"/>
        </w:rPr>
        <w:t>日上午9时00分（北京时间）前投递至杭州萧山国际机场</w:t>
      </w:r>
      <w:r>
        <w:rPr>
          <w:rFonts w:hint="eastAsia" w:ascii="宋体" w:hAnsi="宋体" w:cs="Arial"/>
          <w:kern w:val="0"/>
          <w:sz w:val="22"/>
          <w:lang w:val="en-US" w:eastAsia="zh-CN"/>
        </w:rPr>
        <w:t>航空货站A区A2234室</w:t>
      </w:r>
      <w:r>
        <w:rPr>
          <w:rFonts w:hint="eastAsia" w:ascii="宋体" w:hAnsi="宋体" w:cs="Arial"/>
          <w:kern w:val="0"/>
          <w:sz w:val="22"/>
        </w:rPr>
        <w:t>，逾期无效。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snapToGrid w:val="0"/>
        <w:spacing w:line="340" w:lineRule="exact"/>
        <w:ind w:firstLine="440" w:firstLineChars="200"/>
        <w:rPr>
          <w:rFonts w:ascii="宋体" w:hAnsi="宋体"/>
          <w:sz w:val="22"/>
        </w:rPr>
      </w:pPr>
      <w:r>
        <w:rPr>
          <w:rFonts w:hint="eastAsia" w:ascii="宋体" w:hAnsi="宋体" w:cs="宋体"/>
          <w:sz w:val="22"/>
        </w:rPr>
        <w:t>本次招标公告在</w:t>
      </w:r>
      <w:r>
        <w:rPr>
          <w:rFonts w:hint="eastAsia" w:ascii="宋体" w:hAnsi="宋体"/>
          <w:sz w:val="22"/>
        </w:rPr>
        <w:t>杭州萧山机场有限公司主页</w:t>
      </w:r>
      <w:r>
        <w:rPr>
          <w:rFonts w:ascii="宋体" w:hAnsi="宋体"/>
          <w:sz w:val="22"/>
        </w:rPr>
        <w:t>http://www.hzairport.com</w:t>
      </w:r>
      <w:r>
        <w:rPr>
          <w:rFonts w:hint="eastAsia" w:ascii="宋体" w:hAnsi="宋体"/>
          <w:sz w:val="22"/>
          <w:lang w:val="en-US" w:eastAsia="zh-CN"/>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snapToGrid w:val="0"/>
        <w:spacing w:line="340" w:lineRule="exact"/>
        <w:ind w:firstLine="440" w:firstLineChars="200"/>
        <w:jc w:val="left"/>
        <w:rPr>
          <w:rFonts w:ascii="宋体" w:hAnsi="宋体"/>
          <w:sz w:val="22"/>
        </w:rPr>
      </w:pPr>
      <w:r>
        <w:rPr>
          <w:rFonts w:hint="eastAsia" w:ascii="宋体" w:hAnsi="宋体"/>
          <w:sz w:val="22"/>
        </w:rPr>
        <w:t>投标联系人：王剑</w:t>
      </w:r>
      <w:r>
        <w:rPr>
          <w:rFonts w:ascii="宋体" w:hAnsi="宋体"/>
          <w:sz w:val="22"/>
        </w:rPr>
        <w:t> </w:t>
      </w:r>
      <w:r>
        <w:rPr>
          <w:rFonts w:hint="eastAsia" w:ascii="宋体" w:hAnsi="宋体"/>
          <w:sz w:val="22"/>
        </w:rPr>
        <w:t xml:space="preserve">        联系电话：0571-86665070</w:t>
      </w:r>
      <w:r>
        <w:rPr>
          <w:rFonts w:ascii="宋体" w:hAnsi="宋体"/>
          <w:sz w:val="22"/>
        </w:rPr>
        <w:t> </w:t>
      </w:r>
    </w:p>
    <w:p>
      <w:pPr>
        <w:widowControl/>
        <w:snapToGrid w:val="0"/>
        <w:spacing w:line="340" w:lineRule="exact"/>
        <w:ind w:firstLine="440" w:firstLineChars="200"/>
        <w:jc w:val="left"/>
        <w:rPr>
          <w:rFonts w:ascii="宋体" w:hAnsi="宋体"/>
          <w:sz w:val="22"/>
        </w:rPr>
      </w:pPr>
      <w:r>
        <w:rPr>
          <w:rFonts w:hint="eastAsia" w:ascii="宋体" w:hAnsi="宋体"/>
          <w:sz w:val="22"/>
          <w:lang w:eastAsia="zh-CN"/>
        </w:rPr>
        <w:t>技术</w:t>
      </w:r>
      <w:r>
        <w:rPr>
          <w:rFonts w:hint="eastAsia" w:ascii="宋体" w:hAnsi="宋体"/>
          <w:sz w:val="22"/>
        </w:rPr>
        <w:t>联系人：</w:t>
      </w:r>
      <w:r>
        <w:rPr>
          <w:rFonts w:hint="eastAsia" w:ascii="宋体" w:hAnsi="宋体"/>
          <w:sz w:val="22"/>
          <w:lang w:eastAsia="zh-CN"/>
        </w:rPr>
        <w:t>胡伟荣</w:t>
      </w:r>
      <w:r>
        <w:rPr>
          <w:rFonts w:hint="eastAsia" w:ascii="宋体" w:hAnsi="宋体"/>
          <w:sz w:val="22"/>
        </w:rPr>
        <w:t xml:space="preserve">        联系电话：0571-866650</w:t>
      </w:r>
      <w:r>
        <w:rPr>
          <w:rFonts w:hint="eastAsia" w:ascii="宋体" w:hAnsi="宋体"/>
          <w:sz w:val="22"/>
          <w:lang w:val="en-US" w:eastAsia="zh-CN"/>
        </w:rPr>
        <w:t>35</w:t>
      </w:r>
    </w:p>
    <w:p>
      <w:pPr>
        <w:widowControl/>
        <w:snapToGrid w:val="0"/>
        <w:spacing w:line="340" w:lineRule="exact"/>
        <w:ind w:firstLine="440" w:firstLineChars="200"/>
        <w:jc w:val="left"/>
        <w:rPr>
          <w:rFonts w:ascii="宋体" w:hAnsi="宋体"/>
          <w:sz w:val="22"/>
        </w:rPr>
      </w:pPr>
      <w:r>
        <w:rPr>
          <w:rFonts w:hint="eastAsia" w:ascii="宋体" w:hAnsi="宋体"/>
          <w:sz w:val="22"/>
        </w:rPr>
        <w:t>招标监督联系人：</w:t>
      </w:r>
      <w:r>
        <w:rPr>
          <w:rFonts w:hint="eastAsia" w:ascii="宋体" w:hAnsi="宋体"/>
          <w:sz w:val="22"/>
          <w:lang w:val="en-US" w:eastAsia="zh-CN"/>
        </w:rPr>
        <w:t>蒋卫生</w:t>
      </w:r>
      <w:r>
        <w:rPr>
          <w:rFonts w:hint="eastAsia" w:ascii="宋体" w:hAnsi="宋体"/>
          <w:sz w:val="22"/>
        </w:rPr>
        <w:t xml:space="preserve">         联系电话：</w:t>
      </w:r>
      <w:r>
        <w:rPr>
          <w:rFonts w:ascii="宋体" w:hAnsi="宋体"/>
          <w:sz w:val="22"/>
        </w:rPr>
        <w:t>0571-8666</w:t>
      </w:r>
      <w:r>
        <w:rPr>
          <w:rFonts w:hint="eastAsia" w:ascii="宋体" w:hAnsi="宋体"/>
          <w:sz w:val="22"/>
          <w:lang w:val="en-US" w:eastAsia="zh-CN"/>
        </w:rPr>
        <w:t>2468</w:t>
      </w:r>
    </w:p>
    <w:p>
      <w:pPr>
        <w:pStyle w:val="52"/>
      </w:pPr>
      <w:r>
        <w:rPr>
          <w:b w:val="0"/>
        </w:rPr>
        <w:br w:type="page"/>
      </w:r>
      <w:bookmarkStart w:id="1" w:name="_Toc422638510"/>
      <w:r>
        <w:t>第</w:t>
      </w:r>
      <w:r>
        <w:rPr>
          <w:rFonts w:hint="eastAsia"/>
        </w:rPr>
        <w:t xml:space="preserve">二  </w:t>
      </w:r>
      <w:r>
        <w:t>章投标</w:t>
      </w:r>
      <w:r>
        <w:rPr>
          <w:rFonts w:hint="eastAsia"/>
        </w:rPr>
        <w:t>人须知</w:t>
      </w:r>
      <w:bookmarkEnd w:id="1"/>
    </w:p>
    <w:p>
      <w:pPr>
        <w:pStyle w:val="34"/>
        <w:spacing w:line="360" w:lineRule="auto"/>
        <w:jc w:val="center"/>
        <w:rPr>
          <w:b/>
        </w:rPr>
      </w:pPr>
      <w:r>
        <w:rPr>
          <w:rFonts w:hint="eastAsia"/>
          <w:b/>
        </w:rPr>
        <w:t>投标人须知前附表</w:t>
      </w:r>
    </w:p>
    <w:tbl>
      <w:tblPr>
        <w:tblStyle w:val="59"/>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杭州萧山国际机场航空物流有限公司电动叉车采购项目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招标人</w:t>
            </w:r>
          </w:p>
        </w:tc>
        <w:tc>
          <w:tcPr>
            <w:tcW w:w="6487" w:type="dxa"/>
            <w:vAlign w:val="center"/>
          </w:tcPr>
          <w:p>
            <w:pPr>
              <w:snapToGrid w:val="0"/>
              <w:rPr>
                <w:rFonts w:ascii="宋体" w:hAnsi="宋体" w:cs="Calibri"/>
                <w:sz w:val="22"/>
              </w:rPr>
            </w:pPr>
            <w:r>
              <w:rPr>
                <w:rFonts w:ascii="宋体" w:hAnsi="宋体" w:cs="Calibri"/>
                <w:sz w:val="22"/>
              </w:rPr>
              <w:t>名  称：杭州萧山国际机场航空物流有限公司</w:t>
            </w:r>
            <w:r>
              <w:rPr>
                <w:rFonts w:ascii="宋体" w:hAnsi="宋体" w:cs="Calibri"/>
                <w:sz w:val="22"/>
              </w:rPr>
              <w:br w:type="textWrapping"/>
            </w:r>
            <w:r>
              <w:rPr>
                <w:rFonts w:ascii="宋体" w:hAnsi="宋体" w:cs="Calibri"/>
                <w:sz w:val="22"/>
              </w:rPr>
              <w:t>地  址：</w:t>
            </w:r>
            <w:r>
              <w:rPr>
                <w:rFonts w:hint="eastAsia" w:ascii="宋体" w:hAnsi="宋体" w:cs="Calibri"/>
                <w:sz w:val="22"/>
              </w:rPr>
              <w:t>杭州萧山国际机场内</w:t>
            </w:r>
          </w:p>
          <w:p>
            <w:pPr>
              <w:snapToGrid w:val="0"/>
              <w:rPr>
                <w:rFonts w:ascii="宋体" w:hAnsi="宋体" w:cs="Calibri"/>
                <w:sz w:val="22"/>
              </w:rPr>
            </w:pPr>
            <w:r>
              <w:rPr>
                <w:rFonts w:ascii="宋体" w:hAnsi="宋体" w:cs="Calibri"/>
                <w:sz w:val="22"/>
              </w:rPr>
              <w:t>联系人：</w:t>
            </w:r>
            <w:r>
              <w:rPr>
                <w:rFonts w:hint="eastAsia" w:ascii="宋体" w:hAnsi="宋体" w:cs="Calibri"/>
                <w:sz w:val="22"/>
              </w:rPr>
              <w:t>王剑</w:t>
            </w:r>
            <w:r>
              <w:rPr>
                <w:rFonts w:ascii="宋体" w:hAnsi="宋体" w:cs="Calibri"/>
                <w:sz w:val="22"/>
              </w:rPr>
              <w:t>     电话：</w:t>
            </w:r>
            <w:r>
              <w:rPr>
                <w:rFonts w:hint="eastAsia" w:ascii="宋体" w:hAnsi="宋体"/>
                <w:sz w:val="22"/>
              </w:rPr>
              <w:t>0571-86665070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lang w:val="en-US" w:eastAsia="zh-CN"/>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lang w:val="en-US" w:eastAsia="zh-CN"/>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详见第</w:t>
            </w:r>
            <w:r>
              <w:rPr>
                <w:rFonts w:hint="eastAsia" w:ascii="宋体" w:hAnsi="宋体" w:cs="Calibri"/>
                <w:kern w:val="0"/>
                <w:sz w:val="22"/>
              </w:rPr>
              <w:t>四</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lang w:val="en-US" w:eastAsia="zh-CN"/>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lang w:val="en-US" w:eastAsia="zh-CN"/>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lang w:val="en-US" w:eastAsia="zh-CN"/>
              </w:rPr>
              <w:t>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lang w:val="en-US" w:eastAsia="zh-CN"/>
              </w:rPr>
              <w:t>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lang w:val="en-US" w:eastAsia="zh-CN"/>
              </w:rPr>
              <w:t>30</w:t>
            </w:r>
            <w:r>
              <w:rPr>
                <w:rFonts w:hint="eastAsia"/>
                <w:sz w:val="22"/>
              </w:rPr>
              <w:t>日</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lang w:val="en-US" w:eastAsia="zh-CN"/>
              </w:rPr>
              <w:t>9</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201</w:t>
            </w:r>
            <w:r>
              <w:rPr>
                <w:rFonts w:hint="eastAsia" w:ascii="宋体" w:hAnsi="宋体" w:cs="Calibri"/>
                <w:kern w:val="0"/>
                <w:sz w:val="22"/>
                <w:lang w:val="en-US" w:eastAsia="zh-CN"/>
              </w:rPr>
              <w:t>9</w:t>
            </w:r>
            <w:r>
              <w:rPr>
                <w:rFonts w:ascii="宋体" w:hAnsi="宋体" w:cs="Calibri"/>
                <w:kern w:val="0"/>
                <w:sz w:val="22"/>
              </w:rPr>
              <w:t>年</w:t>
            </w:r>
            <w:r>
              <w:rPr>
                <w:rFonts w:hint="eastAsia" w:ascii="宋体" w:hAnsi="宋体" w:cs="Calibri"/>
                <w:kern w:val="0"/>
                <w:sz w:val="22"/>
                <w:lang w:val="en-US" w:eastAsia="zh-CN"/>
              </w:rPr>
              <w:t>7</w:t>
            </w:r>
            <w:r>
              <w:rPr>
                <w:rFonts w:ascii="宋体" w:hAnsi="宋体" w:cs="Calibri"/>
                <w:kern w:val="0"/>
                <w:sz w:val="22"/>
              </w:rPr>
              <w:t>月</w:t>
            </w:r>
            <w:r>
              <w:rPr>
                <w:rFonts w:hint="eastAsia" w:ascii="宋体" w:hAnsi="宋体" w:cs="Calibri"/>
                <w:kern w:val="0"/>
                <w:sz w:val="22"/>
                <w:lang w:val="en-US" w:eastAsia="zh-CN"/>
              </w:rPr>
              <w:t>10</w:t>
            </w:r>
            <w:r>
              <w:rPr>
                <w:rFonts w:ascii="宋体" w:hAnsi="宋体" w:cs="Calibri"/>
                <w:kern w:val="0"/>
                <w:sz w:val="22"/>
              </w:rPr>
              <w:t>日</w:t>
            </w:r>
            <w:r>
              <w:rPr>
                <w:rFonts w:hint="eastAsia" w:ascii="宋体" w:hAnsi="宋体" w:cs="Calibri"/>
                <w:kern w:val="0"/>
                <w:sz w:val="22"/>
              </w:rPr>
              <w:t>11</w:t>
            </w:r>
            <w:r>
              <w:rPr>
                <w:rFonts w:ascii="宋体" w:hAnsi="宋体" w:cs="Calibri"/>
                <w:kern w:val="0"/>
                <w:sz w:val="22"/>
              </w:rPr>
              <w:t>：30前，以E-mail及书面形式提交给招标</w:t>
            </w:r>
            <w:r>
              <w:rPr>
                <w:rFonts w:hint="eastAsia" w:ascii="宋体" w:hAnsi="宋体" w:cs="Calibri"/>
                <w:kern w:val="0"/>
                <w:sz w:val="22"/>
                <w:lang w:eastAsia="zh-CN"/>
              </w:rPr>
              <w:t>人</w:t>
            </w:r>
            <w:r>
              <w:rPr>
                <w:rFonts w:ascii="宋体" w:hAnsi="宋体" w:cs="Calibri"/>
                <w:kern w:val="0"/>
                <w:sz w:val="22"/>
              </w:rPr>
              <w:t>（邮箱：</w:t>
            </w:r>
            <w:r>
              <w:rPr>
                <w:rFonts w:hint="eastAsia" w:ascii="宋体" w:hAnsi="宋体" w:cs="Calibri"/>
                <w:kern w:val="0"/>
                <w:sz w:val="22"/>
                <w:shd w:val="clear" w:color="auto" w:fill="FFFFFF"/>
                <w:lang w:val="en-US" w:eastAsia="zh-CN"/>
              </w:rPr>
              <w:t>156456807</w:t>
            </w:r>
            <w:r>
              <w:rPr>
                <w:rFonts w:ascii="宋体" w:hAnsi="宋体" w:cs="Calibri"/>
                <w:kern w:val="0"/>
                <w:sz w:val="22"/>
              </w:rPr>
              <w:t>@QQ.com，联系人：</w:t>
            </w:r>
            <w:r>
              <w:rPr>
                <w:rFonts w:hint="eastAsia" w:ascii="宋体" w:hAnsi="宋体" w:cs="Calibri"/>
                <w:kern w:val="0"/>
                <w:sz w:val="22"/>
                <w:lang w:eastAsia="zh-CN"/>
              </w:rPr>
              <w:t>王剑）</w:t>
            </w:r>
            <w:r>
              <w:rPr>
                <w:rFonts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w:t>
            </w:r>
            <w:r>
              <w:rPr>
                <w:rFonts w:hint="eastAsia" w:ascii="宋体" w:hAnsi="宋体" w:cs="Calibri"/>
                <w:kern w:val="0"/>
                <w:sz w:val="22"/>
                <w:lang w:val="en-US" w:eastAsia="zh-CN"/>
              </w:rPr>
              <w:t>报名</w:t>
            </w:r>
            <w:r>
              <w:rPr>
                <w:rFonts w:ascii="宋体" w:hAnsi="宋体" w:cs="Calibri"/>
                <w:kern w:val="0"/>
                <w:sz w:val="22"/>
              </w:rPr>
              <w:t>截止时间</w:t>
            </w:r>
          </w:p>
        </w:tc>
        <w:tc>
          <w:tcPr>
            <w:tcW w:w="6487" w:type="dxa"/>
            <w:vAlign w:val="center"/>
          </w:tcPr>
          <w:p>
            <w:pPr>
              <w:autoSpaceDE w:val="0"/>
              <w:autoSpaceDN w:val="0"/>
              <w:adjustRightInd w:val="0"/>
              <w:snapToGrid w:val="0"/>
              <w:rPr>
                <w:rFonts w:ascii="宋体" w:hAnsi="宋体" w:cs="Calibri"/>
                <w:b/>
                <w:kern w:val="0"/>
                <w:sz w:val="22"/>
              </w:rPr>
            </w:pPr>
            <w:r>
              <w:rPr>
                <w:rFonts w:ascii="宋体" w:hAnsi="宋体" w:cs="Calibri"/>
                <w:b/>
                <w:kern w:val="0"/>
                <w:sz w:val="22"/>
              </w:rPr>
              <w:t>201</w:t>
            </w:r>
            <w:r>
              <w:rPr>
                <w:rFonts w:hint="eastAsia" w:ascii="宋体" w:hAnsi="宋体" w:cs="Calibri"/>
                <w:b/>
                <w:kern w:val="0"/>
                <w:sz w:val="22"/>
                <w:lang w:val="en-US" w:eastAsia="zh-CN"/>
              </w:rPr>
              <w:t>9</w:t>
            </w:r>
            <w:r>
              <w:rPr>
                <w:rFonts w:ascii="宋体" w:hAnsi="宋体" w:cs="Calibri"/>
                <w:b/>
                <w:kern w:val="0"/>
                <w:sz w:val="22"/>
              </w:rPr>
              <w:t>年</w:t>
            </w:r>
            <w:r>
              <w:rPr>
                <w:rFonts w:hint="eastAsia" w:ascii="宋体" w:hAnsi="宋体" w:cs="Calibri"/>
                <w:b/>
                <w:kern w:val="0"/>
                <w:sz w:val="22"/>
                <w:lang w:val="en-US" w:eastAsia="zh-CN"/>
              </w:rPr>
              <w:t>7</w:t>
            </w:r>
            <w:r>
              <w:rPr>
                <w:rFonts w:ascii="宋体" w:hAnsi="宋体" w:cs="Calibri"/>
                <w:b/>
                <w:kern w:val="0"/>
                <w:sz w:val="22"/>
              </w:rPr>
              <w:t>月</w:t>
            </w:r>
            <w:r>
              <w:rPr>
                <w:rFonts w:hint="eastAsia" w:ascii="宋体" w:hAnsi="宋体" w:cs="Calibri"/>
                <w:b/>
                <w:kern w:val="0"/>
                <w:sz w:val="22"/>
                <w:lang w:val="en-US" w:eastAsia="zh-CN"/>
              </w:rPr>
              <w:t>9</w:t>
            </w:r>
            <w:bookmarkStart w:id="118" w:name="_GoBack"/>
            <w:bookmarkEnd w:id="118"/>
            <w:r>
              <w:rPr>
                <w:rFonts w:ascii="宋体" w:hAnsi="宋体" w:cs="Calibri"/>
                <w:b/>
                <w:kern w:val="0"/>
                <w:sz w:val="22"/>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澄清文件发出后24小时内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修改文件发出后24小时内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投标保证金的形式：支票、银行汇票或电汇</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w:t>
            </w:r>
            <w:r>
              <w:rPr>
                <w:rFonts w:hint="eastAsia" w:ascii="宋体" w:hAnsi="宋体"/>
                <w:b/>
                <w:sz w:val="22"/>
                <w:lang w:val="en-US" w:eastAsia="zh-CN"/>
              </w:rPr>
              <w:t>叁</w:t>
            </w:r>
            <w:r>
              <w:rPr>
                <w:rFonts w:hint="eastAsia" w:ascii="宋体" w:hAnsi="宋体"/>
                <w:b/>
                <w:sz w:val="22"/>
              </w:rPr>
              <w:t>万元整</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开户名：杭州萧山国际机场航空物流有限公司</w:t>
            </w:r>
          </w:p>
          <w:p>
            <w:pPr>
              <w:snapToGrid w:val="0"/>
              <w:rPr>
                <w:rFonts w:ascii="宋体" w:hAnsi="宋体"/>
                <w:sz w:val="22"/>
              </w:rPr>
            </w:pPr>
            <w:r>
              <w:rPr>
                <w:rFonts w:hint="eastAsia" w:ascii="宋体" w:hAnsi="宋体"/>
                <w:sz w:val="22"/>
              </w:rPr>
              <w:t>开户银行：</w:t>
            </w:r>
            <w:r>
              <w:rPr>
                <w:rFonts w:ascii="宋体" w:hAnsi="宋体"/>
                <w:sz w:val="22"/>
              </w:rPr>
              <w:t>中国建设银行股份有限公司杭州航空港支行</w:t>
            </w:r>
          </w:p>
          <w:p>
            <w:pPr>
              <w:snapToGrid w:val="0"/>
              <w:rPr>
                <w:rFonts w:ascii="宋体" w:hAnsi="宋体"/>
                <w:sz w:val="22"/>
              </w:rPr>
            </w:pPr>
            <w:r>
              <w:rPr>
                <w:rFonts w:hint="eastAsia" w:ascii="宋体" w:hAnsi="宋体"/>
                <w:sz w:val="22"/>
              </w:rPr>
              <w:t>帐号：</w:t>
            </w:r>
            <w:r>
              <w:rPr>
                <w:rFonts w:ascii="宋体" w:hAnsi="宋体"/>
                <w:sz w:val="22"/>
              </w:rPr>
              <w:t>33001616181053001105</w:t>
            </w:r>
          </w:p>
          <w:p>
            <w:pPr>
              <w:snapToGrid w:val="0"/>
              <w:rPr>
                <w:rFonts w:ascii="宋体" w:hAnsi="宋体"/>
                <w:sz w:val="22"/>
              </w:rPr>
            </w:pPr>
            <w:r>
              <w:rPr>
                <w:rFonts w:hint="eastAsia" w:ascii="宋体" w:hAnsi="宋体"/>
                <w:sz w:val="22"/>
              </w:rPr>
              <w:t>联系人：王婷婷</w:t>
            </w:r>
          </w:p>
          <w:p>
            <w:pPr>
              <w:snapToGrid w:val="0"/>
              <w:rPr>
                <w:rFonts w:ascii="宋体" w:hAnsi="宋体"/>
                <w:sz w:val="22"/>
              </w:rPr>
            </w:pPr>
            <w:r>
              <w:rPr>
                <w:rFonts w:hint="eastAsia" w:ascii="宋体" w:hAnsi="宋体"/>
                <w:sz w:val="22"/>
              </w:rPr>
              <w:t>联系电话：</w:t>
            </w:r>
            <w:r>
              <w:rPr>
                <w:rFonts w:ascii="宋体" w:hAnsi="宋体"/>
                <w:sz w:val="22"/>
              </w:rPr>
              <w:t>0571-86662590</w:t>
            </w:r>
          </w:p>
          <w:p>
            <w:pPr>
              <w:autoSpaceDE w:val="0"/>
              <w:autoSpaceDN w:val="0"/>
              <w:adjustRightInd w:val="0"/>
              <w:snapToGrid w:val="0"/>
              <w:rPr>
                <w:rFonts w:ascii="宋体" w:hAnsi="宋体" w:cs="Calibri"/>
                <w:kern w:val="0"/>
                <w:sz w:val="22"/>
              </w:rPr>
            </w:pPr>
            <w:r>
              <w:rPr>
                <w:rFonts w:hint="eastAsia" w:ascii="宋体" w:hAnsi="宋体"/>
                <w:b/>
                <w:sz w:val="22"/>
              </w:rPr>
              <w:t>投标人提交投标保证金时需注明“电动叉车项目投标保证金”，银行回单复印件注明投标人户名、开户行、账号等信息随投标文件一同递交。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w:t>
            </w:r>
            <w:r>
              <w:rPr>
                <w:rFonts w:ascii="宋体" w:hAnsi="宋体" w:cs="Calibri"/>
                <w:kern w:val="0"/>
                <w:sz w:val="22"/>
              </w:rPr>
              <w:t>均须加盖投标人单位</w:t>
            </w:r>
            <w:r>
              <w:rPr>
                <w:rFonts w:hint="eastAsia" w:ascii="宋体" w:hAnsi="宋体" w:cs="Calibri"/>
                <w:kern w:val="0"/>
                <w:sz w:val="22"/>
              </w:rPr>
              <w:t>公章</w:t>
            </w:r>
            <w:r>
              <w:rPr>
                <w:rFonts w:ascii="宋体" w:hAnsi="宋体" w:cs="Calibri"/>
                <w:kern w:val="0"/>
                <w:sz w:val="22"/>
              </w:rPr>
              <w:t>，并经法定代表人（或其委托代理人）签字或盖章。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lang w:eastAsia="zh-CN"/>
              </w:rPr>
              <w:t>三</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按照投标人须知3.2.1项约定的投标文件组成内容，投标文件应按以下要求装订：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招标人名称：杭州萧山国际机场航空物流有限公司</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Arial"/>
                <w:kern w:val="0"/>
                <w:sz w:val="22"/>
              </w:rPr>
              <w:t>杭州萧山国际机场航空物流有限公司电动叉车采购项目投标文件</w:t>
            </w:r>
            <w:r>
              <w:rPr>
                <w:rFonts w:ascii="宋体" w:hAnsi="宋体" w:cs="Calibri"/>
                <w:kern w:val="0"/>
                <w:sz w:val="22"/>
              </w:rPr>
              <w:t>”</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Calibri"/>
                <w:kern w:val="0"/>
                <w:sz w:val="22"/>
              </w:rPr>
              <w:t xml:space="preserve">  </w:t>
            </w:r>
            <w:r>
              <w:rPr>
                <w:rFonts w:ascii="宋体" w:hAnsi="宋体" w:cs="Calibri"/>
                <w:kern w:val="0"/>
                <w:sz w:val="22"/>
              </w:rPr>
              <w:t>年</w:t>
            </w:r>
            <w:r>
              <w:rPr>
                <w:rFonts w:hint="eastAsia" w:ascii="宋体" w:hAnsi="宋体" w:cs="Calibri"/>
                <w:kern w:val="0"/>
                <w:sz w:val="22"/>
              </w:rPr>
              <w:t xml:space="preserve">  </w:t>
            </w:r>
            <w:r>
              <w:rPr>
                <w:rFonts w:ascii="宋体" w:hAnsi="宋体" w:cs="Calibri"/>
                <w:kern w:val="0"/>
                <w:sz w:val="22"/>
              </w:rPr>
              <w:t>月</w:t>
            </w:r>
            <w:r>
              <w:rPr>
                <w:rFonts w:hint="eastAsia" w:ascii="宋体" w:hAnsi="宋体" w:cs="Calibri"/>
                <w:kern w:val="0"/>
                <w:sz w:val="22"/>
              </w:rPr>
              <w:t xml:space="preserve">  </w:t>
            </w:r>
            <w:r>
              <w:rPr>
                <w:rFonts w:ascii="宋体" w:hAnsi="宋体" w:cs="Calibri"/>
                <w:kern w:val="0"/>
                <w:sz w:val="22"/>
              </w:rPr>
              <w:t>日</w:t>
            </w:r>
            <w:r>
              <w:rPr>
                <w:rFonts w:hint="eastAsia" w:ascii="宋体" w:hAnsi="宋体" w:cs="Calibri"/>
                <w:kern w:val="0"/>
                <w:sz w:val="22"/>
              </w:rPr>
              <w:t xml:space="preserve">  </w:t>
            </w:r>
            <w:r>
              <w:rPr>
                <w:rFonts w:ascii="宋体" w:hAnsi="宋体" w:cs="Calibri"/>
                <w:kern w:val="0"/>
                <w:sz w:val="22"/>
              </w:rPr>
              <w:t>时</w:t>
            </w:r>
            <w:r>
              <w:rPr>
                <w:rFonts w:hint="eastAsia" w:ascii="宋体" w:hAnsi="宋体" w:cs="Calibri"/>
                <w:kern w:val="0"/>
                <w:sz w:val="22"/>
              </w:rPr>
              <w:t xml:space="preserve">  </w:t>
            </w:r>
            <w:r>
              <w:rPr>
                <w:rFonts w:ascii="宋体" w:hAnsi="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hint="eastAsia" w:ascii="宋体" w:hAnsi="宋体" w:cs="Calibri" w:eastAsiaTheme="minorEastAsia"/>
                <w:kern w:val="0"/>
                <w:sz w:val="22"/>
                <w:lang w:eastAsia="zh-CN"/>
              </w:rPr>
            </w:pPr>
            <w:r>
              <w:rPr>
                <w:rFonts w:hint="eastAsia" w:ascii="宋体" w:hAnsi="宋体" w:cs="Calibri"/>
                <w:kern w:val="0"/>
                <w:sz w:val="22"/>
                <w:lang w:eastAsia="zh-CN"/>
              </w:rPr>
              <w:t>杭州萧山国际机场航空货站</w:t>
            </w:r>
            <w:r>
              <w:rPr>
                <w:rFonts w:hint="eastAsia" w:ascii="宋体" w:hAnsi="宋体" w:cs="Calibri"/>
                <w:kern w:val="0"/>
                <w:sz w:val="22"/>
                <w:lang w:val="en-US" w:eastAsia="zh-CN"/>
              </w:rPr>
              <w:t>A区A2234室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lang w:val="en-US" w:eastAsia="zh-CN"/>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lang w:val="en-US" w:eastAsia="zh-CN"/>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w:t>
            </w:r>
            <w:r>
              <w:rPr>
                <w:rFonts w:hint="eastAsia" w:ascii="宋体" w:hAnsi="宋体" w:cs="Calibri"/>
                <w:kern w:val="0"/>
                <w:sz w:val="22"/>
                <w:lang w:val="en-US" w:eastAsia="zh-CN"/>
              </w:rPr>
              <w:t>3</w:t>
            </w:r>
            <w:r>
              <w:rPr>
                <w:rFonts w:hint="eastAsia" w:ascii="宋体" w:hAnsi="宋体"/>
                <w:sz w:val="22"/>
              </w:rPr>
              <w:t>人</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评标专家确定方式：评标委员会成员由招标人</w:t>
            </w:r>
            <w:r>
              <w:rPr>
                <w:rFonts w:hint="eastAsia" w:ascii="宋体" w:hAnsi="宋体"/>
                <w:sz w:val="22"/>
                <w:lang w:val="en-US" w:eastAsia="zh-CN"/>
              </w:rPr>
              <w:t>自行</w:t>
            </w:r>
            <w:r>
              <w:rPr>
                <w:rFonts w:hint="eastAsia" w:ascii="宋体" w:hAnsi="宋体"/>
                <w:sz w:val="22"/>
              </w:rPr>
              <w:t>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支票、银行汇票或电汇</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r>
              <w:rPr>
                <w:rFonts w:hint="eastAsia" w:ascii="宋体" w:hAnsi="宋体" w:cs="Calibri"/>
                <w:kern w:val="0"/>
                <w:sz w:val="22"/>
                <w:lang w:val="en-US" w:eastAsia="zh-CN"/>
              </w:rPr>
              <w:t>1</w:t>
            </w:r>
          </w:p>
        </w:tc>
        <w:tc>
          <w:tcPr>
            <w:tcW w:w="2004" w:type="dxa"/>
            <w:shd w:val="clear" w:color="auto" w:fill="auto"/>
            <w:vAlign w:val="center"/>
          </w:tcPr>
          <w:p>
            <w:pPr>
              <w:snapToGrid w:val="0"/>
              <w:jc w:val="center"/>
              <w:rPr>
                <w:rFonts w:ascii="宋体" w:hAnsi="宋体" w:cs="宋体"/>
                <w:sz w:val="22"/>
              </w:rPr>
            </w:pPr>
            <w:r>
              <w:rPr>
                <w:rFonts w:hint="eastAsia" w:cs="宋体"/>
                <w:sz w:val="22"/>
              </w:rPr>
              <w:t>异议与投诉</w:t>
            </w:r>
          </w:p>
        </w:tc>
        <w:tc>
          <w:tcPr>
            <w:tcW w:w="6487" w:type="dxa"/>
            <w:shd w:val="clear" w:color="auto" w:fill="FFFFFF"/>
          </w:tcPr>
          <w:p>
            <w:pPr>
              <w:adjustRightInd w:val="0"/>
              <w:snapToGrid w:val="0"/>
              <w:jc w:val="left"/>
              <w:rPr>
                <w:rFonts w:ascii="宋体" w:hAnsi="宋体"/>
                <w:iCs/>
                <w:sz w:val="22"/>
              </w:rPr>
            </w:pPr>
            <w:r>
              <w:rPr>
                <w:rFonts w:hint="eastAsia" w:ascii="宋体" w:hAnsi="宋体" w:cs="宋体"/>
                <w:sz w:val="22"/>
              </w:rPr>
              <w:t>1</w:t>
            </w:r>
            <w:r>
              <w:rPr>
                <w:rFonts w:hint="eastAsia" w:ascii="宋体" w:hAnsi="宋体"/>
                <w:iCs/>
                <w:sz w:val="22"/>
              </w:rPr>
              <w:t>、异议</w:t>
            </w:r>
          </w:p>
          <w:p>
            <w:pPr>
              <w:adjustRightInd w:val="0"/>
              <w:snapToGrid w:val="0"/>
              <w:jc w:val="left"/>
              <w:rPr>
                <w:rFonts w:ascii="宋体" w:hAnsi="宋体"/>
                <w:iCs/>
                <w:sz w:val="22"/>
              </w:rPr>
            </w:pPr>
            <w:r>
              <w:rPr>
                <w:rFonts w:hint="eastAsia" w:ascii="宋体" w:hAnsi="宋体"/>
                <w:iCs/>
                <w:sz w:val="22"/>
              </w:rPr>
              <w:t>(1)潜在投标人或者其他利害关系人对招标文件有异议的，应当在投标截止时间10日前以书面形式向招标人或招标代理机构提出。招标人将在收到异议之日起3个日内作出书面答复；作出答复前，暂停招标投标活动。</w:t>
            </w:r>
          </w:p>
          <w:p>
            <w:pPr>
              <w:adjustRightInd w:val="0"/>
              <w:snapToGrid w:val="0"/>
              <w:jc w:val="left"/>
              <w:rPr>
                <w:rFonts w:ascii="宋体" w:hAnsi="宋体"/>
                <w:iCs/>
                <w:sz w:val="22"/>
              </w:rPr>
            </w:pPr>
            <w:r>
              <w:rPr>
                <w:rFonts w:hint="eastAsia" w:ascii="宋体" w:hAnsi="宋体"/>
                <w:iCs/>
                <w:sz w:val="22"/>
              </w:rPr>
              <w:t>(2)投标人认为开标不符合有关规定的，应当在开标现场提出异议。招标人将当场对异议给予处理或者告知处理的办法。异议和答复应记入开标记录或者制作专门记录以存档备查。</w:t>
            </w:r>
          </w:p>
          <w:p>
            <w:pPr>
              <w:adjustRightInd w:val="0"/>
              <w:snapToGrid w:val="0"/>
              <w:jc w:val="left"/>
              <w:rPr>
                <w:rFonts w:ascii="宋体" w:hAnsi="宋体"/>
                <w:iCs/>
                <w:sz w:val="22"/>
              </w:rPr>
            </w:pPr>
            <w:r>
              <w:rPr>
                <w:rFonts w:hint="eastAsia" w:ascii="宋体" w:hAnsi="宋体"/>
                <w:iCs/>
                <w:sz w:val="22"/>
              </w:rPr>
              <w:t>(3)投标人其他利害关系人对评标结果有异议的，应当在中标候选人公示期间以书面形式向招标人或招标代理机构提出。招标人将在收到异议之日起3个日内作出书面答复；作出答复前，暂停招标投标活动。</w:t>
            </w:r>
          </w:p>
          <w:p>
            <w:pPr>
              <w:adjustRightInd w:val="0"/>
              <w:snapToGrid w:val="0"/>
              <w:jc w:val="left"/>
              <w:rPr>
                <w:rFonts w:ascii="宋体" w:hAnsi="宋体"/>
                <w:iCs/>
                <w:sz w:val="22"/>
              </w:rPr>
            </w:pPr>
            <w:r>
              <w:rPr>
                <w:rFonts w:hint="eastAsia" w:ascii="宋体" w:hAnsi="宋体"/>
                <w:iCs/>
                <w:sz w:val="22"/>
              </w:rPr>
              <w:t>(4)对招标文件、评标结果的异议，提出和答复的形式只采用书面形式。</w:t>
            </w:r>
          </w:p>
          <w:p>
            <w:pPr>
              <w:adjustRightInd w:val="0"/>
              <w:snapToGrid w:val="0"/>
              <w:jc w:val="left"/>
              <w:rPr>
                <w:rFonts w:ascii="宋体" w:hAnsi="宋体" w:cs="宋体"/>
                <w:sz w:val="22"/>
              </w:rPr>
            </w:pPr>
            <w:r>
              <w:rPr>
                <w:rFonts w:hint="eastAsia" w:ascii="宋体" w:hAnsi="宋体"/>
                <w:iCs/>
                <w:sz w:val="22"/>
              </w:rPr>
              <w:t>2、投诉：投标人或者其他利害关系人认为招标投标活动不符合法律、行政法规和招标文件规定的，可以自知道或者应当知道之日起10日内向监察部门投诉。投诉应当有明确的请求和必要的证明材料。就招标文件、开标和评标结果投诉的，应当先向招标人提出异议，异议答复期间不计算在前款规定的期限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1"/>
            </w:pPr>
            <w: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szCs w:val="24"/>
        </w:rPr>
      </w:pPr>
      <w:bookmarkStart w:id="2" w:name="_Toc26216"/>
    </w:p>
    <w:p>
      <w:pPr>
        <w:autoSpaceDE w:val="0"/>
        <w:autoSpaceDN w:val="0"/>
        <w:adjustRightInd w:val="0"/>
        <w:snapToGrid w:val="0"/>
        <w:spacing w:line="400" w:lineRule="exact"/>
        <w:rPr>
          <w:rFonts w:ascii="宋体" w:hAnsi="宋体" w:cs="Calibri"/>
          <w:b/>
          <w:bCs/>
          <w:kern w:val="0"/>
          <w:sz w:val="22"/>
        </w:rPr>
      </w:pPr>
      <w:r>
        <w:rPr>
          <w:b/>
          <w:szCs w:val="24"/>
        </w:rPr>
        <w:br w:type="page"/>
      </w:r>
      <w:r>
        <w:rPr>
          <w:rFonts w:ascii="宋体" w:hAnsi="宋体" w:cs="Calibri"/>
          <w:b/>
          <w:bCs/>
          <w:kern w:val="0"/>
          <w:sz w:val="22"/>
        </w:rPr>
        <w:t>1.1 项目</w:t>
      </w:r>
      <w:bookmarkEnd w:id="2"/>
      <w:r>
        <w:rPr>
          <w:rFonts w:ascii="宋体" w:hAnsi="宋体" w:cs="Calibri"/>
          <w:b/>
          <w:bCs/>
          <w:kern w:val="0"/>
          <w:sz w:val="22"/>
        </w:rPr>
        <w:t>概况</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400" w:lineRule="exact"/>
        <w:ind w:firstLine="440" w:firstLineChars="200"/>
        <w:rPr>
          <w:rFonts w:ascii="宋体" w:hAnsi="宋体" w:cs="Calibri"/>
          <w:sz w:val="22"/>
        </w:rPr>
      </w:pPr>
      <w:r>
        <w:rPr>
          <w:rFonts w:ascii="宋体" w:hAnsi="宋体" w:cs="Calibri"/>
          <w:kern w:val="0"/>
          <w:sz w:val="22"/>
        </w:rPr>
        <w:t>1.1.2项目</w:t>
      </w:r>
      <w:r>
        <w:rPr>
          <w:rFonts w:hint="eastAsia" w:ascii="宋体" w:hAnsi="宋体" w:cs="Calibri"/>
          <w:kern w:val="0"/>
          <w:sz w:val="22"/>
        </w:rPr>
        <w:t>交货</w:t>
      </w:r>
      <w:r>
        <w:rPr>
          <w:rFonts w:ascii="宋体" w:hAnsi="宋体" w:cs="Calibri"/>
          <w:kern w:val="0"/>
          <w:sz w:val="22"/>
        </w:rPr>
        <w:t>地点见投标人须知前附表</w:t>
      </w:r>
      <w:r>
        <w:rPr>
          <w:rFonts w:ascii="宋体" w:hAnsi="宋体" w:cs="Calibri"/>
          <w:sz w:val="22"/>
        </w:rPr>
        <w:t>。</w:t>
      </w:r>
      <w:bookmarkStart w:id="3" w:name="_Toc6246"/>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1.2 招标人</w:t>
      </w:r>
      <w:bookmarkEnd w:id="3"/>
    </w:p>
    <w:p>
      <w:pPr>
        <w:adjustRightInd w:val="0"/>
        <w:snapToGrid w:val="0"/>
        <w:spacing w:line="400" w:lineRule="exact"/>
        <w:ind w:firstLine="440" w:firstLineChars="200"/>
        <w:rPr>
          <w:rFonts w:ascii="宋体" w:hAnsi="宋体" w:cs="Calibri"/>
          <w:sz w:val="22"/>
        </w:rPr>
      </w:pPr>
      <w:r>
        <w:rPr>
          <w:rFonts w:ascii="宋体" w:hAnsi="宋体" w:cs="Calibri"/>
          <w:kern w:val="0"/>
          <w:sz w:val="22"/>
        </w:rPr>
        <w:t>见投标人须知前附表</w:t>
      </w:r>
      <w:r>
        <w:rPr>
          <w:rFonts w:ascii="宋体" w:hAnsi="宋体" w:cs="Calibri"/>
          <w:sz w:val="22"/>
        </w:rPr>
        <w:t>。</w:t>
      </w:r>
    </w:p>
    <w:p>
      <w:pPr>
        <w:autoSpaceDE w:val="0"/>
        <w:autoSpaceDN w:val="0"/>
        <w:adjustRightInd w:val="0"/>
        <w:snapToGrid w:val="0"/>
        <w:spacing w:line="400" w:lineRule="exact"/>
        <w:rPr>
          <w:rFonts w:ascii="宋体" w:hAnsi="宋体" w:cs="Calibri"/>
          <w:b/>
          <w:bCs/>
          <w:kern w:val="0"/>
          <w:sz w:val="22"/>
        </w:rPr>
      </w:pPr>
      <w:bookmarkStart w:id="4" w:name="_Toc9136"/>
      <w:r>
        <w:rPr>
          <w:rFonts w:ascii="宋体" w:hAnsi="宋体" w:cs="Calibri"/>
          <w:b/>
          <w:bCs/>
          <w:kern w:val="0"/>
          <w:sz w:val="22"/>
        </w:rPr>
        <w:t>1.</w:t>
      </w:r>
      <w:r>
        <w:rPr>
          <w:rFonts w:hint="eastAsia" w:ascii="宋体" w:hAnsi="宋体" w:cs="Calibri"/>
          <w:b/>
          <w:bCs/>
          <w:kern w:val="0"/>
          <w:sz w:val="22"/>
          <w:lang w:val="en-US" w:eastAsia="zh-CN"/>
        </w:rPr>
        <w:t>3</w:t>
      </w:r>
      <w:r>
        <w:rPr>
          <w:rFonts w:ascii="宋体" w:hAnsi="宋体" w:cs="Calibri"/>
          <w:b/>
          <w:bCs/>
          <w:kern w:val="0"/>
          <w:sz w:val="22"/>
        </w:rPr>
        <w:t xml:space="preserve"> 资金来源</w:t>
      </w:r>
      <w:bookmarkEnd w:id="4"/>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bookmarkStart w:id="5" w:name="_Toc10673"/>
      <w:r>
        <w:rPr>
          <w:rFonts w:ascii="宋体" w:hAnsi="宋体" w:cs="Calibri"/>
          <w:b/>
          <w:bCs/>
          <w:kern w:val="0"/>
          <w:sz w:val="22"/>
        </w:rPr>
        <w:t>1.</w:t>
      </w:r>
      <w:r>
        <w:rPr>
          <w:rFonts w:hint="eastAsia" w:ascii="宋体" w:hAnsi="宋体" w:cs="Calibri"/>
          <w:b/>
          <w:bCs/>
          <w:kern w:val="0"/>
          <w:sz w:val="22"/>
          <w:lang w:val="en-US" w:eastAsia="zh-CN"/>
        </w:rPr>
        <w:t>4</w:t>
      </w:r>
      <w:r>
        <w:rPr>
          <w:rFonts w:ascii="宋体" w:hAnsi="宋体" w:cs="Calibri"/>
          <w:b/>
          <w:bCs/>
          <w:kern w:val="0"/>
          <w:sz w:val="22"/>
        </w:rPr>
        <w:t xml:space="preserve"> 招标</w:t>
      </w:r>
      <w:bookmarkEnd w:id="5"/>
      <w:r>
        <w:rPr>
          <w:rFonts w:hint="eastAsia" w:ascii="宋体" w:hAnsi="宋体" w:cs="Calibri"/>
          <w:b/>
          <w:bCs/>
          <w:kern w:val="0"/>
          <w:sz w:val="22"/>
        </w:rPr>
        <w:t>内容</w:t>
      </w:r>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bookmarkStart w:id="6" w:name="_Toc718"/>
      <w:r>
        <w:rPr>
          <w:rFonts w:ascii="宋体" w:hAnsi="宋体" w:cs="Calibri"/>
          <w:b/>
          <w:bCs/>
          <w:kern w:val="0"/>
          <w:sz w:val="22"/>
        </w:rPr>
        <w:t>1.</w:t>
      </w:r>
      <w:r>
        <w:rPr>
          <w:rFonts w:hint="eastAsia" w:ascii="宋体" w:hAnsi="宋体" w:cs="Calibri"/>
          <w:b/>
          <w:bCs/>
          <w:kern w:val="0"/>
          <w:sz w:val="22"/>
          <w:lang w:val="en-US" w:eastAsia="zh-CN"/>
        </w:rPr>
        <w:t>5</w:t>
      </w:r>
      <w:r>
        <w:rPr>
          <w:rFonts w:ascii="宋体" w:hAnsi="宋体" w:cs="Calibri"/>
          <w:b/>
          <w:bCs/>
          <w:kern w:val="0"/>
          <w:sz w:val="22"/>
        </w:rPr>
        <w:t xml:space="preserve"> 招标方式</w:t>
      </w:r>
      <w:bookmarkEnd w:id="6"/>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bookmarkStart w:id="7" w:name="_Toc9161"/>
      <w:r>
        <w:rPr>
          <w:rFonts w:ascii="宋体" w:hAnsi="宋体" w:cs="Calibri"/>
          <w:b/>
          <w:bCs/>
          <w:kern w:val="0"/>
          <w:sz w:val="22"/>
        </w:rPr>
        <w:t>1.</w:t>
      </w:r>
      <w:r>
        <w:rPr>
          <w:rFonts w:hint="eastAsia" w:ascii="宋体" w:hAnsi="宋体" w:cs="Calibri"/>
          <w:b/>
          <w:bCs/>
          <w:kern w:val="0"/>
          <w:sz w:val="22"/>
          <w:lang w:val="en-US" w:eastAsia="zh-CN"/>
        </w:rPr>
        <w:t>6</w:t>
      </w:r>
      <w:r>
        <w:rPr>
          <w:rFonts w:ascii="宋体" w:hAnsi="宋体" w:cs="Calibri"/>
          <w:b/>
          <w:bCs/>
          <w:kern w:val="0"/>
          <w:sz w:val="22"/>
        </w:rPr>
        <w:t xml:space="preserve"> 资格审查</w:t>
      </w:r>
      <w:bookmarkEnd w:id="7"/>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bookmarkStart w:id="8" w:name="_Toc13012"/>
      <w:r>
        <w:rPr>
          <w:rFonts w:ascii="宋体" w:hAnsi="宋体" w:cs="Calibri"/>
          <w:b/>
          <w:bCs/>
          <w:kern w:val="0"/>
          <w:sz w:val="22"/>
        </w:rPr>
        <w:t>1.</w:t>
      </w:r>
      <w:r>
        <w:rPr>
          <w:rFonts w:hint="eastAsia" w:ascii="宋体" w:hAnsi="宋体" w:cs="Calibri"/>
          <w:b/>
          <w:bCs/>
          <w:kern w:val="0"/>
          <w:sz w:val="22"/>
          <w:lang w:val="en-US" w:eastAsia="zh-CN"/>
        </w:rPr>
        <w:t>7</w:t>
      </w:r>
      <w:r>
        <w:rPr>
          <w:rFonts w:ascii="宋体" w:hAnsi="宋体" w:cs="Calibri"/>
          <w:b/>
          <w:bCs/>
          <w:kern w:val="0"/>
          <w:sz w:val="22"/>
        </w:rPr>
        <w:t xml:space="preserve"> 投标人资质条件、能力和信誉</w:t>
      </w:r>
      <w:bookmarkEnd w:id="8"/>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bookmarkStart w:id="9" w:name="_Toc2796"/>
      <w:r>
        <w:rPr>
          <w:rFonts w:ascii="宋体" w:hAnsi="宋体" w:cs="Calibri"/>
          <w:b/>
          <w:bCs/>
          <w:kern w:val="0"/>
          <w:sz w:val="22"/>
        </w:rPr>
        <w:t>1.</w:t>
      </w:r>
      <w:r>
        <w:rPr>
          <w:rFonts w:hint="eastAsia" w:ascii="宋体" w:hAnsi="宋体" w:cs="Calibri"/>
          <w:b/>
          <w:bCs/>
          <w:kern w:val="0"/>
          <w:sz w:val="22"/>
          <w:lang w:val="en-US" w:eastAsia="zh-CN"/>
        </w:rPr>
        <w:t>8</w:t>
      </w:r>
      <w:r>
        <w:rPr>
          <w:rFonts w:ascii="宋体" w:hAnsi="宋体" w:cs="Calibri"/>
          <w:b/>
          <w:bCs/>
          <w:kern w:val="0"/>
          <w:sz w:val="22"/>
        </w:rPr>
        <w:t xml:space="preserve"> </w:t>
      </w:r>
      <w:r>
        <w:rPr>
          <w:rFonts w:hint="eastAsia" w:ascii="宋体" w:hAnsi="宋体" w:cs="Calibri"/>
          <w:b/>
          <w:bCs/>
          <w:kern w:val="0"/>
          <w:sz w:val="22"/>
        </w:rPr>
        <w:t>交货</w:t>
      </w:r>
      <w:r>
        <w:rPr>
          <w:rFonts w:ascii="宋体" w:hAnsi="宋体" w:cs="Calibri"/>
          <w:b/>
          <w:bCs/>
          <w:kern w:val="0"/>
          <w:sz w:val="22"/>
        </w:rPr>
        <w:t>期</w:t>
      </w:r>
      <w:bookmarkEnd w:id="9"/>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bookmarkStart w:id="10" w:name="_Toc4199"/>
      <w:r>
        <w:rPr>
          <w:rFonts w:ascii="宋体" w:hAnsi="宋体" w:cs="Calibri"/>
          <w:b/>
          <w:bCs/>
          <w:kern w:val="0"/>
          <w:sz w:val="22"/>
        </w:rPr>
        <w:t>1.</w:t>
      </w:r>
      <w:r>
        <w:rPr>
          <w:rFonts w:hint="eastAsia" w:ascii="宋体" w:hAnsi="宋体" w:cs="Calibri"/>
          <w:b/>
          <w:bCs/>
          <w:kern w:val="0"/>
          <w:sz w:val="22"/>
          <w:lang w:val="en-US" w:eastAsia="zh-CN"/>
        </w:rPr>
        <w:t>9</w:t>
      </w:r>
      <w:r>
        <w:rPr>
          <w:rFonts w:ascii="宋体" w:hAnsi="宋体" w:cs="Calibri"/>
          <w:b/>
          <w:bCs/>
          <w:kern w:val="0"/>
          <w:sz w:val="22"/>
        </w:rPr>
        <w:t xml:space="preserve"> 投标预备会</w:t>
      </w:r>
      <w:bookmarkEnd w:id="10"/>
    </w:p>
    <w:p>
      <w:pPr>
        <w:adjustRightInd w:val="0"/>
        <w:snapToGrid w:val="0"/>
        <w:spacing w:line="40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400" w:lineRule="exact"/>
        <w:rPr>
          <w:rFonts w:ascii="宋体" w:hAnsi="宋体" w:cs="Calibri"/>
          <w:b/>
          <w:bCs/>
          <w:kern w:val="0"/>
          <w:sz w:val="22"/>
        </w:rPr>
      </w:pPr>
      <w:bookmarkStart w:id="11" w:name="_Toc4584"/>
      <w:r>
        <w:rPr>
          <w:rFonts w:ascii="宋体" w:hAnsi="宋体" w:cs="Calibri"/>
          <w:b/>
          <w:bCs/>
          <w:kern w:val="0"/>
          <w:sz w:val="22"/>
        </w:rPr>
        <w:t>1.1</w:t>
      </w:r>
      <w:r>
        <w:rPr>
          <w:rFonts w:hint="eastAsia" w:ascii="宋体" w:hAnsi="宋体" w:cs="Calibri"/>
          <w:b/>
          <w:bCs/>
          <w:kern w:val="0"/>
          <w:sz w:val="22"/>
          <w:lang w:val="en-US" w:eastAsia="zh-CN"/>
        </w:rPr>
        <w:t>0</w:t>
      </w:r>
      <w:r>
        <w:rPr>
          <w:rFonts w:ascii="宋体" w:hAnsi="宋体" w:cs="Calibri"/>
          <w:b/>
          <w:bCs/>
          <w:kern w:val="0"/>
          <w:sz w:val="22"/>
        </w:rPr>
        <w:t xml:space="preserve"> 分包</w:t>
      </w:r>
      <w:bookmarkEnd w:id="11"/>
    </w:p>
    <w:p>
      <w:pPr>
        <w:adjustRightInd w:val="0"/>
        <w:snapToGrid w:val="0"/>
        <w:spacing w:line="400" w:lineRule="exact"/>
        <w:ind w:firstLine="440" w:firstLineChars="200"/>
        <w:rPr>
          <w:rFonts w:ascii="宋体" w:hAnsi="宋体" w:cs="Calibri"/>
          <w:sz w:val="22"/>
        </w:rPr>
      </w:pPr>
      <w:r>
        <w:rPr>
          <w:rFonts w:ascii="宋体" w:hAnsi="宋体" w:cs="Calibri"/>
          <w:sz w:val="22"/>
        </w:rPr>
        <w:t>本项目不允许分包。</w:t>
      </w:r>
    </w:p>
    <w:p>
      <w:pPr>
        <w:autoSpaceDE w:val="0"/>
        <w:autoSpaceDN w:val="0"/>
        <w:adjustRightInd w:val="0"/>
        <w:snapToGrid w:val="0"/>
        <w:spacing w:line="400" w:lineRule="exact"/>
        <w:rPr>
          <w:rFonts w:ascii="宋体" w:hAnsi="宋体" w:cs="Calibri"/>
          <w:b/>
          <w:bCs/>
          <w:kern w:val="0"/>
          <w:sz w:val="22"/>
        </w:rPr>
      </w:pPr>
      <w:bookmarkStart w:id="12" w:name="_Toc3996"/>
      <w:r>
        <w:rPr>
          <w:rFonts w:ascii="宋体" w:hAnsi="宋体" w:cs="Calibri"/>
          <w:b/>
          <w:bCs/>
          <w:kern w:val="0"/>
          <w:sz w:val="22"/>
        </w:rPr>
        <w:t>1.1</w:t>
      </w:r>
      <w:r>
        <w:rPr>
          <w:rFonts w:hint="eastAsia" w:ascii="宋体" w:hAnsi="宋体" w:cs="Calibri"/>
          <w:b/>
          <w:bCs/>
          <w:kern w:val="0"/>
          <w:sz w:val="22"/>
          <w:lang w:val="en-US" w:eastAsia="zh-CN"/>
        </w:rPr>
        <w:t>1</w:t>
      </w:r>
      <w:r>
        <w:rPr>
          <w:rFonts w:hint="eastAsia" w:ascii="宋体" w:hAnsi="宋体" w:cs="Calibri"/>
          <w:b/>
          <w:bCs/>
          <w:kern w:val="0"/>
          <w:sz w:val="22"/>
        </w:rPr>
        <w:t xml:space="preserve"> </w:t>
      </w:r>
      <w:r>
        <w:rPr>
          <w:rFonts w:ascii="宋体" w:hAnsi="宋体" w:cs="Calibri"/>
          <w:b/>
          <w:bCs/>
          <w:kern w:val="0"/>
          <w:sz w:val="22"/>
        </w:rPr>
        <w:t>投标费用</w:t>
      </w:r>
      <w:bookmarkEnd w:id="12"/>
    </w:p>
    <w:p>
      <w:pPr>
        <w:adjustRightInd w:val="0"/>
        <w:snapToGrid w:val="0"/>
        <w:spacing w:line="400" w:lineRule="exact"/>
        <w:ind w:firstLine="440" w:firstLineChars="20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400" w:lineRule="exact"/>
        <w:rPr>
          <w:rFonts w:ascii="宋体" w:hAnsi="宋体" w:cs="Calibri"/>
          <w:b/>
          <w:bCs/>
          <w:kern w:val="0"/>
          <w:sz w:val="22"/>
        </w:rPr>
      </w:pPr>
      <w:bookmarkStart w:id="13" w:name="_Toc15241"/>
      <w:bookmarkStart w:id="14" w:name="_Toc143421657"/>
      <w:r>
        <w:rPr>
          <w:rFonts w:ascii="宋体" w:hAnsi="宋体" w:cs="Calibri"/>
          <w:b/>
          <w:bCs/>
          <w:kern w:val="0"/>
          <w:sz w:val="22"/>
        </w:rPr>
        <w:t>2.招标文件</w:t>
      </w:r>
      <w:bookmarkEnd w:id="13"/>
      <w:bookmarkEnd w:id="14"/>
    </w:p>
    <w:p>
      <w:pPr>
        <w:autoSpaceDE w:val="0"/>
        <w:autoSpaceDN w:val="0"/>
        <w:adjustRightInd w:val="0"/>
        <w:snapToGrid w:val="0"/>
        <w:spacing w:line="400" w:lineRule="exact"/>
        <w:rPr>
          <w:rFonts w:ascii="宋体" w:hAnsi="宋体" w:cs="Calibri"/>
          <w:b/>
          <w:bCs/>
          <w:kern w:val="0"/>
          <w:sz w:val="22"/>
        </w:rPr>
      </w:pPr>
      <w:bookmarkStart w:id="15" w:name="_Toc1426"/>
      <w:r>
        <w:rPr>
          <w:rFonts w:ascii="宋体" w:hAnsi="宋体" w:cs="Calibri"/>
          <w:b/>
          <w:bCs/>
          <w:kern w:val="0"/>
          <w:sz w:val="22"/>
        </w:rPr>
        <w:t>2.1 招标文件的组成</w:t>
      </w:r>
      <w:bookmarkEnd w:id="15"/>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本招标文件包括：</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（1）招标公告</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（2）投标人须知</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（3）合同</w:t>
      </w:r>
      <w:r>
        <w:rPr>
          <w:rFonts w:hint="eastAsia" w:ascii="宋体" w:hAnsi="宋体" w:cs="Calibri"/>
          <w:kern w:val="0"/>
          <w:sz w:val="22"/>
        </w:rPr>
        <w:t>条款</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（4）货物需求一览表及技术规格</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（5）投标文件格式</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（6）评标办法</w:t>
      </w:r>
    </w:p>
    <w:p>
      <w:pPr>
        <w:adjustRightInd w:val="0"/>
        <w:snapToGrid w:val="0"/>
        <w:spacing w:line="400" w:lineRule="exact"/>
        <w:ind w:firstLine="440" w:firstLineChars="20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400" w:lineRule="exact"/>
        <w:rPr>
          <w:rFonts w:ascii="宋体" w:hAnsi="宋体" w:cs="Calibri"/>
          <w:b/>
          <w:bCs/>
          <w:kern w:val="0"/>
          <w:sz w:val="22"/>
        </w:rPr>
      </w:pPr>
      <w:bookmarkStart w:id="16" w:name="_Toc18230"/>
      <w:r>
        <w:rPr>
          <w:rFonts w:ascii="宋体" w:hAnsi="宋体" w:cs="Calibri"/>
          <w:b/>
          <w:bCs/>
          <w:kern w:val="0"/>
          <w:sz w:val="22"/>
        </w:rPr>
        <w:t>2.2 招标文件的澄清</w:t>
      </w:r>
      <w:bookmarkEnd w:id="16"/>
    </w:p>
    <w:p>
      <w:pPr>
        <w:adjustRightInd w:val="0"/>
        <w:snapToGrid w:val="0"/>
        <w:spacing w:line="400" w:lineRule="exact"/>
        <w:ind w:firstLine="440" w:firstLineChars="200"/>
        <w:rPr>
          <w:rFonts w:ascii="宋体" w:hAnsi="宋体" w:cs="Calibri"/>
          <w:sz w:val="22"/>
        </w:rPr>
      </w:pPr>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400" w:lineRule="exact"/>
        <w:ind w:firstLine="440" w:firstLineChars="200"/>
        <w:rPr>
          <w:rFonts w:ascii="宋体" w:hAnsi="宋体" w:cs="Calibri"/>
          <w:sz w:val="22"/>
        </w:rPr>
      </w:pPr>
      <w:r>
        <w:rPr>
          <w:rFonts w:ascii="宋体" w:hAnsi="宋体" w:cs="Calibri"/>
          <w:sz w:val="22"/>
        </w:rPr>
        <w:t>2.2.2</w:t>
      </w:r>
      <w:r>
        <w:rPr>
          <w:rFonts w:ascii="宋体" w:hAnsi="宋体" w:cs="Calibri"/>
          <w:kern w:val="0"/>
          <w:sz w:val="22"/>
        </w:rPr>
        <w:t>招标人的澄清文件将于投标截止日前以书面形式通知所有购买招标文件的投标人。如招标人的澄清内容可能影响投标文件编制的，招标人将在投标截止时间至少</w:t>
      </w:r>
      <w:r>
        <w:rPr>
          <w:rFonts w:hint="eastAsia" w:ascii="宋体" w:hAnsi="宋体" w:cs="Calibri"/>
          <w:kern w:val="0"/>
          <w:sz w:val="22"/>
        </w:rPr>
        <w:t>3</w:t>
      </w:r>
      <w:r>
        <w:rPr>
          <w:rFonts w:ascii="宋体" w:hAnsi="宋体" w:cs="Calibri"/>
          <w:kern w:val="0"/>
          <w:sz w:val="22"/>
        </w:rPr>
        <w:t>日前，以书面形式通知所有购买招标文件的投标人，不足</w:t>
      </w:r>
      <w:r>
        <w:rPr>
          <w:rFonts w:hint="eastAsia" w:ascii="宋体" w:hAnsi="宋体" w:cs="Calibri"/>
          <w:kern w:val="0"/>
          <w:sz w:val="22"/>
        </w:rPr>
        <w:t>3</w:t>
      </w:r>
      <w:r>
        <w:rPr>
          <w:rFonts w:ascii="宋体" w:hAnsi="宋体" w:cs="Calibri"/>
          <w:kern w:val="0"/>
          <w:sz w:val="22"/>
        </w:rPr>
        <w:t>日的，招标人将顺延提交投标文件的截止时间。</w:t>
      </w:r>
    </w:p>
    <w:p>
      <w:pPr>
        <w:adjustRightInd w:val="0"/>
        <w:snapToGrid w:val="0"/>
        <w:spacing w:line="400" w:lineRule="exact"/>
        <w:ind w:firstLine="440" w:firstLineChars="200"/>
        <w:rPr>
          <w:rFonts w:ascii="宋体" w:hAnsi="宋体" w:cs="Calibri"/>
          <w:sz w:val="22"/>
        </w:rPr>
      </w:pPr>
      <w:r>
        <w:rPr>
          <w:rFonts w:ascii="宋体" w:hAnsi="宋体" w:cs="Calibri"/>
          <w:sz w:val="22"/>
        </w:rPr>
        <w:t>2.2.3投标人在收到澄清后，应在投标人须知前附表规定的时间内以书面形式通知招标代理机构，确认已收到该澄清。</w:t>
      </w:r>
    </w:p>
    <w:p>
      <w:pPr>
        <w:autoSpaceDE w:val="0"/>
        <w:autoSpaceDN w:val="0"/>
        <w:adjustRightInd w:val="0"/>
        <w:snapToGrid w:val="0"/>
        <w:spacing w:line="400" w:lineRule="exact"/>
        <w:rPr>
          <w:rFonts w:ascii="宋体" w:hAnsi="宋体" w:cs="Calibri"/>
          <w:b/>
          <w:bCs/>
          <w:kern w:val="0"/>
          <w:sz w:val="22"/>
        </w:rPr>
      </w:pPr>
      <w:bookmarkStart w:id="17" w:name="_Toc18303"/>
      <w:r>
        <w:rPr>
          <w:rFonts w:ascii="宋体" w:hAnsi="宋体" w:cs="Calibri"/>
          <w:b/>
          <w:bCs/>
          <w:kern w:val="0"/>
          <w:sz w:val="22"/>
        </w:rPr>
        <w:t>2.3 招标文件的修改</w:t>
      </w:r>
      <w:bookmarkEnd w:id="17"/>
    </w:p>
    <w:p>
      <w:pPr>
        <w:adjustRightInd w:val="0"/>
        <w:snapToGrid w:val="0"/>
        <w:spacing w:line="400" w:lineRule="exact"/>
        <w:ind w:firstLine="440" w:firstLineChars="200"/>
        <w:rPr>
          <w:rFonts w:ascii="宋体" w:hAnsi="宋体" w:cs="Calibri"/>
          <w:sz w:val="22"/>
        </w:rPr>
      </w:pPr>
      <w:r>
        <w:rPr>
          <w:rFonts w:ascii="宋体" w:hAnsi="宋体" w:cs="Calibri"/>
          <w:kern w:val="0"/>
          <w:sz w:val="22"/>
        </w:rPr>
        <w:t>2.3.1招标人在投标截止日前可以对已发出的招标文件进行必要的修改，并以书面形式通知所有购买招标文件的投标人。如修改的内容可能影响投标文件编制的，招标人将在投标截止时间至少</w:t>
      </w:r>
      <w:r>
        <w:rPr>
          <w:rFonts w:hint="eastAsia" w:ascii="宋体" w:hAnsi="宋体" w:cs="Calibri"/>
          <w:kern w:val="0"/>
          <w:sz w:val="22"/>
        </w:rPr>
        <w:t>3</w:t>
      </w:r>
      <w:r>
        <w:rPr>
          <w:rFonts w:ascii="宋体" w:hAnsi="宋体" w:cs="Calibri"/>
          <w:kern w:val="0"/>
          <w:sz w:val="22"/>
        </w:rPr>
        <w:t>日前，以书面形式通知所有购买招标文件的投标人，不足</w:t>
      </w:r>
      <w:r>
        <w:rPr>
          <w:rFonts w:hint="eastAsia" w:ascii="宋体" w:hAnsi="宋体" w:cs="Calibri"/>
          <w:kern w:val="0"/>
          <w:sz w:val="22"/>
        </w:rPr>
        <w:t>3</w:t>
      </w:r>
      <w:r>
        <w:rPr>
          <w:rFonts w:ascii="宋体" w:hAnsi="宋体" w:cs="Calibri"/>
          <w:kern w:val="0"/>
          <w:sz w:val="22"/>
        </w:rPr>
        <w:t>日的，招标人将顺延提交投标文件的截止时间。</w:t>
      </w:r>
    </w:p>
    <w:p>
      <w:pPr>
        <w:adjustRightInd w:val="0"/>
        <w:snapToGrid w:val="0"/>
        <w:spacing w:line="400" w:lineRule="exact"/>
        <w:ind w:firstLine="440" w:firstLineChars="200"/>
        <w:rPr>
          <w:rFonts w:ascii="宋体" w:hAnsi="宋体" w:cs="Calibri"/>
          <w:sz w:val="22"/>
        </w:rPr>
      </w:pPr>
      <w:r>
        <w:rPr>
          <w:rFonts w:ascii="宋体" w:hAnsi="宋体" w:cs="Calibri"/>
          <w:sz w:val="22"/>
        </w:rPr>
        <w:t>2.3.2投标人收到修改内容后，应在投标人须知前附表规定的时间内以书面形式通知招标人，确认已收到该修改。</w:t>
      </w:r>
    </w:p>
    <w:p>
      <w:pPr>
        <w:autoSpaceDE w:val="0"/>
        <w:autoSpaceDN w:val="0"/>
        <w:adjustRightInd w:val="0"/>
        <w:snapToGrid w:val="0"/>
        <w:spacing w:line="40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40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400" w:lineRule="exact"/>
        <w:ind w:firstLine="440" w:firstLineChars="20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3.1.4招标文件中所指的“合同”除特别说明外，指 “销售合同”。</w:t>
      </w:r>
    </w:p>
    <w:p>
      <w:pPr>
        <w:autoSpaceDE w:val="0"/>
        <w:autoSpaceDN w:val="0"/>
        <w:adjustRightInd w:val="0"/>
        <w:snapToGrid w:val="0"/>
        <w:spacing w:line="40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400" w:lineRule="exact"/>
        <w:ind w:firstLine="440" w:firstLineChars="200"/>
        <w:rPr>
          <w:rFonts w:ascii="宋体" w:hAnsi="宋体" w:cs="Calibri"/>
          <w:sz w:val="22"/>
        </w:rPr>
      </w:pPr>
      <w:bookmarkStart w:id="22" w:name="_Toc32225"/>
      <w:r>
        <w:rPr>
          <w:rFonts w:ascii="宋体" w:hAnsi="宋体" w:cs="Calibri"/>
          <w:sz w:val="22"/>
        </w:rPr>
        <w:t>3.2.1投标函；</w:t>
      </w:r>
    </w:p>
    <w:p>
      <w:pPr>
        <w:adjustRightInd w:val="0"/>
        <w:snapToGrid w:val="0"/>
        <w:spacing w:line="400" w:lineRule="exact"/>
        <w:ind w:firstLine="440" w:firstLineChars="200"/>
        <w:rPr>
          <w:rFonts w:ascii="宋体" w:hAnsi="宋体" w:cs="Calibri"/>
          <w:sz w:val="22"/>
        </w:rPr>
      </w:pPr>
      <w:r>
        <w:rPr>
          <w:rFonts w:ascii="宋体" w:hAnsi="宋体" w:cs="Calibri"/>
          <w:sz w:val="22"/>
        </w:rPr>
        <w:t>3.2.2法定代表人授权委托书；</w:t>
      </w:r>
    </w:p>
    <w:p>
      <w:pPr>
        <w:adjustRightInd w:val="0"/>
        <w:snapToGrid w:val="0"/>
        <w:spacing w:line="400" w:lineRule="exact"/>
        <w:ind w:firstLine="440" w:firstLineChars="200"/>
        <w:rPr>
          <w:rFonts w:ascii="宋体" w:hAnsi="宋体" w:cs="Calibri"/>
          <w:sz w:val="22"/>
        </w:rPr>
      </w:pPr>
      <w:r>
        <w:rPr>
          <w:rFonts w:ascii="宋体" w:hAnsi="宋体" w:cs="Calibri"/>
          <w:sz w:val="22"/>
        </w:rPr>
        <w:t>3.2.3</w:t>
      </w:r>
      <w:r>
        <w:rPr>
          <w:rFonts w:hint="eastAsia" w:ascii="宋体" w:hAnsi="宋体" w:cs="Calibri"/>
          <w:sz w:val="22"/>
        </w:rPr>
        <w:t>投标保证金</w:t>
      </w:r>
      <w:r>
        <w:rPr>
          <w:rFonts w:ascii="宋体" w:hAnsi="宋体" w:cs="Calibri"/>
          <w:sz w:val="22"/>
        </w:rPr>
        <w:t>；</w:t>
      </w:r>
    </w:p>
    <w:p>
      <w:pPr>
        <w:adjustRightInd w:val="0"/>
        <w:snapToGrid w:val="0"/>
        <w:spacing w:line="400" w:lineRule="exact"/>
        <w:ind w:firstLine="440" w:firstLineChars="200"/>
        <w:rPr>
          <w:rFonts w:ascii="宋体" w:hAnsi="宋体" w:cs="Calibri"/>
          <w:sz w:val="22"/>
        </w:rPr>
      </w:pPr>
      <w:r>
        <w:rPr>
          <w:rFonts w:ascii="宋体" w:hAnsi="宋体" w:cs="Calibri"/>
          <w:sz w:val="22"/>
        </w:rPr>
        <w:t>3.2.4投标报价表；</w:t>
      </w:r>
    </w:p>
    <w:p>
      <w:pPr>
        <w:adjustRightInd w:val="0"/>
        <w:snapToGrid w:val="0"/>
        <w:spacing w:line="400" w:lineRule="exact"/>
        <w:ind w:firstLine="440" w:firstLineChars="200"/>
        <w:rPr>
          <w:rFonts w:ascii="宋体" w:hAnsi="宋体" w:cs="Calibri"/>
          <w:sz w:val="22"/>
        </w:rPr>
      </w:pPr>
      <w:r>
        <w:rPr>
          <w:rFonts w:ascii="宋体" w:hAnsi="宋体" w:cs="Calibri"/>
          <w:sz w:val="22"/>
        </w:rPr>
        <w:t>3.2.5投标人资格证明文件</w:t>
      </w:r>
      <w:r>
        <w:rPr>
          <w:rFonts w:hint="eastAsia" w:ascii="宋体" w:hAnsi="宋体" w:cs="Calibri"/>
          <w:sz w:val="22"/>
        </w:rPr>
        <w:t>（以下证明文件附复印件，原件备查）</w:t>
      </w:r>
      <w:r>
        <w:rPr>
          <w:rFonts w:ascii="宋体" w:hAnsi="宋体" w:cs="Calibri"/>
          <w:sz w:val="22"/>
        </w:rPr>
        <w:t>：</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表（附营业执照、税务登记证、</w:t>
      </w:r>
      <w:r>
        <w:rPr>
          <w:rFonts w:ascii="宋体" w:hAnsi="宋体" w:cs="Calibri"/>
          <w:sz w:val="22"/>
        </w:rPr>
        <w:t>一般纳税人证明材料</w:t>
      </w:r>
      <w:r>
        <w:rPr>
          <w:rFonts w:hint="eastAsia" w:ascii="宋体" w:hAnsi="宋体" w:cs="Calibri"/>
          <w:sz w:val="22"/>
        </w:rPr>
        <w:t>等）</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（2）制造商资格声明</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w:t>
      </w:r>
      <w:r>
        <w:rPr>
          <w:rFonts w:ascii="宋体" w:hAnsi="宋体" w:cs="Calibri"/>
          <w:sz w:val="22"/>
        </w:rPr>
        <w:t>设备制造商针对本项目的唯一授权书</w:t>
      </w:r>
      <w:r>
        <w:rPr>
          <w:rFonts w:hint="eastAsia" w:ascii="宋体" w:hAnsi="宋体" w:cs="Calibri"/>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（4）拟投产品</w:t>
      </w:r>
      <w:r>
        <w:rPr>
          <w:rFonts w:ascii="宋体" w:hAnsi="宋体" w:cs="Calibri"/>
          <w:sz w:val="22"/>
        </w:rPr>
        <w:t>201</w:t>
      </w:r>
      <w:r>
        <w:rPr>
          <w:rFonts w:hint="eastAsia" w:ascii="宋体" w:hAnsi="宋体" w:cs="Calibri"/>
          <w:sz w:val="22"/>
          <w:lang w:val="en-US" w:eastAsia="zh-CN"/>
        </w:rPr>
        <w:t>4</w:t>
      </w:r>
      <w:r>
        <w:rPr>
          <w:rFonts w:ascii="宋体" w:hAnsi="宋体" w:cs="Calibri"/>
          <w:sz w:val="22"/>
        </w:rPr>
        <w:t>年以来</w:t>
      </w:r>
      <w:r>
        <w:rPr>
          <w:rFonts w:hint="eastAsia" w:ascii="宋体" w:hAnsi="宋体" w:cs="Calibri"/>
          <w:sz w:val="22"/>
        </w:rPr>
        <w:t>的销售业绩一览表（附业绩的销售合同）</w:t>
      </w:r>
    </w:p>
    <w:p>
      <w:pPr>
        <w:adjustRightInd w:val="0"/>
        <w:snapToGrid w:val="0"/>
        <w:spacing w:line="400" w:lineRule="exact"/>
        <w:ind w:firstLine="440" w:firstLineChars="20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3.2.7 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3.2.8设备供货范围（包括设备数量、型号规格、产地、品牌），进口零部件详细清单（需说明产地、品牌）；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3.2.10主要原材料及部件性能和生产厂家；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3.2.11产品制造、安装、验收标准和验收方法；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3.2.12</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3.2.13关于质量保证期的说明；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3.2.14优惠条件：投标人承诺给予用户的其他优惠条款，包括付款条件、培训服务、质量保证期等方面的优惠；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3.2.15与评标有关的其他技术资料。</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400" w:lineRule="exact"/>
        <w:ind w:firstLine="440" w:firstLineChars="20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400" w:lineRule="exact"/>
        <w:ind w:firstLine="440" w:firstLineChars="200"/>
        <w:rPr>
          <w:rFonts w:ascii="宋体" w:hAnsi="宋体" w:cs="Calibri"/>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w:t>
      </w:r>
      <w:r>
        <w:rPr>
          <w:rFonts w:ascii="宋体" w:hAnsi="宋体" w:cs="宋体"/>
          <w:sz w:val="22"/>
        </w:rPr>
        <w:t>，包括设备的供应、安装、调试、检验、通过验收，质保期内设备的维保、维修及所需随机备品备件、易损件、专用工具，及国家规定的税费、运输费、保险费等全过程产生的所有成本和费用以及一切税费</w:t>
      </w:r>
      <w:r>
        <w:rPr>
          <w:rFonts w:ascii="宋体" w:hAnsi="宋体" w:cs="Calibri"/>
          <w:sz w:val="22"/>
        </w:rPr>
        <w:t>；</w:t>
      </w:r>
    </w:p>
    <w:p>
      <w:pPr>
        <w:adjustRightInd w:val="0"/>
        <w:snapToGrid w:val="0"/>
        <w:spacing w:line="400" w:lineRule="exact"/>
        <w:ind w:firstLine="440" w:firstLineChars="20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400" w:lineRule="exact"/>
        <w:ind w:firstLine="440" w:firstLineChars="20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400" w:lineRule="exact"/>
        <w:ind w:firstLine="440" w:firstLineChars="200"/>
        <w:rPr>
          <w:rFonts w:ascii="宋体" w:hAnsi="宋体" w:cs="Calibri"/>
          <w:sz w:val="22"/>
        </w:rPr>
      </w:pPr>
      <w:r>
        <w:rPr>
          <w:rFonts w:ascii="宋体" w:hAnsi="宋体" w:cs="Calibri"/>
          <w:sz w:val="22"/>
        </w:rPr>
        <w:t>3.3.</w:t>
      </w:r>
      <w:r>
        <w:rPr>
          <w:rFonts w:hint="eastAsia" w:ascii="宋体" w:hAnsi="宋体" w:cs="Calibri"/>
          <w:sz w:val="22"/>
        </w:rPr>
        <w:t>5</w:t>
      </w:r>
      <w:r>
        <w:rPr>
          <w:rFonts w:hint="eastAsia" w:ascii="宋体" w:hAnsi="宋体" w:cs="宋体"/>
          <w:sz w:val="22"/>
        </w:rPr>
        <w:t>投标人所报的投标单价在合同执行过程中是固定不变的，不得以任何理由予以变更，投标人应充分考虑各种风险因素；</w:t>
      </w:r>
    </w:p>
    <w:p>
      <w:pPr>
        <w:adjustRightInd w:val="0"/>
        <w:snapToGrid w:val="0"/>
        <w:spacing w:line="400" w:lineRule="exact"/>
        <w:ind w:firstLine="440" w:firstLineChars="200"/>
        <w:rPr>
          <w:rFonts w:ascii="宋体" w:hAnsi="宋体" w:cs="Calibri"/>
          <w:sz w:val="22"/>
        </w:rPr>
      </w:pPr>
      <w:r>
        <w:rPr>
          <w:rFonts w:ascii="宋体" w:hAnsi="宋体" w:cs="Calibri"/>
          <w:sz w:val="22"/>
        </w:rPr>
        <w:t>3.3.</w:t>
      </w:r>
      <w:r>
        <w:rPr>
          <w:rFonts w:hint="eastAsia" w:ascii="宋体" w:hAnsi="宋体" w:cs="Calibri"/>
          <w:sz w:val="22"/>
        </w:rPr>
        <w:t>6投标人(如中标)在投标文件中提供的货物清单和报价将是签订合同的唯一依据，其报价在本次投标有效期内不能发生改变。如有改变，招标人将拒绝与其签订合同。</w:t>
      </w:r>
    </w:p>
    <w:p>
      <w:pPr>
        <w:adjustRightInd w:val="0"/>
        <w:snapToGrid w:val="0"/>
        <w:spacing w:line="400" w:lineRule="exact"/>
        <w:ind w:firstLine="440" w:firstLineChars="200"/>
        <w:rPr>
          <w:rFonts w:ascii="宋体" w:hAnsi="宋体" w:cs="Calibri"/>
          <w:sz w:val="22"/>
        </w:rPr>
      </w:pPr>
      <w:r>
        <w:rPr>
          <w:rFonts w:ascii="宋体" w:hAnsi="宋体" w:cs="Calibri"/>
          <w:sz w:val="22"/>
        </w:rPr>
        <w:t>3.3.</w:t>
      </w:r>
      <w:r>
        <w:rPr>
          <w:rFonts w:hint="eastAsia" w:ascii="宋体" w:hAnsi="宋体" w:cs="Calibri"/>
          <w:sz w:val="22"/>
        </w:rPr>
        <w:t>7投标人对每种货物只允许有一个报价。</w:t>
      </w:r>
    </w:p>
    <w:p>
      <w:pPr>
        <w:adjustRightInd w:val="0"/>
        <w:snapToGrid w:val="0"/>
        <w:spacing w:line="400" w:lineRule="exact"/>
        <w:ind w:firstLine="440" w:firstLineChars="200"/>
        <w:rPr>
          <w:rFonts w:ascii="宋体" w:hAnsi="宋体" w:cs="Calibri"/>
          <w:sz w:val="22"/>
        </w:rPr>
      </w:pPr>
      <w:r>
        <w:rPr>
          <w:rFonts w:ascii="宋体" w:hAnsi="宋体" w:cs="Calibri"/>
          <w:sz w:val="22"/>
        </w:rPr>
        <w:t>3.3.</w:t>
      </w:r>
      <w:r>
        <w:rPr>
          <w:rFonts w:hint="eastAsia" w:ascii="宋体" w:hAnsi="宋体" w:cs="Calibri"/>
          <w:sz w:val="22"/>
        </w:rPr>
        <w:t>8招标人不接受任何折扣优惠报价，不接受任何赠送和选择性报价。</w:t>
      </w:r>
    </w:p>
    <w:p>
      <w:pPr>
        <w:adjustRightInd w:val="0"/>
        <w:snapToGrid w:val="0"/>
        <w:spacing w:line="400" w:lineRule="exact"/>
        <w:ind w:firstLine="440" w:firstLineChars="200"/>
        <w:rPr>
          <w:rFonts w:ascii="宋体" w:hAnsi="宋体" w:cs="Calibri"/>
          <w:sz w:val="22"/>
        </w:rPr>
      </w:pPr>
      <w:r>
        <w:rPr>
          <w:rFonts w:ascii="宋体" w:hAnsi="宋体" w:cs="Calibri"/>
          <w:sz w:val="22"/>
        </w:rPr>
        <w:t>3.3.</w:t>
      </w:r>
      <w:r>
        <w:rPr>
          <w:rFonts w:hint="eastAsia" w:ascii="宋体" w:hAnsi="宋体" w:cs="Calibri"/>
          <w:sz w:val="22"/>
        </w:rPr>
        <w:t>9所有根据合同或其它原因应由投标人支付的税款和其它应交纳的费用都要包括在投标人提交的投标价格中。</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3.3.10其它须在报价中考虑的因素：</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40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五</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3.5.2招标人与中标人签订合同书后5个工作日内，应当向未中标的投标人和中标人</w:t>
      </w:r>
      <w:r>
        <w:rPr>
          <w:rFonts w:hint="eastAsia" w:ascii="宋体" w:hAnsi="宋体"/>
          <w:sz w:val="22"/>
        </w:rPr>
        <w:t>附息</w:t>
      </w:r>
      <w:r>
        <w:rPr>
          <w:rFonts w:ascii="宋体" w:hAnsi="宋体" w:cs="Calibri"/>
          <w:kern w:val="0"/>
          <w:sz w:val="22"/>
        </w:rPr>
        <w:t>退还投标保证金。</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400" w:lineRule="exact"/>
        <w:ind w:firstLine="440" w:firstLineChars="20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无正当理由拒签合同或未按招标文件规定提交履约</w:t>
      </w:r>
      <w:r>
        <w:rPr>
          <w:rFonts w:hint="eastAsia" w:ascii="宋体" w:hAnsi="宋体" w:cs="Calibri"/>
          <w:sz w:val="22"/>
        </w:rPr>
        <w:t>保证金</w:t>
      </w:r>
      <w:r>
        <w:rPr>
          <w:rFonts w:ascii="宋体" w:hAnsi="宋体" w:cs="Calibri"/>
          <w:sz w:val="22"/>
        </w:rPr>
        <w:t>的；</w:t>
      </w:r>
    </w:p>
    <w:p>
      <w:pPr>
        <w:adjustRightInd w:val="0"/>
        <w:snapToGrid w:val="0"/>
        <w:spacing w:line="400" w:lineRule="exact"/>
        <w:ind w:firstLine="440" w:firstLineChars="200"/>
        <w:rPr>
          <w:rFonts w:ascii="宋体" w:hAnsi="宋体" w:cs="Calibri"/>
          <w:kern w:val="0"/>
          <w:sz w:val="22"/>
        </w:rPr>
      </w:pPr>
      <w:r>
        <w:rPr>
          <w:rFonts w:hint="eastAsia" w:ascii="宋体" w:hAnsi="宋体" w:cs="Calibri"/>
          <w:kern w:val="0"/>
          <w:sz w:val="22"/>
        </w:rPr>
        <w:t>（3）中标人未按规定缴纳招标代理服务费的。</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40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400" w:lineRule="exact"/>
        <w:ind w:firstLine="440" w:firstLineChars="20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五</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400" w:lineRule="exact"/>
        <w:ind w:firstLine="440" w:firstLineChars="20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400" w:lineRule="exact"/>
        <w:ind w:firstLine="440" w:firstLineChars="20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400" w:lineRule="exact"/>
        <w:ind w:firstLine="440" w:firstLineChars="20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400" w:lineRule="exact"/>
        <w:ind w:firstLine="440" w:firstLineChars="20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40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40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400" w:lineRule="exact"/>
        <w:ind w:firstLine="440" w:firstLineChars="20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400" w:lineRule="exact"/>
        <w:ind w:firstLine="440" w:firstLineChars="20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400" w:lineRule="exact"/>
        <w:ind w:firstLine="440" w:firstLineChars="20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4.1.3</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40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40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400" w:lineRule="exact"/>
        <w:ind w:firstLine="440" w:firstLineChars="20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400" w:lineRule="exact"/>
        <w:ind w:firstLine="440" w:firstLineChars="20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400" w:lineRule="exact"/>
        <w:ind w:firstLine="440" w:firstLineChars="20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40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40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40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400" w:lineRule="exact"/>
        <w:ind w:firstLine="440" w:firstLineChars="20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p>
    <w:p>
      <w:pPr>
        <w:adjustRightInd w:val="0"/>
        <w:snapToGrid w:val="0"/>
        <w:spacing w:line="400" w:lineRule="exact"/>
        <w:ind w:firstLine="440" w:firstLineChars="200"/>
        <w:rPr>
          <w:rFonts w:ascii="宋体" w:hAnsi="宋体" w:cs="Calibri"/>
          <w:sz w:val="22"/>
        </w:rPr>
      </w:pPr>
      <w:r>
        <w:rPr>
          <w:rFonts w:ascii="宋体" w:hAnsi="宋体" w:cs="Calibri"/>
          <w:sz w:val="22"/>
        </w:rPr>
        <w:t>5.1.2投标人在投标时应随身携带下列资料提交招标代理机构</w:t>
      </w:r>
    </w:p>
    <w:p>
      <w:pPr>
        <w:adjustRightInd w:val="0"/>
        <w:snapToGrid w:val="0"/>
        <w:spacing w:line="400" w:lineRule="exact"/>
        <w:ind w:firstLine="440" w:firstLineChars="20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40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40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主持人按下列程序进行开标：</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（1）宣布开标纪律；</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40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40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40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40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评标委员会按照第六章“评标方法”对投标文件进行评审。第六章“评标方法”没有规定的方法、评审因素和标准，不作为评标依据。</w:t>
      </w:r>
    </w:p>
    <w:p>
      <w:pPr>
        <w:autoSpaceDE w:val="0"/>
        <w:autoSpaceDN w:val="0"/>
        <w:adjustRightInd w:val="0"/>
        <w:snapToGrid w:val="0"/>
        <w:spacing w:line="40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40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400" w:lineRule="exact"/>
        <w:ind w:firstLine="440" w:firstLineChars="20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40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40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40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400" w:lineRule="exact"/>
        <w:ind w:firstLine="440" w:firstLineChars="200"/>
        <w:rPr>
          <w:rFonts w:ascii="宋体" w:hAnsi="宋体" w:cs="Calibri"/>
          <w:kern w:val="0"/>
          <w:sz w:val="22"/>
        </w:rPr>
      </w:pPr>
      <w:r>
        <w:rPr>
          <w:rFonts w:ascii="宋体" w:hAnsi="宋体" w:cs="Calibri"/>
          <w:sz w:val="22"/>
        </w:rPr>
        <w:t>7</w:t>
      </w:r>
      <w:bookmarkStart w:id="43" w:name="_Toc219809801"/>
      <w:bookmarkStart w:id="44" w:name="_Toc22012324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销售合同</w:t>
      </w:r>
      <w:r>
        <w:rPr>
          <w:rFonts w:ascii="宋体" w:hAnsi="宋体" w:cs="Calibri"/>
          <w:kern w:val="0"/>
          <w:sz w:val="22"/>
        </w:rPr>
        <w:t>（合同格式按第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w:t>
      </w:r>
      <w:r>
        <w:rPr>
          <w:rFonts w:hint="eastAsia" w:ascii="宋体" w:hAnsi="宋体" w:cs="Calibri"/>
          <w:kern w:val="0"/>
          <w:sz w:val="22"/>
        </w:rPr>
        <w:t>条款”</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400" w:lineRule="exact"/>
        <w:rPr>
          <w:rFonts w:ascii="宋体" w:hAnsi="宋体" w:cs="Calibri"/>
          <w:b/>
          <w:bCs/>
          <w:kern w:val="0"/>
          <w:sz w:val="22"/>
        </w:rPr>
      </w:pPr>
      <w:bookmarkStart w:id="46" w:name="_Toc219809802"/>
      <w:bookmarkStart w:id="47" w:name="_Toc220123242"/>
      <w:bookmarkStart w:id="48" w:name="_Toc15553"/>
      <w:r>
        <w:rPr>
          <w:rFonts w:ascii="宋体" w:hAnsi="宋体" w:cs="Calibri"/>
          <w:b/>
          <w:bCs/>
          <w:kern w:val="0"/>
          <w:sz w:val="22"/>
        </w:rPr>
        <w:t>8.1 重新招标</w:t>
      </w:r>
      <w:bookmarkEnd w:id="46"/>
      <w:bookmarkEnd w:id="47"/>
      <w:bookmarkEnd w:id="48"/>
    </w:p>
    <w:p>
      <w:pPr>
        <w:adjustRightInd w:val="0"/>
        <w:snapToGrid w:val="0"/>
        <w:spacing w:line="400" w:lineRule="exact"/>
        <w:ind w:firstLine="440" w:firstLineChars="200"/>
        <w:rPr>
          <w:rFonts w:ascii="宋体" w:hAnsi="宋体" w:cs="Calibri"/>
          <w:sz w:val="22"/>
        </w:rPr>
      </w:pPr>
      <w:r>
        <w:rPr>
          <w:rFonts w:ascii="宋体" w:hAnsi="宋体" w:cs="Calibri"/>
          <w:sz w:val="22"/>
        </w:rPr>
        <w:t>有下列情形之一的，招标人将重新招标；</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400" w:lineRule="exact"/>
        <w:ind w:firstLine="440" w:firstLineChars="200"/>
        <w:rPr>
          <w:rFonts w:ascii="宋体" w:hAnsi="宋体" w:cs="Calibri"/>
          <w:kern w:val="0"/>
          <w:sz w:val="22"/>
        </w:rPr>
      </w:pPr>
      <w:r>
        <w:rPr>
          <w:rFonts w:ascii="宋体" w:hAnsi="宋体" w:cs="Calibri"/>
          <w:kern w:val="0"/>
          <w:sz w:val="22"/>
        </w:rPr>
        <w:t>（2）</w:t>
      </w:r>
      <w:r>
        <w:rPr>
          <w:rFonts w:hint="eastAsia" w:ascii="宋体" w:hAnsi="宋体" w:cs="Calibri"/>
          <w:kern w:val="0"/>
          <w:sz w:val="22"/>
        </w:rPr>
        <w:t>经评标委员会评审后，有效投标人数量少于3个并认定不具有充分竞争性的；</w:t>
      </w:r>
    </w:p>
    <w:p>
      <w:pPr>
        <w:adjustRightInd w:val="0"/>
        <w:snapToGrid w:val="0"/>
        <w:spacing w:line="400" w:lineRule="exact"/>
        <w:ind w:firstLine="440" w:firstLineChars="20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400" w:lineRule="exact"/>
        <w:rPr>
          <w:rFonts w:ascii="宋体" w:hAnsi="宋体" w:cs="Calibri"/>
          <w:b/>
          <w:bCs/>
          <w:kern w:val="0"/>
          <w:sz w:val="22"/>
        </w:rPr>
      </w:pPr>
      <w:bookmarkStart w:id="49" w:name="_Toc18806"/>
      <w:bookmarkStart w:id="50" w:name="_Toc220123243"/>
      <w:bookmarkStart w:id="51" w:name="_Toc219809803"/>
      <w:r>
        <w:rPr>
          <w:rFonts w:ascii="宋体" w:hAnsi="宋体" w:cs="Calibri"/>
          <w:b/>
          <w:bCs/>
          <w:kern w:val="0"/>
          <w:sz w:val="22"/>
        </w:rPr>
        <w:t>8.2 不再招标</w:t>
      </w:r>
      <w:bookmarkEnd w:id="49"/>
      <w:bookmarkEnd w:id="50"/>
      <w:bookmarkEnd w:id="51"/>
    </w:p>
    <w:p>
      <w:pPr>
        <w:adjustRightInd w:val="0"/>
        <w:snapToGrid w:val="0"/>
        <w:spacing w:line="400" w:lineRule="exact"/>
        <w:ind w:firstLine="440" w:firstLineChars="20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400" w:lineRule="exact"/>
        <w:rPr>
          <w:rFonts w:ascii="宋体" w:hAnsi="宋体" w:cs="Calibri"/>
          <w:b/>
          <w:bCs/>
          <w:kern w:val="0"/>
          <w:sz w:val="22"/>
        </w:rPr>
      </w:pPr>
      <w:bookmarkStart w:id="52" w:name="_Toc215941254"/>
      <w:bookmarkStart w:id="53" w:name="_Toc220123244"/>
      <w:bookmarkStart w:id="54" w:name="_Toc2986"/>
      <w:bookmarkStart w:id="55" w:name="_Toc21980980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400" w:lineRule="exact"/>
        <w:rPr>
          <w:rFonts w:ascii="宋体" w:hAnsi="宋体" w:cs="Calibri"/>
          <w:b/>
          <w:bCs/>
          <w:kern w:val="0"/>
          <w:sz w:val="22"/>
        </w:rPr>
      </w:pPr>
      <w:bookmarkStart w:id="56" w:name="_Toc219809805"/>
      <w:bookmarkStart w:id="57" w:name="_Toc5509"/>
      <w:bookmarkStart w:id="58" w:name="_Toc220123245"/>
      <w:r>
        <w:rPr>
          <w:rFonts w:ascii="宋体" w:hAnsi="宋体" w:cs="Calibri"/>
          <w:b/>
          <w:bCs/>
          <w:kern w:val="0"/>
          <w:sz w:val="22"/>
        </w:rPr>
        <w:t>9.1 对招标人（含招标代理机构）的纪律要求</w:t>
      </w:r>
      <w:bookmarkEnd w:id="56"/>
      <w:bookmarkEnd w:id="57"/>
      <w:bookmarkEnd w:id="58"/>
    </w:p>
    <w:p>
      <w:pPr>
        <w:adjustRightInd w:val="0"/>
        <w:snapToGrid w:val="0"/>
        <w:spacing w:line="400" w:lineRule="exact"/>
        <w:ind w:firstLine="440" w:firstLineChars="200"/>
        <w:rPr>
          <w:rFonts w:ascii="宋体" w:hAnsi="宋体" w:cs="Calibri"/>
          <w:sz w:val="22"/>
        </w:rPr>
      </w:pPr>
      <w:r>
        <w:rPr>
          <w:rFonts w:ascii="宋体" w:hAnsi="宋体" w:cs="Calibri"/>
          <w:sz w:val="22"/>
        </w:rPr>
        <w:t>招标人（含招标代理机构）不得泄漏招标投标活动中应当保密的情况和资料，不得与投标人串通损害国家利益、社会公共利益或者他人合法权益。</w:t>
      </w:r>
    </w:p>
    <w:p>
      <w:pPr>
        <w:autoSpaceDE w:val="0"/>
        <w:autoSpaceDN w:val="0"/>
        <w:adjustRightInd w:val="0"/>
        <w:snapToGrid w:val="0"/>
        <w:spacing w:line="400" w:lineRule="exact"/>
        <w:rPr>
          <w:rFonts w:ascii="宋体" w:hAnsi="宋体" w:cs="Calibri"/>
          <w:b/>
          <w:bCs/>
          <w:kern w:val="0"/>
          <w:sz w:val="22"/>
        </w:rPr>
      </w:pPr>
      <w:bookmarkStart w:id="59" w:name="_Toc219809806"/>
      <w:bookmarkStart w:id="60" w:name="_Toc10820"/>
      <w:bookmarkStart w:id="61" w:name="_Toc220123246"/>
      <w:r>
        <w:rPr>
          <w:rFonts w:ascii="宋体" w:hAnsi="宋体" w:cs="Calibri"/>
          <w:b/>
          <w:bCs/>
          <w:kern w:val="0"/>
          <w:sz w:val="22"/>
        </w:rPr>
        <w:t>9.2 对投标人的纪律要求</w:t>
      </w:r>
      <w:bookmarkEnd w:id="59"/>
      <w:bookmarkEnd w:id="60"/>
      <w:bookmarkEnd w:id="61"/>
    </w:p>
    <w:p>
      <w:pPr>
        <w:adjustRightInd w:val="0"/>
        <w:snapToGrid w:val="0"/>
        <w:spacing w:line="400" w:lineRule="exact"/>
        <w:ind w:firstLine="440" w:firstLineChars="20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400" w:lineRule="exact"/>
        <w:rPr>
          <w:rFonts w:ascii="宋体" w:hAnsi="宋体" w:cs="Calibri"/>
          <w:b/>
          <w:bCs/>
          <w:kern w:val="0"/>
          <w:sz w:val="22"/>
        </w:rPr>
      </w:pPr>
      <w:bookmarkStart w:id="62" w:name="_Toc220123247"/>
      <w:bookmarkStart w:id="63" w:name="_Toc21980980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400" w:lineRule="exact"/>
        <w:ind w:firstLine="440" w:firstLineChars="20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六章“评标办法”没有规定的评审因素和标准进行评标。</w:t>
      </w:r>
    </w:p>
    <w:p>
      <w:pPr>
        <w:autoSpaceDE w:val="0"/>
        <w:autoSpaceDN w:val="0"/>
        <w:adjustRightInd w:val="0"/>
        <w:snapToGrid w:val="0"/>
        <w:spacing w:line="400" w:lineRule="exact"/>
        <w:rPr>
          <w:rFonts w:ascii="宋体" w:hAnsi="宋体" w:cs="Calibri"/>
          <w:b/>
          <w:bCs/>
          <w:kern w:val="0"/>
          <w:sz w:val="22"/>
        </w:rPr>
      </w:pPr>
      <w:bookmarkStart w:id="65" w:name="_Toc220123248"/>
      <w:bookmarkStart w:id="66" w:name="_Toc12792"/>
      <w:bookmarkStart w:id="67" w:name="_Toc219809808"/>
      <w:r>
        <w:rPr>
          <w:rFonts w:ascii="宋体" w:hAnsi="宋体" w:cs="Calibri"/>
          <w:b/>
          <w:bCs/>
          <w:kern w:val="0"/>
          <w:sz w:val="22"/>
        </w:rPr>
        <w:t>9.4 对评标活动有关的工作人员的纪律要求</w:t>
      </w:r>
      <w:bookmarkEnd w:id="65"/>
      <w:bookmarkEnd w:id="66"/>
      <w:bookmarkEnd w:id="67"/>
    </w:p>
    <w:p>
      <w:pPr>
        <w:adjustRightInd w:val="0"/>
        <w:snapToGrid w:val="0"/>
        <w:spacing w:line="400" w:lineRule="exact"/>
        <w:ind w:firstLine="440" w:firstLineChars="20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400" w:lineRule="exact"/>
        <w:rPr>
          <w:rFonts w:ascii="宋体" w:hAnsi="宋体" w:cs="Calibri"/>
          <w:b/>
          <w:bCs/>
          <w:kern w:val="0"/>
          <w:sz w:val="22"/>
        </w:rPr>
      </w:pPr>
      <w:bookmarkStart w:id="68" w:name="_Toc239"/>
      <w:bookmarkStart w:id="69" w:name="_Toc219809809"/>
      <w:bookmarkStart w:id="70" w:name="_Toc220123249"/>
      <w:r>
        <w:rPr>
          <w:rFonts w:ascii="宋体" w:hAnsi="宋体" w:cs="Calibri"/>
          <w:b/>
          <w:bCs/>
          <w:kern w:val="0"/>
          <w:sz w:val="22"/>
        </w:rPr>
        <w:t>9.5 投诉</w:t>
      </w:r>
      <w:bookmarkEnd w:id="68"/>
      <w:bookmarkEnd w:id="69"/>
      <w:bookmarkEnd w:id="70"/>
    </w:p>
    <w:p>
      <w:pPr>
        <w:adjustRightInd w:val="0"/>
        <w:snapToGrid w:val="0"/>
        <w:spacing w:line="400" w:lineRule="exact"/>
        <w:ind w:firstLine="440" w:firstLineChars="20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40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400" w:lineRule="exact"/>
        <w:ind w:firstLine="440" w:firstLineChars="200"/>
        <w:rPr>
          <w:rFonts w:ascii="宋体" w:hAnsi="宋体" w:cs="Calibri"/>
          <w:sz w:val="22"/>
        </w:rPr>
      </w:pPr>
      <w:r>
        <w:rPr>
          <w:rFonts w:ascii="宋体" w:hAnsi="宋体" w:cs="Calibri"/>
          <w:sz w:val="22"/>
        </w:rPr>
        <w:t>需要补充的其他内容：见投标人须知前附表。</w:t>
      </w:r>
    </w:p>
    <w:p>
      <w:pPr>
        <w:spacing w:line="560" w:lineRule="exact"/>
        <w:rPr>
          <w:sz w:val="24"/>
        </w:rPr>
      </w:pPr>
    </w:p>
    <w:p>
      <w:pPr>
        <w:spacing w:line="560" w:lineRule="exact"/>
        <w:jc w:val="center"/>
        <w:rPr>
          <w:sz w:val="24"/>
        </w:rPr>
      </w:pPr>
    </w:p>
    <w:p>
      <w:pPr>
        <w:snapToGrid w:val="0"/>
        <w:spacing w:line="560" w:lineRule="exact"/>
        <w:rPr>
          <w:sz w:val="24"/>
        </w:rPr>
      </w:pPr>
    </w:p>
    <w:p>
      <w:pPr>
        <w:pStyle w:val="52"/>
      </w:pPr>
      <w:r>
        <w:rPr>
          <w:sz w:val="24"/>
        </w:rPr>
        <w:br w:type="page"/>
      </w:r>
      <w:bookmarkStart w:id="72" w:name="_Toc422638511"/>
      <w:r>
        <w:t>第</w:t>
      </w:r>
      <w:r>
        <w:rPr>
          <w:rFonts w:hint="eastAsia"/>
        </w:rPr>
        <w:t>三</w:t>
      </w:r>
      <w:r>
        <w:t>章</w:t>
      </w:r>
      <w:r>
        <w:rPr>
          <w:rFonts w:hint="eastAsia"/>
        </w:rPr>
        <w:t xml:space="preserve">  </w:t>
      </w:r>
      <w:r>
        <w:t>合同条款</w:t>
      </w:r>
      <w:bookmarkEnd w:id="72"/>
    </w:p>
    <w:p>
      <w:pPr>
        <w:adjustRightInd w:val="0"/>
        <w:snapToGrid w:val="0"/>
        <w:spacing w:line="360" w:lineRule="exact"/>
        <w:ind w:firstLine="452"/>
        <w:jc w:val="left"/>
        <w:rPr>
          <w:rFonts w:ascii="宋体" w:hAnsi="宋体"/>
          <w:b/>
          <w:sz w:val="22"/>
        </w:rPr>
      </w:pPr>
      <w:r>
        <w:rPr>
          <w:rFonts w:hint="eastAsia" w:ascii="宋体" w:hAnsi="宋体"/>
          <w:b/>
          <w:sz w:val="22"/>
        </w:rPr>
        <w:t>甲方：杭州萧山国际机场航空物流有限公司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sz w:val="22"/>
        </w:rPr>
      </w:pPr>
      <w:r>
        <w:rPr>
          <w:rFonts w:hint="eastAsia" w:ascii="宋体" w:hAnsi="宋体"/>
          <w:b/>
          <w:bCs/>
          <w:sz w:val="22"/>
        </w:rPr>
        <w:t>一、产品规格型号及参数</w:t>
      </w:r>
    </w:p>
    <w:tbl>
      <w:tblPr>
        <w:tblStyle w:val="5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530"/>
        <w:gridCol w:w="1015"/>
        <w:gridCol w:w="1979"/>
        <w:gridCol w:w="714"/>
        <w:gridCol w:w="1137"/>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07" w:type="dxa"/>
            <w:vAlign w:val="center"/>
          </w:tcPr>
          <w:p>
            <w:pPr>
              <w:pStyle w:val="134"/>
              <w:snapToGrid w:val="0"/>
              <w:jc w:val="left"/>
              <w:rPr>
                <w:rFonts w:ascii="宋体" w:hAnsi="宋体"/>
                <w:b/>
                <w:sz w:val="22"/>
              </w:rPr>
            </w:pPr>
            <w:r>
              <w:rPr>
                <w:rFonts w:hint="eastAsia" w:ascii="宋体" w:hAnsi="宋体"/>
                <w:b/>
                <w:sz w:val="22"/>
              </w:rPr>
              <w:t>序号</w:t>
            </w:r>
          </w:p>
        </w:tc>
        <w:tc>
          <w:tcPr>
            <w:tcW w:w="1530" w:type="dxa"/>
            <w:vAlign w:val="center"/>
          </w:tcPr>
          <w:p>
            <w:pPr>
              <w:pStyle w:val="134"/>
              <w:snapToGrid w:val="0"/>
              <w:jc w:val="left"/>
              <w:rPr>
                <w:rFonts w:ascii="宋体" w:hAnsi="宋体"/>
                <w:b/>
                <w:sz w:val="22"/>
              </w:rPr>
            </w:pPr>
            <w:r>
              <w:rPr>
                <w:rFonts w:hint="eastAsia" w:ascii="宋体" w:hAnsi="宋体"/>
                <w:b/>
                <w:sz w:val="22"/>
              </w:rPr>
              <w:t>产品名称</w:t>
            </w:r>
          </w:p>
        </w:tc>
        <w:tc>
          <w:tcPr>
            <w:tcW w:w="1015" w:type="dxa"/>
            <w:vAlign w:val="center"/>
          </w:tcPr>
          <w:p>
            <w:pPr>
              <w:pStyle w:val="134"/>
              <w:snapToGrid w:val="0"/>
              <w:jc w:val="left"/>
              <w:rPr>
                <w:rFonts w:ascii="宋体" w:hAnsi="宋体"/>
                <w:b/>
                <w:sz w:val="22"/>
              </w:rPr>
            </w:pPr>
            <w:r>
              <w:rPr>
                <w:rFonts w:hint="eastAsia" w:ascii="宋体" w:hAnsi="宋体"/>
                <w:b/>
                <w:sz w:val="22"/>
              </w:rPr>
              <w:t>品牌型号</w:t>
            </w:r>
          </w:p>
        </w:tc>
        <w:tc>
          <w:tcPr>
            <w:tcW w:w="1979" w:type="dxa"/>
            <w:vAlign w:val="center"/>
          </w:tcPr>
          <w:p>
            <w:pPr>
              <w:pStyle w:val="134"/>
              <w:snapToGrid w:val="0"/>
              <w:jc w:val="center"/>
              <w:rPr>
                <w:rFonts w:ascii="宋体" w:hAnsi="宋体"/>
                <w:b/>
                <w:sz w:val="22"/>
              </w:rPr>
            </w:pPr>
            <w:r>
              <w:rPr>
                <w:rFonts w:hint="eastAsia" w:ascii="宋体" w:hAnsi="宋体"/>
                <w:b/>
                <w:sz w:val="22"/>
              </w:rPr>
              <w:t>单位</w:t>
            </w:r>
          </w:p>
        </w:tc>
        <w:tc>
          <w:tcPr>
            <w:tcW w:w="714" w:type="dxa"/>
            <w:vAlign w:val="center"/>
          </w:tcPr>
          <w:p>
            <w:pPr>
              <w:pStyle w:val="134"/>
              <w:snapToGrid w:val="0"/>
              <w:jc w:val="left"/>
              <w:rPr>
                <w:rFonts w:ascii="宋体" w:hAnsi="宋体"/>
                <w:b/>
                <w:sz w:val="22"/>
              </w:rPr>
            </w:pPr>
            <w:r>
              <w:rPr>
                <w:rFonts w:hint="eastAsia" w:ascii="宋体" w:hAnsi="宋体"/>
                <w:b/>
                <w:sz w:val="22"/>
              </w:rPr>
              <w:t>数量</w:t>
            </w:r>
          </w:p>
        </w:tc>
        <w:tc>
          <w:tcPr>
            <w:tcW w:w="1137" w:type="dxa"/>
            <w:vAlign w:val="center"/>
          </w:tcPr>
          <w:p>
            <w:pPr>
              <w:pStyle w:val="134"/>
              <w:snapToGrid w:val="0"/>
              <w:jc w:val="center"/>
              <w:rPr>
                <w:rFonts w:ascii="宋体" w:hAnsi="宋体"/>
                <w:b/>
                <w:sz w:val="22"/>
              </w:rPr>
            </w:pPr>
            <w:r>
              <w:rPr>
                <w:rFonts w:hint="eastAsia" w:ascii="宋体" w:hAnsi="宋体"/>
                <w:b/>
                <w:sz w:val="22"/>
              </w:rPr>
              <w:t>单价（元）</w:t>
            </w:r>
          </w:p>
        </w:tc>
        <w:tc>
          <w:tcPr>
            <w:tcW w:w="1122" w:type="dxa"/>
            <w:vAlign w:val="center"/>
          </w:tcPr>
          <w:p>
            <w:pPr>
              <w:pStyle w:val="134"/>
              <w:snapToGrid w:val="0"/>
              <w:jc w:val="center"/>
              <w:rPr>
                <w:rFonts w:ascii="宋体" w:hAnsi="宋体"/>
                <w:b/>
                <w:sz w:val="22"/>
              </w:rPr>
            </w:pPr>
            <w:r>
              <w:rPr>
                <w:rFonts w:hint="eastAsia" w:ascii="宋体" w:hAnsi="宋体"/>
                <w:b/>
                <w:sz w:val="22"/>
              </w:rPr>
              <w:t>金额</w:t>
            </w:r>
          </w:p>
          <w:p>
            <w:pPr>
              <w:pStyle w:val="134"/>
              <w:snapToGrid w:val="0"/>
              <w:jc w:val="left"/>
              <w:rPr>
                <w:rFonts w:ascii="宋体" w:hAnsi="宋体"/>
                <w:b/>
                <w:sz w:val="22"/>
              </w:rPr>
            </w:pPr>
            <w:r>
              <w:rPr>
                <w:rFonts w:hint="eastAsia" w:ascii="宋体" w:hAnsi="宋体"/>
                <w:b/>
                <w:sz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34"/>
              <w:snapToGrid w:val="0"/>
              <w:ind w:firstLine="440" w:firstLineChars="200"/>
              <w:jc w:val="left"/>
              <w:rPr>
                <w:rFonts w:ascii="宋体" w:hAnsi="宋体"/>
                <w:sz w:val="22"/>
              </w:rPr>
            </w:pPr>
          </w:p>
        </w:tc>
        <w:tc>
          <w:tcPr>
            <w:tcW w:w="1530" w:type="dxa"/>
            <w:vAlign w:val="center"/>
          </w:tcPr>
          <w:p>
            <w:pPr>
              <w:pStyle w:val="134"/>
              <w:snapToGrid w:val="0"/>
              <w:ind w:firstLine="440" w:firstLineChars="200"/>
              <w:jc w:val="left"/>
              <w:rPr>
                <w:rFonts w:ascii="宋体" w:hAnsi="宋体"/>
                <w:sz w:val="22"/>
              </w:rPr>
            </w:pPr>
          </w:p>
        </w:tc>
        <w:tc>
          <w:tcPr>
            <w:tcW w:w="1015" w:type="dxa"/>
            <w:vAlign w:val="center"/>
          </w:tcPr>
          <w:p>
            <w:pPr>
              <w:pStyle w:val="134"/>
              <w:snapToGrid w:val="0"/>
              <w:ind w:firstLine="440" w:firstLineChars="200"/>
              <w:jc w:val="left"/>
              <w:rPr>
                <w:rFonts w:ascii="宋体" w:hAnsi="宋体"/>
                <w:sz w:val="22"/>
              </w:rPr>
            </w:pPr>
          </w:p>
        </w:tc>
        <w:tc>
          <w:tcPr>
            <w:tcW w:w="1979" w:type="dxa"/>
            <w:vAlign w:val="center"/>
          </w:tcPr>
          <w:p>
            <w:pPr>
              <w:pStyle w:val="134"/>
              <w:snapToGrid w:val="0"/>
              <w:ind w:firstLine="440" w:firstLineChars="200"/>
              <w:jc w:val="left"/>
              <w:rPr>
                <w:rFonts w:ascii="宋体" w:hAnsi="宋体"/>
                <w:sz w:val="22"/>
              </w:rPr>
            </w:pPr>
          </w:p>
        </w:tc>
        <w:tc>
          <w:tcPr>
            <w:tcW w:w="714" w:type="dxa"/>
            <w:vAlign w:val="center"/>
          </w:tcPr>
          <w:p>
            <w:pPr>
              <w:pStyle w:val="134"/>
              <w:snapToGrid w:val="0"/>
              <w:ind w:firstLine="440" w:firstLineChars="200"/>
              <w:jc w:val="left"/>
              <w:rPr>
                <w:rFonts w:ascii="宋体" w:hAnsi="宋体"/>
                <w:sz w:val="22"/>
              </w:rPr>
            </w:pPr>
          </w:p>
        </w:tc>
        <w:tc>
          <w:tcPr>
            <w:tcW w:w="1137" w:type="dxa"/>
            <w:vAlign w:val="center"/>
          </w:tcPr>
          <w:p>
            <w:pPr>
              <w:pStyle w:val="134"/>
              <w:snapToGrid w:val="0"/>
              <w:ind w:firstLine="440" w:firstLineChars="200"/>
              <w:jc w:val="left"/>
              <w:rPr>
                <w:rFonts w:ascii="宋体" w:hAnsi="宋体"/>
                <w:sz w:val="22"/>
              </w:rPr>
            </w:pPr>
          </w:p>
        </w:tc>
        <w:tc>
          <w:tcPr>
            <w:tcW w:w="1122" w:type="dxa"/>
            <w:vAlign w:val="center"/>
          </w:tcPr>
          <w:p>
            <w:pPr>
              <w:pStyle w:val="134"/>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34"/>
              <w:snapToGrid w:val="0"/>
              <w:ind w:firstLine="440" w:firstLineChars="200"/>
              <w:jc w:val="left"/>
              <w:rPr>
                <w:rFonts w:ascii="宋体" w:hAnsi="宋体"/>
                <w:sz w:val="22"/>
              </w:rPr>
            </w:pPr>
          </w:p>
        </w:tc>
        <w:tc>
          <w:tcPr>
            <w:tcW w:w="1530" w:type="dxa"/>
            <w:vAlign w:val="center"/>
          </w:tcPr>
          <w:p>
            <w:pPr>
              <w:pStyle w:val="134"/>
              <w:snapToGrid w:val="0"/>
              <w:ind w:firstLine="440" w:firstLineChars="200"/>
              <w:jc w:val="left"/>
              <w:rPr>
                <w:rFonts w:ascii="宋体" w:hAnsi="宋体"/>
                <w:sz w:val="22"/>
              </w:rPr>
            </w:pPr>
          </w:p>
        </w:tc>
        <w:tc>
          <w:tcPr>
            <w:tcW w:w="1015" w:type="dxa"/>
            <w:vAlign w:val="center"/>
          </w:tcPr>
          <w:p>
            <w:pPr>
              <w:pStyle w:val="134"/>
              <w:snapToGrid w:val="0"/>
              <w:ind w:firstLine="440" w:firstLineChars="200"/>
              <w:jc w:val="left"/>
              <w:rPr>
                <w:rFonts w:ascii="宋体" w:hAnsi="宋体"/>
                <w:sz w:val="22"/>
              </w:rPr>
            </w:pPr>
          </w:p>
        </w:tc>
        <w:tc>
          <w:tcPr>
            <w:tcW w:w="1979" w:type="dxa"/>
            <w:vAlign w:val="center"/>
          </w:tcPr>
          <w:p>
            <w:pPr>
              <w:pStyle w:val="134"/>
              <w:snapToGrid w:val="0"/>
              <w:ind w:firstLine="440" w:firstLineChars="200"/>
              <w:jc w:val="left"/>
              <w:rPr>
                <w:rFonts w:ascii="宋体" w:hAnsi="宋体"/>
                <w:sz w:val="22"/>
              </w:rPr>
            </w:pPr>
          </w:p>
        </w:tc>
        <w:tc>
          <w:tcPr>
            <w:tcW w:w="714" w:type="dxa"/>
            <w:vAlign w:val="center"/>
          </w:tcPr>
          <w:p>
            <w:pPr>
              <w:pStyle w:val="134"/>
              <w:snapToGrid w:val="0"/>
              <w:ind w:firstLine="440" w:firstLineChars="200"/>
              <w:jc w:val="left"/>
              <w:rPr>
                <w:rFonts w:ascii="宋体" w:hAnsi="宋体"/>
                <w:sz w:val="22"/>
              </w:rPr>
            </w:pPr>
          </w:p>
        </w:tc>
        <w:tc>
          <w:tcPr>
            <w:tcW w:w="1137" w:type="dxa"/>
            <w:vAlign w:val="center"/>
          </w:tcPr>
          <w:p>
            <w:pPr>
              <w:pStyle w:val="134"/>
              <w:snapToGrid w:val="0"/>
              <w:ind w:firstLine="440" w:firstLineChars="200"/>
              <w:jc w:val="left"/>
              <w:rPr>
                <w:rFonts w:ascii="宋体" w:hAnsi="宋体"/>
                <w:sz w:val="22"/>
              </w:rPr>
            </w:pPr>
          </w:p>
        </w:tc>
        <w:tc>
          <w:tcPr>
            <w:tcW w:w="1122" w:type="dxa"/>
            <w:vAlign w:val="center"/>
          </w:tcPr>
          <w:p>
            <w:pPr>
              <w:pStyle w:val="134"/>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34"/>
              <w:snapToGrid w:val="0"/>
              <w:ind w:firstLine="440" w:firstLineChars="200"/>
              <w:jc w:val="left"/>
              <w:rPr>
                <w:rFonts w:ascii="宋体" w:hAnsi="宋体"/>
                <w:sz w:val="22"/>
              </w:rPr>
            </w:pPr>
          </w:p>
        </w:tc>
        <w:tc>
          <w:tcPr>
            <w:tcW w:w="1530" w:type="dxa"/>
            <w:vAlign w:val="center"/>
          </w:tcPr>
          <w:p>
            <w:pPr>
              <w:pStyle w:val="134"/>
              <w:snapToGrid w:val="0"/>
              <w:ind w:firstLine="440" w:firstLineChars="200"/>
              <w:jc w:val="left"/>
              <w:rPr>
                <w:rFonts w:ascii="宋体" w:hAnsi="宋体"/>
                <w:sz w:val="22"/>
              </w:rPr>
            </w:pPr>
          </w:p>
        </w:tc>
        <w:tc>
          <w:tcPr>
            <w:tcW w:w="1015" w:type="dxa"/>
            <w:vAlign w:val="center"/>
          </w:tcPr>
          <w:p>
            <w:pPr>
              <w:pStyle w:val="134"/>
              <w:snapToGrid w:val="0"/>
              <w:ind w:firstLine="440" w:firstLineChars="200"/>
              <w:jc w:val="left"/>
              <w:rPr>
                <w:rFonts w:ascii="宋体" w:hAnsi="宋体"/>
                <w:sz w:val="22"/>
              </w:rPr>
            </w:pPr>
          </w:p>
        </w:tc>
        <w:tc>
          <w:tcPr>
            <w:tcW w:w="1979" w:type="dxa"/>
            <w:vAlign w:val="center"/>
          </w:tcPr>
          <w:p>
            <w:pPr>
              <w:pStyle w:val="134"/>
              <w:snapToGrid w:val="0"/>
              <w:ind w:firstLine="440" w:firstLineChars="200"/>
              <w:jc w:val="left"/>
              <w:rPr>
                <w:rFonts w:ascii="宋体" w:hAnsi="宋体"/>
                <w:sz w:val="22"/>
              </w:rPr>
            </w:pPr>
          </w:p>
        </w:tc>
        <w:tc>
          <w:tcPr>
            <w:tcW w:w="714" w:type="dxa"/>
            <w:vAlign w:val="center"/>
          </w:tcPr>
          <w:p>
            <w:pPr>
              <w:pStyle w:val="134"/>
              <w:snapToGrid w:val="0"/>
              <w:ind w:firstLine="440" w:firstLineChars="200"/>
              <w:jc w:val="left"/>
              <w:rPr>
                <w:rFonts w:ascii="宋体" w:hAnsi="宋体"/>
                <w:sz w:val="22"/>
              </w:rPr>
            </w:pPr>
          </w:p>
        </w:tc>
        <w:tc>
          <w:tcPr>
            <w:tcW w:w="1137" w:type="dxa"/>
            <w:vAlign w:val="center"/>
          </w:tcPr>
          <w:p>
            <w:pPr>
              <w:pStyle w:val="134"/>
              <w:snapToGrid w:val="0"/>
              <w:ind w:firstLine="440" w:firstLineChars="200"/>
              <w:jc w:val="left"/>
              <w:rPr>
                <w:rFonts w:ascii="宋体" w:hAnsi="宋体"/>
                <w:sz w:val="22"/>
              </w:rPr>
            </w:pPr>
          </w:p>
        </w:tc>
        <w:tc>
          <w:tcPr>
            <w:tcW w:w="1122" w:type="dxa"/>
            <w:vAlign w:val="center"/>
          </w:tcPr>
          <w:p>
            <w:pPr>
              <w:pStyle w:val="134"/>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34"/>
              <w:snapToGrid w:val="0"/>
              <w:jc w:val="left"/>
              <w:rPr>
                <w:rFonts w:ascii="宋体" w:hAnsi="宋体"/>
                <w:sz w:val="22"/>
              </w:rPr>
            </w:pPr>
            <w:r>
              <w:rPr>
                <w:rFonts w:hint="eastAsia" w:ascii="宋体" w:hAnsi="宋体"/>
                <w:sz w:val="22"/>
              </w:rPr>
              <w:t>合计</w:t>
            </w:r>
          </w:p>
        </w:tc>
        <w:tc>
          <w:tcPr>
            <w:tcW w:w="1530" w:type="dxa"/>
            <w:vAlign w:val="center"/>
          </w:tcPr>
          <w:p>
            <w:pPr>
              <w:pStyle w:val="134"/>
              <w:snapToGrid w:val="0"/>
              <w:ind w:firstLine="440" w:firstLineChars="200"/>
              <w:jc w:val="left"/>
              <w:rPr>
                <w:rFonts w:ascii="宋体" w:hAnsi="宋体"/>
                <w:sz w:val="22"/>
              </w:rPr>
            </w:pPr>
          </w:p>
        </w:tc>
        <w:tc>
          <w:tcPr>
            <w:tcW w:w="1015" w:type="dxa"/>
            <w:vAlign w:val="center"/>
          </w:tcPr>
          <w:p>
            <w:pPr>
              <w:pStyle w:val="134"/>
              <w:snapToGrid w:val="0"/>
              <w:ind w:firstLine="440" w:firstLineChars="200"/>
              <w:jc w:val="left"/>
              <w:rPr>
                <w:rFonts w:ascii="宋体" w:hAnsi="宋体"/>
                <w:sz w:val="22"/>
              </w:rPr>
            </w:pPr>
          </w:p>
        </w:tc>
        <w:tc>
          <w:tcPr>
            <w:tcW w:w="1979" w:type="dxa"/>
            <w:vAlign w:val="center"/>
          </w:tcPr>
          <w:p>
            <w:pPr>
              <w:pStyle w:val="134"/>
              <w:snapToGrid w:val="0"/>
              <w:ind w:firstLine="440" w:firstLineChars="200"/>
              <w:jc w:val="left"/>
              <w:rPr>
                <w:rFonts w:ascii="宋体" w:hAnsi="宋体"/>
                <w:sz w:val="22"/>
              </w:rPr>
            </w:pPr>
          </w:p>
        </w:tc>
        <w:tc>
          <w:tcPr>
            <w:tcW w:w="714" w:type="dxa"/>
            <w:vAlign w:val="center"/>
          </w:tcPr>
          <w:p>
            <w:pPr>
              <w:pStyle w:val="134"/>
              <w:snapToGrid w:val="0"/>
              <w:ind w:firstLine="440" w:firstLineChars="200"/>
              <w:jc w:val="left"/>
              <w:rPr>
                <w:rFonts w:ascii="宋体" w:hAnsi="宋体"/>
                <w:sz w:val="22"/>
              </w:rPr>
            </w:pPr>
          </w:p>
        </w:tc>
        <w:tc>
          <w:tcPr>
            <w:tcW w:w="1137" w:type="dxa"/>
            <w:vAlign w:val="center"/>
          </w:tcPr>
          <w:p>
            <w:pPr>
              <w:pStyle w:val="134"/>
              <w:snapToGrid w:val="0"/>
              <w:ind w:firstLine="440" w:firstLineChars="200"/>
              <w:jc w:val="left"/>
              <w:rPr>
                <w:rFonts w:ascii="宋体" w:hAnsi="宋体"/>
                <w:sz w:val="22"/>
              </w:rPr>
            </w:pPr>
          </w:p>
        </w:tc>
        <w:tc>
          <w:tcPr>
            <w:tcW w:w="1122" w:type="dxa"/>
            <w:vAlign w:val="center"/>
          </w:tcPr>
          <w:p>
            <w:pPr>
              <w:pStyle w:val="134"/>
              <w:snapToGrid w:val="0"/>
              <w:ind w:firstLine="440" w:firstLineChars="200"/>
              <w:jc w:val="left"/>
              <w:rPr>
                <w:rFonts w:ascii="宋体" w:hAnsi="宋体"/>
                <w:sz w:val="22"/>
              </w:rPr>
            </w:pPr>
          </w:p>
        </w:tc>
      </w:tr>
    </w:tbl>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snapToGrid w:val="0"/>
        <w:spacing w:line="360" w:lineRule="exact"/>
        <w:ind w:firstLine="440" w:firstLineChars="200"/>
        <w:rPr>
          <w:rFonts w:hint="eastAsia" w:ascii="宋体" w:hAnsi="宋体"/>
          <w:sz w:val="22"/>
        </w:rPr>
      </w:pPr>
      <w:r>
        <w:rPr>
          <w:rFonts w:hint="eastAsia" w:ascii="宋体" w:hAnsi="宋体"/>
          <w:sz w:val="22"/>
        </w:rPr>
        <w:t>本合同金额为（大写）：       元（￥        元）人民币。本合同价为杭州萧山国际机场内交货价，含产品价格、运输费、包装费、保险费、税费等所有费用。甲方不再承担其他任何费用。</w:t>
      </w:r>
    </w:p>
    <w:p>
      <w:pPr>
        <w:snapToGrid w:val="0"/>
        <w:spacing w:line="360" w:lineRule="exact"/>
        <w:ind w:firstLine="440" w:firstLineChars="200"/>
        <w:rPr>
          <w:rFonts w:hint="eastAsia" w:ascii="宋体" w:hAnsi="宋体"/>
          <w:sz w:val="22"/>
        </w:rPr>
      </w:pPr>
      <w:r>
        <w:rPr>
          <w:rFonts w:hint="eastAsia" w:ascii="宋体" w:hAnsi="宋体"/>
          <w:sz w:val="22"/>
        </w:rPr>
        <w:t>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360" w:lineRule="exact"/>
        <w:ind w:firstLine="440" w:firstLineChars="200"/>
        <w:rPr>
          <w:rFonts w:ascii="宋体" w:hAnsi="宋体"/>
          <w:b/>
          <w:sz w:val="22"/>
        </w:rPr>
      </w:pPr>
      <w:r>
        <w:rPr>
          <w:rFonts w:hint="eastAsia" w:ascii="宋体" w:hAnsi="宋体"/>
          <w:sz w:val="22"/>
        </w:rPr>
        <w:t>如甲方原因调整项目和数量的，数量按实调整，单价按合同单价，合同中无单价的属新增项目，单价由合同双方协商确定。</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0" w:firstLineChars="200"/>
        <w:rPr>
          <w:rFonts w:ascii="宋体" w:hAnsi="宋体"/>
          <w:sz w:val="22"/>
        </w:rPr>
      </w:pPr>
      <w:r>
        <w:rPr>
          <w:rFonts w:hint="eastAsia" w:ascii="宋体" w:hAnsi="宋体"/>
          <w:sz w:val="22"/>
        </w:rPr>
        <w:t>1.乙方应在移交合同货物时向甲方提供使用货物的有关技术资料。</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2" w:firstLineChars="200"/>
        <w:outlineLvl w:val="0"/>
        <w:rPr>
          <w:rFonts w:ascii="宋体" w:hAnsi="宋体"/>
          <w:b/>
          <w:sz w:val="22"/>
        </w:rPr>
      </w:pPr>
      <w:bookmarkStart w:id="73" w:name="_Toc422638512"/>
      <w:r>
        <w:rPr>
          <w:rFonts w:hint="eastAsia" w:ascii="宋体" w:hAnsi="宋体"/>
          <w:b/>
          <w:sz w:val="22"/>
        </w:rPr>
        <w:t>六、转包或分包</w:t>
      </w:r>
      <w:bookmarkEnd w:id="73"/>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如有未经甲方书面同意的转让和分包行为，甲方有权解除合同，并追究乙方的违约责任。</w:t>
      </w:r>
    </w:p>
    <w:p>
      <w:pPr>
        <w:adjustRightInd w:val="0"/>
        <w:snapToGrid w:val="0"/>
        <w:spacing w:line="360" w:lineRule="exact"/>
        <w:ind w:firstLine="442" w:firstLineChars="200"/>
        <w:outlineLvl w:val="0"/>
        <w:rPr>
          <w:rFonts w:ascii="宋体" w:hAnsi="宋体"/>
          <w:b/>
          <w:sz w:val="22"/>
        </w:rPr>
      </w:pPr>
      <w:bookmarkStart w:id="74" w:name="_Toc422638513"/>
      <w:r>
        <w:rPr>
          <w:rFonts w:hint="eastAsia" w:ascii="宋体" w:hAnsi="宋体"/>
          <w:b/>
          <w:sz w:val="22"/>
        </w:rPr>
        <w:t>七、货物包装、发运及运输</w:t>
      </w:r>
      <w:bookmarkEnd w:id="74"/>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使用说明书、质量检验证明书、随配附件和工具以及清单一并附于货物内。</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乙方在货物发运手续办理完毕后24小时内必须书面通知甲方，以便甲方准备接货。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货物在本合同规定的交货地点交付甲方前发生的一切风险包括货物运输风险均由乙方负责。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 xml:space="preserve">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ascii="宋体" w:hAnsi="宋体"/>
          <w:b/>
          <w:sz w:val="22"/>
        </w:rPr>
      </w:pPr>
      <w:bookmarkStart w:id="75" w:name="_Toc422638514"/>
      <w:r>
        <w:rPr>
          <w:rFonts w:hint="eastAsia" w:ascii="宋体" w:hAnsi="宋体"/>
          <w:b/>
          <w:sz w:val="22"/>
        </w:rPr>
        <w:t>八、交货期、交货方式及交货地点</w:t>
      </w:r>
      <w:bookmarkEnd w:id="75"/>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交货期：合同签订后</w:t>
      </w:r>
      <w:r>
        <w:rPr>
          <w:rFonts w:hint="eastAsia" w:ascii="宋体" w:hAnsi="宋体"/>
          <w:sz w:val="22"/>
          <w:lang w:val="en-US" w:eastAsia="zh-CN"/>
        </w:rPr>
        <w:t>3</w:t>
      </w:r>
      <w:r>
        <w:rPr>
          <w:rFonts w:hint="eastAsia" w:ascii="宋体" w:hAnsi="宋体"/>
          <w:sz w:val="22"/>
        </w:rPr>
        <w:t>0日内</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交货方式： 乙方送货上门</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交货地点：杭州萧山国际机场内</w:t>
      </w:r>
    </w:p>
    <w:p>
      <w:pPr>
        <w:adjustRightInd w:val="0"/>
        <w:snapToGrid w:val="0"/>
        <w:spacing w:line="360" w:lineRule="exact"/>
        <w:ind w:firstLine="442" w:firstLineChars="200"/>
        <w:outlineLvl w:val="0"/>
        <w:rPr>
          <w:rFonts w:ascii="宋体" w:hAnsi="宋体"/>
          <w:b/>
          <w:sz w:val="22"/>
        </w:rPr>
      </w:pPr>
      <w:bookmarkStart w:id="76" w:name="_Toc422638515"/>
      <w:r>
        <w:rPr>
          <w:rFonts w:hint="eastAsia" w:ascii="宋体" w:hAnsi="宋体"/>
          <w:b/>
          <w:sz w:val="22"/>
        </w:rPr>
        <w:t>九、安装、调试及验收</w:t>
      </w:r>
      <w:bookmarkEnd w:id="76"/>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对乙方提交的货物依据甲方要求和国家有关质量标准进行现场初步验收，外观、说明书符合甲方要求的，给予签收，初步验收不合格的不予签收。乙方在甲方初步验收完毕后，负责在【七】日内完成现场安装、调试，确保设备正常运行。安装完毕由乙方提交甲方验收，双方代表应在通过验收之日签署安装验收报告，但此证书不能免除乙方在本合同项下应当承担的质量保证责任以及售后服务责任。</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如甲方未按上述规定期限提出质量异议的，视为乙方所交付的产品符合合同规定；乙方未按上述规定期限作出答复或负责处理的，则视为乙方同意甲方提出的异议和处理意见。</w:t>
      </w:r>
    </w:p>
    <w:p>
      <w:pPr>
        <w:adjustRightInd w:val="0"/>
        <w:snapToGrid w:val="0"/>
        <w:spacing w:line="360" w:lineRule="exact"/>
        <w:ind w:firstLine="442" w:firstLineChars="200"/>
        <w:outlineLvl w:val="0"/>
        <w:rPr>
          <w:rFonts w:ascii="宋体" w:hAnsi="宋体"/>
          <w:b/>
          <w:sz w:val="22"/>
        </w:rPr>
      </w:pPr>
      <w:bookmarkStart w:id="77" w:name="_Toc422638516"/>
      <w:r>
        <w:rPr>
          <w:rFonts w:hint="eastAsia" w:ascii="宋体" w:hAnsi="宋体"/>
          <w:b/>
          <w:sz w:val="22"/>
        </w:rPr>
        <w:t>十、货款支付</w:t>
      </w:r>
      <w:bookmarkEnd w:id="77"/>
    </w:p>
    <w:p>
      <w:pPr>
        <w:pStyle w:val="50"/>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1</w:t>
      </w:r>
      <w:r>
        <w:rPr>
          <w:rFonts w:hint="eastAsia" w:ascii="宋体" w:hAnsi="宋体" w:eastAsia="宋体"/>
          <w:color w:val="auto"/>
          <w:sz w:val="22"/>
          <w:szCs w:val="22"/>
        </w:rPr>
        <w:t>. 合同签订之日起15个工作日内甲方向乙方支付合同总金额的10%，乙方向甲方提供银行保函。设备安装调试完成后，并经甲方验收合格后【15】个工作日内，支付至合同总金额的9</w:t>
      </w:r>
      <w:r>
        <w:rPr>
          <w:rFonts w:hint="eastAsia" w:ascii="宋体" w:hAnsi="宋体" w:eastAsia="宋体"/>
          <w:color w:val="auto"/>
          <w:sz w:val="22"/>
          <w:szCs w:val="22"/>
          <w:lang w:val="en-US" w:eastAsia="zh-CN"/>
        </w:rPr>
        <w:t>5</w:t>
      </w:r>
      <w:r>
        <w:rPr>
          <w:rFonts w:hint="eastAsia" w:ascii="宋体" w:hAnsi="宋体" w:eastAsia="宋体"/>
          <w:color w:val="auto"/>
          <w:sz w:val="22"/>
          <w:szCs w:val="22"/>
        </w:rPr>
        <w:t>%.</w:t>
      </w:r>
    </w:p>
    <w:p>
      <w:pPr>
        <w:pStyle w:val="50"/>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2.</w:t>
      </w:r>
      <w:r>
        <w:rPr>
          <w:rFonts w:hint="eastAsia" w:ascii="宋体" w:hAnsi="宋体" w:eastAsia="宋体"/>
          <w:color w:val="auto"/>
          <w:sz w:val="22"/>
          <w:szCs w:val="22"/>
        </w:rPr>
        <w:t>质量保证金为合同总价5</w:t>
      </w:r>
      <w:r>
        <w:rPr>
          <w:rFonts w:ascii="宋体" w:hAnsi="宋体" w:eastAsia="宋体"/>
          <w:color w:val="auto"/>
          <w:sz w:val="22"/>
          <w:szCs w:val="22"/>
        </w:rPr>
        <w:t>%，</w:t>
      </w:r>
      <w:r>
        <w:rPr>
          <w:rFonts w:hint="eastAsia" w:ascii="宋体" w:hAnsi="宋体" w:eastAsia="宋体"/>
          <w:color w:val="auto"/>
          <w:sz w:val="22"/>
          <w:szCs w:val="22"/>
        </w:rPr>
        <w:t>于质量保证期满后【十五】</w:t>
      </w:r>
      <w:r>
        <w:rPr>
          <w:rFonts w:ascii="宋体" w:hAnsi="宋体" w:eastAsia="宋体"/>
          <w:color w:val="auto"/>
          <w:sz w:val="22"/>
          <w:szCs w:val="22"/>
        </w:rPr>
        <w:t>工作日内</w:t>
      </w:r>
      <w:r>
        <w:rPr>
          <w:rFonts w:hint="eastAsia" w:ascii="宋体" w:hAnsi="宋体" w:eastAsia="宋体"/>
          <w:color w:val="auto"/>
          <w:sz w:val="22"/>
          <w:szCs w:val="22"/>
        </w:rPr>
        <w:t>无息</w:t>
      </w:r>
      <w:r>
        <w:rPr>
          <w:rFonts w:ascii="宋体" w:hAnsi="宋体" w:eastAsia="宋体"/>
          <w:color w:val="auto"/>
          <w:sz w:val="22"/>
          <w:szCs w:val="22"/>
        </w:rPr>
        <w:t>支付。</w:t>
      </w:r>
    </w:p>
    <w:p>
      <w:pPr>
        <w:pStyle w:val="50"/>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3.</w:t>
      </w:r>
      <w:r>
        <w:rPr>
          <w:rFonts w:hint="eastAsia" w:ascii="宋体" w:hAnsi="宋体" w:eastAsia="宋体"/>
          <w:color w:val="auto"/>
          <w:sz w:val="22"/>
          <w:szCs w:val="22"/>
        </w:rPr>
        <w:t>乙方在甲方每次付款前开具正式增值税发票。</w:t>
      </w:r>
    </w:p>
    <w:p>
      <w:pPr>
        <w:pStyle w:val="50"/>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4.</w:t>
      </w:r>
      <w:r>
        <w:rPr>
          <w:rFonts w:hint="eastAsia" w:ascii="宋体" w:hAnsi="宋体" w:eastAsia="宋体"/>
          <w:color w:val="auto"/>
          <w:sz w:val="22"/>
          <w:szCs w:val="22"/>
        </w:rPr>
        <w:t>履约保证金</w:t>
      </w:r>
    </w:p>
    <w:p>
      <w:pPr>
        <w:pStyle w:val="50"/>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4.1</w:t>
      </w:r>
      <w:r>
        <w:rPr>
          <w:rFonts w:hint="eastAsia" w:ascii="宋体" w:hAnsi="宋体" w:eastAsia="宋体"/>
          <w:color w:val="auto"/>
          <w:sz w:val="22"/>
          <w:szCs w:val="22"/>
        </w:rPr>
        <w:t xml:space="preserve"> 乙方应在收到甲方中标通知书后10日内，向甲方支付合同价的10%作为履约保证金。如果逾期未缴纳，视为乙方违约，甲方有权不予签订合同，并有权追究乙方的违约责任。</w:t>
      </w:r>
    </w:p>
    <w:p>
      <w:pPr>
        <w:pStyle w:val="50"/>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4.2</w:t>
      </w:r>
      <w:r>
        <w:rPr>
          <w:rFonts w:hint="eastAsia" w:ascii="宋体" w:hAnsi="宋体" w:eastAsia="宋体"/>
          <w:color w:val="auto"/>
          <w:sz w:val="22"/>
          <w:szCs w:val="22"/>
        </w:rPr>
        <w:t xml:space="preserve"> 在合同履行期间，如果乙方存在违约情形，甲方有权扣除相应款项，并书面通知乙方。乙方自收到书面通知之日起５日内提出异议并补足履约保证金，如果逾期未提出，视为同意。如果乙方不及时补足履约保证金，经甲方通知后３日内，仍未补足，视为乙方违约，甲方有权解除合同，并要求乙方承担相应的违约责任。待合同约定服务内容全部履行并取得甲方认可，乙方不存在任何违约情形，甲方在10日内无息返还履约保证金。</w:t>
      </w:r>
    </w:p>
    <w:p>
      <w:pPr>
        <w:adjustRightInd w:val="0"/>
        <w:snapToGrid w:val="0"/>
        <w:spacing w:line="360" w:lineRule="exact"/>
        <w:ind w:firstLine="442" w:firstLineChars="200"/>
        <w:outlineLvl w:val="0"/>
        <w:rPr>
          <w:rFonts w:ascii="宋体" w:hAnsi="宋体"/>
          <w:b/>
          <w:sz w:val="22"/>
        </w:rPr>
      </w:pPr>
      <w:bookmarkStart w:id="78" w:name="_Toc422638517"/>
      <w:r>
        <w:rPr>
          <w:rFonts w:hint="eastAsia" w:ascii="宋体" w:hAnsi="宋体"/>
          <w:b/>
          <w:sz w:val="22"/>
        </w:rPr>
        <w:t>十一、税费</w:t>
      </w:r>
      <w:bookmarkEnd w:id="78"/>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adjustRightInd w:val="0"/>
        <w:snapToGrid w:val="0"/>
        <w:spacing w:line="360" w:lineRule="exact"/>
        <w:ind w:firstLine="442" w:firstLineChars="200"/>
        <w:outlineLvl w:val="0"/>
        <w:rPr>
          <w:rFonts w:ascii="宋体" w:hAnsi="宋体"/>
          <w:b/>
          <w:sz w:val="22"/>
        </w:rPr>
      </w:pPr>
      <w:bookmarkStart w:id="79" w:name="_Toc422638518"/>
      <w:r>
        <w:rPr>
          <w:rFonts w:hint="eastAsia" w:ascii="宋体" w:hAnsi="宋体"/>
          <w:b/>
          <w:sz w:val="22"/>
        </w:rPr>
        <w:t>十二、质量保证及售后服务</w:t>
      </w:r>
      <w:bookmarkEnd w:id="79"/>
    </w:p>
    <w:p>
      <w:pPr>
        <w:adjustRightInd w:val="0"/>
        <w:snapToGrid w:val="0"/>
        <w:spacing w:line="360" w:lineRule="exact"/>
        <w:ind w:firstLine="442" w:firstLineChars="200"/>
        <w:rPr>
          <w:rFonts w:ascii="宋体" w:hAnsi="宋体"/>
          <w:sz w:val="22"/>
        </w:rPr>
      </w:pPr>
      <w:r>
        <w:rPr>
          <w:rFonts w:hint="eastAsia" w:ascii="宋体" w:hAnsi="宋体"/>
          <w:b/>
          <w:sz w:val="22"/>
        </w:rPr>
        <w:t xml:space="preserve">1. </w:t>
      </w:r>
      <w:r>
        <w:rPr>
          <w:rFonts w:hint="eastAsia" w:ascii="宋体" w:hAnsi="宋体"/>
          <w:sz w:val="22"/>
        </w:rPr>
        <w:t>乙方保证其所供应的产品符合相关产品质量标准，不存在任何质量瑕疵或因质量瑕疵而导致的安全隐患，且为未经使用的全新产品。</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乙方应为设备提供【2】年的免费保修期(含工时费和零部件费)，时间为甲方验收并接受货物之日起计算/（注：如涉及安装调试，则）或乙方安装调试完成，甲方在安装验收报告上签字确认之日起算。</w:t>
      </w:r>
    </w:p>
    <w:p>
      <w:pPr>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保修期内由于非甲方原因发生的的故障或损坏，乙方免费提供维修和备件直至设备性能、状态等达到正常标准，可以正常安全使用为止。如无法修复，乙方应负责免费更换或由甲方退还乙方所供货物，乙方退还甲方支付的合同款，同时应承担该货物的直接费用（运输、保险、检验、货款利息及银行手续费等）以及由此给甲方造成的损失。</w:t>
      </w:r>
    </w:p>
    <w:p>
      <w:pPr>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乙方提供24小时售后服务，在接到报修通知后，维修人员应在【二十四】小时内赶到杭州萧山国际机场，并连续进行维修，直到设备恢复正常。</w:t>
      </w:r>
      <w:r>
        <w:rPr>
          <w:rFonts w:hint="eastAsia" w:ascii="宋体" w:hAnsi="宋体" w:cs="楷体_GB2312"/>
          <w:kern w:val="0"/>
          <w:sz w:val="22"/>
          <w:lang w:val="zh-CN"/>
        </w:rPr>
        <w:t>修复部分的质保期自修复之日起重新开始计算。</w:t>
      </w:r>
    </w:p>
    <w:p>
      <w:pPr>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保修期结束的【十五】天前，乙方负责对设备进行一次全面的检修和维护，并由甲方验收认可。</w:t>
      </w:r>
    </w:p>
    <w:p>
      <w:pPr>
        <w:adjustRightInd w:val="0"/>
        <w:snapToGrid w:val="0"/>
        <w:spacing w:line="360" w:lineRule="exact"/>
        <w:ind w:firstLine="442" w:firstLineChars="200"/>
        <w:outlineLvl w:val="0"/>
        <w:rPr>
          <w:rFonts w:ascii="宋体" w:hAnsi="宋体"/>
          <w:b/>
          <w:sz w:val="22"/>
        </w:rPr>
      </w:pPr>
      <w:bookmarkStart w:id="80" w:name="_Toc422638519"/>
      <w:r>
        <w:rPr>
          <w:rFonts w:hint="eastAsia" w:ascii="宋体" w:hAnsi="宋体"/>
          <w:b/>
          <w:sz w:val="22"/>
        </w:rPr>
        <w:t>十三、违约责任</w:t>
      </w:r>
      <w:bookmarkEnd w:id="80"/>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甲方无正当理由拒收货物的，甲方向乙方偿付拒收货款总值的每日0.05%的违约金。</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甲方无故逾期验收和办理货款支付手续的,甲方应按逾期付款总额每日0.05%向乙方支付违约金。</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 xml:space="preserve">乙方逾期交付货物的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4. </w:t>
      </w:r>
      <w:r>
        <w:rPr>
          <w:rFonts w:hint="eastAsia" w:ascii="宋体" w:hAnsi="宋体"/>
          <w:sz w:val="22"/>
        </w:rPr>
        <w:t>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sz w:val="22"/>
        </w:rPr>
      </w:pPr>
      <w:r>
        <w:rPr>
          <w:rFonts w:hint="eastAsia" w:ascii="宋体" w:hAnsi="宋体"/>
          <w:b/>
          <w:sz w:val="22"/>
        </w:rPr>
        <w:t>6.</w:t>
      </w:r>
      <w:r>
        <w:rPr>
          <w:rFonts w:hint="eastAsia" w:ascii="宋体" w:hAnsi="宋体"/>
          <w:sz w:val="22"/>
        </w:rPr>
        <w:t xml:space="preserve"> 乙方不在约定期限内派人维修或维修质量验收不合格的，甲方可以委托他人修理，费用由乙方承担，甲方与第三方确认后可直接从质保金中扣除。</w:t>
      </w:r>
    </w:p>
    <w:p>
      <w:pPr>
        <w:adjustRightInd w:val="0"/>
        <w:snapToGrid w:val="0"/>
        <w:spacing w:line="360" w:lineRule="exact"/>
        <w:ind w:firstLine="442" w:firstLineChars="200"/>
        <w:rPr>
          <w:rFonts w:ascii="宋体" w:hAnsi="宋体"/>
          <w:sz w:val="22"/>
        </w:rPr>
      </w:pPr>
      <w:r>
        <w:rPr>
          <w:rFonts w:hint="eastAsia" w:ascii="宋体" w:hAnsi="宋体"/>
          <w:b/>
          <w:sz w:val="22"/>
        </w:rPr>
        <w:t>7．</w:t>
      </w:r>
      <w:r>
        <w:rPr>
          <w:rFonts w:hint="eastAsia" w:ascii="宋体" w:hAnsi="宋体"/>
          <w:sz w:val="22"/>
        </w:rPr>
        <w:t>除本合同另有规定外，乙方违反其在本合同项下其他义务并给甲方造成损失的，须向甲方承担全部赔偿责任。</w:t>
      </w:r>
    </w:p>
    <w:p>
      <w:pPr>
        <w:adjustRightInd w:val="0"/>
        <w:snapToGrid w:val="0"/>
        <w:spacing w:line="360" w:lineRule="exact"/>
        <w:ind w:firstLine="442" w:firstLineChars="200"/>
        <w:outlineLvl w:val="0"/>
        <w:rPr>
          <w:rFonts w:ascii="宋体" w:hAnsi="宋体"/>
          <w:b/>
          <w:sz w:val="22"/>
        </w:rPr>
      </w:pPr>
      <w:bookmarkStart w:id="81" w:name="_Toc422638520"/>
      <w:r>
        <w:rPr>
          <w:rFonts w:hint="eastAsia" w:ascii="宋体" w:hAnsi="宋体"/>
          <w:b/>
          <w:sz w:val="22"/>
        </w:rPr>
        <w:t>十四、不可抗力事件处理</w:t>
      </w:r>
      <w:bookmarkEnd w:id="81"/>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在合同有效期内，任何一方因不可抗力事件导致不能履行合同，则合同履行期可延长，其延长期与不可抗力影响期相同。</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不可抗力事件发生后，遭遇不可抗力的一方应立即通知对方，并寄送有关官方权威机构出具的证明。</w:t>
      </w:r>
    </w:p>
    <w:p>
      <w:pPr>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十五、争议解决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b/>
          <w:sz w:val="22"/>
        </w:rPr>
      </w:pPr>
      <w:r>
        <w:rPr>
          <w:rFonts w:hint="eastAsia" w:ascii="宋体" w:hAnsi="宋体"/>
          <w:b/>
          <w:sz w:val="22"/>
        </w:rPr>
        <w:t>十六、合同组成文件包含下列内容，合同与招投标文件不一致解释顺序如下：</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投标书及其附件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招标文件</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360" w:lineRule="exact"/>
        <w:ind w:firstLine="442" w:firstLineChars="200"/>
        <w:outlineLvl w:val="0"/>
        <w:rPr>
          <w:rFonts w:ascii="宋体" w:hAnsi="宋体"/>
          <w:b/>
          <w:sz w:val="22"/>
        </w:rPr>
      </w:pPr>
      <w:bookmarkStart w:id="82" w:name="_Toc422638521"/>
      <w:r>
        <w:rPr>
          <w:rFonts w:hint="eastAsia" w:ascii="宋体" w:hAnsi="宋体"/>
          <w:b/>
          <w:sz w:val="22"/>
        </w:rPr>
        <w:t>十七、合同生效及其它</w:t>
      </w:r>
      <w:bookmarkEnd w:id="82"/>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合同经双方法定代表人或授权代表签字并加盖单位公章之日起生效。</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本合同未尽事宜，双方可签订补充协议予以执行；未达成补充协议的，遵照《合同法》及有关法律法规执行。</w:t>
      </w:r>
    </w:p>
    <w:p>
      <w:pPr>
        <w:tabs>
          <w:tab w:val="right" w:pos="8306"/>
        </w:tabs>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本合同一式陆份，甲执</w:t>
      </w:r>
      <w:r>
        <w:rPr>
          <w:rFonts w:hint="eastAsia" w:ascii="宋体" w:hAnsi="宋体"/>
          <w:sz w:val="22"/>
          <w:lang w:val="en-US" w:eastAsia="zh-CN"/>
        </w:rPr>
        <w:t>肆</w:t>
      </w:r>
      <w:r>
        <w:rPr>
          <w:rFonts w:hint="eastAsia" w:ascii="宋体" w:hAnsi="宋体"/>
          <w:sz w:val="22"/>
        </w:rPr>
        <w:t>份，乙方持</w:t>
      </w:r>
      <w:r>
        <w:rPr>
          <w:rFonts w:hint="eastAsia" w:ascii="宋体" w:hAnsi="宋体"/>
          <w:sz w:val="22"/>
          <w:lang w:val="en-US" w:eastAsia="zh-CN"/>
        </w:rPr>
        <w:t>贰</w:t>
      </w:r>
      <w:r>
        <w:rPr>
          <w:rFonts w:hint="eastAsia" w:ascii="宋体" w:hAnsi="宋体"/>
          <w:sz w:val="22"/>
        </w:rPr>
        <w:t>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甲方：杭州萧山国际机场航空物流有限公司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地址：杭州萧山国际机场内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pStyle w:val="125"/>
        <w:spacing w:line="360" w:lineRule="exact"/>
        <w:ind w:firstLine="0" w:firstLineChars="0"/>
        <w:jc w:val="left"/>
        <w:rPr>
          <w:rFonts w:ascii="宋体" w:hAnsi="宋体"/>
          <w:b/>
          <w:color w:val="auto"/>
          <w:sz w:val="22"/>
          <w:szCs w:val="22"/>
        </w:rPr>
      </w:pPr>
      <w:r>
        <w:rPr>
          <w:rFonts w:ascii="宋体" w:hAnsi="宋体"/>
          <w:b/>
          <w:color w:val="auto"/>
          <w:sz w:val="22"/>
          <w:szCs w:val="22"/>
        </w:rPr>
        <w:br w:type="page"/>
      </w:r>
      <w:r>
        <w:rPr>
          <w:rFonts w:hint="eastAsia" w:ascii="宋体" w:hAnsi="宋体"/>
          <w:b/>
          <w:color w:val="auto"/>
          <w:sz w:val="22"/>
          <w:szCs w:val="22"/>
        </w:rPr>
        <w:t>附件：</w:t>
      </w:r>
    </w:p>
    <w:p>
      <w:pPr>
        <w:pStyle w:val="125"/>
        <w:spacing w:line="360" w:lineRule="exact"/>
        <w:ind w:firstLine="442"/>
        <w:jc w:val="left"/>
        <w:rPr>
          <w:rFonts w:ascii="宋体" w:hAnsi="宋体"/>
          <w:b/>
          <w:color w:val="auto"/>
          <w:sz w:val="22"/>
          <w:szCs w:val="22"/>
        </w:rPr>
      </w:pPr>
    </w:p>
    <w:p>
      <w:pPr>
        <w:pStyle w:val="125"/>
        <w:spacing w:line="360" w:lineRule="exact"/>
        <w:ind w:firstLine="562"/>
        <w:jc w:val="center"/>
        <w:rPr>
          <w:rFonts w:ascii="宋体" w:hAnsi="宋体"/>
          <w:b/>
          <w:color w:val="auto"/>
          <w:sz w:val="28"/>
          <w:szCs w:val="28"/>
        </w:rPr>
      </w:pPr>
      <w:r>
        <w:rPr>
          <w:rFonts w:hint="eastAsia" w:ascii="宋体" w:hAnsi="宋体"/>
          <w:b/>
          <w:color w:val="auto"/>
          <w:sz w:val="28"/>
          <w:szCs w:val="28"/>
        </w:rPr>
        <w:t>杭州萧山国际机场航空物流有限公司廉洁自律承诺书</w:t>
      </w:r>
    </w:p>
    <w:p>
      <w:pPr>
        <w:pStyle w:val="130"/>
        <w:adjustRightInd w:val="0"/>
        <w:snapToGrid w:val="0"/>
        <w:ind w:firstLine="442"/>
        <w:jc w:val="left"/>
        <w:rPr>
          <w:rFonts w:ascii="宋体" w:hAnsi="宋体"/>
          <w:b/>
          <w:sz w:val="22"/>
          <w:szCs w:val="22"/>
        </w:rPr>
      </w:pPr>
    </w:p>
    <w:p>
      <w:pPr>
        <w:pStyle w:val="130"/>
        <w:adjustRightInd w:val="0"/>
        <w:snapToGrid w:val="0"/>
        <w:ind w:firstLine="0" w:firstLineChars="0"/>
        <w:jc w:val="left"/>
        <w:rPr>
          <w:rFonts w:ascii="宋体" w:hAnsi="宋体"/>
          <w:b/>
          <w:sz w:val="22"/>
          <w:szCs w:val="22"/>
        </w:rPr>
      </w:pPr>
      <w:r>
        <w:rPr>
          <w:rFonts w:hint="eastAsia" w:ascii="宋体" w:hAnsi="宋体"/>
          <w:b/>
          <w:sz w:val="22"/>
          <w:szCs w:val="22"/>
        </w:rPr>
        <w:t>杭州萧山国际机场航空物流有限公司：</w:t>
      </w:r>
    </w:p>
    <w:p>
      <w:pPr>
        <w:pStyle w:val="130"/>
        <w:adjustRightInd w:val="0"/>
        <w:snapToGrid w:val="0"/>
        <w:ind w:firstLine="440"/>
        <w:jc w:val="left"/>
        <w:rPr>
          <w:rFonts w:ascii="宋体" w:hAnsi="宋体"/>
          <w:sz w:val="22"/>
          <w:szCs w:val="22"/>
        </w:rPr>
      </w:pPr>
      <w:r>
        <w:rPr>
          <w:rFonts w:hint="eastAsia" w:ascii="宋体" w:hAnsi="宋体"/>
          <w:sz w:val="22"/>
          <w:szCs w:val="22"/>
        </w:rPr>
        <w:t>我单位响应贵公司项目招标（竞争性谈判）要求，参加项目投标（竞争性谈判）。在投标过程中及中标后，我们将严格遵守国家法律法规要求，并郑重承诺：</w:t>
      </w:r>
    </w:p>
    <w:p>
      <w:pPr>
        <w:pStyle w:val="130"/>
        <w:adjustRightInd w:val="0"/>
        <w:snapToGrid w:val="0"/>
        <w:ind w:firstLine="440"/>
        <w:jc w:val="left"/>
        <w:rPr>
          <w:rFonts w:ascii="宋体" w:hAnsi="宋体"/>
          <w:sz w:val="22"/>
          <w:szCs w:val="22"/>
        </w:rPr>
      </w:pPr>
      <w:r>
        <w:rPr>
          <w:rFonts w:hint="eastAsia" w:ascii="宋体" w:hAnsi="宋体"/>
          <w:sz w:val="22"/>
          <w:szCs w:val="22"/>
        </w:rPr>
        <w:t>一、不以任何形式向贵公司有关人员及部门赠送礼金礼物或其它代币券、回扣、中介费、咨询费等好处费；</w:t>
      </w:r>
    </w:p>
    <w:p>
      <w:pPr>
        <w:pStyle w:val="130"/>
        <w:adjustRightInd w:val="0"/>
        <w:snapToGrid w:val="0"/>
        <w:ind w:firstLine="440"/>
        <w:jc w:val="left"/>
        <w:rPr>
          <w:rFonts w:ascii="宋体" w:hAnsi="宋体"/>
          <w:sz w:val="22"/>
          <w:szCs w:val="22"/>
        </w:rPr>
      </w:pPr>
      <w:r>
        <w:rPr>
          <w:rFonts w:hint="eastAsia" w:ascii="宋体" w:hAnsi="宋体"/>
          <w:sz w:val="22"/>
          <w:szCs w:val="22"/>
        </w:rPr>
        <w:t>二、不以任何名义为贵公司有关人员及部门报销应由贵公司或个人支付的费用；</w:t>
      </w:r>
    </w:p>
    <w:p>
      <w:pPr>
        <w:pStyle w:val="130"/>
        <w:adjustRightInd w:val="0"/>
        <w:snapToGrid w:val="0"/>
        <w:ind w:firstLine="440"/>
        <w:jc w:val="left"/>
        <w:rPr>
          <w:rFonts w:ascii="宋体" w:hAnsi="宋体"/>
          <w:sz w:val="22"/>
          <w:szCs w:val="22"/>
        </w:rPr>
      </w:pPr>
      <w:r>
        <w:rPr>
          <w:rFonts w:hint="eastAsia" w:ascii="宋体" w:hAnsi="宋体"/>
          <w:sz w:val="22"/>
          <w:szCs w:val="22"/>
        </w:rPr>
        <w:t>三、不向贵公司有关人员及部门提供有可能影响公正的宴请和健身娱乐等活动；</w:t>
      </w:r>
    </w:p>
    <w:p>
      <w:pPr>
        <w:pStyle w:val="130"/>
        <w:adjustRightInd w:val="0"/>
        <w:snapToGrid w:val="0"/>
        <w:ind w:firstLine="440"/>
        <w:jc w:val="left"/>
        <w:rPr>
          <w:rFonts w:ascii="宋体" w:hAnsi="宋体"/>
          <w:sz w:val="22"/>
          <w:szCs w:val="22"/>
        </w:rPr>
      </w:pPr>
      <w:r>
        <w:rPr>
          <w:rFonts w:hint="eastAsia" w:ascii="宋体" w:hAnsi="宋体"/>
          <w:sz w:val="22"/>
          <w:szCs w:val="22"/>
        </w:rPr>
        <w:t>四、不为贵公司有关人员出国（境）、旅游等提供方便；</w:t>
      </w:r>
    </w:p>
    <w:p>
      <w:pPr>
        <w:pStyle w:val="130"/>
        <w:adjustRightInd w:val="0"/>
        <w:snapToGrid w:val="0"/>
        <w:ind w:firstLine="440"/>
        <w:jc w:val="left"/>
        <w:rPr>
          <w:rFonts w:ascii="宋体" w:hAnsi="宋体"/>
          <w:sz w:val="22"/>
          <w:szCs w:val="22"/>
        </w:rPr>
      </w:pPr>
      <w:r>
        <w:rPr>
          <w:rFonts w:hint="eastAsia" w:ascii="宋体" w:hAnsi="宋体"/>
          <w:sz w:val="22"/>
          <w:szCs w:val="22"/>
        </w:rPr>
        <w:t>五、不为贵公司有关人员个人装修住房、婚丧嫁娶、配偶子女工作安排等提供好处；</w:t>
      </w:r>
    </w:p>
    <w:p>
      <w:pPr>
        <w:pStyle w:val="130"/>
        <w:adjustRightInd w:val="0"/>
        <w:snapToGrid w:val="0"/>
        <w:ind w:firstLine="440"/>
        <w:jc w:val="left"/>
        <w:rPr>
          <w:rFonts w:ascii="宋体" w:hAnsi="宋体"/>
          <w:sz w:val="22"/>
          <w:szCs w:val="22"/>
        </w:rPr>
      </w:pPr>
      <w:r>
        <w:rPr>
          <w:rFonts w:hint="eastAsia" w:ascii="宋体" w:hAnsi="宋体"/>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130"/>
        <w:adjustRightInd w:val="0"/>
        <w:snapToGrid w:val="0"/>
        <w:ind w:firstLine="440"/>
        <w:jc w:val="left"/>
        <w:rPr>
          <w:rFonts w:ascii="宋体" w:hAnsi="宋体"/>
          <w:sz w:val="22"/>
          <w:szCs w:val="22"/>
        </w:rPr>
      </w:pPr>
      <w:r>
        <w:rPr>
          <w:rFonts w:hint="eastAsia" w:ascii="宋体" w:hAnsi="宋体"/>
          <w:sz w:val="22"/>
          <w:szCs w:val="22"/>
        </w:rPr>
        <w:t>如违反上述承诺，贵公司有权立即取消我单位投标、中标或在建项目的实施资格，有权拒绝我单位在一定时期内进入贵公司进行项目建设或其它经营活动。由此引起的相应损失均由我单位承担。</w:t>
      </w:r>
    </w:p>
    <w:p>
      <w:pPr>
        <w:pStyle w:val="130"/>
        <w:adjustRightInd w:val="0"/>
        <w:snapToGrid w:val="0"/>
        <w:ind w:firstLine="440"/>
        <w:jc w:val="left"/>
        <w:rPr>
          <w:rFonts w:ascii="宋体" w:hAnsi="宋体"/>
          <w:sz w:val="22"/>
          <w:szCs w:val="22"/>
        </w:rPr>
      </w:pPr>
    </w:p>
    <w:p>
      <w:pPr>
        <w:pStyle w:val="130"/>
        <w:adjustRightInd w:val="0"/>
        <w:snapToGrid w:val="0"/>
        <w:ind w:firstLine="440"/>
        <w:jc w:val="left"/>
        <w:rPr>
          <w:rFonts w:ascii="宋体" w:hAnsi="宋体"/>
          <w:sz w:val="22"/>
          <w:szCs w:val="22"/>
        </w:rPr>
      </w:pPr>
    </w:p>
    <w:p>
      <w:pPr>
        <w:pStyle w:val="130"/>
        <w:adjustRightInd w:val="0"/>
        <w:snapToGrid w:val="0"/>
        <w:ind w:firstLine="440"/>
        <w:jc w:val="left"/>
        <w:rPr>
          <w:rFonts w:ascii="宋体" w:hAnsi="宋体"/>
          <w:sz w:val="22"/>
          <w:szCs w:val="22"/>
        </w:rPr>
      </w:pPr>
    </w:p>
    <w:p>
      <w:pPr>
        <w:pStyle w:val="130"/>
        <w:adjustRightInd w:val="0"/>
        <w:snapToGrid w:val="0"/>
        <w:ind w:firstLine="440"/>
        <w:jc w:val="left"/>
        <w:rPr>
          <w:rFonts w:ascii="宋体" w:hAnsi="宋体"/>
          <w:sz w:val="22"/>
          <w:szCs w:val="22"/>
        </w:rPr>
      </w:pPr>
    </w:p>
    <w:p>
      <w:pPr>
        <w:pStyle w:val="130"/>
        <w:adjustRightInd w:val="0"/>
        <w:snapToGrid w:val="0"/>
        <w:ind w:firstLine="440"/>
        <w:jc w:val="left"/>
        <w:rPr>
          <w:rFonts w:ascii="宋体" w:hAnsi="宋体"/>
          <w:sz w:val="22"/>
          <w:szCs w:val="22"/>
        </w:rPr>
      </w:pPr>
      <w:r>
        <w:rPr>
          <w:rFonts w:hint="eastAsia" w:ascii="宋体" w:hAnsi="宋体"/>
          <w:sz w:val="22"/>
          <w:szCs w:val="22"/>
        </w:rPr>
        <w:t xml:space="preserve">承诺人单位名称（盖章）：            </w:t>
      </w:r>
    </w:p>
    <w:p>
      <w:pPr>
        <w:pStyle w:val="130"/>
        <w:adjustRightInd w:val="0"/>
        <w:snapToGrid w:val="0"/>
        <w:ind w:firstLine="440"/>
        <w:jc w:val="left"/>
        <w:rPr>
          <w:rFonts w:ascii="宋体" w:hAnsi="宋体"/>
          <w:sz w:val="22"/>
          <w:szCs w:val="22"/>
        </w:rPr>
      </w:pPr>
      <w:r>
        <w:rPr>
          <w:rFonts w:hint="eastAsia" w:ascii="宋体" w:hAnsi="宋体"/>
          <w:sz w:val="22"/>
          <w:szCs w:val="22"/>
        </w:rPr>
        <w:t xml:space="preserve">法定代表人 ：                    </w:t>
      </w:r>
    </w:p>
    <w:p>
      <w:pPr>
        <w:pStyle w:val="130"/>
        <w:adjustRightInd w:val="0"/>
        <w:snapToGrid w:val="0"/>
        <w:ind w:firstLine="440"/>
        <w:jc w:val="left"/>
        <w:rPr>
          <w:rFonts w:ascii="宋体" w:hAnsi="宋体"/>
          <w:sz w:val="22"/>
          <w:szCs w:val="22"/>
        </w:rPr>
      </w:pPr>
      <w:r>
        <w:rPr>
          <w:rFonts w:hint="eastAsia" w:ascii="宋体" w:hAnsi="宋体"/>
          <w:sz w:val="22"/>
          <w:szCs w:val="22"/>
        </w:rPr>
        <w:t xml:space="preserve">或                            </w:t>
      </w:r>
    </w:p>
    <w:p>
      <w:pPr>
        <w:pStyle w:val="130"/>
        <w:adjustRightInd w:val="0"/>
        <w:snapToGrid w:val="0"/>
        <w:ind w:firstLine="440"/>
        <w:jc w:val="left"/>
        <w:rPr>
          <w:rFonts w:ascii="宋体" w:hAnsi="宋体"/>
          <w:sz w:val="22"/>
          <w:szCs w:val="22"/>
        </w:rPr>
      </w:pPr>
      <w:r>
        <w:rPr>
          <w:rFonts w:hint="eastAsia" w:ascii="宋体" w:hAnsi="宋体"/>
          <w:sz w:val="22"/>
          <w:szCs w:val="22"/>
        </w:rPr>
        <w:t xml:space="preserve">委托代理人：                   </w:t>
      </w:r>
    </w:p>
    <w:p>
      <w:pPr>
        <w:pStyle w:val="130"/>
        <w:adjustRightInd w:val="0"/>
        <w:snapToGrid w:val="0"/>
        <w:ind w:firstLine="440"/>
        <w:jc w:val="left"/>
        <w:rPr>
          <w:rFonts w:ascii="宋体" w:hAnsi="宋体"/>
          <w:sz w:val="22"/>
          <w:szCs w:val="22"/>
        </w:rPr>
      </w:pPr>
    </w:p>
    <w:p>
      <w:pPr>
        <w:pStyle w:val="130"/>
        <w:adjustRightInd w:val="0"/>
        <w:snapToGrid w:val="0"/>
        <w:ind w:firstLine="442"/>
        <w:jc w:val="left"/>
        <w:rPr>
          <w:rFonts w:ascii="宋体" w:hAnsi="宋体"/>
          <w:b/>
          <w:sz w:val="22"/>
          <w:szCs w:val="22"/>
        </w:rPr>
      </w:pPr>
    </w:p>
    <w:p>
      <w:pPr>
        <w:pStyle w:val="130"/>
        <w:ind w:firstLine="442"/>
        <w:jc w:val="left"/>
        <w:rPr>
          <w:rFonts w:ascii="宋体" w:hAnsi="宋体"/>
          <w:b/>
          <w:sz w:val="22"/>
          <w:szCs w:val="22"/>
        </w:rPr>
      </w:pPr>
    </w:p>
    <w:p>
      <w:pPr>
        <w:pStyle w:val="52"/>
        <w:rPr>
          <w:rFonts w:ascii="宋体" w:hAnsi="宋体" w:eastAsia="宋体"/>
          <w:b w:val="0"/>
          <w:sz w:val="22"/>
          <w:szCs w:val="22"/>
        </w:rPr>
      </w:pPr>
      <w:bookmarkStart w:id="83" w:name="_Toc422638522"/>
      <w:r>
        <w:rPr>
          <w:rFonts w:hint="eastAsia" w:ascii="宋体" w:hAnsi="宋体" w:eastAsia="宋体"/>
          <w:b w:val="0"/>
          <w:sz w:val="22"/>
          <w:szCs w:val="22"/>
        </w:rPr>
        <w:t>年    月     日</w:t>
      </w:r>
      <w:bookmarkEnd w:id="83"/>
    </w:p>
    <w:p>
      <w:pPr>
        <w:pStyle w:val="52"/>
      </w:pPr>
      <w:r>
        <w:rPr>
          <w:rFonts w:ascii="宋体" w:hAnsi="宋体" w:eastAsia="宋体"/>
          <w:sz w:val="22"/>
          <w:szCs w:val="22"/>
        </w:rPr>
        <w:br w:type="page"/>
      </w:r>
      <w:bookmarkStart w:id="84" w:name="_Toc422638523"/>
      <w:r>
        <w:t>第</w:t>
      </w:r>
      <w:r>
        <w:rPr>
          <w:rFonts w:hint="eastAsia"/>
        </w:rPr>
        <w:t>四</w:t>
      </w:r>
      <w:r>
        <w:t>章</w:t>
      </w:r>
      <w:r>
        <w:rPr>
          <w:rFonts w:hint="eastAsia"/>
        </w:rPr>
        <w:t xml:space="preserve">  </w:t>
      </w:r>
      <w:r>
        <w:t>货物需求一览表及技术规格</w:t>
      </w:r>
      <w:bookmarkEnd w:id="84"/>
    </w:p>
    <w:p>
      <w:pPr>
        <w:snapToGrid w:val="0"/>
        <w:spacing w:line="400" w:lineRule="exact"/>
        <w:rPr>
          <w:rFonts w:ascii="宋体" w:hAnsi="宋体"/>
          <w:b/>
          <w:sz w:val="22"/>
        </w:rPr>
      </w:pPr>
      <w:bookmarkStart w:id="85" w:name="_Toc275274581"/>
      <w:bookmarkStart w:id="86" w:name="_Toc422638527"/>
      <w:r>
        <w:rPr>
          <w:rFonts w:ascii="宋体" w:hAnsi="宋体"/>
          <w:b/>
          <w:sz w:val="22"/>
        </w:rPr>
        <w:t>1、概述</w:t>
      </w:r>
    </w:p>
    <w:p>
      <w:pPr>
        <w:snapToGrid w:val="0"/>
        <w:spacing w:line="400" w:lineRule="exact"/>
        <w:rPr>
          <w:rFonts w:ascii="宋体" w:hAnsi="宋体"/>
          <w:sz w:val="22"/>
        </w:rPr>
      </w:pPr>
      <w:r>
        <w:rPr>
          <w:rFonts w:ascii="宋体" w:hAnsi="宋体"/>
          <w:sz w:val="22"/>
        </w:rPr>
        <w:t>1.1 本技术规格书是招标文件的组成部分。内容包括杭州萧山国际机场有限公司所需</w:t>
      </w:r>
      <w:r>
        <w:rPr>
          <w:rFonts w:hint="eastAsia" w:ascii="宋体" w:hAnsi="宋体"/>
          <w:sz w:val="22"/>
        </w:rPr>
        <w:t>25</w:t>
      </w:r>
      <w:r>
        <w:rPr>
          <w:rFonts w:ascii="宋体" w:hAnsi="宋体"/>
          <w:sz w:val="22"/>
        </w:rPr>
        <w:t>吨</w:t>
      </w:r>
      <w:r>
        <w:rPr>
          <w:rFonts w:hint="eastAsia" w:ascii="宋体" w:hAnsi="宋体"/>
          <w:sz w:val="22"/>
        </w:rPr>
        <w:t>叉车</w:t>
      </w:r>
      <w:r>
        <w:rPr>
          <w:rFonts w:ascii="宋体" w:hAnsi="宋体"/>
          <w:sz w:val="22"/>
        </w:rPr>
        <w:t>的基本规格、条款、资料及有关文件。</w:t>
      </w:r>
    </w:p>
    <w:p>
      <w:pPr>
        <w:snapToGrid w:val="0"/>
        <w:spacing w:line="400" w:lineRule="exact"/>
        <w:rPr>
          <w:rFonts w:ascii="宋体" w:hAnsi="宋体"/>
          <w:b/>
          <w:sz w:val="22"/>
        </w:rPr>
      </w:pPr>
      <w:r>
        <w:rPr>
          <w:rFonts w:hint="eastAsia" w:ascii="宋体" w:hAnsi="宋体"/>
          <w:b/>
          <w:sz w:val="22"/>
        </w:rPr>
        <w:t>★</w:t>
      </w:r>
      <w:r>
        <w:rPr>
          <w:rFonts w:ascii="宋体" w:hAnsi="宋体"/>
          <w:b/>
          <w:sz w:val="22"/>
        </w:rPr>
        <w:t>1.2 投标人应提供成熟的、已被广泛使用的合格产品和配置，业主不接受为此次投标单独设计、配置的设备。投标的车辆及其所有零部件、配件和附件必须是全新并未经使用过的。</w:t>
      </w:r>
    </w:p>
    <w:p>
      <w:pPr>
        <w:snapToGrid w:val="0"/>
        <w:spacing w:line="400" w:lineRule="exact"/>
        <w:rPr>
          <w:rFonts w:ascii="宋体" w:hAnsi="宋体"/>
          <w:sz w:val="22"/>
        </w:rPr>
      </w:pPr>
      <w:r>
        <w:rPr>
          <w:rFonts w:ascii="宋体" w:hAnsi="宋体"/>
          <w:sz w:val="22"/>
        </w:rPr>
        <w:t>1.3 本规格书仅指出对</w:t>
      </w:r>
      <w:r>
        <w:rPr>
          <w:rFonts w:hint="eastAsia" w:ascii="宋体" w:hAnsi="宋体"/>
          <w:sz w:val="22"/>
        </w:rPr>
        <w:t>电动叉</w:t>
      </w:r>
      <w:r>
        <w:rPr>
          <w:rFonts w:ascii="宋体" w:hAnsi="宋体"/>
          <w:sz w:val="22"/>
        </w:rPr>
        <w:t>车的基本技术和功能要求。投标人应根据投标车辆的技术发展状况，采用优良的制造工艺和生产标准，完成投标车辆的设计和制造，向业主提供先进、完整、全新的3吨</w:t>
      </w:r>
      <w:r>
        <w:rPr>
          <w:rFonts w:hint="eastAsia" w:ascii="宋体" w:hAnsi="宋体"/>
          <w:sz w:val="22"/>
        </w:rPr>
        <w:t>叉</w:t>
      </w:r>
      <w:r>
        <w:rPr>
          <w:rFonts w:ascii="宋体" w:hAnsi="宋体"/>
          <w:sz w:val="22"/>
        </w:rPr>
        <w:t>车，并保证符合本规格书的要求。</w:t>
      </w:r>
    </w:p>
    <w:p>
      <w:pPr>
        <w:snapToGrid w:val="0"/>
        <w:spacing w:line="400" w:lineRule="exact"/>
        <w:rPr>
          <w:rFonts w:ascii="宋体" w:hAnsi="宋体"/>
          <w:sz w:val="22"/>
        </w:rPr>
      </w:pPr>
      <w:r>
        <w:rPr>
          <w:rFonts w:ascii="宋体" w:hAnsi="宋体"/>
          <w:sz w:val="22"/>
        </w:rPr>
        <w:t>1.4 投标人应在投标书中列表标明车辆的各项性能指标，任何偏差必须列入偏差表。中标后卖方在合同谈判中的任何偏差不得超越此偏差表中已被业主确认的条款。</w:t>
      </w:r>
    </w:p>
    <w:p>
      <w:pPr>
        <w:pStyle w:val="16"/>
        <w:snapToGrid w:val="0"/>
        <w:spacing w:after="0" w:line="400" w:lineRule="exact"/>
        <w:rPr>
          <w:rFonts w:ascii="宋体" w:hAnsi="宋体"/>
          <w:sz w:val="22"/>
        </w:rPr>
      </w:pPr>
      <w:r>
        <w:rPr>
          <w:rFonts w:ascii="宋体" w:hAnsi="宋体"/>
          <w:sz w:val="22"/>
        </w:rPr>
        <w:t>1.5 投标人必须对投标内容和提供的产品所涉及的有关机械、电气、仪表、工艺等方面的一切专利承担责任，并负责保护业主的利益不受任何损害。一切由于文字、商标、软件和技术专利等方面的侵权而引起的法律裁决、诉讼和费用均由投标人负责。</w:t>
      </w:r>
    </w:p>
    <w:p>
      <w:pPr>
        <w:snapToGrid w:val="0"/>
        <w:spacing w:line="400" w:lineRule="exact"/>
        <w:jc w:val="center"/>
        <w:rPr>
          <w:rFonts w:ascii="宋体" w:hAnsi="宋体"/>
          <w:b/>
          <w:sz w:val="22"/>
        </w:rPr>
      </w:pPr>
      <w:r>
        <w:rPr>
          <w:rFonts w:ascii="宋体" w:hAnsi="宋体"/>
          <w:b/>
          <w:sz w:val="22"/>
        </w:rPr>
        <w:t>货物需求一览表</w:t>
      </w:r>
    </w:p>
    <w:tbl>
      <w:tblPr>
        <w:tblStyle w:val="59"/>
        <w:tblW w:w="8945"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5"/>
        <w:gridCol w:w="900"/>
        <w:gridCol w:w="3015"/>
        <w:gridCol w:w="1575"/>
        <w:gridCol w:w="147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72" w:hRule="atLeast"/>
        </w:trPr>
        <w:tc>
          <w:tcPr>
            <w:tcW w:w="1985" w:type="dxa"/>
            <w:vAlign w:val="center"/>
          </w:tcPr>
          <w:p>
            <w:pPr>
              <w:snapToGrid w:val="0"/>
              <w:rPr>
                <w:rFonts w:ascii="宋体" w:hAnsi="宋体"/>
                <w:caps/>
                <w:sz w:val="22"/>
              </w:rPr>
            </w:pPr>
            <w:r>
              <w:rPr>
                <w:rFonts w:ascii="宋体" w:hAnsi="宋体"/>
                <w:caps/>
                <w:sz w:val="22"/>
              </w:rPr>
              <w:t>货物名称</w:t>
            </w:r>
          </w:p>
        </w:tc>
        <w:tc>
          <w:tcPr>
            <w:tcW w:w="900" w:type="dxa"/>
            <w:vAlign w:val="center"/>
          </w:tcPr>
          <w:p>
            <w:pPr>
              <w:snapToGrid w:val="0"/>
              <w:rPr>
                <w:rFonts w:ascii="宋体" w:hAnsi="宋体"/>
                <w:caps/>
                <w:sz w:val="22"/>
              </w:rPr>
            </w:pPr>
            <w:r>
              <w:rPr>
                <w:rFonts w:ascii="宋体" w:hAnsi="宋体"/>
                <w:caps/>
                <w:sz w:val="22"/>
              </w:rPr>
              <w:t>数 量</w:t>
            </w:r>
          </w:p>
        </w:tc>
        <w:tc>
          <w:tcPr>
            <w:tcW w:w="3015" w:type="dxa"/>
            <w:vAlign w:val="center"/>
          </w:tcPr>
          <w:p>
            <w:pPr>
              <w:snapToGrid w:val="0"/>
              <w:rPr>
                <w:rFonts w:ascii="宋体" w:hAnsi="宋体"/>
                <w:caps/>
                <w:sz w:val="22"/>
              </w:rPr>
            </w:pPr>
            <w:r>
              <w:rPr>
                <w:rFonts w:ascii="宋体" w:hAnsi="宋体"/>
                <w:caps/>
                <w:sz w:val="22"/>
              </w:rPr>
              <w:t>主要技术规格</w:t>
            </w:r>
          </w:p>
        </w:tc>
        <w:tc>
          <w:tcPr>
            <w:tcW w:w="1575" w:type="dxa"/>
            <w:vAlign w:val="center"/>
          </w:tcPr>
          <w:p>
            <w:pPr>
              <w:snapToGrid w:val="0"/>
              <w:rPr>
                <w:rFonts w:ascii="宋体" w:hAnsi="宋体"/>
                <w:caps/>
                <w:sz w:val="22"/>
              </w:rPr>
            </w:pPr>
            <w:r>
              <w:rPr>
                <w:rFonts w:ascii="宋体" w:hAnsi="宋体"/>
                <w:caps/>
                <w:sz w:val="22"/>
              </w:rPr>
              <w:t>交货期</w:t>
            </w:r>
          </w:p>
        </w:tc>
        <w:tc>
          <w:tcPr>
            <w:tcW w:w="1470" w:type="dxa"/>
            <w:vAlign w:val="center"/>
          </w:tcPr>
          <w:p>
            <w:pPr>
              <w:snapToGrid w:val="0"/>
              <w:rPr>
                <w:rFonts w:ascii="宋体" w:hAnsi="宋体"/>
                <w:caps/>
                <w:sz w:val="22"/>
              </w:rPr>
            </w:pPr>
            <w:r>
              <w:rPr>
                <w:rFonts w:ascii="宋体" w:hAnsi="宋体"/>
                <w:caps/>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1985" w:type="dxa"/>
            <w:vAlign w:val="center"/>
          </w:tcPr>
          <w:p>
            <w:pPr>
              <w:snapToGrid w:val="0"/>
              <w:rPr>
                <w:rFonts w:ascii="宋体" w:hAnsi="宋体"/>
                <w:sz w:val="22"/>
              </w:rPr>
            </w:pPr>
            <w:r>
              <w:rPr>
                <w:rFonts w:ascii="宋体" w:hAnsi="宋体"/>
                <w:sz w:val="22"/>
              </w:rPr>
              <w:t>电动叉车</w:t>
            </w:r>
          </w:p>
        </w:tc>
        <w:tc>
          <w:tcPr>
            <w:tcW w:w="900" w:type="dxa"/>
            <w:vAlign w:val="center"/>
          </w:tcPr>
          <w:p>
            <w:pPr>
              <w:snapToGrid w:val="0"/>
              <w:rPr>
                <w:rFonts w:ascii="宋体" w:hAnsi="宋体"/>
                <w:sz w:val="22"/>
              </w:rPr>
            </w:pPr>
            <w:r>
              <w:rPr>
                <w:rFonts w:hint="eastAsia" w:ascii="宋体" w:hAnsi="宋体"/>
                <w:sz w:val="22"/>
                <w:lang w:val="en-US" w:eastAsia="zh-CN"/>
              </w:rPr>
              <w:t>2</w:t>
            </w:r>
            <w:r>
              <w:rPr>
                <w:rFonts w:ascii="宋体" w:hAnsi="宋体"/>
                <w:sz w:val="22"/>
              </w:rPr>
              <w:t>台</w:t>
            </w:r>
          </w:p>
        </w:tc>
        <w:tc>
          <w:tcPr>
            <w:tcW w:w="3015" w:type="dxa"/>
            <w:vAlign w:val="center"/>
          </w:tcPr>
          <w:p>
            <w:pPr>
              <w:snapToGrid w:val="0"/>
              <w:rPr>
                <w:rFonts w:ascii="宋体" w:hAnsi="宋体"/>
                <w:sz w:val="22"/>
              </w:rPr>
            </w:pPr>
            <w:r>
              <w:rPr>
                <w:rFonts w:hint="eastAsia" w:ascii="宋体" w:hAnsi="宋体"/>
                <w:sz w:val="22"/>
              </w:rPr>
              <w:t>额定起升重量不低于 2500KG</w:t>
            </w:r>
          </w:p>
        </w:tc>
        <w:tc>
          <w:tcPr>
            <w:tcW w:w="1575" w:type="dxa"/>
            <w:vAlign w:val="center"/>
          </w:tcPr>
          <w:p>
            <w:pPr>
              <w:snapToGrid w:val="0"/>
              <w:rPr>
                <w:rFonts w:ascii="宋体" w:hAnsi="宋体"/>
                <w:sz w:val="22"/>
              </w:rPr>
            </w:pPr>
            <w:r>
              <w:rPr>
                <w:rFonts w:ascii="宋体" w:hAnsi="宋体"/>
                <w:sz w:val="22"/>
              </w:rPr>
              <w:t>合同</w:t>
            </w:r>
            <w:r>
              <w:rPr>
                <w:rFonts w:hint="eastAsia" w:ascii="宋体" w:hAnsi="宋体"/>
                <w:sz w:val="22"/>
              </w:rPr>
              <w:t>签订</w:t>
            </w:r>
            <w:r>
              <w:rPr>
                <w:rFonts w:ascii="宋体" w:hAnsi="宋体"/>
                <w:sz w:val="22"/>
              </w:rPr>
              <w:t>起</w:t>
            </w:r>
            <w:r>
              <w:rPr>
                <w:rFonts w:hint="eastAsia" w:ascii="宋体" w:hAnsi="宋体"/>
                <w:sz w:val="22"/>
                <w:lang w:val="en-US" w:eastAsia="zh-CN"/>
              </w:rPr>
              <w:t>30</w:t>
            </w:r>
            <w:r>
              <w:rPr>
                <w:rFonts w:hint="eastAsia" w:ascii="宋体" w:hAnsi="宋体"/>
                <w:sz w:val="22"/>
              </w:rPr>
              <w:t>日历天</w:t>
            </w:r>
          </w:p>
        </w:tc>
        <w:tc>
          <w:tcPr>
            <w:tcW w:w="1470" w:type="dxa"/>
            <w:vAlign w:val="center"/>
          </w:tcPr>
          <w:p>
            <w:pPr>
              <w:snapToGrid w:val="0"/>
              <w:rPr>
                <w:rFonts w:ascii="宋体" w:hAnsi="宋体"/>
                <w:sz w:val="22"/>
              </w:rPr>
            </w:pPr>
            <w:r>
              <w:rPr>
                <w:rFonts w:ascii="宋体" w:hAnsi="宋体"/>
                <w:sz w:val="22"/>
              </w:rPr>
              <w:t>杭州萧山国际机场</w:t>
            </w:r>
          </w:p>
        </w:tc>
      </w:tr>
    </w:tbl>
    <w:p>
      <w:pPr>
        <w:widowControl/>
        <w:autoSpaceDE w:val="0"/>
        <w:autoSpaceDN w:val="0"/>
        <w:snapToGrid w:val="0"/>
        <w:spacing w:line="400" w:lineRule="exact"/>
        <w:textAlignment w:val="bottom"/>
        <w:rPr>
          <w:rFonts w:ascii="宋体" w:hAnsi="宋体"/>
          <w:sz w:val="22"/>
        </w:rPr>
      </w:pPr>
    </w:p>
    <w:p>
      <w:pPr>
        <w:widowControl/>
        <w:autoSpaceDE w:val="0"/>
        <w:autoSpaceDN w:val="0"/>
        <w:snapToGrid w:val="0"/>
        <w:spacing w:line="400" w:lineRule="exact"/>
        <w:textAlignment w:val="bottom"/>
        <w:rPr>
          <w:rFonts w:ascii="宋体" w:hAnsi="宋体"/>
          <w:b/>
          <w:sz w:val="22"/>
        </w:rPr>
      </w:pPr>
      <w:r>
        <w:rPr>
          <w:rFonts w:ascii="宋体" w:hAnsi="宋体"/>
          <w:b/>
          <w:sz w:val="22"/>
        </w:rPr>
        <w:t>2、工作范围及工作条件</w:t>
      </w:r>
    </w:p>
    <w:p>
      <w:pPr>
        <w:widowControl/>
        <w:autoSpaceDE w:val="0"/>
        <w:autoSpaceDN w:val="0"/>
        <w:snapToGrid w:val="0"/>
        <w:spacing w:line="400" w:lineRule="exact"/>
        <w:textAlignment w:val="bottom"/>
        <w:rPr>
          <w:rFonts w:ascii="宋体" w:hAnsi="宋体"/>
          <w:sz w:val="22"/>
        </w:rPr>
      </w:pPr>
      <w:r>
        <w:rPr>
          <w:rFonts w:ascii="宋体" w:hAnsi="宋体"/>
          <w:sz w:val="22"/>
        </w:rPr>
        <w:t>2.1 工作范围：</w:t>
      </w:r>
    </w:p>
    <w:p>
      <w:pPr>
        <w:snapToGrid w:val="0"/>
        <w:spacing w:line="400" w:lineRule="exact"/>
        <w:rPr>
          <w:rFonts w:ascii="宋体" w:hAnsi="宋体"/>
          <w:sz w:val="22"/>
        </w:rPr>
      </w:pPr>
      <w:r>
        <w:rPr>
          <w:rFonts w:ascii="宋体" w:hAnsi="宋体"/>
          <w:sz w:val="22"/>
        </w:rPr>
        <w:t>2.1.1 投标商需要按本规格书的要求完成本次招标范围内车辆的设计、制造、运输、调试、试运行、验收及售后服务工作；</w:t>
      </w:r>
    </w:p>
    <w:p>
      <w:pPr>
        <w:snapToGrid w:val="0"/>
        <w:spacing w:line="400" w:lineRule="exact"/>
        <w:rPr>
          <w:rFonts w:ascii="宋体" w:hAnsi="宋体"/>
          <w:sz w:val="22"/>
        </w:rPr>
      </w:pPr>
      <w:r>
        <w:rPr>
          <w:rFonts w:ascii="宋体" w:hAnsi="宋体"/>
          <w:sz w:val="22"/>
        </w:rPr>
        <w:t>2.1.2 投标商需按上述工作顺序免费向业主提交所需的资料，所有资料必须符合本规格书的要求；</w:t>
      </w:r>
    </w:p>
    <w:p>
      <w:pPr>
        <w:snapToGrid w:val="0"/>
        <w:spacing w:line="400" w:lineRule="exact"/>
        <w:rPr>
          <w:rFonts w:ascii="宋体" w:hAnsi="宋体"/>
          <w:sz w:val="22"/>
        </w:rPr>
      </w:pPr>
      <w:r>
        <w:rPr>
          <w:rFonts w:ascii="宋体" w:hAnsi="宋体"/>
          <w:sz w:val="22"/>
        </w:rPr>
        <w:t>2.1.3 投标商在投标时应提供完整的投标车辆的产品样本及本规格书要求的各项测试报告，如果投标车辆的性能参数与样本有矛盾，以后者为准；如果投标车辆的样本与测试报告有矛盾，以后者为准；</w:t>
      </w:r>
    </w:p>
    <w:p>
      <w:pPr>
        <w:snapToGrid w:val="0"/>
        <w:spacing w:line="400" w:lineRule="exact"/>
        <w:rPr>
          <w:rFonts w:ascii="宋体" w:hAnsi="宋体"/>
          <w:sz w:val="22"/>
        </w:rPr>
      </w:pPr>
      <w:r>
        <w:rPr>
          <w:rFonts w:ascii="宋体" w:hAnsi="宋体"/>
          <w:sz w:val="22"/>
        </w:rPr>
        <w:t>2.1.4 投标商在投标书中必须列表标明投标车辆和主要部件的制造商全称、国别、地址、品牌 、型号等；</w:t>
      </w:r>
    </w:p>
    <w:p>
      <w:pPr>
        <w:widowControl/>
        <w:autoSpaceDE w:val="0"/>
        <w:autoSpaceDN w:val="0"/>
        <w:snapToGrid w:val="0"/>
        <w:spacing w:line="400" w:lineRule="exact"/>
        <w:textAlignment w:val="bottom"/>
        <w:rPr>
          <w:rFonts w:ascii="宋体" w:hAnsi="宋体"/>
          <w:sz w:val="22"/>
        </w:rPr>
      </w:pPr>
      <w:r>
        <w:rPr>
          <w:rFonts w:ascii="宋体" w:hAnsi="宋体"/>
          <w:sz w:val="22"/>
        </w:rPr>
        <w:t>2.1.5 投标商在投标时，须提供中文或中英文对照的技术文件、资料、图纸及相应的磁盘、光盘等。</w:t>
      </w:r>
    </w:p>
    <w:p>
      <w:pPr>
        <w:widowControl/>
        <w:autoSpaceDE w:val="0"/>
        <w:autoSpaceDN w:val="0"/>
        <w:snapToGrid w:val="0"/>
        <w:spacing w:line="400" w:lineRule="exact"/>
        <w:textAlignment w:val="bottom"/>
        <w:rPr>
          <w:rFonts w:ascii="宋体" w:hAnsi="宋体"/>
          <w:sz w:val="22"/>
        </w:rPr>
      </w:pPr>
      <w:r>
        <w:rPr>
          <w:rFonts w:ascii="宋体" w:hAnsi="宋体"/>
          <w:sz w:val="22"/>
        </w:rPr>
        <w:t xml:space="preserve">2.2 </w:t>
      </w:r>
      <w:r>
        <w:rPr>
          <w:rFonts w:ascii="宋体" w:hAnsi="宋体"/>
          <w:bCs/>
          <w:sz w:val="22"/>
        </w:rPr>
        <w:t>设备工作条件：</w:t>
      </w:r>
    </w:p>
    <w:p>
      <w:pPr>
        <w:snapToGrid w:val="0"/>
        <w:spacing w:line="400" w:lineRule="exact"/>
        <w:ind w:firstLine="440" w:firstLineChars="200"/>
        <w:rPr>
          <w:rFonts w:ascii="宋体" w:hAnsi="宋体"/>
          <w:color w:val="000000"/>
          <w:sz w:val="22"/>
        </w:rPr>
      </w:pPr>
      <w:r>
        <w:rPr>
          <w:rFonts w:ascii="宋体" w:hAnsi="宋体"/>
          <w:color w:val="000000"/>
          <w:sz w:val="22"/>
        </w:rPr>
        <w:t>车辆和各种设备应在下列的现场条件下正常工作，投标方在选择所提供的车辆和设备时，应满足这些条件：</w:t>
      </w:r>
    </w:p>
    <w:p>
      <w:pPr>
        <w:snapToGrid w:val="0"/>
        <w:spacing w:line="400" w:lineRule="exact"/>
        <w:ind w:firstLine="440" w:firstLineChars="200"/>
        <w:rPr>
          <w:rFonts w:ascii="宋体" w:hAnsi="宋体"/>
          <w:color w:val="000000"/>
          <w:sz w:val="22"/>
        </w:rPr>
      </w:pPr>
      <w:r>
        <w:rPr>
          <w:rFonts w:ascii="宋体" w:hAnsi="宋体"/>
          <w:color w:val="000000"/>
          <w:sz w:val="22"/>
        </w:rPr>
        <w:t>大气压力：99.8KPa-103KPa。</w:t>
      </w:r>
    </w:p>
    <w:p>
      <w:pPr>
        <w:snapToGrid w:val="0"/>
        <w:spacing w:line="400" w:lineRule="exact"/>
        <w:ind w:firstLine="440" w:firstLineChars="200"/>
        <w:rPr>
          <w:rFonts w:ascii="宋体" w:hAnsi="宋体"/>
          <w:color w:val="000000"/>
          <w:sz w:val="22"/>
        </w:rPr>
      </w:pPr>
      <w:r>
        <w:rPr>
          <w:rFonts w:ascii="宋体" w:hAnsi="宋体"/>
          <w:color w:val="000000"/>
          <w:sz w:val="22"/>
        </w:rPr>
        <w:t>环境温度: -10℃-+60℃</w:t>
      </w:r>
    </w:p>
    <w:p>
      <w:pPr>
        <w:snapToGrid w:val="0"/>
        <w:spacing w:line="400" w:lineRule="exact"/>
        <w:ind w:firstLine="440" w:firstLineChars="200"/>
        <w:rPr>
          <w:rFonts w:ascii="宋体" w:hAnsi="宋体"/>
          <w:color w:val="000000"/>
          <w:sz w:val="22"/>
        </w:rPr>
      </w:pPr>
      <w:r>
        <w:rPr>
          <w:rFonts w:ascii="宋体" w:hAnsi="宋体"/>
          <w:color w:val="000000"/>
          <w:sz w:val="22"/>
        </w:rPr>
        <w:t>相对湿度：20%-100%，平均80%。</w:t>
      </w:r>
      <w:r>
        <w:rPr>
          <w:rFonts w:hint="eastAsia" w:ascii="宋体" w:hAnsi="宋体"/>
          <w:color w:val="000000"/>
          <w:sz w:val="22"/>
        </w:rPr>
        <w:t xml:space="preserve"> </w:t>
      </w:r>
    </w:p>
    <w:p>
      <w:pPr>
        <w:widowControl/>
        <w:autoSpaceDE w:val="0"/>
        <w:autoSpaceDN w:val="0"/>
        <w:snapToGrid w:val="0"/>
        <w:spacing w:line="400" w:lineRule="exact"/>
        <w:textAlignment w:val="bottom"/>
        <w:rPr>
          <w:rFonts w:ascii="宋体" w:hAnsi="宋体"/>
          <w:sz w:val="22"/>
        </w:rPr>
      </w:pPr>
      <w:r>
        <w:rPr>
          <w:rFonts w:ascii="宋体" w:hAnsi="宋体"/>
          <w:sz w:val="22"/>
        </w:rPr>
        <w:t>2.3 设备交货地点：杭州萧山国际机场有限公司</w:t>
      </w:r>
    </w:p>
    <w:p>
      <w:pPr>
        <w:snapToGrid w:val="0"/>
        <w:spacing w:line="400" w:lineRule="exact"/>
        <w:rPr>
          <w:rFonts w:ascii="宋体" w:hAnsi="宋体"/>
          <w:b/>
          <w:sz w:val="22"/>
        </w:rPr>
      </w:pPr>
      <w:r>
        <w:rPr>
          <w:rFonts w:ascii="宋体" w:hAnsi="宋体"/>
          <w:b/>
          <w:sz w:val="22"/>
        </w:rPr>
        <w:t>3、产品标准和规范</w:t>
      </w:r>
    </w:p>
    <w:p>
      <w:pPr>
        <w:snapToGrid w:val="0"/>
        <w:spacing w:line="400" w:lineRule="exact"/>
        <w:rPr>
          <w:rFonts w:ascii="宋体" w:hAnsi="宋体"/>
          <w:sz w:val="22"/>
        </w:rPr>
      </w:pPr>
      <w:r>
        <w:rPr>
          <w:rFonts w:ascii="宋体" w:hAnsi="宋体"/>
          <w:sz w:val="22"/>
        </w:rPr>
        <w:t>3.1 投标车辆的设计、制造、试验等，应采用适合于该项目的最新的且已实施的标准和规范，这些标准包括：</w:t>
      </w:r>
    </w:p>
    <w:p>
      <w:pPr>
        <w:snapToGrid w:val="0"/>
        <w:spacing w:line="400" w:lineRule="exact"/>
        <w:rPr>
          <w:rFonts w:ascii="宋体" w:hAnsi="宋体"/>
          <w:sz w:val="22"/>
        </w:rPr>
      </w:pPr>
      <w:r>
        <w:rPr>
          <w:rFonts w:ascii="宋体" w:hAnsi="宋体"/>
          <w:sz w:val="22"/>
        </w:rPr>
        <w:t>3.1.1 中国国家标准和中国专业标准(GB,GJB,MH等)。</w:t>
      </w:r>
    </w:p>
    <w:p>
      <w:pPr>
        <w:snapToGrid w:val="0"/>
        <w:spacing w:line="400" w:lineRule="exact"/>
        <w:rPr>
          <w:rFonts w:ascii="宋体" w:hAnsi="宋体"/>
          <w:sz w:val="22"/>
        </w:rPr>
      </w:pPr>
      <w:r>
        <w:rPr>
          <w:rFonts w:ascii="宋体" w:hAnsi="宋体"/>
          <w:sz w:val="22"/>
        </w:rPr>
        <w:t>3.1.2 国际权威性组织标准(ISO，ICAO，IATA，IEC，</w:t>
      </w:r>
      <w:r>
        <w:rPr>
          <w:rFonts w:ascii="宋体" w:hAnsi="宋体"/>
          <w:color w:val="000000"/>
          <w:sz w:val="22"/>
        </w:rPr>
        <w:t>SAE</w:t>
      </w:r>
      <w:r>
        <w:rPr>
          <w:rFonts w:ascii="宋体" w:hAnsi="宋体"/>
          <w:sz w:val="22"/>
        </w:rPr>
        <w:t>等)。</w:t>
      </w:r>
    </w:p>
    <w:p>
      <w:pPr>
        <w:snapToGrid w:val="0"/>
        <w:spacing w:line="400" w:lineRule="exact"/>
        <w:rPr>
          <w:rFonts w:ascii="宋体" w:hAnsi="宋体"/>
          <w:sz w:val="22"/>
        </w:rPr>
      </w:pPr>
      <w:r>
        <w:rPr>
          <w:rFonts w:ascii="宋体" w:hAnsi="宋体"/>
          <w:sz w:val="22"/>
        </w:rPr>
        <w:t>3.1.</w:t>
      </w:r>
      <w:r>
        <w:rPr>
          <w:rFonts w:hint="eastAsia" w:ascii="宋体" w:hAnsi="宋体"/>
          <w:sz w:val="22"/>
        </w:rPr>
        <w:t>3美国焊接协会（AWS）标准。</w:t>
      </w:r>
    </w:p>
    <w:p>
      <w:pPr>
        <w:snapToGrid w:val="0"/>
        <w:spacing w:line="400" w:lineRule="exact"/>
        <w:rPr>
          <w:rFonts w:ascii="宋体" w:hAnsi="宋体"/>
          <w:sz w:val="22"/>
        </w:rPr>
      </w:pPr>
      <w:r>
        <w:rPr>
          <w:rFonts w:ascii="宋体" w:hAnsi="宋体"/>
          <w:sz w:val="22"/>
        </w:rPr>
        <w:t>3.1.</w:t>
      </w:r>
      <w:r>
        <w:rPr>
          <w:rFonts w:hint="eastAsia" w:ascii="宋体" w:hAnsi="宋体"/>
          <w:sz w:val="22"/>
        </w:rPr>
        <w:t>4瑞典工业标准（SIS）钢板除锈和油漆标准</w:t>
      </w:r>
    </w:p>
    <w:p>
      <w:pPr>
        <w:pStyle w:val="34"/>
        <w:snapToGrid w:val="0"/>
        <w:spacing w:after="0" w:line="400" w:lineRule="exact"/>
        <w:ind w:left="0" w:leftChars="0"/>
        <w:rPr>
          <w:rFonts w:ascii="宋体" w:hAnsi="宋体"/>
          <w:sz w:val="22"/>
          <w:szCs w:val="22"/>
        </w:rPr>
      </w:pPr>
      <w:r>
        <w:rPr>
          <w:rFonts w:ascii="宋体" w:hAnsi="宋体"/>
          <w:sz w:val="22"/>
          <w:szCs w:val="22"/>
        </w:rPr>
        <w:t>3.2 投标商使用上述以外的标准和规范时，应加以说明，并在投标时提交用于替代的标准或规范的原文和中文译本，明显的差异点要特别说明。当推荐的标准和规范等效于或优于本规格书要求时，才可能被业主接受。</w:t>
      </w:r>
    </w:p>
    <w:p>
      <w:pPr>
        <w:snapToGrid w:val="0"/>
        <w:spacing w:line="400" w:lineRule="exact"/>
        <w:rPr>
          <w:rFonts w:ascii="宋体" w:hAnsi="宋体"/>
          <w:sz w:val="22"/>
        </w:rPr>
      </w:pPr>
      <w:r>
        <w:rPr>
          <w:rFonts w:ascii="宋体" w:hAnsi="宋体"/>
          <w:sz w:val="22"/>
        </w:rPr>
        <w:t>3.3 对车辆的各种零、配件应充分考虑其标准化和通用化，便于互换。</w:t>
      </w:r>
    </w:p>
    <w:p>
      <w:pPr>
        <w:snapToGrid w:val="0"/>
        <w:spacing w:line="400" w:lineRule="exact"/>
        <w:rPr>
          <w:rFonts w:ascii="宋体" w:hAnsi="宋体"/>
          <w:sz w:val="22"/>
        </w:rPr>
      </w:pPr>
      <w:r>
        <w:rPr>
          <w:rFonts w:ascii="宋体" w:hAnsi="宋体"/>
          <w:sz w:val="22"/>
        </w:rPr>
        <w:t>3.4 投标书中使用的车辆上标注的所有计量单位都必须使用国际单位制（SI）规定的单位及其导出单位。</w:t>
      </w:r>
    </w:p>
    <w:p>
      <w:pPr>
        <w:snapToGrid w:val="0"/>
        <w:spacing w:line="400" w:lineRule="exact"/>
        <w:rPr>
          <w:rFonts w:ascii="宋体" w:hAnsi="宋体"/>
          <w:b/>
          <w:sz w:val="22"/>
        </w:rPr>
      </w:pPr>
      <w:r>
        <w:rPr>
          <w:rFonts w:ascii="宋体" w:hAnsi="宋体"/>
          <w:b/>
          <w:sz w:val="22"/>
        </w:rPr>
        <w:t>4、资料要求</w:t>
      </w:r>
    </w:p>
    <w:p>
      <w:pPr>
        <w:snapToGrid w:val="0"/>
        <w:spacing w:line="400" w:lineRule="exact"/>
        <w:rPr>
          <w:rFonts w:ascii="宋体" w:hAnsi="宋体"/>
          <w:sz w:val="22"/>
        </w:rPr>
      </w:pPr>
      <w:r>
        <w:rPr>
          <w:rFonts w:hint="eastAsia" w:ascii="宋体" w:hAnsi="宋体"/>
          <w:sz w:val="22"/>
        </w:rPr>
        <w:t>4</w:t>
      </w:r>
      <w:r>
        <w:rPr>
          <w:rFonts w:ascii="宋体" w:hAnsi="宋体"/>
          <w:sz w:val="22"/>
        </w:rPr>
        <w:t>.1基本要求</w:t>
      </w:r>
    </w:p>
    <w:p>
      <w:pPr>
        <w:snapToGrid w:val="0"/>
        <w:spacing w:line="400" w:lineRule="exact"/>
        <w:rPr>
          <w:rFonts w:ascii="宋体" w:hAnsi="宋体"/>
          <w:sz w:val="22"/>
        </w:rPr>
      </w:pPr>
      <w:r>
        <w:rPr>
          <w:rFonts w:hint="eastAsia" w:ascii="宋体" w:hAnsi="宋体"/>
          <w:sz w:val="22"/>
        </w:rPr>
        <w:t>4</w:t>
      </w:r>
      <w:r>
        <w:rPr>
          <w:rFonts w:ascii="宋体" w:hAnsi="宋体"/>
          <w:sz w:val="22"/>
        </w:rPr>
        <w:t>.1.1本规格书要求的所有技术文件及资料均须以中文或中英文形式免费提供。</w:t>
      </w:r>
    </w:p>
    <w:p>
      <w:pPr>
        <w:snapToGrid w:val="0"/>
        <w:spacing w:line="400" w:lineRule="exact"/>
        <w:rPr>
          <w:rFonts w:ascii="宋体" w:hAnsi="宋体"/>
          <w:sz w:val="22"/>
        </w:rPr>
      </w:pPr>
      <w:r>
        <w:rPr>
          <w:rFonts w:hint="eastAsia" w:ascii="宋体" w:hAnsi="宋体"/>
          <w:sz w:val="22"/>
        </w:rPr>
        <w:t>4</w:t>
      </w:r>
      <w:r>
        <w:rPr>
          <w:rFonts w:ascii="宋体" w:hAnsi="宋体"/>
          <w:sz w:val="22"/>
        </w:rPr>
        <w:t>.1.2所有提交的图纸、文件、资料均应是清晰、完整的，图纸及技术文件上应有编号。签约后提交的图纸及技术文件还应有合同号，并盖有供货商已做过检查的印记，各项设备的图纸上还应有制造厂商的名称。</w:t>
      </w:r>
    </w:p>
    <w:p>
      <w:pPr>
        <w:snapToGrid w:val="0"/>
        <w:spacing w:line="400" w:lineRule="exact"/>
        <w:rPr>
          <w:rFonts w:ascii="宋体" w:hAnsi="宋体"/>
          <w:sz w:val="22"/>
        </w:rPr>
      </w:pPr>
      <w:r>
        <w:rPr>
          <w:rFonts w:hint="eastAsia" w:ascii="宋体" w:hAnsi="宋体"/>
          <w:sz w:val="22"/>
        </w:rPr>
        <w:t>4</w:t>
      </w:r>
      <w:r>
        <w:rPr>
          <w:rFonts w:ascii="宋体" w:hAnsi="宋体"/>
          <w:sz w:val="22"/>
        </w:rPr>
        <w:t>.1.3业主不批准那些不符合本规格书要求的图纸和文件，卖方在收到业主的审查意见后，应修改这些图纸和文件直到业主满意为止；重新提交这些图纸和文件造成的延误由卖方负责。</w:t>
      </w:r>
    </w:p>
    <w:p>
      <w:pPr>
        <w:snapToGrid w:val="0"/>
        <w:spacing w:line="400" w:lineRule="exact"/>
        <w:rPr>
          <w:rFonts w:ascii="宋体" w:hAnsi="宋体"/>
          <w:sz w:val="22"/>
        </w:rPr>
      </w:pPr>
      <w:r>
        <w:rPr>
          <w:rFonts w:hint="eastAsia" w:ascii="宋体" w:hAnsi="宋体"/>
          <w:sz w:val="22"/>
        </w:rPr>
        <w:t>4</w:t>
      </w:r>
      <w:r>
        <w:rPr>
          <w:rFonts w:ascii="宋体" w:hAnsi="宋体"/>
          <w:sz w:val="22"/>
        </w:rPr>
        <w:t>.1.4如果卖方提交的文件发生短缺、损失或损坏，在接到业主通知后一周内补齐这些文件。由于卖方提交了不完整或不正确的图纸及数据，引起的一切相关费用及责任必须由卖方承担。</w:t>
      </w:r>
    </w:p>
    <w:p>
      <w:pPr>
        <w:snapToGrid w:val="0"/>
        <w:spacing w:line="400" w:lineRule="exact"/>
        <w:rPr>
          <w:rFonts w:ascii="宋体" w:hAnsi="宋体"/>
          <w:sz w:val="22"/>
        </w:rPr>
      </w:pPr>
      <w:r>
        <w:rPr>
          <w:rFonts w:hint="eastAsia" w:ascii="宋体" w:hAnsi="宋体"/>
          <w:sz w:val="22"/>
        </w:rPr>
        <w:t>4</w:t>
      </w:r>
      <w:r>
        <w:rPr>
          <w:rFonts w:ascii="宋体" w:hAnsi="宋体"/>
          <w:sz w:val="22"/>
        </w:rPr>
        <w:t>.2投标产品技术手册的内容要求</w:t>
      </w:r>
    </w:p>
    <w:p>
      <w:pPr>
        <w:snapToGrid w:val="0"/>
        <w:spacing w:line="400" w:lineRule="exact"/>
        <w:rPr>
          <w:rFonts w:ascii="宋体" w:hAnsi="宋体"/>
          <w:sz w:val="22"/>
        </w:rPr>
      </w:pPr>
      <w:r>
        <w:rPr>
          <w:rFonts w:hint="eastAsia" w:ascii="宋体" w:hAnsi="宋体"/>
          <w:sz w:val="22"/>
        </w:rPr>
        <w:t>4</w:t>
      </w:r>
      <w:r>
        <w:rPr>
          <w:rFonts w:ascii="宋体" w:hAnsi="宋体"/>
          <w:sz w:val="22"/>
        </w:rPr>
        <w:t>.2.1投标产品及主要系统和总成的性能介绍。</w:t>
      </w:r>
    </w:p>
    <w:p>
      <w:pPr>
        <w:snapToGrid w:val="0"/>
        <w:spacing w:line="400" w:lineRule="exact"/>
        <w:rPr>
          <w:rFonts w:ascii="宋体" w:hAnsi="宋体"/>
          <w:sz w:val="22"/>
        </w:rPr>
      </w:pPr>
      <w:r>
        <w:rPr>
          <w:rFonts w:hint="eastAsia" w:ascii="宋体" w:hAnsi="宋体"/>
          <w:sz w:val="22"/>
        </w:rPr>
        <w:t>4</w:t>
      </w:r>
      <w:r>
        <w:rPr>
          <w:rFonts w:ascii="宋体" w:hAnsi="宋体"/>
          <w:sz w:val="22"/>
        </w:rPr>
        <w:t>.2.2操作及使用说明。</w:t>
      </w:r>
    </w:p>
    <w:p>
      <w:pPr>
        <w:snapToGrid w:val="0"/>
        <w:spacing w:line="400" w:lineRule="exact"/>
        <w:rPr>
          <w:rFonts w:ascii="宋体" w:hAnsi="宋体"/>
          <w:sz w:val="22"/>
        </w:rPr>
      </w:pPr>
      <w:r>
        <w:rPr>
          <w:rFonts w:hint="eastAsia" w:ascii="宋体" w:hAnsi="宋体"/>
          <w:sz w:val="22"/>
        </w:rPr>
        <w:t>4</w:t>
      </w:r>
      <w:r>
        <w:rPr>
          <w:rFonts w:ascii="宋体" w:hAnsi="宋体"/>
          <w:sz w:val="22"/>
        </w:rPr>
        <w:t>.2.3维护周期、项目及方法。</w:t>
      </w:r>
    </w:p>
    <w:p>
      <w:pPr>
        <w:snapToGrid w:val="0"/>
        <w:spacing w:line="400" w:lineRule="exact"/>
        <w:rPr>
          <w:rFonts w:ascii="宋体" w:hAnsi="宋体"/>
          <w:sz w:val="22"/>
        </w:rPr>
      </w:pPr>
      <w:r>
        <w:rPr>
          <w:rFonts w:hint="eastAsia" w:ascii="宋体" w:hAnsi="宋体"/>
          <w:sz w:val="22"/>
        </w:rPr>
        <w:t>4</w:t>
      </w:r>
      <w:r>
        <w:rPr>
          <w:rFonts w:ascii="宋体" w:hAnsi="宋体"/>
          <w:sz w:val="22"/>
        </w:rPr>
        <w:t>.2.4故障判断与排除。</w:t>
      </w:r>
    </w:p>
    <w:p>
      <w:pPr>
        <w:snapToGrid w:val="0"/>
        <w:spacing w:line="400" w:lineRule="exact"/>
        <w:rPr>
          <w:rFonts w:ascii="宋体" w:hAnsi="宋体"/>
          <w:sz w:val="22"/>
        </w:rPr>
      </w:pPr>
      <w:r>
        <w:rPr>
          <w:rFonts w:hint="eastAsia" w:ascii="宋体" w:hAnsi="宋体"/>
          <w:sz w:val="22"/>
        </w:rPr>
        <w:t>4</w:t>
      </w:r>
      <w:r>
        <w:rPr>
          <w:rFonts w:ascii="宋体" w:hAnsi="宋体"/>
          <w:sz w:val="22"/>
        </w:rPr>
        <w:t>.2.5大修方法及测试方法和标准。</w:t>
      </w:r>
    </w:p>
    <w:p>
      <w:pPr>
        <w:snapToGrid w:val="0"/>
        <w:spacing w:line="400" w:lineRule="exact"/>
        <w:rPr>
          <w:rFonts w:ascii="宋体" w:hAnsi="宋体"/>
          <w:sz w:val="22"/>
        </w:rPr>
      </w:pPr>
      <w:r>
        <w:rPr>
          <w:rFonts w:hint="eastAsia" w:ascii="宋体" w:hAnsi="宋体"/>
          <w:sz w:val="22"/>
        </w:rPr>
        <w:t>4</w:t>
      </w:r>
      <w:r>
        <w:rPr>
          <w:rFonts w:ascii="宋体" w:hAnsi="宋体"/>
          <w:sz w:val="22"/>
        </w:rPr>
        <w:t>.2.6主要系统的工作原理图及部件分布图。</w:t>
      </w:r>
    </w:p>
    <w:p>
      <w:pPr>
        <w:snapToGrid w:val="0"/>
        <w:spacing w:line="400" w:lineRule="exact"/>
        <w:rPr>
          <w:rFonts w:ascii="宋体" w:hAnsi="宋体"/>
          <w:sz w:val="22"/>
        </w:rPr>
      </w:pPr>
      <w:r>
        <w:rPr>
          <w:rFonts w:hint="eastAsia" w:ascii="宋体" w:hAnsi="宋体"/>
          <w:sz w:val="22"/>
        </w:rPr>
        <w:t>4</w:t>
      </w:r>
      <w:r>
        <w:rPr>
          <w:rFonts w:ascii="宋体" w:hAnsi="宋体"/>
          <w:sz w:val="22"/>
        </w:rPr>
        <w:t>.2.7主要总成部件的结构图、原理图和维修手册。</w:t>
      </w:r>
    </w:p>
    <w:p>
      <w:pPr>
        <w:snapToGrid w:val="0"/>
        <w:spacing w:line="400" w:lineRule="exact"/>
        <w:rPr>
          <w:rFonts w:ascii="宋体" w:hAnsi="宋体"/>
          <w:sz w:val="22"/>
        </w:rPr>
      </w:pPr>
      <w:r>
        <w:rPr>
          <w:rFonts w:hint="eastAsia" w:ascii="宋体" w:hAnsi="宋体"/>
          <w:sz w:val="22"/>
        </w:rPr>
        <w:t>4</w:t>
      </w:r>
      <w:r>
        <w:rPr>
          <w:rFonts w:ascii="宋体" w:hAnsi="宋体"/>
          <w:sz w:val="22"/>
        </w:rPr>
        <w:t>.2.8配套大件总成件的原生产厂维修手册、配件目录及件号。</w:t>
      </w:r>
    </w:p>
    <w:p>
      <w:pPr>
        <w:snapToGrid w:val="0"/>
        <w:spacing w:line="400" w:lineRule="exact"/>
        <w:rPr>
          <w:rFonts w:ascii="宋体" w:hAnsi="宋体"/>
          <w:sz w:val="22"/>
        </w:rPr>
      </w:pPr>
      <w:r>
        <w:rPr>
          <w:rFonts w:hint="eastAsia" w:ascii="宋体" w:hAnsi="宋体"/>
          <w:sz w:val="22"/>
        </w:rPr>
        <w:t>4</w:t>
      </w:r>
      <w:r>
        <w:rPr>
          <w:rFonts w:ascii="宋体" w:hAnsi="宋体"/>
          <w:sz w:val="22"/>
        </w:rPr>
        <w:t>.2.9完整的零件目录及件号，若非本制造厂生产的零部件，必须提供原制造厂的名称及件号。</w:t>
      </w:r>
    </w:p>
    <w:p>
      <w:pPr>
        <w:snapToGrid w:val="0"/>
        <w:spacing w:line="400" w:lineRule="exact"/>
        <w:rPr>
          <w:rFonts w:ascii="宋体" w:hAnsi="宋体"/>
          <w:sz w:val="22"/>
        </w:rPr>
      </w:pPr>
      <w:r>
        <w:rPr>
          <w:rFonts w:hint="eastAsia" w:ascii="宋体" w:hAnsi="宋体"/>
          <w:sz w:val="22"/>
        </w:rPr>
        <w:t>4</w:t>
      </w:r>
      <w:r>
        <w:rPr>
          <w:rFonts w:ascii="宋体" w:hAnsi="宋体"/>
          <w:sz w:val="22"/>
        </w:rPr>
        <w:t>.3投标时须提供的资料</w:t>
      </w:r>
    </w:p>
    <w:p>
      <w:pPr>
        <w:pStyle w:val="44"/>
        <w:snapToGrid w:val="0"/>
        <w:spacing w:after="0" w:line="400" w:lineRule="exact"/>
        <w:rPr>
          <w:rFonts w:ascii="宋体" w:hAnsi="宋体"/>
          <w:sz w:val="22"/>
          <w:szCs w:val="22"/>
        </w:rPr>
      </w:pPr>
      <w:r>
        <w:rPr>
          <w:rFonts w:ascii="宋体" w:hAnsi="宋体"/>
          <w:sz w:val="22"/>
          <w:szCs w:val="22"/>
        </w:rPr>
        <w:t>投标方必须免费提供包括以下内容的中文或中英文对照的应答文件。</w:t>
      </w:r>
    </w:p>
    <w:p>
      <w:pPr>
        <w:snapToGrid w:val="0"/>
        <w:spacing w:line="400" w:lineRule="exact"/>
        <w:rPr>
          <w:rFonts w:ascii="宋体" w:hAnsi="宋体"/>
          <w:sz w:val="22"/>
        </w:rPr>
      </w:pPr>
      <w:r>
        <w:rPr>
          <w:rFonts w:hint="eastAsia" w:ascii="宋体" w:hAnsi="宋体"/>
          <w:sz w:val="22"/>
        </w:rPr>
        <w:t>4</w:t>
      </w:r>
      <w:r>
        <w:rPr>
          <w:rFonts w:ascii="宋体" w:hAnsi="宋体"/>
          <w:sz w:val="22"/>
        </w:rPr>
        <w:t>.3.1 本规格书要求应答的附件的全部表格。</w:t>
      </w:r>
    </w:p>
    <w:p>
      <w:pPr>
        <w:snapToGrid w:val="0"/>
        <w:spacing w:line="400" w:lineRule="exact"/>
        <w:rPr>
          <w:rFonts w:ascii="宋体" w:hAnsi="宋体"/>
          <w:sz w:val="22"/>
        </w:rPr>
      </w:pPr>
      <w:r>
        <w:rPr>
          <w:rFonts w:hint="eastAsia" w:ascii="宋体" w:hAnsi="宋体"/>
          <w:sz w:val="22"/>
        </w:rPr>
        <w:t>4</w:t>
      </w:r>
      <w:r>
        <w:rPr>
          <w:rFonts w:ascii="宋体" w:hAnsi="宋体"/>
          <w:sz w:val="22"/>
        </w:rPr>
        <w:t>.3.2供货设备清单(包括设备附件清单)。</w:t>
      </w:r>
    </w:p>
    <w:p>
      <w:pPr>
        <w:snapToGrid w:val="0"/>
        <w:spacing w:line="400" w:lineRule="exact"/>
        <w:rPr>
          <w:rFonts w:ascii="宋体" w:hAnsi="宋体"/>
          <w:color w:val="FF0000"/>
          <w:sz w:val="22"/>
        </w:rPr>
      </w:pPr>
      <w:r>
        <w:rPr>
          <w:rFonts w:hint="eastAsia" w:ascii="宋体" w:hAnsi="宋体"/>
          <w:sz w:val="22"/>
        </w:rPr>
        <w:t>4</w:t>
      </w:r>
      <w:r>
        <w:rPr>
          <w:rFonts w:ascii="宋体" w:hAnsi="宋体"/>
          <w:sz w:val="22"/>
        </w:rPr>
        <w:t>.3.3投标产品的性能测试报告、检验记录。</w:t>
      </w:r>
    </w:p>
    <w:p>
      <w:pPr>
        <w:snapToGrid w:val="0"/>
        <w:spacing w:line="400" w:lineRule="exact"/>
        <w:rPr>
          <w:rFonts w:ascii="宋体" w:hAnsi="宋体"/>
          <w:sz w:val="22"/>
        </w:rPr>
      </w:pPr>
      <w:r>
        <w:rPr>
          <w:rFonts w:hint="eastAsia" w:ascii="宋体" w:hAnsi="宋体"/>
          <w:sz w:val="22"/>
        </w:rPr>
        <w:t>4</w:t>
      </w:r>
      <w:r>
        <w:rPr>
          <w:rFonts w:ascii="宋体" w:hAnsi="宋体"/>
          <w:sz w:val="22"/>
        </w:rPr>
        <w:t>.3.4投标产品制造厂及主要部件的制造商全称、国别、地址、品牌、型号等，并提供其技术资格能力的证明及文件。</w:t>
      </w:r>
    </w:p>
    <w:p>
      <w:pPr>
        <w:snapToGrid w:val="0"/>
        <w:spacing w:line="400" w:lineRule="exact"/>
        <w:rPr>
          <w:rFonts w:ascii="宋体" w:hAnsi="宋体"/>
          <w:sz w:val="22"/>
        </w:rPr>
      </w:pPr>
      <w:r>
        <w:rPr>
          <w:rFonts w:hint="eastAsia" w:ascii="宋体" w:hAnsi="宋体"/>
          <w:sz w:val="22"/>
        </w:rPr>
        <w:t>4</w:t>
      </w:r>
      <w:r>
        <w:rPr>
          <w:rFonts w:ascii="宋体" w:hAnsi="宋体"/>
          <w:sz w:val="22"/>
        </w:rPr>
        <w:t>.3.5投标产品的产品图片及可反映其整体外观、主要部件外观和内部配置以及操作台配置的彩色图片。</w:t>
      </w:r>
    </w:p>
    <w:p>
      <w:pPr>
        <w:snapToGrid w:val="0"/>
        <w:spacing w:line="400" w:lineRule="exact"/>
        <w:rPr>
          <w:rFonts w:ascii="宋体" w:hAnsi="宋体"/>
          <w:sz w:val="22"/>
        </w:rPr>
      </w:pPr>
      <w:r>
        <w:rPr>
          <w:rFonts w:hint="eastAsia" w:ascii="宋体" w:hAnsi="宋体"/>
          <w:sz w:val="22"/>
        </w:rPr>
        <w:t>4</w:t>
      </w:r>
      <w:r>
        <w:rPr>
          <w:rFonts w:ascii="宋体" w:hAnsi="宋体"/>
          <w:sz w:val="22"/>
        </w:rPr>
        <w:t>.3.6技术资料和图纸：</w:t>
      </w:r>
    </w:p>
    <w:p>
      <w:pPr>
        <w:snapToGrid w:val="0"/>
        <w:spacing w:line="400" w:lineRule="exact"/>
        <w:rPr>
          <w:rFonts w:ascii="宋体" w:hAnsi="宋体"/>
          <w:sz w:val="22"/>
        </w:rPr>
      </w:pPr>
      <w:r>
        <w:rPr>
          <w:rFonts w:hint="eastAsia" w:ascii="宋体" w:hAnsi="宋体"/>
          <w:sz w:val="22"/>
        </w:rPr>
        <w:t>4.3.6.1</w:t>
      </w:r>
      <w:r>
        <w:rPr>
          <w:rFonts w:ascii="宋体" w:hAnsi="宋体"/>
          <w:sz w:val="22"/>
        </w:rPr>
        <w:t>投标产品主要部件技术性能参数及技术性能曲线图，如：发动机的输出功率曲线等。</w:t>
      </w:r>
    </w:p>
    <w:p>
      <w:pPr>
        <w:snapToGrid w:val="0"/>
        <w:spacing w:line="400" w:lineRule="exact"/>
        <w:rPr>
          <w:rFonts w:ascii="宋体" w:hAnsi="宋体"/>
          <w:sz w:val="22"/>
        </w:rPr>
      </w:pPr>
      <w:r>
        <w:rPr>
          <w:rFonts w:hint="eastAsia" w:ascii="宋体" w:hAnsi="宋体"/>
          <w:sz w:val="22"/>
        </w:rPr>
        <w:t>4.3.6.2</w:t>
      </w:r>
      <w:r>
        <w:rPr>
          <w:rFonts w:ascii="宋体" w:hAnsi="宋体"/>
          <w:sz w:val="22"/>
        </w:rPr>
        <w:t>投标产品主要部件结构及技术特点说明。</w:t>
      </w:r>
    </w:p>
    <w:p>
      <w:pPr>
        <w:snapToGrid w:val="0"/>
        <w:spacing w:line="400" w:lineRule="exact"/>
        <w:rPr>
          <w:rFonts w:ascii="宋体" w:hAnsi="宋体"/>
          <w:sz w:val="22"/>
        </w:rPr>
      </w:pPr>
      <w:r>
        <w:rPr>
          <w:rFonts w:hint="eastAsia" w:ascii="宋体" w:hAnsi="宋体"/>
          <w:sz w:val="22"/>
        </w:rPr>
        <w:t>4</w:t>
      </w:r>
      <w:r>
        <w:rPr>
          <w:rFonts w:ascii="宋体" w:hAnsi="宋体"/>
          <w:sz w:val="22"/>
        </w:rPr>
        <w:t>.3.7投标产品设计、制造、试验、装运等所采用和遵循的标准、规范等。</w:t>
      </w:r>
    </w:p>
    <w:p>
      <w:pPr>
        <w:snapToGrid w:val="0"/>
        <w:spacing w:line="400" w:lineRule="exact"/>
        <w:rPr>
          <w:rFonts w:ascii="宋体" w:hAnsi="宋体"/>
          <w:sz w:val="22"/>
        </w:rPr>
      </w:pPr>
      <w:r>
        <w:rPr>
          <w:rFonts w:hint="eastAsia" w:ascii="宋体" w:hAnsi="宋体"/>
          <w:sz w:val="22"/>
        </w:rPr>
        <w:t>4.3.8</w:t>
      </w:r>
      <w:r>
        <w:rPr>
          <w:rFonts w:ascii="宋体" w:hAnsi="宋体"/>
          <w:color w:val="000000"/>
          <w:sz w:val="22"/>
        </w:rPr>
        <w:t>随车备件</w:t>
      </w:r>
      <w:r>
        <w:rPr>
          <w:rFonts w:ascii="宋体" w:hAnsi="宋体"/>
          <w:sz w:val="22"/>
        </w:rPr>
        <w:t>报价</w:t>
      </w:r>
      <w:r>
        <w:rPr>
          <w:rFonts w:ascii="宋体" w:hAnsi="宋体"/>
          <w:color w:val="000000"/>
          <w:sz w:val="22"/>
        </w:rPr>
        <w:t>清单</w:t>
      </w:r>
      <w:r>
        <w:rPr>
          <w:rFonts w:hint="eastAsia" w:ascii="宋体" w:hAnsi="宋体"/>
          <w:color w:val="000000"/>
          <w:sz w:val="22"/>
        </w:rPr>
        <w:t>，</w:t>
      </w:r>
      <w:r>
        <w:rPr>
          <w:rFonts w:ascii="宋体" w:hAnsi="宋体"/>
          <w:sz w:val="22"/>
        </w:rPr>
        <w:t>专用检测设备和常规维修工具报价清单</w:t>
      </w:r>
      <w:r>
        <w:rPr>
          <w:rFonts w:hint="eastAsia" w:ascii="宋体" w:hAnsi="宋体"/>
          <w:sz w:val="22"/>
        </w:rPr>
        <w:t>。</w:t>
      </w:r>
    </w:p>
    <w:p>
      <w:pPr>
        <w:snapToGrid w:val="0"/>
        <w:spacing w:line="400" w:lineRule="exact"/>
        <w:rPr>
          <w:rFonts w:ascii="宋体" w:hAnsi="宋体"/>
          <w:sz w:val="22"/>
        </w:rPr>
      </w:pPr>
      <w:r>
        <w:rPr>
          <w:rFonts w:hint="eastAsia" w:ascii="宋体" w:hAnsi="宋体"/>
          <w:sz w:val="22"/>
        </w:rPr>
        <w:t>4.3.9</w:t>
      </w:r>
      <w:r>
        <w:rPr>
          <w:rFonts w:ascii="宋体" w:hAnsi="宋体"/>
          <w:sz w:val="22"/>
        </w:rPr>
        <w:t>保修期满后正常运行二年所需的备品、备件清单</w:t>
      </w:r>
      <w:r>
        <w:rPr>
          <w:rFonts w:hint="eastAsia" w:ascii="宋体" w:hAnsi="宋体"/>
          <w:sz w:val="22"/>
        </w:rPr>
        <w:t>（不计入</w:t>
      </w:r>
      <w:r>
        <w:rPr>
          <w:rFonts w:ascii="宋体" w:hAnsi="宋体"/>
          <w:sz w:val="22"/>
        </w:rPr>
        <w:t>总价</w:t>
      </w:r>
      <w:r>
        <w:rPr>
          <w:rFonts w:hint="eastAsia" w:ascii="宋体" w:hAnsi="宋体"/>
          <w:sz w:val="22"/>
        </w:rPr>
        <w:t>）</w:t>
      </w:r>
    </w:p>
    <w:p>
      <w:pPr>
        <w:snapToGrid w:val="0"/>
        <w:spacing w:line="400" w:lineRule="exact"/>
        <w:rPr>
          <w:rFonts w:ascii="宋体" w:hAnsi="宋体"/>
          <w:sz w:val="22"/>
        </w:rPr>
      </w:pPr>
      <w:r>
        <w:rPr>
          <w:rFonts w:hint="eastAsia" w:ascii="宋体" w:hAnsi="宋体"/>
          <w:sz w:val="22"/>
        </w:rPr>
        <w:t>4</w:t>
      </w:r>
      <w:r>
        <w:rPr>
          <w:rFonts w:ascii="宋体" w:hAnsi="宋体"/>
          <w:sz w:val="22"/>
        </w:rPr>
        <w:t>.3.</w:t>
      </w:r>
      <w:r>
        <w:rPr>
          <w:rFonts w:hint="eastAsia" w:ascii="宋体" w:hAnsi="宋体"/>
          <w:sz w:val="22"/>
        </w:rPr>
        <w:t>10</w:t>
      </w:r>
      <w:r>
        <w:rPr>
          <w:rFonts w:ascii="宋体" w:hAnsi="宋体"/>
          <w:sz w:val="22"/>
        </w:rPr>
        <w:t>工作计划：</w:t>
      </w:r>
    </w:p>
    <w:p>
      <w:pPr>
        <w:snapToGrid w:val="0"/>
        <w:spacing w:line="400" w:lineRule="exact"/>
        <w:rPr>
          <w:rFonts w:ascii="宋体" w:hAnsi="宋体"/>
          <w:sz w:val="22"/>
        </w:rPr>
      </w:pPr>
      <w:r>
        <w:rPr>
          <w:rFonts w:hint="eastAsia" w:ascii="宋体" w:hAnsi="宋体"/>
          <w:sz w:val="22"/>
        </w:rPr>
        <w:t>4.3.10.1</w:t>
      </w:r>
      <w:r>
        <w:rPr>
          <w:rFonts w:ascii="宋体" w:hAnsi="宋体"/>
          <w:sz w:val="22"/>
        </w:rPr>
        <w:t>按制造工序要求的生产期、试验期、交货期；</w:t>
      </w:r>
    </w:p>
    <w:p>
      <w:pPr>
        <w:snapToGrid w:val="0"/>
        <w:spacing w:line="400" w:lineRule="exact"/>
        <w:rPr>
          <w:rFonts w:ascii="宋体" w:hAnsi="宋体"/>
          <w:sz w:val="22"/>
        </w:rPr>
      </w:pPr>
      <w:r>
        <w:rPr>
          <w:rFonts w:hint="eastAsia" w:ascii="宋体" w:hAnsi="宋体"/>
          <w:sz w:val="22"/>
        </w:rPr>
        <w:t>4.3.10.2</w:t>
      </w:r>
      <w:r>
        <w:rPr>
          <w:rFonts w:ascii="宋体" w:hAnsi="宋体"/>
          <w:sz w:val="22"/>
        </w:rPr>
        <w:t>负责本项目的人员名单、职务、职称及简单履历；</w:t>
      </w:r>
    </w:p>
    <w:p>
      <w:pPr>
        <w:snapToGrid w:val="0"/>
        <w:spacing w:line="400" w:lineRule="exact"/>
        <w:rPr>
          <w:rFonts w:ascii="宋体" w:hAnsi="宋体"/>
          <w:sz w:val="22"/>
        </w:rPr>
      </w:pPr>
      <w:r>
        <w:rPr>
          <w:rFonts w:hint="eastAsia" w:ascii="宋体" w:hAnsi="宋体"/>
          <w:sz w:val="22"/>
        </w:rPr>
        <w:t>4.3.10.3</w:t>
      </w:r>
      <w:r>
        <w:rPr>
          <w:rFonts w:ascii="宋体" w:hAnsi="宋体"/>
          <w:sz w:val="22"/>
        </w:rPr>
        <w:t>检验测试项目；</w:t>
      </w:r>
    </w:p>
    <w:p>
      <w:pPr>
        <w:snapToGrid w:val="0"/>
        <w:spacing w:line="400" w:lineRule="exact"/>
        <w:rPr>
          <w:rFonts w:ascii="宋体" w:hAnsi="宋体"/>
          <w:sz w:val="22"/>
        </w:rPr>
      </w:pPr>
      <w:r>
        <w:rPr>
          <w:rFonts w:hint="eastAsia" w:ascii="宋体" w:hAnsi="宋体"/>
          <w:sz w:val="22"/>
        </w:rPr>
        <w:t>4.3.10.4</w:t>
      </w:r>
      <w:r>
        <w:rPr>
          <w:rFonts w:ascii="宋体" w:hAnsi="宋体"/>
          <w:sz w:val="22"/>
        </w:rPr>
        <w:t>现场培训计划；</w:t>
      </w:r>
    </w:p>
    <w:p>
      <w:pPr>
        <w:snapToGrid w:val="0"/>
        <w:spacing w:line="400" w:lineRule="exact"/>
        <w:rPr>
          <w:rFonts w:ascii="宋体" w:hAnsi="宋体"/>
          <w:sz w:val="22"/>
        </w:rPr>
      </w:pPr>
      <w:r>
        <w:rPr>
          <w:rFonts w:hint="eastAsia" w:ascii="宋体" w:hAnsi="宋体"/>
          <w:sz w:val="22"/>
        </w:rPr>
        <w:t>4.3.105</w:t>
      </w:r>
      <w:r>
        <w:rPr>
          <w:rFonts w:ascii="宋体" w:hAnsi="宋体"/>
          <w:sz w:val="22"/>
        </w:rPr>
        <w:t>验收大纲。</w:t>
      </w:r>
    </w:p>
    <w:p>
      <w:pPr>
        <w:snapToGrid w:val="0"/>
        <w:spacing w:line="400" w:lineRule="exact"/>
        <w:rPr>
          <w:rFonts w:ascii="宋体" w:hAnsi="宋体"/>
          <w:sz w:val="22"/>
        </w:rPr>
      </w:pPr>
      <w:r>
        <w:rPr>
          <w:rFonts w:hint="eastAsia" w:ascii="宋体" w:hAnsi="宋体"/>
          <w:sz w:val="22"/>
        </w:rPr>
        <w:t>4</w:t>
      </w:r>
      <w:r>
        <w:rPr>
          <w:rFonts w:ascii="宋体" w:hAnsi="宋体"/>
          <w:sz w:val="22"/>
        </w:rPr>
        <w:t>.4签约后需提供的资料</w:t>
      </w:r>
    </w:p>
    <w:p>
      <w:pPr>
        <w:snapToGrid w:val="0"/>
        <w:spacing w:line="400" w:lineRule="exact"/>
        <w:rPr>
          <w:rFonts w:ascii="宋体" w:hAnsi="宋体"/>
          <w:sz w:val="22"/>
        </w:rPr>
      </w:pPr>
      <w:r>
        <w:rPr>
          <w:rFonts w:hint="eastAsia" w:ascii="宋体" w:hAnsi="宋体"/>
          <w:sz w:val="22"/>
        </w:rPr>
        <w:t>4</w:t>
      </w:r>
      <w:r>
        <w:rPr>
          <w:rFonts w:ascii="宋体" w:hAnsi="宋体"/>
          <w:sz w:val="22"/>
        </w:rPr>
        <w:t>.4.1卖方在签约后10天内应向业主提供两份中标投标产品的设计、制造、组装、调试、试运行和验收等工作的进度表，此表应得到业主认可。</w:t>
      </w:r>
    </w:p>
    <w:p>
      <w:pPr>
        <w:snapToGrid w:val="0"/>
        <w:spacing w:line="400" w:lineRule="exact"/>
        <w:rPr>
          <w:rFonts w:ascii="宋体" w:hAnsi="宋体"/>
          <w:sz w:val="22"/>
        </w:rPr>
      </w:pPr>
      <w:r>
        <w:rPr>
          <w:rFonts w:hint="eastAsia" w:ascii="宋体" w:hAnsi="宋体"/>
          <w:sz w:val="22"/>
        </w:rPr>
        <w:t>4</w:t>
      </w:r>
      <w:r>
        <w:rPr>
          <w:rFonts w:ascii="宋体" w:hAnsi="宋体"/>
          <w:sz w:val="22"/>
        </w:rPr>
        <w:t>.4.2卖方在签约后10天内应向业主提供两份中标投标产品的验收大纲，此大纲应得到业主认可。</w:t>
      </w:r>
    </w:p>
    <w:p>
      <w:pPr>
        <w:snapToGrid w:val="0"/>
        <w:spacing w:line="400" w:lineRule="exact"/>
        <w:rPr>
          <w:rFonts w:ascii="宋体" w:hAnsi="宋体"/>
          <w:sz w:val="22"/>
        </w:rPr>
      </w:pPr>
      <w:r>
        <w:rPr>
          <w:rFonts w:hint="eastAsia" w:ascii="宋体" w:hAnsi="宋体"/>
          <w:sz w:val="22"/>
        </w:rPr>
        <w:t>4</w:t>
      </w:r>
      <w:r>
        <w:rPr>
          <w:rFonts w:ascii="宋体" w:hAnsi="宋体"/>
          <w:sz w:val="22"/>
        </w:rPr>
        <w:t>.5交货时须提供的资料</w:t>
      </w:r>
    </w:p>
    <w:p>
      <w:pPr>
        <w:snapToGrid w:val="0"/>
        <w:spacing w:line="400" w:lineRule="exact"/>
        <w:rPr>
          <w:rFonts w:ascii="宋体" w:hAnsi="宋体"/>
          <w:sz w:val="22"/>
        </w:rPr>
      </w:pPr>
      <w:r>
        <w:rPr>
          <w:rFonts w:hint="eastAsia" w:ascii="宋体" w:hAnsi="宋体"/>
          <w:sz w:val="22"/>
        </w:rPr>
        <w:t>4</w:t>
      </w:r>
      <w:r>
        <w:rPr>
          <w:rFonts w:ascii="宋体" w:hAnsi="宋体"/>
          <w:sz w:val="22"/>
        </w:rPr>
        <w:t>.5.1交货设备清单(含附属工具和备件清单)。</w:t>
      </w:r>
    </w:p>
    <w:p>
      <w:pPr>
        <w:snapToGrid w:val="0"/>
        <w:spacing w:line="400" w:lineRule="exact"/>
        <w:rPr>
          <w:rFonts w:ascii="宋体" w:hAnsi="宋体"/>
          <w:sz w:val="22"/>
        </w:rPr>
      </w:pPr>
      <w:r>
        <w:rPr>
          <w:rFonts w:hint="eastAsia" w:ascii="宋体" w:hAnsi="宋体"/>
          <w:sz w:val="22"/>
        </w:rPr>
        <w:t>4</w:t>
      </w:r>
      <w:r>
        <w:rPr>
          <w:rFonts w:ascii="宋体" w:hAnsi="宋体"/>
          <w:sz w:val="22"/>
        </w:rPr>
        <w:t>.5.2制造厂的质量证明书和出厂检测报告及卖方在投标产品调试期间的所有报告。</w:t>
      </w:r>
    </w:p>
    <w:p>
      <w:pPr>
        <w:snapToGrid w:val="0"/>
        <w:spacing w:line="400" w:lineRule="exact"/>
        <w:rPr>
          <w:rFonts w:ascii="宋体" w:hAnsi="宋体"/>
          <w:sz w:val="22"/>
        </w:rPr>
      </w:pPr>
      <w:r>
        <w:rPr>
          <w:rFonts w:hint="eastAsia" w:ascii="宋体" w:hAnsi="宋体"/>
          <w:sz w:val="22"/>
        </w:rPr>
        <w:t>4</w:t>
      </w:r>
      <w:r>
        <w:rPr>
          <w:rFonts w:ascii="宋体" w:hAnsi="宋体"/>
          <w:sz w:val="22"/>
        </w:rPr>
        <w:t>.5.3两套完整的所中标产品的技术手册。</w:t>
      </w:r>
    </w:p>
    <w:p>
      <w:pPr>
        <w:snapToGrid w:val="0"/>
        <w:spacing w:line="400" w:lineRule="exact"/>
        <w:rPr>
          <w:rFonts w:ascii="宋体" w:hAnsi="宋体"/>
          <w:sz w:val="22"/>
        </w:rPr>
      </w:pPr>
      <w:r>
        <w:rPr>
          <w:rFonts w:hint="eastAsia" w:ascii="宋体" w:hAnsi="宋体"/>
          <w:sz w:val="22"/>
        </w:rPr>
        <w:t>4</w:t>
      </w:r>
      <w:r>
        <w:rPr>
          <w:rFonts w:ascii="宋体" w:hAnsi="宋体"/>
          <w:sz w:val="22"/>
        </w:rPr>
        <w:t>.5.4招标书要求及合同中规定的或投标方认为有必要提供的其它资料。</w:t>
      </w:r>
    </w:p>
    <w:p>
      <w:pPr>
        <w:snapToGrid w:val="0"/>
        <w:spacing w:line="400" w:lineRule="exact"/>
        <w:rPr>
          <w:rFonts w:ascii="宋体" w:hAnsi="宋体"/>
          <w:sz w:val="22"/>
        </w:rPr>
      </w:pPr>
      <w:r>
        <w:rPr>
          <w:rFonts w:hint="eastAsia" w:ascii="宋体" w:hAnsi="宋体"/>
          <w:sz w:val="22"/>
        </w:rPr>
        <w:t>4</w:t>
      </w:r>
      <w:r>
        <w:rPr>
          <w:rFonts w:ascii="宋体" w:hAnsi="宋体"/>
          <w:sz w:val="22"/>
        </w:rPr>
        <w:t>.5.</w:t>
      </w:r>
      <w:r>
        <w:rPr>
          <w:rFonts w:hint="eastAsia" w:ascii="宋体" w:hAnsi="宋体"/>
          <w:sz w:val="22"/>
        </w:rPr>
        <w:t>5</w:t>
      </w:r>
      <w:r>
        <w:rPr>
          <w:rFonts w:ascii="宋体" w:hAnsi="宋体"/>
          <w:sz w:val="22"/>
        </w:rPr>
        <w:t>进口车辆交货时需提供整车报关单及商检证明文件</w:t>
      </w:r>
      <w:r>
        <w:rPr>
          <w:rFonts w:hint="eastAsia" w:ascii="宋体" w:hAnsi="宋体"/>
          <w:sz w:val="22"/>
        </w:rPr>
        <w:t>。</w:t>
      </w:r>
    </w:p>
    <w:p>
      <w:pPr>
        <w:snapToGrid w:val="0"/>
        <w:spacing w:line="400" w:lineRule="exact"/>
        <w:rPr>
          <w:rFonts w:ascii="宋体" w:hAnsi="宋体"/>
          <w:b/>
          <w:sz w:val="22"/>
        </w:rPr>
      </w:pPr>
      <w:r>
        <w:rPr>
          <w:rFonts w:ascii="宋体" w:hAnsi="宋体"/>
          <w:b/>
          <w:sz w:val="22"/>
        </w:rPr>
        <w:t>5、</w:t>
      </w:r>
      <w:r>
        <w:rPr>
          <w:rFonts w:hint="eastAsia" w:ascii="宋体" w:hAnsi="宋体"/>
          <w:b/>
          <w:sz w:val="22"/>
        </w:rPr>
        <w:t>★主要</w:t>
      </w:r>
      <w:r>
        <w:rPr>
          <w:rFonts w:ascii="宋体" w:hAnsi="宋体"/>
          <w:b/>
          <w:sz w:val="22"/>
        </w:rPr>
        <w:t>设备技术规格及配置</w:t>
      </w:r>
    </w:p>
    <w:p>
      <w:pPr>
        <w:snapToGrid w:val="0"/>
        <w:spacing w:line="400" w:lineRule="exact"/>
        <w:rPr>
          <w:rFonts w:ascii="宋体" w:hAnsi="宋体"/>
          <w:sz w:val="22"/>
        </w:rPr>
      </w:pPr>
      <w:r>
        <w:rPr>
          <w:rFonts w:ascii="宋体" w:hAnsi="宋体"/>
          <w:sz w:val="22"/>
        </w:rPr>
        <w:t>5.1</w:t>
      </w:r>
      <w:r>
        <w:rPr>
          <w:rFonts w:hint="eastAsia" w:ascii="宋体" w:hAnsi="宋体"/>
          <w:sz w:val="22"/>
        </w:rPr>
        <w:t>电池：需采用知名品牌铁锂电池，带过热报警保护装置，电池的电压建议采用80V，容量不低于270AH，电池的质保期不低于5年或10000小时。</w:t>
      </w:r>
    </w:p>
    <w:p>
      <w:pPr>
        <w:snapToGrid w:val="0"/>
        <w:spacing w:line="400" w:lineRule="exact"/>
        <w:rPr>
          <w:rFonts w:ascii="宋体" w:hAnsi="宋体"/>
          <w:sz w:val="22"/>
        </w:rPr>
      </w:pPr>
      <w:r>
        <w:rPr>
          <w:rFonts w:ascii="宋体" w:hAnsi="宋体"/>
          <w:sz w:val="22"/>
        </w:rPr>
        <w:t>5.2</w:t>
      </w:r>
      <w:r>
        <w:rPr>
          <w:rFonts w:hint="eastAsia" w:ascii="宋体" w:hAnsi="宋体"/>
          <w:sz w:val="22"/>
        </w:rPr>
        <w:t>电机：需采用进口全交流电机。</w:t>
      </w:r>
    </w:p>
    <w:p>
      <w:pPr>
        <w:snapToGrid w:val="0"/>
        <w:spacing w:line="400" w:lineRule="exact"/>
        <w:rPr>
          <w:rFonts w:ascii="宋体" w:hAnsi="宋体"/>
          <w:sz w:val="22"/>
        </w:rPr>
      </w:pPr>
      <w:r>
        <w:rPr>
          <w:rFonts w:ascii="宋体" w:hAnsi="宋体"/>
          <w:sz w:val="22"/>
        </w:rPr>
        <w:t>5.3</w:t>
      </w:r>
      <w:r>
        <w:rPr>
          <w:rFonts w:hint="eastAsia" w:ascii="宋体" w:hAnsi="宋体"/>
          <w:sz w:val="22"/>
        </w:rPr>
        <w:t>规格：额定起升重量不低于 2500KG。</w:t>
      </w:r>
    </w:p>
    <w:p>
      <w:pPr>
        <w:snapToGrid w:val="0"/>
        <w:spacing w:line="400" w:lineRule="exact"/>
        <w:rPr>
          <w:rFonts w:ascii="宋体" w:hAnsi="宋体"/>
          <w:sz w:val="22"/>
        </w:rPr>
      </w:pPr>
      <w:r>
        <w:rPr>
          <w:rFonts w:ascii="宋体" w:hAnsi="宋体"/>
          <w:sz w:val="22"/>
        </w:rPr>
        <w:t>5.4</w:t>
      </w:r>
      <w:r>
        <w:rPr>
          <w:rFonts w:hint="eastAsia" w:ascii="宋体" w:hAnsi="宋体"/>
          <w:sz w:val="22"/>
        </w:rPr>
        <w:t>货叉规格：插脚长1370MM，货叉带侧移功能。</w:t>
      </w:r>
    </w:p>
    <w:p>
      <w:pPr>
        <w:snapToGrid w:val="0"/>
        <w:spacing w:line="400" w:lineRule="exact"/>
        <w:rPr>
          <w:rFonts w:ascii="宋体" w:hAnsi="宋体"/>
          <w:sz w:val="22"/>
        </w:rPr>
      </w:pPr>
      <w:r>
        <w:rPr>
          <w:rFonts w:ascii="宋体" w:hAnsi="宋体"/>
          <w:sz w:val="22"/>
        </w:rPr>
        <w:t>5.5</w:t>
      </w:r>
      <w:r>
        <w:rPr>
          <w:rFonts w:hint="eastAsia" w:ascii="宋体" w:hAnsi="宋体"/>
          <w:sz w:val="22"/>
        </w:rPr>
        <w:t>其它技术参数建议达到或高于国家关于叉车行业技术指标要求。</w:t>
      </w:r>
    </w:p>
    <w:p>
      <w:pPr>
        <w:snapToGrid w:val="0"/>
        <w:spacing w:line="400" w:lineRule="exact"/>
        <w:rPr>
          <w:rFonts w:ascii="宋体" w:hAnsi="宋体"/>
          <w:b/>
          <w:sz w:val="22"/>
        </w:rPr>
      </w:pPr>
      <w:bookmarkStart w:id="87" w:name="_Toc123748294"/>
      <w:bookmarkStart w:id="88" w:name="_Toc106102209"/>
      <w:bookmarkStart w:id="89" w:name="_Toc141030414"/>
      <w:bookmarkStart w:id="90" w:name="_Toc106101433"/>
      <w:bookmarkStart w:id="91" w:name="_Toc104571229"/>
      <w:bookmarkStart w:id="92" w:name="_Toc141083008"/>
      <w:bookmarkStart w:id="93" w:name="_Toc122780471"/>
      <w:bookmarkStart w:id="94" w:name="_Toc104541547"/>
      <w:bookmarkStart w:id="95" w:name="_Toc89572619"/>
      <w:r>
        <w:rPr>
          <w:rFonts w:hint="eastAsia" w:ascii="宋体" w:hAnsi="宋体"/>
          <w:b/>
          <w:sz w:val="22"/>
        </w:rPr>
        <w:t>6、</w:t>
      </w:r>
      <w:r>
        <w:rPr>
          <w:rFonts w:ascii="宋体" w:hAnsi="宋体"/>
          <w:b/>
          <w:sz w:val="22"/>
        </w:rPr>
        <w:t>技术培训</w:t>
      </w:r>
      <w:bookmarkEnd w:id="87"/>
      <w:bookmarkEnd w:id="88"/>
      <w:bookmarkEnd w:id="89"/>
      <w:bookmarkEnd w:id="90"/>
      <w:bookmarkEnd w:id="91"/>
      <w:bookmarkEnd w:id="92"/>
      <w:bookmarkEnd w:id="93"/>
      <w:bookmarkEnd w:id="94"/>
      <w:bookmarkEnd w:id="95"/>
      <w:r>
        <w:rPr>
          <w:rFonts w:hint="eastAsia" w:ascii="宋体" w:hAnsi="宋体"/>
          <w:b/>
          <w:sz w:val="22"/>
        </w:rPr>
        <w:t>及</w:t>
      </w:r>
      <w:r>
        <w:rPr>
          <w:rFonts w:ascii="宋体" w:hAnsi="宋体"/>
          <w:b/>
          <w:sz w:val="22"/>
        </w:rPr>
        <w:t>费用</w:t>
      </w:r>
    </w:p>
    <w:p>
      <w:pPr>
        <w:snapToGrid w:val="0"/>
        <w:spacing w:line="400" w:lineRule="exact"/>
        <w:rPr>
          <w:rFonts w:ascii="宋体" w:hAnsi="宋体"/>
          <w:b/>
          <w:sz w:val="22"/>
        </w:rPr>
      </w:pPr>
      <w:r>
        <w:rPr>
          <w:rFonts w:hint="eastAsia" w:ascii="宋体" w:hAnsi="宋体"/>
          <w:sz w:val="22"/>
        </w:rPr>
        <w:t>6.1</w:t>
      </w:r>
      <w:r>
        <w:rPr>
          <w:rFonts w:ascii="宋体" w:hAnsi="宋体"/>
          <w:sz w:val="22"/>
        </w:rPr>
        <w:t>投标人应对招标人的技术人员和操作维修人员进行现场培训。投标人须在投标文件中列出详细的培训计划，包括培训内容、培训时间、培训费用等。所有培训应为中文培训。投标人应为招标人提供一套包括设备日常使用、常规检查维护和排除故障等内容的详细的电子版培训教材。</w:t>
      </w:r>
    </w:p>
    <w:p>
      <w:pPr>
        <w:snapToGrid w:val="0"/>
        <w:spacing w:line="400" w:lineRule="exact"/>
        <w:rPr>
          <w:rFonts w:ascii="宋体" w:hAnsi="宋体"/>
          <w:sz w:val="22"/>
        </w:rPr>
      </w:pPr>
      <w:r>
        <w:rPr>
          <w:rFonts w:hint="eastAsia" w:ascii="宋体" w:hAnsi="宋体"/>
          <w:sz w:val="22"/>
        </w:rPr>
        <w:t>6.2</w:t>
      </w:r>
      <w:r>
        <w:rPr>
          <w:rFonts w:ascii="宋体" w:hAnsi="宋体"/>
          <w:sz w:val="22"/>
        </w:rPr>
        <w:t>投标人派出的培训教员，应在所提供的产品上具有5年以上的维修经验，并曾独立担当过类似工作。投标人应将培训教员的简历，连同培训计划一并提交招标人，如招标人认为培训教员不合适可要求更换。</w:t>
      </w:r>
    </w:p>
    <w:p>
      <w:pPr>
        <w:snapToGrid w:val="0"/>
        <w:spacing w:line="400" w:lineRule="exact"/>
        <w:rPr>
          <w:rFonts w:ascii="宋体" w:hAnsi="宋体"/>
          <w:sz w:val="22"/>
        </w:rPr>
      </w:pPr>
      <w:r>
        <w:rPr>
          <w:rFonts w:hint="eastAsia" w:ascii="宋体" w:hAnsi="宋体"/>
          <w:sz w:val="22"/>
        </w:rPr>
        <w:t>6.3现场培训的费用单列，</w:t>
      </w:r>
      <w:r>
        <w:rPr>
          <w:rFonts w:ascii="宋体" w:hAnsi="宋体"/>
          <w:sz w:val="22"/>
        </w:rPr>
        <w:t>包括在总价内。</w:t>
      </w:r>
    </w:p>
    <w:p>
      <w:pPr>
        <w:snapToGrid w:val="0"/>
        <w:spacing w:line="400" w:lineRule="exact"/>
        <w:rPr>
          <w:rFonts w:ascii="宋体" w:hAnsi="宋体"/>
          <w:b/>
          <w:sz w:val="22"/>
        </w:rPr>
      </w:pPr>
      <w:r>
        <w:rPr>
          <w:rFonts w:hint="eastAsia" w:ascii="宋体" w:hAnsi="宋体"/>
          <w:b/>
          <w:sz w:val="22"/>
        </w:rPr>
        <w:t>7、</w:t>
      </w:r>
      <w:r>
        <w:rPr>
          <w:rFonts w:ascii="宋体" w:hAnsi="宋体"/>
          <w:b/>
          <w:sz w:val="22"/>
        </w:rPr>
        <w:t>调试和试运行</w:t>
      </w:r>
    </w:p>
    <w:p>
      <w:pPr>
        <w:snapToGrid w:val="0"/>
        <w:spacing w:line="400" w:lineRule="exact"/>
        <w:rPr>
          <w:rFonts w:ascii="宋体" w:hAnsi="宋体"/>
          <w:b/>
          <w:sz w:val="22"/>
        </w:rPr>
      </w:pPr>
      <w:r>
        <w:rPr>
          <w:rFonts w:hint="eastAsia" w:ascii="宋体" w:hAnsi="宋体"/>
          <w:sz w:val="22"/>
        </w:rPr>
        <w:t>7.1</w:t>
      </w:r>
      <w:r>
        <w:rPr>
          <w:rFonts w:ascii="宋体" w:hAnsi="宋体"/>
          <w:sz w:val="22"/>
        </w:rPr>
        <w:t>投标人应委派从事调试和试运行同类</w:t>
      </w:r>
      <w:r>
        <w:rPr>
          <w:rFonts w:hint="eastAsia" w:ascii="宋体" w:hAnsi="宋体"/>
          <w:sz w:val="22"/>
        </w:rPr>
        <w:t>叉车</w:t>
      </w:r>
      <w:r>
        <w:rPr>
          <w:rFonts w:ascii="宋体" w:hAnsi="宋体"/>
          <w:sz w:val="22"/>
        </w:rPr>
        <w:t>有5年以上工作经验的人员在现场负责该项工作，检测</w:t>
      </w:r>
      <w:r>
        <w:rPr>
          <w:rFonts w:hint="eastAsia" w:ascii="宋体" w:hAnsi="宋体"/>
          <w:sz w:val="22"/>
        </w:rPr>
        <w:t>叉车</w:t>
      </w:r>
      <w:r>
        <w:rPr>
          <w:rFonts w:ascii="宋体" w:hAnsi="宋体"/>
          <w:sz w:val="22"/>
        </w:rPr>
        <w:t>的设计、制造、运行效果等方面的情况,并负责与招标人联系有关工作。招标人认为该人员不合适时，投标人应按招标人的要求立即予以更换。</w:t>
      </w:r>
    </w:p>
    <w:p>
      <w:pPr>
        <w:snapToGrid w:val="0"/>
        <w:spacing w:line="400" w:lineRule="exact"/>
        <w:rPr>
          <w:rFonts w:ascii="宋体" w:hAnsi="宋体"/>
          <w:b/>
          <w:sz w:val="22"/>
        </w:rPr>
      </w:pPr>
      <w:r>
        <w:rPr>
          <w:rFonts w:hint="eastAsia" w:ascii="宋体" w:hAnsi="宋体"/>
          <w:sz w:val="22"/>
        </w:rPr>
        <w:t>7.2</w:t>
      </w:r>
      <w:r>
        <w:rPr>
          <w:rFonts w:ascii="宋体" w:hAnsi="宋体"/>
          <w:sz w:val="22"/>
        </w:rPr>
        <w:t>投标人应在设备调试和试运行20天前，向招标人提交调试和试运行的程序和记录表格，供招标人批准。</w:t>
      </w:r>
    </w:p>
    <w:p>
      <w:pPr>
        <w:snapToGrid w:val="0"/>
        <w:spacing w:line="400" w:lineRule="exact"/>
        <w:rPr>
          <w:rFonts w:ascii="宋体" w:hAnsi="宋体"/>
          <w:b/>
          <w:sz w:val="22"/>
        </w:rPr>
      </w:pPr>
      <w:r>
        <w:rPr>
          <w:rFonts w:hint="eastAsia" w:ascii="宋体" w:hAnsi="宋体"/>
          <w:sz w:val="22"/>
        </w:rPr>
        <w:t>7.3</w:t>
      </w:r>
      <w:r>
        <w:rPr>
          <w:rFonts w:ascii="宋体" w:hAnsi="宋体"/>
          <w:sz w:val="22"/>
        </w:rPr>
        <w:t>投标人接到招标人通知后必须及时派员到达现场，并做好调试和试运行的准备工作。在没有得到招标人允许前，投标人不能更换和撤走任何一个指导人员。</w:t>
      </w:r>
    </w:p>
    <w:p>
      <w:pPr>
        <w:snapToGrid w:val="0"/>
        <w:spacing w:line="400" w:lineRule="exact"/>
        <w:rPr>
          <w:rFonts w:ascii="宋体" w:hAnsi="宋体"/>
          <w:b/>
          <w:sz w:val="22"/>
        </w:rPr>
      </w:pPr>
      <w:r>
        <w:rPr>
          <w:rFonts w:hint="eastAsia" w:ascii="宋体" w:hAnsi="宋体"/>
          <w:sz w:val="22"/>
        </w:rPr>
        <w:t>7.4</w:t>
      </w:r>
      <w:r>
        <w:rPr>
          <w:rFonts w:ascii="宋体" w:hAnsi="宋体"/>
          <w:sz w:val="22"/>
        </w:rPr>
        <w:t>投标人应根据被招标人批准的计划并有招标人代表在场的情况下进行设备的调试和试运行；所有的记录和报告应提交招标人。由于投标人原因造成的调试和试运行失败及由此引起的延误和所发生的费用由投标人负责。</w:t>
      </w:r>
    </w:p>
    <w:p>
      <w:pPr>
        <w:snapToGrid w:val="0"/>
        <w:spacing w:line="400" w:lineRule="exact"/>
        <w:rPr>
          <w:rFonts w:ascii="宋体" w:hAnsi="宋体"/>
          <w:b/>
          <w:sz w:val="22"/>
        </w:rPr>
      </w:pPr>
      <w:r>
        <w:rPr>
          <w:rFonts w:hint="eastAsia" w:ascii="宋体" w:hAnsi="宋体"/>
          <w:sz w:val="22"/>
        </w:rPr>
        <w:t>7.5</w:t>
      </w:r>
      <w:r>
        <w:rPr>
          <w:rFonts w:ascii="宋体" w:hAnsi="宋体"/>
          <w:sz w:val="22"/>
        </w:rPr>
        <w:t>投标人应承担调试和试运行工作所需的一切费用，此费用包含在总价内</w:t>
      </w:r>
      <w:bookmarkStart w:id="96" w:name="_Toc141030424"/>
      <w:bookmarkStart w:id="97" w:name="_Toc141083018"/>
    </w:p>
    <w:p>
      <w:pPr>
        <w:snapToGrid w:val="0"/>
        <w:spacing w:line="400" w:lineRule="exact"/>
        <w:rPr>
          <w:rFonts w:ascii="宋体" w:hAnsi="宋体"/>
          <w:b/>
          <w:sz w:val="22"/>
        </w:rPr>
      </w:pPr>
      <w:r>
        <w:rPr>
          <w:rFonts w:hint="eastAsia" w:ascii="宋体" w:hAnsi="宋体"/>
          <w:b/>
          <w:sz w:val="22"/>
        </w:rPr>
        <w:t>8、</w:t>
      </w:r>
      <w:r>
        <w:rPr>
          <w:rFonts w:ascii="宋体" w:hAnsi="宋体"/>
          <w:b/>
          <w:sz w:val="22"/>
        </w:rPr>
        <w:t>运输、包装</w:t>
      </w:r>
    </w:p>
    <w:p>
      <w:pPr>
        <w:snapToGrid w:val="0"/>
        <w:spacing w:line="400" w:lineRule="exact"/>
        <w:rPr>
          <w:rFonts w:ascii="宋体" w:hAnsi="宋体"/>
          <w:b/>
          <w:sz w:val="22"/>
        </w:rPr>
      </w:pPr>
      <w:r>
        <w:rPr>
          <w:rFonts w:hint="eastAsia" w:ascii="宋体" w:hAnsi="宋体"/>
          <w:kern w:val="0"/>
          <w:sz w:val="22"/>
        </w:rPr>
        <w:t>8.1</w:t>
      </w:r>
      <w:r>
        <w:rPr>
          <w:rFonts w:ascii="宋体" w:hAnsi="宋体"/>
          <w:kern w:val="0"/>
          <w:sz w:val="22"/>
        </w:rPr>
        <w:t>投标人所提供设备的包装应适合运输和装卸，一切由于包装和运输过程中而引起的任何破损和毁坏均由投标人负责。</w:t>
      </w:r>
    </w:p>
    <w:p>
      <w:pPr>
        <w:snapToGrid w:val="0"/>
        <w:spacing w:line="400" w:lineRule="exact"/>
        <w:rPr>
          <w:rFonts w:ascii="宋体" w:hAnsi="宋体"/>
          <w:b/>
          <w:sz w:val="22"/>
        </w:rPr>
      </w:pPr>
      <w:r>
        <w:rPr>
          <w:rFonts w:hint="eastAsia" w:ascii="宋体" w:hAnsi="宋体"/>
          <w:kern w:val="0"/>
          <w:sz w:val="22"/>
        </w:rPr>
        <w:t>8.2</w:t>
      </w:r>
      <w:r>
        <w:rPr>
          <w:rFonts w:ascii="宋体" w:hAnsi="宋体"/>
          <w:kern w:val="0"/>
          <w:sz w:val="22"/>
        </w:rPr>
        <w:t>备件和检测维修设备及工具应与设备分开包装。这些包装箱盒应适合储存，储存年限应在包装上予以说明。所有备件和检测维修设备及工具应有中文标示。</w:t>
      </w:r>
    </w:p>
    <w:p>
      <w:pPr>
        <w:snapToGrid w:val="0"/>
        <w:spacing w:line="400" w:lineRule="exact"/>
        <w:rPr>
          <w:rFonts w:ascii="宋体" w:hAnsi="宋体"/>
          <w:b/>
          <w:sz w:val="22"/>
        </w:rPr>
      </w:pPr>
      <w:r>
        <w:rPr>
          <w:rFonts w:hint="eastAsia" w:ascii="宋体" w:hAnsi="宋体"/>
          <w:sz w:val="22"/>
        </w:rPr>
        <w:t>8.3叉车</w:t>
      </w:r>
      <w:r>
        <w:rPr>
          <w:rFonts w:ascii="宋体" w:hAnsi="宋体"/>
          <w:sz w:val="22"/>
        </w:rPr>
        <w:t>上的所有配置必须是整机装运，除招标人特殊批准的情况外，投标人不能在现场进行装配。</w:t>
      </w:r>
      <w:bookmarkStart w:id="98" w:name="_Toc141083011"/>
      <w:bookmarkStart w:id="99" w:name="_Toc141030417"/>
    </w:p>
    <w:p>
      <w:pPr>
        <w:snapToGrid w:val="0"/>
        <w:spacing w:line="400" w:lineRule="exact"/>
        <w:rPr>
          <w:rFonts w:ascii="宋体" w:hAnsi="宋体"/>
          <w:b/>
          <w:sz w:val="22"/>
        </w:rPr>
      </w:pPr>
      <w:r>
        <w:rPr>
          <w:rFonts w:hint="eastAsia" w:ascii="宋体" w:hAnsi="宋体"/>
          <w:b/>
          <w:sz w:val="22"/>
        </w:rPr>
        <w:t>9、</w:t>
      </w:r>
      <w:r>
        <w:rPr>
          <w:rFonts w:ascii="宋体" w:hAnsi="宋体"/>
          <w:b/>
          <w:sz w:val="22"/>
        </w:rPr>
        <w:t>铭牌和各类标记</w:t>
      </w:r>
      <w:bookmarkEnd w:id="98"/>
      <w:bookmarkEnd w:id="99"/>
    </w:p>
    <w:p>
      <w:pPr>
        <w:snapToGrid w:val="0"/>
        <w:spacing w:line="400" w:lineRule="exact"/>
        <w:rPr>
          <w:rFonts w:ascii="宋体" w:hAnsi="宋体"/>
          <w:b/>
          <w:sz w:val="22"/>
        </w:rPr>
      </w:pPr>
      <w:r>
        <w:rPr>
          <w:rFonts w:hint="eastAsia" w:ascii="宋体" w:hAnsi="宋体"/>
          <w:kern w:val="0"/>
          <w:sz w:val="22"/>
        </w:rPr>
        <w:t>9.1</w:t>
      </w:r>
      <w:r>
        <w:rPr>
          <w:rFonts w:ascii="宋体" w:hAnsi="宋体"/>
          <w:kern w:val="0"/>
          <w:sz w:val="22"/>
        </w:rPr>
        <w:t>投标人应在每台设备适当的位置，喷涂或加装永久的设备铭牌及招标人特殊要求的识别标示（机场标志或车身号码等），操作控制部分必须在适当位置设有操作使用说明牌、指示牌和警示牌，费用均由投标人负责。</w:t>
      </w:r>
    </w:p>
    <w:p>
      <w:pPr>
        <w:snapToGrid w:val="0"/>
        <w:spacing w:line="400" w:lineRule="exact"/>
        <w:rPr>
          <w:rFonts w:ascii="宋体" w:hAnsi="宋体"/>
          <w:b/>
          <w:sz w:val="22"/>
        </w:rPr>
      </w:pPr>
      <w:r>
        <w:rPr>
          <w:rFonts w:hint="eastAsia" w:ascii="宋体" w:hAnsi="宋体"/>
          <w:kern w:val="0"/>
          <w:sz w:val="22"/>
        </w:rPr>
        <w:t>9.2</w:t>
      </w:r>
      <w:r>
        <w:rPr>
          <w:rFonts w:ascii="宋体" w:hAnsi="宋体"/>
          <w:kern w:val="0"/>
          <w:sz w:val="22"/>
        </w:rPr>
        <w:t>各类标牌文字应使用简体中文。</w:t>
      </w:r>
    </w:p>
    <w:p>
      <w:pPr>
        <w:snapToGrid w:val="0"/>
        <w:spacing w:line="400" w:lineRule="exact"/>
        <w:rPr>
          <w:rFonts w:ascii="宋体" w:hAnsi="宋体"/>
          <w:b/>
          <w:sz w:val="22"/>
        </w:rPr>
      </w:pPr>
      <w:r>
        <w:rPr>
          <w:rFonts w:hint="eastAsia" w:ascii="宋体" w:hAnsi="宋体"/>
          <w:sz w:val="22"/>
        </w:rPr>
        <w:t>9.3</w:t>
      </w:r>
      <w:r>
        <w:rPr>
          <w:rFonts w:ascii="宋体" w:hAnsi="宋体"/>
          <w:sz w:val="22"/>
        </w:rPr>
        <w:t>每项设备均应有制造厂的铭牌，并装在显著的地方。铭牌应清楚标明至少下列内容：制造厂名称、设备名称、型号、制造年月、主要规格和参数、制造编号等。</w:t>
      </w:r>
    </w:p>
    <w:p>
      <w:pPr>
        <w:snapToGrid w:val="0"/>
        <w:spacing w:line="400" w:lineRule="exact"/>
        <w:rPr>
          <w:rFonts w:ascii="宋体" w:hAnsi="宋体"/>
          <w:b/>
          <w:sz w:val="22"/>
        </w:rPr>
      </w:pPr>
      <w:r>
        <w:rPr>
          <w:rFonts w:hint="eastAsia" w:ascii="宋体" w:hAnsi="宋体"/>
          <w:sz w:val="22"/>
        </w:rPr>
        <w:t>9.4</w:t>
      </w:r>
      <w:r>
        <w:rPr>
          <w:rFonts w:ascii="宋体" w:hAnsi="宋体"/>
          <w:sz w:val="22"/>
        </w:rPr>
        <w:t>各操作按钮和控制装置的明显位置应有操作说明和指示。各种显示装置、仪表应有表明其名称和作用的符号或标记。</w:t>
      </w:r>
    </w:p>
    <w:p>
      <w:pPr>
        <w:snapToGrid w:val="0"/>
        <w:spacing w:line="400" w:lineRule="exact"/>
        <w:rPr>
          <w:rFonts w:ascii="宋体" w:hAnsi="宋体"/>
          <w:b/>
          <w:sz w:val="22"/>
        </w:rPr>
      </w:pPr>
      <w:r>
        <w:rPr>
          <w:rFonts w:hint="eastAsia" w:ascii="宋体" w:hAnsi="宋体"/>
          <w:sz w:val="22"/>
        </w:rPr>
        <w:t>9.5</w:t>
      </w:r>
      <w:r>
        <w:rPr>
          <w:rFonts w:ascii="宋体" w:hAnsi="宋体"/>
          <w:sz w:val="22"/>
        </w:rPr>
        <w:t>易发生危险的部位应有警告标记。需要经常维护的位置应有简要说明。</w:t>
      </w:r>
    </w:p>
    <w:p>
      <w:pPr>
        <w:snapToGrid w:val="0"/>
        <w:spacing w:line="400" w:lineRule="exact"/>
        <w:rPr>
          <w:rFonts w:ascii="宋体" w:hAnsi="宋体"/>
          <w:b/>
          <w:sz w:val="22"/>
        </w:rPr>
      </w:pPr>
      <w:r>
        <w:rPr>
          <w:rFonts w:hint="eastAsia" w:ascii="宋体" w:hAnsi="宋体"/>
          <w:sz w:val="22"/>
        </w:rPr>
        <w:t>9.6</w:t>
      </w:r>
      <w:r>
        <w:rPr>
          <w:rFonts w:ascii="宋体" w:hAnsi="宋体"/>
          <w:sz w:val="22"/>
        </w:rPr>
        <w:t>电气设备的标记和标签：</w:t>
      </w:r>
    </w:p>
    <w:p>
      <w:pPr>
        <w:snapToGrid w:val="0"/>
        <w:spacing w:line="400" w:lineRule="exact"/>
        <w:rPr>
          <w:rFonts w:ascii="宋体" w:hAnsi="宋体"/>
          <w:b/>
          <w:sz w:val="22"/>
        </w:rPr>
      </w:pPr>
      <w:r>
        <w:rPr>
          <w:rFonts w:hint="eastAsia" w:ascii="宋体" w:hAnsi="宋体"/>
          <w:sz w:val="22"/>
        </w:rPr>
        <w:t>9.6.1</w:t>
      </w:r>
      <w:r>
        <w:rPr>
          <w:rFonts w:ascii="宋体" w:hAnsi="宋体"/>
          <w:sz w:val="22"/>
        </w:rPr>
        <w:t>所有电气设备或部件的接线处应打上清晰的永久性标记，连接点两端的标记号必须相同，标记号须印在护套管上；</w:t>
      </w:r>
    </w:p>
    <w:p>
      <w:pPr>
        <w:snapToGrid w:val="0"/>
        <w:spacing w:line="400" w:lineRule="exact"/>
        <w:rPr>
          <w:rFonts w:ascii="宋体" w:hAnsi="宋体"/>
          <w:b/>
          <w:sz w:val="22"/>
        </w:rPr>
      </w:pPr>
      <w:r>
        <w:rPr>
          <w:rFonts w:hint="eastAsia" w:ascii="宋体" w:hAnsi="宋体"/>
          <w:sz w:val="22"/>
        </w:rPr>
        <w:t>9.6.2</w:t>
      </w:r>
      <w:r>
        <w:rPr>
          <w:rFonts w:ascii="宋体" w:hAnsi="宋体"/>
          <w:sz w:val="22"/>
        </w:rPr>
        <w:t>不同作用的电缆和芯线应用不同颜色区分开，需要连接的两端采用相同的颜色，并有标记号。</w:t>
      </w:r>
    </w:p>
    <w:p>
      <w:pPr>
        <w:snapToGrid w:val="0"/>
        <w:spacing w:line="400" w:lineRule="exact"/>
        <w:rPr>
          <w:rFonts w:ascii="宋体" w:hAnsi="宋体"/>
          <w:b/>
          <w:sz w:val="22"/>
        </w:rPr>
      </w:pPr>
      <w:r>
        <w:rPr>
          <w:rFonts w:hint="eastAsia" w:ascii="宋体" w:hAnsi="宋体"/>
          <w:b/>
          <w:sz w:val="22"/>
        </w:rPr>
        <w:t>10、</w:t>
      </w:r>
      <w:r>
        <w:rPr>
          <w:rFonts w:ascii="宋体" w:hAnsi="宋体"/>
          <w:b/>
          <w:sz w:val="22"/>
        </w:rPr>
        <w:t>验收</w:t>
      </w:r>
      <w:bookmarkEnd w:id="96"/>
      <w:bookmarkEnd w:id="97"/>
    </w:p>
    <w:p>
      <w:pPr>
        <w:snapToGrid w:val="0"/>
        <w:spacing w:line="400" w:lineRule="exact"/>
        <w:rPr>
          <w:rFonts w:ascii="宋体" w:hAnsi="宋体"/>
          <w:b/>
          <w:sz w:val="22"/>
        </w:rPr>
      </w:pPr>
      <w:r>
        <w:rPr>
          <w:rFonts w:hint="eastAsia" w:ascii="宋体" w:hAnsi="宋体"/>
          <w:sz w:val="22"/>
        </w:rPr>
        <w:t>10.1叉车</w:t>
      </w:r>
      <w:r>
        <w:rPr>
          <w:rFonts w:ascii="宋体" w:hAnsi="宋体"/>
          <w:sz w:val="22"/>
        </w:rPr>
        <w:t>正常运行30天后，由招标人和有关专家按验收项目进行最后的验收。</w:t>
      </w:r>
    </w:p>
    <w:p>
      <w:pPr>
        <w:snapToGrid w:val="0"/>
        <w:spacing w:line="400" w:lineRule="exact"/>
        <w:rPr>
          <w:rFonts w:ascii="宋体" w:hAnsi="宋体"/>
          <w:b/>
          <w:sz w:val="22"/>
        </w:rPr>
      </w:pPr>
      <w:r>
        <w:rPr>
          <w:rFonts w:hint="eastAsia" w:ascii="宋体" w:hAnsi="宋体"/>
          <w:sz w:val="22"/>
        </w:rPr>
        <w:t>10.2</w:t>
      </w:r>
      <w:r>
        <w:rPr>
          <w:rFonts w:ascii="宋体" w:hAnsi="宋体"/>
          <w:sz w:val="22"/>
        </w:rPr>
        <w:t>投标人在投标时必须提供验收项目的具体内容，供招标人批准。</w:t>
      </w:r>
    </w:p>
    <w:p>
      <w:pPr>
        <w:snapToGrid w:val="0"/>
        <w:spacing w:line="400" w:lineRule="exact"/>
        <w:rPr>
          <w:rFonts w:ascii="宋体" w:hAnsi="宋体"/>
          <w:b/>
          <w:sz w:val="22"/>
        </w:rPr>
      </w:pPr>
      <w:r>
        <w:rPr>
          <w:rFonts w:hint="eastAsia" w:ascii="宋体" w:hAnsi="宋体"/>
          <w:sz w:val="22"/>
        </w:rPr>
        <w:t>10.3</w:t>
      </w:r>
      <w:r>
        <w:rPr>
          <w:rFonts w:ascii="宋体" w:hAnsi="宋体"/>
          <w:sz w:val="22"/>
        </w:rPr>
        <w:t>在移交招标人之前，投标人应负责</w:t>
      </w:r>
      <w:r>
        <w:rPr>
          <w:rFonts w:hint="eastAsia" w:ascii="宋体" w:hAnsi="宋体"/>
          <w:sz w:val="22"/>
        </w:rPr>
        <w:t>叉车</w:t>
      </w:r>
      <w:r>
        <w:rPr>
          <w:rFonts w:ascii="宋体" w:hAnsi="宋体"/>
          <w:sz w:val="22"/>
        </w:rPr>
        <w:t>的保护、保养及清洁。</w:t>
      </w:r>
    </w:p>
    <w:p>
      <w:pPr>
        <w:snapToGrid w:val="0"/>
        <w:spacing w:line="400" w:lineRule="exact"/>
        <w:rPr>
          <w:rFonts w:ascii="宋体" w:hAnsi="宋体"/>
          <w:b/>
          <w:sz w:val="22"/>
        </w:rPr>
      </w:pPr>
      <w:r>
        <w:rPr>
          <w:rFonts w:hint="eastAsia" w:ascii="宋体" w:hAnsi="宋体"/>
          <w:sz w:val="22"/>
        </w:rPr>
        <w:t>10.4</w:t>
      </w:r>
      <w:r>
        <w:rPr>
          <w:rFonts w:ascii="宋体" w:hAnsi="宋体"/>
          <w:sz w:val="22"/>
        </w:rPr>
        <w:t>验收合格条件：</w:t>
      </w:r>
    </w:p>
    <w:p>
      <w:pPr>
        <w:snapToGrid w:val="0"/>
        <w:spacing w:line="400" w:lineRule="exact"/>
        <w:rPr>
          <w:rFonts w:ascii="宋体" w:hAnsi="宋体"/>
          <w:b/>
          <w:sz w:val="22"/>
        </w:rPr>
      </w:pPr>
      <w:r>
        <w:rPr>
          <w:rFonts w:hint="eastAsia" w:ascii="宋体" w:hAnsi="宋体"/>
          <w:sz w:val="22"/>
        </w:rPr>
        <w:t>10.4.1</w:t>
      </w:r>
      <w:r>
        <w:rPr>
          <w:rFonts w:ascii="宋体" w:hAnsi="宋体"/>
          <w:sz w:val="22"/>
        </w:rPr>
        <w:t>试运行时，各项性能指标满足技术合同标书要求；</w:t>
      </w:r>
    </w:p>
    <w:p>
      <w:pPr>
        <w:snapToGrid w:val="0"/>
        <w:spacing w:line="400" w:lineRule="exact"/>
        <w:rPr>
          <w:rFonts w:ascii="宋体" w:hAnsi="宋体"/>
          <w:b/>
          <w:sz w:val="22"/>
        </w:rPr>
      </w:pPr>
      <w:r>
        <w:rPr>
          <w:rFonts w:hint="eastAsia" w:ascii="宋体" w:hAnsi="宋体"/>
          <w:sz w:val="22"/>
        </w:rPr>
        <w:t>10.4.2</w:t>
      </w:r>
      <w:r>
        <w:rPr>
          <w:rFonts w:ascii="宋体" w:hAnsi="宋体"/>
          <w:sz w:val="22"/>
        </w:rPr>
        <w:t>调试和试运行时出现的问题已被解决，并得到招标人认可；</w:t>
      </w:r>
    </w:p>
    <w:p>
      <w:pPr>
        <w:snapToGrid w:val="0"/>
        <w:spacing w:line="400" w:lineRule="exact"/>
        <w:rPr>
          <w:rFonts w:ascii="宋体" w:hAnsi="宋体"/>
          <w:b/>
          <w:sz w:val="22"/>
        </w:rPr>
      </w:pPr>
      <w:r>
        <w:rPr>
          <w:rFonts w:hint="eastAsia" w:ascii="宋体" w:hAnsi="宋体"/>
          <w:sz w:val="22"/>
        </w:rPr>
        <w:t>10.4.3</w:t>
      </w:r>
      <w:r>
        <w:rPr>
          <w:rFonts w:ascii="宋体" w:hAnsi="宋体"/>
          <w:sz w:val="22"/>
        </w:rPr>
        <w:t>已提供了合同范围内的全部货物和资料。</w:t>
      </w:r>
      <w:bookmarkStart w:id="100" w:name="_Toc141083019"/>
      <w:bookmarkStart w:id="101" w:name="_Toc141030425"/>
    </w:p>
    <w:p>
      <w:pPr>
        <w:snapToGrid w:val="0"/>
        <w:spacing w:line="400" w:lineRule="exact"/>
        <w:rPr>
          <w:rFonts w:ascii="宋体" w:hAnsi="宋体"/>
          <w:b/>
          <w:sz w:val="22"/>
        </w:rPr>
      </w:pPr>
      <w:r>
        <w:rPr>
          <w:rFonts w:hint="eastAsia" w:ascii="宋体" w:hAnsi="宋体"/>
          <w:b/>
          <w:sz w:val="22"/>
        </w:rPr>
        <w:t>11、</w:t>
      </w:r>
      <w:r>
        <w:rPr>
          <w:rFonts w:ascii="宋体" w:hAnsi="宋体"/>
          <w:b/>
          <w:sz w:val="22"/>
        </w:rPr>
        <w:t>售后服务</w:t>
      </w:r>
      <w:bookmarkEnd w:id="100"/>
      <w:bookmarkEnd w:id="101"/>
    </w:p>
    <w:p>
      <w:pPr>
        <w:snapToGrid w:val="0"/>
        <w:spacing w:line="400" w:lineRule="exact"/>
        <w:rPr>
          <w:rFonts w:ascii="宋体" w:hAnsi="宋体"/>
          <w:b/>
          <w:sz w:val="22"/>
        </w:rPr>
      </w:pPr>
      <w:r>
        <w:rPr>
          <w:rFonts w:hint="eastAsia" w:ascii="宋体" w:hAnsi="宋体"/>
          <w:sz w:val="22"/>
        </w:rPr>
        <w:t>11.1</w:t>
      </w:r>
      <w:r>
        <w:rPr>
          <w:rFonts w:ascii="宋体" w:hAnsi="宋体"/>
          <w:sz w:val="22"/>
        </w:rPr>
        <w:t>所投标</w:t>
      </w:r>
      <w:r>
        <w:rPr>
          <w:rFonts w:hint="eastAsia" w:ascii="宋体" w:hAnsi="宋体"/>
          <w:sz w:val="22"/>
        </w:rPr>
        <w:t>叉车</w:t>
      </w:r>
      <w:r>
        <w:rPr>
          <w:rFonts w:ascii="宋体" w:hAnsi="宋体"/>
          <w:sz w:val="22"/>
        </w:rPr>
        <w:t>的制造厂在中国</w:t>
      </w:r>
      <w:r>
        <w:rPr>
          <w:rFonts w:hint="eastAsia" w:ascii="宋体" w:hAnsi="宋体"/>
          <w:sz w:val="22"/>
        </w:rPr>
        <w:t>大</w:t>
      </w:r>
      <w:r>
        <w:rPr>
          <w:rFonts w:ascii="宋体" w:hAnsi="宋体"/>
          <w:sz w:val="22"/>
        </w:rPr>
        <w:t>陆应有常驻的代表机构，并配有专职的、具有</w:t>
      </w:r>
      <w:r>
        <w:rPr>
          <w:rFonts w:hint="eastAsia" w:ascii="宋体" w:hAnsi="宋体"/>
          <w:sz w:val="22"/>
        </w:rPr>
        <w:t>叉车</w:t>
      </w:r>
      <w:r>
        <w:rPr>
          <w:rFonts w:ascii="宋体" w:hAnsi="宋体"/>
          <w:color w:val="000000"/>
          <w:sz w:val="22"/>
        </w:rPr>
        <w:t>维修资格的技术服务工程师。</w:t>
      </w:r>
      <w:r>
        <w:rPr>
          <w:rFonts w:hint="eastAsia" w:ascii="宋体" w:hAnsi="宋体"/>
          <w:color w:val="000000"/>
          <w:sz w:val="22"/>
        </w:rPr>
        <w:t>请提供详细介绍。</w:t>
      </w:r>
    </w:p>
    <w:p>
      <w:pPr>
        <w:snapToGrid w:val="0"/>
        <w:spacing w:line="400" w:lineRule="exact"/>
        <w:rPr>
          <w:rFonts w:ascii="宋体" w:hAnsi="宋体"/>
          <w:b/>
          <w:sz w:val="22"/>
        </w:rPr>
      </w:pPr>
      <w:r>
        <w:rPr>
          <w:rFonts w:hint="eastAsia" w:ascii="宋体" w:hAnsi="宋体"/>
          <w:sz w:val="22"/>
        </w:rPr>
        <w:t>11.2</w:t>
      </w:r>
      <w:r>
        <w:rPr>
          <w:rFonts w:ascii="宋体" w:hAnsi="宋体"/>
          <w:sz w:val="22"/>
        </w:rPr>
        <w:t>接到招标人报修通知后</w:t>
      </w:r>
      <w:r>
        <w:rPr>
          <w:rFonts w:hint="eastAsia" w:ascii="宋体" w:hAnsi="宋体"/>
          <w:sz w:val="22"/>
        </w:rPr>
        <w:t>24</w:t>
      </w:r>
      <w:r>
        <w:rPr>
          <w:rFonts w:ascii="宋体" w:hAnsi="宋体"/>
          <w:sz w:val="22"/>
        </w:rPr>
        <w:t>小时内维修人员须赶到现场，并进行连续维修，直到故障完全排除、</w:t>
      </w:r>
      <w:r>
        <w:rPr>
          <w:rFonts w:hint="eastAsia" w:ascii="宋体" w:hAnsi="宋体"/>
          <w:sz w:val="22"/>
        </w:rPr>
        <w:t>叉车</w:t>
      </w:r>
      <w:r>
        <w:rPr>
          <w:rFonts w:ascii="宋体" w:hAnsi="宋体"/>
          <w:sz w:val="22"/>
        </w:rPr>
        <w:t>恢复正常为止。</w:t>
      </w:r>
    </w:p>
    <w:p>
      <w:pPr>
        <w:snapToGrid w:val="0"/>
        <w:spacing w:line="400" w:lineRule="exact"/>
        <w:rPr>
          <w:rFonts w:ascii="宋体" w:hAnsi="宋体"/>
          <w:b/>
          <w:sz w:val="22"/>
        </w:rPr>
      </w:pPr>
      <w:r>
        <w:rPr>
          <w:rFonts w:hint="eastAsia" w:ascii="宋体" w:hAnsi="宋体"/>
          <w:sz w:val="22"/>
        </w:rPr>
        <w:t>11.3</w:t>
      </w:r>
      <w:r>
        <w:rPr>
          <w:rFonts w:ascii="宋体" w:hAnsi="宋体"/>
          <w:sz w:val="22"/>
        </w:rPr>
        <w:t>投标人必须为</w:t>
      </w:r>
      <w:r>
        <w:rPr>
          <w:rFonts w:hint="eastAsia" w:ascii="宋体" w:hAnsi="宋体"/>
          <w:sz w:val="22"/>
        </w:rPr>
        <w:t>叉车</w:t>
      </w:r>
      <w:r>
        <w:rPr>
          <w:rFonts w:ascii="宋体" w:hAnsi="宋体"/>
          <w:sz w:val="22"/>
        </w:rPr>
        <w:t>及随车附属设备提供为期24个月的免费质保期，时间从验收合格并正式移交招标人之日算起。质保期内由于设备质量原因造成的损伤和损坏，投标人必须免费修复和更换。</w:t>
      </w:r>
    </w:p>
    <w:p>
      <w:pPr>
        <w:snapToGrid w:val="0"/>
        <w:spacing w:line="400" w:lineRule="exact"/>
        <w:rPr>
          <w:rFonts w:ascii="宋体" w:hAnsi="宋体"/>
          <w:b/>
          <w:sz w:val="22"/>
        </w:rPr>
      </w:pPr>
      <w:r>
        <w:rPr>
          <w:rFonts w:hint="eastAsia" w:ascii="宋体" w:hAnsi="宋体"/>
          <w:sz w:val="22"/>
        </w:rPr>
        <w:t>11.4  2000小时内免费定期检查和提供保养服务，免费提供满足一次全车保养需要各种滤清、配件、油品。</w:t>
      </w:r>
    </w:p>
    <w:p>
      <w:pPr>
        <w:snapToGrid w:val="0"/>
        <w:spacing w:line="400" w:lineRule="exact"/>
        <w:rPr>
          <w:rFonts w:ascii="宋体" w:hAnsi="宋体"/>
          <w:b/>
          <w:sz w:val="22"/>
        </w:rPr>
      </w:pPr>
      <w:r>
        <w:rPr>
          <w:rFonts w:hint="eastAsia" w:ascii="宋体" w:hAnsi="宋体"/>
          <w:sz w:val="22"/>
        </w:rPr>
        <w:t>11.5</w:t>
      </w:r>
      <w:r>
        <w:rPr>
          <w:rFonts w:ascii="宋体" w:hAnsi="宋体"/>
          <w:sz w:val="22"/>
        </w:rPr>
        <w:t>质保期结束前必须由投标人的工程师和招标人代表一起对</w:t>
      </w:r>
      <w:r>
        <w:rPr>
          <w:rFonts w:hint="eastAsia" w:ascii="宋体" w:hAnsi="宋体"/>
          <w:sz w:val="22"/>
        </w:rPr>
        <w:t>叉车</w:t>
      </w:r>
      <w:r>
        <w:rPr>
          <w:rFonts w:ascii="宋体" w:hAnsi="宋体"/>
          <w:sz w:val="22"/>
        </w:rPr>
        <w:t>进行一次全面测试和检查。任何问题投标人必须负责解决，并得到招标人代表的认可。在修理之后5天内，投标人应将问题成因、补救措施、完成情况及</w:t>
      </w:r>
      <w:r>
        <w:rPr>
          <w:rFonts w:hint="eastAsia" w:ascii="宋体" w:hAnsi="宋体"/>
          <w:sz w:val="22"/>
        </w:rPr>
        <w:t>叉车</w:t>
      </w:r>
      <w:r>
        <w:rPr>
          <w:rFonts w:ascii="宋体" w:hAnsi="宋体"/>
          <w:sz w:val="22"/>
        </w:rPr>
        <w:t>恢复正常的时间、日期以及质保期内保养计划执行情况等报告招标人。该报告一式两份。</w:t>
      </w:r>
      <w:bookmarkStart w:id="102" w:name="_Toc141083020"/>
      <w:bookmarkStart w:id="103" w:name="_Toc141030426"/>
    </w:p>
    <w:p>
      <w:pPr>
        <w:snapToGrid w:val="0"/>
        <w:spacing w:line="400" w:lineRule="exact"/>
        <w:rPr>
          <w:rFonts w:ascii="宋体" w:hAnsi="宋体"/>
          <w:b/>
          <w:sz w:val="22"/>
        </w:rPr>
      </w:pPr>
      <w:r>
        <w:rPr>
          <w:rFonts w:hint="eastAsia" w:ascii="宋体" w:hAnsi="宋体"/>
          <w:b/>
          <w:sz w:val="22"/>
        </w:rPr>
        <w:t>12、</w:t>
      </w:r>
      <w:r>
        <w:rPr>
          <w:rFonts w:ascii="宋体" w:hAnsi="宋体"/>
          <w:b/>
          <w:sz w:val="22"/>
        </w:rPr>
        <w:t>备</w:t>
      </w:r>
      <w:r>
        <w:rPr>
          <w:rFonts w:hint="eastAsia" w:ascii="宋体" w:hAnsi="宋体"/>
          <w:b/>
          <w:sz w:val="22"/>
        </w:rPr>
        <w:t>品备件等的</w:t>
      </w:r>
      <w:r>
        <w:rPr>
          <w:rFonts w:ascii="宋体" w:hAnsi="宋体"/>
          <w:b/>
          <w:sz w:val="22"/>
        </w:rPr>
        <w:t>供应</w:t>
      </w:r>
      <w:bookmarkEnd w:id="102"/>
      <w:bookmarkEnd w:id="103"/>
    </w:p>
    <w:p>
      <w:pPr>
        <w:snapToGrid w:val="0"/>
        <w:spacing w:line="400" w:lineRule="exact"/>
        <w:rPr>
          <w:rFonts w:ascii="宋体" w:hAnsi="宋体"/>
          <w:sz w:val="22"/>
        </w:rPr>
      </w:pPr>
      <w:r>
        <w:rPr>
          <w:rFonts w:hint="eastAsia" w:ascii="宋体" w:hAnsi="宋体"/>
          <w:sz w:val="22"/>
        </w:rPr>
        <w:t>12.1 列表说明随车备品备件，</w:t>
      </w:r>
      <w:r>
        <w:rPr>
          <w:rFonts w:ascii="宋体" w:hAnsi="宋体"/>
          <w:sz w:val="22"/>
        </w:rPr>
        <w:t>专用检测设备和常规维修工具</w:t>
      </w:r>
      <w:r>
        <w:rPr>
          <w:rFonts w:hint="eastAsia" w:ascii="宋体" w:hAnsi="宋体"/>
          <w:sz w:val="22"/>
        </w:rPr>
        <w:t>，费用计入投标总价。</w:t>
      </w:r>
    </w:p>
    <w:p>
      <w:pPr>
        <w:snapToGrid w:val="0"/>
        <w:spacing w:line="400" w:lineRule="exact"/>
        <w:rPr>
          <w:rFonts w:ascii="宋体" w:hAnsi="宋体"/>
          <w:b/>
          <w:sz w:val="22"/>
        </w:rPr>
      </w:pPr>
      <w:r>
        <w:rPr>
          <w:rFonts w:hint="eastAsia" w:ascii="宋体" w:hAnsi="宋体"/>
          <w:sz w:val="22"/>
        </w:rPr>
        <w:t>12.2</w:t>
      </w:r>
      <w:r>
        <w:rPr>
          <w:rFonts w:ascii="宋体" w:hAnsi="宋体"/>
          <w:sz w:val="22"/>
        </w:rPr>
        <w:t>在质保期内，由于质量因素而造成的故障和损坏，备件均由投标人免费提供维修和更换。</w:t>
      </w:r>
      <w:bookmarkStart w:id="104" w:name="_Toc141083021"/>
      <w:bookmarkStart w:id="105" w:name="_Toc141030427"/>
    </w:p>
    <w:p>
      <w:pPr>
        <w:snapToGrid w:val="0"/>
        <w:spacing w:line="400" w:lineRule="exact"/>
        <w:rPr>
          <w:rFonts w:ascii="宋体" w:hAnsi="宋体"/>
          <w:sz w:val="22"/>
        </w:rPr>
      </w:pPr>
      <w:r>
        <w:rPr>
          <w:rFonts w:hint="eastAsia" w:ascii="宋体" w:hAnsi="宋体"/>
          <w:sz w:val="22"/>
        </w:rPr>
        <w:t>12.2提供</w:t>
      </w:r>
      <w:r>
        <w:rPr>
          <w:rFonts w:ascii="宋体" w:hAnsi="宋体"/>
          <w:sz w:val="22"/>
        </w:rPr>
        <w:t>保修期满后正常运行二年</w:t>
      </w:r>
      <w:r>
        <w:rPr>
          <w:rFonts w:hint="eastAsia" w:ascii="宋体" w:hAnsi="宋体"/>
          <w:sz w:val="22"/>
        </w:rPr>
        <w:t>内</w:t>
      </w:r>
      <w:r>
        <w:rPr>
          <w:rFonts w:ascii="宋体" w:hAnsi="宋体"/>
          <w:sz w:val="22"/>
        </w:rPr>
        <w:t>所需的备品、备件清单，</w:t>
      </w:r>
      <w:r>
        <w:rPr>
          <w:rFonts w:hint="eastAsia" w:ascii="宋体" w:hAnsi="宋体"/>
          <w:sz w:val="22"/>
        </w:rPr>
        <w:t>仅供参考</w:t>
      </w:r>
      <w:r>
        <w:rPr>
          <w:rFonts w:ascii="宋体" w:hAnsi="宋体"/>
          <w:sz w:val="22"/>
        </w:rPr>
        <w:t>，</w:t>
      </w:r>
      <w:r>
        <w:rPr>
          <w:rFonts w:hint="eastAsia" w:ascii="宋体" w:hAnsi="宋体"/>
          <w:sz w:val="22"/>
        </w:rPr>
        <w:t>不计入投标总价</w:t>
      </w:r>
      <w:r>
        <w:rPr>
          <w:rFonts w:ascii="宋体" w:hAnsi="宋体"/>
          <w:sz w:val="22"/>
        </w:rPr>
        <w:t>。</w:t>
      </w:r>
    </w:p>
    <w:p>
      <w:pPr>
        <w:snapToGrid w:val="0"/>
        <w:spacing w:line="400" w:lineRule="exact"/>
        <w:rPr>
          <w:rFonts w:ascii="宋体" w:hAnsi="宋体"/>
          <w:b/>
          <w:sz w:val="22"/>
        </w:rPr>
      </w:pPr>
      <w:r>
        <w:rPr>
          <w:rFonts w:hint="eastAsia" w:ascii="宋体" w:hAnsi="宋体"/>
          <w:b/>
          <w:sz w:val="22"/>
        </w:rPr>
        <w:t>13、</w:t>
      </w:r>
      <w:r>
        <w:rPr>
          <w:rFonts w:ascii="宋体" w:hAnsi="宋体"/>
          <w:b/>
          <w:sz w:val="22"/>
        </w:rPr>
        <w:t>维修工具设备</w:t>
      </w:r>
      <w:bookmarkEnd w:id="104"/>
      <w:bookmarkEnd w:id="105"/>
    </w:p>
    <w:p>
      <w:pPr>
        <w:snapToGrid w:val="0"/>
        <w:spacing w:line="400" w:lineRule="exact"/>
        <w:ind w:firstLine="440" w:firstLineChars="200"/>
        <w:rPr>
          <w:rFonts w:ascii="宋体" w:hAnsi="宋体"/>
          <w:sz w:val="22"/>
        </w:rPr>
      </w:pPr>
      <w:r>
        <w:rPr>
          <w:rFonts w:ascii="宋体" w:hAnsi="宋体"/>
          <w:sz w:val="22"/>
        </w:rPr>
        <w:t>投标人应提供</w:t>
      </w:r>
      <w:r>
        <w:rPr>
          <w:rFonts w:hint="eastAsia" w:ascii="宋体" w:hAnsi="宋体"/>
          <w:sz w:val="22"/>
        </w:rPr>
        <w:t>叉车</w:t>
      </w:r>
      <w:r>
        <w:rPr>
          <w:rFonts w:ascii="宋体" w:hAnsi="宋体"/>
          <w:sz w:val="22"/>
        </w:rPr>
        <w:t>常用的维修工具，所有工具必须是全新的，并且不得用于调试和试运行，能在要求的现场条件下正常工作。常用的维修工具和相应的包装箱、工具盒应同</w:t>
      </w:r>
      <w:r>
        <w:rPr>
          <w:rFonts w:hint="eastAsia" w:ascii="宋体" w:hAnsi="宋体"/>
          <w:sz w:val="22"/>
        </w:rPr>
        <w:t>叉车</w:t>
      </w:r>
      <w:r>
        <w:rPr>
          <w:rFonts w:ascii="宋体" w:hAnsi="宋体"/>
          <w:sz w:val="22"/>
        </w:rPr>
        <w:t>一起移交招标人。</w:t>
      </w:r>
    </w:p>
    <w:p>
      <w:pPr>
        <w:snapToGrid w:val="0"/>
        <w:spacing w:line="400" w:lineRule="exact"/>
        <w:rPr>
          <w:rFonts w:ascii="宋体" w:hAnsi="宋体"/>
          <w:b/>
          <w:bCs/>
          <w:sz w:val="22"/>
        </w:rPr>
      </w:pPr>
      <w:r>
        <w:rPr>
          <w:rFonts w:hint="eastAsia" w:ascii="宋体" w:hAnsi="宋体"/>
          <w:b/>
          <w:sz w:val="22"/>
        </w:rPr>
        <w:t>14、</w:t>
      </w:r>
      <w:r>
        <w:rPr>
          <w:rFonts w:ascii="宋体" w:hAnsi="宋体"/>
          <w:b/>
          <w:bCs/>
          <w:sz w:val="22"/>
        </w:rPr>
        <w:t>涂漆</w:t>
      </w:r>
    </w:p>
    <w:p>
      <w:pPr>
        <w:snapToGrid w:val="0"/>
        <w:spacing w:line="400" w:lineRule="exact"/>
        <w:rPr>
          <w:rFonts w:ascii="宋体" w:hAnsi="宋体"/>
          <w:sz w:val="22"/>
        </w:rPr>
      </w:pPr>
      <w:r>
        <w:rPr>
          <w:rFonts w:hint="eastAsia" w:ascii="宋体" w:hAnsi="宋体"/>
          <w:sz w:val="22"/>
        </w:rPr>
        <w:t>14</w:t>
      </w:r>
      <w:r>
        <w:rPr>
          <w:rFonts w:ascii="宋体" w:hAnsi="宋体"/>
          <w:sz w:val="22"/>
        </w:rPr>
        <w:t>.1</w:t>
      </w:r>
      <w:r>
        <w:rPr>
          <w:rFonts w:hint="eastAsia" w:ascii="宋体" w:hAnsi="宋体"/>
          <w:sz w:val="22"/>
        </w:rPr>
        <w:t>车辆须配备黄色顶棚，灭火器，警示灯</w:t>
      </w:r>
      <w:r>
        <w:rPr>
          <w:rFonts w:hint="eastAsia" w:ascii="宋体" w:hAnsi="宋体"/>
          <w:sz w:val="22"/>
          <w:lang w:eastAsia="zh-CN"/>
        </w:rPr>
        <w:t>，</w:t>
      </w:r>
      <w:r>
        <w:rPr>
          <w:rFonts w:hint="eastAsia" w:ascii="宋体" w:hAnsi="宋体"/>
          <w:sz w:val="22"/>
          <w:lang w:val="en-US" w:eastAsia="zh-CN"/>
        </w:rPr>
        <w:t>高位刹车灯</w:t>
      </w:r>
      <w:r>
        <w:rPr>
          <w:rFonts w:hint="eastAsia" w:ascii="宋体" w:hAnsi="宋体"/>
          <w:sz w:val="22"/>
        </w:rPr>
        <w:t>。</w:t>
      </w:r>
    </w:p>
    <w:p>
      <w:pPr>
        <w:snapToGrid w:val="0"/>
        <w:spacing w:line="400" w:lineRule="exact"/>
        <w:rPr>
          <w:rFonts w:ascii="宋体" w:hAnsi="宋体"/>
          <w:sz w:val="22"/>
        </w:rPr>
      </w:pPr>
      <w:r>
        <w:rPr>
          <w:rFonts w:hint="eastAsia" w:ascii="宋体" w:hAnsi="宋体"/>
          <w:sz w:val="22"/>
        </w:rPr>
        <w:t>14</w:t>
      </w:r>
      <w:r>
        <w:rPr>
          <w:rFonts w:ascii="宋体" w:hAnsi="宋体"/>
          <w:sz w:val="22"/>
        </w:rPr>
        <w:t>.2</w:t>
      </w:r>
      <w:r>
        <w:rPr>
          <w:rFonts w:ascii="宋体" w:hAnsi="宋体"/>
          <w:bCs/>
          <w:sz w:val="22"/>
        </w:rPr>
        <w:t>所有非暴露表面必须进行预加工和喷涂白色底漆；所有暴露的表面必须进行预加工、涂底漆和面漆。加工后的表面应具有防锈蚀功能</w:t>
      </w:r>
      <w:r>
        <w:rPr>
          <w:rFonts w:hint="eastAsia" w:ascii="宋体" w:hAnsi="宋体"/>
          <w:bCs/>
          <w:sz w:val="22"/>
          <w:lang w:eastAsia="zh-CN"/>
        </w:rPr>
        <w:t>。</w:t>
      </w:r>
      <w:r>
        <w:rPr>
          <w:rFonts w:hint="eastAsia" w:ascii="宋体" w:hAnsi="宋体"/>
          <w:bCs/>
          <w:sz w:val="22"/>
          <w:lang w:val="en-US" w:eastAsia="zh-CN"/>
        </w:rPr>
        <w:t>外观需喷涂为杭州机场统一定制颜色。</w:t>
      </w:r>
    </w:p>
    <w:p>
      <w:pPr>
        <w:snapToGrid w:val="0"/>
        <w:spacing w:line="400" w:lineRule="exact"/>
        <w:rPr>
          <w:rFonts w:ascii="宋体" w:hAnsi="宋体"/>
          <w:sz w:val="22"/>
        </w:rPr>
      </w:pPr>
      <w:r>
        <w:rPr>
          <w:rFonts w:hint="eastAsia" w:ascii="宋体" w:hAnsi="宋体"/>
          <w:sz w:val="22"/>
        </w:rPr>
        <w:t>14</w:t>
      </w:r>
      <w:r>
        <w:rPr>
          <w:rFonts w:ascii="宋体" w:hAnsi="宋体"/>
          <w:sz w:val="22"/>
        </w:rPr>
        <w:t>.3</w:t>
      </w:r>
      <w:r>
        <w:rPr>
          <w:rFonts w:ascii="宋体" w:hAnsi="宋体"/>
          <w:bCs/>
          <w:sz w:val="22"/>
        </w:rPr>
        <w:t>每台车至少涂两层高锌环氧树脂底漆和一层聚氨酯面漆。在现场条件下应不易脱落、褪色。涂漆应有防腐功能，并易清洁。</w:t>
      </w:r>
    </w:p>
    <w:p>
      <w:pPr>
        <w:snapToGrid w:val="0"/>
        <w:spacing w:line="400" w:lineRule="exact"/>
        <w:rPr>
          <w:rFonts w:ascii="宋体" w:hAnsi="宋体"/>
          <w:b/>
          <w:sz w:val="22"/>
        </w:rPr>
      </w:pPr>
    </w:p>
    <w:p>
      <w:pPr>
        <w:widowControl/>
        <w:jc w:val="left"/>
        <w:rPr>
          <w:rFonts w:ascii="Cambria" w:hAnsi="Cambria" w:eastAsia="黑体" w:cs="Times New Roman"/>
          <w:b/>
          <w:bCs/>
          <w:kern w:val="0"/>
          <w:sz w:val="32"/>
          <w:szCs w:val="32"/>
        </w:rPr>
      </w:pPr>
      <w:r>
        <w:br w:type="page"/>
      </w:r>
    </w:p>
    <w:p>
      <w:pPr>
        <w:pStyle w:val="52"/>
      </w:pPr>
      <w:r>
        <w:t>第</w:t>
      </w:r>
      <w:r>
        <w:rPr>
          <w:rFonts w:hint="eastAsia"/>
        </w:rPr>
        <w:t>五</w:t>
      </w:r>
      <w:r>
        <w:t>章</w:t>
      </w:r>
      <w:r>
        <w:rPr>
          <w:rFonts w:hint="eastAsia"/>
        </w:rPr>
        <w:t xml:space="preserve">  </w:t>
      </w:r>
      <w:r>
        <w:t>投标文件格式</w:t>
      </w:r>
      <w:bookmarkEnd w:id="85"/>
      <w:bookmarkEnd w:id="86"/>
    </w:p>
    <w:p>
      <w:pPr>
        <w:spacing w:line="360" w:lineRule="auto"/>
        <w:jc w:val="left"/>
        <w:rPr>
          <w:rFonts w:ascii="宋体" w:hAnsi="宋体" w:cs="宋体"/>
          <w:b/>
          <w:szCs w:val="21"/>
        </w:rPr>
      </w:pPr>
      <w:r>
        <w:rPr>
          <w:rFonts w:hint="eastAsia" w:ascii="宋体" w:hAnsi="宋体" w:cs="宋体"/>
          <w:b/>
          <w:szCs w:val="21"/>
        </w:rPr>
        <w:t>附件1</w:t>
      </w:r>
    </w:p>
    <w:p>
      <w:pPr>
        <w:spacing w:line="360" w:lineRule="auto"/>
        <w:jc w:val="center"/>
        <w:rPr>
          <w:rFonts w:ascii="宋体" w:hAnsi="宋体" w:cs="宋体"/>
          <w:b/>
          <w:sz w:val="32"/>
          <w:szCs w:val="32"/>
        </w:rPr>
      </w:pPr>
      <w:r>
        <w:rPr>
          <w:rFonts w:hint="eastAsia" w:ascii="宋体" w:hAnsi="宋体" w:cs="宋体"/>
          <w:b/>
          <w:sz w:val="32"/>
          <w:szCs w:val="32"/>
        </w:rPr>
        <w:t>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杭州萧山国际机场航空物流有限公司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w:t>
      </w:r>
      <w:r>
        <w:rPr>
          <w:rFonts w:hint="eastAsia" w:ascii="宋体" w:hAnsi="宋体"/>
          <w:sz w:val="22"/>
        </w:rPr>
        <w:t>杭州萧山国际机场航空物流有限公司电动叉车采购项目</w:t>
      </w:r>
      <w:r>
        <w:rPr>
          <w:rFonts w:ascii="宋体" w:hAnsi="宋体"/>
          <w:sz w:val="22"/>
        </w:rPr>
        <w:t>的</w:t>
      </w:r>
      <w:r>
        <w:rPr>
          <w:rFonts w:hint="eastAsia" w:ascii="宋体" w:hAnsi="宋体"/>
          <w:sz w:val="22"/>
        </w:rPr>
        <w:t>招标文件</w:t>
      </w:r>
      <w:r>
        <w:rPr>
          <w:rFonts w:ascii="宋体" w:hAnsi="宋体"/>
          <w:sz w:val="22"/>
        </w:rPr>
        <w:t>，授权代表(全名、职务)经正式授权</w:t>
      </w:r>
      <w:r>
        <w:rPr>
          <w:rFonts w:hint="eastAsia" w:ascii="宋体" w:hAnsi="宋体"/>
          <w:sz w:val="22"/>
        </w:rPr>
        <w:t>，</w:t>
      </w:r>
      <w:r>
        <w:rPr>
          <w:rFonts w:ascii="宋体" w:hAnsi="宋体"/>
          <w:sz w:val="22"/>
        </w:rPr>
        <w:t>代表投标人(投标人名称、地址)递交下述文件正本一份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四</w:t>
      </w:r>
      <w:r>
        <w:rPr>
          <w:rFonts w:ascii="宋体" w:hAnsi="宋体"/>
          <w:sz w:val="22"/>
        </w:rPr>
        <w:t>份</w:t>
      </w:r>
      <w:r>
        <w:rPr>
          <w:rFonts w:hint="eastAsia" w:ascii="宋体" w:hAnsi="宋体"/>
          <w:sz w:val="22"/>
        </w:rPr>
        <w:t>和电子版壹份</w:t>
      </w:r>
      <w:r>
        <w:rPr>
          <w:rFonts w:ascii="宋体" w:hAnsi="宋体"/>
          <w:sz w:val="22"/>
        </w:rPr>
        <w:t>。</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3"/>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tabs>
          <w:tab w:val="left" w:pos="840"/>
          <w:tab w:val="left" w:pos="907"/>
        </w:tabs>
        <w:overflowPunct w:val="0"/>
        <w:autoSpaceDE w:val="0"/>
        <w:autoSpaceDN w:val="0"/>
        <w:spacing w:line="440" w:lineRule="exact"/>
        <w:ind w:left="907"/>
        <w:rPr>
          <w:rFonts w:ascii="宋体" w:hAnsi="宋体"/>
          <w:sz w:val="22"/>
        </w:rPr>
      </w:pPr>
      <w:r>
        <w:rPr>
          <w:rFonts w:ascii="宋体" w:hAnsi="宋体"/>
          <w:sz w:val="22"/>
        </w:rPr>
        <w:t xml:space="preserve">(大写) </w:t>
      </w:r>
      <w:r>
        <w:rPr>
          <w:rFonts w:ascii="宋体" w:hAnsi="宋体"/>
          <w:sz w:val="22"/>
          <w:u w:val="single"/>
        </w:rPr>
        <w:t xml:space="preserve">              </w:t>
      </w:r>
      <w:r>
        <w:rPr>
          <w:rFonts w:ascii="宋体" w:hAnsi="宋体"/>
          <w:sz w:val="22"/>
        </w:rPr>
        <w:t xml:space="preserve">(小写) </w:t>
      </w:r>
      <w:r>
        <w:rPr>
          <w:rFonts w:ascii="宋体" w:hAnsi="宋体"/>
          <w:sz w:val="22"/>
          <w:u w:val="single"/>
        </w:rPr>
        <w:t xml:space="preserve">                     </w:t>
      </w:r>
      <w:r>
        <w:rPr>
          <w:rFonts w:ascii="宋体" w:hAnsi="宋体"/>
          <w:sz w:val="22"/>
        </w:rPr>
        <w:t xml:space="preserve"> 。</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本投标的投标有效期为自开标之日起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numPr>
          <w:ilvl w:val="0"/>
          <w:numId w:val="3"/>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与本招标有关的一切正式往来请发往下列地址：</w:t>
      </w:r>
    </w:p>
    <w:p>
      <w:pPr>
        <w:spacing w:line="440" w:lineRule="exact"/>
        <w:ind w:left="735" w:leftChars="350"/>
        <w:rPr>
          <w:rFonts w:ascii="宋体" w:hAnsi="宋体"/>
          <w:sz w:val="22"/>
        </w:rPr>
      </w:pPr>
      <w:r>
        <w:rPr>
          <w:rFonts w:ascii="宋体" w:hAnsi="宋体"/>
          <w:sz w:val="22"/>
        </w:rPr>
        <w:t>地址：</w:t>
      </w:r>
    </w:p>
    <w:p>
      <w:pPr>
        <w:spacing w:line="440" w:lineRule="exact"/>
        <w:ind w:left="735" w:leftChars="350"/>
        <w:rPr>
          <w:rFonts w:ascii="宋体" w:hAnsi="宋体"/>
          <w:sz w:val="22"/>
        </w:rPr>
      </w:pPr>
      <w:r>
        <w:rPr>
          <w:rFonts w:ascii="宋体" w:hAnsi="宋体"/>
          <w:sz w:val="22"/>
        </w:rPr>
        <w:t>邮编：</w:t>
      </w:r>
    </w:p>
    <w:p>
      <w:pPr>
        <w:spacing w:line="440" w:lineRule="exact"/>
        <w:ind w:left="735" w:leftChars="350"/>
        <w:rPr>
          <w:rFonts w:ascii="宋体" w:hAnsi="宋体"/>
          <w:sz w:val="22"/>
        </w:rPr>
      </w:pPr>
      <w:r>
        <w:rPr>
          <w:rFonts w:ascii="宋体" w:hAnsi="宋体"/>
          <w:sz w:val="22"/>
        </w:rPr>
        <w:t>电话：</w:t>
      </w:r>
    </w:p>
    <w:p>
      <w:pPr>
        <w:spacing w:line="440" w:lineRule="exact"/>
        <w:ind w:left="735" w:leftChars="350"/>
        <w:rPr>
          <w:rFonts w:ascii="宋体" w:hAnsi="宋体"/>
          <w:sz w:val="22"/>
        </w:rPr>
      </w:pPr>
      <w:r>
        <w:rPr>
          <w:rFonts w:ascii="宋体" w:hAnsi="宋体"/>
          <w:sz w:val="22"/>
        </w:rPr>
        <w:t>传真：</w:t>
      </w:r>
    </w:p>
    <w:p>
      <w:pPr>
        <w:overflowPunct w:val="0"/>
        <w:autoSpaceDE w:val="0"/>
        <w:autoSpaceDN w:val="0"/>
        <w:spacing w:line="440" w:lineRule="exact"/>
        <w:ind w:left="839" w:firstLine="3419"/>
        <w:rPr>
          <w:rFonts w:ascii="宋体" w:hAnsi="宋体" w:cs="Arial"/>
          <w:sz w:val="22"/>
        </w:rPr>
      </w:pPr>
      <w:r>
        <w:rPr>
          <w:rFonts w:ascii="宋体" w:hAnsi="宋体" w:cs="Arial"/>
          <w:sz w:val="22"/>
        </w:rPr>
        <w:t>投标人</w:t>
      </w:r>
      <w:r>
        <w:rPr>
          <w:rFonts w:hint="eastAsia" w:ascii="宋体" w:hAnsi="宋体" w:cs="Arial"/>
          <w:sz w:val="22"/>
        </w:rPr>
        <w:t>授权</w:t>
      </w:r>
      <w:r>
        <w:rPr>
          <w:rFonts w:ascii="宋体" w:hAnsi="宋体" w:cs="Arial"/>
          <w:sz w:val="22"/>
        </w:rPr>
        <w:t>代表姓名、职务：</w:t>
      </w:r>
    </w:p>
    <w:p>
      <w:pPr>
        <w:overflowPunct w:val="0"/>
        <w:autoSpaceDE w:val="0"/>
        <w:autoSpaceDN w:val="0"/>
        <w:spacing w:line="440" w:lineRule="exact"/>
        <w:ind w:left="839" w:firstLine="3419"/>
        <w:rPr>
          <w:rFonts w:ascii="宋体" w:hAnsi="宋体" w:cs="Arial"/>
          <w:sz w:val="22"/>
        </w:rPr>
      </w:pPr>
      <w:r>
        <w:rPr>
          <w:rFonts w:ascii="宋体" w:hAnsi="宋体" w:cs="Arial"/>
          <w:sz w:val="22"/>
        </w:rPr>
        <w:t>投标人名称(公章)：</w:t>
      </w:r>
    </w:p>
    <w:p>
      <w:pPr>
        <w:overflowPunct w:val="0"/>
        <w:autoSpaceDE w:val="0"/>
        <w:autoSpaceDN w:val="0"/>
        <w:spacing w:line="440" w:lineRule="exact"/>
        <w:ind w:left="839" w:firstLine="3419"/>
        <w:rPr>
          <w:rFonts w:ascii="宋体" w:hAnsi="宋体" w:cs="Arial"/>
          <w:sz w:val="22"/>
        </w:rPr>
      </w:pPr>
      <w:r>
        <w:rPr>
          <w:rFonts w:hint="eastAsia" w:ascii="宋体" w:hAnsi="宋体" w:cs="Arial"/>
          <w:sz w:val="22"/>
        </w:rPr>
        <w:t>法定代表人或</w:t>
      </w:r>
      <w:r>
        <w:rPr>
          <w:rFonts w:ascii="宋体" w:hAnsi="宋体" w:cs="Arial"/>
          <w:sz w:val="22"/>
        </w:rPr>
        <w:t>授权代表</w:t>
      </w:r>
      <w:r>
        <w:rPr>
          <w:rFonts w:hint="eastAsia" w:ascii="宋体" w:hAnsi="宋体" w:cs="Arial"/>
          <w:sz w:val="22"/>
        </w:rPr>
        <w:t>(</w:t>
      </w:r>
      <w:r>
        <w:rPr>
          <w:rFonts w:hint="eastAsia" w:ascii="宋体" w:hAnsi="宋体" w:cs="宋体"/>
          <w:sz w:val="22"/>
        </w:rPr>
        <w:t>签字或盖章)</w:t>
      </w:r>
      <w:r>
        <w:rPr>
          <w:rFonts w:ascii="宋体" w:hAnsi="宋体" w:cs="Arial"/>
          <w:sz w:val="22"/>
        </w:rPr>
        <w:t>：</w:t>
      </w:r>
    </w:p>
    <w:p>
      <w:pPr>
        <w:overflowPunct w:val="0"/>
        <w:autoSpaceDE w:val="0"/>
        <w:autoSpaceDN w:val="0"/>
        <w:spacing w:line="440" w:lineRule="exact"/>
        <w:ind w:left="839" w:firstLine="3419"/>
        <w:rPr>
          <w:rFonts w:ascii="宋体" w:hAnsi="宋体" w:cs="Arial"/>
          <w:sz w:val="22"/>
        </w:rPr>
      </w:pPr>
      <w:r>
        <w:rPr>
          <w:rFonts w:ascii="宋体" w:hAnsi="宋体" w:cs="Arial"/>
          <w:sz w:val="22"/>
        </w:rPr>
        <w:t>日        期：</w:t>
      </w:r>
    </w:p>
    <w:p>
      <w:pPr>
        <w:spacing w:line="360" w:lineRule="auto"/>
        <w:jc w:val="left"/>
        <w:rPr>
          <w:rFonts w:ascii="宋体" w:hAnsi="宋体" w:cs="宋体"/>
          <w:b/>
          <w:szCs w:val="21"/>
        </w:rPr>
      </w:pPr>
      <w:r>
        <w:rPr>
          <w:rFonts w:ascii="宋体" w:hAnsi="宋体" w:cs="Arial"/>
          <w:sz w:val="22"/>
        </w:rPr>
        <w:br w:type="page"/>
      </w:r>
      <w:r>
        <w:rPr>
          <w:rFonts w:hint="eastAsia" w:ascii="宋体" w:hAnsi="宋体" w:cs="宋体"/>
          <w:b/>
          <w:szCs w:val="21"/>
        </w:rPr>
        <w:t>附件2</w:t>
      </w:r>
    </w:p>
    <w:p>
      <w:pPr>
        <w:spacing w:line="360" w:lineRule="auto"/>
        <w:jc w:val="center"/>
        <w:rPr>
          <w:rFonts w:ascii="宋体" w:hAnsi="宋体" w:cs="宋体"/>
          <w:b/>
          <w:sz w:val="32"/>
          <w:szCs w:val="32"/>
        </w:rPr>
      </w:pPr>
      <w:r>
        <w:rPr>
          <w:rFonts w:hint="eastAsia" w:ascii="宋体" w:hAnsi="宋体" w:cs="宋体"/>
          <w:b/>
          <w:sz w:val="32"/>
          <w:szCs w:val="32"/>
        </w:rPr>
        <w:t>法定代表人授权委托书</w:t>
      </w:r>
    </w:p>
    <w:p>
      <w:pPr>
        <w:spacing w:line="360" w:lineRule="auto"/>
        <w:jc w:val="center"/>
        <w:rPr>
          <w:rFonts w:ascii="宋体" w:hAnsi="宋体" w:cs="宋体"/>
          <w:b/>
          <w:sz w:val="22"/>
        </w:rPr>
      </w:pPr>
    </w:p>
    <w:p>
      <w:pPr>
        <w:spacing w:line="360" w:lineRule="auto"/>
        <w:ind w:firstLine="440" w:firstLineChars="200"/>
        <w:rPr>
          <w:rFonts w:ascii="宋体" w:hAnsi="宋体" w:cs="宋体"/>
          <w:sz w:val="22"/>
        </w:rPr>
      </w:pPr>
      <w:r>
        <w:rPr>
          <w:rFonts w:hint="eastAsia" w:ascii="宋体" w:hAnsi="宋体" w:cs="宋体"/>
          <w:sz w:val="22"/>
        </w:rPr>
        <w:t>本授权书声明：注册于(国家或地区)的(投标人名称)在下面签字的(法定代表人姓名、职务)代表本公司授权(单位名称)的在下面签字的(被授权人的姓名、职务)为本公司的合法代理人，以本公司的名义参加</w:t>
      </w:r>
      <w:r>
        <w:rPr>
          <w:rFonts w:hint="eastAsia" w:ascii="宋体" w:hAnsi="宋体"/>
          <w:sz w:val="22"/>
        </w:rPr>
        <w:t>杭州萧山国际机场航空物流有限公司电动叉车采购项目</w:t>
      </w:r>
      <w:r>
        <w:rPr>
          <w:rFonts w:hint="eastAsia" w:ascii="宋体" w:hAnsi="宋体" w:cs="宋体"/>
          <w:sz w:val="22"/>
        </w:rPr>
        <w:t>的投标，作为投标人代表以本公司的名义处理一切与其有关的事务。</w:t>
      </w:r>
    </w:p>
    <w:p>
      <w:pPr>
        <w:pStyle w:val="16"/>
        <w:spacing w:line="360" w:lineRule="auto"/>
        <w:ind w:firstLine="425"/>
        <w:rPr>
          <w:rFonts w:ascii="宋体" w:hAnsi="宋体" w:cs="宋体"/>
          <w:sz w:val="22"/>
        </w:rPr>
      </w:pPr>
      <w:r>
        <w:rPr>
          <w:rFonts w:hint="eastAsia" w:ascii="宋体" w:hAnsi="宋体" w:cs="宋体"/>
          <w:sz w:val="22"/>
        </w:rPr>
        <w:t>该授权不得随意撤销或变更，除非授权人提前以书面方式告知招标人并得到招标人的确认。</w:t>
      </w:r>
    </w:p>
    <w:p>
      <w:pPr>
        <w:pStyle w:val="16"/>
        <w:spacing w:line="360" w:lineRule="auto"/>
        <w:ind w:firstLine="425"/>
        <w:rPr>
          <w:rFonts w:ascii="宋体" w:hAnsi="宋体" w:cs="宋体"/>
          <w:sz w:val="22"/>
        </w:rPr>
      </w:pPr>
      <w:r>
        <w:rPr>
          <w:rFonts w:hint="eastAsia" w:ascii="宋体" w:hAnsi="宋体" w:cs="宋体"/>
          <w:sz w:val="22"/>
        </w:rPr>
        <w:t>被授权人无转委权。</w:t>
      </w:r>
    </w:p>
    <w:p>
      <w:pPr>
        <w:pStyle w:val="16"/>
        <w:spacing w:line="360" w:lineRule="auto"/>
        <w:ind w:firstLine="440" w:firstLineChars="200"/>
        <w:rPr>
          <w:rFonts w:ascii="宋体" w:hAnsi="宋体" w:cs="宋体"/>
          <w:sz w:val="22"/>
        </w:rPr>
      </w:pPr>
      <w:r>
        <w:rPr>
          <w:rFonts w:hint="eastAsia" w:ascii="宋体" w:hAnsi="宋体" w:cs="宋体"/>
          <w:sz w:val="22"/>
        </w:rPr>
        <w:t>本授权于       年   月   日签字生效，特此声明。</w:t>
      </w:r>
    </w:p>
    <w:p>
      <w:pPr>
        <w:pStyle w:val="16"/>
        <w:spacing w:line="360" w:lineRule="auto"/>
        <w:rPr>
          <w:rFonts w:ascii="宋体" w:hAnsi="宋体" w:cs="宋体"/>
          <w:sz w:val="22"/>
        </w:rPr>
      </w:pPr>
    </w:p>
    <w:p>
      <w:pPr>
        <w:tabs>
          <w:tab w:val="left" w:pos="4608"/>
        </w:tabs>
        <w:spacing w:line="360" w:lineRule="auto"/>
        <w:ind w:left="468" w:hanging="62"/>
        <w:rPr>
          <w:rFonts w:ascii="宋体" w:hAnsi="宋体" w:cs="宋体"/>
          <w:sz w:val="22"/>
        </w:rPr>
      </w:pPr>
      <w:r>
        <w:rPr>
          <w:rFonts w:hint="eastAsia" w:ascii="宋体" w:hAnsi="宋体" w:cs="宋体"/>
          <w:sz w:val="22"/>
        </w:rPr>
        <w:t>法定代表人(授权人)签字或盖章：</w:t>
      </w:r>
    </w:p>
    <w:p>
      <w:pPr>
        <w:tabs>
          <w:tab w:val="left" w:pos="4185"/>
        </w:tabs>
        <w:spacing w:line="360" w:lineRule="auto"/>
        <w:ind w:left="468" w:hanging="62"/>
        <w:rPr>
          <w:rFonts w:ascii="宋体" w:hAnsi="宋体" w:cs="宋体"/>
          <w:sz w:val="22"/>
        </w:rPr>
      </w:pPr>
      <w:r>
        <w:rPr>
          <w:rFonts w:hint="eastAsia" w:ascii="宋体" w:hAnsi="宋体" w:cs="宋体"/>
          <w:sz w:val="22"/>
        </w:rPr>
        <w:t>职务：</w:t>
      </w:r>
    </w:p>
    <w:p>
      <w:pPr>
        <w:tabs>
          <w:tab w:val="left" w:pos="4608"/>
        </w:tabs>
        <w:spacing w:line="360" w:lineRule="auto"/>
        <w:ind w:left="468" w:hanging="62"/>
        <w:rPr>
          <w:rFonts w:ascii="宋体" w:hAnsi="宋体" w:cs="宋体"/>
          <w:sz w:val="22"/>
        </w:rPr>
      </w:pPr>
      <w:r>
        <w:rPr>
          <w:rFonts w:hint="eastAsia" w:ascii="宋体" w:hAnsi="宋体" w:cs="宋体"/>
          <w:sz w:val="22"/>
        </w:rPr>
        <w:t>单位名称(公章)：</w:t>
      </w:r>
    </w:p>
    <w:p>
      <w:pPr>
        <w:tabs>
          <w:tab w:val="left" w:pos="4185"/>
        </w:tabs>
        <w:spacing w:line="360" w:lineRule="auto"/>
        <w:ind w:left="468" w:hanging="62"/>
        <w:rPr>
          <w:rFonts w:ascii="宋体" w:hAnsi="宋体" w:cs="宋体"/>
          <w:sz w:val="22"/>
        </w:rPr>
      </w:pPr>
      <w:r>
        <w:rPr>
          <w:rFonts w:hint="eastAsia" w:ascii="宋体" w:hAnsi="宋体" w:cs="宋体"/>
          <w:sz w:val="22"/>
        </w:rPr>
        <w:t>地址：</w:t>
      </w:r>
    </w:p>
    <w:p>
      <w:pPr>
        <w:tabs>
          <w:tab w:val="left" w:pos="4608"/>
        </w:tabs>
        <w:spacing w:line="360" w:lineRule="auto"/>
        <w:ind w:left="468" w:hanging="62"/>
        <w:rPr>
          <w:rFonts w:ascii="宋体" w:hAnsi="宋体" w:cs="宋体"/>
          <w:sz w:val="22"/>
        </w:rPr>
      </w:pPr>
    </w:p>
    <w:p>
      <w:pPr>
        <w:tabs>
          <w:tab w:val="left" w:pos="4608"/>
        </w:tabs>
        <w:spacing w:line="360" w:lineRule="auto"/>
        <w:ind w:left="468" w:hanging="62"/>
        <w:rPr>
          <w:rFonts w:ascii="宋体" w:hAnsi="宋体" w:cs="宋体"/>
          <w:sz w:val="22"/>
        </w:rPr>
      </w:pPr>
      <w:r>
        <w:rPr>
          <w:rFonts w:hint="eastAsia" w:ascii="宋体" w:hAnsi="宋体" w:cs="宋体"/>
          <w:sz w:val="22"/>
        </w:rPr>
        <w:t>投标人代表(被授权人)签字或盖章：</w:t>
      </w:r>
    </w:p>
    <w:p>
      <w:pPr>
        <w:tabs>
          <w:tab w:val="left" w:pos="4608"/>
        </w:tabs>
        <w:spacing w:line="360" w:lineRule="auto"/>
        <w:ind w:left="468" w:hanging="62"/>
        <w:rPr>
          <w:rFonts w:ascii="宋体" w:hAnsi="宋体" w:cs="宋体"/>
          <w:sz w:val="22"/>
        </w:rPr>
      </w:pPr>
      <w:r>
        <w:rPr>
          <w:rFonts w:hint="eastAsia" w:ascii="宋体" w:hAnsi="宋体" w:cs="宋体"/>
          <w:sz w:val="22"/>
        </w:rPr>
        <w:t>职务：</w:t>
      </w:r>
    </w:p>
    <w:p>
      <w:pPr>
        <w:tabs>
          <w:tab w:val="left" w:pos="4608"/>
        </w:tabs>
        <w:spacing w:line="360" w:lineRule="auto"/>
        <w:ind w:left="468" w:hanging="62"/>
        <w:rPr>
          <w:rFonts w:ascii="宋体" w:hAnsi="宋体" w:cs="宋体"/>
          <w:sz w:val="22"/>
        </w:rPr>
      </w:pPr>
      <w:r>
        <w:rPr>
          <w:rFonts w:hint="eastAsia" w:ascii="宋体" w:hAnsi="宋体" w:cs="宋体"/>
          <w:sz w:val="22"/>
        </w:rPr>
        <w:t>单位名称：</w:t>
      </w:r>
    </w:p>
    <w:p>
      <w:pPr>
        <w:tabs>
          <w:tab w:val="left" w:pos="4185"/>
        </w:tabs>
        <w:spacing w:line="360" w:lineRule="auto"/>
        <w:ind w:left="468" w:hanging="62"/>
        <w:rPr>
          <w:rFonts w:ascii="宋体" w:hAnsi="宋体" w:cs="宋体"/>
          <w:sz w:val="22"/>
        </w:rPr>
      </w:pPr>
      <w:r>
        <w:rPr>
          <w:rFonts w:hint="eastAsia" w:ascii="宋体" w:hAnsi="宋体" w:cs="宋体"/>
          <w:sz w:val="22"/>
        </w:rPr>
        <w:t>地址：</w:t>
      </w:r>
    </w:p>
    <w:p>
      <w:pPr>
        <w:tabs>
          <w:tab w:val="left" w:pos="4185"/>
        </w:tabs>
        <w:spacing w:line="360" w:lineRule="auto"/>
        <w:ind w:left="468" w:hanging="62"/>
        <w:rPr>
          <w:rFonts w:ascii="宋体" w:hAnsi="宋体" w:cs="宋体"/>
          <w:sz w:val="22"/>
        </w:rPr>
      </w:pPr>
      <w:r>
        <w:rPr>
          <w:rFonts w:hint="eastAsia" w:ascii="宋体" w:hAnsi="宋体" w:cs="宋体"/>
          <w:sz w:val="22"/>
        </w:rPr>
        <w:t>联系电话：</w:t>
      </w:r>
    </w:p>
    <w:p>
      <w:pPr>
        <w:tabs>
          <w:tab w:val="left" w:pos="4185"/>
        </w:tabs>
        <w:spacing w:line="360" w:lineRule="auto"/>
        <w:rPr>
          <w:rFonts w:ascii="宋体" w:hAnsi="宋体" w:cs="宋体"/>
          <w:sz w:val="22"/>
        </w:rPr>
      </w:pPr>
    </w:p>
    <w:p>
      <w:pPr>
        <w:tabs>
          <w:tab w:val="left" w:pos="4185"/>
        </w:tabs>
        <w:spacing w:line="360" w:lineRule="auto"/>
        <w:ind w:left="468" w:hanging="62"/>
        <w:rPr>
          <w:rFonts w:ascii="宋体" w:hAnsi="宋体" w:cs="宋体"/>
          <w:sz w:val="22"/>
        </w:rPr>
      </w:pPr>
      <w:r>
        <w:rPr>
          <w:rFonts w:ascii="宋体" w:hAnsi="宋体" w:cs="宋体"/>
          <w:sz w:val="22"/>
        </w:rPr>
        <w:t>日期：</w:t>
      </w:r>
    </w:p>
    <w:p>
      <w:pPr>
        <w:tabs>
          <w:tab w:val="left" w:pos="4185"/>
        </w:tabs>
        <w:spacing w:line="360" w:lineRule="auto"/>
        <w:ind w:left="468" w:hanging="62"/>
        <w:rPr>
          <w:rFonts w:ascii="宋体" w:hAnsi="宋体" w:cs="宋体"/>
          <w:sz w:val="22"/>
        </w:rPr>
      </w:pPr>
    </w:p>
    <w:p>
      <w:pPr>
        <w:tabs>
          <w:tab w:val="left" w:pos="4185"/>
        </w:tabs>
        <w:spacing w:line="360" w:lineRule="auto"/>
        <w:ind w:left="468" w:hanging="62"/>
        <w:rPr>
          <w:rFonts w:ascii="宋体" w:hAnsi="宋体" w:cs="宋体"/>
          <w:sz w:val="22"/>
        </w:rPr>
      </w:pPr>
      <w:r>
        <w:rPr>
          <w:rFonts w:hint="eastAsia" w:ascii="宋体" w:hAnsi="宋体" w:cs="宋体"/>
          <w:sz w:val="22"/>
        </w:rPr>
        <w:t>附：被授权人身份证复印件（正反面）</w:t>
      </w:r>
    </w:p>
    <w:p>
      <w:pPr>
        <w:tabs>
          <w:tab w:val="left" w:pos="4185"/>
        </w:tabs>
        <w:spacing w:line="360" w:lineRule="auto"/>
        <w:ind w:left="468" w:hanging="62"/>
        <w:rPr>
          <w:rFonts w:ascii="宋体" w:hAnsi="宋体" w:cs="宋体"/>
          <w:sz w:val="22"/>
        </w:rPr>
      </w:pPr>
    </w:p>
    <w:p>
      <w:pPr>
        <w:pStyle w:val="31"/>
        <w:spacing w:after="120" w:afterLines="50" w:line="360" w:lineRule="auto"/>
        <w:jc w:val="left"/>
        <w:rPr>
          <w:rFonts w:hAnsi="宋体" w:cs="宋体"/>
          <w:sz w:val="22"/>
          <w:szCs w:val="22"/>
        </w:rPr>
      </w:pPr>
      <w:r>
        <w:rPr>
          <w:rFonts w:hAnsi="宋体" w:cs="宋体"/>
          <w:b/>
        </w:rPr>
        <w:br w:type="page"/>
      </w:r>
      <w:r>
        <w:rPr>
          <w:rFonts w:hint="eastAsia" w:hAnsi="宋体" w:cs="宋体"/>
          <w:b/>
        </w:rPr>
        <w:t>附件3</w:t>
      </w:r>
    </w:p>
    <w:p>
      <w:pPr>
        <w:pStyle w:val="31"/>
        <w:spacing w:after="120" w:afterLines="50" w:line="360" w:lineRule="auto"/>
        <w:jc w:val="center"/>
        <w:rPr>
          <w:rFonts w:hAnsi="宋体" w:cs="宋体"/>
          <w:b/>
          <w:sz w:val="32"/>
          <w:szCs w:val="32"/>
        </w:rPr>
      </w:pPr>
      <w:r>
        <w:rPr>
          <w:rFonts w:hint="eastAsia" w:hAnsi="宋体" w:cs="宋体"/>
          <w:b/>
          <w:sz w:val="32"/>
          <w:szCs w:val="32"/>
        </w:rPr>
        <w:t>投标保证金</w:t>
      </w:r>
    </w:p>
    <w:p>
      <w:pPr>
        <w:snapToGrid w:val="0"/>
        <w:spacing w:before="120" w:beforeLines="50" w:line="360" w:lineRule="exact"/>
        <w:ind w:left="1134"/>
        <w:rPr>
          <w:rFonts w:ascii="宋体" w:hAnsi="宋体" w:cs="宋体"/>
          <w:sz w:val="22"/>
        </w:rPr>
      </w:pPr>
      <w:r>
        <w:rPr>
          <w:rFonts w:ascii="宋体" w:hAnsi="宋体" w:cs="Calibri"/>
          <w:sz w:val="22"/>
        </w:rPr>
        <w:t>投标保证金收执证明或汇款凭证或银行回单</w:t>
      </w:r>
      <w:r>
        <w:rPr>
          <w:rFonts w:hint="eastAsia" w:ascii="宋体" w:hAnsi="宋体" w:cs="Calibri"/>
          <w:sz w:val="22"/>
        </w:rPr>
        <w:t>复印件</w:t>
      </w:r>
    </w:p>
    <w:p>
      <w:pPr>
        <w:tabs>
          <w:tab w:val="left" w:pos="4185"/>
        </w:tabs>
        <w:spacing w:line="360" w:lineRule="auto"/>
        <w:ind w:left="468" w:hanging="62"/>
        <w:rPr>
          <w:rFonts w:ascii="宋体" w:hAnsi="宋体" w:cs="宋体"/>
          <w:sz w:val="22"/>
        </w:rPr>
      </w:pPr>
    </w:p>
    <w:p>
      <w:pPr>
        <w:pStyle w:val="31"/>
        <w:spacing w:after="120" w:afterLines="50" w:line="360" w:lineRule="auto"/>
        <w:jc w:val="left"/>
        <w:rPr>
          <w:rFonts w:hAnsi="宋体" w:cs="宋体"/>
          <w:sz w:val="22"/>
          <w:szCs w:val="22"/>
        </w:rPr>
      </w:pPr>
      <w:r>
        <w:rPr>
          <w:rFonts w:hAnsi="宋体" w:cs="宋体"/>
          <w:sz w:val="22"/>
          <w:szCs w:val="22"/>
        </w:rPr>
        <w:br w:type="page"/>
      </w:r>
      <w:bookmarkStart w:id="106" w:name="_Toc144265958"/>
      <w:bookmarkStart w:id="107" w:name="_Toc137373398"/>
      <w:bookmarkStart w:id="108" w:name="_Toc133214309"/>
      <w:bookmarkStart w:id="109" w:name="_Toc133470542"/>
      <w:bookmarkStart w:id="110" w:name="_Toc133214102"/>
      <w:r>
        <w:rPr>
          <w:rFonts w:hint="eastAsia" w:hAnsi="宋体" w:cs="宋体"/>
          <w:b/>
        </w:rPr>
        <w:t>附件4</w:t>
      </w:r>
    </w:p>
    <w:p>
      <w:pPr>
        <w:pStyle w:val="31"/>
        <w:spacing w:after="120" w:afterLines="50" w:line="360" w:lineRule="auto"/>
        <w:jc w:val="center"/>
        <w:rPr>
          <w:rFonts w:hAnsi="宋体" w:cs="宋体"/>
          <w:b/>
          <w:sz w:val="32"/>
          <w:szCs w:val="32"/>
        </w:rPr>
      </w:pPr>
      <w:r>
        <w:rPr>
          <w:rFonts w:hint="eastAsia" w:hAnsi="宋体" w:cs="宋体"/>
          <w:b/>
          <w:sz w:val="32"/>
          <w:szCs w:val="32"/>
        </w:rPr>
        <w:t>投标报价表</w:t>
      </w:r>
    </w:p>
    <w:p>
      <w:pPr>
        <w:pStyle w:val="31"/>
        <w:spacing w:after="120" w:afterLines="50" w:line="360" w:lineRule="auto"/>
        <w:jc w:val="center"/>
        <w:rPr>
          <w:rFonts w:hAnsi="宋体" w:cs="宋体"/>
        </w:rPr>
      </w:pPr>
    </w:p>
    <w:p>
      <w:pPr>
        <w:pStyle w:val="31"/>
        <w:numPr>
          <w:ilvl w:val="1"/>
          <w:numId w:val="4"/>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5"/>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5"/>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5"/>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5"/>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5"/>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4"/>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106"/>
    <w:bookmarkEnd w:id="107"/>
    <w:bookmarkEnd w:id="108"/>
    <w:bookmarkEnd w:id="109"/>
    <w:bookmarkEnd w:id="110"/>
    <w:p>
      <w:pPr>
        <w:snapToGrid w:val="0"/>
        <w:spacing w:before="120" w:beforeLines="50" w:line="360" w:lineRule="exact"/>
        <w:ind w:left="1134"/>
        <w:rPr>
          <w:sz w:val="22"/>
        </w:rPr>
      </w:pPr>
      <w:r>
        <w:rPr>
          <w:rFonts w:hint="eastAsia" w:ascii="宋体" w:hAnsi="宋体" w:cs="宋体"/>
          <w:sz w:val="22"/>
        </w:rPr>
        <w:t>(1)</w:t>
      </w:r>
      <w:r>
        <w:rPr>
          <w:rFonts w:hint="eastAsia" w:ascii="宋体" w:hAnsi="宋体" w:eastAsia="宋体" w:cs="宋体"/>
          <w:sz w:val="22"/>
        </w:rPr>
        <w:t>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w:t>
      </w:r>
      <w:r>
        <w:rPr>
          <w:rFonts w:hint="eastAsia" w:ascii="宋体" w:hAnsi="宋体" w:eastAsia="宋体" w:cs="宋体"/>
          <w:sz w:val="22"/>
        </w:rPr>
        <w:t>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w:t>
      </w:r>
      <w:r>
        <w:rPr>
          <w:rFonts w:hint="eastAsia"/>
          <w:sz w:val="22"/>
        </w:rPr>
        <w:t>随机标准附件</w:t>
      </w:r>
      <w:r>
        <w:rPr>
          <w:rFonts w:hint="eastAsia" w:ascii="宋体" w:hAnsi="宋体" w:eastAsia="宋体" w:cs="宋体"/>
          <w:sz w:val="22"/>
        </w:rPr>
        <w:t>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(4)质保期内</w:t>
      </w:r>
      <w:r>
        <w:rPr>
          <w:rFonts w:hint="eastAsia" w:ascii="宋体" w:hAnsi="宋体" w:eastAsia="宋体" w:cs="宋体"/>
          <w:sz w:val="22"/>
        </w:rPr>
        <w:t>备品备件分项报价表</w:t>
      </w:r>
    </w:p>
    <w:p>
      <w:pPr>
        <w:snapToGrid w:val="0"/>
        <w:spacing w:before="120" w:beforeLines="50" w:line="360" w:lineRule="exact"/>
        <w:ind w:left="1134"/>
        <w:rPr>
          <w:sz w:val="22"/>
        </w:rPr>
      </w:pPr>
      <w:r>
        <w:rPr>
          <w:rFonts w:hint="eastAsia" w:ascii="宋体" w:hAnsi="宋体" w:cs="宋体"/>
          <w:sz w:val="22"/>
        </w:rPr>
        <w:t>(5)质保期外</w:t>
      </w:r>
      <w:r>
        <w:rPr>
          <w:rFonts w:hint="eastAsia" w:ascii="宋体" w:hAnsi="宋体" w:eastAsia="宋体" w:cs="宋体"/>
          <w:sz w:val="22"/>
        </w:rPr>
        <w:t>备品备件</w:t>
      </w:r>
      <w:r>
        <w:rPr>
          <w:rFonts w:hint="eastAsia"/>
          <w:sz w:val="22"/>
        </w:rPr>
        <w:t>购买价格清单</w:t>
      </w:r>
    </w:p>
    <w:p>
      <w:pPr>
        <w:snapToGrid w:val="0"/>
        <w:spacing w:before="120" w:beforeLines="50" w:line="360" w:lineRule="exact"/>
        <w:ind w:left="1134"/>
        <w:rPr>
          <w:rFonts w:ascii="宋体" w:hAnsi="宋体" w:cs="宋体"/>
          <w:sz w:val="22"/>
        </w:rPr>
      </w:pP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w:t>
      </w:r>
      <w:r>
        <w:rPr>
          <w:rFonts w:hint="eastAsia" w:ascii="宋体" w:hAnsi="宋体" w:eastAsia="宋体" w:cs="宋体"/>
          <w:b/>
          <w:sz w:val="32"/>
          <w:szCs w:val="32"/>
        </w:rPr>
        <w:t>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9"/>
        <w:tblW w:w="96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460"/>
        <w:gridCol w:w="1760"/>
        <w:gridCol w:w="1760"/>
        <w:gridCol w:w="1760"/>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1" w:type="dxa"/>
            <w:vAlign w:val="center"/>
          </w:tcPr>
          <w:p>
            <w:pPr>
              <w:snapToGrid w:val="0"/>
              <w:jc w:val="center"/>
              <w:rPr>
                <w:rFonts w:ascii="宋体" w:hAnsi="宋体" w:eastAsia="宋体" w:cs="宋体"/>
                <w:b/>
                <w:sz w:val="22"/>
              </w:rPr>
            </w:pPr>
            <w:r>
              <w:rPr>
                <w:rFonts w:hint="eastAsia" w:ascii="宋体" w:hAnsi="宋体" w:eastAsia="宋体" w:cs="宋体"/>
                <w:b/>
                <w:sz w:val="22"/>
              </w:rPr>
              <w:t>序 号</w:t>
            </w:r>
          </w:p>
        </w:tc>
        <w:tc>
          <w:tcPr>
            <w:tcW w:w="2460" w:type="dxa"/>
            <w:vAlign w:val="center"/>
          </w:tcPr>
          <w:p>
            <w:pPr>
              <w:snapToGrid w:val="0"/>
              <w:jc w:val="center"/>
              <w:rPr>
                <w:rFonts w:ascii="宋体" w:hAnsi="宋体" w:eastAsia="宋体" w:cs="宋体"/>
                <w:b/>
                <w:sz w:val="22"/>
              </w:rPr>
            </w:pPr>
            <w:r>
              <w:rPr>
                <w:rFonts w:hint="eastAsia" w:ascii="宋体" w:hAnsi="宋体" w:eastAsia="宋体" w:cs="宋体"/>
                <w:b/>
                <w:sz w:val="22"/>
              </w:rPr>
              <w:t>内    容</w:t>
            </w:r>
          </w:p>
        </w:tc>
        <w:tc>
          <w:tcPr>
            <w:tcW w:w="1760" w:type="dxa"/>
            <w:textDirection w:val="lrTb"/>
            <w:vAlign w:val="center"/>
          </w:tcPr>
          <w:p>
            <w:pPr>
              <w:snapToGrid w:val="0"/>
              <w:jc w:val="center"/>
              <w:rPr>
                <w:rFonts w:ascii="宋体" w:hAnsi="宋体" w:eastAsia="宋体" w:cs="宋体"/>
                <w:b/>
                <w:sz w:val="22"/>
              </w:rPr>
            </w:pPr>
            <w:r>
              <w:rPr>
                <w:rFonts w:hint="eastAsia" w:ascii="宋体" w:hAnsi="宋体" w:eastAsia="宋体" w:cs="宋体"/>
                <w:b/>
                <w:sz w:val="22"/>
              </w:rPr>
              <w:t xml:space="preserve">含增值税投标报价 </w:t>
            </w:r>
          </w:p>
        </w:tc>
        <w:tc>
          <w:tcPr>
            <w:tcW w:w="1760" w:type="dxa"/>
            <w:textDirection w:val="lrTb"/>
            <w:vAlign w:val="top"/>
          </w:tcPr>
          <w:p>
            <w:pPr>
              <w:snapToGrid w:val="0"/>
              <w:jc w:val="center"/>
              <w:rPr>
                <w:rFonts w:ascii="宋体" w:hAnsi="宋体" w:eastAsia="宋体" w:cs="宋体"/>
                <w:b/>
                <w:sz w:val="22"/>
              </w:rPr>
            </w:pPr>
            <w:r>
              <w:rPr>
                <w:rFonts w:hint="eastAsia" w:ascii="宋体" w:hAnsi="宋体" w:eastAsia="宋体" w:cs="宋体"/>
                <w:b/>
                <w:sz w:val="22"/>
              </w:rPr>
              <w:t>增值税税额</w:t>
            </w:r>
          </w:p>
        </w:tc>
        <w:tc>
          <w:tcPr>
            <w:tcW w:w="1760" w:type="dxa"/>
            <w:textDirection w:val="lrTb"/>
            <w:vAlign w:val="top"/>
          </w:tcPr>
          <w:p>
            <w:pPr>
              <w:snapToGrid w:val="0"/>
              <w:jc w:val="center"/>
              <w:rPr>
                <w:rFonts w:hint="eastAsia" w:ascii="宋体" w:hAnsi="宋体" w:eastAsia="宋体" w:cs="宋体"/>
                <w:b/>
                <w:sz w:val="22"/>
              </w:rPr>
            </w:pPr>
            <w:r>
              <w:rPr>
                <w:rFonts w:hint="eastAsia" w:ascii="宋体" w:hAnsi="宋体" w:eastAsia="宋体" w:cs="宋体"/>
                <w:b/>
                <w:sz w:val="22"/>
              </w:rPr>
              <w:t>不含增值税投标报价</w:t>
            </w:r>
          </w:p>
        </w:tc>
        <w:tc>
          <w:tcPr>
            <w:tcW w:w="1161" w:type="dxa"/>
            <w:textDirection w:val="lrTb"/>
            <w:vAlign w:val="center"/>
          </w:tcPr>
          <w:p>
            <w:pPr>
              <w:snapToGrid w:val="0"/>
              <w:jc w:val="center"/>
              <w:rPr>
                <w:rFonts w:hint="eastAsia" w:ascii="宋体" w:hAnsi="宋体" w:eastAsia="宋体" w:cs="宋体"/>
                <w:b/>
                <w:sz w:val="22"/>
              </w:rPr>
            </w:pPr>
            <w:r>
              <w:rPr>
                <w:rFonts w:hint="eastAsia" w:ascii="宋体" w:hAnsi="宋体" w:eastAsia="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1" w:type="dxa"/>
            <w:vAlign w:val="center"/>
          </w:tcPr>
          <w:p>
            <w:pPr>
              <w:spacing w:line="300" w:lineRule="auto"/>
              <w:jc w:val="center"/>
              <w:rPr>
                <w:rFonts w:ascii="宋体" w:hAnsi="宋体" w:eastAsia="宋体" w:cs="宋体"/>
                <w:sz w:val="22"/>
              </w:rPr>
            </w:pPr>
            <w:r>
              <w:rPr>
                <w:rFonts w:hint="eastAsia" w:ascii="宋体" w:hAnsi="宋体" w:eastAsia="宋体" w:cs="宋体"/>
                <w:sz w:val="22"/>
              </w:rPr>
              <w:t>1</w:t>
            </w:r>
          </w:p>
        </w:tc>
        <w:tc>
          <w:tcPr>
            <w:tcW w:w="2460" w:type="dxa"/>
            <w:vAlign w:val="center"/>
          </w:tcPr>
          <w:p>
            <w:pPr>
              <w:snapToGrid w:val="0"/>
              <w:jc w:val="center"/>
              <w:rPr>
                <w:rFonts w:ascii="宋体" w:hAnsi="宋体" w:eastAsia="宋体" w:cs="宋体"/>
                <w:sz w:val="22"/>
              </w:rPr>
            </w:pPr>
            <w:r>
              <w:rPr>
                <w:rFonts w:hint="eastAsia" w:ascii="宋体" w:hAnsi="宋体" w:eastAsia="宋体" w:cs="宋体"/>
                <w:sz w:val="22"/>
              </w:rPr>
              <w:t>设备费(表4.2)</w:t>
            </w:r>
          </w:p>
        </w:tc>
        <w:tc>
          <w:tcPr>
            <w:tcW w:w="1760" w:type="dxa"/>
            <w:vAlign w:val="center"/>
          </w:tcPr>
          <w:p>
            <w:pPr>
              <w:snapToGrid w:val="0"/>
              <w:rPr>
                <w:rFonts w:ascii="宋体" w:hAnsi="宋体" w:eastAsia="宋体" w:cs="宋体"/>
                <w:sz w:val="22"/>
              </w:rPr>
            </w:pPr>
          </w:p>
        </w:tc>
        <w:tc>
          <w:tcPr>
            <w:tcW w:w="1760" w:type="dxa"/>
            <w:vAlign w:val="center"/>
          </w:tcPr>
          <w:p>
            <w:pPr>
              <w:snapToGrid w:val="0"/>
              <w:rPr>
                <w:rFonts w:ascii="宋体" w:hAnsi="宋体" w:eastAsia="宋体" w:cs="宋体"/>
                <w:sz w:val="22"/>
              </w:rPr>
            </w:pPr>
          </w:p>
        </w:tc>
        <w:tc>
          <w:tcPr>
            <w:tcW w:w="1760" w:type="dxa"/>
            <w:vAlign w:val="center"/>
          </w:tcPr>
          <w:p>
            <w:pPr>
              <w:snapToGrid w:val="0"/>
              <w:rPr>
                <w:rFonts w:ascii="宋体" w:hAnsi="宋体" w:eastAsia="宋体" w:cs="宋体"/>
                <w:sz w:val="22"/>
              </w:rPr>
            </w:pPr>
          </w:p>
        </w:tc>
        <w:tc>
          <w:tcPr>
            <w:tcW w:w="1161"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1" w:type="dxa"/>
            <w:vAlign w:val="center"/>
          </w:tcPr>
          <w:p>
            <w:pPr>
              <w:spacing w:line="300" w:lineRule="auto"/>
              <w:jc w:val="center"/>
              <w:rPr>
                <w:rFonts w:ascii="宋体" w:hAnsi="宋体" w:eastAsia="宋体" w:cs="宋体"/>
                <w:sz w:val="22"/>
              </w:rPr>
            </w:pPr>
            <w:r>
              <w:rPr>
                <w:rFonts w:hint="eastAsia" w:ascii="宋体" w:hAnsi="宋体" w:eastAsia="宋体" w:cs="宋体"/>
                <w:sz w:val="22"/>
              </w:rPr>
              <w:t>2</w:t>
            </w:r>
          </w:p>
        </w:tc>
        <w:tc>
          <w:tcPr>
            <w:tcW w:w="2460" w:type="dxa"/>
            <w:vAlign w:val="center"/>
          </w:tcPr>
          <w:p>
            <w:pPr>
              <w:snapToGrid w:val="0"/>
              <w:jc w:val="center"/>
              <w:rPr>
                <w:rFonts w:ascii="宋体" w:hAnsi="宋体" w:eastAsia="宋体" w:cs="宋体"/>
                <w:sz w:val="22"/>
              </w:rPr>
            </w:pPr>
            <w:r>
              <w:rPr>
                <w:rFonts w:hint="eastAsia"/>
                <w:sz w:val="22"/>
              </w:rPr>
              <w:t>随机标准附件</w:t>
            </w:r>
            <w:r>
              <w:rPr>
                <w:rFonts w:hint="eastAsia" w:ascii="宋体" w:hAnsi="宋体" w:eastAsia="宋体" w:cs="宋体"/>
                <w:sz w:val="22"/>
              </w:rPr>
              <w:t>和专用工具</w:t>
            </w:r>
            <w:r>
              <w:rPr>
                <w:rFonts w:hint="eastAsia" w:ascii="宋体" w:hAnsi="宋体" w:cs="宋体"/>
                <w:sz w:val="22"/>
              </w:rPr>
              <w:t>费</w:t>
            </w:r>
            <w:r>
              <w:rPr>
                <w:rFonts w:hint="eastAsia" w:ascii="宋体" w:hAnsi="宋体" w:eastAsia="宋体" w:cs="宋体"/>
                <w:sz w:val="22"/>
              </w:rPr>
              <w:t>(表4.3)</w:t>
            </w:r>
          </w:p>
        </w:tc>
        <w:tc>
          <w:tcPr>
            <w:tcW w:w="1760" w:type="dxa"/>
            <w:vAlign w:val="center"/>
          </w:tcPr>
          <w:p>
            <w:pPr>
              <w:snapToGrid w:val="0"/>
              <w:rPr>
                <w:rFonts w:ascii="宋体" w:hAnsi="宋体" w:eastAsia="宋体" w:cs="宋体"/>
                <w:sz w:val="22"/>
              </w:rPr>
            </w:pPr>
          </w:p>
        </w:tc>
        <w:tc>
          <w:tcPr>
            <w:tcW w:w="1760" w:type="dxa"/>
            <w:vAlign w:val="center"/>
          </w:tcPr>
          <w:p>
            <w:pPr>
              <w:snapToGrid w:val="0"/>
              <w:rPr>
                <w:rFonts w:ascii="宋体" w:hAnsi="宋体" w:eastAsia="宋体" w:cs="宋体"/>
                <w:sz w:val="22"/>
              </w:rPr>
            </w:pPr>
          </w:p>
        </w:tc>
        <w:tc>
          <w:tcPr>
            <w:tcW w:w="1760" w:type="dxa"/>
            <w:vAlign w:val="center"/>
          </w:tcPr>
          <w:p>
            <w:pPr>
              <w:snapToGrid w:val="0"/>
              <w:rPr>
                <w:rFonts w:ascii="宋体" w:hAnsi="宋体" w:eastAsia="宋体" w:cs="宋体"/>
                <w:sz w:val="22"/>
              </w:rPr>
            </w:pPr>
          </w:p>
        </w:tc>
        <w:tc>
          <w:tcPr>
            <w:tcW w:w="1161"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1" w:type="dxa"/>
            <w:vAlign w:val="center"/>
          </w:tcPr>
          <w:p>
            <w:pPr>
              <w:spacing w:line="300" w:lineRule="auto"/>
              <w:jc w:val="center"/>
              <w:rPr>
                <w:rFonts w:ascii="宋体" w:hAnsi="宋体" w:cs="宋体"/>
                <w:sz w:val="22"/>
              </w:rPr>
            </w:pPr>
            <w:r>
              <w:rPr>
                <w:rFonts w:hint="eastAsia" w:ascii="宋体" w:hAnsi="宋体" w:cs="宋体"/>
                <w:sz w:val="22"/>
              </w:rPr>
              <w:t>3</w:t>
            </w:r>
          </w:p>
        </w:tc>
        <w:tc>
          <w:tcPr>
            <w:tcW w:w="2460" w:type="dxa"/>
            <w:vAlign w:val="center"/>
          </w:tcPr>
          <w:p>
            <w:pPr>
              <w:snapToGrid w:val="0"/>
              <w:jc w:val="center"/>
              <w:rPr>
                <w:sz w:val="22"/>
              </w:rPr>
            </w:pPr>
            <w:r>
              <w:rPr>
                <w:rFonts w:hint="eastAsia" w:ascii="宋体" w:hAnsi="宋体" w:cs="宋体"/>
                <w:sz w:val="22"/>
              </w:rPr>
              <w:t>质保期内</w:t>
            </w:r>
            <w:r>
              <w:rPr>
                <w:rFonts w:hint="eastAsia" w:ascii="宋体" w:hAnsi="宋体" w:eastAsia="宋体" w:cs="宋体"/>
                <w:sz w:val="22"/>
              </w:rPr>
              <w:t>备品备件</w:t>
            </w:r>
            <w:r>
              <w:rPr>
                <w:rFonts w:hint="eastAsia" w:ascii="宋体" w:hAnsi="宋体" w:cs="宋体"/>
                <w:sz w:val="22"/>
              </w:rPr>
              <w:t>费</w:t>
            </w:r>
            <w:r>
              <w:rPr>
                <w:rFonts w:hint="eastAsia" w:ascii="宋体" w:hAnsi="宋体" w:eastAsia="宋体" w:cs="宋体"/>
                <w:sz w:val="22"/>
              </w:rPr>
              <w:t>(表4.</w:t>
            </w:r>
            <w:r>
              <w:rPr>
                <w:rFonts w:hint="eastAsia" w:ascii="宋体" w:hAnsi="宋体" w:cs="宋体"/>
                <w:sz w:val="22"/>
              </w:rPr>
              <w:t>4</w:t>
            </w:r>
            <w:r>
              <w:rPr>
                <w:rFonts w:hint="eastAsia" w:ascii="宋体" w:hAnsi="宋体" w:eastAsia="宋体" w:cs="宋体"/>
                <w:sz w:val="22"/>
              </w:rPr>
              <w:t>)</w:t>
            </w:r>
          </w:p>
        </w:tc>
        <w:tc>
          <w:tcPr>
            <w:tcW w:w="1760" w:type="dxa"/>
            <w:vAlign w:val="center"/>
          </w:tcPr>
          <w:p>
            <w:pPr>
              <w:snapToGrid w:val="0"/>
              <w:rPr>
                <w:rFonts w:ascii="宋体" w:hAnsi="宋体" w:cs="宋体"/>
                <w:sz w:val="22"/>
              </w:rPr>
            </w:pPr>
          </w:p>
        </w:tc>
        <w:tc>
          <w:tcPr>
            <w:tcW w:w="1760" w:type="dxa"/>
            <w:vAlign w:val="center"/>
          </w:tcPr>
          <w:p>
            <w:pPr>
              <w:snapToGrid w:val="0"/>
              <w:rPr>
                <w:rFonts w:ascii="宋体" w:hAnsi="宋体" w:cs="宋体"/>
                <w:sz w:val="22"/>
              </w:rPr>
            </w:pPr>
          </w:p>
        </w:tc>
        <w:tc>
          <w:tcPr>
            <w:tcW w:w="1760" w:type="dxa"/>
            <w:vAlign w:val="center"/>
          </w:tcPr>
          <w:p>
            <w:pPr>
              <w:snapToGrid w:val="0"/>
              <w:rPr>
                <w:rFonts w:ascii="宋体" w:hAnsi="宋体" w:cs="宋体"/>
                <w:sz w:val="22"/>
              </w:rPr>
            </w:pPr>
          </w:p>
        </w:tc>
        <w:tc>
          <w:tcPr>
            <w:tcW w:w="1161"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711" w:type="dxa"/>
            <w:vAlign w:val="center"/>
          </w:tcPr>
          <w:p>
            <w:pPr>
              <w:snapToGrid w:val="0"/>
              <w:jc w:val="center"/>
              <w:rPr>
                <w:rFonts w:ascii="宋体" w:hAnsi="宋体" w:eastAsia="宋体" w:cs="宋体"/>
                <w:sz w:val="22"/>
              </w:rPr>
            </w:pPr>
          </w:p>
        </w:tc>
        <w:tc>
          <w:tcPr>
            <w:tcW w:w="2460" w:type="dxa"/>
            <w:vAlign w:val="center"/>
          </w:tcPr>
          <w:p>
            <w:pPr>
              <w:snapToGrid w:val="0"/>
              <w:jc w:val="center"/>
              <w:rPr>
                <w:rFonts w:ascii="宋体" w:hAnsi="宋体" w:eastAsia="宋体" w:cs="宋体"/>
                <w:b/>
                <w:sz w:val="22"/>
              </w:rPr>
            </w:pPr>
            <w:r>
              <w:rPr>
                <w:rFonts w:hint="eastAsia" w:ascii="宋体" w:hAnsi="宋体" w:eastAsia="宋体" w:cs="宋体"/>
                <w:b/>
                <w:sz w:val="22"/>
              </w:rPr>
              <w:t>总    计</w:t>
            </w:r>
          </w:p>
        </w:tc>
        <w:tc>
          <w:tcPr>
            <w:tcW w:w="1760" w:type="dxa"/>
            <w:vAlign w:val="center"/>
          </w:tcPr>
          <w:p>
            <w:pPr>
              <w:snapToGrid w:val="0"/>
              <w:rPr>
                <w:rFonts w:ascii="宋体" w:hAnsi="宋体" w:eastAsia="宋体" w:cs="宋体"/>
                <w:sz w:val="22"/>
              </w:rPr>
            </w:pPr>
          </w:p>
        </w:tc>
        <w:tc>
          <w:tcPr>
            <w:tcW w:w="1760" w:type="dxa"/>
            <w:vAlign w:val="center"/>
          </w:tcPr>
          <w:p>
            <w:pPr>
              <w:snapToGrid w:val="0"/>
              <w:rPr>
                <w:rFonts w:ascii="宋体" w:hAnsi="宋体" w:eastAsia="宋体" w:cs="宋体"/>
                <w:sz w:val="22"/>
              </w:rPr>
            </w:pPr>
          </w:p>
        </w:tc>
        <w:tc>
          <w:tcPr>
            <w:tcW w:w="1760" w:type="dxa"/>
            <w:vAlign w:val="center"/>
          </w:tcPr>
          <w:p>
            <w:pPr>
              <w:snapToGrid w:val="0"/>
              <w:rPr>
                <w:rFonts w:ascii="宋体" w:hAnsi="宋体" w:eastAsia="宋体" w:cs="宋体"/>
                <w:sz w:val="22"/>
              </w:rPr>
            </w:pPr>
          </w:p>
        </w:tc>
        <w:tc>
          <w:tcPr>
            <w:tcW w:w="1161" w:type="dxa"/>
            <w:vAlign w:val="center"/>
          </w:tcPr>
          <w:p>
            <w:pPr>
              <w:snapToGrid w:val="0"/>
              <w:rPr>
                <w:rFonts w:ascii="宋体" w:hAnsi="宋体" w:eastAsia="宋体" w:cs="宋体"/>
                <w:sz w:val="22"/>
              </w:rPr>
            </w:pPr>
          </w:p>
        </w:tc>
      </w:tr>
    </w:tbl>
    <w:p>
      <w:pPr>
        <w:spacing w:line="360" w:lineRule="auto"/>
        <w:jc w:val="right"/>
        <w:rPr>
          <w:rFonts w:ascii="Arial" w:hAnsi="Arial"/>
        </w:rPr>
      </w:pPr>
    </w:p>
    <w:p>
      <w:pPr>
        <w:spacing w:line="360" w:lineRule="auto"/>
        <w:rPr>
          <w:rFonts w:ascii="宋体" w:hAnsi="宋体" w:eastAsia="宋体" w:cs="宋体"/>
          <w:sz w:val="22"/>
        </w:rPr>
      </w:pPr>
      <w:r>
        <w:rPr>
          <w:rFonts w:hint="eastAsia" w:ascii="宋体" w:hAnsi="宋体" w:eastAsia="宋体" w:cs="宋体"/>
          <w:sz w:val="22"/>
        </w:rPr>
        <w:t>注：</w:t>
      </w:r>
    </w:p>
    <w:p>
      <w:pPr>
        <w:numPr>
          <w:ilvl w:val="2"/>
          <w:numId w:val="6"/>
        </w:numPr>
        <w:adjustRightInd w:val="0"/>
        <w:snapToGrid w:val="0"/>
        <w:spacing w:line="360" w:lineRule="auto"/>
        <w:jc w:val="left"/>
        <w:textAlignment w:val="baseline"/>
        <w:rPr>
          <w:rFonts w:ascii="宋体" w:hAnsi="宋体" w:eastAsia="宋体" w:cs="宋体"/>
          <w:sz w:val="22"/>
        </w:rPr>
      </w:pPr>
      <w:r>
        <w:rPr>
          <w:rFonts w:hint="eastAsia" w:ascii="宋体" w:hAnsi="宋体" w:eastAsia="宋体" w:cs="宋体"/>
          <w:sz w:val="22"/>
        </w:rPr>
        <w:t>此表增值税税率为13%，“含增值税投标报价总计”系所有需招标人支付的投标金额总数即投标总价，投标总价中已包含投标人完成本招标项目的一切费用包括税费。</w:t>
      </w:r>
    </w:p>
    <w:p>
      <w:pPr>
        <w:numPr>
          <w:ilvl w:val="2"/>
          <w:numId w:val="6"/>
        </w:numPr>
        <w:adjustRightInd w:val="0"/>
        <w:snapToGrid w:val="0"/>
        <w:spacing w:line="360" w:lineRule="auto"/>
        <w:jc w:val="left"/>
        <w:textAlignment w:val="baseline"/>
        <w:rPr>
          <w:rFonts w:hint="eastAsia" w:ascii="宋体" w:hAnsi="宋体" w:eastAsia="宋体" w:cs="宋体"/>
          <w:sz w:val="22"/>
        </w:rPr>
      </w:pPr>
      <w:r>
        <w:rPr>
          <w:rFonts w:hint="eastAsia" w:ascii="宋体" w:hAnsi="宋体" w:eastAsia="宋体" w:cs="宋体"/>
          <w:sz w:val="22"/>
        </w:rPr>
        <w:t>此表为表4.2、表4.3</w:t>
      </w:r>
      <w:r>
        <w:rPr>
          <w:rFonts w:hint="eastAsia" w:ascii="宋体" w:hAnsi="宋体" w:cs="宋体"/>
          <w:sz w:val="22"/>
        </w:rPr>
        <w:t>、</w:t>
      </w:r>
      <w:r>
        <w:rPr>
          <w:rFonts w:hint="eastAsia" w:ascii="宋体" w:hAnsi="宋体" w:eastAsia="宋体" w:cs="宋体"/>
          <w:sz w:val="22"/>
        </w:rPr>
        <w:t>表</w:t>
      </w:r>
      <w:r>
        <w:rPr>
          <w:rFonts w:hint="eastAsia" w:ascii="宋体" w:hAnsi="宋体" w:cs="宋体"/>
          <w:sz w:val="22"/>
        </w:rPr>
        <w:t>4.4</w:t>
      </w:r>
      <w:r>
        <w:rPr>
          <w:rFonts w:hint="eastAsia" w:ascii="宋体" w:hAnsi="宋体" w:eastAsia="宋体" w:cs="宋体"/>
          <w:sz w:val="22"/>
        </w:rPr>
        <w:t>的汇总表。</w:t>
      </w:r>
    </w:p>
    <w:p>
      <w:pPr>
        <w:numPr>
          <w:ilvl w:val="2"/>
          <w:numId w:val="6"/>
        </w:numPr>
        <w:adjustRightInd w:val="0"/>
        <w:snapToGrid w:val="0"/>
        <w:spacing w:line="360" w:lineRule="auto"/>
        <w:jc w:val="left"/>
        <w:textAlignment w:val="baseline"/>
        <w:rPr>
          <w:rFonts w:ascii="宋体" w:hAnsi="宋体" w:eastAsia="宋体" w:cs="宋体"/>
          <w:sz w:val="22"/>
        </w:rPr>
      </w:pPr>
      <w:r>
        <w:rPr>
          <w:rFonts w:hint="eastAsia" w:ascii="宋体" w:hAnsi="宋体" w:eastAsia="宋体" w:cs="宋体"/>
          <w:sz w:val="22"/>
        </w:rPr>
        <w:t>在合同有效期限内，若因国家税收政策调整而引起的增值税税率变化的，应按照国家税收政策调整，合同总金额变更为原合同不含增值税货物或劳务价格与调整后税率计算税额的合计金额</w:t>
      </w:r>
    </w:p>
    <w:p>
      <w:pPr>
        <w:ind w:firstLine="517" w:firstLineChars="246"/>
        <w:rPr>
          <w:rFonts w:ascii="Arial" w:hAnsi="Arial"/>
        </w:rPr>
      </w:pP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111" w:name="_Toc133214103"/>
      <w:bookmarkStart w:id="112" w:name="_Toc133470544"/>
      <w:bookmarkStart w:id="113" w:name="_Toc137373399"/>
      <w:bookmarkStart w:id="114" w:name="_Toc133214310"/>
    </w:p>
    <w:p>
      <w:pPr>
        <w:spacing w:line="360" w:lineRule="auto"/>
        <w:jc w:val="center"/>
        <w:rPr>
          <w:rFonts w:ascii="宋体" w:hAnsi="宋体" w:cs="宋体"/>
          <w:b/>
          <w:sz w:val="32"/>
          <w:szCs w:val="32"/>
        </w:rPr>
      </w:pPr>
      <w:bookmarkStart w:id="115" w:name="_Toc144265959"/>
      <w:r>
        <w:rPr>
          <w:rFonts w:hint="eastAsia" w:ascii="宋体" w:hAnsi="宋体" w:cs="宋体"/>
          <w:b/>
          <w:sz w:val="32"/>
          <w:szCs w:val="32"/>
        </w:rPr>
        <w:br w:type="page"/>
      </w:r>
    </w:p>
    <w:bookmarkEnd w:id="111"/>
    <w:bookmarkEnd w:id="112"/>
    <w:bookmarkEnd w:id="113"/>
    <w:bookmarkEnd w:id="114"/>
    <w:bookmarkEnd w:id="115"/>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9"/>
        <w:tblW w:w="95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185"/>
        <w:gridCol w:w="883"/>
        <w:gridCol w:w="803"/>
        <w:gridCol w:w="588"/>
        <w:gridCol w:w="496"/>
        <w:gridCol w:w="450"/>
        <w:gridCol w:w="1193"/>
        <w:gridCol w:w="1133"/>
        <w:gridCol w:w="1120"/>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591"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18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88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80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8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49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45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9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tc>
        <w:tc>
          <w:tcPr>
            <w:tcW w:w="1133" w:type="dxa"/>
            <w:shd w:val="clear" w:color="000000" w:fill="FFFFFF"/>
            <w:textDirection w:val="lrTb"/>
            <w:vAlign w:val="center"/>
          </w:tcPr>
          <w:p>
            <w:pPr>
              <w:widowControl/>
              <w:jc w:val="center"/>
              <w:rPr>
                <w:rFonts w:ascii="宋体" w:hAnsi="宋体" w:cs="宋体"/>
                <w:b/>
                <w:bCs/>
                <w:kern w:val="0"/>
                <w:sz w:val="20"/>
              </w:rPr>
            </w:pPr>
            <w:r>
              <w:rPr>
                <w:rFonts w:hint="eastAsia" w:ascii="宋体" w:hAnsi="宋体" w:cs="宋体"/>
                <w:b/>
                <w:bCs/>
                <w:kern w:val="0"/>
                <w:sz w:val="20"/>
              </w:rPr>
              <w:t>含增值税合  价</w:t>
            </w:r>
          </w:p>
        </w:tc>
        <w:tc>
          <w:tcPr>
            <w:tcW w:w="1120" w:type="dxa"/>
            <w:shd w:val="clear" w:color="000000" w:fill="FFFFFF"/>
            <w:textDirection w:val="lrTb"/>
            <w:vAlign w:val="top"/>
          </w:tcPr>
          <w:p>
            <w:pPr>
              <w:widowControl/>
              <w:jc w:val="center"/>
              <w:rPr>
                <w:rFonts w:hint="eastAsia" w:ascii="宋体" w:hAnsi="宋体" w:cs="宋体"/>
                <w:b/>
                <w:bCs/>
                <w:kern w:val="0"/>
                <w:sz w:val="20"/>
              </w:rPr>
            </w:pPr>
            <w:r>
              <w:rPr>
                <w:rFonts w:hint="eastAsia" w:ascii="宋体" w:hAnsi="宋体" w:cs="宋体"/>
                <w:b/>
                <w:bCs/>
                <w:kern w:val="0"/>
                <w:sz w:val="20"/>
              </w:rPr>
              <w:t>增值税税额</w:t>
            </w:r>
          </w:p>
        </w:tc>
        <w:tc>
          <w:tcPr>
            <w:tcW w:w="1113" w:type="dxa"/>
            <w:shd w:val="clear" w:color="000000" w:fill="FFFFFF"/>
            <w:textDirection w:val="lrTb"/>
            <w:vAlign w:val="top"/>
          </w:tcPr>
          <w:p>
            <w:pPr>
              <w:widowControl/>
              <w:jc w:val="center"/>
              <w:rPr>
                <w:rFonts w:hint="eastAsia" w:ascii="宋体" w:hAnsi="宋体" w:cs="宋体"/>
                <w:b/>
                <w:bCs/>
                <w:kern w:val="0"/>
                <w:sz w:val="20"/>
              </w:rPr>
            </w:pPr>
            <w:r>
              <w:rPr>
                <w:rFonts w:hint="eastAsia" w:ascii="宋体" w:hAnsi="宋体" w:cs="宋体"/>
                <w:b/>
                <w:bCs/>
                <w:kern w:val="0"/>
                <w:sz w:val="20"/>
              </w:rPr>
              <w:t>不含增值税合价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1" w:type="dxa"/>
            <w:vMerge w:val="continue"/>
            <w:shd w:val="clear" w:color="auto" w:fill="auto"/>
            <w:vAlign w:val="center"/>
          </w:tcPr>
          <w:p>
            <w:pPr>
              <w:widowControl/>
              <w:jc w:val="left"/>
              <w:rPr>
                <w:rFonts w:ascii="宋体" w:hAnsi="宋体" w:cs="宋体"/>
                <w:b/>
                <w:bCs/>
                <w:kern w:val="0"/>
                <w:sz w:val="20"/>
              </w:rPr>
            </w:pPr>
          </w:p>
        </w:tc>
        <w:tc>
          <w:tcPr>
            <w:tcW w:w="1185" w:type="dxa"/>
            <w:vMerge w:val="continue"/>
            <w:shd w:val="clear" w:color="auto" w:fill="auto"/>
            <w:vAlign w:val="center"/>
          </w:tcPr>
          <w:p>
            <w:pPr>
              <w:widowControl/>
              <w:jc w:val="left"/>
              <w:rPr>
                <w:rFonts w:ascii="宋体" w:hAnsi="宋体" w:cs="宋体"/>
                <w:b/>
                <w:bCs/>
                <w:kern w:val="0"/>
                <w:sz w:val="20"/>
              </w:rPr>
            </w:pPr>
          </w:p>
        </w:tc>
        <w:tc>
          <w:tcPr>
            <w:tcW w:w="883" w:type="dxa"/>
            <w:vMerge w:val="continue"/>
            <w:shd w:val="clear" w:color="auto" w:fill="auto"/>
            <w:vAlign w:val="center"/>
          </w:tcPr>
          <w:p>
            <w:pPr>
              <w:widowControl/>
              <w:jc w:val="left"/>
              <w:rPr>
                <w:rFonts w:ascii="宋体" w:hAnsi="宋体" w:cs="宋体"/>
                <w:b/>
                <w:bCs/>
                <w:kern w:val="0"/>
                <w:sz w:val="20"/>
              </w:rPr>
            </w:pPr>
          </w:p>
        </w:tc>
        <w:tc>
          <w:tcPr>
            <w:tcW w:w="803" w:type="dxa"/>
            <w:vMerge w:val="continue"/>
            <w:shd w:val="clear" w:color="auto" w:fill="auto"/>
            <w:vAlign w:val="center"/>
          </w:tcPr>
          <w:p>
            <w:pPr>
              <w:widowControl/>
              <w:jc w:val="left"/>
              <w:rPr>
                <w:rFonts w:ascii="宋体" w:hAnsi="宋体" w:cs="宋体"/>
                <w:b/>
                <w:bCs/>
                <w:kern w:val="0"/>
                <w:sz w:val="20"/>
              </w:rPr>
            </w:pPr>
          </w:p>
        </w:tc>
        <w:tc>
          <w:tcPr>
            <w:tcW w:w="588" w:type="dxa"/>
            <w:vMerge w:val="continue"/>
            <w:shd w:val="clear" w:color="auto" w:fill="auto"/>
            <w:vAlign w:val="center"/>
          </w:tcPr>
          <w:p>
            <w:pPr>
              <w:widowControl/>
              <w:jc w:val="left"/>
              <w:rPr>
                <w:rFonts w:ascii="宋体" w:hAnsi="宋体" w:cs="宋体"/>
                <w:b/>
                <w:bCs/>
                <w:kern w:val="0"/>
                <w:sz w:val="20"/>
              </w:rPr>
            </w:pPr>
          </w:p>
        </w:tc>
        <w:tc>
          <w:tcPr>
            <w:tcW w:w="496" w:type="dxa"/>
            <w:vMerge w:val="continue"/>
            <w:shd w:val="clear" w:color="auto" w:fill="auto"/>
            <w:vAlign w:val="center"/>
          </w:tcPr>
          <w:p>
            <w:pPr>
              <w:widowControl/>
              <w:jc w:val="left"/>
              <w:rPr>
                <w:rFonts w:ascii="宋体" w:hAnsi="宋体" w:cs="宋体"/>
                <w:b/>
                <w:bCs/>
                <w:kern w:val="0"/>
                <w:sz w:val="20"/>
              </w:rPr>
            </w:pPr>
          </w:p>
        </w:tc>
        <w:tc>
          <w:tcPr>
            <w:tcW w:w="450" w:type="dxa"/>
            <w:vMerge w:val="continue"/>
            <w:shd w:val="clear" w:color="auto" w:fill="auto"/>
            <w:vAlign w:val="center"/>
          </w:tcPr>
          <w:p>
            <w:pPr>
              <w:widowControl/>
              <w:jc w:val="left"/>
              <w:rPr>
                <w:rFonts w:ascii="宋体" w:hAnsi="宋体" w:cs="宋体"/>
                <w:b/>
                <w:bCs/>
                <w:kern w:val="0"/>
                <w:sz w:val="20"/>
              </w:rPr>
            </w:pPr>
          </w:p>
        </w:tc>
        <w:tc>
          <w:tcPr>
            <w:tcW w:w="119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3" w:type="dxa"/>
            <w:shd w:val="clear" w:color="000000" w:fill="FFFFFF"/>
            <w:textDirection w:val="lrTb"/>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20" w:type="dxa"/>
            <w:shd w:val="clear" w:color="000000" w:fill="FFFFFF"/>
            <w:textDirection w:val="lrTb"/>
            <w:vAlign w:val="top"/>
          </w:tcPr>
          <w:p>
            <w:pPr>
              <w:widowControl/>
              <w:jc w:val="center"/>
              <w:rPr>
                <w:rFonts w:hint="eastAsia" w:ascii="宋体" w:hAnsi="宋体" w:cs="宋体"/>
                <w:b/>
                <w:bCs/>
                <w:kern w:val="0"/>
                <w:sz w:val="20"/>
              </w:rPr>
            </w:pPr>
            <w:r>
              <w:rPr>
                <w:rFonts w:hint="eastAsia" w:ascii="宋体" w:hAnsi="宋体" w:cs="宋体"/>
                <w:b/>
                <w:bCs/>
                <w:kern w:val="0"/>
                <w:sz w:val="20"/>
              </w:rPr>
              <w:t>单位(元)</w:t>
            </w:r>
          </w:p>
        </w:tc>
        <w:tc>
          <w:tcPr>
            <w:tcW w:w="1113" w:type="dxa"/>
            <w:shd w:val="clear" w:color="000000" w:fill="FFFFFF"/>
            <w:textDirection w:val="lrTb"/>
            <w:vAlign w:val="top"/>
          </w:tcPr>
          <w:p>
            <w:pPr>
              <w:widowControl/>
              <w:jc w:val="center"/>
              <w:rPr>
                <w:rFonts w:hint="eastAsia"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1" w:type="dxa"/>
            <w:shd w:val="clear" w:color="000000" w:fill="FFFFFF"/>
            <w:vAlign w:val="center"/>
          </w:tcPr>
          <w:p>
            <w:pPr>
              <w:widowControl/>
              <w:jc w:val="left"/>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88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8" w:type="dxa"/>
            <w:tcBorders>
              <w:bottom w:val="single" w:color="auto" w:sz="4" w:space="0"/>
            </w:tcBorders>
            <w:shd w:val="clear" w:color="000000" w:fill="FFFFFF"/>
            <w:vAlign w:val="center"/>
          </w:tcPr>
          <w:p>
            <w:pPr>
              <w:widowControl/>
              <w:rPr>
                <w:rFonts w:ascii="宋体" w:hAnsi="宋体" w:cs="宋体"/>
                <w:b/>
                <w:bCs/>
                <w:kern w:val="0"/>
                <w:sz w:val="20"/>
              </w:rPr>
            </w:pPr>
          </w:p>
        </w:tc>
        <w:tc>
          <w:tcPr>
            <w:tcW w:w="496" w:type="dxa"/>
            <w:tcBorders>
              <w:bottom w:val="single" w:color="auto" w:sz="4" w:space="0"/>
            </w:tcBorders>
            <w:shd w:val="clear" w:color="000000" w:fill="FFFFFF"/>
            <w:vAlign w:val="center"/>
          </w:tcPr>
          <w:p>
            <w:pPr>
              <w:widowControl/>
              <w:rPr>
                <w:rFonts w:ascii="宋体" w:hAnsi="宋体" w:cs="宋体"/>
                <w:b/>
                <w:bCs/>
                <w:kern w:val="0"/>
                <w:sz w:val="20"/>
              </w:rPr>
            </w:pPr>
          </w:p>
        </w:tc>
        <w:tc>
          <w:tcPr>
            <w:tcW w:w="45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3" w:type="dxa"/>
            <w:shd w:val="clear" w:color="000000" w:fill="FFFFFF"/>
            <w:vAlign w:val="center"/>
          </w:tcPr>
          <w:p>
            <w:pPr>
              <w:widowControl/>
              <w:jc w:val="center"/>
              <w:rPr>
                <w:rFonts w:ascii="宋体" w:hAnsi="宋体" w:cs="宋体"/>
                <w:b/>
                <w:bCs/>
                <w:kern w:val="0"/>
                <w:sz w:val="20"/>
              </w:rPr>
            </w:pPr>
          </w:p>
        </w:tc>
        <w:tc>
          <w:tcPr>
            <w:tcW w:w="1133" w:type="dxa"/>
            <w:tcBorders>
              <w:bottom w:val="single" w:color="auto" w:sz="4" w:space="0"/>
            </w:tcBorders>
            <w:shd w:val="clear" w:color="000000" w:fill="FFFFFF"/>
            <w:textDirection w:val="lrTb"/>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120" w:type="dxa"/>
            <w:tcBorders>
              <w:bottom w:val="single" w:color="auto" w:sz="4" w:space="0"/>
            </w:tcBorders>
            <w:shd w:val="clear" w:color="000000" w:fill="FFFFFF"/>
            <w:textDirection w:val="lrTb"/>
            <w:vAlign w:val="top"/>
          </w:tcPr>
          <w:p>
            <w:pPr>
              <w:widowControl/>
              <w:jc w:val="center"/>
              <w:rPr>
                <w:rFonts w:hint="eastAsia" w:ascii="宋体" w:hAnsi="宋体" w:cs="宋体"/>
                <w:b/>
                <w:bCs/>
                <w:kern w:val="0"/>
                <w:sz w:val="20"/>
              </w:rPr>
            </w:pPr>
          </w:p>
        </w:tc>
        <w:tc>
          <w:tcPr>
            <w:tcW w:w="1113" w:type="dxa"/>
            <w:tcBorders>
              <w:bottom w:val="single" w:color="auto" w:sz="4" w:space="0"/>
            </w:tcBorders>
            <w:shd w:val="clear" w:color="000000" w:fill="FFFFFF"/>
            <w:textDirection w:val="lrTb"/>
            <w:vAlign w:val="top"/>
          </w:tcPr>
          <w:p>
            <w:pPr>
              <w:widowControl/>
              <w:jc w:val="center"/>
              <w:rPr>
                <w:rFonts w:hint="eastAsia"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1" w:type="dxa"/>
            <w:shd w:val="clear" w:color="000000" w:fill="FFFFFF"/>
            <w:vAlign w:val="center"/>
          </w:tcPr>
          <w:p>
            <w:pPr>
              <w:jc w:val="left"/>
              <w:rPr>
                <w:rFonts w:ascii="宋体" w:hAnsi="宋体" w:cs="宋体"/>
                <w:b/>
                <w:bCs/>
                <w:kern w:val="0"/>
                <w:sz w:val="20"/>
              </w:rPr>
            </w:pPr>
          </w:p>
        </w:tc>
        <w:tc>
          <w:tcPr>
            <w:tcW w:w="1185" w:type="dxa"/>
            <w:shd w:val="clear" w:color="000000" w:fill="FFFFFF"/>
            <w:vAlign w:val="center"/>
          </w:tcPr>
          <w:p>
            <w:pPr>
              <w:widowControl/>
              <w:jc w:val="center"/>
              <w:rPr>
                <w:rFonts w:ascii="宋体" w:hAnsi="宋体"/>
                <w:b/>
                <w:bCs/>
                <w:kern w:val="0"/>
                <w:szCs w:val="21"/>
              </w:rPr>
            </w:pPr>
          </w:p>
        </w:tc>
        <w:tc>
          <w:tcPr>
            <w:tcW w:w="88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8" w:type="dxa"/>
            <w:tcBorders>
              <w:bottom w:val="single" w:color="auto" w:sz="4" w:space="0"/>
            </w:tcBorders>
            <w:shd w:val="clear" w:color="000000" w:fill="FFFFFF"/>
            <w:vAlign w:val="center"/>
          </w:tcPr>
          <w:p>
            <w:pPr>
              <w:widowControl/>
              <w:rPr>
                <w:rFonts w:ascii="宋体" w:hAnsi="宋体" w:cs="宋体"/>
                <w:b/>
                <w:bCs/>
                <w:kern w:val="0"/>
                <w:sz w:val="20"/>
              </w:rPr>
            </w:pPr>
          </w:p>
        </w:tc>
        <w:tc>
          <w:tcPr>
            <w:tcW w:w="496" w:type="dxa"/>
            <w:tcBorders>
              <w:bottom w:val="single" w:color="auto" w:sz="4" w:space="0"/>
            </w:tcBorders>
            <w:shd w:val="clear" w:color="000000" w:fill="FFFFFF"/>
            <w:vAlign w:val="center"/>
          </w:tcPr>
          <w:p>
            <w:pPr>
              <w:widowControl/>
              <w:rPr>
                <w:rFonts w:ascii="宋体" w:hAnsi="宋体" w:cs="宋体"/>
                <w:b/>
                <w:bCs/>
                <w:kern w:val="0"/>
                <w:sz w:val="20"/>
              </w:rPr>
            </w:pPr>
          </w:p>
        </w:tc>
        <w:tc>
          <w:tcPr>
            <w:tcW w:w="45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3" w:type="dxa"/>
            <w:shd w:val="clear" w:color="000000" w:fill="FFFFFF"/>
            <w:vAlign w:val="center"/>
          </w:tcPr>
          <w:p>
            <w:pPr>
              <w:widowControl/>
              <w:jc w:val="center"/>
              <w:rPr>
                <w:rFonts w:ascii="宋体" w:hAnsi="宋体" w:cs="宋体"/>
                <w:b/>
                <w:bCs/>
                <w:kern w:val="0"/>
                <w:sz w:val="20"/>
              </w:rPr>
            </w:pPr>
          </w:p>
        </w:tc>
        <w:tc>
          <w:tcPr>
            <w:tcW w:w="1133" w:type="dxa"/>
            <w:tcBorders>
              <w:bottom w:val="single" w:color="auto" w:sz="4" w:space="0"/>
            </w:tcBorders>
            <w:shd w:val="clear" w:color="000000" w:fill="FFFFFF"/>
            <w:textDirection w:val="lrTb"/>
            <w:vAlign w:val="center"/>
          </w:tcPr>
          <w:p>
            <w:pPr>
              <w:widowControl/>
              <w:jc w:val="center"/>
              <w:rPr>
                <w:rFonts w:ascii="宋体" w:hAnsi="宋体" w:cs="宋体"/>
                <w:b/>
                <w:bCs/>
                <w:kern w:val="0"/>
                <w:sz w:val="20"/>
              </w:rPr>
            </w:pPr>
          </w:p>
        </w:tc>
        <w:tc>
          <w:tcPr>
            <w:tcW w:w="1120" w:type="dxa"/>
            <w:tcBorders>
              <w:bottom w:val="single" w:color="auto" w:sz="4" w:space="0"/>
            </w:tcBorders>
            <w:shd w:val="clear" w:color="000000" w:fill="FFFFFF"/>
            <w:textDirection w:val="lrTb"/>
            <w:vAlign w:val="top"/>
          </w:tcPr>
          <w:p>
            <w:pPr>
              <w:widowControl/>
              <w:jc w:val="center"/>
              <w:rPr>
                <w:rFonts w:ascii="宋体" w:hAnsi="宋体" w:cs="宋体"/>
                <w:b/>
                <w:bCs/>
                <w:kern w:val="0"/>
                <w:sz w:val="20"/>
              </w:rPr>
            </w:pPr>
          </w:p>
        </w:tc>
        <w:tc>
          <w:tcPr>
            <w:tcW w:w="1113" w:type="dxa"/>
            <w:tcBorders>
              <w:bottom w:val="single" w:color="auto" w:sz="4" w:space="0"/>
            </w:tcBorders>
            <w:shd w:val="clear" w:color="000000" w:fill="FFFFFF"/>
            <w:textDirection w:val="lrTb"/>
            <w:vAlign w:val="top"/>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1" w:type="dxa"/>
            <w:shd w:val="clear" w:color="000000" w:fill="FFFFFF"/>
            <w:vAlign w:val="center"/>
          </w:tcPr>
          <w:p>
            <w:pPr>
              <w:widowControl/>
              <w:jc w:val="left"/>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88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8" w:type="dxa"/>
            <w:tcBorders>
              <w:bottom w:val="single" w:color="auto" w:sz="4" w:space="0"/>
            </w:tcBorders>
            <w:shd w:val="clear" w:color="000000" w:fill="FFFFFF"/>
            <w:vAlign w:val="center"/>
          </w:tcPr>
          <w:p>
            <w:pPr>
              <w:widowControl/>
              <w:rPr>
                <w:rFonts w:ascii="宋体" w:hAnsi="宋体" w:cs="宋体"/>
                <w:b/>
                <w:bCs/>
                <w:kern w:val="0"/>
                <w:sz w:val="20"/>
              </w:rPr>
            </w:pPr>
          </w:p>
        </w:tc>
        <w:tc>
          <w:tcPr>
            <w:tcW w:w="496" w:type="dxa"/>
            <w:tcBorders>
              <w:bottom w:val="single" w:color="auto" w:sz="4" w:space="0"/>
            </w:tcBorders>
            <w:shd w:val="clear" w:color="000000" w:fill="FFFFFF"/>
            <w:vAlign w:val="center"/>
          </w:tcPr>
          <w:p>
            <w:pPr>
              <w:widowControl/>
              <w:rPr>
                <w:rFonts w:ascii="宋体" w:hAnsi="宋体" w:cs="宋体"/>
                <w:b/>
                <w:bCs/>
                <w:kern w:val="0"/>
                <w:sz w:val="20"/>
              </w:rPr>
            </w:pPr>
          </w:p>
        </w:tc>
        <w:tc>
          <w:tcPr>
            <w:tcW w:w="45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3" w:type="dxa"/>
            <w:shd w:val="clear" w:color="000000" w:fill="FFFFFF"/>
            <w:vAlign w:val="center"/>
          </w:tcPr>
          <w:p>
            <w:pPr>
              <w:widowControl/>
              <w:jc w:val="center"/>
              <w:rPr>
                <w:rFonts w:ascii="宋体" w:hAnsi="宋体" w:cs="宋体"/>
                <w:b/>
                <w:bCs/>
                <w:kern w:val="0"/>
                <w:sz w:val="20"/>
              </w:rPr>
            </w:pPr>
          </w:p>
        </w:tc>
        <w:tc>
          <w:tcPr>
            <w:tcW w:w="1133" w:type="dxa"/>
            <w:tcBorders>
              <w:bottom w:val="single" w:color="auto" w:sz="4" w:space="0"/>
            </w:tcBorders>
            <w:shd w:val="clear" w:color="000000" w:fill="FFFFFF"/>
            <w:textDirection w:val="lrTb"/>
            <w:vAlign w:val="center"/>
          </w:tcPr>
          <w:p>
            <w:pPr>
              <w:widowControl/>
              <w:jc w:val="center"/>
              <w:rPr>
                <w:rFonts w:ascii="宋体" w:hAnsi="宋体" w:cs="宋体"/>
                <w:b/>
                <w:bCs/>
                <w:kern w:val="0"/>
                <w:sz w:val="20"/>
              </w:rPr>
            </w:pPr>
          </w:p>
        </w:tc>
        <w:tc>
          <w:tcPr>
            <w:tcW w:w="1120" w:type="dxa"/>
            <w:tcBorders>
              <w:bottom w:val="single" w:color="auto" w:sz="4" w:space="0"/>
            </w:tcBorders>
            <w:shd w:val="clear" w:color="000000" w:fill="FFFFFF"/>
            <w:textDirection w:val="lrTb"/>
            <w:vAlign w:val="top"/>
          </w:tcPr>
          <w:p>
            <w:pPr>
              <w:widowControl/>
              <w:jc w:val="center"/>
              <w:rPr>
                <w:rFonts w:ascii="宋体" w:hAnsi="宋体" w:cs="宋体"/>
                <w:b/>
                <w:bCs/>
                <w:kern w:val="0"/>
                <w:sz w:val="20"/>
              </w:rPr>
            </w:pPr>
          </w:p>
        </w:tc>
        <w:tc>
          <w:tcPr>
            <w:tcW w:w="1113" w:type="dxa"/>
            <w:tcBorders>
              <w:bottom w:val="single" w:color="auto" w:sz="4" w:space="0"/>
            </w:tcBorders>
            <w:shd w:val="clear" w:color="000000" w:fill="FFFFFF"/>
            <w:textDirection w:val="lrTb"/>
            <w:vAlign w:val="top"/>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1" w:type="dxa"/>
            <w:shd w:val="clear" w:color="000000" w:fill="FFFFFF"/>
            <w:vAlign w:val="center"/>
          </w:tcPr>
          <w:p>
            <w:pPr>
              <w:widowControl/>
              <w:jc w:val="left"/>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88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8" w:type="dxa"/>
            <w:tcBorders>
              <w:bottom w:val="single" w:color="auto" w:sz="4" w:space="0"/>
            </w:tcBorders>
            <w:shd w:val="clear" w:color="000000" w:fill="FFFFFF"/>
            <w:vAlign w:val="center"/>
          </w:tcPr>
          <w:p>
            <w:pPr>
              <w:widowControl/>
              <w:rPr>
                <w:rFonts w:ascii="宋体" w:hAnsi="宋体" w:cs="宋体"/>
                <w:b/>
                <w:bCs/>
                <w:kern w:val="0"/>
                <w:sz w:val="20"/>
              </w:rPr>
            </w:pPr>
          </w:p>
        </w:tc>
        <w:tc>
          <w:tcPr>
            <w:tcW w:w="496" w:type="dxa"/>
            <w:tcBorders>
              <w:bottom w:val="single" w:color="auto" w:sz="4" w:space="0"/>
            </w:tcBorders>
            <w:shd w:val="clear" w:color="000000" w:fill="FFFFFF"/>
            <w:vAlign w:val="center"/>
          </w:tcPr>
          <w:p>
            <w:pPr>
              <w:widowControl/>
              <w:rPr>
                <w:rFonts w:ascii="宋体" w:hAnsi="宋体" w:cs="宋体"/>
                <w:b/>
                <w:bCs/>
                <w:kern w:val="0"/>
                <w:sz w:val="20"/>
              </w:rPr>
            </w:pPr>
          </w:p>
        </w:tc>
        <w:tc>
          <w:tcPr>
            <w:tcW w:w="45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3" w:type="dxa"/>
            <w:shd w:val="clear" w:color="000000" w:fill="FFFFFF"/>
            <w:vAlign w:val="center"/>
          </w:tcPr>
          <w:p>
            <w:pPr>
              <w:widowControl/>
              <w:jc w:val="center"/>
              <w:rPr>
                <w:rFonts w:ascii="宋体" w:hAnsi="宋体" w:cs="宋体"/>
                <w:b/>
                <w:bCs/>
                <w:kern w:val="0"/>
                <w:sz w:val="20"/>
              </w:rPr>
            </w:pPr>
          </w:p>
        </w:tc>
        <w:tc>
          <w:tcPr>
            <w:tcW w:w="1133" w:type="dxa"/>
            <w:tcBorders>
              <w:bottom w:val="single" w:color="auto" w:sz="4" w:space="0"/>
            </w:tcBorders>
            <w:shd w:val="clear" w:color="000000" w:fill="FFFFFF"/>
            <w:textDirection w:val="lrTb"/>
            <w:vAlign w:val="center"/>
          </w:tcPr>
          <w:p>
            <w:pPr>
              <w:widowControl/>
              <w:jc w:val="center"/>
              <w:rPr>
                <w:rFonts w:ascii="宋体" w:hAnsi="宋体" w:cs="宋体"/>
                <w:b/>
                <w:bCs/>
                <w:kern w:val="0"/>
                <w:sz w:val="20"/>
              </w:rPr>
            </w:pPr>
          </w:p>
        </w:tc>
        <w:tc>
          <w:tcPr>
            <w:tcW w:w="1120" w:type="dxa"/>
            <w:tcBorders>
              <w:bottom w:val="single" w:color="auto" w:sz="4" w:space="0"/>
            </w:tcBorders>
            <w:shd w:val="clear" w:color="000000" w:fill="FFFFFF"/>
            <w:textDirection w:val="lrTb"/>
            <w:vAlign w:val="top"/>
          </w:tcPr>
          <w:p>
            <w:pPr>
              <w:widowControl/>
              <w:jc w:val="center"/>
              <w:rPr>
                <w:rFonts w:ascii="宋体" w:hAnsi="宋体" w:cs="宋体"/>
                <w:b/>
                <w:bCs/>
                <w:kern w:val="0"/>
                <w:sz w:val="20"/>
              </w:rPr>
            </w:pPr>
          </w:p>
        </w:tc>
        <w:tc>
          <w:tcPr>
            <w:tcW w:w="1113" w:type="dxa"/>
            <w:tcBorders>
              <w:bottom w:val="single" w:color="auto" w:sz="4" w:space="0"/>
            </w:tcBorders>
            <w:shd w:val="clear" w:color="000000" w:fill="FFFFFF"/>
            <w:textDirection w:val="lrTb"/>
            <w:vAlign w:val="top"/>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1" w:type="dxa"/>
            <w:shd w:val="clear" w:color="000000" w:fill="FFFFFF"/>
            <w:vAlign w:val="center"/>
          </w:tcPr>
          <w:p>
            <w:pPr>
              <w:widowControl/>
              <w:jc w:val="left"/>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88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8" w:type="dxa"/>
            <w:tcBorders>
              <w:bottom w:val="single" w:color="auto" w:sz="4" w:space="0"/>
            </w:tcBorders>
            <w:shd w:val="clear" w:color="000000" w:fill="FFFFFF"/>
            <w:vAlign w:val="center"/>
          </w:tcPr>
          <w:p>
            <w:pPr>
              <w:widowControl/>
              <w:rPr>
                <w:rFonts w:ascii="宋体" w:hAnsi="宋体" w:cs="宋体"/>
                <w:b/>
                <w:bCs/>
                <w:kern w:val="0"/>
                <w:sz w:val="20"/>
              </w:rPr>
            </w:pPr>
          </w:p>
        </w:tc>
        <w:tc>
          <w:tcPr>
            <w:tcW w:w="496" w:type="dxa"/>
            <w:tcBorders>
              <w:bottom w:val="single" w:color="auto" w:sz="4" w:space="0"/>
            </w:tcBorders>
            <w:shd w:val="clear" w:color="000000" w:fill="FFFFFF"/>
            <w:vAlign w:val="center"/>
          </w:tcPr>
          <w:p>
            <w:pPr>
              <w:widowControl/>
              <w:rPr>
                <w:rFonts w:ascii="宋体" w:hAnsi="宋体" w:cs="宋体"/>
                <w:b/>
                <w:bCs/>
                <w:kern w:val="0"/>
                <w:sz w:val="20"/>
              </w:rPr>
            </w:pPr>
          </w:p>
        </w:tc>
        <w:tc>
          <w:tcPr>
            <w:tcW w:w="45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3" w:type="dxa"/>
            <w:shd w:val="clear" w:color="000000" w:fill="FFFFFF"/>
            <w:vAlign w:val="center"/>
          </w:tcPr>
          <w:p>
            <w:pPr>
              <w:widowControl/>
              <w:jc w:val="center"/>
              <w:rPr>
                <w:rFonts w:ascii="宋体" w:hAnsi="宋体" w:cs="宋体"/>
                <w:b/>
                <w:bCs/>
                <w:kern w:val="0"/>
                <w:sz w:val="20"/>
              </w:rPr>
            </w:pPr>
          </w:p>
        </w:tc>
        <w:tc>
          <w:tcPr>
            <w:tcW w:w="1133" w:type="dxa"/>
            <w:tcBorders>
              <w:bottom w:val="single" w:color="auto" w:sz="4" w:space="0"/>
            </w:tcBorders>
            <w:shd w:val="clear" w:color="000000" w:fill="FFFFFF"/>
            <w:textDirection w:val="lrTb"/>
            <w:vAlign w:val="center"/>
          </w:tcPr>
          <w:p>
            <w:pPr>
              <w:widowControl/>
              <w:jc w:val="center"/>
              <w:rPr>
                <w:rFonts w:ascii="宋体" w:hAnsi="宋体" w:cs="宋体"/>
                <w:b/>
                <w:bCs/>
                <w:kern w:val="0"/>
                <w:sz w:val="20"/>
              </w:rPr>
            </w:pPr>
          </w:p>
        </w:tc>
        <w:tc>
          <w:tcPr>
            <w:tcW w:w="1120" w:type="dxa"/>
            <w:tcBorders>
              <w:bottom w:val="single" w:color="auto" w:sz="4" w:space="0"/>
            </w:tcBorders>
            <w:shd w:val="clear" w:color="000000" w:fill="FFFFFF"/>
            <w:textDirection w:val="lrTb"/>
            <w:vAlign w:val="top"/>
          </w:tcPr>
          <w:p>
            <w:pPr>
              <w:widowControl/>
              <w:jc w:val="center"/>
              <w:rPr>
                <w:rFonts w:ascii="宋体" w:hAnsi="宋体" w:cs="宋体"/>
                <w:b/>
                <w:bCs/>
                <w:kern w:val="0"/>
                <w:sz w:val="20"/>
              </w:rPr>
            </w:pPr>
          </w:p>
        </w:tc>
        <w:tc>
          <w:tcPr>
            <w:tcW w:w="1113" w:type="dxa"/>
            <w:tcBorders>
              <w:bottom w:val="single" w:color="auto" w:sz="4" w:space="0"/>
            </w:tcBorders>
            <w:shd w:val="clear" w:color="000000" w:fill="FFFFFF"/>
            <w:textDirection w:val="lrTb"/>
            <w:vAlign w:val="top"/>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1" w:type="dxa"/>
            <w:shd w:val="clear" w:color="000000" w:fill="FFFFFF"/>
            <w:vAlign w:val="center"/>
          </w:tcPr>
          <w:p>
            <w:pPr>
              <w:widowControl/>
              <w:jc w:val="left"/>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88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8" w:type="dxa"/>
            <w:tcBorders>
              <w:bottom w:val="single" w:color="auto" w:sz="4" w:space="0"/>
            </w:tcBorders>
            <w:shd w:val="clear" w:color="000000" w:fill="FFFFFF"/>
            <w:vAlign w:val="center"/>
          </w:tcPr>
          <w:p>
            <w:pPr>
              <w:widowControl/>
              <w:rPr>
                <w:rFonts w:ascii="宋体" w:hAnsi="宋体" w:cs="宋体"/>
                <w:b/>
                <w:bCs/>
                <w:kern w:val="0"/>
                <w:sz w:val="20"/>
              </w:rPr>
            </w:pPr>
          </w:p>
        </w:tc>
        <w:tc>
          <w:tcPr>
            <w:tcW w:w="496" w:type="dxa"/>
            <w:tcBorders>
              <w:bottom w:val="single" w:color="auto" w:sz="4" w:space="0"/>
            </w:tcBorders>
            <w:shd w:val="clear" w:color="000000" w:fill="FFFFFF"/>
            <w:vAlign w:val="center"/>
          </w:tcPr>
          <w:p>
            <w:pPr>
              <w:widowControl/>
              <w:rPr>
                <w:rFonts w:ascii="宋体" w:hAnsi="宋体" w:cs="宋体"/>
                <w:b/>
                <w:bCs/>
                <w:kern w:val="0"/>
                <w:sz w:val="20"/>
              </w:rPr>
            </w:pPr>
          </w:p>
        </w:tc>
        <w:tc>
          <w:tcPr>
            <w:tcW w:w="45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3" w:type="dxa"/>
            <w:shd w:val="clear" w:color="000000" w:fill="FFFFFF"/>
            <w:vAlign w:val="center"/>
          </w:tcPr>
          <w:p>
            <w:pPr>
              <w:widowControl/>
              <w:jc w:val="center"/>
              <w:rPr>
                <w:rFonts w:ascii="宋体" w:hAnsi="宋体" w:cs="宋体"/>
                <w:b/>
                <w:bCs/>
                <w:kern w:val="0"/>
                <w:sz w:val="20"/>
              </w:rPr>
            </w:pPr>
          </w:p>
        </w:tc>
        <w:tc>
          <w:tcPr>
            <w:tcW w:w="1133" w:type="dxa"/>
            <w:tcBorders>
              <w:bottom w:val="single" w:color="auto" w:sz="4" w:space="0"/>
            </w:tcBorders>
            <w:shd w:val="clear" w:color="000000" w:fill="FFFFFF"/>
            <w:textDirection w:val="lrTb"/>
            <w:vAlign w:val="center"/>
          </w:tcPr>
          <w:p>
            <w:pPr>
              <w:widowControl/>
              <w:jc w:val="center"/>
              <w:rPr>
                <w:rFonts w:ascii="宋体" w:hAnsi="宋体" w:cs="宋体"/>
                <w:b/>
                <w:bCs/>
                <w:kern w:val="0"/>
                <w:sz w:val="20"/>
              </w:rPr>
            </w:pPr>
          </w:p>
        </w:tc>
        <w:tc>
          <w:tcPr>
            <w:tcW w:w="1120" w:type="dxa"/>
            <w:tcBorders>
              <w:bottom w:val="single" w:color="auto" w:sz="4" w:space="0"/>
            </w:tcBorders>
            <w:shd w:val="clear" w:color="000000" w:fill="FFFFFF"/>
            <w:textDirection w:val="lrTb"/>
            <w:vAlign w:val="top"/>
          </w:tcPr>
          <w:p>
            <w:pPr>
              <w:widowControl/>
              <w:jc w:val="center"/>
              <w:rPr>
                <w:rFonts w:ascii="宋体" w:hAnsi="宋体" w:cs="宋体"/>
                <w:b/>
                <w:bCs/>
                <w:kern w:val="0"/>
                <w:sz w:val="20"/>
              </w:rPr>
            </w:pPr>
          </w:p>
        </w:tc>
        <w:tc>
          <w:tcPr>
            <w:tcW w:w="1113" w:type="dxa"/>
            <w:tcBorders>
              <w:bottom w:val="single" w:color="auto" w:sz="4" w:space="0"/>
            </w:tcBorders>
            <w:shd w:val="clear" w:color="000000" w:fill="FFFFFF"/>
            <w:textDirection w:val="lrTb"/>
            <w:vAlign w:val="top"/>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1" w:type="dxa"/>
            <w:shd w:val="clear" w:color="000000" w:fill="FFFFFF"/>
            <w:vAlign w:val="center"/>
          </w:tcPr>
          <w:p>
            <w:pPr>
              <w:widowControl/>
              <w:jc w:val="left"/>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88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8" w:type="dxa"/>
            <w:tcBorders>
              <w:bottom w:val="single" w:color="auto" w:sz="4" w:space="0"/>
            </w:tcBorders>
            <w:shd w:val="clear" w:color="000000" w:fill="FFFFFF"/>
            <w:vAlign w:val="center"/>
          </w:tcPr>
          <w:p>
            <w:pPr>
              <w:widowControl/>
              <w:rPr>
                <w:rFonts w:ascii="宋体" w:hAnsi="宋体" w:cs="宋体"/>
                <w:b/>
                <w:bCs/>
                <w:kern w:val="0"/>
                <w:sz w:val="20"/>
              </w:rPr>
            </w:pPr>
          </w:p>
        </w:tc>
        <w:tc>
          <w:tcPr>
            <w:tcW w:w="496" w:type="dxa"/>
            <w:tcBorders>
              <w:bottom w:val="single" w:color="auto" w:sz="4" w:space="0"/>
            </w:tcBorders>
            <w:shd w:val="clear" w:color="000000" w:fill="FFFFFF"/>
            <w:vAlign w:val="center"/>
          </w:tcPr>
          <w:p>
            <w:pPr>
              <w:widowControl/>
              <w:rPr>
                <w:rFonts w:ascii="宋体" w:hAnsi="宋体" w:cs="宋体"/>
                <w:b/>
                <w:bCs/>
                <w:kern w:val="0"/>
                <w:sz w:val="20"/>
              </w:rPr>
            </w:pPr>
          </w:p>
        </w:tc>
        <w:tc>
          <w:tcPr>
            <w:tcW w:w="45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3" w:type="dxa"/>
            <w:shd w:val="clear" w:color="000000" w:fill="FFFFFF"/>
            <w:vAlign w:val="center"/>
          </w:tcPr>
          <w:p>
            <w:pPr>
              <w:widowControl/>
              <w:jc w:val="center"/>
              <w:rPr>
                <w:rFonts w:ascii="宋体" w:hAnsi="宋体" w:cs="宋体"/>
                <w:b/>
                <w:bCs/>
                <w:kern w:val="0"/>
                <w:sz w:val="20"/>
              </w:rPr>
            </w:pPr>
          </w:p>
        </w:tc>
        <w:tc>
          <w:tcPr>
            <w:tcW w:w="1133" w:type="dxa"/>
            <w:tcBorders>
              <w:bottom w:val="single" w:color="auto" w:sz="4" w:space="0"/>
            </w:tcBorders>
            <w:shd w:val="clear" w:color="000000" w:fill="FFFFFF"/>
            <w:textDirection w:val="lrTb"/>
            <w:vAlign w:val="center"/>
          </w:tcPr>
          <w:p>
            <w:pPr>
              <w:widowControl/>
              <w:jc w:val="center"/>
              <w:rPr>
                <w:rFonts w:ascii="宋体" w:hAnsi="宋体" w:cs="宋体"/>
                <w:b/>
                <w:bCs/>
                <w:kern w:val="0"/>
                <w:sz w:val="20"/>
              </w:rPr>
            </w:pPr>
          </w:p>
        </w:tc>
        <w:tc>
          <w:tcPr>
            <w:tcW w:w="1120" w:type="dxa"/>
            <w:tcBorders>
              <w:bottom w:val="single" w:color="auto" w:sz="4" w:space="0"/>
            </w:tcBorders>
            <w:shd w:val="clear" w:color="000000" w:fill="FFFFFF"/>
            <w:textDirection w:val="lrTb"/>
            <w:vAlign w:val="top"/>
          </w:tcPr>
          <w:p>
            <w:pPr>
              <w:widowControl/>
              <w:jc w:val="center"/>
              <w:rPr>
                <w:rFonts w:ascii="宋体" w:hAnsi="宋体" w:cs="宋体"/>
                <w:b/>
                <w:bCs/>
                <w:kern w:val="0"/>
                <w:sz w:val="20"/>
              </w:rPr>
            </w:pPr>
          </w:p>
        </w:tc>
        <w:tc>
          <w:tcPr>
            <w:tcW w:w="1113" w:type="dxa"/>
            <w:tcBorders>
              <w:bottom w:val="single" w:color="auto" w:sz="4" w:space="0"/>
            </w:tcBorders>
            <w:shd w:val="clear" w:color="000000" w:fill="FFFFFF"/>
            <w:textDirection w:val="lrTb"/>
            <w:vAlign w:val="top"/>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1" w:type="dxa"/>
            <w:shd w:val="clear" w:color="000000" w:fill="FFFFFF"/>
            <w:vAlign w:val="center"/>
          </w:tcPr>
          <w:p>
            <w:pPr>
              <w:widowControl/>
              <w:jc w:val="left"/>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88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8" w:type="dxa"/>
            <w:tcBorders>
              <w:bottom w:val="single" w:color="auto" w:sz="4" w:space="0"/>
            </w:tcBorders>
            <w:shd w:val="clear" w:color="000000" w:fill="FFFFFF"/>
            <w:vAlign w:val="center"/>
          </w:tcPr>
          <w:p>
            <w:pPr>
              <w:widowControl/>
              <w:rPr>
                <w:rFonts w:ascii="宋体" w:hAnsi="宋体" w:cs="宋体"/>
                <w:b/>
                <w:bCs/>
                <w:kern w:val="0"/>
                <w:sz w:val="20"/>
              </w:rPr>
            </w:pPr>
          </w:p>
        </w:tc>
        <w:tc>
          <w:tcPr>
            <w:tcW w:w="496" w:type="dxa"/>
            <w:tcBorders>
              <w:bottom w:val="single" w:color="auto" w:sz="4" w:space="0"/>
            </w:tcBorders>
            <w:shd w:val="clear" w:color="000000" w:fill="FFFFFF"/>
            <w:vAlign w:val="center"/>
          </w:tcPr>
          <w:p>
            <w:pPr>
              <w:widowControl/>
              <w:rPr>
                <w:rFonts w:ascii="宋体" w:hAnsi="宋体" w:cs="宋体"/>
                <w:b/>
                <w:bCs/>
                <w:kern w:val="0"/>
                <w:sz w:val="20"/>
              </w:rPr>
            </w:pPr>
          </w:p>
        </w:tc>
        <w:tc>
          <w:tcPr>
            <w:tcW w:w="45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3" w:type="dxa"/>
            <w:shd w:val="clear" w:color="000000" w:fill="FFFFFF"/>
            <w:vAlign w:val="center"/>
          </w:tcPr>
          <w:p>
            <w:pPr>
              <w:widowControl/>
              <w:jc w:val="center"/>
              <w:rPr>
                <w:rFonts w:ascii="宋体" w:hAnsi="宋体" w:cs="宋体"/>
                <w:b/>
                <w:bCs/>
                <w:kern w:val="0"/>
                <w:sz w:val="20"/>
              </w:rPr>
            </w:pPr>
          </w:p>
        </w:tc>
        <w:tc>
          <w:tcPr>
            <w:tcW w:w="1133" w:type="dxa"/>
            <w:tcBorders>
              <w:bottom w:val="single" w:color="auto" w:sz="4" w:space="0"/>
            </w:tcBorders>
            <w:shd w:val="clear" w:color="000000" w:fill="FFFFFF"/>
            <w:textDirection w:val="lrTb"/>
            <w:vAlign w:val="center"/>
          </w:tcPr>
          <w:p>
            <w:pPr>
              <w:widowControl/>
              <w:jc w:val="center"/>
              <w:rPr>
                <w:rFonts w:ascii="宋体" w:hAnsi="宋体" w:cs="宋体"/>
                <w:b/>
                <w:bCs/>
                <w:kern w:val="0"/>
                <w:sz w:val="20"/>
              </w:rPr>
            </w:pPr>
          </w:p>
        </w:tc>
        <w:tc>
          <w:tcPr>
            <w:tcW w:w="1120" w:type="dxa"/>
            <w:tcBorders>
              <w:bottom w:val="single" w:color="auto" w:sz="4" w:space="0"/>
            </w:tcBorders>
            <w:shd w:val="clear" w:color="000000" w:fill="FFFFFF"/>
            <w:textDirection w:val="lrTb"/>
            <w:vAlign w:val="top"/>
          </w:tcPr>
          <w:p>
            <w:pPr>
              <w:widowControl/>
              <w:jc w:val="center"/>
              <w:rPr>
                <w:rFonts w:ascii="宋体" w:hAnsi="宋体" w:cs="宋体"/>
                <w:b/>
                <w:bCs/>
                <w:kern w:val="0"/>
                <w:sz w:val="20"/>
              </w:rPr>
            </w:pPr>
          </w:p>
        </w:tc>
        <w:tc>
          <w:tcPr>
            <w:tcW w:w="1113" w:type="dxa"/>
            <w:tcBorders>
              <w:bottom w:val="single" w:color="auto" w:sz="4" w:space="0"/>
            </w:tcBorders>
            <w:shd w:val="clear" w:color="000000" w:fill="FFFFFF"/>
            <w:textDirection w:val="lrTb"/>
            <w:vAlign w:val="top"/>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1" w:type="dxa"/>
            <w:shd w:val="clear" w:color="000000" w:fill="FFFFFF"/>
            <w:vAlign w:val="center"/>
          </w:tcPr>
          <w:p>
            <w:pPr>
              <w:widowControl/>
              <w:jc w:val="left"/>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88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8" w:type="dxa"/>
            <w:tcBorders>
              <w:bottom w:val="single" w:color="auto" w:sz="4" w:space="0"/>
            </w:tcBorders>
            <w:shd w:val="clear" w:color="000000" w:fill="FFFFFF"/>
            <w:vAlign w:val="center"/>
          </w:tcPr>
          <w:p>
            <w:pPr>
              <w:widowControl/>
              <w:rPr>
                <w:rFonts w:ascii="宋体" w:hAnsi="宋体" w:cs="宋体"/>
                <w:b/>
                <w:bCs/>
                <w:kern w:val="0"/>
                <w:sz w:val="20"/>
              </w:rPr>
            </w:pPr>
          </w:p>
        </w:tc>
        <w:tc>
          <w:tcPr>
            <w:tcW w:w="496" w:type="dxa"/>
            <w:tcBorders>
              <w:bottom w:val="single" w:color="auto" w:sz="4" w:space="0"/>
            </w:tcBorders>
            <w:shd w:val="clear" w:color="000000" w:fill="FFFFFF"/>
            <w:vAlign w:val="center"/>
          </w:tcPr>
          <w:p>
            <w:pPr>
              <w:widowControl/>
              <w:rPr>
                <w:rFonts w:ascii="宋体" w:hAnsi="宋体" w:cs="宋体"/>
                <w:b/>
                <w:bCs/>
                <w:kern w:val="0"/>
                <w:sz w:val="20"/>
              </w:rPr>
            </w:pPr>
          </w:p>
        </w:tc>
        <w:tc>
          <w:tcPr>
            <w:tcW w:w="45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3" w:type="dxa"/>
            <w:shd w:val="clear" w:color="000000" w:fill="FFFFFF"/>
            <w:vAlign w:val="center"/>
          </w:tcPr>
          <w:p>
            <w:pPr>
              <w:widowControl/>
              <w:jc w:val="center"/>
              <w:rPr>
                <w:rFonts w:ascii="宋体" w:hAnsi="宋体" w:cs="宋体"/>
                <w:b/>
                <w:bCs/>
                <w:kern w:val="0"/>
                <w:sz w:val="20"/>
              </w:rPr>
            </w:pPr>
          </w:p>
        </w:tc>
        <w:tc>
          <w:tcPr>
            <w:tcW w:w="1133" w:type="dxa"/>
            <w:tcBorders>
              <w:bottom w:val="single" w:color="auto" w:sz="4" w:space="0"/>
            </w:tcBorders>
            <w:shd w:val="clear" w:color="000000" w:fill="FFFFFF"/>
            <w:textDirection w:val="lrTb"/>
            <w:vAlign w:val="center"/>
          </w:tcPr>
          <w:p>
            <w:pPr>
              <w:widowControl/>
              <w:jc w:val="center"/>
              <w:rPr>
                <w:rFonts w:ascii="宋体" w:hAnsi="宋体" w:cs="宋体"/>
                <w:b/>
                <w:bCs/>
                <w:kern w:val="0"/>
                <w:sz w:val="20"/>
              </w:rPr>
            </w:pPr>
          </w:p>
        </w:tc>
        <w:tc>
          <w:tcPr>
            <w:tcW w:w="1120" w:type="dxa"/>
            <w:tcBorders>
              <w:bottom w:val="single" w:color="auto" w:sz="4" w:space="0"/>
            </w:tcBorders>
            <w:shd w:val="clear" w:color="000000" w:fill="FFFFFF"/>
            <w:textDirection w:val="lrTb"/>
            <w:vAlign w:val="top"/>
          </w:tcPr>
          <w:p>
            <w:pPr>
              <w:widowControl/>
              <w:jc w:val="center"/>
              <w:rPr>
                <w:rFonts w:ascii="宋体" w:hAnsi="宋体" w:cs="宋体"/>
                <w:b/>
                <w:bCs/>
                <w:kern w:val="0"/>
                <w:sz w:val="20"/>
              </w:rPr>
            </w:pPr>
          </w:p>
        </w:tc>
        <w:tc>
          <w:tcPr>
            <w:tcW w:w="1113" w:type="dxa"/>
            <w:tcBorders>
              <w:bottom w:val="single" w:color="auto" w:sz="4" w:space="0"/>
            </w:tcBorders>
            <w:shd w:val="clear" w:color="000000" w:fill="FFFFFF"/>
            <w:textDirection w:val="lrTb"/>
            <w:vAlign w:val="top"/>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1" w:type="dxa"/>
            <w:shd w:val="clear" w:color="000000" w:fill="FFFFFF"/>
            <w:vAlign w:val="center"/>
          </w:tcPr>
          <w:p>
            <w:pPr>
              <w:widowControl/>
              <w:jc w:val="left"/>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883" w:type="dxa"/>
            <w:shd w:val="clear" w:color="000000" w:fill="FFFFFF"/>
            <w:vAlign w:val="center"/>
          </w:tcPr>
          <w:p>
            <w:pPr>
              <w:widowControl/>
              <w:jc w:val="center"/>
              <w:rPr>
                <w:rFonts w:ascii="宋体" w:hAnsi="宋体" w:cs="宋体"/>
                <w:b/>
                <w:bCs/>
                <w:kern w:val="0"/>
                <w:sz w:val="20"/>
              </w:rPr>
            </w:pPr>
          </w:p>
        </w:tc>
        <w:tc>
          <w:tcPr>
            <w:tcW w:w="803" w:type="dxa"/>
            <w:shd w:val="clear" w:color="000000" w:fill="FFFFFF"/>
            <w:vAlign w:val="center"/>
          </w:tcPr>
          <w:p>
            <w:pPr>
              <w:widowControl/>
              <w:jc w:val="center"/>
              <w:rPr>
                <w:rFonts w:ascii="宋体" w:hAnsi="宋体" w:cs="宋体"/>
                <w:b/>
                <w:bCs/>
                <w:kern w:val="0"/>
                <w:sz w:val="20"/>
              </w:rPr>
            </w:pPr>
          </w:p>
        </w:tc>
        <w:tc>
          <w:tcPr>
            <w:tcW w:w="588" w:type="dxa"/>
            <w:shd w:val="clear" w:color="000000" w:fill="FFFFFF"/>
            <w:vAlign w:val="center"/>
          </w:tcPr>
          <w:p>
            <w:pPr>
              <w:widowControl/>
              <w:rPr>
                <w:rFonts w:ascii="宋体" w:hAnsi="宋体" w:cs="宋体"/>
                <w:b/>
                <w:bCs/>
                <w:kern w:val="0"/>
                <w:sz w:val="20"/>
              </w:rPr>
            </w:pPr>
          </w:p>
        </w:tc>
        <w:tc>
          <w:tcPr>
            <w:tcW w:w="496" w:type="dxa"/>
            <w:shd w:val="clear" w:color="000000" w:fill="FFFFFF"/>
            <w:vAlign w:val="center"/>
          </w:tcPr>
          <w:p>
            <w:pPr>
              <w:widowControl/>
              <w:rPr>
                <w:rFonts w:ascii="宋体" w:hAnsi="宋体" w:cs="宋体"/>
                <w:b/>
                <w:bCs/>
                <w:kern w:val="0"/>
                <w:sz w:val="20"/>
              </w:rPr>
            </w:pPr>
          </w:p>
        </w:tc>
        <w:tc>
          <w:tcPr>
            <w:tcW w:w="450" w:type="dxa"/>
            <w:shd w:val="clear" w:color="000000" w:fill="FFFFFF"/>
            <w:vAlign w:val="center"/>
          </w:tcPr>
          <w:p>
            <w:pPr>
              <w:widowControl/>
              <w:jc w:val="center"/>
              <w:rPr>
                <w:rFonts w:ascii="宋体" w:hAnsi="宋体" w:cs="宋体"/>
                <w:b/>
                <w:bCs/>
                <w:kern w:val="0"/>
                <w:sz w:val="20"/>
              </w:rPr>
            </w:pPr>
          </w:p>
        </w:tc>
        <w:tc>
          <w:tcPr>
            <w:tcW w:w="1193" w:type="dxa"/>
            <w:shd w:val="clear" w:color="000000" w:fill="FFFFFF"/>
            <w:vAlign w:val="center"/>
          </w:tcPr>
          <w:p>
            <w:pPr>
              <w:widowControl/>
              <w:jc w:val="center"/>
              <w:rPr>
                <w:rFonts w:ascii="宋体" w:hAnsi="宋体" w:cs="宋体"/>
                <w:b/>
                <w:bCs/>
                <w:kern w:val="0"/>
                <w:sz w:val="20"/>
              </w:rPr>
            </w:pPr>
          </w:p>
        </w:tc>
        <w:tc>
          <w:tcPr>
            <w:tcW w:w="1133" w:type="dxa"/>
            <w:shd w:val="clear" w:color="000000" w:fill="FFFFFF"/>
            <w:textDirection w:val="lrTb"/>
            <w:vAlign w:val="center"/>
          </w:tcPr>
          <w:p>
            <w:pPr>
              <w:widowControl/>
              <w:jc w:val="center"/>
              <w:rPr>
                <w:rFonts w:ascii="宋体" w:hAnsi="宋体" w:cs="宋体"/>
                <w:b/>
                <w:bCs/>
                <w:kern w:val="0"/>
                <w:sz w:val="20"/>
              </w:rPr>
            </w:pPr>
          </w:p>
        </w:tc>
        <w:tc>
          <w:tcPr>
            <w:tcW w:w="1120" w:type="dxa"/>
            <w:shd w:val="clear" w:color="000000" w:fill="FFFFFF"/>
            <w:textDirection w:val="lrTb"/>
            <w:vAlign w:val="top"/>
          </w:tcPr>
          <w:p>
            <w:pPr>
              <w:widowControl/>
              <w:jc w:val="center"/>
              <w:rPr>
                <w:rFonts w:ascii="宋体" w:hAnsi="宋体" w:cs="宋体"/>
                <w:b/>
                <w:bCs/>
                <w:kern w:val="0"/>
                <w:sz w:val="20"/>
              </w:rPr>
            </w:pPr>
          </w:p>
        </w:tc>
        <w:tc>
          <w:tcPr>
            <w:tcW w:w="1113" w:type="dxa"/>
            <w:shd w:val="clear" w:color="000000" w:fill="FFFFFF"/>
            <w:textDirection w:val="lrTb"/>
            <w:vAlign w:val="top"/>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1" w:type="dxa"/>
            <w:shd w:val="clear" w:color="000000" w:fill="FFFFFF"/>
            <w:vAlign w:val="center"/>
          </w:tcPr>
          <w:p>
            <w:pPr>
              <w:widowControl/>
              <w:jc w:val="left"/>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88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8" w:type="dxa"/>
            <w:tcBorders>
              <w:bottom w:val="single" w:color="auto" w:sz="4" w:space="0"/>
            </w:tcBorders>
            <w:shd w:val="clear" w:color="000000" w:fill="FFFFFF"/>
            <w:vAlign w:val="center"/>
          </w:tcPr>
          <w:p>
            <w:pPr>
              <w:widowControl/>
              <w:rPr>
                <w:rFonts w:ascii="宋体" w:hAnsi="宋体" w:cs="宋体"/>
                <w:b/>
                <w:bCs/>
                <w:kern w:val="0"/>
                <w:sz w:val="20"/>
              </w:rPr>
            </w:pPr>
          </w:p>
        </w:tc>
        <w:tc>
          <w:tcPr>
            <w:tcW w:w="496" w:type="dxa"/>
            <w:tcBorders>
              <w:bottom w:val="single" w:color="auto" w:sz="4" w:space="0"/>
            </w:tcBorders>
            <w:shd w:val="clear" w:color="000000" w:fill="FFFFFF"/>
            <w:vAlign w:val="center"/>
          </w:tcPr>
          <w:p>
            <w:pPr>
              <w:widowControl/>
              <w:rPr>
                <w:rFonts w:ascii="宋体" w:hAnsi="宋体" w:cs="宋体"/>
                <w:b/>
                <w:bCs/>
                <w:kern w:val="0"/>
                <w:sz w:val="20"/>
              </w:rPr>
            </w:pPr>
          </w:p>
        </w:tc>
        <w:tc>
          <w:tcPr>
            <w:tcW w:w="45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3" w:type="dxa"/>
            <w:shd w:val="clear" w:color="000000" w:fill="FFFFFF"/>
            <w:vAlign w:val="center"/>
          </w:tcPr>
          <w:p>
            <w:pPr>
              <w:widowControl/>
              <w:jc w:val="center"/>
              <w:rPr>
                <w:rFonts w:ascii="宋体" w:hAnsi="宋体" w:cs="宋体"/>
                <w:b/>
                <w:bCs/>
                <w:kern w:val="0"/>
                <w:sz w:val="20"/>
              </w:rPr>
            </w:pPr>
          </w:p>
        </w:tc>
        <w:tc>
          <w:tcPr>
            <w:tcW w:w="1133" w:type="dxa"/>
            <w:tcBorders>
              <w:bottom w:val="single" w:color="auto" w:sz="4" w:space="0"/>
            </w:tcBorders>
            <w:shd w:val="clear" w:color="000000" w:fill="FFFFFF"/>
            <w:textDirection w:val="lrTb"/>
            <w:vAlign w:val="center"/>
          </w:tcPr>
          <w:p>
            <w:pPr>
              <w:widowControl/>
              <w:jc w:val="center"/>
              <w:rPr>
                <w:rFonts w:ascii="宋体" w:hAnsi="宋体" w:cs="宋体"/>
                <w:b/>
                <w:bCs/>
                <w:kern w:val="0"/>
                <w:sz w:val="20"/>
              </w:rPr>
            </w:pPr>
          </w:p>
        </w:tc>
        <w:tc>
          <w:tcPr>
            <w:tcW w:w="1120" w:type="dxa"/>
            <w:tcBorders>
              <w:bottom w:val="single" w:color="auto" w:sz="4" w:space="0"/>
            </w:tcBorders>
            <w:shd w:val="clear" w:color="000000" w:fill="FFFFFF"/>
            <w:textDirection w:val="lrTb"/>
            <w:vAlign w:val="top"/>
          </w:tcPr>
          <w:p>
            <w:pPr>
              <w:widowControl/>
              <w:jc w:val="center"/>
              <w:rPr>
                <w:rFonts w:ascii="宋体" w:hAnsi="宋体" w:cs="宋体"/>
                <w:b/>
                <w:bCs/>
                <w:kern w:val="0"/>
                <w:sz w:val="20"/>
              </w:rPr>
            </w:pPr>
          </w:p>
        </w:tc>
        <w:tc>
          <w:tcPr>
            <w:tcW w:w="1113" w:type="dxa"/>
            <w:tcBorders>
              <w:bottom w:val="single" w:color="auto" w:sz="4" w:space="0"/>
            </w:tcBorders>
            <w:shd w:val="clear" w:color="000000" w:fill="FFFFFF"/>
            <w:textDirection w:val="lrTb"/>
            <w:vAlign w:val="top"/>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7"/>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综合单价包括但不限于产品生产、包装、运至指定地点的运输、装卸、保险、安装、调试及各种税费及所有第四章要求的伴随服务等招标文件规定的全部相关费用。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4.3随机标准附件和专用工具分项报价表</w:t>
      </w:r>
    </w:p>
    <w:tbl>
      <w:tblPr>
        <w:tblStyle w:val="59"/>
        <w:tblpPr w:leftFromText="180" w:rightFromText="180" w:vertAnchor="text" w:tblpY="1"/>
        <w:tblOverlap w:val="never"/>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611"/>
        <w:gridCol w:w="1128"/>
        <w:gridCol w:w="528"/>
        <w:gridCol w:w="708"/>
        <w:gridCol w:w="396"/>
        <w:gridCol w:w="516"/>
        <w:gridCol w:w="897"/>
        <w:gridCol w:w="897"/>
        <w:gridCol w:w="897"/>
        <w:gridCol w:w="900"/>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2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61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2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52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0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39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1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89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897" w:type="dxa"/>
            <w:shd w:val="clear" w:color="000000" w:fill="FFFFFF"/>
            <w:textDirection w:val="lrTb"/>
            <w:vAlign w:val="center"/>
          </w:tcPr>
          <w:p>
            <w:pPr>
              <w:widowControl/>
              <w:jc w:val="both"/>
              <w:rPr>
                <w:rFonts w:ascii="宋体" w:hAnsi="宋体" w:cs="宋体"/>
                <w:b/>
                <w:bCs/>
                <w:kern w:val="0"/>
                <w:sz w:val="20"/>
              </w:rPr>
            </w:pPr>
            <w:r>
              <w:rPr>
                <w:rFonts w:hint="eastAsia" w:ascii="宋体" w:hAnsi="宋体" w:cs="宋体"/>
                <w:b/>
                <w:bCs/>
                <w:kern w:val="0"/>
                <w:sz w:val="20"/>
              </w:rPr>
              <w:t xml:space="preserve">含增值税合价 </w:t>
            </w:r>
          </w:p>
        </w:tc>
        <w:tc>
          <w:tcPr>
            <w:tcW w:w="897" w:type="dxa"/>
            <w:shd w:val="clear" w:color="000000" w:fill="FFFFFF"/>
            <w:textDirection w:val="lrTb"/>
            <w:vAlign w:val="top"/>
          </w:tcPr>
          <w:p>
            <w:pPr>
              <w:widowControl/>
              <w:jc w:val="center"/>
              <w:rPr>
                <w:rFonts w:ascii="宋体" w:hAnsi="宋体" w:cs="宋体"/>
                <w:b/>
                <w:bCs/>
                <w:kern w:val="0"/>
                <w:sz w:val="20"/>
              </w:rPr>
            </w:pPr>
            <w:r>
              <w:rPr>
                <w:rFonts w:hint="eastAsia" w:ascii="宋体" w:hAnsi="宋体" w:cs="宋体"/>
                <w:b/>
                <w:bCs/>
                <w:kern w:val="0"/>
                <w:sz w:val="20"/>
              </w:rPr>
              <w:t>增值税税额</w:t>
            </w:r>
          </w:p>
        </w:tc>
        <w:tc>
          <w:tcPr>
            <w:tcW w:w="900" w:type="dxa"/>
            <w:shd w:val="clear" w:color="000000" w:fill="FFFFFF"/>
            <w:textDirection w:val="lrTb"/>
            <w:vAlign w:val="top"/>
          </w:tcPr>
          <w:p>
            <w:pPr>
              <w:widowControl/>
              <w:jc w:val="center"/>
              <w:rPr>
                <w:rFonts w:hint="eastAsia" w:ascii="宋体" w:hAnsi="宋体" w:cs="宋体"/>
                <w:b/>
                <w:bCs/>
                <w:kern w:val="0"/>
                <w:sz w:val="20"/>
              </w:rPr>
            </w:pPr>
            <w:r>
              <w:rPr>
                <w:rFonts w:hint="eastAsia" w:ascii="宋体" w:hAnsi="宋体" w:cs="宋体"/>
                <w:b/>
                <w:bCs/>
                <w:kern w:val="0"/>
                <w:sz w:val="20"/>
              </w:rPr>
              <w:t>不含增值税合价</w:t>
            </w:r>
          </w:p>
        </w:tc>
        <w:tc>
          <w:tcPr>
            <w:tcW w:w="639" w:type="dxa"/>
            <w:vMerge w:val="restart"/>
            <w:shd w:val="clear" w:color="000000" w:fill="FFFFFF"/>
            <w:textDirection w:val="lrTb"/>
            <w:vAlign w:val="center"/>
          </w:tcPr>
          <w:p>
            <w:pPr>
              <w:widowControl/>
              <w:jc w:val="center"/>
              <w:rPr>
                <w:rFonts w:hint="eastAsia"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8" w:type="dxa"/>
            <w:vMerge w:val="continue"/>
            <w:shd w:val="clear" w:color="auto" w:fill="auto"/>
            <w:vAlign w:val="center"/>
          </w:tcPr>
          <w:p>
            <w:pPr>
              <w:widowControl/>
              <w:jc w:val="center"/>
              <w:rPr>
                <w:rFonts w:ascii="宋体" w:hAnsi="宋体" w:cs="宋体"/>
                <w:b/>
                <w:bCs/>
                <w:kern w:val="0"/>
                <w:sz w:val="20"/>
              </w:rPr>
            </w:pPr>
          </w:p>
        </w:tc>
        <w:tc>
          <w:tcPr>
            <w:tcW w:w="1611" w:type="dxa"/>
            <w:vMerge w:val="continue"/>
            <w:shd w:val="clear" w:color="auto" w:fill="auto"/>
            <w:vAlign w:val="center"/>
          </w:tcPr>
          <w:p>
            <w:pPr>
              <w:widowControl/>
              <w:jc w:val="left"/>
              <w:rPr>
                <w:rFonts w:ascii="宋体" w:hAnsi="宋体" w:cs="宋体"/>
                <w:b/>
                <w:bCs/>
                <w:kern w:val="0"/>
                <w:sz w:val="20"/>
              </w:rPr>
            </w:pPr>
          </w:p>
        </w:tc>
        <w:tc>
          <w:tcPr>
            <w:tcW w:w="1128" w:type="dxa"/>
            <w:vMerge w:val="continue"/>
            <w:shd w:val="clear" w:color="auto" w:fill="auto"/>
            <w:vAlign w:val="center"/>
          </w:tcPr>
          <w:p>
            <w:pPr>
              <w:widowControl/>
              <w:jc w:val="left"/>
              <w:rPr>
                <w:rFonts w:ascii="宋体" w:hAnsi="宋体" w:cs="宋体"/>
                <w:b/>
                <w:bCs/>
                <w:kern w:val="0"/>
                <w:sz w:val="20"/>
              </w:rPr>
            </w:pPr>
          </w:p>
        </w:tc>
        <w:tc>
          <w:tcPr>
            <w:tcW w:w="528" w:type="dxa"/>
            <w:vMerge w:val="continue"/>
            <w:shd w:val="clear" w:color="auto" w:fill="auto"/>
            <w:vAlign w:val="center"/>
          </w:tcPr>
          <w:p>
            <w:pPr>
              <w:widowControl/>
              <w:jc w:val="left"/>
              <w:rPr>
                <w:rFonts w:ascii="宋体" w:hAnsi="宋体" w:cs="宋体"/>
                <w:b/>
                <w:bCs/>
                <w:kern w:val="0"/>
                <w:sz w:val="20"/>
              </w:rPr>
            </w:pPr>
          </w:p>
        </w:tc>
        <w:tc>
          <w:tcPr>
            <w:tcW w:w="708" w:type="dxa"/>
            <w:vMerge w:val="continue"/>
            <w:shd w:val="clear" w:color="auto" w:fill="auto"/>
            <w:vAlign w:val="center"/>
          </w:tcPr>
          <w:p>
            <w:pPr>
              <w:widowControl/>
              <w:jc w:val="left"/>
              <w:rPr>
                <w:rFonts w:ascii="宋体" w:hAnsi="宋体" w:cs="宋体"/>
                <w:b/>
                <w:bCs/>
                <w:kern w:val="0"/>
                <w:sz w:val="20"/>
              </w:rPr>
            </w:pPr>
          </w:p>
        </w:tc>
        <w:tc>
          <w:tcPr>
            <w:tcW w:w="396" w:type="dxa"/>
            <w:vMerge w:val="continue"/>
            <w:shd w:val="clear" w:color="auto" w:fill="auto"/>
            <w:vAlign w:val="center"/>
          </w:tcPr>
          <w:p>
            <w:pPr>
              <w:widowControl/>
              <w:jc w:val="left"/>
              <w:rPr>
                <w:rFonts w:ascii="宋体" w:hAnsi="宋体" w:cs="宋体"/>
                <w:b/>
                <w:bCs/>
                <w:kern w:val="0"/>
                <w:sz w:val="20"/>
              </w:rPr>
            </w:pPr>
          </w:p>
        </w:tc>
        <w:tc>
          <w:tcPr>
            <w:tcW w:w="516" w:type="dxa"/>
            <w:vMerge w:val="continue"/>
            <w:shd w:val="clear" w:color="auto" w:fill="auto"/>
            <w:vAlign w:val="center"/>
          </w:tcPr>
          <w:p>
            <w:pPr>
              <w:widowControl/>
              <w:jc w:val="left"/>
              <w:rPr>
                <w:rFonts w:ascii="宋体" w:hAnsi="宋体" w:cs="宋体"/>
                <w:b/>
                <w:bCs/>
                <w:kern w:val="0"/>
                <w:sz w:val="20"/>
              </w:rPr>
            </w:pPr>
          </w:p>
        </w:tc>
        <w:tc>
          <w:tcPr>
            <w:tcW w:w="89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97" w:type="dxa"/>
            <w:shd w:val="clear" w:color="000000" w:fill="FFFFFF"/>
            <w:textDirection w:val="lrTb"/>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97" w:type="dxa"/>
            <w:textDirection w:val="lrTb"/>
            <w:vAlign w:val="top"/>
          </w:tcPr>
          <w:p>
            <w:pPr>
              <w:widowControl/>
              <w:jc w:val="left"/>
              <w:rPr>
                <w:rFonts w:ascii="宋体" w:hAnsi="宋体" w:cs="宋体"/>
                <w:b/>
                <w:bCs/>
                <w:kern w:val="0"/>
                <w:sz w:val="20"/>
              </w:rPr>
            </w:pPr>
            <w:r>
              <w:rPr>
                <w:rFonts w:hint="eastAsia" w:ascii="宋体" w:hAnsi="宋体" w:cs="宋体"/>
                <w:b/>
                <w:bCs/>
                <w:kern w:val="0"/>
                <w:sz w:val="20"/>
              </w:rPr>
              <w:t>单位(元)</w:t>
            </w:r>
          </w:p>
        </w:tc>
        <w:tc>
          <w:tcPr>
            <w:tcW w:w="900" w:type="dxa"/>
            <w:textDirection w:val="lrTb"/>
            <w:vAlign w:val="top"/>
          </w:tcPr>
          <w:p>
            <w:pPr>
              <w:widowControl/>
              <w:jc w:val="left"/>
              <w:rPr>
                <w:rFonts w:ascii="宋体" w:hAnsi="宋体" w:cs="宋体"/>
                <w:b/>
                <w:bCs/>
                <w:kern w:val="0"/>
                <w:sz w:val="20"/>
              </w:rPr>
            </w:pPr>
            <w:r>
              <w:rPr>
                <w:rFonts w:hint="eastAsia" w:ascii="宋体" w:hAnsi="宋体" w:cs="宋体"/>
                <w:b/>
                <w:bCs/>
                <w:kern w:val="0"/>
                <w:sz w:val="20"/>
              </w:rPr>
              <w:t>单位(元)</w:t>
            </w:r>
          </w:p>
        </w:tc>
        <w:tc>
          <w:tcPr>
            <w:tcW w:w="639" w:type="dxa"/>
            <w:vMerge w:val="continue"/>
            <w:textDirection w:val="lrTb"/>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8" w:type="dxa"/>
            <w:shd w:val="clear" w:color="000000" w:fill="FFFFFF"/>
            <w:vAlign w:val="center"/>
          </w:tcPr>
          <w:p>
            <w:pPr>
              <w:widowControl/>
              <w:jc w:val="center"/>
              <w:rPr>
                <w:rFonts w:ascii="宋体" w:hAnsi="宋体" w:cs="宋体"/>
                <w:bCs/>
                <w:kern w:val="0"/>
                <w:sz w:val="20"/>
              </w:rPr>
            </w:pPr>
          </w:p>
        </w:tc>
        <w:tc>
          <w:tcPr>
            <w:tcW w:w="1611" w:type="dxa"/>
            <w:shd w:val="clear" w:color="000000" w:fill="FFFFFF"/>
            <w:vAlign w:val="center"/>
          </w:tcPr>
          <w:p>
            <w:pPr>
              <w:widowControl/>
              <w:jc w:val="center"/>
              <w:rPr>
                <w:rFonts w:ascii="宋体" w:hAnsi="宋体" w:cs="宋体"/>
                <w:b/>
                <w:bCs/>
                <w:kern w:val="0"/>
                <w:sz w:val="20"/>
              </w:rPr>
            </w:pPr>
          </w:p>
        </w:tc>
        <w:tc>
          <w:tcPr>
            <w:tcW w:w="1128" w:type="dxa"/>
            <w:shd w:val="clear" w:color="000000" w:fill="FFFFFF"/>
            <w:vAlign w:val="center"/>
          </w:tcPr>
          <w:p>
            <w:pPr>
              <w:widowControl/>
              <w:snapToGrid w:val="0"/>
              <w:rPr>
                <w:rFonts w:ascii="宋体" w:hAnsi="宋体"/>
                <w:b/>
                <w:bCs/>
                <w:kern w:val="0"/>
                <w:sz w:val="22"/>
              </w:rPr>
            </w:pPr>
          </w:p>
        </w:tc>
        <w:tc>
          <w:tcPr>
            <w:tcW w:w="528" w:type="dxa"/>
            <w:shd w:val="clear" w:color="000000" w:fill="FFFFFF"/>
            <w:vAlign w:val="center"/>
          </w:tcPr>
          <w:p>
            <w:pPr>
              <w:widowControl/>
              <w:snapToGrid w:val="0"/>
              <w:jc w:val="center"/>
              <w:rPr>
                <w:rFonts w:ascii="宋体" w:hAnsi="宋体" w:cs="宋体"/>
                <w:kern w:val="0"/>
                <w:sz w:val="20"/>
              </w:rPr>
            </w:pPr>
          </w:p>
        </w:tc>
        <w:tc>
          <w:tcPr>
            <w:tcW w:w="708" w:type="dxa"/>
            <w:shd w:val="clear" w:color="000000" w:fill="FFFFFF"/>
            <w:vAlign w:val="center"/>
          </w:tcPr>
          <w:p>
            <w:pPr>
              <w:widowControl/>
              <w:snapToGrid w:val="0"/>
              <w:jc w:val="center"/>
              <w:rPr>
                <w:rFonts w:ascii="宋体" w:hAnsi="宋体" w:cs="宋体"/>
                <w:b/>
                <w:bCs/>
                <w:kern w:val="0"/>
                <w:sz w:val="20"/>
              </w:rPr>
            </w:pPr>
          </w:p>
        </w:tc>
        <w:tc>
          <w:tcPr>
            <w:tcW w:w="396" w:type="dxa"/>
            <w:shd w:val="clear" w:color="000000" w:fill="FFFFFF"/>
            <w:vAlign w:val="center"/>
          </w:tcPr>
          <w:p>
            <w:pPr>
              <w:snapToGrid w:val="0"/>
              <w:jc w:val="center"/>
              <w:rPr>
                <w:rFonts w:ascii="宋体" w:hAnsi="宋体"/>
                <w:sz w:val="20"/>
              </w:rPr>
            </w:pPr>
          </w:p>
        </w:tc>
        <w:tc>
          <w:tcPr>
            <w:tcW w:w="516" w:type="dxa"/>
            <w:shd w:val="clear" w:color="000000" w:fill="FFFFFF"/>
            <w:vAlign w:val="center"/>
          </w:tcPr>
          <w:p>
            <w:pPr>
              <w:widowControl/>
              <w:snapToGrid w:val="0"/>
              <w:rPr>
                <w:rFonts w:ascii="宋体" w:hAnsi="宋体"/>
                <w:b/>
                <w:bCs/>
                <w:kern w:val="0"/>
                <w:sz w:val="22"/>
              </w:rPr>
            </w:pPr>
          </w:p>
        </w:tc>
        <w:tc>
          <w:tcPr>
            <w:tcW w:w="897" w:type="dxa"/>
            <w:shd w:val="clear" w:color="000000" w:fill="FFFFFF"/>
            <w:vAlign w:val="center"/>
          </w:tcPr>
          <w:p>
            <w:pPr>
              <w:widowControl/>
              <w:jc w:val="center"/>
              <w:rPr>
                <w:rFonts w:ascii="宋体" w:hAnsi="宋体" w:cs="宋体"/>
                <w:b/>
                <w:bCs/>
                <w:kern w:val="0"/>
                <w:sz w:val="20"/>
              </w:rPr>
            </w:pPr>
          </w:p>
        </w:tc>
        <w:tc>
          <w:tcPr>
            <w:tcW w:w="897" w:type="dxa"/>
            <w:shd w:val="clear" w:color="000000" w:fill="FFFFFF"/>
            <w:textDirection w:val="lrTb"/>
            <w:vAlign w:val="center"/>
          </w:tcPr>
          <w:p>
            <w:pPr>
              <w:widowControl/>
              <w:jc w:val="left"/>
              <w:rPr>
                <w:rFonts w:ascii="宋体" w:hAnsi="宋体" w:cs="宋体"/>
                <w:bCs/>
                <w:kern w:val="0"/>
                <w:sz w:val="20"/>
              </w:rPr>
            </w:pPr>
          </w:p>
        </w:tc>
        <w:tc>
          <w:tcPr>
            <w:tcW w:w="897" w:type="dxa"/>
            <w:shd w:val="clear" w:color="000000" w:fill="FFFFFF"/>
            <w:textDirection w:val="lrTb"/>
            <w:vAlign w:val="top"/>
          </w:tcPr>
          <w:p>
            <w:pPr>
              <w:widowControl/>
              <w:jc w:val="center"/>
              <w:rPr>
                <w:rFonts w:ascii="宋体" w:hAnsi="宋体" w:cs="宋体"/>
                <w:b/>
                <w:bCs/>
                <w:kern w:val="0"/>
                <w:sz w:val="20"/>
              </w:rPr>
            </w:pPr>
          </w:p>
        </w:tc>
        <w:tc>
          <w:tcPr>
            <w:tcW w:w="900" w:type="dxa"/>
            <w:shd w:val="clear" w:color="000000" w:fill="FFFFFF"/>
            <w:textDirection w:val="lrTb"/>
            <w:vAlign w:val="top"/>
          </w:tcPr>
          <w:p>
            <w:pPr>
              <w:widowControl/>
              <w:jc w:val="center"/>
              <w:rPr>
                <w:rFonts w:ascii="宋体" w:hAnsi="宋体" w:cs="宋体"/>
                <w:b/>
                <w:bCs/>
                <w:kern w:val="0"/>
                <w:sz w:val="20"/>
              </w:rPr>
            </w:pPr>
          </w:p>
        </w:tc>
        <w:tc>
          <w:tcPr>
            <w:tcW w:w="639" w:type="dxa"/>
            <w:shd w:val="clear" w:color="000000" w:fill="FFFFFF"/>
            <w:textDirection w:val="lrTb"/>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8" w:type="dxa"/>
            <w:shd w:val="clear" w:color="000000" w:fill="FFFFFF"/>
            <w:vAlign w:val="center"/>
          </w:tcPr>
          <w:p>
            <w:pPr>
              <w:widowControl/>
              <w:jc w:val="left"/>
              <w:rPr>
                <w:rFonts w:ascii="宋体" w:hAnsi="宋体" w:cs="宋体"/>
                <w:b/>
                <w:bCs/>
                <w:kern w:val="0"/>
                <w:sz w:val="20"/>
              </w:rPr>
            </w:pPr>
          </w:p>
        </w:tc>
        <w:tc>
          <w:tcPr>
            <w:tcW w:w="1611" w:type="dxa"/>
            <w:shd w:val="clear" w:color="000000" w:fill="FFFFFF"/>
            <w:vAlign w:val="center"/>
          </w:tcPr>
          <w:p>
            <w:pPr>
              <w:widowControl/>
              <w:snapToGrid w:val="0"/>
              <w:rPr>
                <w:rFonts w:ascii="宋体" w:hAnsi="宋体" w:cs="宋体"/>
                <w:kern w:val="0"/>
                <w:sz w:val="22"/>
              </w:rPr>
            </w:pPr>
          </w:p>
        </w:tc>
        <w:tc>
          <w:tcPr>
            <w:tcW w:w="1128" w:type="dxa"/>
            <w:shd w:val="clear" w:color="000000" w:fill="FFFFFF"/>
            <w:vAlign w:val="center"/>
          </w:tcPr>
          <w:p>
            <w:pPr>
              <w:widowControl/>
              <w:snapToGrid w:val="0"/>
              <w:rPr>
                <w:rFonts w:ascii="宋体" w:hAnsi="宋体"/>
                <w:b/>
                <w:bCs/>
                <w:kern w:val="0"/>
                <w:sz w:val="22"/>
              </w:rPr>
            </w:pPr>
          </w:p>
        </w:tc>
        <w:tc>
          <w:tcPr>
            <w:tcW w:w="528" w:type="dxa"/>
            <w:shd w:val="clear" w:color="000000" w:fill="FFFFFF"/>
            <w:vAlign w:val="center"/>
          </w:tcPr>
          <w:p>
            <w:pPr>
              <w:widowControl/>
              <w:snapToGrid w:val="0"/>
              <w:jc w:val="center"/>
              <w:rPr>
                <w:rFonts w:ascii="宋体" w:hAnsi="宋体" w:cs="宋体"/>
                <w:kern w:val="0"/>
                <w:sz w:val="20"/>
              </w:rPr>
            </w:pPr>
          </w:p>
        </w:tc>
        <w:tc>
          <w:tcPr>
            <w:tcW w:w="708" w:type="dxa"/>
            <w:shd w:val="clear" w:color="000000" w:fill="FFFFFF"/>
            <w:vAlign w:val="center"/>
          </w:tcPr>
          <w:p>
            <w:pPr>
              <w:widowControl/>
              <w:snapToGrid w:val="0"/>
              <w:jc w:val="center"/>
              <w:rPr>
                <w:rFonts w:ascii="宋体" w:hAnsi="宋体" w:cs="宋体"/>
                <w:b/>
                <w:bCs/>
                <w:kern w:val="0"/>
                <w:sz w:val="20"/>
              </w:rPr>
            </w:pPr>
          </w:p>
        </w:tc>
        <w:tc>
          <w:tcPr>
            <w:tcW w:w="396" w:type="dxa"/>
            <w:shd w:val="clear" w:color="000000" w:fill="FFFFFF"/>
            <w:vAlign w:val="center"/>
          </w:tcPr>
          <w:p>
            <w:pPr>
              <w:snapToGrid w:val="0"/>
              <w:jc w:val="center"/>
              <w:rPr>
                <w:rFonts w:ascii="宋体" w:hAnsi="宋体"/>
                <w:sz w:val="20"/>
              </w:rPr>
            </w:pPr>
          </w:p>
        </w:tc>
        <w:tc>
          <w:tcPr>
            <w:tcW w:w="516" w:type="dxa"/>
            <w:shd w:val="clear" w:color="000000" w:fill="FFFFFF"/>
            <w:vAlign w:val="center"/>
          </w:tcPr>
          <w:p>
            <w:pPr>
              <w:widowControl/>
              <w:snapToGrid w:val="0"/>
              <w:rPr>
                <w:rFonts w:ascii="宋体" w:hAnsi="宋体"/>
                <w:b/>
                <w:bCs/>
                <w:kern w:val="0"/>
                <w:sz w:val="22"/>
              </w:rPr>
            </w:pPr>
          </w:p>
        </w:tc>
        <w:tc>
          <w:tcPr>
            <w:tcW w:w="897" w:type="dxa"/>
            <w:shd w:val="clear" w:color="000000" w:fill="FFFFFF"/>
            <w:vAlign w:val="center"/>
          </w:tcPr>
          <w:p>
            <w:pPr>
              <w:widowControl/>
              <w:jc w:val="center"/>
              <w:rPr>
                <w:rFonts w:ascii="宋体" w:hAnsi="宋体" w:cs="宋体"/>
                <w:b/>
                <w:bCs/>
                <w:kern w:val="0"/>
                <w:sz w:val="20"/>
              </w:rPr>
            </w:pPr>
          </w:p>
        </w:tc>
        <w:tc>
          <w:tcPr>
            <w:tcW w:w="897" w:type="dxa"/>
            <w:shd w:val="clear" w:color="000000" w:fill="FFFFFF"/>
            <w:textDirection w:val="lrTb"/>
            <w:vAlign w:val="center"/>
          </w:tcPr>
          <w:p>
            <w:pPr>
              <w:widowControl/>
              <w:jc w:val="left"/>
              <w:rPr>
                <w:rFonts w:ascii="宋体" w:hAnsi="宋体" w:cs="宋体"/>
                <w:bCs/>
                <w:kern w:val="0"/>
                <w:sz w:val="20"/>
              </w:rPr>
            </w:pPr>
          </w:p>
        </w:tc>
        <w:tc>
          <w:tcPr>
            <w:tcW w:w="897" w:type="dxa"/>
            <w:shd w:val="clear" w:color="000000" w:fill="FFFFFF"/>
            <w:textDirection w:val="lrTb"/>
            <w:vAlign w:val="top"/>
          </w:tcPr>
          <w:p>
            <w:pPr>
              <w:widowControl/>
              <w:jc w:val="center"/>
              <w:rPr>
                <w:rFonts w:ascii="宋体" w:hAnsi="宋体" w:cs="宋体"/>
                <w:b/>
                <w:bCs/>
                <w:kern w:val="0"/>
                <w:sz w:val="20"/>
              </w:rPr>
            </w:pPr>
          </w:p>
        </w:tc>
        <w:tc>
          <w:tcPr>
            <w:tcW w:w="900" w:type="dxa"/>
            <w:shd w:val="clear" w:color="000000" w:fill="FFFFFF"/>
            <w:textDirection w:val="lrTb"/>
            <w:vAlign w:val="top"/>
          </w:tcPr>
          <w:p>
            <w:pPr>
              <w:widowControl/>
              <w:jc w:val="center"/>
              <w:rPr>
                <w:rFonts w:ascii="宋体" w:hAnsi="宋体" w:cs="宋体"/>
                <w:b/>
                <w:bCs/>
                <w:kern w:val="0"/>
                <w:sz w:val="20"/>
              </w:rPr>
            </w:pPr>
          </w:p>
        </w:tc>
        <w:tc>
          <w:tcPr>
            <w:tcW w:w="639" w:type="dxa"/>
            <w:shd w:val="clear" w:color="000000" w:fill="FFFFFF"/>
            <w:textDirection w:val="lrTb"/>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8" w:type="dxa"/>
            <w:shd w:val="clear" w:color="000000" w:fill="FFFFFF"/>
            <w:vAlign w:val="center"/>
          </w:tcPr>
          <w:p>
            <w:pPr>
              <w:widowControl/>
              <w:jc w:val="left"/>
              <w:rPr>
                <w:rFonts w:ascii="宋体" w:hAnsi="宋体" w:cs="宋体"/>
                <w:b/>
                <w:bCs/>
                <w:kern w:val="0"/>
                <w:sz w:val="20"/>
              </w:rPr>
            </w:pPr>
          </w:p>
        </w:tc>
        <w:tc>
          <w:tcPr>
            <w:tcW w:w="1611" w:type="dxa"/>
            <w:shd w:val="clear" w:color="000000" w:fill="FFFFFF"/>
            <w:vAlign w:val="center"/>
          </w:tcPr>
          <w:p>
            <w:pPr>
              <w:widowControl/>
              <w:snapToGrid w:val="0"/>
              <w:rPr>
                <w:rFonts w:ascii="宋体" w:hAnsi="宋体" w:cs="宋体"/>
                <w:kern w:val="0"/>
                <w:sz w:val="22"/>
              </w:rPr>
            </w:pPr>
          </w:p>
        </w:tc>
        <w:tc>
          <w:tcPr>
            <w:tcW w:w="1128" w:type="dxa"/>
            <w:shd w:val="clear" w:color="000000" w:fill="FFFFFF"/>
            <w:vAlign w:val="center"/>
          </w:tcPr>
          <w:p>
            <w:pPr>
              <w:widowControl/>
              <w:snapToGrid w:val="0"/>
              <w:rPr>
                <w:rFonts w:ascii="宋体" w:hAnsi="宋体"/>
                <w:b/>
                <w:bCs/>
                <w:kern w:val="0"/>
                <w:sz w:val="22"/>
              </w:rPr>
            </w:pPr>
          </w:p>
        </w:tc>
        <w:tc>
          <w:tcPr>
            <w:tcW w:w="528" w:type="dxa"/>
            <w:shd w:val="clear" w:color="000000" w:fill="FFFFFF"/>
            <w:vAlign w:val="center"/>
          </w:tcPr>
          <w:p>
            <w:pPr>
              <w:widowControl/>
              <w:snapToGrid w:val="0"/>
              <w:jc w:val="center"/>
              <w:rPr>
                <w:rFonts w:ascii="宋体" w:hAnsi="宋体" w:cs="宋体"/>
                <w:kern w:val="0"/>
                <w:sz w:val="20"/>
              </w:rPr>
            </w:pPr>
          </w:p>
        </w:tc>
        <w:tc>
          <w:tcPr>
            <w:tcW w:w="708" w:type="dxa"/>
            <w:shd w:val="clear" w:color="000000" w:fill="FFFFFF"/>
            <w:vAlign w:val="center"/>
          </w:tcPr>
          <w:p>
            <w:pPr>
              <w:widowControl/>
              <w:snapToGrid w:val="0"/>
              <w:jc w:val="center"/>
              <w:rPr>
                <w:rFonts w:ascii="宋体" w:hAnsi="宋体" w:cs="宋体"/>
                <w:b/>
                <w:bCs/>
                <w:kern w:val="0"/>
                <w:sz w:val="20"/>
              </w:rPr>
            </w:pPr>
          </w:p>
        </w:tc>
        <w:tc>
          <w:tcPr>
            <w:tcW w:w="396" w:type="dxa"/>
            <w:shd w:val="clear" w:color="000000" w:fill="FFFFFF"/>
            <w:vAlign w:val="center"/>
          </w:tcPr>
          <w:p>
            <w:pPr>
              <w:snapToGrid w:val="0"/>
              <w:jc w:val="center"/>
              <w:rPr>
                <w:rFonts w:ascii="宋体" w:hAnsi="宋体"/>
                <w:sz w:val="20"/>
              </w:rPr>
            </w:pPr>
          </w:p>
        </w:tc>
        <w:tc>
          <w:tcPr>
            <w:tcW w:w="516" w:type="dxa"/>
            <w:shd w:val="clear" w:color="000000" w:fill="FFFFFF"/>
            <w:vAlign w:val="center"/>
          </w:tcPr>
          <w:p>
            <w:pPr>
              <w:widowControl/>
              <w:snapToGrid w:val="0"/>
              <w:rPr>
                <w:rFonts w:ascii="宋体" w:hAnsi="宋体"/>
                <w:b/>
                <w:bCs/>
                <w:kern w:val="0"/>
                <w:sz w:val="22"/>
              </w:rPr>
            </w:pPr>
          </w:p>
        </w:tc>
        <w:tc>
          <w:tcPr>
            <w:tcW w:w="897" w:type="dxa"/>
            <w:shd w:val="clear" w:color="000000" w:fill="FFFFFF"/>
            <w:vAlign w:val="center"/>
          </w:tcPr>
          <w:p>
            <w:pPr>
              <w:widowControl/>
              <w:jc w:val="center"/>
              <w:rPr>
                <w:rFonts w:ascii="宋体" w:hAnsi="宋体" w:cs="宋体"/>
                <w:b/>
                <w:bCs/>
                <w:kern w:val="0"/>
                <w:sz w:val="20"/>
              </w:rPr>
            </w:pPr>
          </w:p>
        </w:tc>
        <w:tc>
          <w:tcPr>
            <w:tcW w:w="897" w:type="dxa"/>
            <w:shd w:val="clear" w:color="000000" w:fill="FFFFFF"/>
            <w:textDirection w:val="lrTb"/>
            <w:vAlign w:val="center"/>
          </w:tcPr>
          <w:p>
            <w:pPr>
              <w:widowControl/>
              <w:jc w:val="left"/>
              <w:rPr>
                <w:rFonts w:ascii="宋体" w:hAnsi="宋体" w:cs="宋体"/>
                <w:bCs/>
                <w:kern w:val="0"/>
                <w:sz w:val="20"/>
              </w:rPr>
            </w:pPr>
          </w:p>
        </w:tc>
        <w:tc>
          <w:tcPr>
            <w:tcW w:w="897" w:type="dxa"/>
            <w:shd w:val="clear" w:color="000000" w:fill="FFFFFF"/>
            <w:textDirection w:val="lrTb"/>
            <w:vAlign w:val="top"/>
          </w:tcPr>
          <w:p>
            <w:pPr>
              <w:widowControl/>
              <w:jc w:val="center"/>
              <w:rPr>
                <w:rFonts w:ascii="宋体" w:hAnsi="宋体" w:cs="宋体"/>
                <w:b/>
                <w:bCs/>
                <w:kern w:val="0"/>
                <w:sz w:val="20"/>
              </w:rPr>
            </w:pPr>
          </w:p>
        </w:tc>
        <w:tc>
          <w:tcPr>
            <w:tcW w:w="900" w:type="dxa"/>
            <w:shd w:val="clear" w:color="000000" w:fill="FFFFFF"/>
            <w:textDirection w:val="lrTb"/>
            <w:vAlign w:val="top"/>
          </w:tcPr>
          <w:p>
            <w:pPr>
              <w:widowControl/>
              <w:jc w:val="center"/>
              <w:rPr>
                <w:rFonts w:ascii="宋体" w:hAnsi="宋体" w:cs="宋体"/>
                <w:b/>
                <w:bCs/>
                <w:kern w:val="0"/>
                <w:sz w:val="20"/>
              </w:rPr>
            </w:pPr>
          </w:p>
        </w:tc>
        <w:tc>
          <w:tcPr>
            <w:tcW w:w="639" w:type="dxa"/>
            <w:shd w:val="clear" w:color="000000" w:fill="FFFFFF"/>
            <w:textDirection w:val="lrTb"/>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8" w:type="dxa"/>
            <w:shd w:val="clear" w:color="000000" w:fill="FFFFFF"/>
            <w:vAlign w:val="center"/>
          </w:tcPr>
          <w:p>
            <w:pPr>
              <w:widowControl/>
              <w:jc w:val="left"/>
              <w:rPr>
                <w:rFonts w:ascii="宋体" w:hAnsi="宋体" w:cs="宋体"/>
                <w:b/>
                <w:bCs/>
                <w:kern w:val="0"/>
                <w:sz w:val="20"/>
              </w:rPr>
            </w:pPr>
          </w:p>
        </w:tc>
        <w:tc>
          <w:tcPr>
            <w:tcW w:w="1611" w:type="dxa"/>
            <w:shd w:val="clear" w:color="000000" w:fill="FFFFFF"/>
            <w:vAlign w:val="center"/>
          </w:tcPr>
          <w:p>
            <w:pPr>
              <w:widowControl/>
              <w:snapToGrid w:val="0"/>
              <w:rPr>
                <w:rFonts w:ascii="宋体" w:hAnsi="宋体" w:cs="宋体"/>
                <w:kern w:val="0"/>
                <w:sz w:val="22"/>
              </w:rPr>
            </w:pPr>
          </w:p>
        </w:tc>
        <w:tc>
          <w:tcPr>
            <w:tcW w:w="1128" w:type="dxa"/>
            <w:shd w:val="clear" w:color="000000" w:fill="FFFFFF"/>
            <w:vAlign w:val="center"/>
          </w:tcPr>
          <w:p>
            <w:pPr>
              <w:widowControl/>
              <w:snapToGrid w:val="0"/>
              <w:rPr>
                <w:rFonts w:ascii="宋体" w:hAnsi="宋体"/>
                <w:b/>
                <w:bCs/>
                <w:kern w:val="0"/>
                <w:sz w:val="22"/>
              </w:rPr>
            </w:pPr>
          </w:p>
        </w:tc>
        <w:tc>
          <w:tcPr>
            <w:tcW w:w="528" w:type="dxa"/>
            <w:shd w:val="clear" w:color="000000" w:fill="FFFFFF"/>
            <w:vAlign w:val="center"/>
          </w:tcPr>
          <w:p>
            <w:pPr>
              <w:widowControl/>
              <w:snapToGrid w:val="0"/>
              <w:jc w:val="center"/>
              <w:rPr>
                <w:rFonts w:ascii="宋体" w:hAnsi="宋体" w:cs="宋体"/>
                <w:kern w:val="0"/>
                <w:sz w:val="20"/>
              </w:rPr>
            </w:pPr>
          </w:p>
        </w:tc>
        <w:tc>
          <w:tcPr>
            <w:tcW w:w="708" w:type="dxa"/>
            <w:shd w:val="clear" w:color="000000" w:fill="FFFFFF"/>
            <w:vAlign w:val="center"/>
          </w:tcPr>
          <w:p>
            <w:pPr>
              <w:widowControl/>
              <w:snapToGrid w:val="0"/>
              <w:jc w:val="center"/>
              <w:rPr>
                <w:rFonts w:ascii="宋体" w:hAnsi="宋体" w:cs="宋体"/>
                <w:b/>
                <w:bCs/>
                <w:kern w:val="0"/>
                <w:sz w:val="20"/>
              </w:rPr>
            </w:pPr>
          </w:p>
        </w:tc>
        <w:tc>
          <w:tcPr>
            <w:tcW w:w="396" w:type="dxa"/>
            <w:shd w:val="clear" w:color="000000" w:fill="FFFFFF"/>
            <w:vAlign w:val="center"/>
          </w:tcPr>
          <w:p>
            <w:pPr>
              <w:snapToGrid w:val="0"/>
              <w:jc w:val="center"/>
              <w:rPr>
                <w:rFonts w:ascii="宋体" w:hAnsi="宋体"/>
                <w:sz w:val="20"/>
              </w:rPr>
            </w:pPr>
          </w:p>
        </w:tc>
        <w:tc>
          <w:tcPr>
            <w:tcW w:w="516" w:type="dxa"/>
            <w:shd w:val="clear" w:color="000000" w:fill="FFFFFF"/>
            <w:vAlign w:val="center"/>
          </w:tcPr>
          <w:p>
            <w:pPr>
              <w:widowControl/>
              <w:snapToGrid w:val="0"/>
              <w:rPr>
                <w:rFonts w:ascii="宋体" w:hAnsi="宋体"/>
                <w:b/>
                <w:bCs/>
                <w:kern w:val="0"/>
                <w:sz w:val="22"/>
              </w:rPr>
            </w:pPr>
          </w:p>
        </w:tc>
        <w:tc>
          <w:tcPr>
            <w:tcW w:w="897" w:type="dxa"/>
            <w:shd w:val="clear" w:color="000000" w:fill="FFFFFF"/>
            <w:vAlign w:val="center"/>
          </w:tcPr>
          <w:p>
            <w:pPr>
              <w:widowControl/>
              <w:jc w:val="center"/>
              <w:rPr>
                <w:rFonts w:ascii="宋体" w:hAnsi="宋体" w:cs="宋体"/>
                <w:b/>
                <w:bCs/>
                <w:kern w:val="0"/>
                <w:sz w:val="20"/>
              </w:rPr>
            </w:pPr>
          </w:p>
        </w:tc>
        <w:tc>
          <w:tcPr>
            <w:tcW w:w="897" w:type="dxa"/>
            <w:shd w:val="clear" w:color="000000" w:fill="FFFFFF"/>
            <w:textDirection w:val="lrTb"/>
            <w:vAlign w:val="center"/>
          </w:tcPr>
          <w:p>
            <w:pPr>
              <w:widowControl/>
              <w:jc w:val="left"/>
              <w:rPr>
                <w:rFonts w:ascii="宋体" w:hAnsi="宋体" w:cs="宋体"/>
                <w:bCs/>
                <w:kern w:val="0"/>
                <w:sz w:val="20"/>
              </w:rPr>
            </w:pPr>
          </w:p>
        </w:tc>
        <w:tc>
          <w:tcPr>
            <w:tcW w:w="897" w:type="dxa"/>
            <w:shd w:val="clear" w:color="000000" w:fill="FFFFFF"/>
            <w:textDirection w:val="lrTb"/>
            <w:vAlign w:val="top"/>
          </w:tcPr>
          <w:p>
            <w:pPr>
              <w:widowControl/>
              <w:jc w:val="center"/>
              <w:rPr>
                <w:rFonts w:ascii="宋体" w:hAnsi="宋体" w:cs="宋体"/>
                <w:b/>
                <w:bCs/>
                <w:kern w:val="0"/>
                <w:sz w:val="20"/>
              </w:rPr>
            </w:pPr>
          </w:p>
        </w:tc>
        <w:tc>
          <w:tcPr>
            <w:tcW w:w="900" w:type="dxa"/>
            <w:shd w:val="clear" w:color="000000" w:fill="FFFFFF"/>
            <w:textDirection w:val="lrTb"/>
            <w:vAlign w:val="top"/>
          </w:tcPr>
          <w:p>
            <w:pPr>
              <w:widowControl/>
              <w:jc w:val="center"/>
              <w:rPr>
                <w:rFonts w:ascii="宋体" w:hAnsi="宋体" w:cs="宋体"/>
                <w:b/>
                <w:bCs/>
                <w:kern w:val="0"/>
                <w:sz w:val="20"/>
              </w:rPr>
            </w:pPr>
          </w:p>
        </w:tc>
        <w:tc>
          <w:tcPr>
            <w:tcW w:w="639" w:type="dxa"/>
            <w:shd w:val="clear" w:color="000000" w:fill="FFFFFF"/>
            <w:textDirection w:val="lrTb"/>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8" w:type="dxa"/>
            <w:shd w:val="clear" w:color="000000" w:fill="FFFFFF"/>
            <w:vAlign w:val="center"/>
          </w:tcPr>
          <w:p>
            <w:pPr>
              <w:widowControl/>
              <w:jc w:val="center"/>
              <w:rPr>
                <w:rFonts w:ascii="宋体" w:hAnsi="宋体" w:cs="宋体"/>
                <w:b/>
                <w:kern w:val="0"/>
                <w:sz w:val="20"/>
              </w:rPr>
            </w:pPr>
          </w:p>
        </w:tc>
        <w:tc>
          <w:tcPr>
            <w:tcW w:w="1611" w:type="dxa"/>
            <w:shd w:val="clear" w:color="000000" w:fill="FFFFFF"/>
            <w:vAlign w:val="center"/>
          </w:tcPr>
          <w:p>
            <w:pPr>
              <w:widowControl/>
              <w:jc w:val="center"/>
              <w:rPr>
                <w:rFonts w:ascii="宋体" w:hAnsi="宋体"/>
                <w:b/>
                <w:bCs/>
                <w:kern w:val="0"/>
                <w:szCs w:val="21"/>
              </w:rPr>
            </w:pPr>
          </w:p>
        </w:tc>
        <w:tc>
          <w:tcPr>
            <w:tcW w:w="1128" w:type="dxa"/>
            <w:shd w:val="clear" w:color="000000" w:fill="FFFFFF"/>
            <w:vAlign w:val="center"/>
          </w:tcPr>
          <w:p>
            <w:pPr>
              <w:widowControl/>
              <w:snapToGrid w:val="0"/>
              <w:rPr>
                <w:rFonts w:ascii="宋体" w:hAnsi="宋体"/>
                <w:b/>
                <w:bCs/>
                <w:kern w:val="0"/>
                <w:sz w:val="22"/>
              </w:rPr>
            </w:pPr>
          </w:p>
        </w:tc>
        <w:tc>
          <w:tcPr>
            <w:tcW w:w="528" w:type="dxa"/>
            <w:shd w:val="clear" w:color="000000" w:fill="FFFFFF"/>
            <w:vAlign w:val="center"/>
          </w:tcPr>
          <w:p>
            <w:pPr>
              <w:widowControl/>
              <w:snapToGrid w:val="0"/>
              <w:jc w:val="center"/>
              <w:rPr>
                <w:rFonts w:ascii="宋体" w:hAnsi="宋体" w:cs="宋体"/>
                <w:kern w:val="0"/>
                <w:sz w:val="20"/>
              </w:rPr>
            </w:pPr>
          </w:p>
        </w:tc>
        <w:tc>
          <w:tcPr>
            <w:tcW w:w="708" w:type="dxa"/>
            <w:shd w:val="clear" w:color="000000" w:fill="FFFFFF"/>
            <w:vAlign w:val="center"/>
          </w:tcPr>
          <w:p>
            <w:pPr>
              <w:widowControl/>
              <w:snapToGrid w:val="0"/>
              <w:jc w:val="center"/>
              <w:rPr>
                <w:rFonts w:ascii="宋体" w:hAnsi="宋体" w:cs="宋体"/>
                <w:b/>
                <w:bCs/>
                <w:kern w:val="0"/>
                <w:sz w:val="20"/>
              </w:rPr>
            </w:pPr>
          </w:p>
        </w:tc>
        <w:tc>
          <w:tcPr>
            <w:tcW w:w="396" w:type="dxa"/>
            <w:shd w:val="clear" w:color="000000" w:fill="FFFFFF"/>
            <w:vAlign w:val="center"/>
          </w:tcPr>
          <w:p>
            <w:pPr>
              <w:snapToGrid w:val="0"/>
              <w:jc w:val="center"/>
              <w:rPr>
                <w:rFonts w:ascii="宋体" w:hAnsi="宋体"/>
                <w:sz w:val="20"/>
              </w:rPr>
            </w:pPr>
          </w:p>
        </w:tc>
        <w:tc>
          <w:tcPr>
            <w:tcW w:w="516" w:type="dxa"/>
            <w:shd w:val="clear" w:color="000000" w:fill="FFFFFF"/>
            <w:vAlign w:val="center"/>
          </w:tcPr>
          <w:p>
            <w:pPr>
              <w:widowControl/>
              <w:snapToGrid w:val="0"/>
              <w:rPr>
                <w:rFonts w:ascii="宋体" w:hAnsi="宋体"/>
                <w:b/>
                <w:bCs/>
                <w:kern w:val="0"/>
                <w:sz w:val="22"/>
              </w:rPr>
            </w:pPr>
          </w:p>
        </w:tc>
        <w:tc>
          <w:tcPr>
            <w:tcW w:w="897" w:type="dxa"/>
            <w:shd w:val="clear" w:color="000000" w:fill="FFFFFF"/>
            <w:vAlign w:val="center"/>
          </w:tcPr>
          <w:p>
            <w:pPr>
              <w:widowControl/>
              <w:jc w:val="center"/>
              <w:rPr>
                <w:rFonts w:ascii="宋体" w:hAnsi="宋体" w:cs="宋体"/>
                <w:b/>
                <w:bCs/>
                <w:kern w:val="0"/>
                <w:sz w:val="20"/>
              </w:rPr>
            </w:pPr>
          </w:p>
        </w:tc>
        <w:tc>
          <w:tcPr>
            <w:tcW w:w="897" w:type="dxa"/>
            <w:shd w:val="clear" w:color="000000" w:fill="FFFFFF"/>
            <w:textDirection w:val="lrTb"/>
            <w:vAlign w:val="center"/>
          </w:tcPr>
          <w:p>
            <w:pPr>
              <w:widowControl/>
              <w:jc w:val="left"/>
              <w:rPr>
                <w:rFonts w:ascii="宋体" w:hAnsi="宋体" w:cs="宋体"/>
                <w:bCs/>
                <w:kern w:val="0"/>
                <w:sz w:val="20"/>
              </w:rPr>
            </w:pPr>
          </w:p>
        </w:tc>
        <w:tc>
          <w:tcPr>
            <w:tcW w:w="897" w:type="dxa"/>
            <w:shd w:val="clear" w:color="000000" w:fill="FFFFFF"/>
            <w:textDirection w:val="lrTb"/>
            <w:vAlign w:val="top"/>
          </w:tcPr>
          <w:p>
            <w:pPr>
              <w:widowControl/>
              <w:jc w:val="center"/>
              <w:rPr>
                <w:rFonts w:ascii="宋体" w:hAnsi="宋体" w:cs="宋体"/>
                <w:b/>
                <w:bCs/>
                <w:kern w:val="0"/>
                <w:sz w:val="20"/>
              </w:rPr>
            </w:pPr>
          </w:p>
        </w:tc>
        <w:tc>
          <w:tcPr>
            <w:tcW w:w="900" w:type="dxa"/>
            <w:shd w:val="clear" w:color="000000" w:fill="FFFFFF"/>
            <w:textDirection w:val="lrTb"/>
            <w:vAlign w:val="top"/>
          </w:tcPr>
          <w:p>
            <w:pPr>
              <w:widowControl/>
              <w:jc w:val="center"/>
              <w:rPr>
                <w:rFonts w:ascii="宋体" w:hAnsi="宋体" w:cs="宋体"/>
                <w:b/>
                <w:bCs/>
                <w:kern w:val="0"/>
                <w:sz w:val="20"/>
              </w:rPr>
            </w:pPr>
          </w:p>
        </w:tc>
        <w:tc>
          <w:tcPr>
            <w:tcW w:w="639" w:type="dxa"/>
            <w:shd w:val="clear" w:color="000000" w:fill="FFFFFF"/>
            <w:textDirection w:val="lrTb"/>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8" w:type="dxa"/>
            <w:shd w:val="clear" w:color="000000" w:fill="FFFFFF"/>
            <w:vAlign w:val="center"/>
          </w:tcPr>
          <w:p>
            <w:pPr>
              <w:widowControl/>
              <w:jc w:val="left"/>
              <w:rPr>
                <w:rFonts w:ascii="宋体" w:hAnsi="宋体" w:cs="宋体"/>
                <w:b/>
                <w:bCs/>
                <w:kern w:val="0"/>
                <w:sz w:val="20"/>
              </w:rPr>
            </w:pPr>
          </w:p>
        </w:tc>
        <w:tc>
          <w:tcPr>
            <w:tcW w:w="1611" w:type="dxa"/>
            <w:shd w:val="clear" w:color="000000" w:fill="FFFFFF"/>
            <w:vAlign w:val="center"/>
          </w:tcPr>
          <w:p>
            <w:pPr>
              <w:widowControl/>
              <w:snapToGrid w:val="0"/>
              <w:rPr>
                <w:rFonts w:ascii="宋体" w:hAnsi="宋体" w:cs="宋体"/>
                <w:kern w:val="0"/>
                <w:sz w:val="22"/>
              </w:rPr>
            </w:pPr>
          </w:p>
        </w:tc>
        <w:tc>
          <w:tcPr>
            <w:tcW w:w="1128" w:type="dxa"/>
            <w:shd w:val="clear" w:color="000000" w:fill="FFFFFF"/>
            <w:vAlign w:val="center"/>
          </w:tcPr>
          <w:p>
            <w:pPr>
              <w:widowControl/>
              <w:snapToGrid w:val="0"/>
              <w:rPr>
                <w:rFonts w:ascii="宋体" w:hAnsi="宋体"/>
                <w:b/>
                <w:bCs/>
                <w:kern w:val="0"/>
                <w:sz w:val="22"/>
              </w:rPr>
            </w:pPr>
          </w:p>
        </w:tc>
        <w:tc>
          <w:tcPr>
            <w:tcW w:w="528" w:type="dxa"/>
            <w:shd w:val="clear" w:color="000000" w:fill="FFFFFF"/>
            <w:vAlign w:val="center"/>
          </w:tcPr>
          <w:p>
            <w:pPr>
              <w:widowControl/>
              <w:snapToGrid w:val="0"/>
              <w:jc w:val="center"/>
              <w:rPr>
                <w:rFonts w:ascii="宋体" w:hAnsi="宋体" w:cs="宋体"/>
                <w:kern w:val="0"/>
                <w:sz w:val="20"/>
              </w:rPr>
            </w:pPr>
          </w:p>
        </w:tc>
        <w:tc>
          <w:tcPr>
            <w:tcW w:w="708" w:type="dxa"/>
            <w:shd w:val="clear" w:color="000000" w:fill="FFFFFF"/>
            <w:vAlign w:val="center"/>
          </w:tcPr>
          <w:p>
            <w:pPr>
              <w:widowControl/>
              <w:snapToGrid w:val="0"/>
              <w:jc w:val="center"/>
              <w:rPr>
                <w:rFonts w:ascii="宋体" w:hAnsi="宋体" w:cs="宋体"/>
                <w:b/>
                <w:bCs/>
                <w:kern w:val="0"/>
                <w:sz w:val="20"/>
              </w:rPr>
            </w:pPr>
          </w:p>
        </w:tc>
        <w:tc>
          <w:tcPr>
            <w:tcW w:w="396" w:type="dxa"/>
            <w:shd w:val="clear" w:color="000000" w:fill="FFFFFF"/>
            <w:vAlign w:val="center"/>
          </w:tcPr>
          <w:p>
            <w:pPr>
              <w:snapToGrid w:val="0"/>
              <w:jc w:val="center"/>
              <w:rPr>
                <w:rFonts w:ascii="宋体" w:hAnsi="宋体"/>
                <w:sz w:val="20"/>
              </w:rPr>
            </w:pPr>
          </w:p>
        </w:tc>
        <w:tc>
          <w:tcPr>
            <w:tcW w:w="516" w:type="dxa"/>
            <w:shd w:val="clear" w:color="000000" w:fill="FFFFFF"/>
            <w:vAlign w:val="center"/>
          </w:tcPr>
          <w:p>
            <w:pPr>
              <w:widowControl/>
              <w:snapToGrid w:val="0"/>
              <w:rPr>
                <w:rFonts w:ascii="宋体" w:hAnsi="宋体"/>
                <w:b/>
                <w:bCs/>
                <w:kern w:val="0"/>
                <w:sz w:val="22"/>
              </w:rPr>
            </w:pPr>
          </w:p>
        </w:tc>
        <w:tc>
          <w:tcPr>
            <w:tcW w:w="897" w:type="dxa"/>
            <w:shd w:val="clear" w:color="000000" w:fill="FFFFFF"/>
            <w:vAlign w:val="center"/>
          </w:tcPr>
          <w:p>
            <w:pPr>
              <w:widowControl/>
              <w:jc w:val="center"/>
              <w:rPr>
                <w:rFonts w:ascii="宋体" w:hAnsi="宋体" w:cs="宋体"/>
                <w:b/>
                <w:bCs/>
                <w:kern w:val="0"/>
                <w:sz w:val="20"/>
              </w:rPr>
            </w:pPr>
          </w:p>
        </w:tc>
        <w:tc>
          <w:tcPr>
            <w:tcW w:w="897" w:type="dxa"/>
            <w:shd w:val="clear" w:color="000000" w:fill="FFFFFF"/>
            <w:textDirection w:val="lrTb"/>
            <w:vAlign w:val="center"/>
          </w:tcPr>
          <w:p>
            <w:pPr>
              <w:widowControl/>
              <w:jc w:val="left"/>
              <w:rPr>
                <w:rFonts w:ascii="宋体" w:hAnsi="宋体" w:cs="宋体"/>
                <w:bCs/>
                <w:kern w:val="0"/>
                <w:sz w:val="20"/>
              </w:rPr>
            </w:pPr>
          </w:p>
        </w:tc>
        <w:tc>
          <w:tcPr>
            <w:tcW w:w="897" w:type="dxa"/>
            <w:shd w:val="clear" w:color="000000" w:fill="FFFFFF"/>
            <w:textDirection w:val="lrTb"/>
            <w:vAlign w:val="top"/>
          </w:tcPr>
          <w:p>
            <w:pPr>
              <w:widowControl/>
              <w:jc w:val="center"/>
              <w:rPr>
                <w:rFonts w:ascii="宋体" w:hAnsi="宋体" w:cs="宋体"/>
                <w:b/>
                <w:bCs/>
                <w:kern w:val="0"/>
                <w:sz w:val="20"/>
              </w:rPr>
            </w:pPr>
          </w:p>
        </w:tc>
        <w:tc>
          <w:tcPr>
            <w:tcW w:w="900" w:type="dxa"/>
            <w:shd w:val="clear" w:color="000000" w:fill="FFFFFF"/>
            <w:textDirection w:val="lrTb"/>
            <w:vAlign w:val="top"/>
          </w:tcPr>
          <w:p>
            <w:pPr>
              <w:widowControl/>
              <w:jc w:val="center"/>
              <w:rPr>
                <w:rFonts w:ascii="宋体" w:hAnsi="宋体" w:cs="宋体"/>
                <w:b/>
                <w:bCs/>
                <w:kern w:val="0"/>
                <w:sz w:val="20"/>
              </w:rPr>
            </w:pPr>
          </w:p>
        </w:tc>
        <w:tc>
          <w:tcPr>
            <w:tcW w:w="639" w:type="dxa"/>
            <w:shd w:val="clear" w:color="000000" w:fill="FFFFFF"/>
            <w:textDirection w:val="lrTb"/>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8" w:type="dxa"/>
            <w:shd w:val="clear" w:color="000000" w:fill="FFFFFF"/>
            <w:vAlign w:val="center"/>
          </w:tcPr>
          <w:p>
            <w:pPr>
              <w:widowControl/>
              <w:jc w:val="left"/>
              <w:rPr>
                <w:rFonts w:ascii="宋体" w:hAnsi="宋体" w:cs="宋体"/>
                <w:b/>
                <w:bCs/>
                <w:kern w:val="0"/>
                <w:sz w:val="20"/>
              </w:rPr>
            </w:pPr>
          </w:p>
        </w:tc>
        <w:tc>
          <w:tcPr>
            <w:tcW w:w="1611" w:type="dxa"/>
            <w:shd w:val="clear" w:color="000000" w:fill="FFFFFF"/>
            <w:vAlign w:val="center"/>
          </w:tcPr>
          <w:p>
            <w:pPr>
              <w:widowControl/>
              <w:snapToGrid w:val="0"/>
              <w:rPr>
                <w:rFonts w:ascii="宋体" w:hAnsi="宋体" w:cs="宋体"/>
                <w:kern w:val="0"/>
                <w:sz w:val="22"/>
              </w:rPr>
            </w:pPr>
          </w:p>
        </w:tc>
        <w:tc>
          <w:tcPr>
            <w:tcW w:w="1128" w:type="dxa"/>
            <w:shd w:val="clear" w:color="000000" w:fill="FFFFFF"/>
            <w:vAlign w:val="center"/>
          </w:tcPr>
          <w:p>
            <w:pPr>
              <w:widowControl/>
              <w:snapToGrid w:val="0"/>
              <w:rPr>
                <w:rFonts w:ascii="宋体" w:hAnsi="宋体"/>
                <w:b/>
                <w:bCs/>
                <w:kern w:val="0"/>
                <w:sz w:val="22"/>
              </w:rPr>
            </w:pPr>
          </w:p>
        </w:tc>
        <w:tc>
          <w:tcPr>
            <w:tcW w:w="528" w:type="dxa"/>
            <w:shd w:val="clear" w:color="000000" w:fill="FFFFFF"/>
            <w:vAlign w:val="center"/>
          </w:tcPr>
          <w:p>
            <w:pPr>
              <w:widowControl/>
              <w:snapToGrid w:val="0"/>
              <w:jc w:val="center"/>
              <w:rPr>
                <w:rFonts w:ascii="宋体" w:hAnsi="宋体" w:cs="宋体"/>
                <w:kern w:val="0"/>
                <w:sz w:val="20"/>
              </w:rPr>
            </w:pPr>
          </w:p>
        </w:tc>
        <w:tc>
          <w:tcPr>
            <w:tcW w:w="708" w:type="dxa"/>
            <w:shd w:val="clear" w:color="000000" w:fill="FFFFFF"/>
            <w:vAlign w:val="center"/>
          </w:tcPr>
          <w:p>
            <w:pPr>
              <w:widowControl/>
              <w:snapToGrid w:val="0"/>
              <w:jc w:val="center"/>
              <w:rPr>
                <w:rFonts w:ascii="宋体" w:hAnsi="宋体" w:cs="宋体"/>
                <w:b/>
                <w:bCs/>
                <w:kern w:val="0"/>
                <w:sz w:val="20"/>
              </w:rPr>
            </w:pPr>
          </w:p>
        </w:tc>
        <w:tc>
          <w:tcPr>
            <w:tcW w:w="396" w:type="dxa"/>
            <w:shd w:val="clear" w:color="000000" w:fill="FFFFFF"/>
            <w:vAlign w:val="center"/>
          </w:tcPr>
          <w:p>
            <w:pPr>
              <w:snapToGrid w:val="0"/>
              <w:jc w:val="center"/>
              <w:rPr>
                <w:rFonts w:ascii="宋体" w:hAnsi="宋体"/>
                <w:sz w:val="20"/>
              </w:rPr>
            </w:pPr>
          </w:p>
        </w:tc>
        <w:tc>
          <w:tcPr>
            <w:tcW w:w="516" w:type="dxa"/>
            <w:shd w:val="clear" w:color="000000" w:fill="FFFFFF"/>
            <w:vAlign w:val="center"/>
          </w:tcPr>
          <w:p>
            <w:pPr>
              <w:widowControl/>
              <w:snapToGrid w:val="0"/>
              <w:rPr>
                <w:rFonts w:ascii="宋体" w:hAnsi="宋体"/>
                <w:b/>
                <w:bCs/>
                <w:kern w:val="0"/>
                <w:sz w:val="22"/>
              </w:rPr>
            </w:pPr>
          </w:p>
        </w:tc>
        <w:tc>
          <w:tcPr>
            <w:tcW w:w="897" w:type="dxa"/>
            <w:shd w:val="clear" w:color="000000" w:fill="FFFFFF"/>
            <w:vAlign w:val="center"/>
          </w:tcPr>
          <w:p>
            <w:pPr>
              <w:widowControl/>
              <w:jc w:val="center"/>
              <w:rPr>
                <w:rFonts w:ascii="宋体" w:hAnsi="宋体" w:cs="宋体"/>
                <w:b/>
                <w:bCs/>
                <w:kern w:val="0"/>
                <w:sz w:val="20"/>
              </w:rPr>
            </w:pPr>
          </w:p>
        </w:tc>
        <w:tc>
          <w:tcPr>
            <w:tcW w:w="897" w:type="dxa"/>
            <w:shd w:val="clear" w:color="000000" w:fill="FFFFFF"/>
            <w:textDirection w:val="lrTb"/>
            <w:vAlign w:val="center"/>
          </w:tcPr>
          <w:p>
            <w:pPr>
              <w:widowControl/>
              <w:jc w:val="left"/>
              <w:rPr>
                <w:rFonts w:ascii="宋体" w:hAnsi="宋体" w:cs="宋体"/>
                <w:bCs/>
                <w:kern w:val="0"/>
                <w:sz w:val="20"/>
              </w:rPr>
            </w:pPr>
          </w:p>
        </w:tc>
        <w:tc>
          <w:tcPr>
            <w:tcW w:w="897" w:type="dxa"/>
            <w:shd w:val="clear" w:color="000000" w:fill="FFFFFF"/>
            <w:textDirection w:val="lrTb"/>
            <w:vAlign w:val="top"/>
          </w:tcPr>
          <w:p>
            <w:pPr>
              <w:widowControl/>
              <w:jc w:val="center"/>
              <w:rPr>
                <w:rFonts w:ascii="宋体" w:hAnsi="宋体" w:cs="宋体"/>
                <w:b/>
                <w:bCs/>
                <w:kern w:val="0"/>
                <w:sz w:val="20"/>
              </w:rPr>
            </w:pPr>
          </w:p>
        </w:tc>
        <w:tc>
          <w:tcPr>
            <w:tcW w:w="900" w:type="dxa"/>
            <w:shd w:val="clear" w:color="000000" w:fill="FFFFFF"/>
            <w:textDirection w:val="lrTb"/>
            <w:vAlign w:val="top"/>
          </w:tcPr>
          <w:p>
            <w:pPr>
              <w:widowControl/>
              <w:jc w:val="center"/>
              <w:rPr>
                <w:rFonts w:ascii="宋体" w:hAnsi="宋体" w:cs="宋体"/>
                <w:b/>
                <w:bCs/>
                <w:kern w:val="0"/>
                <w:sz w:val="20"/>
              </w:rPr>
            </w:pPr>
          </w:p>
        </w:tc>
        <w:tc>
          <w:tcPr>
            <w:tcW w:w="639" w:type="dxa"/>
            <w:shd w:val="clear" w:color="000000" w:fill="FFFFFF"/>
            <w:textDirection w:val="lrTb"/>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8" w:type="dxa"/>
            <w:shd w:val="clear" w:color="000000" w:fill="FFFFFF"/>
            <w:vAlign w:val="center"/>
          </w:tcPr>
          <w:p>
            <w:pPr>
              <w:widowControl/>
              <w:jc w:val="left"/>
              <w:rPr>
                <w:rFonts w:ascii="宋体" w:hAnsi="宋体" w:cs="宋体"/>
                <w:b/>
                <w:bCs/>
                <w:kern w:val="0"/>
                <w:sz w:val="20"/>
              </w:rPr>
            </w:pPr>
          </w:p>
        </w:tc>
        <w:tc>
          <w:tcPr>
            <w:tcW w:w="1611" w:type="dxa"/>
            <w:shd w:val="clear" w:color="000000" w:fill="FFFFFF"/>
            <w:vAlign w:val="center"/>
          </w:tcPr>
          <w:p>
            <w:pPr>
              <w:widowControl/>
              <w:snapToGrid w:val="0"/>
              <w:rPr>
                <w:rFonts w:ascii="宋体" w:hAnsi="宋体" w:cs="宋体"/>
                <w:kern w:val="0"/>
                <w:sz w:val="22"/>
              </w:rPr>
            </w:pPr>
          </w:p>
        </w:tc>
        <w:tc>
          <w:tcPr>
            <w:tcW w:w="1128" w:type="dxa"/>
            <w:shd w:val="clear" w:color="000000" w:fill="FFFFFF"/>
            <w:vAlign w:val="center"/>
          </w:tcPr>
          <w:p>
            <w:pPr>
              <w:widowControl/>
              <w:snapToGrid w:val="0"/>
              <w:rPr>
                <w:rFonts w:ascii="宋体" w:hAnsi="宋体"/>
                <w:b/>
                <w:bCs/>
                <w:kern w:val="0"/>
                <w:sz w:val="22"/>
              </w:rPr>
            </w:pPr>
          </w:p>
        </w:tc>
        <w:tc>
          <w:tcPr>
            <w:tcW w:w="528" w:type="dxa"/>
            <w:shd w:val="clear" w:color="000000" w:fill="FFFFFF"/>
            <w:vAlign w:val="center"/>
          </w:tcPr>
          <w:p>
            <w:pPr>
              <w:widowControl/>
              <w:snapToGrid w:val="0"/>
              <w:jc w:val="center"/>
              <w:rPr>
                <w:rFonts w:ascii="宋体" w:hAnsi="宋体" w:cs="宋体"/>
                <w:kern w:val="0"/>
                <w:sz w:val="20"/>
              </w:rPr>
            </w:pPr>
          </w:p>
        </w:tc>
        <w:tc>
          <w:tcPr>
            <w:tcW w:w="708" w:type="dxa"/>
            <w:shd w:val="clear" w:color="000000" w:fill="FFFFFF"/>
            <w:vAlign w:val="center"/>
          </w:tcPr>
          <w:p>
            <w:pPr>
              <w:widowControl/>
              <w:snapToGrid w:val="0"/>
              <w:jc w:val="center"/>
              <w:rPr>
                <w:rFonts w:ascii="宋体" w:hAnsi="宋体" w:cs="宋体"/>
                <w:b/>
                <w:bCs/>
                <w:kern w:val="0"/>
                <w:sz w:val="20"/>
              </w:rPr>
            </w:pPr>
          </w:p>
        </w:tc>
        <w:tc>
          <w:tcPr>
            <w:tcW w:w="396" w:type="dxa"/>
            <w:shd w:val="clear" w:color="000000" w:fill="FFFFFF"/>
            <w:vAlign w:val="center"/>
          </w:tcPr>
          <w:p>
            <w:pPr>
              <w:snapToGrid w:val="0"/>
              <w:jc w:val="center"/>
              <w:rPr>
                <w:rFonts w:ascii="宋体" w:hAnsi="宋体"/>
                <w:sz w:val="20"/>
              </w:rPr>
            </w:pPr>
          </w:p>
        </w:tc>
        <w:tc>
          <w:tcPr>
            <w:tcW w:w="516" w:type="dxa"/>
            <w:shd w:val="clear" w:color="000000" w:fill="FFFFFF"/>
            <w:vAlign w:val="center"/>
          </w:tcPr>
          <w:p>
            <w:pPr>
              <w:widowControl/>
              <w:snapToGrid w:val="0"/>
              <w:rPr>
                <w:rFonts w:ascii="宋体" w:hAnsi="宋体"/>
                <w:b/>
                <w:bCs/>
                <w:kern w:val="0"/>
                <w:sz w:val="22"/>
              </w:rPr>
            </w:pPr>
          </w:p>
        </w:tc>
        <w:tc>
          <w:tcPr>
            <w:tcW w:w="897" w:type="dxa"/>
            <w:shd w:val="clear" w:color="000000" w:fill="FFFFFF"/>
            <w:vAlign w:val="center"/>
          </w:tcPr>
          <w:p>
            <w:pPr>
              <w:widowControl/>
              <w:jc w:val="center"/>
              <w:rPr>
                <w:rFonts w:ascii="宋体" w:hAnsi="宋体" w:cs="宋体"/>
                <w:b/>
                <w:bCs/>
                <w:kern w:val="0"/>
                <w:sz w:val="20"/>
              </w:rPr>
            </w:pPr>
          </w:p>
        </w:tc>
        <w:tc>
          <w:tcPr>
            <w:tcW w:w="897" w:type="dxa"/>
            <w:shd w:val="clear" w:color="000000" w:fill="FFFFFF"/>
            <w:textDirection w:val="lrTb"/>
            <w:vAlign w:val="center"/>
          </w:tcPr>
          <w:p>
            <w:pPr>
              <w:widowControl/>
              <w:jc w:val="left"/>
              <w:rPr>
                <w:rFonts w:ascii="宋体" w:hAnsi="宋体" w:cs="宋体"/>
                <w:bCs/>
                <w:kern w:val="0"/>
                <w:sz w:val="20"/>
              </w:rPr>
            </w:pPr>
          </w:p>
        </w:tc>
        <w:tc>
          <w:tcPr>
            <w:tcW w:w="897" w:type="dxa"/>
            <w:shd w:val="clear" w:color="000000" w:fill="FFFFFF"/>
            <w:textDirection w:val="lrTb"/>
            <w:vAlign w:val="top"/>
          </w:tcPr>
          <w:p>
            <w:pPr>
              <w:widowControl/>
              <w:jc w:val="center"/>
              <w:rPr>
                <w:rFonts w:ascii="宋体" w:hAnsi="宋体" w:cs="宋体"/>
                <w:b/>
                <w:bCs/>
                <w:kern w:val="0"/>
                <w:sz w:val="20"/>
              </w:rPr>
            </w:pPr>
          </w:p>
        </w:tc>
        <w:tc>
          <w:tcPr>
            <w:tcW w:w="900" w:type="dxa"/>
            <w:shd w:val="clear" w:color="000000" w:fill="FFFFFF"/>
            <w:textDirection w:val="lrTb"/>
            <w:vAlign w:val="top"/>
          </w:tcPr>
          <w:p>
            <w:pPr>
              <w:widowControl/>
              <w:jc w:val="center"/>
              <w:rPr>
                <w:rFonts w:ascii="宋体" w:hAnsi="宋体" w:cs="宋体"/>
                <w:b/>
                <w:bCs/>
                <w:kern w:val="0"/>
                <w:sz w:val="20"/>
              </w:rPr>
            </w:pPr>
          </w:p>
        </w:tc>
        <w:tc>
          <w:tcPr>
            <w:tcW w:w="639" w:type="dxa"/>
            <w:shd w:val="clear" w:color="000000" w:fill="FFFFFF"/>
            <w:textDirection w:val="lrTb"/>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3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897" w:type="dxa"/>
            <w:textDirection w:val="lrTb"/>
            <w:vAlign w:val="center"/>
          </w:tcPr>
          <w:p>
            <w:pPr>
              <w:widowControl/>
              <w:jc w:val="center"/>
              <w:rPr>
                <w:rFonts w:ascii="宋体" w:hAnsi="宋体" w:cs="宋体"/>
                <w:kern w:val="0"/>
                <w:sz w:val="20"/>
              </w:rPr>
            </w:pPr>
            <w:r>
              <w:rPr>
                <w:rFonts w:hint="eastAsia" w:ascii="宋体" w:hAnsi="宋体" w:cs="宋体"/>
                <w:kern w:val="0"/>
                <w:sz w:val="20"/>
              </w:rPr>
              <w:t>　　</w:t>
            </w:r>
          </w:p>
        </w:tc>
        <w:tc>
          <w:tcPr>
            <w:tcW w:w="897" w:type="dxa"/>
            <w:textDirection w:val="lrTb"/>
            <w:vAlign w:val="top"/>
          </w:tcPr>
          <w:p>
            <w:pPr>
              <w:widowControl/>
              <w:jc w:val="center"/>
              <w:rPr>
                <w:rFonts w:ascii="宋体" w:hAnsi="宋体" w:cs="宋体"/>
                <w:kern w:val="0"/>
                <w:sz w:val="20"/>
              </w:rPr>
            </w:pPr>
          </w:p>
        </w:tc>
        <w:tc>
          <w:tcPr>
            <w:tcW w:w="900" w:type="dxa"/>
            <w:textDirection w:val="lrTb"/>
            <w:vAlign w:val="top"/>
          </w:tcPr>
          <w:p>
            <w:pPr>
              <w:widowControl/>
              <w:jc w:val="center"/>
              <w:rPr>
                <w:rFonts w:hint="eastAsia" w:ascii="宋体" w:hAnsi="宋体" w:cs="宋体"/>
                <w:kern w:val="0"/>
                <w:sz w:val="20"/>
              </w:rPr>
            </w:pPr>
          </w:p>
        </w:tc>
        <w:tc>
          <w:tcPr>
            <w:tcW w:w="639" w:type="dxa"/>
            <w:textDirection w:val="lrTb"/>
            <w:vAlign w:val="center"/>
          </w:tcPr>
          <w:p>
            <w:pPr>
              <w:widowControl/>
              <w:jc w:val="center"/>
              <w:rPr>
                <w:rFonts w:hint="eastAsia"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注：投标人</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4.4质保期内备品备件分项报价表</w:t>
      </w:r>
    </w:p>
    <w:tbl>
      <w:tblPr>
        <w:tblStyle w:val="59"/>
        <w:tblpPr w:leftFromText="180" w:rightFromText="180" w:vertAnchor="text" w:tblpY="1"/>
        <w:tblOverlap w:val="never"/>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756"/>
        <w:gridCol w:w="756"/>
        <w:gridCol w:w="756"/>
        <w:gridCol w:w="756"/>
        <w:gridCol w:w="756"/>
        <w:gridCol w:w="759"/>
        <w:gridCol w:w="1021"/>
        <w:gridCol w:w="1021"/>
        <w:gridCol w:w="1021"/>
        <w:gridCol w:w="1022"/>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28" w:type="dxa"/>
            <w:vMerge w:val="restart"/>
            <w:shd w:val="clear" w:color="000000" w:fill="FFFFFF"/>
            <w:textDirection w:val="lrTb"/>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756" w:type="dxa"/>
            <w:vMerge w:val="restart"/>
            <w:shd w:val="clear" w:color="000000" w:fill="FFFFFF"/>
            <w:textDirection w:val="lrTb"/>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756" w:type="dxa"/>
            <w:vMerge w:val="restart"/>
            <w:shd w:val="clear" w:color="000000" w:fill="FFFFFF"/>
            <w:textDirection w:val="lrTb"/>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56" w:type="dxa"/>
            <w:vMerge w:val="restart"/>
            <w:shd w:val="clear" w:color="000000" w:fill="FFFFFF"/>
            <w:textDirection w:val="lrTb"/>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6" w:type="dxa"/>
            <w:vMerge w:val="restart"/>
            <w:shd w:val="clear" w:color="000000" w:fill="FFFFFF"/>
            <w:textDirection w:val="lrTb"/>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56" w:type="dxa"/>
            <w:vMerge w:val="restart"/>
            <w:shd w:val="clear" w:color="000000" w:fill="FFFFFF"/>
            <w:textDirection w:val="lrTb"/>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59" w:type="dxa"/>
            <w:vMerge w:val="restart"/>
            <w:shd w:val="clear" w:color="000000" w:fill="FFFFFF"/>
            <w:textDirection w:val="lrTb"/>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021" w:type="dxa"/>
            <w:shd w:val="clear" w:color="000000" w:fill="FFFFFF"/>
            <w:textDirection w:val="lrTb"/>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021" w:type="dxa"/>
            <w:shd w:val="clear" w:color="000000" w:fill="FFFFFF"/>
            <w:textDirection w:val="lrTb"/>
            <w:vAlign w:val="center"/>
          </w:tcPr>
          <w:p>
            <w:pPr>
              <w:widowControl/>
              <w:jc w:val="center"/>
              <w:rPr>
                <w:rFonts w:ascii="宋体" w:hAnsi="宋体" w:cs="宋体"/>
                <w:b/>
                <w:bCs/>
                <w:kern w:val="0"/>
                <w:sz w:val="20"/>
              </w:rPr>
            </w:pPr>
            <w:r>
              <w:rPr>
                <w:rFonts w:hint="eastAsia" w:ascii="宋体" w:hAnsi="宋体" w:cs="宋体"/>
                <w:b/>
                <w:bCs/>
                <w:kern w:val="0"/>
                <w:sz w:val="20"/>
              </w:rPr>
              <w:t xml:space="preserve">含增值税合  价 </w:t>
            </w:r>
          </w:p>
        </w:tc>
        <w:tc>
          <w:tcPr>
            <w:tcW w:w="1021" w:type="dxa"/>
            <w:shd w:val="clear" w:color="000000" w:fill="FFFFFF"/>
            <w:textDirection w:val="lrTb"/>
            <w:vAlign w:val="top"/>
          </w:tcPr>
          <w:p>
            <w:pPr>
              <w:widowControl/>
              <w:jc w:val="center"/>
              <w:rPr>
                <w:rFonts w:ascii="宋体" w:hAnsi="宋体" w:cs="宋体"/>
                <w:b/>
                <w:bCs/>
                <w:kern w:val="0"/>
                <w:sz w:val="20"/>
              </w:rPr>
            </w:pPr>
            <w:r>
              <w:rPr>
                <w:rFonts w:hint="eastAsia" w:ascii="宋体" w:hAnsi="宋体" w:cs="宋体"/>
                <w:b/>
                <w:bCs/>
                <w:kern w:val="0"/>
                <w:sz w:val="20"/>
              </w:rPr>
              <w:t>增值税税额</w:t>
            </w:r>
          </w:p>
        </w:tc>
        <w:tc>
          <w:tcPr>
            <w:tcW w:w="1022" w:type="dxa"/>
            <w:shd w:val="clear" w:color="000000" w:fill="FFFFFF"/>
            <w:textDirection w:val="lrTb"/>
            <w:vAlign w:val="top"/>
          </w:tcPr>
          <w:p>
            <w:pPr>
              <w:widowControl/>
              <w:jc w:val="center"/>
              <w:rPr>
                <w:rFonts w:hint="eastAsia" w:ascii="宋体" w:hAnsi="宋体" w:cs="宋体"/>
                <w:b/>
                <w:bCs/>
                <w:kern w:val="0"/>
                <w:sz w:val="20"/>
              </w:rPr>
            </w:pPr>
            <w:r>
              <w:rPr>
                <w:rFonts w:hint="eastAsia" w:ascii="宋体" w:hAnsi="宋体" w:cs="宋体"/>
                <w:b/>
                <w:bCs/>
                <w:kern w:val="0"/>
                <w:sz w:val="20"/>
              </w:rPr>
              <w:t>不含增值税合价</w:t>
            </w:r>
          </w:p>
        </w:tc>
        <w:tc>
          <w:tcPr>
            <w:tcW w:w="493" w:type="dxa"/>
            <w:vMerge w:val="restart"/>
            <w:shd w:val="clear" w:color="000000" w:fill="FFFFFF"/>
            <w:textDirection w:val="lrTb"/>
            <w:vAlign w:val="center"/>
          </w:tcPr>
          <w:p>
            <w:pPr>
              <w:widowControl/>
              <w:jc w:val="center"/>
              <w:rPr>
                <w:rFonts w:hint="eastAsia"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8" w:type="dxa"/>
            <w:vMerge w:val="continue"/>
            <w:shd w:val="clear" w:color="auto" w:fill="auto"/>
            <w:textDirection w:val="lrTb"/>
            <w:vAlign w:val="center"/>
          </w:tcPr>
          <w:p>
            <w:pPr>
              <w:widowControl/>
              <w:jc w:val="center"/>
              <w:rPr>
                <w:rFonts w:ascii="宋体" w:hAnsi="宋体" w:cs="宋体"/>
                <w:b/>
                <w:bCs/>
                <w:kern w:val="0"/>
                <w:sz w:val="20"/>
              </w:rPr>
            </w:pPr>
          </w:p>
        </w:tc>
        <w:tc>
          <w:tcPr>
            <w:tcW w:w="756" w:type="dxa"/>
            <w:vMerge w:val="continue"/>
            <w:shd w:val="clear" w:color="auto" w:fill="auto"/>
            <w:textDirection w:val="lrTb"/>
            <w:vAlign w:val="center"/>
          </w:tcPr>
          <w:p>
            <w:pPr>
              <w:widowControl/>
              <w:jc w:val="left"/>
              <w:rPr>
                <w:rFonts w:ascii="宋体" w:hAnsi="宋体" w:cs="宋体"/>
                <w:b/>
                <w:bCs/>
                <w:kern w:val="0"/>
                <w:sz w:val="20"/>
              </w:rPr>
            </w:pPr>
          </w:p>
        </w:tc>
        <w:tc>
          <w:tcPr>
            <w:tcW w:w="756" w:type="dxa"/>
            <w:vMerge w:val="continue"/>
            <w:shd w:val="clear" w:color="auto" w:fill="auto"/>
            <w:textDirection w:val="lrTb"/>
            <w:vAlign w:val="center"/>
          </w:tcPr>
          <w:p>
            <w:pPr>
              <w:widowControl/>
              <w:jc w:val="left"/>
              <w:rPr>
                <w:rFonts w:ascii="宋体" w:hAnsi="宋体" w:cs="宋体"/>
                <w:b/>
                <w:bCs/>
                <w:kern w:val="0"/>
                <w:sz w:val="20"/>
              </w:rPr>
            </w:pPr>
          </w:p>
        </w:tc>
        <w:tc>
          <w:tcPr>
            <w:tcW w:w="756" w:type="dxa"/>
            <w:vMerge w:val="continue"/>
            <w:shd w:val="clear" w:color="auto" w:fill="auto"/>
            <w:textDirection w:val="lrTb"/>
            <w:vAlign w:val="center"/>
          </w:tcPr>
          <w:p>
            <w:pPr>
              <w:widowControl/>
              <w:jc w:val="left"/>
              <w:rPr>
                <w:rFonts w:ascii="宋体" w:hAnsi="宋体" w:cs="宋体"/>
                <w:b/>
                <w:bCs/>
                <w:kern w:val="0"/>
                <w:sz w:val="20"/>
              </w:rPr>
            </w:pPr>
          </w:p>
        </w:tc>
        <w:tc>
          <w:tcPr>
            <w:tcW w:w="756" w:type="dxa"/>
            <w:vMerge w:val="continue"/>
            <w:shd w:val="clear" w:color="auto" w:fill="auto"/>
            <w:textDirection w:val="lrTb"/>
            <w:vAlign w:val="center"/>
          </w:tcPr>
          <w:p>
            <w:pPr>
              <w:widowControl/>
              <w:jc w:val="left"/>
              <w:rPr>
                <w:rFonts w:ascii="宋体" w:hAnsi="宋体" w:cs="宋体"/>
                <w:b/>
                <w:bCs/>
                <w:kern w:val="0"/>
                <w:sz w:val="20"/>
              </w:rPr>
            </w:pPr>
          </w:p>
        </w:tc>
        <w:tc>
          <w:tcPr>
            <w:tcW w:w="756" w:type="dxa"/>
            <w:vMerge w:val="continue"/>
            <w:shd w:val="clear" w:color="auto" w:fill="auto"/>
            <w:textDirection w:val="lrTb"/>
            <w:vAlign w:val="center"/>
          </w:tcPr>
          <w:p>
            <w:pPr>
              <w:widowControl/>
              <w:jc w:val="left"/>
              <w:rPr>
                <w:rFonts w:ascii="宋体" w:hAnsi="宋体" w:cs="宋体"/>
                <w:b/>
                <w:bCs/>
                <w:kern w:val="0"/>
                <w:sz w:val="20"/>
              </w:rPr>
            </w:pPr>
          </w:p>
        </w:tc>
        <w:tc>
          <w:tcPr>
            <w:tcW w:w="759" w:type="dxa"/>
            <w:vMerge w:val="continue"/>
            <w:shd w:val="clear" w:color="auto" w:fill="auto"/>
            <w:textDirection w:val="lrTb"/>
            <w:vAlign w:val="center"/>
          </w:tcPr>
          <w:p>
            <w:pPr>
              <w:widowControl/>
              <w:jc w:val="left"/>
              <w:rPr>
                <w:rFonts w:ascii="宋体" w:hAnsi="宋体" w:cs="宋体"/>
                <w:b/>
                <w:bCs/>
                <w:kern w:val="0"/>
                <w:sz w:val="20"/>
              </w:rPr>
            </w:pPr>
          </w:p>
        </w:tc>
        <w:tc>
          <w:tcPr>
            <w:tcW w:w="1021" w:type="dxa"/>
            <w:shd w:val="clear" w:color="000000" w:fill="FFFFFF"/>
            <w:textDirection w:val="lrTb"/>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021" w:type="dxa"/>
            <w:shd w:val="clear" w:color="000000" w:fill="FFFFFF"/>
            <w:textDirection w:val="lrTb"/>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021" w:type="dxa"/>
            <w:textDirection w:val="lrTb"/>
            <w:vAlign w:val="center"/>
          </w:tcPr>
          <w:p>
            <w:pPr>
              <w:widowControl/>
              <w:jc w:val="left"/>
              <w:rPr>
                <w:rFonts w:ascii="宋体" w:hAnsi="宋体" w:cs="宋体"/>
                <w:b/>
                <w:bCs/>
                <w:kern w:val="0"/>
                <w:sz w:val="20"/>
              </w:rPr>
            </w:pPr>
            <w:r>
              <w:rPr>
                <w:rFonts w:hint="eastAsia" w:ascii="宋体" w:hAnsi="宋体" w:cs="宋体"/>
                <w:b/>
                <w:bCs/>
                <w:kern w:val="0"/>
                <w:sz w:val="20"/>
              </w:rPr>
              <w:t>单位(元)</w:t>
            </w:r>
          </w:p>
        </w:tc>
        <w:tc>
          <w:tcPr>
            <w:tcW w:w="1022" w:type="dxa"/>
            <w:textDirection w:val="lrTb"/>
            <w:vAlign w:val="center"/>
          </w:tcPr>
          <w:p>
            <w:pPr>
              <w:widowControl/>
              <w:jc w:val="left"/>
              <w:rPr>
                <w:rFonts w:ascii="宋体" w:hAnsi="宋体" w:cs="宋体"/>
                <w:b/>
                <w:bCs/>
                <w:kern w:val="0"/>
                <w:sz w:val="20"/>
              </w:rPr>
            </w:pPr>
            <w:r>
              <w:rPr>
                <w:rFonts w:hint="eastAsia" w:ascii="宋体" w:hAnsi="宋体" w:cs="宋体"/>
                <w:b/>
                <w:bCs/>
                <w:kern w:val="0"/>
                <w:sz w:val="20"/>
              </w:rPr>
              <w:t>单位(元)</w:t>
            </w:r>
          </w:p>
        </w:tc>
        <w:tc>
          <w:tcPr>
            <w:tcW w:w="493" w:type="dxa"/>
            <w:vMerge w:val="continue"/>
            <w:textDirection w:val="lrTb"/>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8" w:type="dxa"/>
            <w:shd w:val="clear" w:color="000000" w:fill="FFFFFF"/>
            <w:textDirection w:val="lrTb"/>
            <w:vAlign w:val="center"/>
          </w:tcPr>
          <w:p>
            <w:pPr>
              <w:widowControl/>
              <w:jc w:val="center"/>
              <w:rPr>
                <w:rFonts w:ascii="宋体" w:hAnsi="宋体" w:cs="宋体"/>
                <w:bCs/>
                <w:kern w:val="0"/>
                <w:sz w:val="20"/>
              </w:rPr>
            </w:pPr>
          </w:p>
        </w:tc>
        <w:tc>
          <w:tcPr>
            <w:tcW w:w="756" w:type="dxa"/>
            <w:shd w:val="clear" w:color="000000" w:fill="FFFFFF"/>
            <w:textDirection w:val="lrTb"/>
            <w:vAlign w:val="center"/>
          </w:tcPr>
          <w:p>
            <w:pPr>
              <w:widowControl/>
              <w:jc w:val="center"/>
              <w:rPr>
                <w:rFonts w:ascii="宋体" w:hAnsi="宋体" w:cs="宋体"/>
                <w:b/>
                <w:bCs/>
                <w:kern w:val="0"/>
                <w:sz w:val="20"/>
              </w:rPr>
            </w:pPr>
          </w:p>
        </w:tc>
        <w:tc>
          <w:tcPr>
            <w:tcW w:w="756" w:type="dxa"/>
            <w:shd w:val="clear" w:color="000000" w:fill="FFFFFF"/>
            <w:textDirection w:val="lrTb"/>
            <w:vAlign w:val="center"/>
          </w:tcPr>
          <w:p>
            <w:pPr>
              <w:widowControl/>
              <w:snapToGrid w:val="0"/>
              <w:rPr>
                <w:rFonts w:ascii="宋体" w:hAnsi="宋体"/>
                <w:b/>
                <w:bCs/>
                <w:kern w:val="0"/>
                <w:sz w:val="22"/>
              </w:rPr>
            </w:pPr>
          </w:p>
        </w:tc>
        <w:tc>
          <w:tcPr>
            <w:tcW w:w="756" w:type="dxa"/>
            <w:shd w:val="clear" w:color="000000" w:fill="FFFFFF"/>
            <w:textDirection w:val="lrTb"/>
            <w:vAlign w:val="center"/>
          </w:tcPr>
          <w:p>
            <w:pPr>
              <w:widowControl/>
              <w:snapToGrid w:val="0"/>
              <w:jc w:val="center"/>
              <w:rPr>
                <w:rFonts w:ascii="宋体" w:hAnsi="宋体" w:cs="宋体"/>
                <w:kern w:val="0"/>
                <w:sz w:val="20"/>
              </w:rPr>
            </w:pPr>
          </w:p>
        </w:tc>
        <w:tc>
          <w:tcPr>
            <w:tcW w:w="756" w:type="dxa"/>
            <w:shd w:val="clear" w:color="000000" w:fill="FFFFFF"/>
            <w:textDirection w:val="lrTb"/>
            <w:vAlign w:val="center"/>
          </w:tcPr>
          <w:p>
            <w:pPr>
              <w:widowControl/>
              <w:snapToGrid w:val="0"/>
              <w:jc w:val="center"/>
              <w:rPr>
                <w:rFonts w:ascii="宋体" w:hAnsi="宋体" w:cs="宋体"/>
                <w:b/>
                <w:bCs/>
                <w:kern w:val="0"/>
                <w:sz w:val="20"/>
              </w:rPr>
            </w:pPr>
          </w:p>
        </w:tc>
        <w:tc>
          <w:tcPr>
            <w:tcW w:w="756" w:type="dxa"/>
            <w:shd w:val="clear" w:color="000000" w:fill="FFFFFF"/>
            <w:textDirection w:val="lrTb"/>
            <w:vAlign w:val="center"/>
          </w:tcPr>
          <w:p>
            <w:pPr>
              <w:snapToGrid w:val="0"/>
              <w:jc w:val="center"/>
              <w:rPr>
                <w:rFonts w:ascii="宋体" w:hAnsi="宋体"/>
                <w:sz w:val="20"/>
              </w:rPr>
            </w:pPr>
          </w:p>
        </w:tc>
        <w:tc>
          <w:tcPr>
            <w:tcW w:w="759" w:type="dxa"/>
            <w:shd w:val="clear" w:color="000000" w:fill="FFFFFF"/>
            <w:textDirection w:val="lrTb"/>
            <w:vAlign w:val="center"/>
          </w:tcPr>
          <w:p>
            <w:pPr>
              <w:widowControl/>
              <w:snapToGrid w:val="0"/>
              <w:rPr>
                <w:rFonts w:ascii="宋体" w:hAnsi="宋体"/>
                <w:b/>
                <w:bCs/>
                <w:kern w:val="0"/>
                <w:sz w:val="22"/>
              </w:rPr>
            </w:pPr>
          </w:p>
        </w:tc>
        <w:tc>
          <w:tcPr>
            <w:tcW w:w="1021" w:type="dxa"/>
            <w:shd w:val="clear" w:color="000000" w:fill="FFFFFF"/>
            <w:textDirection w:val="lrTb"/>
            <w:vAlign w:val="center"/>
          </w:tcPr>
          <w:p>
            <w:pPr>
              <w:widowControl/>
              <w:jc w:val="center"/>
              <w:rPr>
                <w:rFonts w:ascii="宋体" w:hAnsi="宋体" w:cs="宋体"/>
                <w:b/>
                <w:bCs/>
                <w:kern w:val="0"/>
                <w:sz w:val="20"/>
              </w:rPr>
            </w:pPr>
          </w:p>
        </w:tc>
        <w:tc>
          <w:tcPr>
            <w:tcW w:w="1021" w:type="dxa"/>
            <w:shd w:val="clear" w:color="000000" w:fill="FFFFFF"/>
            <w:textDirection w:val="lrTb"/>
            <w:vAlign w:val="center"/>
          </w:tcPr>
          <w:p>
            <w:pPr>
              <w:widowControl/>
              <w:jc w:val="left"/>
              <w:rPr>
                <w:rFonts w:ascii="宋体" w:hAnsi="宋体" w:cs="宋体"/>
                <w:bCs/>
                <w:kern w:val="0"/>
                <w:sz w:val="20"/>
              </w:rPr>
            </w:pPr>
          </w:p>
        </w:tc>
        <w:tc>
          <w:tcPr>
            <w:tcW w:w="1021" w:type="dxa"/>
            <w:shd w:val="clear" w:color="000000" w:fill="FFFFFF"/>
            <w:textDirection w:val="lrTb"/>
            <w:vAlign w:val="top"/>
          </w:tcPr>
          <w:p>
            <w:pPr>
              <w:widowControl/>
              <w:jc w:val="center"/>
              <w:rPr>
                <w:rFonts w:ascii="宋体" w:hAnsi="宋体" w:cs="宋体"/>
                <w:b/>
                <w:bCs/>
                <w:kern w:val="0"/>
                <w:sz w:val="20"/>
              </w:rPr>
            </w:pPr>
          </w:p>
        </w:tc>
        <w:tc>
          <w:tcPr>
            <w:tcW w:w="1022" w:type="dxa"/>
            <w:shd w:val="clear" w:color="000000" w:fill="FFFFFF"/>
            <w:textDirection w:val="lrTb"/>
            <w:vAlign w:val="top"/>
          </w:tcPr>
          <w:p>
            <w:pPr>
              <w:widowControl/>
              <w:jc w:val="center"/>
              <w:rPr>
                <w:rFonts w:ascii="宋体" w:hAnsi="宋体" w:cs="宋体"/>
                <w:b/>
                <w:bCs/>
                <w:kern w:val="0"/>
                <w:sz w:val="20"/>
              </w:rPr>
            </w:pPr>
          </w:p>
        </w:tc>
        <w:tc>
          <w:tcPr>
            <w:tcW w:w="493" w:type="dxa"/>
            <w:shd w:val="clear" w:color="000000" w:fill="FFFFFF"/>
            <w:textDirection w:val="lrTb"/>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8" w:type="dxa"/>
            <w:shd w:val="clear" w:color="000000" w:fill="FFFFFF"/>
            <w:textDirection w:val="lrTb"/>
            <w:vAlign w:val="center"/>
          </w:tcPr>
          <w:p>
            <w:pPr>
              <w:widowControl/>
              <w:jc w:val="left"/>
              <w:rPr>
                <w:rFonts w:ascii="宋体" w:hAnsi="宋体" w:cs="宋体"/>
                <w:b/>
                <w:bCs/>
                <w:kern w:val="0"/>
                <w:sz w:val="20"/>
              </w:rPr>
            </w:pPr>
          </w:p>
        </w:tc>
        <w:tc>
          <w:tcPr>
            <w:tcW w:w="756" w:type="dxa"/>
            <w:shd w:val="clear" w:color="000000" w:fill="FFFFFF"/>
            <w:textDirection w:val="lrTb"/>
            <w:vAlign w:val="center"/>
          </w:tcPr>
          <w:p>
            <w:pPr>
              <w:widowControl/>
              <w:snapToGrid w:val="0"/>
              <w:rPr>
                <w:rFonts w:ascii="宋体" w:hAnsi="宋体" w:cs="宋体"/>
                <w:kern w:val="0"/>
                <w:sz w:val="22"/>
              </w:rPr>
            </w:pPr>
          </w:p>
        </w:tc>
        <w:tc>
          <w:tcPr>
            <w:tcW w:w="756" w:type="dxa"/>
            <w:shd w:val="clear" w:color="000000" w:fill="FFFFFF"/>
            <w:textDirection w:val="lrTb"/>
            <w:vAlign w:val="center"/>
          </w:tcPr>
          <w:p>
            <w:pPr>
              <w:widowControl/>
              <w:snapToGrid w:val="0"/>
              <w:rPr>
                <w:rFonts w:ascii="宋体" w:hAnsi="宋体"/>
                <w:b/>
                <w:bCs/>
                <w:kern w:val="0"/>
                <w:sz w:val="22"/>
              </w:rPr>
            </w:pPr>
          </w:p>
        </w:tc>
        <w:tc>
          <w:tcPr>
            <w:tcW w:w="756" w:type="dxa"/>
            <w:shd w:val="clear" w:color="000000" w:fill="FFFFFF"/>
            <w:textDirection w:val="lrTb"/>
            <w:vAlign w:val="center"/>
          </w:tcPr>
          <w:p>
            <w:pPr>
              <w:widowControl/>
              <w:snapToGrid w:val="0"/>
              <w:jc w:val="center"/>
              <w:rPr>
                <w:rFonts w:ascii="宋体" w:hAnsi="宋体" w:cs="宋体"/>
                <w:kern w:val="0"/>
                <w:sz w:val="20"/>
              </w:rPr>
            </w:pPr>
          </w:p>
        </w:tc>
        <w:tc>
          <w:tcPr>
            <w:tcW w:w="756" w:type="dxa"/>
            <w:shd w:val="clear" w:color="000000" w:fill="FFFFFF"/>
            <w:textDirection w:val="lrTb"/>
            <w:vAlign w:val="center"/>
          </w:tcPr>
          <w:p>
            <w:pPr>
              <w:widowControl/>
              <w:snapToGrid w:val="0"/>
              <w:jc w:val="center"/>
              <w:rPr>
                <w:rFonts w:ascii="宋体" w:hAnsi="宋体" w:cs="宋体"/>
                <w:b/>
                <w:bCs/>
                <w:kern w:val="0"/>
                <w:sz w:val="20"/>
              </w:rPr>
            </w:pPr>
          </w:p>
        </w:tc>
        <w:tc>
          <w:tcPr>
            <w:tcW w:w="756" w:type="dxa"/>
            <w:shd w:val="clear" w:color="000000" w:fill="FFFFFF"/>
            <w:textDirection w:val="lrTb"/>
            <w:vAlign w:val="center"/>
          </w:tcPr>
          <w:p>
            <w:pPr>
              <w:snapToGrid w:val="0"/>
              <w:jc w:val="center"/>
              <w:rPr>
                <w:rFonts w:ascii="宋体" w:hAnsi="宋体"/>
                <w:sz w:val="20"/>
              </w:rPr>
            </w:pPr>
          </w:p>
        </w:tc>
        <w:tc>
          <w:tcPr>
            <w:tcW w:w="759" w:type="dxa"/>
            <w:shd w:val="clear" w:color="000000" w:fill="FFFFFF"/>
            <w:textDirection w:val="lrTb"/>
            <w:vAlign w:val="center"/>
          </w:tcPr>
          <w:p>
            <w:pPr>
              <w:widowControl/>
              <w:snapToGrid w:val="0"/>
              <w:rPr>
                <w:rFonts w:ascii="宋体" w:hAnsi="宋体"/>
                <w:b/>
                <w:bCs/>
                <w:kern w:val="0"/>
                <w:sz w:val="22"/>
              </w:rPr>
            </w:pPr>
          </w:p>
        </w:tc>
        <w:tc>
          <w:tcPr>
            <w:tcW w:w="1021" w:type="dxa"/>
            <w:shd w:val="clear" w:color="000000" w:fill="FFFFFF"/>
            <w:textDirection w:val="lrTb"/>
            <w:vAlign w:val="center"/>
          </w:tcPr>
          <w:p>
            <w:pPr>
              <w:widowControl/>
              <w:jc w:val="center"/>
              <w:rPr>
                <w:rFonts w:ascii="宋体" w:hAnsi="宋体" w:cs="宋体"/>
                <w:b/>
                <w:bCs/>
                <w:kern w:val="0"/>
                <w:sz w:val="20"/>
              </w:rPr>
            </w:pPr>
          </w:p>
        </w:tc>
        <w:tc>
          <w:tcPr>
            <w:tcW w:w="1021" w:type="dxa"/>
            <w:shd w:val="clear" w:color="000000" w:fill="FFFFFF"/>
            <w:textDirection w:val="lrTb"/>
            <w:vAlign w:val="center"/>
          </w:tcPr>
          <w:p>
            <w:pPr>
              <w:widowControl/>
              <w:jc w:val="left"/>
              <w:rPr>
                <w:rFonts w:ascii="宋体" w:hAnsi="宋体" w:cs="宋体"/>
                <w:bCs/>
                <w:kern w:val="0"/>
                <w:sz w:val="20"/>
              </w:rPr>
            </w:pPr>
          </w:p>
        </w:tc>
        <w:tc>
          <w:tcPr>
            <w:tcW w:w="1021" w:type="dxa"/>
            <w:shd w:val="clear" w:color="000000" w:fill="FFFFFF"/>
            <w:textDirection w:val="lrTb"/>
            <w:vAlign w:val="top"/>
          </w:tcPr>
          <w:p>
            <w:pPr>
              <w:widowControl/>
              <w:jc w:val="center"/>
              <w:rPr>
                <w:rFonts w:ascii="宋体" w:hAnsi="宋体" w:cs="宋体"/>
                <w:b/>
                <w:bCs/>
                <w:kern w:val="0"/>
                <w:sz w:val="20"/>
              </w:rPr>
            </w:pPr>
          </w:p>
        </w:tc>
        <w:tc>
          <w:tcPr>
            <w:tcW w:w="1022" w:type="dxa"/>
            <w:shd w:val="clear" w:color="000000" w:fill="FFFFFF"/>
            <w:textDirection w:val="lrTb"/>
            <w:vAlign w:val="top"/>
          </w:tcPr>
          <w:p>
            <w:pPr>
              <w:widowControl/>
              <w:jc w:val="center"/>
              <w:rPr>
                <w:rFonts w:ascii="宋体" w:hAnsi="宋体" w:cs="宋体"/>
                <w:b/>
                <w:bCs/>
                <w:kern w:val="0"/>
                <w:sz w:val="20"/>
              </w:rPr>
            </w:pPr>
          </w:p>
        </w:tc>
        <w:tc>
          <w:tcPr>
            <w:tcW w:w="493" w:type="dxa"/>
            <w:shd w:val="clear" w:color="000000" w:fill="FFFFFF"/>
            <w:textDirection w:val="lrTb"/>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8" w:type="dxa"/>
            <w:shd w:val="clear" w:color="000000" w:fill="FFFFFF"/>
            <w:textDirection w:val="lrTb"/>
            <w:vAlign w:val="center"/>
          </w:tcPr>
          <w:p>
            <w:pPr>
              <w:widowControl/>
              <w:jc w:val="left"/>
              <w:rPr>
                <w:rFonts w:ascii="宋体" w:hAnsi="宋体" w:cs="宋体"/>
                <w:b/>
                <w:bCs/>
                <w:kern w:val="0"/>
                <w:sz w:val="20"/>
              </w:rPr>
            </w:pPr>
          </w:p>
        </w:tc>
        <w:tc>
          <w:tcPr>
            <w:tcW w:w="756" w:type="dxa"/>
            <w:shd w:val="clear" w:color="000000" w:fill="FFFFFF"/>
            <w:textDirection w:val="lrTb"/>
            <w:vAlign w:val="center"/>
          </w:tcPr>
          <w:p>
            <w:pPr>
              <w:widowControl/>
              <w:snapToGrid w:val="0"/>
              <w:rPr>
                <w:rFonts w:ascii="宋体" w:hAnsi="宋体" w:cs="宋体"/>
                <w:kern w:val="0"/>
                <w:sz w:val="22"/>
              </w:rPr>
            </w:pPr>
          </w:p>
        </w:tc>
        <w:tc>
          <w:tcPr>
            <w:tcW w:w="756" w:type="dxa"/>
            <w:shd w:val="clear" w:color="000000" w:fill="FFFFFF"/>
            <w:textDirection w:val="lrTb"/>
            <w:vAlign w:val="center"/>
          </w:tcPr>
          <w:p>
            <w:pPr>
              <w:widowControl/>
              <w:snapToGrid w:val="0"/>
              <w:rPr>
                <w:rFonts w:ascii="宋体" w:hAnsi="宋体"/>
                <w:b/>
                <w:bCs/>
                <w:kern w:val="0"/>
                <w:sz w:val="22"/>
              </w:rPr>
            </w:pPr>
          </w:p>
        </w:tc>
        <w:tc>
          <w:tcPr>
            <w:tcW w:w="756" w:type="dxa"/>
            <w:shd w:val="clear" w:color="000000" w:fill="FFFFFF"/>
            <w:textDirection w:val="lrTb"/>
            <w:vAlign w:val="center"/>
          </w:tcPr>
          <w:p>
            <w:pPr>
              <w:widowControl/>
              <w:snapToGrid w:val="0"/>
              <w:jc w:val="center"/>
              <w:rPr>
                <w:rFonts w:ascii="宋体" w:hAnsi="宋体" w:cs="宋体"/>
                <w:kern w:val="0"/>
                <w:sz w:val="20"/>
              </w:rPr>
            </w:pPr>
          </w:p>
        </w:tc>
        <w:tc>
          <w:tcPr>
            <w:tcW w:w="756" w:type="dxa"/>
            <w:shd w:val="clear" w:color="000000" w:fill="FFFFFF"/>
            <w:textDirection w:val="lrTb"/>
            <w:vAlign w:val="center"/>
          </w:tcPr>
          <w:p>
            <w:pPr>
              <w:widowControl/>
              <w:snapToGrid w:val="0"/>
              <w:jc w:val="center"/>
              <w:rPr>
                <w:rFonts w:ascii="宋体" w:hAnsi="宋体" w:cs="宋体"/>
                <w:b/>
                <w:bCs/>
                <w:kern w:val="0"/>
                <w:sz w:val="20"/>
              </w:rPr>
            </w:pPr>
          </w:p>
        </w:tc>
        <w:tc>
          <w:tcPr>
            <w:tcW w:w="756" w:type="dxa"/>
            <w:shd w:val="clear" w:color="000000" w:fill="FFFFFF"/>
            <w:textDirection w:val="lrTb"/>
            <w:vAlign w:val="center"/>
          </w:tcPr>
          <w:p>
            <w:pPr>
              <w:snapToGrid w:val="0"/>
              <w:jc w:val="center"/>
              <w:rPr>
                <w:rFonts w:ascii="宋体" w:hAnsi="宋体"/>
                <w:sz w:val="20"/>
              </w:rPr>
            </w:pPr>
          </w:p>
        </w:tc>
        <w:tc>
          <w:tcPr>
            <w:tcW w:w="759" w:type="dxa"/>
            <w:shd w:val="clear" w:color="000000" w:fill="FFFFFF"/>
            <w:textDirection w:val="lrTb"/>
            <w:vAlign w:val="center"/>
          </w:tcPr>
          <w:p>
            <w:pPr>
              <w:widowControl/>
              <w:snapToGrid w:val="0"/>
              <w:rPr>
                <w:rFonts w:ascii="宋体" w:hAnsi="宋体"/>
                <w:b/>
                <w:bCs/>
                <w:kern w:val="0"/>
                <w:sz w:val="22"/>
              </w:rPr>
            </w:pPr>
          </w:p>
        </w:tc>
        <w:tc>
          <w:tcPr>
            <w:tcW w:w="1021" w:type="dxa"/>
            <w:shd w:val="clear" w:color="000000" w:fill="FFFFFF"/>
            <w:textDirection w:val="lrTb"/>
            <w:vAlign w:val="center"/>
          </w:tcPr>
          <w:p>
            <w:pPr>
              <w:widowControl/>
              <w:jc w:val="center"/>
              <w:rPr>
                <w:rFonts w:ascii="宋体" w:hAnsi="宋体" w:cs="宋体"/>
                <w:b/>
                <w:bCs/>
                <w:kern w:val="0"/>
                <w:sz w:val="20"/>
              </w:rPr>
            </w:pPr>
          </w:p>
        </w:tc>
        <w:tc>
          <w:tcPr>
            <w:tcW w:w="1021" w:type="dxa"/>
            <w:shd w:val="clear" w:color="000000" w:fill="FFFFFF"/>
            <w:textDirection w:val="lrTb"/>
            <w:vAlign w:val="center"/>
          </w:tcPr>
          <w:p>
            <w:pPr>
              <w:widowControl/>
              <w:jc w:val="left"/>
              <w:rPr>
                <w:rFonts w:ascii="宋体" w:hAnsi="宋体" w:cs="宋体"/>
                <w:bCs/>
                <w:kern w:val="0"/>
                <w:sz w:val="20"/>
              </w:rPr>
            </w:pPr>
          </w:p>
        </w:tc>
        <w:tc>
          <w:tcPr>
            <w:tcW w:w="1021" w:type="dxa"/>
            <w:shd w:val="clear" w:color="000000" w:fill="FFFFFF"/>
            <w:textDirection w:val="lrTb"/>
            <w:vAlign w:val="top"/>
          </w:tcPr>
          <w:p>
            <w:pPr>
              <w:widowControl/>
              <w:jc w:val="center"/>
              <w:rPr>
                <w:rFonts w:ascii="宋体" w:hAnsi="宋体" w:cs="宋体"/>
                <w:b/>
                <w:bCs/>
                <w:kern w:val="0"/>
                <w:sz w:val="20"/>
              </w:rPr>
            </w:pPr>
          </w:p>
        </w:tc>
        <w:tc>
          <w:tcPr>
            <w:tcW w:w="1022" w:type="dxa"/>
            <w:shd w:val="clear" w:color="000000" w:fill="FFFFFF"/>
            <w:textDirection w:val="lrTb"/>
            <w:vAlign w:val="top"/>
          </w:tcPr>
          <w:p>
            <w:pPr>
              <w:widowControl/>
              <w:jc w:val="center"/>
              <w:rPr>
                <w:rFonts w:ascii="宋体" w:hAnsi="宋体" w:cs="宋体"/>
                <w:b/>
                <w:bCs/>
                <w:kern w:val="0"/>
                <w:sz w:val="20"/>
              </w:rPr>
            </w:pPr>
          </w:p>
        </w:tc>
        <w:tc>
          <w:tcPr>
            <w:tcW w:w="493" w:type="dxa"/>
            <w:shd w:val="clear" w:color="000000" w:fill="FFFFFF"/>
            <w:textDirection w:val="lrTb"/>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8" w:type="dxa"/>
            <w:shd w:val="clear" w:color="000000" w:fill="FFFFFF"/>
            <w:textDirection w:val="lrTb"/>
            <w:vAlign w:val="center"/>
          </w:tcPr>
          <w:p>
            <w:pPr>
              <w:widowControl/>
              <w:jc w:val="left"/>
              <w:rPr>
                <w:rFonts w:ascii="宋体" w:hAnsi="宋体" w:cs="宋体"/>
                <w:b/>
                <w:bCs/>
                <w:kern w:val="0"/>
                <w:sz w:val="20"/>
              </w:rPr>
            </w:pPr>
          </w:p>
        </w:tc>
        <w:tc>
          <w:tcPr>
            <w:tcW w:w="756" w:type="dxa"/>
            <w:shd w:val="clear" w:color="000000" w:fill="FFFFFF"/>
            <w:textDirection w:val="lrTb"/>
            <w:vAlign w:val="center"/>
          </w:tcPr>
          <w:p>
            <w:pPr>
              <w:widowControl/>
              <w:snapToGrid w:val="0"/>
              <w:rPr>
                <w:rFonts w:ascii="宋体" w:hAnsi="宋体" w:cs="宋体"/>
                <w:kern w:val="0"/>
                <w:sz w:val="22"/>
              </w:rPr>
            </w:pPr>
          </w:p>
        </w:tc>
        <w:tc>
          <w:tcPr>
            <w:tcW w:w="756" w:type="dxa"/>
            <w:shd w:val="clear" w:color="000000" w:fill="FFFFFF"/>
            <w:textDirection w:val="lrTb"/>
            <w:vAlign w:val="center"/>
          </w:tcPr>
          <w:p>
            <w:pPr>
              <w:widowControl/>
              <w:snapToGrid w:val="0"/>
              <w:rPr>
                <w:rFonts w:ascii="宋体" w:hAnsi="宋体"/>
                <w:b/>
                <w:bCs/>
                <w:kern w:val="0"/>
                <w:sz w:val="22"/>
              </w:rPr>
            </w:pPr>
          </w:p>
        </w:tc>
        <w:tc>
          <w:tcPr>
            <w:tcW w:w="756" w:type="dxa"/>
            <w:shd w:val="clear" w:color="000000" w:fill="FFFFFF"/>
            <w:textDirection w:val="lrTb"/>
            <w:vAlign w:val="center"/>
          </w:tcPr>
          <w:p>
            <w:pPr>
              <w:widowControl/>
              <w:snapToGrid w:val="0"/>
              <w:jc w:val="center"/>
              <w:rPr>
                <w:rFonts w:ascii="宋体" w:hAnsi="宋体" w:cs="宋体"/>
                <w:kern w:val="0"/>
                <w:sz w:val="20"/>
              </w:rPr>
            </w:pPr>
          </w:p>
        </w:tc>
        <w:tc>
          <w:tcPr>
            <w:tcW w:w="756" w:type="dxa"/>
            <w:shd w:val="clear" w:color="000000" w:fill="FFFFFF"/>
            <w:textDirection w:val="lrTb"/>
            <w:vAlign w:val="center"/>
          </w:tcPr>
          <w:p>
            <w:pPr>
              <w:widowControl/>
              <w:snapToGrid w:val="0"/>
              <w:jc w:val="center"/>
              <w:rPr>
                <w:rFonts w:ascii="宋体" w:hAnsi="宋体" w:cs="宋体"/>
                <w:b/>
                <w:bCs/>
                <w:kern w:val="0"/>
                <w:sz w:val="20"/>
              </w:rPr>
            </w:pPr>
          </w:p>
        </w:tc>
        <w:tc>
          <w:tcPr>
            <w:tcW w:w="756" w:type="dxa"/>
            <w:shd w:val="clear" w:color="000000" w:fill="FFFFFF"/>
            <w:textDirection w:val="lrTb"/>
            <w:vAlign w:val="center"/>
          </w:tcPr>
          <w:p>
            <w:pPr>
              <w:snapToGrid w:val="0"/>
              <w:jc w:val="center"/>
              <w:rPr>
                <w:rFonts w:ascii="宋体" w:hAnsi="宋体"/>
                <w:sz w:val="20"/>
              </w:rPr>
            </w:pPr>
          </w:p>
        </w:tc>
        <w:tc>
          <w:tcPr>
            <w:tcW w:w="759" w:type="dxa"/>
            <w:shd w:val="clear" w:color="000000" w:fill="FFFFFF"/>
            <w:textDirection w:val="lrTb"/>
            <w:vAlign w:val="center"/>
          </w:tcPr>
          <w:p>
            <w:pPr>
              <w:widowControl/>
              <w:snapToGrid w:val="0"/>
              <w:rPr>
                <w:rFonts w:ascii="宋体" w:hAnsi="宋体"/>
                <w:b/>
                <w:bCs/>
                <w:kern w:val="0"/>
                <w:sz w:val="22"/>
              </w:rPr>
            </w:pPr>
          </w:p>
        </w:tc>
        <w:tc>
          <w:tcPr>
            <w:tcW w:w="1021" w:type="dxa"/>
            <w:shd w:val="clear" w:color="000000" w:fill="FFFFFF"/>
            <w:textDirection w:val="lrTb"/>
            <w:vAlign w:val="center"/>
          </w:tcPr>
          <w:p>
            <w:pPr>
              <w:widowControl/>
              <w:jc w:val="center"/>
              <w:rPr>
                <w:rFonts w:ascii="宋体" w:hAnsi="宋体" w:cs="宋体"/>
                <w:b/>
                <w:bCs/>
                <w:kern w:val="0"/>
                <w:sz w:val="20"/>
              </w:rPr>
            </w:pPr>
          </w:p>
        </w:tc>
        <w:tc>
          <w:tcPr>
            <w:tcW w:w="1021" w:type="dxa"/>
            <w:shd w:val="clear" w:color="000000" w:fill="FFFFFF"/>
            <w:textDirection w:val="lrTb"/>
            <w:vAlign w:val="center"/>
          </w:tcPr>
          <w:p>
            <w:pPr>
              <w:widowControl/>
              <w:jc w:val="left"/>
              <w:rPr>
                <w:rFonts w:ascii="宋体" w:hAnsi="宋体" w:cs="宋体"/>
                <w:bCs/>
                <w:kern w:val="0"/>
                <w:sz w:val="20"/>
              </w:rPr>
            </w:pPr>
          </w:p>
        </w:tc>
        <w:tc>
          <w:tcPr>
            <w:tcW w:w="1021" w:type="dxa"/>
            <w:shd w:val="clear" w:color="000000" w:fill="FFFFFF"/>
            <w:textDirection w:val="lrTb"/>
            <w:vAlign w:val="top"/>
          </w:tcPr>
          <w:p>
            <w:pPr>
              <w:widowControl/>
              <w:jc w:val="center"/>
              <w:rPr>
                <w:rFonts w:ascii="宋体" w:hAnsi="宋体" w:cs="宋体"/>
                <w:b/>
                <w:bCs/>
                <w:kern w:val="0"/>
                <w:sz w:val="20"/>
              </w:rPr>
            </w:pPr>
          </w:p>
        </w:tc>
        <w:tc>
          <w:tcPr>
            <w:tcW w:w="1022" w:type="dxa"/>
            <w:shd w:val="clear" w:color="000000" w:fill="FFFFFF"/>
            <w:textDirection w:val="lrTb"/>
            <w:vAlign w:val="top"/>
          </w:tcPr>
          <w:p>
            <w:pPr>
              <w:widowControl/>
              <w:jc w:val="center"/>
              <w:rPr>
                <w:rFonts w:ascii="宋体" w:hAnsi="宋体" w:cs="宋体"/>
                <w:b/>
                <w:bCs/>
                <w:kern w:val="0"/>
                <w:sz w:val="20"/>
              </w:rPr>
            </w:pPr>
          </w:p>
        </w:tc>
        <w:tc>
          <w:tcPr>
            <w:tcW w:w="493" w:type="dxa"/>
            <w:shd w:val="clear" w:color="000000" w:fill="FFFFFF"/>
            <w:textDirection w:val="lrTb"/>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8" w:type="dxa"/>
            <w:shd w:val="clear" w:color="000000" w:fill="FFFFFF"/>
            <w:textDirection w:val="lrTb"/>
            <w:vAlign w:val="center"/>
          </w:tcPr>
          <w:p>
            <w:pPr>
              <w:widowControl/>
              <w:jc w:val="center"/>
              <w:rPr>
                <w:rFonts w:ascii="宋体" w:hAnsi="宋体" w:cs="宋体"/>
                <w:b/>
                <w:kern w:val="0"/>
                <w:sz w:val="20"/>
              </w:rPr>
            </w:pPr>
          </w:p>
        </w:tc>
        <w:tc>
          <w:tcPr>
            <w:tcW w:w="756" w:type="dxa"/>
            <w:shd w:val="clear" w:color="000000" w:fill="FFFFFF"/>
            <w:textDirection w:val="lrTb"/>
            <w:vAlign w:val="center"/>
          </w:tcPr>
          <w:p>
            <w:pPr>
              <w:widowControl/>
              <w:jc w:val="center"/>
              <w:rPr>
                <w:rFonts w:ascii="宋体" w:hAnsi="宋体"/>
                <w:b/>
                <w:bCs/>
                <w:kern w:val="0"/>
                <w:szCs w:val="21"/>
              </w:rPr>
            </w:pPr>
          </w:p>
        </w:tc>
        <w:tc>
          <w:tcPr>
            <w:tcW w:w="756" w:type="dxa"/>
            <w:shd w:val="clear" w:color="000000" w:fill="FFFFFF"/>
            <w:textDirection w:val="lrTb"/>
            <w:vAlign w:val="center"/>
          </w:tcPr>
          <w:p>
            <w:pPr>
              <w:widowControl/>
              <w:snapToGrid w:val="0"/>
              <w:rPr>
                <w:rFonts w:ascii="宋体" w:hAnsi="宋体"/>
                <w:b/>
                <w:bCs/>
                <w:kern w:val="0"/>
                <w:sz w:val="22"/>
              </w:rPr>
            </w:pPr>
          </w:p>
        </w:tc>
        <w:tc>
          <w:tcPr>
            <w:tcW w:w="756" w:type="dxa"/>
            <w:shd w:val="clear" w:color="000000" w:fill="FFFFFF"/>
            <w:textDirection w:val="lrTb"/>
            <w:vAlign w:val="center"/>
          </w:tcPr>
          <w:p>
            <w:pPr>
              <w:widowControl/>
              <w:snapToGrid w:val="0"/>
              <w:jc w:val="center"/>
              <w:rPr>
                <w:rFonts w:ascii="宋体" w:hAnsi="宋体" w:cs="宋体"/>
                <w:kern w:val="0"/>
                <w:sz w:val="20"/>
              </w:rPr>
            </w:pPr>
          </w:p>
        </w:tc>
        <w:tc>
          <w:tcPr>
            <w:tcW w:w="756" w:type="dxa"/>
            <w:shd w:val="clear" w:color="000000" w:fill="FFFFFF"/>
            <w:textDirection w:val="lrTb"/>
            <w:vAlign w:val="center"/>
          </w:tcPr>
          <w:p>
            <w:pPr>
              <w:widowControl/>
              <w:snapToGrid w:val="0"/>
              <w:jc w:val="center"/>
              <w:rPr>
                <w:rFonts w:ascii="宋体" w:hAnsi="宋体" w:cs="宋体"/>
                <w:b/>
                <w:bCs/>
                <w:kern w:val="0"/>
                <w:sz w:val="20"/>
              </w:rPr>
            </w:pPr>
          </w:p>
        </w:tc>
        <w:tc>
          <w:tcPr>
            <w:tcW w:w="756" w:type="dxa"/>
            <w:shd w:val="clear" w:color="000000" w:fill="FFFFFF"/>
            <w:textDirection w:val="lrTb"/>
            <w:vAlign w:val="center"/>
          </w:tcPr>
          <w:p>
            <w:pPr>
              <w:snapToGrid w:val="0"/>
              <w:jc w:val="center"/>
              <w:rPr>
                <w:rFonts w:ascii="宋体" w:hAnsi="宋体"/>
                <w:sz w:val="20"/>
              </w:rPr>
            </w:pPr>
          </w:p>
        </w:tc>
        <w:tc>
          <w:tcPr>
            <w:tcW w:w="759" w:type="dxa"/>
            <w:shd w:val="clear" w:color="000000" w:fill="FFFFFF"/>
            <w:textDirection w:val="lrTb"/>
            <w:vAlign w:val="center"/>
          </w:tcPr>
          <w:p>
            <w:pPr>
              <w:widowControl/>
              <w:snapToGrid w:val="0"/>
              <w:rPr>
                <w:rFonts w:ascii="宋体" w:hAnsi="宋体"/>
                <w:b/>
                <w:bCs/>
                <w:kern w:val="0"/>
                <w:sz w:val="22"/>
              </w:rPr>
            </w:pPr>
          </w:p>
        </w:tc>
        <w:tc>
          <w:tcPr>
            <w:tcW w:w="1021" w:type="dxa"/>
            <w:shd w:val="clear" w:color="000000" w:fill="FFFFFF"/>
            <w:textDirection w:val="lrTb"/>
            <w:vAlign w:val="center"/>
          </w:tcPr>
          <w:p>
            <w:pPr>
              <w:widowControl/>
              <w:jc w:val="center"/>
              <w:rPr>
                <w:rFonts w:ascii="宋体" w:hAnsi="宋体" w:cs="宋体"/>
                <w:b/>
                <w:bCs/>
                <w:kern w:val="0"/>
                <w:sz w:val="20"/>
              </w:rPr>
            </w:pPr>
          </w:p>
        </w:tc>
        <w:tc>
          <w:tcPr>
            <w:tcW w:w="1021" w:type="dxa"/>
            <w:shd w:val="clear" w:color="000000" w:fill="FFFFFF"/>
            <w:textDirection w:val="lrTb"/>
            <w:vAlign w:val="center"/>
          </w:tcPr>
          <w:p>
            <w:pPr>
              <w:widowControl/>
              <w:jc w:val="left"/>
              <w:rPr>
                <w:rFonts w:ascii="宋体" w:hAnsi="宋体" w:cs="宋体"/>
                <w:bCs/>
                <w:kern w:val="0"/>
                <w:sz w:val="20"/>
              </w:rPr>
            </w:pPr>
          </w:p>
        </w:tc>
        <w:tc>
          <w:tcPr>
            <w:tcW w:w="1021" w:type="dxa"/>
            <w:shd w:val="clear" w:color="000000" w:fill="FFFFFF"/>
            <w:textDirection w:val="lrTb"/>
            <w:vAlign w:val="top"/>
          </w:tcPr>
          <w:p>
            <w:pPr>
              <w:widowControl/>
              <w:jc w:val="center"/>
              <w:rPr>
                <w:rFonts w:ascii="宋体" w:hAnsi="宋体" w:cs="宋体"/>
                <w:b/>
                <w:bCs/>
                <w:kern w:val="0"/>
                <w:sz w:val="20"/>
              </w:rPr>
            </w:pPr>
          </w:p>
        </w:tc>
        <w:tc>
          <w:tcPr>
            <w:tcW w:w="1022" w:type="dxa"/>
            <w:shd w:val="clear" w:color="000000" w:fill="FFFFFF"/>
            <w:textDirection w:val="lrTb"/>
            <w:vAlign w:val="top"/>
          </w:tcPr>
          <w:p>
            <w:pPr>
              <w:widowControl/>
              <w:jc w:val="center"/>
              <w:rPr>
                <w:rFonts w:ascii="宋体" w:hAnsi="宋体" w:cs="宋体"/>
                <w:b/>
                <w:bCs/>
                <w:kern w:val="0"/>
                <w:sz w:val="20"/>
              </w:rPr>
            </w:pPr>
          </w:p>
        </w:tc>
        <w:tc>
          <w:tcPr>
            <w:tcW w:w="493" w:type="dxa"/>
            <w:shd w:val="clear" w:color="000000" w:fill="FFFFFF"/>
            <w:textDirection w:val="lrTb"/>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8" w:type="dxa"/>
            <w:shd w:val="clear" w:color="000000" w:fill="FFFFFF"/>
            <w:textDirection w:val="lrTb"/>
            <w:vAlign w:val="center"/>
          </w:tcPr>
          <w:p>
            <w:pPr>
              <w:widowControl/>
              <w:jc w:val="left"/>
              <w:rPr>
                <w:rFonts w:ascii="宋体" w:hAnsi="宋体" w:cs="宋体"/>
                <w:b/>
                <w:bCs/>
                <w:kern w:val="0"/>
                <w:sz w:val="20"/>
              </w:rPr>
            </w:pPr>
          </w:p>
        </w:tc>
        <w:tc>
          <w:tcPr>
            <w:tcW w:w="756" w:type="dxa"/>
            <w:shd w:val="clear" w:color="000000" w:fill="FFFFFF"/>
            <w:textDirection w:val="lrTb"/>
            <w:vAlign w:val="center"/>
          </w:tcPr>
          <w:p>
            <w:pPr>
              <w:widowControl/>
              <w:snapToGrid w:val="0"/>
              <w:rPr>
                <w:rFonts w:ascii="宋体" w:hAnsi="宋体" w:cs="宋体"/>
                <w:kern w:val="0"/>
                <w:sz w:val="22"/>
              </w:rPr>
            </w:pPr>
          </w:p>
        </w:tc>
        <w:tc>
          <w:tcPr>
            <w:tcW w:w="756" w:type="dxa"/>
            <w:shd w:val="clear" w:color="000000" w:fill="FFFFFF"/>
            <w:textDirection w:val="lrTb"/>
            <w:vAlign w:val="center"/>
          </w:tcPr>
          <w:p>
            <w:pPr>
              <w:widowControl/>
              <w:snapToGrid w:val="0"/>
              <w:rPr>
                <w:rFonts w:ascii="宋体" w:hAnsi="宋体"/>
                <w:b/>
                <w:bCs/>
                <w:kern w:val="0"/>
                <w:sz w:val="22"/>
              </w:rPr>
            </w:pPr>
          </w:p>
        </w:tc>
        <w:tc>
          <w:tcPr>
            <w:tcW w:w="756" w:type="dxa"/>
            <w:shd w:val="clear" w:color="000000" w:fill="FFFFFF"/>
            <w:textDirection w:val="lrTb"/>
            <w:vAlign w:val="center"/>
          </w:tcPr>
          <w:p>
            <w:pPr>
              <w:widowControl/>
              <w:snapToGrid w:val="0"/>
              <w:jc w:val="center"/>
              <w:rPr>
                <w:rFonts w:ascii="宋体" w:hAnsi="宋体" w:cs="宋体"/>
                <w:kern w:val="0"/>
                <w:sz w:val="20"/>
              </w:rPr>
            </w:pPr>
          </w:p>
        </w:tc>
        <w:tc>
          <w:tcPr>
            <w:tcW w:w="756" w:type="dxa"/>
            <w:shd w:val="clear" w:color="000000" w:fill="FFFFFF"/>
            <w:textDirection w:val="lrTb"/>
            <w:vAlign w:val="center"/>
          </w:tcPr>
          <w:p>
            <w:pPr>
              <w:widowControl/>
              <w:snapToGrid w:val="0"/>
              <w:jc w:val="center"/>
              <w:rPr>
                <w:rFonts w:ascii="宋体" w:hAnsi="宋体" w:cs="宋体"/>
                <w:b/>
                <w:bCs/>
                <w:kern w:val="0"/>
                <w:sz w:val="20"/>
              </w:rPr>
            </w:pPr>
          </w:p>
        </w:tc>
        <w:tc>
          <w:tcPr>
            <w:tcW w:w="756" w:type="dxa"/>
            <w:shd w:val="clear" w:color="000000" w:fill="FFFFFF"/>
            <w:textDirection w:val="lrTb"/>
            <w:vAlign w:val="center"/>
          </w:tcPr>
          <w:p>
            <w:pPr>
              <w:snapToGrid w:val="0"/>
              <w:jc w:val="center"/>
              <w:rPr>
                <w:rFonts w:ascii="宋体" w:hAnsi="宋体"/>
                <w:sz w:val="20"/>
              </w:rPr>
            </w:pPr>
          </w:p>
        </w:tc>
        <w:tc>
          <w:tcPr>
            <w:tcW w:w="759" w:type="dxa"/>
            <w:shd w:val="clear" w:color="000000" w:fill="FFFFFF"/>
            <w:textDirection w:val="lrTb"/>
            <w:vAlign w:val="center"/>
          </w:tcPr>
          <w:p>
            <w:pPr>
              <w:widowControl/>
              <w:snapToGrid w:val="0"/>
              <w:rPr>
                <w:rFonts w:ascii="宋体" w:hAnsi="宋体"/>
                <w:b/>
                <w:bCs/>
                <w:kern w:val="0"/>
                <w:sz w:val="22"/>
              </w:rPr>
            </w:pPr>
          </w:p>
        </w:tc>
        <w:tc>
          <w:tcPr>
            <w:tcW w:w="1021" w:type="dxa"/>
            <w:shd w:val="clear" w:color="000000" w:fill="FFFFFF"/>
            <w:textDirection w:val="lrTb"/>
            <w:vAlign w:val="center"/>
          </w:tcPr>
          <w:p>
            <w:pPr>
              <w:widowControl/>
              <w:jc w:val="center"/>
              <w:rPr>
                <w:rFonts w:ascii="宋体" w:hAnsi="宋体" w:cs="宋体"/>
                <w:b/>
                <w:bCs/>
                <w:kern w:val="0"/>
                <w:sz w:val="20"/>
              </w:rPr>
            </w:pPr>
          </w:p>
        </w:tc>
        <w:tc>
          <w:tcPr>
            <w:tcW w:w="1021" w:type="dxa"/>
            <w:shd w:val="clear" w:color="000000" w:fill="FFFFFF"/>
            <w:textDirection w:val="lrTb"/>
            <w:vAlign w:val="center"/>
          </w:tcPr>
          <w:p>
            <w:pPr>
              <w:widowControl/>
              <w:jc w:val="left"/>
              <w:rPr>
                <w:rFonts w:ascii="宋体" w:hAnsi="宋体" w:cs="宋体"/>
                <w:bCs/>
                <w:kern w:val="0"/>
                <w:sz w:val="20"/>
              </w:rPr>
            </w:pPr>
          </w:p>
        </w:tc>
        <w:tc>
          <w:tcPr>
            <w:tcW w:w="1021" w:type="dxa"/>
            <w:shd w:val="clear" w:color="000000" w:fill="FFFFFF"/>
            <w:textDirection w:val="lrTb"/>
            <w:vAlign w:val="top"/>
          </w:tcPr>
          <w:p>
            <w:pPr>
              <w:widowControl/>
              <w:jc w:val="center"/>
              <w:rPr>
                <w:rFonts w:ascii="宋体" w:hAnsi="宋体" w:cs="宋体"/>
                <w:b/>
                <w:bCs/>
                <w:kern w:val="0"/>
                <w:sz w:val="20"/>
              </w:rPr>
            </w:pPr>
          </w:p>
        </w:tc>
        <w:tc>
          <w:tcPr>
            <w:tcW w:w="1022" w:type="dxa"/>
            <w:shd w:val="clear" w:color="000000" w:fill="FFFFFF"/>
            <w:textDirection w:val="lrTb"/>
            <w:vAlign w:val="top"/>
          </w:tcPr>
          <w:p>
            <w:pPr>
              <w:widowControl/>
              <w:jc w:val="center"/>
              <w:rPr>
                <w:rFonts w:ascii="宋体" w:hAnsi="宋体" w:cs="宋体"/>
                <w:b/>
                <w:bCs/>
                <w:kern w:val="0"/>
                <w:sz w:val="20"/>
              </w:rPr>
            </w:pPr>
          </w:p>
        </w:tc>
        <w:tc>
          <w:tcPr>
            <w:tcW w:w="493" w:type="dxa"/>
            <w:shd w:val="clear" w:color="000000" w:fill="FFFFFF"/>
            <w:textDirection w:val="lrTb"/>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8" w:type="dxa"/>
            <w:shd w:val="clear" w:color="000000" w:fill="FFFFFF"/>
            <w:textDirection w:val="lrTb"/>
            <w:vAlign w:val="center"/>
          </w:tcPr>
          <w:p>
            <w:pPr>
              <w:widowControl/>
              <w:jc w:val="left"/>
              <w:rPr>
                <w:rFonts w:ascii="宋体" w:hAnsi="宋体" w:cs="宋体"/>
                <w:b/>
                <w:bCs/>
                <w:kern w:val="0"/>
                <w:sz w:val="20"/>
              </w:rPr>
            </w:pPr>
          </w:p>
        </w:tc>
        <w:tc>
          <w:tcPr>
            <w:tcW w:w="756" w:type="dxa"/>
            <w:shd w:val="clear" w:color="000000" w:fill="FFFFFF"/>
            <w:textDirection w:val="lrTb"/>
            <w:vAlign w:val="center"/>
          </w:tcPr>
          <w:p>
            <w:pPr>
              <w:widowControl/>
              <w:snapToGrid w:val="0"/>
              <w:rPr>
                <w:rFonts w:ascii="宋体" w:hAnsi="宋体" w:cs="宋体"/>
                <w:kern w:val="0"/>
                <w:sz w:val="22"/>
              </w:rPr>
            </w:pPr>
          </w:p>
        </w:tc>
        <w:tc>
          <w:tcPr>
            <w:tcW w:w="756" w:type="dxa"/>
            <w:shd w:val="clear" w:color="000000" w:fill="FFFFFF"/>
            <w:textDirection w:val="lrTb"/>
            <w:vAlign w:val="center"/>
          </w:tcPr>
          <w:p>
            <w:pPr>
              <w:widowControl/>
              <w:snapToGrid w:val="0"/>
              <w:rPr>
                <w:rFonts w:ascii="宋体" w:hAnsi="宋体"/>
                <w:b/>
                <w:bCs/>
                <w:kern w:val="0"/>
                <w:sz w:val="22"/>
              </w:rPr>
            </w:pPr>
          </w:p>
        </w:tc>
        <w:tc>
          <w:tcPr>
            <w:tcW w:w="756" w:type="dxa"/>
            <w:shd w:val="clear" w:color="000000" w:fill="FFFFFF"/>
            <w:textDirection w:val="lrTb"/>
            <w:vAlign w:val="center"/>
          </w:tcPr>
          <w:p>
            <w:pPr>
              <w:widowControl/>
              <w:snapToGrid w:val="0"/>
              <w:jc w:val="center"/>
              <w:rPr>
                <w:rFonts w:ascii="宋体" w:hAnsi="宋体" w:cs="宋体"/>
                <w:kern w:val="0"/>
                <w:sz w:val="20"/>
              </w:rPr>
            </w:pPr>
          </w:p>
        </w:tc>
        <w:tc>
          <w:tcPr>
            <w:tcW w:w="756" w:type="dxa"/>
            <w:shd w:val="clear" w:color="000000" w:fill="FFFFFF"/>
            <w:textDirection w:val="lrTb"/>
            <w:vAlign w:val="center"/>
          </w:tcPr>
          <w:p>
            <w:pPr>
              <w:widowControl/>
              <w:snapToGrid w:val="0"/>
              <w:jc w:val="center"/>
              <w:rPr>
                <w:rFonts w:ascii="宋体" w:hAnsi="宋体" w:cs="宋体"/>
                <w:b/>
                <w:bCs/>
                <w:kern w:val="0"/>
                <w:sz w:val="20"/>
              </w:rPr>
            </w:pPr>
          </w:p>
        </w:tc>
        <w:tc>
          <w:tcPr>
            <w:tcW w:w="756" w:type="dxa"/>
            <w:shd w:val="clear" w:color="000000" w:fill="FFFFFF"/>
            <w:textDirection w:val="lrTb"/>
            <w:vAlign w:val="center"/>
          </w:tcPr>
          <w:p>
            <w:pPr>
              <w:snapToGrid w:val="0"/>
              <w:jc w:val="center"/>
              <w:rPr>
                <w:rFonts w:ascii="宋体" w:hAnsi="宋体"/>
                <w:sz w:val="20"/>
              </w:rPr>
            </w:pPr>
          </w:p>
        </w:tc>
        <w:tc>
          <w:tcPr>
            <w:tcW w:w="759" w:type="dxa"/>
            <w:shd w:val="clear" w:color="000000" w:fill="FFFFFF"/>
            <w:textDirection w:val="lrTb"/>
            <w:vAlign w:val="center"/>
          </w:tcPr>
          <w:p>
            <w:pPr>
              <w:widowControl/>
              <w:snapToGrid w:val="0"/>
              <w:rPr>
                <w:rFonts w:ascii="宋体" w:hAnsi="宋体"/>
                <w:b/>
                <w:bCs/>
                <w:kern w:val="0"/>
                <w:sz w:val="22"/>
              </w:rPr>
            </w:pPr>
          </w:p>
        </w:tc>
        <w:tc>
          <w:tcPr>
            <w:tcW w:w="1021" w:type="dxa"/>
            <w:shd w:val="clear" w:color="000000" w:fill="FFFFFF"/>
            <w:textDirection w:val="lrTb"/>
            <w:vAlign w:val="center"/>
          </w:tcPr>
          <w:p>
            <w:pPr>
              <w:widowControl/>
              <w:jc w:val="center"/>
              <w:rPr>
                <w:rFonts w:ascii="宋体" w:hAnsi="宋体" w:cs="宋体"/>
                <w:b/>
                <w:bCs/>
                <w:kern w:val="0"/>
                <w:sz w:val="20"/>
              </w:rPr>
            </w:pPr>
          </w:p>
        </w:tc>
        <w:tc>
          <w:tcPr>
            <w:tcW w:w="1021" w:type="dxa"/>
            <w:shd w:val="clear" w:color="000000" w:fill="FFFFFF"/>
            <w:textDirection w:val="lrTb"/>
            <w:vAlign w:val="center"/>
          </w:tcPr>
          <w:p>
            <w:pPr>
              <w:widowControl/>
              <w:jc w:val="left"/>
              <w:rPr>
                <w:rFonts w:ascii="宋体" w:hAnsi="宋体" w:cs="宋体"/>
                <w:bCs/>
                <w:kern w:val="0"/>
                <w:sz w:val="20"/>
              </w:rPr>
            </w:pPr>
          </w:p>
        </w:tc>
        <w:tc>
          <w:tcPr>
            <w:tcW w:w="1021" w:type="dxa"/>
            <w:shd w:val="clear" w:color="000000" w:fill="FFFFFF"/>
            <w:textDirection w:val="lrTb"/>
            <w:vAlign w:val="top"/>
          </w:tcPr>
          <w:p>
            <w:pPr>
              <w:widowControl/>
              <w:jc w:val="center"/>
              <w:rPr>
                <w:rFonts w:ascii="宋体" w:hAnsi="宋体" w:cs="宋体"/>
                <w:b/>
                <w:bCs/>
                <w:kern w:val="0"/>
                <w:sz w:val="20"/>
              </w:rPr>
            </w:pPr>
          </w:p>
        </w:tc>
        <w:tc>
          <w:tcPr>
            <w:tcW w:w="1022" w:type="dxa"/>
            <w:shd w:val="clear" w:color="000000" w:fill="FFFFFF"/>
            <w:textDirection w:val="lrTb"/>
            <w:vAlign w:val="top"/>
          </w:tcPr>
          <w:p>
            <w:pPr>
              <w:widowControl/>
              <w:jc w:val="center"/>
              <w:rPr>
                <w:rFonts w:ascii="宋体" w:hAnsi="宋体" w:cs="宋体"/>
                <w:b/>
                <w:bCs/>
                <w:kern w:val="0"/>
                <w:sz w:val="20"/>
              </w:rPr>
            </w:pPr>
          </w:p>
        </w:tc>
        <w:tc>
          <w:tcPr>
            <w:tcW w:w="493" w:type="dxa"/>
            <w:shd w:val="clear" w:color="000000" w:fill="FFFFFF"/>
            <w:textDirection w:val="lrTb"/>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8" w:type="dxa"/>
            <w:shd w:val="clear" w:color="000000" w:fill="FFFFFF"/>
            <w:textDirection w:val="lrTb"/>
            <w:vAlign w:val="center"/>
          </w:tcPr>
          <w:p>
            <w:pPr>
              <w:widowControl/>
              <w:jc w:val="left"/>
              <w:rPr>
                <w:rFonts w:ascii="宋体" w:hAnsi="宋体" w:cs="宋体"/>
                <w:b/>
                <w:bCs/>
                <w:kern w:val="0"/>
                <w:sz w:val="20"/>
              </w:rPr>
            </w:pPr>
          </w:p>
        </w:tc>
        <w:tc>
          <w:tcPr>
            <w:tcW w:w="756" w:type="dxa"/>
            <w:shd w:val="clear" w:color="000000" w:fill="FFFFFF"/>
            <w:textDirection w:val="lrTb"/>
            <w:vAlign w:val="center"/>
          </w:tcPr>
          <w:p>
            <w:pPr>
              <w:widowControl/>
              <w:snapToGrid w:val="0"/>
              <w:rPr>
                <w:rFonts w:ascii="宋体" w:hAnsi="宋体" w:cs="宋体"/>
                <w:kern w:val="0"/>
                <w:sz w:val="22"/>
              </w:rPr>
            </w:pPr>
          </w:p>
        </w:tc>
        <w:tc>
          <w:tcPr>
            <w:tcW w:w="756" w:type="dxa"/>
            <w:shd w:val="clear" w:color="000000" w:fill="FFFFFF"/>
            <w:textDirection w:val="lrTb"/>
            <w:vAlign w:val="center"/>
          </w:tcPr>
          <w:p>
            <w:pPr>
              <w:widowControl/>
              <w:snapToGrid w:val="0"/>
              <w:rPr>
                <w:rFonts w:ascii="宋体" w:hAnsi="宋体"/>
                <w:b/>
                <w:bCs/>
                <w:kern w:val="0"/>
                <w:sz w:val="22"/>
              </w:rPr>
            </w:pPr>
          </w:p>
        </w:tc>
        <w:tc>
          <w:tcPr>
            <w:tcW w:w="756" w:type="dxa"/>
            <w:shd w:val="clear" w:color="000000" w:fill="FFFFFF"/>
            <w:textDirection w:val="lrTb"/>
            <w:vAlign w:val="center"/>
          </w:tcPr>
          <w:p>
            <w:pPr>
              <w:widowControl/>
              <w:snapToGrid w:val="0"/>
              <w:jc w:val="center"/>
              <w:rPr>
                <w:rFonts w:ascii="宋体" w:hAnsi="宋体" w:cs="宋体"/>
                <w:kern w:val="0"/>
                <w:sz w:val="20"/>
              </w:rPr>
            </w:pPr>
          </w:p>
        </w:tc>
        <w:tc>
          <w:tcPr>
            <w:tcW w:w="756" w:type="dxa"/>
            <w:shd w:val="clear" w:color="000000" w:fill="FFFFFF"/>
            <w:textDirection w:val="lrTb"/>
            <w:vAlign w:val="center"/>
          </w:tcPr>
          <w:p>
            <w:pPr>
              <w:widowControl/>
              <w:snapToGrid w:val="0"/>
              <w:jc w:val="center"/>
              <w:rPr>
                <w:rFonts w:ascii="宋体" w:hAnsi="宋体" w:cs="宋体"/>
                <w:b/>
                <w:bCs/>
                <w:kern w:val="0"/>
                <w:sz w:val="20"/>
              </w:rPr>
            </w:pPr>
          </w:p>
        </w:tc>
        <w:tc>
          <w:tcPr>
            <w:tcW w:w="756" w:type="dxa"/>
            <w:shd w:val="clear" w:color="000000" w:fill="FFFFFF"/>
            <w:textDirection w:val="lrTb"/>
            <w:vAlign w:val="center"/>
          </w:tcPr>
          <w:p>
            <w:pPr>
              <w:snapToGrid w:val="0"/>
              <w:jc w:val="center"/>
              <w:rPr>
                <w:rFonts w:ascii="宋体" w:hAnsi="宋体"/>
                <w:sz w:val="20"/>
              </w:rPr>
            </w:pPr>
          </w:p>
        </w:tc>
        <w:tc>
          <w:tcPr>
            <w:tcW w:w="759" w:type="dxa"/>
            <w:shd w:val="clear" w:color="000000" w:fill="FFFFFF"/>
            <w:textDirection w:val="lrTb"/>
            <w:vAlign w:val="center"/>
          </w:tcPr>
          <w:p>
            <w:pPr>
              <w:widowControl/>
              <w:snapToGrid w:val="0"/>
              <w:rPr>
                <w:rFonts w:ascii="宋体" w:hAnsi="宋体"/>
                <w:b/>
                <w:bCs/>
                <w:kern w:val="0"/>
                <w:sz w:val="22"/>
              </w:rPr>
            </w:pPr>
          </w:p>
        </w:tc>
        <w:tc>
          <w:tcPr>
            <w:tcW w:w="1021" w:type="dxa"/>
            <w:shd w:val="clear" w:color="000000" w:fill="FFFFFF"/>
            <w:textDirection w:val="lrTb"/>
            <w:vAlign w:val="center"/>
          </w:tcPr>
          <w:p>
            <w:pPr>
              <w:widowControl/>
              <w:jc w:val="center"/>
              <w:rPr>
                <w:rFonts w:ascii="宋体" w:hAnsi="宋体" w:cs="宋体"/>
                <w:b/>
                <w:bCs/>
                <w:kern w:val="0"/>
                <w:sz w:val="20"/>
              </w:rPr>
            </w:pPr>
          </w:p>
        </w:tc>
        <w:tc>
          <w:tcPr>
            <w:tcW w:w="1021" w:type="dxa"/>
            <w:shd w:val="clear" w:color="000000" w:fill="FFFFFF"/>
            <w:textDirection w:val="lrTb"/>
            <w:vAlign w:val="center"/>
          </w:tcPr>
          <w:p>
            <w:pPr>
              <w:widowControl/>
              <w:jc w:val="left"/>
              <w:rPr>
                <w:rFonts w:ascii="宋体" w:hAnsi="宋体" w:cs="宋体"/>
                <w:bCs/>
                <w:kern w:val="0"/>
                <w:sz w:val="20"/>
              </w:rPr>
            </w:pPr>
          </w:p>
        </w:tc>
        <w:tc>
          <w:tcPr>
            <w:tcW w:w="1021" w:type="dxa"/>
            <w:shd w:val="clear" w:color="000000" w:fill="FFFFFF"/>
            <w:textDirection w:val="lrTb"/>
            <w:vAlign w:val="top"/>
          </w:tcPr>
          <w:p>
            <w:pPr>
              <w:widowControl/>
              <w:jc w:val="center"/>
              <w:rPr>
                <w:rFonts w:ascii="宋体" w:hAnsi="宋体" w:cs="宋体"/>
                <w:b/>
                <w:bCs/>
                <w:kern w:val="0"/>
                <w:sz w:val="20"/>
              </w:rPr>
            </w:pPr>
          </w:p>
        </w:tc>
        <w:tc>
          <w:tcPr>
            <w:tcW w:w="1022" w:type="dxa"/>
            <w:shd w:val="clear" w:color="000000" w:fill="FFFFFF"/>
            <w:textDirection w:val="lrTb"/>
            <w:vAlign w:val="top"/>
          </w:tcPr>
          <w:p>
            <w:pPr>
              <w:widowControl/>
              <w:jc w:val="center"/>
              <w:rPr>
                <w:rFonts w:ascii="宋体" w:hAnsi="宋体" w:cs="宋体"/>
                <w:b/>
                <w:bCs/>
                <w:kern w:val="0"/>
                <w:sz w:val="20"/>
              </w:rPr>
            </w:pPr>
          </w:p>
        </w:tc>
        <w:tc>
          <w:tcPr>
            <w:tcW w:w="493" w:type="dxa"/>
            <w:shd w:val="clear" w:color="000000" w:fill="FFFFFF"/>
            <w:textDirection w:val="lrTb"/>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088" w:type="dxa"/>
            <w:gridSpan w:val="8"/>
            <w:textDirection w:val="lrTb"/>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021" w:type="dxa"/>
            <w:textDirection w:val="lrTb"/>
            <w:vAlign w:val="center"/>
          </w:tcPr>
          <w:p>
            <w:pPr>
              <w:widowControl/>
              <w:jc w:val="center"/>
              <w:rPr>
                <w:rFonts w:ascii="宋体" w:hAnsi="宋体" w:cs="宋体"/>
                <w:kern w:val="0"/>
                <w:sz w:val="20"/>
              </w:rPr>
            </w:pPr>
            <w:r>
              <w:rPr>
                <w:rFonts w:hint="eastAsia" w:ascii="宋体" w:hAnsi="宋体" w:cs="宋体"/>
                <w:kern w:val="0"/>
                <w:sz w:val="20"/>
              </w:rPr>
              <w:t>　　</w:t>
            </w:r>
          </w:p>
        </w:tc>
        <w:tc>
          <w:tcPr>
            <w:tcW w:w="1021" w:type="dxa"/>
            <w:textDirection w:val="lrTb"/>
            <w:vAlign w:val="top"/>
          </w:tcPr>
          <w:p>
            <w:pPr>
              <w:widowControl/>
              <w:jc w:val="center"/>
              <w:rPr>
                <w:rFonts w:ascii="宋体" w:hAnsi="宋体" w:cs="宋体"/>
                <w:kern w:val="0"/>
                <w:sz w:val="20"/>
              </w:rPr>
            </w:pPr>
          </w:p>
        </w:tc>
        <w:tc>
          <w:tcPr>
            <w:tcW w:w="1022" w:type="dxa"/>
            <w:textDirection w:val="lrTb"/>
            <w:vAlign w:val="top"/>
          </w:tcPr>
          <w:p>
            <w:pPr>
              <w:widowControl/>
              <w:jc w:val="center"/>
              <w:rPr>
                <w:rFonts w:hint="eastAsia" w:ascii="宋体" w:hAnsi="宋体" w:cs="宋体"/>
                <w:kern w:val="0"/>
                <w:sz w:val="20"/>
              </w:rPr>
            </w:pPr>
          </w:p>
        </w:tc>
        <w:tc>
          <w:tcPr>
            <w:tcW w:w="493" w:type="dxa"/>
            <w:textDirection w:val="lrTb"/>
            <w:vAlign w:val="center"/>
          </w:tcPr>
          <w:p>
            <w:pPr>
              <w:widowControl/>
              <w:jc w:val="center"/>
              <w:rPr>
                <w:rFonts w:hint="eastAsia" w:ascii="宋体" w:hAnsi="宋体" w:cs="宋体"/>
                <w:kern w:val="0"/>
                <w:sz w:val="20"/>
              </w:rPr>
            </w:pPr>
            <w:r>
              <w:rPr>
                <w:rFonts w:hint="eastAsia" w:ascii="宋体" w:hAnsi="宋体" w:cs="宋体"/>
                <w:kern w:val="0"/>
                <w:sz w:val="20"/>
              </w:rPr>
              <w:t>　</w:t>
            </w:r>
          </w:p>
        </w:tc>
      </w:tr>
    </w:tbl>
    <w:p>
      <w:pPr>
        <w:spacing w:line="360" w:lineRule="auto"/>
        <w:jc w:val="left"/>
        <w:rPr>
          <w:rFonts w:ascii="宋体" w:hAnsi="宋体" w:cs="宋体"/>
          <w:b/>
          <w:sz w:val="32"/>
          <w:szCs w:val="32"/>
        </w:rPr>
      </w:pPr>
      <w:r>
        <w:rPr>
          <w:rFonts w:hint="eastAsia" w:ascii="宋体" w:hAnsi="宋体" w:cs="宋体"/>
          <w:sz w:val="22"/>
        </w:rPr>
        <w:t>注：投标人</w:t>
      </w:r>
      <w:r>
        <w:rPr>
          <w:rFonts w:hint="eastAsia" w:ascii="宋体" w:hAnsi="宋体"/>
          <w:sz w:val="22"/>
        </w:rPr>
        <w:t>自行填报。</w:t>
      </w:r>
    </w:p>
    <w:p>
      <w:pPr>
        <w:spacing w:line="360" w:lineRule="auto"/>
        <w:rPr>
          <w:rFonts w:ascii="宋体" w:hAnsi="宋体" w:cs="宋体"/>
          <w:sz w:val="22"/>
        </w:rPr>
      </w:pPr>
    </w:p>
    <w:p>
      <w:pPr>
        <w:widowControl/>
        <w:jc w:val="left"/>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4.5质保期外备品备件购买价格清单</w:t>
      </w:r>
    </w:p>
    <w:p>
      <w:pPr>
        <w:spacing w:line="360" w:lineRule="auto"/>
        <w:jc w:val="center"/>
        <w:rPr>
          <w:rFonts w:ascii="宋体" w:hAnsi="宋体" w:cs="宋体"/>
          <w:b/>
          <w:sz w:val="32"/>
          <w:szCs w:val="32"/>
        </w:rPr>
      </w:pPr>
      <w:r>
        <w:rPr>
          <w:rFonts w:hint="eastAsia" w:ascii="宋体" w:hAnsi="宋体" w:cs="Arial"/>
          <w:b/>
          <w:sz w:val="22"/>
        </w:rPr>
        <w:t>（不计入总价）</w:t>
      </w:r>
    </w:p>
    <w:tbl>
      <w:tblPr>
        <w:tblStyle w:val="59"/>
        <w:tblpPr w:leftFromText="180" w:rightFromText="180" w:vertAnchor="text" w:tblpY="1"/>
        <w:tblOverlap w:val="never"/>
        <w:tblW w:w="9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086"/>
        <w:gridCol w:w="1134"/>
        <w:gridCol w:w="567"/>
        <w:gridCol w:w="708"/>
        <w:gridCol w:w="426"/>
        <w:gridCol w:w="567"/>
        <w:gridCol w:w="992"/>
        <w:gridCol w:w="992"/>
        <w:gridCol w:w="851"/>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8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货物名称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0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42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99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992" w:type="dxa"/>
            <w:shd w:val="clear" w:color="000000" w:fill="FFFFFF"/>
            <w:vAlign w:val="center"/>
          </w:tcPr>
          <w:p>
            <w:pPr>
              <w:widowControl/>
              <w:jc w:val="both"/>
              <w:rPr>
                <w:rFonts w:ascii="宋体" w:hAnsi="宋体" w:cs="宋体"/>
                <w:b/>
                <w:bCs/>
                <w:kern w:val="0"/>
                <w:sz w:val="20"/>
              </w:rPr>
            </w:pPr>
            <w:r>
              <w:rPr>
                <w:rFonts w:hint="eastAsia" w:ascii="宋体" w:hAnsi="宋体" w:cs="宋体"/>
                <w:b/>
                <w:bCs/>
                <w:kern w:val="0"/>
                <w:sz w:val="20"/>
              </w:rPr>
              <w:t xml:space="preserve">含增值税合价 </w:t>
            </w:r>
          </w:p>
        </w:tc>
        <w:tc>
          <w:tcPr>
            <w:tcW w:w="851" w:type="dxa"/>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 xml:space="preserve">增值税税额 </w:t>
            </w:r>
          </w:p>
        </w:tc>
        <w:tc>
          <w:tcPr>
            <w:tcW w:w="851" w:type="dxa"/>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 xml:space="preserve">不含增值税合价 </w:t>
            </w:r>
          </w:p>
        </w:tc>
        <w:tc>
          <w:tcPr>
            <w:tcW w:w="85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1086"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567" w:type="dxa"/>
            <w:vMerge w:val="continue"/>
            <w:shd w:val="clear" w:color="auto" w:fill="auto"/>
            <w:vAlign w:val="center"/>
          </w:tcPr>
          <w:p>
            <w:pPr>
              <w:widowControl/>
              <w:jc w:val="left"/>
              <w:rPr>
                <w:rFonts w:ascii="宋体" w:hAnsi="宋体" w:cs="宋体"/>
                <w:b/>
                <w:bCs/>
                <w:kern w:val="0"/>
                <w:sz w:val="20"/>
              </w:rPr>
            </w:pPr>
          </w:p>
        </w:tc>
        <w:tc>
          <w:tcPr>
            <w:tcW w:w="708" w:type="dxa"/>
            <w:vMerge w:val="continue"/>
            <w:shd w:val="clear" w:color="auto" w:fill="auto"/>
            <w:vAlign w:val="center"/>
          </w:tcPr>
          <w:p>
            <w:pPr>
              <w:widowControl/>
              <w:jc w:val="left"/>
              <w:rPr>
                <w:rFonts w:ascii="宋体" w:hAnsi="宋体" w:cs="宋体"/>
                <w:b/>
                <w:bCs/>
                <w:kern w:val="0"/>
                <w:sz w:val="20"/>
              </w:rPr>
            </w:pPr>
          </w:p>
        </w:tc>
        <w:tc>
          <w:tcPr>
            <w:tcW w:w="426" w:type="dxa"/>
            <w:vMerge w:val="continue"/>
            <w:shd w:val="clear" w:color="auto" w:fill="auto"/>
            <w:vAlign w:val="center"/>
          </w:tcPr>
          <w:p>
            <w:pPr>
              <w:widowControl/>
              <w:jc w:val="left"/>
              <w:rPr>
                <w:rFonts w:ascii="宋体" w:hAnsi="宋体" w:cs="宋体"/>
                <w:b/>
                <w:bCs/>
                <w:kern w:val="0"/>
                <w:sz w:val="20"/>
              </w:rPr>
            </w:pPr>
          </w:p>
        </w:tc>
        <w:tc>
          <w:tcPr>
            <w:tcW w:w="567" w:type="dxa"/>
            <w:vMerge w:val="continue"/>
            <w:shd w:val="clear" w:color="auto" w:fill="auto"/>
            <w:vAlign w:val="center"/>
          </w:tcPr>
          <w:p>
            <w:pPr>
              <w:widowControl/>
              <w:jc w:val="left"/>
              <w:rPr>
                <w:rFonts w:ascii="宋体" w:hAnsi="宋体" w:cs="宋体"/>
                <w:b/>
                <w:bCs/>
                <w:kern w:val="0"/>
                <w:sz w:val="20"/>
              </w:rPr>
            </w:pPr>
          </w:p>
        </w:tc>
        <w:tc>
          <w:tcPr>
            <w:tcW w:w="99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99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1" w:type="dxa"/>
            <w:vAlign w:val="center"/>
          </w:tcPr>
          <w:p>
            <w:pPr>
              <w:widowControl/>
              <w:jc w:val="left"/>
              <w:rPr>
                <w:rFonts w:ascii="宋体" w:hAnsi="宋体" w:cs="宋体"/>
                <w:b/>
                <w:bCs/>
                <w:kern w:val="0"/>
                <w:sz w:val="20"/>
              </w:rPr>
            </w:pPr>
            <w:r>
              <w:rPr>
                <w:rFonts w:hint="eastAsia" w:ascii="宋体" w:hAnsi="宋体" w:cs="宋体"/>
                <w:b/>
                <w:bCs/>
                <w:kern w:val="0"/>
                <w:sz w:val="20"/>
              </w:rPr>
              <w:t>单位(元)</w:t>
            </w:r>
          </w:p>
        </w:tc>
        <w:tc>
          <w:tcPr>
            <w:tcW w:w="851" w:type="dxa"/>
            <w:vAlign w:val="center"/>
          </w:tcPr>
          <w:p>
            <w:pPr>
              <w:widowControl/>
              <w:jc w:val="left"/>
              <w:rPr>
                <w:rFonts w:ascii="宋体" w:hAnsi="宋体" w:cs="宋体"/>
                <w:b/>
                <w:bCs/>
                <w:kern w:val="0"/>
                <w:sz w:val="20"/>
              </w:rPr>
            </w:pPr>
            <w:r>
              <w:rPr>
                <w:rFonts w:hint="eastAsia" w:ascii="宋体" w:hAnsi="宋体" w:cs="宋体"/>
                <w:b/>
                <w:bCs/>
                <w:kern w:val="0"/>
                <w:sz w:val="20"/>
              </w:rPr>
              <w:t>单位(元)</w:t>
            </w:r>
          </w:p>
        </w:tc>
        <w:tc>
          <w:tcPr>
            <w:tcW w:w="85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Cs/>
                <w:kern w:val="0"/>
                <w:sz w:val="20"/>
              </w:rPr>
            </w:pPr>
          </w:p>
        </w:tc>
        <w:tc>
          <w:tcPr>
            <w:tcW w:w="1086"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snapToGrid w:val="0"/>
              <w:rPr>
                <w:rFonts w:ascii="宋体" w:hAnsi="宋体"/>
                <w:b/>
                <w:bCs/>
                <w:kern w:val="0"/>
                <w:sz w:val="22"/>
              </w:rPr>
            </w:pPr>
          </w:p>
        </w:tc>
        <w:tc>
          <w:tcPr>
            <w:tcW w:w="567" w:type="dxa"/>
            <w:shd w:val="clear" w:color="000000" w:fill="FFFFFF"/>
            <w:vAlign w:val="center"/>
          </w:tcPr>
          <w:p>
            <w:pPr>
              <w:widowControl/>
              <w:snapToGrid w:val="0"/>
              <w:jc w:val="center"/>
              <w:rPr>
                <w:rFonts w:ascii="宋体" w:hAnsi="宋体" w:cs="宋体"/>
                <w:kern w:val="0"/>
                <w:sz w:val="20"/>
              </w:rPr>
            </w:pPr>
          </w:p>
        </w:tc>
        <w:tc>
          <w:tcPr>
            <w:tcW w:w="708" w:type="dxa"/>
            <w:shd w:val="clear" w:color="000000" w:fill="FFFFFF"/>
            <w:vAlign w:val="center"/>
          </w:tcPr>
          <w:p>
            <w:pPr>
              <w:widowControl/>
              <w:snapToGrid w:val="0"/>
              <w:jc w:val="center"/>
              <w:rPr>
                <w:rFonts w:ascii="宋体" w:hAnsi="宋体" w:cs="宋体"/>
                <w:b/>
                <w:bCs/>
                <w:kern w:val="0"/>
                <w:sz w:val="20"/>
              </w:rPr>
            </w:pPr>
          </w:p>
        </w:tc>
        <w:tc>
          <w:tcPr>
            <w:tcW w:w="426" w:type="dxa"/>
            <w:shd w:val="clear" w:color="000000" w:fill="FFFFFF"/>
            <w:vAlign w:val="center"/>
          </w:tcPr>
          <w:p>
            <w:pPr>
              <w:snapToGrid w:val="0"/>
              <w:jc w:val="center"/>
              <w:rPr>
                <w:rFonts w:ascii="宋体" w:hAnsi="宋体"/>
                <w:sz w:val="20"/>
              </w:rPr>
            </w:pPr>
          </w:p>
        </w:tc>
        <w:tc>
          <w:tcPr>
            <w:tcW w:w="567" w:type="dxa"/>
            <w:shd w:val="clear" w:color="000000" w:fill="FFFFFF"/>
            <w:vAlign w:val="center"/>
          </w:tcPr>
          <w:p>
            <w:pPr>
              <w:widowControl/>
              <w:snapToGrid w:val="0"/>
              <w:rPr>
                <w:rFonts w:ascii="宋体" w:hAnsi="宋体"/>
                <w:b/>
                <w:bCs/>
                <w:kern w:val="0"/>
                <w:sz w:val="22"/>
              </w:rPr>
            </w:pPr>
          </w:p>
        </w:tc>
        <w:tc>
          <w:tcPr>
            <w:tcW w:w="992" w:type="dxa"/>
            <w:shd w:val="clear" w:color="000000" w:fill="FFFFFF"/>
            <w:vAlign w:val="center"/>
          </w:tcPr>
          <w:p>
            <w:pPr>
              <w:widowControl/>
              <w:jc w:val="center"/>
              <w:rPr>
                <w:rFonts w:ascii="宋体" w:hAnsi="宋体" w:cs="宋体"/>
                <w:b/>
                <w:bCs/>
                <w:kern w:val="0"/>
                <w:sz w:val="20"/>
              </w:rPr>
            </w:pPr>
          </w:p>
        </w:tc>
        <w:tc>
          <w:tcPr>
            <w:tcW w:w="992" w:type="dxa"/>
            <w:shd w:val="clear" w:color="000000" w:fill="FFFFFF"/>
            <w:vAlign w:val="center"/>
          </w:tcPr>
          <w:p>
            <w:pPr>
              <w:widowControl/>
              <w:jc w:val="left"/>
              <w:rPr>
                <w:rFonts w:ascii="宋体" w:hAnsi="宋体" w:cs="宋体"/>
                <w:bCs/>
                <w:kern w:val="0"/>
                <w:sz w:val="20"/>
              </w:rPr>
            </w:pPr>
          </w:p>
        </w:tc>
        <w:tc>
          <w:tcPr>
            <w:tcW w:w="851" w:type="dxa"/>
            <w:shd w:val="clear" w:color="000000" w:fill="FFFFFF"/>
          </w:tcPr>
          <w:p>
            <w:pPr>
              <w:widowControl/>
              <w:jc w:val="center"/>
              <w:rPr>
                <w:rFonts w:ascii="宋体" w:hAnsi="宋体" w:cs="宋体"/>
                <w:b/>
                <w:bCs/>
                <w:kern w:val="0"/>
                <w:sz w:val="20"/>
              </w:rPr>
            </w:pPr>
          </w:p>
        </w:tc>
        <w:tc>
          <w:tcPr>
            <w:tcW w:w="851" w:type="dxa"/>
            <w:shd w:val="clear" w:color="000000" w:fill="FFFFFF"/>
          </w:tcPr>
          <w:p>
            <w:pPr>
              <w:widowControl/>
              <w:jc w:val="center"/>
              <w:rPr>
                <w:rFonts w:ascii="宋体" w:hAnsi="宋体" w:cs="宋体"/>
                <w:b/>
                <w:bCs/>
                <w:kern w:val="0"/>
                <w:sz w:val="20"/>
              </w:rPr>
            </w:pPr>
          </w:p>
        </w:tc>
        <w:tc>
          <w:tcPr>
            <w:tcW w:w="85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1086" w:type="dxa"/>
            <w:shd w:val="clear" w:color="000000" w:fill="FFFFFF"/>
            <w:vAlign w:val="center"/>
          </w:tcPr>
          <w:p>
            <w:pPr>
              <w:widowControl/>
              <w:snapToGrid w:val="0"/>
              <w:rPr>
                <w:rFonts w:ascii="宋体" w:hAnsi="宋体" w:cs="宋体"/>
                <w:kern w:val="0"/>
                <w:sz w:val="22"/>
              </w:rPr>
            </w:pPr>
          </w:p>
        </w:tc>
        <w:tc>
          <w:tcPr>
            <w:tcW w:w="1134" w:type="dxa"/>
            <w:shd w:val="clear" w:color="000000" w:fill="FFFFFF"/>
            <w:vAlign w:val="center"/>
          </w:tcPr>
          <w:p>
            <w:pPr>
              <w:widowControl/>
              <w:snapToGrid w:val="0"/>
              <w:rPr>
                <w:rFonts w:ascii="宋体" w:hAnsi="宋体"/>
                <w:b/>
                <w:bCs/>
                <w:kern w:val="0"/>
                <w:sz w:val="22"/>
              </w:rPr>
            </w:pPr>
          </w:p>
        </w:tc>
        <w:tc>
          <w:tcPr>
            <w:tcW w:w="567" w:type="dxa"/>
            <w:shd w:val="clear" w:color="000000" w:fill="FFFFFF"/>
            <w:vAlign w:val="center"/>
          </w:tcPr>
          <w:p>
            <w:pPr>
              <w:widowControl/>
              <w:snapToGrid w:val="0"/>
              <w:jc w:val="center"/>
              <w:rPr>
                <w:rFonts w:ascii="宋体" w:hAnsi="宋体" w:cs="宋体"/>
                <w:kern w:val="0"/>
                <w:sz w:val="20"/>
              </w:rPr>
            </w:pPr>
          </w:p>
        </w:tc>
        <w:tc>
          <w:tcPr>
            <w:tcW w:w="708" w:type="dxa"/>
            <w:shd w:val="clear" w:color="000000" w:fill="FFFFFF"/>
            <w:vAlign w:val="center"/>
          </w:tcPr>
          <w:p>
            <w:pPr>
              <w:widowControl/>
              <w:snapToGrid w:val="0"/>
              <w:jc w:val="center"/>
              <w:rPr>
                <w:rFonts w:ascii="宋体" w:hAnsi="宋体" w:cs="宋体"/>
                <w:b/>
                <w:bCs/>
                <w:kern w:val="0"/>
                <w:sz w:val="20"/>
              </w:rPr>
            </w:pPr>
          </w:p>
        </w:tc>
        <w:tc>
          <w:tcPr>
            <w:tcW w:w="426" w:type="dxa"/>
            <w:shd w:val="clear" w:color="000000" w:fill="FFFFFF"/>
            <w:vAlign w:val="center"/>
          </w:tcPr>
          <w:p>
            <w:pPr>
              <w:snapToGrid w:val="0"/>
              <w:jc w:val="center"/>
              <w:rPr>
                <w:rFonts w:ascii="宋体" w:hAnsi="宋体"/>
                <w:sz w:val="20"/>
              </w:rPr>
            </w:pPr>
          </w:p>
        </w:tc>
        <w:tc>
          <w:tcPr>
            <w:tcW w:w="567" w:type="dxa"/>
            <w:shd w:val="clear" w:color="000000" w:fill="FFFFFF"/>
            <w:vAlign w:val="center"/>
          </w:tcPr>
          <w:p>
            <w:pPr>
              <w:widowControl/>
              <w:snapToGrid w:val="0"/>
              <w:rPr>
                <w:rFonts w:ascii="宋体" w:hAnsi="宋体"/>
                <w:b/>
                <w:bCs/>
                <w:kern w:val="0"/>
                <w:sz w:val="22"/>
              </w:rPr>
            </w:pPr>
          </w:p>
        </w:tc>
        <w:tc>
          <w:tcPr>
            <w:tcW w:w="992" w:type="dxa"/>
            <w:shd w:val="clear" w:color="000000" w:fill="FFFFFF"/>
            <w:vAlign w:val="center"/>
          </w:tcPr>
          <w:p>
            <w:pPr>
              <w:widowControl/>
              <w:jc w:val="center"/>
              <w:rPr>
                <w:rFonts w:ascii="宋体" w:hAnsi="宋体" w:cs="宋体"/>
                <w:b/>
                <w:bCs/>
                <w:kern w:val="0"/>
                <w:sz w:val="20"/>
              </w:rPr>
            </w:pPr>
          </w:p>
        </w:tc>
        <w:tc>
          <w:tcPr>
            <w:tcW w:w="992" w:type="dxa"/>
            <w:shd w:val="clear" w:color="000000" w:fill="FFFFFF"/>
            <w:vAlign w:val="center"/>
          </w:tcPr>
          <w:p>
            <w:pPr>
              <w:widowControl/>
              <w:jc w:val="left"/>
              <w:rPr>
                <w:rFonts w:ascii="宋体" w:hAnsi="宋体" w:cs="宋体"/>
                <w:bCs/>
                <w:kern w:val="0"/>
                <w:sz w:val="20"/>
              </w:rPr>
            </w:pPr>
          </w:p>
        </w:tc>
        <w:tc>
          <w:tcPr>
            <w:tcW w:w="851" w:type="dxa"/>
            <w:shd w:val="clear" w:color="000000" w:fill="FFFFFF"/>
          </w:tcPr>
          <w:p>
            <w:pPr>
              <w:widowControl/>
              <w:jc w:val="center"/>
              <w:rPr>
                <w:rFonts w:ascii="宋体" w:hAnsi="宋体" w:cs="宋体"/>
                <w:b/>
                <w:bCs/>
                <w:kern w:val="0"/>
                <w:sz w:val="20"/>
              </w:rPr>
            </w:pPr>
          </w:p>
        </w:tc>
        <w:tc>
          <w:tcPr>
            <w:tcW w:w="851" w:type="dxa"/>
            <w:shd w:val="clear" w:color="000000" w:fill="FFFFFF"/>
          </w:tcPr>
          <w:p>
            <w:pPr>
              <w:widowControl/>
              <w:jc w:val="center"/>
              <w:rPr>
                <w:rFonts w:ascii="宋体" w:hAnsi="宋体" w:cs="宋体"/>
                <w:b/>
                <w:bCs/>
                <w:kern w:val="0"/>
                <w:sz w:val="20"/>
              </w:rPr>
            </w:pPr>
          </w:p>
        </w:tc>
        <w:tc>
          <w:tcPr>
            <w:tcW w:w="85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1086" w:type="dxa"/>
            <w:shd w:val="clear" w:color="000000" w:fill="FFFFFF"/>
            <w:vAlign w:val="center"/>
          </w:tcPr>
          <w:p>
            <w:pPr>
              <w:widowControl/>
              <w:snapToGrid w:val="0"/>
              <w:rPr>
                <w:rFonts w:ascii="宋体" w:hAnsi="宋体" w:cs="宋体"/>
                <w:kern w:val="0"/>
                <w:sz w:val="22"/>
              </w:rPr>
            </w:pPr>
          </w:p>
        </w:tc>
        <w:tc>
          <w:tcPr>
            <w:tcW w:w="1134" w:type="dxa"/>
            <w:shd w:val="clear" w:color="000000" w:fill="FFFFFF"/>
            <w:vAlign w:val="center"/>
          </w:tcPr>
          <w:p>
            <w:pPr>
              <w:widowControl/>
              <w:snapToGrid w:val="0"/>
              <w:rPr>
                <w:rFonts w:ascii="宋体" w:hAnsi="宋体"/>
                <w:b/>
                <w:bCs/>
                <w:kern w:val="0"/>
                <w:sz w:val="22"/>
              </w:rPr>
            </w:pPr>
          </w:p>
        </w:tc>
        <w:tc>
          <w:tcPr>
            <w:tcW w:w="567" w:type="dxa"/>
            <w:shd w:val="clear" w:color="000000" w:fill="FFFFFF"/>
            <w:vAlign w:val="center"/>
          </w:tcPr>
          <w:p>
            <w:pPr>
              <w:widowControl/>
              <w:snapToGrid w:val="0"/>
              <w:jc w:val="center"/>
              <w:rPr>
                <w:rFonts w:ascii="宋体" w:hAnsi="宋体" w:cs="宋体"/>
                <w:kern w:val="0"/>
                <w:sz w:val="20"/>
              </w:rPr>
            </w:pPr>
          </w:p>
        </w:tc>
        <w:tc>
          <w:tcPr>
            <w:tcW w:w="708" w:type="dxa"/>
            <w:shd w:val="clear" w:color="000000" w:fill="FFFFFF"/>
            <w:vAlign w:val="center"/>
          </w:tcPr>
          <w:p>
            <w:pPr>
              <w:widowControl/>
              <w:snapToGrid w:val="0"/>
              <w:jc w:val="center"/>
              <w:rPr>
                <w:rFonts w:ascii="宋体" w:hAnsi="宋体" w:cs="宋体"/>
                <w:b/>
                <w:bCs/>
                <w:kern w:val="0"/>
                <w:sz w:val="20"/>
              </w:rPr>
            </w:pPr>
          </w:p>
        </w:tc>
        <w:tc>
          <w:tcPr>
            <w:tcW w:w="426" w:type="dxa"/>
            <w:shd w:val="clear" w:color="000000" w:fill="FFFFFF"/>
            <w:vAlign w:val="center"/>
          </w:tcPr>
          <w:p>
            <w:pPr>
              <w:snapToGrid w:val="0"/>
              <w:jc w:val="center"/>
              <w:rPr>
                <w:rFonts w:ascii="宋体" w:hAnsi="宋体"/>
                <w:sz w:val="20"/>
              </w:rPr>
            </w:pPr>
          </w:p>
        </w:tc>
        <w:tc>
          <w:tcPr>
            <w:tcW w:w="567" w:type="dxa"/>
            <w:shd w:val="clear" w:color="000000" w:fill="FFFFFF"/>
            <w:vAlign w:val="center"/>
          </w:tcPr>
          <w:p>
            <w:pPr>
              <w:widowControl/>
              <w:snapToGrid w:val="0"/>
              <w:rPr>
                <w:rFonts w:ascii="宋体" w:hAnsi="宋体"/>
                <w:b/>
                <w:bCs/>
                <w:kern w:val="0"/>
                <w:sz w:val="22"/>
              </w:rPr>
            </w:pPr>
          </w:p>
        </w:tc>
        <w:tc>
          <w:tcPr>
            <w:tcW w:w="992" w:type="dxa"/>
            <w:shd w:val="clear" w:color="000000" w:fill="FFFFFF"/>
            <w:vAlign w:val="center"/>
          </w:tcPr>
          <w:p>
            <w:pPr>
              <w:widowControl/>
              <w:jc w:val="center"/>
              <w:rPr>
                <w:rFonts w:ascii="宋体" w:hAnsi="宋体" w:cs="宋体"/>
                <w:b/>
                <w:bCs/>
                <w:kern w:val="0"/>
                <w:sz w:val="20"/>
              </w:rPr>
            </w:pPr>
          </w:p>
        </w:tc>
        <w:tc>
          <w:tcPr>
            <w:tcW w:w="992" w:type="dxa"/>
            <w:shd w:val="clear" w:color="000000" w:fill="FFFFFF"/>
            <w:vAlign w:val="center"/>
          </w:tcPr>
          <w:p>
            <w:pPr>
              <w:widowControl/>
              <w:jc w:val="left"/>
              <w:rPr>
                <w:rFonts w:ascii="宋体" w:hAnsi="宋体" w:cs="宋体"/>
                <w:bCs/>
                <w:kern w:val="0"/>
                <w:sz w:val="20"/>
              </w:rPr>
            </w:pPr>
          </w:p>
        </w:tc>
        <w:tc>
          <w:tcPr>
            <w:tcW w:w="851" w:type="dxa"/>
            <w:shd w:val="clear" w:color="000000" w:fill="FFFFFF"/>
          </w:tcPr>
          <w:p>
            <w:pPr>
              <w:widowControl/>
              <w:jc w:val="center"/>
              <w:rPr>
                <w:rFonts w:ascii="宋体" w:hAnsi="宋体" w:cs="宋体"/>
                <w:b/>
                <w:bCs/>
                <w:kern w:val="0"/>
                <w:sz w:val="20"/>
              </w:rPr>
            </w:pPr>
          </w:p>
        </w:tc>
        <w:tc>
          <w:tcPr>
            <w:tcW w:w="851" w:type="dxa"/>
            <w:shd w:val="clear" w:color="000000" w:fill="FFFFFF"/>
          </w:tcPr>
          <w:p>
            <w:pPr>
              <w:widowControl/>
              <w:jc w:val="center"/>
              <w:rPr>
                <w:rFonts w:ascii="宋体" w:hAnsi="宋体" w:cs="宋体"/>
                <w:b/>
                <w:bCs/>
                <w:kern w:val="0"/>
                <w:sz w:val="20"/>
              </w:rPr>
            </w:pPr>
          </w:p>
        </w:tc>
        <w:tc>
          <w:tcPr>
            <w:tcW w:w="85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1086" w:type="dxa"/>
            <w:shd w:val="clear" w:color="000000" w:fill="FFFFFF"/>
            <w:vAlign w:val="center"/>
          </w:tcPr>
          <w:p>
            <w:pPr>
              <w:widowControl/>
              <w:snapToGrid w:val="0"/>
              <w:rPr>
                <w:rFonts w:ascii="宋体" w:hAnsi="宋体" w:cs="宋体"/>
                <w:kern w:val="0"/>
                <w:sz w:val="22"/>
              </w:rPr>
            </w:pPr>
          </w:p>
        </w:tc>
        <w:tc>
          <w:tcPr>
            <w:tcW w:w="1134" w:type="dxa"/>
            <w:shd w:val="clear" w:color="000000" w:fill="FFFFFF"/>
            <w:vAlign w:val="center"/>
          </w:tcPr>
          <w:p>
            <w:pPr>
              <w:widowControl/>
              <w:snapToGrid w:val="0"/>
              <w:rPr>
                <w:rFonts w:ascii="宋体" w:hAnsi="宋体"/>
                <w:b/>
                <w:bCs/>
                <w:kern w:val="0"/>
                <w:sz w:val="22"/>
              </w:rPr>
            </w:pPr>
          </w:p>
        </w:tc>
        <w:tc>
          <w:tcPr>
            <w:tcW w:w="567" w:type="dxa"/>
            <w:shd w:val="clear" w:color="000000" w:fill="FFFFFF"/>
            <w:vAlign w:val="center"/>
          </w:tcPr>
          <w:p>
            <w:pPr>
              <w:widowControl/>
              <w:snapToGrid w:val="0"/>
              <w:jc w:val="center"/>
              <w:rPr>
                <w:rFonts w:ascii="宋体" w:hAnsi="宋体" w:cs="宋体"/>
                <w:kern w:val="0"/>
                <w:sz w:val="20"/>
              </w:rPr>
            </w:pPr>
          </w:p>
        </w:tc>
        <w:tc>
          <w:tcPr>
            <w:tcW w:w="708" w:type="dxa"/>
            <w:shd w:val="clear" w:color="000000" w:fill="FFFFFF"/>
            <w:vAlign w:val="center"/>
          </w:tcPr>
          <w:p>
            <w:pPr>
              <w:widowControl/>
              <w:snapToGrid w:val="0"/>
              <w:jc w:val="center"/>
              <w:rPr>
                <w:rFonts w:ascii="宋体" w:hAnsi="宋体" w:cs="宋体"/>
                <w:b/>
                <w:bCs/>
                <w:kern w:val="0"/>
                <w:sz w:val="20"/>
              </w:rPr>
            </w:pPr>
          </w:p>
        </w:tc>
        <w:tc>
          <w:tcPr>
            <w:tcW w:w="426" w:type="dxa"/>
            <w:shd w:val="clear" w:color="000000" w:fill="FFFFFF"/>
            <w:vAlign w:val="center"/>
          </w:tcPr>
          <w:p>
            <w:pPr>
              <w:snapToGrid w:val="0"/>
              <w:jc w:val="center"/>
              <w:rPr>
                <w:rFonts w:ascii="宋体" w:hAnsi="宋体"/>
                <w:sz w:val="20"/>
              </w:rPr>
            </w:pPr>
          </w:p>
        </w:tc>
        <w:tc>
          <w:tcPr>
            <w:tcW w:w="567" w:type="dxa"/>
            <w:shd w:val="clear" w:color="000000" w:fill="FFFFFF"/>
            <w:vAlign w:val="center"/>
          </w:tcPr>
          <w:p>
            <w:pPr>
              <w:widowControl/>
              <w:snapToGrid w:val="0"/>
              <w:rPr>
                <w:rFonts w:ascii="宋体" w:hAnsi="宋体"/>
                <w:b/>
                <w:bCs/>
                <w:kern w:val="0"/>
                <w:sz w:val="22"/>
              </w:rPr>
            </w:pPr>
          </w:p>
        </w:tc>
        <w:tc>
          <w:tcPr>
            <w:tcW w:w="992" w:type="dxa"/>
            <w:shd w:val="clear" w:color="000000" w:fill="FFFFFF"/>
            <w:vAlign w:val="center"/>
          </w:tcPr>
          <w:p>
            <w:pPr>
              <w:widowControl/>
              <w:jc w:val="center"/>
              <w:rPr>
                <w:rFonts w:ascii="宋体" w:hAnsi="宋体" w:cs="宋体"/>
                <w:b/>
                <w:bCs/>
                <w:kern w:val="0"/>
                <w:sz w:val="20"/>
              </w:rPr>
            </w:pPr>
          </w:p>
        </w:tc>
        <w:tc>
          <w:tcPr>
            <w:tcW w:w="992" w:type="dxa"/>
            <w:shd w:val="clear" w:color="000000" w:fill="FFFFFF"/>
            <w:vAlign w:val="center"/>
          </w:tcPr>
          <w:p>
            <w:pPr>
              <w:widowControl/>
              <w:jc w:val="left"/>
              <w:rPr>
                <w:rFonts w:ascii="宋体" w:hAnsi="宋体" w:cs="宋体"/>
                <w:bCs/>
                <w:kern w:val="0"/>
                <w:sz w:val="20"/>
              </w:rPr>
            </w:pPr>
          </w:p>
        </w:tc>
        <w:tc>
          <w:tcPr>
            <w:tcW w:w="851" w:type="dxa"/>
            <w:shd w:val="clear" w:color="000000" w:fill="FFFFFF"/>
          </w:tcPr>
          <w:p>
            <w:pPr>
              <w:widowControl/>
              <w:jc w:val="center"/>
              <w:rPr>
                <w:rFonts w:ascii="宋体" w:hAnsi="宋体" w:cs="宋体"/>
                <w:b/>
                <w:bCs/>
                <w:kern w:val="0"/>
                <w:sz w:val="20"/>
              </w:rPr>
            </w:pPr>
          </w:p>
        </w:tc>
        <w:tc>
          <w:tcPr>
            <w:tcW w:w="851" w:type="dxa"/>
            <w:shd w:val="clear" w:color="000000" w:fill="FFFFFF"/>
          </w:tcPr>
          <w:p>
            <w:pPr>
              <w:widowControl/>
              <w:jc w:val="center"/>
              <w:rPr>
                <w:rFonts w:ascii="宋体" w:hAnsi="宋体" w:cs="宋体"/>
                <w:b/>
                <w:bCs/>
                <w:kern w:val="0"/>
                <w:sz w:val="20"/>
              </w:rPr>
            </w:pPr>
          </w:p>
        </w:tc>
        <w:tc>
          <w:tcPr>
            <w:tcW w:w="85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1086" w:type="dxa"/>
            <w:shd w:val="clear" w:color="000000" w:fill="FFFFFF"/>
            <w:vAlign w:val="center"/>
          </w:tcPr>
          <w:p>
            <w:pPr>
              <w:widowControl/>
              <w:jc w:val="center"/>
              <w:rPr>
                <w:rFonts w:ascii="宋体" w:hAnsi="宋体"/>
                <w:b/>
                <w:bCs/>
                <w:kern w:val="0"/>
                <w:szCs w:val="21"/>
              </w:rPr>
            </w:pPr>
          </w:p>
        </w:tc>
        <w:tc>
          <w:tcPr>
            <w:tcW w:w="1134" w:type="dxa"/>
            <w:shd w:val="clear" w:color="000000" w:fill="FFFFFF"/>
            <w:vAlign w:val="center"/>
          </w:tcPr>
          <w:p>
            <w:pPr>
              <w:widowControl/>
              <w:snapToGrid w:val="0"/>
              <w:rPr>
                <w:rFonts w:ascii="宋体" w:hAnsi="宋体"/>
                <w:b/>
                <w:bCs/>
                <w:kern w:val="0"/>
                <w:sz w:val="22"/>
              </w:rPr>
            </w:pPr>
          </w:p>
        </w:tc>
        <w:tc>
          <w:tcPr>
            <w:tcW w:w="567" w:type="dxa"/>
            <w:shd w:val="clear" w:color="000000" w:fill="FFFFFF"/>
            <w:vAlign w:val="center"/>
          </w:tcPr>
          <w:p>
            <w:pPr>
              <w:widowControl/>
              <w:snapToGrid w:val="0"/>
              <w:jc w:val="center"/>
              <w:rPr>
                <w:rFonts w:ascii="宋体" w:hAnsi="宋体" w:cs="宋体"/>
                <w:kern w:val="0"/>
                <w:sz w:val="20"/>
              </w:rPr>
            </w:pPr>
          </w:p>
        </w:tc>
        <w:tc>
          <w:tcPr>
            <w:tcW w:w="708" w:type="dxa"/>
            <w:shd w:val="clear" w:color="000000" w:fill="FFFFFF"/>
            <w:vAlign w:val="center"/>
          </w:tcPr>
          <w:p>
            <w:pPr>
              <w:widowControl/>
              <w:snapToGrid w:val="0"/>
              <w:jc w:val="center"/>
              <w:rPr>
                <w:rFonts w:ascii="宋体" w:hAnsi="宋体" w:cs="宋体"/>
                <w:b/>
                <w:bCs/>
                <w:kern w:val="0"/>
                <w:sz w:val="20"/>
              </w:rPr>
            </w:pPr>
          </w:p>
        </w:tc>
        <w:tc>
          <w:tcPr>
            <w:tcW w:w="426" w:type="dxa"/>
            <w:shd w:val="clear" w:color="000000" w:fill="FFFFFF"/>
            <w:vAlign w:val="center"/>
          </w:tcPr>
          <w:p>
            <w:pPr>
              <w:snapToGrid w:val="0"/>
              <w:jc w:val="center"/>
              <w:rPr>
                <w:rFonts w:ascii="宋体" w:hAnsi="宋体"/>
                <w:sz w:val="20"/>
              </w:rPr>
            </w:pPr>
          </w:p>
        </w:tc>
        <w:tc>
          <w:tcPr>
            <w:tcW w:w="567" w:type="dxa"/>
            <w:shd w:val="clear" w:color="000000" w:fill="FFFFFF"/>
            <w:vAlign w:val="center"/>
          </w:tcPr>
          <w:p>
            <w:pPr>
              <w:widowControl/>
              <w:snapToGrid w:val="0"/>
              <w:rPr>
                <w:rFonts w:ascii="宋体" w:hAnsi="宋体"/>
                <w:b/>
                <w:bCs/>
                <w:kern w:val="0"/>
                <w:sz w:val="22"/>
              </w:rPr>
            </w:pPr>
          </w:p>
        </w:tc>
        <w:tc>
          <w:tcPr>
            <w:tcW w:w="992" w:type="dxa"/>
            <w:shd w:val="clear" w:color="000000" w:fill="FFFFFF"/>
            <w:vAlign w:val="center"/>
          </w:tcPr>
          <w:p>
            <w:pPr>
              <w:widowControl/>
              <w:jc w:val="center"/>
              <w:rPr>
                <w:rFonts w:ascii="宋体" w:hAnsi="宋体" w:cs="宋体"/>
                <w:b/>
                <w:bCs/>
                <w:kern w:val="0"/>
                <w:sz w:val="20"/>
              </w:rPr>
            </w:pPr>
          </w:p>
        </w:tc>
        <w:tc>
          <w:tcPr>
            <w:tcW w:w="992" w:type="dxa"/>
            <w:shd w:val="clear" w:color="000000" w:fill="FFFFFF"/>
            <w:vAlign w:val="center"/>
          </w:tcPr>
          <w:p>
            <w:pPr>
              <w:widowControl/>
              <w:jc w:val="left"/>
              <w:rPr>
                <w:rFonts w:ascii="宋体" w:hAnsi="宋体" w:cs="宋体"/>
                <w:bCs/>
                <w:kern w:val="0"/>
                <w:sz w:val="20"/>
              </w:rPr>
            </w:pPr>
          </w:p>
        </w:tc>
        <w:tc>
          <w:tcPr>
            <w:tcW w:w="851" w:type="dxa"/>
            <w:shd w:val="clear" w:color="000000" w:fill="FFFFFF"/>
          </w:tcPr>
          <w:p>
            <w:pPr>
              <w:widowControl/>
              <w:jc w:val="center"/>
              <w:rPr>
                <w:rFonts w:ascii="宋体" w:hAnsi="宋体" w:cs="宋体"/>
                <w:b/>
                <w:bCs/>
                <w:kern w:val="0"/>
                <w:sz w:val="20"/>
              </w:rPr>
            </w:pPr>
          </w:p>
        </w:tc>
        <w:tc>
          <w:tcPr>
            <w:tcW w:w="851" w:type="dxa"/>
            <w:shd w:val="clear" w:color="000000" w:fill="FFFFFF"/>
          </w:tcPr>
          <w:p>
            <w:pPr>
              <w:widowControl/>
              <w:jc w:val="center"/>
              <w:rPr>
                <w:rFonts w:ascii="宋体" w:hAnsi="宋体" w:cs="宋体"/>
                <w:b/>
                <w:bCs/>
                <w:kern w:val="0"/>
                <w:sz w:val="20"/>
              </w:rPr>
            </w:pPr>
          </w:p>
        </w:tc>
        <w:tc>
          <w:tcPr>
            <w:tcW w:w="85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1086" w:type="dxa"/>
            <w:shd w:val="clear" w:color="000000" w:fill="FFFFFF"/>
            <w:vAlign w:val="center"/>
          </w:tcPr>
          <w:p>
            <w:pPr>
              <w:widowControl/>
              <w:snapToGrid w:val="0"/>
              <w:rPr>
                <w:rFonts w:ascii="宋体" w:hAnsi="宋体" w:cs="宋体"/>
                <w:kern w:val="0"/>
                <w:sz w:val="22"/>
              </w:rPr>
            </w:pPr>
          </w:p>
        </w:tc>
        <w:tc>
          <w:tcPr>
            <w:tcW w:w="1134" w:type="dxa"/>
            <w:shd w:val="clear" w:color="000000" w:fill="FFFFFF"/>
            <w:vAlign w:val="center"/>
          </w:tcPr>
          <w:p>
            <w:pPr>
              <w:widowControl/>
              <w:snapToGrid w:val="0"/>
              <w:rPr>
                <w:rFonts w:ascii="宋体" w:hAnsi="宋体"/>
                <w:b/>
                <w:bCs/>
                <w:kern w:val="0"/>
                <w:sz w:val="22"/>
              </w:rPr>
            </w:pPr>
          </w:p>
        </w:tc>
        <w:tc>
          <w:tcPr>
            <w:tcW w:w="567" w:type="dxa"/>
            <w:shd w:val="clear" w:color="000000" w:fill="FFFFFF"/>
            <w:vAlign w:val="center"/>
          </w:tcPr>
          <w:p>
            <w:pPr>
              <w:widowControl/>
              <w:snapToGrid w:val="0"/>
              <w:jc w:val="center"/>
              <w:rPr>
                <w:rFonts w:ascii="宋体" w:hAnsi="宋体" w:cs="宋体"/>
                <w:kern w:val="0"/>
                <w:sz w:val="20"/>
              </w:rPr>
            </w:pPr>
          </w:p>
        </w:tc>
        <w:tc>
          <w:tcPr>
            <w:tcW w:w="708" w:type="dxa"/>
            <w:shd w:val="clear" w:color="000000" w:fill="FFFFFF"/>
            <w:vAlign w:val="center"/>
          </w:tcPr>
          <w:p>
            <w:pPr>
              <w:widowControl/>
              <w:snapToGrid w:val="0"/>
              <w:jc w:val="center"/>
              <w:rPr>
                <w:rFonts w:ascii="宋体" w:hAnsi="宋体" w:cs="宋体"/>
                <w:b/>
                <w:bCs/>
                <w:kern w:val="0"/>
                <w:sz w:val="20"/>
              </w:rPr>
            </w:pPr>
          </w:p>
        </w:tc>
        <w:tc>
          <w:tcPr>
            <w:tcW w:w="426" w:type="dxa"/>
            <w:shd w:val="clear" w:color="000000" w:fill="FFFFFF"/>
            <w:vAlign w:val="center"/>
          </w:tcPr>
          <w:p>
            <w:pPr>
              <w:snapToGrid w:val="0"/>
              <w:jc w:val="center"/>
              <w:rPr>
                <w:rFonts w:ascii="宋体" w:hAnsi="宋体"/>
                <w:sz w:val="20"/>
              </w:rPr>
            </w:pPr>
          </w:p>
        </w:tc>
        <w:tc>
          <w:tcPr>
            <w:tcW w:w="567" w:type="dxa"/>
            <w:shd w:val="clear" w:color="000000" w:fill="FFFFFF"/>
            <w:vAlign w:val="center"/>
          </w:tcPr>
          <w:p>
            <w:pPr>
              <w:widowControl/>
              <w:snapToGrid w:val="0"/>
              <w:rPr>
                <w:rFonts w:ascii="宋体" w:hAnsi="宋体"/>
                <w:b/>
                <w:bCs/>
                <w:kern w:val="0"/>
                <w:sz w:val="22"/>
              </w:rPr>
            </w:pPr>
          </w:p>
        </w:tc>
        <w:tc>
          <w:tcPr>
            <w:tcW w:w="992" w:type="dxa"/>
            <w:shd w:val="clear" w:color="000000" w:fill="FFFFFF"/>
            <w:vAlign w:val="center"/>
          </w:tcPr>
          <w:p>
            <w:pPr>
              <w:widowControl/>
              <w:jc w:val="center"/>
              <w:rPr>
                <w:rFonts w:ascii="宋体" w:hAnsi="宋体" w:cs="宋体"/>
                <w:b/>
                <w:bCs/>
                <w:kern w:val="0"/>
                <w:sz w:val="20"/>
              </w:rPr>
            </w:pPr>
          </w:p>
        </w:tc>
        <w:tc>
          <w:tcPr>
            <w:tcW w:w="992" w:type="dxa"/>
            <w:shd w:val="clear" w:color="000000" w:fill="FFFFFF"/>
            <w:vAlign w:val="center"/>
          </w:tcPr>
          <w:p>
            <w:pPr>
              <w:widowControl/>
              <w:jc w:val="left"/>
              <w:rPr>
                <w:rFonts w:ascii="宋体" w:hAnsi="宋体" w:cs="宋体"/>
                <w:bCs/>
                <w:kern w:val="0"/>
                <w:sz w:val="20"/>
              </w:rPr>
            </w:pPr>
          </w:p>
        </w:tc>
        <w:tc>
          <w:tcPr>
            <w:tcW w:w="851" w:type="dxa"/>
            <w:shd w:val="clear" w:color="000000" w:fill="FFFFFF"/>
          </w:tcPr>
          <w:p>
            <w:pPr>
              <w:widowControl/>
              <w:jc w:val="center"/>
              <w:rPr>
                <w:rFonts w:ascii="宋体" w:hAnsi="宋体" w:cs="宋体"/>
                <w:b/>
                <w:bCs/>
                <w:kern w:val="0"/>
                <w:sz w:val="20"/>
              </w:rPr>
            </w:pPr>
          </w:p>
        </w:tc>
        <w:tc>
          <w:tcPr>
            <w:tcW w:w="851" w:type="dxa"/>
            <w:shd w:val="clear" w:color="000000" w:fill="FFFFFF"/>
          </w:tcPr>
          <w:p>
            <w:pPr>
              <w:widowControl/>
              <w:jc w:val="center"/>
              <w:rPr>
                <w:rFonts w:ascii="宋体" w:hAnsi="宋体" w:cs="宋体"/>
                <w:b/>
                <w:bCs/>
                <w:kern w:val="0"/>
                <w:sz w:val="20"/>
              </w:rPr>
            </w:pPr>
          </w:p>
        </w:tc>
        <w:tc>
          <w:tcPr>
            <w:tcW w:w="85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1086" w:type="dxa"/>
            <w:shd w:val="clear" w:color="000000" w:fill="FFFFFF"/>
            <w:vAlign w:val="center"/>
          </w:tcPr>
          <w:p>
            <w:pPr>
              <w:widowControl/>
              <w:snapToGrid w:val="0"/>
              <w:rPr>
                <w:rFonts w:ascii="宋体" w:hAnsi="宋体" w:cs="宋体"/>
                <w:kern w:val="0"/>
                <w:sz w:val="22"/>
              </w:rPr>
            </w:pPr>
          </w:p>
        </w:tc>
        <w:tc>
          <w:tcPr>
            <w:tcW w:w="1134" w:type="dxa"/>
            <w:shd w:val="clear" w:color="000000" w:fill="FFFFFF"/>
            <w:vAlign w:val="center"/>
          </w:tcPr>
          <w:p>
            <w:pPr>
              <w:widowControl/>
              <w:snapToGrid w:val="0"/>
              <w:rPr>
                <w:rFonts w:ascii="宋体" w:hAnsi="宋体"/>
                <w:b/>
                <w:bCs/>
                <w:kern w:val="0"/>
                <w:sz w:val="22"/>
              </w:rPr>
            </w:pPr>
          </w:p>
        </w:tc>
        <w:tc>
          <w:tcPr>
            <w:tcW w:w="567" w:type="dxa"/>
            <w:shd w:val="clear" w:color="000000" w:fill="FFFFFF"/>
            <w:vAlign w:val="center"/>
          </w:tcPr>
          <w:p>
            <w:pPr>
              <w:widowControl/>
              <w:snapToGrid w:val="0"/>
              <w:jc w:val="center"/>
              <w:rPr>
                <w:rFonts w:ascii="宋体" w:hAnsi="宋体" w:cs="宋体"/>
                <w:kern w:val="0"/>
                <w:sz w:val="20"/>
              </w:rPr>
            </w:pPr>
          </w:p>
        </w:tc>
        <w:tc>
          <w:tcPr>
            <w:tcW w:w="708" w:type="dxa"/>
            <w:shd w:val="clear" w:color="000000" w:fill="FFFFFF"/>
            <w:vAlign w:val="center"/>
          </w:tcPr>
          <w:p>
            <w:pPr>
              <w:widowControl/>
              <w:snapToGrid w:val="0"/>
              <w:jc w:val="center"/>
              <w:rPr>
                <w:rFonts w:ascii="宋体" w:hAnsi="宋体" w:cs="宋体"/>
                <w:b/>
                <w:bCs/>
                <w:kern w:val="0"/>
                <w:sz w:val="20"/>
              </w:rPr>
            </w:pPr>
          </w:p>
        </w:tc>
        <w:tc>
          <w:tcPr>
            <w:tcW w:w="426" w:type="dxa"/>
            <w:shd w:val="clear" w:color="000000" w:fill="FFFFFF"/>
            <w:vAlign w:val="center"/>
          </w:tcPr>
          <w:p>
            <w:pPr>
              <w:snapToGrid w:val="0"/>
              <w:jc w:val="center"/>
              <w:rPr>
                <w:rFonts w:ascii="宋体" w:hAnsi="宋体"/>
                <w:sz w:val="20"/>
              </w:rPr>
            </w:pPr>
          </w:p>
        </w:tc>
        <w:tc>
          <w:tcPr>
            <w:tcW w:w="567" w:type="dxa"/>
            <w:shd w:val="clear" w:color="000000" w:fill="FFFFFF"/>
            <w:vAlign w:val="center"/>
          </w:tcPr>
          <w:p>
            <w:pPr>
              <w:widowControl/>
              <w:snapToGrid w:val="0"/>
              <w:rPr>
                <w:rFonts w:ascii="宋体" w:hAnsi="宋体"/>
                <w:b/>
                <w:bCs/>
                <w:kern w:val="0"/>
                <w:sz w:val="22"/>
              </w:rPr>
            </w:pPr>
          </w:p>
        </w:tc>
        <w:tc>
          <w:tcPr>
            <w:tcW w:w="992" w:type="dxa"/>
            <w:shd w:val="clear" w:color="000000" w:fill="FFFFFF"/>
            <w:vAlign w:val="center"/>
          </w:tcPr>
          <w:p>
            <w:pPr>
              <w:widowControl/>
              <w:jc w:val="center"/>
              <w:rPr>
                <w:rFonts w:ascii="宋体" w:hAnsi="宋体" w:cs="宋体"/>
                <w:b/>
                <w:bCs/>
                <w:kern w:val="0"/>
                <w:sz w:val="20"/>
              </w:rPr>
            </w:pPr>
          </w:p>
        </w:tc>
        <w:tc>
          <w:tcPr>
            <w:tcW w:w="992" w:type="dxa"/>
            <w:shd w:val="clear" w:color="000000" w:fill="FFFFFF"/>
            <w:vAlign w:val="center"/>
          </w:tcPr>
          <w:p>
            <w:pPr>
              <w:widowControl/>
              <w:jc w:val="left"/>
              <w:rPr>
                <w:rFonts w:ascii="宋体" w:hAnsi="宋体" w:cs="宋体"/>
                <w:bCs/>
                <w:kern w:val="0"/>
                <w:sz w:val="20"/>
              </w:rPr>
            </w:pPr>
          </w:p>
        </w:tc>
        <w:tc>
          <w:tcPr>
            <w:tcW w:w="851" w:type="dxa"/>
            <w:shd w:val="clear" w:color="000000" w:fill="FFFFFF"/>
          </w:tcPr>
          <w:p>
            <w:pPr>
              <w:widowControl/>
              <w:jc w:val="center"/>
              <w:rPr>
                <w:rFonts w:ascii="宋体" w:hAnsi="宋体" w:cs="宋体"/>
                <w:b/>
                <w:bCs/>
                <w:kern w:val="0"/>
                <w:sz w:val="20"/>
              </w:rPr>
            </w:pPr>
          </w:p>
        </w:tc>
        <w:tc>
          <w:tcPr>
            <w:tcW w:w="851" w:type="dxa"/>
            <w:shd w:val="clear" w:color="000000" w:fill="FFFFFF"/>
          </w:tcPr>
          <w:p>
            <w:pPr>
              <w:widowControl/>
              <w:jc w:val="center"/>
              <w:rPr>
                <w:rFonts w:ascii="宋体" w:hAnsi="宋体" w:cs="宋体"/>
                <w:b/>
                <w:bCs/>
                <w:kern w:val="0"/>
                <w:sz w:val="20"/>
              </w:rPr>
            </w:pPr>
          </w:p>
        </w:tc>
        <w:tc>
          <w:tcPr>
            <w:tcW w:w="85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1086" w:type="dxa"/>
            <w:shd w:val="clear" w:color="000000" w:fill="FFFFFF"/>
            <w:vAlign w:val="center"/>
          </w:tcPr>
          <w:p>
            <w:pPr>
              <w:widowControl/>
              <w:snapToGrid w:val="0"/>
              <w:rPr>
                <w:rFonts w:ascii="宋体" w:hAnsi="宋体" w:cs="宋体"/>
                <w:kern w:val="0"/>
                <w:sz w:val="22"/>
              </w:rPr>
            </w:pPr>
          </w:p>
        </w:tc>
        <w:tc>
          <w:tcPr>
            <w:tcW w:w="1134" w:type="dxa"/>
            <w:shd w:val="clear" w:color="000000" w:fill="FFFFFF"/>
            <w:vAlign w:val="center"/>
          </w:tcPr>
          <w:p>
            <w:pPr>
              <w:widowControl/>
              <w:snapToGrid w:val="0"/>
              <w:rPr>
                <w:rFonts w:ascii="宋体" w:hAnsi="宋体"/>
                <w:b/>
                <w:bCs/>
                <w:kern w:val="0"/>
                <w:sz w:val="22"/>
              </w:rPr>
            </w:pPr>
          </w:p>
        </w:tc>
        <w:tc>
          <w:tcPr>
            <w:tcW w:w="567" w:type="dxa"/>
            <w:shd w:val="clear" w:color="000000" w:fill="FFFFFF"/>
            <w:vAlign w:val="center"/>
          </w:tcPr>
          <w:p>
            <w:pPr>
              <w:widowControl/>
              <w:snapToGrid w:val="0"/>
              <w:jc w:val="center"/>
              <w:rPr>
                <w:rFonts w:ascii="宋体" w:hAnsi="宋体" w:cs="宋体"/>
                <w:kern w:val="0"/>
                <w:sz w:val="20"/>
              </w:rPr>
            </w:pPr>
          </w:p>
        </w:tc>
        <w:tc>
          <w:tcPr>
            <w:tcW w:w="708" w:type="dxa"/>
            <w:shd w:val="clear" w:color="000000" w:fill="FFFFFF"/>
            <w:vAlign w:val="center"/>
          </w:tcPr>
          <w:p>
            <w:pPr>
              <w:widowControl/>
              <w:snapToGrid w:val="0"/>
              <w:jc w:val="center"/>
              <w:rPr>
                <w:rFonts w:ascii="宋体" w:hAnsi="宋体" w:cs="宋体"/>
                <w:b/>
                <w:bCs/>
                <w:kern w:val="0"/>
                <w:sz w:val="20"/>
              </w:rPr>
            </w:pPr>
          </w:p>
        </w:tc>
        <w:tc>
          <w:tcPr>
            <w:tcW w:w="426" w:type="dxa"/>
            <w:shd w:val="clear" w:color="000000" w:fill="FFFFFF"/>
            <w:vAlign w:val="center"/>
          </w:tcPr>
          <w:p>
            <w:pPr>
              <w:snapToGrid w:val="0"/>
              <w:jc w:val="center"/>
              <w:rPr>
                <w:rFonts w:ascii="宋体" w:hAnsi="宋体"/>
                <w:sz w:val="20"/>
              </w:rPr>
            </w:pPr>
          </w:p>
        </w:tc>
        <w:tc>
          <w:tcPr>
            <w:tcW w:w="567" w:type="dxa"/>
            <w:shd w:val="clear" w:color="000000" w:fill="FFFFFF"/>
            <w:vAlign w:val="center"/>
          </w:tcPr>
          <w:p>
            <w:pPr>
              <w:widowControl/>
              <w:snapToGrid w:val="0"/>
              <w:rPr>
                <w:rFonts w:ascii="宋体" w:hAnsi="宋体"/>
                <w:b/>
                <w:bCs/>
                <w:kern w:val="0"/>
                <w:sz w:val="22"/>
              </w:rPr>
            </w:pPr>
          </w:p>
        </w:tc>
        <w:tc>
          <w:tcPr>
            <w:tcW w:w="992" w:type="dxa"/>
            <w:shd w:val="clear" w:color="000000" w:fill="FFFFFF"/>
            <w:vAlign w:val="center"/>
          </w:tcPr>
          <w:p>
            <w:pPr>
              <w:widowControl/>
              <w:jc w:val="center"/>
              <w:rPr>
                <w:rFonts w:ascii="宋体" w:hAnsi="宋体" w:cs="宋体"/>
                <w:b/>
                <w:bCs/>
                <w:kern w:val="0"/>
                <w:sz w:val="20"/>
              </w:rPr>
            </w:pPr>
          </w:p>
        </w:tc>
        <w:tc>
          <w:tcPr>
            <w:tcW w:w="992" w:type="dxa"/>
            <w:shd w:val="clear" w:color="000000" w:fill="FFFFFF"/>
            <w:vAlign w:val="center"/>
          </w:tcPr>
          <w:p>
            <w:pPr>
              <w:widowControl/>
              <w:jc w:val="left"/>
              <w:rPr>
                <w:rFonts w:ascii="宋体" w:hAnsi="宋体" w:cs="宋体"/>
                <w:bCs/>
                <w:kern w:val="0"/>
                <w:sz w:val="20"/>
              </w:rPr>
            </w:pPr>
          </w:p>
        </w:tc>
        <w:tc>
          <w:tcPr>
            <w:tcW w:w="851" w:type="dxa"/>
            <w:shd w:val="clear" w:color="000000" w:fill="FFFFFF"/>
          </w:tcPr>
          <w:p>
            <w:pPr>
              <w:widowControl/>
              <w:jc w:val="center"/>
              <w:rPr>
                <w:rFonts w:ascii="宋体" w:hAnsi="宋体" w:cs="宋体"/>
                <w:b/>
                <w:bCs/>
                <w:kern w:val="0"/>
                <w:sz w:val="20"/>
              </w:rPr>
            </w:pPr>
          </w:p>
        </w:tc>
        <w:tc>
          <w:tcPr>
            <w:tcW w:w="851" w:type="dxa"/>
            <w:shd w:val="clear" w:color="000000" w:fill="FFFFFF"/>
          </w:tcPr>
          <w:p>
            <w:pPr>
              <w:widowControl/>
              <w:jc w:val="center"/>
              <w:rPr>
                <w:rFonts w:ascii="宋体" w:hAnsi="宋体" w:cs="宋体"/>
                <w:b/>
                <w:bCs/>
                <w:kern w:val="0"/>
                <w:sz w:val="20"/>
              </w:rPr>
            </w:pPr>
          </w:p>
        </w:tc>
        <w:tc>
          <w:tcPr>
            <w:tcW w:w="85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06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992"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851" w:type="dxa"/>
          </w:tcPr>
          <w:p>
            <w:pPr>
              <w:widowControl/>
              <w:jc w:val="center"/>
              <w:rPr>
                <w:rFonts w:hint="eastAsia" w:ascii="宋体" w:hAnsi="宋体" w:cs="宋体"/>
                <w:kern w:val="0"/>
                <w:sz w:val="20"/>
              </w:rPr>
            </w:pPr>
          </w:p>
        </w:tc>
        <w:tc>
          <w:tcPr>
            <w:tcW w:w="851" w:type="dxa"/>
          </w:tcPr>
          <w:p>
            <w:pPr>
              <w:widowControl/>
              <w:jc w:val="center"/>
              <w:rPr>
                <w:rFonts w:hint="eastAsia" w:ascii="宋体" w:hAnsi="宋体" w:cs="宋体"/>
                <w:kern w:val="0"/>
                <w:sz w:val="20"/>
              </w:rPr>
            </w:pPr>
          </w:p>
        </w:tc>
        <w:tc>
          <w:tcPr>
            <w:tcW w:w="851"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jc w:val="left"/>
        <w:rPr>
          <w:rFonts w:ascii="宋体" w:hAnsi="宋体" w:cs="宋体"/>
          <w:b/>
          <w:sz w:val="32"/>
          <w:szCs w:val="32"/>
        </w:rPr>
      </w:pPr>
      <w:r>
        <w:rPr>
          <w:rFonts w:hint="eastAsia" w:ascii="宋体" w:hAnsi="宋体" w:cs="宋体"/>
          <w:sz w:val="22"/>
        </w:rPr>
        <w:t>注：投标人</w:t>
      </w:r>
      <w:r>
        <w:rPr>
          <w:rFonts w:hint="eastAsia" w:ascii="宋体" w:hAnsi="宋体"/>
          <w:sz w:val="22"/>
        </w:rPr>
        <w:t>自行填报。</w:t>
      </w:r>
    </w:p>
    <w:p>
      <w:pPr>
        <w:spacing w:line="360" w:lineRule="auto"/>
        <w:jc w:val="center"/>
        <w:rPr>
          <w:rFonts w:ascii="宋体" w:hAnsi="宋体" w:cs="宋体"/>
          <w:sz w:val="22"/>
        </w:rPr>
      </w:pPr>
    </w:p>
    <w:p>
      <w:pPr>
        <w:spacing w:line="360" w:lineRule="auto"/>
        <w:jc w:val="center"/>
        <w:rPr>
          <w:rFonts w:ascii="宋体" w:hAnsi="宋体" w:cs="宋体"/>
          <w:b/>
          <w:sz w:val="32"/>
          <w:szCs w:val="32"/>
        </w:rPr>
      </w:pPr>
    </w:p>
    <w:p>
      <w:pPr>
        <w:widowControl/>
        <w:jc w:val="left"/>
        <w:rPr>
          <w:rFonts w:ascii="宋体" w:hAnsi="宋体" w:cs="Arial"/>
          <w:b/>
          <w:sz w:val="22"/>
        </w:rPr>
      </w:pPr>
      <w:r>
        <w:rPr>
          <w:rFonts w:ascii="宋体" w:hAnsi="宋体" w:cs="Arial"/>
          <w:b/>
          <w:sz w:val="22"/>
        </w:rPr>
        <w:br w:type="page"/>
      </w:r>
    </w:p>
    <w:p>
      <w:pPr>
        <w:overflowPunct w:val="0"/>
        <w:autoSpaceDE w:val="0"/>
        <w:autoSpaceDN w:val="0"/>
        <w:spacing w:line="440" w:lineRule="exact"/>
        <w:ind w:left="839" w:hanging="839"/>
        <w:rPr>
          <w:rFonts w:ascii="宋体" w:hAnsi="宋体" w:cs="Arial"/>
          <w:b/>
          <w:sz w:val="22"/>
        </w:rPr>
      </w:pPr>
      <w:r>
        <w:rPr>
          <w:rFonts w:hint="eastAsia" w:ascii="宋体" w:hAnsi="宋体" w:cs="Arial"/>
          <w:b/>
          <w:sz w:val="22"/>
        </w:rPr>
        <w:t>附件5</w:t>
      </w:r>
    </w:p>
    <w:p>
      <w:pPr>
        <w:overflowPunct w:val="0"/>
        <w:autoSpaceDE w:val="0"/>
        <w:autoSpaceDN w:val="0"/>
        <w:spacing w:line="440" w:lineRule="exact"/>
        <w:ind w:left="839" w:hanging="839"/>
        <w:jc w:val="center"/>
        <w:rPr>
          <w:rFonts w:ascii="宋体" w:hAnsi="宋体" w:cs="宋体"/>
          <w:b/>
          <w:sz w:val="32"/>
          <w:szCs w:val="32"/>
        </w:rPr>
      </w:pPr>
      <w:r>
        <w:rPr>
          <w:rFonts w:ascii="宋体" w:hAnsi="宋体" w:cs="宋体"/>
          <w:b/>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（一）投标人基本情况表</w:t>
      </w:r>
    </w:p>
    <w:tbl>
      <w:tblPr>
        <w:tblStyle w:val="59"/>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201</w:t>
            </w:r>
            <w:r>
              <w:rPr>
                <w:rFonts w:hint="eastAsia" w:ascii="宋体" w:hAnsi="宋体" w:cs="宋体"/>
                <w:sz w:val="22"/>
                <w:lang w:val="en-US" w:eastAsia="zh-CN"/>
              </w:rPr>
              <w:t>6</w:t>
            </w:r>
            <w:r>
              <w:rPr>
                <w:rFonts w:hint="eastAsia" w:ascii="宋体" w:hAnsi="宋体" w:cs="宋体"/>
                <w:sz w:val="22"/>
              </w:rPr>
              <w:t>年</w:t>
            </w: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201</w:t>
            </w:r>
            <w:r>
              <w:rPr>
                <w:rFonts w:hint="eastAsia" w:ascii="宋体" w:hAnsi="宋体" w:cs="宋体"/>
                <w:sz w:val="22"/>
                <w:lang w:val="en-US" w:eastAsia="zh-CN"/>
              </w:rPr>
              <w:t>7</w:t>
            </w:r>
            <w:r>
              <w:rPr>
                <w:rFonts w:hint="eastAsia" w:ascii="宋体" w:hAnsi="宋体" w:cs="宋体"/>
                <w:sz w:val="22"/>
              </w:rPr>
              <w:t>年</w:t>
            </w: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201</w:t>
            </w:r>
            <w:r>
              <w:rPr>
                <w:rFonts w:hint="eastAsia" w:ascii="宋体" w:hAnsi="宋体" w:cs="宋体"/>
                <w:sz w:val="22"/>
                <w:lang w:val="en-US" w:eastAsia="zh-CN"/>
              </w:rPr>
              <w:t>8</w:t>
            </w:r>
            <w:r>
              <w:rPr>
                <w:rFonts w:hint="eastAsia" w:ascii="宋体" w:hAnsi="宋体" w:cs="宋体"/>
                <w:sz w:val="22"/>
              </w:rPr>
              <w:t>年</w:t>
            </w: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Calibri"/>
          <w:sz w:val="22"/>
        </w:rPr>
      </w:pPr>
      <w:r>
        <w:rPr>
          <w:rFonts w:ascii="宋体" w:hAnsi="宋体" w:cs="Calibri"/>
          <w:sz w:val="22"/>
        </w:rPr>
        <w:br w:type="page"/>
      </w:r>
    </w:p>
    <w:p>
      <w:pPr>
        <w:spacing w:line="360" w:lineRule="auto"/>
        <w:jc w:val="center"/>
        <w:rPr>
          <w:rFonts w:ascii="宋体" w:hAnsi="宋体" w:cs="宋体"/>
          <w:b/>
          <w:sz w:val="32"/>
          <w:szCs w:val="32"/>
        </w:rPr>
      </w:pPr>
      <w:r>
        <w:rPr>
          <w:rFonts w:hint="eastAsia" w:ascii="宋体" w:hAnsi="宋体" w:cs="宋体"/>
          <w:b/>
          <w:sz w:val="32"/>
          <w:szCs w:val="32"/>
        </w:rPr>
        <w:t>（二）制造商资格声明</w:t>
      </w:r>
    </w:p>
    <w:p>
      <w:pPr>
        <w:numPr>
          <w:ilvl w:val="0"/>
          <w:numId w:val="8"/>
        </w:numPr>
        <w:adjustRightInd w:val="0"/>
        <w:spacing w:before="120" w:beforeLines="50" w:line="360" w:lineRule="auto"/>
        <w:textAlignment w:val="baseline"/>
        <w:rPr>
          <w:rFonts w:ascii="宋体" w:hAnsi="宋体" w:cs="宋体"/>
        </w:rPr>
      </w:pPr>
      <w:r>
        <w:rPr>
          <w:rFonts w:hint="eastAsia" w:ascii="宋体" w:hAnsi="宋体" w:cs="宋体"/>
        </w:rPr>
        <w:t>名称及概况：</w:t>
      </w:r>
    </w:p>
    <w:p>
      <w:pPr>
        <w:numPr>
          <w:ilvl w:val="0"/>
          <w:numId w:val="9"/>
        </w:numPr>
        <w:adjustRightInd w:val="0"/>
        <w:spacing w:line="360" w:lineRule="auto"/>
        <w:textAlignment w:val="baseline"/>
        <w:rPr>
          <w:rFonts w:ascii="宋体" w:hAnsi="宋体" w:cs="宋体"/>
        </w:rPr>
      </w:pPr>
      <w:r>
        <w:rPr>
          <w:rFonts w:hint="eastAsia" w:ascii="宋体" w:hAnsi="宋体" w:cs="宋体"/>
        </w:rPr>
        <w:t>制造商名称：</w:t>
      </w:r>
      <w:r>
        <w:rPr>
          <w:rFonts w:hint="eastAsia" w:ascii="宋体" w:hAnsi="宋体" w:cs="宋体"/>
          <w:u w:val="single"/>
        </w:rPr>
        <w:t xml:space="preserve">                                                 </w:t>
      </w:r>
    </w:p>
    <w:p>
      <w:pPr>
        <w:numPr>
          <w:ilvl w:val="0"/>
          <w:numId w:val="9"/>
        </w:numPr>
        <w:adjustRightInd w:val="0"/>
        <w:spacing w:line="360" w:lineRule="auto"/>
        <w:textAlignment w:val="baseline"/>
        <w:rPr>
          <w:rFonts w:ascii="宋体" w:hAnsi="宋体" w:cs="宋体"/>
        </w:rPr>
      </w:pPr>
      <w:r>
        <w:rPr>
          <w:rFonts w:hint="eastAsia" w:ascii="宋体" w:hAnsi="宋体" w:cs="宋体"/>
        </w:rPr>
        <w:t>总部地址：</w:t>
      </w:r>
      <w:r>
        <w:rPr>
          <w:rFonts w:hint="eastAsia" w:ascii="宋体" w:hAnsi="宋体" w:cs="宋体"/>
          <w:u w:val="single"/>
        </w:rPr>
        <w:t xml:space="preserve">                                                   </w:t>
      </w:r>
    </w:p>
    <w:p>
      <w:pPr>
        <w:spacing w:line="360" w:lineRule="auto"/>
        <w:ind w:left="840" w:firstLine="120"/>
        <w:rPr>
          <w:rFonts w:ascii="宋体" w:hAnsi="宋体" w:cs="宋体"/>
          <w:u w:val="single"/>
        </w:rPr>
      </w:pPr>
      <w:r>
        <w:rPr>
          <w:rFonts w:hint="eastAsia" w:ascii="宋体" w:hAnsi="宋体" w:cs="宋体"/>
        </w:rPr>
        <w:t>电传/传真/电话号码：</w:t>
      </w:r>
      <w:r>
        <w:rPr>
          <w:rFonts w:hint="eastAsia" w:ascii="宋体" w:hAnsi="宋体" w:cs="宋体"/>
          <w:u w:val="single"/>
        </w:rPr>
        <w:t xml:space="preserve">                                         </w:t>
      </w:r>
    </w:p>
    <w:p>
      <w:pPr>
        <w:numPr>
          <w:ilvl w:val="0"/>
          <w:numId w:val="9"/>
        </w:numPr>
        <w:adjustRightInd w:val="0"/>
        <w:spacing w:line="360" w:lineRule="auto"/>
        <w:textAlignment w:val="baseline"/>
        <w:rPr>
          <w:rFonts w:ascii="宋体" w:hAnsi="宋体" w:cs="宋体"/>
          <w:u w:val="single"/>
        </w:rPr>
      </w:pPr>
      <w:r>
        <w:rPr>
          <w:rFonts w:hint="eastAsia" w:ascii="宋体" w:hAnsi="宋体" w:cs="宋体"/>
        </w:rPr>
        <w:t>成立和/或注册日期：</w:t>
      </w:r>
      <w:r>
        <w:rPr>
          <w:rFonts w:hint="eastAsia" w:ascii="宋体" w:hAnsi="宋体" w:cs="宋体"/>
          <w:u w:val="single"/>
        </w:rPr>
        <w:t xml:space="preserve">                                          </w:t>
      </w:r>
    </w:p>
    <w:p>
      <w:pPr>
        <w:numPr>
          <w:ilvl w:val="0"/>
          <w:numId w:val="9"/>
        </w:numPr>
        <w:adjustRightInd w:val="0"/>
        <w:spacing w:line="360" w:lineRule="auto"/>
        <w:textAlignment w:val="baseline"/>
        <w:rPr>
          <w:rFonts w:ascii="宋体" w:hAnsi="宋体" w:cs="宋体"/>
        </w:rPr>
      </w:pPr>
      <w:r>
        <w:rPr>
          <w:rFonts w:hint="eastAsia" w:ascii="宋体" w:hAnsi="宋体" w:cs="宋体"/>
        </w:rPr>
        <w:t>实收资本：</w:t>
      </w:r>
      <w:r>
        <w:rPr>
          <w:rFonts w:hint="eastAsia" w:ascii="宋体" w:hAnsi="宋体" w:cs="宋体"/>
          <w:u w:val="single"/>
        </w:rPr>
        <w:t xml:space="preserve">                                                   </w:t>
      </w:r>
    </w:p>
    <w:p>
      <w:pPr>
        <w:numPr>
          <w:ilvl w:val="0"/>
          <w:numId w:val="9"/>
        </w:numPr>
        <w:adjustRightInd w:val="0"/>
        <w:spacing w:line="360" w:lineRule="auto"/>
        <w:textAlignment w:val="baseline"/>
        <w:rPr>
          <w:rFonts w:ascii="宋体" w:hAnsi="宋体" w:cs="宋体"/>
        </w:rPr>
      </w:pPr>
      <w:r>
        <w:rPr>
          <w:rFonts w:hint="eastAsia" w:ascii="宋体" w:hAnsi="宋体" w:cs="宋体"/>
        </w:rPr>
        <w:t>近期资产负债表（到</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日止）</w:t>
      </w:r>
    </w:p>
    <w:p>
      <w:pPr>
        <w:numPr>
          <w:ilvl w:val="0"/>
          <w:numId w:val="10"/>
        </w:numPr>
        <w:adjustRightInd w:val="0"/>
        <w:spacing w:line="360" w:lineRule="auto"/>
        <w:textAlignment w:val="baseline"/>
        <w:rPr>
          <w:rFonts w:ascii="宋体" w:hAnsi="宋体" w:cs="宋体"/>
        </w:rPr>
      </w:pPr>
      <w:r>
        <w:rPr>
          <w:rFonts w:hint="eastAsia" w:ascii="宋体" w:hAnsi="宋体" w:cs="宋体"/>
        </w:rPr>
        <w:t>固定资产：</w:t>
      </w:r>
      <w:r>
        <w:rPr>
          <w:rFonts w:hint="eastAsia" w:ascii="宋体" w:hAnsi="宋体" w:cs="宋体"/>
          <w:u w:val="single"/>
        </w:rPr>
        <w:t xml:space="preserve">                                       </w:t>
      </w:r>
    </w:p>
    <w:p>
      <w:pPr>
        <w:numPr>
          <w:ilvl w:val="0"/>
          <w:numId w:val="10"/>
        </w:numPr>
        <w:adjustRightInd w:val="0"/>
        <w:spacing w:line="360" w:lineRule="auto"/>
        <w:textAlignment w:val="baseline"/>
        <w:rPr>
          <w:rFonts w:ascii="宋体" w:hAnsi="宋体" w:cs="宋体"/>
        </w:rPr>
      </w:pPr>
      <w:r>
        <w:rPr>
          <w:rFonts w:hint="eastAsia" w:ascii="宋体" w:hAnsi="宋体" w:cs="宋体"/>
        </w:rPr>
        <w:t>流动资产：</w:t>
      </w:r>
      <w:r>
        <w:rPr>
          <w:rFonts w:hint="eastAsia" w:ascii="宋体" w:hAnsi="宋体" w:cs="宋体"/>
          <w:u w:val="single"/>
        </w:rPr>
        <w:t xml:space="preserve">                                       </w:t>
      </w:r>
    </w:p>
    <w:p>
      <w:pPr>
        <w:numPr>
          <w:ilvl w:val="0"/>
          <w:numId w:val="10"/>
        </w:numPr>
        <w:adjustRightInd w:val="0"/>
        <w:spacing w:line="360" w:lineRule="auto"/>
        <w:textAlignment w:val="baseline"/>
        <w:rPr>
          <w:rFonts w:ascii="宋体" w:hAnsi="宋体" w:cs="宋体"/>
        </w:rPr>
      </w:pPr>
      <w:r>
        <w:rPr>
          <w:rFonts w:hint="eastAsia" w:ascii="宋体" w:hAnsi="宋体" w:cs="宋体"/>
        </w:rPr>
        <w:t>长期负债：</w:t>
      </w:r>
      <w:r>
        <w:rPr>
          <w:rFonts w:hint="eastAsia" w:ascii="宋体" w:hAnsi="宋体" w:cs="宋体"/>
          <w:u w:val="single"/>
        </w:rPr>
        <w:t xml:space="preserve">                                       </w:t>
      </w:r>
    </w:p>
    <w:p>
      <w:pPr>
        <w:numPr>
          <w:ilvl w:val="0"/>
          <w:numId w:val="10"/>
        </w:numPr>
        <w:adjustRightInd w:val="0"/>
        <w:spacing w:line="360" w:lineRule="auto"/>
        <w:textAlignment w:val="baseline"/>
        <w:rPr>
          <w:rFonts w:ascii="宋体" w:hAnsi="宋体" w:cs="宋体"/>
        </w:rPr>
      </w:pPr>
      <w:r>
        <w:rPr>
          <w:rFonts w:hint="eastAsia" w:ascii="宋体" w:hAnsi="宋体" w:cs="宋体"/>
        </w:rPr>
        <w:t>流动负债：</w:t>
      </w:r>
      <w:r>
        <w:rPr>
          <w:rFonts w:hint="eastAsia" w:ascii="宋体" w:hAnsi="宋体" w:cs="宋体"/>
          <w:u w:val="single"/>
        </w:rPr>
        <w:t xml:space="preserve">                                       </w:t>
      </w:r>
    </w:p>
    <w:p>
      <w:pPr>
        <w:numPr>
          <w:ilvl w:val="0"/>
          <w:numId w:val="10"/>
        </w:numPr>
        <w:adjustRightInd w:val="0"/>
        <w:spacing w:line="360" w:lineRule="auto"/>
        <w:textAlignment w:val="baseline"/>
        <w:rPr>
          <w:rFonts w:ascii="宋体" w:hAnsi="宋体" w:cs="宋体"/>
        </w:rPr>
      </w:pPr>
      <w:r>
        <w:rPr>
          <w:rFonts w:hint="eastAsia" w:ascii="宋体" w:hAnsi="宋体" w:cs="宋体"/>
        </w:rPr>
        <w:t>净值：</w:t>
      </w:r>
      <w:r>
        <w:rPr>
          <w:rFonts w:hint="eastAsia" w:ascii="宋体" w:hAnsi="宋体" w:cs="宋体"/>
          <w:u w:val="single"/>
        </w:rPr>
        <w:t xml:space="preserve">                                           </w:t>
      </w:r>
    </w:p>
    <w:p>
      <w:pPr>
        <w:numPr>
          <w:ilvl w:val="0"/>
          <w:numId w:val="11"/>
        </w:numPr>
        <w:adjustRightInd w:val="0"/>
        <w:spacing w:line="360" w:lineRule="auto"/>
        <w:textAlignment w:val="baseline"/>
        <w:rPr>
          <w:rFonts w:ascii="宋体" w:hAnsi="宋体" w:cs="宋体"/>
        </w:rPr>
      </w:pPr>
      <w:r>
        <w:rPr>
          <w:rFonts w:hint="eastAsia" w:ascii="宋体" w:hAnsi="宋体" w:cs="宋体"/>
        </w:rPr>
        <w:t>主要负责人姓名：（可选填）</w:t>
      </w:r>
      <w:r>
        <w:rPr>
          <w:rFonts w:hint="eastAsia" w:ascii="宋体" w:hAnsi="宋体" w:cs="宋体"/>
          <w:u w:val="single"/>
        </w:rPr>
        <w:t xml:space="preserve">                          </w:t>
      </w:r>
    </w:p>
    <w:p>
      <w:pPr>
        <w:numPr>
          <w:ilvl w:val="0"/>
          <w:numId w:val="11"/>
        </w:numPr>
        <w:adjustRightInd w:val="0"/>
        <w:spacing w:line="360" w:lineRule="auto"/>
        <w:textAlignment w:val="baseline"/>
        <w:rPr>
          <w:rFonts w:ascii="宋体" w:hAnsi="宋体" w:cs="宋体"/>
        </w:rPr>
      </w:pPr>
      <w:r>
        <w:rPr>
          <w:rFonts w:hint="eastAsia" w:ascii="宋体" w:hAnsi="宋体" w:cs="宋体"/>
        </w:rPr>
        <w:t>制造商在中国的代表的姓名和地址：（如有的话）</w:t>
      </w:r>
    </w:p>
    <w:p>
      <w:pPr>
        <w:spacing w:line="360" w:lineRule="auto"/>
        <w:ind w:left="425"/>
        <w:rPr>
          <w:rFonts w:ascii="宋体" w:hAnsi="宋体" w:cs="宋体"/>
        </w:rPr>
      </w:pPr>
      <w:r>
        <w:rPr>
          <w:rFonts w:hint="eastAsia" w:ascii="宋体" w:hAnsi="宋体" w:cs="宋体"/>
          <w:u w:val="single"/>
        </w:rPr>
        <w:t xml:space="preserve">                                                        </w:t>
      </w:r>
    </w:p>
    <w:p>
      <w:pPr>
        <w:numPr>
          <w:ilvl w:val="0"/>
          <w:numId w:val="4"/>
        </w:numPr>
        <w:adjustRightInd w:val="0"/>
        <w:spacing w:line="360" w:lineRule="auto"/>
        <w:textAlignment w:val="baseline"/>
        <w:rPr>
          <w:rFonts w:ascii="宋体" w:hAnsi="宋体" w:cs="宋体"/>
        </w:rPr>
      </w:pPr>
      <w:r>
        <w:rPr>
          <w:rFonts w:hint="eastAsia" w:ascii="宋体" w:hAnsi="宋体" w:cs="宋体"/>
        </w:rPr>
        <w:t>(1) 关于制造投标货物的设施及其它情况：</w:t>
      </w:r>
    </w:p>
    <w:p>
      <w:pPr>
        <w:spacing w:line="360" w:lineRule="auto"/>
        <w:ind w:firstLine="360"/>
        <w:rPr>
          <w:rFonts w:ascii="宋体" w:hAnsi="宋体" w:cs="宋体"/>
        </w:rPr>
      </w:pPr>
      <w:r>
        <w:rPr>
          <w:rFonts w:hint="eastAsia" w:ascii="宋体" w:hAnsi="宋体" w:cs="宋体"/>
        </w:rPr>
        <w:t>工厂名称地址       生产的项目       年生产能力       职工人数</w:t>
      </w:r>
    </w:p>
    <w:p>
      <w:pPr>
        <w:spacing w:line="360" w:lineRule="auto"/>
        <w:rPr>
          <w:rFonts w:ascii="宋体" w:hAnsi="宋体" w:cs="宋体"/>
        </w:rPr>
      </w:pP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 xml:space="preserve">      </w:t>
      </w:r>
      <w:r>
        <w:rPr>
          <w:rFonts w:hint="eastAsia" w:ascii="宋体" w:hAnsi="宋体" w:cs="宋体"/>
          <w:u w:val="single"/>
        </w:rPr>
        <w:t xml:space="preserve">           </w:t>
      </w:r>
    </w:p>
    <w:p>
      <w:pPr>
        <w:spacing w:line="360" w:lineRule="auto"/>
        <w:rPr>
          <w:rFonts w:ascii="宋体" w:hAnsi="宋体" w:cs="宋体"/>
        </w:rPr>
      </w:pP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 xml:space="preserve">      </w:t>
      </w:r>
      <w:r>
        <w:rPr>
          <w:rFonts w:hint="eastAsia" w:ascii="宋体" w:hAnsi="宋体" w:cs="宋体"/>
          <w:u w:val="single"/>
        </w:rPr>
        <w:t xml:space="preserve">           </w:t>
      </w:r>
    </w:p>
    <w:p>
      <w:pPr>
        <w:numPr>
          <w:ilvl w:val="1"/>
          <w:numId w:val="12"/>
        </w:numPr>
        <w:tabs>
          <w:tab w:val="left" w:pos="780"/>
          <w:tab w:val="clear" w:pos="840"/>
        </w:tabs>
        <w:adjustRightInd w:val="0"/>
        <w:spacing w:line="360" w:lineRule="auto"/>
        <w:ind w:left="780" w:hanging="360"/>
        <w:textAlignment w:val="baseline"/>
        <w:rPr>
          <w:rFonts w:ascii="宋体" w:hAnsi="宋体" w:cs="宋体"/>
        </w:rPr>
      </w:pPr>
      <w:r>
        <w:rPr>
          <w:rFonts w:hint="eastAsia" w:ascii="宋体" w:hAnsi="宋体" w:cs="宋体"/>
        </w:rPr>
        <w:t xml:space="preserve"> 本制造商不生产，而需从其它制造商购买的主要零部件：</w:t>
      </w:r>
    </w:p>
    <w:p>
      <w:pPr>
        <w:spacing w:line="360" w:lineRule="auto"/>
        <w:ind w:firstLine="360"/>
        <w:rPr>
          <w:rFonts w:ascii="宋体" w:hAnsi="宋体" w:cs="宋体"/>
        </w:rPr>
      </w:pPr>
      <w:r>
        <w:rPr>
          <w:rFonts w:hint="eastAsia" w:ascii="宋体" w:hAnsi="宋体" w:cs="宋体"/>
        </w:rPr>
        <w:t>制造商名称和地址               主要零部件名称</w:t>
      </w:r>
    </w:p>
    <w:p>
      <w:pPr>
        <w:spacing w:line="360" w:lineRule="auto"/>
        <w:rPr>
          <w:rFonts w:ascii="宋体" w:hAnsi="宋体" w:cs="宋体"/>
          <w:u w:val="single"/>
        </w:rPr>
      </w:pP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 xml:space="preserve">       </w:t>
      </w:r>
      <w:r>
        <w:rPr>
          <w:rFonts w:hint="eastAsia" w:ascii="宋体" w:hAnsi="宋体" w:cs="宋体"/>
          <w:u w:val="single"/>
        </w:rPr>
        <w:t xml:space="preserve">                           </w:t>
      </w:r>
    </w:p>
    <w:p>
      <w:pPr>
        <w:spacing w:line="360" w:lineRule="auto"/>
        <w:rPr>
          <w:rFonts w:ascii="宋体" w:hAnsi="宋体" w:cs="宋体"/>
          <w:u w:val="single"/>
        </w:rPr>
      </w:pP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 xml:space="preserve">       </w:t>
      </w:r>
      <w:r>
        <w:rPr>
          <w:rFonts w:hint="eastAsia" w:ascii="宋体" w:hAnsi="宋体" w:cs="宋体"/>
          <w:u w:val="single"/>
        </w:rPr>
        <w:t xml:space="preserve">                           </w:t>
      </w:r>
    </w:p>
    <w:p>
      <w:pPr>
        <w:numPr>
          <w:ilvl w:val="0"/>
          <w:numId w:val="13"/>
        </w:numPr>
        <w:adjustRightInd w:val="0"/>
        <w:spacing w:line="360" w:lineRule="auto"/>
        <w:ind w:right="443" w:rightChars="211"/>
        <w:textAlignment w:val="baseline"/>
        <w:rPr>
          <w:rFonts w:ascii="宋体" w:hAnsi="宋体" w:cs="宋体"/>
        </w:rPr>
      </w:pPr>
      <w:r>
        <w:rPr>
          <w:rFonts w:hint="eastAsia" w:ascii="宋体" w:hAnsi="宋体" w:cs="宋体"/>
        </w:rPr>
        <w:t>本制造商生产投标货物的经验（包括年限、项目业主、额定能力、商业运营的起始日期等）：</w:t>
      </w:r>
    </w:p>
    <w:p>
      <w:pPr>
        <w:spacing w:line="360" w:lineRule="auto"/>
        <w:ind w:firstLine="360"/>
        <w:rPr>
          <w:rFonts w:ascii="宋体" w:hAnsi="宋体" w:cs="宋体"/>
        </w:rPr>
      </w:pPr>
      <w:r>
        <w:rPr>
          <w:rFonts w:hint="eastAsia" w:ascii="宋体" w:hAnsi="宋体" w:cs="宋体"/>
          <w:u w:val="single"/>
        </w:rPr>
        <w:t xml:space="preserve">                                                                 </w:t>
      </w:r>
    </w:p>
    <w:p>
      <w:pPr>
        <w:spacing w:line="360" w:lineRule="auto"/>
        <w:ind w:firstLine="360"/>
        <w:rPr>
          <w:rFonts w:ascii="宋体" w:hAnsi="宋体" w:cs="宋体"/>
        </w:rPr>
      </w:pPr>
      <w:r>
        <w:rPr>
          <w:rFonts w:hint="eastAsia" w:ascii="宋体" w:hAnsi="宋体" w:cs="宋体"/>
          <w:u w:val="single"/>
        </w:rPr>
        <w:t xml:space="preserve">                                                                 </w:t>
      </w:r>
    </w:p>
    <w:p>
      <w:pPr>
        <w:numPr>
          <w:ilvl w:val="0"/>
          <w:numId w:val="13"/>
        </w:numPr>
        <w:adjustRightInd w:val="0"/>
        <w:spacing w:line="360" w:lineRule="auto"/>
        <w:textAlignment w:val="baseline"/>
        <w:rPr>
          <w:rFonts w:ascii="宋体" w:hAnsi="宋体" w:cs="宋体"/>
        </w:rPr>
      </w:pPr>
      <w:r>
        <w:rPr>
          <w:rFonts w:hint="eastAsia" w:ascii="宋体" w:hAnsi="宋体" w:cs="宋体"/>
        </w:rPr>
        <w:t>近3年该货物主要销售给国内、外主要客户的名称地址：</w:t>
      </w:r>
    </w:p>
    <w:p>
      <w:pPr>
        <w:numPr>
          <w:ilvl w:val="0"/>
          <w:numId w:val="14"/>
        </w:numPr>
        <w:adjustRightInd w:val="0"/>
        <w:spacing w:line="360" w:lineRule="auto"/>
        <w:textAlignment w:val="baseline"/>
        <w:rPr>
          <w:rFonts w:ascii="宋体" w:hAnsi="宋体" w:cs="宋体"/>
        </w:rPr>
      </w:pPr>
      <w:r>
        <w:rPr>
          <w:rFonts w:hint="eastAsia" w:ascii="宋体" w:hAnsi="宋体" w:cs="宋体"/>
        </w:rPr>
        <w:t>出口销售</w:t>
      </w:r>
    </w:p>
    <w:p>
      <w:pPr>
        <w:spacing w:line="360" w:lineRule="auto"/>
        <w:ind w:firstLine="840"/>
        <w:rPr>
          <w:rFonts w:ascii="宋体" w:hAnsi="宋体" w:cs="宋体"/>
          <w:u w:val="single"/>
        </w:rPr>
      </w:pPr>
      <w:r>
        <w:rPr>
          <w:rFonts w:hint="eastAsia" w:ascii="宋体" w:hAnsi="宋体" w:cs="宋体"/>
        </w:rPr>
        <w:t>（</w:t>
      </w:r>
      <w:r>
        <w:rPr>
          <w:rFonts w:hint="eastAsia" w:ascii="宋体" w:hAnsi="宋体" w:cs="宋体"/>
          <w:i/>
          <w:u w:val="single"/>
        </w:rPr>
        <w:t>名称和地址</w:t>
      </w:r>
      <w:r>
        <w:rPr>
          <w:rFonts w:hint="eastAsia" w:ascii="宋体" w:hAnsi="宋体" w:cs="宋体"/>
        </w:rPr>
        <w:t>）</w:t>
      </w:r>
      <w:r>
        <w:rPr>
          <w:rFonts w:hint="eastAsia" w:ascii="宋体" w:hAnsi="宋体" w:cs="宋体"/>
          <w:u w:val="single"/>
        </w:rPr>
        <w:t xml:space="preserve">                  </w:t>
      </w:r>
      <w:r>
        <w:rPr>
          <w:rFonts w:hint="eastAsia" w:ascii="宋体" w:hAnsi="宋体" w:cs="宋体"/>
        </w:rPr>
        <w:t>（</w:t>
      </w:r>
      <w:r>
        <w:rPr>
          <w:rFonts w:hint="eastAsia" w:ascii="宋体" w:hAnsi="宋体" w:cs="宋体"/>
          <w:i/>
          <w:u w:val="single"/>
        </w:rPr>
        <w:t>销售项目</w:t>
      </w:r>
      <w:r>
        <w:rPr>
          <w:rFonts w:hint="eastAsia" w:ascii="宋体" w:hAnsi="宋体" w:cs="宋体"/>
        </w:rPr>
        <w:t>）</w:t>
      </w:r>
      <w:r>
        <w:rPr>
          <w:rFonts w:hint="eastAsia" w:ascii="宋体" w:hAnsi="宋体" w:cs="宋体"/>
          <w:u w:val="single"/>
        </w:rPr>
        <w:t xml:space="preserve">                  </w:t>
      </w:r>
    </w:p>
    <w:p>
      <w:pPr>
        <w:numPr>
          <w:ilvl w:val="0"/>
          <w:numId w:val="14"/>
        </w:numPr>
        <w:adjustRightInd w:val="0"/>
        <w:spacing w:line="360" w:lineRule="auto"/>
        <w:textAlignment w:val="baseline"/>
        <w:rPr>
          <w:rFonts w:ascii="宋体" w:hAnsi="宋体" w:cs="宋体"/>
        </w:rPr>
      </w:pPr>
      <w:r>
        <w:rPr>
          <w:rFonts w:hint="eastAsia" w:ascii="宋体" w:hAnsi="宋体" w:cs="宋体"/>
        </w:rPr>
        <w:t>国内销售</w:t>
      </w:r>
    </w:p>
    <w:p>
      <w:pPr>
        <w:spacing w:line="360" w:lineRule="auto"/>
        <w:ind w:firstLine="840"/>
        <w:rPr>
          <w:rFonts w:ascii="宋体" w:hAnsi="宋体" w:cs="宋体"/>
          <w:u w:val="single"/>
        </w:rPr>
      </w:pPr>
      <w:r>
        <w:rPr>
          <w:rFonts w:hint="eastAsia" w:ascii="宋体" w:hAnsi="宋体" w:cs="宋体"/>
        </w:rPr>
        <w:t>（</w:t>
      </w:r>
      <w:r>
        <w:rPr>
          <w:rFonts w:hint="eastAsia" w:ascii="宋体" w:hAnsi="宋体" w:cs="宋体"/>
          <w:i/>
          <w:u w:val="single"/>
        </w:rPr>
        <w:t>名称和地址</w:t>
      </w:r>
      <w:r>
        <w:rPr>
          <w:rFonts w:hint="eastAsia" w:ascii="宋体" w:hAnsi="宋体" w:cs="宋体"/>
        </w:rPr>
        <w:t>）</w:t>
      </w:r>
      <w:r>
        <w:rPr>
          <w:rFonts w:hint="eastAsia" w:ascii="宋体" w:hAnsi="宋体" w:cs="宋体"/>
          <w:u w:val="single"/>
        </w:rPr>
        <w:t xml:space="preserve">                  </w:t>
      </w:r>
      <w:r>
        <w:rPr>
          <w:rFonts w:hint="eastAsia" w:ascii="宋体" w:hAnsi="宋体" w:cs="宋体"/>
        </w:rPr>
        <w:t>（</w:t>
      </w:r>
      <w:r>
        <w:rPr>
          <w:rFonts w:hint="eastAsia" w:ascii="宋体" w:hAnsi="宋体" w:cs="宋体"/>
          <w:i/>
          <w:u w:val="single"/>
        </w:rPr>
        <w:t>销售项目</w:t>
      </w:r>
      <w:r>
        <w:rPr>
          <w:rFonts w:hint="eastAsia" w:ascii="宋体" w:hAnsi="宋体" w:cs="宋体"/>
        </w:rPr>
        <w:t>）</w:t>
      </w:r>
      <w:r>
        <w:rPr>
          <w:rFonts w:hint="eastAsia" w:ascii="宋体" w:hAnsi="宋体" w:cs="宋体"/>
          <w:u w:val="single"/>
        </w:rPr>
        <w:t xml:space="preserve">                  </w:t>
      </w:r>
    </w:p>
    <w:p>
      <w:pPr>
        <w:numPr>
          <w:ilvl w:val="0"/>
          <w:numId w:val="15"/>
        </w:numPr>
        <w:adjustRightInd w:val="0"/>
        <w:spacing w:line="360" w:lineRule="auto"/>
        <w:textAlignment w:val="baseline"/>
        <w:rPr>
          <w:rFonts w:ascii="宋体" w:hAnsi="宋体" w:cs="宋体"/>
        </w:rPr>
      </w:pPr>
      <w:r>
        <w:rPr>
          <w:rFonts w:hint="eastAsia" w:ascii="宋体" w:hAnsi="宋体" w:cs="宋体"/>
        </w:rPr>
        <w:t>近三年的年营业额</w:t>
      </w:r>
    </w:p>
    <w:p>
      <w:pPr>
        <w:spacing w:line="360" w:lineRule="auto"/>
        <w:ind w:firstLine="480"/>
        <w:rPr>
          <w:rFonts w:ascii="宋体" w:hAnsi="宋体" w:cs="宋体"/>
        </w:rPr>
      </w:pPr>
      <w:r>
        <w:rPr>
          <w:rFonts w:hint="eastAsia" w:ascii="宋体" w:hAnsi="宋体" w:cs="宋体"/>
        </w:rPr>
        <w:t>年份             国内             出口             总额</w:t>
      </w:r>
    </w:p>
    <w:p>
      <w:pPr>
        <w:spacing w:line="360" w:lineRule="auto"/>
        <w:ind w:left="360"/>
        <w:rPr>
          <w:rFonts w:ascii="宋体" w:hAnsi="宋体" w:cs="宋体"/>
          <w:u w:val="single"/>
        </w:rPr>
      </w:pPr>
      <w:r>
        <w:rPr>
          <w:rFonts w:hint="eastAsia" w:ascii="宋体" w:hAnsi="宋体" w:cs="宋体"/>
          <w:u w:val="single"/>
        </w:rPr>
        <w:t xml:space="preserve">             </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u w:val="single"/>
        </w:rPr>
        <w:br w:type="textWrapping"/>
      </w:r>
      <w:r>
        <w:rPr>
          <w:rFonts w:hint="eastAsia" w:ascii="宋体" w:hAnsi="宋体" w:cs="宋体"/>
          <w:u w:val="single"/>
        </w:rPr>
        <w:t xml:space="preserve">             </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 xml:space="preserve">    </w:t>
      </w:r>
      <w:r>
        <w:rPr>
          <w:rFonts w:hint="eastAsia" w:ascii="宋体" w:hAnsi="宋体" w:cs="宋体"/>
          <w:u w:val="single"/>
        </w:rPr>
        <w:t xml:space="preserve">             </w:t>
      </w:r>
    </w:p>
    <w:p>
      <w:pPr>
        <w:numPr>
          <w:ilvl w:val="0"/>
          <w:numId w:val="15"/>
        </w:numPr>
        <w:adjustRightInd w:val="0"/>
        <w:spacing w:line="360" w:lineRule="auto"/>
        <w:textAlignment w:val="baseline"/>
        <w:rPr>
          <w:rFonts w:ascii="宋体" w:hAnsi="宋体" w:cs="宋体"/>
        </w:rPr>
      </w:pPr>
      <w:r>
        <w:rPr>
          <w:rFonts w:hint="eastAsia" w:ascii="宋体" w:hAnsi="宋体" w:cs="宋体"/>
        </w:rPr>
        <w:t>易损件供应商的名称和地址：</w:t>
      </w:r>
    </w:p>
    <w:p>
      <w:pPr>
        <w:spacing w:line="360" w:lineRule="auto"/>
        <w:ind w:firstLine="720"/>
        <w:rPr>
          <w:rFonts w:ascii="宋体" w:hAnsi="宋体" w:cs="宋体"/>
        </w:rPr>
      </w:pPr>
      <w:r>
        <w:rPr>
          <w:rFonts w:hint="eastAsia" w:ascii="宋体" w:hAnsi="宋体" w:cs="宋体"/>
        </w:rPr>
        <w:t>部件名称                              供应商</w:t>
      </w:r>
    </w:p>
    <w:p>
      <w:pPr>
        <w:spacing w:line="360" w:lineRule="auto"/>
        <w:ind w:firstLine="720"/>
        <w:rPr>
          <w:rFonts w:ascii="宋体" w:hAnsi="宋体" w:cs="宋体"/>
          <w:u w:val="single"/>
        </w:rPr>
      </w:pPr>
      <w:r>
        <w:rPr>
          <w:rFonts w:hint="eastAsia" w:ascii="宋体" w:hAnsi="宋体" w:cs="宋体"/>
          <w:u w:val="single"/>
        </w:rPr>
        <w:t xml:space="preserve">                               </w:t>
      </w:r>
      <w:r>
        <w:rPr>
          <w:rFonts w:hint="eastAsia" w:ascii="宋体" w:hAnsi="宋体" w:cs="宋体"/>
        </w:rPr>
        <w:t xml:space="preserve">       </w:t>
      </w:r>
      <w:r>
        <w:rPr>
          <w:rFonts w:hint="eastAsia" w:ascii="宋体" w:hAnsi="宋体" w:cs="宋体"/>
          <w:u w:val="single"/>
        </w:rPr>
        <w:t xml:space="preserve">                      </w:t>
      </w:r>
    </w:p>
    <w:p>
      <w:pPr>
        <w:spacing w:line="360" w:lineRule="auto"/>
        <w:ind w:firstLine="720"/>
        <w:rPr>
          <w:rFonts w:ascii="宋体" w:hAnsi="宋体" w:cs="宋体"/>
        </w:rPr>
      </w:pPr>
      <w:r>
        <w:rPr>
          <w:rFonts w:hint="eastAsia" w:ascii="宋体" w:hAnsi="宋体" w:cs="宋体"/>
          <w:u w:val="single"/>
        </w:rPr>
        <w:t xml:space="preserve">                               </w:t>
      </w:r>
      <w:r>
        <w:rPr>
          <w:rFonts w:hint="eastAsia" w:ascii="宋体" w:hAnsi="宋体" w:cs="宋体"/>
        </w:rPr>
        <w:t xml:space="preserve">       </w:t>
      </w:r>
      <w:r>
        <w:rPr>
          <w:rFonts w:hint="eastAsia" w:ascii="宋体" w:hAnsi="宋体" w:cs="宋体"/>
          <w:u w:val="single"/>
        </w:rPr>
        <w:t xml:space="preserve">                      </w:t>
      </w:r>
    </w:p>
    <w:p>
      <w:pPr>
        <w:numPr>
          <w:ilvl w:val="0"/>
          <w:numId w:val="15"/>
        </w:numPr>
        <w:adjustRightInd w:val="0"/>
        <w:spacing w:line="360" w:lineRule="auto"/>
        <w:textAlignment w:val="baseline"/>
        <w:rPr>
          <w:rFonts w:ascii="宋体" w:hAnsi="宋体" w:cs="宋体"/>
        </w:rPr>
      </w:pPr>
      <w:r>
        <w:rPr>
          <w:rFonts w:hint="eastAsia" w:ascii="宋体" w:hAnsi="宋体" w:cs="宋体"/>
        </w:rPr>
        <w:t>有关开户银行的名称和地址：</w:t>
      </w:r>
      <w:r>
        <w:rPr>
          <w:rFonts w:hint="eastAsia" w:ascii="宋体" w:hAnsi="宋体" w:cs="宋体"/>
          <w:u w:val="single"/>
        </w:rPr>
        <w:t xml:space="preserve">                                      </w:t>
      </w:r>
    </w:p>
    <w:p>
      <w:pPr>
        <w:numPr>
          <w:ilvl w:val="0"/>
          <w:numId w:val="15"/>
        </w:numPr>
        <w:adjustRightInd w:val="0"/>
        <w:spacing w:line="360" w:lineRule="auto"/>
        <w:textAlignment w:val="baseline"/>
        <w:rPr>
          <w:rFonts w:ascii="宋体" w:hAnsi="宋体" w:cs="宋体"/>
        </w:rPr>
      </w:pPr>
      <w:r>
        <w:rPr>
          <w:rFonts w:hint="eastAsia" w:ascii="宋体" w:hAnsi="宋体" w:cs="宋体"/>
        </w:rPr>
        <w:t>制造商所属的集团公司（如有的话）：</w:t>
      </w:r>
      <w:r>
        <w:rPr>
          <w:rFonts w:hint="eastAsia" w:ascii="宋体" w:hAnsi="宋体" w:cs="宋体"/>
          <w:u w:val="single"/>
        </w:rPr>
        <w:t xml:space="preserve">                                </w:t>
      </w:r>
    </w:p>
    <w:p>
      <w:pPr>
        <w:numPr>
          <w:ilvl w:val="0"/>
          <w:numId w:val="15"/>
        </w:numPr>
        <w:adjustRightInd w:val="0"/>
        <w:spacing w:line="360" w:lineRule="auto"/>
        <w:textAlignment w:val="baseline"/>
        <w:rPr>
          <w:rFonts w:ascii="宋体" w:hAnsi="宋体" w:cs="宋体"/>
        </w:rPr>
      </w:pPr>
      <w:r>
        <w:rPr>
          <w:rFonts w:hint="eastAsia" w:ascii="宋体" w:hAnsi="宋体" w:cs="宋体"/>
        </w:rPr>
        <w:t>其他情况：</w:t>
      </w:r>
      <w:r>
        <w:rPr>
          <w:rFonts w:hint="eastAsia" w:ascii="宋体" w:hAnsi="宋体" w:cs="宋体"/>
          <w:u w:val="single"/>
        </w:rPr>
        <w:t xml:space="preserve">                                                      </w:t>
      </w:r>
    </w:p>
    <w:p>
      <w:pPr>
        <w:spacing w:line="360" w:lineRule="auto"/>
        <w:ind w:left="425"/>
        <w:rPr>
          <w:rFonts w:ascii="宋体" w:hAnsi="宋体" w:cs="宋体"/>
        </w:rPr>
      </w:pPr>
    </w:p>
    <w:p>
      <w:pPr>
        <w:spacing w:line="360" w:lineRule="auto"/>
        <w:ind w:firstLine="420" w:firstLineChars="200"/>
        <w:rPr>
          <w:rFonts w:ascii="宋体" w:hAnsi="宋体" w:cs="宋体"/>
        </w:rPr>
      </w:pPr>
      <w:r>
        <w:rPr>
          <w:rFonts w:hint="eastAsia" w:ascii="宋体" w:hAnsi="宋体" w:cs="宋体"/>
        </w:rPr>
        <w:t>兹证明上述声明是真实、正确的，并提供了全部能提供的资料和数据，我们同意遵照贵方要求出示有关证明文件。</w:t>
      </w:r>
    </w:p>
    <w:p>
      <w:pPr>
        <w:spacing w:line="360" w:lineRule="auto"/>
        <w:rPr>
          <w:rFonts w:ascii="宋体" w:hAnsi="宋体" w:cs="宋体"/>
        </w:rPr>
      </w:pPr>
    </w:p>
    <w:p>
      <w:pPr>
        <w:spacing w:line="360" w:lineRule="auto"/>
        <w:rPr>
          <w:rFonts w:ascii="宋体" w:hAnsi="宋体" w:cs="宋体"/>
        </w:rPr>
      </w:pPr>
    </w:p>
    <w:p>
      <w:pPr>
        <w:spacing w:before="120" w:beforeLines="50" w:line="360" w:lineRule="auto"/>
        <w:rPr>
          <w:rFonts w:ascii="宋体" w:hAnsi="宋体" w:cs="宋体"/>
        </w:rPr>
      </w:pPr>
      <w:r>
        <w:rPr>
          <w:rFonts w:hint="eastAsia" w:ascii="宋体" w:hAnsi="宋体" w:cs="宋体"/>
        </w:rPr>
        <w:t>制造商名称 （公章）</w:t>
      </w:r>
      <w:r>
        <w:rPr>
          <w:rFonts w:hint="eastAsia" w:ascii="宋体" w:hAnsi="宋体" w:cs="宋体"/>
          <w:u w:val="single"/>
        </w:rPr>
        <w:t xml:space="preserve">                                </w:t>
      </w:r>
    </w:p>
    <w:p>
      <w:pPr>
        <w:spacing w:before="120" w:beforeLines="50" w:line="360" w:lineRule="auto"/>
        <w:rPr>
          <w:rFonts w:ascii="宋体" w:hAnsi="宋体" w:cs="宋体"/>
          <w:u w:val="single"/>
        </w:rPr>
      </w:pPr>
      <w:r>
        <w:rPr>
          <w:rFonts w:hint="eastAsia" w:ascii="宋体" w:hAnsi="宋体" w:cs="宋体"/>
        </w:rPr>
        <w:t>签字人姓名和职务</w:t>
      </w:r>
      <w:r>
        <w:rPr>
          <w:rFonts w:hint="eastAsia" w:ascii="宋体" w:hAnsi="宋体" w:cs="宋体"/>
          <w:u w:val="single"/>
        </w:rPr>
        <w:t xml:space="preserve">                                   </w:t>
      </w:r>
    </w:p>
    <w:p>
      <w:pPr>
        <w:spacing w:before="120" w:beforeLines="50" w:line="360" w:lineRule="auto"/>
        <w:rPr>
          <w:rFonts w:ascii="宋体" w:hAnsi="宋体" w:cs="宋体"/>
          <w:u w:val="single"/>
        </w:rPr>
      </w:pPr>
      <w:r>
        <w:rPr>
          <w:rFonts w:hint="eastAsia" w:ascii="宋体" w:hAnsi="宋体" w:cs="宋体"/>
        </w:rPr>
        <w:t>签字人签字</w:t>
      </w:r>
      <w:r>
        <w:rPr>
          <w:rFonts w:hint="eastAsia" w:ascii="宋体" w:hAnsi="宋体" w:cs="宋体"/>
          <w:u w:val="single"/>
        </w:rPr>
        <w:t xml:space="preserve">                                         </w:t>
      </w:r>
    </w:p>
    <w:p>
      <w:pPr>
        <w:spacing w:before="120" w:beforeLines="50" w:line="360" w:lineRule="auto"/>
        <w:rPr>
          <w:rFonts w:ascii="宋体" w:hAnsi="宋体" w:cs="宋体"/>
          <w:u w:val="single"/>
        </w:rPr>
      </w:pPr>
      <w:r>
        <w:rPr>
          <w:rFonts w:hint="eastAsia" w:ascii="宋体" w:hAnsi="宋体" w:cs="宋体"/>
        </w:rPr>
        <w:t>签字日期</w:t>
      </w:r>
      <w:r>
        <w:rPr>
          <w:rFonts w:hint="eastAsia" w:ascii="宋体" w:hAnsi="宋体" w:cs="宋体"/>
          <w:u w:val="single"/>
        </w:rPr>
        <w:t xml:space="preserve">                                           </w:t>
      </w:r>
    </w:p>
    <w:p>
      <w:pPr>
        <w:spacing w:before="120" w:beforeLines="50" w:line="360" w:lineRule="auto"/>
        <w:rPr>
          <w:rFonts w:ascii="宋体" w:hAnsi="宋体" w:cs="宋体"/>
          <w:u w:val="single"/>
        </w:rPr>
      </w:pPr>
      <w:r>
        <w:rPr>
          <w:rFonts w:hint="eastAsia" w:ascii="宋体" w:hAnsi="宋体" w:cs="宋体"/>
        </w:rPr>
        <w:t>传真</w:t>
      </w:r>
      <w:r>
        <w:rPr>
          <w:rFonts w:hint="eastAsia" w:ascii="宋体" w:hAnsi="宋体" w:cs="宋体"/>
          <w:u w:val="single"/>
        </w:rPr>
        <w:t xml:space="preserve">                                               </w:t>
      </w:r>
    </w:p>
    <w:p>
      <w:pPr>
        <w:spacing w:before="120" w:beforeLines="50" w:line="360" w:lineRule="auto"/>
        <w:rPr>
          <w:rFonts w:ascii="宋体" w:hAnsi="宋体" w:cs="宋体"/>
          <w:u w:val="single"/>
        </w:rPr>
      </w:pPr>
      <w:r>
        <w:rPr>
          <w:rFonts w:hint="eastAsia" w:ascii="宋体" w:hAnsi="宋体" w:cs="宋体"/>
        </w:rPr>
        <w:t>电话</w:t>
      </w:r>
      <w:r>
        <w:rPr>
          <w:rFonts w:hint="eastAsia" w:ascii="宋体" w:hAnsi="宋体" w:cs="宋体"/>
          <w:u w:val="single"/>
        </w:rPr>
        <w:t xml:space="preserve">                                               </w:t>
      </w:r>
    </w:p>
    <w:p>
      <w:pPr>
        <w:overflowPunct w:val="0"/>
        <w:autoSpaceDE w:val="0"/>
        <w:autoSpaceDN w:val="0"/>
        <w:spacing w:line="440" w:lineRule="exact"/>
        <w:ind w:left="839" w:hanging="839"/>
        <w:jc w:val="left"/>
        <w:rPr>
          <w:rFonts w:ascii="宋体" w:hAnsi="宋体" w:cs="Calibri"/>
          <w:color w:val="000000"/>
          <w:sz w:val="22"/>
        </w:rPr>
      </w:pPr>
    </w:p>
    <w:p>
      <w:pPr>
        <w:spacing w:line="360" w:lineRule="auto"/>
        <w:jc w:val="center"/>
        <w:rPr>
          <w:rFonts w:ascii="宋体" w:hAnsi="宋体" w:cs="宋体"/>
          <w:b/>
          <w:sz w:val="32"/>
          <w:szCs w:val="32"/>
        </w:rPr>
      </w:pPr>
      <w:r>
        <w:rPr>
          <w:rFonts w:ascii="宋体" w:hAnsi="宋体" w:cs="Calibri"/>
          <w:color w:val="000000"/>
          <w:sz w:val="22"/>
        </w:rPr>
        <w:br w:type="page"/>
      </w:r>
      <w:r>
        <w:rPr>
          <w:rFonts w:hint="eastAsia" w:ascii="宋体" w:hAnsi="宋体" w:cs="宋体"/>
          <w:b/>
          <w:sz w:val="32"/>
          <w:szCs w:val="32"/>
        </w:rPr>
        <w:t>（三）</w:t>
      </w:r>
      <w:r>
        <w:rPr>
          <w:rFonts w:ascii="宋体" w:hAnsi="宋体" w:cs="宋体"/>
          <w:b/>
          <w:sz w:val="32"/>
          <w:szCs w:val="32"/>
        </w:rPr>
        <w:t>设备制造商针对本项目的唯一授权书</w:t>
      </w: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（四）拟投产品</w:t>
      </w:r>
      <w:r>
        <w:rPr>
          <w:rFonts w:ascii="宋体" w:hAnsi="宋体" w:cs="宋体"/>
          <w:b/>
          <w:sz w:val="32"/>
          <w:szCs w:val="32"/>
        </w:rPr>
        <w:t>201</w:t>
      </w:r>
      <w:r>
        <w:rPr>
          <w:rFonts w:hint="eastAsia" w:ascii="宋体" w:hAnsi="宋体" w:cs="宋体"/>
          <w:b/>
          <w:sz w:val="32"/>
          <w:szCs w:val="32"/>
          <w:lang w:val="en-US" w:eastAsia="zh-CN"/>
        </w:rPr>
        <w:t>6</w:t>
      </w:r>
      <w:r>
        <w:rPr>
          <w:rFonts w:ascii="宋体" w:hAnsi="宋体" w:cs="宋体"/>
          <w:b/>
          <w:sz w:val="32"/>
          <w:szCs w:val="32"/>
        </w:rPr>
        <w:t>年以来</w:t>
      </w:r>
      <w:r>
        <w:rPr>
          <w:rFonts w:hint="eastAsia" w:ascii="宋体" w:hAnsi="宋体" w:cs="宋体"/>
          <w:b/>
          <w:sz w:val="32"/>
          <w:szCs w:val="32"/>
        </w:rPr>
        <w:t>的销售业绩一览表</w:t>
      </w:r>
    </w:p>
    <w:tbl>
      <w:tblPr>
        <w:tblStyle w:val="5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left"/>
        <w:rPr>
          <w:rFonts w:ascii="ˎ̥" w:hAnsi="ˎ̥" w:cs="宋体"/>
          <w:kern w:val="0"/>
          <w:szCs w:val="21"/>
        </w:rPr>
      </w:pPr>
    </w:p>
    <w:p>
      <w:pPr>
        <w:pStyle w:val="31"/>
        <w:adjustRightInd w:val="0"/>
        <w:snapToGrid w:val="0"/>
        <w:spacing w:line="560" w:lineRule="exact"/>
        <w:rPr>
          <w:rFonts w:hAnsi="宋体"/>
          <w:b/>
        </w:rPr>
      </w:pPr>
      <w:r>
        <w:rPr>
          <w:rFonts w:hAnsi="宋体" w:cs="宋体"/>
          <w:b/>
          <w:sz w:val="32"/>
          <w:szCs w:val="32"/>
        </w:rPr>
        <w:br w:type="page"/>
      </w:r>
      <w:r>
        <w:rPr>
          <w:rFonts w:hAnsi="宋体"/>
          <w:b/>
        </w:rPr>
        <w:t>附件</w:t>
      </w:r>
      <w:r>
        <w:rPr>
          <w:rFonts w:hint="eastAsia" w:hAnsi="宋体"/>
          <w:b/>
        </w:rPr>
        <w:t>6</w:t>
      </w:r>
    </w:p>
    <w:p>
      <w:pPr>
        <w:pStyle w:val="31"/>
        <w:adjustRightInd w:val="0"/>
        <w:snapToGrid w:val="0"/>
        <w:spacing w:line="560" w:lineRule="exact"/>
        <w:jc w:val="center"/>
        <w:rPr>
          <w:rFonts w:hAnsi="宋体"/>
          <w:sz w:val="24"/>
          <w:szCs w:val="24"/>
        </w:rPr>
      </w:pPr>
      <w:r>
        <w:rPr>
          <w:rFonts w:hint="eastAsia" w:hAnsi="宋体"/>
          <w:b/>
          <w:sz w:val="24"/>
          <w:szCs w:val="24"/>
        </w:rPr>
        <w:t>技术规格偏离表</w:t>
      </w:r>
    </w:p>
    <w:p>
      <w:pPr>
        <w:spacing w:line="560" w:lineRule="exact"/>
        <w:rPr>
          <w:rFonts w:ascii="宋体" w:hAnsi="宋体"/>
          <w:sz w:val="24"/>
        </w:rPr>
      </w:pPr>
    </w:p>
    <w:tbl>
      <w:tblPr>
        <w:tblStyle w:val="59"/>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sz w:val="24"/>
        </w:rPr>
      </w:pPr>
      <w:r>
        <w:rPr>
          <w:rFonts w:hAnsi="宋体"/>
          <w:bCs/>
          <w:sz w:val="24"/>
          <w:szCs w:val="24"/>
        </w:rPr>
        <w:t>注：如不填写，则视为完全响应招标文件的技术要求。</w:t>
      </w:r>
    </w:p>
    <w:p>
      <w:pPr>
        <w:spacing w:line="360" w:lineRule="auto"/>
        <w:jc w:val="center"/>
        <w:rPr>
          <w:rFonts w:hAnsi="宋体"/>
          <w:b/>
          <w:sz w:val="24"/>
          <w:szCs w:val="24"/>
        </w:rPr>
      </w:pPr>
    </w:p>
    <w:p>
      <w:pPr>
        <w:pStyle w:val="31"/>
        <w:adjustRightInd w:val="0"/>
        <w:snapToGrid w:val="0"/>
        <w:spacing w:line="560" w:lineRule="exact"/>
        <w:rPr>
          <w:rFonts w:hAnsi="宋体"/>
          <w:b/>
        </w:rPr>
      </w:pPr>
      <w:r>
        <w:rPr>
          <w:rFonts w:hAnsi="宋体"/>
          <w:b/>
        </w:rPr>
        <w:t>附件</w:t>
      </w:r>
      <w:r>
        <w:rPr>
          <w:rFonts w:hint="eastAsia" w:hAnsi="宋体"/>
          <w:b/>
        </w:rPr>
        <w:t>7</w:t>
      </w:r>
    </w:p>
    <w:p>
      <w:pPr>
        <w:pStyle w:val="31"/>
        <w:adjustRightInd w:val="0"/>
        <w:snapToGrid w:val="0"/>
        <w:spacing w:line="560" w:lineRule="exact"/>
        <w:jc w:val="center"/>
        <w:rPr>
          <w:rFonts w:hAnsi="宋体"/>
          <w:b/>
          <w:sz w:val="24"/>
          <w:szCs w:val="24"/>
        </w:rPr>
      </w:pPr>
      <w:r>
        <w:rPr>
          <w:rFonts w:hAnsi="宋体"/>
          <w:b/>
          <w:sz w:val="24"/>
          <w:szCs w:val="24"/>
        </w:rPr>
        <w:t>商务条款响应</w:t>
      </w:r>
      <w:r>
        <w:rPr>
          <w:rFonts w:hint="eastAsia" w:hAnsi="宋体"/>
          <w:b/>
          <w:sz w:val="24"/>
          <w:szCs w:val="24"/>
        </w:rPr>
        <w:t>偏离</w:t>
      </w:r>
      <w:r>
        <w:rPr>
          <w:rFonts w:hAnsi="宋体"/>
          <w:b/>
          <w:sz w:val="24"/>
          <w:szCs w:val="24"/>
        </w:rPr>
        <w:t>表</w:t>
      </w:r>
    </w:p>
    <w:tbl>
      <w:tblPr>
        <w:tblStyle w:val="59"/>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
        </w:rPr>
      </w:pPr>
      <w:r>
        <w:rPr>
          <w:rFonts w:hint="eastAsia" w:hAnsi="宋体"/>
          <w:b/>
        </w:rPr>
        <w:t>附件8～14 未提供格式部分由投标人自行拟定</w:t>
      </w:r>
    </w:p>
    <w:p>
      <w:pPr>
        <w:pStyle w:val="31"/>
        <w:adjustRightInd w:val="0"/>
        <w:snapToGrid w:val="0"/>
        <w:spacing w:line="560" w:lineRule="exact"/>
        <w:rPr>
          <w:rFonts w:hAnsi="宋体"/>
          <w:b/>
          <w:sz w:val="24"/>
          <w:szCs w:val="24"/>
        </w:rPr>
        <w:sectPr>
          <w:footerReference r:id="rId6" w:type="first"/>
          <w:pgSz w:w="11907" w:h="16840"/>
          <w:pgMar w:top="1191" w:right="1191" w:bottom="1247" w:left="1247" w:header="851" w:footer="992" w:gutter="0"/>
          <w:cols w:space="720" w:num="1"/>
          <w:docGrid w:linePitch="312" w:charSpace="0"/>
        </w:sectPr>
      </w:pPr>
    </w:p>
    <w:p>
      <w:pPr>
        <w:pStyle w:val="52"/>
      </w:pPr>
      <w:bookmarkStart w:id="116" w:name="_Toc275274582"/>
      <w:bookmarkStart w:id="117" w:name="_Toc422638528"/>
      <w:r>
        <w:t>第</w:t>
      </w:r>
      <w:r>
        <w:rPr>
          <w:rFonts w:hint="eastAsia"/>
        </w:rPr>
        <w:t>六</w:t>
      </w:r>
      <w:r>
        <w:t>章</w:t>
      </w:r>
      <w:r>
        <w:rPr>
          <w:rFonts w:hint="eastAsia"/>
        </w:rPr>
        <w:t xml:space="preserve">  </w:t>
      </w:r>
      <w:r>
        <w:t>评标办法</w:t>
      </w:r>
      <w:bookmarkEnd w:id="116"/>
      <w:bookmarkEnd w:id="117"/>
    </w:p>
    <w:p>
      <w:pPr>
        <w:adjustRightInd w:val="0"/>
        <w:snapToGrid w:val="0"/>
        <w:spacing w:line="400" w:lineRule="exact"/>
        <w:ind w:firstLine="442" w:firstLineChars="200"/>
        <w:rPr>
          <w:rFonts w:ascii="宋体" w:hAnsi="宋体"/>
          <w:b/>
          <w:sz w:val="22"/>
        </w:rPr>
      </w:pPr>
      <w:r>
        <w:rPr>
          <w:rFonts w:ascii="宋体" w:hAnsi="宋体"/>
          <w:b/>
          <w:sz w:val="22"/>
        </w:rPr>
        <w:t>一、评标原则</w:t>
      </w:r>
    </w:p>
    <w:p>
      <w:pPr>
        <w:adjustRightInd w:val="0"/>
        <w:snapToGrid w:val="0"/>
        <w:spacing w:line="400" w:lineRule="exact"/>
        <w:ind w:firstLine="440" w:firstLineChars="200"/>
        <w:rPr>
          <w:rFonts w:ascii="宋体" w:hAnsi="宋体"/>
          <w:sz w:val="22"/>
        </w:rPr>
      </w:pPr>
      <w:r>
        <w:rPr>
          <w:rFonts w:hint="eastAsia" w:ascii="宋体" w:hAnsi="宋体"/>
          <w:bCs/>
          <w:sz w:val="22"/>
        </w:rPr>
        <w:t>根据《中华人民共和国招投标法》的有关规定及本项目的实际情况，按</w:t>
      </w:r>
      <w:r>
        <w:rPr>
          <w:rFonts w:ascii="宋体" w:hAnsi="宋体"/>
          <w:bCs/>
          <w:sz w:val="22"/>
        </w:rPr>
        <w:t>公平、公正、科学、择优的原则</w:t>
      </w:r>
      <w:r>
        <w:rPr>
          <w:rFonts w:hint="eastAsia" w:ascii="宋体" w:hAnsi="宋体"/>
          <w:bCs/>
          <w:sz w:val="22"/>
        </w:rPr>
        <w:t>进行评标</w:t>
      </w:r>
      <w:r>
        <w:rPr>
          <w:rFonts w:ascii="宋体" w:hAnsi="宋体"/>
          <w:sz w:val="22"/>
        </w:rPr>
        <w:t>。</w:t>
      </w:r>
    </w:p>
    <w:p>
      <w:pPr>
        <w:adjustRightInd w:val="0"/>
        <w:snapToGrid w:val="0"/>
        <w:spacing w:line="400" w:lineRule="exact"/>
        <w:ind w:firstLine="442" w:firstLineChars="200"/>
        <w:rPr>
          <w:rFonts w:ascii="宋体" w:hAnsi="宋体"/>
          <w:b/>
          <w:sz w:val="22"/>
        </w:rPr>
      </w:pPr>
      <w:r>
        <w:rPr>
          <w:rFonts w:ascii="宋体" w:hAnsi="宋体"/>
          <w:b/>
          <w:sz w:val="22"/>
        </w:rPr>
        <w:t>二、评标</w:t>
      </w:r>
      <w:r>
        <w:rPr>
          <w:rFonts w:hint="eastAsia" w:ascii="宋体" w:hAnsi="宋体"/>
          <w:b/>
          <w:sz w:val="22"/>
        </w:rPr>
        <w:t>方法</w:t>
      </w:r>
    </w:p>
    <w:p>
      <w:pPr>
        <w:adjustRightInd w:val="0"/>
        <w:snapToGrid w:val="0"/>
        <w:spacing w:line="400" w:lineRule="exact"/>
        <w:ind w:firstLine="440" w:firstLineChars="200"/>
        <w:rPr>
          <w:rFonts w:ascii="宋体" w:hAnsi="宋体"/>
          <w:sz w:val="22"/>
        </w:rPr>
      </w:pPr>
      <w:r>
        <w:rPr>
          <w:rFonts w:hint="eastAsia" w:ascii="宋体" w:hAnsi="宋体"/>
          <w:sz w:val="22"/>
        </w:rPr>
        <w:t>本次评标采用综合评估法。评标委员会对满足招标文件实质性要求的投标文件按照制定的评分标准进行打分并按得分由高到低顺序推荐中标候选人，综合评分相等时，以投标报价低的优先，投标报价也相等的，以技术标得分高的优先。</w:t>
      </w:r>
    </w:p>
    <w:p>
      <w:pPr>
        <w:adjustRightInd w:val="0"/>
        <w:snapToGrid w:val="0"/>
        <w:spacing w:line="400" w:lineRule="exact"/>
        <w:ind w:firstLine="442" w:firstLineChars="200"/>
        <w:rPr>
          <w:rFonts w:ascii="宋体" w:hAnsi="宋体"/>
          <w:b/>
          <w:sz w:val="22"/>
        </w:rPr>
      </w:pPr>
      <w:r>
        <w:rPr>
          <w:rFonts w:ascii="宋体" w:hAnsi="宋体"/>
          <w:b/>
          <w:sz w:val="22"/>
        </w:rPr>
        <w:t>三</w:t>
      </w:r>
      <w:r>
        <w:rPr>
          <w:rFonts w:hint="eastAsia" w:ascii="宋体" w:hAnsi="宋体"/>
          <w:b/>
          <w:sz w:val="22"/>
        </w:rPr>
        <w:t>、</w:t>
      </w:r>
      <w:r>
        <w:rPr>
          <w:rFonts w:ascii="宋体" w:hAnsi="宋体"/>
          <w:b/>
          <w:sz w:val="22"/>
        </w:rPr>
        <w:t>评标程序和内容</w:t>
      </w:r>
    </w:p>
    <w:p>
      <w:pPr>
        <w:adjustRightInd w:val="0"/>
        <w:snapToGrid w:val="0"/>
        <w:spacing w:line="400" w:lineRule="exact"/>
        <w:ind w:firstLine="440" w:firstLineChars="200"/>
        <w:rPr>
          <w:rFonts w:ascii="宋体" w:hAnsi="宋体"/>
          <w:sz w:val="22"/>
        </w:rPr>
      </w:pPr>
      <w:r>
        <w:rPr>
          <w:rFonts w:ascii="宋体" w:hAnsi="宋体"/>
          <w:sz w:val="22"/>
        </w:rPr>
        <w:t>1．评标的一般程序为：</w:t>
      </w:r>
    </w:p>
    <w:p>
      <w:pPr>
        <w:adjustRightInd w:val="0"/>
        <w:snapToGrid w:val="0"/>
        <w:spacing w:line="400" w:lineRule="exact"/>
        <w:ind w:firstLine="440" w:firstLineChars="200"/>
        <w:rPr>
          <w:rFonts w:ascii="宋体" w:hAnsi="宋体"/>
          <w:sz w:val="22"/>
        </w:rPr>
      </w:pPr>
      <w:r>
        <w:rPr>
          <w:rFonts w:ascii="宋体" w:hAnsi="宋体"/>
          <w:bCs/>
          <w:sz w:val="22"/>
        </w:rPr>
        <w:t>（1）熟悉招标文件和评标办法；</w:t>
      </w:r>
    </w:p>
    <w:p>
      <w:pPr>
        <w:adjustRightInd w:val="0"/>
        <w:snapToGrid w:val="0"/>
        <w:spacing w:line="400" w:lineRule="exact"/>
        <w:ind w:firstLine="440" w:firstLineChars="200"/>
        <w:rPr>
          <w:rFonts w:ascii="宋体" w:hAnsi="宋体"/>
          <w:sz w:val="22"/>
        </w:rPr>
      </w:pPr>
      <w:r>
        <w:rPr>
          <w:rFonts w:ascii="宋体" w:hAnsi="宋体"/>
          <w:bCs/>
          <w:sz w:val="22"/>
        </w:rPr>
        <w:t>（2）投标文件的符合性审查；</w:t>
      </w:r>
    </w:p>
    <w:p>
      <w:pPr>
        <w:adjustRightInd w:val="0"/>
        <w:snapToGrid w:val="0"/>
        <w:spacing w:line="400" w:lineRule="exact"/>
        <w:ind w:firstLine="440" w:firstLineChars="200"/>
        <w:rPr>
          <w:rFonts w:ascii="宋体" w:hAnsi="宋体"/>
          <w:sz w:val="22"/>
        </w:rPr>
      </w:pPr>
      <w:r>
        <w:rPr>
          <w:rFonts w:ascii="宋体" w:hAnsi="宋体"/>
          <w:bCs/>
          <w:sz w:val="22"/>
        </w:rPr>
        <w:t>（</w:t>
      </w:r>
      <w:r>
        <w:rPr>
          <w:rFonts w:hint="eastAsia" w:ascii="宋体" w:hAnsi="宋体"/>
          <w:bCs/>
          <w:sz w:val="22"/>
        </w:rPr>
        <w:t>3</w:t>
      </w:r>
      <w:r>
        <w:rPr>
          <w:rFonts w:ascii="宋体" w:hAnsi="宋体"/>
          <w:bCs/>
          <w:sz w:val="22"/>
        </w:rPr>
        <w:t>）投标文件的技术评审；</w:t>
      </w:r>
    </w:p>
    <w:p>
      <w:pPr>
        <w:adjustRightInd w:val="0"/>
        <w:snapToGrid w:val="0"/>
        <w:spacing w:line="400" w:lineRule="exact"/>
        <w:ind w:firstLine="440" w:firstLineChars="200"/>
        <w:rPr>
          <w:rFonts w:ascii="宋体" w:hAnsi="宋体"/>
          <w:sz w:val="22"/>
        </w:rPr>
      </w:pPr>
      <w:r>
        <w:rPr>
          <w:rFonts w:ascii="宋体" w:hAnsi="宋体"/>
          <w:bCs/>
          <w:sz w:val="22"/>
        </w:rPr>
        <w:t>（</w:t>
      </w:r>
      <w:r>
        <w:rPr>
          <w:rFonts w:hint="eastAsia" w:ascii="宋体" w:hAnsi="宋体"/>
          <w:bCs/>
          <w:sz w:val="22"/>
        </w:rPr>
        <w:t>4</w:t>
      </w:r>
      <w:r>
        <w:rPr>
          <w:rFonts w:ascii="宋体" w:hAnsi="宋体"/>
          <w:bCs/>
          <w:sz w:val="22"/>
        </w:rPr>
        <w:t>）投标文件的商务评审；</w:t>
      </w:r>
    </w:p>
    <w:p>
      <w:pPr>
        <w:adjustRightInd w:val="0"/>
        <w:snapToGrid w:val="0"/>
        <w:spacing w:line="400" w:lineRule="exact"/>
        <w:ind w:firstLine="440" w:firstLineChars="200"/>
        <w:rPr>
          <w:rFonts w:ascii="宋体" w:hAnsi="宋体"/>
          <w:sz w:val="22"/>
        </w:rPr>
      </w:pPr>
      <w:r>
        <w:rPr>
          <w:rFonts w:ascii="宋体" w:hAnsi="宋体"/>
          <w:bCs/>
          <w:sz w:val="22"/>
        </w:rPr>
        <w:t>（</w:t>
      </w:r>
      <w:r>
        <w:rPr>
          <w:rFonts w:hint="eastAsia" w:ascii="宋体" w:hAnsi="宋体"/>
          <w:bCs/>
          <w:sz w:val="22"/>
        </w:rPr>
        <w:t>5</w:t>
      </w:r>
      <w:r>
        <w:rPr>
          <w:rFonts w:ascii="宋体" w:hAnsi="宋体"/>
          <w:bCs/>
          <w:sz w:val="22"/>
        </w:rPr>
        <w:t>）必要时，对投标文件中的问题进行询标；</w:t>
      </w:r>
    </w:p>
    <w:p>
      <w:pPr>
        <w:adjustRightInd w:val="0"/>
        <w:snapToGrid w:val="0"/>
        <w:spacing w:line="400" w:lineRule="exact"/>
        <w:ind w:firstLine="440" w:firstLineChars="200"/>
        <w:rPr>
          <w:rFonts w:ascii="宋体" w:hAnsi="宋体"/>
          <w:sz w:val="22"/>
        </w:rPr>
      </w:pPr>
      <w:r>
        <w:rPr>
          <w:rFonts w:ascii="宋体" w:hAnsi="宋体"/>
          <w:bCs/>
          <w:sz w:val="22"/>
        </w:rPr>
        <w:t>（</w:t>
      </w:r>
      <w:r>
        <w:rPr>
          <w:rFonts w:hint="eastAsia" w:ascii="宋体" w:hAnsi="宋体"/>
          <w:bCs/>
          <w:sz w:val="22"/>
        </w:rPr>
        <w:t>6</w:t>
      </w:r>
      <w:r>
        <w:rPr>
          <w:rFonts w:ascii="宋体" w:hAnsi="宋体"/>
          <w:bCs/>
          <w:sz w:val="22"/>
        </w:rPr>
        <w:t>）根据评标方法和标准对投标文件进行评分；</w:t>
      </w:r>
    </w:p>
    <w:p>
      <w:pPr>
        <w:adjustRightInd w:val="0"/>
        <w:snapToGrid w:val="0"/>
        <w:spacing w:line="400" w:lineRule="exact"/>
        <w:ind w:firstLine="440" w:firstLineChars="200"/>
        <w:rPr>
          <w:rFonts w:ascii="宋体" w:hAnsi="宋体"/>
          <w:sz w:val="22"/>
        </w:rPr>
      </w:pPr>
      <w:r>
        <w:rPr>
          <w:rFonts w:ascii="宋体" w:hAnsi="宋体"/>
          <w:bCs/>
          <w:sz w:val="22"/>
        </w:rPr>
        <w:t>（</w:t>
      </w:r>
      <w:r>
        <w:rPr>
          <w:rFonts w:hint="eastAsia" w:ascii="宋体" w:hAnsi="宋体"/>
          <w:bCs/>
          <w:sz w:val="22"/>
        </w:rPr>
        <w:t>7</w:t>
      </w:r>
      <w:r>
        <w:rPr>
          <w:rFonts w:ascii="宋体" w:hAnsi="宋体"/>
          <w:bCs/>
          <w:sz w:val="22"/>
        </w:rPr>
        <w:t>）完成评标报告，推荐中标候选人。</w:t>
      </w:r>
    </w:p>
    <w:p>
      <w:pPr>
        <w:adjustRightInd w:val="0"/>
        <w:snapToGrid w:val="0"/>
        <w:spacing w:line="400" w:lineRule="exact"/>
        <w:ind w:firstLine="440" w:firstLineChars="200"/>
        <w:rPr>
          <w:rFonts w:ascii="宋体" w:hAnsi="宋体"/>
          <w:sz w:val="22"/>
        </w:rPr>
      </w:pPr>
      <w:r>
        <w:rPr>
          <w:rFonts w:ascii="宋体" w:hAnsi="宋体"/>
          <w:sz w:val="22"/>
        </w:rPr>
        <w:t>2．投标文件的符合性审查</w:t>
      </w:r>
    </w:p>
    <w:p>
      <w:pPr>
        <w:adjustRightInd w:val="0"/>
        <w:snapToGrid w:val="0"/>
        <w:spacing w:line="400" w:lineRule="exact"/>
        <w:ind w:firstLine="440" w:firstLineChars="200"/>
        <w:rPr>
          <w:rFonts w:ascii="宋体" w:hAnsi="宋体"/>
          <w:sz w:val="22"/>
        </w:rPr>
      </w:pPr>
      <w:r>
        <w:rPr>
          <w:rFonts w:ascii="宋体" w:hAnsi="宋体"/>
          <w:bCs/>
          <w:sz w:val="22"/>
        </w:rPr>
        <w:t>评标委员会应依照招标文件的要求和规定，首先对投标人的投标资格和投标文件进行符合性审查。</w:t>
      </w:r>
    </w:p>
    <w:p>
      <w:pPr>
        <w:adjustRightInd w:val="0"/>
        <w:snapToGrid w:val="0"/>
        <w:spacing w:line="400" w:lineRule="exact"/>
        <w:ind w:firstLine="440" w:firstLineChars="200"/>
        <w:rPr>
          <w:rFonts w:ascii="宋体" w:hAnsi="宋体"/>
          <w:sz w:val="22"/>
        </w:rPr>
      </w:pPr>
      <w:r>
        <w:rPr>
          <w:rFonts w:ascii="宋体" w:hAnsi="宋体"/>
          <w:bCs/>
          <w:sz w:val="22"/>
        </w:rPr>
        <w:t xml:space="preserve">投标人不得通过补充、修改或撤消投标文件中的内容使其成为实质性响应的投标。投标人在投标截止以后不得提交任何资料作为评标依据。 </w:t>
      </w:r>
    </w:p>
    <w:p>
      <w:pPr>
        <w:adjustRightInd w:val="0"/>
        <w:snapToGrid w:val="0"/>
        <w:spacing w:line="400" w:lineRule="exact"/>
        <w:ind w:firstLine="440" w:firstLineChars="200"/>
        <w:rPr>
          <w:rFonts w:ascii="宋体" w:hAnsi="宋体"/>
          <w:sz w:val="22"/>
        </w:rPr>
      </w:pPr>
      <w:r>
        <w:rPr>
          <w:rFonts w:ascii="宋体" w:hAnsi="宋体"/>
          <w:bCs/>
          <w:sz w:val="22"/>
        </w:rPr>
        <w:t>投标文件存在以下情况之一的，经评标委员会审核认定，作为符合性审查未通过予以废除，不再进行技术和商务的评审</w:t>
      </w:r>
      <w:r>
        <w:rPr>
          <w:rFonts w:hint="eastAsia" w:ascii="宋体" w:hAnsi="宋体"/>
          <w:bCs/>
          <w:sz w:val="22"/>
        </w:rPr>
        <w:t>：</w:t>
      </w:r>
    </w:p>
    <w:p>
      <w:pPr>
        <w:adjustRightInd w:val="0"/>
        <w:snapToGrid w:val="0"/>
        <w:spacing w:line="400" w:lineRule="exact"/>
        <w:ind w:firstLine="440" w:firstLineChars="200"/>
        <w:rPr>
          <w:rFonts w:ascii="宋体" w:hAnsi="宋体"/>
          <w:sz w:val="22"/>
        </w:rPr>
      </w:pPr>
      <w:r>
        <w:rPr>
          <w:rFonts w:ascii="宋体" w:hAnsi="宋体"/>
          <w:sz w:val="22"/>
        </w:rPr>
        <w:t>1）投标人的投标资格条件不满足国家有关规定或招标文件载明的投标资格条件的；</w:t>
      </w:r>
    </w:p>
    <w:p>
      <w:pPr>
        <w:adjustRightInd w:val="0"/>
        <w:snapToGrid w:val="0"/>
        <w:spacing w:line="400" w:lineRule="exact"/>
        <w:ind w:firstLine="440" w:firstLineChars="200"/>
        <w:rPr>
          <w:rFonts w:ascii="宋体" w:hAnsi="宋体"/>
          <w:bCs/>
          <w:sz w:val="22"/>
        </w:rPr>
      </w:pPr>
      <w:r>
        <w:rPr>
          <w:rFonts w:hint="eastAsia" w:ascii="宋体" w:hAnsi="宋体"/>
          <w:sz w:val="22"/>
        </w:rPr>
        <w:t>2</w:t>
      </w:r>
      <w:r>
        <w:rPr>
          <w:rFonts w:ascii="宋体" w:hAnsi="宋体"/>
          <w:sz w:val="22"/>
        </w:rPr>
        <w:t>）</w:t>
      </w:r>
      <w:r>
        <w:rPr>
          <w:rFonts w:ascii="宋体" w:hAnsi="宋体"/>
          <w:bCs/>
          <w:sz w:val="22"/>
        </w:rPr>
        <w:t>未按招标文件的要求签署和盖章的（仅限于单位印章和法定代表人或其委托代理人签字或盖章）。</w:t>
      </w:r>
    </w:p>
    <w:p>
      <w:pPr>
        <w:adjustRightInd w:val="0"/>
        <w:snapToGrid w:val="0"/>
        <w:spacing w:line="400" w:lineRule="exact"/>
        <w:ind w:firstLine="440" w:firstLineChars="200"/>
        <w:rPr>
          <w:rFonts w:ascii="宋体" w:hAnsi="宋体"/>
          <w:bCs/>
          <w:sz w:val="22"/>
        </w:rPr>
      </w:pPr>
      <w:r>
        <w:rPr>
          <w:rFonts w:hint="eastAsia" w:ascii="宋体" w:hAnsi="宋体"/>
          <w:sz w:val="22"/>
        </w:rPr>
        <w:t>3</w:t>
      </w:r>
      <w:r>
        <w:rPr>
          <w:rFonts w:ascii="宋体" w:hAnsi="宋体"/>
          <w:sz w:val="22"/>
        </w:rPr>
        <w:t>）</w:t>
      </w:r>
      <w:r>
        <w:rPr>
          <w:rFonts w:ascii="宋体" w:hAnsi="宋体"/>
          <w:bCs/>
          <w:sz w:val="22"/>
        </w:rPr>
        <w:t>投标人不以自己的名义或未按招标文件要求提供投标保证金或提供的投标保证金有缺陷而不能接受的；</w:t>
      </w:r>
    </w:p>
    <w:p>
      <w:pPr>
        <w:adjustRightInd w:val="0"/>
        <w:snapToGrid w:val="0"/>
        <w:spacing w:line="40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投标有效期不足的；</w:t>
      </w:r>
    </w:p>
    <w:p>
      <w:pPr>
        <w:adjustRightInd w:val="0"/>
        <w:snapToGrid w:val="0"/>
        <w:spacing w:line="400" w:lineRule="exact"/>
        <w:ind w:firstLine="440" w:firstLineChars="200"/>
        <w:rPr>
          <w:rFonts w:ascii="宋体" w:hAnsi="宋体"/>
          <w:sz w:val="22"/>
        </w:rPr>
      </w:pPr>
      <w:r>
        <w:rPr>
          <w:rFonts w:hint="eastAsia" w:ascii="宋体" w:hAnsi="宋体"/>
          <w:sz w:val="22"/>
        </w:rPr>
        <w:t>5</w:t>
      </w:r>
      <w:r>
        <w:rPr>
          <w:rFonts w:ascii="宋体" w:hAnsi="宋体"/>
          <w:sz w:val="22"/>
        </w:rPr>
        <w:t>）</w:t>
      </w:r>
      <w:r>
        <w:rPr>
          <w:rFonts w:hint="eastAsia" w:ascii="宋体" w:hAnsi="宋体"/>
          <w:sz w:val="22"/>
        </w:rPr>
        <w:t>投标文件中投标设备不满足招标文件第四章“货物需求一览表及技术规格”中</w:t>
      </w:r>
      <w:r>
        <w:rPr>
          <w:rFonts w:ascii="宋体" w:hAnsi="宋体"/>
          <w:sz w:val="22"/>
        </w:rPr>
        <w:t>标注“</w:t>
      </w:r>
      <w:r>
        <w:rPr>
          <w:rFonts w:hint="eastAsia" w:ascii="宋体" w:hAnsi="宋体"/>
          <w:sz w:val="22"/>
        </w:rPr>
        <w:t>★</w:t>
      </w:r>
      <w:r>
        <w:rPr>
          <w:rFonts w:ascii="宋体" w:hAnsi="宋体"/>
          <w:sz w:val="22"/>
        </w:rPr>
        <w:t>”号的关键条款</w:t>
      </w:r>
      <w:r>
        <w:rPr>
          <w:rFonts w:hint="eastAsia" w:ascii="宋体" w:hAnsi="宋体"/>
          <w:sz w:val="22"/>
        </w:rPr>
        <w:t>的</w:t>
      </w:r>
      <w:r>
        <w:rPr>
          <w:rFonts w:ascii="宋体" w:hAnsi="宋体"/>
          <w:sz w:val="22"/>
        </w:rPr>
        <w:t>；</w:t>
      </w:r>
    </w:p>
    <w:p>
      <w:pPr>
        <w:adjustRightInd w:val="0"/>
        <w:snapToGrid w:val="0"/>
        <w:spacing w:line="400" w:lineRule="exact"/>
        <w:ind w:firstLine="440" w:firstLineChars="200"/>
        <w:rPr>
          <w:rFonts w:ascii="宋体" w:hAnsi="宋体"/>
          <w:sz w:val="22"/>
        </w:rPr>
      </w:pPr>
      <w:r>
        <w:rPr>
          <w:rFonts w:hint="eastAsia" w:ascii="宋体" w:hAnsi="宋体"/>
          <w:sz w:val="22"/>
        </w:rPr>
        <w:t>6</w:t>
      </w:r>
      <w:r>
        <w:rPr>
          <w:rFonts w:ascii="宋体" w:hAnsi="宋体"/>
          <w:sz w:val="22"/>
        </w:rPr>
        <w:t>）</w:t>
      </w:r>
      <w:r>
        <w:rPr>
          <w:rFonts w:hint="eastAsia" w:ascii="宋体" w:hAnsi="宋体"/>
          <w:sz w:val="22"/>
        </w:rPr>
        <w:t>投标文件中投标货物交货期、付款条件、免费质保期中的任一项不满足招标文件要求的；</w:t>
      </w:r>
    </w:p>
    <w:p>
      <w:pPr>
        <w:adjustRightInd w:val="0"/>
        <w:snapToGrid w:val="0"/>
        <w:spacing w:line="400" w:lineRule="exact"/>
        <w:ind w:firstLine="440" w:firstLineChars="200"/>
        <w:rPr>
          <w:rFonts w:ascii="宋体" w:hAnsi="宋体"/>
          <w:sz w:val="22"/>
        </w:rPr>
      </w:pPr>
      <w:r>
        <w:rPr>
          <w:rFonts w:hint="eastAsia" w:ascii="宋体" w:hAnsi="宋体"/>
          <w:sz w:val="22"/>
        </w:rPr>
        <w:t>7</w:t>
      </w:r>
      <w:r>
        <w:rPr>
          <w:rFonts w:ascii="宋体" w:hAnsi="宋体"/>
          <w:sz w:val="22"/>
        </w:rPr>
        <w:t>）投标文件附有招标人不能接受的条件</w:t>
      </w:r>
      <w:r>
        <w:rPr>
          <w:rFonts w:hint="eastAsia" w:ascii="宋体" w:hAnsi="宋体"/>
          <w:sz w:val="22"/>
        </w:rPr>
        <w:t>；</w:t>
      </w:r>
    </w:p>
    <w:p>
      <w:pPr>
        <w:adjustRightInd w:val="0"/>
        <w:snapToGrid w:val="0"/>
        <w:spacing w:line="400" w:lineRule="exact"/>
        <w:ind w:firstLine="440" w:firstLineChars="200"/>
        <w:rPr>
          <w:rFonts w:ascii="宋体" w:hAnsi="宋体"/>
          <w:sz w:val="22"/>
        </w:rPr>
      </w:pPr>
      <w:r>
        <w:rPr>
          <w:rFonts w:hint="eastAsia" w:ascii="宋体" w:hAnsi="宋体"/>
          <w:sz w:val="22"/>
        </w:rPr>
        <w:t>8</w:t>
      </w:r>
      <w:r>
        <w:rPr>
          <w:rFonts w:ascii="宋体" w:hAnsi="宋体"/>
          <w:sz w:val="22"/>
        </w:rPr>
        <w:t>）不符合招标文件中规定的其它实质性要求</w:t>
      </w:r>
      <w:r>
        <w:rPr>
          <w:rFonts w:hint="eastAsia" w:ascii="宋体" w:hAnsi="宋体"/>
          <w:sz w:val="22"/>
        </w:rPr>
        <w:t>；</w:t>
      </w:r>
    </w:p>
    <w:p>
      <w:pPr>
        <w:adjustRightInd w:val="0"/>
        <w:snapToGrid w:val="0"/>
        <w:spacing w:line="400" w:lineRule="exact"/>
        <w:ind w:firstLine="440" w:firstLineChars="200"/>
        <w:rPr>
          <w:rFonts w:ascii="宋体" w:hAnsi="宋体"/>
          <w:sz w:val="22"/>
        </w:rPr>
      </w:pPr>
      <w:r>
        <w:rPr>
          <w:rFonts w:hint="eastAsia" w:ascii="宋体" w:hAnsi="宋体"/>
          <w:sz w:val="22"/>
        </w:rPr>
        <w:t>9</w:t>
      </w:r>
      <w:r>
        <w:rPr>
          <w:rFonts w:ascii="宋体" w:hAnsi="宋体"/>
          <w:sz w:val="22"/>
        </w:rPr>
        <w:t>）</w:t>
      </w:r>
      <w:r>
        <w:rPr>
          <w:rFonts w:ascii="宋体" w:hAnsi="宋体"/>
          <w:bCs/>
          <w:sz w:val="22"/>
        </w:rPr>
        <w:t>存在法律、法规、规章规定的其它无效投标情况的。</w:t>
      </w:r>
    </w:p>
    <w:p>
      <w:pPr>
        <w:adjustRightInd w:val="0"/>
        <w:snapToGrid w:val="0"/>
        <w:spacing w:line="400" w:lineRule="exact"/>
        <w:ind w:firstLine="440" w:firstLineChars="200"/>
        <w:rPr>
          <w:rFonts w:ascii="宋体" w:hAnsi="宋体"/>
          <w:sz w:val="22"/>
        </w:rPr>
      </w:pPr>
      <w:r>
        <w:rPr>
          <w:rFonts w:ascii="宋体" w:hAnsi="宋体"/>
          <w:sz w:val="22"/>
        </w:rPr>
        <w:t>3．评标委员会对通过符合性审查的投标文件的以下</w:t>
      </w:r>
      <w:r>
        <w:rPr>
          <w:rFonts w:hint="eastAsia" w:ascii="宋体" w:hAnsi="宋体"/>
          <w:sz w:val="22"/>
        </w:rPr>
        <w:t>两</w:t>
      </w:r>
      <w:r>
        <w:rPr>
          <w:rFonts w:ascii="宋体" w:hAnsi="宋体"/>
          <w:sz w:val="22"/>
        </w:rPr>
        <w:t>部分内容，按评标细则的规定和要求进行评审。</w:t>
      </w:r>
    </w:p>
    <w:p>
      <w:pPr>
        <w:adjustRightInd w:val="0"/>
        <w:snapToGrid w:val="0"/>
        <w:spacing w:line="400" w:lineRule="exact"/>
        <w:ind w:firstLine="440" w:firstLineChars="200"/>
        <w:rPr>
          <w:rFonts w:ascii="宋体" w:hAnsi="宋体"/>
          <w:sz w:val="22"/>
        </w:rPr>
      </w:pPr>
      <w:r>
        <w:rPr>
          <w:rFonts w:hint="eastAsia" w:ascii="宋体" w:hAnsi="宋体"/>
          <w:sz w:val="22"/>
        </w:rPr>
        <w:t>评标专家必须在规定的分值内打分，否则评分无效。评标分技术和商务评审两部分。采用百分制综合评分，其中技术评审占</w:t>
      </w:r>
      <w:r>
        <w:rPr>
          <w:rFonts w:hint="eastAsia" w:ascii="宋体" w:hAnsi="宋体"/>
          <w:b/>
          <w:bCs/>
          <w:sz w:val="22"/>
        </w:rPr>
        <w:t>40分</w:t>
      </w:r>
      <w:r>
        <w:rPr>
          <w:rFonts w:hint="eastAsia" w:ascii="宋体" w:hAnsi="宋体"/>
          <w:sz w:val="22"/>
        </w:rPr>
        <w:t>，商务评审占</w:t>
      </w:r>
      <w:r>
        <w:rPr>
          <w:rFonts w:hint="eastAsia" w:ascii="宋体" w:hAnsi="宋体"/>
          <w:b/>
          <w:bCs/>
          <w:sz w:val="22"/>
        </w:rPr>
        <w:t>60分</w:t>
      </w:r>
      <w:r>
        <w:rPr>
          <w:rFonts w:hint="eastAsia" w:ascii="宋体" w:hAnsi="宋体"/>
          <w:sz w:val="22"/>
        </w:rPr>
        <w:t>。</w:t>
      </w:r>
    </w:p>
    <w:p>
      <w:pPr>
        <w:adjustRightInd w:val="0"/>
        <w:snapToGrid w:val="0"/>
        <w:spacing w:line="400" w:lineRule="exact"/>
        <w:ind w:firstLine="440" w:firstLineChars="200"/>
        <w:rPr>
          <w:rFonts w:ascii="宋体" w:hAnsi="宋体"/>
          <w:sz w:val="22"/>
        </w:rPr>
      </w:pPr>
      <w:r>
        <w:rPr>
          <w:rFonts w:ascii="宋体" w:hAnsi="宋体"/>
          <w:sz w:val="22"/>
        </w:rPr>
        <w:t>（</w:t>
      </w:r>
      <w:r>
        <w:rPr>
          <w:rFonts w:hint="eastAsia" w:ascii="宋体" w:hAnsi="宋体"/>
          <w:sz w:val="22"/>
        </w:rPr>
        <w:t>1</w:t>
      </w:r>
      <w:r>
        <w:rPr>
          <w:rFonts w:ascii="宋体" w:hAnsi="宋体"/>
          <w:sz w:val="22"/>
        </w:rPr>
        <w:t>）技术评审</w:t>
      </w:r>
    </w:p>
    <w:p>
      <w:pPr>
        <w:adjustRightInd w:val="0"/>
        <w:snapToGrid w:val="0"/>
        <w:spacing w:line="400" w:lineRule="exact"/>
        <w:ind w:firstLine="440" w:firstLineChars="200"/>
        <w:rPr>
          <w:rFonts w:ascii="宋体" w:hAnsi="宋体"/>
          <w:sz w:val="22"/>
        </w:rPr>
      </w:pPr>
      <w:r>
        <w:rPr>
          <w:rFonts w:ascii="宋体" w:hAnsi="宋体"/>
          <w:sz w:val="22"/>
        </w:rPr>
        <w:t>评委对各投标书的技术</w:t>
      </w:r>
      <w:r>
        <w:rPr>
          <w:rFonts w:hint="eastAsia" w:ascii="宋体" w:hAnsi="宋体"/>
          <w:sz w:val="22"/>
        </w:rPr>
        <w:t>部分</w:t>
      </w:r>
      <w:r>
        <w:rPr>
          <w:rFonts w:ascii="宋体" w:hAnsi="宋体"/>
          <w:sz w:val="22"/>
        </w:rPr>
        <w:t xml:space="preserve">经充分审核后，由评标专家负责对投标文件的技术部分采用记名方式各自评分。如果某一份评分表的某一项评分，超过评分细则所规定的分值范围，则该份打分表无效。 </w:t>
      </w:r>
    </w:p>
    <w:p>
      <w:pPr>
        <w:adjustRightInd w:val="0"/>
        <w:snapToGrid w:val="0"/>
        <w:spacing w:line="400" w:lineRule="exact"/>
        <w:ind w:firstLine="440" w:firstLineChars="200"/>
        <w:rPr>
          <w:rFonts w:ascii="宋体" w:hAnsi="宋体"/>
          <w:sz w:val="22"/>
        </w:rPr>
      </w:pPr>
      <w:r>
        <w:rPr>
          <w:rFonts w:ascii="宋体" w:hAnsi="宋体"/>
          <w:sz w:val="22"/>
        </w:rPr>
        <w:t>（</w:t>
      </w:r>
      <w:r>
        <w:rPr>
          <w:rFonts w:hint="eastAsia" w:ascii="宋体" w:hAnsi="宋体"/>
          <w:sz w:val="22"/>
        </w:rPr>
        <w:t>2</w:t>
      </w:r>
      <w:r>
        <w:rPr>
          <w:rFonts w:ascii="宋体" w:hAnsi="宋体"/>
          <w:sz w:val="22"/>
        </w:rPr>
        <w:t>）商务评审</w:t>
      </w:r>
    </w:p>
    <w:p>
      <w:pPr>
        <w:adjustRightInd w:val="0"/>
        <w:snapToGrid w:val="0"/>
        <w:spacing w:line="400" w:lineRule="exact"/>
        <w:ind w:firstLine="440" w:firstLineChars="200"/>
        <w:rPr>
          <w:rFonts w:ascii="宋体" w:hAnsi="宋体"/>
          <w:sz w:val="22"/>
        </w:rPr>
      </w:pPr>
      <w:r>
        <w:rPr>
          <w:rFonts w:ascii="宋体" w:hAnsi="宋体"/>
          <w:sz w:val="22"/>
        </w:rPr>
        <w:t>商务报价评审应在报价口径范围一致的评标价为依据。评标价应在最终报价的基础上，按照招标文件规定的因素和方法进行计算。凡属招标文件原因造成发包范围或报价口径不一致的，则按有关规定统一调整投标报价内容和口径，计算出投标人的最终评标价</w:t>
      </w:r>
      <w:r>
        <w:rPr>
          <w:rFonts w:hint="eastAsia" w:ascii="宋体" w:hAnsi="宋体"/>
          <w:sz w:val="22"/>
        </w:rPr>
        <w:t>后</w:t>
      </w:r>
      <w:r>
        <w:rPr>
          <w:rFonts w:ascii="宋体" w:hAnsi="宋体"/>
          <w:sz w:val="22"/>
        </w:rPr>
        <w:t>予以调整。但因投标人自身失误造成多算、少算或漏算，不得调整。由商务评标专家对投标文件进行商务评审</w:t>
      </w:r>
      <w:r>
        <w:rPr>
          <w:rFonts w:hint="eastAsia" w:ascii="宋体" w:hAnsi="宋体"/>
          <w:sz w:val="22"/>
        </w:rPr>
        <w:t>，</w:t>
      </w:r>
      <w:r>
        <w:rPr>
          <w:rFonts w:ascii="宋体" w:hAnsi="宋体"/>
          <w:sz w:val="22"/>
        </w:rPr>
        <w:t>商务评标专家应对商务报价的范围、数量、单价、费用组成和总价等进行全面审阅和对比分析，找出报价差异的原因及存在的问题。</w:t>
      </w:r>
      <w:r>
        <w:rPr>
          <w:rFonts w:hint="eastAsia" w:ascii="宋体" w:hAnsi="宋体"/>
          <w:sz w:val="22"/>
        </w:rPr>
        <w:t>在供货范围完整条件下，如单价与总价不符时，以总价为准，投标人应根据总价对单价做均衡调整；大写与小写不符时，以大写为准。</w:t>
      </w:r>
    </w:p>
    <w:p>
      <w:pPr>
        <w:adjustRightInd w:val="0"/>
        <w:snapToGrid w:val="0"/>
        <w:spacing w:line="400" w:lineRule="exact"/>
        <w:ind w:firstLine="440" w:firstLineChars="200"/>
        <w:rPr>
          <w:rFonts w:ascii="宋体" w:hAnsi="宋体"/>
          <w:sz w:val="22"/>
        </w:rPr>
      </w:pPr>
      <w:r>
        <w:rPr>
          <w:rFonts w:ascii="宋体" w:hAnsi="宋体"/>
          <w:sz w:val="22"/>
        </w:rPr>
        <w:t>以上</w:t>
      </w:r>
      <w:r>
        <w:rPr>
          <w:rFonts w:hint="eastAsia" w:ascii="宋体" w:hAnsi="宋体"/>
          <w:sz w:val="22"/>
        </w:rPr>
        <w:t>两</w:t>
      </w:r>
      <w:r>
        <w:rPr>
          <w:rFonts w:ascii="宋体" w:hAnsi="宋体"/>
          <w:sz w:val="22"/>
        </w:rPr>
        <w:t>项内容得分之和为各投标人的最终得分。由指定专人进行计算和复核，本次评标结果最后保留2位小数（四舍五入制）。</w:t>
      </w:r>
    </w:p>
    <w:p>
      <w:pPr>
        <w:adjustRightInd w:val="0"/>
        <w:snapToGrid w:val="0"/>
        <w:spacing w:line="400" w:lineRule="exact"/>
        <w:ind w:firstLine="440" w:firstLineChars="200"/>
        <w:rPr>
          <w:rFonts w:ascii="宋体" w:hAnsi="宋体"/>
          <w:sz w:val="22"/>
        </w:rPr>
      </w:pPr>
      <w:r>
        <w:rPr>
          <w:rFonts w:hint="eastAsia" w:ascii="宋体" w:hAnsi="宋体"/>
          <w:sz w:val="22"/>
        </w:rPr>
        <w:t>4.投标文件的澄清和补正</w:t>
      </w:r>
    </w:p>
    <w:p>
      <w:pPr>
        <w:adjustRightInd w:val="0"/>
        <w:snapToGrid w:val="0"/>
        <w:spacing w:line="400" w:lineRule="exact"/>
        <w:ind w:firstLine="440" w:firstLineChars="200"/>
        <w:rPr>
          <w:rFonts w:ascii="宋体" w:hAnsi="宋体"/>
          <w:sz w:val="22"/>
        </w:rPr>
      </w:pPr>
      <w:r>
        <w:rPr>
          <w:rFonts w:hint="eastAsia" w:ascii="宋体" w:hAnsi="宋体"/>
          <w:sz w:val="22"/>
        </w:rPr>
        <w:t>在评标过程中，评标委员会可以书面形式要求投标人对所提交投标文件中不明确的内容进行书面澄清或说明，或者对细微偏差进行补正。评标委员会不接受投标人主动提出澄清、说明或补正。</w:t>
      </w:r>
    </w:p>
    <w:p>
      <w:pPr>
        <w:adjustRightInd w:val="0"/>
        <w:snapToGrid w:val="0"/>
        <w:spacing w:line="400" w:lineRule="exact"/>
        <w:ind w:firstLine="440" w:firstLineChars="200"/>
        <w:rPr>
          <w:rFonts w:ascii="宋体" w:hAnsi="宋体"/>
          <w:sz w:val="22"/>
        </w:rPr>
      </w:pPr>
      <w:r>
        <w:rPr>
          <w:rFonts w:hint="eastAsia" w:ascii="宋体" w:hAnsi="宋体"/>
          <w:sz w:val="22"/>
        </w:rPr>
        <w:t>5</w:t>
      </w:r>
      <w:r>
        <w:rPr>
          <w:rFonts w:ascii="宋体" w:hAnsi="宋体"/>
          <w:sz w:val="22"/>
        </w:rPr>
        <w:t>．评标</w:t>
      </w:r>
      <w:r>
        <w:rPr>
          <w:rFonts w:hint="eastAsia" w:ascii="宋体" w:hAnsi="宋体"/>
          <w:sz w:val="22"/>
        </w:rPr>
        <w:t>结果</w:t>
      </w:r>
    </w:p>
    <w:p>
      <w:pPr>
        <w:adjustRightInd w:val="0"/>
        <w:snapToGrid w:val="0"/>
        <w:spacing w:line="400" w:lineRule="exact"/>
        <w:ind w:firstLine="440" w:firstLineChars="200"/>
        <w:rPr>
          <w:rFonts w:ascii="宋体" w:hAnsi="宋体"/>
          <w:sz w:val="22"/>
        </w:rPr>
      </w:pPr>
      <w:r>
        <w:rPr>
          <w:rFonts w:ascii="宋体" w:hAnsi="宋体"/>
          <w:bCs/>
          <w:sz w:val="22"/>
        </w:rPr>
        <w:t>评标委员会应根据评标情况和结果，向招标人提交评标报告。评标报告由评标委员会起草，按少数服从多数的原则通过。评标委员会全体成员应在评标报告上签字认可，评标专家如有保留意见可以在评标报告中阐明。</w:t>
      </w:r>
      <w:r>
        <w:rPr>
          <w:rFonts w:hint="eastAsia" w:ascii="宋体" w:hAnsi="宋体"/>
          <w:bCs/>
          <w:sz w:val="22"/>
        </w:rPr>
        <w:t>评标报告须经全体评标委员会成员和监督人员签字。</w:t>
      </w:r>
    </w:p>
    <w:p>
      <w:pPr>
        <w:adjustRightInd w:val="0"/>
        <w:snapToGrid w:val="0"/>
        <w:spacing w:line="400" w:lineRule="exact"/>
        <w:ind w:firstLine="442" w:firstLineChars="200"/>
        <w:rPr>
          <w:rFonts w:ascii="宋体" w:hAnsi="宋体"/>
          <w:b/>
          <w:sz w:val="22"/>
        </w:rPr>
      </w:pPr>
      <w:r>
        <w:rPr>
          <w:rFonts w:ascii="宋体" w:hAnsi="宋体"/>
          <w:b/>
          <w:sz w:val="22"/>
        </w:rPr>
        <w:t>四、评标细则</w:t>
      </w:r>
    </w:p>
    <w:p>
      <w:pPr>
        <w:adjustRightInd w:val="0"/>
        <w:snapToGrid w:val="0"/>
        <w:spacing w:line="400" w:lineRule="exact"/>
        <w:ind w:firstLine="442" w:firstLineChars="200"/>
        <w:rPr>
          <w:rFonts w:ascii="宋体" w:hAnsi="宋体"/>
          <w:b/>
          <w:sz w:val="22"/>
        </w:rPr>
      </w:pPr>
      <w:r>
        <w:rPr>
          <w:rFonts w:ascii="宋体" w:hAnsi="宋体"/>
          <w:b/>
          <w:sz w:val="22"/>
        </w:rPr>
        <w:t>（</w:t>
      </w:r>
      <w:r>
        <w:rPr>
          <w:rFonts w:hint="eastAsia" w:ascii="宋体" w:hAnsi="宋体"/>
          <w:b/>
          <w:sz w:val="22"/>
        </w:rPr>
        <w:t>一</w:t>
      </w:r>
      <w:r>
        <w:rPr>
          <w:rFonts w:ascii="宋体" w:hAnsi="宋体"/>
          <w:b/>
          <w:sz w:val="22"/>
        </w:rPr>
        <w:t>）</w:t>
      </w:r>
      <w:r>
        <w:rPr>
          <w:rFonts w:hint="eastAsia" w:ascii="宋体" w:hAnsi="宋体"/>
          <w:b/>
          <w:sz w:val="22"/>
        </w:rPr>
        <w:t>技术部分（满分40分）</w:t>
      </w:r>
    </w:p>
    <w:p>
      <w:pPr>
        <w:adjustRightInd w:val="0"/>
        <w:snapToGrid w:val="0"/>
        <w:spacing w:line="400" w:lineRule="exact"/>
        <w:ind w:firstLine="440" w:firstLineChars="200"/>
        <w:rPr>
          <w:rFonts w:ascii="宋体" w:hAnsi="宋体"/>
          <w:bCs/>
          <w:sz w:val="22"/>
        </w:rPr>
      </w:pPr>
      <w:r>
        <w:rPr>
          <w:rFonts w:hint="eastAsia" w:ascii="宋体" w:hAnsi="宋体"/>
          <w:bCs/>
          <w:sz w:val="22"/>
        </w:rPr>
        <w:t>评标委员会根据下表的内容，针对有效的投标文件，视其科学性、针对性、可行性、先进性和完善程度，进行评审。在分值范围内由评标委员会成员分别独立打分（最小打分单位为0.1），以所有评标委员会成员打分的算术平均值计算技术得分（小数点后保留二位，第三位四舍五入）。</w:t>
      </w:r>
    </w:p>
    <w:p>
      <w:pPr>
        <w:adjustRightInd w:val="0"/>
        <w:spacing w:line="560" w:lineRule="exact"/>
        <w:ind w:firstLine="540"/>
        <w:jc w:val="center"/>
        <w:rPr>
          <w:rFonts w:ascii="宋体" w:hAnsi="宋体"/>
          <w:b/>
          <w:sz w:val="24"/>
        </w:rPr>
      </w:pPr>
      <w:r>
        <w:rPr>
          <w:rFonts w:hint="eastAsia" w:ascii="宋体" w:hAnsi="宋体"/>
          <w:b/>
          <w:sz w:val="24"/>
        </w:rPr>
        <w:t>技术标评分细则</w:t>
      </w:r>
    </w:p>
    <w:tbl>
      <w:tblPr>
        <w:tblStyle w:val="59"/>
        <w:tblW w:w="924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4045"/>
        <w:gridCol w:w="311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序号</w:t>
            </w:r>
          </w:p>
        </w:tc>
        <w:tc>
          <w:tcPr>
            <w:tcW w:w="40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评分因素及分值权重</w:t>
            </w:r>
          </w:p>
        </w:tc>
        <w:tc>
          <w:tcPr>
            <w:tcW w:w="31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评分标准</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1</w:t>
            </w:r>
          </w:p>
        </w:tc>
        <w:tc>
          <w:tcPr>
            <w:tcW w:w="40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rPr>
              <w:t>投标人企业规模、设备经营历史（3分）</w:t>
            </w:r>
          </w:p>
        </w:tc>
        <w:tc>
          <w:tcPr>
            <w:tcW w:w="31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根据投标文件阐述及提供的证明材料酌情打分</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b/>
                <w:szCs w:val="21"/>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2</w:t>
            </w:r>
          </w:p>
        </w:tc>
        <w:tc>
          <w:tcPr>
            <w:tcW w:w="40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rPr>
            </w:pPr>
            <w:r>
              <w:rPr>
                <w:rFonts w:hint="eastAsia" w:asciiTheme="minorEastAsia" w:hAnsiTheme="minorEastAsia"/>
                <w:color w:val="000000"/>
              </w:rPr>
              <w:t>投标人201</w:t>
            </w:r>
            <w:r>
              <w:rPr>
                <w:rFonts w:hint="eastAsia" w:asciiTheme="minorEastAsia" w:hAnsiTheme="minorEastAsia"/>
                <w:color w:val="000000"/>
                <w:lang w:val="en-US" w:eastAsia="zh-CN"/>
              </w:rPr>
              <w:t>6</w:t>
            </w:r>
            <w:r>
              <w:rPr>
                <w:rFonts w:hint="eastAsia" w:asciiTheme="minorEastAsia" w:hAnsiTheme="minorEastAsia"/>
                <w:color w:val="000000"/>
              </w:rPr>
              <w:t>年至今的类似产品业绩</w:t>
            </w:r>
            <w:r>
              <w:rPr>
                <w:rFonts w:hint="eastAsia" w:asciiTheme="minorEastAsia" w:hAnsiTheme="minorEastAsia"/>
              </w:rPr>
              <w:t>（3分）</w:t>
            </w:r>
          </w:p>
        </w:tc>
        <w:tc>
          <w:tcPr>
            <w:tcW w:w="31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根据投标人提供的业绩证明材料酌情打分</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b/>
                <w:szCs w:val="21"/>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3</w:t>
            </w:r>
          </w:p>
        </w:tc>
        <w:tc>
          <w:tcPr>
            <w:tcW w:w="40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rPr>
            </w:pPr>
            <w:r>
              <w:rPr>
                <w:rFonts w:hint="eastAsia" w:asciiTheme="minorEastAsia" w:hAnsiTheme="minorEastAsia"/>
                <w:color w:val="000000"/>
              </w:rPr>
              <w:t>投标产品的知名度、使用情况及给予投标人授权或代理情况</w:t>
            </w:r>
            <w:r>
              <w:rPr>
                <w:rFonts w:hint="eastAsia" w:asciiTheme="minorEastAsia" w:hAnsiTheme="minorEastAsia"/>
              </w:rPr>
              <w:t>（3分）</w:t>
            </w:r>
          </w:p>
        </w:tc>
        <w:tc>
          <w:tcPr>
            <w:tcW w:w="31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根据投标文件阐述及提供的证明材料酌情打分</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b/>
                <w:szCs w:val="21"/>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4</w:t>
            </w:r>
          </w:p>
        </w:tc>
        <w:tc>
          <w:tcPr>
            <w:tcW w:w="40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olor w:val="000000"/>
              </w:rPr>
            </w:pPr>
            <w:r>
              <w:rPr>
                <w:rFonts w:hint="eastAsia" w:asciiTheme="minorEastAsia" w:hAnsiTheme="minorEastAsia"/>
                <w:color w:val="000000"/>
              </w:rPr>
              <w:t>投标产品相关性能、配置、具体技术参数的先进性</w:t>
            </w:r>
            <w:r>
              <w:rPr>
                <w:rFonts w:hint="eastAsia" w:asciiTheme="minorEastAsia" w:hAnsiTheme="minorEastAsia"/>
              </w:rPr>
              <w:t>（15分）</w:t>
            </w:r>
          </w:p>
        </w:tc>
        <w:tc>
          <w:tcPr>
            <w:tcW w:w="31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szCs w:val="21"/>
              </w:rPr>
              <w:t>根据投标产品</w:t>
            </w:r>
            <w:r>
              <w:rPr>
                <w:rFonts w:hint="eastAsia" w:asciiTheme="minorEastAsia" w:hAnsiTheme="minorEastAsia"/>
                <w:color w:val="000000"/>
              </w:rPr>
              <w:t>相关性能、配置、具体技术参数</w:t>
            </w:r>
            <w:r>
              <w:rPr>
                <w:rFonts w:hint="eastAsia" w:asciiTheme="minorEastAsia" w:hAnsiTheme="minorEastAsia"/>
                <w:szCs w:val="21"/>
              </w:rPr>
              <w:t>酌情打分</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szCs w:val="21"/>
              </w:rPr>
            </w:pPr>
            <w:r>
              <w:rPr>
                <w:rFonts w:hint="eastAsia" w:asciiTheme="minorEastAsia" w:hAnsiTheme="minorEastAsia"/>
                <w:b/>
                <w:szCs w:val="21"/>
              </w:rPr>
              <w:t>5-15分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63" w:type="dxa"/>
            <w:vAlign w:val="center"/>
          </w:tcPr>
          <w:p>
            <w:pPr>
              <w:snapToGrid w:val="0"/>
              <w:jc w:val="center"/>
              <w:rPr>
                <w:rFonts w:asciiTheme="minorEastAsia" w:hAnsiTheme="minorEastAsia"/>
                <w:szCs w:val="21"/>
              </w:rPr>
            </w:pPr>
            <w:r>
              <w:rPr>
                <w:rFonts w:hint="eastAsia" w:asciiTheme="minorEastAsia" w:hAnsiTheme="minorEastAsia"/>
                <w:szCs w:val="21"/>
              </w:rPr>
              <w:t>5</w:t>
            </w:r>
          </w:p>
        </w:tc>
        <w:tc>
          <w:tcPr>
            <w:tcW w:w="4045" w:type="dxa"/>
            <w:vAlign w:val="center"/>
          </w:tcPr>
          <w:p>
            <w:pPr>
              <w:snapToGrid w:val="0"/>
              <w:jc w:val="center"/>
              <w:rPr>
                <w:rFonts w:asciiTheme="minorEastAsia" w:hAnsiTheme="minorEastAsia"/>
                <w:szCs w:val="21"/>
              </w:rPr>
            </w:pPr>
            <w:r>
              <w:rPr>
                <w:rFonts w:hint="eastAsia" w:asciiTheme="minorEastAsia" w:hAnsiTheme="minorEastAsia"/>
                <w:szCs w:val="21"/>
              </w:rPr>
              <w:t>质保期、售后服务及技术培训（5分）</w:t>
            </w:r>
          </w:p>
        </w:tc>
        <w:tc>
          <w:tcPr>
            <w:tcW w:w="3119" w:type="dxa"/>
          </w:tcPr>
          <w:p>
            <w:pPr>
              <w:snapToGrid w:val="0"/>
              <w:jc w:val="center"/>
              <w:rPr>
                <w:rFonts w:asciiTheme="minorEastAsia" w:hAnsiTheme="minorEastAsia"/>
                <w:szCs w:val="21"/>
              </w:rPr>
            </w:pPr>
            <w:r>
              <w:rPr>
                <w:rFonts w:hint="eastAsia" w:asciiTheme="minorEastAsia" w:hAnsiTheme="minorEastAsia"/>
                <w:szCs w:val="21"/>
              </w:rPr>
              <w:t>根据所投产品的质保期、售后服务及技术培训情况酌情打分</w:t>
            </w:r>
          </w:p>
        </w:tc>
        <w:tc>
          <w:tcPr>
            <w:tcW w:w="1417" w:type="dxa"/>
            <w:vAlign w:val="center"/>
          </w:tcPr>
          <w:p>
            <w:pPr>
              <w:snapToGrid w:val="0"/>
              <w:jc w:val="center"/>
              <w:rPr>
                <w:rFonts w:asciiTheme="minorEastAsia" w:hAnsiTheme="minorEastAsia"/>
                <w:b/>
                <w:szCs w:val="21"/>
              </w:rPr>
            </w:pPr>
            <w:r>
              <w:rPr>
                <w:rFonts w:hint="eastAsia" w:asciiTheme="minorEastAsia" w:hAnsiTheme="minorEastAsia"/>
                <w:b/>
                <w:szCs w:val="21"/>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63" w:type="dxa"/>
            <w:vAlign w:val="center"/>
          </w:tcPr>
          <w:p>
            <w:pPr>
              <w:snapToGrid w:val="0"/>
              <w:jc w:val="center"/>
              <w:rPr>
                <w:rFonts w:asciiTheme="minorEastAsia" w:hAnsiTheme="minorEastAsia"/>
                <w:szCs w:val="21"/>
              </w:rPr>
            </w:pPr>
            <w:r>
              <w:rPr>
                <w:rFonts w:hint="eastAsia" w:asciiTheme="minorEastAsia" w:hAnsiTheme="minorEastAsia"/>
                <w:szCs w:val="21"/>
              </w:rPr>
              <w:t>6</w:t>
            </w:r>
          </w:p>
        </w:tc>
        <w:tc>
          <w:tcPr>
            <w:tcW w:w="4045" w:type="dxa"/>
            <w:vAlign w:val="center"/>
          </w:tcPr>
          <w:p>
            <w:pPr>
              <w:snapToGrid w:val="0"/>
              <w:jc w:val="center"/>
              <w:rPr>
                <w:rFonts w:asciiTheme="minorEastAsia" w:hAnsiTheme="minorEastAsia"/>
                <w:szCs w:val="21"/>
              </w:rPr>
            </w:pPr>
            <w:r>
              <w:rPr>
                <w:rFonts w:hint="eastAsia" w:asciiTheme="minorEastAsia" w:hAnsiTheme="minorEastAsia"/>
                <w:color w:val="000000"/>
              </w:rPr>
              <w:t>质保期外备品备件的报价</w:t>
            </w:r>
            <w:r>
              <w:rPr>
                <w:rFonts w:hint="eastAsia" w:asciiTheme="minorEastAsia" w:hAnsiTheme="minorEastAsia"/>
              </w:rPr>
              <w:t>（5分）</w:t>
            </w:r>
          </w:p>
        </w:tc>
        <w:tc>
          <w:tcPr>
            <w:tcW w:w="3119" w:type="dxa"/>
          </w:tcPr>
          <w:p>
            <w:pPr>
              <w:snapToGrid w:val="0"/>
              <w:jc w:val="center"/>
              <w:rPr>
                <w:rFonts w:asciiTheme="minorEastAsia" w:hAnsiTheme="minorEastAsia"/>
                <w:szCs w:val="21"/>
              </w:rPr>
            </w:pPr>
            <w:r>
              <w:rPr>
                <w:rFonts w:hint="eastAsia" w:asciiTheme="minorEastAsia" w:hAnsiTheme="minorEastAsia"/>
                <w:szCs w:val="21"/>
              </w:rPr>
              <w:t>根据所投产品的质保期、售后服务及技术培训情况酌情打分</w:t>
            </w:r>
          </w:p>
        </w:tc>
        <w:tc>
          <w:tcPr>
            <w:tcW w:w="1417" w:type="dxa"/>
            <w:vAlign w:val="center"/>
          </w:tcPr>
          <w:p>
            <w:pPr>
              <w:snapToGrid w:val="0"/>
              <w:jc w:val="center"/>
              <w:rPr>
                <w:rFonts w:asciiTheme="minorEastAsia" w:hAnsiTheme="minorEastAsia"/>
                <w:b/>
                <w:szCs w:val="21"/>
              </w:rPr>
            </w:pPr>
            <w:r>
              <w:rPr>
                <w:rFonts w:hint="eastAsia" w:asciiTheme="minorEastAsia" w:hAnsiTheme="minorEastAsia"/>
                <w:b/>
                <w:szCs w:val="21"/>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63" w:type="dxa"/>
            <w:vAlign w:val="center"/>
          </w:tcPr>
          <w:p>
            <w:pPr>
              <w:snapToGrid w:val="0"/>
              <w:jc w:val="center"/>
              <w:rPr>
                <w:rFonts w:asciiTheme="minorEastAsia" w:hAnsiTheme="minorEastAsia"/>
                <w:szCs w:val="21"/>
              </w:rPr>
            </w:pPr>
            <w:r>
              <w:rPr>
                <w:rFonts w:hint="eastAsia" w:asciiTheme="minorEastAsia" w:hAnsiTheme="minorEastAsia"/>
                <w:szCs w:val="21"/>
              </w:rPr>
              <w:t>7</w:t>
            </w:r>
          </w:p>
        </w:tc>
        <w:tc>
          <w:tcPr>
            <w:tcW w:w="4045" w:type="dxa"/>
            <w:vAlign w:val="center"/>
          </w:tcPr>
          <w:p>
            <w:pPr>
              <w:snapToGrid w:val="0"/>
              <w:jc w:val="center"/>
              <w:rPr>
                <w:rFonts w:asciiTheme="minorEastAsia" w:hAnsiTheme="minorEastAsia"/>
                <w:szCs w:val="21"/>
              </w:rPr>
            </w:pPr>
            <w:r>
              <w:rPr>
                <w:rFonts w:hint="eastAsia" w:asciiTheme="minorEastAsia" w:hAnsiTheme="minorEastAsia"/>
                <w:szCs w:val="21"/>
              </w:rPr>
              <w:t>与招标文件的技术条款的偏离（3分）</w:t>
            </w:r>
          </w:p>
        </w:tc>
        <w:tc>
          <w:tcPr>
            <w:tcW w:w="3119" w:type="dxa"/>
            <w:vAlign w:val="center"/>
          </w:tcPr>
          <w:p>
            <w:pPr>
              <w:snapToGrid w:val="0"/>
              <w:jc w:val="center"/>
              <w:rPr>
                <w:rFonts w:asciiTheme="minorEastAsia" w:hAnsiTheme="minorEastAsia"/>
                <w:szCs w:val="21"/>
              </w:rPr>
            </w:pPr>
            <w:r>
              <w:rPr>
                <w:rFonts w:hint="eastAsia" w:asciiTheme="minorEastAsia" w:hAnsiTheme="minorEastAsia"/>
                <w:szCs w:val="21"/>
              </w:rPr>
              <w:t>每一项负偏离扣1分，扣完为止</w:t>
            </w:r>
          </w:p>
        </w:tc>
        <w:tc>
          <w:tcPr>
            <w:tcW w:w="1417" w:type="dxa"/>
            <w:vAlign w:val="center"/>
          </w:tcPr>
          <w:p>
            <w:pPr>
              <w:snapToGrid w:val="0"/>
              <w:jc w:val="center"/>
              <w:rPr>
                <w:rFonts w:asciiTheme="minorEastAsia" w:hAnsiTheme="minorEastAsia"/>
                <w:b/>
                <w:szCs w:val="21"/>
              </w:rPr>
            </w:pPr>
            <w:r>
              <w:rPr>
                <w:rFonts w:hint="eastAsia" w:asciiTheme="minorEastAsia" w:hAnsiTheme="minorEastAsia"/>
                <w:b/>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63" w:type="dxa"/>
            <w:vAlign w:val="center"/>
          </w:tcPr>
          <w:p>
            <w:pPr>
              <w:snapToGrid w:val="0"/>
              <w:jc w:val="center"/>
              <w:rPr>
                <w:rFonts w:asciiTheme="minorEastAsia" w:hAnsiTheme="minorEastAsia"/>
                <w:szCs w:val="21"/>
              </w:rPr>
            </w:pPr>
            <w:r>
              <w:rPr>
                <w:rFonts w:hint="eastAsia" w:asciiTheme="minorEastAsia" w:hAnsiTheme="minorEastAsia"/>
                <w:szCs w:val="21"/>
              </w:rPr>
              <w:t>8</w:t>
            </w:r>
          </w:p>
        </w:tc>
        <w:tc>
          <w:tcPr>
            <w:tcW w:w="4045" w:type="dxa"/>
            <w:vAlign w:val="center"/>
          </w:tcPr>
          <w:p>
            <w:pPr>
              <w:snapToGrid w:val="0"/>
              <w:jc w:val="center"/>
              <w:rPr>
                <w:rFonts w:asciiTheme="minorEastAsia" w:hAnsiTheme="minorEastAsia"/>
                <w:szCs w:val="21"/>
              </w:rPr>
            </w:pPr>
            <w:r>
              <w:rPr>
                <w:rFonts w:hint="eastAsia" w:asciiTheme="minorEastAsia" w:hAnsiTheme="minorEastAsia"/>
                <w:szCs w:val="21"/>
              </w:rPr>
              <w:t>与招标文件的商务条款的偏离（3分）</w:t>
            </w:r>
          </w:p>
        </w:tc>
        <w:tc>
          <w:tcPr>
            <w:tcW w:w="3119" w:type="dxa"/>
            <w:vAlign w:val="center"/>
          </w:tcPr>
          <w:p>
            <w:pPr>
              <w:snapToGrid w:val="0"/>
              <w:jc w:val="center"/>
              <w:rPr>
                <w:rFonts w:asciiTheme="minorEastAsia" w:hAnsiTheme="minorEastAsia"/>
                <w:szCs w:val="21"/>
              </w:rPr>
            </w:pPr>
            <w:r>
              <w:rPr>
                <w:rFonts w:hint="eastAsia" w:asciiTheme="minorEastAsia" w:hAnsiTheme="minorEastAsia"/>
                <w:szCs w:val="21"/>
              </w:rPr>
              <w:t>每一项负偏离扣1分，扣完为止</w:t>
            </w:r>
          </w:p>
        </w:tc>
        <w:tc>
          <w:tcPr>
            <w:tcW w:w="1417" w:type="dxa"/>
            <w:vAlign w:val="center"/>
          </w:tcPr>
          <w:p>
            <w:pPr>
              <w:snapToGrid w:val="0"/>
              <w:jc w:val="center"/>
              <w:rPr>
                <w:rFonts w:asciiTheme="minorEastAsia" w:hAnsiTheme="minorEastAsia"/>
                <w:b/>
                <w:szCs w:val="21"/>
              </w:rPr>
            </w:pPr>
            <w:r>
              <w:rPr>
                <w:rFonts w:hint="eastAsia" w:asciiTheme="minorEastAsia" w:hAnsiTheme="minorEastAsia"/>
                <w:b/>
                <w:szCs w:val="21"/>
              </w:rPr>
              <w:t>0-3分</w:t>
            </w:r>
          </w:p>
        </w:tc>
      </w:tr>
    </w:tbl>
    <w:p>
      <w:pPr>
        <w:adjustRightInd w:val="0"/>
        <w:snapToGrid w:val="0"/>
        <w:spacing w:line="400" w:lineRule="exact"/>
        <w:ind w:firstLine="442" w:firstLineChars="200"/>
        <w:rPr>
          <w:rFonts w:ascii="宋体" w:hAnsi="宋体"/>
          <w:b/>
          <w:sz w:val="22"/>
        </w:rPr>
      </w:pPr>
      <w:r>
        <w:rPr>
          <w:rFonts w:hint="eastAsia" w:ascii="宋体" w:hAnsi="宋体"/>
          <w:b/>
          <w:sz w:val="22"/>
        </w:rPr>
        <w:t>（二）</w:t>
      </w:r>
      <w:r>
        <w:rPr>
          <w:rFonts w:ascii="宋体" w:hAnsi="宋体"/>
          <w:b/>
          <w:sz w:val="22"/>
        </w:rPr>
        <w:t>商务部分</w:t>
      </w:r>
      <w:r>
        <w:rPr>
          <w:rFonts w:hint="eastAsia" w:ascii="宋体" w:hAnsi="宋体"/>
          <w:b/>
          <w:sz w:val="22"/>
        </w:rPr>
        <w:t>（满分60分）</w:t>
      </w:r>
    </w:p>
    <w:p>
      <w:pPr>
        <w:adjustRightInd w:val="0"/>
        <w:snapToGrid w:val="0"/>
        <w:spacing w:line="400" w:lineRule="exact"/>
        <w:ind w:firstLine="440" w:firstLineChars="200"/>
        <w:rPr>
          <w:rFonts w:ascii="宋体" w:hAnsi="宋体"/>
          <w:bCs/>
          <w:sz w:val="22"/>
        </w:rPr>
      </w:pPr>
      <w:r>
        <w:rPr>
          <w:rFonts w:ascii="宋体" w:hAnsi="宋体"/>
          <w:bCs/>
          <w:sz w:val="22"/>
        </w:rPr>
        <w:t>商务评标按综合评分细则对投标人最终报价进行统一计算评分，由评标</w:t>
      </w:r>
      <w:r>
        <w:rPr>
          <w:rFonts w:hint="eastAsia" w:ascii="宋体" w:hAnsi="宋体"/>
          <w:bCs/>
          <w:sz w:val="22"/>
        </w:rPr>
        <w:t>委员会</w:t>
      </w:r>
      <w:r>
        <w:rPr>
          <w:rFonts w:ascii="宋体" w:hAnsi="宋体"/>
          <w:bCs/>
          <w:sz w:val="22"/>
        </w:rPr>
        <w:t>按综合评分细则要求集体判定评分。</w:t>
      </w:r>
    </w:p>
    <w:p>
      <w:pPr>
        <w:adjustRightInd w:val="0"/>
        <w:snapToGrid w:val="0"/>
        <w:spacing w:line="400" w:lineRule="exact"/>
        <w:ind w:firstLine="440" w:firstLineChars="200"/>
        <w:rPr>
          <w:rFonts w:ascii="宋体" w:hAnsi="宋体"/>
          <w:bCs/>
          <w:sz w:val="22"/>
        </w:rPr>
      </w:pPr>
      <w:r>
        <w:rPr>
          <w:rFonts w:ascii="宋体" w:hAnsi="宋体"/>
          <w:bCs/>
          <w:sz w:val="22"/>
        </w:rPr>
        <w:t>1、</w:t>
      </w:r>
      <w:r>
        <w:rPr>
          <w:rFonts w:hint="eastAsia" w:ascii="宋体" w:hAnsi="宋体"/>
          <w:bCs/>
          <w:sz w:val="22"/>
        </w:rPr>
        <w:t>投标</w:t>
      </w:r>
      <w:r>
        <w:rPr>
          <w:rFonts w:ascii="宋体" w:hAnsi="宋体"/>
          <w:bCs/>
          <w:sz w:val="22"/>
        </w:rPr>
        <w:t>报价评分应在投标报价范围口径一致的评标价基础上进行。</w:t>
      </w:r>
    </w:p>
    <w:p>
      <w:pPr>
        <w:adjustRightInd w:val="0"/>
        <w:snapToGrid w:val="0"/>
        <w:spacing w:line="400" w:lineRule="exact"/>
        <w:ind w:firstLine="440" w:firstLineChars="200"/>
        <w:rPr>
          <w:rFonts w:ascii="宋体" w:hAnsi="宋体"/>
          <w:bCs/>
          <w:sz w:val="22"/>
        </w:rPr>
      </w:pPr>
      <w:r>
        <w:rPr>
          <w:rFonts w:ascii="宋体" w:hAnsi="宋体"/>
          <w:bCs/>
          <w:sz w:val="22"/>
        </w:rPr>
        <w:t>1）属招标文件和交底不清楚引起的投标报价内容和口径不一致者，则按有关规定统一调整投标报价内容和口径，计算出投标人的最终评标价。</w:t>
      </w:r>
    </w:p>
    <w:p>
      <w:pPr>
        <w:adjustRightInd w:val="0"/>
        <w:snapToGrid w:val="0"/>
        <w:spacing w:line="400" w:lineRule="exact"/>
        <w:ind w:firstLine="440" w:firstLineChars="200"/>
        <w:rPr>
          <w:rFonts w:ascii="宋体" w:hAnsi="宋体"/>
          <w:bCs/>
          <w:sz w:val="22"/>
        </w:rPr>
      </w:pPr>
      <w:r>
        <w:rPr>
          <w:rFonts w:hint="eastAsia" w:ascii="宋体" w:hAnsi="宋体"/>
          <w:bCs/>
          <w:sz w:val="22"/>
        </w:rPr>
        <w:t>2</w:t>
      </w:r>
      <w:r>
        <w:rPr>
          <w:rFonts w:ascii="宋体" w:hAnsi="宋体"/>
          <w:bCs/>
          <w:sz w:val="22"/>
        </w:rPr>
        <w:t>）属投标人失误造成的报价差错和遗漏，不得调整。</w:t>
      </w:r>
    </w:p>
    <w:p>
      <w:pPr>
        <w:adjustRightInd w:val="0"/>
        <w:snapToGrid w:val="0"/>
        <w:spacing w:line="400" w:lineRule="exact"/>
        <w:ind w:firstLine="440" w:firstLineChars="200"/>
        <w:rPr>
          <w:rFonts w:ascii="宋体" w:hAnsi="宋体"/>
          <w:bCs/>
          <w:sz w:val="22"/>
        </w:rPr>
      </w:pPr>
      <w:r>
        <w:rPr>
          <w:rFonts w:hint="eastAsia" w:ascii="宋体" w:hAnsi="宋体"/>
          <w:bCs/>
          <w:sz w:val="22"/>
        </w:rPr>
        <w:t>2、评标基准价计算方法：报价评分在投标报价响应招标文件要求的基础上，取所有有效投标报价的算数平均值与次低价的算数平均值作为评标基准价；如有效投标报价的数量小于</w:t>
      </w:r>
      <w:r>
        <w:rPr>
          <w:rFonts w:ascii="宋体" w:hAnsi="宋体"/>
          <w:bCs/>
          <w:sz w:val="22"/>
        </w:rPr>
        <w:t>4</w:t>
      </w:r>
      <w:r>
        <w:rPr>
          <w:rFonts w:hint="eastAsia" w:ascii="宋体" w:hAnsi="宋体"/>
          <w:bCs/>
          <w:sz w:val="22"/>
        </w:rPr>
        <w:t>个（不含），则评标基准价为所有有效投标报价的算数平均值与最低价的算数平均值。</w:t>
      </w:r>
    </w:p>
    <w:p>
      <w:pPr>
        <w:adjustRightInd w:val="0"/>
        <w:snapToGrid w:val="0"/>
        <w:spacing w:line="560" w:lineRule="exact"/>
        <w:ind w:firstLine="619" w:firstLineChars="257"/>
        <w:jc w:val="center"/>
        <w:rPr>
          <w:rFonts w:ascii="宋体" w:hAnsi="宋体"/>
          <w:b/>
          <w:sz w:val="24"/>
        </w:rPr>
      </w:pPr>
      <w:r>
        <w:rPr>
          <w:rFonts w:hint="eastAsia" w:ascii="宋体" w:hAnsi="宋体"/>
          <w:b/>
          <w:sz w:val="24"/>
        </w:rPr>
        <w:t>商务标评分细则</w:t>
      </w:r>
    </w:p>
    <w:tbl>
      <w:tblPr>
        <w:tblStyle w:val="5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1701"/>
        <w:gridCol w:w="439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8" w:type="dxa"/>
            <w:vAlign w:val="center"/>
          </w:tcPr>
          <w:p>
            <w:pPr>
              <w:snapToGrid w:val="0"/>
              <w:jc w:val="center"/>
              <w:rPr>
                <w:rFonts w:ascii="宋体" w:hAnsi="宋体"/>
                <w:sz w:val="22"/>
              </w:rPr>
            </w:pPr>
            <w:r>
              <w:rPr>
                <w:rFonts w:ascii="宋体" w:hAnsi="宋体"/>
                <w:sz w:val="22"/>
              </w:rPr>
              <w:t>序号</w:t>
            </w:r>
          </w:p>
        </w:tc>
        <w:tc>
          <w:tcPr>
            <w:tcW w:w="1497" w:type="dxa"/>
            <w:vAlign w:val="center"/>
          </w:tcPr>
          <w:p>
            <w:pPr>
              <w:snapToGrid w:val="0"/>
              <w:jc w:val="center"/>
              <w:rPr>
                <w:rFonts w:ascii="宋体" w:hAnsi="宋体"/>
                <w:sz w:val="22"/>
              </w:rPr>
            </w:pPr>
            <w:r>
              <w:rPr>
                <w:rFonts w:hint="eastAsia" w:ascii="宋体" w:hAnsi="宋体"/>
                <w:sz w:val="22"/>
              </w:rPr>
              <w:t>评分因素</w:t>
            </w:r>
          </w:p>
          <w:p>
            <w:pPr>
              <w:snapToGrid w:val="0"/>
              <w:jc w:val="center"/>
              <w:rPr>
                <w:rFonts w:ascii="宋体" w:hAnsi="宋体"/>
                <w:sz w:val="22"/>
              </w:rPr>
            </w:pPr>
            <w:r>
              <w:rPr>
                <w:rFonts w:hint="eastAsia" w:ascii="宋体" w:hAnsi="宋体"/>
                <w:sz w:val="22"/>
              </w:rPr>
              <w:t>及分值权重</w:t>
            </w:r>
          </w:p>
        </w:tc>
        <w:tc>
          <w:tcPr>
            <w:tcW w:w="1701" w:type="dxa"/>
            <w:vAlign w:val="center"/>
          </w:tcPr>
          <w:p>
            <w:pPr>
              <w:snapToGrid w:val="0"/>
              <w:jc w:val="center"/>
              <w:rPr>
                <w:rFonts w:ascii="宋体" w:hAnsi="宋体"/>
                <w:sz w:val="22"/>
              </w:rPr>
            </w:pPr>
            <w:r>
              <w:rPr>
                <w:rFonts w:hint="eastAsia" w:ascii="宋体" w:hAnsi="宋体"/>
                <w:sz w:val="22"/>
              </w:rPr>
              <w:t>评审因素子项</w:t>
            </w:r>
          </w:p>
        </w:tc>
        <w:tc>
          <w:tcPr>
            <w:tcW w:w="4394" w:type="dxa"/>
            <w:vAlign w:val="center"/>
          </w:tcPr>
          <w:p>
            <w:pPr>
              <w:snapToGrid w:val="0"/>
              <w:jc w:val="center"/>
              <w:rPr>
                <w:rFonts w:ascii="宋体" w:hAnsi="宋体"/>
                <w:sz w:val="22"/>
              </w:rPr>
            </w:pPr>
            <w:r>
              <w:rPr>
                <w:rFonts w:hint="eastAsia" w:ascii="宋体" w:hAnsi="宋体"/>
                <w:sz w:val="22"/>
              </w:rPr>
              <w:t>评分标准</w:t>
            </w:r>
          </w:p>
        </w:tc>
        <w:tc>
          <w:tcPr>
            <w:tcW w:w="1134" w:type="dxa"/>
            <w:vAlign w:val="center"/>
          </w:tcPr>
          <w:p>
            <w:pPr>
              <w:snapToGrid w:val="0"/>
              <w:jc w:val="center"/>
              <w:rPr>
                <w:rFonts w:ascii="宋体" w:hAnsi="宋体"/>
                <w:sz w:val="22"/>
              </w:rPr>
            </w:pPr>
            <w:r>
              <w:rPr>
                <w:rFonts w:hint="eastAsia" w:ascii="宋体" w:hAnsi="宋体"/>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38" w:type="dxa"/>
            <w:vAlign w:val="center"/>
          </w:tcPr>
          <w:p>
            <w:pPr>
              <w:snapToGrid w:val="0"/>
              <w:jc w:val="center"/>
              <w:rPr>
                <w:rFonts w:ascii="宋体" w:hAnsi="宋体"/>
                <w:sz w:val="22"/>
              </w:rPr>
            </w:pPr>
            <w:r>
              <w:rPr>
                <w:rFonts w:hint="eastAsia" w:ascii="宋体" w:hAnsi="宋体"/>
                <w:sz w:val="22"/>
              </w:rPr>
              <w:t>1</w:t>
            </w:r>
          </w:p>
        </w:tc>
        <w:tc>
          <w:tcPr>
            <w:tcW w:w="1497" w:type="dxa"/>
            <w:vAlign w:val="center"/>
          </w:tcPr>
          <w:p>
            <w:pPr>
              <w:snapToGrid w:val="0"/>
              <w:jc w:val="center"/>
              <w:rPr>
                <w:rFonts w:ascii="宋体" w:hAnsi="宋体"/>
                <w:sz w:val="22"/>
              </w:rPr>
            </w:pPr>
            <w:r>
              <w:rPr>
                <w:rFonts w:hint="eastAsia" w:ascii="宋体" w:hAnsi="宋体"/>
                <w:sz w:val="22"/>
              </w:rPr>
              <w:t>商务评分</w:t>
            </w:r>
          </w:p>
          <w:p>
            <w:pPr>
              <w:snapToGrid w:val="0"/>
              <w:jc w:val="center"/>
              <w:rPr>
                <w:rFonts w:ascii="宋体" w:hAnsi="宋体"/>
                <w:sz w:val="22"/>
              </w:rPr>
            </w:pPr>
            <w:r>
              <w:rPr>
                <w:rFonts w:hint="eastAsia" w:ascii="宋体" w:hAnsi="宋体"/>
                <w:sz w:val="22"/>
              </w:rPr>
              <w:t>（</w:t>
            </w:r>
            <w:r>
              <w:rPr>
                <w:rFonts w:hint="eastAsia" w:ascii="宋体" w:hAnsi="宋体"/>
                <w:bCs/>
                <w:sz w:val="22"/>
              </w:rPr>
              <w:t>满分60分）</w:t>
            </w:r>
          </w:p>
        </w:tc>
        <w:tc>
          <w:tcPr>
            <w:tcW w:w="1701" w:type="dxa"/>
            <w:vAlign w:val="center"/>
          </w:tcPr>
          <w:p>
            <w:pPr>
              <w:snapToGrid w:val="0"/>
              <w:jc w:val="center"/>
              <w:rPr>
                <w:rFonts w:ascii="宋体" w:hAnsi="宋体"/>
                <w:sz w:val="22"/>
              </w:rPr>
            </w:pPr>
            <w:r>
              <w:rPr>
                <w:rFonts w:hint="eastAsia" w:ascii="宋体" w:hAnsi="宋体"/>
                <w:sz w:val="22"/>
              </w:rPr>
              <w:t>投标报价</w:t>
            </w:r>
          </w:p>
          <w:p>
            <w:pPr>
              <w:snapToGrid w:val="0"/>
              <w:jc w:val="center"/>
              <w:rPr>
                <w:rFonts w:ascii="宋体" w:hAnsi="宋体"/>
                <w:sz w:val="22"/>
              </w:rPr>
            </w:pPr>
            <w:r>
              <w:rPr>
                <w:rFonts w:hint="eastAsia" w:ascii="宋体" w:hAnsi="宋体"/>
                <w:sz w:val="22"/>
              </w:rPr>
              <w:t>（60分）</w:t>
            </w:r>
          </w:p>
        </w:tc>
        <w:tc>
          <w:tcPr>
            <w:tcW w:w="4394" w:type="dxa"/>
            <w:vAlign w:val="center"/>
          </w:tcPr>
          <w:p>
            <w:pPr>
              <w:snapToGrid w:val="0"/>
              <w:jc w:val="center"/>
              <w:rPr>
                <w:rFonts w:ascii="宋体" w:hAnsi="宋体"/>
                <w:sz w:val="22"/>
              </w:rPr>
            </w:pPr>
            <w:r>
              <w:rPr>
                <w:rFonts w:hint="eastAsia" w:ascii="宋体" w:hAnsi="宋体"/>
                <w:sz w:val="22"/>
              </w:rPr>
              <w:t>与基准价相等的为满分</w:t>
            </w:r>
            <w:r>
              <w:rPr>
                <w:rFonts w:ascii="宋体" w:hAnsi="宋体"/>
                <w:sz w:val="22"/>
              </w:rPr>
              <w:t>6</w:t>
            </w:r>
            <w:r>
              <w:rPr>
                <w:rFonts w:hint="eastAsia" w:ascii="宋体" w:hAnsi="宋体"/>
                <w:sz w:val="22"/>
              </w:rPr>
              <w:t>0分。</w:t>
            </w:r>
          </w:p>
          <w:p>
            <w:pPr>
              <w:snapToGrid w:val="0"/>
              <w:jc w:val="center"/>
              <w:rPr>
                <w:rFonts w:ascii="宋体" w:hAnsi="宋体"/>
                <w:sz w:val="22"/>
              </w:rPr>
            </w:pPr>
            <w:r>
              <w:rPr>
                <w:rFonts w:hint="eastAsia" w:ascii="宋体" w:hAnsi="宋体"/>
                <w:sz w:val="22"/>
              </w:rPr>
              <w:t>投标总价每高于基准价</w:t>
            </w:r>
            <w:r>
              <w:rPr>
                <w:rFonts w:ascii="宋体" w:hAnsi="宋体"/>
                <w:sz w:val="22"/>
              </w:rPr>
              <w:t>1%,</w:t>
            </w:r>
            <w:r>
              <w:rPr>
                <w:rFonts w:hint="eastAsia" w:ascii="宋体" w:hAnsi="宋体"/>
                <w:sz w:val="22"/>
              </w:rPr>
              <w:t>扣1分。投标总价每低于基准价</w:t>
            </w:r>
            <w:r>
              <w:rPr>
                <w:rFonts w:ascii="宋体" w:hAnsi="宋体"/>
                <w:sz w:val="22"/>
              </w:rPr>
              <w:t>1%</w:t>
            </w:r>
            <w:r>
              <w:rPr>
                <w:rFonts w:hint="eastAsia" w:ascii="宋体" w:hAnsi="宋体"/>
                <w:sz w:val="22"/>
              </w:rPr>
              <w:t>，扣</w:t>
            </w:r>
            <w:r>
              <w:rPr>
                <w:rFonts w:ascii="宋体" w:hAnsi="宋体"/>
                <w:sz w:val="22"/>
              </w:rPr>
              <w:t>0.</w:t>
            </w:r>
            <w:r>
              <w:rPr>
                <w:rFonts w:hint="eastAsia" w:ascii="宋体" w:hAnsi="宋体"/>
                <w:sz w:val="22"/>
              </w:rPr>
              <w:t>5分,得分四舍五入保留小数点后两位。</w:t>
            </w:r>
            <w:r>
              <w:rPr>
                <w:rFonts w:hint="eastAsia" w:ascii="宋体" w:hAnsi="宋体"/>
                <w:bCs/>
                <w:sz w:val="22"/>
              </w:rPr>
              <w:t>投标报价分扣分至20分止。</w:t>
            </w:r>
          </w:p>
        </w:tc>
        <w:tc>
          <w:tcPr>
            <w:tcW w:w="1134" w:type="dxa"/>
            <w:vAlign w:val="center"/>
          </w:tcPr>
          <w:p>
            <w:pPr>
              <w:snapToGrid w:val="0"/>
              <w:jc w:val="center"/>
              <w:rPr>
                <w:rFonts w:ascii="宋体" w:hAnsi="宋体"/>
                <w:b/>
                <w:sz w:val="22"/>
              </w:rPr>
            </w:pPr>
            <w:r>
              <w:rPr>
                <w:rFonts w:hint="eastAsia" w:ascii="宋体" w:hAnsi="宋体"/>
                <w:b/>
                <w:sz w:val="22"/>
              </w:rPr>
              <w:t>20-60分</w:t>
            </w:r>
          </w:p>
        </w:tc>
      </w:tr>
    </w:tbl>
    <w:p/>
    <w:p/>
    <w:sectPr>
      <w:footerReference r:id="rId7" w:type="first"/>
      <w:pgSz w:w="11906" w:h="16838"/>
      <w:pgMar w:top="1191" w:right="1191" w:bottom="1247"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Times New Roman"/>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5"/>
      </w:rPr>
    </w:pPr>
    <w:r>
      <w:fldChar w:fldCharType="begin"/>
    </w:r>
    <w:r>
      <w:rPr>
        <w:rStyle w:val="55"/>
      </w:rPr>
      <w:instrText xml:space="preserve">PAGE  </w:instrText>
    </w:r>
    <w:r>
      <w:fldChar w:fldCharType="separate"/>
    </w:r>
    <w:r>
      <w:rPr>
        <w:rStyle w:val="55"/>
      </w:rPr>
      <w:t>3</w:t>
    </w:r>
    <w:r>
      <w:fldChar w:fldCharType="end"/>
    </w:r>
  </w:p>
  <w:p>
    <w:pPr>
      <w:pStyle w:val="36"/>
      <w:pBdr>
        <w:top w:val="single" w:color="auto" w:sz="4" w:space="0"/>
      </w:pBdr>
      <w:tabs>
        <w:tab w:val="clear" w:pos="4153"/>
        <w:tab w:val="clear" w:pos="8306"/>
      </w:tabs>
      <w:jc w:val="right"/>
    </w:pPr>
    <w:r>
      <w:tab/>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5"/>
      </w:rPr>
    </w:pPr>
    <w:r>
      <w:fldChar w:fldCharType="begin"/>
    </w:r>
    <w:r>
      <w:rPr>
        <w:rStyle w:val="55"/>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5"/>
      </w:rPr>
    </w:pPr>
    <w:r>
      <w:fldChar w:fldCharType="begin"/>
    </w:r>
    <w:r>
      <w:rPr>
        <w:rStyle w:val="55"/>
      </w:rPr>
      <w:instrText xml:space="preserve">PAGE  </w:instrText>
    </w:r>
    <w:r>
      <w:fldChar w:fldCharType="separate"/>
    </w:r>
    <w:r>
      <w:rPr>
        <w:rStyle w:val="55"/>
      </w:rPr>
      <w:t>17</w:t>
    </w:r>
    <w:r>
      <w:fldChar w:fldCharType="end"/>
    </w:r>
  </w:p>
  <w:p>
    <w:pPr>
      <w:pStyle w:val="36"/>
      <w:jc w:val="center"/>
      <w:rPr>
        <w:b/>
        <w:bC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5"/>
      </w:rPr>
    </w:pPr>
    <w:r>
      <w:fldChar w:fldCharType="begin"/>
    </w:r>
    <w:r>
      <w:rPr>
        <w:rStyle w:val="55"/>
      </w:rPr>
      <w:instrText xml:space="preserve">PAGE  </w:instrText>
    </w:r>
    <w:r>
      <w:fldChar w:fldCharType="separate"/>
    </w:r>
    <w:r>
      <w:rPr>
        <w:rStyle w:val="55"/>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w:t>
    </w:r>
    <w:r>
      <w:rPr>
        <w:rFonts w:hint="eastAsia" w:ascii="宋体" w:hAnsi="宋体"/>
        <w:color w:val="000000"/>
        <w:szCs w:val="18"/>
        <w:lang w:val="en-US" w:eastAsia="zh-CN"/>
      </w:rPr>
      <w:t>航空物流有限公司</w:t>
    </w:r>
    <w:r>
      <w:rPr>
        <w:rFonts w:hint="eastAsia" w:ascii="宋体" w:hAnsi="宋体"/>
        <w:color w:val="000000"/>
        <w:szCs w:val="18"/>
      </w:rPr>
      <w:t>电动叉车采购项目招标文件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6">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7">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8">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9">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0">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3">
    <w:nsid w:val="231B742C"/>
    <w:multiLevelType w:val="multilevel"/>
    <w:tmpl w:val="231B742C"/>
    <w:lvl w:ilvl="0" w:tentative="0">
      <w:start w:val="1"/>
      <w:numFmt w:val="chineseCountingThousand"/>
      <w:pStyle w:val="41"/>
      <w:lvlText w:val="(%1)"/>
      <w:lvlJc w:val="left"/>
      <w:pPr>
        <w:ind w:left="620" w:hanging="420"/>
      </w:pPr>
      <w:rPr>
        <w:rFonts w:asciiTheme="minorEastAsia" w:hAnsiTheme="minorEastAsia" w:eastAsiaTheme="minor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14"/>
  </w:num>
  <w:num w:numId="2">
    <w:abstractNumId w:val="13"/>
  </w:num>
  <w:num w:numId="3">
    <w:abstractNumId w:val="12"/>
  </w:num>
  <w:num w:numId="4">
    <w:abstractNumId w:val="10"/>
  </w:num>
  <w:num w:numId="5">
    <w:abstractNumId w:val="4"/>
  </w:num>
  <w:num w:numId="6">
    <w:abstractNumId w:val="11"/>
  </w:num>
  <w:num w:numId="7">
    <w:abstractNumId w:val="1"/>
  </w:num>
  <w:num w:numId="8">
    <w:abstractNumId w:val="5"/>
  </w:num>
  <w:num w:numId="9">
    <w:abstractNumId w:val="7"/>
  </w:num>
  <w:num w:numId="10">
    <w:abstractNumId w:val="3"/>
  </w:num>
  <w:num w:numId="11">
    <w:abstractNumId w:val="0"/>
  </w:num>
  <w:num w:numId="12">
    <w:abstractNumId w:val="2"/>
  </w:num>
  <w:num w:numId="13">
    <w:abstractNumId w:val="9"/>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06"/>
    <w:rsid w:val="000162FC"/>
    <w:rsid w:val="00051E3F"/>
    <w:rsid w:val="00055AC5"/>
    <w:rsid w:val="000A4E41"/>
    <w:rsid w:val="000E73E9"/>
    <w:rsid w:val="000F3096"/>
    <w:rsid w:val="00110AD5"/>
    <w:rsid w:val="0013611D"/>
    <w:rsid w:val="00183326"/>
    <w:rsid w:val="00187FC6"/>
    <w:rsid w:val="00191A51"/>
    <w:rsid w:val="00197687"/>
    <w:rsid w:val="001B58F9"/>
    <w:rsid w:val="001C370D"/>
    <w:rsid w:val="001C489A"/>
    <w:rsid w:val="00205290"/>
    <w:rsid w:val="00215EF5"/>
    <w:rsid w:val="002244F9"/>
    <w:rsid w:val="00227506"/>
    <w:rsid w:val="0025351A"/>
    <w:rsid w:val="00255C4F"/>
    <w:rsid w:val="002779DC"/>
    <w:rsid w:val="002D4C51"/>
    <w:rsid w:val="00322B07"/>
    <w:rsid w:val="0039027F"/>
    <w:rsid w:val="003C1205"/>
    <w:rsid w:val="003E0FBD"/>
    <w:rsid w:val="004058E2"/>
    <w:rsid w:val="004740FC"/>
    <w:rsid w:val="004E225C"/>
    <w:rsid w:val="004F5576"/>
    <w:rsid w:val="00527A8D"/>
    <w:rsid w:val="00593A53"/>
    <w:rsid w:val="005A406B"/>
    <w:rsid w:val="005B1514"/>
    <w:rsid w:val="005B7828"/>
    <w:rsid w:val="00635E96"/>
    <w:rsid w:val="00687B02"/>
    <w:rsid w:val="006A12E8"/>
    <w:rsid w:val="006A54DA"/>
    <w:rsid w:val="006C37F5"/>
    <w:rsid w:val="007772BD"/>
    <w:rsid w:val="007906F4"/>
    <w:rsid w:val="007911C4"/>
    <w:rsid w:val="007B38F7"/>
    <w:rsid w:val="0080134B"/>
    <w:rsid w:val="00841217"/>
    <w:rsid w:val="008D5B59"/>
    <w:rsid w:val="008E51C8"/>
    <w:rsid w:val="00934984"/>
    <w:rsid w:val="009E30D4"/>
    <w:rsid w:val="00A01547"/>
    <w:rsid w:val="00A21371"/>
    <w:rsid w:val="00A671FB"/>
    <w:rsid w:val="00A67693"/>
    <w:rsid w:val="00A962CB"/>
    <w:rsid w:val="00AD41B5"/>
    <w:rsid w:val="00AE52D6"/>
    <w:rsid w:val="00B005DB"/>
    <w:rsid w:val="00B22DB3"/>
    <w:rsid w:val="00B45E02"/>
    <w:rsid w:val="00BC2121"/>
    <w:rsid w:val="00BE0252"/>
    <w:rsid w:val="00BF167A"/>
    <w:rsid w:val="00C962AB"/>
    <w:rsid w:val="00CB718C"/>
    <w:rsid w:val="00CD5C8B"/>
    <w:rsid w:val="00D07D4E"/>
    <w:rsid w:val="00D334F3"/>
    <w:rsid w:val="00D65539"/>
    <w:rsid w:val="00D658A7"/>
    <w:rsid w:val="00D6746A"/>
    <w:rsid w:val="00DD3894"/>
    <w:rsid w:val="00DF4189"/>
    <w:rsid w:val="00E1798F"/>
    <w:rsid w:val="00E24CE9"/>
    <w:rsid w:val="00E27010"/>
    <w:rsid w:val="00E67056"/>
    <w:rsid w:val="00E768DB"/>
    <w:rsid w:val="00EA1506"/>
    <w:rsid w:val="00EC2CA7"/>
    <w:rsid w:val="00ED20D6"/>
    <w:rsid w:val="00F924F3"/>
    <w:rsid w:val="00FA032C"/>
    <w:rsid w:val="00FF0C16"/>
    <w:rsid w:val="00FF3BC3"/>
    <w:rsid w:val="041B1968"/>
    <w:rsid w:val="07B60D27"/>
    <w:rsid w:val="0C142B68"/>
    <w:rsid w:val="13AE1B29"/>
    <w:rsid w:val="13F16AB2"/>
    <w:rsid w:val="19570CA9"/>
    <w:rsid w:val="1DB923CB"/>
    <w:rsid w:val="24876E76"/>
    <w:rsid w:val="3BC468F6"/>
    <w:rsid w:val="455747F9"/>
    <w:rsid w:val="51AA3702"/>
    <w:rsid w:val="6B1F66C7"/>
    <w:rsid w:val="6DE01BFB"/>
    <w:rsid w:val="6E3F41A6"/>
  </w:rsids>
  <m:mathPr>
    <m:lMargin m:val="0"/>
    <m:mathFont m:val="Cambria Math"/>
    <m:rMargin m:val="0"/>
    <m:wrapIndent m:val="1440"/>
    <m:brkBin m:val="before"/>
    <m:brkBinSub m:val="--"/>
    <m:defJc m:val="centerGroup"/>
    <m:intLim m:val="subSup"/>
    <m:naryLim m:val="undOvr"/>
    <m:smallFrac m:val=""/>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6"/>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7"/>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8"/>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3">
    <w:name w:val="Default Paragraph Font"/>
    <w:unhideWhenUsed/>
    <w:qFormat/>
    <w:uiPriority w:val="1"/>
  </w:style>
  <w:style w:type="table" w:default="1" w:styleId="59">
    <w:name w:val="Normal Table"/>
    <w:unhideWhenUsed/>
    <w:uiPriority w:val="99"/>
    <w:tblPr>
      <w:tblLayout w:type="fixed"/>
      <w:tblCellMar>
        <w:top w:w="0" w:type="dxa"/>
        <w:left w:w="108" w:type="dxa"/>
        <w:bottom w:w="0" w:type="dxa"/>
        <w:right w:w="108" w:type="dxa"/>
      </w:tblCellMar>
    </w:tblPr>
  </w:style>
  <w:style w:type="paragraph" w:styleId="11">
    <w:name w:val="List 3"/>
    <w:basedOn w:val="1"/>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97"/>
    <w:semiHidden/>
    <w:qFormat/>
    <w:uiPriority w:val="0"/>
    <w:rPr>
      <w:rFonts w:ascii="Times New Roman" w:hAnsi="Times New Roman" w:eastAsia="宋体" w:cs="Times New Roman"/>
      <w:b/>
      <w:bCs/>
      <w:kern w:val="0"/>
      <w:sz w:val="20"/>
      <w:szCs w:val="24"/>
    </w:rPr>
  </w:style>
  <w:style w:type="paragraph" w:styleId="13">
    <w:name w:val="annotation text"/>
    <w:basedOn w:val="1"/>
    <w:link w:val="98"/>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1"/>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93"/>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tabs>
        <w:tab w:val="left" w:pos="360"/>
      </w:tabs>
      <w:ind w:left="360" w:hanging="360"/>
    </w:pPr>
    <w:rPr>
      <w:rFonts w:ascii="Times New Roman" w:hAnsi="Times New Roman" w:eastAsia="宋体" w:cs="Times New Roman"/>
      <w:szCs w:val="24"/>
    </w:rPr>
  </w:style>
  <w:style w:type="paragraph" w:styleId="22">
    <w:name w:val="Document Map"/>
    <w:basedOn w:val="1"/>
    <w:link w:val="72"/>
    <w:qFormat/>
    <w:uiPriority w:val="0"/>
    <w:pPr>
      <w:shd w:val="clear" w:color="auto" w:fill="000080"/>
    </w:pPr>
    <w:rPr>
      <w:rFonts w:ascii="Times New Roman" w:hAnsi="Times New Roman" w:eastAsia="宋体" w:cs="Times New Roman"/>
      <w:kern w:val="0"/>
      <w:sz w:val="20"/>
      <w:szCs w:val="24"/>
    </w:rPr>
  </w:style>
  <w:style w:type="paragraph" w:styleId="23">
    <w:name w:val="Body Text 3"/>
    <w:basedOn w:val="1"/>
    <w:link w:val="8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80"/>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qFormat/>
    <w:uiPriority w:val="0"/>
    <w:pPr>
      <w:spacing w:after="120"/>
      <w:ind w:left="420" w:leftChars="200"/>
    </w:pPr>
    <w:rPr>
      <w:rFonts w:ascii="Times New Roman" w:hAnsi="Times New Roman" w:eastAsia="宋体" w:cs="Times New Roman"/>
      <w:szCs w:val="24"/>
    </w:rPr>
  </w:style>
  <w:style w:type="paragraph" w:styleId="27">
    <w:name w:val="Block Text"/>
    <w:basedOn w:val="1"/>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qFormat/>
    <w:uiPriority w:val="0"/>
    <w:pPr>
      <w:tabs>
        <w:tab w:val="left" w:pos="780"/>
      </w:tabs>
      <w:ind w:left="780" w:hanging="360"/>
    </w:pPr>
    <w:rPr>
      <w:rFonts w:ascii="Times New Roman" w:hAnsi="Times New Roman" w:eastAsia="宋体" w:cs="Times New Roman"/>
      <w:szCs w:val="24"/>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9"/>
    <w:qFormat/>
    <w:uiPriority w:val="0"/>
    <w:pPr>
      <w:ind w:left="100" w:leftChars="2500"/>
    </w:pPr>
    <w:rPr>
      <w:rFonts w:ascii="Times New Roman" w:hAnsi="Times New Roman" w:eastAsia="宋体" w:cs="Times New Roman"/>
      <w:kern w:val="0"/>
      <w:sz w:val="20"/>
      <w:szCs w:val="24"/>
    </w:rPr>
  </w:style>
  <w:style w:type="paragraph" w:styleId="34">
    <w:name w:val="Body Text Indent 2"/>
    <w:basedOn w:val="1"/>
    <w:link w:val="96"/>
    <w:uiPriority w:val="0"/>
    <w:pPr>
      <w:spacing w:after="120" w:line="480" w:lineRule="auto"/>
      <w:ind w:left="420" w:leftChars="200"/>
    </w:pPr>
    <w:rPr>
      <w:rFonts w:ascii="Times New Roman" w:hAnsi="Times New Roman" w:eastAsia="宋体" w:cs="Times New Roman"/>
      <w:kern w:val="0"/>
      <w:sz w:val="20"/>
      <w:szCs w:val="24"/>
    </w:rPr>
  </w:style>
  <w:style w:type="paragraph" w:styleId="35">
    <w:name w:val="Balloon Text"/>
    <w:basedOn w:val="1"/>
    <w:link w:val="70"/>
    <w:semiHidden/>
    <w:uiPriority w:val="99"/>
    <w:rPr>
      <w:rFonts w:ascii="Times New Roman" w:hAnsi="Times New Roman" w:eastAsia="宋体" w:cs="Times New Roman"/>
      <w:kern w:val="0"/>
      <w:sz w:val="18"/>
      <w:szCs w:val="18"/>
    </w:rPr>
  </w:style>
  <w:style w:type="paragraph" w:styleId="36">
    <w:name w:val="footer"/>
    <w:basedOn w:val="1"/>
    <w:link w:val="88"/>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9"/>
    <w:qFormat/>
    <w:uiPriority w:val="0"/>
    <w:pPr>
      <w:spacing w:after="120"/>
      <w:ind w:left="420" w:leftChars="200" w:firstLine="420"/>
    </w:pPr>
    <w:rPr>
      <w:szCs w:val="24"/>
    </w:rPr>
  </w:style>
  <w:style w:type="paragraph" w:styleId="38">
    <w:name w:val="header"/>
    <w:basedOn w:val="1"/>
    <w:link w:val="8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Subtitle"/>
    <w:basedOn w:val="1"/>
    <w:next w:val="1"/>
    <w:link w:val="142"/>
    <w:qFormat/>
    <w:uiPriority w:val="0"/>
    <w:pPr>
      <w:numPr>
        <w:ilvl w:val="0"/>
        <w:numId w:val="2"/>
      </w:numPr>
      <w:adjustRightInd w:val="0"/>
      <w:snapToGrid w:val="0"/>
      <w:spacing w:before="360" w:line="4320" w:lineRule="auto"/>
      <w:jc w:val="left"/>
      <w:outlineLvl w:val="1"/>
    </w:pPr>
    <w:rPr>
      <w:rFonts w:eastAsia="宋体" w:asciiTheme="majorHAnsi" w:hAnsiTheme="majorHAnsi" w:cstheme="majorBidi"/>
      <w:b/>
      <w:bCs/>
      <w:kern w:val="28"/>
      <w:sz w:val="22"/>
      <w:szCs w:val="32"/>
    </w:rPr>
  </w:style>
  <w:style w:type="paragraph" w:styleId="42">
    <w:name w:val="List"/>
    <w:basedOn w:val="1"/>
    <w:qFormat/>
    <w:uiPriority w:val="0"/>
    <w:pPr>
      <w:ind w:left="200" w:hanging="200" w:hangingChars="200"/>
    </w:pPr>
    <w:rPr>
      <w:rFonts w:ascii="Times New Roman" w:hAnsi="Times New Roman" w:eastAsia="宋体" w:cs="Times New Roman"/>
      <w:szCs w:val="24"/>
    </w:rPr>
  </w:style>
  <w:style w:type="paragraph" w:styleId="43">
    <w:name w:val="toc 6"/>
    <w:basedOn w:val="1"/>
    <w:next w:val="1"/>
    <w:qFormat/>
    <w:uiPriority w:val="0"/>
    <w:pPr>
      <w:ind w:left="1050"/>
      <w:jc w:val="left"/>
    </w:pPr>
    <w:rPr>
      <w:rFonts w:ascii="Times New Roman" w:hAnsi="Times New Roman" w:eastAsia="宋体" w:cs="Times New Roman"/>
      <w:sz w:val="20"/>
      <w:szCs w:val="20"/>
    </w:rPr>
  </w:style>
  <w:style w:type="paragraph" w:styleId="44">
    <w:name w:val="Body Text Indent 3"/>
    <w:basedOn w:val="1"/>
    <w:link w:val="90"/>
    <w:qFormat/>
    <w:uiPriority w:val="0"/>
    <w:pPr>
      <w:spacing w:after="120"/>
      <w:ind w:left="420" w:leftChars="200"/>
    </w:pPr>
    <w:rPr>
      <w:rFonts w:ascii="Times New Roman" w:hAnsi="Times New Roman" w:eastAsia="宋体" w:cs="Times New Roman"/>
      <w:kern w:val="0"/>
      <w:sz w:val="16"/>
      <w:szCs w:val="16"/>
    </w:rPr>
  </w:style>
  <w:style w:type="paragraph" w:styleId="45">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6">
    <w:name w:val="toc 9"/>
    <w:basedOn w:val="1"/>
    <w:next w:val="1"/>
    <w:qFormat/>
    <w:uiPriority w:val="0"/>
    <w:pPr>
      <w:ind w:left="1680"/>
      <w:jc w:val="left"/>
    </w:pPr>
    <w:rPr>
      <w:rFonts w:ascii="Times New Roman" w:hAnsi="Times New Roman" w:eastAsia="宋体" w:cs="Times New Roman"/>
      <w:sz w:val="20"/>
      <w:szCs w:val="20"/>
    </w:rPr>
  </w:style>
  <w:style w:type="paragraph" w:styleId="47">
    <w:name w:val="Body Text 2"/>
    <w:basedOn w:val="1"/>
    <w:link w:val="71"/>
    <w:unhideWhenUsed/>
    <w:qFormat/>
    <w:uiPriority w:val="0"/>
    <w:pPr>
      <w:spacing w:after="120" w:line="480" w:lineRule="auto"/>
    </w:pPr>
    <w:rPr>
      <w:rFonts w:ascii="Times New Roman" w:hAnsi="Times New Roman" w:eastAsia="宋体" w:cs="Times New Roman"/>
      <w:kern w:val="0"/>
      <w:sz w:val="20"/>
      <w:szCs w:val="24"/>
    </w:rPr>
  </w:style>
  <w:style w:type="paragraph" w:styleId="48">
    <w:name w:val="List 4"/>
    <w:basedOn w:val="1"/>
    <w:qFormat/>
    <w:uiPriority w:val="0"/>
    <w:pPr>
      <w:ind w:left="100" w:leftChars="600" w:hanging="200" w:hangingChars="200"/>
    </w:pPr>
    <w:rPr>
      <w:rFonts w:ascii="Times New Roman" w:hAnsi="Times New Roman" w:eastAsia="宋体" w:cs="Times New Roman"/>
      <w:szCs w:val="24"/>
    </w:rPr>
  </w:style>
  <w:style w:type="paragraph" w:styleId="49">
    <w:name w:val="List Continue 2"/>
    <w:basedOn w:val="1"/>
    <w:qFormat/>
    <w:uiPriority w:val="0"/>
    <w:pPr>
      <w:spacing w:after="120"/>
      <w:ind w:left="840" w:leftChars="400"/>
    </w:pPr>
    <w:rPr>
      <w:rFonts w:ascii="Times New Roman" w:hAnsi="Times New Roman" w:eastAsia="宋体" w:cs="Times New Roman"/>
      <w:szCs w:val="24"/>
    </w:rPr>
  </w:style>
  <w:style w:type="paragraph" w:styleId="50">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1">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2">
    <w:name w:val="Title"/>
    <w:basedOn w:val="1"/>
    <w:next w:val="1"/>
    <w:link w:val="99"/>
    <w:qFormat/>
    <w:uiPriority w:val="0"/>
    <w:pPr>
      <w:spacing w:before="60" w:after="60"/>
      <w:jc w:val="center"/>
      <w:outlineLvl w:val="0"/>
    </w:pPr>
    <w:rPr>
      <w:rFonts w:ascii="Cambria" w:hAnsi="Cambria" w:eastAsia="黑体" w:cs="Times New Roman"/>
      <w:b/>
      <w:bCs/>
      <w:kern w:val="0"/>
      <w:sz w:val="32"/>
      <w:szCs w:val="32"/>
    </w:r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Hyperlink"/>
    <w:qFormat/>
    <w:uiPriority w:val="99"/>
    <w:rPr>
      <w:color w:val="0000FF"/>
      <w:u w:val="single"/>
    </w:rPr>
  </w:style>
  <w:style w:type="character" w:styleId="58">
    <w:name w:val="annotation reference"/>
    <w:semiHidden/>
    <w:qFormat/>
    <w:uiPriority w:val="0"/>
    <w:rPr>
      <w:sz w:val="21"/>
      <w:szCs w:val="21"/>
    </w:rPr>
  </w:style>
  <w:style w:type="character" w:customStyle="1" w:styleId="60">
    <w:name w:val="标题 1 字符"/>
    <w:basedOn w:val="53"/>
    <w:link w:val="2"/>
    <w:qFormat/>
    <w:uiPriority w:val="0"/>
    <w:rPr>
      <w:rFonts w:ascii="Times New Roman" w:hAnsi="Times New Roman" w:eastAsia="宋体" w:cs="Times New Roman"/>
      <w:b/>
      <w:bCs/>
      <w:kern w:val="44"/>
      <w:sz w:val="30"/>
      <w:szCs w:val="44"/>
    </w:rPr>
  </w:style>
  <w:style w:type="character" w:customStyle="1" w:styleId="61">
    <w:name w:val="标题 2 字符"/>
    <w:basedOn w:val="53"/>
    <w:link w:val="3"/>
    <w:qFormat/>
    <w:uiPriority w:val="0"/>
    <w:rPr>
      <w:rFonts w:ascii="Arial" w:hAnsi="Arial" w:eastAsia="宋体" w:cs="Times New Roman"/>
      <w:b/>
      <w:bCs/>
      <w:kern w:val="0"/>
      <w:sz w:val="28"/>
      <w:szCs w:val="32"/>
    </w:rPr>
  </w:style>
  <w:style w:type="character" w:customStyle="1" w:styleId="62">
    <w:name w:val="标题 3 字符"/>
    <w:basedOn w:val="53"/>
    <w:link w:val="4"/>
    <w:qFormat/>
    <w:uiPriority w:val="0"/>
    <w:rPr>
      <w:rFonts w:ascii="宋体" w:hAnsi="Times New Roman" w:eastAsia="宋体" w:cs="Times New Roman"/>
      <w:b/>
      <w:kern w:val="0"/>
      <w:sz w:val="28"/>
      <w:szCs w:val="20"/>
    </w:rPr>
  </w:style>
  <w:style w:type="character" w:customStyle="1" w:styleId="63">
    <w:name w:val="标题 4 字符"/>
    <w:basedOn w:val="53"/>
    <w:link w:val="5"/>
    <w:qFormat/>
    <w:uiPriority w:val="0"/>
    <w:rPr>
      <w:rFonts w:ascii="Arial" w:hAnsi="Arial" w:eastAsia="黑体" w:cs="Times New Roman"/>
      <w:b/>
      <w:bCs/>
      <w:kern w:val="0"/>
      <w:sz w:val="28"/>
      <w:szCs w:val="28"/>
    </w:rPr>
  </w:style>
  <w:style w:type="character" w:customStyle="1" w:styleId="64">
    <w:name w:val="标题 5 字符"/>
    <w:basedOn w:val="53"/>
    <w:link w:val="6"/>
    <w:qFormat/>
    <w:uiPriority w:val="0"/>
    <w:rPr>
      <w:rFonts w:ascii="Times New Roman" w:hAnsi="Times New Roman" w:eastAsia="宋体" w:cs="Times New Roman"/>
      <w:b/>
      <w:bCs/>
      <w:kern w:val="0"/>
      <w:sz w:val="28"/>
      <w:szCs w:val="28"/>
    </w:rPr>
  </w:style>
  <w:style w:type="character" w:customStyle="1" w:styleId="65">
    <w:name w:val="标题 6 字符"/>
    <w:basedOn w:val="53"/>
    <w:link w:val="7"/>
    <w:qFormat/>
    <w:uiPriority w:val="0"/>
    <w:rPr>
      <w:rFonts w:ascii="Arial" w:hAnsi="Arial" w:eastAsia="黑体" w:cs="Times New Roman"/>
      <w:b/>
      <w:bCs/>
      <w:kern w:val="0"/>
      <w:sz w:val="24"/>
      <w:szCs w:val="24"/>
    </w:rPr>
  </w:style>
  <w:style w:type="character" w:customStyle="1" w:styleId="66">
    <w:name w:val="标题 7 字符"/>
    <w:basedOn w:val="53"/>
    <w:link w:val="8"/>
    <w:qFormat/>
    <w:uiPriority w:val="0"/>
    <w:rPr>
      <w:rFonts w:ascii="Times New Roman" w:hAnsi="Times New Roman" w:eastAsia="宋体" w:cs="Times New Roman"/>
      <w:b/>
      <w:bCs/>
      <w:kern w:val="0"/>
      <w:sz w:val="24"/>
      <w:szCs w:val="24"/>
    </w:rPr>
  </w:style>
  <w:style w:type="character" w:customStyle="1" w:styleId="67">
    <w:name w:val="标题 8 字符"/>
    <w:basedOn w:val="53"/>
    <w:link w:val="9"/>
    <w:qFormat/>
    <w:uiPriority w:val="0"/>
    <w:rPr>
      <w:rFonts w:ascii="Arial" w:hAnsi="Arial" w:eastAsia="黑体" w:cs="Times New Roman"/>
      <w:kern w:val="0"/>
      <w:sz w:val="24"/>
      <w:szCs w:val="24"/>
    </w:rPr>
  </w:style>
  <w:style w:type="character" w:customStyle="1" w:styleId="68">
    <w:name w:val="标题 9 字符"/>
    <w:basedOn w:val="53"/>
    <w:link w:val="10"/>
    <w:qFormat/>
    <w:uiPriority w:val="0"/>
    <w:rPr>
      <w:rFonts w:ascii="Arial" w:hAnsi="Arial" w:eastAsia="黑体" w:cs="Times New Roman"/>
      <w:kern w:val="0"/>
      <w:sz w:val="20"/>
      <w:szCs w:val="21"/>
    </w:rPr>
  </w:style>
  <w:style w:type="character" w:customStyle="1" w:styleId="69">
    <w:name w:val="日期 字符"/>
    <w:link w:val="33"/>
    <w:qFormat/>
    <w:uiPriority w:val="0"/>
    <w:rPr>
      <w:rFonts w:ascii="Times New Roman" w:hAnsi="Times New Roman" w:eastAsia="宋体" w:cs="Times New Roman"/>
      <w:kern w:val="0"/>
      <w:sz w:val="20"/>
      <w:szCs w:val="24"/>
    </w:rPr>
  </w:style>
  <w:style w:type="character" w:customStyle="1" w:styleId="70">
    <w:name w:val="批注框文本 字符"/>
    <w:link w:val="35"/>
    <w:semiHidden/>
    <w:qFormat/>
    <w:uiPriority w:val="99"/>
    <w:rPr>
      <w:rFonts w:ascii="Times New Roman" w:hAnsi="Times New Roman" w:eastAsia="宋体" w:cs="Times New Roman"/>
      <w:kern w:val="0"/>
      <w:sz w:val="18"/>
      <w:szCs w:val="18"/>
    </w:rPr>
  </w:style>
  <w:style w:type="character" w:customStyle="1" w:styleId="71">
    <w:name w:val="正文文本 2 字符"/>
    <w:link w:val="47"/>
    <w:uiPriority w:val="0"/>
    <w:rPr>
      <w:rFonts w:ascii="Times New Roman" w:hAnsi="Times New Roman" w:eastAsia="宋体" w:cs="Times New Roman"/>
      <w:kern w:val="0"/>
      <w:sz w:val="20"/>
      <w:szCs w:val="24"/>
    </w:rPr>
  </w:style>
  <w:style w:type="character" w:customStyle="1" w:styleId="72">
    <w:name w:val="文档结构图 字符"/>
    <w:link w:val="22"/>
    <w:qFormat/>
    <w:uiPriority w:val="0"/>
    <w:rPr>
      <w:rFonts w:ascii="Times New Roman" w:hAnsi="Times New Roman" w:eastAsia="宋体" w:cs="Times New Roman"/>
      <w:kern w:val="0"/>
      <w:sz w:val="20"/>
      <w:szCs w:val="24"/>
      <w:shd w:val="clear" w:color="auto" w:fill="000080"/>
    </w:rPr>
  </w:style>
  <w:style w:type="character" w:customStyle="1" w:styleId="73">
    <w:name w:val="font51"/>
    <w:qFormat/>
    <w:uiPriority w:val="0"/>
    <w:rPr>
      <w:rFonts w:hint="default" w:ascii="Times New Roman" w:hAnsi="Times New Roman" w:cs="Times New Roman"/>
      <w:b/>
      <w:color w:val="000000"/>
      <w:sz w:val="24"/>
      <w:szCs w:val="24"/>
      <w:u w:val="none"/>
    </w:rPr>
  </w:style>
  <w:style w:type="character" w:customStyle="1" w:styleId="74">
    <w:name w:val="Char Char"/>
    <w:uiPriority w:val="0"/>
    <w:rPr>
      <w:rFonts w:ascii="宋体" w:hAnsi="Courier New" w:eastAsia="宋体" w:cs="Courier New"/>
      <w:kern w:val="2"/>
      <w:sz w:val="21"/>
      <w:szCs w:val="21"/>
      <w:lang w:val="en-US" w:eastAsia="zh-CN" w:bidi="ar-SA"/>
    </w:rPr>
  </w:style>
  <w:style w:type="character" w:customStyle="1" w:styleId="75">
    <w:name w:val="纯文本 字符"/>
    <w:link w:val="31"/>
    <w:qFormat/>
    <w:uiPriority w:val="0"/>
    <w:rPr>
      <w:rFonts w:ascii="宋体" w:hAnsi="Courier New" w:eastAsia="宋体" w:cs="Times New Roman"/>
      <w:kern w:val="0"/>
      <w:sz w:val="20"/>
      <w:szCs w:val="21"/>
    </w:rPr>
  </w:style>
  <w:style w:type="character" w:customStyle="1" w:styleId="76">
    <w:name w:val="批注文字 Char"/>
    <w:semiHidden/>
    <w:uiPriority w:val="99"/>
    <w:rPr>
      <w:rFonts w:ascii="Times New Roman" w:hAnsi="Times New Roman" w:eastAsia="宋体" w:cs="Times New Roman"/>
      <w:kern w:val="0"/>
      <w:sz w:val="20"/>
      <w:szCs w:val="24"/>
    </w:rPr>
  </w:style>
  <w:style w:type="character" w:customStyle="1" w:styleId="77">
    <w:name w:val="Char Char3"/>
    <w:qFormat/>
    <w:uiPriority w:val="0"/>
    <w:rPr>
      <w:rFonts w:eastAsia="宋体"/>
      <w:kern w:val="2"/>
      <w:sz w:val="18"/>
      <w:szCs w:val="18"/>
      <w:lang w:val="en-US" w:eastAsia="zh-CN" w:bidi="ar-SA"/>
    </w:rPr>
  </w:style>
  <w:style w:type="character" w:customStyle="1" w:styleId="78">
    <w:name w:val="font61"/>
    <w:qFormat/>
    <w:uiPriority w:val="0"/>
    <w:rPr>
      <w:rFonts w:hint="default" w:ascii="Times New Roman" w:hAnsi="Times New Roman" w:cs="Times New Roman"/>
      <w:color w:val="000000"/>
      <w:sz w:val="24"/>
      <w:szCs w:val="24"/>
      <w:u w:val="none"/>
    </w:rPr>
  </w:style>
  <w:style w:type="character" w:customStyle="1" w:styleId="79">
    <w:name w:val="正文首行缩进 2 字符"/>
    <w:link w:val="37"/>
    <w:qFormat/>
    <w:uiPriority w:val="0"/>
    <w:rPr>
      <w:rFonts w:ascii="宋体" w:hAnsi="宋体" w:eastAsia="宋体" w:cs="Times New Roman"/>
      <w:kern w:val="0"/>
      <w:sz w:val="28"/>
      <w:szCs w:val="24"/>
    </w:rPr>
  </w:style>
  <w:style w:type="character" w:customStyle="1" w:styleId="80">
    <w:name w:val="正文文本缩进 字符"/>
    <w:link w:val="24"/>
    <w:qFormat/>
    <w:uiPriority w:val="0"/>
    <w:rPr>
      <w:rFonts w:ascii="宋体" w:hAnsi="宋体" w:eastAsia="宋体" w:cs="Times New Roman"/>
      <w:kern w:val="0"/>
      <w:sz w:val="28"/>
      <w:szCs w:val="28"/>
    </w:rPr>
  </w:style>
  <w:style w:type="character" w:customStyle="1" w:styleId="81">
    <w:name w:val="font21"/>
    <w:qFormat/>
    <w:uiPriority w:val="0"/>
    <w:rPr>
      <w:rFonts w:hint="default" w:ascii="Times New Roman" w:hAnsi="Times New Roman" w:cs="Times New Roman"/>
      <w:color w:val="000000"/>
      <w:sz w:val="24"/>
      <w:szCs w:val="24"/>
      <w:u w:val="none"/>
      <w:vertAlign w:val="superscript"/>
    </w:rPr>
  </w:style>
  <w:style w:type="character" w:customStyle="1" w:styleId="82">
    <w:name w:val="font71"/>
    <w:qFormat/>
    <w:uiPriority w:val="0"/>
    <w:rPr>
      <w:rFonts w:hint="eastAsia" w:ascii="宋体" w:hAnsi="宋体" w:eastAsia="宋体" w:cs="宋体"/>
      <w:color w:val="000000"/>
      <w:sz w:val="24"/>
      <w:szCs w:val="24"/>
      <w:u w:val="none"/>
    </w:rPr>
  </w:style>
  <w:style w:type="character" w:customStyle="1" w:styleId="83">
    <w:name w:val="zbggmain style9"/>
    <w:basedOn w:val="53"/>
    <w:qFormat/>
    <w:uiPriority w:val="0"/>
  </w:style>
  <w:style w:type="character" w:customStyle="1" w:styleId="84">
    <w:name w:val="正文文本 3 字符"/>
    <w:link w:val="23"/>
    <w:qFormat/>
    <w:uiPriority w:val="0"/>
    <w:rPr>
      <w:rFonts w:ascii="Times New Roman" w:hAnsi="Times New Roman" w:eastAsia="宋体" w:cs="Times New Roman"/>
      <w:kern w:val="0"/>
      <w:sz w:val="16"/>
      <w:szCs w:val="16"/>
    </w:rPr>
  </w:style>
  <w:style w:type="character" w:customStyle="1" w:styleId="85">
    <w:name w:val="px1233"/>
    <w:basedOn w:val="53"/>
    <w:qFormat/>
    <w:uiPriority w:val="0"/>
  </w:style>
  <w:style w:type="character" w:customStyle="1" w:styleId="86">
    <w:name w:val="font11"/>
    <w:qFormat/>
    <w:uiPriority w:val="0"/>
    <w:rPr>
      <w:rFonts w:hint="default" w:ascii="Times New Roman" w:hAnsi="Times New Roman" w:cs="Times New Roman"/>
      <w:color w:val="000000"/>
      <w:sz w:val="21"/>
      <w:szCs w:val="21"/>
      <w:u w:val="none"/>
    </w:rPr>
  </w:style>
  <w:style w:type="character" w:customStyle="1" w:styleId="87">
    <w:name w:val="页眉 字符"/>
    <w:link w:val="38"/>
    <w:qFormat/>
    <w:uiPriority w:val="0"/>
    <w:rPr>
      <w:rFonts w:ascii="Times New Roman" w:hAnsi="Times New Roman" w:eastAsia="宋体" w:cs="Times New Roman"/>
      <w:kern w:val="0"/>
      <w:sz w:val="18"/>
      <w:szCs w:val="20"/>
    </w:rPr>
  </w:style>
  <w:style w:type="character" w:customStyle="1" w:styleId="88">
    <w:name w:val="页脚 字符"/>
    <w:link w:val="36"/>
    <w:uiPriority w:val="0"/>
    <w:rPr>
      <w:rFonts w:ascii="Times New Roman" w:hAnsi="Times New Roman" w:eastAsia="宋体" w:cs="Times New Roman"/>
      <w:kern w:val="0"/>
      <w:sz w:val="18"/>
      <w:szCs w:val="20"/>
    </w:rPr>
  </w:style>
  <w:style w:type="character" w:customStyle="1" w:styleId="89">
    <w:name w:val="font41"/>
    <w:qFormat/>
    <w:uiPriority w:val="0"/>
    <w:rPr>
      <w:rFonts w:hint="eastAsia" w:ascii="宋体" w:hAnsi="宋体" w:eastAsia="宋体" w:cs="宋体"/>
      <w:b/>
      <w:color w:val="000000"/>
      <w:sz w:val="24"/>
      <w:szCs w:val="24"/>
      <w:u w:val="none"/>
    </w:rPr>
  </w:style>
  <w:style w:type="character" w:customStyle="1" w:styleId="90">
    <w:name w:val="正文文本缩进 3 字符"/>
    <w:link w:val="44"/>
    <w:qFormat/>
    <w:uiPriority w:val="0"/>
    <w:rPr>
      <w:rFonts w:ascii="Times New Roman" w:hAnsi="Times New Roman" w:eastAsia="宋体" w:cs="Times New Roman"/>
      <w:kern w:val="0"/>
      <w:sz w:val="16"/>
      <w:szCs w:val="16"/>
    </w:rPr>
  </w:style>
  <w:style w:type="character" w:customStyle="1" w:styleId="91">
    <w:name w:val="正文首行缩进 字符"/>
    <w:basedOn w:val="92"/>
    <w:link w:val="15"/>
    <w:qFormat/>
    <w:uiPriority w:val="0"/>
    <w:rPr>
      <w:rFonts w:ascii="Times New Roman" w:hAnsi="Times New Roman" w:eastAsia="宋体" w:cs="Times New Roman"/>
      <w:kern w:val="0"/>
      <w:sz w:val="20"/>
      <w:szCs w:val="24"/>
    </w:rPr>
  </w:style>
  <w:style w:type="character" w:customStyle="1" w:styleId="92">
    <w:name w:val="正文文本 Char"/>
    <w:uiPriority w:val="0"/>
    <w:rPr>
      <w:rFonts w:ascii="Times New Roman" w:hAnsi="Times New Roman" w:eastAsia="宋体" w:cs="Times New Roman"/>
      <w:kern w:val="0"/>
      <w:sz w:val="20"/>
      <w:szCs w:val="24"/>
    </w:rPr>
  </w:style>
  <w:style w:type="character" w:customStyle="1" w:styleId="93">
    <w:name w:val="正文文本 字符"/>
    <w:basedOn w:val="53"/>
    <w:link w:val="16"/>
    <w:semiHidden/>
    <w:qFormat/>
    <w:uiPriority w:val="99"/>
  </w:style>
  <w:style w:type="character" w:customStyle="1" w:styleId="94">
    <w:name w:val="Char Char2"/>
    <w:qFormat/>
    <w:uiPriority w:val="0"/>
    <w:rPr>
      <w:rFonts w:eastAsia="宋体"/>
      <w:kern w:val="2"/>
      <w:sz w:val="18"/>
      <w:szCs w:val="18"/>
      <w:lang w:val="en-US" w:eastAsia="zh-CN" w:bidi="ar-SA"/>
    </w:rPr>
  </w:style>
  <w:style w:type="character" w:customStyle="1" w:styleId="95">
    <w:name w:val="font01"/>
    <w:qFormat/>
    <w:uiPriority w:val="0"/>
    <w:rPr>
      <w:rFonts w:hint="eastAsia" w:ascii="宋体" w:hAnsi="宋体" w:eastAsia="宋体" w:cs="宋体"/>
      <w:color w:val="000000"/>
      <w:sz w:val="21"/>
      <w:szCs w:val="21"/>
      <w:u w:val="none"/>
    </w:rPr>
  </w:style>
  <w:style w:type="character" w:customStyle="1" w:styleId="96">
    <w:name w:val="正文文本缩进 2 字符"/>
    <w:link w:val="34"/>
    <w:qFormat/>
    <w:uiPriority w:val="0"/>
    <w:rPr>
      <w:rFonts w:ascii="Times New Roman" w:hAnsi="Times New Roman" w:eastAsia="宋体" w:cs="Times New Roman"/>
      <w:kern w:val="0"/>
      <w:sz w:val="20"/>
      <w:szCs w:val="24"/>
    </w:rPr>
  </w:style>
  <w:style w:type="character" w:customStyle="1" w:styleId="97">
    <w:name w:val="批注主题 字符"/>
    <w:link w:val="12"/>
    <w:semiHidden/>
    <w:qFormat/>
    <w:uiPriority w:val="0"/>
    <w:rPr>
      <w:rFonts w:ascii="Times New Roman" w:hAnsi="Times New Roman" w:eastAsia="宋体" w:cs="Times New Roman"/>
      <w:b/>
      <w:bCs/>
      <w:kern w:val="0"/>
      <w:sz w:val="20"/>
      <w:szCs w:val="24"/>
    </w:rPr>
  </w:style>
  <w:style w:type="character" w:customStyle="1" w:styleId="98">
    <w:name w:val="批注文字 字符"/>
    <w:basedOn w:val="53"/>
    <w:link w:val="13"/>
    <w:semiHidden/>
    <w:uiPriority w:val="0"/>
  </w:style>
  <w:style w:type="character" w:customStyle="1" w:styleId="99">
    <w:name w:val="标题 字符"/>
    <w:link w:val="52"/>
    <w:qFormat/>
    <w:uiPriority w:val="0"/>
    <w:rPr>
      <w:rFonts w:ascii="Cambria" w:hAnsi="Cambria" w:eastAsia="黑体" w:cs="Times New Roman"/>
      <w:b/>
      <w:bCs/>
      <w:kern w:val="0"/>
      <w:sz w:val="32"/>
      <w:szCs w:val="32"/>
    </w:rPr>
  </w:style>
  <w:style w:type="paragraph" w:customStyle="1" w:styleId="100">
    <w:name w:val="样式1"/>
    <w:basedOn w:val="5"/>
    <w:link w:val="101"/>
    <w:qFormat/>
    <w:uiPriority w:val="0"/>
    <w:pPr>
      <w:tabs>
        <w:tab w:val="left" w:pos="864"/>
      </w:tabs>
      <w:spacing w:before="120" w:after="120" w:line="360" w:lineRule="auto"/>
      <w:ind w:left="864" w:hanging="864"/>
    </w:pPr>
    <w:rPr>
      <w:b w:val="0"/>
      <w:bCs w:val="0"/>
    </w:rPr>
  </w:style>
  <w:style w:type="character" w:customStyle="1" w:styleId="101">
    <w:name w:val="样式1 Char Char"/>
    <w:basedOn w:val="53"/>
    <w:link w:val="100"/>
    <w:qFormat/>
    <w:uiPriority w:val="0"/>
    <w:rPr>
      <w:rFonts w:ascii="Arial" w:hAnsi="Arial" w:eastAsia="黑体" w:cs="Times New Roman"/>
      <w:kern w:val="0"/>
      <w:sz w:val="28"/>
      <w:szCs w:val="28"/>
    </w:rPr>
  </w:style>
  <w:style w:type="paragraph" w:customStyle="1" w:styleId="102">
    <w:name w:val="Char Char Char1 Char Char Char Char"/>
    <w:basedOn w:val="1"/>
    <w:qFormat/>
    <w:uiPriority w:val="0"/>
    <w:rPr>
      <w:rFonts w:ascii="Times New Roman" w:hAnsi="Times New Roman" w:eastAsia="宋体" w:cs="Times New Roman"/>
      <w:szCs w:val="24"/>
    </w:rPr>
  </w:style>
  <w:style w:type="paragraph" w:customStyle="1" w:styleId="103">
    <w:name w:val="Char Char Char Char Char Char"/>
    <w:basedOn w:val="1"/>
    <w:qFormat/>
    <w:uiPriority w:val="0"/>
    <w:rPr>
      <w:rFonts w:ascii="Times New Roman" w:hAnsi="Times New Roman" w:eastAsia="宋体" w:cs="Times New Roman"/>
      <w:szCs w:val="24"/>
    </w:rPr>
  </w:style>
  <w:style w:type="character" w:customStyle="1" w:styleId="104">
    <w:name w:val="批注框文本 Char1"/>
    <w:basedOn w:val="53"/>
    <w:semiHidden/>
    <w:qFormat/>
    <w:uiPriority w:val="99"/>
    <w:rPr>
      <w:sz w:val="18"/>
      <w:szCs w:val="18"/>
    </w:rPr>
  </w:style>
  <w:style w:type="character" w:customStyle="1" w:styleId="105">
    <w:name w:val="日期 Char1"/>
    <w:basedOn w:val="53"/>
    <w:semiHidden/>
    <w:uiPriority w:val="99"/>
  </w:style>
  <w:style w:type="character" w:customStyle="1" w:styleId="106">
    <w:name w:val="纯文本 Char1"/>
    <w:basedOn w:val="53"/>
    <w:semiHidden/>
    <w:qFormat/>
    <w:uiPriority w:val="99"/>
    <w:rPr>
      <w:rFonts w:ascii="宋体" w:hAnsi="Courier New" w:eastAsia="宋体" w:cs="Courier New"/>
      <w:szCs w:val="21"/>
    </w:rPr>
  </w:style>
  <w:style w:type="character" w:customStyle="1" w:styleId="107">
    <w:name w:val="批注主题 Char1"/>
    <w:basedOn w:val="98"/>
    <w:semiHidden/>
    <w:uiPriority w:val="99"/>
    <w:rPr>
      <w:b/>
      <w:bCs/>
    </w:rPr>
  </w:style>
  <w:style w:type="paragraph" w:customStyle="1" w:styleId="108">
    <w:name w:val="Char Char Char Char"/>
    <w:basedOn w:val="1"/>
    <w:uiPriority w:val="0"/>
    <w:rPr>
      <w:rFonts w:ascii="Times New Roman" w:hAnsi="Times New Roman" w:eastAsia="宋体" w:cs="Times New Roman"/>
      <w:szCs w:val="24"/>
    </w:rPr>
  </w:style>
  <w:style w:type="character" w:customStyle="1" w:styleId="109">
    <w:name w:val="正文首行缩进 Char1"/>
    <w:basedOn w:val="93"/>
    <w:semiHidden/>
    <w:qFormat/>
    <w:uiPriority w:val="99"/>
  </w:style>
  <w:style w:type="character" w:customStyle="1" w:styleId="110">
    <w:name w:val="正文文本缩进 3 Char1"/>
    <w:basedOn w:val="53"/>
    <w:semiHidden/>
    <w:uiPriority w:val="99"/>
    <w:rPr>
      <w:sz w:val="16"/>
      <w:szCs w:val="16"/>
    </w:rPr>
  </w:style>
  <w:style w:type="paragraph" w:customStyle="1" w:styleId="111">
    <w:name w:val="p0"/>
    <w:basedOn w:val="1"/>
    <w:qFormat/>
    <w:uiPriority w:val="0"/>
    <w:pPr>
      <w:widowControl/>
    </w:pPr>
    <w:rPr>
      <w:rFonts w:ascii="Times New Roman" w:hAnsi="Times New Roman" w:eastAsia="宋体" w:cs="Times New Roman"/>
      <w:kern w:val="0"/>
      <w:szCs w:val="21"/>
    </w:rPr>
  </w:style>
  <w:style w:type="character" w:customStyle="1" w:styleId="112">
    <w:name w:val="文档结构图 Char1"/>
    <w:basedOn w:val="53"/>
    <w:semiHidden/>
    <w:qFormat/>
    <w:uiPriority w:val="99"/>
    <w:rPr>
      <w:rFonts w:ascii="宋体" w:eastAsia="宋体"/>
      <w:sz w:val="18"/>
      <w:szCs w:val="18"/>
    </w:rPr>
  </w:style>
  <w:style w:type="character" w:customStyle="1" w:styleId="113">
    <w:name w:val="正文文本 3 Char1"/>
    <w:basedOn w:val="53"/>
    <w:semiHidden/>
    <w:qFormat/>
    <w:uiPriority w:val="99"/>
    <w:rPr>
      <w:sz w:val="16"/>
      <w:szCs w:val="16"/>
    </w:rPr>
  </w:style>
  <w:style w:type="character" w:customStyle="1" w:styleId="114">
    <w:name w:val="正文文本缩进 Char1"/>
    <w:basedOn w:val="53"/>
    <w:semiHidden/>
    <w:qFormat/>
    <w:uiPriority w:val="99"/>
  </w:style>
  <w:style w:type="character" w:customStyle="1" w:styleId="115">
    <w:name w:val="正文文本缩进 2 Char1"/>
    <w:basedOn w:val="53"/>
    <w:semiHidden/>
    <w:qFormat/>
    <w:uiPriority w:val="99"/>
  </w:style>
  <w:style w:type="paragraph" w:customStyle="1" w:styleId="116">
    <w:name w:val="Legal 3"/>
    <w:basedOn w:val="117"/>
    <w:next w:val="117"/>
    <w:qFormat/>
    <w:uiPriority w:val="0"/>
  </w:style>
  <w:style w:type="paragraph" w:customStyle="1" w:styleId="117">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18">
    <w:name w:val="页脚 Char1"/>
    <w:basedOn w:val="53"/>
    <w:semiHidden/>
    <w:uiPriority w:val="99"/>
    <w:rPr>
      <w:sz w:val="18"/>
      <w:szCs w:val="18"/>
    </w:rPr>
  </w:style>
  <w:style w:type="character" w:customStyle="1" w:styleId="119">
    <w:name w:val="正文首行缩进 2 Char1"/>
    <w:basedOn w:val="114"/>
    <w:semiHidden/>
    <w:qFormat/>
    <w:uiPriority w:val="99"/>
  </w:style>
  <w:style w:type="character" w:customStyle="1" w:styleId="120">
    <w:name w:val="页眉 Char1"/>
    <w:basedOn w:val="53"/>
    <w:semiHidden/>
    <w:qFormat/>
    <w:uiPriority w:val="99"/>
    <w:rPr>
      <w:sz w:val="18"/>
      <w:szCs w:val="18"/>
    </w:rPr>
  </w:style>
  <w:style w:type="character" w:customStyle="1" w:styleId="121">
    <w:name w:val="正文文本 2 Char1"/>
    <w:basedOn w:val="53"/>
    <w:semiHidden/>
    <w:qFormat/>
    <w:uiPriority w:val="99"/>
  </w:style>
  <w:style w:type="character" w:customStyle="1" w:styleId="122">
    <w:name w:val="标题 Char1"/>
    <w:basedOn w:val="53"/>
    <w:uiPriority w:val="10"/>
    <w:rPr>
      <w:rFonts w:eastAsia="宋体" w:asciiTheme="majorHAnsi" w:hAnsiTheme="majorHAnsi" w:cstheme="majorBidi"/>
      <w:b/>
      <w:bCs/>
      <w:sz w:val="32"/>
      <w:szCs w:val="32"/>
    </w:rPr>
  </w:style>
  <w:style w:type="paragraph" w:customStyle="1" w:styleId="123">
    <w:name w:val="列出段落1"/>
    <w:basedOn w:val="1"/>
    <w:unhideWhenUsed/>
    <w:qFormat/>
    <w:uiPriority w:val="99"/>
    <w:pPr>
      <w:ind w:firstLine="420" w:firstLineChars="200"/>
    </w:pPr>
    <w:rPr>
      <w:rFonts w:ascii="Calibri" w:hAnsi="Calibri" w:eastAsia="宋体" w:cs="Times New Roman"/>
    </w:rPr>
  </w:style>
  <w:style w:type="paragraph" w:customStyle="1" w:styleId="124">
    <w:name w:val="图表标题"/>
    <w:basedOn w:val="1"/>
    <w:next w:val="16"/>
    <w:uiPriority w:val="0"/>
    <w:rPr>
      <w:rFonts w:ascii="Times New Roman" w:hAnsi="Times New Roman" w:eastAsia="宋体" w:cs="Times New Roman"/>
      <w:sz w:val="30"/>
      <w:szCs w:val="20"/>
    </w:rPr>
  </w:style>
  <w:style w:type="paragraph" w:customStyle="1" w:styleId="125">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26">
    <w:name w:val="Char"/>
    <w:basedOn w:val="1"/>
    <w:qFormat/>
    <w:uiPriority w:val="0"/>
    <w:rPr>
      <w:rFonts w:ascii="仿宋_GB2312" w:hAnsi="Times New Roman" w:eastAsia="仿宋_GB2312" w:cs="Times New Roman"/>
      <w:b/>
      <w:sz w:val="32"/>
      <w:szCs w:val="32"/>
    </w:rPr>
  </w:style>
  <w:style w:type="paragraph" w:customStyle="1" w:styleId="127">
    <w:name w:val="Char4 Char Char Char"/>
    <w:basedOn w:val="22"/>
    <w:qFormat/>
    <w:uiPriority w:val="0"/>
    <w:rPr>
      <w:rFonts w:ascii="Tahoma" w:hAnsi="Tahoma"/>
      <w:sz w:val="24"/>
    </w:rPr>
  </w:style>
  <w:style w:type="paragraph" w:customStyle="1" w:styleId="128">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29">
    <w:name w:val="Char Char Char"/>
    <w:basedOn w:val="1"/>
    <w:uiPriority w:val="0"/>
    <w:pPr>
      <w:ind w:firstLine="360" w:firstLineChars="150"/>
    </w:pPr>
    <w:rPr>
      <w:rFonts w:ascii="Tahoma" w:hAnsi="Tahoma" w:eastAsia="宋体" w:cs="Times New Roman"/>
      <w:sz w:val="24"/>
      <w:szCs w:val="20"/>
    </w:rPr>
  </w:style>
  <w:style w:type="paragraph" w:customStyle="1" w:styleId="130">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31">
    <w:name w:val="legal 2"/>
    <w:basedOn w:val="117"/>
    <w:next w:val="117"/>
    <w:qFormat/>
    <w:uiPriority w:val="0"/>
    <w:pPr>
      <w:spacing w:after="120"/>
    </w:pPr>
    <w:rPr>
      <w:rFonts w:cs="Times New Roman"/>
      <w:color w:val="auto"/>
    </w:rPr>
  </w:style>
  <w:style w:type="paragraph" w:customStyle="1" w:styleId="132">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33">
    <w:name w:val="Legal 5"/>
    <w:basedOn w:val="117"/>
    <w:next w:val="117"/>
    <w:qFormat/>
    <w:uiPriority w:val="0"/>
    <w:pPr>
      <w:spacing w:after="120"/>
    </w:pPr>
    <w:rPr>
      <w:rFonts w:cs="Times New Roman"/>
      <w:color w:val="auto"/>
    </w:rPr>
  </w:style>
  <w:style w:type="paragraph" w:customStyle="1" w:styleId="13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Legal 4"/>
    <w:basedOn w:val="117"/>
    <w:next w:val="117"/>
    <w:qFormat/>
    <w:uiPriority w:val="0"/>
    <w:pPr>
      <w:spacing w:after="120"/>
    </w:pPr>
    <w:rPr>
      <w:rFonts w:cs="Times New Roman"/>
      <w:color w:val="auto"/>
    </w:rPr>
  </w:style>
  <w:style w:type="paragraph" w:customStyle="1" w:styleId="136">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8">
    <w:name w:val="1"/>
    <w:basedOn w:val="1"/>
    <w:qFormat/>
    <w:uiPriority w:val="0"/>
    <w:rPr>
      <w:rFonts w:ascii="仿宋_GB2312" w:hAnsi="Times New Roman" w:eastAsia="仿宋_GB2312" w:cs="Times New Roman"/>
      <w:b/>
      <w:sz w:val="32"/>
      <w:szCs w:val="32"/>
    </w:rPr>
  </w:style>
  <w:style w:type="paragraph" w:customStyle="1" w:styleId="139">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0">
    <w:name w:val="p16"/>
    <w:basedOn w:val="1"/>
    <w:qFormat/>
    <w:uiPriority w:val="0"/>
    <w:pPr>
      <w:widowControl/>
      <w:spacing w:line="360" w:lineRule="auto"/>
      <w:ind w:left="-2" w:firstLine="2"/>
      <w:jc w:val="left"/>
    </w:pPr>
    <w:rPr>
      <w:rFonts w:ascii="宋体" w:hAnsi="宋体" w:eastAsia="宋体" w:cs="宋体"/>
      <w:kern w:val="0"/>
      <w:sz w:val="30"/>
      <w:szCs w:val="30"/>
    </w:rPr>
  </w:style>
  <w:style w:type="character" w:customStyle="1" w:styleId="141">
    <w:name w:val="font31"/>
    <w:basedOn w:val="53"/>
    <w:qFormat/>
    <w:uiPriority w:val="0"/>
    <w:rPr>
      <w:rFonts w:hint="eastAsia" w:ascii="宋体" w:hAnsi="宋体" w:eastAsia="宋体" w:cs="宋体"/>
      <w:color w:val="000000"/>
      <w:sz w:val="21"/>
      <w:szCs w:val="21"/>
      <w:u w:val="none"/>
    </w:rPr>
  </w:style>
  <w:style w:type="character" w:customStyle="1" w:styleId="142">
    <w:name w:val="副标题 字符"/>
    <w:basedOn w:val="53"/>
    <w:link w:val="41"/>
    <w:qFormat/>
    <w:uiPriority w:val="0"/>
    <w:rPr>
      <w:rFonts w:eastAsia="宋体" w:asciiTheme="majorHAnsi" w:hAnsiTheme="majorHAnsi" w:cstheme="majorBidi"/>
      <w:b/>
      <w:bCs/>
      <w:kern w:val="28"/>
      <w:sz w:val="22"/>
      <w:szCs w:val="32"/>
    </w:rPr>
  </w:style>
  <w:style w:type="character" w:customStyle="1" w:styleId="143">
    <w:name w:val="页眉 Char"/>
    <w:basedOn w:val="53"/>
    <w:uiPriority w:val="99"/>
  </w:style>
  <w:style w:type="character" w:customStyle="1" w:styleId="144">
    <w:name w:val="页脚 Char"/>
    <w:basedOn w:val="53"/>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1EC2C7-48EE-40CE-9C79-90729112A6B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4184</Words>
  <Characters>23850</Characters>
  <Lines>198</Lines>
  <Paragraphs>55</Paragraphs>
  <ScaleCrop>false</ScaleCrop>
  <LinksUpToDate>false</LinksUpToDate>
  <CharactersWithSpaces>27979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2016-07-13T05:54:00Z</dcterms:created>
  <dc:creator>dreamsummit</dc:creator>
  <cp:lastModifiedBy>王剑</cp:lastModifiedBy>
  <cp:lastPrinted>2016-06-24T06:00:00Z</cp:lastPrinted>
  <dcterms:modified xsi:type="dcterms:W3CDTF">2019-07-01T06:44:29Z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