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eastAsia="黑体" w:cs="Calibri"/>
          <w:b/>
          <w:sz w:val="44"/>
          <w:szCs w:val="44"/>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r>
        <w:rPr>
          <w:rFonts w:hint="eastAsia" w:eastAsia="黑体" w:cs="Calibri"/>
          <w:b/>
          <w:sz w:val="44"/>
          <w:szCs w:val="44"/>
        </w:rPr>
        <w:t>杭州萧山国际机场T3航站楼LED行李分拣屏更新项目</w:t>
      </w: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黑体" w:cs="Calibri"/>
          <w:sz w:val="32"/>
          <w:szCs w:val="32"/>
        </w:rPr>
      </w:pPr>
      <w:r>
        <w:rPr>
          <w:rFonts w:hint="eastAsia" w:ascii="Calibri" w:hAnsi="Calibri" w:eastAsia="黑体" w:cs="Calibri"/>
          <w:sz w:val="32"/>
          <w:szCs w:val="32"/>
        </w:rPr>
        <w:t>2019年</w:t>
      </w:r>
      <w:r>
        <w:rPr>
          <w:rFonts w:ascii="Calibri" w:hAnsi="Calibri" w:eastAsia="黑体" w:cs="Calibri"/>
          <w:sz w:val="32"/>
          <w:szCs w:val="32"/>
          <w:u w:val="single"/>
        </w:rPr>
        <w:t>6</w:t>
      </w:r>
      <w:r>
        <w:rPr>
          <w:rFonts w:ascii="Calibri" w:hAnsi="Calibri" w:eastAsia="黑体" w:cs="Calibri"/>
          <w:sz w:val="32"/>
          <w:szCs w:val="32"/>
        </w:rPr>
        <w:t>月</w:t>
      </w:r>
    </w:p>
    <w:p>
      <w:pPr>
        <w:pStyle w:val="21"/>
        <w:spacing w:line="480" w:lineRule="auto"/>
        <w:rPr>
          <w:rFonts w:ascii="Calibri" w:hAnsi="Calibri" w:eastAsia="黑体" w:cs="Calibri"/>
          <w:sz w:val="32"/>
          <w:szCs w:val="32"/>
        </w:rPr>
      </w:pPr>
    </w:p>
    <w:p>
      <w:pPr>
        <w:pStyle w:val="86"/>
        <w:ind w:firstLine="0" w:firstLineChars="0"/>
        <w:rPr>
          <w:rFonts w:ascii="Calibri" w:hAnsi="Calibri" w:eastAsia="楷体_GB2312" w:cs="Calibri"/>
          <w:kern w:val="0"/>
          <w:sz w:val="24"/>
          <w:szCs w:val="24"/>
          <w:u w:val="single"/>
        </w:rPr>
      </w:pPr>
      <w:bookmarkStart w:id="3" w:name="_Toc386363314"/>
      <w:bookmarkStart w:id="4" w:name="_Toc349007685"/>
      <w:bookmarkStart w:id="5" w:name="_Toc349011855"/>
      <w:bookmarkStart w:id="6" w:name="_Toc386359390"/>
    </w:p>
    <w:p>
      <w:pPr>
        <w:pStyle w:val="86"/>
        <w:ind w:firstLine="0" w:firstLineChars="0"/>
        <w:rPr>
          <w:rFonts w:ascii="Calibri" w:hAnsi="Calibri" w:eastAsia="楷体_GB2312" w:cs="Calibri"/>
          <w:kern w:val="0"/>
          <w:sz w:val="24"/>
          <w:szCs w:val="24"/>
          <w:u w:val="single"/>
        </w:rPr>
      </w:pPr>
    </w:p>
    <w:p>
      <w:pPr>
        <w:pStyle w:val="86"/>
        <w:ind w:firstLine="0" w:firstLineChars="0"/>
        <w:rPr>
          <w:rFonts w:ascii="Calibri" w:hAnsi="Calibri" w:eastAsia="楷体_GB2312" w:cs="Calibri"/>
          <w:kern w:val="0"/>
          <w:sz w:val="24"/>
          <w:szCs w:val="24"/>
          <w:u w:val="single"/>
        </w:rPr>
      </w:pPr>
    </w:p>
    <w:p>
      <w:pPr>
        <w:pStyle w:val="86"/>
        <w:ind w:firstLine="0" w:firstLineChars="0"/>
      </w:pPr>
    </w:p>
    <w:p>
      <w:pPr>
        <w:pStyle w:val="30"/>
        <w:rPr>
          <w:rFonts w:ascii="Calibri" w:hAnsi="Calibri" w:cs="Calibri"/>
          <w:b/>
          <w:sz w:val="44"/>
        </w:rPr>
      </w:pPr>
      <w:bookmarkStart w:id="7" w:name="_Toc444811406"/>
      <w:bookmarkStart w:id="8" w:name="_Toc478453289"/>
      <w:bookmarkStart w:id="9" w:name="_Toc400369182"/>
      <w:bookmarkStart w:id="10" w:name="_Toc448002981"/>
      <w:bookmarkStart w:id="11" w:name="_Toc444174976"/>
      <w:bookmarkStart w:id="12" w:name="_Toc444173456"/>
      <w:bookmarkStart w:id="13" w:name="_Toc9351378"/>
      <w:r>
        <w:rPr>
          <w:rFonts w:ascii="Calibri" w:cs="Calibri"/>
          <w:b/>
          <w:sz w:val="44"/>
        </w:rPr>
        <w:t>目</w:t>
      </w:r>
      <w:r>
        <w:rPr>
          <w:rFonts w:ascii="Calibri" w:hAnsi="Calibri" w:cs="Calibri"/>
          <w:b/>
          <w:sz w:val="44"/>
        </w:rPr>
        <w:t xml:space="preserve">  </w:t>
      </w:r>
      <w:r>
        <w:rPr>
          <w:rFonts w:ascii="Calibri" w:cs="Calibri"/>
          <w:b/>
          <w:sz w:val="44"/>
        </w:rPr>
        <w:t>录</w:t>
      </w:r>
      <w:bookmarkEnd w:id="3"/>
      <w:bookmarkEnd w:id="4"/>
      <w:bookmarkEnd w:id="5"/>
      <w:bookmarkEnd w:id="6"/>
      <w:bookmarkEnd w:id="7"/>
      <w:bookmarkEnd w:id="8"/>
      <w:bookmarkEnd w:id="9"/>
      <w:bookmarkEnd w:id="10"/>
      <w:bookmarkEnd w:id="11"/>
      <w:bookmarkEnd w:id="12"/>
      <w:bookmarkEnd w:id="13"/>
    </w:p>
    <w:p>
      <w:pPr>
        <w:pStyle w:val="30"/>
        <w:rPr>
          <w:rFonts w:ascii="等线" w:hAnsi="等线" w:eastAsia="等线"/>
          <w:bCs w:val="0"/>
          <w:kern w:val="2"/>
          <w:szCs w:val="22"/>
          <w:lang/>
        </w:rPr>
      </w:pPr>
      <w:r>
        <w:rPr>
          <w:rFonts w:hint="eastAsia" w:ascii="黑体" w:hAnsi="黑体" w:eastAsia="黑体" w:cs="Calibri"/>
          <w:sz w:val="22"/>
          <w:szCs w:val="22"/>
        </w:rPr>
        <w:fldChar w:fldCharType="begin"/>
      </w:r>
      <w:r>
        <w:rPr>
          <w:rFonts w:hint="eastAsia" w:ascii="黑体" w:hAnsi="黑体" w:eastAsia="黑体" w:cs="Calibri"/>
          <w:sz w:val="22"/>
          <w:szCs w:val="22"/>
        </w:rPr>
        <w:instrText xml:space="preserve"> TOC \o "1-3" \h \z \u </w:instrText>
      </w:r>
      <w:r>
        <w:rPr>
          <w:rFonts w:hint="eastAsia" w:ascii="黑体" w:hAnsi="黑体" w:eastAsia="黑体" w:cs="Calibri"/>
          <w:sz w:val="22"/>
          <w:szCs w:val="22"/>
        </w:rPr>
        <w:fldChar w:fldCharType="separate"/>
      </w:r>
    </w:p>
    <w:p>
      <w:pPr>
        <w:pStyle w:val="30"/>
        <w:rPr>
          <w:rFonts w:ascii="等线" w:hAnsi="等线" w:eastAsia="等线"/>
          <w:bCs w:val="0"/>
          <w:kern w:val="2"/>
          <w:szCs w:val="22"/>
          <w:lang/>
        </w:rPr>
      </w:pPr>
      <w:r>
        <w:rPr>
          <w:lang/>
        </w:rPr>
        <w:fldChar w:fldCharType="begin"/>
      </w:r>
      <w:r>
        <w:rPr>
          <w:rStyle w:val="50"/>
          <w:color w:val="auto"/>
          <w:lang/>
        </w:rPr>
        <w:instrText xml:space="preserve"> </w:instrText>
      </w:r>
      <w:r>
        <w:rPr>
          <w:lang/>
        </w:rPr>
        <w:instrText xml:space="preserve">HYPERLINK \l "_Toc9351379"</w:instrText>
      </w:r>
      <w:r>
        <w:rPr>
          <w:rStyle w:val="50"/>
          <w:color w:val="auto"/>
          <w:lang/>
        </w:rPr>
        <w:instrText xml:space="preserve"> </w:instrText>
      </w:r>
      <w:r>
        <w:rPr>
          <w:lang/>
        </w:rPr>
        <w:fldChar w:fldCharType="separate"/>
      </w:r>
      <w:r>
        <w:rPr>
          <w:rStyle w:val="50"/>
          <w:rFonts w:ascii="Calibri" w:eastAsia="黑体" w:cs="Calibri"/>
          <w:color w:val="auto"/>
          <w:kern w:val="0"/>
          <w:lang/>
        </w:rPr>
        <w:t>第一章</w:t>
      </w:r>
      <w:r>
        <w:rPr>
          <w:rStyle w:val="50"/>
          <w:rFonts w:ascii="Calibri" w:hAnsi="Calibri" w:eastAsia="黑体" w:cs="Calibri"/>
          <w:color w:val="auto"/>
          <w:kern w:val="0"/>
          <w:lang/>
        </w:rPr>
        <w:t xml:space="preserve"> </w:t>
      </w:r>
      <w:r>
        <w:rPr>
          <w:rStyle w:val="50"/>
          <w:rFonts w:ascii="Calibri" w:eastAsia="黑体" w:cs="Calibri"/>
          <w:color w:val="auto"/>
          <w:kern w:val="0"/>
          <w:lang/>
        </w:rPr>
        <w:t>招标公告</w:t>
      </w:r>
      <w:r>
        <w:rPr>
          <w:lang/>
        </w:rPr>
        <w:tab/>
      </w:r>
      <w:r>
        <w:rPr>
          <w:lang/>
        </w:rPr>
        <w:fldChar w:fldCharType="begin"/>
      </w:r>
      <w:r>
        <w:rPr>
          <w:lang/>
        </w:rPr>
        <w:instrText xml:space="preserve"> PAGEREF _Toc9351379 \h </w:instrText>
      </w:r>
      <w:r>
        <w:rPr>
          <w:lang/>
        </w:rPr>
        <w:fldChar w:fldCharType="separate"/>
      </w:r>
      <w:r>
        <w:rPr>
          <w:lang/>
        </w:rPr>
        <w:t>3</w:t>
      </w:r>
      <w:r>
        <w:rPr>
          <w:lang/>
        </w:rPr>
        <w:fldChar w:fldCharType="end"/>
      </w:r>
      <w:r>
        <w:rPr>
          <w:lang/>
        </w:rPr>
        <w:fldChar w:fldCharType="end"/>
      </w:r>
    </w:p>
    <w:p>
      <w:pPr>
        <w:pStyle w:val="30"/>
        <w:rPr>
          <w:rFonts w:ascii="等线" w:hAnsi="等线" w:eastAsia="等线"/>
          <w:bCs w:val="0"/>
          <w:kern w:val="2"/>
          <w:szCs w:val="22"/>
          <w:lang/>
        </w:rPr>
      </w:pPr>
      <w:r>
        <w:rPr>
          <w:lang/>
        </w:rPr>
        <w:fldChar w:fldCharType="begin"/>
      </w:r>
      <w:r>
        <w:rPr>
          <w:rStyle w:val="50"/>
          <w:color w:val="auto"/>
          <w:lang/>
        </w:rPr>
        <w:instrText xml:space="preserve"> </w:instrText>
      </w:r>
      <w:r>
        <w:rPr>
          <w:lang/>
        </w:rPr>
        <w:instrText xml:space="preserve">HYPERLINK \l "_Toc9351380"</w:instrText>
      </w:r>
      <w:r>
        <w:rPr>
          <w:rStyle w:val="50"/>
          <w:color w:val="auto"/>
          <w:lang/>
        </w:rPr>
        <w:instrText xml:space="preserve"> </w:instrText>
      </w:r>
      <w:r>
        <w:rPr>
          <w:lang/>
        </w:rPr>
        <w:fldChar w:fldCharType="separate"/>
      </w:r>
      <w:r>
        <w:rPr>
          <w:rStyle w:val="50"/>
          <w:rFonts w:ascii="Calibri" w:eastAsia="黑体" w:cs="Calibri"/>
          <w:color w:val="auto"/>
          <w:kern w:val="0"/>
          <w:lang/>
        </w:rPr>
        <w:t>第二章</w:t>
      </w:r>
      <w:r>
        <w:rPr>
          <w:rStyle w:val="50"/>
          <w:rFonts w:ascii="Calibri" w:hAnsi="Calibri" w:eastAsia="黑体" w:cs="Calibri"/>
          <w:color w:val="auto"/>
          <w:kern w:val="0"/>
          <w:lang/>
        </w:rPr>
        <w:t xml:space="preserve">  </w:t>
      </w:r>
      <w:r>
        <w:rPr>
          <w:rStyle w:val="50"/>
          <w:rFonts w:ascii="Calibri" w:eastAsia="黑体" w:cs="Calibri"/>
          <w:color w:val="auto"/>
          <w:kern w:val="0"/>
          <w:lang/>
        </w:rPr>
        <w:t>投标人须知</w:t>
      </w:r>
      <w:r>
        <w:rPr>
          <w:lang/>
        </w:rPr>
        <w:tab/>
      </w:r>
      <w:r>
        <w:rPr>
          <w:lang/>
        </w:rPr>
        <w:fldChar w:fldCharType="begin"/>
      </w:r>
      <w:r>
        <w:rPr>
          <w:lang/>
        </w:rPr>
        <w:instrText xml:space="preserve"> PAGEREF _Toc9351380 \h </w:instrText>
      </w:r>
      <w:r>
        <w:rPr>
          <w:lang/>
        </w:rPr>
        <w:fldChar w:fldCharType="separate"/>
      </w:r>
      <w:r>
        <w:rPr>
          <w:lang/>
        </w:rPr>
        <w:t>5</w:t>
      </w:r>
      <w:r>
        <w:rPr>
          <w:lang/>
        </w:rPr>
        <w:fldChar w:fldCharType="end"/>
      </w:r>
      <w:r>
        <w:rPr>
          <w:lang/>
        </w:rPr>
        <w:fldChar w:fldCharType="end"/>
      </w:r>
    </w:p>
    <w:p>
      <w:pPr>
        <w:pStyle w:val="30"/>
        <w:rPr>
          <w:rFonts w:ascii="等线" w:hAnsi="等线" w:eastAsia="等线"/>
          <w:bCs w:val="0"/>
          <w:kern w:val="2"/>
          <w:szCs w:val="22"/>
          <w:lang/>
        </w:rPr>
      </w:pPr>
      <w:r>
        <w:rPr>
          <w:lang/>
        </w:rPr>
        <w:fldChar w:fldCharType="begin"/>
      </w:r>
      <w:r>
        <w:rPr>
          <w:rStyle w:val="50"/>
          <w:color w:val="auto"/>
          <w:lang/>
        </w:rPr>
        <w:instrText xml:space="preserve"> </w:instrText>
      </w:r>
      <w:r>
        <w:rPr>
          <w:lang/>
        </w:rPr>
        <w:instrText xml:space="preserve">HYPERLINK \l "_Toc9351381"</w:instrText>
      </w:r>
      <w:r>
        <w:rPr>
          <w:rStyle w:val="50"/>
          <w:color w:val="auto"/>
          <w:lang/>
        </w:rPr>
        <w:instrText xml:space="preserve"> </w:instrText>
      </w:r>
      <w:r>
        <w:rPr>
          <w:lang/>
        </w:rPr>
        <w:fldChar w:fldCharType="separate"/>
      </w:r>
      <w:r>
        <w:rPr>
          <w:rStyle w:val="50"/>
          <w:rFonts w:ascii="Calibri" w:hAnsi="Arial" w:eastAsia="黑体" w:cs="Calibri"/>
          <w:color w:val="auto"/>
          <w:lang/>
        </w:rPr>
        <w:t>投标人须知前附表</w:t>
      </w:r>
      <w:r>
        <w:rPr>
          <w:lang/>
        </w:rPr>
        <w:tab/>
      </w:r>
      <w:r>
        <w:rPr>
          <w:lang/>
        </w:rPr>
        <w:fldChar w:fldCharType="begin"/>
      </w:r>
      <w:r>
        <w:rPr>
          <w:lang/>
        </w:rPr>
        <w:instrText xml:space="preserve"> PAGEREF _Toc9351381 \h </w:instrText>
      </w:r>
      <w:r>
        <w:rPr>
          <w:lang/>
        </w:rPr>
        <w:fldChar w:fldCharType="separate"/>
      </w:r>
      <w:r>
        <w:rPr>
          <w:lang/>
        </w:rPr>
        <w:t>5</w:t>
      </w:r>
      <w:r>
        <w:rPr>
          <w:lang/>
        </w:rPr>
        <w:fldChar w:fldCharType="end"/>
      </w:r>
      <w:r>
        <w:rPr>
          <w:lang/>
        </w:rPr>
        <w:fldChar w:fldCharType="end"/>
      </w:r>
    </w:p>
    <w:p>
      <w:pPr>
        <w:pStyle w:val="30"/>
        <w:rPr>
          <w:rFonts w:ascii="等线" w:hAnsi="等线" w:eastAsia="等线"/>
          <w:bCs w:val="0"/>
          <w:kern w:val="2"/>
          <w:szCs w:val="22"/>
          <w:lang/>
        </w:rPr>
      </w:pPr>
      <w:r>
        <w:rPr>
          <w:lang/>
        </w:rPr>
        <w:fldChar w:fldCharType="begin"/>
      </w:r>
      <w:r>
        <w:rPr>
          <w:rStyle w:val="50"/>
          <w:color w:val="auto"/>
          <w:lang/>
        </w:rPr>
        <w:instrText xml:space="preserve"> </w:instrText>
      </w:r>
      <w:r>
        <w:rPr>
          <w:lang/>
        </w:rPr>
        <w:instrText xml:space="preserve">HYPERLINK \l "_Toc9351382"</w:instrText>
      </w:r>
      <w:r>
        <w:rPr>
          <w:rStyle w:val="50"/>
          <w:color w:val="auto"/>
          <w:lang/>
        </w:rPr>
        <w:instrText xml:space="preserve"> </w:instrText>
      </w:r>
      <w:r>
        <w:rPr>
          <w:lang/>
        </w:rPr>
        <w:fldChar w:fldCharType="separate"/>
      </w:r>
      <w:r>
        <w:rPr>
          <w:rStyle w:val="50"/>
          <w:rFonts w:ascii="Calibri" w:hAnsi="Calibri" w:eastAsia="黑体" w:cs="Calibri"/>
          <w:color w:val="auto"/>
          <w:kern w:val="0"/>
          <w:lang/>
        </w:rPr>
        <w:t>第三章 货物需求一览表及技术规格</w:t>
      </w:r>
      <w:r>
        <w:rPr>
          <w:lang/>
        </w:rPr>
        <w:tab/>
      </w:r>
      <w:r>
        <w:rPr>
          <w:lang/>
        </w:rPr>
        <w:fldChar w:fldCharType="begin"/>
      </w:r>
      <w:r>
        <w:rPr>
          <w:lang/>
        </w:rPr>
        <w:instrText xml:space="preserve"> PAGEREF _Toc9351382 \h </w:instrText>
      </w:r>
      <w:r>
        <w:rPr>
          <w:lang/>
        </w:rPr>
        <w:fldChar w:fldCharType="separate"/>
      </w:r>
      <w:r>
        <w:rPr>
          <w:lang/>
        </w:rPr>
        <w:t>14</w:t>
      </w:r>
      <w:r>
        <w:rPr>
          <w:lang/>
        </w:rPr>
        <w:fldChar w:fldCharType="end"/>
      </w:r>
      <w:r>
        <w:rPr>
          <w:lang/>
        </w:rPr>
        <w:fldChar w:fldCharType="end"/>
      </w:r>
    </w:p>
    <w:p>
      <w:pPr>
        <w:pStyle w:val="30"/>
        <w:rPr>
          <w:rFonts w:ascii="等线" w:hAnsi="等线" w:eastAsia="等线"/>
          <w:bCs w:val="0"/>
          <w:kern w:val="2"/>
          <w:szCs w:val="22"/>
          <w:lang/>
        </w:rPr>
      </w:pPr>
      <w:r>
        <w:rPr>
          <w:lang/>
        </w:rPr>
        <w:fldChar w:fldCharType="begin"/>
      </w:r>
      <w:r>
        <w:rPr>
          <w:rStyle w:val="50"/>
          <w:color w:val="auto"/>
          <w:lang/>
        </w:rPr>
        <w:instrText xml:space="preserve"> </w:instrText>
      </w:r>
      <w:r>
        <w:rPr>
          <w:lang/>
        </w:rPr>
        <w:instrText xml:space="preserve">HYPERLINK \l "_Toc9351383"</w:instrText>
      </w:r>
      <w:r>
        <w:rPr>
          <w:rStyle w:val="50"/>
          <w:color w:val="auto"/>
          <w:lang/>
        </w:rPr>
        <w:instrText xml:space="preserve"> </w:instrText>
      </w:r>
      <w:r>
        <w:rPr>
          <w:lang/>
        </w:rPr>
        <w:fldChar w:fldCharType="separate"/>
      </w:r>
      <w:r>
        <w:rPr>
          <w:rStyle w:val="50"/>
          <w:rFonts w:ascii="Calibri" w:hAnsi="Calibri" w:eastAsia="黑体" w:cs="Calibri"/>
          <w:color w:val="auto"/>
          <w:kern w:val="0"/>
          <w:lang/>
        </w:rPr>
        <w:t>第四章  合同条款</w:t>
      </w:r>
      <w:r>
        <w:rPr>
          <w:lang/>
        </w:rPr>
        <w:tab/>
      </w:r>
      <w:r>
        <w:rPr>
          <w:lang/>
        </w:rPr>
        <w:fldChar w:fldCharType="begin"/>
      </w:r>
      <w:r>
        <w:rPr>
          <w:lang/>
        </w:rPr>
        <w:instrText xml:space="preserve"> PAGEREF _Toc9351383 \h </w:instrText>
      </w:r>
      <w:r>
        <w:rPr>
          <w:lang/>
        </w:rPr>
        <w:fldChar w:fldCharType="separate"/>
      </w:r>
      <w:r>
        <w:rPr>
          <w:lang/>
        </w:rPr>
        <w:t>18</w:t>
      </w:r>
      <w:r>
        <w:rPr>
          <w:lang/>
        </w:rPr>
        <w:fldChar w:fldCharType="end"/>
      </w:r>
      <w:r>
        <w:rPr>
          <w:lang/>
        </w:rPr>
        <w:fldChar w:fldCharType="end"/>
      </w:r>
    </w:p>
    <w:p>
      <w:pPr>
        <w:pStyle w:val="30"/>
        <w:rPr>
          <w:rFonts w:ascii="等线" w:hAnsi="等线" w:eastAsia="等线"/>
          <w:bCs w:val="0"/>
          <w:kern w:val="2"/>
          <w:szCs w:val="22"/>
          <w:lang/>
        </w:rPr>
      </w:pPr>
      <w:r>
        <w:rPr>
          <w:lang/>
        </w:rPr>
        <w:fldChar w:fldCharType="begin"/>
      </w:r>
      <w:r>
        <w:rPr>
          <w:rStyle w:val="50"/>
          <w:color w:val="auto"/>
          <w:lang/>
        </w:rPr>
        <w:instrText xml:space="preserve"> </w:instrText>
      </w:r>
      <w:r>
        <w:rPr>
          <w:lang/>
        </w:rPr>
        <w:instrText xml:space="preserve">HYPERLINK \l "_Toc9351393"</w:instrText>
      </w:r>
      <w:r>
        <w:rPr>
          <w:rStyle w:val="50"/>
          <w:color w:val="auto"/>
          <w:lang/>
        </w:rPr>
        <w:instrText xml:space="preserve"> </w:instrText>
      </w:r>
      <w:r>
        <w:rPr>
          <w:lang/>
        </w:rPr>
        <w:fldChar w:fldCharType="separate"/>
      </w:r>
      <w:r>
        <w:rPr>
          <w:rStyle w:val="50"/>
          <w:rFonts w:ascii="Calibri" w:hAnsi="Calibri" w:eastAsia="黑体" w:cs="Calibri"/>
          <w:color w:val="auto"/>
          <w:kern w:val="0"/>
          <w:lang/>
        </w:rPr>
        <w:t>第五章  评标方法及标准</w:t>
      </w:r>
      <w:r>
        <w:rPr>
          <w:lang/>
        </w:rPr>
        <w:tab/>
      </w:r>
      <w:r>
        <w:rPr>
          <w:lang/>
        </w:rPr>
        <w:fldChar w:fldCharType="begin"/>
      </w:r>
      <w:r>
        <w:rPr>
          <w:lang/>
        </w:rPr>
        <w:instrText xml:space="preserve"> PAGEREF _Toc9351393 \h </w:instrText>
      </w:r>
      <w:r>
        <w:rPr>
          <w:lang/>
        </w:rPr>
        <w:fldChar w:fldCharType="separate"/>
      </w:r>
      <w:r>
        <w:rPr>
          <w:lang/>
        </w:rPr>
        <w:t>24</w:t>
      </w:r>
      <w:r>
        <w:rPr>
          <w:lang/>
        </w:rPr>
        <w:fldChar w:fldCharType="end"/>
      </w:r>
      <w:r>
        <w:rPr>
          <w:lang/>
        </w:rPr>
        <w:fldChar w:fldCharType="end"/>
      </w:r>
    </w:p>
    <w:p>
      <w:pPr>
        <w:pStyle w:val="30"/>
        <w:rPr>
          <w:rFonts w:ascii="等线" w:hAnsi="等线" w:eastAsia="等线"/>
          <w:bCs w:val="0"/>
          <w:kern w:val="2"/>
          <w:szCs w:val="22"/>
          <w:lang/>
        </w:rPr>
      </w:pPr>
      <w:r>
        <w:rPr>
          <w:lang/>
        </w:rPr>
        <w:fldChar w:fldCharType="begin"/>
      </w:r>
      <w:r>
        <w:rPr>
          <w:rStyle w:val="50"/>
          <w:color w:val="auto"/>
          <w:lang/>
        </w:rPr>
        <w:instrText xml:space="preserve"> </w:instrText>
      </w:r>
      <w:r>
        <w:rPr>
          <w:lang/>
        </w:rPr>
        <w:instrText xml:space="preserve">HYPERLINK \l "_Toc9351394"</w:instrText>
      </w:r>
      <w:r>
        <w:rPr>
          <w:rStyle w:val="50"/>
          <w:color w:val="auto"/>
          <w:lang/>
        </w:rPr>
        <w:instrText xml:space="preserve"> </w:instrText>
      </w:r>
      <w:r>
        <w:rPr>
          <w:lang/>
        </w:rPr>
        <w:fldChar w:fldCharType="separate"/>
      </w:r>
      <w:r>
        <w:rPr>
          <w:rStyle w:val="50"/>
          <w:rFonts w:ascii="Calibri" w:hAnsi="Calibri" w:eastAsia="黑体" w:cs="Calibri"/>
          <w:color w:val="auto"/>
          <w:kern w:val="0"/>
          <w:lang/>
        </w:rPr>
        <w:t>第六章  投标文件格式</w:t>
      </w:r>
      <w:r>
        <w:rPr>
          <w:lang/>
        </w:rPr>
        <w:tab/>
      </w:r>
      <w:r>
        <w:rPr>
          <w:lang/>
        </w:rPr>
        <w:fldChar w:fldCharType="begin"/>
      </w:r>
      <w:r>
        <w:rPr>
          <w:lang/>
        </w:rPr>
        <w:instrText xml:space="preserve"> PAGEREF _Toc9351394 \h </w:instrText>
      </w:r>
      <w:r>
        <w:rPr>
          <w:lang/>
        </w:rPr>
        <w:fldChar w:fldCharType="separate"/>
      </w:r>
      <w:r>
        <w:rPr>
          <w:lang/>
        </w:rPr>
        <w:t>26</w:t>
      </w:r>
      <w:r>
        <w:rPr>
          <w:lang/>
        </w:rPr>
        <w:fldChar w:fldCharType="end"/>
      </w:r>
      <w:r>
        <w:rPr>
          <w:lang/>
        </w:rPr>
        <w:fldChar w:fldCharType="end"/>
      </w:r>
    </w:p>
    <w:p>
      <w:pPr>
        <w:spacing w:line="480" w:lineRule="auto"/>
        <w:rPr>
          <w:rFonts w:cs="Calibri"/>
          <w:sz w:val="24"/>
        </w:rPr>
      </w:pPr>
      <w:r>
        <w:rPr>
          <w:rFonts w:hint="eastAsia" w:ascii="黑体" w:hAnsi="黑体" w:eastAsia="黑体" w:cs="Calibri"/>
          <w:sz w:val="22"/>
        </w:rPr>
        <w:fldChar w:fldCharType="end"/>
      </w:r>
    </w:p>
    <w:p>
      <w:pPr>
        <w:pStyle w:val="2"/>
        <w:spacing w:before="0" w:after="0" w:line="360" w:lineRule="auto"/>
        <w:jc w:val="center"/>
        <w:rPr>
          <w:rFonts w:ascii="Calibri" w:eastAsia="黑体" w:cs="Calibri"/>
          <w:kern w:val="0"/>
          <w:sz w:val="32"/>
        </w:rPr>
      </w:pPr>
      <w:r>
        <w:rPr>
          <w:rFonts w:ascii="Calibri" w:hAnsi="Calibri" w:cs="Calibri"/>
        </w:rPr>
        <w:br w:type="page"/>
      </w:r>
      <w:bookmarkStart w:id="14" w:name="_Toc7641"/>
      <w:bookmarkStart w:id="15" w:name="_Toc24784"/>
      <w:bookmarkStart w:id="16" w:name="_Toc6832"/>
      <w:bookmarkStart w:id="17" w:name="_Toc8110"/>
      <w:bookmarkStart w:id="18" w:name="_Toc6581"/>
      <w:bookmarkStart w:id="19" w:name="_Toc22293"/>
      <w:bookmarkStart w:id="20" w:name="_Toc24932"/>
      <w:bookmarkStart w:id="21" w:name="_Toc14628"/>
      <w:bookmarkStart w:id="22" w:name="_Toc18642"/>
      <w:bookmarkStart w:id="23" w:name="_Toc9351379"/>
      <w:bookmarkStart w:id="24" w:name="_Toc248766631"/>
      <w:bookmarkStart w:id="25" w:name="_Toc249322950"/>
      <w:r>
        <w:rPr>
          <w:rFonts w:ascii="Calibri" w:eastAsia="黑体" w:cs="Calibri"/>
          <w:kern w:val="0"/>
          <w:sz w:val="32"/>
        </w:rPr>
        <w:t>第一章</w:t>
      </w:r>
      <w:r>
        <w:rPr>
          <w:rFonts w:ascii="Calibri" w:hAnsi="Calibri" w:eastAsia="黑体" w:cs="Calibri"/>
          <w:kern w:val="0"/>
          <w:sz w:val="32"/>
        </w:rPr>
        <w:t xml:space="preserve"> </w:t>
      </w:r>
      <w:bookmarkEnd w:id="14"/>
      <w:bookmarkEnd w:id="15"/>
      <w:bookmarkEnd w:id="16"/>
      <w:bookmarkEnd w:id="17"/>
      <w:bookmarkEnd w:id="18"/>
      <w:bookmarkEnd w:id="19"/>
      <w:bookmarkEnd w:id="20"/>
      <w:bookmarkEnd w:id="21"/>
      <w:bookmarkEnd w:id="22"/>
      <w:r>
        <w:rPr>
          <w:rFonts w:hint="eastAsia" w:ascii="Calibri" w:eastAsia="黑体" w:cs="Calibri"/>
          <w:kern w:val="0"/>
          <w:sz w:val="32"/>
        </w:rPr>
        <w:t>招标公告</w:t>
      </w:r>
      <w:bookmarkEnd w:id="23"/>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60" w:lineRule="exact"/>
        <w:ind w:firstLine="440" w:firstLineChars="200"/>
        <w:rPr>
          <w:rFonts w:hint="eastAsia" w:ascii="等线" w:hAnsi="等线" w:cs="Arial"/>
          <w:kern w:val="0"/>
          <w:sz w:val="22"/>
        </w:rPr>
      </w:pPr>
      <w:r>
        <w:rPr>
          <w:rFonts w:hint="eastAsia" w:ascii="等线" w:hAnsi="等线" w:cs="Arial"/>
          <w:kern w:val="0"/>
          <w:sz w:val="22"/>
        </w:rPr>
        <w:t>杭州萧山国际机场有限公司就</w:t>
      </w:r>
      <w:r>
        <w:rPr>
          <w:rFonts w:ascii="等线" w:hAnsi="等线" w:cs="Arial"/>
          <w:kern w:val="0"/>
          <w:sz w:val="22"/>
        </w:rPr>
        <w:t>杭州萧山国际机场</w:t>
      </w:r>
      <w:r>
        <w:rPr>
          <w:rFonts w:hint="eastAsia" w:ascii="等线" w:hAnsi="等线" w:cs="Arial"/>
          <w:kern w:val="0"/>
          <w:sz w:val="22"/>
          <w:u w:val="single"/>
        </w:rPr>
        <w:t>T3航站楼LED行李分拣屏更新</w:t>
      </w:r>
      <w:r>
        <w:rPr>
          <w:rFonts w:ascii="等线" w:hAnsi="等线" w:cs="Arial"/>
          <w:kern w:val="0"/>
          <w:sz w:val="22"/>
          <w:u w:val="single"/>
        </w:rPr>
        <w:t>项</w:t>
      </w:r>
      <w:r>
        <w:rPr>
          <w:rFonts w:hint="eastAsia" w:ascii="等线" w:hAnsi="等线" w:cs="Arial"/>
          <w:kern w:val="0"/>
          <w:sz w:val="22"/>
          <w:u w:val="single"/>
        </w:rPr>
        <w:t>目</w:t>
      </w:r>
      <w:r>
        <w:rPr>
          <w:rFonts w:hint="eastAsia" w:ascii="等线" w:hAnsi="等线" w:cs="Arial"/>
          <w:kern w:val="0"/>
          <w:sz w:val="22"/>
        </w:rPr>
        <w:t>进行公开招标，欢迎符合资格要求的供应商参与投标。</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招标货物名称、数量及主要技术规格</w:t>
      </w:r>
    </w:p>
    <w:tbl>
      <w:tblPr>
        <w:tblStyle w:val="53"/>
        <w:tblW w:w="91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2347"/>
        <w:gridCol w:w="1193"/>
        <w:gridCol w:w="933"/>
        <w:gridCol w:w="201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80" w:type="dxa"/>
            <w:vAlign w:val="center"/>
          </w:tcPr>
          <w:p>
            <w:pPr>
              <w:adjustRightInd w:val="0"/>
              <w:snapToGrid w:val="0"/>
              <w:jc w:val="center"/>
              <w:rPr>
                <w:rFonts w:ascii="宋体" w:hAnsi="宋体"/>
                <w:caps/>
                <w:sz w:val="22"/>
              </w:rPr>
            </w:pPr>
            <w:r>
              <w:rPr>
                <w:rFonts w:hint="eastAsia" w:ascii="宋体" w:hAnsi="宋体"/>
                <w:caps/>
                <w:sz w:val="22"/>
              </w:rPr>
              <w:t>序号</w:t>
            </w:r>
          </w:p>
        </w:tc>
        <w:tc>
          <w:tcPr>
            <w:tcW w:w="2347" w:type="dxa"/>
            <w:vAlign w:val="center"/>
          </w:tcPr>
          <w:p>
            <w:pPr>
              <w:adjustRightInd w:val="0"/>
              <w:snapToGrid w:val="0"/>
              <w:jc w:val="center"/>
              <w:rPr>
                <w:rFonts w:ascii="宋体" w:hAnsi="宋体"/>
                <w:caps/>
                <w:sz w:val="22"/>
              </w:rPr>
            </w:pPr>
            <w:r>
              <w:rPr>
                <w:rFonts w:ascii="宋体" w:hAnsi="宋体"/>
                <w:caps/>
                <w:sz w:val="22"/>
              </w:rPr>
              <w:t>货物名称</w:t>
            </w:r>
          </w:p>
        </w:tc>
        <w:tc>
          <w:tcPr>
            <w:tcW w:w="1193" w:type="dxa"/>
            <w:vAlign w:val="center"/>
          </w:tcPr>
          <w:p>
            <w:pPr>
              <w:adjustRightInd w:val="0"/>
              <w:snapToGrid w:val="0"/>
              <w:jc w:val="center"/>
              <w:rPr>
                <w:rFonts w:ascii="宋体" w:hAnsi="宋体"/>
                <w:caps/>
                <w:sz w:val="22"/>
              </w:rPr>
            </w:pPr>
            <w:r>
              <w:rPr>
                <w:rFonts w:ascii="宋体" w:hAnsi="宋体"/>
                <w:caps/>
                <w:sz w:val="22"/>
              </w:rPr>
              <w:t>数 量</w:t>
            </w:r>
          </w:p>
        </w:tc>
        <w:tc>
          <w:tcPr>
            <w:tcW w:w="933" w:type="dxa"/>
            <w:vAlign w:val="center"/>
          </w:tcPr>
          <w:p>
            <w:pPr>
              <w:adjustRightInd w:val="0"/>
              <w:snapToGrid w:val="0"/>
              <w:jc w:val="center"/>
              <w:rPr>
                <w:rFonts w:ascii="宋体" w:hAnsi="宋体"/>
                <w:caps/>
                <w:sz w:val="22"/>
              </w:rPr>
            </w:pPr>
            <w:r>
              <w:rPr>
                <w:rFonts w:hint="eastAsia" w:ascii="宋体" w:hAnsi="宋体"/>
                <w:caps/>
                <w:sz w:val="22"/>
              </w:rPr>
              <w:t>单位</w:t>
            </w:r>
          </w:p>
        </w:tc>
        <w:tc>
          <w:tcPr>
            <w:tcW w:w="2011" w:type="dxa"/>
            <w:vAlign w:val="center"/>
          </w:tcPr>
          <w:p>
            <w:pPr>
              <w:adjustRightInd w:val="0"/>
              <w:snapToGrid w:val="0"/>
              <w:jc w:val="center"/>
              <w:rPr>
                <w:rFonts w:ascii="宋体" w:hAnsi="宋体"/>
                <w:caps/>
                <w:sz w:val="22"/>
              </w:rPr>
            </w:pPr>
            <w:r>
              <w:rPr>
                <w:rFonts w:ascii="宋体" w:hAnsi="宋体"/>
                <w:caps/>
                <w:sz w:val="22"/>
              </w:rPr>
              <w:t>主要技术规格</w:t>
            </w:r>
          </w:p>
        </w:tc>
        <w:tc>
          <w:tcPr>
            <w:tcW w:w="1458" w:type="dxa"/>
            <w:vAlign w:val="center"/>
          </w:tcPr>
          <w:p>
            <w:pPr>
              <w:adjustRightInd w:val="0"/>
              <w:snapToGrid w:val="0"/>
              <w:jc w:val="center"/>
              <w:rPr>
                <w:rFonts w:ascii="宋体" w:hAnsi="宋体"/>
                <w:caps/>
                <w:sz w:val="22"/>
              </w:rPr>
            </w:pPr>
            <w:r>
              <w:rPr>
                <w:rFonts w:hint="eastAsia" w:ascii="宋体" w:hAnsi="宋体"/>
                <w:cap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80" w:type="dxa"/>
            <w:vAlign w:val="center"/>
          </w:tcPr>
          <w:p>
            <w:pPr>
              <w:adjustRightInd w:val="0"/>
              <w:snapToGrid w:val="0"/>
              <w:jc w:val="center"/>
              <w:rPr>
                <w:rFonts w:hint="eastAsia" w:ascii="宋体" w:hAnsi="宋体"/>
                <w:caps/>
                <w:sz w:val="22"/>
              </w:rPr>
            </w:pPr>
            <w:r>
              <w:rPr>
                <w:rFonts w:hint="eastAsia" w:ascii="宋体" w:hAnsi="宋体"/>
                <w:caps/>
                <w:sz w:val="22"/>
              </w:rPr>
              <w:t>1</w:t>
            </w:r>
          </w:p>
        </w:tc>
        <w:tc>
          <w:tcPr>
            <w:tcW w:w="2347" w:type="dxa"/>
            <w:vAlign w:val="center"/>
          </w:tcPr>
          <w:p>
            <w:pPr>
              <w:adjustRightInd w:val="0"/>
              <w:snapToGrid w:val="0"/>
              <w:jc w:val="center"/>
              <w:rPr>
                <w:rFonts w:hint="eastAsia" w:ascii="宋体" w:hAnsi="宋体"/>
                <w:caps/>
                <w:sz w:val="22"/>
              </w:rPr>
            </w:pPr>
            <w:r>
              <w:rPr>
                <w:rFonts w:hint="eastAsia" w:ascii="宋体" w:hAnsi="宋体"/>
                <w:caps/>
                <w:sz w:val="22"/>
              </w:rPr>
              <w:t>LED行李分拣显示屏</w:t>
            </w:r>
          </w:p>
          <w:p>
            <w:pPr>
              <w:adjustRightInd w:val="0"/>
              <w:snapToGrid w:val="0"/>
              <w:jc w:val="center"/>
              <w:rPr>
                <w:rFonts w:ascii="宋体" w:hAnsi="宋体"/>
                <w:caps/>
                <w:sz w:val="22"/>
              </w:rPr>
            </w:pPr>
            <w:r>
              <w:rPr>
                <w:rFonts w:hint="eastAsia" w:ascii="宋体" w:hAnsi="宋体"/>
                <w:caps/>
                <w:sz w:val="22"/>
              </w:rPr>
              <w:t>（双面）</w:t>
            </w:r>
          </w:p>
        </w:tc>
        <w:tc>
          <w:tcPr>
            <w:tcW w:w="1193" w:type="dxa"/>
            <w:vAlign w:val="center"/>
          </w:tcPr>
          <w:p>
            <w:pPr>
              <w:adjustRightInd w:val="0"/>
              <w:snapToGrid w:val="0"/>
              <w:jc w:val="center"/>
              <w:rPr>
                <w:rFonts w:ascii="宋体" w:hAnsi="宋体"/>
                <w:caps/>
                <w:sz w:val="22"/>
              </w:rPr>
            </w:pPr>
            <w:r>
              <w:rPr>
                <w:rFonts w:hint="eastAsia" w:ascii="宋体" w:hAnsi="宋体"/>
                <w:caps/>
                <w:sz w:val="22"/>
              </w:rPr>
              <w:t>3</w:t>
            </w:r>
          </w:p>
        </w:tc>
        <w:tc>
          <w:tcPr>
            <w:tcW w:w="933" w:type="dxa"/>
            <w:vAlign w:val="center"/>
          </w:tcPr>
          <w:p>
            <w:pPr>
              <w:adjustRightInd w:val="0"/>
              <w:snapToGrid w:val="0"/>
              <w:jc w:val="center"/>
              <w:rPr>
                <w:rFonts w:hint="eastAsia" w:ascii="宋体" w:hAnsi="宋体"/>
                <w:caps/>
                <w:sz w:val="22"/>
              </w:rPr>
            </w:pPr>
            <w:r>
              <w:rPr>
                <w:rFonts w:hint="eastAsia" w:ascii="宋体" w:hAnsi="宋体"/>
                <w:caps/>
                <w:sz w:val="22"/>
              </w:rPr>
              <w:t>组</w:t>
            </w:r>
          </w:p>
        </w:tc>
        <w:tc>
          <w:tcPr>
            <w:tcW w:w="2011" w:type="dxa"/>
            <w:vAlign w:val="center"/>
          </w:tcPr>
          <w:p>
            <w:pPr>
              <w:adjustRightInd w:val="0"/>
              <w:snapToGrid w:val="0"/>
              <w:jc w:val="center"/>
              <w:rPr>
                <w:rFonts w:ascii="宋体" w:hAnsi="宋体"/>
                <w:caps/>
                <w:sz w:val="22"/>
              </w:rPr>
            </w:pPr>
            <w:r>
              <w:rPr>
                <w:rFonts w:hint="eastAsia" w:ascii="宋体" w:hAnsi="宋体"/>
                <w:caps/>
                <w:sz w:val="22"/>
              </w:rPr>
              <w:t>详见第三章</w:t>
            </w:r>
          </w:p>
        </w:tc>
        <w:tc>
          <w:tcPr>
            <w:tcW w:w="1458" w:type="dxa"/>
            <w:vAlign w:val="center"/>
          </w:tcPr>
          <w:p>
            <w:pPr>
              <w:adjustRightInd w:val="0"/>
              <w:snapToGrid w:val="0"/>
              <w:jc w:val="center"/>
              <w:rPr>
                <w:rFonts w:hint="eastAsia" w:ascii="宋体" w:hAnsi="宋体"/>
                <w:cap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80" w:type="dxa"/>
            <w:vAlign w:val="center"/>
          </w:tcPr>
          <w:p>
            <w:pPr>
              <w:adjustRightInd w:val="0"/>
              <w:snapToGrid w:val="0"/>
              <w:jc w:val="center"/>
              <w:rPr>
                <w:rFonts w:hint="eastAsia" w:ascii="宋体" w:hAnsi="宋体"/>
                <w:caps/>
                <w:sz w:val="22"/>
              </w:rPr>
            </w:pPr>
            <w:r>
              <w:rPr>
                <w:rFonts w:hint="eastAsia" w:ascii="宋体" w:hAnsi="宋体"/>
                <w:caps/>
                <w:sz w:val="22"/>
              </w:rPr>
              <w:t>2</w:t>
            </w:r>
          </w:p>
        </w:tc>
        <w:tc>
          <w:tcPr>
            <w:tcW w:w="2347" w:type="dxa"/>
            <w:vAlign w:val="center"/>
          </w:tcPr>
          <w:p>
            <w:pPr>
              <w:adjustRightInd w:val="0"/>
              <w:snapToGrid w:val="0"/>
              <w:jc w:val="center"/>
              <w:rPr>
                <w:rFonts w:hint="eastAsia" w:ascii="宋体" w:hAnsi="宋体"/>
                <w:caps/>
                <w:sz w:val="22"/>
              </w:rPr>
            </w:pPr>
            <w:r>
              <w:rPr>
                <w:rFonts w:hint="eastAsia" w:ascii="宋体" w:hAnsi="宋体"/>
                <w:caps/>
                <w:sz w:val="22"/>
              </w:rPr>
              <w:t>支架、拆装调试及相关辅材等</w:t>
            </w:r>
          </w:p>
        </w:tc>
        <w:tc>
          <w:tcPr>
            <w:tcW w:w="1193" w:type="dxa"/>
            <w:vAlign w:val="center"/>
          </w:tcPr>
          <w:p>
            <w:pPr>
              <w:adjustRightInd w:val="0"/>
              <w:snapToGrid w:val="0"/>
              <w:jc w:val="center"/>
              <w:rPr>
                <w:rFonts w:hint="eastAsia" w:ascii="宋体" w:hAnsi="宋体"/>
                <w:caps/>
                <w:sz w:val="22"/>
              </w:rPr>
            </w:pPr>
            <w:r>
              <w:rPr>
                <w:rFonts w:hint="eastAsia" w:ascii="宋体" w:hAnsi="宋体"/>
                <w:caps/>
                <w:sz w:val="22"/>
              </w:rPr>
              <w:t>1</w:t>
            </w:r>
          </w:p>
        </w:tc>
        <w:tc>
          <w:tcPr>
            <w:tcW w:w="933" w:type="dxa"/>
            <w:vAlign w:val="center"/>
          </w:tcPr>
          <w:p>
            <w:pPr>
              <w:adjustRightInd w:val="0"/>
              <w:snapToGrid w:val="0"/>
              <w:jc w:val="center"/>
              <w:rPr>
                <w:rFonts w:hint="eastAsia" w:ascii="宋体" w:hAnsi="宋体"/>
                <w:caps/>
                <w:sz w:val="22"/>
              </w:rPr>
            </w:pPr>
            <w:r>
              <w:rPr>
                <w:rFonts w:hint="eastAsia" w:ascii="宋体" w:hAnsi="宋体"/>
                <w:caps/>
                <w:sz w:val="22"/>
              </w:rPr>
              <w:t>项</w:t>
            </w:r>
          </w:p>
        </w:tc>
        <w:tc>
          <w:tcPr>
            <w:tcW w:w="2011" w:type="dxa"/>
            <w:vAlign w:val="center"/>
          </w:tcPr>
          <w:p>
            <w:pPr>
              <w:adjustRightInd w:val="0"/>
              <w:snapToGrid w:val="0"/>
              <w:jc w:val="center"/>
              <w:rPr>
                <w:rFonts w:hint="eastAsia" w:ascii="宋体" w:hAnsi="宋体" w:cs="Arial"/>
                <w:kern w:val="0"/>
                <w:sz w:val="22"/>
              </w:rPr>
            </w:pPr>
            <w:r>
              <w:rPr>
                <w:rFonts w:hint="eastAsia" w:ascii="宋体" w:hAnsi="宋体"/>
                <w:caps/>
                <w:sz w:val="22"/>
              </w:rPr>
              <w:t>详见第三章</w:t>
            </w:r>
          </w:p>
        </w:tc>
        <w:tc>
          <w:tcPr>
            <w:tcW w:w="1458" w:type="dxa"/>
            <w:vAlign w:val="center"/>
          </w:tcPr>
          <w:p>
            <w:pPr>
              <w:adjustRightInd w:val="0"/>
              <w:snapToGrid w:val="0"/>
              <w:jc w:val="center"/>
              <w:rPr>
                <w:rFonts w:hint="eastAsia" w:ascii="宋体" w:hAnsi="宋体"/>
                <w:cap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80" w:type="dxa"/>
            <w:vAlign w:val="center"/>
          </w:tcPr>
          <w:p>
            <w:pPr>
              <w:adjustRightInd w:val="0"/>
              <w:snapToGrid w:val="0"/>
              <w:jc w:val="center"/>
              <w:rPr>
                <w:rFonts w:hint="eastAsia" w:ascii="宋体" w:hAnsi="宋体"/>
                <w:caps/>
                <w:sz w:val="22"/>
              </w:rPr>
            </w:pPr>
            <w:r>
              <w:rPr>
                <w:rFonts w:hint="eastAsia" w:ascii="宋体" w:hAnsi="宋体"/>
                <w:caps/>
                <w:sz w:val="22"/>
              </w:rPr>
              <w:t>3</w:t>
            </w:r>
          </w:p>
        </w:tc>
        <w:tc>
          <w:tcPr>
            <w:tcW w:w="2347" w:type="dxa"/>
            <w:vAlign w:val="center"/>
          </w:tcPr>
          <w:p>
            <w:pPr>
              <w:adjustRightInd w:val="0"/>
              <w:snapToGrid w:val="0"/>
              <w:jc w:val="center"/>
              <w:rPr>
                <w:rFonts w:hint="eastAsia" w:ascii="宋体" w:hAnsi="宋体"/>
                <w:caps/>
                <w:sz w:val="22"/>
              </w:rPr>
            </w:pPr>
            <w:r>
              <w:rPr>
                <w:rFonts w:hint="eastAsia" w:ascii="宋体" w:hAnsi="宋体"/>
                <w:caps/>
                <w:sz w:val="22"/>
              </w:rPr>
              <w:t>航显系统LED软件接口改造</w:t>
            </w:r>
          </w:p>
        </w:tc>
        <w:tc>
          <w:tcPr>
            <w:tcW w:w="1193" w:type="dxa"/>
            <w:vAlign w:val="center"/>
          </w:tcPr>
          <w:p>
            <w:pPr>
              <w:adjustRightInd w:val="0"/>
              <w:snapToGrid w:val="0"/>
              <w:jc w:val="center"/>
              <w:rPr>
                <w:rFonts w:hint="eastAsia" w:ascii="宋体" w:hAnsi="宋体"/>
                <w:caps/>
                <w:sz w:val="22"/>
              </w:rPr>
            </w:pPr>
            <w:r>
              <w:rPr>
                <w:rFonts w:hint="eastAsia" w:ascii="宋体" w:hAnsi="宋体"/>
                <w:caps/>
                <w:sz w:val="22"/>
              </w:rPr>
              <w:t>1</w:t>
            </w:r>
          </w:p>
        </w:tc>
        <w:tc>
          <w:tcPr>
            <w:tcW w:w="933" w:type="dxa"/>
            <w:vAlign w:val="center"/>
          </w:tcPr>
          <w:p>
            <w:pPr>
              <w:adjustRightInd w:val="0"/>
              <w:snapToGrid w:val="0"/>
              <w:jc w:val="center"/>
              <w:rPr>
                <w:rFonts w:hint="eastAsia" w:ascii="宋体" w:hAnsi="宋体"/>
                <w:caps/>
                <w:sz w:val="22"/>
              </w:rPr>
            </w:pPr>
            <w:r>
              <w:rPr>
                <w:rFonts w:hint="eastAsia" w:ascii="宋体" w:hAnsi="宋体"/>
                <w:caps/>
                <w:sz w:val="22"/>
              </w:rPr>
              <w:t>项</w:t>
            </w:r>
          </w:p>
        </w:tc>
        <w:tc>
          <w:tcPr>
            <w:tcW w:w="2011" w:type="dxa"/>
            <w:vAlign w:val="center"/>
          </w:tcPr>
          <w:p>
            <w:pPr>
              <w:adjustRightInd w:val="0"/>
              <w:snapToGrid w:val="0"/>
              <w:jc w:val="center"/>
              <w:rPr>
                <w:rFonts w:hint="eastAsia" w:ascii="宋体" w:hAnsi="宋体" w:cs="Arial"/>
                <w:kern w:val="0"/>
                <w:sz w:val="22"/>
              </w:rPr>
            </w:pPr>
            <w:r>
              <w:rPr>
                <w:rFonts w:hint="eastAsia" w:ascii="宋体" w:hAnsi="宋体"/>
                <w:caps/>
                <w:sz w:val="22"/>
              </w:rPr>
              <w:t>详见第三章</w:t>
            </w:r>
          </w:p>
        </w:tc>
        <w:tc>
          <w:tcPr>
            <w:tcW w:w="1458" w:type="dxa"/>
            <w:vAlign w:val="center"/>
          </w:tcPr>
          <w:p>
            <w:pPr>
              <w:adjustRightInd w:val="0"/>
              <w:snapToGrid w:val="0"/>
              <w:jc w:val="center"/>
              <w:rPr>
                <w:rFonts w:hint="eastAsia" w:ascii="宋体" w:hAnsi="宋体"/>
                <w:caps/>
                <w:sz w:val="22"/>
              </w:rPr>
            </w:pPr>
          </w:p>
        </w:tc>
      </w:tr>
    </w:tbl>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w:t>
      </w:r>
      <w:r>
        <w:rPr>
          <w:rFonts w:ascii="宋体" w:hAnsi="宋体" w:cs="Arial"/>
          <w:b/>
          <w:bCs/>
          <w:kern w:val="0"/>
          <w:sz w:val="22"/>
        </w:rPr>
        <w:t> </w:t>
      </w:r>
      <w:r>
        <w:rPr>
          <w:rFonts w:hint="eastAsia" w:ascii="宋体" w:hAnsi="宋体" w:cs="Arial"/>
          <w:b/>
          <w:bCs/>
          <w:kern w:val="0"/>
          <w:sz w:val="22"/>
        </w:rPr>
        <w:t>投标人资格要求</w:t>
      </w:r>
      <w:r>
        <w:rPr>
          <w:rFonts w:ascii="宋体" w:hAnsi="宋体" w:cs="Arial"/>
          <w:b/>
          <w:bCs/>
          <w:kern w:val="0"/>
          <w:sz w:val="22"/>
        </w:rPr>
        <w:t> </w:t>
      </w:r>
      <w:r>
        <w:rPr>
          <w:rFonts w:hint="eastAsia" w:ascii="宋体" w:hAnsi="宋体" w:cs="Arial"/>
          <w:b/>
          <w:bCs/>
          <w:kern w:val="0"/>
          <w:sz w:val="22"/>
        </w:rPr>
        <w:t xml:space="preserve">  </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 xml:space="preserve">（1）具有独立法人资格，持有有效营业执照，注册资本100万元（含）以上 (提供营业执照复印件并加盖投标人公章，原件备查)； </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 xml:space="preserve">（2）依据最高人民法院等九部门《关于在招标投标活动中对失信被执行人实施联合惩戒的通知》，投标人不得为失信被执行人。（通过信用中国网站www.creditchina.gov.cn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 </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 xml:space="preserve">（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）自2016年1月1日起至投标截止日止至少完成过</w:t>
      </w:r>
      <w:r>
        <w:rPr>
          <w:rFonts w:ascii="宋体" w:hAnsi="宋体" w:cs="Arial"/>
          <w:kern w:val="0"/>
          <w:sz w:val="22"/>
        </w:rPr>
        <w:t>1</w:t>
      </w:r>
      <w:r>
        <w:rPr>
          <w:rFonts w:hint="eastAsia" w:ascii="宋体" w:hAnsi="宋体" w:cs="Arial"/>
          <w:kern w:val="0"/>
          <w:sz w:val="22"/>
        </w:rPr>
        <w:t>项10万元以上的LED显示屏供货（含安装）业绩（提供合同复印件并加盖公章）；</w:t>
      </w:r>
    </w:p>
    <w:p>
      <w:pPr>
        <w:widowControl/>
        <w:adjustRightInd w:val="0"/>
        <w:snapToGrid w:val="0"/>
        <w:spacing w:line="340" w:lineRule="exact"/>
        <w:ind w:firstLine="440" w:firstLineChars="200"/>
        <w:rPr>
          <w:rFonts w:hint="eastAsia" w:ascii="宋体" w:hAnsi="宋体" w:cs="Arial"/>
          <w:kern w:val="0"/>
          <w:sz w:val="22"/>
          <w:u w:val="single"/>
        </w:rPr>
      </w:pPr>
      <w:r>
        <w:rPr>
          <w:rFonts w:hint="eastAsia" w:ascii="宋体" w:hAnsi="宋体"/>
          <w:sz w:val="22"/>
        </w:rPr>
        <w:t>（</w:t>
      </w:r>
      <w:r>
        <w:rPr>
          <w:rFonts w:ascii="宋体" w:hAnsi="宋体"/>
          <w:sz w:val="22"/>
        </w:rPr>
        <w:t>6</w:t>
      </w:r>
      <w:r>
        <w:rPr>
          <w:rFonts w:hint="eastAsia" w:ascii="宋体" w:hAnsi="宋体"/>
          <w:sz w:val="22"/>
        </w:rPr>
        <w:t>）</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rPr>
          <w:rFonts w:ascii="宋体" w:hAnsi="宋体"/>
          <w:sz w:val="22"/>
        </w:rPr>
        <w:fldChar w:fldCharType="begin"/>
      </w:r>
      <w:r>
        <w:rPr>
          <w:rFonts w:ascii="宋体" w:hAnsi="宋体"/>
          <w:sz w:val="22"/>
        </w:rPr>
        <w:instrText xml:space="preserve"> HYPERLINK "http://www.hzairport.com/zbxx.aspx" </w:instrText>
      </w:r>
      <w:r>
        <w:rPr>
          <w:rFonts w:ascii="宋体" w:hAnsi="宋体"/>
          <w:sz w:val="22"/>
        </w:rP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24</w:t>
      </w:r>
      <w:r>
        <w:rPr>
          <w:rFonts w:hint="eastAsia" w:ascii="宋体" w:hAnsi="宋体" w:cs="Arial"/>
          <w:kern w:val="0"/>
          <w:sz w:val="22"/>
        </w:rPr>
        <w:t>日上午9时00分（北京时间）。投标文件在封口处加盖公章，并派专人于</w:t>
      </w:r>
      <w:r>
        <w:rPr>
          <w:rFonts w:hint="eastAsia" w:ascii="宋体" w:hAnsi="宋体" w:cs="Arial"/>
          <w:kern w:val="0"/>
          <w:sz w:val="22"/>
        </w:rPr>
        <w:t>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24</w:t>
      </w:r>
      <w:r>
        <w:rPr>
          <w:rFonts w:hint="eastAsia" w:ascii="宋体" w:hAnsi="宋体" w:cs="Arial"/>
          <w:kern w:val="0"/>
          <w:sz w:val="22"/>
        </w:rPr>
        <w:t>日上午9时00分（北京时间）</w:t>
      </w:r>
      <w:r>
        <w:rPr>
          <w:rFonts w:hint="eastAsia" w:ascii="宋体" w:hAnsi="宋体" w:cs="Arial"/>
          <w:kern w:val="0"/>
          <w:sz w:val="22"/>
        </w:rPr>
        <w:t>前送至杭州萧山国际机场翔越路综合服务楼园区招标中心，逾期无效；若采用投递方式的，请于</w:t>
      </w:r>
      <w:r>
        <w:rPr>
          <w:rFonts w:hint="eastAsia" w:ascii="宋体" w:hAnsi="宋体" w:cs="Arial"/>
          <w:kern w:val="0"/>
          <w:sz w:val="22"/>
        </w:rPr>
        <w:t>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24</w:t>
      </w:r>
      <w:r>
        <w:rPr>
          <w:rFonts w:hint="eastAsia" w:ascii="宋体" w:hAnsi="宋体" w:cs="Arial"/>
          <w:kern w:val="0"/>
          <w:sz w:val="22"/>
        </w:rPr>
        <w:t>日上午9时00分（北京时间）</w:t>
      </w:r>
      <w:r>
        <w:rPr>
          <w:rFonts w:hint="eastAsia" w:ascii="宋体" w:hAnsi="宋体" w:cs="Arial"/>
          <w:kern w:val="0"/>
          <w:sz w:val="22"/>
        </w:rPr>
        <w:t>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rPr>
          <w:rFonts w:ascii="宋体" w:hAnsi="宋体"/>
          <w:sz w:val="22"/>
        </w:rPr>
        <w:fldChar w:fldCharType="begin"/>
      </w:r>
      <w:r>
        <w:rPr>
          <w:rFonts w:ascii="宋体" w:hAnsi="宋体"/>
          <w:sz w:val="22"/>
        </w:rPr>
        <w:instrText xml:space="preserve"> HYPERLINK "http://www.chinabidding.com.cn" </w:instrText>
      </w:r>
      <w:r>
        <w:rPr>
          <w:rFonts w:ascii="宋体" w:hAnsi="宋体"/>
          <w:sz w:val="22"/>
        </w:rP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投标联系人：贾工       </w:t>
      </w:r>
      <w:r>
        <w:rPr>
          <w:rFonts w:ascii="宋体" w:hAnsi="宋体"/>
          <w:sz w:val="22"/>
        </w:rPr>
        <w:t xml:space="preserve">   </w:t>
      </w:r>
      <w:r>
        <w:rPr>
          <w:rFonts w:hint="eastAsia" w:ascii="宋体" w:hAnsi="宋体"/>
          <w:sz w:val="22"/>
        </w:rPr>
        <w:t>联系电话：0571-</w:t>
      </w:r>
      <w:r>
        <w:rPr>
          <w:rFonts w:ascii="宋体" w:hAnsi="宋体"/>
          <w:sz w:val="22"/>
        </w:rPr>
        <w:t>83837612</w:t>
      </w:r>
    </w:p>
    <w:p>
      <w:pPr>
        <w:widowControl/>
        <w:adjustRightInd w:val="0"/>
        <w:snapToGrid w:val="0"/>
        <w:spacing w:line="340" w:lineRule="exact"/>
        <w:ind w:firstLine="440" w:firstLineChars="200"/>
        <w:rPr>
          <w:rFonts w:ascii="宋体" w:hAnsi="宋体"/>
          <w:bCs/>
          <w:sz w:val="22"/>
        </w:rPr>
      </w:pPr>
      <w:r>
        <w:rPr>
          <w:rFonts w:hint="eastAsia" w:ascii="宋体" w:hAnsi="宋体"/>
          <w:bCs/>
          <w:sz w:val="22"/>
        </w:rPr>
        <w:t xml:space="preserve">招标监督人：阮工      </w:t>
      </w:r>
      <w:r>
        <w:rPr>
          <w:rFonts w:hint="eastAsia" w:ascii="宋体" w:hAnsi="宋体"/>
          <w:bCs/>
          <w:sz w:val="22"/>
          <w:lang w:val="en-US" w:eastAsia="zh-CN"/>
        </w:rPr>
        <w:t xml:space="preserve"> </w:t>
      </w:r>
      <w:r>
        <w:rPr>
          <w:rFonts w:hint="eastAsia" w:ascii="宋体" w:hAnsi="宋体"/>
          <w:bCs/>
          <w:sz w:val="22"/>
        </w:rPr>
        <w:t xml:space="preserve">  </w:t>
      </w:r>
      <w:r>
        <w:rPr>
          <w:rFonts w:hint="eastAsia" w:ascii="宋体" w:hAnsi="宋体"/>
          <w:bCs/>
          <w:sz w:val="22"/>
          <w:lang w:val="en-US" w:eastAsia="zh-CN"/>
        </w:rPr>
        <w:t xml:space="preserve"> </w:t>
      </w:r>
      <w:r>
        <w:rPr>
          <w:rFonts w:ascii="宋体" w:hAnsi="宋体"/>
          <w:bCs/>
          <w:sz w:val="22"/>
        </w:rPr>
        <w:t xml:space="preserve"> </w:t>
      </w:r>
      <w:r>
        <w:rPr>
          <w:rFonts w:hint="eastAsia" w:ascii="宋体" w:hAnsi="宋体"/>
          <w:bCs/>
          <w:sz w:val="22"/>
        </w:rPr>
        <w:t>联系电话：0</w:t>
      </w:r>
      <w:r>
        <w:rPr>
          <w:rFonts w:ascii="宋体" w:hAnsi="宋体"/>
          <w:bCs/>
          <w:sz w:val="22"/>
        </w:rPr>
        <w:t>571-86662133</w:t>
      </w:r>
    </w:p>
    <w:p>
      <w:pPr>
        <w:pStyle w:val="2"/>
        <w:spacing w:before="0" w:after="0" w:line="360" w:lineRule="auto"/>
        <w:jc w:val="center"/>
        <w:rPr>
          <w:rFonts w:ascii="Calibri" w:hAnsi="Calibri" w:eastAsia="黑体" w:cs="Calibri"/>
          <w:kern w:val="0"/>
          <w:sz w:val="32"/>
        </w:rPr>
      </w:pPr>
      <w:bookmarkStart w:id="26" w:name="_Toc9351380"/>
      <w:bookmarkStart w:id="65" w:name="_GoBack"/>
      <w:bookmarkEnd w:id="65"/>
      <w:r>
        <w:rPr>
          <w:rFonts w:ascii="Calibri" w:eastAsia="黑体" w:cs="Calibri"/>
          <w:kern w:val="0"/>
          <w:sz w:val="32"/>
        </w:rPr>
        <w:br w:type="page"/>
      </w:r>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4"/>
      <w:bookmarkEnd w:id="25"/>
      <w:bookmarkEnd w:id="26"/>
      <w:bookmarkStart w:id="27" w:name="_Toc143421654"/>
    </w:p>
    <w:p>
      <w:pPr>
        <w:pStyle w:val="58"/>
        <w:jc w:val="center"/>
        <w:rPr>
          <w:rFonts w:ascii="Calibri" w:hAnsi="Calibri" w:eastAsia="黑体" w:cs="Calibri"/>
          <w:kern w:val="2"/>
          <w:sz w:val="28"/>
          <w:szCs w:val="32"/>
        </w:rPr>
      </w:pPr>
      <w:bookmarkStart w:id="28" w:name="_Toc386359393"/>
      <w:bookmarkStart w:id="29" w:name="_Toc444174979"/>
      <w:bookmarkStart w:id="30" w:name="_Toc349007688"/>
      <w:bookmarkStart w:id="31" w:name="_Toc349011858"/>
      <w:bookmarkStart w:id="32" w:name="_Toc11881"/>
      <w:bookmarkStart w:id="33" w:name="_Toc400369185"/>
      <w:bookmarkStart w:id="34" w:name="_Toc444811409"/>
      <w:bookmarkStart w:id="35" w:name="_Toc386363317"/>
      <w:bookmarkStart w:id="36" w:name="_Toc444173459"/>
      <w:bookmarkStart w:id="37" w:name="_Toc448002984"/>
      <w:bookmarkStart w:id="38" w:name="_Toc9351381"/>
      <w:r>
        <w:rPr>
          <w:rFonts w:ascii="Calibri" w:hAnsi="Arial" w:eastAsia="黑体" w:cs="Calibri"/>
          <w:kern w:val="2"/>
          <w:sz w:val="28"/>
          <w:szCs w:val="32"/>
        </w:rPr>
        <w:t>投标人须知前附表</w:t>
      </w:r>
      <w:bookmarkEnd w:id="1"/>
      <w:bookmarkEnd w:id="2"/>
      <w:bookmarkEnd w:id="27"/>
      <w:bookmarkEnd w:id="28"/>
      <w:bookmarkEnd w:id="29"/>
      <w:bookmarkEnd w:id="30"/>
      <w:bookmarkEnd w:id="31"/>
      <w:bookmarkEnd w:id="32"/>
      <w:bookmarkEnd w:id="33"/>
      <w:bookmarkEnd w:id="34"/>
      <w:bookmarkEnd w:id="35"/>
      <w:bookmarkEnd w:id="36"/>
      <w:bookmarkEnd w:id="37"/>
      <w:bookmarkEnd w:id="38"/>
      <w:bookmarkStart w:id="39" w:name="_Toc11067"/>
      <w:bookmarkStart w:id="40" w:name="_Toc143421656"/>
      <w:r>
        <w:rPr>
          <w:rFonts w:ascii="Calibri" w:hAnsi="Calibri" w:eastAsia="黑体" w:cs="Calibri"/>
          <w:kern w:val="2"/>
          <w:sz w:val="28"/>
          <w:szCs w:val="32"/>
        </w:rPr>
        <w:t xml:space="preserve"> </w:t>
      </w:r>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b/>
                <w:kern w:val="0"/>
                <w:sz w:val="22"/>
              </w:rPr>
              <w:t>杭州萧山国际机场T3航站楼LED行李分拣屏更新项目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45"/>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合同签订后</w:t>
            </w:r>
            <w:r>
              <w:rPr>
                <w:rFonts w:ascii="宋体" w:hAnsi="宋体"/>
                <w:b/>
                <w:sz w:val="22"/>
                <w:u w:val="single"/>
              </w:rPr>
              <w:t xml:space="preserve">60 </w:t>
            </w:r>
            <w:r>
              <w:rPr>
                <w:rFonts w:hint="eastAsia" w:ascii="宋体" w:hAnsi="宋体"/>
                <w:b/>
                <w:sz w:val="22"/>
              </w:rPr>
              <w:t>日历天</w:t>
            </w:r>
            <w:r>
              <w:rPr>
                <w:rFonts w:hint="eastAsia" w:ascii="宋体" w:hAnsi="宋体" w:cs="Calibri"/>
                <w:b/>
                <w:kern w:val="0"/>
                <w:sz w:val="22"/>
              </w:rPr>
              <w:t>内（含安装调试）。</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 xml:space="preserve">  行业   </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u w:val="single"/>
              </w:rPr>
            </w:pPr>
            <w:r>
              <w:rPr>
                <w:rFonts w:ascii="宋体" w:hAnsi="宋体" w:cs="Calibri"/>
                <w:kern w:val="0"/>
                <w:sz w:val="22"/>
              </w:rPr>
              <w:fldChar w:fldCharType="begin"/>
            </w:r>
            <w:r>
              <w:rPr>
                <w:rFonts w:hint="eastAsia" w:ascii="宋体" w:hAnsi="宋体" w:cs="Calibri"/>
                <w:kern w:val="0"/>
                <w:sz w:val="22"/>
              </w:rPr>
              <w:instrText xml:space="preserve">eq \o\ac(□,</w:instrText>
            </w:r>
            <w:r>
              <w:rPr>
                <w:rFonts w:hint="eastAsia" w:ascii="宋体" w:hAnsi="宋体" w:cs="Calibri"/>
                <w:kern w:val="0"/>
                <w:position w:val="1"/>
                <w:sz w:val="15"/>
              </w:rPr>
              <w:instrText xml:space="preserve">√</w:instrText>
            </w:r>
            <w:r>
              <w:rPr>
                <w:rFonts w:hint="eastAsia" w:ascii="宋体" w:hAnsi="宋体" w:cs="Calibri"/>
                <w:kern w:val="0"/>
                <w:sz w:val="22"/>
              </w:rPr>
              <w:instrText xml:space="preserve">)</w:instrText>
            </w:r>
            <w:r>
              <w:rPr>
                <w:rFonts w:ascii="宋体" w:hAnsi="宋体" w:cs="Calibri"/>
                <w:kern w:val="0"/>
                <w:sz w:val="22"/>
              </w:rPr>
              <w:fldChar w:fldCharType="end"/>
            </w:r>
            <w:r>
              <w:rPr>
                <w:rFonts w:ascii="宋体" w:hAnsi="宋体" w:cs="Calibri"/>
                <w:kern w:val="0"/>
                <w:sz w:val="22"/>
              </w:rPr>
              <w:t>组织，踏勘时间：</w:t>
            </w:r>
            <w:r>
              <w:rPr>
                <w:rFonts w:hint="eastAsia" w:ascii="宋体" w:hAnsi="宋体" w:cs="Calibri"/>
                <w:kern w:val="0"/>
                <w:sz w:val="22"/>
                <w:u w:val="single"/>
              </w:rPr>
              <w:t>2</w:t>
            </w:r>
            <w:r>
              <w:rPr>
                <w:rFonts w:ascii="宋体" w:hAnsi="宋体" w:cs="Calibri"/>
                <w:kern w:val="0"/>
                <w:sz w:val="22"/>
                <w:u w:val="single"/>
              </w:rPr>
              <w:t>01</w:t>
            </w:r>
            <w:r>
              <w:rPr>
                <w:rFonts w:hint="eastAsia" w:ascii="宋体" w:hAnsi="宋体" w:cs="Calibri"/>
                <w:kern w:val="0"/>
                <w:sz w:val="22"/>
                <w:u w:val="single"/>
              </w:rPr>
              <w:t>9年</w:t>
            </w:r>
            <w:r>
              <w:rPr>
                <w:rFonts w:hint="eastAsia" w:ascii="宋体" w:hAnsi="宋体" w:cs="Calibri"/>
                <w:kern w:val="0"/>
                <w:sz w:val="22"/>
                <w:u w:val="single"/>
                <w:lang w:val="en-US" w:eastAsia="zh-CN"/>
              </w:rPr>
              <w:t>7</w:t>
            </w:r>
            <w:r>
              <w:rPr>
                <w:rFonts w:hint="eastAsia" w:ascii="宋体" w:hAnsi="宋体" w:cs="Calibri"/>
                <w:kern w:val="0"/>
                <w:sz w:val="22"/>
                <w:u w:val="single"/>
              </w:rPr>
              <w:t>月</w:t>
            </w:r>
            <w:r>
              <w:rPr>
                <w:rFonts w:hint="eastAsia" w:ascii="宋体" w:hAnsi="宋体" w:cs="Calibri"/>
                <w:kern w:val="0"/>
                <w:sz w:val="22"/>
                <w:u w:val="single"/>
                <w:lang w:val="en-US" w:eastAsia="zh-CN"/>
              </w:rPr>
              <w:t>15</w:t>
            </w:r>
            <w:r>
              <w:rPr>
                <w:rFonts w:hint="eastAsia" w:ascii="宋体" w:hAnsi="宋体" w:cs="Calibri"/>
                <w:kern w:val="0"/>
                <w:sz w:val="22"/>
                <w:u w:val="single"/>
              </w:rPr>
              <w:t>日上午9：00</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Calibri"/>
                <w:b/>
                <w:kern w:val="0"/>
                <w:sz w:val="22"/>
              </w:rPr>
              <w:t>杭州萧山国际机场翔越路综合服务楼园区招标中心。</w:t>
            </w:r>
            <w:r>
              <w:rPr>
                <w:rFonts w:hint="eastAsia" w:ascii="宋体" w:hAnsi="宋体" w:cs="Calibri"/>
                <w:kern w:val="0"/>
                <w:sz w:val="22"/>
              </w:rPr>
              <w:t>提供身份证原件</w:t>
            </w:r>
            <w:r>
              <w:rPr>
                <w:rFonts w:hint="eastAsia" w:ascii="宋体" w:hAnsi="宋体" w:cs="Calibri"/>
                <w:kern w:val="0"/>
                <w:sz w:val="22"/>
                <w:lang w:eastAsia="zh-CN"/>
              </w:rPr>
              <w:t>、复印件</w:t>
            </w:r>
            <w:r>
              <w:rPr>
                <w:rFonts w:hint="eastAsia" w:ascii="宋体" w:hAnsi="宋体" w:cs="Calibri"/>
                <w:kern w:val="0"/>
                <w:sz w:val="22"/>
              </w:rPr>
              <w:t>、一寸照片等资料，办理进入机场控制区证件后，由招标人带领进入隔离区内踏勘。踏勘期间请遵守机场公司的管理规定。</w:t>
            </w:r>
          </w:p>
          <w:p>
            <w:pPr>
              <w:autoSpaceDE w:val="0"/>
              <w:autoSpaceDN w:val="0"/>
              <w:adjustRightInd w:val="0"/>
              <w:snapToGrid w:val="0"/>
              <w:rPr>
                <w:rFonts w:ascii="宋体" w:hAnsi="宋体" w:cs="Calibri"/>
                <w:kern w:val="0"/>
                <w:sz w:val="22"/>
              </w:rPr>
            </w:pP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7</w:t>
            </w:r>
            <w:r>
              <w:rPr>
                <w:rFonts w:hint="eastAsia" w:ascii="宋体" w:hAnsi="宋体" w:cs="Calibri"/>
                <w:kern w:val="0"/>
                <w:sz w:val="22"/>
              </w:rPr>
              <w:t>月</w:t>
            </w:r>
            <w:r>
              <w:rPr>
                <w:rFonts w:hint="eastAsia" w:ascii="宋体" w:hAnsi="宋体" w:cs="Calibri"/>
                <w:kern w:val="0"/>
                <w:sz w:val="22"/>
                <w:lang w:val="en-US" w:eastAsia="zh-CN"/>
              </w:rPr>
              <w:t>15</w:t>
            </w:r>
            <w:r>
              <w:rPr>
                <w:rFonts w:hint="eastAsia" w:ascii="宋体" w:hAnsi="宋体" w:cs="Calibri"/>
                <w:kern w:val="0"/>
                <w:sz w:val="22"/>
              </w:rPr>
              <w:t>日11：30前，以书面加盖公章的形式通过E-mail或传真提交给招标人（投标联系人:贾工，电话0571-</w:t>
            </w:r>
            <w:r>
              <w:rPr>
                <w:rFonts w:ascii="宋体" w:hAnsi="宋体"/>
                <w:sz w:val="22"/>
              </w:rPr>
              <w:t>83837612</w:t>
            </w:r>
            <w:r>
              <w:rPr>
                <w:rFonts w:hint="eastAsia" w:ascii="宋体" w:hAnsi="宋体" w:cs="Calibri"/>
                <w:kern w:val="0"/>
                <w:sz w:val="22"/>
              </w:rPr>
              <w:t>；传真：0571-</w:t>
            </w:r>
            <w:r>
              <w:rPr>
                <w:rFonts w:ascii="宋体" w:hAnsi="宋体"/>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201</w:t>
            </w:r>
            <w:r>
              <w:rPr>
                <w:rFonts w:ascii="宋体" w:hAnsi="宋体" w:cs="Calibri"/>
                <w:b/>
                <w:kern w:val="0"/>
                <w:sz w:val="22"/>
              </w:rPr>
              <w:t>9</w:t>
            </w:r>
            <w:r>
              <w:rPr>
                <w:rFonts w:hint="eastAsia" w:ascii="宋体" w:hAnsi="宋体" w:cs="Calibri"/>
                <w:b/>
                <w:kern w:val="0"/>
                <w:sz w:val="22"/>
              </w:rPr>
              <w:t>年</w:t>
            </w:r>
            <w:r>
              <w:rPr>
                <w:rFonts w:hint="eastAsia" w:ascii="宋体" w:hAnsi="宋体" w:cs="Calibri"/>
                <w:b/>
                <w:kern w:val="0"/>
                <w:sz w:val="22"/>
                <w:lang w:val="en-US" w:eastAsia="zh-CN"/>
              </w:rPr>
              <w:t>7</w:t>
            </w:r>
            <w:r>
              <w:rPr>
                <w:rFonts w:hint="eastAsia" w:ascii="宋体" w:hAnsi="宋体" w:cs="Calibri"/>
                <w:b/>
                <w:kern w:val="0"/>
                <w:sz w:val="22"/>
              </w:rPr>
              <w:t>月</w:t>
            </w:r>
            <w:r>
              <w:rPr>
                <w:rFonts w:hint="eastAsia" w:ascii="宋体" w:hAnsi="宋体" w:cs="Calibri"/>
                <w:b/>
                <w:kern w:val="0"/>
                <w:sz w:val="22"/>
                <w:lang w:val="en-US" w:eastAsia="zh-CN"/>
              </w:rPr>
              <w:t>24</w:t>
            </w:r>
            <w:r>
              <w:rPr>
                <w:rFonts w:hint="eastAsia" w:ascii="宋体" w:hAnsi="宋体" w:cs="Calibri"/>
                <w:b/>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杭州萧山国际机场＊＊＊＊采购</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ascii="宋体" w:hAnsi="宋体" w:cs="Calibri"/>
                <w:kern w:val="0"/>
                <w:sz w:val="22"/>
              </w:rPr>
              <w:t>年</w:t>
            </w:r>
            <w:r>
              <w:rPr>
                <w:rFonts w:ascii="宋体" w:hAnsi="宋体" w:cs="Calibri"/>
                <w:kern w:val="0"/>
                <w:sz w:val="22"/>
                <w:u w:val="single"/>
              </w:rPr>
              <w:t xml:space="preserve">  </w:t>
            </w:r>
            <w:r>
              <w:rPr>
                <w:rFonts w:ascii="宋体" w:hAnsi="宋体" w:cs="Calibri"/>
                <w:kern w:val="0"/>
                <w:sz w:val="22"/>
              </w:rPr>
              <w:t>月</w:t>
            </w:r>
            <w:r>
              <w:rPr>
                <w:rFonts w:ascii="宋体" w:hAnsi="宋体" w:cs="Calibri"/>
                <w:kern w:val="0"/>
                <w:sz w:val="22"/>
                <w:u w:val="single"/>
              </w:rPr>
              <w:t xml:space="preserve">  </w:t>
            </w:r>
            <w:r>
              <w:rPr>
                <w:rFonts w:ascii="宋体" w:hAnsi="宋体" w:cs="Calibri"/>
                <w:kern w:val="0"/>
                <w:sz w:val="22"/>
              </w:rPr>
              <w:t>日</w:t>
            </w:r>
            <w:r>
              <w:rPr>
                <w:rFonts w:ascii="宋体" w:hAnsi="宋体" w:cs="Calibri"/>
                <w:kern w:val="0"/>
                <w:sz w:val="22"/>
                <w:u w:val="single"/>
              </w:rPr>
              <w:t xml:space="preserve">  </w:t>
            </w:r>
            <w:r>
              <w:rPr>
                <w:rFonts w:ascii="宋体" w:hAnsi="宋体" w:cs="Calibri"/>
                <w:kern w:val="0"/>
                <w:sz w:val="22"/>
              </w:rPr>
              <w:t>时</w:t>
            </w:r>
            <w:r>
              <w:rPr>
                <w:rFonts w:ascii="宋体" w:hAnsi="宋体" w:cs="Calibri"/>
                <w:kern w:val="0"/>
                <w:sz w:val="22"/>
                <w:u w:val="single"/>
              </w:rPr>
              <w:t xml:space="preserve">  </w:t>
            </w:r>
            <w:r>
              <w:rPr>
                <w:rFonts w:ascii="宋体" w:hAnsi="宋体" w:cs="Calibri"/>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b/>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3"/>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3"/>
              <w:rPr>
                <w:rFonts w:ascii="宋体" w:hAnsi="宋体"/>
                <w:color w:val="auto"/>
                <w:sz w:val="22"/>
                <w:szCs w:val="22"/>
              </w:rPr>
            </w:pPr>
            <w:r>
              <w:rPr>
                <w:rFonts w:hint="eastAsia" w:ascii="宋体" w:hAnsi="宋体"/>
                <w:color w:val="auto"/>
                <w:sz w:val="22"/>
                <w:szCs w:val="22"/>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spacing w:line="276" w:lineRule="auto"/>
        <w:rPr>
          <w:rFonts w:ascii="宋体" w:hAnsi="宋体" w:cs="Calibri"/>
          <w:b/>
          <w:bCs/>
          <w:kern w:val="0"/>
          <w:sz w:val="22"/>
        </w:rPr>
      </w:pPr>
      <w:r>
        <w:rPr>
          <w:b/>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 项目概况</w:t>
      </w:r>
    </w:p>
    <w:p>
      <w:pPr>
        <w:adjustRightInd w:val="0"/>
        <w:snapToGrid w:val="0"/>
        <w:spacing w:line="276" w:lineRule="auto"/>
        <w:ind w:firstLine="44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276" w:lineRule="auto"/>
        <w:ind w:firstLine="440"/>
        <w:rPr>
          <w:rFonts w:ascii="宋体" w:hAnsi="宋体" w:cs="Calibri"/>
          <w:sz w:val="22"/>
        </w:rPr>
      </w:pPr>
      <w:r>
        <w:rPr>
          <w:rFonts w:ascii="宋体" w:hAnsi="宋体" w:cs="Calibri"/>
          <w:kern w:val="0"/>
          <w:sz w:val="22"/>
        </w:rPr>
        <w:t>1.1.2项目</w:t>
      </w:r>
      <w:r>
        <w:rPr>
          <w:rFonts w:hint="eastAsia" w:ascii="宋体" w:hAnsi="宋体" w:cs="Calibri"/>
          <w:kern w:val="0"/>
          <w:sz w:val="22"/>
        </w:rPr>
        <w:t>交货</w:t>
      </w:r>
      <w:r>
        <w:rPr>
          <w:rFonts w:ascii="宋体" w:hAnsi="宋体" w:cs="Calibri"/>
          <w:kern w:val="0"/>
          <w:sz w:val="22"/>
        </w:rPr>
        <w:t>地点见投标人须知前附表</w:t>
      </w:r>
      <w:r>
        <w:rPr>
          <w:rFonts w:ascii="宋体" w:hAnsi="宋体" w:cs="Calibri"/>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p>
    <w:p>
      <w:pPr>
        <w:adjustRightInd w:val="0"/>
        <w:snapToGrid w:val="0"/>
        <w:spacing w:line="276" w:lineRule="auto"/>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r>
        <w:rPr>
          <w:rFonts w:hint="eastAsia" w:ascii="宋体" w:hAnsi="宋体" w:cs="Calibri"/>
          <w:b/>
          <w:bCs/>
          <w:kern w:val="0"/>
          <w:sz w:val="22"/>
        </w:rPr>
        <w:t>内容</w:t>
      </w:r>
    </w:p>
    <w:p>
      <w:pPr>
        <w:adjustRightInd w:val="0"/>
        <w:snapToGrid w:val="0"/>
        <w:spacing w:line="276" w:lineRule="auto"/>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p>
    <w:p>
      <w:pPr>
        <w:adjustRightInd w:val="0"/>
        <w:snapToGrid w:val="0"/>
        <w:spacing w:line="276" w:lineRule="auto"/>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p>
    <w:p>
      <w:pPr>
        <w:adjustRightInd w:val="0"/>
        <w:snapToGrid w:val="0"/>
        <w:spacing w:line="276" w:lineRule="auto"/>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p>
    <w:p>
      <w:pPr>
        <w:adjustRightInd w:val="0"/>
        <w:snapToGrid w:val="0"/>
        <w:spacing w:line="276" w:lineRule="auto"/>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供货</w:t>
      </w:r>
      <w:r>
        <w:rPr>
          <w:rFonts w:ascii="宋体" w:hAnsi="宋体" w:cs="Calibri"/>
          <w:b/>
          <w:bCs/>
          <w:kern w:val="0"/>
          <w:sz w:val="22"/>
        </w:rPr>
        <w:t>期</w:t>
      </w:r>
    </w:p>
    <w:p>
      <w:pPr>
        <w:adjustRightInd w:val="0"/>
        <w:snapToGrid w:val="0"/>
        <w:spacing w:line="276" w:lineRule="auto"/>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276" w:lineRule="auto"/>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p>
    <w:p>
      <w:pPr>
        <w:adjustRightInd w:val="0"/>
        <w:snapToGrid w:val="0"/>
        <w:spacing w:line="276" w:lineRule="auto"/>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.1投标人须知前附表规定组织踏勘现场的，招标人按投标人须知前附表规定的时间、地点组织投标人踏勘项目现场。</w:t>
      </w:r>
    </w:p>
    <w:p>
      <w:pPr>
        <w:adjustRightInd w:val="0"/>
        <w:snapToGrid w:val="0"/>
        <w:spacing w:line="276" w:lineRule="auto"/>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.2 投标人踏勘现场发生的费用自理。</w:t>
      </w:r>
    </w:p>
    <w:p>
      <w:pPr>
        <w:adjustRightInd w:val="0"/>
        <w:snapToGrid w:val="0"/>
        <w:spacing w:line="276" w:lineRule="auto"/>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.3 投标人自行负责在踏勘现场中所发生的人员伤亡和财产损失。</w:t>
      </w:r>
    </w:p>
    <w:p>
      <w:pPr>
        <w:adjustRightInd w:val="0"/>
        <w:snapToGrid w:val="0"/>
        <w:spacing w:line="276" w:lineRule="auto"/>
        <w:ind w:firstLine="44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p>
    <w:p>
      <w:pPr>
        <w:adjustRightInd w:val="0"/>
        <w:snapToGrid w:val="0"/>
        <w:spacing w:line="276" w:lineRule="auto"/>
        <w:ind w:firstLine="44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p>
    <w:p>
      <w:pPr>
        <w:adjustRightInd w:val="0"/>
        <w:snapToGrid w:val="0"/>
        <w:spacing w:line="276" w:lineRule="auto"/>
        <w:ind w:firstLine="440"/>
        <w:rPr>
          <w:rFonts w:ascii="宋体" w:hAnsi="宋体" w:cs="Calibri"/>
          <w:sz w:val="22"/>
        </w:rPr>
      </w:pPr>
      <w:r>
        <w:rPr>
          <w:rFonts w:ascii="宋体" w:hAnsi="宋体" w:cs="Calibri"/>
          <w:sz w:val="22"/>
        </w:rPr>
        <w:t>本项目</w:t>
      </w:r>
      <w:r>
        <w:rPr>
          <w:rFonts w:hint="eastAsia" w:ascii="宋体" w:hAnsi="宋体" w:cs="Calibri"/>
          <w:sz w:val="22"/>
        </w:rPr>
        <w:t>涉及到其它专业的部分分项工作</w:t>
      </w:r>
      <w:r>
        <w:rPr>
          <w:rFonts w:ascii="宋体" w:hAnsi="宋体" w:cs="Calibri"/>
          <w:sz w:val="22"/>
        </w:rPr>
        <w:t>允许分包。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p>
    <w:p>
      <w:pPr>
        <w:adjustRightInd w:val="0"/>
        <w:snapToGrid w:val="0"/>
        <w:spacing w:line="276" w:lineRule="auto"/>
        <w:ind w:firstLine="440"/>
        <w:rPr>
          <w:rFonts w:ascii="宋体" w:hAnsi="宋体" w:cs="Calibri"/>
          <w:sz w:val="22"/>
        </w:rPr>
      </w:pPr>
      <w:r>
        <w:rPr>
          <w:rFonts w:ascii="宋体" w:hAnsi="宋体" w:cs="Calibri"/>
          <w:sz w:val="22"/>
        </w:rPr>
        <w:t>投标人在投标过程中的一切费用，不论中标与否，均由投标人自理。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2.招标文件</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2.1 招标文件的组成</w:t>
      </w:r>
    </w:p>
    <w:p>
      <w:pPr>
        <w:adjustRightInd w:val="0"/>
        <w:snapToGrid w:val="0"/>
        <w:spacing w:line="276" w:lineRule="auto"/>
        <w:ind w:firstLine="440"/>
        <w:rPr>
          <w:rFonts w:ascii="宋体" w:hAnsi="宋体" w:cs="Calibri"/>
          <w:kern w:val="0"/>
          <w:sz w:val="22"/>
        </w:rPr>
      </w:pPr>
      <w:r>
        <w:rPr>
          <w:rFonts w:ascii="宋体" w:hAnsi="宋体" w:cs="Calibri"/>
          <w:kern w:val="0"/>
          <w:sz w:val="22"/>
        </w:rPr>
        <w:t>本招标文件包括：</w:t>
      </w:r>
    </w:p>
    <w:p>
      <w:pPr>
        <w:adjustRightInd w:val="0"/>
        <w:snapToGrid w:val="0"/>
        <w:spacing w:line="276" w:lineRule="auto"/>
        <w:ind w:firstLine="440"/>
        <w:rPr>
          <w:rFonts w:ascii="宋体" w:hAnsi="宋体" w:cs="Calibri"/>
          <w:kern w:val="0"/>
          <w:sz w:val="22"/>
        </w:rPr>
      </w:pPr>
      <w:r>
        <w:rPr>
          <w:rFonts w:ascii="宋体" w:hAnsi="宋体" w:cs="Calibri"/>
          <w:kern w:val="0"/>
          <w:sz w:val="22"/>
        </w:rPr>
        <w:t>（1）招标公告</w:t>
      </w:r>
    </w:p>
    <w:p>
      <w:pPr>
        <w:adjustRightInd w:val="0"/>
        <w:snapToGrid w:val="0"/>
        <w:spacing w:line="276" w:lineRule="auto"/>
        <w:ind w:firstLine="440"/>
        <w:rPr>
          <w:rFonts w:ascii="宋体" w:hAnsi="宋体" w:cs="Calibri"/>
          <w:kern w:val="0"/>
          <w:sz w:val="22"/>
        </w:rPr>
      </w:pPr>
      <w:r>
        <w:rPr>
          <w:rFonts w:ascii="宋体" w:hAnsi="宋体" w:cs="Calibri"/>
          <w:kern w:val="0"/>
          <w:sz w:val="22"/>
        </w:rPr>
        <w:t>（2）投标人须知</w:t>
      </w:r>
    </w:p>
    <w:p>
      <w:pPr>
        <w:adjustRightInd w:val="0"/>
        <w:snapToGrid w:val="0"/>
        <w:spacing w:line="276" w:lineRule="auto"/>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276" w:lineRule="auto"/>
        <w:ind w:firstLine="440"/>
        <w:rPr>
          <w:rFonts w:ascii="宋体" w:hAnsi="宋体" w:cs="Calibri"/>
          <w:kern w:val="0"/>
          <w:sz w:val="22"/>
        </w:rPr>
      </w:pPr>
      <w:r>
        <w:rPr>
          <w:rFonts w:ascii="宋体" w:hAnsi="宋体" w:cs="Calibri"/>
          <w:kern w:val="0"/>
          <w:sz w:val="22"/>
        </w:rPr>
        <w:t>（4）合同条款</w:t>
      </w:r>
    </w:p>
    <w:p>
      <w:pPr>
        <w:adjustRightInd w:val="0"/>
        <w:snapToGrid w:val="0"/>
        <w:spacing w:line="276" w:lineRule="auto"/>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276" w:lineRule="auto"/>
        <w:ind w:firstLine="440"/>
        <w:rPr>
          <w:rFonts w:ascii="宋体" w:hAnsi="宋体" w:cs="Calibri"/>
          <w:kern w:val="0"/>
          <w:sz w:val="22"/>
        </w:rPr>
      </w:pPr>
      <w:r>
        <w:rPr>
          <w:rFonts w:ascii="宋体" w:hAnsi="宋体" w:cs="Calibri"/>
          <w:kern w:val="0"/>
          <w:sz w:val="22"/>
        </w:rPr>
        <w:t>（6）投标文件格式</w:t>
      </w:r>
    </w:p>
    <w:p>
      <w:pPr>
        <w:adjustRightInd w:val="0"/>
        <w:snapToGrid w:val="0"/>
        <w:spacing w:line="276" w:lineRule="auto"/>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2.2 招标文件的澄清</w:t>
      </w:r>
    </w:p>
    <w:p>
      <w:pPr>
        <w:adjustRightInd w:val="0"/>
        <w:snapToGrid w:val="0"/>
        <w:spacing w:line="276" w:lineRule="auto"/>
        <w:ind w:firstLine="440"/>
        <w:rPr>
          <w:rFonts w:ascii="宋体" w:hAnsi="宋体" w:cs="Calibri"/>
          <w:sz w:val="22"/>
        </w:rPr>
      </w:pPr>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276" w:lineRule="auto"/>
        <w:ind w:firstLine="440"/>
        <w:rPr>
          <w:rFonts w:ascii="宋体" w:hAnsi="宋体" w:cs="Calibri"/>
          <w:sz w:val="22"/>
        </w:rPr>
      </w:pPr>
      <w:r>
        <w:rPr>
          <w:rFonts w:ascii="宋体" w:hAnsi="宋体" w:cs="Calibri"/>
          <w:sz w:val="22"/>
        </w:rPr>
        <w:t>2.2.2</w:t>
      </w:r>
      <w:r>
        <w:rPr>
          <w:rFonts w:hint="eastAsia" w:ascii="宋体" w:hAnsi="宋体" w:cs="Calibri"/>
          <w:sz w:val="22"/>
        </w:rPr>
        <w:t>招标人将视情况采用补充公告的方式予以澄清。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2.3 招标文件的修改</w:t>
      </w:r>
    </w:p>
    <w:p>
      <w:pPr>
        <w:adjustRightInd w:val="0"/>
        <w:snapToGrid w:val="0"/>
        <w:spacing w:line="276" w:lineRule="auto"/>
        <w:ind w:firstLine="440"/>
        <w:rPr>
          <w:rFonts w:ascii="宋体" w:hAns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3.投标文件</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3.1 投标文件的语言和计量单位</w:t>
      </w:r>
    </w:p>
    <w:p>
      <w:pPr>
        <w:adjustRightInd w:val="0"/>
        <w:snapToGrid w:val="0"/>
        <w:spacing w:line="276" w:lineRule="auto"/>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276" w:lineRule="auto"/>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276" w:lineRule="auto"/>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276" w:lineRule="auto"/>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3.2 投标文件的组成</w:t>
      </w:r>
    </w:p>
    <w:p>
      <w:pPr>
        <w:adjustRightInd w:val="0"/>
        <w:snapToGrid w:val="0"/>
        <w:spacing w:line="276" w:lineRule="auto"/>
        <w:ind w:firstLine="440"/>
        <w:rPr>
          <w:rFonts w:ascii="宋体" w:hAnsi="宋体" w:cs="Calibri"/>
          <w:sz w:val="22"/>
        </w:rPr>
      </w:pPr>
      <w:r>
        <w:rPr>
          <w:rFonts w:ascii="宋体" w:hAnsi="宋体" w:cs="Calibri"/>
          <w:sz w:val="22"/>
        </w:rPr>
        <w:t>3.2.1投标函；</w:t>
      </w:r>
    </w:p>
    <w:p>
      <w:pPr>
        <w:adjustRightInd w:val="0"/>
        <w:snapToGrid w:val="0"/>
        <w:spacing w:line="276" w:lineRule="auto"/>
        <w:ind w:firstLine="44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276" w:lineRule="auto"/>
        <w:ind w:firstLine="44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276" w:lineRule="auto"/>
        <w:ind w:firstLine="440"/>
        <w:rPr>
          <w:rFonts w:ascii="宋体" w:hAnsi="宋体" w:cs="Calibri"/>
          <w:sz w:val="22"/>
        </w:rPr>
      </w:pPr>
      <w:r>
        <w:rPr>
          <w:rFonts w:ascii="宋体" w:hAnsi="宋体" w:cs="Calibri"/>
          <w:sz w:val="22"/>
        </w:rPr>
        <w:t>3.2.</w:t>
      </w:r>
      <w:r>
        <w:rPr>
          <w:rFonts w:hint="eastAsia" w:ascii="宋体" w:hAnsi="宋体" w:cs="Calibri"/>
          <w:sz w:val="22"/>
        </w:rPr>
        <w:t>4</w:t>
      </w:r>
      <w:r>
        <w:rPr>
          <w:rFonts w:ascii="宋体" w:hAnsi="宋体" w:cs="Calibri"/>
          <w:sz w:val="22"/>
        </w:rPr>
        <w:t xml:space="preserve"> 投标报价表；</w:t>
      </w:r>
    </w:p>
    <w:p>
      <w:pPr>
        <w:adjustRightInd w:val="0"/>
        <w:snapToGrid w:val="0"/>
        <w:spacing w:line="276" w:lineRule="auto"/>
        <w:ind w:firstLine="440"/>
        <w:rPr>
          <w:rFonts w:ascii="宋体" w:hAnsi="宋体" w:cs="Calibri"/>
          <w:sz w:val="22"/>
        </w:rPr>
      </w:pPr>
      <w:r>
        <w:rPr>
          <w:rFonts w:ascii="宋体" w:hAnsi="宋体" w:cs="Calibri"/>
          <w:sz w:val="22"/>
        </w:rPr>
        <w:t>3.2.5投标人资格证明文件：</w:t>
      </w:r>
    </w:p>
    <w:p>
      <w:pPr>
        <w:adjustRightInd w:val="0"/>
        <w:snapToGrid w:val="0"/>
        <w:spacing w:line="276" w:lineRule="auto"/>
        <w:ind w:firstLine="44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276" w:lineRule="auto"/>
        <w:ind w:firstLine="440"/>
        <w:rPr>
          <w:rFonts w:ascii="宋体" w:hAnsi="宋体" w:cs="Calibri"/>
          <w:sz w:val="22"/>
        </w:rPr>
      </w:pPr>
      <w:r>
        <w:rPr>
          <w:rFonts w:hint="eastAsia" w:ascii="宋体" w:hAnsi="宋体" w:cs="Calibri"/>
          <w:sz w:val="22"/>
        </w:rPr>
        <w:t>（2）投标产品近三年的销售业绩一览表（附业绩的合同）。</w:t>
      </w:r>
    </w:p>
    <w:p>
      <w:pPr>
        <w:adjustRightInd w:val="0"/>
        <w:snapToGrid w:val="0"/>
        <w:spacing w:line="276" w:lineRule="auto"/>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276" w:lineRule="auto"/>
        <w:ind w:firstLine="440"/>
        <w:rPr>
          <w:rFonts w:ascii="宋体" w:hAnsi="宋体" w:cs="Calibri"/>
          <w:sz w:val="22"/>
        </w:rPr>
      </w:pPr>
      <w:r>
        <w:rPr>
          <w:rFonts w:hint="eastAsia" w:ascii="宋体" w:hAnsi="宋体" w:cs="宋体"/>
          <w:sz w:val="22"/>
        </w:rPr>
        <w:t>3.2.7 商务条款响应偏离表；</w:t>
      </w:r>
    </w:p>
    <w:p>
      <w:pPr>
        <w:adjustRightInd w:val="0"/>
        <w:snapToGrid w:val="0"/>
        <w:spacing w:line="276" w:lineRule="auto"/>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276" w:lineRule="auto"/>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276" w:lineRule="auto"/>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276" w:lineRule="auto"/>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276" w:lineRule="auto"/>
        <w:ind w:firstLine="440"/>
        <w:rPr>
          <w:rFonts w:ascii="宋体" w:hAnsi="宋体" w:cs="宋体"/>
          <w:sz w:val="22"/>
        </w:rPr>
      </w:pPr>
      <w:r>
        <w:rPr>
          <w:rFonts w:hint="eastAsia" w:ascii="宋体" w:hAnsi="宋体" w:cs="宋体"/>
          <w:sz w:val="22"/>
        </w:rPr>
        <w:t>3.2.12现场指导、调试；</w:t>
      </w:r>
    </w:p>
    <w:p>
      <w:pPr>
        <w:adjustRightInd w:val="0"/>
        <w:snapToGrid w:val="0"/>
        <w:spacing w:line="276" w:lineRule="auto"/>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276" w:lineRule="auto"/>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276" w:lineRule="auto"/>
        <w:ind w:firstLine="440"/>
        <w:rPr>
          <w:rFonts w:ascii="宋体" w:hAnsi="宋体" w:cs="宋体"/>
          <w:sz w:val="22"/>
        </w:rPr>
      </w:pPr>
      <w:r>
        <w:rPr>
          <w:rFonts w:hint="eastAsia" w:ascii="宋体" w:hAnsi="宋体" w:cs="宋体"/>
          <w:sz w:val="22"/>
        </w:rPr>
        <w:t>3.2.15关于质量保证期的说明；</w:t>
      </w:r>
    </w:p>
    <w:p>
      <w:pPr>
        <w:adjustRightInd w:val="0"/>
        <w:snapToGrid w:val="0"/>
        <w:spacing w:line="276" w:lineRule="auto"/>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276" w:lineRule="auto"/>
        <w:ind w:firstLine="440"/>
        <w:rPr>
          <w:rFonts w:ascii="宋体" w:hAnsi="宋体" w:cs="宋体"/>
          <w:sz w:val="22"/>
        </w:rPr>
      </w:pPr>
      <w:r>
        <w:rPr>
          <w:rFonts w:hint="eastAsia" w:ascii="宋体" w:hAnsi="宋体" w:cs="宋体"/>
          <w:sz w:val="22"/>
        </w:rPr>
        <w:t>3.2.17</w:t>
      </w:r>
      <w:r>
        <w:rPr>
          <w:rFonts w:hint="eastAsia" w:ascii="宋体" w:hAnsi="宋体" w:cs="Arial"/>
          <w:sz w:val="22"/>
        </w:rPr>
        <w:t>投标人认为</w:t>
      </w:r>
      <w:r>
        <w:rPr>
          <w:rFonts w:ascii="宋体" w:hAnsi="宋体" w:cs="Arial"/>
          <w:sz w:val="22"/>
        </w:rPr>
        <w:t>应该提供的其他材料</w:t>
      </w:r>
      <w:r>
        <w:rPr>
          <w:rFonts w:hint="eastAsia" w:ascii="宋体" w:hAnsi="宋体" w:cs="宋体"/>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3.3 投标报价</w:t>
      </w:r>
    </w:p>
    <w:p>
      <w:pPr>
        <w:adjustRightInd w:val="0"/>
        <w:snapToGrid w:val="0"/>
        <w:spacing w:line="276" w:lineRule="auto"/>
        <w:ind w:firstLine="440"/>
        <w:rPr>
          <w:rFonts w:ascii="宋体" w:hAnsi="宋体" w:cs="Calibri"/>
          <w:sz w:val="22"/>
        </w:rPr>
      </w:pPr>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276" w:lineRule="auto"/>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276" w:lineRule="auto"/>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276" w:lineRule="auto"/>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276" w:lineRule="auto"/>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276" w:lineRule="auto"/>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276" w:lineRule="auto"/>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276" w:lineRule="auto"/>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276" w:lineRule="auto"/>
        <w:ind w:firstLine="440"/>
        <w:rPr>
          <w:rFonts w:ascii="宋体" w:hAnsi="宋体" w:cs="Calibri"/>
          <w:sz w:val="22"/>
        </w:rPr>
      </w:pPr>
      <w:r>
        <w:rPr>
          <w:rFonts w:hint="eastAsia" w:ascii="宋体" w:hAnsi="宋体" w:cs="Calibri"/>
          <w:sz w:val="22"/>
        </w:rPr>
        <w:t>3.3.10</w:t>
      </w:r>
      <w:r>
        <w:rPr>
          <w:rFonts w:hint="eastAsia" w:ascii="宋体" w:hAnsi="宋体" w:cs="Calibri"/>
          <w:b/>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kern w:val="0"/>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3.4 投标有效期</w:t>
      </w:r>
    </w:p>
    <w:p>
      <w:pPr>
        <w:adjustRightInd w:val="0"/>
        <w:snapToGrid w:val="0"/>
        <w:spacing w:line="276" w:lineRule="auto"/>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276" w:lineRule="auto"/>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3.5 投标保证金</w:t>
      </w:r>
      <w:r>
        <w:rPr>
          <w:rFonts w:hint="eastAsia" w:ascii="宋体" w:hAnsi="宋体" w:cs="Calibri"/>
          <w:b/>
          <w:bCs/>
          <w:kern w:val="0"/>
          <w:sz w:val="22"/>
        </w:rPr>
        <w:t>（如有）</w:t>
      </w:r>
    </w:p>
    <w:p>
      <w:pPr>
        <w:adjustRightInd w:val="0"/>
        <w:snapToGrid w:val="0"/>
        <w:spacing w:line="276" w:lineRule="auto"/>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276" w:lineRule="auto"/>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276" w:lineRule="auto"/>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276" w:lineRule="auto"/>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276" w:lineRule="auto"/>
        <w:ind w:firstLine="440"/>
        <w:rPr>
          <w:rFonts w:ascii="宋体" w:hAnsi="宋体" w:cs="Calibri"/>
          <w:sz w:val="22"/>
        </w:rPr>
      </w:pPr>
      <w:r>
        <w:rPr>
          <w:rFonts w:ascii="宋体" w:hAnsi="宋体" w:cs="Calibri"/>
          <w:kern w:val="0"/>
          <w:sz w:val="22"/>
        </w:rPr>
        <w:t>（2）中标人在收到中标通知书后，</w:t>
      </w:r>
      <w:r>
        <w:rPr>
          <w:rFonts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276" w:lineRule="auto"/>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3.6 投标文件的编制</w:t>
      </w:r>
    </w:p>
    <w:p>
      <w:pPr>
        <w:adjustRightInd w:val="0"/>
        <w:snapToGrid w:val="0"/>
        <w:spacing w:line="276" w:lineRule="auto"/>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276" w:lineRule="auto"/>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276" w:lineRule="auto"/>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276" w:lineRule="auto"/>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276" w:lineRule="auto"/>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4.投标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4.1 投标文件的密封和标识</w:t>
      </w:r>
    </w:p>
    <w:p>
      <w:pPr>
        <w:adjustRightInd w:val="0"/>
        <w:snapToGrid w:val="0"/>
        <w:spacing w:line="276" w:lineRule="auto"/>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276" w:lineRule="auto"/>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276" w:lineRule="auto"/>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276" w:lineRule="auto"/>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 xml:space="preserve">4.2 投标文件的递交 </w:t>
      </w:r>
    </w:p>
    <w:p>
      <w:pPr>
        <w:autoSpaceDE w:val="0"/>
        <w:autoSpaceDN w:val="0"/>
        <w:adjustRightInd w:val="0"/>
        <w:snapToGrid w:val="0"/>
        <w:spacing w:line="276" w:lineRule="auto"/>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276" w:lineRule="auto"/>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276" w:lineRule="auto"/>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276" w:lineRule="auto"/>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4.3 投标文件的修改和撤回</w:t>
      </w:r>
    </w:p>
    <w:p>
      <w:pPr>
        <w:adjustRightInd w:val="0"/>
        <w:snapToGrid w:val="0"/>
        <w:spacing w:line="276" w:lineRule="auto"/>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276" w:lineRule="auto"/>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276" w:lineRule="auto"/>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5.开标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5.1 开标时间和地点</w:t>
      </w:r>
    </w:p>
    <w:p>
      <w:pPr>
        <w:adjustRightInd w:val="0"/>
        <w:snapToGrid w:val="0"/>
        <w:spacing w:line="276" w:lineRule="auto"/>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276" w:lineRule="auto"/>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276" w:lineRule="auto"/>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276" w:lineRule="auto"/>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5.2 开标程序</w:t>
      </w:r>
    </w:p>
    <w:p>
      <w:pPr>
        <w:adjustRightInd w:val="0"/>
        <w:snapToGrid w:val="0"/>
        <w:spacing w:line="276" w:lineRule="auto"/>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276" w:lineRule="auto"/>
        <w:ind w:firstLine="440"/>
        <w:rPr>
          <w:rFonts w:ascii="宋体" w:hAnsi="宋体" w:cs="Calibri"/>
          <w:kern w:val="0"/>
          <w:sz w:val="22"/>
        </w:rPr>
      </w:pPr>
      <w:r>
        <w:rPr>
          <w:rFonts w:ascii="宋体" w:hAnsi="宋体" w:cs="Calibri"/>
          <w:kern w:val="0"/>
          <w:sz w:val="22"/>
        </w:rPr>
        <w:t>（1）宣布开标纪律；</w:t>
      </w:r>
    </w:p>
    <w:p>
      <w:pPr>
        <w:adjustRightInd w:val="0"/>
        <w:snapToGrid w:val="0"/>
        <w:spacing w:line="276" w:lineRule="auto"/>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276" w:lineRule="auto"/>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276" w:lineRule="auto"/>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276" w:lineRule="auto"/>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276" w:lineRule="auto"/>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276" w:lineRule="auto"/>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276" w:lineRule="auto"/>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6.评标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6.1 评标委员会</w:t>
      </w:r>
    </w:p>
    <w:p>
      <w:pPr>
        <w:adjustRightInd w:val="0"/>
        <w:snapToGrid w:val="0"/>
        <w:spacing w:line="276" w:lineRule="auto"/>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276" w:lineRule="auto"/>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276" w:lineRule="auto"/>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276" w:lineRule="auto"/>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276" w:lineRule="auto"/>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276" w:lineRule="auto"/>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6.2 评标原则</w:t>
      </w:r>
    </w:p>
    <w:p>
      <w:pPr>
        <w:adjustRightInd w:val="0"/>
        <w:snapToGrid w:val="0"/>
        <w:spacing w:line="276" w:lineRule="auto"/>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6.3 评标</w:t>
      </w:r>
    </w:p>
    <w:p>
      <w:pPr>
        <w:adjustRightInd w:val="0"/>
        <w:snapToGrid w:val="0"/>
        <w:spacing w:line="276" w:lineRule="auto"/>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章“评标方法及标准”对投标文件进行评审。第</w:t>
      </w:r>
      <w:r>
        <w:rPr>
          <w:rFonts w:hint="eastAsia" w:ascii="宋体" w:hAnsi="宋体" w:cs="Calibri"/>
          <w:kern w:val="0"/>
          <w:sz w:val="22"/>
        </w:rPr>
        <w:t>五</w:t>
      </w:r>
      <w:r>
        <w:rPr>
          <w:rFonts w:ascii="宋体" w:hAnsi="宋体" w:cs="Calibri"/>
          <w:kern w:val="0"/>
          <w:sz w:val="22"/>
        </w:rPr>
        <w:t>章“评标方法及标准”没有规定的方法、评审因素和标准，不作为评标依据。</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7.合同授予</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7.1 定标方式</w:t>
      </w:r>
    </w:p>
    <w:p>
      <w:pPr>
        <w:adjustRightInd w:val="0"/>
        <w:snapToGrid w:val="0"/>
        <w:spacing w:line="276" w:lineRule="auto"/>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7.2 中标通知</w:t>
      </w:r>
    </w:p>
    <w:p>
      <w:pPr>
        <w:adjustRightInd w:val="0"/>
        <w:snapToGrid w:val="0"/>
        <w:spacing w:line="276" w:lineRule="auto"/>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7.3 履约</w:t>
      </w:r>
      <w:r>
        <w:rPr>
          <w:rFonts w:hint="eastAsia" w:ascii="宋体" w:hAnsi="宋体" w:cs="Calibri"/>
          <w:b/>
          <w:bCs/>
          <w:kern w:val="0"/>
          <w:sz w:val="22"/>
        </w:rPr>
        <w:t>保证金</w:t>
      </w:r>
    </w:p>
    <w:p>
      <w:pPr>
        <w:adjustRightInd w:val="0"/>
        <w:snapToGrid w:val="0"/>
        <w:spacing w:line="276" w:lineRule="auto"/>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276" w:lineRule="auto"/>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7.4 签订合同</w:t>
      </w:r>
    </w:p>
    <w:p>
      <w:pPr>
        <w:adjustRightInd w:val="0"/>
        <w:snapToGrid w:val="0"/>
        <w:spacing w:line="276" w:lineRule="auto"/>
        <w:ind w:firstLine="440"/>
        <w:rPr>
          <w:rFonts w:ascii="宋体" w:hAnsi="宋体" w:cs="Calibri"/>
          <w:kern w:val="0"/>
          <w:sz w:val="22"/>
        </w:rPr>
      </w:pPr>
      <w:r>
        <w:rPr>
          <w:rFonts w:ascii="宋体" w:hAnsi="宋体" w:cs="Calibri"/>
          <w:sz w:val="22"/>
        </w:rPr>
        <w:t>7</w:t>
      </w:r>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276" w:lineRule="auto"/>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276" w:lineRule="auto"/>
        <w:ind w:firstLine="440" w:firstLineChars="200"/>
        <w:rPr>
          <w:rFonts w:ascii="宋体" w:hAnsi="宋体" w:cs="Calibri"/>
          <w:b/>
          <w:kern w:val="0"/>
          <w:sz w:val="22"/>
        </w:rPr>
      </w:pPr>
      <w:r>
        <w:rPr>
          <w:rFonts w:hint="eastAsia" w:ascii="宋体" w:hAnsi="宋体" w:cs="Calibri"/>
          <w:kern w:val="0"/>
          <w:sz w:val="22"/>
        </w:rPr>
        <w:t xml:space="preserve">7.4.3 </w:t>
      </w:r>
      <w:r>
        <w:rPr>
          <w:rFonts w:hint="eastAsia" w:ascii="宋体" w:hAnsi="宋体" w:cs="Calibri"/>
          <w:b/>
          <w:kern w:val="0"/>
          <w:sz w:val="22"/>
        </w:rPr>
        <w:t>招标人在授予合同有权对本项目的服务内容等予以增加或者减少，中标人不得提出异议，否则招标人有权取消其中标资格。</w:t>
      </w:r>
    </w:p>
    <w:p>
      <w:pPr>
        <w:adjustRightInd w:val="0"/>
        <w:snapToGrid w:val="0"/>
        <w:spacing w:line="276" w:lineRule="auto"/>
        <w:ind w:firstLine="440"/>
        <w:rPr>
          <w:rFonts w:ascii="宋体" w:hAnsi="宋体" w:cs="Calibri"/>
          <w:kern w:val="0"/>
          <w:sz w:val="22"/>
        </w:rPr>
      </w:pPr>
      <w:r>
        <w:rPr>
          <w:rFonts w:hint="eastAsia" w:ascii="宋体" w:hAnsi="宋体" w:cs="Calibri"/>
          <w:kern w:val="0"/>
          <w:sz w:val="22"/>
        </w:rPr>
        <w:t xml:space="preserve">7.4.4 </w:t>
      </w:r>
      <w:r>
        <w:rPr>
          <w:rFonts w:hint="eastAsia" w:ascii="宋体" w:hAnsi="宋体" w:cs="Calibri"/>
          <w:b/>
          <w:kern w:val="0"/>
          <w:sz w:val="22"/>
        </w:rPr>
        <w:t>招标人在授予合同前的任何时候，仍保留接受或者拒绝任何投标和拒绝所有投标的权利。</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8.重新招标和不再招标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8.1 重新招标</w:t>
      </w:r>
    </w:p>
    <w:p>
      <w:pPr>
        <w:adjustRightInd w:val="0"/>
        <w:snapToGrid w:val="0"/>
        <w:spacing w:line="276" w:lineRule="auto"/>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276" w:lineRule="auto"/>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276" w:lineRule="auto"/>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276" w:lineRule="auto"/>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8.2 不再招标</w:t>
      </w:r>
    </w:p>
    <w:p>
      <w:pPr>
        <w:adjustRightInd w:val="0"/>
        <w:snapToGrid w:val="0"/>
        <w:spacing w:line="276" w:lineRule="auto"/>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9.纪律和监督</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9.1 对招标人的纪律要求</w:t>
      </w:r>
    </w:p>
    <w:p>
      <w:pPr>
        <w:adjustRightInd w:val="0"/>
        <w:snapToGrid w:val="0"/>
        <w:spacing w:line="276" w:lineRule="auto"/>
        <w:ind w:firstLine="44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9.2 对投标人的纪律要求</w:t>
      </w:r>
    </w:p>
    <w:p>
      <w:pPr>
        <w:adjustRightInd w:val="0"/>
        <w:snapToGrid w:val="0"/>
        <w:spacing w:line="276" w:lineRule="auto"/>
        <w:ind w:firstLine="44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276" w:lineRule="auto"/>
        <w:ind w:firstLine="440"/>
        <w:rPr>
          <w:rFonts w:ascii="宋体" w:hAnsi="宋体" w:cs="Calibri"/>
          <w:b/>
          <w:sz w:val="22"/>
        </w:rPr>
      </w:pPr>
      <w:r>
        <w:rPr>
          <w:rFonts w:hint="eastAsia" w:ascii="宋体" w:hAnsi="宋体" w:cs="Calibri"/>
          <w:b/>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9.3 对评标委员会成员的纪律要求</w:t>
      </w:r>
    </w:p>
    <w:p>
      <w:pPr>
        <w:adjustRightInd w:val="0"/>
        <w:snapToGrid w:val="0"/>
        <w:spacing w:line="276" w:lineRule="auto"/>
        <w:ind w:firstLine="44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sz w:val="22"/>
        </w:rPr>
        <w:t>五</w:t>
      </w:r>
      <w:r>
        <w:rPr>
          <w:rFonts w:ascii="宋体" w:hAnsi="宋体" w:cs="Calibri"/>
          <w:sz w:val="22"/>
        </w:rPr>
        <w:t>章“评标办法及标准”没有规定的评审因素和标准进行评标。</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9.4 对评标活动有关的工作人员的纪律要求</w:t>
      </w:r>
    </w:p>
    <w:p>
      <w:pPr>
        <w:adjustRightInd w:val="0"/>
        <w:snapToGrid w:val="0"/>
        <w:spacing w:line="276" w:lineRule="auto"/>
        <w:ind w:firstLine="44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9.5 投诉</w:t>
      </w:r>
    </w:p>
    <w:p>
      <w:pPr>
        <w:adjustRightInd w:val="0"/>
        <w:snapToGrid w:val="0"/>
        <w:spacing w:line="276" w:lineRule="auto"/>
        <w:ind w:firstLine="44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276" w:lineRule="auto"/>
        <w:rPr>
          <w:rFonts w:ascii="宋体" w:hAnsi="宋体" w:cs="Calibri"/>
          <w:b/>
          <w:bCs/>
          <w:kern w:val="0"/>
          <w:sz w:val="22"/>
        </w:rPr>
      </w:pPr>
      <w:r>
        <w:rPr>
          <w:rFonts w:ascii="宋体" w:hAnsi="宋体" w:cs="Calibri"/>
          <w:b/>
          <w:bCs/>
          <w:kern w:val="0"/>
          <w:sz w:val="22"/>
        </w:rPr>
        <w:t>10. 需要补充的其他内容</w:t>
      </w:r>
    </w:p>
    <w:p>
      <w:pPr>
        <w:autoSpaceDE w:val="0"/>
        <w:autoSpaceDN w:val="0"/>
        <w:adjustRightInd w:val="0"/>
        <w:snapToGrid w:val="0"/>
        <w:spacing w:line="276" w:lineRule="auto"/>
        <w:ind w:firstLine="440"/>
        <w:jc w:val="left"/>
        <w:rPr>
          <w:rFonts w:ascii="宋体" w:hAnsi="宋体" w:cs="Calibri"/>
          <w:sz w:val="22"/>
        </w:rPr>
      </w:pPr>
      <w:r>
        <w:rPr>
          <w:rFonts w:ascii="宋体" w:hAnsi="宋体" w:cs="Calibri"/>
          <w:sz w:val="22"/>
        </w:rPr>
        <w:t>需要补充的其他内容：见投标人须知前附表。</w:t>
      </w:r>
      <w:bookmarkEnd w:id="39"/>
      <w:bookmarkEnd w:id="40"/>
    </w:p>
    <w:p>
      <w:pPr>
        <w:autoSpaceDE w:val="0"/>
        <w:autoSpaceDN w:val="0"/>
        <w:adjustRightInd w:val="0"/>
        <w:snapToGrid w:val="0"/>
        <w:spacing w:line="360" w:lineRule="exact"/>
        <w:rPr>
          <w:rFonts w:ascii="宋体" w:hAnsi="宋体"/>
          <w:sz w:val="2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p>
    <w:p>
      <w:pPr>
        <w:pStyle w:val="2"/>
        <w:spacing w:before="0" w:after="0" w:line="360" w:lineRule="auto"/>
        <w:jc w:val="center"/>
        <w:rPr>
          <w:rFonts w:ascii="Calibri" w:hAnsi="Calibri" w:eastAsia="黑体" w:cs="Calibri"/>
          <w:kern w:val="0"/>
          <w:sz w:val="32"/>
        </w:rPr>
      </w:pPr>
      <w:bookmarkStart w:id="41" w:name="_Toc223327527"/>
      <w:bookmarkStart w:id="42" w:name="_Toc213036227"/>
      <w:bookmarkStart w:id="43" w:name="_Toc9351382"/>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章</w:t>
      </w:r>
      <w:bookmarkEnd w:id="41"/>
      <w:bookmarkEnd w:id="42"/>
      <w:r>
        <w:rPr>
          <w:rFonts w:hint="eastAsia" w:ascii="Calibri" w:hAnsi="Calibri" w:eastAsia="黑体" w:cs="Calibri"/>
          <w:kern w:val="0"/>
          <w:sz w:val="32"/>
        </w:rPr>
        <w:t xml:space="preserve"> 货物需求一览表及技术规格</w:t>
      </w:r>
      <w:bookmarkEnd w:id="43"/>
    </w:p>
    <w:p>
      <w:pPr>
        <w:pStyle w:val="61"/>
        <w:spacing w:line="276" w:lineRule="auto"/>
        <w:ind w:firstLine="442"/>
        <w:outlineLvl w:val="9"/>
        <w:rPr>
          <w:rFonts w:ascii="宋体" w:eastAsia="宋体" w:cs="宋体"/>
          <w:sz w:val="22"/>
          <w:szCs w:val="22"/>
        </w:rPr>
      </w:pPr>
      <w:r>
        <w:rPr>
          <w:rFonts w:hint="eastAsia" w:ascii="宋体" w:eastAsia="宋体" w:cs="宋体"/>
          <w:sz w:val="22"/>
          <w:szCs w:val="22"/>
        </w:rPr>
        <w:t>一、货物需求一览表</w:t>
      </w:r>
    </w:p>
    <w:p>
      <w:pPr>
        <w:widowControl/>
        <w:ind w:firstLine="440" w:firstLineChars="200"/>
        <w:jc w:val="left"/>
        <w:rPr>
          <w:rFonts w:ascii="宋体" w:hAnsi="宋体" w:cs="Calibri"/>
          <w:kern w:val="0"/>
          <w:sz w:val="22"/>
          <w:u w:val="single"/>
        </w:rPr>
      </w:pPr>
      <w:r>
        <w:rPr>
          <w:rFonts w:hint="eastAsia" w:ascii="宋体" w:hAnsi="宋体" w:cs="Calibri"/>
          <w:kern w:val="0"/>
          <w:sz w:val="22"/>
          <w:u w:val="single"/>
        </w:rPr>
        <w:t>LED行李分拣显示屏是航显系统的重要显示设备之一，其可靠性对行李装卸搬运工作的有序进行有重要影响。本次采购的LED显示屏应是市面上成熟而又满足本次招标规格要求的高品质产品，须满足24小时不间断运行要求。</w:t>
      </w:r>
    </w:p>
    <w:p>
      <w:pPr>
        <w:ind w:firstLine="440" w:firstLineChars="200"/>
        <w:rPr>
          <w:szCs w:val="21"/>
          <w:u w:val="single"/>
        </w:rPr>
      </w:pPr>
      <w:r>
        <w:rPr>
          <w:rFonts w:hint="eastAsia" w:ascii="宋体" w:hAnsi="宋体" w:cs="Calibri"/>
          <w:kern w:val="0"/>
          <w:sz w:val="22"/>
          <w:u w:val="single"/>
        </w:rPr>
        <w:t>本项目共采购3组LED显示屏，每组双面显示，安装位置在</w:t>
      </w:r>
      <w:r>
        <w:rPr>
          <w:rFonts w:hint="eastAsia"/>
          <w:szCs w:val="21"/>
          <w:u w:val="single"/>
        </w:rPr>
        <w:t>T3航站楼G2、H1和H2的行李分拣转盘中间</w:t>
      </w:r>
      <w:r>
        <w:rPr>
          <w:rFonts w:hint="eastAsia" w:ascii="宋体" w:hAnsi="宋体" w:cs="Calibri"/>
          <w:kern w:val="0"/>
          <w:sz w:val="22"/>
          <w:u w:val="single"/>
        </w:rPr>
        <w:t>。项目内容主要包含3</w:t>
      </w:r>
      <w:r>
        <w:rPr>
          <w:rFonts w:hint="eastAsia"/>
          <w:szCs w:val="21"/>
          <w:u w:val="single"/>
        </w:rPr>
        <w:t>组原有LED行李分拣屏的拆卸、新屏的安装调试</w:t>
      </w:r>
      <w:r>
        <w:rPr>
          <w:rFonts w:hint="eastAsia" w:ascii="宋体" w:hAnsi="宋体" w:cs="Calibri"/>
          <w:kern w:val="0"/>
          <w:sz w:val="22"/>
          <w:u w:val="single"/>
        </w:rPr>
        <w:t>以及航显系统LED接口软件的改造。</w:t>
      </w:r>
    </w:p>
    <w:p>
      <w:pPr>
        <w:pStyle w:val="61"/>
        <w:spacing w:line="276" w:lineRule="auto"/>
        <w:ind w:firstLine="442"/>
        <w:outlineLvl w:val="9"/>
        <w:rPr>
          <w:rFonts w:hint="eastAsia" w:ascii="宋体" w:eastAsia="宋体" w:cs="宋体"/>
          <w:sz w:val="22"/>
          <w:szCs w:val="22"/>
        </w:rPr>
      </w:pPr>
    </w:p>
    <w:tbl>
      <w:tblPr>
        <w:tblStyle w:val="53"/>
        <w:tblW w:w="9322" w:type="dxa"/>
        <w:tblInd w:w="0" w:type="dxa"/>
        <w:tblLayout w:type="fixed"/>
        <w:tblCellMar>
          <w:top w:w="0" w:type="dxa"/>
          <w:left w:w="108" w:type="dxa"/>
          <w:bottom w:w="0" w:type="dxa"/>
          <w:right w:w="108" w:type="dxa"/>
        </w:tblCellMar>
      </w:tblPr>
      <w:tblGrid>
        <w:gridCol w:w="534"/>
        <w:gridCol w:w="1417"/>
        <w:gridCol w:w="5812"/>
        <w:gridCol w:w="709"/>
        <w:gridCol w:w="850"/>
      </w:tblGrid>
      <w:tr>
        <w:tblPrEx>
          <w:tblLayout w:type="fixed"/>
          <w:tblCellMar>
            <w:top w:w="0" w:type="dxa"/>
            <w:left w:w="108" w:type="dxa"/>
            <w:bottom w:w="0" w:type="dxa"/>
            <w:right w:w="108" w:type="dxa"/>
          </w:tblCellMar>
        </w:tblPrEx>
        <w:trPr>
          <w:trHeight w:val="20" w:hRule="atLeast"/>
          <w:tblHeader/>
        </w:trPr>
        <w:tc>
          <w:tcPr>
            <w:tcW w:w="534"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rPr>
                <w:rFonts w:ascii="宋体" w:hAnsi="宋体" w:cs="宋体"/>
                <w:bCs/>
                <w:kern w:val="0"/>
                <w:szCs w:val="21"/>
              </w:rPr>
            </w:pPr>
            <w:bookmarkStart w:id="44" w:name="RANGE!B1:F25"/>
            <w:r>
              <w:rPr>
                <w:rFonts w:hint="eastAsia" w:ascii="宋体" w:hAnsi="宋体" w:cs="宋体"/>
                <w:bCs/>
                <w:kern w:val="0"/>
                <w:szCs w:val="21"/>
              </w:rPr>
              <w:t>序号</w:t>
            </w:r>
            <w:bookmarkEnd w:id="44"/>
          </w:p>
        </w:tc>
        <w:tc>
          <w:tcPr>
            <w:tcW w:w="1417" w:type="dxa"/>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Cs/>
                <w:kern w:val="0"/>
                <w:szCs w:val="21"/>
              </w:rPr>
            </w:pPr>
            <w:r>
              <w:rPr>
                <w:rFonts w:hint="eastAsia" w:ascii="宋体" w:hAnsi="宋体" w:cs="宋体"/>
                <w:bCs/>
                <w:kern w:val="0"/>
                <w:szCs w:val="21"/>
              </w:rPr>
              <w:t>设备名称</w:t>
            </w:r>
          </w:p>
        </w:tc>
        <w:tc>
          <w:tcPr>
            <w:tcW w:w="5812" w:type="dxa"/>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Cs/>
                <w:kern w:val="0"/>
                <w:szCs w:val="21"/>
              </w:rPr>
            </w:pPr>
            <w:r>
              <w:rPr>
                <w:rFonts w:hint="eastAsia" w:ascii="宋体" w:hAnsi="宋体" w:cs="宋体"/>
                <w:bCs/>
                <w:kern w:val="0"/>
                <w:szCs w:val="21"/>
              </w:rPr>
              <w:t>主要配置及要求</w:t>
            </w:r>
          </w:p>
        </w:tc>
        <w:tc>
          <w:tcPr>
            <w:tcW w:w="709" w:type="dxa"/>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Cs/>
                <w:kern w:val="0"/>
                <w:szCs w:val="21"/>
              </w:rPr>
            </w:pPr>
            <w:r>
              <w:rPr>
                <w:rFonts w:hint="eastAsia" w:ascii="宋体" w:hAnsi="宋体" w:cs="宋体"/>
                <w:bCs/>
                <w:kern w:val="0"/>
                <w:szCs w:val="21"/>
              </w:rPr>
              <w:t>数量</w:t>
            </w:r>
          </w:p>
        </w:tc>
        <w:tc>
          <w:tcPr>
            <w:tcW w:w="850" w:type="dxa"/>
            <w:tcBorders>
              <w:top w:val="single" w:color="auto" w:sz="4" w:space="0"/>
              <w:left w:val="nil"/>
              <w:bottom w:val="single" w:color="auto" w:sz="4" w:space="0"/>
              <w:right w:val="single" w:color="auto" w:sz="4" w:space="0"/>
            </w:tcBorders>
            <w:shd w:val="clear" w:color="auto" w:fill="D9D9D9"/>
            <w:vAlign w:val="center"/>
          </w:tcPr>
          <w:p>
            <w:pPr>
              <w:widowControl/>
              <w:jc w:val="left"/>
              <w:rPr>
                <w:rFonts w:ascii="宋体" w:hAnsi="宋体" w:cs="宋体"/>
                <w:bCs/>
                <w:kern w:val="0"/>
                <w:szCs w:val="21"/>
              </w:rPr>
            </w:pPr>
            <w:r>
              <w:rPr>
                <w:rFonts w:hint="eastAsia" w:ascii="宋体" w:hAnsi="宋体" w:cs="宋体"/>
                <w:bCs/>
                <w:kern w:val="0"/>
                <w:szCs w:val="21"/>
              </w:rPr>
              <w:t>单位</w:t>
            </w:r>
          </w:p>
        </w:tc>
      </w:tr>
      <w:tr>
        <w:tblPrEx>
          <w:tblLayout w:type="fixed"/>
          <w:tblCellMar>
            <w:top w:w="0" w:type="dxa"/>
            <w:left w:w="108" w:type="dxa"/>
            <w:bottom w:w="0" w:type="dxa"/>
            <w:right w:w="108" w:type="dxa"/>
          </w:tblCellMar>
        </w:tblPrEx>
        <w:trPr>
          <w:trHeight w:val="20" w:hRule="atLeast"/>
        </w:trPr>
        <w:tc>
          <w:tcPr>
            <w:tcW w:w="5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Cs w:val="21"/>
              </w:rPr>
            </w:pPr>
            <w:r>
              <w:rPr>
                <w:rFonts w:hint="eastAsia" w:ascii="宋体" w:hAnsi="宋体" w:cs="宋体"/>
                <w:bCs/>
                <w:kern w:val="0"/>
                <w:szCs w:val="21"/>
              </w:rPr>
              <w:t>LED行李分拣显示屏</w:t>
            </w:r>
          </w:p>
          <w:p>
            <w:pPr>
              <w:widowControl/>
              <w:jc w:val="center"/>
              <w:rPr>
                <w:rFonts w:ascii="宋体" w:hAnsi="宋体" w:cs="宋体"/>
                <w:bCs/>
                <w:kern w:val="0"/>
                <w:szCs w:val="21"/>
              </w:rPr>
            </w:pPr>
            <w:r>
              <w:rPr>
                <w:rFonts w:hint="eastAsia" w:ascii="宋体" w:hAnsi="宋体" w:cs="宋体"/>
                <w:bCs/>
                <w:kern w:val="0"/>
                <w:szCs w:val="21"/>
              </w:rPr>
              <w:t>（双面）</w:t>
            </w:r>
          </w:p>
        </w:tc>
        <w:tc>
          <w:tcPr>
            <w:tcW w:w="5812" w:type="dxa"/>
            <w:tcBorders>
              <w:top w:val="nil"/>
              <w:left w:val="nil"/>
              <w:bottom w:val="single" w:color="auto" w:sz="4" w:space="0"/>
              <w:right w:val="single" w:color="auto" w:sz="4" w:space="0"/>
            </w:tcBorders>
            <w:shd w:val="clear" w:color="000000" w:fill="FFFFFF"/>
            <w:vAlign w:val="center"/>
          </w:tcPr>
          <w:p>
            <w:pPr>
              <w:widowControl/>
              <w:ind w:left="1050" w:hanging="1050" w:hangingChars="500"/>
              <w:jc w:val="left"/>
              <w:rPr>
                <w:rFonts w:ascii="宋体" w:hAnsi="宋体" w:cs="宋体"/>
                <w:bCs/>
                <w:kern w:val="0"/>
                <w:szCs w:val="21"/>
              </w:rPr>
            </w:pPr>
            <w:r>
              <w:rPr>
                <w:rFonts w:hint="eastAsia" w:ascii="宋体" w:hAnsi="宋体" w:cs="宋体"/>
                <w:bCs/>
                <w:kern w:val="0"/>
                <w:szCs w:val="21"/>
              </w:rPr>
              <w:t>推荐品牌（排列不分先后）：厦门强力巨彩、利亚德、深圳浩升视讯或同档次及以上其他品牌。</w:t>
            </w:r>
          </w:p>
          <w:p>
            <w:r>
              <w:rPr>
                <w:rFonts w:hint="eastAsia" w:ascii="宋体" w:hAnsi="宋体" w:cs="宋体"/>
                <w:bCs/>
                <w:kern w:val="0"/>
                <w:szCs w:val="21"/>
              </w:rPr>
              <w:t>安装方式：支架安装</w:t>
            </w:r>
          </w:p>
          <w:p>
            <w:pPr>
              <w:widowControl/>
              <w:ind w:left="1050" w:hanging="1050" w:hangingChars="500"/>
              <w:jc w:val="left"/>
              <w:rPr>
                <w:rFonts w:ascii="宋体" w:hAnsi="宋体" w:cs="宋体"/>
                <w:bCs/>
                <w:kern w:val="0"/>
                <w:szCs w:val="21"/>
              </w:rPr>
            </w:pPr>
            <w:r>
              <w:rPr>
                <w:rFonts w:hint="eastAsia" w:ascii="宋体" w:hAnsi="宋体" w:cs="宋体"/>
                <w:bCs/>
                <w:kern w:val="0"/>
                <w:szCs w:val="21"/>
              </w:rPr>
              <w:t>屏幕整体尺寸：长252cm*高178cm*厚18cm</w:t>
            </w:r>
          </w:p>
          <w:p>
            <w:pPr>
              <w:widowControl/>
              <w:ind w:left="1050" w:hanging="1050" w:hangingChars="500"/>
              <w:jc w:val="left"/>
              <w:rPr>
                <w:rFonts w:ascii="宋体" w:hAnsi="宋体" w:cs="宋体"/>
                <w:bCs/>
                <w:kern w:val="0"/>
                <w:szCs w:val="21"/>
              </w:rPr>
            </w:pPr>
            <w:r>
              <w:rPr>
                <w:rFonts w:hint="eastAsia" w:ascii="宋体" w:hAnsi="宋体" w:cs="宋体"/>
                <w:bCs/>
                <w:kern w:val="0"/>
                <w:szCs w:val="21"/>
              </w:rPr>
              <w:t>屏幕净显尺寸：≥长228cm*高125cm</w:t>
            </w:r>
          </w:p>
          <w:p>
            <w:pPr>
              <w:rPr>
                <w:rFonts w:ascii="宋体" w:hAnsi="宋体" w:cs="宋体"/>
                <w:bCs/>
                <w:kern w:val="0"/>
                <w:szCs w:val="21"/>
              </w:rPr>
            </w:pPr>
            <w:r>
              <w:rPr>
                <w:rFonts w:hint="eastAsia" w:ascii="宋体" w:hAnsi="宋体" w:cs="宋体"/>
                <w:bCs/>
                <w:kern w:val="0"/>
                <w:szCs w:val="21"/>
              </w:rPr>
              <w:t>屏体下沿离地高度：114cm</w:t>
            </w:r>
          </w:p>
          <w:p>
            <w:pPr>
              <w:widowControl/>
              <w:ind w:left="1050" w:hanging="1050" w:hangingChars="500"/>
              <w:jc w:val="left"/>
              <w:rPr>
                <w:rFonts w:ascii="宋体" w:hAnsi="宋体" w:cs="宋体"/>
                <w:bCs/>
                <w:kern w:val="0"/>
                <w:szCs w:val="21"/>
              </w:rPr>
            </w:pPr>
            <w:r>
              <w:rPr>
                <w:rFonts w:hint="eastAsia" w:ascii="宋体" w:hAnsi="宋体" w:cs="宋体"/>
                <w:bCs/>
                <w:kern w:val="0"/>
                <w:szCs w:val="21"/>
              </w:rPr>
              <w:t>*像素构成：双基色1R1G</w:t>
            </w:r>
          </w:p>
          <w:p>
            <w:pPr>
              <w:widowControl/>
              <w:ind w:left="1050" w:hanging="1050" w:hangingChars="500"/>
              <w:jc w:val="left"/>
              <w:rPr>
                <w:rFonts w:ascii="宋体" w:hAnsi="宋体" w:cs="宋体"/>
                <w:bCs/>
                <w:kern w:val="0"/>
                <w:szCs w:val="21"/>
              </w:rPr>
            </w:pPr>
            <w:r>
              <w:rPr>
                <w:rFonts w:hint="eastAsia" w:ascii="宋体" w:hAnsi="宋体" w:cs="宋体"/>
                <w:bCs/>
                <w:kern w:val="0"/>
                <w:szCs w:val="21"/>
              </w:rPr>
              <w:t>*颜色要求：能显示红、绿、黄三种颜色</w:t>
            </w:r>
          </w:p>
          <w:p>
            <w:pPr>
              <w:widowControl/>
              <w:ind w:left="1050" w:hanging="1050" w:hangingChars="500"/>
              <w:jc w:val="left"/>
              <w:rPr>
                <w:rFonts w:ascii="宋体" w:hAnsi="宋体" w:cs="宋体"/>
                <w:bCs/>
                <w:kern w:val="0"/>
                <w:szCs w:val="21"/>
              </w:rPr>
            </w:pPr>
            <w:r>
              <w:rPr>
                <w:rFonts w:hint="eastAsia" w:ascii="宋体" w:hAnsi="宋体" w:cs="宋体"/>
                <w:bCs/>
                <w:kern w:val="0"/>
                <w:szCs w:val="21"/>
              </w:rPr>
              <w:t>*点间距：≤4.75mm</w:t>
            </w:r>
          </w:p>
          <w:p>
            <w:pPr>
              <w:widowControl/>
              <w:jc w:val="left"/>
              <w:rPr>
                <w:rFonts w:ascii="宋体" w:hAnsi="宋体" w:cs="宋体"/>
                <w:bCs/>
                <w:kern w:val="0"/>
                <w:szCs w:val="21"/>
              </w:rPr>
            </w:pPr>
            <w:r>
              <w:rPr>
                <w:rFonts w:hint="eastAsia" w:ascii="宋体" w:hAnsi="宋体" w:cs="宋体"/>
                <w:bCs/>
                <w:kern w:val="0"/>
                <w:szCs w:val="21"/>
              </w:rPr>
              <w:t>像素密度：≥44321dots/㎡</w:t>
            </w:r>
          </w:p>
          <w:p>
            <w:pPr>
              <w:widowControl/>
              <w:ind w:left="1050" w:hanging="1050" w:hangingChars="500"/>
              <w:jc w:val="left"/>
              <w:rPr>
                <w:rFonts w:ascii="宋体" w:hAnsi="宋体" w:cs="宋体"/>
                <w:bCs/>
                <w:kern w:val="0"/>
                <w:szCs w:val="21"/>
              </w:rPr>
            </w:pPr>
            <w:r>
              <w:rPr>
                <w:rFonts w:hint="eastAsia" w:ascii="宋体" w:hAnsi="宋体" w:cs="宋体"/>
                <w:bCs/>
                <w:kern w:val="0"/>
                <w:szCs w:val="21"/>
              </w:rPr>
              <w:t>灰度等级：8bit</w:t>
            </w:r>
          </w:p>
          <w:p>
            <w:pPr>
              <w:widowControl/>
              <w:ind w:left="1050" w:hanging="1050" w:hangingChars="500"/>
              <w:jc w:val="left"/>
              <w:rPr>
                <w:rFonts w:ascii="宋体" w:hAnsi="宋体" w:cs="宋体"/>
                <w:bCs/>
                <w:kern w:val="0"/>
                <w:szCs w:val="21"/>
              </w:rPr>
            </w:pPr>
            <w:r>
              <w:rPr>
                <w:rFonts w:hint="eastAsia" w:ascii="宋体" w:hAnsi="宋体" w:cs="宋体"/>
                <w:bCs/>
                <w:kern w:val="0"/>
                <w:szCs w:val="21"/>
              </w:rPr>
              <w:t>最大功耗：＜800w/㎡</w:t>
            </w:r>
          </w:p>
          <w:p>
            <w:pPr>
              <w:widowControl/>
              <w:ind w:left="1050" w:hanging="1050" w:hangingChars="500"/>
              <w:jc w:val="left"/>
              <w:rPr>
                <w:rFonts w:ascii="宋体" w:hAnsi="宋体" w:cs="宋体"/>
                <w:bCs/>
                <w:kern w:val="0"/>
                <w:szCs w:val="21"/>
              </w:rPr>
            </w:pPr>
            <w:r>
              <w:rPr>
                <w:rFonts w:hint="eastAsia" w:ascii="宋体" w:hAnsi="宋体" w:cs="宋体"/>
                <w:bCs/>
                <w:kern w:val="0"/>
                <w:szCs w:val="21"/>
              </w:rPr>
              <w:t>平均功耗：＜400w/㎡</w:t>
            </w:r>
          </w:p>
          <w:p>
            <w:pPr>
              <w:widowControl/>
              <w:ind w:left="1050" w:hanging="1050" w:hangingChars="500"/>
              <w:jc w:val="left"/>
              <w:rPr>
                <w:rFonts w:ascii="宋体" w:hAnsi="宋体" w:cs="宋体"/>
                <w:bCs/>
                <w:kern w:val="0"/>
                <w:szCs w:val="21"/>
              </w:rPr>
            </w:pPr>
            <w:r>
              <w:rPr>
                <w:rFonts w:hint="eastAsia" w:ascii="宋体" w:hAnsi="宋体" w:cs="宋体"/>
                <w:bCs/>
                <w:kern w:val="0"/>
                <w:szCs w:val="21"/>
              </w:rPr>
              <w:t>换帧频率：≥60fps</w:t>
            </w:r>
          </w:p>
          <w:p>
            <w:pPr>
              <w:widowControl/>
              <w:ind w:left="1050" w:hanging="1050" w:hangingChars="500"/>
              <w:jc w:val="left"/>
              <w:rPr>
                <w:rFonts w:ascii="宋体" w:hAnsi="宋体" w:cs="宋体"/>
                <w:bCs/>
                <w:kern w:val="0"/>
                <w:szCs w:val="21"/>
              </w:rPr>
            </w:pPr>
            <w:r>
              <w:rPr>
                <w:rFonts w:hint="eastAsia" w:ascii="宋体" w:hAnsi="宋体" w:cs="宋体"/>
                <w:bCs/>
                <w:kern w:val="0"/>
                <w:szCs w:val="21"/>
              </w:rPr>
              <w:t>亮度：≥300cd/㎡</w:t>
            </w:r>
          </w:p>
          <w:p>
            <w:pPr>
              <w:widowControl/>
              <w:ind w:left="1050" w:hanging="1050" w:hangingChars="500"/>
              <w:jc w:val="left"/>
              <w:rPr>
                <w:rFonts w:ascii="宋体" w:hAnsi="宋体" w:cs="宋体"/>
                <w:bCs/>
                <w:kern w:val="0"/>
                <w:szCs w:val="21"/>
              </w:rPr>
            </w:pPr>
            <w:r>
              <w:rPr>
                <w:rFonts w:hint="eastAsia" w:ascii="宋体" w:hAnsi="宋体" w:cs="宋体"/>
                <w:bCs/>
                <w:kern w:val="0"/>
                <w:szCs w:val="21"/>
              </w:rPr>
              <w:t>水平可视角度：≥140</w:t>
            </w:r>
          </w:p>
          <w:p>
            <w:pPr>
              <w:widowControl/>
              <w:ind w:left="1050" w:hanging="1050" w:hangingChars="500"/>
              <w:jc w:val="left"/>
              <w:rPr>
                <w:rFonts w:ascii="宋体" w:hAnsi="宋体" w:cs="宋体"/>
                <w:bCs/>
                <w:kern w:val="0"/>
                <w:szCs w:val="21"/>
              </w:rPr>
            </w:pPr>
            <w:r>
              <w:rPr>
                <w:rFonts w:hint="eastAsia" w:ascii="宋体" w:hAnsi="宋体" w:cs="宋体"/>
                <w:bCs/>
                <w:kern w:val="0"/>
                <w:szCs w:val="21"/>
              </w:rPr>
              <w:t>垂直可视角度：≥130</w:t>
            </w:r>
          </w:p>
          <w:p>
            <w:pPr>
              <w:widowControl/>
              <w:ind w:left="1050" w:hanging="1050" w:hangingChars="500"/>
              <w:jc w:val="left"/>
              <w:rPr>
                <w:rFonts w:ascii="宋体" w:hAnsi="宋体" w:cs="宋体"/>
                <w:bCs/>
                <w:kern w:val="0"/>
                <w:szCs w:val="21"/>
              </w:rPr>
            </w:pPr>
            <w:r>
              <w:rPr>
                <w:rFonts w:hint="eastAsia" w:ascii="宋体" w:hAnsi="宋体" w:cs="宋体"/>
                <w:bCs/>
                <w:kern w:val="0"/>
                <w:szCs w:val="21"/>
              </w:rPr>
              <w:t>数据传输接口：RJ45*1</w:t>
            </w:r>
          </w:p>
          <w:p>
            <w:pPr>
              <w:widowControl/>
              <w:ind w:left="1050" w:hanging="1050" w:hangingChars="500"/>
              <w:jc w:val="left"/>
              <w:rPr>
                <w:rFonts w:ascii="宋体" w:hAnsi="宋体" w:cs="宋体"/>
                <w:bCs/>
                <w:kern w:val="0"/>
                <w:szCs w:val="21"/>
              </w:rPr>
            </w:pPr>
            <w:r>
              <w:rPr>
                <w:rFonts w:hint="eastAsia" w:ascii="宋体" w:hAnsi="宋体" w:cs="宋体"/>
                <w:bCs/>
                <w:kern w:val="0"/>
                <w:szCs w:val="21"/>
              </w:rPr>
              <w:t>屏幕平整度：＜1mm/㎡</w:t>
            </w:r>
          </w:p>
          <w:p>
            <w:pPr>
              <w:widowControl/>
              <w:ind w:left="1050" w:hanging="1050" w:hangingChars="500"/>
              <w:jc w:val="left"/>
              <w:rPr>
                <w:rFonts w:ascii="宋体" w:hAnsi="宋体" w:cs="宋体"/>
                <w:bCs/>
                <w:kern w:val="0"/>
                <w:szCs w:val="21"/>
              </w:rPr>
            </w:pPr>
            <w:r>
              <w:rPr>
                <w:rFonts w:hint="eastAsia" w:ascii="宋体" w:hAnsi="宋体" w:cs="宋体"/>
                <w:bCs/>
                <w:kern w:val="0"/>
                <w:szCs w:val="21"/>
              </w:rPr>
              <w:t>盲点率: ＜0.3‰</w:t>
            </w:r>
          </w:p>
          <w:p>
            <w:pPr>
              <w:widowControl/>
              <w:ind w:left="1050" w:hanging="1050" w:hangingChars="500"/>
              <w:jc w:val="left"/>
              <w:rPr>
                <w:rFonts w:ascii="宋体" w:hAnsi="宋体" w:cs="宋体"/>
                <w:bCs/>
                <w:kern w:val="0"/>
                <w:szCs w:val="21"/>
              </w:rPr>
            </w:pPr>
            <w:r>
              <w:rPr>
                <w:rFonts w:hint="eastAsia" w:ascii="宋体" w:hAnsi="宋体" w:cs="宋体"/>
                <w:bCs/>
                <w:kern w:val="0"/>
                <w:szCs w:val="21"/>
              </w:rPr>
              <w:t>使用寿命：≥100000小时</w:t>
            </w:r>
          </w:p>
          <w:p>
            <w:pPr>
              <w:widowControl/>
              <w:ind w:left="1050" w:hanging="1050" w:hangingChars="500"/>
              <w:jc w:val="left"/>
              <w:rPr>
                <w:rFonts w:ascii="宋体" w:hAnsi="宋体" w:cs="宋体"/>
                <w:bCs/>
                <w:kern w:val="0"/>
                <w:szCs w:val="21"/>
              </w:rPr>
            </w:pPr>
            <w:r>
              <w:rPr>
                <w:rFonts w:hint="eastAsia" w:ascii="宋体" w:hAnsi="宋体" w:cs="宋体"/>
                <w:bCs/>
                <w:kern w:val="0"/>
                <w:szCs w:val="21"/>
              </w:rPr>
              <w:t>MTBF：≥10000小时</w:t>
            </w:r>
          </w:p>
          <w:p>
            <w:r>
              <w:rPr>
                <w:rFonts w:hint="eastAsia" w:ascii="宋体" w:hAnsi="宋体" w:cs="宋体"/>
                <w:bCs/>
                <w:kern w:val="0"/>
                <w:szCs w:val="21"/>
              </w:rPr>
              <w:t>*认证：通过CCC（3</w:t>
            </w:r>
            <w:r>
              <w:rPr>
                <w:rFonts w:ascii="宋体" w:hAnsi="宋体" w:cs="宋体"/>
                <w:bCs/>
                <w:kern w:val="0"/>
                <w:szCs w:val="21"/>
              </w:rPr>
              <w:t>C</w:t>
            </w:r>
            <w:r>
              <w:rPr>
                <w:rFonts w:hint="eastAsia" w:ascii="宋体" w:hAnsi="宋体" w:cs="宋体"/>
                <w:bCs/>
                <w:kern w:val="0"/>
                <w:szCs w:val="21"/>
              </w:rPr>
              <w:t>）认证</w:t>
            </w:r>
          </w:p>
          <w:p>
            <w:pPr>
              <w:rPr>
                <w:rFonts w:ascii="宋体" w:hAnsi="宋体" w:cs="宋体"/>
                <w:bCs/>
                <w:kern w:val="0"/>
                <w:szCs w:val="21"/>
              </w:rPr>
            </w:pPr>
            <w:r>
              <w:rPr>
                <w:rFonts w:hint="eastAsia" w:ascii="宋体" w:hAnsi="宋体" w:cs="宋体"/>
                <w:bCs/>
                <w:kern w:val="0"/>
                <w:szCs w:val="21"/>
              </w:rPr>
              <w:t>工作温湿度：-10 ºC -50 ºC/10%-90%</w:t>
            </w:r>
          </w:p>
          <w:p>
            <w:r>
              <w:rPr>
                <w:rFonts w:hint="eastAsia" w:ascii="宋体" w:hAnsi="宋体" w:cs="宋体"/>
                <w:bCs/>
                <w:kern w:val="0"/>
                <w:szCs w:val="21"/>
              </w:rPr>
              <w:t>防护等级：IP50</w:t>
            </w:r>
          </w:p>
          <w:p>
            <w:pPr>
              <w:widowControl/>
              <w:ind w:left="1050" w:hanging="1050" w:hangingChars="500"/>
              <w:jc w:val="left"/>
              <w:rPr>
                <w:rFonts w:ascii="宋体" w:hAnsi="宋体" w:cs="Calibri"/>
                <w:kern w:val="0"/>
                <w:sz w:val="22"/>
              </w:rPr>
            </w:pPr>
            <w:r>
              <w:rPr>
                <w:rFonts w:hint="eastAsia" w:ascii="宋体" w:hAnsi="宋体" w:cs="宋体"/>
                <w:bCs/>
                <w:kern w:val="0"/>
                <w:szCs w:val="21"/>
              </w:rPr>
              <w:t>防护性能：</w:t>
            </w:r>
            <w:r>
              <w:rPr>
                <w:rFonts w:hint="eastAsia" w:ascii="宋体" w:hAnsi="宋体" w:cs="Calibri"/>
                <w:kern w:val="0"/>
                <w:sz w:val="22"/>
              </w:rPr>
              <w:t>防尘、防潮、耐腐蚀</w:t>
            </w:r>
          </w:p>
          <w:p>
            <w:pPr>
              <w:widowControl/>
              <w:ind w:left="1100" w:hanging="1100" w:hangingChars="500"/>
              <w:jc w:val="left"/>
              <w:rPr>
                <w:rFonts w:ascii="宋体" w:hAnsi="宋体" w:cs="Calibri"/>
                <w:kern w:val="0"/>
                <w:sz w:val="22"/>
              </w:rPr>
            </w:pPr>
            <w:r>
              <w:rPr>
                <w:rFonts w:hint="eastAsia" w:ascii="宋体" w:hAnsi="宋体" w:cs="Calibri"/>
                <w:kern w:val="0"/>
                <w:sz w:val="22"/>
              </w:rPr>
              <w:t>*维护方式：模组前维护</w:t>
            </w:r>
          </w:p>
          <w:p>
            <w:pPr>
              <w:widowControl/>
              <w:ind w:left="1050" w:hanging="1050" w:hangingChars="500"/>
              <w:jc w:val="left"/>
              <w:rPr>
                <w:rFonts w:ascii="宋体" w:hAnsi="宋体" w:cs="宋体"/>
                <w:bCs/>
                <w:kern w:val="0"/>
                <w:szCs w:val="21"/>
              </w:rPr>
            </w:pPr>
            <w:r>
              <w:rPr>
                <w:rFonts w:hint="eastAsia" w:ascii="宋体" w:hAnsi="宋体" w:cs="宋体"/>
                <w:bCs/>
                <w:kern w:val="0"/>
                <w:szCs w:val="21"/>
              </w:rPr>
              <w:t>显示：1.支持中英文同时显示、支持航班信息（共享航班、经停站、航班状态等）滚动显示、支持翻页显示；</w:t>
            </w:r>
          </w:p>
          <w:p>
            <w:pPr>
              <w:widowControl/>
              <w:ind w:left="1050" w:hanging="1050" w:hangingChars="500"/>
              <w:jc w:val="left"/>
              <w:rPr>
                <w:rFonts w:ascii="宋体" w:hAnsi="宋体" w:cs="宋体"/>
                <w:bCs/>
                <w:kern w:val="0"/>
                <w:szCs w:val="21"/>
              </w:rPr>
            </w:pPr>
            <w:r>
              <w:rPr>
                <w:rFonts w:hint="eastAsia" w:ascii="宋体" w:hAnsi="宋体" w:cs="宋体"/>
                <w:bCs/>
                <w:kern w:val="0"/>
                <w:szCs w:val="21"/>
              </w:rPr>
              <w:t xml:space="preserve">      2.显示24点阵字，每组屏显示信息介于8-10行，20-22列之间；</w:t>
            </w:r>
          </w:p>
          <w:p>
            <w:pPr>
              <w:rPr>
                <w:rFonts w:ascii="宋体" w:hAnsi="宋体" w:cs="宋体"/>
                <w:bCs/>
                <w:kern w:val="0"/>
                <w:szCs w:val="21"/>
              </w:rPr>
            </w:pPr>
            <w:r>
              <w:rPr>
                <w:rFonts w:hint="eastAsia" w:ascii="宋体" w:hAnsi="宋体" w:cs="宋体"/>
                <w:bCs/>
                <w:kern w:val="0"/>
                <w:szCs w:val="21"/>
              </w:rPr>
              <w:t xml:space="preserve">      3.屏幕信息显示应清晰、柔和，无明显反光现象。</w:t>
            </w:r>
          </w:p>
          <w:p>
            <w:pPr>
              <w:rPr>
                <w:rFonts w:hint="eastAsia"/>
              </w:rPr>
            </w:pPr>
            <w:r>
              <w:rPr>
                <w:rFonts w:hint="eastAsia" w:ascii="宋体" w:hAnsi="宋体" w:cs="宋体"/>
                <w:bCs/>
                <w:kern w:val="0"/>
                <w:szCs w:val="21"/>
              </w:rPr>
              <w:t>质保3年</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3</w:t>
            </w:r>
          </w:p>
        </w:tc>
        <w:tc>
          <w:tcPr>
            <w:tcW w:w="85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组</w:t>
            </w:r>
          </w:p>
        </w:tc>
      </w:tr>
      <w:tr>
        <w:tblPrEx>
          <w:tblLayout w:type="fixed"/>
          <w:tblCellMar>
            <w:top w:w="0" w:type="dxa"/>
            <w:left w:w="108" w:type="dxa"/>
            <w:bottom w:w="0" w:type="dxa"/>
            <w:right w:w="108" w:type="dxa"/>
          </w:tblCellMar>
        </w:tblPrEx>
        <w:trPr>
          <w:trHeight w:val="20" w:hRule="atLeast"/>
        </w:trPr>
        <w:tc>
          <w:tcPr>
            <w:tcW w:w="5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17"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cs="宋体"/>
                <w:kern w:val="0"/>
                <w:sz w:val="24"/>
                <w:szCs w:val="24"/>
                <w:u w:val="none" w:color="000000"/>
              </w:rPr>
            </w:pPr>
            <w:r>
              <w:rPr>
                <w:rFonts w:hint="eastAsia" w:ascii="宋体" w:hAnsi="宋体" w:cs="宋体"/>
                <w:bCs/>
                <w:kern w:val="0"/>
                <w:szCs w:val="21"/>
              </w:rPr>
              <w:t>支架、拆装调试及相关辅材等</w:t>
            </w:r>
          </w:p>
        </w:tc>
        <w:tc>
          <w:tcPr>
            <w:tcW w:w="5812" w:type="dxa"/>
            <w:tcBorders>
              <w:top w:val="nil"/>
              <w:left w:val="nil"/>
              <w:bottom w:val="single" w:color="auto" w:sz="4" w:space="0"/>
              <w:right w:val="single" w:color="auto" w:sz="4" w:space="0"/>
            </w:tcBorders>
            <w:shd w:val="clear" w:color="000000" w:fill="FFFFFF"/>
            <w:vAlign w:val="center"/>
          </w:tcPr>
          <w:p>
            <w:pPr>
              <w:pStyle w:val="59"/>
              <w:widowControl/>
              <w:numPr>
                <w:ilvl w:val="0"/>
                <w:numId w:val="1"/>
              </w:numPr>
              <w:ind w:firstLineChars="0"/>
              <w:jc w:val="left"/>
              <w:rPr>
                <w:rFonts w:ascii="宋体" w:hAnsi="宋体" w:cs="宋体"/>
                <w:bCs/>
                <w:kern w:val="0"/>
                <w:sz w:val="22"/>
              </w:rPr>
            </w:pPr>
            <w:r>
              <w:rPr>
                <w:rFonts w:hint="eastAsia" w:ascii="宋体" w:hAnsi="宋体" w:cs="宋体"/>
                <w:bCs/>
                <w:kern w:val="0"/>
                <w:sz w:val="22"/>
              </w:rPr>
              <w:t>拆卸原有LED行李分拣显示屏并放置到指定位置；</w:t>
            </w:r>
          </w:p>
          <w:p>
            <w:pPr>
              <w:pStyle w:val="59"/>
              <w:widowControl/>
              <w:numPr>
                <w:ilvl w:val="0"/>
                <w:numId w:val="1"/>
              </w:numPr>
              <w:ind w:firstLineChars="0"/>
              <w:jc w:val="left"/>
              <w:rPr>
                <w:rFonts w:ascii="宋体" w:hAnsi="宋体" w:cs="宋体"/>
                <w:bCs/>
                <w:kern w:val="0"/>
                <w:sz w:val="22"/>
              </w:rPr>
            </w:pPr>
            <w:r>
              <w:rPr>
                <w:rFonts w:hint="eastAsia" w:ascii="宋体" w:hAnsi="宋体" w:cs="宋体"/>
                <w:bCs/>
                <w:kern w:val="0"/>
                <w:sz w:val="22"/>
              </w:rPr>
              <w:t>拆除后状态良好的部分模组替换到其他LED屏中；</w:t>
            </w:r>
          </w:p>
          <w:p>
            <w:pPr>
              <w:pStyle w:val="59"/>
              <w:widowControl/>
              <w:numPr>
                <w:ilvl w:val="0"/>
                <w:numId w:val="1"/>
              </w:numPr>
              <w:ind w:firstLineChars="0"/>
              <w:jc w:val="left"/>
              <w:rPr>
                <w:rFonts w:ascii="宋体" w:hAnsi="宋体" w:cs="宋体"/>
                <w:kern w:val="0"/>
                <w:szCs w:val="21"/>
              </w:rPr>
            </w:pPr>
            <w:r>
              <w:rPr>
                <w:rFonts w:hint="eastAsia" w:ascii="宋体" w:hAnsi="宋体" w:cs="Calibri"/>
                <w:kern w:val="0"/>
                <w:sz w:val="22"/>
              </w:rPr>
              <w:t>安装调试新屏，如有必要，对原有网络、电源等线路改造以适应新屏；</w:t>
            </w:r>
          </w:p>
          <w:p>
            <w:pPr>
              <w:pStyle w:val="59"/>
              <w:numPr>
                <w:ilvl w:val="0"/>
                <w:numId w:val="1"/>
              </w:numPr>
              <w:ind w:firstLineChars="0"/>
            </w:pPr>
            <w:r>
              <w:rPr>
                <w:rFonts w:hint="eastAsia" w:ascii="宋体" w:hAnsi="宋体" w:cs="Calibri"/>
                <w:kern w:val="0"/>
                <w:sz w:val="22"/>
              </w:rPr>
              <w:t>支架落地安装，必须安装稳固，选用可靠的材质，颜色、尺寸与现场环境相协调。</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1</w:t>
            </w:r>
          </w:p>
        </w:tc>
        <w:tc>
          <w:tcPr>
            <w:tcW w:w="85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项</w:t>
            </w:r>
          </w:p>
        </w:tc>
      </w:tr>
      <w:tr>
        <w:tblPrEx>
          <w:tblLayout w:type="fixed"/>
          <w:tblCellMar>
            <w:top w:w="0" w:type="dxa"/>
            <w:left w:w="108" w:type="dxa"/>
            <w:bottom w:w="0" w:type="dxa"/>
            <w:right w:w="108" w:type="dxa"/>
          </w:tblCellMar>
        </w:tblPrEx>
        <w:trPr>
          <w:trHeight w:val="2123"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w:t>
            </w:r>
          </w:p>
        </w:tc>
        <w:tc>
          <w:tcPr>
            <w:tcW w:w="14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bCs/>
                <w:kern w:val="0"/>
                <w:szCs w:val="21"/>
              </w:rPr>
            </w:pPr>
            <w:r>
              <w:rPr>
                <w:rFonts w:hint="eastAsia" w:ascii="宋体" w:hAnsi="宋体" w:cs="宋体"/>
                <w:bCs/>
                <w:kern w:val="0"/>
                <w:szCs w:val="21"/>
              </w:rPr>
              <w:t>航显系统LED软件接口改造</w:t>
            </w:r>
          </w:p>
        </w:tc>
        <w:tc>
          <w:tcPr>
            <w:tcW w:w="5812" w:type="dxa"/>
            <w:tcBorders>
              <w:top w:val="single" w:color="auto" w:sz="4" w:space="0"/>
              <w:left w:val="single" w:color="auto" w:sz="4" w:space="0"/>
              <w:bottom w:val="single" w:color="auto" w:sz="4" w:space="0"/>
              <w:right w:val="single" w:color="auto" w:sz="4" w:space="0"/>
            </w:tcBorders>
            <w:shd w:val="clear" w:color="000000" w:fill="FFFFFF"/>
            <w:vAlign w:val="center"/>
          </w:tcPr>
          <w:p>
            <w:pPr>
              <w:ind w:left="440" w:hanging="440" w:hangingChars="200"/>
            </w:pPr>
            <w:r>
              <w:rPr>
                <w:rFonts w:hint="eastAsia" w:ascii="宋体" w:hAnsi="宋体" w:cs="宋体"/>
                <w:bCs/>
                <w:kern w:val="0"/>
                <w:sz w:val="22"/>
              </w:rPr>
              <w:t>1.  LED显示屏须加入现有航显系统管理，直接由航显系统中的功能模块进行LED屏的管理和信息的显示驱动控制；</w:t>
            </w:r>
          </w:p>
          <w:p>
            <w:pPr>
              <w:rPr>
                <w:rFonts w:ascii="宋体" w:hAnsi="宋体" w:cs="Calibri"/>
                <w:kern w:val="0"/>
                <w:sz w:val="22"/>
              </w:rPr>
            </w:pPr>
            <w:r>
              <w:rPr>
                <w:rFonts w:hint="eastAsia" w:ascii="宋体" w:hAnsi="宋体" w:cs="Calibri"/>
                <w:kern w:val="0"/>
                <w:sz w:val="22"/>
              </w:rPr>
              <w:t>2.  具备日志记录功能。</w:t>
            </w:r>
          </w:p>
          <w:p>
            <w:pPr>
              <w:rPr>
                <w:rFonts w:ascii="宋体" w:hAnsi="宋体" w:cs="Calibri"/>
                <w:kern w:val="0"/>
                <w:sz w:val="22"/>
              </w:rPr>
            </w:pPr>
          </w:p>
          <w:p>
            <w:pPr>
              <w:rPr>
                <w:rFonts w:ascii="宋体" w:hAnsi="宋体" w:cs="Calibri"/>
                <w:b/>
                <w:kern w:val="0"/>
                <w:sz w:val="22"/>
              </w:rPr>
            </w:pPr>
            <w:r>
              <w:rPr>
                <w:rFonts w:hint="eastAsia" w:ascii="宋体" w:hAnsi="宋体" w:cs="Calibri"/>
                <w:b/>
                <w:kern w:val="0"/>
                <w:sz w:val="22"/>
              </w:rPr>
              <w:t>备注：软件接口改造费用须投标人自行与航显系统厂家协商（航显系统品牌infologic，供应商为北京亿达亚太有限公司），参考价0</w:t>
            </w:r>
            <w:r>
              <w:rPr>
                <w:rFonts w:ascii="宋体" w:hAnsi="宋体" w:cs="Calibri"/>
                <w:b/>
                <w:kern w:val="0"/>
                <w:sz w:val="22"/>
              </w:rPr>
              <w:t>-</w:t>
            </w:r>
            <w:r>
              <w:rPr>
                <w:rFonts w:hint="eastAsia" w:ascii="宋体" w:hAnsi="宋体" w:cs="Calibri"/>
                <w:b/>
                <w:kern w:val="0"/>
                <w:sz w:val="22"/>
              </w:rPr>
              <w:t>1</w:t>
            </w:r>
            <w:r>
              <w:rPr>
                <w:rFonts w:ascii="宋体" w:hAnsi="宋体" w:cs="Calibri"/>
                <w:b/>
                <w:kern w:val="0"/>
                <w:sz w:val="22"/>
              </w:rPr>
              <w:t>0</w:t>
            </w:r>
            <w:r>
              <w:rPr>
                <w:rFonts w:hint="eastAsia" w:ascii="宋体" w:hAnsi="宋体" w:cs="Calibri"/>
                <w:b/>
                <w:kern w:val="0"/>
                <w:sz w:val="22"/>
              </w:rPr>
              <w:t>万元。</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1</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Cs w:val="21"/>
              </w:rPr>
            </w:pPr>
            <w:r>
              <w:rPr>
                <w:rFonts w:hint="eastAsia" w:ascii="宋体" w:hAnsi="宋体" w:cs="宋体"/>
                <w:kern w:val="0"/>
                <w:szCs w:val="21"/>
              </w:rPr>
              <w:t>项</w:t>
            </w:r>
          </w:p>
        </w:tc>
      </w:tr>
    </w:tbl>
    <w:p>
      <w:pPr>
        <w:widowControl/>
        <w:jc w:val="left"/>
        <w:rPr>
          <w:rFonts w:ascii="宋体" w:hAnsi="宋体" w:cs="Arial"/>
          <w:b/>
          <w:kern w:val="0"/>
          <w:sz w:val="22"/>
        </w:rPr>
      </w:pPr>
      <w:r>
        <w:rPr>
          <w:rFonts w:hint="eastAsia" w:ascii="宋体" w:hAnsi="宋体" w:cs="Arial"/>
          <w:b/>
          <w:kern w:val="0"/>
          <w:sz w:val="22"/>
        </w:rPr>
        <w:t>二、技术标准：</w:t>
      </w:r>
    </w:p>
    <w:p>
      <w:pPr>
        <w:widowControl/>
        <w:ind w:firstLine="440" w:firstLineChars="200"/>
        <w:jc w:val="left"/>
        <w:rPr>
          <w:rFonts w:ascii="宋体" w:hAnsi="宋体" w:cs="Calibri"/>
          <w:kern w:val="0"/>
          <w:sz w:val="22"/>
        </w:rPr>
      </w:pPr>
      <w:r>
        <w:rPr>
          <w:rFonts w:hint="eastAsia" w:ascii="宋体" w:hAnsi="宋体" w:cs="Calibri"/>
          <w:kern w:val="0"/>
          <w:sz w:val="22"/>
        </w:rPr>
        <w:t>以上货物要求为原厂全新包装，不得拆封，具出厂合格证、产品序列号，包装箱号与出厂批号须一致，并可追索查阅。电源线、连接线、安装附件、原厂随机耗材等保证设备正常使用的配件齐备。原厂标准包装内不含的线缆等配件需补充齐全。</w:t>
      </w:r>
    </w:p>
    <w:p>
      <w:pPr>
        <w:widowControl/>
        <w:jc w:val="left"/>
        <w:rPr>
          <w:rFonts w:ascii="宋体" w:hAnsi="宋体" w:cs="Arial"/>
          <w:kern w:val="0"/>
          <w:sz w:val="22"/>
        </w:rPr>
      </w:pPr>
    </w:p>
    <w:p>
      <w:pPr>
        <w:widowControl/>
        <w:jc w:val="left"/>
        <w:rPr>
          <w:rFonts w:ascii="宋体" w:hAnsi="宋体" w:cs="Arial"/>
          <w:b/>
          <w:kern w:val="0"/>
          <w:sz w:val="22"/>
        </w:rPr>
      </w:pPr>
      <w:r>
        <w:rPr>
          <w:rFonts w:hint="eastAsia" w:ascii="宋体" w:hAnsi="宋体" w:cs="Arial"/>
          <w:b/>
          <w:kern w:val="0"/>
          <w:sz w:val="22"/>
        </w:rPr>
        <w:t>三、安装及调试</w:t>
      </w:r>
    </w:p>
    <w:p>
      <w:pPr>
        <w:widowControl/>
        <w:ind w:firstLine="555"/>
        <w:jc w:val="left"/>
        <w:rPr>
          <w:rFonts w:ascii="宋体" w:hAnsi="宋体" w:cs="Arial"/>
          <w:kern w:val="0"/>
          <w:sz w:val="22"/>
        </w:rPr>
      </w:pPr>
      <w:r>
        <w:rPr>
          <w:rFonts w:hint="eastAsia" w:ascii="宋体" w:hAnsi="宋体" w:cs="Arial"/>
          <w:kern w:val="0"/>
          <w:sz w:val="22"/>
        </w:rPr>
        <w:t>1. 中标人按招标文件规定的货物性能、技术要求、质量标准、数量要求等全部条件向招标人提供未经使用的全新产品，提供货物安装调试服务。安装调试不合格的，中标人应负责更换设备，直至安装调试合格。</w:t>
      </w:r>
    </w:p>
    <w:p>
      <w:pPr>
        <w:widowControl/>
        <w:ind w:firstLine="555"/>
        <w:jc w:val="left"/>
        <w:rPr>
          <w:rFonts w:ascii="宋体" w:hAnsi="宋体" w:cs="Arial"/>
          <w:kern w:val="0"/>
          <w:sz w:val="22"/>
        </w:rPr>
      </w:pPr>
      <w:r>
        <w:rPr>
          <w:rFonts w:hint="eastAsia" w:ascii="宋体" w:hAnsi="宋体" w:cs="Arial"/>
          <w:kern w:val="0"/>
          <w:sz w:val="22"/>
        </w:rPr>
        <w:t>2.产品到达采购单位时，中标人必须依照招标文件货物需求和报价响应的承诺，将产品、系统安装并调试至正常运行的最佳状态，并向招标人提供相关的应用培训，否则采购人有权拒绝收货验货。</w:t>
      </w:r>
    </w:p>
    <w:p>
      <w:pPr>
        <w:widowControl/>
        <w:jc w:val="left"/>
        <w:rPr>
          <w:rFonts w:ascii="宋体" w:hAnsi="宋体" w:cs="Arial"/>
          <w:b/>
          <w:kern w:val="0"/>
          <w:sz w:val="22"/>
        </w:rPr>
      </w:pPr>
      <w:r>
        <w:rPr>
          <w:rFonts w:hint="eastAsia" w:ascii="宋体" w:hAnsi="宋体" w:cs="Arial"/>
          <w:b/>
          <w:kern w:val="0"/>
          <w:sz w:val="22"/>
        </w:rPr>
        <w:t>四、知识产权</w:t>
      </w:r>
    </w:p>
    <w:p>
      <w:pPr>
        <w:pStyle w:val="25"/>
        <w:spacing w:after="0" w:line="240" w:lineRule="auto"/>
        <w:ind w:left="0" w:leftChars="0" w:firstLine="440" w:firstLineChars="200"/>
        <w:jc w:val="left"/>
        <w:rPr>
          <w:rFonts w:ascii="宋体" w:hAnsi="宋体" w:cs="Arial"/>
          <w:sz w:val="22"/>
          <w:szCs w:val="22"/>
        </w:rPr>
      </w:pPr>
      <w:r>
        <w:rPr>
          <w:rFonts w:hint="eastAsia" w:ascii="宋体" w:hAnsi="宋体" w:cs="Arial"/>
          <w:sz w:val="22"/>
          <w:szCs w:val="22"/>
        </w:rPr>
        <w:t>保证所提供的货物或其任何一部分均不会侵犯任何第三方的知识产权。本项目涉及软件产品的，必须采购和使用正版软件。</w:t>
      </w:r>
    </w:p>
    <w:p>
      <w:pPr>
        <w:pStyle w:val="25"/>
        <w:spacing w:after="0" w:line="240" w:lineRule="auto"/>
        <w:ind w:left="0" w:leftChars="0" w:firstLine="440" w:firstLineChars="200"/>
        <w:jc w:val="left"/>
        <w:rPr>
          <w:rFonts w:ascii="宋体" w:hAnsi="宋体" w:cs="Arial"/>
          <w:sz w:val="22"/>
          <w:szCs w:val="22"/>
        </w:rPr>
      </w:pPr>
    </w:p>
    <w:p>
      <w:pPr>
        <w:widowControl/>
        <w:jc w:val="left"/>
        <w:rPr>
          <w:rFonts w:ascii="宋体" w:hAnsi="宋体" w:cs="Arial"/>
          <w:b/>
          <w:kern w:val="0"/>
          <w:sz w:val="22"/>
        </w:rPr>
      </w:pPr>
      <w:r>
        <w:rPr>
          <w:rFonts w:hint="eastAsia" w:ascii="宋体" w:hAnsi="宋体" w:cs="Arial"/>
          <w:b/>
          <w:kern w:val="0"/>
          <w:sz w:val="22"/>
        </w:rPr>
        <w:t>五、售后服务</w:t>
      </w:r>
    </w:p>
    <w:p>
      <w:pPr>
        <w:widowControl/>
        <w:ind w:firstLine="555"/>
        <w:jc w:val="left"/>
        <w:rPr>
          <w:rFonts w:ascii="宋体" w:hAnsi="宋体" w:cs="Arial"/>
          <w:b/>
          <w:kern w:val="0"/>
          <w:sz w:val="22"/>
          <w:u w:val="single"/>
        </w:rPr>
      </w:pPr>
      <w:r>
        <w:rPr>
          <w:rFonts w:hint="eastAsia" w:ascii="宋体" w:hAnsi="宋体" w:cs="Arial"/>
          <w:b/>
          <w:kern w:val="0"/>
          <w:sz w:val="22"/>
          <w:u w:val="single"/>
        </w:rPr>
        <w:t>1.本项目产品的质量保修期自验收通过之日起，所投产品LED屏3年内免费上门维修（包含人工和部件），详见第三章“一、货物需求一览表”。</w:t>
      </w:r>
    </w:p>
    <w:p>
      <w:pPr>
        <w:widowControl/>
        <w:ind w:firstLine="555"/>
        <w:jc w:val="left"/>
        <w:rPr>
          <w:rFonts w:ascii="宋体" w:hAnsi="宋体" w:cs="Arial"/>
          <w:kern w:val="0"/>
          <w:sz w:val="22"/>
        </w:rPr>
      </w:pPr>
      <w:r>
        <w:rPr>
          <w:rFonts w:hint="eastAsia" w:ascii="宋体" w:hAnsi="宋体" w:cs="Arial"/>
          <w:kern w:val="0"/>
          <w:sz w:val="22"/>
        </w:rPr>
        <w:t xml:space="preserve">2.若中标人所供产品被查出全部或者部分是次品、旧品、水货、侵犯知识产权的产品的，则中标人应自发现之日起（或者故障报修之日起满三个月后）三个工作日内对产品进行更换，且更换的产品应为不低于原产品型号、质量、配置、性能和售后服务的产品。 </w:t>
      </w:r>
    </w:p>
    <w:p>
      <w:pPr>
        <w:widowControl/>
        <w:ind w:firstLine="555"/>
        <w:jc w:val="left"/>
        <w:rPr>
          <w:rFonts w:ascii="宋体" w:hAnsi="宋体" w:cs="Arial"/>
          <w:kern w:val="0"/>
          <w:sz w:val="22"/>
        </w:rPr>
      </w:pPr>
      <w:r>
        <w:rPr>
          <w:rFonts w:hint="eastAsia" w:ascii="宋体" w:hAnsi="宋体" w:cs="Arial"/>
          <w:kern w:val="0"/>
          <w:sz w:val="22"/>
        </w:rPr>
        <w:t>3.中标人提供的货物在质保期内因货物本身的质量问题发生故障，中标人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widowControl/>
        <w:ind w:firstLine="555"/>
        <w:jc w:val="left"/>
        <w:rPr>
          <w:rFonts w:ascii="宋体" w:hAnsi="宋体" w:cs="Arial"/>
          <w:kern w:val="0"/>
          <w:sz w:val="22"/>
        </w:rPr>
      </w:pPr>
      <w:r>
        <w:rPr>
          <w:rFonts w:hint="eastAsia" w:ascii="宋体" w:hAnsi="宋体" w:cs="Arial"/>
          <w:kern w:val="0"/>
          <w:sz w:val="22"/>
        </w:rPr>
        <w:t>4.在质保期内，投标人应对货物出现的质量及安全问题负责处理解决并承担一切费用。</w:t>
      </w:r>
    </w:p>
    <w:p>
      <w:pPr>
        <w:widowControl/>
        <w:ind w:firstLine="555"/>
        <w:jc w:val="left"/>
        <w:rPr>
          <w:rFonts w:ascii="宋体" w:hAnsi="宋体" w:cs="Arial"/>
          <w:kern w:val="0"/>
          <w:sz w:val="22"/>
        </w:rPr>
      </w:pPr>
      <w:r>
        <w:rPr>
          <w:rFonts w:hint="eastAsia" w:ascii="宋体" w:hAnsi="宋体" w:cs="Arial"/>
          <w:kern w:val="0"/>
          <w:sz w:val="22"/>
        </w:rPr>
        <w:t>产品故障报修的响应时间：</w:t>
      </w:r>
    </w:p>
    <w:p>
      <w:pPr>
        <w:widowControl/>
        <w:ind w:firstLine="555"/>
        <w:jc w:val="left"/>
        <w:rPr>
          <w:rFonts w:ascii="宋体" w:hAnsi="宋体" w:cs="Arial"/>
          <w:b/>
          <w:kern w:val="0"/>
          <w:sz w:val="22"/>
          <w:u w:val="single"/>
        </w:rPr>
      </w:pPr>
      <w:r>
        <w:rPr>
          <w:rFonts w:hint="eastAsia" w:ascii="宋体" w:hAnsi="宋体" w:cs="Arial"/>
          <w:b/>
          <w:kern w:val="0"/>
          <w:sz w:val="22"/>
          <w:u w:val="single"/>
        </w:rPr>
        <w:t>应在接到产品故障报修后四小时内响应，一个工作日内到达现场，两个工作日内处理完毕。若故障检修两个工作日后仍无法排除的，中标人应在故障报修两个工作日后的一个工作日内提供不低于故障规格型号档次的替代产品供招标人使用。</w:t>
      </w:r>
    </w:p>
    <w:p>
      <w:pPr>
        <w:widowControl/>
        <w:ind w:firstLine="555"/>
        <w:jc w:val="left"/>
        <w:rPr>
          <w:rFonts w:ascii="宋体" w:hAnsi="宋体" w:cs="Arial"/>
          <w:kern w:val="0"/>
          <w:sz w:val="22"/>
        </w:rPr>
      </w:pPr>
      <w:r>
        <w:rPr>
          <w:rFonts w:hint="eastAsia" w:ascii="宋体" w:hAnsi="宋体" w:cs="Arial"/>
          <w:kern w:val="0"/>
          <w:sz w:val="22"/>
        </w:rPr>
        <w:t>如对货物出现的质量及安全问题经处理仍不能解决的，则招标人有权退货或要求投标人更换货物。</w:t>
      </w:r>
    </w:p>
    <w:p>
      <w:pPr>
        <w:widowControl/>
        <w:ind w:firstLine="555"/>
        <w:jc w:val="left"/>
        <w:rPr>
          <w:rFonts w:ascii="宋体" w:hAnsi="宋体" w:cs="Arial"/>
          <w:kern w:val="0"/>
          <w:sz w:val="22"/>
        </w:rPr>
      </w:pPr>
      <w:r>
        <w:rPr>
          <w:rFonts w:hint="eastAsia" w:ascii="宋体" w:hAnsi="宋体" w:cs="Arial"/>
          <w:kern w:val="0"/>
          <w:sz w:val="22"/>
        </w:rPr>
        <w:t>5.上述的货物免费保修期按照本文件要求，因招标人人为因素出现的故障不在免费保修范围内。对于超过保修期的机器设备，投标人仍负责终生维修，维修时只收部件成本费。</w:t>
      </w:r>
    </w:p>
    <w:p>
      <w:pPr>
        <w:widowControl/>
        <w:ind w:firstLine="555"/>
        <w:jc w:val="left"/>
        <w:rPr>
          <w:rFonts w:ascii="宋体" w:hAnsi="宋体" w:cs="Arial"/>
          <w:kern w:val="0"/>
          <w:sz w:val="22"/>
        </w:rPr>
      </w:pPr>
      <w:r>
        <w:rPr>
          <w:rFonts w:hint="eastAsia" w:ascii="宋体" w:hAnsi="宋体" w:cs="Arial"/>
          <w:kern w:val="0"/>
          <w:sz w:val="22"/>
        </w:rPr>
        <w:t>6.投标人针对本项目需提供</w:t>
      </w:r>
      <w:r>
        <w:rPr>
          <w:rFonts w:ascii="宋体" w:hAnsi="宋体" w:cs="Arial"/>
          <w:kern w:val="0"/>
          <w:sz w:val="22"/>
        </w:rPr>
        <w:t>充足的备品备件</w:t>
      </w:r>
      <w:r>
        <w:rPr>
          <w:rFonts w:hint="eastAsia" w:ascii="宋体" w:hAnsi="宋体" w:cs="Arial"/>
          <w:kern w:val="0"/>
          <w:sz w:val="22"/>
        </w:rPr>
        <w:t>给招标方，并在投标书中列出备品备件的数量和清单。</w:t>
      </w:r>
    </w:p>
    <w:p>
      <w:pPr>
        <w:pStyle w:val="13"/>
        <w:rPr>
          <w:rFonts w:hAnsi="宋体"/>
          <w:sz w:val="22"/>
          <w:szCs w:val="22"/>
        </w:rPr>
      </w:pPr>
    </w:p>
    <w:p>
      <w:pPr>
        <w:pStyle w:val="13"/>
        <w:rPr>
          <w:rFonts w:hAnsi="宋体"/>
          <w:sz w:val="22"/>
          <w:szCs w:val="22"/>
        </w:rPr>
      </w:pPr>
    </w:p>
    <w:p>
      <w:pPr>
        <w:pStyle w:val="13"/>
        <w:rPr>
          <w:rFonts w:hAnsi="宋体"/>
          <w:sz w:val="22"/>
          <w:szCs w:val="22"/>
        </w:rPr>
      </w:pPr>
    </w:p>
    <w:p>
      <w:pPr>
        <w:pStyle w:val="13"/>
        <w:rPr>
          <w:rFonts w:hint="eastAsia" w:hAnsi="宋体"/>
          <w:sz w:val="22"/>
          <w:szCs w:val="22"/>
        </w:rPr>
      </w:pPr>
    </w:p>
    <w:p>
      <w:pPr>
        <w:pStyle w:val="2"/>
        <w:spacing w:before="0" w:after="0" w:line="360" w:lineRule="auto"/>
        <w:jc w:val="center"/>
        <w:rPr>
          <w:rFonts w:ascii="Calibri" w:hAnsi="Calibri" w:eastAsia="黑体" w:cs="Calibri"/>
          <w:kern w:val="0"/>
          <w:sz w:val="32"/>
        </w:rPr>
      </w:pPr>
      <w:bookmarkStart w:id="45" w:name="_Toc9351383"/>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45"/>
    </w:p>
    <w:p>
      <w:pPr>
        <w:adjustRightInd w:val="0"/>
        <w:snapToGrid w:val="0"/>
        <w:spacing w:line="276" w:lineRule="auto"/>
        <w:ind w:firstLine="452"/>
        <w:jc w:val="center"/>
        <w:rPr>
          <w:rFonts w:ascii="等线" w:hAnsi="等线" w:cs="仿宋_GB2312"/>
          <w:b/>
          <w:sz w:val="22"/>
        </w:rPr>
      </w:pPr>
      <w:r>
        <w:rPr>
          <w:rFonts w:hint="eastAsia" w:ascii="等线" w:hAnsi="等线" w:cs="仿宋_GB2312"/>
          <w:b/>
          <w:sz w:val="22"/>
        </w:rPr>
        <w:t>T3航站楼LED行李分拣屏更新合同</w:t>
      </w:r>
    </w:p>
    <w:p>
      <w:pPr>
        <w:pStyle w:val="21"/>
        <w:spacing w:line="276" w:lineRule="auto"/>
        <w:ind w:right="200" w:firstLine="420"/>
        <w:jc w:val="right"/>
        <w:rPr>
          <w:rFonts w:ascii="等线" w:hAnsi="等线" w:cs="仿宋_GB2312"/>
          <w:bCs/>
          <w:sz w:val="22"/>
          <w:szCs w:val="22"/>
        </w:rPr>
      </w:pPr>
    </w:p>
    <w:p>
      <w:pPr>
        <w:spacing w:line="276" w:lineRule="auto"/>
        <w:ind w:firstLine="422" w:firstLineChars="200"/>
        <w:jc w:val="center"/>
        <w:rPr>
          <w:rFonts w:hint="eastAsia" w:ascii="宋体" w:hAnsi="宋体"/>
          <w:b/>
          <w:szCs w:val="21"/>
        </w:rPr>
      </w:pPr>
    </w:p>
    <w:p>
      <w:pPr>
        <w:spacing w:line="276" w:lineRule="auto"/>
        <w:ind w:firstLine="422" w:firstLineChars="200"/>
        <w:jc w:val="center"/>
        <w:rPr>
          <w:rFonts w:hint="eastAsia" w:ascii="宋体" w:hAnsi="宋体"/>
          <w:b/>
          <w:szCs w:val="21"/>
        </w:rPr>
      </w:pPr>
    </w:p>
    <w:p>
      <w:pPr>
        <w:adjustRightInd w:val="0"/>
        <w:snapToGrid w:val="0"/>
        <w:spacing w:line="276" w:lineRule="auto"/>
        <w:ind w:firstLine="452"/>
        <w:rPr>
          <w:rFonts w:hint="eastAsia" w:ascii="宋体" w:hAnsi="宋体"/>
          <w:b/>
          <w:szCs w:val="21"/>
        </w:rPr>
      </w:pPr>
      <w:r>
        <w:rPr>
          <w:rFonts w:hint="eastAsia" w:ascii="宋体" w:hAnsi="宋体"/>
          <w:b/>
          <w:szCs w:val="21"/>
        </w:rPr>
        <w:t>甲方：杭州萧山国际机场有限公司</w:t>
      </w:r>
    </w:p>
    <w:p>
      <w:pPr>
        <w:adjustRightInd w:val="0"/>
        <w:snapToGrid w:val="0"/>
        <w:spacing w:line="276" w:lineRule="auto"/>
        <w:ind w:firstLine="452"/>
        <w:rPr>
          <w:rFonts w:hint="eastAsia" w:ascii="宋体" w:hAnsi="宋体"/>
          <w:b/>
          <w:szCs w:val="21"/>
        </w:rPr>
      </w:pPr>
      <w:r>
        <w:rPr>
          <w:rFonts w:hint="eastAsia" w:ascii="宋体" w:hAnsi="宋体"/>
          <w:b/>
          <w:szCs w:val="21"/>
        </w:rPr>
        <w:t>住所地：杭州萧山国际机场内</w:t>
      </w:r>
    </w:p>
    <w:p>
      <w:pPr>
        <w:adjustRightInd w:val="0"/>
        <w:snapToGrid w:val="0"/>
        <w:spacing w:line="276" w:lineRule="auto"/>
        <w:rPr>
          <w:rFonts w:hint="eastAsia" w:ascii="宋体" w:hAnsi="宋体"/>
          <w:b/>
          <w:szCs w:val="21"/>
        </w:rPr>
      </w:pPr>
    </w:p>
    <w:p>
      <w:pPr>
        <w:adjustRightInd w:val="0"/>
        <w:snapToGrid w:val="0"/>
        <w:spacing w:line="276" w:lineRule="auto"/>
        <w:ind w:firstLine="452"/>
        <w:rPr>
          <w:rFonts w:hint="eastAsia" w:ascii="宋体" w:hAnsi="宋体"/>
          <w:b/>
          <w:szCs w:val="21"/>
        </w:rPr>
      </w:pPr>
      <w:r>
        <w:rPr>
          <w:rFonts w:hint="eastAsia" w:ascii="宋体" w:hAnsi="宋体"/>
          <w:b/>
          <w:szCs w:val="21"/>
        </w:rPr>
        <w:t>乙方:</w:t>
      </w:r>
    </w:p>
    <w:p>
      <w:pPr>
        <w:adjustRightInd w:val="0"/>
        <w:snapToGrid w:val="0"/>
        <w:spacing w:line="276" w:lineRule="auto"/>
        <w:ind w:firstLine="452"/>
        <w:rPr>
          <w:rFonts w:hint="eastAsia" w:ascii="宋体" w:hAnsi="宋体"/>
          <w:szCs w:val="21"/>
        </w:rPr>
      </w:pPr>
      <w:r>
        <w:rPr>
          <w:rFonts w:hint="eastAsia" w:ascii="宋体" w:hAnsi="宋体"/>
          <w:b/>
          <w:szCs w:val="21"/>
        </w:rPr>
        <w:t>住所地:</w:t>
      </w:r>
    </w:p>
    <w:p>
      <w:pPr>
        <w:adjustRightInd w:val="0"/>
        <w:snapToGrid w:val="0"/>
        <w:spacing w:line="276" w:lineRule="auto"/>
        <w:ind w:firstLine="450"/>
        <w:rPr>
          <w:rFonts w:hint="eastAsia" w:ascii="宋体" w:hAnsi="宋体"/>
          <w:szCs w:val="21"/>
        </w:rPr>
      </w:pPr>
    </w:p>
    <w:p>
      <w:pPr>
        <w:adjustRightInd w:val="0"/>
        <w:snapToGrid w:val="0"/>
        <w:spacing w:line="276" w:lineRule="auto"/>
        <w:ind w:firstLine="420" w:firstLineChars="200"/>
        <w:rPr>
          <w:rFonts w:hint="eastAsia" w:ascii="宋体" w:hAnsi="宋体"/>
          <w:szCs w:val="21"/>
        </w:rPr>
      </w:pPr>
      <w:r>
        <w:rPr>
          <w:rFonts w:hint="eastAsia" w:ascii="宋体" w:hAnsi="宋体"/>
          <w:szCs w:val="21"/>
        </w:rPr>
        <w:t>甲、乙双方根据《中华人民共和国合同法》等相关法律法规，就相关产品采购事宜，在互利、平等的原则基础上，经协商一致，特签订本合同，以共同遵守。</w:t>
      </w:r>
    </w:p>
    <w:p>
      <w:pPr>
        <w:spacing w:line="276" w:lineRule="auto"/>
        <w:ind w:firstLine="593"/>
        <w:rPr>
          <w:rFonts w:ascii="宋体" w:hAnsi="宋体"/>
          <w:b/>
          <w:bCs/>
          <w:szCs w:val="21"/>
        </w:rPr>
      </w:pPr>
      <w:r>
        <w:rPr>
          <w:rFonts w:hint="eastAsia" w:ascii="宋体" w:hAnsi="宋体"/>
          <w:b/>
          <w:bCs/>
          <w:szCs w:val="21"/>
        </w:rPr>
        <w:t>一、产品规格型号及参数</w:t>
      </w:r>
    </w:p>
    <w:tbl>
      <w:tblPr>
        <w:tblStyle w:val="5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076"/>
        <w:gridCol w:w="792"/>
        <w:gridCol w:w="719"/>
        <w:gridCol w:w="515"/>
        <w:gridCol w:w="430"/>
        <w:gridCol w:w="417"/>
        <w:gridCol w:w="1054"/>
        <w:gridCol w:w="940"/>
        <w:gridCol w:w="1198"/>
        <w:gridCol w:w="819"/>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序 号</w:t>
            </w:r>
          </w:p>
        </w:tc>
        <w:tc>
          <w:tcPr>
            <w:tcW w:w="1076" w:type="dxa"/>
            <w:shd w:val="clear" w:color="000000" w:fill="FFFFFF"/>
            <w:vAlign w:val="center"/>
          </w:tcPr>
          <w:p>
            <w:pPr>
              <w:jc w:val="center"/>
              <w:rPr>
                <w:rFonts w:ascii="宋体" w:hAnsi="宋体" w:cs="宋体"/>
                <w:b/>
                <w:bCs/>
                <w:sz w:val="20"/>
              </w:rPr>
            </w:pPr>
            <w:r>
              <w:rPr>
                <w:rFonts w:hint="eastAsia" w:ascii="宋体" w:hAnsi="宋体" w:cs="宋体"/>
                <w:b/>
                <w:bCs/>
                <w:sz w:val="20"/>
              </w:rPr>
              <w:t>设备名称</w:t>
            </w:r>
          </w:p>
        </w:tc>
        <w:tc>
          <w:tcPr>
            <w:tcW w:w="792" w:type="dxa"/>
            <w:shd w:val="clear" w:color="000000" w:fill="FFFFFF"/>
            <w:vAlign w:val="center"/>
          </w:tcPr>
          <w:p>
            <w:pPr>
              <w:jc w:val="center"/>
              <w:rPr>
                <w:rFonts w:ascii="宋体" w:hAnsi="宋体" w:cs="宋体"/>
                <w:b/>
                <w:bCs/>
                <w:sz w:val="20"/>
              </w:rPr>
            </w:pPr>
            <w:r>
              <w:rPr>
                <w:rFonts w:hint="eastAsia" w:ascii="宋体" w:hAnsi="宋体" w:cs="宋体"/>
                <w:b/>
                <w:bCs/>
                <w:sz w:val="20"/>
              </w:rPr>
              <w:t>规格型号</w:t>
            </w:r>
          </w:p>
        </w:tc>
        <w:tc>
          <w:tcPr>
            <w:tcW w:w="719" w:type="dxa"/>
            <w:shd w:val="clear" w:color="000000" w:fill="FFFFFF"/>
            <w:vAlign w:val="center"/>
          </w:tcPr>
          <w:p>
            <w:pPr>
              <w:jc w:val="center"/>
              <w:rPr>
                <w:rFonts w:ascii="宋体" w:hAnsi="宋体" w:cs="宋体"/>
                <w:b/>
                <w:bCs/>
                <w:sz w:val="20"/>
              </w:rPr>
            </w:pPr>
            <w:r>
              <w:rPr>
                <w:rFonts w:hint="eastAsia" w:ascii="宋体" w:hAnsi="宋体" w:cs="宋体"/>
                <w:b/>
                <w:bCs/>
                <w:sz w:val="20"/>
              </w:rPr>
              <w:t>品 牌</w:t>
            </w:r>
          </w:p>
        </w:tc>
        <w:tc>
          <w:tcPr>
            <w:tcW w:w="515" w:type="dxa"/>
            <w:shd w:val="clear" w:color="000000" w:fill="FFFFFF"/>
            <w:vAlign w:val="center"/>
          </w:tcPr>
          <w:p>
            <w:pPr>
              <w:jc w:val="center"/>
              <w:rPr>
                <w:rFonts w:ascii="宋体" w:hAnsi="宋体" w:cs="宋体"/>
                <w:b/>
                <w:bCs/>
                <w:sz w:val="20"/>
              </w:rPr>
            </w:pPr>
            <w:r>
              <w:rPr>
                <w:rFonts w:hint="eastAsia" w:ascii="宋体" w:hAnsi="宋体" w:cs="宋体"/>
                <w:b/>
                <w:bCs/>
                <w:sz w:val="20"/>
              </w:rPr>
              <w:t>产地</w:t>
            </w:r>
          </w:p>
        </w:tc>
        <w:tc>
          <w:tcPr>
            <w:tcW w:w="430" w:type="dxa"/>
            <w:shd w:val="clear" w:color="000000" w:fill="FFFFFF"/>
            <w:vAlign w:val="center"/>
          </w:tcPr>
          <w:p>
            <w:pPr>
              <w:jc w:val="center"/>
              <w:rPr>
                <w:rFonts w:ascii="宋体" w:hAnsi="宋体" w:cs="宋体"/>
                <w:b/>
                <w:bCs/>
                <w:sz w:val="20"/>
              </w:rPr>
            </w:pPr>
            <w:r>
              <w:rPr>
                <w:rFonts w:hint="eastAsia" w:ascii="宋体" w:hAnsi="宋体" w:cs="宋体"/>
                <w:b/>
                <w:bCs/>
                <w:sz w:val="20"/>
              </w:rPr>
              <w:t>单位</w:t>
            </w:r>
          </w:p>
        </w:tc>
        <w:tc>
          <w:tcPr>
            <w:tcW w:w="417" w:type="dxa"/>
            <w:shd w:val="clear" w:color="000000" w:fill="FFFFFF"/>
            <w:vAlign w:val="center"/>
          </w:tcPr>
          <w:p>
            <w:pPr>
              <w:jc w:val="center"/>
              <w:rPr>
                <w:rFonts w:ascii="宋体" w:hAnsi="宋体" w:cs="宋体"/>
                <w:b/>
                <w:bCs/>
                <w:sz w:val="20"/>
              </w:rPr>
            </w:pPr>
            <w:r>
              <w:rPr>
                <w:rFonts w:hint="eastAsia" w:ascii="宋体" w:hAnsi="宋体" w:cs="宋体"/>
                <w:b/>
                <w:bCs/>
                <w:sz w:val="20"/>
              </w:rPr>
              <w:t>数量</w:t>
            </w:r>
          </w:p>
        </w:tc>
        <w:tc>
          <w:tcPr>
            <w:tcW w:w="1054" w:type="dxa"/>
            <w:shd w:val="clear" w:color="000000" w:fill="FFFFFF"/>
            <w:vAlign w:val="center"/>
          </w:tcPr>
          <w:p>
            <w:pPr>
              <w:jc w:val="center"/>
              <w:rPr>
                <w:rFonts w:ascii="宋体" w:hAnsi="宋体" w:cs="宋体"/>
                <w:b/>
                <w:bCs/>
                <w:sz w:val="20"/>
              </w:rPr>
            </w:pPr>
            <w:r>
              <w:rPr>
                <w:rFonts w:hint="eastAsia" w:ascii="宋体" w:hAnsi="宋体" w:cs="宋体"/>
                <w:b/>
                <w:bCs/>
                <w:sz w:val="20"/>
              </w:rPr>
              <w:t>单价 (元，不含税)</w:t>
            </w:r>
          </w:p>
        </w:tc>
        <w:tc>
          <w:tcPr>
            <w:tcW w:w="940" w:type="dxa"/>
            <w:shd w:val="clear" w:color="000000" w:fill="FFFFFF"/>
            <w:vAlign w:val="center"/>
          </w:tcPr>
          <w:p>
            <w:pPr>
              <w:jc w:val="center"/>
              <w:rPr>
                <w:rFonts w:hint="eastAsia" w:ascii="宋体" w:hAnsi="宋体" w:cs="宋体"/>
                <w:b/>
                <w:bCs/>
                <w:sz w:val="20"/>
              </w:rPr>
            </w:pPr>
            <w:r>
              <w:rPr>
                <w:rFonts w:hint="eastAsia" w:ascii="宋体" w:hAnsi="宋体" w:cs="宋体"/>
                <w:b/>
                <w:bCs/>
                <w:sz w:val="20"/>
              </w:rPr>
              <w:t>合价（元，不含税）</w:t>
            </w:r>
          </w:p>
        </w:tc>
        <w:tc>
          <w:tcPr>
            <w:tcW w:w="1198" w:type="dxa"/>
            <w:shd w:val="clear" w:color="000000" w:fill="FFFFFF"/>
            <w:vAlign w:val="center"/>
          </w:tcPr>
          <w:p>
            <w:pPr>
              <w:jc w:val="center"/>
              <w:rPr>
                <w:rFonts w:hint="eastAsia" w:ascii="宋体" w:hAnsi="宋体" w:cs="宋体"/>
                <w:b/>
                <w:bCs/>
                <w:sz w:val="20"/>
              </w:rPr>
            </w:pPr>
            <w:r>
              <w:rPr>
                <w:rFonts w:hint="eastAsia" w:ascii="宋体" w:hAnsi="宋体" w:cs="宋体"/>
                <w:b/>
                <w:bCs/>
                <w:sz w:val="20"/>
              </w:rPr>
              <w:t>增值税税率</w:t>
            </w:r>
          </w:p>
        </w:tc>
        <w:tc>
          <w:tcPr>
            <w:tcW w:w="819" w:type="dxa"/>
            <w:shd w:val="clear" w:color="000000" w:fill="FFFFFF"/>
            <w:vAlign w:val="center"/>
          </w:tcPr>
          <w:p>
            <w:pPr>
              <w:jc w:val="center"/>
              <w:rPr>
                <w:rFonts w:ascii="宋体" w:hAnsi="宋体" w:cs="宋体"/>
                <w:b/>
                <w:bCs/>
                <w:sz w:val="20"/>
              </w:rPr>
            </w:pPr>
            <w:r>
              <w:rPr>
                <w:rFonts w:hint="eastAsia" w:ascii="宋体" w:hAnsi="宋体" w:cs="宋体"/>
                <w:b/>
                <w:bCs/>
                <w:sz w:val="20"/>
              </w:rPr>
              <w:t>单价（元，含税）</w:t>
            </w:r>
          </w:p>
        </w:tc>
        <w:tc>
          <w:tcPr>
            <w:tcW w:w="1148" w:type="dxa"/>
            <w:shd w:val="clear" w:color="000000" w:fill="FFFFFF"/>
            <w:vAlign w:val="center"/>
          </w:tcPr>
          <w:p>
            <w:pPr>
              <w:jc w:val="center"/>
              <w:rPr>
                <w:rFonts w:hint="eastAsia" w:ascii="宋体" w:hAnsi="宋体" w:cs="宋体"/>
                <w:b/>
                <w:bCs/>
                <w:sz w:val="20"/>
              </w:rPr>
            </w:pPr>
            <w:r>
              <w:rPr>
                <w:rFonts w:hint="eastAsia" w:ascii="宋体" w:hAnsi="宋体" w:cs="宋体"/>
                <w:b/>
                <w:bCs/>
                <w:sz w:val="20"/>
              </w:rPr>
              <w:t>合价 (元，含税)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1</w:t>
            </w: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hint="eastAsia" w:ascii="宋体" w:hAnsi="宋体" w:cs="宋体"/>
                <w:b/>
                <w:bCs/>
                <w:sz w:val="20"/>
              </w:rPr>
            </w:pPr>
          </w:p>
        </w:tc>
        <w:tc>
          <w:tcPr>
            <w:tcW w:w="1198" w:type="dxa"/>
            <w:shd w:val="clear" w:color="000000" w:fill="FFFFFF"/>
            <w:vAlign w:val="center"/>
          </w:tcPr>
          <w:p>
            <w:pPr>
              <w:jc w:val="center"/>
              <w:rPr>
                <w:rFonts w:hint="eastAsia"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hint="eastAsia"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2</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3</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4</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w:t>
            </w:r>
          </w:p>
        </w:tc>
        <w:tc>
          <w:tcPr>
            <w:tcW w:w="1076" w:type="dxa"/>
            <w:shd w:val="clear" w:color="000000" w:fill="FFFFFF"/>
            <w:vAlign w:val="center"/>
          </w:tcPr>
          <w:p>
            <w:pPr>
              <w:jc w:val="center"/>
              <w:rPr>
                <w:rFonts w:ascii="宋体" w:hAnsi="宋体"/>
                <w:b/>
                <w:bCs/>
                <w:szCs w:val="21"/>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p>
        </w:tc>
        <w:tc>
          <w:tcPr>
            <w:tcW w:w="1076" w:type="dxa"/>
            <w:shd w:val="clear" w:color="000000" w:fill="FFFFFF"/>
            <w:vAlign w:val="center"/>
          </w:tcPr>
          <w:p>
            <w:pPr>
              <w:jc w:val="center"/>
              <w:rPr>
                <w:rFonts w:ascii="宋体" w:hAnsi="宋体" w:cs="宋体"/>
                <w:b/>
                <w:bCs/>
                <w:sz w:val="20"/>
              </w:rPr>
            </w:pPr>
          </w:p>
        </w:tc>
        <w:tc>
          <w:tcPr>
            <w:tcW w:w="792" w:type="dxa"/>
            <w:tcBorders>
              <w:bottom w:val="single" w:color="auto" w:sz="4" w:space="0"/>
            </w:tcBorders>
            <w:shd w:val="clear" w:color="000000" w:fill="FFFFFF"/>
            <w:vAlign w:val="center"/>
          </w:tcPr>
          <w:p>
            <w:pPr>
              <w:jc w:val="center"/>
              <w:rPr>
                <w:rFonts w:ascii="宋体" w:hAnsi="宋体" w:cs="宋体"/>
                <w:b/>
                <w:bCs/>
                <w:sz w:val="20"/>
              </w:rPr>
            </w:pPr>
          </w:p>
        </w:tc>
        <w:tc>
          <w:tcPr>
            <w:tcW w:w="719" w:type="dxa"/>
            <w:tcBorders>
              <w:bottom w:val="single" w:color="auto" w:sz="4" w:space="0"/>
            </w:tcBorders>
            <w:shd w:val="clear" w:color="000000" w:fill="FFFFFF"/>
            <w:vAlign w:val="center"/>
          </w:tcPr>
          <w:p>
            <w:pPr>
              <w:jc w:val="center"/>
              <w:rPr>
                <w:rFonts w:ascii="宋体" w:hAnsi="宋体" w:cs="宋体"/>
                <w:b/>
                <w:bCs/>
                <w:sz w:val="20"/>
              </w:rPr>
            </w:pPr>
          </w:p>
        </w:tc>
        <w:tc>
          <w:tcPr>
            <w:tcW w:w="515" w:type="dxa"/>
            <w:tcBorders>
              <w:bottom w:val="single" w:color="auto" w:sz="4" w:space="0"/>
            </w:tcBorders>
            <w:shd w:val="clear" w:color="000000" w:fill="FFFFFF"/>
            <w:vAlign w:val="center"/>
          </w:tcPr>
          <w:p>
            <w:pPr>
              <w:jc w:val="center"/>
              <w:rPr>
                <w:rFonts w:ascii="宋体" w:hAnsi="宋体" w:cs="宋体"/>
                <w:b/>
                <w:bCs/>
                <w:sz w:val="20"/>
              </w:rPr>
            </w:pPr>
          </w:p>
        </w:tc>
        <w:tc>
          <w:tcPr>
            <w:tcW w:w="430" w:type="dxa"/>
            <w:tcBorders>
              <w:bottom w:val="single" w:color="auto" w:sz="4" w:space="0"/>
            </w:tcBorders>
            <w:shd w:val="clear" w:color="000000" w:fill="FFFFFF"/>
            <w:vAlign w:val="center"/>
          </w:tcPr>
          <w:p>
            <w:pPr>
              <w:jc w:val="center"/>
              <w:rPr>
                <w:rFonts w:ascii="宋体" w:hAnsi="宋体" w:cs="宋体"/>
                <w:b/>
                <w:bCs/>
                <w:sz w:val="20"/>
              </w:rPr>
            </w:pPr>
          </w:p>
        </w:tc>
        <w:tc>
          <w:tcPr>
            <w:tcW w:w="417" w:type="dxa"/>
            <w:tcBorders>
              <w:bottom w:val="single" w:color="auto" w:sz="4" w:space="0"/>
            </w:tcBorders>
            <w:shd w:val="clear" w:color="000000" w:fill="FFFFFF"/>
            <w:vAlign w:val="center"/>
          </w:tcPr>
          <w:p>
            <w:pPr>
              <w:jc w:val="center"/>
              <w:rPr>
                <w:rFonts w:ascii="宋体" w:hAnsi="宋体" w:cs="宋体"/>
                <w:b/>
                <w:bCs/>
                <w:sz w:val="20"/>
              </w:rPr>
            </w:pP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ascii="宋体" w:hAnsi="宋体" w:cs="宋体"/>
                <w:b/>
                <w:bCs/>
                <w:sz w:val="20"/>
              </w:rPr>
            </w:pPr>
          </w:p>
        </w:tc>
        <w:tc>
          <w:tcPr>
            <w:tcW w:w="1198" w:type="dxa"/>
            <w:shd w:val="clear" w:color="000000" w:fill="FFFFFF"/>
            <w:vAlign w:val="center"/>
          </w:tcPr>
          <w:p>
            <w:pPr>
              <w:jc w:val="center"/>
              <w:rPr>
                <w:rFonts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jc w:val="center"/>
              <w:rPr>
                <w:rFonts w:ascii="宋体" w:hAnsi="宋体" w:cs="宋体"/>
                <w:b/>
                <w:bCs/>
                <w:sz w:val="20"/>
              </w:rPr>
            </w:pPr>
            <w:r>
              <w:rPr>
                <w:rFonts w:hint="eastAsia" w:ascii="宋体" w:hAnsi="宋体" w:cs="宋体"/>
                <w:b/>
                <w:bCs/>
                <w:sz w:val="20"/>
              </w:rPr>
              <w:t>不含税价格合计（元）</w:t>
            </w:r>
          </w:p>
        </w:tc>
        <w:tc>
          <w:tcPr>
            <w:tcW w:w="8032" w:type="dxa"/>
            <w:gridSpan w:val="10"/>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jc w:val="center"/>
              <w:rPr>
                <w:rFonts w:hint="eastAsia" w:ascii="宋体" w:hAnsi="宋体" w:cs="宋体"/>
                <w:b/>
                <w:bCs/>
                <w:sz w:val="20"/>
              </w:rPr>
            </w:pPr>
            <w:r>
              <w:rPr>
                <w:rFonts w:hint="eastAsia" w:ascii="宋体" w:hAnsi="宋体" w:cs="宋体"/>
                <w:b/>
                <w:bCs/>
                <w:sz w:val="20"/>
              </w:rPr>
              <w:t>税金（元）</w:t>
            </w:r>
          </w:p>
        </w:tc>
        <w:tc>
          <w:tcPr>
            <w:tcW w:w="8032" w:type="dxa"/>
            <w:gridSpan w:val="10"/>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shd w:val="clear" w:color="000000" w:fill="FFFFFF"/>
            <w:vAlign w:val="center"/>
          </w:tcPr>
          <w:p>
            <w:pPr>
              <w:rPr>
                <w:rFonts w:hint="eastAsia" w:ascii="宋体" w:hAnsi="宋体" w:cs="宋体"/>
                <w:b/>
                <w:bCs/>
                <w:sz w:val="20"/>
              </w:rPr>
            </w:pPr>
            <w:r>
              <w:rPr>
                <w:rFonts w:hint="eastAsia" w:ascii="宋体" w:hAnsi="宋体" w:cs="宋体"/>
                <w:b/>
                <w:bCs/>
                <w:sz w:val="20"/>
              </w:rPr>
              <w:t>价税合计（元）</w:t>
            </w:r>
          </w:p>
        </w:tc>
        <w:tc>
          <w:tcPr>
            <w:tcW w:w="8032" w:type="dxa"/>
            <w:gridSpan w:val="10"/>
            <w:tcBorders>
              <w:bottom w:val="single" w:color="auto" w:sz="4" w:space="0"/>
            </w:tcBorders>
            <w:shd w:val="clear" w:color="000000" w:fill="FFFFFF"/>
            <w:vAlign w:val="center"/>
          </w:tcPr>
          <w:p>
            <w:pPr>
              <w:jc w:val="center"/>
              <w:rPr>
                <w:rFonts w:hint="eastAsia" w:ascii="宋体" w:hAnsi="宋体" w:cs="宋体"/>
                <w:b/>
                <w:bCs/>
                <w:sz w:val="20"/>
              </w:rPr>
            </w:pPr>
            <w:r>
              <w:rPr>
                <w:rFonts w:hint="eastAsia" w:ascii="宋体" w:hAnsi="宋体" w:cs="宋体"/>
                <w:b/>
                <w:bCs/>
                <w:sz w:val="20"/>
              </w:rPr>
              <w:t xml:space="preserve">人民币大写 </w:t>
            </w:r>
            <w:r>
              <w:rPr>
                <w:rFonts w:ascii="宋体" w:hAnsi="宋体" w:cs="宋体"/>
                <w:b/>
                <w:bCs/>
                <w:sz w:val="20"/>
              </w:rPr>
              <w:t xml:space="preserve">    </w:t>
            </w:r>
            <w:r>
              <w:rPr>
                <w:rFonts w:hint="eastAsia" w:ascii="宋体" w:hAnsi="宋体" w:cs="宋体"/>
                <w:b/>
                <w:bCs/>
                <w:sz w:val="20"/>
              </w:rPr>
              <w:t>元，</w:t>
            </w:r>
            <w:r>
              <w:rPr>
                <w:rFonts w:ascii="宋体" w:hAnsi="宋体" w:cs="宋体"/>
                <w:b/>
                <w:bCs/>
                <w:sz w:val="20"/>
              </w:rPr>
              <w:t>¥   .00</w:t>
            </w:r>
          </w:p>
        </w:tc>
      </w:tr>
    </w:tbl>
    <w:p>
      <w:pPr>
        <w:spacing w:line="276" w:lineRule="auto"/>
        <w:ind w:firstLine="593"/>
        <w:rPr>
          <w:rFonts w:hint="eastAsia" w:ascii="宋体" w:hAnsi="宋体"/>
          <w:b/>
          <w:szCs w:val="21"/>
        </w:rPr>
      </w:pPr>
      <w:r>
        <w:rPr>
          <w:rFonts w:hint="eastAsia" w:ascii="宋体" w:hAnsi="宋体"/>
          <w:b/>
          <w:szCs w:val="21"/>
        </w:rPr>
        <w:t>备注：1、</w:t>
      </w:r>
    </w:p>
    <w:p>
      <w:pPr>
        <w:adjustRightInd w:val="0"/>
        <w:snapToGrid w:val="0"/>
        <w:spacing w:line="276" w:lineRule="auto"/>
        <w:ind w:firstLine="602"/>
        <w:rPr>
          <w:rFonts w:hint="eastAsia" w:ascii="宋体" w:hAnsi="宋体"/>
          <w:b/>
          <w:szCs w:val="21"/>
        </w:rPr>
      </w:pPr>
      <w:r>
        <w:rPr>
          <w:rFonts w:hint="eastAsia" w:ascii="宋体" w:hAnsi="宋体"/>
          <w:b/>
          <w:szCs w:val="21"/>
        </w:rPr>
        <w:t xml:space="preserve">      2、</w:t>
      </w:r>
    </w:p>
    <w:p>
      <w:pPr>
        <w:adjustRightInd w:val="0"/>
        <w:snapToGrid w:val="0"/>
        <w:spacing w:line="276" w:lineRule="auto"/>
        <w:ind w:firstLine="602"/>
        <w:rPr>
          <w:rFonts w:hint="eastAsia" w:ascii="宋体" w:hAnsi="宋体"/>
          <w:b/>
          <w:szCs w:val="21"/>
        </w:rPr>
      </w:pPr>
      <w:r>
        <w:rPr>
          <w:rFonts w:hint="eastAsia" w:ascii="宋体" w:hAnsi="宋体"/>
          <w:b/>
          <w:szCs w:val="21"/>
        </w:rPr>
        <w:t>二、合同金额</w:t>
      </w:r>
    </w:p>
    <w:p>
      <w:pPr>
        <w:spacing w:line="276" w:lineRule="auto"/>
        <w:ind w:firstLine="403" w:firstLineChars="192"/>
        <w:rPr>
          <w:rFonts w:hint="eastAsia" w:ascii="宋体" w:hAnsi="宋体"/>
          <w:szCs w:val="21"/>
        </w:rPr>
      </w:pPr>
      <w:r>
        <w:rPr>
          <w:rFonts w:hint="eastAsia" w:ascii="宋体" w:hAnsi="宋体"/>
          <w:szCs w:val="21"/>
        </w:rPr>
        <w:t>本合同金额为固定总价合同，合同金额为（大写）：人民币    ，（小写）</w:t>
      </w:r>
      <w:r>
        <w:rPr>
          <w:rFonts w:hint="eastAsia" w:ascii="宋体" w:hAnsi="宋体" w:cs="Arial"/>
          <w:szCs w:val="21"/>
        </w:rPr>
        <w:t xml:space="preserve">¥       </w:t>
      </w:r>
      <w:r>
        <w:rPr>
          <w:rFonts w:hint="eastAsia" w:ascii="宋体" w:hAnsi="宋体"/>
          <w:szCs w:val="21"/>
        </w:rPr>
        <w:t>。本合同价为杭州萧山国际机场内交货价，含产品价格、运输费、包装费、保险费、税费等所有费用。甲方不再承担其他任何费用。</w:t>
      </w:r>
    </w:p>
    <w:p>
      <w:pPr>
        <w:spacing w:line="276" w:lineRule="auto"/>
        <w:ind w:firstLine="405" w:firstLineChars="192"/>
        <w:rPr>
          <w:rFonts w:hint="eastAsia" w:ascii="宋体" w:hAnsi="宋体"/>
          <w:b/>
          <w:szCs w:val="21"/>
          <w:u w:val="single"/>
        </w:rPr>
      </w:pPr>
      <w:r>
        <w:rPr>
          <w:rFonts w:hint="eastAsia" w:ascii="宋体" w:hAnsi="宋体"/>
          <w:b/>
          <w:szCs w:val="21"/>
          <w:u w:val="single"/>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276" w:lineRule="auto"/>
        <w:ind w:firstLine="602"/>
        <w:rPr>
          <w:rFonts w:hint="eastAsia" w:ascii="宋体" w:hAnsi="宋体"/>
          <w:b/>
          <w:szCs w:val="21"/>
        </w:rPr>
      </w:pPr>
      <w:r>
        <w:rPr>
          <w:rFonts w:hint="eastAsia" w:ascii="宋体" w:hAnsi="宋体"/>
          <w:b/>
          <w:szCs w:val="21"/>
        </w:rPr>
        <w:t>三、技术资料</w:t>
      </w:r>
    </w:p>
    <w:p>
      <w:pPr>
        <w:adjustRightInd w:val="0"/>
        <w:snapToGrid w:val="0"/>
        <w:spacing w:line="276" w:lineRule="auto"/>
        <w:ind w:firstLine="420" w:firstLineChars="200"/>
        <w:rPr>
          <w:rFonts w:hint="eastAsia" w:ascii="宋体" w:hAnsi="宋体"/>
          <w:szCs w:val="21"/>
        </w:rPr>
      </w:pPr>
      <w:r>
        <w:rPr>
          <w:rFonts w:hint="eastAsia" w:ascii="宋体" w:hAnsi="宋体"/>
          <w:szCs w:val="21"/>
        </w:rPr>
        <w:t>1.乙方应在交付合同产品时同时向甲方提供使用产品的有关技术资料。</w:t>
      </w:r>
    </w:p>
    <w:p>
      <w:pPr>
        <w:adjustRightInd w:val="0"/>
        <w:snapToGrid w:val="0"/>
        <w:spacing w:line="276" w:lineRule="auto"/>
        <w:ind w:firstLine="422" w:firstLineChars="200"/>
        <w:rPr>
          <w:rFonts w:hint="eastAsia" w:ascii="宋体" w:hAnsi="宋体"/>
          <w:szCs w:val="21"/>
        </w:rPr>
      </w:pPr>
      <w:r>
        <w:rPr>
          <w:rFonts w:hint="eastAsia" w:ascii="宋体" w:hAnsi="宋体"/>
          <w:b/>
          <w:szCs w:val="21"/>
        </w:rPr>
        <w:t>2.</w:t>
      </w:r>
      <w:r>
        <w:rPr>
          <w:rFonts w:hint="eastAsia" w:ascii="宋体" w:hAnsi="宋体"/>
          <w:szCs w:val="21"/>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276" w:lineRule="auto"/>
        <w:ind w:firstLine="602"/>
        <w:rPr>
          <w:rFonts w:hint="eastAsia" w:ascii="宋体" w:hAnsi="宋体"/>
          <w:b/>
          <w:szCs w:val="21"/>
        </w:rPr>
      </w:pPr>
      <w:r>
        <w:rPr>
          <w:rFonts w:hint="eastAsia" w:ascii="宋体" w:hAnsi="宋体"/>
          <w:b/>
          <w:szCs w:val="21"/>
        </w:rPr>
        <w:t>四、知识产权</w:t>
      </w:r>
    </w:p>
    <w:p>
      <w:pPr>
        <w:adjustRightInd w:val="0"/>
        <w:snapToGrid w:val="0"/>
        <w:spacing w:line="276" w:lineRule="auto"/>
        <w:ind w:firstLine="420" w:firstLineChars="200"/>
        <w:rPr>
          <w:rFonts w:hint="eastAsia" w:ascii="宋体" w:hAnsi="宋体"/>
          <w:szCs w:val="21"/>
        </w:rPr>
      </w:pPr>
      <w:r>
        <w:rPr>
          <w:rFonts w:hint="eastAsia" w:ascii="宋体" w:hAnsi="宋体"/>
          <w:szCs w:val="21"/>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276" w:lineRule="auto"/>
        <w:ind w:firstLine="602"/>
        <w:rPr>
          <w:rFonts w:hint="eastAsia" w:ascii="宋体" w:hAnsi="宋体"/>
          <w:b/>
          <w:szCs w:val="21"/>
        </w:rPr>
      </w:pPr>
      <w:r>
        <w:rPr>
          <w:rFonts w:hint="eastAsia" w:ascii="宋体" w:hAnsi="宋体"/>
          <w:b/>
          <w:szCs w:val="21"/>
        </w:rPr>
        <w:t>五、产权担保</w:t>
      </w:r>
    </w:p>
    <w:p>
      <w:pPr>
        <w:adjustRightInd w:val="0"/>
        <w:snapToGrid w:val="0"/>
        <w:spacing w:line="276" w:lineRule="auto"/>
        <w:ind w:firstLine="420" w:firstLineChars="200"/>
        <w:rPr>
          <w:rFonts w:hint="eastAsia" w:ascii="宋体" w:hAnsi="宋体"/>
          <w:szCs w:val="21"/>
        </w:rPr>
      </w:pPr>
      <w:r>
        <w:rPr>
          <w:rFonts w:hint="eastAsia" w:ascii="宋体" w:hAnsi="宋体"/>
          <w:szCs w:val="21"/>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276" w:lineRule="auto"/>
        <w:ind w:firstLine="602"/>
        <w:outlineLvl w:val="0"/>
        <w:rPr>
          <w:rFonts w:hint="eastAsia" w:ascii="宋体" w:hAnsi="宋体"/>
          <w:b/>
          <w:szCs w:val="21"/>
        </w:rPr>
      </w:pPr>
      <w:bookmarkStart w:id="46" w:name="_Toc9351384"/>
      <w:r>
        <w:rPr>
          <w:rFonts w:hint="eastAsia" w:ascii="宋体" w:hAnsi="宋体"/>
          <w:b/>
          <w:szCs w:val="21"/>
        </w:rPr>
        <w:t>六、转包或分包</w:t>
      </w:r>
      <w:bookmarkEnd w:id="46"/>
    </w:p>
    <w:p>
      <w:pPr>
        <w:adjustRightInd w:val="0"/>
        <w:snapToGrid w:val="0"/>
        <w:spacing w:line="276" w:lineRule="auto"/>
        <w:ind w:firstLine="420" w:firstLineChars="200"/>
        <w:rPr>
          <w:rFonts w:hint="eastAsia" w:ascii="宋体" w:hAnsi="宋体"/>
          <w:szCs w:val="21"/>
        </w:rPr>
      </w:pPr>
      <w:r>
        <w:rPr>
          <w:rFonts w:hint="eastAsia" w:ascii="宋体" w:hAnsi="宋体"/>
          <w:szCs w:val="21"/>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2.如有未经甲方书面同意的转让和分包行为，甲方有权解除合同，并有权要求乙方承担合同总金额【5%】的违约金。</w:t>
      </w:r>
    </w:p>
    <w:p>
      <w:pPr>
        <w:adjustRightInd w:val="0"/>
        <w:snapToGrid w:val="0"/>
        <w:spacing w:line="276" w:lineRule="auto"/>
        <w:ind w:firstLine="602"/>
        <w:outlineLvl w:val="0"/>
        <w:rPr>
          <w:rFonts w:hint="eastAsia" w:ascii="宋体" w:hAnsi="宋体"/>
          <w:b/>
          <w:szCs w:val="21"/>
        </w:rPr>
      </w:pPr>
      <w:bookmarkStart w:id="47" w:name="_Toc9351385"/>
      <w:r>
        <w:rPr>
          <w:rFonts w:hint="eastAsia" w:ascii="宋体" w:hAnsi="宋体"/>
          <w:b/>
          <w:szCs w:val="21"/>
        </w:rPr>
        <w:t>七、产品包装、发运及运输</w:t>
      </w:r>
      <w:bookmarkEnd w:id="47"/>
    </w:p>
    <w:p>
      <w:pPr>
        <w:adjustRightInd w:val="0"/>
        <w:snapToGrid w:val="0"/>
        <w:spacing w:line="276" w:lineRule="auto"/>
        <w:ind w:firstLine="420" w:firstLineChars="200"/>
        <w:rPr>
          <w:rFonts w:hint="eastAsia" w:ascii="宋体" w:hAnsi="宋体"/>
          <w:szCs w:val="21"/>
        </w:rPr>
      </w:pPr>
      <w:r>
        <w:rPr>
          <w:rFonts w:hint="eastAsia" w:ascii="宋体" w:hAnsi="宋体"/>
          <w:szCs w:val="21"/>
        </w:rPr>
        <w:t>1. 乙方应在产品发运前对其按满足运输距离、防潮、防震、防锈和防破损装卸等要求进行包装，以保证产品安全运达甲方指定地点。</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 使用说明书、质量检验证明书、技术资料、随配附件和工具以及清单一并附于产品内同时向甲方交付。如资料和工具、附件不全的，视为乙方未完全履行交付义务。</w:t>
      </w:r>
    </w:p>
    <w:p>
      <w:pPr>
        <w:adjustRightInd w:val="0"/>
        <w:snapToGrid w:val="0"/>
        <w:spacing w:line="276" w:lineRule="auto"/>
        <w:ind w:firstLine="420" w:firstLineChars="200"/>
        <w:rPr>
          <w:rFonts w:hint="eastAsia" w:ascii="宋体" w:hAnsi="宋体"/>
          <w:szCs w:val="21"/>
        </w:rPr>
      </w:pPr>
      <w:r>
        <w:rPr>
          <w:rFonts w:hint="eastAsia" w:ascii="宋体" w:hAnsi="宋体"/>
          <w:szCs w:val="21"/>
        </w:rPr>
        <w:t>3. 乙方在产品发运手续办理完毕后【2</w:t>
      </w:r>
      <w:r>
        <w:rPr>
          <w:rFonts w:ascii="宋体" w:hAnsi="宋体"/>
          <w:szCs w:val="21"/>
        </w:rPr>
        <w:t>4</w:t>
      </w:r>
      <w:r>
        <w:rPr>
          <w:rFonts w:hint="eastAsia" w:ascii="宋体" w:hAnsi="宋体"/>
          <w:szCs w:val="21"/>
        </w:rPr>
        <w:t>】小时内必须书面通知甲方，以便甲方准备接货。</w:t>
      </w:r>
    </w:p>
    <w:p>
      <w:pPr>
        <w:adjustRightInd w:val="0"/>
        <w:snapToGrid w:val="0"/>
        <w:spacing w:line="276" w:lineRule="auto"/>
        <w:ind w:firstLine="420" w:firstLineChars="200"/>
        <w:rPr>
          <w:rFonts w:hint="eastAsia" w:ascii="宋体" w:hAnsi="宋体"/>
          <w:szCs w:val="21"/>
        </w:rPr>
      </w:pPr>
      <w:r>
        <w:rPr>
          <w:rFonts w:hint="eastAsia" w:ascii="宋体" w:hAnsi="宋体"/>
          <w:szCs w:val="21"/>
        </w:rPr>
        <w:t>4. 产品在本合同规定的交货地点交付甲方前发生的一切风险包括产品运输风险均由乙方负责。</w:t>
      </w:r>
    </w:p>
    <w:p>
      <w:pPr>
        <w:adjustRightInd w:val="0"/>
        <w:snapToGrid w:val="0"/>
        <w:spacing w:line="276" w:lineRule="auto"/>
        <w:ind w:firstLine="420" w:firstLineChars="200"/>
        <w:rPr>
          <w:rFonts w:hint="eastAsia" w:ascii="宋体" w:hAnsi="宋体"/>
          <w:szCs w:val="21"/>
        </w:rPr>
      </w:pPr>
      <w:r>
        <w:rPr>
          <w:rFonts w:hint="eastAsia" w:ascii="宋体" w:hAnsi="宋体"/>
          <w:szCs w:val="21"/>
        </w:rPr>
        <w:t>5. 产品在规定的交付期限内由乙方送达甲方指定的交货地点并经甲方签收后视为交付，乙方同时必须在产品到达的当天立即通知甲方产品已送达。</w:t>
      </w:r>
    </w:p>
    <w:p>
      <w:pPr>
        <w:adjustRightInd w:val="0"/>
        <w:snapToGrid w:val="0"/>
        <w:spacing w:line="276" w:lineRule="auto"/>
        <w:ind w:firstLine="602"/>
        <w:outlineLvl w:val="0"/>
        <w:rPr>
          <w:rFonts w:hint="eastAsia" w:ascii="宋体" w:hAnsi="宋体"/>
          <w:b/>
          <w:szCs w:val="21"/>
        </w:rPr>
      </w:pPr>
      <w:bookmarkStart w:id="48" w:name="_Toc9351386"/>
      <w:r>
        <w:rPr>
          <w:rFonts w:hint="eastAsia" w:ascii="宋体" w:hAnsi="宋体"/>
          <w:b/>
          <w:szCs w:val="21"/>
        </w:rPr>
        <w:t>八、交货期、交货方式及交货地点</w:t>
      </w:r>
      <w:bookmarkEnd w:id="48"/>
    </w:p>
    <w:p>
      <w:pPr>
        <w:adjustRightInd w:val="0"/>
        <w:snapToGrid w:val="0"/>
        <w:spacing w:line="276" w:lineRule="auto"/>
        <w:ind w:firstLine="420" w:firstLineChars="200"/>
        <w:rPr>
          <w:rFonts w:hint="eastAsia" w:ascii="宋体" w:hAnsi="宋体"/>
          <w:szCs w:val="21"/>
        </w:rPr>
      </w:pPr>
      <w:r>
        <w:rPr>
          <w:rFonts w:hint="eastAsia" w:ascii="宋体" w:hAnsi="宋体"/>
          <w:szCs w:val="21"/>
        </w:rPr>
        <w:t>1. 交货期：合同生效之日起【</w:t>
      </w:r>
      <w:r>
        <w:rPr>
          <w:rFonts w:ascii="宋体" w:hAnsi="宋体"/>
          <w:szCs w:val="21"/>
        </w:rPr>
        <w:t>60</w:t>
      </w:r>
      <w:r>
        <w:rPr>
          <w:rFonts w:hint="eastAsia" w:ascii="宋体" w:hAnsi="宋体"/>
          <w:szCs w:val="21"/>
        </w:rPr>
        <w:t>】个日历天（含安装调试）</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 交货方式：乙方送货上门</w:t>
      </w:r>
    </w:p>
    <w:p>
      <w:pPr>
        <w:adjustRightInd w:val="0"/>
        <w:snapToGrid w:val="0"/>
        <w:spacing w:line="276" w:lineRule="auto"/>
        <w:ind w:firstLine="420" w:firstLineChars="200"/>
        <w:rPr>
          <w:rFonts w:hint="eastAsia" w:ascii="宋体" w:hAnsi="宋体"/>
          <w:szCs w:val="21"/>
        </w:rPr>
      </w:pPr>
      <w:r>
        <w:rPr>
          <w:rFonts w:hint="eastAsia" w:ascii="宋体" w:hAnsi="宋体"/>
          <w:szCs w:val="21"/>
        </w:rPr>
        <w:t>3. 交货地点：杭州萧山国际机场内</w:t>
      </w:r>
    </w:p>
    <w:p>
      <w:pPr>
        <w:adjustRightInd w:val="0"/>
        <w:snapToGrid w:val="0"/>
        <w:spacing w:line="276" w:lineRule="auto"/>
        <w:ind w:firstLine="602"/>
        <w:outlineLvl w:val="0"/>
        <w:rPr>
          <w:rFonts w:hint="eastAsia" w:ascii="宋体" w:hAnsi="宋体"/>
          <w:b/>
          <w:szCs w:val="21"/>
        </w:rPr>
      </w:pPr>
      <w:bookmarkStart w:id="49" w:name="_Toc9351387"/>
      <w:r>
        <w:rPr>
          <w:rFonts w:hint="eastAsia" w:ascii="宋体" w:hAnsi="宋体"/>
          <w:b/>
          <w:szCs w:val="21"/>
        </w:rPr>
        <w:t>九、安装与验收</w:t>
      </w:r>
      <w:bookmarkEnd w:id="49"/>
    </w:p>
    <w:p>
      <w:pPr>
        <w:pStyle w:val="71"/>
        <w:adjustRightInd w:val="0"/>
        <w:snapToGrid w:val="0"/>
        <w:spacing w:line="276" w:lineRule="auto"/>
        <w:ind w:firstLine="422" w:firstLineChars="200"/>
        <w:rPr>
          <w:rFonts w:hint="eastAsia" w:ascii="宋体" w:hAnsi="宋体"/>
          <w:szCs w:val="21"/>
        </w:rPr>
      </w:pPr>
      <w:r>
        <w:rPr>
          <w:rFonts w:hint="eastAsia" w:ascii="宋体" w:hAnsi="宋体"/>
          <w:b/>
          <w:szCs w:val="21"/>
        </w:rPr>
        <w:t>1.</w:t>
      </w:r>
      <w:r>
        <w:rPr>
          <w:rFonts w:hint="eastAsia" w:ascii="宋体" w:hAnsi="宋体"/>
          <w:szCs w:val="21"/>
        </w:rPr>
        <w:t xml:space="preserve">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 </w:t>
      </w:r>
      <w:r>
        <w:rPr>
          <w:rFonts w:ascii="宋体" w:hAnsi="宋体"/>
          <w:szCs w:val="21"/>
        </w:rPr>
        <w:t>3</w:t>
      </w:r>
      <w:r>
        <w:rPr>
          <w:rFonts w:hint="eastAsia" w:ascii="宋体" w:hAnsi="宋体"/>
          <w:szCs w:val="21"/>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w:t>
      </w:r>
    </w:p>
    <w:p>
      <w:pPr>
        <w:pStyle w:val="71"/>
        <w:adjustRightInd w:val="0"/>
        <w:snapToGrid w:val="0"/>
        <w:spacing w:line="276" w:lineRule="auto"/>
        <w:ind w:firstLine="422" w:firstLineChars="200"/>
        <w:rPr>
          <w:rFonts w:hint="eastAsia" w:ascii="宋体" w:hAnsi="宋体"/>
          <w:szCs w:val="21"/>
        </w:rPr>
      </w:pPr>
      <w:r>
        <w:rPr>
          <w:rFonts w:hint="eastAsia" w:ascii="宋体" w:hAnsi="宋体"/>
          <w:b/>
          <w:szCs w:val="21"/>
        </w:rPr>
        <w:t>2.</w:t>
      </w:r>
      <w:r>
        <w:rPr>
          <w:rFonts w:hint="eastAsia" w:ascii="宋体" w:hAnsi="宋体"/>
          <w:szCs w:val="21"/>
        </w:rPr>
        <w:t>乙方交货前应对产品作出全面检查和对验收文件进行整理，并列出清单，作为甲方收货验收和使用的技术条件依据，乙方检验的结果应随货物交甲方。</w:t>
      </w:r>
    </w:p>
    <w:p>
      <w:pPr>
        <w:pStyle w:val="71"/>
        <w:adjustRightInd w:val="0"/>
        <w:snapToGrid w:val="0"/>
        <w:spacing w:line="276" w:lineRule="auto"/>
        <w:ind w:firstLine="422" w:firstLineChars="200"/>
        <w:rPr>
          <w:rFonts w:hint="eastAsia" w:ascii="宋体" w:hAnsi="宋体"/>
          <w:szCs w:val="21"/>
        </w:rPr>
      </w:pPr>
      <w:r>
        <w:rPr>
          <w:rFonts w:hint="eastAsia" w:ascii="宋体" w:hAnsi="宋体"/>
          <w:b/>
          <w:szCs w:val="21"/>
        </w:rPr>
        <w:t>3.</w:t>
      </w:r>
      <w:r>
        <w:rPr>
          <w:rFonts w:hint="eastAsia" w:ascii="宋体" w:hAnsi="宋体"/>
          <w:szCs w:val="21"/>
        </w:rPr>
        <w:t xml:space="preserve">乙方应当在收到甲方前述第1款异议之日起【 </w:t>
      </w:r>
      <w:r>
        <w:rPr>
          <w:rFonts w:ascii="宋体" w:hAnsi="宋体"/>
          <w:szCs w:val="21"/>
        </w:rPr>
        <w:t>3</w:t>
      </w:r>
      <w:r>
        <w:rPr>
          <w:rFonts w:hint="eastAsia" w:ascii="宋体" w:hAnsi="宋体"/>
          <w:szCs w:val="21"/>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71"/>
        <w:adjustRightInd w:val="0"/>
        <w:snapToGrid w:val="0"/>
        <w:spacing w:line="276" w:lineRule="auto"/>
        <w:ind w:firstLine="422" w:firstLineChars="200"/>
        <w:rPr>
          <w:rFonts w:hint="eastAsia" w:ascii="宋体" w:hAnsi="宋体"/>
          <w:szCs w:val="21"/>
        </w:rPr>
      </w:pPr>
      <w:r>
        <w:rPr>
          <w:rFonts w:ascii="宋体" w:hAnsi="宋体"/>
          <w:b/>
          <w:szCs w:val="21"/>
        </w:rPr>
        <w:t>4.</w:t>
      </w:r>
      <w:r>
        <w:rPr>
          <w:rFonts w:hint="eastAsia" w:ascii="宋体" w:hAnsi="宋体"/>
          <w:szCs w:val="21"/>
        </w:rPr>
        <w:t>验收要求：</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设备数量、规格型号及功能符合合同和招标文件要求，且乙方已完成了用户使用培训，交付了操作手册。</w:t>
      </w:r>
    </w:p>
    <w:p>
      <w:pPr>
        <w:adjustRightInd w:val="0"/>
        <w:snapToGrid w:val="0"/>
        <w:spacing w:line="276" w:lineRule="auto"/>
        <w:ind w:firstLine="422" w:firstLineChars="200"/>
        <w:outlineLvl w:val="0"/>
        <w:rPr>
          <w:rFonts w:hint="eastAsia" w:ascii="宋体" w:hAnsi="宋体"/>
          <w:b/>
          <w:szCs w:val="21"/>
        </w:rPr>
      </w:pPr>
      <w:bookmarkStart w:id="50" w:name="_Toc9351388"/>
      <w:r>
        <w:rPr>
          <w:rFonts w:hint="eastAsia" w:ascii="宋体" w:hAnsi="宋体"/>
          <w:b/>
          <w:szCs w:val="21"/>
        </w:rPr>
        <w:t>十、货款支付</w:t>
      </w:r>
      <w:bookmarkEnd w:id="50"/>
    </w:p>
    <w:p>
      <w:pPr>
        <w:adjustRightInd w:val="0"/>
        <w:snapToGrid w:val="0"/>
        <w:spacing w:line="276" w:lineRule="auto"/>
        <w:ind w:firstLine="422" w:firstLineChars="200"/>
        <w:rPr>
          <w:rFonts w:ascii="宋体" w:hAnsi="宋体"/>
          <w:b/>
          <w:szCs w:val="21"/>
          <w:u w:val="single"/>
        </w:rPr>
      </w:pPr>
      <w:r>
        <w:rPr>
          <w:rFonts w:hint="eastAsia" w:ascii="宋体" w:hAnsi="宋体"/>
          <w:b/>
          <w:szCs w:val="21"/>
          <w:u w:val="single"/>
        </w:rPr>
        <w:t>1</w:t>
      </w:r>
      <w:r>
        <w:rPr>
          <w:rFonts w:ascii="宋体" w:hAnsi="宋体"/>
          <w:b/>
          <w:szCs w:val="21"/>
          <w:u w:val="single"/>
        </w:rPr>
        <w:t>.</w:t>
      </w:r>
      <w:r>
        <w:rPr>
          <w:rFonts w:hint="eastAsia" w:ascii="宋体" w:hAnsi="宋体"/>
          <w:b/>
          <w:szCs w:val="21"/>
          <w:u w:val="single"/>
        </w:rPr>
        <w:t>设备在到货、安装调试完成且经甲方验收合格后1</w:t>
      </w:r>
      <w:r>
        <w:rPr>
          <w:rFonts w:ascii="宋体" w:hAnsi="宋体"/>
          <w:b/>
          <w:szCs w:val="21"/>
          <w:u w:val="single"/>
        </w:rPr>
        <w:t>5</w:t>
      </w:r>
      <w:r>
        <w:rPr>
          <w:rFonts w:hint="eastAsia" w:ascii="宋体" w:hAnsi="宋体"/>
          <w:b/>
          <w:szCs w:val="21"/>
          <w:u w:val="single"/>
        </w:rPr>
        <w:t>日内，甲方凭乙方开具的全额增值税专用发票支付乙方合同总金额的</w:t>
      </w:r>
      <w:r>
        <w:rPr>
          <w:rFonts w:ascii="宋体" w:hAnsi="宋体"/>
          <w:b/>
          <w:szCs w:val="21"/>
          <w:u w:val="single"/>
        </w:rPr>
        <w:t>95</w:t>
      </w:r>
      <w:r>
        <w:rPr>
          <w:rFonts w:hint="eastAsia" w:ascii="宋体" w:hAnsi="宋体"/>
          <w:b/>
          <w:szCs w:val="21"/>
          <w:u w:val="single"/>
        </w:rPr>
        <w:t>%。</w:t>
      </w:r>
    </w:p>
    <w:p>
      <w:pPr>
        <w:adjustRightInd w:val="0"/>
        <w:snapToGrid w:val="0"/>
        <w:spacing w:line="276" w:lineRule="auto"/>
        <w:ind w:firstLine="422" w:firstLineChars="200"/>
        <w:rPr>
          <w:rFonts w:hint="eastAsia" w:ascii="宋体" w:hAnsi="宋体"/>
          <w:b/>
          <w:szCs w:val="21"/>
          <w:u w:val="single"/>
        </w:rPr>
      </w:pPr>
      <w:r>
        <w:rPr>
          <w:rFonts w:hint="eastAsia" w:ascii="宋体" w:hAnsi="宋体"/>
          <w:b/>
          <w:szCs w:val="21"/>
          <w:u w:val="single"/>
        </w:rPr>
        <w:t>2</w:t>
      </w:r>
      <w:r>
        <w:rPr>
          <w:rFonts w:ascii="宋体" w:hAnsi="宋体"/>
          <w:b/>
          <w:szCs w:val="21"/>
          <w:u w:val="single"/>
        </w:rPr>
        <w:t>.</w:t>
      </w:r>
      <w:r>
        <w:rPr>
          <w:rFonts w:hint="eastAsia" w:ascii="宋体" w:hAnsi="宋体"/>
          <w:b/>
          <w:szCs w:val="21"/>
          <w:u w:val="single"/>
        </w:rPr>
        <w:t>合同总金额的5</w:t>
      </w:r>
      <w:r>
        <w:rPr>
          <w:rFonts w:ascii="宋体" w:hAnsi="宋体"/>
          <w:b/>
          <w:szCs w:val="21"/>
          <w:u w:val="single"/>
        </w:rPr>
        <w:t>%</w:t>
      </w:r>
      <w:r>
        <w:rPr>
          <w:rFonts w:hint="eastAsia" w:ascii="宋体" w:hAnsi="宋体"/>
          <w:b/>
          <w:szCs w:val="21"/>
          <w:u w:val="single"/>
        </w:rPr>
        <w:t>在免费质保期（3年）满且经甲方确认乙方无任何违约行为后1</w:t>
      </w:r>
      <w:r>
        <w:rPr>
          <w:rFonts w:ascii="宋体" w:hAnsi="宋体"/>
          <w:b/>
          <w:szCs w:val="21"/>
          <w:u w:val="single"/>
        </w:rPr>
        <w:t>5</w:t>
      </w:r>
      <w:r>
        <w:rPr>
          <w:rFonts w:hint="eastAsia" w:ascii="宋体" w:hAnsi="宋体"/>
          <w:b/>
          <w:szCs w:val="21"/>
          <w:u w:val="single"/>
        </w:rPr>
        <w:t xml:space="preserve">日内支付。 </w:t>
      </w:r>
    </w:p>
    <w:p>
      <w:pPr>
        <w:adjustRightInd w:val="0"/>
        <w:snapToGrid w:val="0"/>
        <w:spacing w:line="276" w:lineRule="auto"/>
        <w:ind w:firstLine="420" w:firstLineChars="200"/>
        <w:rPr>
          <w:rFonts w:hint="eastAsia" w:ascii="宋体" w:hAnsi="宋体"/>
          <w:szCs w:val="21"/>
        </w:rPr>
      </w:pPr>
    </w:p>
    <w:p>
      <w:pPr>
        <w:pStyle w:val="42"/>
        <w:spacing w:before="150" w:after="150" w:line="276" w:lineRule="auto"/>
        <w:ind w:firstLine="422" w:firstLineChars="200"/>
        <w:rPr>
          <w:rFonts w:hint="eastAsia"/>
          <w:b/>
          <w:sz w:val="21"/>
          <w:szCs w:val="21"/>
          <w:lang w:val="zh-CN"/>
        </w:rPr>
      </w:pPr>
      <w:r>
        <w:rPr>
          <w:rFonts w:hint="eastAsia"/>
          <w:b/>
          <w:sz w:val="21"/>
          <w:szCs w:val="21"/>
        </w:rPr>
        <w:t>十一、</w:t>
      </w:r>
      <w:r>
        <w:rPr>
          <w:rFonts w:hint="eastAsia"/>
          <w:b/>
          <w:sz w:val="21"/>
          <w:szCs w:val="21"/>
          <w:lang w:val="zh-CN"/>
        </w:rPr>
        <w:t>履约保证金</w:t>
      </w:r>
    </w:p>
    <w:p>
      <w:pPr>
        <w:adjustRightInd w:val="0"/>
        <w:snapToGrid w:val="0"/>
        <w:spacing w:line="276" w:lineRule="auto"/>
        <w:ind w:firstLine="420" w:firstLineChars="200"/>
        <w:rPr>
          <w:rFonts w:hint="eastAsia" w:ascii="宋体" w:hAnsi="宋体"/>
          <w:szCs w:val="21"/>
        </w:rPr>
      </w:pPr>
      <w:r>
        <w:rPr>
          <w:rFonts w:hint="eastAsia" w:ascii="宋体" w:hAnsi="宋体"/>
          <w:szCs w:val="21"/>
        </w:rPr>
        <w:t>1．乙方应在收到甲方中标通知书后【</w:t>
      </w:r>
      <w:r>
        <w:rPr>
          <w:rFonts w:ascii="宋体" w:hAnsi="宋体"/>
          <w:szCs w:val="21"/>
        </w:rPr>
        <w:t>10</w:t>
      </w:r>
      <w:r>
        <w:rPr>
          <w:rFonts w:hint="eastAsia" w:ascii="宋体" w:hAnsi="宋体"/>
          <w:szCs w:val="21"/>
        </w:rPr>
        <w:t>】日内，</w:t>
      </w:r>
      <w:r>
        <w:rPr>
          <w:rFonts w:hint="eastAsia" w:ascii="宋体" w:hAnsi="宋体"/>
          <w:b/>
          <w:szCs w:val="21"/>
          <w:u w:val="single"/>
        </w:rPr>
        <w:t>向甲方支付合同总价的【</w:t>
      </w:r>
      <w:r>
        <w:rPr>
          <w:rFonts w:ascii="宋体" w:hAnsi="宋体"/>
          <w:b/>
          <w:szCs w:val="21"/>
          <w:u w:val="single"/>
        </w:rPr>
        <w:t>10</w:t>
      </w:r>
      <w:r>
        <w:rPr>
          <w:rFonts w:hint="eastAsia" w:ascii="宋体" w:hAnsi="宋体"/>
          <w:b/>
          <w:szCs w:val="21"/>
          <w:u w:val="single"/>
        </w:rPr>
        <w:t>%】作为履约保证金。</w:t>
      </w:r>
      <w:r>
        <w:rPr>
          <w:rFonts w:hint="eastAsia" w:ascii="宋体" w:hAnsi="宋体"/>
          <w:szCs w:val="21"/>
        </w:rPr>
        <w:t>如果逾期未缴纳，甲方有权解除本合同，并要求乙方承担由此给甲方造成的损失。</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2．在合同履行期间，如果乙方存在违约情形，甲方有权优先从履约保证金中扣除相应款项，并书面通知乙方。乙方自收到书面通知之日起【</w:t>
      </w:r>
      <w:r>
        <w:rPr>
          <w:rFonts w:ascii="宋体" w:hAnsi="宋体"/>
          <w:szCs w:val="21"/>
        </w:rPr>
        <w:t>5</w:t>
      </w:r>
      <w:r>
        <w:rPr>
          <w:rFonts w:hint="eastAsia" w:ascii="宋体" w:hAnsi="宋体"/>
          <w:szCs w:val="21"/>
        </w:rPr>
        <w:t xml:space="preserve">】日内补足履约保证金。如果乙方不及时补足履约保证金，视为乙方违约，甲方有权解除合同，并要求乙方承担相应的违约责任。待合同约定服务内容全部履行并完毕，乙方不存在任何违约情形并收到甲方书面认可后【 </w:t>
      </w:r>
      <w:r>
        <w:rPr>
          <w:rFonts w:ascii="宋体" w:hAnsi="宋体"/>
          <w:szCs w:val="21"/>
        </w:rPr>
        <w:t>3</w:t>
      </w:r>
      <w:r>
        <w:rPr>
          <w:rFonts w:hint="eastAsia" w:ascii="宋体" w:hAnsi="宋体"/>
          <w:szCs w:val="21"/>
        </w:rPr>
        <w:t>】日内，甲方无息返还履约保证金。</w:t>
      </w:r>
    </w:p>
    <w:p>
      <w:pPr>
        <w:adjustRightInd w:val="0"/>
        <w:snapToGrid w:val="0"/>
        <w:spacing w:line="276" w:lineRule="auto"/>
        <w:ind w:firstLine="602"/>
        <w:outlineLvl w:val="0"/>
        <w:rPr>
          <w:rFonts w:hint="eastAsia" w:ascii="宋体" w:hAnsi="宋体"/>
          <w:b/>
          <w:szCs w:val="21"/>
        </w:rPr>
      </w:pPr>
      <w:bookmarkStart w:id="51" w:name="_Toc9351389"/>
      <w:r>
        <w:rPr>
          <w:rFonts w:hint="eastAsia" w:ascii="宋体" w:hAnsi="宋体"/>
          <w:b/>
          <w:szCs w:val="21"/>
        </w:rPr>
        <w:t>十二、免费质保期及服务内容</w:t>
      </w:r>
      <w:bookmarkEnd w:id="51"/>
    </w:p>
    <w:p>
      <w:pPr>
        <w:adjustRightInd w:val="0"/>
        <w:snapToGrid w:val="0"/>
        <w:spacing w:line="276" w:lineRule="auto"/>
        <w:ind w:firstLine="420" w:firstLineChars="200"/>
        <w:rPr>
          <w:rFonts w:hint="eastAsia" w:ascii="宋体" w:hAnsi="宋体"/>
          <w:szCs w:val="21"/>
        </w:rPr>
      </w:pPr>
      <w:r>
        <w:rPr>
          <w:rFonts w:hint="eastAsia" w:ascii="宋体" w:hAnsi="宋体"/>
          <w:szCs w:val="21"/>
        </w:rPr>
        <w:t>1.乙方保证其所供应的产品符合相关产品质量标准，不存在任何质量瑕疵或因质量瑕疵而导致的安全隐患，且为未经使用的全新产品。</w:t>
      </w:r>
    </w:p>
    <w:p>
      <w:pPr>
        <w:adjustRightInd w:val="0"/>
        <w:snapToGrid w:val="0"/>
        <w:ind w:firstLine="420" w:firstLineChars="200"/>
        <w:rPr>
          <w:rFonts w:hint="eastAsia" w:ascii="宋体" w:hAnsi="宋体"/>
          <w:b/>
          <w:sz w:val="22"/>
        </w:rPr>
      </w:pPr>
      <w:r>
        <w:rPr>
          <w:rFonts w:hint="eastAsia" w:ascii="宋体" w:hAnsi="宋体"/>
          <w:szCs w:val="21"/>
          <w:u w:val="single"/>
        </w:rPr>
        <w:t>2.乙方应为产品提供的免费质保期(含工时费和零部件费)：</w:t>
      </w:r>
      <w:r>
        <w:rPr>
          <w:rFonts w:hint="eastAsia" w:ascii="宋体" w:hAnsi="宋体" w:cs="Arial"/>
          <w:b/>
          <w:kern w:val="0"/>
          <w:sz w:val="22"/>
          <w:u w:val="single"/>
        </w:rPr>
        <w:t>自最终验收合格之日起计算，为期3年。</w:t>
      </w:r>
    </w:p>
    <w:p>
      <w:pPr>
        <w:adjustRightInd w:val="0"/>
        <w:snapToGrid w:val="0"/>
        <w:spacing w:line="276" w:lineRule="auto"/>
        <w:ind w:firstLine="422" w:firstLineChars="200"/>
        <w:rPr>
          <w:rFonts w:ascii="宋体" w:hAnsi="宋体"/>
          <w:b/>
          <w:szCs w:val="21"/>
          <w:u w:val="single"/>
        </w:rPr>
      </w:pPr>
    </w:p>
    <w:p>
      <w:pPr>
        <w:adjustRightInd w:val="0"/>
        <w:snapToGrid w:val="0"/>
        <w:spacing w:line="276" w:lineRule="auto"/>
        <w:ind w:firstLine="420" w:firstLineChars="200"/>
        <w:rPr>
          <w:rFonts w:hint="eastAsia" w:ascii="宋体" w:hAnsi="宋体"/>
          <w:szCs w:val="21"/>
        </w:rPr>
      </w:pPr>
      <w:r>
        <w:rPr>
          <w:rFonts w:hint="eastAsia" w:ascii="宋体" w:hAnsi="宋体"/>
          <w:szCs w:val="21"/>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276" w:lineRule="auto"/>
        <w:ind w:firstLine="420" w:firstLineChars="200"/>
        <w:rPr>
          <w:rFonts w:hint="eastAsia" w:ascii="宋体" w:hAnsi="宋体"/>
          <w:b/>
          <w:szCs w:val="21"/>
          <w:u w:val="single"/>
        </w:rPr>
      </w:pPr>
      <w:r>
        <w:rPr>
          <w:rFonts w:hint="eastAsia" w:ascii="宋体" w:hAnsi="宋体"/>
          <w:szCs w:val="21"/>
        </w:rPr>
        <w:t>4.产品故障报修的响应时间：</w:t>
      </w:r>
      <w:r>
        <w:rPr>
          <w:rFonts w:hint="eastAsia" w:ascii="宋体" w:hAnsi="宋体"/>
          <w:b/>
          <w:szCs w:val="21"/>
          <w:u w:val="single"/>
        </w:rPr>
        <w:t>应在接到产品故障报修后4小时内响应，1个工作日内到达现场，2个工作日内处理完毕。若故障检修2个工作日后仍无法排除的，乙方应在故障报修2个工作日后的1个工作日内提供不低于故障规格型号档次的替代产品供甲方使用。</w:t>
      </w:r>
    </w:p>
    <w:p>
      <w:pPr>
        <w:adjustRightInd w:val="0"/>
        <w:snapToGrid w:val="0"/>
        <w:spacing w:line="276" w:lineRule="auto"/>
        <w:ind w:firstLine="420" w:firstLineChars="200"/>
        <w:rPr>
          <w:rFonts w:hint="eastAsia" w:ascii="宋体" w:hAnsi="宋体"/>
          <w:szCs w:val="21"/>
        </w:rPr>
      </w:pPr>
      <w:r>
        <w:rPr>
          <w:rFonts w:hint="eastAsia" w:ascii="宋体" w:hAnsi="宋体"/>
          <w:szCs w:val="21"/>
        </w:rPr>
        <w:t>5.免费质保期结束的【  3】天前，乙方负责对产品进行一次全面的检修和维护，并由甲方验收认可。甲方验收认可并不免除乙方对于验收认可后发生的但尚在质保期限内的产品故障或损坏的维修、退换货义务。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276" w:lineRule="auto"/>
        <w:ind w:firstLine="420" w:firstLineChars="200"/>
        <w:rPr>
          <w:rFonts w:ascii="宋体" w:hAnsi="宋体"/>
          <w:szCs w:val="21"/>
        </w:rPr>
      </w:pPr>
      <w:r>
        <w:rPr>
          <w:rFonts w:hint="eastAsia" w:ascii="宋体" w:hAnsi="宋体"/>
          <w:szCs w:val="21"/>
        </w:rPr>
        <w:t>6.若乙方提供的产品属于伪劣产品或者假冒产品或者欺诈甲方，使得甲方遭受损失，乙方应向甲方承担违约责任，同时，甲方可依法寻求其他法律救济。</w:t>
      </w:r>
    </w:p>
    <w:p>
      <w:pPr>
        <w:adjustRightInd w:val="0"/>
        <w:snapToGrid w:val="0"/>
        <w:spacing w:line="276" w:lineRule="auto"/>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u w:val="single"/>
        </w:rPr>
        <w:t>若乙方所供产品被查出全部或者部分是次品、旧品、水货、侵犯知识产权的产品的，则乙方应自发现之日起（或者故障报修之日起满3个月后）3个工作日内对产品进行更换，且更换的产品应为不低于原产品型号、质量、配置、性能和售后服务的产品。</w:t>
      </w:r>
    </w:p>
    <w:p>
      <w:pPr>
        <w:adjustRightInd w:val="0"/>
        <w:snapToGrid w:val="0"/>
        <w:spacing w:line="276" w:lineRule="auto"/>
        <w:ind w:firstLine="602"/>
        <w:outlineLvl w:val="0"/>
        <w:rPr>
          <w:rFonts w:hint="eastAsia" w:ascii="宋体" w:hAnsi="宋体"/>
          <w:b/>
          <w:szCs w:val="21"/>
        </w:rPr>
      </w:pPr>
      <w:bookmarkStart w:id="52" w:name="_Toc9351390"/>
      <w:r>
        <w:rPr>
          <w:rFonts w:hint="eastAsia" w:ascii="宋体" w:hAnsi="宋体"/>
          <w:b/>
          <w:szCs w:val="21"/>
        </w:rPr>
        <w:t>十三、违约责任</w:t>
      </w:r>
      <w:bookmarkEnd w:id="52"/>
    </w:p>
    <w:p>
      <w:pPr>
        <w:adjustRightInd w:val="0"/>
        <w:snapToGrid w:val="0"/>
        <w:spacing w:line="276" w:lineRule="auto"/>
        <w:ind w:firstLine="420" w:firstLineChars="200"/>
        <w:rPr>
          <w:rFonts w:hint="eastAsia" w:ascii="宋体" w:hAnsi="宋体"/>
          <w:szCs w:val="21"/>
        </w:rPr>
      </w:pPr>
      <w:r>
        <w:rPr>
          <w:rFonts w:hint="eastAsia" w:ascii="宋体" w:hAnsi="宋体"/>
          <w:szCs w:val="21"/>
        </w:rPr>
        <w:t>1. 甲方无故逾期支付货款的,甲方应按逾期付款总额每日【0.05】%向乙方支付违约金。</w:t>
      </w:r>
    </w:p>
    <w:p>
      <w:pPr>
        <w:adjustRightInd w:val="0"/>
        <w:snapToGrid w:val="0"/>
        <w:spacing w:line="276" w:lineRule="auto"/>
        <w:ind w:firstLine="420" w:firstLineChars="200"/>
        <w:rPr>
          <w:rFonts w:hint="eastAsia" w:ascii="宋体" w:hAnsi="宋体"/>
          <w:szCs w:val="21"/>
        </w:rPr>
      </w:pPr>
      <w:r>
        <w:rPr>
          <w:rFonts w:hint="eastAsia" w:ascii="宋体" w:hAnsi="宋体"/>
          <w:szCs w:val="21"/>
        </w:rPr>
        <w:t xml:space="preserve">2. 乙方逾期交付产品和本合同规定的文件资料的，或者未按甲方时间要求完成安装调试并通过甲方终验收的，乙方应按合同总额每日【0.05】%向甲方支付违约金，由甲方从货款中扣除。逾期超过约定日期【 10】个工作日的，甲方可解除本合同。乙方因逾期交货或因其他违约行为导致甲方解除合同的，乙方应向甲方支付合同总额【 5】%的违约金，且全额没收乙方的履约保证金，如造成甲方损失超过违约金的，超出部分由乙方继续承担赔偿责任。 </w:t>
      </w:r>
    </w:p>
    <w:p>
      <w:pPr>
        <w:adjustRightInd w:val="0"/>
        <w:snapToGrid w:val="0"/>
        <w:spacing w:line="276" w:lineRule="auto"/>
        <w:ind w:firstLine="420" w:firstLineChars="200"/>
        <w:rPr>
          <w:rFonts w:hint="eastAsia" w:ascii="宋体" w:hAnsi="宋体"/>
          <w:szCs w:val="21"/>
        </w:rPr>
      </w:pPr>
      <w:r>
        <w:rPr>
          <w:rFonts w:hint="eastAsia" w:ascii="宋体" w:hAnsi="宋体"/>
          <w:szCs w:val="21"/>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276" w:lineRule="auto"/>
        <w:ind w:firstLine="420" w:firstLineChars="200"/>
        <w:rPr>
          <w:rFonts w:hint="eastAsia" w:ascii="宋体" w:hAnsi="宋体"/>
          <w:szCs w:val="21"/>
        </w:rPr>
      </w:pPr>
      <w:r>
        <w:rPr>
          <w:rFonts w:hint="eastAsia" w:ascii="宋体" w:hAnsi="宋体"/>
          <w:szCs w:val="21"/>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276" w:lineRule="auto"/>
        <w:ind w:firstLine="420" w:firstLineChars="200"/>
        <w:rPr>
          <w:rFonts w:hint="eastAsia" w:ascii="宋体" w:hAnsi="宋体"/>
          <w:szCs w:val="21"/>
        </w:rPr>
      </w:pPr>
      <w:r>
        <w:rPr>
          <w:rFonts w:hint="eastAsia" w:ascii="宋体" w:hAnsi="宋体"/>
          <w:szCs w:val="21"/>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276" w:lineRule="auto"/>
        <w:ind w:firstLine="420" w:firstLineChars="200"/>
        <w:rPr>
          <w:rFonts w:hint="eastAsia" w:ascii="宋体" w:hAnsi="宋体"/>
          <w:szCs w:val="21"/>
        </w:rPr>
      </w:pPr>
      <w:r>
        <w:rPr>
          <w:rFonts w:hint="eastAsia" w:ascii="宋体" w:hAnsi="宋体"/>
          <w:szCs w:val="21"/>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276" w:lineRule="auto"/>
        <w:ind w:firstLine="420" w:firstLineChars="200"/>
        <w:rPr>
          <w:rFonts w:hint="eastAsia" w:ascii="宋体" w:hAnsi="宋体"/>
          <w:szCs w:val="21"/>
        </w:rPr>
      </w:pPr>
      <w:r>
        <w:rPr>
          <w:rFonts w:hint="eastAsia" w:ascii="宋体" w:hAnsi="宋体"/>
          <w:szCs w:val="21"/>
        </w:rPr>
        <w:t>7．对于本合同项下乙方应支付的赔偿款或违约金，甲方有权从应付乙方的货款及履约保证金中直接扣除，不足的部分，继续向乙方追偿。</w:t>
      </w:r>
    </w:p>
    <w:p>
      <w:pPr>
        <w:adjustRightInd w:val="0"/>
        <w:snapToGrid w:val="0"/>
        <w:spacing w:line="276" w:lineRule="auto"/>
        <w:ind w:firstLine="602"/>
        <w:outlineLvl w:val="0"/>
        <w:rPr>
          <w:rFonts w:hint="eastAsia" w:ascii="宋体" w:hAnsi="宋体"/>
          <w:b/>
          <w:szCs w:val="21"/>
        </w:rPr>
      </w:pPr>
      <w:bookmarkStart w:id="53" w:name="_Toc9351391"/>
      <w:r>
        <w:rPr>
          <w:rFonts w:hint="eastAsia" w:ascii="宋体" w:hAnsi="宋体"/>
          <w:b/>
          <w:szCs w:val="21"/>
        </w:rPr>
        <w:t>十四、不可抗力事件处理</w:t>
      </w:r>
      <w:bookmarkEnd w:id="53"/>
    </w:p>
    <w:p>
      <w:pPr>
        <w:adjustRightInd w:val="0"/>
        <w:snapToGrid w:val="0"/>
        <w:spacing w:line="276" w:lineRule="auto"/>
        <w:ind w:firstLine="420" w:firstLineChars="200"/>
        <w:rPr>
          <w:rFonts w:hint="eastAsia" w:ascii="宋体" w:hAnsi="宋体"/>
          <w:szCs w:val="21"/>
        </w:rPr>
      </w:pPr>
      <w:r>
        <w:rPr>
          <w:rFonts w:hint="eastAsia" w:ascii="宋体" w:hAnsi="宋体"/>
          <w:szCs w:val="21"/>
        </w:rPr>
        <w:t>1. 在合同有效期内，任何一方因不可抗力事件导致不能履行合同，则合同履行期可延长，其延长期与不可抗力影响期相同。</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 不可抗力事件发生后，遭遇不可抗力的一方应立即通知对方，并寄送有关官方权威机构出具的证明。</w:t>
      </w:r>
    </w:p>
    <w:p>
      <w:pPr>
        <w:spacing w:line="276" w:lineRule="auto"/>
        <w:ind w:firstLine="399" w:firstLineChars="190"/>
        <w:rPr>
          <w:rFonts w:hint="eastAsia" w:ascii="宋体" w:hAnsi="宋体"/>
          <w:szCs w:val="21"/>
        </w:rPr>
      </w:pPr>
      <w:r>
        <w:rPr>
          <w:rFonts w:hint="eastAsia" w:ascii="宋体" w:hAnsi="宋体"/>
          <w:szCs w:val="21"/>
        </w:rPr>
        <w:t>3. 不可抗力事件延续【140 】天以上，双方应通过友好协商，确定是否继续履行合同；协商无法达成一致的，本合同自动终止，双方互不承担赔偿或违约责任。</w:t>
      </w:r>
    </w:p>
    <w:p>
      <w:pPr>
        <w:adjustRightInd w:val="0"/>
        <w:snapToGrid w:val="0"/>
        <w:spacing w:line="276" w:lineRule="auto"/>
        <w:ind w:firstLine="211" w:firstLineChars="100"/>
        <w:rPr>
          <w:rFonts w:hint="eastAsia" w:ascii="宋体" w:hAnsi="宋体"/>
          <w:b/>
          <w:szCs w:val="21"/>
        </w:rPr>
      </w:pPr>
      <w:r>
        <w:rPr>
          <w:rFonts w:hint="eastAsia" w:ascii="宋体" w:hAnsi="宋体"/>
          <w:b/>
          <w:szCs w:val="21"/>
        </w:rPr>
        <w:t>十五、争议解决</w:t>
      </w:r>
    </w:p>
    <w:p>
      <w:pPr>
        <w:adjustRightInd w:val="0"/>
        <w:snapToGrid w:val="0"/>
        <w:spacing w:line="276" w:lineRule="auto"/>
        <w:ind w:firstLine="420" w:firstLineChars="200"/>
        <w:rPr>
          <w:rFonts w:hint="eastAsia" w:ascii="宋体" w:hAnsi="宋体"/>
          <w:szCs w:val="21"/>
        </w:rPr>
      </w:pPr>
      <w:r>
        <w:rPr>
          <w:rFonts w:hint="eastAsia" w:ascii="宋体" w:hAnsi="宋体"/>
          <w:szCs w:val="21"/>
        </w:rPr>
        <w:t>双方在执行合同中所发生的一切争议，应通过协商解决。如协商不成，由甲方所在地的人民法院管辖审理。</w:t>
      </w:r>
    </w:p>
    <w:p>
      <w:pPr>
        <w:adjustRightInd w:val="0"/>
        <w:snapToGrid w:val="0"/>
        <w:spacing w:line="276" w:lineRule="auto"/>
        <w:ind w:firstLine="422" w:firstLineChars="200"/>
        <w:rPr>
          <w:rFonts w:hint="eastAsia" w:ascii="宋体" w:hAnsi="宋体"/>
          <w:b/>
          <w:szCs w:val="21"/>
        </w:rPr>
      </w:pPr>
      <w:r>
        <w:rPr>
          <w:rFonts w:hint="eastAsia" w:ascii="宋体" w:hAnsi="宋体"/>
          <w:b/>
          <w:szCs w:val="21"/>
        </w:rPr>
        <w:t>十六、合同组成文件包含下列内容，且解释顺序如下：</w:t>
      </w:r>
    </w:p>
    <w:p>
      <w:pPr>
        <w:adjustRightInd w:val="0"/>
        <w:snapToGrid w:val="0"/>
        <w:spacing w:line="276" w:lineRule="auto"/>
        <w:ind w:firstLine="420" w:firstLineChars="200"/>
        <w:rPr>
          <w:rFonts w:hint="eastAsia" w:ascii="宋体" w:hAnsi="宋体"/>
          <w:szCs w:val="21"/>
        </w:rPr>
      </w:pPr>
      <w:r>
        <w:rPr>
          <w:rFonts w:hint="eastAsia" w:ascii="宋体" w:hAnsi="宋体"/>
          <w:szCs w:val="21"/>
        </w:rPr>
        <w:t>1.本合同协议书</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2.中标通知书</w:t>
      </w:r>
    </w:p>
    <w:p>
      <w:pPr>
        <w:adjustRightInd w:val="0"/>
        <w:snapToGrid w:val="0"/>
        <w:spacing w:line="276" w:lineRule="auto"/>
        <w:ind w:firstLine="420" w:firstLineChars="200"/>
        <w:rPr>
          <w:rFonts w:hint="eastAsia" w:ascii="宋体" w:hAnsi="宋体"/>
          <w:szCs w:val="21"/>
        </w:rPr>
      </w:pPr>
      <w:r>
        <w:rPr>
          <w:rFonts w:hint="eastAsia" w:ascii="宋体" w:hAnsi="宋体"/>
          <w:szCs w:val="21"/>
        </w:rPr>
        <w:t>3.投标书及其附件</w:t>
      </w:r>
    </w:p>
    <w:p>
      <w:pPr>
        <w:adjustRightInd w:val="0"/>
        <w:snapToGrid w:val="0"/>
        <w:spacing w:line="276" w:lineRule="auto"/>
        <w:ind w:firstLine="420" w:firstLineChars="200"/>
        <w:rPr>
          <w:rFonts w:hint="eastAsia" w:ascii="宋体" w:hAnsi="宋体"/>
          <w:szCs w:val="21"/>
        </w:rPr>
      </w:pPr>
      <w:r>
        <w:rPr>
          <w:rFonts w:hint="eastAsia" w:ascii="宋体" w:hAnsi="宋体"/>
          <w:szCs w:val="21"/>
        </w:rPr>
        <w:t>4.招标文件</w:t>
      </w:r>
    </w:p>
    <w:p>
      <w:pPr>
        <w:adjustRightInd w:val="0"/>
        <w:snapToGrid w:val="0"/>
        <w:spacing w:line="276" w:lineRule="auto"/>
        <w:ind w:firstLine="420" w:firstLineChars="200"/>
        <w:rPr>
          <w:rFonts w:hint="eastAsia" w:ascii="宋体" w:hAnsi="宋体"/>
          <w:szCs w:val="21"/>
        </w:rPr>
      </w:pPr>
      <w:r>
        <w:rPr>
          <w:rFonts w:hint="eastAsia" w:ascii="宋体" w:hAnsi="宋体"/>
          <w:szCs w:val="21"/>
        </w:rPr>
        <w:t>5.标准、规范及有关技术文件</w:t>
      </w:r>
    </w:p>
    <w:p>
      <w:pPr>
        <w:adjustRightInd w:val="0"/>
        <w:snapToGrid w:val="0"/>
        <w:spacing w:line="276" w:lineRule="auto"/>
        <w:ind w:firstLine="602"/>
        <w:outlineLvl w:val="0"/>
        <w:rPr>
          <w:rFonts w:hint="eastAsia" w:ascii="宋体" w:hAnsi="宋体"/>
          <w:b/>
          <w:szCs w:val="21"/>
        </w:rPr>
      </w:pPr>
      <w:bookmarkStart w:id="54" w:name="_Toc9351392"/>
      <w:r>
        <w:rPr>
          <w:rFonts w:hint="eastAsia" w:ascii="宋体" w:hAnsi="宋体"/>
          <w:b/>
          <w:szCs w:val="21"/>
        </w:rPr>
        <w:t>十七、合同生效及其它</w:t>
      </w:r>
      <w:bookmarkEnd w:id="54"/>
    </w:p>
    <w:p>
      <w:pPr>
        <w:adjustRightInd w:val="0"/>
        <w:snapToGrid w:val="0"/>
        <w:spacing w:line="276" w:lineRule="auto"/>
        <w:ind w:firstLine="420" w:firstLineChars="200"/>
        <w:rPr>
          <w:rFonts w:hint="eastAsia" w:ascii="宋体" w:hAnsi="宋体"/>
          <w:szCs w:val="21"/>
        </w:rPr>
      </w:pPr>
      <w:r>
        <w:rPr>
          <w:rFonts w:hint="eastAsia" w:ascii="宋体" w:hAnsi="宋体"/>
          <w:szCs w:val="21"/>
        </w:rPr>
        <w:t>1. 合同经双方法定代表人或授权代表签字（包含签章）并加盖单位公章或者合同章之日起生效。</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2.本合同未尽事宜，双方可签订补充协议予以执行；未达成补充协议的，遵照《合同法》及有关法律法规执行。</w:t>
      </w:r>
    </w:p>
    <w:p>
      <w:pPr>
        <w:tabs>
          <w:tab w:val="right" w:pos="8306"/>
        </w:tabs>
        <w:adjustRightInd w:val="0"/>
        <w:snapToGrid w:val="0"/>
        <w:spacing w:line="276" w:lineRule="auto"/>
        <w:ind w:firstLine="420" w:firstLineChars="200"/>
        <w:rPr>
          <w:rFonts w:ascii="宋体" w:hAnsi="宋体"/>
          <w:szCs w:val="21"/>
        </w:rPr>
      </w:pPr>
      <w:r>
        <w:rPr>
          <w:rFonts w:hint="eastAsia" w:ascii="宋体" w:hAnsi="宋体"/>
          <w:szCs w:val="21"/>
        </w:rPr>
        <w:t>3.本合同一式陆份，甲执叁份，乙方持叁份，具有同等法律效力。</w:t>
      </w:r>
    </w:p>
    <w:p>
      <w:pPr>
        <w:adjustRightInd w:val="0"/>
        <w:snapToGrid w:val="0"/>
        <w:spacing w:line="276" w:lineRule="auto"/>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（1）设备参数及详细配置表；（2）廉洁自律承诺书；（</w:t>
      </w:r>
      <w:r>
        <w:rPr>
          <w:rFonts w:ascii="宋体" w:hAnsi="宋体"/>
          <w:szCs w:val="21"/>
        </w:rPr>
        <w:t>3</w:t>
      </w:r>
      <w:r>
        <w:rPr>
          <w:rFonts w:hint="eastAsia" w:ascii="宋体" w:hAnsi="宋体"/>
          <w:szCs w:val="21"/>
        </w:rPr>
        <w:t xml:space="preserve">）保密承诺书 </w:t>
      </w:r>
    </w:p>
    <w:p>
      <w:pPr>
        <w:tabs>
          <w:tab w:val="right" w:pos="8306"/>
        </w:tabs>
        <w:adjustRightInd w:val="0"/>
        <w:snapToGrid w:val="0"/>
        <w:spacing w:line="276" w:lineRule="auto"/>
        <w:ind w:firstLine="420" w:firstLineChars="200"/>
        <w:rPr>
          <w:rFonts w:hint="eastAsia" w:ascii="宋体" w:hAnsi="宋体"/>
          <w:szCs w:val="21"/>
        </w:rPr>
      </w:pPr>
      <w:r>
        <w:rPr>
          <w:rFonts w:hint="eastAsia" w:ascii="宋体" w:hAnsi="宋体"/>
          <w:szCs w:val="21"/>
        </w:rPr>
        <w:tab/>
      </w:r>
    </w:p>
    <w:p>
      <w:pPr>
        <w:adjustRightInd w:val="0"/>
        <w:snapToGrid w:val="0"/>
        <w:spacing w:line="276" w:lineRule="auto"/>
        <w:ind w:left="3360" w:leftChars="200" w:hanging="2940" w:hangingChars="1400"/>
        <w:rPr>
          <w:rFonts w:hint="eastAsia" w:ascii="宋体" w:hAnsi="宋体"/>
          <w:szCs w:val="21"/>
        </w:rPr>
      </w:pPr>
      <w:r>
        <w:rPr>
          <w:rFonts w:hint="eastAsia" w:ascii="宋体" w:hAnsi="宋体"/>
          <w:szCs w:val="21"/>
        </w:rPr>
        <w:t xml:space="preserve">甲方：杭州萧山国际机场有限公司  </w:t>
      </w:r>
      <w:r>
        <w:rPr>
          <w:rFonts w:ascii="宋体" w:hAnsi="宋体"/>
          <w:szCs w:val="21"/>
        </w:rPr>
        <w:t xml:space="preserve">                  </w:t>
      </w:r>
      <w:r>
        <w:rPr>
          <w:rFonts w:hint="eastAsia" w:ascii="宋体" w:hAnsi="宋体"/>
          <w:szCs w:val="21"/>
        </w:rPr>
        <w:t>乙方：</w:t>
      </w:r>
    </w:p>
    <w:p>
      <w:pPr>
        <w:adjustRightInd w:val="0"/>
        <w:snapToGrid w:val="0"/>
        <w:spacing w:line="276" w:lineRule="auto"/>
        <w:ind w:firstLine="420" w:firstLineChars="200"/>
        <w:rPr>
          <w:rFonts w:ascii="宋体" w:hAnsi="宋体"/>
          <w:szCs w:val="21"/>
        </w:rPr>
      </w:pPr>
    </w:p>
    <w:p>
      <w:pPr>
        <w:adjustRightInd w:val="0"/>
        <w:snapToGrid w:val="0"/>
        <w:spacing w:line="276" w:lineRule="auto"/>
        <w:ind w:firstLine="420" w:firstLineChars="200"/>
        <w:rPr>
          <w:rFonts w:hint="eastAsia" w:ascii="宋体" w:hAnsi="宋体"/>
          <w:szCs w:val="21"/>
        </w:rPr>
      </w:pPr>
      <w:r>
        <w:rPr>
          <w:rFonts w:hint="eastAsia" w:ascii="宋体" w:hAnsi="宋体"/>
          <w:szCs w:val="21"/>
        </w:rPr>
        <w:t xml:space="preserve">法定代表人或授权代表： </w:t>
      </w:r>
      <w:r>
        <w:rPr>
          <w:rFonts w:ascii="宋体" w:hAnsi="宋体"/>
          <w:szCs w:val="21"/>
        </w:rPr>
        <w:t xml:space="preserve">                   </w:t>
      </w:r>
      <w:r>
        <w:rPr>
          <w:rFonts w:hint="eastAsia" w:ascii="宋体" w:hAnsi="宋体"/>
          <w:szCs w:val="21"/>
        </w:rPr>
        <w:t>法定代表人或授权代表：</w:t>
      </w:r>
    </w:p>
    <w:p>
      <w:pPr>
        <w:adjustRightInd w:val="0"/>
        <w:snapToGrid w:val="0"/>
        <w:spacing w:line="276" w:lineRule="auto"/>
        <w:ind w:firstLine="420" w:firstLineChars="200"/>
        <w:rPr>
          <w:rFonts w:ascii="宋体" w:hAnsi="宋体"/>
          <w:szCs w:val="21"/>
        </w:rPr>
      </w:pPr>
    </w:p>
    <w:p>
      <w:pPr>
        <w:adjustRightInd w:val="0"/>
        <w:snapToGrid w:val="0"/>
        <w:spacing w:line="276" w:lineRule="auto"/>
        <w:ind w:firstLine="420" w:firstLineChars="200"/>
        <w:rPr>
          <w:rFonts w:hint="eastAsia" w:ascii="宋体" w:hAnsi="宋体"/>
          <w:szCs w:val="21"/>
        </w:rPr>
      </w:pPr>
      <w:r>
        <w:rPr>
          <w:rFonts w:hint="eastAsia" w:ascii="宋体" w:hAnsi="宋体"/>
          <w:szCs w:val="21"/>
        </w:rPr>
        <w:t xml:space="preserve">签订日期：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p>
      <w:pPr>
        <w:pStyle w:val="21"/>
        <w:spacing w:line="276" w:lineRule="auto"/>
        <w:ind w:firstLine="220" w:firstLineChars="100"/>
        <w:rPr>
          <w:rFonts w:hAnsi="宋体" w:cs="Calibri"/>
          <w:bCs/>
          <w:sz w:val="22"/>
          <w:szCs w:val="22"/>
        </w:rPr>
      </w:pPr>
      <w:r>
        <w:rPr>
          <w:rFonts w:hAnsi="宋体" w:cs="Calibri"/>
          <w:bCs/>
          <w:sz w:val="22"/>
          <w:szCs w:val="22"/>
        </w:rPr>
        <w:br w:type="page"/>
      </w:r>
      <w:r>
        <w:rPr>
          <w:rFonts w:hint="eastAsia" w:hAnsi="宋体" w:cs="Calibri"/>
          <w:bCs/>
          <w:sz w:val="22"/>
          <w:szCs w:val="22"/>
        </w:rPr>
        <w:t>附件</w:t>
      </w:r>
      <w:r>
        <w:rPr>
          <w:rFonts w:hAnsi="宋体" w:cs="Calibri"/>
          <w:bCs/>
          <w:sz w:val="22"/>
          <w:szCs w:val="22"/>
        </w:rPr>
        <w:t>2:</w:t>
      </w:r>
      <w:r>
        <w:rPr>
          <w:rFonts w:hint="eastAsia" w:hAnsi="宋体" w:cs="Calibri"/>
          <w:bCs/>
          <w:sz w:val="22"/>
          <w:szCs w:val="22"/>
        </w:rPr>
        <w:t>廉洁自律承诺书</w:t>
      </w:r>
    </w:p>
    <w:p>
      <w:pPr>
        <w:pStyle w:val="21"/>
        <w:spacing w:line="276" w:lineRule="auto"/>
        <w:ind w:firstLine="420"/>
        <w:rPr>
          <w:rFonts w:hAnsi="宋体" w:cs="Calibri"/>
          <w:bCs/>
          <w:sz w:val="22"/>
          <w:szCs w:val="22"/>
        </w:rPr>
      </w:pPr>
      <w:r>
        <w:rPr>
          <w:rFonts w:hint="eastAsia" w:hAnsi="宋体" w:cs="Calibri"/>
          <w:bCs/>
          <w:sz w:val="22"/>
          <w:szCs w:val="22"/>
        </w:rPr>
        <w:t>（内容此处略，详见第六章投标文件格式“十、廉洁自律承诺书”）</w:t>
      </w:r>
    </w:p>
    <w:p>
      <w:pPr>
        <w:pStyle w:val="21"/>
        <w:spacing w:line="276" w:lineRule="auto"/>
        <w:ind w:firstLine="420"/>
        <w:rPr>
          <w:rFonts w:hint="eastAsia" w:hAnsi="宋体" w:cs="Calibri"/>
          <w:bCs/>
          <w:sz w:val="22"/>
          <w:szCs w:val="22"/>
        </w:rPr>
      </w:pPr>
    </w:p>
    <w:p>
      <w:pPr>
        <w:pStyle w:val="21"/>
        <w:spacing w:line="276" w:lineRule="auto"/>
        <w:ind w:firstLine="220" w:firstLineChars="100"/>
        <w:rPr>
          <w:rFonts w:hAnsi="宋体" w:cs="Calibri"/>
          <w:bCs/>
          <w:sz w:val="22"/>
          <w:szCs w:val="22"/>
        </w:rPr>
      </w:pPr>
      <w:r>
        <w:rPr>
          <w:rFonts w:hint="eastAsia" w:hAnsi="宋体" w:cs="Calibri"/>
          <w:bCs/>
          <w:sz w:val="22"/>
          <w:szCs w:val="22"/>
        </w:rPr>
        <w:t>附件</w:t>
      </w:r>
      <w:r>
        <w:rPr>
          <w:rFonts w:hAnsi="宋体" w:cs="Calibri"/>
          <w:bCs/>
          <w:sz w:val="22"/>
          <w:szCs w:val="22"/>
        </w:rPr>
        <w:t>3</w:t>
      </w:r>
      <w:r>
        <w:rPr>
          <w:rFonts w:hint="eastAsia" w:hAnsi="宋体" w:cs="Calibri"/>
          <w:bCs/>
          <w:sz w:val="22"/>
          <w:szCs w:val="22"/>
        </w:rPr>
        <w:t>：保密承诺书</w:t>
      </w:r>
    </w:p>
    <w:p>
      <w:pPr>
        <w:tabs>
          <w:tab w:val="left" w:pos="540"/>
        </w:tabs>
        <w:topLinePunct/>
        <w:spacing w:line="276" w:lineRule="auto"/>
        <w:ind w:firstLine="723"/>
        <w:jc w:val="center"/>
        <w:rPr>
          <w:rFonts w:hint="eastAsia" w:ascii="宋体" w:hAnsi="宋体" w:cs="宋体"/>
          <w:b/>
          <w:sz w:val="22"/>
        </w:rPr>
      </w:pPr>
      <w:r>
        <w:rPr>
          <w:rFonts w:hint="eastAsia" w:ascii="宋体" w:hAnsi="宋体" w:cs="宋体"/>
          <w:b/>
          <w:sz w:val="22"/>
        </w:rPr>
        <w:t>保密承诺书</w:t>
      </w:r>
    </w:p>
    <w:p>
      <w:pPr>
        <w:pStyle w:val="21"/>
        <w:spacing w:line="276" w:lineRule="auto"/>
        <w:ind w:firstLine="420"/>
        <w:rPr>
          <w:rFonts w:hint="eastAsia" w:hAnsi="宋体" w:cs="Calibri"/>
          <w:bCs/>
          <w:sz w:val="22"/>
          <w:szCs w:val="22"/>
        </w:rPr>
      </w:pPr>
      <w:r>
        <w:rPr>
          <w:rFonts w:hint="eastAsia" w:hAnsi="宋体" w:cs="Calibri"/>
          <w:bCs/>
          <w:sz w:val="22"/>
          <w:szCs w:val="22"/>
        </w:rPr>
        <w:t>鉴于我方愿成为杭州萧山国际机场有限公司（以下简称“机场公司”）的供应商或潜在供应商候选人，为机场公司提供【】项目的货物供应。在上述业务来往过程中，机场公司可能向我方提供经营、业务、服务等有关的文件、资料、软件等信息，为维护机场公司的利益，我方就保密事宜做出如下承诺：</w:t>
      </w:r>
    </w:p>
    <w:p>
      <w:pPr>
        <w:pStyle w:val="21"/>
        <w:spacing w:line="276" w:lineRule="auto"/>
        <w:ind w:firstLine="420"/>
        <w:rPr>
          <w:rFonts w:hint="eastAsia" w:hAnsi="宋体" w:cs="Calibri"/>
          <w:bCs/>
          <w:sz w:val="22"/>
          <w:szCs w:val="22"/>
        </w:rPr>
      </w:pPr>
      <w:r>
        <w:rPr>
          <w:rFonts w:hint="eastAsia" w:hAnsi="宋体" w:cs="Calibri"/>
          <w:bCs/>
          <w:sz w:val="22"/>
          <w:szCs w:val="22"/>
        </w:rPr>
        <w:t>1.商业秘密</w:t>
      </w:r>
    </w:p>
    <w:p>
      <w:pPr>
        <w:pStyle w:val="21"/>
        <w:spacing w:line="276" w:lineRule="auto"/>
        <w:ind w:firstLine="420"/>
        <w:rPr>
          <w:rFonts w:hint="eastAsia" w:hAnsi="宋体" w:cs="Calibri"/>
          <w:bCs/>
          <w:sz w:val="22"/>
          <w:szCs w:val="22"/>
        </w:rPr>
      </w:pPr>
      <w:r>
        <w:rPr>
          <w:rFonts w:hint="eastAsia" w:hAnsi="宋体" w:cs="Calibri"/>
          <w:bCs/>
          <w:sz w:val="22"/>
          <w:szCs w:val="22"/>
        </w:rPr>
        <w:t>1.1商业秘密是指机场公司（包括机场公司关联公司）一切专有、不对外公开的资料和信息。包括但不限于以下方面：</w:t>
      </w:r>
    </w:p>
    <w:p>
      <w:pPr>
        <w:pStyle w:val="21"/>
        <w:spacing w:line="276" w:lineRule="auto"/>
        <w:ind w:firstLine="420"/>
        <w:rPr>
          <w:rFonts w:hint="eastAsia" w:hAnsi="宋体" w:cs="Calibri"/>
          <w:bCs/>
          <w:sz w:val="22"/>
          <w:szCs w:val="22"/>
        </w:rPr>
      </w:pPr>
      <w:r>
        <w:rPr>
          <w:rFonts w:hint="eastAsia" w:hAnsi="宋体" w:cs="Calibri"/>
          <w:bCs/>
          <w:sz w:val="22"/>
          <w:szCs w:val="22"/>
        </w:rPr>
        <w:t>（1）经营信息（发展规划、运营状况、客户资源、货源情报、投融资计划、开发计划、标书等）；</w:t>
      </w:r>
    </w:p>
    <w:p>
      <w:pPr>
        <w:pStyle w:val="21"/>
        <w:spacing w:line="276" w:lineRule="auto"/>
        <w:ind w:firstLine="420"/>
        <w:rPr>
          <w:rFonts w:hint="eastAsia" w:hAnsi="宋体" w:cs="Calibri"/>
          <w:bCs/>
          <w:sz w:val="22"/>
          <w:szCs w:val="22"/>
        </w:rPr>
      </w:pPr>
      <w:r>
        <w:rPr>
          <w:rFonts w:hint="eastAsia" w:hAnsi="宋体" w:cs="Calibri"/>
          <w:bCs/>
          <w:sz w:val="22"/>
          <w:szCs w:val="22"/>
        </w:rPr>
        <w:t>（2）管理信息（管理方法、管理制度、员工管理、合同管理、纠纷管理等）；</w:t>
      </w:r>
    </w:p>
    <w:p>
      <w:pPr>
        <w:pStyle w:val="21"/>
        <w:spacing w:line="276" w:lineRule="auto"/>
        <w:ind w:firstLine="420"/>
        <w:rPr>
          <w:rFonts w:hint="eastAsia" w:hAnsi="宋体" w:cs="Calibri"/>
          <w:bCs/>
          <w:sz w:val="22"/>
          <w:szCs w:val="22"/>
        </w:rPr>
      </w:pPr>
      <w:r>
        <w:rPr>
          <w:rFonts w:hint="eastAsia" w:hAnsi="宋体" w:cs="Calibri"/>
          <w:bCs/>
          <w:sz w:val="22"/>
          <w:szCs w:val="22"/>
        </w:rPr>
        <w:t>（3）产品及技术信息（设计及图纸、样品及服务、技术方案、质量标准、技术标准、计算机程序等）；</w:t>
      </w:r>
    </w:p>
    <w:p>
      <w:pPr>
        <w:pStyle w:val="21"/>
        <w:spacing w:line="276" w:lineRule="auto"/>
        <w:ind w:firstLine="420"/>
        <w:rPr>
          <w:rFonts w:hint="eastAsia" w:hAnsi="宋体" w:cs="Calibri"/>
          <w:bCs/>
          <w:sz w:val="22"/>
          <w:szCs w:val="22"/>
        </w:rPr>
      </w:pPr>
      <w:r>
        <w:rPr>
          <w:rFonts w:hint="eastAsia" w:hAnsi="宋体" w:cs="Calibri"/>
          <w:bCs/>
          <w:sz w:val="22"/>
          <w:szCs w:val="22"/>
        </w:rPr>
        <w:t>（4）财务信息（财务收支、固定资产、流动资金、成本核算等）；</w:t>
      </w:r>
    </w:p>
    <w:p>
      <w:pPr>
        <w:pStyle w:val="21"/>
        <w:spacing w:line="276" w:lineRule="auto"/>
        <w:ind w:firstLine="420"/>
        <w:rPr>
          <w:rFonts w:hint="eastAsia" w:hAnsi="宋体" w:cs="Calibri"/>
          <w:bCs/>
          <w:sz w:val="22"/>
          <w:szCs w:val="22"/>
        </w:rPr>
      </w:pPr>
      <w:r>
        <w:rPr>
          <w:rFonts w:hint="eastAsia" w:hAnsi="宋体" w:cs="Calibri"/>
          <w:bCs/>
          <w:sz w:val="22"/>
          <w:szCs w:val="22"/>
        </w:rPr>
        <w:t>（5）我方单独或机场公司（包括机场公司关联公司）和我方共同为机场公司开发、设计、生产的产品、资料及相关信息；</w:t>
      </w:r>
    </w:p>
    <w:p>
      <w:pPr>
        <w:pStyle w:val="21"/>
        <w:spacing w:line="276" w:lineRule="auto"/>
        <w:ind w:firstLine="420"/>
        <w:rPr>
          <w:rFonts w:hint="eastAsia" w:hAnsi="宋体" w:cs="Calibri"/>
          <w:bCs/>
          <w:sz w:val="22"/>
          <w:szCs w:val="22"/>
        </w:rPr>
      </w:pPr>
      <w:r>
        <w:rPr>
          <w:rFonts w:hint="eastAsia" w:hAnsi="宋体" w:cs="Calibri"/>
          <w:bCs/>
          <w:sz w:val="22"/>
          <w:szCs w:val="22"/>
        </w:rPr>
        <w:t>（6）其他机场公司未对外公开的有关营运、计划、航班数据、标准、开发、生产、经营、质量管理控制和租赁的资料和数据等信息以及对供应商的管理文件。</w:t>
      </w:r>
    </w:p>
    <w:p>
      <w:pPr>
        <w:pStyle w:val="21"/>
        <w:spacing w:line="276" w:lineRule="auto"/>
        <w:ind w:firstLine="420"/>
        <w:rPr>
          <w:rFonts w:hint="eastAsia" w:hAnsi="宋体" w:cs="Calibri"/>
          <w:bCs/>
          <w:sz w:val="22"/>
          <w:szCs w:val="22"/>
        </w:rPr>
      </w:pPr>
      <w:r>
        <w:rPr>
          <w:rFonts w:hint="eastAsia" w:hAnsi="宋体" w:cs="Calibri"/>
          <w:bCs/>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Style w:val="21"/>
        <w:spacing w:line="276" w:lineRule="auto"/>
        <w:ind w:firstLine="420"/>
        <w:rPr>
          <w:rFonts w:hint="eastAsia" w:hAnsi="宋体" w:cs="Calibri"/>
          <w:bCs/>
          <w:sz w:val="22"/>
          <w:szCs w:val="22"/>
        </w:rPr>
      </w:pPr>
      <w:r>
        <w:rPr>
          <w:rFonts w:hint="eastAsia" w:hAnsi="宋体" w:cs="Calibri"/>
          <w:bCs/>
          <w:sz w:val="22"/>
          <w:szCs w:val="22"/>
        </w:rPr>
        <w:t>1.3、对于上述提及的商业秘密，不能仅因为公开发表的文章或资讯中包含其内容，就认为是可对外公开的特殊情况。</w:t>
      </w:r>
    </w:p>
    <w:p>
      <w:pPr>
        <w:pStyle w:val="21"/>
        <w:spacing w:line="276" w:lineRule="auto"/>
        <w:ind w:firstLine="420"/>
        <w:rPr>
          <w:rFonts w:hint="eastAsia" w:hAnsi="宋体" w:cs="Calibri"/>
          <w:bCs/>
          <w:sz w:val="22"/>
          <w:szCs w:val="22"/>
        </w:rPr>
      </w:pPr>
      <w:r>
        <w:rPr>
          <w:rFonts w:hint="eastAsia" w:hAnsi="宋体" w:cs="Calibri"/>
          <w:bCs/>
          <w:sz w:val="22"/>
          <w:szCs w:val="22"/>
        </w:rPr>
        <w:t>1.4、以下资料不属于本承诺所指的商业秘密：</w:t>
      </w:r>
    </w:p>
    <w:p>
      <w:pPr>
        <w:pStyle w:val="21"/>
        <w:spacing w:line="276" w:lineRule="auto"/>
        <w:ind w:firstLine="420"/>
        <w:rPr>
          <w:rFonts w:hint="eastAsia" w:hAnsi="宋体" w:cs="Calibri"/>
          <w:bCs/>
          <w:sz w:val="22"/>
          <w:szCs w:val="22"/>
        </w:rPr>
      </w:pPr>
      <w:r>
        <w:rPr>
          <w:rFonts w:hint="eastAsia" w:hAnsi="宋体" w:cs="Calibri"/>
          <w:bCs/>
          <w:sz w:val="22"/>
          <w:szCs w:val="22"/>
        </w:rPr>
        <w:t>（1）我方从机场公司拟获悉之前已持有的我方无需承担保密义务的机场公司有关资料(但通过其它违约或侵权行为而获得的资料除外)；</w:t>
      </w:r>
    </w:p>
    <w:p>
      <w:pPr>
        <w:pStyle w:val="21"/>
        <w:spacing w:line="276" w:lineRule="auto"/>
        <w:ind w:firstLine="420"/>
        <w:rPr>
          <w:rFonts w:hint="eastAsia" w:hAnsi="宋体" w:cs="Calibri"/>
          <w:bCs/>
          <w:sz w:val="22"/>
          <w:szCs w:val="22"/>
        </w:rPr>
      </w:pPr>
      <w:r>
        <w:rPr>
          <w:rFonts w:hint="eastAsia" w:hAnsi="宋体" w:cs="Calibri"/>
          <w:bCs/>
          <w:sz w:val="22"/>
          <w:szCs w:val="22"/>
        </w:rPr>
        <w:t>（2）已经公开或已成为常识性的资料，且该等公开并非因违反本承诺所致。</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Style w:val="21"/>
        <w:spacing w:line="276" w:lineRule="auto"/>
        <w:ind w:firstLine="420"/>
        <w:rPr>
          <w:rFonts w:hint="eastAsia" w:hAnsi="宋体" w:cs="Calibri"/>
          <w:bCs/>
          <w:sz w:val="22"/>
          <w:szCs w:val="22"/>
        </w:rPr>
      </w:pPr>
      <w:r>
        <w:rPr>
          <w:rFonts w:hint="eastAsia" w:hAnsi="宋体" w:cs="Calibri"/>
          <w:bCs/>
          <w:sz w:val="22"/>
          <w:szCs w:val="22"/>
        </w:rPr>
        <w:t>（1）披露、使用或者允许他人以不正当手段获取的商业秘密；</w:t>
      </w:r>
    </w:p>
    <w:p>
      <w:pPr>
        <w:pStyle w:val="21"/>
        <w:spacing w:line="276" w:lineRule="auto"/>
        <w:ind w:firstLine="420"/>
        <w:rPr>
          <w:rFonts w:hint="eastAsia" w:hAnsi="宋体" w:cs="Calibri"/>
          <w:bCs/>
          <w:sz w:val="22"/>
          <w:szCs w:val="22"/>
        </w:rPr>
      </w:pPr>
      <w:r>
        <w:rPr>
          <w:rFonts w:hint="eastAsia" w:hAnsi="宋体" w:cs="Calibri"/>
          <w:bCs/>
          <w:sz w:val="22"/>
          <w:szCs w:val="22"/>
        </w:rPr>
        <w:t>（2）为机场公司以外的第三人窃取、刺探、收买、非法提供商业秘密。</w:t>
      </w:r>
    </w:p>
    <w:p>
      <w:pPr>
        <w:pStyle w:val="21"/>
        <w:spacing w:line="276" w:lineRule="auto"/>
        <w:ind w:firstLine="420"/>
        <w:rPr>
          <w:rFonts w:hint="eastAsia" w:hAnsi="宋体" w:cs="Calibri"/>
          <w:bCs/>
          <w:sz w:val="22"/>
          <w:szCs w:val="22"/>
        </w:rPr>
      </w:pPr>
      <w:r>
        <w:rPr>
          <w:rFonts w:hint="eastAsia" w:hAnsi="宋体" w:cs="Calibri"/>
          <w:bCs/>
          <w:sz w:val="22"/>
          <w:szCs w:val="22"/>
        </w:rPr>
        <w:t>（3）在电子公告系统、聊天系统、电子邮箱、论坛等计算机网络系统上传递、转发、抄送、发布、谈论和传播商业秘密；</w:t>
      </w:r>
    </w:p>
    <w:p>
      <w:pPr>
        <w:pStyle w:val="21"/>
        <w:spacing w:line="276" w:lineRule="auto"/>
        <w:ind w:firstLine="420"/>
        <w:rPr>
          <w:rFonts w:hint="eastAsia" w:hAnsi="宋体" w:cs="Calibri"/>
          <w:bCs/>
          <w:sz w:val="22"/>
          <w:szCs w:val="22"/>
        </w:rPr>
      </w:pPr>
      <w:r>
        <w:rPr>
          <w:rFonts w:hint="eastAsia" w:hAnsi="宋体" w:cs="Calibri"/>
          <w:bCs/>
          <w:sz w:val="22"/>
          <w:szCs w:val="22"/>
        </w:rPr>
        <w:t xml:space="preserve">（4）在私人交往和通信中，向亲属、朋友以及与工作无关人员泄露商业秘密，或在公共场所谈论商业秘密； </w:t>
      </w:r>
    </w:p>
    <w:p>
      <w:pPr>
        <w:pStyle w:val="21"/>
        <w:spacing w:line="276" w:lineRule="auto"/>
        <w:ind w:firstLine="420"/>
        <w:rPr>
          <w:rFonts w:hint="eastAsia" w:hAnsi="宋体" w:cs="Calibri"/>
          <w:bCs/>
          <w:sz w:val="22"/>
          <w:szCs w:val="22"/>
        </w:rPr>
      </w:pPr>
      <w:r>
        <w:rPr>
          <w:rFonts w:hint="eastAsia" w:hAnsi="宋体" w:cs="Calibri"/>
          <w:bCs/>
          <w:sz w:val="22"/>
          <w:szCs w:val="22"/>
        </w:rPr>
        <w:t>（5）擅自将属于商业秘密的文件、资料和其他物品携带、传递、寄运出机场公司办公场所或国（境）外。</w:t>
      </w:r>
    </w:p>
    <w:p>
      <w:pPr>
        <w:pStyle w:val="21"/>
        <w:spacing w:line="276" w:lineRule="auto"/>
        <w:ind w:firstLine="420"/>
        <w:rPr>
          <w:rFonts w:hint="eastAsia" w:hAnsi="宋体" w:cs="Calibri"/>
          <w:bCs/>
          <w:sz w:val="22"/>
          <w:szCs w:val="22"/>
        </w:rPr>
      </w:pPr>
      <w:r>
        <w:rPr>
          <w:rFonts w:hint="eastAsia" w:hAnsi="宋体" w:cs="Calibri"/>
          <w:bCs/>
          <w:sz w:val="22"/>
          <w:szCs w:val="22"/>
        </w:rPr>
        <w:t>（6）未经机场公司同意就以任何方式私自保存、截留含有机场公司商业秘密的任何形式资料、文件和物品的复印件、复制品、副本。</w:t>
      </w:r>
    </w:p>
    <w:p>
      <w:pPr>
        <w:pStyle w:val="21"/>
        <w:spacing w:line="276" w:lineRule="auto"/>
        <w:ind w:firstLine="420"/>
        <w:rPr>
          <w:rFonts w:hint="eastAsia" w:hAnsi="宋体" w:cs="Calibri"/>
          <w:bCs/>
          <w:sz w:val="22"/>
          <w:szCs w:val="22"/>
        </w:rPr>
      </w:pPr>
      <w:r>
        <w:rPr>
          <w:rFonts w:hint="eastAsia" w:hAnsi="宋体" w:cs="Calibri"/>
          <w:bCs/>
          <w:sz w:val="22"/>
          <w:szCs w:val="22"/>
        </w:rPr>
        <w:t>（7）将含有机场公司商业秘密的产品、技术或其他资料、信息向第三人销售、使用或以任何方式提供。</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pStyle w:val="21"/>
        <w:spacing w:line="276" w:lineRule="auto"/>
        <w:ind w:firstLine="420"/>
        <w:rPr>
          <w:rFonts w:hAnsi="宋体" w:cs="Calibri"/>
          <w:bCs/>
          <w:sz w:val="22"/>
          <w:szCs w:val="22"/>
        </w:rPr>
      </w:pPr>
    </w:p>
    <w:p>
      <w:pPr>
        <w:pStyle w:val="21"/>
        <w:spacing w:line="276" w:lineRule="auto"/>
        <w:ind w:firstLine="420"/>
        <w:rPr>
          <w:rFonts w:hint="eastAsia" w:hAnsi="宋体" w:cs="Calibri"/>
          <w:bCs/>
          <w:sz w:val="22"/>
          <w:szCs w:val="22"/>
        </w:rPr>
      </w:pPr>
      <w:r>
        <w:rPr>
          <w:rFonts w:hint="eastAsia" w:hAnsi="宋体" w:cs="Calibri"/>
          <w:bCs/>
          <w:sz w:val="22"/>
          <w:szCs w:val="22"/>
        </w:rPr>
        <w:t>8、违约责任</w:t>
      </w:r>
    </w:p>
    <w:p>
      <w:pPr>
        <w:pStyle w:val="21"/>
        <w:spacing w:line="276" w:lineRule="auto"/>
        <w:ind w:firstLine="420"/>
        <w:rPr>
          <w:rFonts w:hint="eastAsia" w:hAnsi="宋体" w:cs="Calibri"/>
          <w:bCs/>
          <w:sz w:val="22"/>
          <w:szCs w:val="22"/>
        </w:rPr>
      </w:pPr>
      <w:r>
        <w:rPr>
          <w:rFonts w:hint="eastAsia" w:hAnsi="宋体" w:cs="Calibri"/>
          <w:bCs/>
          <w:sz w:val="22"/>
          <w:szCs w:val="22"/>
        </w:rPr>
        <w:t>8.1因我方违反保密义务的行为造成机场公司的一切损失，我方应当全部予以赔偿。</w:t>
      </w:r>
    </w:p>
    <w:p>
      <w:pPr>
        <w:pStyle w:val="21"/>
        <w:spacing w:line="276" w:lineRule="auto"/>
        <w:ind w:firstLine="420"/>
        <w:rPr>
          <w:rFonts w:hint="eastAsia" w:hAnsi="宋体" w:cs="Calibri"/>
          <w:bCs/>
          <w:sz w:val="22"/>
          <w:szCs w:val="22"/>
        </w:rPr>
      </w:pPr>
      <w:r>
        <w:rPr>
          <w:rFonts w:hint="eastAsia" w:hAnsi="宋体" w:cs="Calibri"/>
          <w:bCs/>
          <w:sz w:val="22"/>
          <w:szCs w:val="22"/>
        </w:rPr>
        <w:t>8.2如我方违反本承诺书下保密义务，应当承担违约责任，除赔偿损失外，还应依据合同向机场公司支付相应的违约金；</w:t>
      </w:r>
    </w:p>
    <w:p>
      <w:pPr>
        <w:pStyle w:val="21"/>
        <w:spacing w:line="276" w:lineRule="auto"/>
        <w:ind w:firstLine="420"/>
        <w:rPr>
          <w:rFonts w:hint="eastAsia" w:hAnsi="宋体" w:cs="Calibri"/>
          <w:bCs/>
          <w:sz w:val="22"/>
          <w:szCs w:val="22"/>
        </w:rPr>
      </w:pPr>
      <w:r>
        <w:rPr>
          <w:rFonts w:hint="eastAsia" w:hAnsi="宋体" w:cs="Calibri"/>
          <w:bCs/>
          <w:sz w:val="22"/>
          <w:szCs w:val="22"/>
        </w:rPr>
        <w:t>9、本承诺书适用中华人民共和国法律，如因履行本承诺书发生争议，则双方均有权向机场公司所在地法院提起诉讼。</w:t>
      </w:r>
    </w:p>
    <w:p>
      <w:pPr>
        <w:pStyle w:val="21"/>
        <w:spacing w:line="276" w:lineRule="auto"/>
        <w:ind w:firstLine="3960" w:firstLineChars="1800"/>
        <w:rPr>
          <w:rFonts w:hint="eastAsia" w:hAnsi="宋体" w:cs="Calibri"/>
          <w:bCs/>
          <w:sz w:val="22"/>
          <w:szCs w:val="22"/>
        </w:rPr>
      </w:pPr>
      <w:r>
        <w:rPr>
          <w:rFonts w:hint="eastAsia" w:hAnsi="宋体" w:cs="Calibri"/>
          <w:bCs/>
          <w:sz w:val="22"/>
          <w:szCs w:val="22"/>
        </w:rPr>
        <w:t>供应商(盖章):</w:t>
      </w:r>
    </w:p>
    <w:p>
      <w:pPr>
        <w:pStyle w:val="21"/>
        <w:spacing w:line="276" w:lineRule="auto"/>
        <w:ind w:firstLine="3960" w:firstLineChars="1800"/>
        <w:rPr>
          <w:rFonts w:hint="eastAsia" w:hAnsi="宋体" w:cs="Calibri"/>
          <w:bCs/>
          <w:sz w:val="22"/>
          <w:szCs w:val="22"/>
        </w:rPr>
      </w:pPr>
      <w:r>
        <w:rPr>
          <w:rFonts w:hint="eastAsia" w:hAnsi="宋体" w:cs="Calibri"/>
          <w:bCs/>
          <w:sz w:val="22"/>
          <w:szCs w:val="22"/>
        </w:rPr>
        <w:t>法定代表人或授权代表：</w:t>
      </w:r>
    </w:p>
    <w:p>
      <w:pPr>
        <w:pStyle w:val="21"/>
        <w:spacing w:line="276" w:lineRule="auto"/>
        <w:ind w:firstLine="3960" w:firstLineChars="1800"/>
        <w:rPr>
          <w:rFonts w:hint="eastAsia" w:hAnsi="宋体" w:cs="Calibri"/>
          <w:bCs/>
          <w:sz w:val="22"/>
          <w:szCs w:val="22"/>
        </w:rPr>
      </w:pPr>
      <w:r>
        <w:rPr>
          <w:rFonts w:hint="eastAsia" w:hAnsi="宋体" w:cs="Calibri"/>
          <w:bCs/>
          <w:sz w:val="22"/>
          <w:szCs w:val="22"/>
        </w:rPr>
        <w:t>电话/传真：</w:t>
      </w:r>
    </w:p>
    <w:p>
      <w:pPr>
        <w:pStyle w:val="21"/>
        <w:spacing w:line="276" w:lineRule="auto"/>
        <w:ind w:firstLine="3960" w:firstLineChars="1800"/>
        <w:rPr>
          <w:rFonts w:hint="eastAsia" w:hAnsi="宋体" w:cs="Calibri"/>
          <w:bCs/>
          <w:sz w:val="22"/>
          <w:szCs w:val="22"/>
        </w:rPr>
      </w:pPr>
      <w:r>
        <w:rPr>
          <w:rFonts w:hint="eastAsia" w:hAnsi="宋体" w:cs="Calibri"/>
          <w:bCs/>
          <w:sz w:val="22"/>
          <w:szCs w:val="22"/>
        </w:rPr>
        <w:t>地址：</w:t>
      </w:r>
    </w:p>
    <w:p>
      <w:pPr>
        <w:pStyle w:val="21"/>
        <w:spacing w:line="276" w:lineRule="auto"/>
        <w:ind w:firstLine="3960" w:firstLineChars="1800"/>
        <w:rPr>
          <w:rFonts w:hAnsi="宋体"/>
          <w:sz w:val="22"/>
        </w:rPr>
      </w:pPr>
      <w:r>
        <w:rPr>
          <w:rFonts w:hint="eastAsia" w:hAnsi="宋体" w:cs="Calibri"/>
          <w:bCs/>
          <w:sz w:val="22"/>
          <w:szCs w:val="22"/>
        </w:rPr>
        <w:t>日期：     年   月   日</w:t>
      </w:r>
    </w:p>
    <w:p>
      <w:pPr>
        <w:pStyle w:val="2"/>
        <w:spacing w:before="0" w:after="0"/>
        <w:jc w:val="center"/>
        <w:rPr>
          <w:rFonts w:ascii="Calibri" w:hAnsi="Calibri" w:eastAsia="黑体" w:cs="Calibri"/>
          <w:kern w:val="0"/>
          <w:sz w:val="32"/>
        </w:rPr>
      </w:pPr>
      <w:bookmarkStart w:id="55" w:name="_Toc321925456"/>
      <w:bookmarkStart w:id="56" w:name="_Toc9351393"/>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55"/>
      <w:bookmarkEnd w:id="56"/>
    </w:p>
    <w:p>
      <w:pPr>
        <w:pStyle w:val="21"/>
        <w:spacing w:line="360" w:lineRule="exact"/>
        <w:ind w:firstLine="420"/>
        <w:rPr>
          <w:rFonts w:hAnsi="宋体" w:cs="Calibri"/>
          <w:bCs/>
          <w:sz w:val="22"/>
          <w:szCs w:val="22"/>
        </w:rPr>
      </w:pPr>
      <w:bookmarkStart w:id="57" w:name="_Toc29892"/>
      <w:bookmarkStart w:id="58" w:name="_Toc9351394"/>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供货期</w:t>
      </w:r>
      <w:r>
        <w:rPr>
          <w:rFonts w:ascii="宋体" w:hAnsi="宋体" w:cs="Calibri"/>
          <w:sz w:val="22"/>
        </w:rPr>
        <w:t>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2"/>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w:t>
      </w:r>
      <w:r>
        <w:rPr>
          <w:rFonts w:hint="eastAsia" w:hAnsi="宋体" w:cs="Calibri"/>
          <w:sz w:val="22"/>
          <w:szCs w:val="22"/>
        </w:rPr>
        <w:t>修正的价格经投标人书面确认后具有约束力。投标人不接受修正价格的，其投标作</w:t>
      </w:r>
      <w:r>
        <w:rPr>
          <w:rFonts w:hint="eastAsia" w:hAnsi="宋体" w:cs="Calibri"/>
          <w:b/>
          <w:sz w:val="22"/>
          <w:szCs w:val="22"/>
        </w:rPr>
        <w:t>否决投标处理。</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sz w:val="22"/>
        </w:rPr>
      </w:pPr>
      <w:r>
        <w:rPr>
          <w:rFonts w:ascii="宋体" w:hAnsi="宋体" w:cs="Calibri"/>
          <w:b/>
          <w:sz w:val="22"/>
        </w:rPr>
        <w:t>3.3</w:t>
      </w:r>
      <w:r>
        <w:rPr>
          <w:rFonts w:hint="eastAsia" w:ascii="宋体" w:hAnsi="宋体"/>
          <w:b/>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2" w:firstLineChars="200"/>
        <w:rPr>
          <w:rFonts w:hAnsi="宋体" w:cs="Calibri"/>
          <w:sz w:val="22"/>
          <w:szCs w:val="22"/>
        </w:rPr>
      </w:pPr>
      <w:r>
        <w:rPr>
          <w:rFonts w:hint="eastAsia" w:hAnsi="宋体"/>
          <w:b/>
          <w:sz w:val="22"/>
          <w:szCs w:val="22"/>
        </w:rPr>
        <w:t>每个投标人最终得分=商务报价分+资信及技术分</w:t>
      </w:r>
    </w:p>
    <w:p>
      <w:pPr>
        <w:pStyle w:val="21"/>
        <w:adjustRightInd w:val="0"/>
        <w:snapToGrid w:val="0"/>
        <w:spacing w:line="360" w:lineRule="exact"/>
        <w:ind w:firstLine="442" w:firstLineChars="200"/>
        <w:rPr>
          <w:rFonts w:hAnsi="宋体" w:cs="宋体"/>
          <w:b/>
          <w:sz w:val="22"/>
          <w:szCs w:val="22"/>
        </w:rPr>
      </w:pPr>
      <w:r>
        <w:rPr>
          <w:rFonts w:hint="eastAsia" w:hAnsi="宋体" w:cs="宋体"/>
          <w:b/>
          <w:sz w:val="22"/>
          <w:szCs w:val="22"/>
        </w:rPr>
        <w:t>3.3.1商务报价分   30-</w:t>
      </w:r>
      <w:r>
        <w:rPr>
          <w:rFonts w:hAnsi="宋体" w:cs="宋体"/>
          <w:b/>
          <w:sz w:val="22"/>
          <w:szCs w:val="22"/>
        </w:rPr>
        <w:t>60</w:t>
      </w:r>
      <w:r>
        <w:rPr>
          <w:rFonts w:hint="eastAsia" w:hAnsi="宋体" w:cs="宋体"/>
          <w:b/>
          <w:sz w:val="22"/>
          <w:szCs w:val="22"/>
        </w:rPr>
        <w:t>分</w:t>
      </w:r>
    </w:p>
    <w:p>
      <w:pPr>
        <w:pStyle w:val="21"/>
        <w:adjustRightInd w:val="0"/>
        <w:snapToGrid w:val="0"/>
        <w:spacing w:line="360" w:lineRule="exact"/>
        <w:ind w:firstLine="440" w:firstLineChars="200"/>
        <w:rPr>
          <w:rFonts w:hAnsi="宋体" w:cs="Calibri"/>
          <w:b/>
          <w:sz w:val="22"/>
          <w:szCs w:val="22"/>
        </w:rPr>
      </w:pPr>
      <w:r>
        <w:rPr>
          <w:rFonts w:hint="eastAsia" w:hAnsi="宋体"/>
          <w:sz w:val="22"/>
          <w:szCs w:val="22"/>
        </w:rPr>
        <w:t>报价评分应在投标报价响应招标文件要求的基础上，</w:t>
      </w:r>
      <w:r>
        <w:rPr>
          <w:rFonts w:hint="eastAsia" w:hAnsi="宋体"/>
          <w:b/>
          <w:sz w:val="22"/>
          <w:szCs w:val="22"/>
        </w:rPr>
        <w:t>取所有有效投标报价的算数平均值与次低价的算数平均值作为评标基准价，如有效投标报价的数量小于4个，则评标基准价为所有有效投标报价的算数平均值与最低价的算数平均值。</w:t>
      </w:r>
    </w:p>
    <w:p>
      <w:pPr>
        <w:adjustRightInd w:val="0"/>
        <w:snapToGrid w:val="0"/>
        <w:ind w:firstLine="542" w:firstLineChars="257"/>
        <w:jc w:val="center"/>
        <w:rPr>
          <w:rFonts w:ascii="宋体" w:hAnsi="宋体" w:cs="宋体"/>
          <w:b/>
          <w:szCs w:val="21"/>
        </w:rPr>
      </w:pPr>
    </w:p>
    <w:p>
      <w:pPr>
        <w:adjustRightInd w:val="0"/>
        <w:snapToGrid w:val="0"/>
        <w:ind w:firstLine="542" w:firstLineChars="257"/>
        <w:jc w:val="center"/>
        <w:rPr>
          <w:rFonts w:ascii="宋体" w:hAnsi="宋体" w:cs="宋体"/>
          <w:b/>
          <w:szCs w:val="21"/>
        </w:rPr>
      </w:pPr>
      <w:r>
        <w:rPr>
          <w:rFonts w:hint="eastAsia" w:ascii="宋体" w:hAnsi="宋体" w:cs="宋体"/>
          <w:b/>
          <w:szCs w:val="21"/>
        </w:rPr>
        <w:t>商务标评分细则</w:t>
      </w: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701"/>
        <w:gridCol w:w="513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7" w:type="dxa"/>
            <w:vAlign w:val="center"/>
          </w:tcPr>
          <w:p>
            <w:pPr>
              <w:snapToGrid w:val="0"/>
              <w:jc w:val="center"/>
              <w:rPr>
                <w:rFonts w:ascii="宋体" w:hAnsi="宋体" w:cs="宋体"/>
                <w:szCs w:val="21"/>
              </w:rPr>
            </w:pPr>
            <w:r>
              <w:rPr>
                <w:rFonts w:hint="eastAsia" w:ascii="宋体" w:hAnsi="宋体" w:cs="宋体"/>
                <w:szCs w:val="21"/>
              </w:rPr>
              <w:t>评分因素</w:t>
            </w:r>
          </w:p>
          <w:p>
            <w:pPr>
              <w:snapToGrid w:val="0"/>
              <w:jc w:val="center"/>
              <w:rPr>
                <w:rFonts w:ascii="宋体" w:hAnsi="宋体" w:cs="宋体"/>
                <w:szCs w:val="21"/>
              </w:rPr>
            </w:pPr>
            <w:r>
              <w:rPr>
                <w:rFonts w:hint="eastAsia" w:ascii="宋体" w:hAnsi="宋体" w:cs="宋体"/>
                <w:szCs w:val="21"/>
              </w:rPr>
              <w:t>及分值权重</w:t>
            </w:r>
          </w:p>
        </w:tc>
        <w:tc>
          <w:tcPr>
            <w:tcW w:w="1701" w:type="dxa"/>
            <w:vAlign w:val="center"/>
          </w:tcPr>
          <w:p>
            <w:pPr>
              <w:snapToGrid w:val="0"/>
              <w:jc w:val="center"/>
              <w:rPr>
                <w:rFonts w:ascii="宋体" w:hAnsi="宋体" w:cs="宋体"/>
                <w:szCs w:val="21"/>
              </w:rPr>
            </w:pPr>
            <w:r>
              <w:rPr>
                <w:rFonts w:hint="eastAsia" w:ascii="宋体" w:hAnsi="宋体" w:cs="宋体"/>
                <w:szCs w:val="21"/>
              </w:rPr>
              <w:t>评审因素子项</w:t>
            </w:r>
          </w:p>
        </w:tc>
        <w:tc>
          <w:tcPr>
            <w:tcW w:w="5132" w:type="dxa"/>
            <w:vAlign w:val="center"/>
          </w:tcPr>
          <w:p>
            <w:pPr>
              <w:snapToGrid w:val="0"/>
              <w:jc w:val="center"/>
              <w:rPr>
                <w:rFonts w:ascii="宋体" w:hAnsi="宋体" w:cs="宋体"/>
                <w:szCs w:val="21"/>
              </w:rPr>
            </w:pPr>
            <w:r>
              <w:rPr>
                <w:rFonts w:hint="eastAsia" w:ascii="宋体" w:hAnsi="宋体" w:cs="宋体"/>
                <w:szCs w:val="21"/>
              </w:rPr>
              <w:t>评分标准</w:t>
            </w:r>
          </w:p>
        </w:tc>
        <w:tc>
          <w:tcPr>
            <w:tcW w:w="1276" w:type="dxa"/>
            <w:vAlign w:val="center"/>
          </w:tcPr>
          <w:p>
            <w:pPr>
              <w:snapToGrid w:val="0"/>
              <w:jc w:val="center"/>
              <w:rPr>
                <w:rFonts w:ascii="宋体" w:hAnsi="宋体" w:cs="宋体"/>
                <w:szCs w:val="21"/>
              </w:rPr>
            </w:pPr>
            <w:r>
              <w:rPr>
                <w:rFonts w:hint="eastAsia" w:ascii="宋体" w:hAnsi="宋体" w:cs="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1497" w:type="dxa"/>
            <w:vAlign w:val="center"/>
          </w:tcPr>
          <w:p>
            <w:pPr>
              <w:snapToGrid w:val="0"/>
              <w:jc w:val="center"/>
              <w:rPr>
                <w:rFonts w:ascii="宋体" w:hAnsi="宋体" w:cs="宋体"/>
                <w:szCs w:val="21"/>
              </w:rPr>
            </w:pPr>
            <w:r>
              <w:rPr>
                <w:rFonts w:hint="eastAsia" w:ascii="宋体" w:hAnsi="宋体" w:cs="宋体"/>
                <w:szCs w:val="21"/>
              </w:rPr>
              <w:t>商务评分</w:t>
            </w:r>
          </w:p>
          <w:p>
            <w:pPr>
              <w:snapToGrid w:val="0"/>
              <w:jc w:val="center"/>
              <w:rPr>
                <w:rFonts w:ascii="宋体" w:hAnsi="宋体" w:cs="宋体"/>
                <w:szCs w:val="21"/>
              </w:rPr>
            </w:pPr>
            <w:r>
              <w:rPr>
                <w:rFonts w:hint="eastAsia" w:ascii="宋体" w:hAnsi="宋体" w:cs="宋体"/>
                <w:szCs w:val="21"/>
              </w:rPr>
              <w:t>（</w:t>
            </w:r>
            <w:r>
              <w:rPr>
                <w:rFonts w:hint="eastAsia" w:ascii="宋体" w:hAnsi="宋体" w:cs="宋体"/>
                <w:bCs/>
                <w:szCs w:val="21"/>
              </w:rPr>
              <w:t>满分</w:t>
            </w:r>
            <w:r>
              <w:rPr>
                <w:rFonts w:ascii="宋体" w:hAnsi="宋体" w:cs="宋体"/>
                <w:bCs/>
                <w:szCs w:val="21"/>
              </w:rPr>
              <w:t>60</w:t>
            </w:r>
            <w:r>
              <w:rPr>
                <w:rFonts w:hint="eastAsia" w:ascii="宋体" w:hAnsi="宋体" w:cs="宋体"/>
                <w:bCs/>
                <w:szCs w:val="21"/>
              </w:rPr>
              <w:t>分）</w:t>
            </w:r>
          </w:p>
        </w:tc>
        <w:tc>
          <w:tcPr>
            <w:tcW w:w="1701" w:type="dxa"/>
            <w:vAlign w:val="center"/>
          </w:tcPr>
          <w:p>
            <w:pPr>
              <w:snapToGrid w:val="0"/>
              <w:jc w:val="center"/>
              <w:rPr>
                <w:rFonts w:ascii="宋体" w:hAnsi="宋体" w:cs="宋体"/>
                <w:szCs w:val="21"/>
              </w:rPr>
            </w:pPr>
            <w:r>
              <w:rPr>
                <w:rFonts w:hint="eastAsia" w:ascii="宋体" w:hAnsi="宋体" w:cs="宋体"/>
                <w:szCs w:val="21"/>
              </w:rPr>
              <w:t>投标报价</w:t>
            </w:r>
          </w:p>
          <w:p>
            <w:pPr>
              <w:snapToGrid w:val="0"/>
              <w:jc w:val="center"/>
              <w:rPr>
                <w:rFonts w:ascii="宋体" w:hAnsi="宋体" w:cs="宋体"/>
                <w:szCs w:val="21"/>
              </w:rPr>
            </w:pPr>
            <w:r>
              <w:rPr>
                <w:rFonts w:hint="eastAsia" w:ascii="宋体" w:hAnsi="宋体" w:cs="宋体"/>
                <w:szCs w:val="21"/>
              </w:rPr>
              <w:t>（</w:t>
            </w:r>
            <w:r>
              <w:rPr>
                <w:rFonts w:ascii="宋体" w:hAnsi="宋体" w:cs="宋体"/>
                <w:szCs w:val="21"/>
              </w:rPr>
              <w:t>60</w:t>
            </w:r>
            <w:r>
              <w:rPr>
                <w:rFonts w:hint="eastAsia" w:ascii="宋体" w:hAnsi="宋体" w:cs="宋体"/>
                <w:szCs w:val="21"/>
              </w:rPr>
              <w:t>分）</w:t>
            </w:r>
          </w:p>
        </w:tc>
        <w:tc>
          <w:tcPr>
            <w:tcW w:w="5132" w:type="dxa"/>
            <w:vAlign w:val="center"/>
          </w:tcPr>
          <w:p>
            <w:pPr>
              <w:snapToGrid w:val="0"/>
              <w:jc w:val="left"/>
              <w:rPr>
                <w:rFonts w:ascii="宋体" w:hAnsi="宋体" w:cs="宋体"/>
                <w:szCs w:val="21"/>
              </w:rPr>
            </w:pPr>
            <w:r>
              <w:rPr>
                <w:rFonts w:hint="eastAsia" w:ascii="宋体" w:hAnsi="宋体" w:cs="宋体"/>
                <w:szCs w:val="21"/>
              </w:rPr>
              <w:t>与基准价相等的为满分</w:t>
            </w:r>
            <w:r>
              <w:rPr>
                <w:rFonts w:ascii="宋体" w:hAnsi="宋体" w:cs="宋体"/>
                <w:szCs w:val="21"/>
              </w:rPr>
              <w:t>60</w:t>
            </w:r>
            <w:r>
              <w:rPr>
                <w:rFonts w:hint="eastAsia" w:ascii="宋体" w:hAnsi="宋体" w:cs="宋体"/>
                <w:szCs w:val="21"/>
              </w:rPr>
              <w:t>分。</w:t>
            </w:r>
          </w:p>
          <w:p>
            <w:pPr>
              <w:snapToGrid w:val="0"/>
              <w:jc w:val="left"/>
              <w:rPr>
                <w:rFonts w:ascii="宋体" w:hAnsi="宋体" w:cs="宋体"/>
                <w:szCs w:val="21"/>
              </w:rPr>
            </w:pPr>
            <w:r>
              <w:rPr>
                <w:rFonts w:hint="eastAsia" w:ascii="宋体" w:hAnsi="宋体" w:cs="宋体"/>
                <w:szCs w:val="21"/>
              </w:rPr>
              <w:t>投标总价每高于基准价1%,扣1分；</w:t>
            </w:r>
          </w:p>
          <w:p>
            <w:pPr>
              <w:snapToGrid w:val="0"/>
              <w:jc w:val="left"/>
              <w:rPr>
                <w:rFonts w:ascii="宋体" w:hAnsi="宋体" w:cs="宋体"/>
                <w:szCs w:val="21"/>
              </w:rPr>
            </w:pPr>
            <w:r>
              <w:rPr>
                <w:rFonts w:hint="eastAsia" w:ascii="宋体" w:hAnsi="宋体" w:cs="宋体"/>
                <w:szCs w:val="21"/>
              </w:rPr>
              <w:t>投标总价每低于基准价1%，扣0.5分。</w:t>
            </w:r>
          </w:p>
          <w:p>
            <w:pPr>
              <w:snapToGrid w:val="0"/>
              <w:jc w:val="left"/>
              <w:rPr>
                <w:rFonts w:ascii="宋体" w:hAnsi="宋体" w:cs="宋体"/>
                <w:szCs w:val="21"/>
              </w:rPr>
            </w:pPr>
            <w:r>
              <w:rPr>
                <w:rFonts w:hint="eastAsia" w:ascii="宋体" w:hAnsi="宋体" w:cs="宋体"/>
                <w:szCs w:val="21"/>
              </w:rPr>
              <w:t>投标报价分扣分至30分止。</w:t>
            </w:r>
          </w:p>
        </w:tc>
        <w:tc>
          <w:tcPr>
            <w:tcW w:w="1276" w:type="dxa"/>
            <w:vAlign w:val="center"/>
          </w:tcPr>
          <w:p>
            <w:pPr>
              <w:snapToGrid w:val="0"/>
              <w:jc w:val="center"/>
              <w:rPr>
                <w:rFonts w:ascii="宋体" w:hAnsi="宋体" w:cs="宋体"/>
                <w:b/>
                <w:szCs w:val="21"/>
              </w:rPr>
            </w:pPr>
            <w:r>
              <w:rPr>
                <w:rFonts w:hint="eastAsia" w:ascii="宋体" w:hAnsi="宋体" w:cs="宋体"/>
                <w:b/>
                <w:szCs w:val="21"/>
              </w:rPr>
              <w:t>30-</w:t>
            </w:r>
            <w:r>
              <w:rPr>
                <w:rFonts w:ascii="宋体" w:hAnsi="宋体" w:cs="宋体"/>
                <w:b/>
                <w:szCs w:val="21"/>
              </w:rPr>
              <w:t>60</w:t>
            </w:r>
            <w:r>
              <w:rPr>
                <w:rFonts w:hint="eastAsia" w:ascii="宋体" w:hAnsi="宋体" w:cs="宋体"/>
                <w:b/>
                <w:szCs w:val="21"/>
              </w:rPr>
              <w:t>分</w:t>
            </w:r>
          </w:p>
        </w:tc>
      </w:tr>
    </w:tbl>
    <w:p>
      <w:pPr>
        <w:pStyle w:val="21"/>
        <w:adjustRightInd w:val="0"/>
        <w:snapToGrid w:val="0"/>
        <w:spacing w:line="360" w:lineRule="exact"/>
        <w:ind w:firstLine="440" w:firstLineChars="200"/>
        <w:rPr>
          <w:rFonts w:hAnsi="宋体" w:cs="宋体"/>
          <w:sz w:val="22"/>
          <w:szCs w:val="22"/>
        </w:rPr>
      </w:pPr>
      <w:r>
        <w:rPr>
          <w:rFonts w:hint="eastAsia" w:hAnsi="宋体" w:cs="宋体"/>
          <w:sz w:val="22"/>
          <w:szCs w:val="22"/>
        </w:rPr>
        <w:t>此项由评标委员会集体核实后统一打分。</w:t>
      </w:r>
    </w:p>
    <w:p>
      <w:pPr>
        <w:pStyle w:val="21"/>
        <w:adjustRightInd w:val="0"/>
        <w:snapToGrid w:val="0"/>
        <w:spacing w:line="360" w:lineRule="exact"/>
        <w:ind w:firstLine="442" w:firstLineChars="200"/>
        <w:rPr>
          <w:rFonts w:hAnsi="宋体" w:cs="宋体"/>
          <w:b/>
          <w:sz w:val="22"/>
          <w:szCs w:val="22"/>
        </w:rPr>
      </w:pPr>
      <w:r>
        <w:rPr>
          <w:rFonts w:hint="eastAsia" w:hAnsi="宋体" w:cs="宋体"/>
          <w:b/>
          <w:sz w:val="22"/>
          <w:szCs w:val="22"/>
        </w:rPr>
        <w:t>2、资信及技术评分   0-</w:t>
      </w:r>
      <w:r>
        <w:rPr>
          <w:rFonts w:hAnsi="宋体" w:cs="宋体"/>
          <w:b/>
          <w:sz w:val="22"/>
          <w:szCs w:val="22"/>
        </w:rPr>
        <w:t>40</w:t>
      </w:r>
      <w:r>
        <w:rPr>
          <w:rFonts w:hint="eastAsia" w:hAnsi="宋体" w:cs="宋体"/>
          <w:b/>
          <w:sz w:val="22"/>
          <w:szCs w:val="22"/>
        </w:rPr>
        <w:t>分</w:t>
      </w:r>
    </w:p>
    <w:p>
      <w:pPr>
        <w:pStyle w:val="21"/>
        <w:adjustRightInd w:val="0"/>
        <w:snapToGrid w:val="0"/>
        <w:spacing w:line="360" w:lineRule="exact"/>
        <w:ind w:firstLine="440" w:firstLineChars="200"/>
        <w:rPr>
          <w:rFonts w:hAnsi="宋体" w:cs="宋体"/>
          <w:sz w:val="22"/>
          <w:szCs w:val="22"/>
        </w:rPr>
      </w:pPr>
      <w:r>
        <w:rPr>
          <w:rFonts w:hint="eastAsia" w:hAnsi="宋体" w:cs="宋体"/>
          <w:sz w:val="22"/>
          <w:szCs w:val="22"/>
        </w:rPr>
        <w:t>该评分分值由评标委员会成员独立打分（具体分值设定详见下表），小数点后保留1位小数。每个投标人的最终资信及技术得分为评标委员会打分的算术平均值（小数点后保留2位，第三位四舍五入）。</w:t>
      </w:r>
    </w:p>
    <w:p>
      <w:pPr>
        <w:pStyle w:val="21"/>
        <w:adjustRightInd w:val="0"/>
        <w:snapToGrid w:val="0"/>
        <w:spacing w:line="360" w:lineRule="exact"/>
        <w:ind w:firstLine="440" w:firstLineChars="200"/>
        <w:rPr>
          <w:rFonts w:hAnsi="宋体" w:cs="Calibri"/>
          <w:b/>
          <w:sz w:val="22"/>
          <w:szCs w:val="22"/>
        </w:rPr>
      </w:pPr>
      <w:r>
        <w:rPr>
          <w:rFonts w:hint="eastAsia" w:hAnsi="宋体" w:cs="宋体"/>
          <w:sz w:val="22"/>
          <w:szCs w:val="22"/>
        </w:rPr>
        <w:t>资信及技术评分分值设定标准</w:t>
      </w:r>
    </w:p>
    <w:tbl>
      <w:tblPr>
        <w:tblStyle w:val="53"/>
        <w:tblW w:w="9531"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1938"/>
        <w:gridCol w:w="482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atLeast"/>
        </w:trPr>
        <w:tc>
          <w:tcPr>
            <w:tcW w:w="1494" w:type="dxa"/>
            <w:vAlign w:val="center"/>
          </w:tcPr>
          <w:p>
            <w:pPr>
              <w:snapToGrid w:val="0"/>
              <w:jc w:val="center"/>
              <w:rPr>
                <w:rFonts w:ascii="宋体" w:hAnsi="宋体"/>
                <w:szCs w:val="21"/>
              </w:rPr>
            </w:pPr>
            <w:r>
              <w:rPr>
                <w:rFonts w:hint="eastAsia" w:ascii="宋体" w:hAnsi="宋体"/>
                <w:szCs w:val="21"/>
              </w:rPr>
              <w:t>评分因素</w:t>
            </w:r>
          </w:p>
          <w:p>
            <w:pPr>
              <w:snapToGrid w:val="0"/>
              <w:jc w:val="center"/>
              <w:rPr>
                <w:rFonts w:ascii="宋体" w:hAnsi="宋体"/>
                <w:szCs w:val="21"/>
              </w:rPr>
            </w:pPr>
            <w:r>
              <w:rPr>
                <w:rFonts w:hint="eastAsia" w:ascii="宋体" w:hAnsi="宋体"/>
                <w:szCs w:val="21"/>
              </w:rPr>
              <w:t>及分值权重</w:t>
            </w:r>
          </w:p>
        </w:tc>
        <w:tc>
          <w:tcPr>
            <w:tcW w:w="1938" w:type="dxa"/>
            <w:vAlign w:val="center"/>
          </w:tcPr>
          <w:p>
            <w:pPr>
              <w:snapToGrid w:val="0"/>
              <w:jc w:val="center"/>
              <w:rPr>
                <w:rFonts w:ascii="宋体" w:hAnsi="宋体"/>
                <w:szCs w:val="21"/>
              </w:rPr>
            </w:pPr>
            <w:r>
              <w:rPr>
                <w:rFonts w:hint="eastAsia" w:ascii="宋体" w:hAnsi="宋体"/>
                <w:szCs w:val="21"/>
              </w:rPr>
              <w:t>评审因素子项</w:t>
            </w:r>
          </w:p>
        </w:tc>
        <w:tc>
          <w:tcPr>
            <w:tcW w:w="4823" w:type="dxa"/>
            <w:vAlign w:val="center"/>
          </w:tcPr>
          <w:p>
            <w:pPr>
              <w:snapToGrid w:val="0"/>
              <w:jc w:val="center"/>
              <w:rPr>
                <w:rFonts w:ascii="宋体" w:hAnsi="宋体"/>
                <w:szCs w:val="21"/>
              </w:rPr>
            </w:pPr>
            <w:r>
              <w:rPr>
                <w:rFonts w:hint="eastAsia" w:ascii="宋体" w:hAnsi="宋体"/>
                <w:szCs w:val="21"/>
              </w:rPr>
              <w:t>评分标准</w:t>
            </w:r>
          </w:p>
        </w:tc>
        <w:tc>
          <w:tcPr>
            <w:tcW w:w="1276" w:type="dxa"/>
            <w:vAlign w:val="center"/>
          </w:tcPr>
          <w:p>
            <w:pPr>
              <w:snapToGrid w:val="0"/>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atLeast"/>
        </w:trPr>
        <w:tc>
          <w:tcPr>
            <w:tcW w:w="1494" w:type="dxa"/>
            <w:vMerge w:val="restart"/>
            <w:vAlign w:val="center"/>
          </w:tcPr>
          <w:p>
            <w:pPr>
              <w:snapToGrid w:val="0"/>
              <w:jc w:val="center"/>
              <w:rPr>
                <w:rFonts w:ascii="宋体" w:hAnsi="宋体"/>
                <w:szCs w:val="21"/>
              </w:rPr>
            </w:pPr>
            <w:r>
              <w:rPr>
                <w:rFonts w:hint="eastAsia" w:ascii="宋体" w:hAnsi="宋体"/>
                <w:sz w:val="22"/>
              </w:rPr>
              <w:t>资信、业绩评分（满分</w:t>
            </w:r>
            <w:r>
              <w:rPr>
                <w:rFonts w:ascii="宋体" w:hAnsi="宋体"/>
                <w:sz w:val="22"/>
              </w:rPr>
              <w:t>5</w:t>
            </w:r>
            <w:r>
              <w:rPr>
                <w:rFonts w:hint="eastAsia" w:ascii="宋体" w:hAnsi="宋体"/>
                <w:sz w:val="22"/>
              </w:rPr>
              <w:t>分）</w:t>
            </w:r>
          </w:p>
        </w:tc>
        <w:tc>
          <w:tcPr>
            <w:tcW w:w="1938" w:type="dxa"/>
            <w:vAlign w:val="center"/>
          </w:tcPr>
          <w:p>
            <w:pPr>
              <w:snapToGrid w:val="0"/>
              <w:jc w:val="center"/>
              <w:rPr>
                <w:rFonts w:ascii="宋体" w:hAnsi="宋体"/>
                <w:sz w:val="22"/>
              </w:rPr>
            </w:pPr>
            <w:r>
              <w:rPr>
                <w:rFonts w:hint="eastAsia" w:ascii="宋体" w:hAnsi="宋体"/>
                <w:sz w:val="22"/>
              </w:rPr>
              <w:t>企业</w:t>
            </w:r>
            <w:r>
              <w:rPr>
                <w:rFonts w:ascii="宋体" w:hAnsi="宋体"/>
                <w:sz w:val="22"/>
              </w:rPr>
              <w:t>注册资金</w:t>
            </w:r>
            <w:r>
              <w:rPr>
                <w:rFonts w:hint="eastAsia" w:ascii="宋体" w:hAnsi="宋体"/>
                <w:sz w:val="22"/>
              </w:rPr>
              <w:t>、资质证书、得奖情况</w:t>
            </w:r>
          </w:p>
        </w:tc>
        <w:tc>
          <w:tcPr>
            <w:tcW w:w="4823" w:type="dxa"/>
            <w:vAlign w:val="center"/>
          </w:tcPr>
          <w:p>
            <w:pPr>
              <w:snapToGrid w:val="0"/>
              <w:jc w:val="left"/>
              <w:rPr>
                <w:rFonts w:ascii="宋体" w:hAnsi="宋体"/>
                <w:szCs w:val="21"/>
              </w:rPr>
            </w:pPr>
            <w:r>
              <w:rPr>
                <w:rFonts w:hint="eastAsia" w:ascii="宋体" w:hAnsi="宋体"/>
                <w:szCs w:val="21"/>
              </w:rPr>
              <w:t>由评委横向比较打分。</w:t>
            </w:r>
            <w:r>
              <w:rPr>
                <w:rFonts w:ascii="宋体" w:hAnsi="宋体"/>
                <w:szCs w:val="21"/>
              </w:rPr>
              <w:t xml:space="preserve"> </w:t>
            </w:r>
          </w:p>
        </w:tc>
        <w:tc>
          <w:tcPr>
            <w:tcW w:w="1276" w:type="dxa"/>
            <w:vAlign w:val="center"/>
          </w:tcPr>
          <w:p>
            <w:pPr>
              <w:snapToGrid w:val="0"/>
              <w:rPr>
                <w:rFonts w:ascii="宋体" w:hAnsi="宋体"/>
                <w:b/>
                <w:szCs w:val="21"/>
              </w:rPr>
            </w:pPr>
            <w:r>
              <w:rPr>
                <w:rFonts w:hint="eastAsia" w:ascii="宋体" w:hAnsi="宋体"/>
                <w:b/>
                <w:szCs w:val="21"/>
              </w:rPr>
              <w:t>0-</w:t>
            </w:r>
            <w:r>
              <w:rPr>
                <w:rFonts w:ascii="宋体" w:hAnsi="宋体"/>
                <w:b/>
                <w:szCs w:val="21"/>
              </w:rPr>
              <w:t>2</w:t>
            </w:r>
            <w:r>
              <w:rPr>
                <w:rFonts w:hint="eastAsia" w:ascii="宋体" w:hAnsi="宋体"/>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atLeast"/>
        </w:trPr>
        <w:tc>
          <w:tcPr>
            <w:tcW w:w="1494" w:type="dxa"/>
            <w:vMerge w:val="continue"/>
            <w:vAlign w:val="center"/>
          </w:tcPr>
          <w:p>
            <w:pPr>
              <w:snapToGrid w:val="0"/>
              <w:jc w:val="center"/>
              <w:rPr>
                <w:rFonts w:ascii="宋体" w:hAnsi="宋体"/>
                <w:szCs w:val="21"/>
              </w:rPr>
            </w:pPr>
          </w:p>
        </w:tc>
        <w:tc>
          <w:tcPr>
            <w:tcW w:w="1938" w:type="dxa"/>
            <w:vAlign w:val="center"/>
          </w:tcPr>
          <w:p>
            <w:pPr>
              <w:snapToGrid w:val="0"/>
              <w:jc w:val="center"/>
              <w:rPr>
                <w:rFonts w:ascii="宋体" w:hAnsi="宋体"/>
                <w:szCs w:val="21"/>
              </w:rPr>
            </w:pPr>
            <w:r>
              <w:rPr>
                <w:rFonts w:hint="eastAsia" w:ascii="宋体" w:hAnsi="宋体"/>
                <w:szCs w:val="21"/>
              </w:rPr>
              <w:t>业绩</w:t>
            </w:r>
          </w:p>
        </w:tc>
        <w:tc>
          <w:tcPr>
            <w:tcW w:w="4823" w:type="dxa"/>
            <w:vAlign w:val="center"/>
          </w:tcPr>
          <w:p>
            <w:pPr>
              <w:snapToGrid w:val="0"/>
              <w:jc w:val="left"/>
              <w:rPr>
                <w:rFonts w:ascii="宋体" w:hAnsi="宋体"/>
                <w:szCs w:val="21"/>
              </w:rPr>
            </w:pPr>
            <w:r>
              <w:rPr>
                <w:rFonts w:hint="eastAsia" w:ascii="宋体" w:hAnsi="宋体"/>
                <w:szCs w:val="21"/>
              </w:rPr>
              <w:t>提供投标人自2016年1月1日至投标截止日止LED屏产品供货业绩，</w:t>
            </w:r>
            <w:r>
              <w:rPr>
                <w:rFonts w:hint="eastAsia" w:ascii="宋体" w:hAnsi="宋体" w:cs="宋体"/>
                <w:szCs w:val="21"/>
              </w:rPr>
              <w:t>根据投标人所附合同复印件打分：</w:t>
            </w:r>
          </w:p>
          <w:p>
            <w:pPr>
              <w:snapToGrid w:val="0"/>
              <w:jc w:val="left"/>
              <w:rPr>
                <w:rFonts w:ascii="宋体" w:hAnsi="宋体"/>
                <w:szCs w:val="21"/>
              </w:rPr>
            </w:pPr>
            <w:r>
              <w:rPr>
                <w:rFonts w:hint="eastAsia" w:ascii="宋体" w:hAnsi="宋体"/>
                <w:szCs w:val="21"/>
              </w:rPr>
              <w:t>50万元（含）以上销售业绩：1项得2分；</w:t>
            </w:r>
          </w:p>
          <w:p>
            <w:pPr>
              <w:snapToGrid w:val="0"/>
              <w:jc w:val="left"/>
              <w:rPr>
                <w:rFonts w:ascii="宋体" w:hAnsi="宋体"/>
                <w:szCs w:val="21"/>
              </w:rPr>
            </w:pPr>
            <w:r>
              <w:rPr>
                <w:rFonts w:hint="eastAsia" w:ascii="宋体" w:hAnsi="宋体"/>
                <w:szCs w:val="21"/>
              </w:rPr>
              <w:t>20万元（含）-50万元销售业绩：1项得1分；</w:t>
            </w:r>
          </w:p>
          <w:p>
            <w:pPr>
              <w:snapToGrid w:val="0"/>
              <w:jc w:val="left"/>
              <w:rPr>
                <w:rFonts w:ascii="宋体" w:hAnsi="宋体"/>
                <w:szCs w:val="21"/>
              </w:rPr>
            </w:pPr>
            <w:r>
              <w:rPr>
                <w:rFonts w:hint="eastAsia" w:ascii="宋体" w:hAnsi="宋体"/>
                <w:szCs w:val="21"/>
              </w:rPr>
              <w:t>同一业绩不重复计分，本项最高分为</w:t>
            </w:r>
            <w:r>
              <w:rPr>
                <w:rFonts w:ascii="宋体" w:hAnsi="宋体"/>
                <w:szCs w:val="21"/>
              </w:rPr>
              <w:t>3</w:t>
            </w:r>
            <w:r>
              <w:rPr>
                <w:rFonts w:hint="eastAsia" w:ascii="宋体" w:hAnsi="宋体"/>
                <w:szCs w:val="21"/>
              </w:rPr>
              <w:t>分。</w:t>
            </w:r>
          </w:p>
        </w:tc>
        <w:tc>
          <w:tcPr>
            <w:tcW w:w="1276" w:type="dxa"/>
            <w:vAlign w:val="center"/>
          </w:tcPr>
          <w:p>
            <w:pPr>
              <w:snapToGrid w:val="0"/>
              <w:rPr>
                <w:rFonts w:ascii="宋体" w:hAnsi="宋体"/>
                <w:b/>
                <w:szCs w:val="21"/>
              </w:rPr>
            </w:pPr>
            <w:r>
              <w:rPr>
                <w:rFonts w:hint="eastAsia" w:ascii="宋体" w:hAnsi="宋体"/>
                <w:b/>
                <w:szCs w:val="21"/>
              </w:rPr>
              <w:t>0-</w:t>
            </w:r>
            <w:r>
              <w:rPr>
                <w:rFonts w:ascii="宋体" w:hAnsi="宋体"/>
                <w:b/>
                <w:szCs w:val="21"/>
              </w:rPr>
              <w:t>3</w:t>
            </w:r>
            <w:r>
              <w:rPr>
                <w:rFonts w:hint="eastAsia" w:ascii="宋体" w:hAnsi="宋体"/>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94" w:type="dxa"/>
            <w:vMerge w:val="restart"/>
            <w:vAlign w:val="center"/>
          </w:tcPr>
          <w:p>
            <w:pPr>
              <w:snapToGrid w:val="0"/>
              <w:jc w:val="center"/>
              <w:rPr>
                <w:rFonts w:ascii="宋体" w:hAnsi="宋体"/>
                <w:szCs w:val="21"/>
              </w:rPr>
            </w:pPr>
            <w:r>
              <w:rPr>
                <w:rFonts w:hint="eastAsia" w:ascii="宋体" w:hAnsi="宋体"/>
                <w:sz w:val="22"/>
              </w:rPr>
              <w:t>技术标评分</w:t>
            </w:r>
            <w:r>
              <w:rPr>
                <w:rFonts w:hint="eastAsia" w:ascii="宋体" w:hAnsi="宋体"/>
                <w:szCs w:val="21"/>
              </w:rPr>
              <w:t>（</w:t>
            </w:r>
            <w:r>
              <w:rPr>
                <w:rFonts w:hint="eastAsia" w:ascii="宋体" w:hAnsi="宋体"/>
                <w:bCs/>
                <w:szCs w:val="21"/>
              </w:rPr>
              <w:t>满分</w:t>
            </w:r>
            <w:r>
              <w:rPr>
                <w:rFonts w:ascii="宋体" w:hAnsi="宋体"/>
                <w:bCs/>
                <w:szCs w:val="21"/>
              </w:rPr>
              <w:t>35</w:t>
            </w:r>
            <w:r>
              <w:rPr>
                <w:rFonts w:hint="eastAsia" w:ascii="宋体" w:hAnsi="宋体"/>
                <w:bCs/>
                <w:szCs w:val="21"/>
              </w:rPr>
              <w:t>分）</w:t>
            </w:r>
          </w:p>
        </w:tc>
        <w:tc>
          <w:tcPr>
            <w:tcW w:w="1938" w:type="dxa"/>
            <w:tcBorders>
              <w:bottom w:val="single" w:color="auto" w:sz="4" w:space="0"/>
            </w:tcBorders>
            <w:vAlign w:val="center"/>
          </w:tcPr>
          <w:p>
            <w:pPr>
              <w:snapToGrid w:val="0"/>
              <w:jc w:val="center"/>
              <w:rPr>
                <w:rFonts w:ascii="宋体" w:hAnsi="宋体" w:cs="宋体"/>
                <w:szCs w:val="21"/>
              </w:rPr>
            </w:pPr>
            <w:r>
              <w:rPr>
                <w:rFonts w:hint="eastAsia" w:ascii="宋体" w:hAnsi="宋体" w:cs="宋体"/>
                <w:szCs w:val="21"/>
              </w:rPr>
              <w:t>技术规格</w:t>
            </w:r>
          </w:p>
        </w:tc>
        <w:tc>
          <w:tcPr>
            <w:tcW w:w="4823" w:type="dxa"/>
            <w:tcBorders>
              <w:bottom w:val="single" w:color="auto" w:sz="4" w:space="0"/>
            </w:tcBorders>
            <w:vAlign w:val="center"/>
          </w:tcPr>
          <w:p>
            <w:pPr>
              <w:snapToGrid w:val="0"/>
              <w:jc w:val="left"/>
              <w:rPr>
                <w:rFonts w:ascii="宋体" w:hAnsi="宋体" w:cs="宋体"/>
                <w:szCs w:val="21"/>
              </w:rPr>
            </w:pPr>
            <w:r>
              <w:rPr>
                <w:rFonts w:hint="eastAsia" w:ascii="宋体" w:hAnsi="宋体" w:cs="宋体"/>
                <w:szCs w:val="21"/>
              </w:rPr>
              <w:t>根据产品介绍（查看所投设备详细技术参数说明）的合理性、全面性、详尽性等情况综合打分。</w:t>
            </w:r>
          </w:p>
        </w:tc>
        <w:tc>
          <w:tcPr>
            <w:tcW w:w="1276" w:type="dxa"/>
            <w:tcBorders>
              <w:bottom w:val="single" w:color="auto" w:sz="4" w:space="0"/>
            </w:tcBorders>
            <w:vAlign w:val="center"/>
          </w:tcPr>
          <w:p>
            <w:pPr>
              <w:snapToGrid w:val="0"/>
              <w:jc w:val="left"/>
              <w:rPr>
                <w:rFonts w:ascii="宋体" w:hAnsi="宋体" w:cs="宋体"/>
                <w:b/>
                <w:szCs w:val="21"/>
              </w:rPr>
            </w:pPr>
            <w:r>
              <w:rPr>
                <w:rFonts w:hint="eastAsia" w:ascii="宋体" w:hAnsi="宋体" w:cs="宋体"/>
                <w:b/>
                <w:szCs w:val="21"/>
              </w:rPr>
              <w:t>0-</w:t>
            </w:r>
            <w:r>
              <w:rPr>
                <w:rFonts w:ascii="宋体" w:hAnsi="宋体" w:cs="宋体"/>
                <w:b/>
                <w:szCs w:val="21"/>
              </w:rPr>
              <w:t>10</w:t>
            </w:r>
            <w:r>
              <w:rPr>
                <w:rFonts w:hint="eastAsia" w:ascii="宋体" w:hAnsi="宋体" w:cs="宋体"/>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94" w:type="dxa"/>
            <w:vMerge w:val="continue"/>
            <w:vAlign w:val="center"/>
          </w:tcPr>
          <w:p>
            <w:pPr>
              <w:snapToGrid w:val="0"/>
              <w:jc w:val="center"/>
              <w:rPr>
                <w:rFonts w:ascii="宋体" w:hAnsi="宋体"/>
                <w:szCs w:val="21"/>
              </w:rPr>
            </w:pPr>
          </w:p>
        </w:tc>
        <w:tc>
          <w:tcPr>
            <w:tcW w:w="1938" w:type="dxa"/>
            <w:vAlign w:val="center"/>
          </w:tcPr>
          <w:p>
            <w:pPr>
              <w:snapToGrid w:val="0"/>
              <w:jc w:val="center"/>
              <w:rPr>
                <w:rFonts w:ascii="宋体" w:hAnsi="宋体" w:cs="宋体"/>
                <w:szCs w:val="21"/>
              </w:rPr>
            </w:pPr>
            <w:r>
              <w:rPr>
                <w:rFonts w:hint="eastAsia" w:ascii="宋体" w:hAnsi="宋体" w:cs="宋体"/>
                <w:szCs w:val="21"/>
              </w:rPr>
              <w:t>整体性能</w:t>
            </w:r>
          </w:p>
        </w:tc>
        <w:tc>
          <w:tcPr>
            <w:tcW w:w="4823" w:type="dxa"/>
            <w:vAlign w:val="center"/>
          </w:tcPr>
          <w:p>
            <w:pPr>
              <w:snapToGrid w:val="0"/>
              <w:jc w:val="left"/>
              <w:rPr>
                <w:rFonts w:ascii="宋体" w:hAnsi="宋体" w:cs="宋体"/>
                <w:szCs w:val="21"/>
              </w:rPr>
            </w:pPr>
            <w:r>
              <w:rPr>
                <w:rFonts w:hint="eastAsia" w:ascii="宋体" w:hAnsi="宋体" w:cs="宋体"/>
                <w:szCs w:val="21"/>
              </w:rPr>
              <w:t>根据产品性能横向比较打分。</w:t>
            </w:r>
          </w:p>
        </w:tc>
        <w:tc>
          <w:tcPr>
            <w:tcW w:w="1276" w:type="dxa"/>
            <w:vAlign w:val="center"/>
          </w:tcPr>
          <w:p>
            <w:pPr>
              <w:snapToGrid w:val="0"/>
              <w:jc w:val="left"/>
              <w:rPr>
                <w:rFonts w:ascii="宋体" w:hAnsi="宋体" w:cs="宋体"/>
                <w:b/>
                <w:szCs w:val="21"/>
              </w:rPr>
            </w:pPr>
            <w:r>
              <w:rPr>
                <w:rFonts w:hint="eastAsia" w:ascii="宋体" w:hAnsi="宋体" w:cs="宋体"/>
                <w:b/>
                <w:szCs w:val="21"/>
              </w:rPr>
              <w:t>0-</w:t>
            </w:r>
            <w:r>
              <w:rPr>
                <w:rFonts w:ascii="宋体" w:hAnsi="宋体" w:cs="宋体"/>
                <w:b/>
                <w:szCs w:val="21"/>
              </w:rPr>
              <w:t>5</w:t>
            </w:r>
            <w:r>
              <w:rPr>
                <w:rFonts w:hint="eastAsia" w:ascii="宋体" w:hAnsi="宋体" w:cs="宋体"/>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94" w:type="dxa"/>
            <w:vMerge w:val="continue"/>
            <w:vAlign w:val="center"/>
          </w:tcPr>
          <w:p>
            <w:pPr>
              <w:snapToGrid w:val="0"/>
              <w:jc w:val="center"/>
              <w:rPr>
                <w:rFonts w:ascii="宋体" w:hAnsi="宋体"/>
                <w:szCs w:val="21"/>
              </w:rPr>
            </w:pPr>
          </w:p>
        </w:tc>
        <w:tc>
          <w:tcPr>
            <w:tcW w:w="1938" w:type="dxa"/>
            <w:vAlign w:val="center"/>
          </w:tcPr>
          <w:p>
            <w:pPr>
              <w:jc w:val="center"/>
              <w:rPr>
                <w:rFonts w:ascii="宋体" w:hAnsi="宋体"/>
                <w:szCs w:val="21"/>
              </w:rPr>
            </w:pPr>
          </w:p>
          <w:p>
            <w:pPr>
              <w:jc w:val="center"/>
              <w:rPr>
                <w:rFonts w:ascii="宋体" w:hAnsi="宋体"/>
                <w:szCs w:val="21"/>
              </w:rPr>
            </w:pPr>
            <w:r>
              <w:rPr>
                <w:rFonts w:hint="eastAsia" w:ascii="宋体" w:hAnsi="宋体"/>
                <w:szCs w:val="21"/>
              </w:rPr>
              <w:t>设备外观</w:t>
            </w:r>
          </w:p>
          <w:p>
            <w:pPr>
              <w:jc w:val="center"/>
              <w:rPr>
                <w:rFonts w:ascii="宋体" w:hAnsi="宋体"/>
                <w:szCs w:val="21"/>
              </w:rPr>
            </w:pPr>
          </w:p>
        </w:tc>
        <w:tc>
          <w:tcPr>
            <w:tcW w:w="4823" w:type="dxa"/>
            <w:vAlign w:val="center"/>
          </w:tcPr>
          <w:p>
            <w:pPr>
              <w:rPr>
                <w:rFonts w:ascii="宋体" w:hAnsi="宋体"/>
                <w:szCs w:val="21"/>
              </w:rPr>
            </w:pPr>
            <w:r>
              <w:rPr>
                <w:rFonts w:hint="eastAsia" w:ascii="宋体" w:hAnsi="宋体"/>
                <w:szCs w:val="21"/>
              </w:rPr>
              <w:t>根据屏的美观度、包边材料、包边的颜色、与现场环境的契合程度，由评委横向比较打分。（此项需投标人提供设备外观彩色图片）</w:t>
            </w:r>
          </w:p>
        </w:tc>
        <w:tc>
          <w:tcPr>
            <w:tcW w:w="1276" w:type="dxa"/>
            <w:vAlign w:val="center"/>
          </w:tcPr>
          <w:p>
            <w:pPr>
              <w:snapToGrid w:val="0"/>
              <w:rPr>
                <w:rFonts w:ascii="宋体" w:hAnsi="宋体"/>
                <w:b/>
                <w:szCs w:val="21"/>
              </w:rPr>
            </w:pPr>
            <w:r>
              <w:rPr>
                <w:rFonts w:hint="eastAsia" w:ascii="宋体" w:hAnsi="宋体"/>
                <w:b/>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94" w:type="dxa"/>
            <w:vMerge w:val="continue"/>
            <w:vAlign w:val="center"/>
          </w:tcPr>
          <w:p>
            <w:pPr>
              <w:snapToGrid w:val="0"/>
              <w:jc w:val="center"/>
              <w:rPr>
                <w:rFonts w:ascii="宋体" w:hAnsi="宋体"/>
                <w:szCs w:val="21"/>
              </w:rPr>
            </w:pPr>
          </w:p>
        </w:tc>
        <w:tc>
          <w:tcPr>
            <w:tcW w:w="1938" w:type="dxa"/>
            <w:vAlign w:val="center"/>
          </w:tcPr>
          <w:p>
            <w:pPr>
              <w:jc w:val="center"/>
              <w:rPr>
                <w:rFonts w:ascii="宋体" w:hAnsi="宋体"/>
                <w:szCs w:val="21"/>
              </w:rPr>
            </w:pPr>
            <w:r>
              <w:rPr>
                <w:rFonts w:hint="eastAsia" w:ascii="宋体" w:hAnsi="宋体"/>
                <w:szCs w:val="21"/>
              </w:rPr>
              <w:t>防尘等级</w:t>
            </w:r>
          </w:p>
        </w:tc>
        <w:tc>
          <w:tcPr>
            <w:tcW w:w="4823" w:type="dxa"/>
            <w:vAlign w:val="center"/>
          </w:tcPr>
          <w:p>
            <w:pPr>
              <w:rPr>
                <w:rFonts w:ascii="宋体" w:hAnsi="宋体"/>
                <w:szCs w:val="21"/>
              </w:rPr>
            </w:pPr>
            <w:r>
              <w:rPr>
                <w:rFonts w:hint="eastAsia" w:ascii="宋体" w:hAnsi="宋体"/>
                <w:szCs w:val="21"/>
              </w:rPr>
              <w:t>防尘等级＜3不得分；3≤防尘等级＜5得2分；防尘等级≥5得5分。</w:t>
            </w:r>
          </w:p>
        </w:tc>
        <w:tc>
          <w:tcPr>
            <w:tcW w:w="1276" w:type="dxa"/>
            <w:vAlign w:val="center"/>
          </w:tcPr>
          <w:p>
            <w:pPr>
              <w:snapToGrid w:val="0"/>
              <w:rPr>
                <w:rFonts w:ascii="宋体" w:hAnsi="宋体"/>
                <w:b/>
                <w:szCs w:val="21"/>
              </w:rPr>
            </w:pPr>
            <w:r>
              <w:rPr>
                <w:rFonts w:hint="eastAsia" w:ascii="宋体" w:hAnsi="宋体"/>
                <w:b/>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trPr>
        <w:tc>
          <w:tcPr>
            <w:tcW w:w="1494" w:type="dxa"/>
            <w:vMerge w:val="continue"/>
            <w:vAlign w:val="center"/>
          </w:tcPr>
          <w:p>
            <w:pPr>
              <w:snapToGrid w:val="0"/>
              <w:jc w:val="center"/>
              <w:rPr>
                <w:rFonts w:ascii="宋体" w:hAnsi="宋体"/>
                <w:szCs w:val="21"/>
              </w:rPr>
            </w:pPr>
          </w:p>
        </w:tc>
        <w:tc>
          <w:tcPr>
            <w:tcW w:w="1938" w:type="dxa"/>
            <w:vAlign w:val="center"/>
          </w:tcPr>
          <w:p>
            <w:pPr>
              <w:jc w:val="center"/>
              <w:rPr>
                <w:rFonts w:ascii="宋体" w:hAnsi="宋体"/>
                <w:szCs w:val="21"/>
              </w:rPr>
            </w:pPr>
            <w:r>
              <w:rPr>
                <w:rFonts w:hint="eastAsia" w:ascii="宋体" w:hAnsi="宋体"/>
                <w:szCs w:val="21"/>
              </w:rPr>
              <w:t>技术方案与培训</w:t>
            </w:r>
          </w:p>
        </w:tc>
        <w:tc>
          <w:tcPr>
            <w:tcW w:w="4823" w:type="dxa"/>
            <w:vAlign w:val="center"/>
          </w:tcPr>
          <w:p>
            <w:pPr>
              <w:rPr>
                <w:rFonts w:ascii="宋体" w:hAnsi="宋体"/>
                <w:szCs w:val="21"/>
              </w:rPr>
            </w:pPr>
            <w:r>
              <w:rPr>
                <w:rFonts w:hint="eastAsia" w:ascii="宋体" w:hAnsi="宋体"/>
                <w:szCs w:val="21"/>
              </w:rPr>
              <w:t>根据投标方案与需求的吻合程度，包括方案的科学性、先进性、完整性以及合理性等，根据有无基础维护操作培训，由评委横向比较打分。</w:t>
            </w:r>
          </w:p>
        </w:tc>
        <w:tc>
          <w:tcPr>
            <w:tcW w:w="1276" w:type="dxa"/>
            <w:vAlign w:val="center"/>
          </w:tcPr>
          <w:p>
            <w:pPr>
              <w:rPr>
                <w:rFonts w:ascii="宋体" w:hAnsi="宋体"/>
                <w:b/>
                <w:szCs w:val="21"/>
              </w:rPr>
            </w:pPr>
            <w:r>
              <w:rPr>
                <w:rFonts w:hint="eastAsia" w:ascii="宋体" w:hAnsi="宋体"/>
                <w:b/>
                <w:szCs w:val="21"/>
              </w:rPr>
              <w:t>0-</w:t>
            </w:r>
            <w:r>
              <w:rPr>
                <w:rFonts w:ascii="宋体" w:hAnsi="宋体"/>
                <w:b/>
                <w:szCs w:val="21"/>
              </w:rPr>
              <w:t>4</w:t>
            </w:r>
            <w:r>
              <w:rPr>
                <w:rFonts w:hint="eastAsia" w:ascii="宋体" w:hAnsi="宋体"/>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trPr>
        <w:tc>
          <w:tcPr>
            <w:tcW w:w="1494" w:type="dxa"/>
            <w:vMerge w:val="continue"/>
            <w:vAlign w:val="center"/>
          </w:tcPr>
          <w:p>
            <w:pPr>
              <w:snapToGrid w:val="0"/>
              <w:jc w:val="center"/>
              <w:rPr>
                <w:rFonts w:ascii="宋体" w:hAnsi="宋体"/>
                <w:szCs w:val="21"/>
              </w:rPr>
            </w:pPr>
          </w:p>
        </w:tc>
        <w:tc>
          <w:tcPr>
            <w:tcW w:w="1938" w:type="dxa"/>
            <w:vAlign w:val="center"/>
          </w:tcPr>
          <w:p>
            <w:pPr>
              <w:snapToGrid w:val="0"/>
              <w:jc w:val="center"/>
              <w:rPr>
                <w:rFonts w:ascii="宋体" w:hAnsi="宋体"/>
                <w:szCs w:val="21"/>
              </w:rPr>
            </w:pPr>
            <w:r>
              <w:rPr>
                <w:rFonts w:hint="eastAsia" w:ascii="宋体" w:hAnsi="宋体"/>
                <w:szCs w:val="21"/>
              </w:rPr>
              <w:t>与招标文件的其它一般条款是否有负偏离</w:t>
            </w:r>
          </w:p>
        </w:tc>
        <w:tc>
          <w:tcPr>
            <w:tcW w:w="4823" w:type="dxa"/>
            <w:vAlign w:val="center"/>
          </w:tcPr>
          <w:p>
            <w:pPr>
              <w:snapToGrid w:val="0"/>
              <w:jc w:val="left"/>
              <w:rPr>
                <w:rFonts w:ascii="宋体" w:hAnsi="宋体"/>
                <w:szCs w:val="21"/>
              </w:rPr>
            </w:pPr>
            <w:r>
              <w:rPr>
                <w:rFonts w:hint="eastAsia" w:ascii="宋体" w:hAnsi="宋体"/>
                <w:szCs w:val="21"/>
              </w:rPr>
              <w:t>每一项负偏离扣0.5分，扣完3分为止。</w:t>
            </w:r>
          </w:p>
        </w:tc>
        <w:tc>
          <w:tcPr>
            <w:tcW w:w="1276" w:type="dxa"/>
            <w:vAlign w:val="center"/>
          </w:tcPr>
          <w:p>
            <w:pPr>
              <w:snapToGrid w:val="0"/>
              <w:rPr>
                <w:rFonts w:ascii="宋体" w:hAnsi="宋体"/>
                <w:b/>
                <w:szCs w:val="21"/>
              </w:rPr>
            </w:pPr>
            <w:r>
              <w:rPr>
                <w:rFonts w:hint="eastAsia" w:ascii="宋体" w:hAnsi="宋体"/>
                <w:b/>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94" w:type="dxa"/>
            <w:vMerge w:val="continue"/>
            <w:vAlign w:val="center"/>
          </w:tcPr>
          <w:p>
            <w:pPr>
              <w:snapToGrid w:val="0"/>
              <w:jc w:val="center"/>
              <w:rPr>
                <w:rFonts w:ascii="宋体" w:hAnsi="宋体"/>
                <w:szCs w:val="21"/>
              </w:rPr>
            </w:pPr>
          </w:p>
        </w:tc>
        <w:tc>
          <w:tcPr>
            <w:tcW w:w="1938" w:type="dxa"/>
            <w:vAlign w:val="center"/>
          </w:tcPr>
          <w:p>
            <w:pPr>
              <w:snapToGrid w:val="0"/>
              <w:jc w:val="center"/>
              <w:rPr>
                <w:rFonts w:ascii="宋体" w:hAnsi="宋体"/>
                <w:szCs w:val="21"/>
              </w:rPr>
            </w:pPr>
            <w:r>
              <w:rPr>
                <w:rFonts w:hint="eastAsia" w:ascii="宋体" w:hAnsi="宋体" w:cs="宋体"/>
                <w:szCs w:val="21"/>
              </w:rPr>
              <w:t>质保、人员配备、售后服务</w:t>
            </w:r>
          </w:p>
        </w:tc>
        <w:tc>
          <w:tcPr>
            <w:tcW w:w="4823" w:type="dxa"/>
            <w:vAlign w:val="center"/>
          </w:tcPr>
          <w:p>
            <w:pPr>
              <w:snapToGrid w:val="0"/>
              <w:jc w:val="left"/>
              <w:rPr>
                <w:rFonts w:ascii="宋体" w:hAnsi="宋体"/>
                <w:szCs w:val="21"/>
              </w:rPr>
            </w:pPr>
            <w:r>
              <w:rPr>
                <w:rFonts w:hint="eastAsia" w:ascii="宋体" w:hAnsi="宋体" w:cs="宋体"/>
                <w:szCs w:val="21"/>
              </w:rPr>
              <w:t>根据投标单位的服务体系、质量保证措施、售后服务及时、服务到位、维修保养时间和处理办法、售后服务人员配备等情况综合打分。</w:t>
            </w:r>
          </w:p>
        </w:tc>
        <w:tc>
          <w:tcPr>
            <w:tcW w:w="1276" w:type="dxa"/>
            <w:vAlign w:val="center"/>
          </w:tcPr>
          <w:p>
            <w:pPr>
              <w:snapToGrid w:val="0"/>
              <w:rPr>
                <w:rFonts w:ascii="宋体" w:hAnsi="宋体"/>
                <w:b/>
                <w:szCs w:val="21"/>
              </w:rPr>
            </w:pPr>
            <w:r>
              <w:rPr>
                <w:rFonts w:hint="eastAsia" w:ascii="宋体" w:hAnsi="宋体"/>
                <w:b/>
                <w:szCs w:val="21"/>
              </w:rPr>
              <w:t>0-5分</w:t>
            </w:r>
          </w:p>
        </w:tc>
      </w:tr>
    </w:tbl>
    <w:p>
      <w:pPr>
        <w:pStyle w:val="21"/>
        <w:adjustRightInd w:val="0"/>
        <w:snapToGrid w:val="0"/>
        <w:spacing w:line="360" w:lineRule="exact"/>
        <w:ind w:firstLine="442" w:firstLineChars="200"/>
        <w:rPr>
          <w:rFonts w:hAnsi="宋体" w:cs="Calibri"/>
          <w:b/>
          <w:sz w:val="22"/>
          <w:szCs w:val="22"/>
        </w:rPr>
      </w:pPr>
    </w:p>
    <w:p>
      <w:pPr>
        <w:pStyle w:val="21"/>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推荐得分最高、次高的投标人为中标候选人（如果得分相同则按投标人报价从低到高顺序推荐为中标候选人，如果投标报价也相同，则抽签决定）。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3.4.3当有效投标文件只有一名时，则由评标委员会确定是否推荐为中标候选人。</w:t>
      </w: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rPr>
      </w:pPr>
      <w:r>
        <w:rPr>
          <w:rFonts w:hint="eastAsia" w:hAnsi="宋体" w:cs="Calibri"/>
          <w:sz w:val="22"/>
          <w:szCs w:val="22"/>
        </w:rPr>
        <w:t>4.4招标人对评标、定标结果不负责解释。</w:t>
      </w:r>
      <w:bookmarkEnd w:id="57"/>
    </w:p>
    <w:p>
      <w:pPr>
        <w:pStyle w:val="2"/>
        <w:spacing w:before="0" w:after="0"/>
        <w:jc w:val="center"/>
        <w:rPr>
          <w:rFonts w:ascii="Cambria" w:hAnsi="Cambria" w:eastAsia="黑体"/>
          <w:b w:val="0"/>
          <w:bCs w:val="0"/>
          <w:kern w:val="0"/>
          <w:sz w:val="32"/>
          <w:szCs w:val="32"/>
        </w:rPr>
      </w:pPr>
      <w:r>
        <w:br w:type="page"/>
      </w:r>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58"/>
    </w:p>
    <w:p>
      <w:pPr>
        <w:spacing w:line="440" w:lineRule="exact"/>
        <w:rPr>
          <w:rFonts w:cs="Calibri"/>
          <w:sz w:val="24"/>
        </w:rPr>
      </w:pPr>
    </w:p>
    <w:p>
      <w:pPr>
        <w:spacing w:line="440" w:lineRule="exact"/>
        <w:jc w:val="center"/>
        <w:rPr>
          <w:rFonts w:cs="Calibri"/>
          <w:b/>
          <w:sz w:val="28"/>
          <w:szCs w:val="28"/>
        </w:rPr>
      </w:pPr>
      <w:r>
        <w:rPr>
          <w:rFonts w:cs="Calibri"/>
          <w:b/>
          <w:sz w:val="28"/>
          <w:szCs w:val="28"/>
        </w:rPr>
        <w:t>目   录</w:t>
      </w:r>
    </w:p>
    <w:p>
      <w:pPr>
        <w:spacing w:line="440" w:lineRule="exact"/>
        <w:ind w:firstLine="440" w:firstLineChars="200"/>
        <w:rPr>
          <w:rFonts w:ascii="宋体" w:hAnsi="宋体" w:cs="Calibri"/>
          <w:sz w:val="22"/>
        </w:rPr>
      </w:pPr>
      <w:r>
        <w:rPr>
          <w:rFonts w:ascii="宋体" w:hAnsi="宋体" w:cs="Calibri"/>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等线" w:hAnsi="等线" w:cs="Calibri"/>
          <w:sz w:val="22"/>
        </w:rPr>
      </w:pPr>
      <w:r>
        <w:rPr>
          <w:rFonts w:hint="eastAsia" w:ascii="等线" w:hAnsi="等线" w:cs="Calibri"/>
          <w:sz w:val="22"/>
        </w:rPr>
        <w:t>二、</w:t>
      </w:r>
      <w:r>
        <w:rPr>
          <w:rFonts w:ascii="等线" w:hAnsi="等线" w:cs="Calibri"/>
          <w:sz w:val="22"/>
        </w:rPr>
        <w:t>法定代表人资格证明书；</w:t>
      </w:r>
    </w:p>
    <w:p>
      <w:pPr>
        <w:adjustRightInd w:val="0"/>
        <w:snapToGrid w:val="0"/>
        <w:spacing w:line="400" w:lineRule="exact"/>
        <w:ind w:firstLine="440" w:firstLineChars="200"/>
        <w:rPr>
          <w:rFonts w:ascii="等线" w:hAnsi="等线" w:cs="Calibri"/>
          <w:sz w:val="22"/>
        </w:rPr>
      </w:pPr>
      <w:r>
        <w:rPr>
          <w:rFonts w:hint="eastAsia" w:ascii="等线" w:hAnsi="等线" w:cs="Calibri"/>
          <w:sz w:val="22"/>
        </w:rPr>
        <w:t>三、</w:t>
      </w:r>
      <w:r>
        <w:rPr>
          <w:rFonts w:ascii="等线" w:hAnsi="等线" w:cs="Calibri"/>
          <w:sz w:val="22"/>
        </w:rPr>
        <w:t>授权委托书；</w:t>
      </w:r>
    </w:p>
    <w:p>
      <w:pPr>
        <w:adjustRightInd w:val="0"/>
        <w:snapToGrid w:val="0"/>
        <w:spacing w:line="400" w:lineRule="exact"/>
        <w:ind w:firstLine="440" w:firstLineChars="200"/>
        <w:rPr>
          <w:rFonts w:ascii="等线" w:hAnsi="等线" w:cs="Calibri"/>
          <w:sz w:val="22"/>
        </w:rPr>
      </w:pPr>
      <w:r>
        <w:rPr>
          <w:rFonts w:hint="eastAsia" w:ascii="等线" w:hAnsi="等线" w:cs="Calibri"/>
          <w:sz w:val="22"/>
        </w:rPr>
        <w:t>四、</w:t>
      </w:r>
      <w:r>
        <w:rPr>
          <w:rFonts w:ascii="等线" w:hAnsi="等线" w:cs="Calibri"/>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ascii="等线" w:hAnsi="等线" w:cs="Calibri"/>
          <w:sz w:val="22"/>
        </w:rPr>
        <w:t>投标人一般情况</w:t>
      </w:r>
      <w:r>
        <w:rPr>
          <w:rFonts w:hint="eastAsia" w:ascii="等线" w:hAnsi="等线" w:cs="Calibri"/>
          <w:sz w:val="22"/>
        </w:rPr>
        <w:t>及</w:t>
      </w:r>
      <w:r>
        <w:rPr>
          <w:rFonts w:ascii="等线" w:hAnsi="等线" w:cs="Calibri"/>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hint="eastAsia" w:ascii="等线" w:hAnsi="等线" w:cs="Calibri"/>
          <w:sz w:val="22"/>
        </w:rPr>
      </w:pPr>
      <w:r>
        <w:rPr>
          <w:rFonts w:hint="eastAsia" w:ascii="宋体" w:hAnsi="宋体" w:cs="Calibri"/>
          <w:sz w:val="22"/>
        </w:rPr>
        <w:t>（2）</w:t>
      </w:r>
      <w:r>
        <w:rPr>
          <w:rFonts w:hint="eastAsia" w:ascii="等线" w:hAnsi="等线" w:cs="Calibri"/>
          <w:sz w:val="22"/>
        </w:rPr>
        <w:t>具有独立法人资格，持有有效营业执照，注册资本100万元（含）以上 (提供营业执照复印件加盖公章，原件备查)</w:t>
      </w:r>
    </w:p>
    <w:p>
      <w:pPr>
        <w:adjustRightInd w:val="0"/>
        <w:snapToGrid w:val="0"/>
        <w:spacing w:line="400" w:lineRule="exact"/>
        <w:ind w:firstLine="440" w:firstLineChars="200"/>
        <w:rPr>
          <w:rFonts w:hint="eastAsia" w:ascii="宋体" w:hAnsi="宋体" w:cs="Calibri"/>
          <w:sz w:val="22"/>
        </w:rPr>
      </w:pPr>
      <w:r>
        <w:rPr>
          <w:rFonts w:hint="eastAsia" w:ascii="宋体" w:hAnsi="宋体" w:cs="Calibri"/>
          <w:sz w:val="22"/>
        </w:rPr>
        <w:t>（3）依据最高人民法院等九部门《关于在招标投标活动中对失信被执行人实施联合惩戒的通知》，投标人不得为失信被执行人。（通过信用中国网站www.creditchina.gov.cn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adjustRightInd w:val="0"/>
        <w:snapToGrid w:val="0"/>
        <w:spacing w:line="400" w:lineRule="exact"/>
        <w:ind w:firstLine="440" w:firstLineChars="200"/>
        <w:rPr>
          <w:rFonts w:hint="eastAsia" w:ascii="宋体" w:hAnsi="宋体" w:cs="Calibri"/>
          <w:sz w:val="22"/>
        </w:rPr>
      </w:pPr>
      <w:r>
        <w:rPr>
          <w:rFonts w:hint="eastAsia" w:ascii="宋体" w:hAnsi="宋体" w:cs="Calibri"/>
          <w:sz w:val="22"/>
        </w:rPr>
        <w:t>（4）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adjustRightInd w:val="0"/>
        <w:snapToGrid w:val="0"/>
        <w:spacing w:line="400" w:lineRule="exact"/>
        <w:ind w:firstLine="440" w:firstLineChars="200"/>
        <w:rPr>
          <w:rFonts w:hint="eastAsia" w:ascii="宋体" w:hAnsi="宋体" w:cs="Calibri"/>
          <w:sz w:val="22"/>
        </w:rPr>
      </w:pPr>
      <w:r>
        <w:rPr>
          <w:rFonts w:hint="eastAsia" w:ascii="宋体" w:hAnsi="宋体" w:cs="Calibri"/>
          <w:sz w:val="22"/>
        </w:rPr>
        <w:t>（5）投标人具有一般纳税人资格，可提供增值税专用发票（需提供税务机关出具的一般纳税人资格认定相关证明材料复印件并加盖投标人公章作为证明材料，原件备查）。</w:t>
      </w:r>
    </w:p>
    <w:p>
      <w:pPr>
        <w:adjustRightInd w:val="0"/>
        <w:snapToGrid w:val="0"/>
        <w:spacing w:line="400" w:lineRule="exact"/>
        <w:ind w:firstLine="440" w:firstLineChars="200"/>
        <w:rPr>
          <w:rFonts w:hint="eastAsia" w:ascii="宋体" w:hAnsi="宋体" w:cs="Calibri"/>
          <w:sz w:val="22"/>
        </w:rPr>
      </w:pPr>
      <w:r>
        <w:rPr>
          <w:rFonts w:hint="eastAsia" w:ascii="宋体" w:hAnsi="宋体" w:cs="Calibri"/>
          <w:sz w:val="22"/>
        </w:rPr>
        <w:t>（6）投标产品自2016年近三年的销售业绩一览表（根据投标人销售合同）。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spacing w:line="440" w:lineRule="exact"/>
        <w:ind w:firstLine="440" w:firstLineChars="200"/>
        <w:rPr>
          <w:rFonts w:ascii="宋体" w:hAnsi="宋体" w:cs="宋体"/>
          <w:sz w:val="22"/>
        </w:rPr>
      </w:pPr>
      <w:r>
        <w:rPr>
          <w:rFonts w:hint="eastAsia" w:ascii="宋体" w:hAnsi="宋体" w:cs="宋体"/>
          <w:sz w:val="22"/>
        </w:rPr>
        <w:t>八、服务大纲（含售后服务承诺函、产品安装使用培训、质保期限等）；</w:t>
      </w:r>
    </w:p>
    <w:p>
      <w:pPr>
        <w:spacing w:line="440" w:lineRule="exact"/>
        <w:ind w:firstLine="440" w:firstLineChars="200"/>
        <w:rPr>
          <w:rFonts w:eastAsia="黑体" w:cs="Calibri"/>
          <w:sz w:val="32"/>
          <w:szCs w:val="32"/>
        </w:rPr>
      </w:pPr>
      <w:r>
        <w:rPr>
          <w:rFonts w:hint="eastAsia" w:ascii="宋体" w:hAnsi="宋体" w:cs="宋体"/>
          <w:sz w:val="22"/>
        </w:rPr>
        <w:t>九、廉洁自律承诺书；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w:t>
      </w:r>
      <w:r>
        <w:rPr>
          <w:rFonts w:hint="eastAsia" w:ascii="等线" w:hAnsi="等线" w:cs="Arial"/>
          <w:sz w:val="22"/>
        </w:rPr>
        <w:t>投标人认为</w:t>
      </w:r>
      <w:r>
        <w:rPr>
          <w:rFonts w:ascii="等线" w:hAnsi="等线" w:cs="Arial"/>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sz w:val="22"/>
        </w:rPr>
      </w:pPr>
    </w:p>
    <w:p>
      <w:pPr>
        <w:rPr>
          <w:rFonts w:ascii="宋体" w:hAnsi="宋体" w:cs="Calibri"/>
          <w:sz w:val="22"/>
        </w:rPr>
      </w:pPr>
    </w:p>
    <w:p>
      <w:pPr>
        <w:spacing w:line="440" w:lineRule="exact"/>
        <w:rPr>
          <w:rFonts w:ascii="宋体" w:hAnsi="宋体" w:cs="Calibri"/>
          <w:sz w:val="22"/>
        </w:rPr>
      </w:pPr>
    </w:p>
    <w:p>
      <w:pPr>
        <w:widowControl/>
        <w:jc w:val="left"/>
        <w:rPr>
          <w:rFonts w:cs="Calibri"/>
        </w:rPr>
      </w:pPr>
      <w:r>
        <w:rPr>
          <w:rFonts w:hint="eastAsia" w:ascii="宋体" w:hAnsi="宋体" w:cs="Calibri"/>
          <w:sz w:val="22"/>
        </w:rPr>
        <w:t>注：未提供格式的由投标人自行拟定格式。</w:t>
      </w:r>
      <w:r>
        <w:rPr>
          <w:rFonts w:cs="Calibri"/>
        </w:rPr>
        <w:br w:type="page"/>
      </w:r>
      <w:r>
        <w:rPr>
          <w:rFonts w:cs="Calibri"/>
        </w:rPr>
        <w:t>正本（或副本）</w:t>
      </w:r>
    </w:p>
    <w:p>
      <w:pPr>
        <w:spacing w:line="440" w:lineRule="exact"/>
        <w:rPr>
          <w:rFonts w:cs="Calibri"/>
          <w:sz w:val="24"/>
          <w:u w:val="single"/>
        </w:rPr>
      </w:pPr>
      <w:bookmarkStart w:id="59" w:name="_Toc171421958"/>
      <w:r>
        <w:rPr>
          <w:rFonts w:cs="Calibri"/>
        </w:rPr>
        <w:t>封面</w:t>
      </w:r>
      <w:bookmarkEnd w:id="59"/>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sz w:val="36"/>
          <w:szCs w:val="36"/>
        </w:rPr>
      </w:pPr>
    </w:p>
    <w:p>
      <w:pPr>
        <w:spacing w:line="440" w:lineRule="exact"/>
        <w:ind w:firstLine="480" w:firstLineChars="200"/>
        <w:jc w:val="center"/>
        <w:rPr>
          <w:rFonts w:cs="Calibri"/>
          <w:sz w:val="24"/>
        </w:rPr>
      </w:pPr>
    </w:p>
    <w:p>
      <w:pPr>
        <w:spacing w:line="440" w:lineRule="exact"/>
        <w:jc w:val="center"/>
        <w:rPr>
          <w:rFonts w:cs="Calibri"/>
          <w:sz w:val="44"/>
          <w:szCs w:val="44"/>
        </w:rPr>
      </w:pPr>
    </w:p>
    <w:p>
      <w:pPr>
        <w:spacing w:before="480" w:beforeLines="200" w:after="480" w:afterLines="200" w:line="440" w:lineRule="exact"/>
        <w:jc w:val="center"/>
        <w:rPr>
          <w:rFonts w:cs="Calibri"/>
          <w:b/>
          <w:bCs/>
          <w:sz w:val="84"/>
          <w:szCs w:val="84"/>
        </w:rPr>
      </w:pPr>
      <w:r>
        <w:rPr>
          <w:rFonts w:cs="Calibri"/>
          <w:b/>
          <w:bCs/>
          <w:sz w:val="84"/>
          <w:szCs w:val="84"/>
        </w:rPr>
        <w:t>投标文件</w:t>
      </w:r>
    </w:p>
    <w:p>
      <w:pPr>
        <w:spacing w:line="440" w:lineRule="exact"/>
        <w:ind w:firstLine="480" w:firstLineChars="200"/>
        <w:jc w:val="center"/>
        <w:rPr>
          <w:rFonts w:cs="Calibri"/>
          <w:sz w:val="24"/>
        </w:rPr>
      </w:pPr>
    </w:p>
    <w:p>
      <w:pPr>
        <w:spacing w:line="440" w:lineRule="exact"/>
        <w:ind w:firstLine="480" w:firstLineChars="200"/>
        <w:rPr>
          <w:rFonts w:cs="Calibri"/>
          <w:sz w:val="24"/>
        </w:rPr>
      </w:pPr>
      <w:r>
        <w:rPr>
          <w:rFonts w:cs="Calibri"/>
          <w:sz w:val="24"/>
        </w:rPr>
        <w:t xml:space="preserve">                  </w:t>
      </w: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360" w:lineRule="auto"/>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spacing w:line="360" w:lineRule="auto"/>
        <w:ind w:firstLine="1400" w:firstLineChars="500"/>
        <w:rPr>
          <w:rFonts w:cs="Calibri"/>
          <w:sz w:val="28"/>
          <w:szCs w:val="28"/>
        </w:rPr>
      </w:pPr>
    </w:p>
    <w:p>
      <w:pPr>
        <w:spacing w:line="360" w:lineRule="auto"/>
        <w:jc w:val="center"/>
        <w:rPr>
          <w:rFonts w:eastAsia="黑体" w:cs="Calibri"/>
          <w:bCs/>
          <w:sz w:val="32"/>
          <w:szCs w:val="32"/>
        </w:rPr>
      </w:pPr>
      <w:r>
        <w:rPr>
          <w:rFonts w:cs="Calibri"/>
          <w:sz w:val="24"/>
        </w:rPr>
        <w:br w:type="page"/>
      </w:r>
      <w:r>
        <w:rPr>
          <w:rFonts w:eastAsia="黑体" w:cs="Calibri"/>
          <w:bCs/>
          <w:sz w:val="32"/>
          <w:szCs w:val="32"/>
        </w:rPr>
        <w:t>一、投 标 函</w:t>
      </w:r>
    </w:p>
    <w:p>
      <w:pPr>
        <w:spacing w:line="440" w:lineRule="exact"/>
        <w:jc w:val="center"/>
        <w:rPr>
          <w:rFonts w:cs="Calibri"/>
          <w:b/>
          <w:bCs/>
          <w:sz w:val="28"/>
          <w:szCs w:val="28"/>
        </w:rPr>
      </w:pP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根据贵方杭州萧山国际机场</w:t>
      </w:r>
      <w:r>
        <w:rPr>
          <w:rFonts w:hint="eastAsia" w:ascii="宋体" w:hAnsi="宋体"/>
          <w:sz w:val="22"/>
          <w:u w:val="single"/>
        </w:rPr>
        <w:t xml:space="preserve">             </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w:t>
      </w:r>
      <w:r>
        <w:rPr>
          <w:rFonts w:ascii="宋体" w:hAnsi="宋体" w:cs="Arial"/>
          <w:sz w:val="22"/>
          <w:u w:val="single"/>
        </w:rPr>
        <w:t xml:space="preserve">        </w:t>
      </w:r>
      <w:r>
        <w:rPr>
          <w:rFonts w:ascii="宋体" w:hAnsi="宋体"/>
          <w:sz w:val="22"/>
        </w:rPr>
        <w:t>(全名、职务)经正式授权</w:t>
      </w:r>
      <w:r>
        <w:rPr>
          <w:rFonts w:hint="eastAsia" w:ascii="宋体" w:hAnsi="宋体"/>
          <w:sz w:val="22"/>
        </w:rPr>
        <w:t>，</w:t>
      </w:r>
      <w:r>
        <w:rPr>
          <w:rFonts w:ascii="宋体" w:hAnsi="宋体"/>
          <w:sz w:val="22"/>
        </w:rPr>
        <w:t>代表投标人</w:t>
      </w:r>
      <w:r>
        <w:rPr>
          <w:rFonts w:ascii="宋体" w:hAnsi="宋体" w:cs="Arial"/>
          <w:sz w:val="22"/>
          <w:u w:val="single"/>
        </w:rPr>
        <w:t xml:space="preserve">                    </w:t>
      </w:r>
      <w:r>
        <w:rPr>
          <w:rFonts w:ascii="宋体" w:hAnsi="宋体"/>
          <w:sz w:val="22"/>
        </w:rPr>
        <w:t>(投标人名称、地址)递交下述文件正本一份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3"/>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ascii="宋体" w:hAnsi="宋体"/>
          <w:sz w:val="22"/>
        </w:rPr>
        <w:t>(小写)</w:t>
      </w:r>
      <w:r>
        <w:rPr>
          <w:rFonts w:ascii="宋体" w:hAnsi="宋体"/>
          <w:sz w:val="22"/>
          <w:u w:val="single"/>
        </w:rPr>
        <w:t xml:space="preserve">             </w:t>
      </w:r>
      <w:r>
        <w:rPr>
          <w:rFonts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等线" w:hAnsi="等线" w:cs="Calibri"/>
          <w:sz w:val="22"/>
        </w:rPr>
      </w:pPr>
      <w:r>
        <w:rPr>
          <w:rFonts w:ascii="等线" w:hAnsi="等线" w:cs="Calibri"/>
          <w:sz w:val="22"/>
        </w:rPr>
        <w:t>投标人：（盖单位章）</w:t>
      </w:r>
    </w:p>
    <w:p>
      <w:pPr>
        <w:snapToGrid w:val="0"/>
        <w:spacing w:line="440" w:lineRule="exact"/>
        <w:ind w:firstLine="3300" w:firstLineChars="1500"/>
        <w:rPr>
          <w:rFonts w:ascii="等线" w:hAnsi="等线" w:cs="Calibri"/>
          <w:sz w:val="22"/>
        </w:rPr>
      </w:pPr>
      <w:r>
        <w:rPr>
          <w:rFonts w:ascii="等线" w:hAnsi="等线" w:cs="Calibri"/>
          <w:sz w:val="22"/>
        </w:rPr>
        <w:t>法定代表人或其委托代理人：（签字或盖章）</w:t>
      </w:r>
    </w:p>
    <w:p>
      <w:pPr>
        <w:snapToGrid w:val="0"/>
        <w:spacing w:line="440" w:lineRule="exact"/>
        <w:ind w:firstLine="3300" w:firstLineChars="1500"/>
        <w:rPr>
          <w:rFonts w:ascii="等线" w:hAnsi="等线" w:cs="Calibri"/>
          <w:sz w:val="22"/>
        </w:rPr>
      </w:pPr>
      <w:r>
        <w:rPr>
          <w:rFonts w:ascii="等线" w:hAnsi="等线" w:cs="Calibri"/>
          <w:sz w:val="22"/>
        </w:rPr>
        <w:t>地    址：</w:t>
      </w:r>
    </w:p>
    <w:p>
      <w:pPr>
        <w:snapToGrid w:val="0"/>
        <w:spacing w:line="440" w:lineRule="exact"/>
        <w:ind w:firstLine="3300" w:firstLineChars="1500"/>
        <w:rPr>
          <w:rFonts w:ascii="等线" w:hAnsi="等线" w:cs="Calibri"/>
          <w:sz w:val="22"/>
        </w:rPr>
      </w:pPr>
      <w:r>
        <w:rPr>
          <w:rFonts w:ascii="等线" w:hAnsi="等线" w:cs="Calibri"/>
          <w:sz w:val="22"/>
        </w:rPr>
        <w:t>邮政编码：</w:t>
      </w:r>
    </w:p>
    <w:p>
      <w:pPr>
        <w:snapToGrid w:val="0"/>
        <w:spacing w:line="440" w:lineRule="exact"/>
        <w:ind w:firstLine="3300" w:firstLineChars="1500"/>
        <w:rPr>
          <w:rFonts w:ascii="等线" w:hAnsi="等线" w:cs="Calibri"/>
          <w:sz w:val="22"/>
        </w:rPr>
      </w:pPr>
      <w:r>
        <w:rPr>
          <w:rFonts w:ascii="等线" w:hAnsi="等线" w:cs="Calibri"/>
          <w:sz w:val="22"/>
        </w:rPr>
        <w:t>电    话：</w:t>
      </w:r>
    </w:p>
    <w:p>
      <w:pPr>
        <w:snapToGrid w:val="0"/>
        <w:spacing w:line="440" w:lineRule="exact"/>
        <w:ind w:firstLine="3300" w:firstLineChars="1500"/>
        <w:rPr>
          <w:rFonts w:ascii="等线" w:hAnsi="等线" w:cs="Calibri"/>
          <w:sz w:val="22"/>
        </w:rPr>
      </w:pPr>
      <w:r>
        <w:rPr>
          <w:rFonts w:ascii="等线" w:hAnsi="等线" w:cs="Calibri"/>
          <w:sz w:val="22"/>
        </w:rPr>
        <w:t>传    真：</w:t>
      </w:r>
    </w:p>
    <w:p>
      <w:pPr>
        <w:snapToGrid w:val="0"/>
        <w:spacing w:line="440" w:lineRule="exact"/>
        <w:ind w:firstLine="3300" w:firstLineChars="1500"/>
        <w:rPr>
          <w:rFonts w:ascii="等线" w:hAnsi="等线" w:cs="Calibri"/>
          <w:sz w:val="22"/>
        </w:rPr>
      </w:pPr>
      <w:r>
        <w:rPr>
          <w:rFonts w:ascii="等线" w:hAnsi="等线" w:cs="Calibri"/>
          <w:sz w:val="22"/>
        </w:rPr>
        <w:t>开户银行：</w:t>
      </w:r>
    </w:p>
    <w:p>
      <w:pPr>
        <w:snapToGrid w:val="0"/>
        <w:spacing w:line="440" w:lineRule="exact"/>
        <w:ind w:firstLine="3300" w:firstLineChars="1500"/>
        <w:rPr>
          <w:rFonts w:ascii="等线" w:hAnsi="等线" w:cs="Calibri"/>
          <w:sz w:val="22"/>
        </w:rPr>
      </w:pPr>
      <w:r>
        <w:rPr>
          <w:rFonts w:ascii="等线" w:hAnsi="等线" w:cs="Calibri"/>
          <w:sz w:val="22"/>
        </w:rPr>
        <w:t>账    号：</w:t>
      </w:r>
    </w:p>
    <w:p>
      <w:pPr>
        <w:snapToGrid w:val="0"/>
        <w:spacing w:line="440" w:lineRule="exact"/>
        <w:ind w:firstLine="3300" w:firstLineChars="1500"/>
        <w:rPr>
          <w:rFonts w:cs="Calibri"/>
          <w:szCs w:val="21"/>
        </w:rPr>
      </w:pPr>
      <w:r>
        <w:rPr>
          <w:rFonts w:ascii="等线" w:hAnsi="等线" w:cs="Calibri"/>
          <w:sz w:val="22"/>
        </w:rPr>
        <w:t>日    期：    年     月     日</w:t>
      </w:r>
    </w:p>
    <w:p>
      <w:pPr>
        <w:snapToGrid w:val="0"/>
        <w:spacing w:line="440" w:lineRule="exact"/>
        <w:ind w:firstLine="3150" w:firstLineChars="1500"/>
        <w:rPr>
          <w:rFonts w:cs="Calibri"/>
          <w:szCs w:val="21"/>
        </w:rPr>
      </w:pPr>
    </w:p>
    <w:p>
      <w:pPr>
        <w:adjustRightInd w:val="0"/>
        <w:snapToGrid w:val="0"/>
        <w:jc w:val="center"/>
        <w:rPr>
          <w:rFonts w:eastAsia="黑体" w:cs="Calibri"/>
          <w:sz w:val="32"/>
          <w:szCs w:val="32"/>
        </w:rPr>
      </w:pPr>
      <w:r>
        <w:rPr>
          <w:rFonts w:eastAsia="黑体" w:cs="Calibri"/>
          <w:sz w:val="32"/>
          <w:szCs w:val="32"/>
        </w:rPr>
        <w:br w:type="page"/>
      </w:r>
      <w:r>
        <w:rPr>
          <w:rFonts w:hint="eastAsia" w:eastAsia="黑体" w:cs="Calibri"/>
          <w:sz w:val="32"/>
          <w:szCs w:val="32"/>
        </w:rPr>
        <w:t>二</w:t>
      </w:r>
      <w:r>
        <w:rPr>
          <w:rFonts w:eastAsia="黑体" w:cs="Calibri"/>
          <w:sz w:val="32"/>
          <w:szCs w:val="32"/>
        </w:rPr>
        <w:t>、法定代表人身份证明</w:t>
      </w:r>
    </w:p>
    <w:p>
      <w:pPr>
        <w:spacing w:after="120" w:afterLines="50" w:line="440" w:lineRule="exact"/>
        <w:rPr>
          <w:rFonts w:cs="Calibri"/>
        </w:rPr>
      </w:pPr>
    </w:p>
    <w:p>
      <w:pPr>
        <w:spacing w:after="120" w:afterLines="50" w:line="440" w:lineRule="exact"/>
        <w:rPr>
          <w:rFonts w:cs="Calibri"/>
          <w:sz w:val="22"/>
          <w:u w:val="single"/>
        </w:rPr>
      </w:pPr>
      <w:r>
        <w:rPr>
          <w:rFonts w:cs="Calibri"/>
          <w:sz w:val="22"/>
        </w:rPr>
        <w:t>投标人名称：</w:t>
      </w:r>
      <w:r>
        <w:rPr>
          <w:rFonts w:cs="Calibri"/>
          <w:sz w:val="22"/>
          <w:u w:val="single"/>
        </w:rPr>
        <w:t xml:space="preserve">                                  </w:t>
      </w:r>
    </w:p>
    <w:p>
      <w:pPr>
        <w:spacing w:after="120" w:afterLines="50" w:line="440" w:lineRule="exact"/>
        <w:rPr>
          <w:rFonts w:cs="Calibri"/>
          <w:sz w:val="22"/>
          <w:u w:val="single"/>
        </w:rPr>
      </w:pPr>
      <w:r>
        <w:rPr>
          <w:rFonts w:cs="Calibri"/>
          <w:sz w:val="22"/>
        </w:rPr>
        <w:t>单位性质：</w:t>
      </w:r>
      <w:r>
        <w:rPr>
          <w:rFonts w:cs="Calibri"/>
          <w:sz w:val="22"/>
          <w:u w:val="single"/>
        </w:rPr>
        <w:t xml:space="preserve">                                    </w:t>
      </w:r>
    </w:p>
    <w:p>
      <w:pPr>
        <w:spacing w:after="120" w:afterLines="50" w:line="440" w:lineRule="exact"/>
        <w:rPr>
          <w:rFonts w:cs="Calibri"/>
          <w:sz w:val="22"/>
          <w:u w:val="single"/>
        </w:rPr>
      </w:pPr>
      <w:r>
        <w:rPr>
          <w:rFonts w:cs="Calibri"/>
          <w:sz w:val="22"/>
        </w:rPr>
        <w:t>地址：</w:t>
      </w:r>
      <w:r>
        <w:rPr>
          <w:rFonts w:cs="Calibri"/>
          <w:sz w:val="22"/>
          <w:u w:val="single"/>
        </w:rPr>
        <w:t xml:space="preserve">                                        </w:t>
      </w:r>
    </w:p>
    <w:p>
      <w:pPr>
        <w:spacing w:after="120" w:afterLines="50" w:line="440" w:lineRule="exact"/>
        <w:rPr>
          <w:rFonts w:cs="Calibri"/>
          <w:sz w:val="22"/>
          <w:u w:val="single"/>
        </w:rPr>
      </w:pPr>
      <w:r>
        <w:rPr>
          <w:rFonts w:cs="Calibri"/>
          <w:sz w:val="22"/>
        </w:rPr>
        <w:t>成立时间：</w:t>
      </w:r>
      <w:r>
        <w:rPr>
          <w:rFonts w:cs="Calibri"/>
          <w:sz w:val="22"/>
          <w:u w:val="single"/>
        </w:rPr>
        <w:t xml:space="preserve">          </w:t>
      </w:r>
      <w:r>
        <w:rPr>
          <w:rFonts w:cs="Calibri"/>
          <w:sz w:val="22"/>
        </w:rPr>
        <w:t>年</w:t>
      </w:r>
      <w:r>
        <w:rPr>
          <w:rFonts w:cs="Calibri"/>
          <w:sz w:val="22"/>
          <w:u w:val="single"/>
        </w:rPr>
        <w:t xml:space="preserve">           </w:t>
      </w:r>
      <w:r>
        <w:rPr>
          <w:rFonts w:cs="Calibri"/>
          <w:sz w:val="22"/>
        </w:rPr>
        <w:t>月</w:t>
      </w:r>
      <w:r>
        <w:rPr>
          <w:rFonts w:cs="Calibri"/>
          <w:sz w:val="22"/>
          <w:u w:val="single"/>
        </w:rPr>
        <w:t xml:space="preserve">           </w:t>
      </w:r>
      <w:r>
        <w:rPr>
          <w:rFonts w:cs="Calibri"/>
          <w:sz w:val="22"/>
        </w:rPr>
        <w:t>日</w:t>
      </w:r>
    </w:p>
    <w:p>
      <w:pPr>
        <w:spacing w:after="120" w:afterLines="50" w:line="440" w:lineRule="exact"/>
        <w:rPr>
          <w:rFonts w:cs="Calibri"/>
          <w:sz w:val="22"/>
          <w:u w:val="single"/>
        </w:rPr>
      </w:pPr>
      <w:r>
        <w:rPr>
          <w:rFonts w:cs="Calibri"/>
          <w:sz w:val="22"/>
        </w:rPr>
        <w:t>经营期限：</w:t>
      </w:r>
      <w:r>
        <w:rPr>
          <w:rFonts w:cs="Calibri"/>
          <w:sz w:val="22"/>
          <w:u w:val="single"/>
        </w:rPr>
        <w:t xml:space="preserve">                                     </w:t>
      </w:r>
    </w:p>
    <w:p>
      <w:pPr>
        <w:spacing w:after="120" w:afterLines="50" w:line="440" w:lineRule="exact"/>
        <w:rPr>
          <w:rFonts w:cs="Calibri"/>
          <w:sz w:val="22"/>
          <w:u w:val="single"/>
        </w:rPr>
      </w:pPr>
      <w:r>
        <w:rPr>
          <w:rFonts w:cs="Calibri"/>
          <w:sz w:val="22"/>
        </w:rPr>
        <w:t>姓名：</w:t>
      </w:r>
      <w:r>
        <w:rPr>
          <w:rFonts w:cs="Calibri"/>
          <w:sz w:val="22"/>
          <w:u w:val="single"/>
        </w:rPr>
        <w:t xml:space="preserve">         </w:t>
      </w:r>
      <w:r>
        <w:rPr>
          <w:rFonts w:cs="Calibri"/>
          <w:sz w:val="22"/>
        </w:rPr>
        <w:t xml:space="preserve">  性别：</w:t>
      </w:r>
      <w:r>
        <w:rPr>
          <w:rFonts w:cs="Calibri"/>
          <w:sz w:val="22"/>
          <w:u w:val="single"/>
        </w:rPr>
        <w:t xml:space="preserve">         </w:t>
      </w:r>
      <w:r>
        <w:rPr>
          <w:rFonts w:cs="Calibri"/>
          <w:sz w:val="22"/>
        </w:rPr>
        <w:t xml:space="preserve">  年龄：</w:t>
      </w:r>
      <w:r>
        <w:rPr>
          <w:rFonts w:cs="Calibri"/>
          <w:sz w:val="22"/>
          <w:u w:val="single"/>
        </w:rPr>
        <w:t xml:space="preserve">         </w:t>
      </w:r>
      <w:r>
        <w:rPr>
          <w:rFonts w:cs="Calibri"/>
          <w:sz w:val="22"/>
        </w:rPr>
        <w:t xml:space="preserve">  职务：</w:t>
      </w:r>
      <w:r>
        <w:rPr>
          <w:rFonts w:cs="Calibri"/>
          <w:sz w:val="22"/>
          <w:u w:val="single"/>
        </w:rPr>
        <w:t xml:space="preserve">         </w:t>
      </w:r>
      <w:r>
        <w:rPr>
          <w:rFonts w:cs="Calibri"/>
          <w:sz w:val="22"/>
        </w:rPr>
        <w:t xml:space="preserve">  </w:t>
      </w:r>
    </w:p>
    <w:p>
      <w:pPr>
        <w:spacing w:after="120" w:afterLines="50" w:line="440" w:lineRule="exact"/>
        <w:rPr>
          <w:rFonts w:cs="Calibri"/>
          <w:sz w:val="22"/>
          <w:u w:val="single"/>
        </w:rPr>
      </w:pPr>
      <w:r>
        <w:rPr>
          <w:rFonts w:cs="Calibri"/>
          <w:sz w:val="22"/>
        </w:rPr>
        <w:t>身份证号码：</w:t>
      </w:r>
      <w:r>
        <w:rPr>
          <w:rFonts w:cs="Calibri"/>
          <w:sz w:val="22"/>
          <w:u w:val="single"/>
        </w:rPr>
        <w:t xml:space="preserve">                           </w:t>
      </w:r>
    </w:p>
    <w:p>
      <w:pPr>
        <w:spacing w:line="440" w:lineRule="exact"/>
        <w:ind w:firstLine="560"/>
        <w:rPr>
          <w:rFonts w:cs="Calibri"/>
          <w:sz w:val="22"/>
        </w:rPr>
      </w:pPr>
    </w:p>
    <w:p>
      <w:pPr>
        <w:spacing w:line="440" w:lineRule="exact"/>
        <w:rPr>
          <w:rFonts w:cs="Calibri"/>
          <w:sz w:val="22"/>
        </w:rPr>
      </w:pPr>
      <w:r>
        <w:rPr>
          <w:rFonts w:cs="Calibri"/>
          <w:sz w:val="22"/>
        </w:rPr>
        <w:t xml:space="preserve">    系</w:t>
      </w:r>
      <w:r>
        <w:rPr>
          <w:rFonts w:cs="Calibri"/>
          <w:sz w:val="22"/>
          <w:u w:val="single"/>
        </w:rPr>
        <w:t xml:space="preserve">                          </w:t>
      </w:r>
      <w:r>
        <w:rPr>
          <w:rFonts w:cs="Calibri"/>
          <w:sz w:val="22"/>
        </w:rPr>
        <w:t>（投标人名称）的法定代表人。</w:t>
      </w:r>
    </w:p>
    <w:p>
      <w:pPr>
        <w:spacing w:line="440" w:lineRule="exact"/>
        <w:ind w:firstLine="560"/>
        <w:rPr>
          <w:rFonts w:cs="Calibri"/>
          <w:sz w:val="22"/>
        </w:rPr>
      </w:pPr>
    </w:p>
    <w:p>
      <w:pPr>
        <w:spacing w:line="440" w:lineRule="exact"/>
        <w:rPr>
          <w:rFonts w:cs="Calibri"/>
          <w:sz w:val="22"/>
        </w:rPr>
      </w:pPr>
      <w:r>
        <w:rPr>
          <w:rFonts w:cs="Calibri"/>
          <w:sz w:val="22"/>
        </w:rPr>
        <w:t>特此证明。</w:t>
      </w:r>
    </w:p>
    <w:p>
      <w:pPr>
        <w:spacing w:line="440" w:lineRule="exact"/>
        <w:rPr>
          <w:rFonts w:cs="Calibri"/>
          <w:sz w:val="22"/>
        </w:rPr>
      </w:pPr>
      <w:r>
        <w:rPr>
          <w:rFonts w:cs="Calibri"/>
          <w:sz w:val="22"/>
        </w:rPr>
        <w:t>附：法定代表人身份证复印件</w:t>
      </w:r>
    </w:p>
    <w:p>
      <w:pPr>
        <w:spacing w:line="440" w:lineRule="exact"/>
        <w:rPr>
          <w:rFonts w:cs="Calibri"/>
          <w:sz w:val="22"/>
        </w:rPr>
      </w:pPr>
      <w:r>
        <w:rPr>
          <w:rFonts w:cs="Calibri"/>
          <w:sz w:val="22"/>
        </w:rPr>
        <w:t xml:space="preserve">投标人：（盖单位章） </w:t>
      </w:r>
    </w:p>
    <w:p>
      <w:pPr>
        <w:spacing w:line="440" w:lineRule="exact"/>
        <w:ind w:firstLine="4936" w:firstLineChars="2235"/>
        <w:rPr>
          <w:rFonts w:cs="Calibri"/>
          <w:b/>
          <w:sz w:val="22"/>
        </w:rPr>
      </w:pPr>
      <w:r>
        <w:rPr>
          <w:rFonts w:cs="Calibri"/>
          <w:b/>
          <w:sz w:val="22"/>
          <w:lang/>
        </w:rPr>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sz w:val="22"/>
        </w:rPr>
        <w:t>日期：   年    月    日</w:t>
      </w:r>
    </w:p>
    <w:p>
      <w:pPr>
        <w:spacing w:line="44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40" w:lineRule="exact"/>
        <w:ind w:firstLine="420" w:firstLineChars="200"/>
        <w:rPr>
          <w:rFonts w:cs="Calibri"/>
          <w:szCs w:val="21"/>
        </w:rPr>
      </w:pPr>
    </w:p>
    <w:p>
      <w:pPr>
        <w:spacing w:line="440" w:lineRule="exact"/>
        <w:ind w:firstLine="440" w:firstLineChars="200"/>
        <w:rPr>
          <w:rFonts w:cs="Calibri"/>
          <w:sz w:val="22"/>
        </w:rPr>
      </w:pPr>
      <w:r>
        <w:rPr>
          <w:rFonts w:cs="Calibri"/>
          <w:sz w:val="22"/>
        </w:rPr>
        <w:t>本人</w:t>
      </w:r>
      <w:r>
        <w:rPr>
          <w:rFonts w:cs="Calibri"/>
          <w:sz w:val="22"/>
          <w:u w:val="single"/>
        </w:rPr>
        <w:t xml:space="preserve">        </w:t>
      </w:r>
      <w:r>
        <w:rPr>
          <w:rFonts w:cs="Calibri"/>
          <w:sz w:val="22"/>
        </w:rPr>
        <w:t>（姓名）系</w:t>
      </w:r>
      <w:r>
        <w:rPr>
          <w:rFonts w:cs="Calibri"/>
          <w:sz w:val="22"/>
          <w:u w:val="single"/>
        </w:rPr>
        <w:t xml:space="preserve">                </w:t>
      </w:r>
      <w:r>
        <w:rPr>
          <w:rFonts w:cs="Calibri"/>
          <w:sz w:val="22"/>
        </w:rPr>
        <w:t>（投标人名称）的法定代表人，现委托</w:t>
      </w:r>
      <w:r>
        <w:rPr>
          <w:rFonts w:cs="Calibri"/>
          <w:sz w:val="22"/>
          <w:u w:val="single"/>
        </w:rPr>
        <w:t xml:space="preserve">      </w:t>
      </w:r>
      <w:r>
        <w:rPr>
          <w:rFonts w:cs="Calibri"/>
          <w:sz w:val="22"/>
        </w:rPr>
        <w:t>（姓名）为我方代理人。代理人根据授权，以我方名义签署、澄清、说明、补正、递交、撤回、修改</w:t>
      </w:r>
      <w:r>
        <w:rPr>
          <w:rFonts w:cs="Calibri"/>
          <w:sz w:val="22"/>
          <w:u w:val="single"/>
        </w:rPr>
        <w:t xml:space="preserve">              </w:t>
      </w:r>
      <w:r>
        <w:rPr>
          <w:rFonts w:cs="Calibri"/>
          <w:sz w:val="22"/>
        </w:rPr>
        <w:t>（项目名称）投标文件、签订合同和处理有关事宜，其法律后果由我方承担。</w:t>
      </w:r>
    </w:p>
    <w:p>
      <w:pPr>
        <w:spacing w:line="440" w:lineRule="exact"/>
        <w:ind w:firstLine="440" w:firstLineChars="200"/>
        <w:rPr>
          <w:rFonts w:cs="Calibri"/>
          <w:sz w:val="22"/>
        </w:rPr>
      </w:pPr>
      <w:r>
        <w:rPr>
          <w:rFonts w:cs="Calibri"/>
          <w:sz w:val="22"/>
        </w:rPr>
        <w:t>代理人无转委托权。</w:t>
      </w:r>
    </w:p>
    <w:p>
      <w:pPr>
        <w:spacing w:line="440" w:lineRule="exact"/>
        <w:ind w:firstLine="440" w:firstLineChars="200"/>
        <w:rPr>
          <w:rFonts w:cs="Calibri"/>
          <w:sz w:val="22"/>
        </w:rPr>
      </w:pPr>
      <w:r>
        <w:rPr>
          <w:rFonts w:cs="Calibri"/>
          <w:sz w:val="22"/>
        </w:rPr>
        <w:t>附：委托代理人身份证复印件</w:t>
      </w:r>
    </w:p>
    <w:p>
      <w:pPr>
        <w:spacing w:line="440" w:lineRule="exact"/>
        <w:rPr>
          <w:rFonts w:cs="Calibri"/>
          <w:sz w:val="22"/>
        </w:rPr>
      </w:pPr>
    </w:p>
    <w:p>
      <w:pPr>
        <w:spacing w:line="440" w:lineRule="exact"/>
        <w:rPr>
          <w:rFonts w:cs="Calibri"/>
          <w:sz w:val="22"/>
        </w:rPr>
      </w:pPr>
      <w:r>
        <w:rPr>
          <w:rFonts w:cs="Calibri"/>
          <w:sz w:val="22"/>
        </w:rPr>
        <w:t>投标人：（盖单位章）</w:t>
      </w:r>
    </w:p>
    <w:p>
      <w:pPr>
        <w:spacing w:line="440" w:lineRule="exact"/>
        <w:rPr>
          <w:rFonts w:cs="Calibri"/>
          <w:sz w:val="22"/>
        </w:rPr>
      </w:pPr>
      <w:r>
        <w:rPr>
          <w:rFonts w:cs="Calibri"/>
          <w:sz w:val="22"/>
        </w:rPr>
        <w:t>法定代表人：（签字或盖章）</w:t>
      </w:r>
    </w:p>
    <w:p>
      <w:pPr>
        <w:spacing w:line="440" w:lineRule="exact"/>
        <w:rPr>
          <w:rFonts w:cs="Calibri"/>
          <w:sz w:val="22"/>
        </w:rPr>
      </w:pPr>
      <w:r>
        <w:rPr>
          <w:rFonts w:cs="Calibri"/>
          <w:sz w:val="22"/>
        </w:rPr>
        <w:t>身份证号码：</w:t>
      </w:r>
    </w:p>
    <w:p>
      <w:pPr>
        <w:spacing w:line="440" w:lineRule="exact"/>
        <w:rPr>
          <w:rFonts w:cs="Calibri"/>
          <w:sz w:val="22"/>
        </w:rPr>
      </w:pPr>
    </w:p>
    <w:p>
      <w:pPr>
        <w:spacing w:line="440" w:lineRule="exact"/>
        <w:rPr>
          <w:rFonts w:cs="Calibri"/>
          <w:sz w:val="22"/>
        </w:rPr>
      </w:pPr>
      <w:r>
        <w:rPr>
          <w:rFonts w:cs="Calibri"/>
          <w:sz w:val="22"/>
        </w:rPr>
        <w:t>委托的代理人：（签字或盖章）</w:t>
      </w:r>
    </w:p>
    <w:p>
      <w:pPr>
        <w:spacing w:line="440" w:lineRule="exact"/>
        <w:rPr>
          <w:rFonts w:cs="Calibri"/>
          <w:sz w:val="22"/>
        </w:rPr>
      </w:pPr>
      <w:r>
        <w:rPr>
          <w:rFonts w:cs="Calibri"/>
          <w:sz w:val="22"/>
        </w:rPr>
        <w:t>身份证号码：</w:t>
      </w:r>
    </w:p>
    <w:p>
      <w:pPr>
        <w:spacing w:line="440" w:lineRule="exact"/>
        <w:ind w:firstLine="4730" w:firstLineChars="2150"/>
        <w:rPr>
          <w:rFonts w:cs="Calibri"/>
          <w:sz w:val="22"/>
        </w:rPr>
      </w:pPr>
      <w:r>
        <w:rPr>
          <w:rFonts w:cs="Calibri"/>
          <w:sz w:val="22"/>
        </w:rPr>
        <w:t>日期：</w:t>
      </w:r>
      <w:r>
        <w:rPr>
          <w:rFonts w:cs="Calibri"/>
          <w:sz w:val="22"/>
          <w:u w:val="single"/>
        </w:rPr>
        <w:t xml:space="preserve">      </w:t>
      </w:r>
      <w:r>
        <w:rPr>
          <w:rFonts w:cs="Calibri"/>
          <w:sz w:val="22"/>
        </w:rPr>
        <w:t>年</w:t>
      </w:r>
      <w:r>
        <w:rPr>
          <w:rFonts w:cs="Calibri"/>
          <w:sz w:val="22"/>
          <w:u w:val="single"/>
        </w:rPr>
        <w:t xml:space="preserve">      </w:t>
      </w:r>
      <w:r>
        <w:rPr>
          <w:rFonts w:cs="Calibri"/>
          <w:sz w:val="22"/>
        </w:rPr>
        <w:t>月</w:t>
      </w:r>
      <w:r>
        <w:rPr>
          <w:rFonts w:cs="Calibri"/>
          <w:sz w:val="22"/>
          <w:u w:val="single"/>
        </w:rPr>
        <w:t xml:space="preserve">      </w:t>
      </w:r>
      <w:r>
        <w:rPr>
          <w:rFonts w:cs="Calibri"/>
          <w:sz w:val="22"/>
        </w:rPr>
        <w:t>日</w:t>
      </w:r>
    </w:p>
    <w:p>
      <w:pPr>
        <w:snapToGrid w:val="0"/>
        <w:spacing w:line="440" w:lineRule="exact"/>
        <w:rPr>
          <w:rFonts w:cs="Calibri"/>
          <w:szCs w:val="21"/>
        </w:rPr>
      </w:pPr>
      <w:r>
        <w:rPr>
          <w:rFonts w:cs="Calibri"/>
          <w:b/>
          <w:szCs w:val="21"/>
          <w:lang/>
        </w:rPr>
        <w:pict>
          <v:shape id="Text Box 7" o:spid="_x0000_s1027" o:spt="202" type="#_x0000_t202" style="position:absolute;left:0pt;margin-left:9.15pt;margin-top:20.8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b/>
          <w:bCs/>
          <w:sz w:val="22"/>
        </w:rPr>
      </w:pPr>
      <w:r>
        <w:rPr>
          <w:rFonts w:cs="Calibri"/>
          <w:sz w:val="22"/>
        </w:rPr>
        <w:t>注：如投标文件由委托代理人签字或盖章的，投标文件必须附此授权委托书。</w:t>
      </w:r>
      <w:r>
        <w:rPr>
          <w:rFonts w:cs="Calibri"/>
          <w:b/>
          <w:bCs/>
          <w:sz w:val="22"/>
        </w:rPr>
        <w:t xml:space="preserve">     </w:t>
      </w:r>
    </w:p>
    <w:p>
      <w:pPr>
        <w:spacing w:line="360" w:lineRule="auto"/>
        <w:jc w:val="left"/>
        <w:rPr>
          <w:rFonts w:ascii="宋体" w:hAnsi="宋体" w:cs="宋体"/>
          <w:sz w:val="22"/>
        </w:rPr>
      </w:pPr>
    </w:p>
    <w:p>
      <w:pPr>
        <w:pStyle w:val="21"/>
        <w:spacing w:after="120" w:afterLines="50" w:line="360" w:lineRule="auto"/>
        <w:jc w:val="left"/>
        <w:rPr>
          <w:rFonts w:hAnsi="宋体" w:cs="宋体"/>
          <w:b/>
        </w:rPr>
      </w:pPr>
      <w:r>
        <w:rPr>
          <w:rFonts w:hAnsi="宋体" w:cs="宋体"/>
          <w:b/>
        </w:rPr>
        <w:br w:type="page"/>
      </w:r>
      <w:bookmarkStart w:id="60" w:name="_Toc133214102"/>
      <w:bookmarkStart w:id="61" w:name="_Toc133214309"/>
      <w:bookmarkStart w:id="62" w:name="_Toc133470542"/>
      <w:bookmarkStart w:id="63" w:name="_Toc137373398"/>
      <w:bookmarkStart w:id="64" w:name="_Toc144265958"/>
    </w:p>
    <w:p>
      <w:pPr>
        <w:pStyle w:val="21"/>
        <w:spacing w:after="120" w:afterLines="50" w:line="360" w:lineRule="auto"/>
        <w:jc w:val="left"/>
        <w:rPr>
          <w:rFonts w:hAnsi="宋体" w:cs="宋体"/>
          <w:sz w:val="22"/>
          <w:szCs w:val="22"/>
        </w:rPr>
      </w:pPr>
    </w:p>
    <w:p>
      <w:pPr>
        <w:spacing w:line="440" w:lineRule="exact"/>
        <w:jc w:val="center"/>
        <w:rPr>
          <w:rFonts w:eastAsia="黑体" w:cs="Calibri"/>
          <w:sz w:val="32"/>
          <w:szCs w:val="32"/>
        </w:rPr>
      </w:pPr>
      <w:r>
        <w:rPr>
          <w:rFonts w:hint="eastAsia" w:eastAsia="黑体" w:cs="Calibri"/>
          <w:sz w:val="32"/>
          <w:szCs w:val="32"/>
        </w:rPr>
        <w:t>四、投标报价表</w:t>
      </w:r>
    </w:p>
    <w:p>
      <w:pPr>
        <w:pStyle w:val="21"/>
        <w:spacing w:after="120" w:afterLines="50" w:line="360" w:lineRule="auto"/>
        <w:jc w:val="center"/>
        <w:rPr>
          <w:rFonts w:hAnsi="宋体" w:cs="宋体"/>
        </w:rPr>
      </w:pPr>
    </w:p>
    <w:p>
      <w:pPr>
        <w:pStyle w:val="21"/>
        <w:numPr>
          <w:ilvl w:val="1"/>
          <w:numId w:val="4"/>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1"/>
        <w:numPr>
          <w:ilvl w:val="1"/>
          <w:numId w:val="5"/>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1"/>
        <w:numPr>
          <w:ilvl w:val="1"/>
          <w:numId w:val="4"/>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60"/>
    <w:bookmarkEnd w:id="61"/>
    <w:bookmarkEnd w:id="62"/>
    <w:bookmarkEnd w:id="63"/>
    <w:bookmarkEnd w:id="64"/>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cs="Calibri"/>
          <w:b/>
          <w:bCs/>
          <w:sz w:val="32"/>
        </w:rPr>
      </w:pPr>
      <w:r>
        <w:rPr>
          <w:rFonts w:ascii="宋体" w:hAnsi="宋体" w:cs="宋体"/>
          <w:sz w:val="22"/>
        </w:rPr>
        <w:t xml:space="preserve"> </w:t>
      </w:r>
    </w:p>
    <w:p>
      <w:pPr>
        <w:spacing w:line="440" w:lineRule="exact"/>
        <w:jc w:val="center"/>
        <w:rPr>
          <w:rFonts w:eastAsia="黑体" w:cs="Calibri"/>
          <w:sz w:val="32"/>
          <w:szCs w:val="32"/>
        </w:rPr>
        <w:sectPr>
          <w:footerReference r:id="rId6" w:type="even"/>
          <w:pgSz w:w="11906" w:h="16838"/>
          <w:pgMar w:top="1134" w:right="1247" w:bottom="1134" w:left="1247" w:header="851" w:footer="992" w:gutter="0"/>
          <w:cols w:space="720" w:num="1"/>
          <w:docGrid w:linePitch="312" w:charSpace="0"/>
        </w:sectPr>
      </w:pPr>
    </w:p>
    <w:p>
      <w:pPr>
        <w:spacing w:line="440" w:lineRule="exact"/>
        <w:jc w:val="center"/>
        <w:rPr>
          <w:rFonts w:eastAsia="黑体" w:cs="Calibri"/>
          <w:sz w:val="32"/>
          <w:szCs w:val="32"/>
        </w:rPr>
      </w:pPr>
      <w:r>
        <w:rPr>
          <w:rFonts w:hint="eastAsia" w:eastAsia="黑体" w:cs="Calibri"/>
          <w:sz w:val="32"/>
          <w:szCs w:val="32"/>
        </w:rPr>
        <w:t>4</w:t>
      </w:r>
      <w:r>
        <w:rPr>
          <w:rFonts w:eastAsia="黑体" w:cs="Calibri"/>
          <w:sz w:val="32"/>
          <w:szCs w:val="32"/>
        </w:rPr>
        <w:t>.1投标报价表</w:t>
      </w:r>
    </w:p>
    <w:p>
      <w:pPr>
        <w:spacing w:line="360" w:lineRule="auto"/>
        <w:rPr>
          <w:rFonts w:ascii="宋体" w:hAnsi="宋体" w:cs="宋体"/>
          <w:bCs/>
          <w:sz w:val="22"/>
        </w:rPr>
      </w:pPr>
      <w:r>
        <w:rPr>
          <w:rFonts w:hint="eastAsia" w:cs="Calibri"/>
          <w:b/>
          <w:szCs w:val="21"/>
        </w:rPr>
        <w:t xml:space="preserve"> </w:t>
      </w:r>
    </w:p>
    <w:tbl>
      <w:tblPr>
        <w:tblStyle w:val="53"/>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665"/>
        <w:gridCol w:w="1227"/>
        <w:gridCol w:w="1115"/>
        <w:gridCol w:w="801"/>
        <w:gridCol w:w="671"/>
        <w:gridCol w:w="642"/>
        <w:gridCol w:w="1638"/>
        <w:gridCol w:w="1455"/>
        <w:gridCol w:w="1851"/>
        <w:gridCol w:w="113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66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22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11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0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64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6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 (元，不含税)</w:t>
            </w:r>
          </w:p>
        </w:tc>
        <w:tc>
          <w:tcPr>
            <w:tcW w:w="1455" w:type="dxa"/>
            <w:shd w:val="clear" w:color="000000" w:fill="FFFFFF"/>
            <w:vAlign w:val="center"/>
          </w:tcPr>
          <w:p>
            <w:pPr>
              <w:jc w:val="center"/>
              <w:rPr>
                <w:rFonts w:hint="eastAsia" w:ascii="宋体" w:hAnsi="宋体" w:cs="宋体"/>
                <w:b/>
                <w:bCs/>
                <w:kern w:val="0"/>
                <w:sz w:val="20"/>
              </w:rPr>
            </w:pPr>
            <w:r>
              <w:rPr>
                <w:rFonts w:hint="eastAsia" w:ascii="宋体" w:hAnsi="宋体" w:cs="宋体"/>
                <w:b/>
                <w:bCs/>
                <w:kern w:val="0"/>
                <w:sz w:val="20"/>
              </w:rPr>
              <w:t>合价（元，不含税）</w:t>
            </w:r>
          </w:p>
        </w:tc>
        <w:tc>
          <w:tcPr>
            <w:tcW w:w="1851" w:type="dxa"/>
            <w:shd w:val="clear" w:color="000000" w:fill="FFFFFF"/>
            <w:vAlign w:val="center"/>
          </w:tcPr>
          <w:p>
            <w:pPr>
              <w:jc w:val="center"/>
              <w:rPr>
                <w:rFonts w:hint="eastAsia" w:ascii="宋体" w:hAnsi="宋体" w:cs="宋体"/>
                <w:b/>
                <w:bCs/>
                <w:kern w:val="0"/>
                <w:sz w:val="20"/>
              </w:rPr>
            </w:pPr>
            <w:r>
              <w:rPr>
                <w:rFonts w:hint="eastAsia" w:ascii="宋体" w:hAnsi="宋体" w:cs="宋体"/>
                <w:b/>
                <w:bCs/>
                <w:kern w:val="0"/>
                <w:sz w:val="20"/>
              </w:rPr>
              <w:t>增值税税率</w:t>
            </w:r>
          </w:p>
        </w:tc>
        <w:tc>
          <w:tcPr>
            <w:tcW w:w="1136"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单价（元，含税）</w:t>
            </w:r>
          </w:p>
        </w:tc>
        <w:tc>
          <w:tcPr>
            <w:tcW w:w="177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hint="eastAsia" w:ascii="宋体" w:hAnsi="宋体" w:cs="宋体"/>
                <w:b/>
                <w:bCs/>
                <w:kern w:val="0"/>
                <w:sz w:val="20"/>
              </w:rPr>
            </w:pPr>
            <w:r>
              <w:rPr>
                <w:rFonts w:hint="eastAsia" w:ascii="宋体" w:hAnsi="宋体" w:cs="宋体"/>
                <w:b/>
                <w:bCs/>
                <w:kern w:val="0"/>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hint="eastAsia" w:ascii="宋体" w:hAnsi="宋体" w:cs="宋体"/>
                <w:b/>
                <w:bCs/>
                <w:kern w:val="0"/>
                <w:sz w:val="20"/>
              </w:rPr>
            </w:pPr>
          </w:p>
        </w:tc>
        <w:tc>
          <w:tcPr>
            <w:tcW w:w="1851" w:type="dxa"/>
            <w:shd w:val="clear" w:color="000000" w:fill="FFFFFF"/>
            <w:vAlign w:val="center"/>
          </w:tcPr>
          <w:p>
            <w:pPr>
              <w:widowControl/>
              <w:jc w:val="center"/>
              <w:rPr>
                <w:rFonts w:hint="eastAsia"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hint="eastAsia"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4</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665" w:type="dxa"/>
            <w:shd w:val="clear" w:color="000000" w:fill="FFFFFF"/>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vAlign w:val="center"/>
          </w:tcPr>
          <w:p>
            <w:pPr>
              <w:widowControl/>
              <w:jc w:val="center"/>
              <w:rPr>
                <w:rFonts w:ascii="宋体" w:hAnsi="宋体" w:cs="宋体"/>
                <w:b/>
                <w:bCs/>
                <w:kern w:val="0"/>
                <w:sz w:val="20"/>
              </w:rPr>
            </w:pPr>
          </w:p>
        </w:tc>
        <w:tc>
          <w:tcPr>
            <w:tcW w:w="1665" w:type="dxa"/>
            <w:shd w:val="clear" w:color="000000" w:fill="FFFFFF"/>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638" w:type="dxa"/>
            <w:shd w:val="clear" w:color="000000" w:fill="FFFFFF"/>
            <w:vAlign w:val="center"/>
          </w:tcPr>
          <w:p>
            <w:pPr>
              <w:widowControl/>
              <w:jc w:val="center"/>
              <w:rPr>
                <w:rFonts w:ascii="宋体" w:hAnsi="宋体" w:cs="宋体"/>
                <w:b/>
                <w:bCs/>
                <w:kern w:val="0"/>
                <w:sz w:val="20"/>
              </w:rPr>
            </w:pPr>
          </w:p>
        </w:tc>
        <w:tc>
          <w:tcPr>
            <w:tcW w:w="1455" w:type="dxa"/>
            <w:shd w:val="clear" w:color="000000" w:fill="FFFFFF"/>
            <w:vAlign w:val="center"/>
          </w:tcPr>
          <w:p>
            <w:pPr>
              <w:widowControl/>
              <w:jc w:val="center"/>
              <w:rPr>
                <w:rFonts w:ascii="宋体" w:hAnsi="宋体" w:cs="宋体"/>
                <w:b/>
                <w:bCs/>
                <w:kern w:val="0"/>
                <w:sz w:val="20"/>
              </w:rPr>
            </w:pPr>
          </w:p>
        </w:tc>
        <w:tc>
          <w:tcPr>
            <w:tcW w:w="1851" w:type="dxa"/>
            <w:shd w:val="clear" w:color="000000" w:fill="FFFFFF"/>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不含税价格合计（元）</w:t>
            </w:r>
          </w:p>
        </w:tc>
        <w:tc>
          <w:tcPr>
            <w:tcW w:w="1231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jc w:val="center"/>
              <w:rPr>
                <w:rFonts w:hint="eastAsia" w:ascii="宋体" w:hAnsi="宋体" w:cs="宋体"/>
                <w:b/>
                <w:bCs/>
                <w:kern w:val="0"/>
                <w:sz w:val="20"/>
              </w:rPr>
            </w:pPr>
            <w:r>
              <w:rPr>
                <w:rFonts w:hint="eastAsia" w:ascii="宋体" w:hAnsi="宋体" w:cs="宋体"/>
                <w:b/>
                <w:bCs/>
                <w:kern w:val="0"/>
                <w:sz w:val="20"/>
              </w:rPr>
              <w:t>税金（元）</w:t>
            </w:r>
          </w:p>
        </w:tc>
        <w:tc>
          <w:tcPr>
            <w:tcW w:w="12310"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vAlign w:val="center"/>
          </w:tcPr>
          <w:p>
            <w:pPr>
              <w:widowControl/>
              <w:rPr>
                <w:rFonts w:hint="eastAsia" w:ascii="宋体" w:hAnsi="宋体" w:cs="宋体"/>
                <w:b/>
                <w:bCs/>
                <w:kern w:val="0"/>
                <w:sz w:val="20"/>
              </w:rPr>
            </w:pPr>
            <w:r>
              <w:rPr>
                <w:rFonts w:hint="eastAsia" w:ascii="宋体" w:hAnsi="宋体" w:cs="宋体"/>
                <w:b/>
                <w:bCs/>
                <w:kern w:val="0"/>
                <w:sz w:val="20"/>
              </w:rPr>
              <w:t>价税合计（元）</w:t>
            </w:r>
          </w:p>
        </w:tc>
        <w:tc>
          <w:tcPr>
            <w:tcW w:w="12310" w:type="dxa"/>
            <w:gridSpan w:val="10"/>
            <w:tcBorders>
              <w:bottom w:val="single" w:color="auto" w:sz="4" w:space="0"/>
            </w:tcBorders>
            <w:shd w:val="clear" w:color="000000" w:fill="FFFFFF"/>
            <w:vAlign w:val="center"/>
          </w:tcPr>
          <w:p>
            <w:pPr>
              <w:widowControl/>
              <w:jc w:val="center"/>
              <w:rPr>
                <w:rFonts w:hint="eastAsia" w:ascii="宋体" w:hAnsi="宋体" w:cs="宋体"/>
                <w:b/>
                <w:bCs/>
                <w:kern w:val="0"/>
                <w:sz w:val="20"/>
              </w:rPr>
            </w:pPr>
            <w:r>
              <w:rPr>
                <w:rFonts w:hint="eastAsia" w:ascii="宋体" w:hAnsi="宋体" w:cs="宋体"/>
                <w:b/>
                <w:bCs/>
                <w:kern w:val="0"/>
                <w:sz w:val="20"/>
              </w:rPr>
              <w:t xml:space="preserve">人民币大写 </w:t>
            </w:r>
            <w:r>
              <w:rPr>
                <w:rFonts w:ascii="宋体" w:hAnsi="宋体" w:cs="宋体"/>
                <w:b/>
                <w:bCs/>
                <w:kern w:val="0"/>
                <w:sz w:val="20"/>
              </w:rPr>
              <w:t xml:space="preserve">    </w:t>
            </w:r>
            <w:r>
              <w:rPr>
                <w:rFonts w:hint="eastAsia" w:ascii="宋体" w:hAnsi="宋体" w:cs="宋体"/>
                <w:b/>
                <w:bCs/>
                <w:kern w:val="0"/>
                <w:sz w:val="20"/>
              </w:rPr>
              <w:t>元，</w:t>
            </w:r>
            <w:r>
              <w:rPr>
                <w:rFonts w:ascii="宋体" w:hAnsi="宋体" w:cs="宋体"/>
                <w:b/>
                <w:bCs/>
                <w:kern w:val="0"/>
                <w:sz w:val="20"/>
              </w:rPr>
              <w:t>¥   .00</w:t>
            </w: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6"/>
        </w:numPr>
        <w:tabs>
          <w:tab w:val="left" w:pos="284"/>
          <w:tab w:val="clear" w:pos="1200"/>
        </w:tabs>
        <w:adjustRightInd w:val="0"/>
        <w:snapToGrid w:val="0"/>
        <w:spacing w:line="300" w:lineRule="auto"/>
        <w:ind w:left="284" w:hanging="284"/>
        <w:jc w:val="left"/>
        <w:rPr>
          <w:rFonts w:cs="Calibri"/>
          <w:b/>
          <w:szCs w:val="21"/>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440" w:lineRule="exact"/>
        <w:jc w:val="center"/>
        <w:rPr>
          <w:rFonts w:eastAsia="黑体" w:cs="Calibri"/>
          <w:bCs/>
          <w:szCs w:val="21"/>
        </w:rPr>
        <w:sectPr>
          <w:pgSz w:w="16838" w:h="11906" w:orient="landscape"/>
          <w:pgMar w:top="1247" w:right="1134" w:bottom="1247" w:left="1134" w:header="851" w:footer="992" w:gutter="0"/>
          <w:cols w:space="720" w:num="1"/>
          <w:docGrid w:linePitch="312" w:charSpace="0"/>
        </w:sectPr>
      </w:pPr>
    </w:p>
    <w:p>
      <w:pPr>
        <w:spacing w:line="440" w:lineRule="exact"/>
        <w:jc w:val="center"/>
        <w:rPr>
          <w:rFonts w:eastAsia="黑体" w:cs="Calibri"/>
          <w:sz w:val="32"/>
          <w:szCs w:val="32"/>
        </w:rPr>
      </w:pPr>
      <w:r>
        <w:rPr>
          <w:rFonts w:hint="eastAsia" w:eastAsia="黑体" w:cs="Calibri"/>
          <w:sz w:val="32"/>
          <w:szCs w:val="32"/>
        </w:rPr>
        <w:t>五</w:t>
      </w:r>
      <w:r>
        <w:rPr>
          <w:rFonts w:eastAsia="黑体" w:cs="Calibri"/>
          <w:sz w:val="32"/>
          <w:szCs w:val="32"/>
        </w:rPr>
        <w:t>、投标人资格证明文件</w:t>
      </w:r>
    </w:p>
    <w:p>
      <w:pPr>
        <w:spacing w:line="360" w:lineRule="auto"/>
        <w:jc w:val="center"/>
        <w:rPr>
          <w:rFonts w:ascii="宋体" w:hAnsi="宋体" w:cs="Calibri"/>
          <w:b/>
          <w:sz w:val="32"/>
          <w:szCs w:val="32"/>
        </w:rPr>
      </w:pPr>
      <w:r>
        <w:rPr>
          <w:rFonts w:ascii="宋体" w:hAnsi="宋体" w:cs="Calibri"/>
          <w:b/>
          <w:sz w:val="32"/>
          <w:szCs w:val="32"/>
        </w:rPr>
        <w:t xml:space="preserve"> </w:t>
      </w:r>
      <w:r>
        <w:rPr>
          <w:rFonts w:hint="eastAsia" w:ascii="宋体" w:hAnsi="宋体" w:cs="Calibri"/>
          <w:b/>
          <w:sz w:val="32"/>
          <w:szCs w:val="32"/>
        </w:rPr>
        <w:t>（一）投标人一般情况</w:t>
      </w:r>
    </w:p>
    <w:tbl>
      <w:tblPr>
        <w:tblStyle w:val="53"/>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0"/>
              <w:ind w:firstLine="440"/>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Calibri"/>
          <w:b/>
          <w:sz w:val="32"/>
          <w:szCs w:val="32"/>
        </w:rPr>
        <w:t xml:space="preserve">（二）具有独立法人资格，持有有效营业执照，注册资本100万元（含）以上 (提供营业执照复印件并加盖公章，原件备查) </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Calibri"/>
          <w:b/>
          <w:sz w:val="32"/>
          <w:szCs w:val="32"/>
        </w:rPr>
        <w:t>（三）依据最高人民法院等九部门《关于在招标投标活动中对失信被执行人实施联合惩戒的通知》，投标人不得为失信被执行人。（通过信用中国网站www.creditchina.gov.cn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cs="Calibri"/>
          <w:b/>
          <w:sz w:val="32"/>
          <w:szCs w:val="32"/>
        </w:rPr>
        <w:t>（四）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spacing w:line="360" w:lineRule="auto"/>
        <w:jc w:val="center"/>
        <w:rPr>
          <w:rFonts w:cs="Calibri"/>
          <w:b/>
          <w:sz w:val="32"/>
          <w:szCs w:val="32"/>
        </w:rPr>
      </w:pPr>
      <w:r>
        <w:rPr>
          <w:rFonts w:cs="Calibri"/>
          <w:b/>
          <w:sz w:val="36"/>
          <w:szCs w:val="36"/>
        </w:rPr>
        <w:br w:type="page"/>
      </w:r>
      <w:r>
        <w:rPr>
          <w:rFonts w:hint="eastAsia" w:cs="Calibri"/>
          <w:b/>
          <w:sz w:val="32"/>
          <w:szCs w:val="32"/>
        </w:rPr>
        <w:t>（五）投标人具有一般纳税人资格，可提供增值税专用发票（需提供税务机关出具的一般纳税人资格认定相关证明材料复印件并加盖投标人公章作为证明材料，原件备查）。</w:t>
      </w:r>
    </w:p>
    <w:p>
      <w:pPr>
        <w:spacing w:line="360" w:lineRule="auto"/>
        <w:jc w:val="center"/>
        <w:rPr>
          <w:rFonts w:hint="eastAsia" w:cs="Calibri"/>
          <w:b/>
          <w:sz w:val="32"/>
          <w:szCs w:val="32"/>
        </w:rPr>
      </w:pPr>
      <w:r>
        <w:rPr>
          <w:rFonts w:cs="Calibri"/>
          <w:b/>
          <w:sz w:val="36"/>
          <w:szCs w:val="36"/>
        </w:rPr>
        <w:br w:type="page"/>
      </w:r>
      <w:r>
        <w:rPr>
          <w:rFonts w:hint="eastAsia" w:cs="Calibri"/>
          <w:b/>
          <w:sz w:val="36"/>
          <w:szCs w:val="36"/>
        </w:rPr>
        <w:t>（六）</w:t>
      </w:r>
      <w:r>
        <w:rPr>
          <w:rFonts w:hint="eastAsia" w:cs="Calibri"/>
          <w:b/>
          <w:sz w:val="32"/>
          <w:szCs w:val="32"/>
        </w:rPr>
        <w:t>投标产品近三年的销售业绩一览表</w:t>
      </w:r>
    </w:p>
    <w:p>
      <w:pPr>
        <w:spacing w:line="360" w:lineRule="auto"/>
        <w:jc w:val="center"/>
        <w:rPr>
          <w:rFonts w:cs="Calibri"/>
          <w:b/>
          <w:sz w:val="36"/>
          <w:szCs w:val="36"/>
        </w:rPr>
      </w:pPr>
      <w:r>
        <w:rPr>
          <w:rFonts w:hint="eastAsia" w:cs="Calibri"/>
          <w:b/>
          <w:sz w:val="32"/>
          <w:szCs w:val="32"/>
        </w:rPr>
        <w:t>（根据投标人销售合同）。</w:t>
      </w: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hint="eastAsia" w:cs="Calibri"/>
          <w:b/>
          <w:sz w:val="36"/>
          <w:szCs w:val="36"/>
        </w:rPr>
      </w:pPr>
    </w:p>
    <w:p>
      <w:pPr>
        <w:spacing w:line="360" w:lineRule="auto"/>
        <w:rPr>
          <w:rFonts w:cs="Calibri"/>
          <w:b/>
          <w:sz w:val="36"/>
          <w:szCs w:val="36"/>
        </w:rPr>
      </w:pPr>
    </w:p>
    <w:p>
      <w:pPr>
        <w:spacing w:line="440" w:lineRule="exact"/>
        <w:jc w:val="center"/>
        <w:rPr>
          <w:rFonts w:eastAsia="黑体" w:cs="Calibri"/>
          <w:sz w:val="32"/>
          <w:szCs w:val="32"/>
        </w:rPr>
      </w:pPr>
      <w:r>
        <w:rPr>
          <w:rFonts w:eastAsia="黑体" w:cs="Calibri"/>
          <w:sz w:val="32"/>
          <w:szCs w:val="32"/>
        </w:rPr>
        <w:t xml:space="preserve"> </w:t>
      </w:r>
    </w:p>
    <w:p>
      <w:pPr>
        <w:spacing w:line="440" w:lineRule="exact"/>
        <w:jc w:val="center"/>
        <w:rPr>
          <w:rFonts w:eastAsia="黑体" w:cs="Calibri"/>
          <w:sz w:val="32"/>
          <w:szCs w:val="32"/>
        </w:rPr>
      </w:pPr>
      <w:r>
        <w:rPr>
          <w:rFonts w:hint="eastAsia" w:eastAsia="黑体" w:cs="Calibri"/>
          <w:sz w:val="32"/>
          <w:szCs w:val="32"/>
        </w:rPr>
        <w:t>六、技术规格偏离表</w:t>
      </w:r>
    </w:p>
    <w:p>
      <w:pPr>
        <w:rPr>
          <w:rFonts w:ascii="宋体" w:hAnsi="宋体"/>
          <w:szCs w:val="21"/>
        </w:rPr>
      </w:pPr>
    </w:p>
    <w:tbl>
      <w:tblPr>
        <w:tblStyle w:val="53"/>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货物名称</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招标文件条目号</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招标规格</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投标规格</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偏离</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hint="eastAsia" w:ascii="宋体" w:hAnsi="宋体"/>
          <w:b/>
          <w:szCs w:val="21"/>
        </w:rPr>
      </w:pPr>
    </w:p>
    <w:p>
      <w:pPr>
        <w:jc w:val="center"/>
        <w:rPr>
          <w:rFonts w:ascii="宋体" w:hAnsi="宋体"/>
          <w:b/>
          <w:szCs w:val="21"/>
        </w:rPr>
      </w:pPr>
    </w:p>
    <w:p>
      <w:pPr>
        <w:spacing w:line="440" w:lineRule="exact"/>
        <w:jc w:val="center"/>
        <w:rPr>
          <w:rFonts w:eastAsia="黑体" w:cs="Calibri"/>
          <w:sz w:val="32"/>
          <w:szCs w:val="32"/>
        </w:rPr>
      </w:pPr>
      <w:r>
        <w:rPr>
          <w:rFonts w:hint="eastAsia" w:eastAsia="黑体" w:cs="Calibri"/>
          <w:sz w:val="32"/>
          <w:szCs w:val="32"/>
        </w:rPr>
        <w:t>七、商务条款响应偏离表</w:t>
      </w:r>
    </w:p>
    <w:tbl>
      <w:tblPr>
        <w:tblStyle w:val="5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2511"/>
        <w:gridCol w:w="3139"/>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r>
              <w:rPr>
                <w:rFonts w:hint="eastAsia" w:hAnsi="宋体"/>
                <w:kern w:val="2"/>
                <w:sz w:val="21"/>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r>
              <w:rPr>
                <w:rFonts w:hint="eastAsia" w:hAnsi="宋体"/>
                <w:kern w:val="2"/>
                <w:sz w:val="21"/>
              </w:rPr>
              <w:t>内容</w:t>
            </w: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r>
              <w:rPr>
                <w:rFonts w:hint="eastAsia" w:hAnsi="宋体"/>
                <w:kern w:val="2"/>
                <w:sz w:val="21"/>
              </w:rPr>
              <w:t>招标文件要求</w:t>
            </w: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r>
              <w:rPr>
                <w:rFonts w:hint="eastAsia" w:hAnsi="宋体"/>
                <w:kern w:val="2"/>
                <w:sz w:val="21"/>
              </w:rPr>
              <w:t>投标文件对应内容</w:t>
            </w: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r>
              <w:rPr>
                <w:rFonts w:hint="eastAsia"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2511"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313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c>
          <w:tcPr>
            <w:tcW w:w="1579"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jc w:val="center"/>
              <w:rPr>
                <w:rFonts w:hAnsi="宋体"/>
                <w:kern w:val="2"/>
                <w:sz w:val="21"/>
              </w:rPr>
            </w:pPr>
          </w:p>
        </w:tc>
      </w:tr>
    </w:tbl>
    <w:p>
      <w:pPr>
        <w:pStyle w:val="21"/>
        <w:adjustRightInd w:val="0"/>
        <w:snapToGrid w:val="0"/>
        <w:rPr>
          <w:rFonts w:hAnsi="宋体"/>
          <w:bCs/>
        </w:rPr>
      </w:pPr>
    </w:p>
    <w:p>
      <w:pPr>
        <w:pStyle w:val="21"/>
        <w:adjustRightInd w:val="0"/>
        <w:snapToGrid w:val="0"/>
        <w:rPr>
          <w:rFonts w:hAnsi="宋体"/>
          <w:bCs/>
        </w:rPr>
      </w:pPr>
      <w:r>
        <w:rPr>
          <w:rFonts w:hint="eastAsia" w:hAnsi="宋体"/>
          <w:bCs/>
        </w:rPr>
        <w:t>注：如不填写，则视为完全响应招标文件的商务要求。</w:t>
      </w:r>
    </w:p>
    <w:p>
      <w:pPr>
        <w:widowControl/>
        <w:jc w:val="left"/>
        <w:rPr>
          <w:rFonts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r>
        <w:rPr>
          <w:rFonts w:eastAsia="黑体" w:cs="Calibri"/>
          <w:sz w:val="32"/>
          <w:szCs w:val="32"/>
        </w:rPr>
        <w:br w:type="page"/>
      </w:r>
    </w:p>
    <w:p>
      <w:pPr>
        <w:spacing w:line="440" w:lineRule="exact"/>
        <w:jc w:val="center"/>
        <w:rPr>
          <w:rFonts w:hint="eastAsia" w:eastAsia="黑体" w:cs="Calibri"/>
          <w:sz w:val="32"/>
          <w:szCs w:val="32"/>
        </w:rPr>
      </w:pPr>
      <w:r>
        <w:rPr>
          <w:rFonts w:hint="eastAsia" w:eastAsia="黑体" w:cs="Calibri"/>
          <w:sz w:val="32"/>
          <w:szCs w:val="32"/>
        </w:rPr>
        <w:t>八、服务大纲</w:t>
      </w:r>
    </w:p>
    <w:p>
      <w:pPr>
        <w:spacing w:line="440" w:lineRule="exact"/>
        <w:jc w:val="center"/>
        <w:rPr>
          <w:rFonts w:eastAsia="黑体" w:cs="Calibri"/>
          <w:sz w:val="32"/>
          <w:szCs w:val="32"/>
        </w:rPr>
      </w:pPr>
      <w:r>
        <w:rPr>
          <w:rFonts w:hint="eastAsia" w:eastAsia="黑体" w:cs="Calibri"/>
          <w:sz w:val="32"/>
          <w:szCs w:val="32"/>
        </w:rPr>
        <w:t>（含售后服务承诺函、产品安装使用培训、质保期限等）</w:t>
      </w: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jc w:val="center"/>
        <w:rPr>
          <w:rFonts w:hint="eastAsia" w:eastAsia="黑体" w:cs="Calibri"/>
          <w:sz w:val="32"/>
          <w:szCs w:val="32"/>
        </w:rPr>
      </w:pPr>
    </w:p>
    <w:p>
      <w:pPr>
        <w:spacing w:line="440" w:lineRule="exact"/>
        <w:rPr>
          <w:rFonts w:eastAsia="黑体" w:cs="Calibri"/>
          <w:sz w:val="32"/>
          <w:szCs w:val="32"/>
        </w:rPr>
      </w:pPr>
    </w:p>
    <w:p>
      <w:pPr>
        <w:spacing w:line="440" w:lineRule="exact"/>
        <w:jc w:val="center"/>
        <w:rPr>
          <w:rFonts w:eastAsia="黑体" w:cs="Calibri"/>
          <w:sz w:val="32"/>
          <w:szCs w:val="32"/>
        </w:rPr>
      </w:pPr>
      <w:r>
        <w:rPr>
          <w:rFonts w:eastAsia="黑体" w:cs="Calibri"/>
          <w:sz w:val="32"/>
          <w:szCs w:val="32"/>
        </w:rPr>
        <w:br w:type="page"/>
      </w:r>
    </w:p>
    <w:p>
      <w:pPr>
        <w:spacing w:line="440" w:lineRule="exact"/>
        <w:jc w:val="center"/>
        <w:rPr>
          <w:rFonts w:eastAsia="黑体" w:cs="Calibri"/>
          <w:sz w:val="32"/>
          <w:szCs w:val="32"/>
        </w:rPr>
      </w:pPr>
      <w:r>
        <w:rPr>
          <w:rFonts w:hint="eastAsia" w:eastAsia="黑体" w:cs="Calibri"/>
          <w:sz w:val="32"/>
          <w:szCs w:val="32"/>
        </w:rPr>
        <w:t>九、廉洁自律承诺书</w:t>
      </w:r>
    </w:p>
    <w:p>
      <w:pPr>
        <w:topLinePunct/>
        <w:jc w:val="center"/>
        <w:rPr>
          <w:rFonts w:ascii="宋体" w:hAnsi="宋体"/>
          <w:b/>
          <w:sz w:val="32"/>
          <w:szCs w:val="21"/>
        </w:rPr>
      </w:pPr>
    </w:p>
    <w:p>
      <w:pPr>
        <w:spacing w:line="276" w:lineRule="auto"/>
        <w:jc w:val="center"/>
        <w:rPr>
          <w:rFonts w:ascii="宋体" w:hAnsi="宋体"/>
          <w:b/>
          <w:kern w:val="0"/>
          <w:sz w:val="24"/>
          <w:szCs w:val="21"/>
        </w:rPr>
      </w:pPr>
      <w:r>
        <w:rPr>
          <w:rFonts w:hint="eastAsia" w:ascii="宋体" w:hAnsi="宋体"/>
          <w:b/>
          <w:kern w:val="0"/>
          <w:sz w:val="24"/>
          <w:szCs w:val="21"/>
        </w:rPr>
        <w:t>杭州萧山国际机场有限公司廉洁自律承诺书</w:t>
      </w:r>
    </w:p>
    <w:p>
      <w:pPr>
        <w:spacing w:line="276" w:lineRule="auto"/>
        <w:jc w:val="center"/>
        <w:rPr>
          <w:rFonts w:ascii="宋体" w:hAnsi="宋体"/>
          <w:kern w:val="0"/>
          <w:sz w:val="24"/>
          <w:szCs w:val="21"/>
        </w:rPr>
      </w:pPr>
    </w:p>
    <w:p>
      <w:pPr>
        <w:spacing w:line="276" w:lineRule="auto"/>
        <w:jc w:val="left"/>
        <w:rPr>
          <w:rFonts w:ascii="宋体" w:hAnsi="宋体"/>
          <w:szCs w:val="21"/>
        </w:rPr>
      </w:pPr>
      <w:r>
        <w:rPr>
          <w:rFonts w:hint="eastAsia" w:ascii="宋体" w:hAnsi="宋体"/>
          <w:szCs w:val="21"/>
        </w:rPr>
        <w:t>杭州萧山国际机场有限公司：</w:t>
      </w:r>
    </w:p>
    <w:p>
      <w:pPr>
        <w:spacing w:line="276" w:lineRule="auto"/>
        <w:ind w:firstLine="420" w:firstLineChars="200"/>
        <w:jc w:val="left"/>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spacing w:line="276" w:lineRule="auto"/>
        <w:ind w:firstLine="420" w:firstLineChars="200"/>
        <w:jc w:val="left"/>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20" w:firstLineChars="200"/>
        <w:jc w:val="left"/>
        <w:rPr>
          <w:rFonts w:ascii="宋体" w:hAnsi="宋体"/>
          <w:szCs w:val="21"/>
        </w:rPr>
      </w:pPr>
      <w:r>
        <w:rPr>
          <w:rFonts w:hint="eastAsia" w:ascii="宋体" w:hAnsi="宋体"/>
          <w:szCs w:val="21"/>
        </w:rPr>
        <w:t>二、不以任何名义为贵公司有关人员或项目第三方人员报销应由贵公司或个人支付的费用；</w:t>
      </w:r>
    </w:p>
    <w:p>
      <w:pPr>
        <w:spacing w:line="276" w:lineRule="auto"/>
        <w:ind w:firstLine="420" w:firstLineChars="200"/>
        <w:jc w:val="left"/>
        <w:rPr>
          <w:rFonts w:ascii="宋体" w:hAnsi="宋体"/>
          <w:szCs w:val="21"/>
        </w:rPr>
      </w:pPr>
      <w:r>
        <w:rPr>
          <w:rFonts w:hint="eastAsia" w:ascii="宋体" w:hAnsi="宋体"/>
          <w:szCs w:val="21"/>
        </w:rPr>
        <w:t>三、不向贵公司有关人员或项目第三方人员提供宴请、旅游、和健身娱乐等活动；</w:t>
      </w:r>
    </w:p>
    <w:p>
      <w:pPr>
        <w:spacing w:line="276" w:lineRule="auto"/>
        <w:ind w:firstLine="420" w:firstLineChars="200"/>
        <w:jc w:val="left"/>
        <w:rPr>
          <w:rFonts w:ascii="宋体" w:hAnsi="宋体"/>
          <w:szCs w:val="21"/>
        </w:rPr>
      </w:pPr>
      <w:r>
        <w:rPr>
          <w:rFonts w:hint="eastAsia" w:ascii="宋体" w:hAnsi="宋体"/>
          <w:szCs w:val="21"/>
        </w:rPr>
        <w:t>四、不为贵公司有关人员或项目第三方人员出国（境）、旅游等提供方便；</w:t>
      </w:r>
    </w:p>
    <w:p>
      <w:pPr>
        <w:spacing w:line="276" w:lineRule="auto"/>
        <w:ind w:firstLine="420" w:firstLineChars="200"/>
        <w:jc w:val="left"/>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spacing w:line="276" w:lineRule="auto"/>
        <w:ind w:firstLine="420" w:firstLineChars="200"/>
        <w:jc w:val="left"/>
        <w:rPr>
          <w:rFonts w:ascii="宋体" w:hAnsi="宋体"/>
          <w:szCs w:val="21"/>
        </w:rPr>
      </w:pPr>
      <w:r>
        <w:rPr>
          <w:rFonts w:hint="eastAsia" w:ascii="宋体" w:hAnsi="宋体"/>
          <w:szCs w:val="21"/>
        </w:rPr>
        <w:t>六、严格遵守国家招标投标法、合同法等法律规定，诚实守信，合法经营，坚决杜绝各种违法违纪行为。</w:t>
      </w:r>
    </w:p>
    <w:p>
      <w:pPr>
        <w:spacing w:line="276" w:lineRule="auto"/>
        <w:ind w:firstLine="420" w:firstLineChars="200"/>
        <w:jc w:val="left"/>
        <w:rPr>
          <w:rFonts w:ascii="宋体" w:hAnsi="宋体"/>
          <w:szCs w:val="21"/>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20" w:firstLineChars="200"/>
        <w:jc w:val="left"/>
        <w:rPr>
          <w:rFonts w:ascii="宋体" w:hAnsi="宋体"/>
          <w:szCs w:val="21"/>
        </w:rPr>
      </w:pPr>
      <w:r>
        <w:rPr>
          <w:rFonts w:hint="eastAsia" w:ascii="宋体" w:hAnsi="宋体"/>
          <w:szCs w:val="21"/>
        </w:rPr>
        <w:t>八、如违反上述廉洁自律承诺，贵公司有权：</w:t>
      </w:r>
    </w:p>
    <w:p>
      <w:pPr>
        <w:spacing w:line="276"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立即取消我单位投标、中标或在建项目的实施资格；</w:t>
      </w:r>
    </w:p>
    <w:p>
      <w:pPr>
        <w:spacing w:line="276"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spacing w:line="276"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拒绝我单位在一定时期内进入贵公司进行项目建设或其它经营活动；</w:t>
      </w:r>
    </w:p>
    <w:p>
      <w:pPr>
        <w:spacing w:line="276"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由此引起的相应损失均由我单位承担。</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承诺人单位名称（盖章）：            </w:t>
      </w:r>
    </w:p>
    <w:p>
      <w:pPr>
        <w:spacing w:line="276" w:lineRule="auto"/>
        <w:ind w:firstLine="420" w:firstLineChars="200"/>
        <w:jc w:val="left"/>
        <w:rPr>
          <w:rFonts w:ascii="宋体" w:hAnsi="宋体"/>
          <w:szCs w:val="21"/>
        </w:rPr>
      </w:pPr>
      <w:r>
        <w:rPr>
          <w:rFonts w:hint="eastAsia" w:ascii="宋体" w:hAnsi="宋体"/>
          <w:szCs w:val="21"/>
        </w:rPr>
        <w:t xml:space="preserve">法定代表人 ：                    </w:t>
      </w:r>
    </w:p>
    <w:p>
      <w:pPr>
        <w:spacing w:line="276" w:lineRule="auto"/>
        <w:ind w:firstLine="420" w:firstLineChars="200"/>
        <w:jc w:val="left"/>
        <w:rPr>
          <w:rFonts w:ascii="宋体" w:hAnsi="宋体"/>
          <w:szCs w:val="21"/>
        </w:rPr>
      </w:pPr>
      <w:r>
        <w:rPr>
          <w:rFonts w:hint="eastAsia" w:ascii="宋体" w:hAnsi="宋体"/>
          <w:szCs w:val="21"/>
        </w:rPr>
        <w:t xml:space="preserve">或                            </w:t>
      </w:r>
    </w:p>
    <w:p>
      <w:pPr>
        <w:spacing w:line="276" w:lineRule="auto"/>
        <w:ind w:firstLine="420" w:firstLineChars="200"/>
        <w:jc w:val="left"/>
        <w:rPr>
          <w:rFonts w:ascii="宋体" w:hAnsi="宋体"/>
          <w:szCs w:val="21"/>
        </w:rPr>
      </w:pPr>
      <w:r>
        <w:rPr>
          <w:rFonts w:hint="eastAsia" w:ascii="宋体" w:hAnsi="宋体"/>
          <w:szCs w:val="21"/>
        </w:rPr>
        <w:t xml:space="preserve">委托代理人：                   </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                           年     月     日</w:t>
      </w:r>
    </w:p>
    <w:p>
      <w:pPr>
        <w:spacing w:line="440" w:lineRule="exact"/>
        <w:jc w:val="center"/>
        <w:rPr>
          <w:rFonts w:ascii="宋体" w:hAnsi="宋体"/>
          <w:sz w:val="22"/>
        </w:rPr>
      </w:pPr>
      <w:r>
        <w:rPr>
          <w:rFonts w:eastAsia="黑体" w:cs="Calibri"/>
          <w:sz w:val="32"/>
          <w:szCs w:val="32"/>
        </w:rPr>
        <w:br w:type="page"/>
      </w:r>
      <w:r>
        <w:rPr>
          <w:rFonts w:hint="eastAsia" w:eastAsia="黑体" w:cs="Calibri"/>
          <w:sz w:val="32"/>
          <w:szCs w:val="32"/>
        </w:rPr>
        <w:t>十</w:t>
      </w:r>
      <w:r>
        <w:rPr>
          <w:rFonts w:eastAsia="黑体" w:cs="Calibri"/>
          <w:sz w:val="32"/>
          <w:szCs w:val="32"/>
        </w:rPr>
        <w:t>、</w:t>
      </w:r>
      <w:r>
        <w:rPr>
          <w:rFonts w:hint="eastAsia" w:eastAsia="黑体" w:cs="Calibri"/>
          <w:sz w:val="32"/>
          <w:szCs w:val="32"/>
        </w:rPr>
        <w:t>投标人认为</w:t>
      </w:r>
      <w:r>
        <w:rPr>
          <w:rFonts w:eastAsia="黑体" w:cs="Calibri"/>
          <w:sz w:val="32"/>
          <w:szCs w:val="32"/>
        </w:rPr>
        <w:t>应该提供的其他材料</w:t>
      </w:r>
    </w:p>
    <w:p/>
    <w:sectPr>
      <w:footerReference r:id="rId7"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S?o｡ﾀ?">
    <w:altName w:val="MS PGothic"/>
    <w:panose1 w:val="00000000000000000000"/>
    <w:charset w:val="80"/>
    <w:family w:val="auto"/>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8C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5">
    <w:nsid w:val="5317692A"/>
    <w:multiLevelType w:val="multilevel"/>
    <w:tmpl w:val="5317692A"/>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106"/>
    <w:rsid w:val="00002E1A"/>
    <w:rsid w:val="00007C31"/>
    <w:rsid w:val="000143FE"/>
    <w:rsid w:val="000237BF"/>
    <w:rsid w:val="00025E5D"/>
    <w:rsid w:val="00041BCB"/>
    <w:rsid w:val="0004730A"/>
    <w:rsid w:val="00050661"/>
    <w:rsid w:val="00057B65"/>
    <w:rsid w:val="00061C4F"/>
    <w:rsid w:val="000620E3"/>
    <w:rsid w:val="00066D69"/>
    <w:rsid w:val="0007059D"/>
    <w:rsid w:val="00074107"/>
    <w:rsid w:val="000838B6"/>
    <w:rsid w:val="00086DFE"/>
    <w:rsid w:val="00090818"/>
    <w:rsid w:val="00092A5B"/>
    <w:rsid w:val="000A30FA"/>
    <w:rsid w:val="000B27DF"/>
    <w:rsid w:val="000B2C22"/>
    <w:rsid w:val="000B39F8"/>
    <w:rsid w:val="000D047E"/>
    <w:rsid w:val="000E4CF3"/>
    <w:rsid w:val="000E526D"/>
    <w:rsid w:val="000F4B32"/>
    <w:rsid w:val="000F5D2D"/>
    <w:rsid w:val="00107265"/>
    <w:rsid w:val="0012181D"/>
    <w:rsid w:val="00125059"/>
    <w:rsid w:val="001260E9"/>
    <w:rsid w:val="00150E1E"/>
    <w:rsid w:val="00152FA5"/>
    <w:rsid w:val="00160D31"/>
    <w:rsid w:val="00161CE6"/>
    <w:rsid w:val="00163321"/>
    <w:rsid w:val="00170A96"/>
    <w:rsid w:val="00175B64"/>
    <w:rsid w:val="00180541"/>
    <w:rsid w:val="00183ACC"/>
    <w:rsid w:val="0019091F"/>
    <w:rsid w:val="001930B4"/>
    <w:rsid w:val="001A570A"/>
    <w:rsid w:val="001A5CFC"/>
    <w:rsid w:val="001B65E5"/>
    <w:rsid w:val="001E131A"/>
    <w:rsid w:val="001F6E0D"/>
    <w:rsid w:val="0025645A"/>
    <w:rsid w:val="0026027D"/>
    <w:rsid w:val="00271AD1"/>
    <w:rsid w:val="002731D1"/>
    <w:rsid w:val="00275891"/>
    <w:rsid w:val="0028013C"/>
    <w:rsid w:val="00286563"/>
    <w:rsid w:val="00295B22"/>
    <w:rsid w:val="002A1753"/>
    <w:rsid w:val="002B5B7B"/>
    <w:rsid w:val="002C65D5"/>
    <w:rsid w:val="002E5424"/>
    <w:rsid w:val="002F589F"/>
    <w:rsid w:val="002F6639"/>
    <w:rsid w:val="00301DBD"/>
    <w:rsid w:val="00302CB1"/>
    <w:rsid w:val="003061A7"/>
    <w:rsid w:val="00313BF6"/>
    <w:rsid w:val="003140F1"/>
    <w:rsid w:val="00315FA7"/>
    <w:rsid w:val="003171CC"/>
    <w:rsid w:val="003232F4"/>
    <w:rsid w:val="003463BA"/>
    <w:rsid w:val="0034793C"/>
    <w:rsid w:val="00382106"/>
    <w:rsid w:val="00386857"/>
    <w:rsid w:val="003A216C"/>
    <w:rsid w:val="003A7AE4"/>
    <w:rsid w:val="003B1C32"/>
    <w:rsid w:val="003C1E14"/>
    <w:rsid w:val="003C2E19"/>
    <w:rsid w:val="003C4B6F"/>
    <w:rsid w:val="003E226E"/>
    <w:rsid w:val="003F2986"/>
    <w:rsid w:val="0040785D"/>
    <w:rsid w:val="00417C18"/>
    <w:rsid w:val="004216B6"/>
    <w:rsid w:val="00422236"/>
    <w:rsid w:val="00423857"/>
    <w:rsid w:val="004427AA"/>
    <w:rsid w:val="004627D7"/>
    <w:rsid w:val="00482626"/>
    <w:rsid w:val="0048379F"/>
    <w:rsid w:val="004C2AED"/>
    <w:rsid w:val="004D614A"/>
    <w:rsid w:val="004E2EDB"/>
    <w:rsid w:val="004F0978"/>
    <w:rsid w:val="004F4EF9"/>
    <w:rsid w:val="004F6139"/>
    <w:rsid w:val="004F6BB6"/>
    <w:rsid w:val="005030D5"/>
    <w:rsid w:val="005117F7"/>
    <w:rsid w:val="0053241C"/>
    <w:rsid w:val="005449D5"/>
    <w:rsid w:val="0054614A"/>
    <w:rsid w:val="00581B4C"/>
    <w:rsid w:val="00595CF3"/>
    <w:rsid w:val="005D3840"/>
    <w:rsid w:val="005E10BB"/>
    <w:rsid w:val="005F507C"/>
    <w:rsid w:val="006168AA"/>
    <w:rsid w:val="00624C7C"/>
    <w:rsid w:val="0063383F"/>
    <w:rsid w:val="00643530"/>
    <w:rsid w:val="006503C0"/>
    <w:rsid w:val="00651948"/>
    <w:rsid w:val="00657DAF"/>
    <w:rsid w:val="00680792"/>
    <w:rsid w:val="00680CC5"/>
    <w:rsid w:val="00690E9D"/>
    <w:rsid w:val="006A3A0E"/>
    <w:rsid w:val="006A6439"/>
    <w:rsid w:val="006B5F69"/>
    <w:rsid w:val="006C3D54"/>
    <w:rsid w:val="006D5F1F"/>
    <w:rsid w:val="006E2EED"/>
    <w:rsid w:val="006E39AF"/>
    <w:rsid w:val="006E5017"/>
    <w:rsid w:val="00703043"/>
    <w:rsid w:val="00715CFD"/>
    <w:rsid w:val="00725913"/>
    <w:rsid w:val="007341F6"/>
    <w:rsid w:val="00741CB6"/>
    <w:rsid w:val="0075527D"/>
    <w:rsid w:val="00767D54"/>
    <w:rsid w:val="00770AAB"/>
    <w:rsid w:val="00793249"/>
    <w:rsid w:val="00794AFE"/>
    <w:rsid w:val="007A0CD1"/>
    <w:rsid w:val="007A18E5"/>
    <w:rsid w:val="007A1C7C"/>
    <w:rsid w:val="007A25EC"/>
    <w:rsid w:val="007B2701"/>
    <w:rsid w:val="007D229B"/>
    <w:rsid w:val="007D62F1"/>
    <w:rsid w:val="007D66A7"/>
    <w:rsid w:val="007E0F51"/>
    <w:rsid w:val="007F0319"/>
    <w:rsid w:val="007F7839"/>
    <w:rsid w:val="00803924"/>
    <w:rsid w:val="0082026A"/>
    <w:rsid w:val="00827CE8"/>
    <w:rsid w:val="0083210F"/>
    <w:rsid w:val="008379C3"/>
    <w:rsid w:val="0084721D"/>
    <w:rsid w:val="008540F4"/>
    <w:rsid w:val="00865560"/>
    <w:rsid w:val="008674B6"/>
    <w:rsid w:val="0086797C"/>
    <w:rsid w:val="00867AC8"/>
    <w:rsid w:val="008743B9"/>
    <w:rsid w:val="00874467"/>
    <w:rsid w:val="00874C26"/>
    <w:rsid w:val="008934B9"/>
    <w:rsid w:val="00895E43"/>
    <w:rsid w:val="00897D3F"/>
    <w:rsid w:val="008B5EE8"/>
    <w:rsid w:val="008B6BCA"/>
    <w:rsid w:val="008C761F"/>
    <w:rsid w:val="008D1202"/>
    <w:rsid w:val="008D40E8"/>
    <w:rsid w:val="008E4CBA"/>
    <w:rsid w:val="00900814"/>
    <w:rsid w:val="00950515"/>
    <w:rsid w:val="00954916"/>
    <w:rsid w:val="00960177"/>
    <w:rsid w:val="00970BA9"/>
    <w:rsid w:val="00972E0E"/>
    <w:rsid w:val="00974BC2"/>
    <w:rsid w:val="00986D32"/>
    <w:rsid w:val="00996A59"/>
    <w:rsid w:val="009A0F2E"/>
    <w:rsid w:val="009B4F1D"/>
    <w:rsid w:val="009E49F2"/>
    <w:rsid w:val="009F4351"/>
    <w:rsid w:val="009F4DC1"/>
    <w:rsid w:val="009F581A"/>
    <w:rsid w:val="00A00888"/>
    <w:rsid w:val="00A01CA7"/>
    <w:rsid w:val="00A029F7"/>
    <w:rsid w:val="00A2185D"/>
    <w:rsid w:val="00A30234"/>
    <w:rsid w:val="00A35835"/>
    <w:rsid w:val="00A40825"/>
    <w:rsid w:val="00A51801"/>
    <w:rsid w:val="00A572B2"/>
    <w:rsid w:val="00A7703A"/>
    <w:rsid w:val="00A812B1"/>
    <w:rsid w:val="00AA2980"/>
    <w:rsid w:val="00AA76AD"/>
    <w:rsid w:val="00AA7D3D"/>
    <w:rsid w:val="00AC1758"/>
    <w:rsid w:val="00AD25FA"/>
    <w:rsid w:val="00AE2E16"/>
    <w:rsid w:val="00AE339F"/>
    <w:rsid w:val="00AF2C94"/>
    <w:rsid w:val="00AF30D6"/>
    <w:rsid w:val="00B402AA"/>
    <w:rsid w:val="00B5144E"/>
    <w:rsid w:val="00B6071E"/>
    <w:rsid w:val="00B67CAE"/>
    <w:rsid w:val="00B866E2"/>
    <w:rsid w:val="00B94481"/>
    <w:rsid w:val="00B94E0C"/>
    <w:rsid w:val="00B953D8"/>
    <w:rsid w:val="00BA3F19"/>
    <w:rsid w:val="00BB1467"/>
    <w:rsid w:val="00BB621E"/>
    <w:rsid w:val="00BB756D"/>
    <w:rsid w:val="00BC48C7"/>
    <w:rsid w:val="00BD0C98"/>
    <w:rsid w:val="00BE09C8"/>
    <w:rsid w:val="00BE135A"/>
    <w:rsid w:val="00BF5512"/>
    <w:rsid w:val="00C11CF9"/>
    <w:rsid w:val="00C1680F"/>
    <w:rsid w:val="00C172AE"/>
    <w:rsid w:val="00C23746"/>
    <w:rsid w:val="00C334F3"/>
    <w:rsid w:val="00C3711C"/>
    <w:rsid w:val="00C37F2A"/>
    <w:rsid w:val="00C4021E"/>
    <w:rsid w:val="00C4201D"/>
    <w:rsid w:val="00C72F85"/>
    <w:rsid w:val="00C942D4"/>
    <w:rsid w:val="00CA7262"/>
    <w:rsid w:val="00CB1AD8"/>
    <w:rsid w:val="00CB61DB"/>
    <w:rsid w:val="00CC0D56"/>
    <w:rsid w:val="00CC4E92"/>
    <w:rsid w:val="00CD489A"/>
    <w:rsid w:val="00CE66B9"/>
    <w:rsid w:val="00D16128"/>
    <w:rsid w:val="00D16795"/>
    <w:rsid w:val="00D17F7E"/>
    <w:rsid w:val="00D21483"/>
    <w:rsid w:val="00D31C05"/>
    <w:rsid w:val="00D438A3"/>
    <w:rsid w:val="00D52692"/>
    <w:rsid w:val="00D53379"/>
    <w:rsid w:val="00D7461B"/>
    <w:rsid w:val="00D807BC"/>
    <w:rsid w:val="00D87FED"/>
    <w:rsid w:val="00D90E39"/>
    <w:rsid w:val="00DA113F"/>
    <w:rsid w:val="00DD15D6"/>
    <w:rsid w:val="00DE3D4E"/>
    <w:rsid w:val="00E01D3C"/>
    <w:rsid w:val="00E104B6"/>
    <w:rsid w:val="00E113C2"/>
    <w:rsid w:val="00E1582B"/>
    <w:rsid w:val="00E20FB2"/>
    <w:rsid w:val="00E268A8"/>
    <w:rsid w:val="00E36679"/>
    <w:rsid w:val="00E43B16"/>
    <w:rsid w:val="00E45140"/>
    <w:rsid w:val="00E61E70"/>
    <w:rsid w:val="00E726F8"/>
    <w:rsid w:val="00E7734E"/>
    <w:rsid w:val="00E97CF2"/>
    <w:rsid w:val="00EB11A8"/>
    <w:rsid w:val="00EC00A4"/>
    <w:rsid w:val="00EC2FF3"/>
    <w:rsid w:val="00ED6FD4"/>
    <w:rsid w:val="00EE2E40"/>
    <w:rsid w:val="00EF6EB3"/>
    <w:rsid w:val="00F009E3"/>
    <w:rsid w:val="00F06C47"/>
    <w:rsid w:val="00F21596"/>
    <w:rsid w:val="00F30B00"/>
    <w:rsid w:val="00F33920"/>
    <w:rsid w:val="00F33BD9"/>
    <w:rsid w:val="00F523B1"/>
    <w:rsid w:val="00F62EE9"/>
    <w:rsid w:val="00F6675A"/>
    <w:rsid w:val="00F9180A"/>
    <w:rsid w:val="00F920E5"/>
    <w:rsid w:val="00F951BF"/>
    <w:rsid w:val="00F9716E"/>
    <w:rsid w:val="00FA49E8"/>
    <w:rsid w:val="00FA562A"/>
    <w:rsid w:val="00FB19F5"/>
    <w:rsid w:val="00FB4EA1"/>
    <w:rsid w:val="00FC4122"/>
    <w:rsid w:val="00FC703F"/>
    <w:rsid w:val="00FD637B"/>
    <w:rsid w:val="00FE25D3"/>
    <w:rsid w:val="00FE3621"/>
    <w:rsid w:val="00FF250A"/>
    <w:rsid w:val="00FF2C8D"/>
    <w:rsid w:val="01BD330F"/>
    <w:rsid w:val="02CB3C83"/>
    <w:rsid w:val="02EE7A42"/>
    <w:rsid w:val="03531BE4"/>
    <w:rsid w:val="0358485A"/>
    <w:rsid w:val="04B00045"/>
    <w:rsid w:val="04B626CE"/>
    <w:rsid w:val="04BC27D0"/>
    <w:rsid w:val="059154E5"/>
    <w:rsid w:val="060F2C8F"/>
    <w:rsid w:val="065E2E1A"/>
    <w:rsid w:val="071019C6"/>
    <w:rsid w:val="073E0513"/>
    <w:rsid w:val="08CF44A5"/>
    <w:rsid w:val="09044A1E"/>
    <w:rsid w:val="09B32E55"/>
    <w:rsid w:val="09D816B1"/>
    <w:rsid w:val="0AD250D7"/>
    <w:rsid w:val="0B7A4011"/>
    <w:rsid w:val="0C18616A"/>
    <w:rsid w:val="0C39447E"/>
    <w:rsid w:val="0C4A09C0"/>
    <w:rsid w:val="0C8B71FF"/>
    <w:rsid w:val="0D134908"/>
    <w:rsid w:val="0D3B13AD"/>
    <w:rsid w:val="0D4518BD"/>
    <w:rsid w:val="0D9563A7"/>
    <w:rsid w:val="0DFF79BA"/>
    <w:rsid w:val="0E583006"/>
    <w:rsid w:val="0E896F2D"/>
    <w:rsid w:val="0E8C4F5D"/>
    <w:rsid w:val="0F1339B3"/>
    <w:rsid w:val="0F771035"/>
    <w:rsid w:val="0FAF4197"/>
    <w:rsid w:val="0FE11D12"/>
    <w:rsid w:val="0FE131D3"/>
    <w:rsid w:val="103229C2"/>
    <w:rsid w:val="10573696"/>
    <w:rsid w:val="1071515F"/>
    <w:rsid w:val="10A21683"/>
    <w:rsid w:val="10A856F5"/>
    <w:rsid w:val="10FF0966"/>
    <w:rsid w:val="125B0AF4"/>
    <w:rsid w:val="12732CFD"/>
    <w:rsid w:val="12890FF8"/>
    <w:rsid w:val="12BB5888"/>
    <w:rsid w:val="136E004F"/>
    <w:rsid w:val="136F2FF7"/>
    <w:rsid w:val="141B2009"/>
    <w:rsid w:val="14890448"/>
    <w:rsid w:val="15045E6A"/>
    <w:rsid w:val="157F368F"/>
    <w:rsid w:val="16301D3D"/>
    <w:rsid w:val="16350E42"/>
    <w:rsid w:val="165F3897"/>
    <w:rsid w:val="16E356E2"/>
    <w:rsid w:val="170B4514"/>
    <w:rsid w:val="18476C19"/>
    <w:rsid w:val="1A9C53A4"/>
    <w:rsid w:val="1AA46AAC"/>
    <w:rsid w:val="1C8D6869"/>
    <w:rsid w:val="1E064D42"/>
    <w:rsid w:val="1E420EA6"/>
    <w:rsid w:val="1E5D41BC"/>
    <w:rsid w:val="1F6671F3"/>
    <w:rsid w:val="1FD86D07"/>
    <w:rsid w:val="1FF41733"/>
    <w:rsid w:val="206D474B"/>
    <w:rsid w:val="20AC7C8A"/>
    <w:rsid w:val="20D04905"/>
    <w:rsid w:val="21484095"/>
    <w:rsid w:val="21583922"/>
    <w:rsid w:val="2162627B"/>
    <w:rsid w:val="21BF1997"/>
    <w:rsid w:val="224460F9"/>
    <w:rsid w:val="22C472D7"/>
    <w:rsid w:val="22F87C8C"/>
    <w:rsid w:val="22FB5964"/>
    <w:rsid w:val="23885AD1"/>
    <w:rsid w:val="242803ED"/>
    <w:rsid w:val="24D84449"/>
    <w:rsid w:val="25635EAE"/>
    <w:rsid w:val="25A0769C"/>
    <w:rsid w:val="25EE3DD7"/>
    <w:rsid w:val="25EF18B6"/>
    <w:rsid w:val="260D7481"/>
    <w:rsid w:val="26866496"/>
    <w:rsid w:val="26F0774E"/>
    <w:rsid w:val="27154433"/>
    <w:rsid w:val="29B527C8"/>
    <w:rsid w:val="29BD6C80"/>
    <w:rsid w:val="29C10058"/>
    <w:rsid w:val="29FB0D75"/>
    <w:rsid w:val="2A170F56"/>
    <w:rsid w:val="2A8F46D1"/>
    <w:rsid w:val="2B8C2D3C"/>
    <w:rsid w:val="2BFE7E55"/>
    <w:rsid w:val="2C7F19A6"/>
    <w:rsid w:val="2CB52099"/>
    <w:rsid w:val="2D6A6881"/>
    <w:rsid w:val="2DA16D8C"/>
    <w:rsid w:val="2EE8066F"/>
    <w:rsid w:val="2F782C73"/>
    <w:rsid w:val="304D40A8"/>
    <w:rsid w:val="30506485"/>
    <w:rsid w:val="307D31B8"/>
    <w:rsid w:val="30821889"/>
    <w:rsid w:val="31D810E4"/>
    <w:rsid w:val="326F4CDF"/>
    <w:rsid w:val="33185819"/>
    <w:rsid w:val="331F5A34"/>
    <w:rsid w:val="332E6CB5"/>
    <w:rsid w:val="333A17BC"/>
    <w:rsid w:val="334764AD"/>
    <w:rsid w:val="33AF194D"/>
    <w:rsid w:val="348F5F24"/>
    <w:rsid w:val="3536285A"/>
    <w:rsid w:val="35D7290F"/>
    <w:rsid w:val="36676D55"/>
    <w:rsid w:val="36942965"/>
    <w:rsid w:val="36D71850"/>
    <w:rsid w:val="36E57D9B"/>
    <w:rsid w:val="378F1038"/>
    <w:rsid w:val="385D117A"/>
    <w:rsid w:val="38850B5A"/>
    <w:rsid w:val="388579BF"/>
    <w:rsid w:val="38D901D4"/>
    <w:rsid w:val="38E57CC2"/>
    <w:rsid w:val="3970022B"/>
    <w:rsid w:val="39F170CB"/>
    <w:rsid w:val="3A7E748A"/>
    <w:rsid w:val="3AD44D37"/>
    <w:rsid w:val="3AF77D0A"/>
    <w:rsid w:val="3B316177"/>
    <w:rsid w:val="3B624CA3"/>
    <w:rsid w:val="3C99343B"/>
    <w:rsid w:val="3F125490"/>
    <w:rsid w:val="3FDB4CB8"/>
    <w:rsid w:val="3FFA719B"/>
    <w:rsid w:val="40994215"/>
    <w:rsid w:val="41347EB8"/>
    <w:rsid w:val="425D6029"/>
    <w:rsid w:val="426D50F3"/>
    <w:rsid w:val="429717D4"/>
    <w:rsid w:val="42C64DA9"/>
    <w:rsid w:val="432E1104"/>
    <w:rsid w:val="433C76CD"/>
    <w:rsid w:val="43972280"/>
    <w:rsid w:val="440B25C4"/>
    <w:rsid w:val="441407E8"/>
    <w:rsid w:val="451302D2"/>
    <w:rsid w:val="45234EFE"/>
    <w:rsid w:val="45D952F7"/>
    <w:rsid w:val="45F82D02"/>
    <w:rsid w:val="475C3285"/>
    <w:rsid w:val="48766D36"/>
    <w:rsid w:val="49272D0F"/>
    <w:rsid w:val="49F6175A"/>
    <w:rsid w:val="4A8A2B6D"/>
    <w:rsid w:val="4B5C70ED"/>
    <w:rsid w:val="4B8C3F32"/>
    <w:rsid w:val="4BA00E2D"/>
    <w:rsid w:val="4BAC0E74"/>
    <w:rsid w:val="4BF74CDF"/>
    <w:rsid w:val="4C0A1EC4"/>
    <w:rsid w:val="4C486D6D"/>
    <w:rsid w:val="4C616B7D"/>
    <w:rsid w:val="4C7E3C78"/>
    <w:rsid w:val="4CDD5722"/>
    <w:rsid w:val="4DA651D8"/>
    <w:rsid w:val="4E410961"/>
    <w:rsid w:val="4EA01934"/>
    <w:rsid w:val="4F5A61BF"/>
    <w:rsid w:val="4F6C466D"/>
    <w:rsid w:val="4FB0446D"/>
    <w:rsid w:val="50480126"/>
    <w:rsid w:val="50752934"/>
    <w:rsid w:val="50A849DE"/>
    <w:rsid w:val="50CE7A19"/>
    <w:rsid w:val="51681584"/>
    <w:rsid w:val="51AE3EF9"/>
    <w:rsid w:val="51CB2A48"/>
    <w:rsid w:val="52F861C0"/>
    <w:rsid w:val="53F45462"/>
    <w:rsid w:val="547D0E03"/>
    <w:rsid w:val="549D7972"/>
    <w:rsid w:val="56065E6A"/>
    <w:rsid w:val="560730D4"/>
    <w:rsid w:val="56846DBC"/>
    <w:rsid w:val="56F279EE"/>
    <w:rsid w:val="57052240"/>
    <w:rsid w:val="57112FFC"/>
    <w:rsid w:val="574233BB"/>
    <w:rsid w:val="58883559"/>
    <w:rsid w:val="58BE5959"/>
    <w:rsid w:val="58C43FC6"/>
    <w:rsid w:val="59A41E22"/>
    <w:rsid w:val="59BD6579"/>
    <w:rsid w:val="5AF61706"/>
    <w:rsid w:val="5BF96D0E"/>
    <w:rsid w:val="5CE57ECE"/>
    <w:rsid w:val="5D2563E1"/>
    <w:rsid w:val="5DCE144A"/>
    <w:rsid w:val="5DED065E"/>
    <w:rsid w:val="5E034740"/>
    <w:rsid w:val="5E145448"/>
    <w:rsid w:val="5E534888"/>
    <w:rsid w:val="5EA75EBD"/>
    <w:rsid w:val="5EC45436"/>
    <w:rsid w:val="5ECA2370"/>
    <w:rsid w:val="5FC912E9"/>
    <w:rsid w:val="602955D2"/>
    <w:rsid w:val="609232DA"/>
    <w:rsid w:val="609E0B59"/>
    <w:rsid w:val="61C47964"/>
    <w:rsid w:val="628A4072"/>
    <w:rsid w:val="6329660A"/>
    <w:rsid w:val="633D66B0"/>
    <w:rsid w:val="635F0ADF"/>
    <w:rsid w:val="63633C96"/>
    <w:rsid w:val="637C3DD4"/>
    <w:rsid w:val="63A11FB1"/>
    <w:rsid w:val="64C21D66"/>
    <w:rsid w:val="64DC5F11"/>
    <w:rsid w:val="6559193D"/>
    <w:rsid w:val="659A4BBB"/>
    <w:rsid w:val="66114D0D"/>
    <w:rsid w:val="66D07B40"/>
    <w:rsid w:val="671F15EF"/>
    <w:rsid w:val="67277589"/>
    <w:rsid w:val="68830003"/>
    <w:rsid w:val="68B6457E"/>
    <w:rsid w:val="69A02D9A"/>
    <w:rsid w:val="6A5033E0"/>
    <w:rsid w:val="6ACA65B6"/>
    <w:rsid w:val="6B1E77A2"/>
    <w:rsid w:val="6B4E624D"/>
    <w:rsid w:val="6CC25D71"/>
    <w:rsid w:val="6D362B2F"/>
    <w:rsid w:val="6DBB5E77"/>
    <w:rsid w:val="6E441E48"/>
    <w:rsid w:val="6E67719F"/>
    <w:rsid w:val="6E801136"/>
    <w:rsid w:val="6F4C2B60"/>
    <w:rsid w:val="6F7928FF"/>
    <w:rsid w:val="6FDC6091"/>
    <w:rsid w:val="711C0163"/>
    <w:rsid w:val="7222293D"/>
    <w:rsid w:val="725A4001"/>
    <w:rsid w:val="7314642E"/>
    <w:rsid w:val="737543E7"/>
    <w:rsid w:val="74095A51"/>
    <w:rsid w:val="751B61C9"/>
    <w:rsid w:val="753C1F53"/>
    <w:rsid w:val="756479C0"/>
    <w:rsid w:val="7574016E"/>
    <w:rsid w:val="758E1B18"/>
    <w:rsid w:val="76935A18"/>
    <w:rsid w:val="774E71B1"/>
    <w:rsid w:val="77A90405"/>
    <w:rsid w:val="78435B51"/>
    <w:rsid w:val="798D05D2"/>
    <w:rsid w:val="7A247C8C"/>
    <w:rsid w:val="7A4374D2"/>
    <w:rsid w:val="7AF10340"/>
    <w:rsid w:val="7B08382A"/>
    <w:rsid w:val="7BE5252E"/>
    <w:rsid w:val="7CA26D67"/>
    <w:rsid w:val="7D0E4E5F"/>
    <w:rsid w:val="7D8D6188"/>
    <w:rsid w:val="7DBE47DD"/>
    <w:rsid w:val="7DF8620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4"/>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97"/>
    <w:unhideWhenUsed/>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132"/>
    <w:unhideWhenUsed/>
    <w:qFormat/>
    <w:uiPriority w:val="0"/>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148"/>
    <w:unhideWhenUsed/>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139"/>
    <w:unhideWhenUsed/>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6">
    <w:name w:val="Default Paragraph Font"/>
    <w:semiHidden/>
    <w:uiPriority w:val="0"/>
  </w:style>
  <w:style w:type="table" w:default="1" w:styleId="53">
    <w:name w:val="Normal Table"/>
    <w:semiHidden/>
    <w:uiPriority w:val="0"/>
    <w:tblPr>
      <w:tblLayout w:type="fixed"/>
      <w:tblCellMar>
        <w:top w:w="0" w:type="dxa"/>
        <w:left w:w="108" w:type="dxa"/>
        <w:bottom w:w="0" w:type="dxa"/>
        <w:right w:w="108" w:type="dxa"/>
      </w:tblCellMar>
    </w:tblPr>
  </w:style>
  <w:style w:type="paragraph" w:styleId="7">
    <w:name w:val="List 3"/>
    <w:basedOn w:val="1"/>
    <w:uiPriority w:val="0"/>
    <w:pPr>
      <w:ind w:left="100" w:leftChars="400" w:hanging="200" w:hangingChars="200"/>
    </w:pPr>
    <w:rPr>
      <w:rFonts w:ascii="Times New Roman" w:hAnsi="Times New Roman"/>
      <w:szCs w:val="24"/>
    </w:rPr>
  </w:style>
  <w:style w:type="paragraph" w:styleId="8">
    <w:name w:val="annotation subject"/>
    <w:basedOn w:val="9"/>
    <w:next w:val="9"/>
    <w:link w:val="123"/>
    <w:uiPriority w:val="0"/>
    <w:rPr>
      <w:rFonts w:ascii="Times New Roman" w:hAnsi="Times New Roman"/>
      <w:b/>
      <w:bCs/>
      <w:kern w:val="0"/>
      <w:sz w:val="20"/>
      <w:szCs w:val="24"/>
    </w:rPr>
  </w:style>
  <w:style w:type="paragraph" w:styleId="9">
    <w:name w:val="annotation text"/>
    <w:basedOn w:val="1"/>
    <w:link w:val="124"/>
    <w:uiPriority w:val="0"/>
    <w:pPr>
      <w:jc w:val="left"/>
    </w:pPr>
  </w:style>
  <w:style w:type="paragraph" w:styleId="10">
    <w:name w:val="toc 7"/>
    <w:basedOn w:val="1"/>
    <w:next w:val="1"/>
    <w:uiPriority w:val="0"/>
    <w:pPr>
      <w:ind w:left="2520"/>
    </w:pPr>
    <w:rPr>
      <w:rFonts w:ascii="Times New Roman" w:hAnsi="Times New Roman"/>
      <w:szCs w:val="24"/>
    </w:rPr>
  </w:style>
  <w:style w:type="paragraph" w:styleId="11">
    <w:name w:val="Body Text First Indent"/>
    <w:basedOn w:val="12"/>
    <w:link w:val="101"/>
    <w:uiPriority w:val="0"/>
    <w:pPr>
      <w:ind w:firstLine="420" w:firstLineChars="100"/>
    </w:pPr>
    <w:rPr>
      <w:rFonts w:ascii="Times New Roman" w:hAnsi="Times New Roman"/>
      <w:szCs w:val="24"/>
    </w:rPr>
  </w:style>
  <w:style w:type="paragraph" w:styleId="12">
    <w:name w:val="Body Text"/>
    <w:basedOn w:val="1"/>
    <w:link w:val="108"/>
    <w:uiPriority w:val="0"/>
    <w:pPr>
      <w:spacing w:after="120"/>
    </w:pPr>
    <w:rPr>
      <w:kern w:val="0"/>
      <w:sz w:val="20"/>
      <w:szCs w:val="20"/>
    </w:rPr>
  </w:style>
  <w:style w:type="paragraph" w:styleId="13">
    <w:name w:val="Normal Indent"/>
    <w:basedOn w:val="1"/>
    <w:link w:val="94"/>
    <w:uiPriority w:val="0"/>
    <w:pPr>
      <w:autoSpaceDE w:val="0"/>
      <w:autoSpaceDN w:val="0"/>
      <w:adjustRightInd w:val="0"/>
      <w:ind w:firstLine="420"/>
      <w:jc w:val="left"/>
    </w:pPr>
    <w:rPr>
      <w:rFonts w:ascii="宋体" w:hAnsi="Times New Roman"/>
      <w:kern w:val="0"/>
      <w:sz w:val="34"/>
      <w:szCs w:val="20"/>
    </w:rPr>
  </w:style>
  <w:style w:type="paragraph" w:styleId="14">
    <w:name w:val="caption"/>
    <w:basedOn w:val="1"/>
    <w:next w:val="1"/>
    <w:unhideWhenUsed/>
    <w:qFormat/>
    <w:uiPriority w:val="0"/>
    <w:rPr>
      <w:rFonts w:ascii="Arial" w:hAnsi="Arial" w:eastAsia="黑体" w:cs="Arial"/>
      <w:sz w:val="20"/>
      <w:szCs w:val="20"/>
    </w:rPr>
  </w:style>
  <w:style w:type="paragraph" w:styleId="15">
    <w:name w:val="Document Map"/>
    <w:basedOn w:val="1"/>
    <w:link w:val="141"/>
    <w:uiPriority w:val="0"/>
    <w:pPr>
      <w:shd w:val="clear" w:color="auto" w:fill="000080"/>
    </w:pPr>
    <w:rPr>
      <w:rFonts w:ascii="Times New Roman" w:hAnsi="Times New Roman"/>
      <w:kern w:val="0"/>
      <w:sz w:val="20"/>
      <w:szCs w:val="24"/>
    </w:rPr>
  </w:style>
  <w:style w:type="paragraph" w:styleId="16">
    <w:name w:val="toa heading"/>
    <w:basedOn w:val="1"/>
    <w:next w:val="1"/>
    <w:uiPriority w:val="0"/>
    <w:pPr>
      <w:spacing w:before="120"/>
    </w:pPr>
    <w:rPr>
      <w:rFonts w:ascii="Arial" w:hAnsi="Arial" w:cs="Arial"/>
      <w:sz w:val="24"/>
      <w:szCs w:val="24"/>
    </w:rPr>
  </w:style>
  <w:style w:type="paragraph" w:styleId="17">
    <w:name w:val="Body Text Indent"/>
    <w:basedOn w:val="1"/>
    <w:link w:val="117"/>
    <w:uiPriority w:val="0"/>
    <w:pPr>
      <w:spacing w:after="120"/>
      <w:ind w:left="420" w:leftChars="200"/>
    </w:pPr>
    <w:rPr>
      <w:kern w:val="0"/>
      <w:sz w:val="20"/>
      <w:szCs w:val="20"/>
    </w:rPr>
  </w:style>
  <w:style w:type="paragraph" w:styleId="18">
    <w:name w:val="List 2"/>
    <w:basedOn w:val="1"/>
    <w:uiPriority w:val="0"/>
    <w:pPr>
      <w:ind w:left="100" w:leftChars="200" w:hanging="200" w:hangingChars="200"/>
    </w:pPr>
    <w:rPr>
      <w:rFonts w:ascii="Times New Roman" w:hAnsi="Times New Roman"/>
      <w:szCs w:val="24"/>
    </w:rPr>
  </w:style>
  <w:style w:type="paragraph" w:styleId="19">
    <w:name w:val="toc 5"/>
    <w:basedOn w:val="1"/>
    <w:next w:val="1"/>
    <w:uiPriority w:val="0"/>
    <w:pPr>
      <w:ind w:left="1680"/>
    </w:pPr>
    <w:rPr>
      <w:rFonts w:ascii="Times New Roman" w:hAnsi="Times New Roman"/>
      <w:szCs w:val="24"/>
    </w:rPr>
  </w:style>
  <w:style w:type="paragraph" w:styleId="20">
    <w:name w:val="toc 3"/>
    <w:basedOn w:val="1"/>
    <w:next w:val="1"/>
    <w:uiPriority w:val="0"/>
    <w:pPr>
      <w:spacing w:line="360" w:lineRule="auto"/>
      <w:ind w:left="400" w:leftChars="400"/>
    </w:pPr>
    <w:rPr>
      <w:rFonts w:ascii="Times New Roman" w:hAnsi="Times New Roman"/>
      <w:szCs w:val="24"/>
    </w:rPr>
  </w:style>
  <w:style w:type="paragraph" w:styleId="21">
    <w:name w:val="Plain Text"/>
    <w:basedOn w:val="1"/>
    <w:link w:val="147"/>
    <w:uiPriority w:val="0"/>
    <w:rPr>
      <w:rFonts w:ascii="宋体" w:hAnsi="Courier New"/>
      <w:kern w:val="0"/>
      <w:sz w:val="20"/>
      <w:szCs w:val="21"/>
    </w:rPr>
  </w:style>
  <w:style w:type="paragraph" w:styleId="22">
    <w:name w:val="toc 8"/>
    <w:basedOn w:val="1"/>
    <w:next w:val="1"/>
    <w:uiPriority w:val="0"/>
    <w:pPr>
      <w:ind w:left="2940"/>
    </w:pPr>
    <w:rPr>
      <w:rFonts w:ascii="Times New Roman" w:hAnsi="Times New Roman"/>
      <w:szCs w:val="24"/>
    </w:rPr>
  </w:style>
  <w:style w:type="paragraph" w:styleId="23">
    <w:name w:val="index 3"/>
    <w:basedOn w:val="1"/>
    <w:next w:val="1"/>
    <w:uiPriority w:val="0"/>
    <w:pPr>
      <w:ind w:left="400" w:leftChars="400"/>
    </w:pPr>
    <w:rPr>
      <w:rFonts w:ascii="Times New Roman" w:hAnsi="Times New Roman"/>
      <w:szCs w:val="24"/>
    </w:rPr>
  </w:style>
  <w:style w:type="paragraph" w:styleId="24">
    <w:name w:val="Date"/>
    <w:basedOn w:val="1"/>
    <w:next w:val="1"/>
    <w:link w:val="128"/>
    <w:uiPriority w:val="0"/>
    <w:pPr>
      <w:ind w:left="100" w:leftChars="2500"/>
    </w:pPr>
    <w:rPr>
      <w:rFonts w:ascii="Times New Roman" w:hAnsi="Times New Roman"/>
      <w:b/>
      <w:bCs/>
      <w:kern w:val="0"/>
      <w:sz w:val="36"/>
      <w:szCs w:val="24"/>
    </w:rPr>
  </w:style>
  <w:style w:type="paragraph" w:styleId="25">
    <w:name w:val="Body Text Indent 2"/>
    <w:basedOn w:val="1"/>
    <w:link w:val="103"/>
    <w:uiPriority w:val="0"/>
    <w:pPr>
      <w:spacing w:after="120" w:line="480" w:lineRule="auto"/>
      <w:ind w:left="420" w:leftChars="200"/>
    </w:pPr>
    <w:rPr>
      <w:rFonts w:ascii="Times New Roman" w:hAnsi="Times New Roman"/>
      <w:kern w:val="0"/>
      <w:sz w:val="20"/>
      <w:szCs w:val="24"/>
    </w:rPr>
  </w:style>
  <w:style w:type="paragraph" w:styleId="26">
    <w:name w:val="Balloon Text"/>
    <w:basedOn w:val="1"/>
    <w:link w:val="126"/>
    <w:uiPriority w:val="0"/>
    <w:rPr>
      <w:rFonts w:ascii="Times New Roman" w:hAnsi="Times New Roman"/>
      <w:kern w:val="0"/>
      <w:sz w:val="18"/>
      <w:szCs w:val="18"/>
    </w:rPr>
  </w:style>
  <w:style w:type="paragraph" w:styleId="27">
    <w:name w:val="footer"/>
    <w:basedOn w:val="1"/>
    <w:link w:val="138"/>
    <w:uiPriority w:val="0"/>
    <w:pPr>
      <w:tabs>
        <w:tab w:val="center" w:pos="4153"/>
        <w:tab w:val="right" w:pos="8306"/>
      </w:tabs>
      <w:snapToGrid w:val="0"/>
      <w:jc w:val="left"/>
    </w:pPr>
    <w:rPr>
      <w:rFonts w:ascii="Times New Roman" w:hAnsi="Times New Roman"/>
      <w:kern w:val="0"/>
      <w:sz w:val="18"/>
      <w:szCs w:val="18"/>
    </w:rPr>
  </w:style>
  <w:style w:type="paragraph" w:styleId="28">
    <w:name w:val="Body Text First Indent 2"/>
    <w:basedOn w:val="17"/>
    <w:link w:val="98"/>
    <w:uiPriority w:val="0"/>
    <w:pPr>
      <w:ind w:firstLine="420" w:firstLineChars="200"/>
    </w:pPr>
    <w:rPr>
      <w:rFonts w:ascii="Times New Roman" w:hAnsi="Times New Roman"/>
      <w:szCs w:val="24"/>
    </w:rPr>
  </w:style>
  <w:style w:type="paragraph" w:styleId="29">
    <w:name w:val="header"/>
    <w:basedOn w:val="1"/>
    <w:link w:val="106"/>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30">
    <w:name w:val="toc 1"/>
    <w:basedOn w:val="2"/>
    <w:next w:val="1"/>
    <w:uiPriority w:val="0"/>
    <w:pPr>
      <w:tabs>
        <w:tab w:val="right" w:leader="dot" w:pos="8659"/>
      </w:tabs>
      <w:spacing w:before="0" w:after="0" w:line="240" w:lineRule="auto"/>
      <w:jc w:val="center"/>
    </w:pPr>
    <w:rPr>
      <w:b w:val="0"/>
      <w:sz w:val="21"/>
    </w:rPr>
  </w:style>
  <w:style w:type="paragraph" w:styleId="31">
    <w:name w:val="toc 4"/>
    <w:basedOn w:val="1"/>
    <w:next w:val="1"/>
    <w:uiPriority w:val="0"/>
    <w:pPr>
      <w:ind w:left="1260"/>
    </w:pPr>
    <w:rPr>
      <w:rFonts w:ascii="Times New Roman" w:hAnsi="Times New Roman"/>
      <w:szCs w:val="24"/>
    </w:rPr>
  </w:style>
  <w:style w:type="paragraph" w:styleId="32">
    <w:name w:val="List"/>
    <w:basedOn w:val="1"/>
    <w:uiPriority w:val="0"/>
    <w:pPr>
      <w:ind w:left="200" w:hanging="200" w:hangingChars="200"/>
    </w:pPr>
    <w:rPr>
      <w:rFonts w:ascii="Times New Roman" w:hAnsi="Times New Roman"/>
      <w:szCs w:val="24"/>
    </w:rPr>
  </w:style>
  <w:style w:type="paragraph" w:styleId="33">
    <w:name w:val="footnote text"/>
    <w:basedOn w:val="1"/>
    <w:link w:val="95"/>
    <w:uiPriority w:val="0"/>
    <w:pPr>
      <w:snapToGrid w:val="0"/>
      <w:jc w:val="left"/>
    </w:pPr>
    <w:rPr>
      <w:rFonts w:ascii="Times New Roman" w:hAnsi="Times New Roman"/>
      <w:kern w:val="0"/>
      <w:sz w:val="18"/>
      <w:szCs w:val="18"/>
    </w:rPr>
  </w:style>
  <w:style w:type="paragraph" w:styleId="34">
    <w:name w:val="toc 6"/>
    <w:basedOn w:val="1"/>
    <w:next w:val="1"/>
    <w:uiPriority w:val="0"/>
    <w:pPr>
      <w:ind w:left="2100"/>
    </w:pPr>
    <w:rPr>
      <w:rFonts w:ascii="Times New Roman" w:hAnsi="Times New Roman"/>
      <w:szCs w:val="24"/>
    </w:rPr>
  </w:style>
  <w:style w:type="paragraph" w:styleId="35">
    <w:name w:val="Body Text Indent 3"/>
    <w:basedOn w:val="1"/>
    <w:link w:val="100"/>
    <w:uiPriority w:val="0"/>
    <w:pPr>
      <w:spacing w:line="540" w:lineRule="atLeast"/>
      <w:ind w:firstLine="480" w:firstLineChars="200"/>
    </w:pPr>
    <w:rPr>
      <w:rFonts w:ascii="Times New Roman" w:hAnsi="Times New Roman"/>
      <w:kern w:val="0"/>
      <w:sz w:val="24"/>
      <w:szCs w:val="24"/>
    </w:rPr>
  </w:style>
  <w:style w:type="paragraph" w:styleId="36">
    <w:name w:val="table of figures"/>
    <w:basedOn w:val="1"/>
    <w:next w:val="1"/>
    <w:uiPriority w:val="0"/>
    <w:pPr>
      <w:ind w:left="200" w:leftChars="200" w:hanging="200" w:hangingChars="200"/>
    </w:pPr>
    <w:rPr>
      <w:rFonts w:ascii="Times New Roman" w:hAnsi="Times New Roman"/>
      <w:szCs w:val="24"/>
    </w:rPr>
  </w:style>
  <w:style w:type="paragraph" w:styleId="37">
    <w:name w:val="toc 2"/>
    <w:basedOn w:val="1"/>
    <w:next w:val="1"/>
    <w:uiPriority w:val="0"/>
    <w:pPr>
      <w:spacing w:line="360" w:lineRule="auto"/>
      <w:ind w:left="200" w:leftChars="200"/>
    </w:pPr>
    <w:rPr>
      <w:rFonts w:ascii="Times New Roman" w:hAnsi="Times New Roman"/>
      <w:szCs w:val="24"/>
    </w:rPr>
  </w:style>
  <w:style w:type="paragraph" w:styleId="38">
    <w:name w:val="toc 9"/>
    <w:basedOn w:val="1"/>
    <w:next w:val="1"/>
    <w:uiPriority w:val="0"/>
    <w:pPr>
      <w:ind w:left="3360"/>
    </w:pPr>
    <w:rPr>
      <w:rFonts w:ascii="Times New Roman" w:hAnsi="Times New Roman"/>
      <w:szCs w:val="24"/>
    </w:rPr>
  </w:style>
  <w:style w:type="paragraph" w:styleId="39">
    <w:name w:val="Body Text 2"/>
    <w:basedOn w:val="1"/>
    <w:link w:val="102"/>
    <w:uiPriority w:val="0"/>
    <w:pPr>
      <w:spacing w:after="120" w:line="480" w:lineRule="auto"/>
    </w:pPr>
    <w:rPr>
      <w:rFonts w:ascii="Times New Roman" w:hAnsi="Times New Roman"/>
      <w:kern w:val="0"/>
      <w:sz w:val="20"/>
      <w:szCs w:val="24"/>
    </w:rPr>
  </w:style>
  <w:style w:type="paragraph" w:styleId="40">
    <w:name w:val="List 4"/>
    <w:basedOn w:val="1"/>
    <w:uiPriority w:val="0"/>
    <w:pPr>
      <w:ind w:left="100" w:leftChars="600" w:hanging="200" w:hangingChars="200"/>
    </w:pPr>
    <w:rPr>
      <w:rFonts w:ascii="Times New Roman" w:hAnsi="Times New Roman"/>
      <w:szCs w:val="24"/>
    </w:rPr>
  </w:style>
  <w:style w:type="paragraph" w:styleId="41">
    <w:name w:val="List Continue 2"/>
    <w:basedOn w:val="1"/>
    <w:uiPriority w:val="0"/>
    <w:pPr>
      <w:spacing w:after="120"/>
      <w:ind w:left="840" w:leftChars="400"/>
    </w:pPr>
    <w:rPr>
      <w:rFonts w:ascii="Times New Roman" w:hAnsi="Times New Roman"/>
      <w:szCs w:val="24"/>
    </w:rPr>
  </w:style>
  <w:style w:type="paragraph" w:styleId="42">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43">
    <w:name w:val="index 1"/>
    <w:basedOn w:val="1"/>
    <w:next w:val="1"/>
    <w:uiPriority w:val="0"/>
    <w:pPr>
      <w:spacing w:line="320" w:lineRule="exact"/>
    </w:pPr>
    <w:rPr>
      <w:rFonts w:ascii="Times New Roman" w:hAnsi="Times New Roman"/>
      <w:snapToGrid w:val="0"/>
      <w:color w:val="FF6600"/>
      <w:kern w:val="0"/>
      <w:sz w:val="18"/>
      <w:szCs w:val="21"/>
    </w:rPr>
  </w:style>
  <w:style w:type="paragraph" w:styleId="44">
    <w:name w:val="index 2"/>
    <w:basedOn w:val="1"/>
    <w:next w:val="1"/>
    <w:uiPriority w:val="0"/>
    <w:pPr>
      <w:ind w:left="200" w:leftChars="200"/>
    </w:pPr>
    <w:rPr>
      <w:rFonts w:ascii="Times New Roman" w:hAnsi="Times New Roman"/>
      <w:szCs w:val="24"/>
    </w:rPr>
  </w:style>
  <w:style w:type="paragraph" w:styleId="45">
    <w:name w:val="Title"/>
    <w:basedOn w:val="1"/>
    <w:link w:val="112"/>
    <w:qFormat/>
    <w:uiPriority w:val="0"/>
    <w:pPr>
      <w:spacing w:before="240" w:after="60"/>
      <w:jc w:val="center"/>
      <w:outlineLvl w:val="0"/>
    </w:pPr>
    <w:rPr>
      <w:rFonts w:ascii="Arial" w:hAnsi="Arial"/>
      <w:b/>
      <w:bCs/>
      <w:kern w:val="0"/>
      <w:sz w:val="32"/>
      <w:szCs w:val="32"/>
    </w:rPr>
  </w:style>
  <w:style w:type="character" w:styleId="47">
    <w:name w:val="page number"/>
    <w:uiPriority w:val="0"/>
    <w:rPr>
      <w:rFonts w:ascii="Calibri" w:hAnsi="Calibri" w:eastAsia="宋体" w:cs="Times New Roman"/>
    </w:rPr>
  </w:style>
  <w:style w:type="character" w:styleId="48">
    <w:name w:val="FollowedHyperlink"/>
    <w:uiPriority w:val="0"/>
    <w:rPr>
      <w:rFonts w:ascii="Calibri" w:hAnsi="Calibri" w:eastAsia="宋体" w:cs="Times New Roman"/>
      <w:color w:val="800080"/>
      <w:u w:val="single"/>
    </w:rPr>
  </w:style>
  <w:style w:type="character" w:styleId="49">
    <w:name w:val="Emphasis"/>
    <w:qFormat/>
    <w:uiPriority w:val="0"/>
    <w:rPr>
      <w:rFonts w:ascii="Calibri" w:hAnsi="Calibri" w:eastAsia="宋体" w:cs="Times New Roman"/>
      <w:i/>
      <w:iCs/>
    </w:rPr>
  </w:style>
  <w:style w:type="character" w:styleId="50">
    <w:name w:val="Hyperlink"/>
    <w:uiPriority w:val="0"/>
    <w:rPr>
      <w:rFonts w:ascii="Calibri" w:hAnsi="Calibri" w:eastAsia="宋体" w:cs="Times New Roman"/>
      <w:color w:val="0000FF"/>
      <w:u w:val="single"/>
    </w:rPr>
  </w:style>
  <w:style w:type="character" w:styleId="51">
    <w:name w:val="annotation reference"/>
    <w:uiPriority w:val="0"/>
    <w:rPr>
      <w:rFonts w:ascii="Calibri" w:hAnsi="Calibri" w:eastAsia="宋体" w:cs="Times New Roman"/>
      <w:sz w:val="21"/>
      <w:szCs w:val="21"/>
    </w:rPr>
  </w:style>
  <w:style w:type="character" w:styleId="52">
    <w:name w:val="footnote reference"/>
    <w:uiPriority w:val="0"/>
    <w:rPr>
      <w:rFonts w:ascii="Calibri" w:hAnsi="Calibri" w:eastAsia="宋体" w:cs="Times New Roman"/>
      <w:vertAlign w:val="superscript"/>
    </w:rPr>
  </w:style>
  <w:style w:type="table" w:styleId="54">
    <w:name w:val="Table Grid"/>
    <w:basedOn w:val="53"/>
    <w:uiPriority w:val="0"/>
    <w:tblPr>
      <w:tblStyle w:val="5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55">
    <w:name w:val="样式1"/>
    <w:basedOn w:val="1"/>
    <w:qFormat/>
    <w:uiPriority w:val="0"/>
    <w:pPr>
      <w:spacing w:line="360" w:lineRule="auto"/>
      <w:jc w:val="center"/>
    </w:pPr>
    <w:rPr>
      <w:rFonts w:ascii="宋体" w:hAnsi="宋体"/>
      <w:sz w:val="32"/>
      <w:szCs w:val="30"/>
    </w:rPr>
  </w:style>
  <w:style w:type="paragraph" w:customStyle="1" w:styleId="56">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57">
    <w:name w:val="HTML Top of Form"/>
    <w:basedOn w:val="1"/>
    <w:next w:val="1"/>
    <w:link w:val="135"/>
    <w:uiPriority w:val="0"/>
    <w:pPr>
      <w:pBdr>
        <w:bottom w:val="single" w:color="auto" w:sz="6" w:space="1"/>
      </w:pBdr>
      <w:jc w:val="center"/>
    </w:pPr>
    <w:rPr>
      <w:rFonts w:ascii="Arial" w:hAnsi="Arial"/>
      <w:vanish/>
      <w:kern w:val="0"/>
      <w:sz w:val="16"/>
      <w:szCs w:val="16"/>
    </w:rPr>
  </w:style>
  <w:style w:type="paragraph" w:customStyle="1" w:styleId="58">
    <w:name w:val="样式 标题 1 + (符号) Arial 三号"/>
    <w:basedOn w:val="2"/>
    <w:uiPriority w:val="0"/>
    <w:pPr>
      <w:snapToGrid w:val="0"/>
      <w:spacing w:before="0" w:after="0" w:line="360" w:lineRule="auto"/>
    </w:pPr>
    <w:rPr>
      <w:sz w:val="32"/>
    </w:rPr>
  </w:style>
  <w:style w:type="paragraph" w:customStyle="1" w:styleId="59">
    <w:name w:val="列出段落1"/>
    <w:basedOn w:val="1"/>
    <w:qFormat/>
    <w:uiPriority w:val="34"/>
    <w:pPr>
      <w:ind w:firstLine="420" w:firstLineChars="200"/>
    </w:pPr>
  </w:style>
  <w:style w:type="paragraph" w:customStyle="1" w:styleId="60">
    <w:name w:val="0"/>
    <w:basedOn w:val="1"/>
    <w:uiPriority w:val="0"/>
    <w:pPr>
      <w:widowControl/>
    </w:pPr>
    <w:rPr>
      <w:rFonts w:ascii="Times New Roman" w:hAnsi="Times New Roman"/>
      <w:kern w:val="0"/>
      <w:szCs w:val="20"/>
    </w:rPr>
  </w:style>
  <w:style w:type="paragraph" w:customStyle="1" w:styleId="61">
    <w:name w:val="一、"/>
    <w:basedOn w:val="1"/>
    <w:qFormat/>
    <w:uiPriority w:val="0"/>
    <w:pPr>
      <w:widowControl/>
      <w:tabs>
        <w:tab w:val="left" w:pos="720"/>
      </w:tabs>
      <w:spacing w:line="560" w:lineRule="exact"/>
      <w:ind w:firstLine="562" w:firstLineChars="200"/>
      <w:jc w:val="left"/>
      <w:outlineLvl w:val="1"/>
    </w:pPr>
    <w:rPr>
      <w:rFonts w:ascii="仿宋_GB2312" w:hAnsi="宋体" w:eastAsia="仿宋_GB2312"/>
      <w:b/>
      <w:kern w:val="0"/>
      <w:sz w:val="28"/>
      <w:szCs w:val="28"/>
    </w:rPr>
  </w:style>
  <w:style w:type="paragraph" w:customStyle="1" w:styleId="62">
    <w:name w:val="样式2"/>
    <w:basedOn w:val="36"/>
    <w:uiPriority w:val="0"/>
    <w:pPr>
      <w:ind w:firstLine="2720"/>
    </w:pPr>
    <w:rPr>
      <w:bCs/>
    </w:rPr>
  </w:style>
  <w:style w:type="paragraph" w:customStyle="1" w:styleId="63">
    <w:name w:val="Char Char Char Char"/>
    <w:basedOn w:val="1"/>
    <w:uiPriority w:val="0"/>
    <w:rPr>
      <w:rFonts w:ascii="仿宋_GB2312" w:hAnsi="Times New Roman" w:eastAsia="仿宋_GB2312"/>
      <w:b/>
      <w:sz w:val="32"/>
      <w:szCs w:val="32"/>
    </w:rPr>
  </w:style>
  <w:style w:type="paragraph" w:customStyle="1" w:styleId="64">
    <w:name w:val="HTML Bottom of Form"/>
    <w:basedOn w:val="1"/>
    <w:next w:val="1"/>
    <w:link w:val="109"/>
    <w:uiPriority w:val="0"/>
    <w:pPr>
      <w:pBdr>
        <w:top w:val="single" w:color="auto" w:sz="6" w:space="1"/>
      </w:pBdr>
      <w:jc w:val="center"/>
    </w:pPr>
    <w:rPr>
      <w:rFonts w:ascii="Arial" w:hAnsi="Arial"/>
      <w:vanish/>
      <w:kern w:val="0"/>
      <w:sz w:val="16"/>
      <w:szCs w:val="16"/>
    </w:rPr>
  </w:style>
  <w:style w:type="paragraph" w:customStyle="1" w:styleId="65">
    <w:name w:val="样式3"/>
    <w:basedOn w:val="4"/>
    <w:uiPriority w:val="0"/>
    <w:pPr>
      <w:keepNext/>
      <w:keepLines/>
      <w:spacing w:before="120" w:after="120" w:line="360" w:lineRule="auto"/>
    </w:pPr>
    <w:rPr>
      <w:rFonts w:eastAsia="宋体"/>
      <w:sz w:val="24"/>
      <w:szCs w:val="24"/>
    </w:rPr>
  </w:style>
  <w:style w:type="paragraph" w:customStyle="1" w:styleId="66">
    <w:name w:val="_Style 5"/>
    <w:basedOn w:val="1"/>
    <w:next w:val="1"/>
    <w:qFormat/>
    <w:uiPriority w:val="0"/>
    <w:rPr>
      <w:rFonts w:ascii="Times New Roman" w:hAnsi="Times New Roman"/>
      <w:szCs w:val="20"/>
    </w:rPr>
  </w:style>
  <w:style w:type="paragraph" w:customStyle="1" w:styleId="67">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68">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69">
    <w:name w:val="内文正文"/>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70">
    <w:name w:val="标题4"/>
    <w:next w:val="1"/>
    <w:link w:val="119"/>
    <w:qFormat/>
    <w:uiPriority w:val="0"/>
    <w:pPr>
      <w:spacing w:line="480" w:lineRule="auto"/>
      <w:outlineLvl w:val="3"/>
    </w:pPr>
    <w:rPr>
      <w:rFonts w:ascii="Calibri" w:hAnsi="Calibri" w:eastAsia="宋体" w:cs="Times New Roman"/>
      <w:b/>
      <w:kern w:val="2"/>
      <w:sz w:val="28"/>
      <w:szCs w:val="24"/>
      <w:lang w:val="en-US" w:eastAsia="zh-CN" w:bidi="ar-SA"/>
    </w:rPr>
  </w:style>
  <w:style w:type="paragraph" w:customStyle="1" w:styleId="7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标题5"/>
    <w:basedOn w:val="70"/>
    <w:next w:val="1"/>
    <w:qFormat/>
    <w:uiPriority w:val="0"/>
    <w:pPr>
      <w:outlineLvl w:val="4"/>
    </w:pPr>
    <w:rPr>
      <w:b w:val="0"/>
      <w:sz w:val="24"/>
    </w:rPr>
  </w:style>
  <w:style w:type="paragraph" w:customStyle="1" w:styleId="73">
    <w:name w:val="Char Char"/>
    <w:basedOn w:val="1"/>
    <w:qFormat/>
    <w:uiPriority w:val="0"/>
    <w:rPr>
      <w:rFonts w:ascii="Tahoma" w:hAnsi="Tahoma"/>
      <w:sz w:val="24"/>
      <w:szCs w:val="20"/>
    </w:rPr>
  </w:style>
  <w:style w:type="paragraph" w:customStyle="1" w:styleId="74">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75">
    <w:name w:val="Char"/>
    <w:basedOn w:val="1"/>
    <w:qFormat/>
    <w:uiPriority w:val="0"/>
    <w:pPr>
      <w:spacing w:line="360" w:lineRule="auto"/>
    </w:pPr>
    <w:rPr>
      <w:rFonts w:ascii="黑体" w:hAnsi="黑体"/>
      <w:sz w:val="24"/>
      <w:szCs w:val="24"/>
      <w:lang w:val="zh-CN"/>
    </w:rPr>
  </w:style>
  <w:style w:type="paragraph" w:customStyle="1" w:styleId="76">
    <w:name w:val="Char Char Char Char Char Char Char Char Char"/>
    <w:basedOn w:val="1"/>
    <w:uiPriority w:val="0"/>
    <w:pPr>
      <w:widowControl/>
      <w:spacing w:after="160" w:line="240" w:lineRule="exact"/>
      <w:jc w:val="left"/>
    </w:pPr>
    <w:rPr>
      <w:rFonts w:ascii="Times New Roman" w:hAnsi="Times New Roman"/>
      <w:szCs w:val="20"/>
    </w:rPr>
  </w:style>
  <w:style w:type="paragraph" w:customStyle="1" w:styleId="77">
    <w:name w:val="Char Char Char Char Char Char Char Char Char Char"/>
    <w:basedOn w:val="1"/>
    <w:uiPriority w:val="0"/>
    <w:pPr>
      <w:widowControl/>
      <w:spacing w:after="160" w:line="240" w:lineRule="exact"/>
      <w:jc w:val="left"/>
    </w:pPr>
    <w:rPr>
      <w:rFonts w:ascii="Times New Roman" w:hAnsi="Times New Roman"/>
      <w:szCs w:val="20"/>
    </w:rPr>
  </w:style>
  <w:style w:type="paragraph" w:customStyle="1" w:styleId="78">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79">
    <w:name w:val="_Style 10"/>
    <w:basedOn w:val="1"/>
    <w:next w:val="1"/>
    <w:qFormat/>
    <w:uiPriority w:val="0"/>
    <w:rPr>
      <w:rFonts w:ascii="Times New Roman" w:hAnsi="Times New Roman"/>
      <w:szCs w:val="24"/>
    </w:rPr>
  </w:style>
  <w:style w:type="paragraph" w:customStyle="1" w:styleId="80">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81">
    <w:name w:val="正文段"/>
    <w:basedOn w:val="1"/>
    <w:uiPriority w:val="0"/>
    <w:pPr>
      <w:spacing w:line="360" w:lineRule="auto"/>
      <w:ind w:firstLine="420"/>
    </w:pPr>
    <w:rPr>
      <w:rFonts w:ascii="宋体" w:hAnsi="Times New Roman"/>
      <w:sz w:val="24"/>
      <w:szCs w:val="24"/>
    </w:rPr>
  </w:style>
  <w:style w:type="paragraph" w:customStyle="1" w:styleId="82">
    <w:name w:val="小正文"/>
    <w:basedOn w:val="75"/>
    <w:link w:val="107"/>
    <w:qFormat/>
    <w:uiPriority w:val="0"/>
    <w:pPr>
      <w:spacing w:line="560" w:lineRule="exact"/>
      <w:ind w:firstLine="560" w:firstLineChars="200"/>
      <w:jc w:val="left"/>
    </w:pPr>
    <w:rPr>
      <w:rFonts w:ascii="仿宋_GB2312" w:hAnsi="宋体" w:eastAsia="仿宋_GB2312"/>
      <w:kern w:val="0"/>
      <w:sz w:val="28"/>
      <w:szCs w:val="28"/>
    </w:rPr>
  </w:style>
  <w:style w:type="paragraph" w:customStyle="1" w:styleId="83">
    <w:name w:val="样式 样式1 + 首行缩进:  2 字符"/>
    <w:basedOn w:val="55"/>
    <w:link w:val="110"/>
    <w:uiPriority w:val="0"/>
    <w:pPr>
      <w:spacing w:line="360" w:lineRule="exact"/>
      <w:ind w:firstLine="420" w:firstLineChars="200"/>
      <w:jc w:val="both"/>
    </w:pPr>
    <w:rPr>
      <w:rFonts w:ascii="Arial" w:hAnsi="Arial"/>
      <w:kern w:val="0"/>
      <w:sz w:val="24"/>
      <w:szCs w:val="20"/>
    </w:rPr>
  </w:style>
  <w:style w:type="paragraph" w:customStyle="1" w:styleId="84">
    <w:name w:val="List Paragraph"/>
    <w:basedOn w:val="1"/>
    <w:qFormat/>
    <w:uiPriority w:val="0"/>
    <w:pPr>
      <w:spacing w:before="100" w:beforeAutospacing="1" w:after="100" w:afterAutospacing="1" w:line="300" w:lineRule="auto"/>
      <w:ind w:firstLine="420" w:firstLineChars="200"/>
    </w:pPr>
  </w:style>
  <w:style w:type="paragraph" w:customStyle="1" w:styleId="85">
    <w:name w:val="样式 一号 加粗 居中"/>
    <w:basedOn w:val="1"/>
    <w:uiPriority w:val="0"/>
    <w:pPr>
      <w:jc w:val="center"/>
    </w:pPr>
    <w:rPr>
      <w:rFonts w:ascii="Times New Roman" w:hAnsi="Times New Roman" w:cs="宋体"/>
      <w:bCs/>
      <w:sz w:val="52"/>
      <w:szCs w:val="20"/>
    </w:rPr>
  </w:style>
  <w:style w:type="paragraph" w:customStyle="1" w:styleId="86">
    <w:name w:val="!机场正文"/>
    <w:basedOn w:val="1"/>
    <w:qFormat/>
    <w:uiPriority w:val="0"/>
    <w:pPr>
      <w:spacing w:line="560" w:lineRule="exact"/>
      <w:ind w:firstLine="200" w:firstLineChars="200"/>
    </w:pPr>
    <w:rPr>
      <w:rFonts w:ascii="仿宋_GB2312" w:hAnsi="仿宋_GB2312" w:eastAsia="仿宋_GB2312"/>
      <w:sz w:val="32"/>
    </w:rPr>
  </w:style>
  <w:style w:type="paragraph" w:customStyle="1" w:styleId="87">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8">
    <w:name w:val="表"/>
    <w:basedOn w:val="1"/>
    <w:qFormat/>
    <w:uiPriority w:val="0"/>
    <w:pPr>
      <w:spacing w:line="360" w:lineRule="auto"/>
      <w:jc w:val="center"/>
    </w:pPr>
    <w:rPr>
      <w:rFonts w:ascii="Times New Roman" w:hAnsi="Times New Roman"/>
      <w:color w:val="000000"/>
      <w:szCs w:val="21"/>
    </w:rPr>
  </w:style>
  <w:style w:type="paragraph" w:customStyle="1" w:styleId="89">
    <w:name w:val="表格一"/>
    <w:basedOn w:val="1"/>
    <w:uiPriority w:val="0"/>
    <w:pPr>
      <w:spacing w:line="240" w:lineRule="exact"/>
      <w:ind w:left="105" w:leftChars="50"/>
    </w:pPr>
    <w:rPr>
      <w:rFonts w:ascii="Times New Roman" w:hAnsi="Times New Roman"/>
      <w:sz w:val="18"/>
      <w:szCs w:val="21"/>
    </w:rPr>
  </w:style>
  <w:style w:type="paragraph" w:customStyle="1" w:styleId="90">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91">
    <w:name w:val="Blockquote"/>
    <w:basedOn w:val="1"/>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2">
    <w:name w:val="Char1"/>
    <w:basedOn w:val="1"/>
    <w:uiPriority w:val="0"/>
    <w:pPr>
      <w:widowControl/>
      <w:spacing w:after="160" w:line="240" w:lineRule="exact"/>
      <w:jc w:val="left"/>
    </w:pPr>
    <w:rPr>
      <w:rFonts w:ascii="Tahoma" w:hAnsi="Tahoma"/>
      <w:kern w:val="0"/>
      <w:sz w:val="24"/>
      <w:szCs w:val="24"/>
      <w:lang w:eastAsia="en-US"/>
    </w:rPr>
  </w:style>
  <w:style w:type="paragraph" w:customStyle="1" w:styleId="93">
    <w:name w:val="默认段落字体 Para Char Char Char Char"/>
    <w:basedOn w:val="1"/>
    <w:qFormat/>
    <w:uiPriority w:val="0"/>
    <w:pPr>
      <w:spacing w:line="360" w:lineRule="auto"/>
      <w:ind w:firstLine="200" w:firstLineChars="200"/>
    </w:pPr>
    <w:rPr>
      <w:rFonts w:ascii="宋体" w:hAnsi="宋体" w:cs="宋体"/>
      <w:sz w:val="24"/>
      <w:szCs w:val="24"/>
    </w:rPr>
  </w:style>
  <w:style w:type="character" w:customStyle="1" w:styleId="94">
    <w:name w:val="正文缩进 字符"/>
    <w:link w:val="13"/>
    <w:qFormat/>
    <w:uiPriority w:val="0"/>
    <w:rPr>
      <w:rFonts w:ascii="宋体" w:hAnsi="Times New Roman" w:eastAsia="宋体" w:cs="Times New Roman"/>
      <w:sz w:val="34"/>
    </w:rPr>
  </w:style>
  <w:style w:type="character" w:customStyle="1" w:styleId="95">
    <w:name w:val="脚注文本 字符1"/>
    <w:link w:val="33"/>
    <w:uiPriority w:val="0"/>
    <w:rPr>
      <w:rFonts w:ascii="Times New Roman" w:hAnsi="Times New Roman" w:eastAsia="宋体" w:cs="Times New Roman"/>
      <w:sz w:val="18"/>
      <w:szCs w:val="18"/>
    </w:rPr>
  </w:style>
  <w:style w:type="character" w:customStyle="1" w:styleId="96">
    <w:name w:val="正文文本缩进 2 字符"/>
    <w:semiHidden/>
    <w:uiPriority w:val="99"/>
    <w:rPr>
      <w:rFonts w:ascii="Calibri" w:hAnsi="Calibri" w:eastAsia="宋体" w:cs="Times New Roman"/>
    </w:rPr>
  </w:style>
  <w:style w:type="character" w:customStyle="1" w:styleId="97">
    <w:name w:val="标题 2 字符1"/>
    <w:link w:val="3"/>
    <w:qFormat/>
    <w:uiPriority w:val="0"/>
    <w:rPr>
      <w:rFonts w:ascii="Arial" w:hAnsi="Arial" w:eastAsia="黑体" w:cs="Times New Roman"/>
      <w:b/>
      <w:bCs/>
      <w:sz w:val="32"/>
      <w:szCs w:val="32"/>
    </w:rPr>
  </w:style>
  <w:style w:type="character" w:customStyle="1" w:styleId="98">
    <w:name w:val="正文首行缩进 2 字符1"/>
    <w:link w:val="28"/>
    <w:uiPriority w:val="0"/>
    <w:rPr>
      <w:rFonts w:ascii="Times New Roman" w:hAnsi="Times New Roman" w:eastAsia="宋体" w:cs="Times New Roman"/>
      <w:szCs w:val="24"/>
    </w:rPr>
  </w:style>
  <w:style w:type="character" w:customStyle="1" w:styleId="99">
    <w:name w:val="批注主题 Char1"/>
    <w:semiHidden/>
    <w:uiPriority w:val="99"/>
    <w:rPr>
      <w:rFonts w:ascii="Calibri" w:hAnsi="Calibri" w:eastAsia="宋体" w:cs="Times New Roman"/>
      <w:b/>
      <w:bCs/>
      <w:kern w:val="2"/>
      <w:sz w:val="21"/>
      <w:szCs w:val="22"/>
    </w:rPr>
  </w:style>
  <w:style w:type="character" w:customStyle="1" w:styleId="100">
    <w:name w:val="正文文本缩进 3 字符1"/>
    <w:link w:val="35"/>
    <w:qFormat/>
    <w:uiPriority w:val="0"/>
    <w:rPr>
      <w:rFonts w:ascii="Times New Roman" w:hAnsi="Times New Roman" w:eastAsia="宋体" w:cs="Times New Roman"/>
      <w:sz w:val="24"/>
      <w:szCs w:val="24"/>
    </w:rPr>
  </w:style>
  <w:style w:type="character" w:customStyle="1" w:styleId="101">
    <w:name w:val="正文首行缩进 字符1"/>
    <w:link w:val="11"/>
    <w:qFormat/>
    <w:uiPriority w:val="0"/>
    <w:rPr>
      <w:rFonts w:ascii="Times New Roman" w:hAnsi="Times New Roman" w:eastAsia="宋体" w:cs="Times New Roman"/>
      <w:szCs w:val="24"/>
    </w:rPr>
  </w:style>
  <w:style w:type="character" w:customStyle="1" w:styleId="102">
    <w:name w:val="正文文本 2 字符1"/>
    <w:link w:val="39"/>
    <w:qFormat/>
    <w:uiPriority w:val="0"/>
    <w:rPr>
      <w:rFonts w:ascii="Times New Roman" w:hAnsi="Times New Roman" w:eastAsia="宋体" w:cs="Times New Roman"/>
      <w:szCs w:val="24"/>
    </w:rPr>
  </w:style>
  <w:style w:type="character" w:customStyle="1" w:styleId="103">
    <w:name w:val="正文文本缩进 2 字符1"/>
    <w:link w:val="25"/>
    <w:qFormat/>
    <w:uiPriority w:val="0"/>
    <w:rPr>
      <w:rFonts w:ascii="Times New Roman" w:hAnsi="Times New Roman" w:eastAsia="宋体" w:cs="Times New Roman"/>
      <w:szCs w:val="24"/>
    </w:rPr>
  </w:style>
  <w:style w:type="character" w:customStyle="1" w:styleId="104">
    <w:name w:val="文档结构图 字符"/>
    <w:semiHidden/>
    <w:qFormat/>
    <w:uiPriority w:val="99"/>
    <w:rPr>
      <w:rFonts w:ascii="Microsoft YaHei UI" w:hAnsi="Calibri" w:eastAsia="Microsoft YaHei UI" w:cs="Times New Roman"/>
      <w:sz w:val="18"/>
      <w:szCs w:val="18"/>
    </w:rPr>
  </w:style>
  <w:style w:type="character" w:customStyle="1" w:styleId="105">
    <w:name w:val="标题 1 字符"/>
    <w:uiPriority w:val="9"/>
    <w:rPr>
      <w:rFonts w:ascii="Calibri" w:hAnsi="Calibri" w:eastAsia="宋体" w:cs="Times New Roman"/>
      <w:b/>
      <w:bCs/>
      <w:kern w:val="44"/>
      <w:sz w:val="44"/>
      <w:szCs w:val="44"/>
    </w:rPr>
  </w:style>
  <w:style w:type="character" w:customStyle="1" w:styleId="106">
    <w:name w:val="页眉 字符1"/>
    <w:link w:val="29"/>
    <w:qFormat/>
    <w:uiPriority w:val="99"/>
    <w:rPr>
      <w:rFonts w:ascii="Times New Roman" w:hAnsi="Times New Roman" w:eastAsia="宋体" w:cs="Times New Roman"/>
      <w:sz w:val="18"/>
      <w:szCs w:val="18"/>
    </w:rPr>
  </w:style>
  <w:style w:type="character" w:customStyle="1" w:styleId="107">
    <w:name w:val="小正文 Char"/>
    <w:link w:val="82"/>
    <w:qFormat/>
    <w:uiPriority w:val="0"/>
    <w:rPr>
      <w:rFonts w:ascii="仿宋_GB2312" w:hAnsi="宋体" w:eastAsia="仿宋_GB2312" w:cs="Times New Roman"/>
      <w:sz w:val="28"/>
      <w:szCs w:val="28"/>
    </w:rPr>
  </w:style>
  <w:style w:type="character" w:customStyle="1" w:styleId="108">
    <w:name w:val="正文文本 字符1"/>
    <w:basedOn w:val="46"/>
    <w:link w:val="12"/>
    <w:qFormat/>
    <w:uiPriority w:val="0"/>
    <w:rPr>
      <w:rFonts w:ascii="Calibri" w:hAnsi="Calibri" w:eastAsia="宋体" w:cs="Times New Roman"/>
    </w:rPr>
  </w:style>
  <w:style w:type="character" w:customStyle="1" w:styleId="109">
    <w:name w:val="z-窗体底端 Char"/>
    <w:link w:val="64"/>
    <w:qFormat/>
    <w:uiPriority w:val="0"/>
    <w:rPr>
      <w:rFonts w:ascii="Arial" w:hAnsi="Arial" w:eastAsia="宋体" w:cs="Times New Roman"/>
      <w:vanish/>
      <w:sz w:val="16"/>
      <w:szCs w:val="16"/>
    </w:rPr>
  </w:style>
  <w:style w:type="character" w:customStyle="1" w:styleId="110">
    <w:name w:val="样式 样式1 + 首行缩进:  2 字符 Char"/>
    <w:link w:val="83"/>
    <w:qFormat/>
    <w:uiPriority w:val="0"/>
    <w:rPr>
      <w:rFonts w:ascii="Arial" w:hAnsi="Arial" w:eastAsia="宋体" w:cs="Times New Roman"/>
      <w:sz w:val="24"/>
    </w:rPr>
  </w:style>
  <w:style w:type="character" w:customStyle="1" w:styleId="111">
    <w:name w:val="批注框文本 字符"/>
    <w:semiHidden/>
    <w:qFormat/>
    <w:uiPriority w:val="99"/>
    <w:rPr>
      <w:rFonts w:ascii="Calibri" w:hAnsi="Calibri" w:eastAsia="宋体" w:cs="Times New Roman"/>
      <w:sz w:val="18"/>
      <w:szCs w:val="18"/>
    </w:rPr>
  </w:style>
  <w:style w:type="character" w:customStyle="1" w:styleId="112">
    <w:name w:val="标题 字符1"/>
    <w:link w:val="45"/>
    <w:qFormat/>
    <w:uiPriority w:val="0"/>
    <w:rPr>
      <w:rFonts w:ascii="Arial" w:hAnsi="Arial" w:eastAsia="宋体" w:cs="Times New Roman"/>
      <w:b/>
      <w:bCs/>
      <w:sz w:val="32"/>
      <w:szCs w:val="32"/>
    </w:rPr>
  </w:style>
  <w:style w:type="character" w:customStyle="1" w:styleId="113">
    <w:name w:val="纯文本 字符"/>
    <w:aliases w:val="普通文字 Char 字符,纯文本 Char Char 字符,普通文字1 字符,普通文字2 字符,普通文字3 字符,普通文字4 字符,普通文字5 字符,普通文字6 字符,普通文字11 字符,普通文字21 字符,普通文字31 字符,普通文字41 字符,普通文字7 字符,正 文 1 字符"/>
    <w:uiPriority w:val="0"/>
    <w:rPr>
      <w:rFonts w:ascii="宋体" w:hAnsi="Courier New" w:eastAsia="宋体" w:cs="Courier New"/>
    </w:rPr>
  </w:style>
  <w:style w:type="character" w:customStyle="1" w:styleId="114">
    <w:name w:val="标题 1 字符1"/>
    <w:link w:val="2"/>
    <w:qFormat/>
    <w:uiPriority w:val="0"/>
    <w:rPr>
      <w:rFonts w:ascii="Times New Roman" w:hAnsi="Times New Roman" w:eastAsia="宋体" w:cs="Times New Roman"/>
      <w:b/>
      <w:bCs/>
      <w:kern w:val="44"/>
      <w:sz w:val="44"/>
      <w:szCs w:val="44"/>
    </w:rPr>
  </w:style>
  <w:style w:type="character" w:customStyle="1" w:styleId="115">
    <w:name w:val="Char Char14"/>
    <w:qFormat/>
    <w:uiPriority w:val="0"/>
    <w:rPr>
      <w:rFonts w:ascii="宋体" w:hAnsi="Courier New" w:eastAsia="宋体" w:cs="Courier New"/>
      <w:kern w:val="2"/>
      <w:sz w:val="21"/>
      <w:szCs w:val="21"/>
      <w:lang w:val="en-US" w:eastAsia="zh-CN" w:bidi="ar-SA"/>
    </w:rPr>
  </w:style>
  <w:style w:type="character" w:customStyle="1" w:styleId="116">
    <w:name w:val="标题 字符"/>
    <w:uiPriority w:val="10"/>
    <w:rPr>
      <w:rFonts w:ascii="Calibri Light" w:hAnsi="Calibri Light" w:eastAsia="宋体" w:cs="Times New Roman"/>
      <w:b/>
      <w:bCs/>
      <w:sz w:val="32"/>
      <w:szCs w:val="32"/>
    </w:rPr>
  </w:style>
  <w:style w:type="character" w:customStyle="1" w:styleId="117">
    <w:name w:val="正文文本缩进 字符1"/>
    <w:basedOn w:val="46"/>
    <w:link w:val="17"/>
    <w:qFormat/>
    <w:uiPriority w:val="0"/>
    <w:rPr>
      <w:rFonts w:ascii="Calibri" w:hAnsi="Calibri" w:eastAsia="宋体" w:cs="Times New Roman"/>
    </w:rPr>
  </w:style>
  <w:style w:type="character" w:customStyle="1" w:styleId="118">
    <w:name w:val="正文文本 2 字符"/>
    <w:semiHidden/>
    <w:uiPriority w:val="99"/>
    <w:rPr>
      <w:rFonts w:ascii="Calibri" w:hAnsi="Calibri" w:eastAsia="宋体" w:cs="Times New Roman"/>
    </w:rPr>
  </w:style>
  <w:style w:type="character" w:customStyle="1" w:styleId="119">
    <w:name w:val="标题4 Char Char"/>
    <w:link w:val="70"/>
    <w:qFormat/>
    <w:uiPriority w:val="0"/>
    <w:rPr>
      <w:rFonts w:ascii="Calibri" w:hAnsi="Calibri" w:eastAsia="宋体" w:cs="Times New Roman"/>
      <w:b/>
      <w:kern w:val="2"/>
      <w:sz w:val="28"/>
      <w:szCs w:val="24"/>
      <w:lang w:val="en-US" w:eastAsia="zh-CN" w:bidi="ar-SA"/>
    </w:rPr>
  </w:style>
  <w:style w:type="character" w:customStyle="1" w:styleId="120">
    <w:name w:val="标题 5 字符"/>
    <w:semiHidden/>
    <w:uiPriority w:val="9"/>
    <w:rPr>
      <w:rFonts w:ascii="Calibri" w:hAnsi="Calibri" w:eastAsia="宋体" w:cs="Times New Roman"/>
      <w:b/>
      <w:bCs/>
      <w:sz w:val="28"/>
      <w:szCs w:val="28"/>
    </w:rPr>
  </w:style>
  <w:style w:type="character" w:customStyle="1" w:styleId="121">
    <w:name w:val="正文文本 字符"/>
    <w:semiHidden/>
    <w:uiPriority w:val="99"/>
    <w:rPr>
      <w:rFonts w:ascii="Calibri" w:hAnsi="Calibri" w:eastAsia="宋体" w:cs="Times New Roman"/>
    </w:rPr>
  </w:style>
  <w:style w:type="character" w:customStyle="1" w:styleId="122">
    <w:name w:val="纯文本 Char"/>
    <w:aliases w:val="普通文字 Char Char,纯文本 Char Char Char,普通文字1 Char,普通文字2 Char,普通文字3 Char,普通文字4 Char,普通文字5 Char,普通文字6 Char,普通文字11 Char,普通文字21 Char,普通文字31 Char,普通文字41 Char,普通文字7 Char,正 文 1 Char,普 Char,孙普文字 Char,普通文字 Char Char Char Char Char,Char2 Char,小 Char, Ch Char"/>
    <w:uiPriority w:val="0"/>
    <w:rPr>
      <w:rFonts w:ascii="宋体" w:hAnsi="Courier New" w:eastAsia="宋体" w:cs="Times New Roman"/>
      <w:szCs w:val="21"/>
    </w:rPr>
  </w:style>
  <w:style w:type="character" w:customStyle="1" w:styleId="123">
    <w:name w:val="批注主题 字符"/>
    <w:link w:val="8"/>
    <w:semiHidden/>
    <w:qFormat/>
    <w:uiPriority w:val="0"/>
    <w:rPr>
      <w:rFonts w:ascii="Times New Roman" w:hAnsi="Times New Roman" w:eastAsia="宋体" w:cs="Times New Roman"/>
      <w:b/>
      <w:bCs/>
      <w:szCs w:val="24"/>
    </w:rPr>
  </w:style>
  <w:style w:type="character" w:customStyle="1" w:styleId="124">
    <w:name w:val="批注文字 字符"/>
    <w:link w:val="9"/>
    <w:uiPriority w:val="0"/>
    <w:rPr>
      <w:rFonts w:ascii="Calibri" w:hAnsi="Calibri" w:eastAsia="宋体" w:cs="Times New Roman"/>
      <w:kern w:val="2"/>
      <w:sz w:val="21"/>
      <w:szCs w:val="22"/>
    </w:rPr>
  </w:style>
  <w:style w:type="character" w:customStyle="1" w:styleId="125">
    <w:name w:val="页脚 字符"/>
    <w:semiHidden/>
    <w:qFormat/>
    <w:uiPriority w:val="99"/>
    <w:rPr>
      <w:rFonts w:ascii="Calibri" w:hAnsi="Calibri" w:eastAsia="宋体" w:cs="Times New Roman"/>
      <w:sz w:val="18"/>
      <w:szCs w:val="18"/>
    </w:rPr>
  </w:style>
  <w:style w:type="character" w:customStyle="1" w:styleId="126">
    <w:name w:val="批注框文本 字符1"/>
    <w:link w:val="26"/>
    <w:qFormat/>
    <w:uiPriority w:val="0"/>
    <w:rPr>
      <w:rFonts w:ascii="Times New Roman" w:hAnsi="Times New Roman" w:eastAsia="宋体" w:cs="Times New Roman"/>
      <w:sz w:val="18"/>
      <w:szCs w:val="18"/>
    </w:rPr>
  </w:style>
  <w:style w:type="character" w:customStyle="1" w:styleId="127">
    <w:name w:val="日期 字符"/>
    <w:semiHidden/>
    <w:qFormat/>
    <w:uiPriority w:val="99"/>
    <w:rPr>
      <w:rFonts w:ascii="Calibri" w:hAnsi="Calibri" w:eastAsia="宋体" w:cs="Times New Roman"/>
    </w:rPr>
  </w:style>
  <w:style w:type="character" w:customStyle="1" w:styleId="128">
    <w:name w:val="日期 字符1"/>
    <w:link w:val="24"/>
    <w:qFormat/>
    <w:uiPriority w:val="0"/>
    <w:rPr>
      <w:rFonts w:ascii="Times New Roman" w:hAnsi="Times New Roman" w:eastAsia="宋体" w:cs="Times New Roman"/>
      <w:b/>
      <w:bCs/>
      <w:sz w:val="36"/>
      <w:szCs w:val="24"/>
    </w:rPr>
  </w:style>
  <w:style w:type="character" w:customStyle="1" w:styleId="129">
    <w:name w:val="页眉 字符"/>
    <w:semiHidden/>
    <w:qFormat/>
    <w:uiPriority w:val="99"/>
    <w:rPr>
      <w:rFonts w:ascii="Calibri" w:hAnsi="Calibri" w:eastAsia="宋体" w:cs="Times New Roman"/>
      <w:sz w:val="18"/>
      <w:szCs w:val="18"/>
    </w:rPr>
  </w:style>
  <w:style w:type="character" w:customStyle="1" w:styleId="130">
    <w:name w:val="标题 3 字符"/>
    <w:semiHidden/>
    <w:uiPriority w:val="9"/>
    <w:rPr>
      <w:rFonts w:ascii="Calibri" w:hAnsi="Calibri" w:eastAsia="宋体" w:cs="Times New Roman"/>
      <w:b/>
      <w:bCs/>
      <w:sz w:val="32"/>
      <w:szCs w:val="32"/>
    </w:rPr>
  </w:style>
  <w:style w:type="character" w:customStyle="1" w:styleId="131">
    <w:name w:val="标题 2 字符"/>
    <w:semiHidden/>
    <w:qFormat/>
    <w:uiPriority w:val="9"/>
    <w:rPr>
      <w:rFonts w:ascii="Calibri Light" w:hAnsi="Calibri Light" w:eastAsia="宋体" w:cs="Times New Roman"/>
      <w:b/>
      <w:bCs/>
      <w:sz w:val="32"/>
      <w:szCs w:val="32"/>
    </w:rPr>
  </w:style>
  <w:style w:type="character" w:customStyle="1" w:styleId="132">
    <w:name w:val="标题 3 字符1"/>
    <w:link w:val="4"/>
    <w:uiPriority w:val="0"/>
    <w:rPr>
      <w:rFonts w:ascii="Times New Roman" w:hAnsi="Times New Roman" w:eastAsia="楷体_GB2312" w:cs="Times New Roman"/>
      <w:sz w:val="28"/>
    </w:rPr>
  </w:style>
  <w:style w:type="character" w:customStyle="1" w:styleId="133">
    <w:name w:val="px1233"/>
    <w:qFormat/>
    <w:uiPriority w:val="0"/>
    <w:rPr>
      <w:rFonts w:ascii="Calibri" w:hAnsi="Calibri" w:eastAsia="宋体" w:cs="Times New Roman"/>
    </w:rPr>
  </w:style>
  <w:style w:type="character" w:customStyle="1" w:styleId="134">
    <w:name w:val="标题 4 字符"/>
    <w:semiHidden/>
    <w:uiPriority w:val="9"/>
    <w:rPr>
      <w:rFonts w:ascii="Calibri Light" w:hAnsi="Calibri Light" w:eastAsia="宋体" w:cs="Times New Roman"/>
      <w:b/>
      <w:bCs/>
      <w:sz w:val="28"/>
      <w:szCs w:val="28"/>
    </w:rPr>
  </w:style>
  <w:style w:type="character" w:customStyle="1" w:styleId="135">
    <w:name w:val="z-窗体顶端 Char"/>
    <w:link w:val="57"/>
    <w:uiPriority w:val="0"/>
    <w:rPr>
      <w:rFonts w:ascii="Arial" w:hAnsi="Arial" w:eastAsia="宋体" w:cs="Times New Roman"/>
      <w:vanish/>
      <w:sz w:val="16"/>
      <w:szCs w:val="16"/>
    </w:rPr>
  </w:style>
  <w:style w:type="character" w:customStyle="1" w:styleId="136">
    <w:name w:val="正文文本缩进 2 Char1"/>
    <w:qFormat/>
    <w:uiPriority w:val="0"/>
    <w:rPr>
      <w:rFonts w:ascii="Times New Roman" w:hAnsi="Times New Roman" w:eastAsia="宋体" w:cs="Times New Roman"/>
      <w:kern w:val="0"/>
      <w:sz w:val="20"/>
      <w:szCs w:val="24"/>
    </w:rPr>
  </w:style>
  <w:style w:type="character" w:customStyle="1" w:styleId="137">
    <w:name w:val="正文首行缩进 2 字符"/>
    <w:semiHidden/>
    <w:qFormat/>
    <w:uiPriority w:val="99"/>
    <w:rPr>
      <w:rFonts w:ascii="Calibri" w:hAnsi="Calibri" w:eastAsia="宋体" w:cs="Times New Roman"/>
    </w:rPr>
  </w:style>
  <w:style w:type="character" w:customStyle="1" w:styleId="138">
    <w:name w:val="页脚 字符1"/>
    <w:link w:val="27"/>
    <w:uiPriority w:val="99"/>
    <w:rPr>
      <w:rFonts w:ascii="Times New Roman" w:hAnsi="Times New Roman" w:eastAsia="宋体" w:cs="Times New Roman"/>
      <w:sz w:val="18"/>
      <w:szCs w:val="18"/>
    </w:rPr>
  </w:style>
  <w:style w:type="character" w:customStyle="1" w:styleId="139">
    <w:name w:val="标题 5 字符1"/>
    <w:link w:val="6"/>
    <w:qFormat/>
    <w:uiPriority w:val="0"/>
    <w:rPr>
      <w:rFonts w:ascii="Times New Roman" w:hAnsi="Times New Roman" w:eastAsia="宋体" w:cs="Times New Roman"/>
      <w:b/>
      <w:bCs/>
      <w:sz w:val="28"/>
      <w:szCs w:val="28"/>
    </w:rPr>
  </w:style>
  <w:style w:type="character" w:customStyle="1" w:styleId="140">
    <w:name w:val="正文文本缩进 字符"/>
    <w:semiHidden/>
    <w:qFormat/>
    <w:uiPriority w:val="99"/>
    <w:rPr>
      <w:rFonts w:ascii="Calibri" w:hAnsi="Calibri" w:eastAsia="宋体" w:cs="Times New Roman"/>
    </w:rPr>
  </w:style>
  <w:style w:type="character" w:customStyle="1" w:styleId="141">
    <w:name w:val="文档结构图 字符1"/>
    <w:link w:val="15"/>
    <w:qFormat/>
    <w:uiPriority w:val="0"/>
    <w:rPr>
      <w:rFonts w:ascii="Times New Roman" w:hAnsi="Times New Roman" w:eastAsia="宋体" w:cs="Times New Roman"/>
      <w:szCs w:val="24"/>
      <w:shd w:val="clear" w:color="auto" w:fill="000080"/>
    </w:rPr>
  </w:style>
  <w:style w:type="character" w:customStyle="1" w:styleId="142">
    <w:name w:val="z-窗体顶端 字符"/>
    <w:semiHidden/>
    <w:uiPriority w:val="99"/>
    <w:rPr>
      <w:rFonts w:ascii="Arial" w:hAnsi="Arial" w:eastAsia="宋体" w:cs="Arial"/>
      <w:vanish/>
      <w:sz w:val="16"/>
      <w:szCs w:val="16"/>
    </w:rPr>
  </w:style>
  <w:style w:type="character" w:customStyle="1" w:styleId="143">
    <w:name w:val="正文文本缩进 3 字符"/>
    <w:semiHidden/>
    <w:qFormat/>
    <w:uiPriority w:val="99"/>
    <w:rPr>
      <w:rFonts w:ascii="Calibri" w:hAnsi="Calibri" w:eastAsia="宋体" w:cs="Times New Roman"/>
      <w:sz w:val="16"/>
      <w:szCs w:val="16"/>
    </w:rPr>
  </w:style>
  <w:style w:type="character" w:customStyle="1" w:styleId="144">
    <w:name w:val="脚注文本 字符"/>
    <w:semiHidden/>
    <w:qFormat/>
    <w:uiPriority w:val="99"/>
    <w:rPr>
      <w:rFonts w:ascii="Calibri" w:hAnsi="Calibri" w:eastAsia="宋体" w:cs="Times New Roman"/>
      <w:sz w:val="18"/>
      <w:szCs w:val="18"/>
    </w:rPr>
  </w:style>
  <w:style w:type="character" w:customStyle="1" w:styleId="145">
    <w:name w:val="zbggmain style9"/>
    <w:qFormat/>
    <w:uiPriority w:val="0"/>
    <w:rPr>
      <w:rFonts w:ascii="Calibri" w:hAnsi="Calibri" w:eastAsia="宋体" w:cs="Times New Roman"/>
    </w:rPr>
  </w:style>
  <w:style w:type="character" w:customStyle="1" w:styleId="146">
    <w:name w:val="z-窗体底端 字符"/>
    <w:semiHidden/>
    <w:qFormat/>
    <w:uiPriority w:val="99"/>
    <w:rPr>
      <w:rFonts w:ascii="Arial" w:hAnsi="Arial" w:eastAsia="宋体" w:cs="Arial"/>
      <w:vanish/>
      <w:sz w:val="16"/>
      <w:szCs w:val="16"/>
    </w:rPr>
  </w:style>
  <w:style w:type="character" w:customStyle="1" w:styleId="147">
    <w:name w:val="纯文本 字符1"/>
    <w:link w:val="21"/>
    <w:uiPriority w:val="0"/>
    <w:rPr>
      <w:rFonts w:ascii="宋体" w:hAnsi="Courier New" w:eastAsia="宋体" w:cs="Times New Roman"/>
      <w:szCs w:val="21"/>
    </w:rPr>
  </w:style>
  <w:style w:type="character" w:customStyle="1" w:styleId="148">
    <w:name w:val="标题 4 字符1"/>
    <w:link w:val="5"/>
    <w:uiPriority w:val="0"/>
    <w:rPr>
      <w:rFonts w:ascii="Arial" w:hAnsi="Arial" w:eastAsia="黑体" w:cs="Times New Roman"/>
      <w:b/>
      <w:bCs/>
      <w:sz w:val="28"/>
      <w:szCs w:val="28"/>
    </w:rPr>
  </w:style>
  <w:style w:type="character" w:customStyle="1" w:styleId="149">
    <w:name w:val="正文首行缩进 字符"/>
    <w:semiHidden/>
    <w:qFormat/>
    <w:uiPriority w:val="99"/>
    <w:rPr>
      <w:rFonts w:ascii="Calibri" w:hAnsi="Calibri" w:eastAsia="宋体" w:cs="Times New Roman"/>
    </w:rPr>
  </w:style>
  <w:style w:type="character" w:customStyle="1" w:styleId="150">
    <w:name w:val="页脚 Char"/>
    <w:uiPriority w:val="99"/>
    <w:rPr>
      <w:rFonts w:ascii="Times New Roman" w:hAnsi="Times New Roman" w:eastAsia="宋体" w:cs="Times New Roman"/>
      <w:sz w:val="18"/>
      <w:szCs w:val="18"/>
    </w:rPr>
  </w:style>
  <w:style w:type="character" w:customStyle="1" w:styleId="151">
    <w:name w:val="标题 1 Char"/>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2019-07-03T08:48:27Z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