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bookmarkStart w:id="0" w:name="OLE_LINK1"/>
      <w:r>
        <w:rPr>
          <w:rFonts w:hint="eastAsia" w:ascii="宋体" w:hAnsi="宋体" w:eastAsia="宋体" w:cs="宋体"/>
          <w:b/>
          <w:sz w:val="44"/>
          <w:szCs w:val="44"/>
        </w:rPr>
        <w:t>杭州萧山国际机场飞行区高杆灯钢缆</w:t>
      </w:r>
    </w:p>
    <w:p>
      <w:pPr>
        <w:widowControl/>
        <w:autoSpaceDE w:val="0"/>
        <w:autoSpaceDN w:val="0"/>
        <w:jc w:val="center"/>
        <w:textAlignment w:val="bottom"/>
        <w:rPr>
          <w:rFonts w:ascii="宋体" w:hAnsi="宋体" w:eastAsia="宋体" w:cs="宋体"/>
          <w:b/>
          <w:sz w:val="44"/>
          <w:szCs w:val="44"/>
        </w:rPr>
      </w:pPr>
      <w:bookmarkStart w:id="1" w:name="OLE_LINK2"/>
      <w:r>
        <w:rPr>
          <w:rFonts w:hint="eastAsia" w:ascii="宋体" w:hAnsi="宋体" w:eastAsia="宋体" w:cs="宋体"/>
          <w:b/>
          <w:sz w:val="44"/>
          <w:szCs w:val="44"/>
        </w:rPr>
        <w:t>及电气控制系统、防坠落系统更新维护项目</w:t>
      </w:r>
    </w:p>
    <w:bookmarkEnd w:id="0"/>
    <w:bookmarkEnd w:id="1"/>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31"/>
        <w:spacing w:line="480" w:lineRule="auto"/>
        <w:jc w:val="center"/>
        <w:rPr>
          <w:rFonts w:hAnsi="宋体" w:cs="宋体"/>
          <w:sz w:val="24"/>
          <w:szCs w:val="24"/>
          <w:u w:val="single"/>
        </w:rPr>
      </w:pPr>
      <w:r>
        <w:rPr>
          <w:rFonts w:hint="eastAsia" w:hAnsi="宋体" w:cs="宋体"/>
          <w:sz w:val="32"/>
          <w:szCs w:val="32"/>
        </w:rPr>
        <w:t>二Ο一九年六月</w:t>
      </w:r>
    </w:p>
    <w:p>
      <w:pPr>
        <w:snapToGrid w:val="0"/>
        <w:spacing w:line="560" w:lineRule="exact"/>
        <w:jc w:val="center"/>
        <w:rPr>
          <w:rFonts w:ascii="宋体" w:hAnsi="宋体" w:eastAsia="宋体" w:cs="宋体"/>
          <w:b/>
          <w:bCs/>
          <w:sz w:val="32"/>
          <w:szCs w:val="32"/>
        </w:rPr>
      </w:pP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br w:type="page"/>
      </w: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hint="eastAsia" w:ascii="宋体" w:hAnsi="宋体" w:eastAsia="宋体" w:cs="宋体"/>
          <w:sz w:val="22"/>
          <w:szCs w:val="22"/>
        </w:rPr>
        <w:t>- 3 -</w:t>
      </w:r>
      <w:r>
        <w:rPr>
          <w:rFonts w:hint="eastAsia" w:ascii="宋体" w:hAnsi="宋体" w:eastAsia="宋体" w:cs="宋体"/>
          <w:sz w:val="22"/>
          <w:szCs w:val="22"/>
        </w:rPr>
        <w:fldChar w:fldCharType="end"/>
      </w: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hint="eastAsia" w:ascii="宋体" w:hAnsi="宋体" w:eastAsia="宋体" w:cs="宋体"/>
          <w:sz w:val="22"/>
          <w:szCs w:val="22"/>
        </w:rPr>
        <w:t>- 5 -</w:t>
      </w:r>
      <w:r>
        <w:rPr>
          <w:rFonts w:hint="eastAsia" w:ascii="宋体" w:hAnsi="宋体" w:eastAsia="宋体" w:cs="宋体"/>
          <w:sz w:val="22"/>
          <w:szCs w:val="22"/>
        </w:rPr>
        <w:fldChar w:fldCharType="end"/>
      </w: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货物需求一览表及技术规格</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hint="eastAsia" w:ascii="宋体" w:hAnsi="宋体" w:eastAsia="宋体" w:cs="宋体"/>
          <w:sz w:val="22"/>
          <w:szCs w:val="22"/>
        </w:rPr>
        <w:t>- 14 -</w:t>
      </w:r>
      <w:r>
        <w:rPr>
          <w:rFonts w:hint="eastAsia" w:ascii="宋体" w:hAnsi="宋体" w:eastAsia="宋体" w:cs="宋体"/>
          <w:sz w:val="22"/>
          <w:szCs w:val="22"/>
        </w:rPr>
        <w:fldChar w:fldCharType="end"/>
      </w: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hint="eastAsia" w:ascii="宋体" w:hAnsi="宋体" w:eastAsia="宋体" w:cs="宋体"/>
          <w:sz w:val="22"/>
          <w:szCs w:val="22"/>
        </w:rPr>
        <w:t>- 16 -</w:t>
      </w:r>
      <w:r>
        <w:rPr>
          <w:rFonts w:hint="eastAsia" w:ascii="宋体" w:hAnsi="宋体" w:eastAsia="宋体" w:cs="宋体"/>
          <w:sz w:val="22"/>
          <w:szCs w:val="22"/>
        </w:rPr>
        <w:fldChar w:fldCharType="end"/>
      </w: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hint="eastAsia" w:ascii="宋体" w:hAnsi="宋体" w:eastAsia="宋体" w:cs="宋体"/>
          <w:sz w:val="22"/>
          <w:szCs w:val="22"/>
        </w:rPr>
        <w:t>- 25 -</w:t>
      </w:r>
      <w:r>
        <w:rPr>
          <w:rFonts w:hint="eastAsia" w:ascii="宋体" w:hAnsi="宋体" w:eastAsia="宋体" w:cs="宋体"/>
          <w:sz w:val="22"/>
          <w:szCs w:val="22"/>
        </w:rPr>
        <w:fldChar w:fldCharType="end"/>
      </w:r>
    </w:p>
    <w:p>
      <w:pPr>
        <w:pStyle w:val="39"/>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hint="eastAsia" w:ascii="宋体" w:hAnsi="宋体" w:eastAsia="宋体" w:cs="宋体"/>
          <w:sz w:val="22"/>
          <w:szCs w:val="22"/>
        </w:rPr>
        <w:t>- 27 -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51"/>
        <w:rPr>
          <w:rFonts w:ascii="宋体" w:hAnsi="宋体" w:eastAsia="宋体" w:cs="宋体"/>
        </w:rPr>
      </w:pPr>
      <w:bookmarkStart w:id="2" w:name="_Toc321925451"/>
      <w:r>
        <w:rPr>
          <w:rFonts w:hint="eastAsia" w:ascii="宋体" w:hAnsi="宋体" w:eastAsia="宋体" w:cs="宋体"/>
        </w:rPr>
        <w:t>第一章 招标公告</w:t>
      </w:r>
      <w:bookmarkEnd w:id="2"/>
    </w:p>
    <w:p>
      <w:pPr>
        <w:widowControl/>
        <w:snapToGrid w:val="0"/>
        <w:spacing w:line="360" w:lineRule="exact"/>
        <w:jc w:val="left"/>
        <w:rPr>
          <w:rFonts w:ascii="宋体" w:hAnsi="宋体" w:eastAsia="宋体" w:cs="宋体"/>
          <w:b/>
          <w:bCs/>
          <w:kern w:val="0"/>
          <w:sz w:val="22"/>
        </w:rPr>
      </w:pPr>
    </w:p>
    <w:p>
      <w:pPr>
        <w:widowControl/>
        <w:snapToGrid w:val="0"/>
        <w:spacing w:line="360" w:lineRule="exact"/>
        <w:jc w:val="left"/>
        <w:rPr>
          <w:rFonts w:ascii="宋体" w:hAnsi="宋体" w:eastAsia="宋体" w:cs="宋体"/>
          <w:kern w:val="0"/>
          <w:sz w:val="22"/>
        </w:rPr>
      </w:pPr>
      <w:bookmarkStart w:id="3" w:name="OLE_LINK6"/>
      <w:bookmarkStart w:id="107" w:name="_GoBack"/>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飞行区高杆灯钢缆及电气控制系统、防坠落系统更新维护项目已批准实施，项目业主为杭州萧山国际机场有限公司，建设资金来源为自筹。项目已具备招标条件，现对本项目进行公开招标，欢迎符合资格要求的供应商参与投标。</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（2）招标货物名称、数量及主要技术规格</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1.更新47基高杆灯所有钢缆；</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2.更新47基高杆灯电气控制箱；</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3.更新47基高杆灯防跌落系统的弹簧。</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962"/>
        <w:gridCol w:w="2063"/>
        <w:gridCol w:w="224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936" w:type="dxa"/>
            <w:vAlign w:val="center"/>
          </w:tcPr>
          <w:p>
            <w:pPr>
              <w:adjustRightInd w:val="0"/>
              <w:snapToGrid w:val="0"/>
              <w:jc w:val="center"/>
              <w:rPr>
                <w:rFonts w:ascii="宋体" w:hAnsi="宋体" w:eastAsia="宋体" w:cs="宋体"/>
                <w:caps/>
                <w:sz w:val="28"/>
                <w:szCs w:val="28"/>
              </w:rPr>
            </w:pPr>
            <w:r>
              <w:rPr>
                <w:rFonts w:hint="eastAsia" w:ascii="宋体" w:hAnsi="宋体" w:eastAsia="宋体" w:cs="宋体"/>
                <w:caps/>
                <w:sz w:val="28"/>
                <w:szCs w:val="28"/>
              </w:rPr>
              <w:t>货物名称</w:t>
            </w:r>
          </w:p>
        </w:tc>
        <w:tc>
          <w:tcPr>
            <w:tcW w:w="962" w:type="dxa"/>
            <w:vAlign w:val="center"/>
          </w:tcPr>
          <w:p>
            <w:pPr>
              <w:adjustRightInd w:val="0"/>
              <w:snapToGrid w:val="0"/>
              <w:jc w:val="center"/>
              <w:rPr>
                <w:rFonts w:ascii="宋体" w:hAnsi="宋体" w:eastAsia="宋体" w:cs="宋体"/>
                <w:caps/>
                <w:sz w:val="28"/>
                <w:szCs w:val="28"/>
              </w:rPr>
            </w:pPr>
            <w:r>
              <w:rPr>
                <w:rFonts w:hint="eastAsia" w:ascii="宋体" w:hAnsi="宋体" w:eastAsia="宋体" w:cs="宋体"/>
                <w:caps/>
                <w:sz w:val="28"/>
                <w:szCs w:val="28"/>
              </w:rPr>
              <w:t>数 量</w:t>
            </w:r>
          </w:p>
        </w:tc>
        <w:tc>
          <w:tcPr>
            <w:tcW w:w="2063" w:type="dxa"/>
            <w:vAlign w:val="center"/>
          </w:tcPr>
          <w:p>
            <w:pPr>
              <w:adjustRightInd w:val="0"/>
              <w:snapToGrid w:val="0"/>
              <w:jc w:val="center"/>
              <w:rPr>
                <w:rFonts w:ascii="宋体" w:hAnsi="宋体" w:eastAsia="宋体" w:cs="宋体"/>
                <w:caps/>
                <w:sz w:val="28"/>
                <w:szCs w:val="28"/>
              </w:rPr>
            </w:pPr>
            <w:r>
              <w:rPr>
                <w:rFonts w:hint="eastAsia" w:ascii="宋体" w:hAnsi="宋体" w:eastAsia="宋体" w:cs="宋体"/>
                <w:caps/>
                <w:sz w:val="28"/>
                <w:szCs w:val="28"/>
              </w:rPr>
              <w:t>主要技术规格</w:t>
            </w:r>
          </w:p>
        </w:tc>
        <w:tc>
          <w:tcPr>
            <w:tcW w:w="2245" w:type="dxa"/>
            <w:vAlign w:val="center"/>
          </w:tcPr>
          <w:p>
            <w:pPr>
              <w:adjustRightInd w:val="0"/>
              <w:snapToGrid w:val="0"/>
              <w:jc w:val="center"/>
              <w:rPr>
                <w:rFonts w:ascii="宋体" w:hAnsi="宋体" w:eastAsia="宋体" w:cs="宋体"/>
                <w:caps/>
                <w:sz w:val="28"/>
                <w:szCs w:val="28"/>
              </w:rPr>
            </w:pPr>
            <w:r>
              <w:rPr>
                <w:rFonts w:hint="eastAsia" w:ascii="宋体" w:hAnsi="宋体" w:eastAsia="宋体" w:cs="宋体"/>
                <w:caps/>
                <w:sz w:val="28"/>
                <w:szCs w:val="28"/>
              </w:rPr>
              <w:t>供货期</w:t>
            </w:r>
          </w:p>
        </w:tc>
        <w:tc>
          <w:tcPr>
            <w:tcW w:w="1340" w:type="dxa"/>
            <w:vAlign w:val="center"/>
          </w:tcPr>
          <w:p>
            <w:pPr>
              <w:adjustRightInd w:val="0"/>
              <w:snapToGrid w:val="0"/>
              <w:jc w:val="center"/>
              <w:rPr>
                <w:rFonts w:ascii="宋体" w:hAnsi="宋体" w:eastAsia="宋体" w:cs="宋体"/>
                <w:caps/>
                <w:sz w:val="28"/>
                <w:szCs w:val="28"/>
              </w:rPr>
            </w:pPr>
            <w:r>
              <w:rPr>
                <w:rFonts w:hint="eastAsia" w:ascii="宋体" w:hAnsi="宋体" w:eastAsia="宋体" w:cs="宋体"/>
                <w:caps/>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936" w:type="dxa"/>
            <w:vAlign w:val="center"/>
          </w:tcPr>
          <w:p>
            <w:pPr>
              <w:snapToGrid w:val="0"/>
              <w:jc w:val="center"/>
              <w:rPr>
                <w:rFonts w:ascii="宋体" w:hAnsi="宋体" w:eastAsia="宋体" w:cs="宋体"/>
              </w:rPr>
            </w:pPr>
            <w:r>
              <w:rPr>
                <w:rFonts w:hint="eastAsia" w:ascii="宋体" w:hAnsi="宋体" w:eastAsia="宋体" w:cs="宋体"/>
              </w:rPr>
              <w:t>高杆灯钢缆及电气控制箱、防坠落系统</w:t>
            </w:r>
          </w:p>
          <w:p>
            <w:pPr>
              <w:snapToGrid w:val="0"/>
              <w:jc w:val="center"/>
              <w:rPr>
                <w:rFonts w:ascii="宋体" w:hAnsi="宋体" w:eastAsia="宋体" w:cs="宋体"/>
              </w:rPr>
            </w:pPr>
            <w:r>
              <w:rPr>
                <w:rFonts w:hint="eastAsia" w:ascii="宋体" w:hAnsi="宋体" w:eastAsia="宋体" w:cs="宋体"/>
              </w:rPr>
              <w:t>（不包含灯杆）</w:t>
            </w:r>
          </w:p>
        </w:tc>
        <w:tc>
          <w:tcPr>
            <w:tcW w:w="962" w:type="dxa"/>
            <w:vAlign w:val="center"/>
          </w:tcPr>
          <w:p>
            <w:pPr>
              <w:snapToGrid w:val="0"/>
              <w:jc w:val="center"/>
              <w:rPr>
                <w:rFonts w:ascii="宋体" w:hAnsi="宋体" w:eastAsia="宋体" w:cs="宋体"/>
              </w:rPr>
            </w:pPr>
            <w:r>
              <w:rPr>
                <w:rFonts w:hint="eastAsia" w:ascii="宋体" w:hAnsi="宋体" w:eastAsia="宋体" w:cs="宋体"/>
              </w:rPr>
              <w:t>47套</w:t>
            </w:r>
          </w:p>
        </w:tc>
        <w:tc>
          <w:tcPr>
            <w:tcW w:w="2063" w:type="dxa"/>
            <w:vAlign w:val="center"/>
          </w:tcPr>
          <w:p>
            <w:pPr>
              <w:pStyle w:val="13"/>
              <w:snapToGrid w:val="0"/>
              <w:rPr>
                <w:rFonts w:ascii="宋体" w:hAnsi="宋体" w:eastAsia="宋体" w:cs="宋体"/>
              </w:rPr>
            </w:pPr>
            <w:r>
              <w:rPr>
                <w:rFonts w:hint="eastAsia" w:ascii="宋体" w:hAnsi="宋体" w:eastAsia="宋体" w:cs="宋体"/>
              </w:rPr>
              <w:t>详见第三章货物需求一览表及技术规格</w:t>
            </w:r>
          </w:p>
        </w:tc>
        <w:tc>
          <w:tcPr>
            <w:tcW w:w="2245" w:type="dxa"/>
            <w:vAlign w:val="center"/>
          </w:tcPr>
          <w:p>
            <w:pPr>
              <w:adjustRightInd w:val="0"/>
              <w:snapToGrid w:val="0"/>
              <w:jc w:val="center"/>
              <w:rPr>
                <w:rFonts w:ascii="宋体" w:hAnsi="宋体" w:eastAsia="宋体" w:cs="宋体"/>
              </w:rPr>
            </w:pPr>
            <w:r>
              <w:rPr>
                <w:rFonts w:hint="eastAsia" w:ascii="宋体" w:hAnsi="宋体" w:eastAsia="宋体" w:cs="宋体"/>
              </w:rPr>
              <w:t>合同签订后</w:t>
            </w:r>
            <w:r>
              <w:rPr>
                <w:rFonts w:hint="eastAsia" w:ascii="宋体" w:hAnsi="宋体" w:eastAsia="宋体" w:cs="宋体"/>
                <w:u w:val="single"/>
              </w:rPr>
              <w:t>60</w:t>
            </w:r>
            <w:r>
              <w:rPr>
                <w:rFonts w:hint="eastAsia" w:ascii="宋体" w:hAnsi="宋体" w:eastAsia="宋体" w:cs="宋体"/>
              </w:rPr>
              <w:t>日历天内</w:t>
            </w:r>
          </w:p>
        </w:tc>
        <w:tc>
          <w:tcPr>
            <w:tcW w:w="1340" w:type="dxa"/>
            <w:vAlign w:val="center"/>
          </w:tcPr>
          <w:p>
            <w:pPr>
              <w:adjustRightInd w:val="0"/>
              <w:snapToGrid w:val="0"/>
              <w:jc w:val="center"/>
              <w:rPr>
                <w:rFonts w:ascii="宋体" w:hAnsi="宋体" w:eastAsia="宋体" w:cs="宋体"/>
              </w:rPr>
            </w:pPr>
            <w:r>
              <w:rPr>
                <w:rFonts w:hint="eastAsia" w:ascii="宋体" w:hAnsi="宋体" w:eastAsia="宋体" w:cs="宋体"/>
              </w:rPr>
              <w:t>杭州萧山国际机场</w:t>
            </w:r>
          </w:p>
        </w:tc>
      </w:tr>
    </w:tbl>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（1）具有独立法人资格的制造商或代理商，注册资金不少于人民币100万元或等值外币(按投标截止日中国人民银行公布的汇率中间价换算)。（需提供营业执照复印件并加盖投标人公章作为证明材料）</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rPr>
          <w:rFonts w:ascii="宋体" w:hAnsi="宋体" w:eastAsia="宋体" w:cs="宋体"/>
          <w:kern w:val="0"/>
          <w:sz w:val="22"/>
        </w:rPr>
      </w:pPr>
      <w:r>
        <w:rPr>
          <w:rFonts w:hint="eastAsia" w:ascii="宋体" w:hAnsi="宋体" w:eastAsia="宋体" w:cs="宋体"/>
          <w:kern w:val="0"/>
          <w:sz w:val="22"/>
        </w:rPr>
        <w:t xml:space="preserve">    （4）具有本项目供货、施工和履行合同的能力和资质，设有完善的售后服务机构，并配有较强的技术队伍，能够在24小时内到达现场提供售后维修服务。</w:t>
      </w:r>
      <w:r>
        <w:rPr>
          <w:rStyle w:val="57"/>
          <w:rFonts w:hint="eastAsia" w:ascii="宋体" w:hAnsi="宋体" w:eastAsia="宋体" w:cs="宋体"/>
        </w:rPr>
        <w:t>（提供合同履行能力及售后服务能力承诺书，格式自拟，投标人可附加相关业绩证明材料）</w:t>
      </w:r>
    </w:p>
    <w:p>
      <w:pPr>
        <w:widowControl/>
        <w:numPr>
          <w:ilvl w:val="0"/>
          <w:numId w:val="5"/>
        </w:numPr>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依据最高人民法院等九部门《关于在招标投标活动中对失信被执行人实施联合惩戒的通知》，投标人不得为失信被执行人。通过信用中国网站www.creditchina.gov.cn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（6）本项目不接受联合体投标。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w:t>
      </w:r>
      <w:bookmarkStart w:id="4" w:name="OLE_LINK3"/>
      <w:r>
        <w:rPr>
          <w:rFonts w:hint="eastAsia" w:ascii="宋体" w:hAnsi="宋体" w:eastAsia="宋体" w:cs="宋体"/>
          <w:kern w:val="0"/>
          <w:sz w:val="22"/>
        </w:rPr>
        <w:t>2019年</w:t>
      </w:r>
      <w:r>
        <w:rPr>
          <w:rFonts w:hint="eastAsia" w:ascii="宋体" w:hAnsi="宋体" w:eastAsia="宋体" w:cs="宋体"/>
          <w:kern w:val="0"/>
          <w:sz w:val="22"/>
          <w:lang w:val="en-US" w:eastAsia="zh-CN"/>
        </w:rPr>
        <w:t>7</w:t>
      </w:r>
      <w:r>
        <w:rPr>
          <w:rFonts w:hint="eastAsia" w:ascii="宋体" w:hAnsi="宋体" w:eastAsia="宋体" w:cs="宋体"/>
          <w:kern w:val="0"/>
          <w:sz w:val="22"/>
        </w:rPr>
        <w:t>月</w:t>
      </w:r>
      <w:r>
        <w:rPr>
          <w:rFonts w:hint="eastAsia" w:ascii="宋体" w:hAnsi="宋体" w:eastAsia="宋体" w:cs="宋体"/>
          <w:kern w:val="0"/>
          <w:sz w:val="22"/>
          <w:lang w:val="en-US" w:eastAsia="zh-CN"/>
        </w:rPr>
        <w:t>25</w:t>
      </w:r>
      <w:r>
        <w:rPr>
          <w:rFonts w:hint="eastAsia" w:ascii="宋体" w:hAnsi="宋体" w:eastAsia="宋体" w:cs="宋体"/>
          <w:kern w:val="0"/>
          <w:sz w:val="22"/>
        </w:rPr>
        <w:t>日</w:t>
      </w:r>
      <w:bookmarkStart w:id="5" w:name="OLE_LINK4"/>
      <w:r>
        <w:rPr>
          <w:rFonts w:hint="eastAsia" w:ascii="宋体" w:hAnsi="宋体" w:eastAsia="宋体" w:cs="宋体"/>
          <w:kern w:val="0"/>
          <w:sz w:val="22"/>
          <w:lang w:val="en-US" w:eastAsia="zh-CN"/>
        </w:rPr>
        <w:t>13</w:t>
      </w:r>
      <w:r>
        <w:rPr>
          <w:rFonts w:hint="eastAsia" w:ascii="宋体" w:hAnsi="宋体" w:eastAsia="宋体" w:cs="宋体"/>
          <w:kern w:val="0"/>
          <w:sz w:val="22"/>
        </w:rPr>
        <w:t>时</w:t>
      </w:r>
      <w:r>
        <w:rPr>
          <w:rFonts w:hint="eastAsia" w:ascii="宋体" w:hAnsi="宋体" w:eastAsia="宋体" w:cs="宋体"/>
          <w:kern w:val="0"/>
          <w:sz w:val="22"/>
          <w:lang w:val="en-US" w:eastAsia="zh-CN"/>
        </w:rPr>
        <w:t>45</w:t>
      </w:r>
      <w:r>
        <w:rPr>
          <w:rFonts w:hint="eastAsia" w:ascii="宋体" w:hAnsi="宋体" w:eastAsia="宋体" w:cs="宋体"/>
          <w:kern w:val="0"/>
          <w:sz w:val="22"/>
        </w:rPr>
        <w:t>分</w:t>
      </w:r>
      <w:bookmarkEnd w:id="4"/>
      <w:bookmarkEnd w:id="5"/>
      <w:r>
        <w:rPr>
          <w:rFonts w:hint="eastAsia" w:ascii="宋体" w:hAnsi="宋体" w:eastAsia="宋体" w:cs="宋体"/>
          <w:kern w:val="0"/>
          <w:sz w:val="22"/>
        </w:rPr>
        <w:t>（北京时间）。投标文件在封口处加盖公章，并派专人于</w:t>
      </w:r>
      <w:bookmarkStart w:id="6" w:name="OLE_LINK5"/>
      <w:r>
        <w:rPr>
          <w:rFonts w:hint="eastAsia" w:ascii="宋体" w:hAnsi="宋体" w:eastAsia="宋体" w:cs="宋体"/>
          <w:kern w:val="0"/>
          <w:sz w:val="22"/>
        </w:rPr>
        <w:t>2019年</w:t>
      </w:r>
      <w:r>
        <w:rPr>
          <w:rFonts w:hint="eastAsia" w:ascii="宋体" w:hAnsi="宋体" w:eastAsia="宋体" w:cs="宋体"/>
          <w:kern w:val="0"/>
          <w:sz w:val="22"/>
          <w:lang w:val="en-US" w:eastAsia="zh-CN"/>
        </w:rPr>
        <w:t>7</w:t>
      </w:r>
      <w:r>
        <w:rPr>
          <w:rFonts w:hint="eastAsia" w:ascii="宋体" w:hAnsi="宋体" w:eastAsia="宋体" w:cs="宋体"/>
          <w:kern w:val="0"/>
          <w:sz w:val="22"/>
        </w:rPr>
        <w:t>月</w:t>
      </w:r>
      <w:r>
        <w:rPr>
          <w:rFonts w:hint="eastAsia" w:ascii="宋体" w:hAnsi="宋体" w:eastAsia="宋体" w:cs="宋体"/>
          <w:kern w:val="0"/>
          <w:sz w:val="22"/>
          <w:lang w:val="en-US" w:eastAsia="zh-CN"/>
        </w:rPr>
        <w:t>25</w:t>
      </w:r>
      <w:r>
        <w:rPr>
          <w:rFonts w:hint="eastAsia" w:ascii="宋体" w:hAnsi="宋体" w:eastAsia="宋体" w:cs="宋体"/>
          <w:kern w:val="0"/>
          <w:sz w:val="22"/>
        </w:rPr>
        <w:t>日</w:t>
      </w:r>
      <w:r>
        <w:rPr>
          <w:rFonts w:hint="eastAsia" w:ascii="宋体" w:hAnsi="宋体" w:eastAsia="宋体" w:cs="宋体"/>
          <w:kern w:val="0"/>
          <w:sz w:val="22"/>
          <w:lang w:val="en-US" w:eastAsia="zh-CN"/>
        </w:rPr>
        <w:t>13</w:t>
      </w:r>
      <w:r>
        <w:rPr>
          <w:rFonts w:hint="eastAsia" w:ascii="宋体" w:hAnsi="宋体" w:eastAsia="宋体" w:cs="宋体"/>
          <w:kern w:val="0"/>
          <w:sz w:val="22"/>
        </w:rPr>
        <w:t>时</w:t>
      </w:r>
      <w:r>
        <w:rPr>
          <w:rFonts w:hint="eastAsia" w:ascii="宋体" w:hAnsi="宋体" w:eastAsia="宋体" w:cs="宋体"/>
          <w:kern w:val="0"/>
          <w:sz w:val="22"/>
          <w:lang w:val="en-US" w:eastAsia="zh-CN"/>
        </w:rPr>
        <w:t>45</w:t>
      </w:r>
      <w:r>
        <w:rPr>
          <w:rFonts w:hint="eastAsia" w:ascii="宋体" w:hAnsi="宋体" w:eastAsia="宋体" w:cs="宋体"/>
          <w:kern w:val="0"/>
          <w:sz w:val="22"/>
        </w:rPr>
        <w:t>分</w:t>
      </w:r>
      <w:bookmarkEnd w:id="6"/>
      <w:r>
        <w:rPr>
          <w:rFonts w:hint="eastAsia" w:ascii="宋体" w:hAnsi="宋体" w:eastAsia="宋体" w:cs="宋体"/>
          <w:kern w:val="0"/>
          <w:sz w:val="22"/>
        </w:rPr>
        <w:t>（北京时间）前送至杭州萧山国际机场翔越路综合服务楼园区招标中心，逾期无效；若采用投递方式的，请于2019年</w:t>
      </w:r>
      <w:r>
        <w:rPr>
          <w:rFonts w:hint="eastAsia" w:ascii="宋体" w:hAnsi="宋体" w:eastAsia="宋体" w:cs="宋体"/>
          <w:kern w:val="0"/>
          <w:sz w:val="22"/>
          <w:lang w:val="en-US" w:eastAsia="zh-CN"/>
        </w:rPr>
        <w:t>7</w:t>
      </w:r>
      <w:r>
        <w:rPr>
          <w:rFonts w:hint="eastAsia" w:ascii="宋体" w:hAnsi="宋体" w:eastAsia="宋体" w:cs="宋体"/>
          <w:kern w:val="0"/>
          <w:sz w:val="22"/>
        </w:rPr>
        <w:t>月</w:t>
      </w:r>
      <w:r>
        <w:rPr>
          <w:rFonts w:hint="eastAsia" w:ascii="宋体" w:hAnsi="宋体" w:eastAsia="宋体" w:cs="宋体"/>
          <w:kern w:val="0"/>
          <w:sz w:val="22"/>
          <w:lang w:val="en-US" w:eastAsia="zh-CN"/>
        </w:rPr>
        <w:t>25</w:t>
      </w:r>
      <w:r>
        <w:rPr>
          <w:rFonts w:hint="eastAsia" w:ascii="宋体" w:hAnsi="宋体" w:eastAsia="宋体" w:cs="宋体"/>
          <w:kern w:val="0"/>
          <w:sz w:val="22"/>
        </w:rPr>
        <w:t>日</w:t>
      </w:r>
      <w:r>
        <w:rPr>
          <w:rFonts w:hint="eastAsia" w:ascii="宋体" w:hAnsi="宋体" w:eastAsia="宋体" w:cs="宋体"/>
          <w:kern w:val="0"/>
          <w:sz w:val="22"/>
          <w:lang w:val="en-US" w:eastAsia="zh-CN"/>
        </w:rPr>
        <w:t>13</w:t>
      </w:r>
      <w:r>
        <w:rPr>
          <w:rFonts w:hint="eastAsia" w:ascii="宋体" w:hAnsi="宋体" w:eastAsia="宋体" w:cs="宋体"/>
          <w:kern w:val="0"/>
          <w:sz w:val="22"/>
        </w:rPr>
        <w:t>时</w:t>
      </w:r>
      <w:r>
        <w:rPr>
          <w:rFonts w:hint="eastAsia" w:ascii="宋体" w:hAnsi="宋体" w:eastAsia="宋体" w:cs="宋体"/>
          <w:kern w:val="0"/>
          <w:sz w:val="22"/>
          <w:lang w:val="en-US" w:eastAsia="zh-CN"/>
        </w:rPr>
        <w:t>45</w:t>
      </w:r>
      <w:r>
        <w:rPr>
          <w:rFonts w:hint="eastAsia" w:ascii="宋体" w:hAnsi="宋体" w:eastAsia="宋体" w:cs="宋体"/>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w:t>
      </w:r>
      <w:r>
        <w:rPr>
          <w:rFonts w:ascii="宋体" w:hAnsi="宋体" w:eastAsia="宋体" w:cs="宋体"/>
          <w:sz w:val="22"/>
        </w:rPr>
        <w:t>83837612</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 xml:space="preserve">招标监督人： 闻晓丽      </w:t>
      </w:r>
      <w:r>
        <w:rPr>
          <w:rFonts w:hint="eastAsia" w:ascii="宋体" w:hAnsi="宋体" w:eastAsia="宋体" w:cs="宋体"/>
          <w:bCs/>
          <w:sz w:val="22"/>
          <w:lang w:val="en-US" w:eastAsia="zh-CN"/>
        </w:rPr>
        <w:t xml:space="preserve">   </w:t>
      </w:r>
      <w:r>
        <w:rPr>
          <w:rFonts w:hint="eastAsia" w:ascii="宋体" w:hAnsi="宋体" w:eastAsia="宋体" w:cs="宋体"/>
          <w:bCs/>
          <w:sz w:val="22"/>
        </w:rPr>
        <w:t xml:space="preserve">  联系电话：0571-86662132</w:t>
      </w:r>
      <w:bookmarkEnd w:id="107"/>
    </w:p>
    <w:bookmarkEnd w:id="3"/>
    <w:p>
      <w:pPr>
        <w:pStyle w:val="51"/>
        <w:rPr>
          <w:rFonts w:ascii="宋体" w:hAnsi="宋体" w:eastAsia="宋体" w:cs="宋体"/>
        </w:rPr>
      </w:pPr>
      <w:r>
        <w:rPr>
          <w:rFonts w:hint="eastAsia" w:ascii="宋体" w:hAnsi="宋体" w:eastAsia="宋体" w:cs="宋体"/>
          <w:bCs w:val="0"/>
          <w:sz w:val="22"/>
          <w:szCs w:val="22"/>
        </w:rPr>
        <w:t xml:space="preserve"> </w:t>
      </w:r>
      <w:r>
        <w:rPr>
          <w:rFonts w:hint="eastAsia" w:ascii="宋体" w:hAnsi="宋体" w:eastAsia="宋体" w:cs="宋体"/>
          <w:bCs w:val="0"/>
          <w:sz w:val="22"/>
          <w:szCs w:val="22"/>
        </w:rPr>
        <w:br w:type="page"/>
      </w:r>
      <w:bookmarkStart w:id="7" w:name="_Toc321925452"/>
      <w:r>
        <w:rPr>
          <w:rFonts w:hint="eastAsia" w:ascii="宋体" w:hAnsi="宋体" w:eastAsia="宋体" w:cs="宋体"/>
        </w:rPr>
        <w:t>第二章  投标人须知</w:t>
      </w:r>
      <w:bookmarkEnd w:id="7"/>
    </w:p>
    <w:p>
      <w:pPr>
        <w:pStyle w:val="34"/>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杭州萧山国际机场飞行区高杆灯钢缆及电气控制系统、防坠落系统更新维护项目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rPr>
                <w:rFonts w:ascii="宋体" w:hAnsi="宋体" w:eastAsia="宋体" w:cs="宋体"/>
                <w:kern w:val="0"/>
                <w:sz w:val="22"/>
              </w:rPr>
            </w:pPr>
            <w:r>
              <w:rPr>
                <w:rStyle w:val="82"/>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供货期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合同签订后</w:t>
            </w:r>
            <w:r>
              <w:rPr>
                <w:rFonts w:hint="eastAsia" w:ascii="宋体" w:hAnsi="宋体" w:eastAsia="宋体" w:cs="宋体"/>
                <w:sz w:val="22"/>
                <w:u w:val="single"/>
              </w:rPr>
              <w:t xml:space="preserve"> 60 </w:t>
            </w:r>
            <w:r>
              <w:rPr>
                <w:rFonts w:hint="eastAsia" w:ascii="宋体" w:hAnsi="宋体" w:eastAsia="宋体" w:cs="宋体"/>
                <w:sz w:val="22"/>
              </w:rPr>
              <w:t>日历天</w:t>
            </w:r>
            <w:r>
              <w:rPr>
                <w:rFonts w:hint="eastAsia" w:ascii="宋体" w:hAnsi="宋体" w:eastAsia="宋体" w:cs="宋体"/>
                <w:kern w:val="0"/>
                <w:sz w:val="22"/>
              </w:rPr>
              <w:t>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rPr>
                <w:rFonts w:ascii="宋体" w:hAnsi="宋体" w:eastAsia="宋体" w:cs="宋体"/>
                <w:kern w:val="0"/>
                <w:sz w:val="22"/>
              </w:rPr>
            </w:pPr>
            <w:r>
              <w:rPr>
                <w:rFonts w:hint="eastAsia" w:ascii="宋体" w:hAnsi="宋体" w:eastAsia="宋体" w:cs="宋体"/>
                <w:iCs/>
                <w:sz w:val="22"/>
              </w:rPr>
              <w:t>符</w:t>
            </w:r>
            <w:r>
              <w:rPr>
                <w:rFonts w:hint="eastAsia" w:ascii="宋体" w:hAnsi="宋体" w:eastAsia="宋体" w:cs="宋体"/>
                <w:sz w:val="22"/>
              </w:rPr>
              <w:t>合国家现行</w:t>
            </w:r>
            <w:r>
              <w:rPr>
                <w:rFonts w:hint="eastAsia" w:ascii="宋体" w:hAnsi="宋体" w:eastAsia="宋体" w:cs="宋体"/>
                <w:kern w:val="0"/>
                <w:sz w:val="22"/>
              </w:rPr>
              <w:t>《民用机场飞行区技术标准》、《机坪升降式高杆灯》、《重要用途钢丝绳》标准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w:t>
            </w:r>
            <w:r>
              <w:rPr>
                <w:rFonts w:ascii="宋体" w:hAnsi="宋体" w:eastAsia="宋体" w:cs="宋体"/>
                <w:kern w:val="0"/>
                <w:sz w:val="22"/>
              </w:rPr>
              <w:t>9</w:t>
            </w:r>
            <w:r>
              <w:rPr>
                <w:rFonts w:hint="eastAsia" w:ascii="宋体" w:hAnsi="宋体" w:eastAsia="宋体" w:cs="宋体"/>
                <w:kern w:val="0"/>
                <w:sz w:val="22"/>
              </w:rPr>
              <w:t>年</w:t>
            </w:r>
            <w:r>
              <w:rPr>
                <w:rFonts w:hint="eastAsia" w:ascii="宋体" w:hAnsi="宋体" w:eastAsia="宋体" w:cs="宋体"/>
                <w:kern w:val="0"/>
                <w:sz w:val="22"/>
                <w:lang w:val="en-US" w:eastAsia="zh-CN"/>
              </w:rPr>
              <w:t>7</w:t>
            </w:r>
            <w:r>
              <w:rPr>
                <w:rFonts w:hint="eastAsia" w:ascii="宋体" w:hAnsi="宋体" w:eastAsia="宋体" w:cs="宋体"/>
                <w:kern w:val="0"/>
                <w:sz w:val="22"/>
              </w:rPr>
              <w:t>月</w:t>
            </w:r>
            <w:r>
              <w:rPr>
                <w:rFonts w:hint="eastAsia" w:ascii="宋体" w:hAnsi="宋体" w:eastAsia="宋体" w:cs="宋体"/>
                <w:kern w:val="0"/>
                <w:sz w:val="22"/>
                <w:lang w:val="en-US" w:eastAsia="zh-CN"/>
              </w:rPr>
              <w:t>18</w:t>
            </w:r>
            <w:r>
              <w:rPr>
                <w:rFonts w:hint="eastAsia" w:ascii="宋体" w:hAnsi="宋体" w:eastAsia="宋体" w:cs="宋体"/>
                <w:kern w:val="0"/>
                <w:sz w:val="22"/>
              </w:rPr>
              <w:t>日11：30前，以书面加盖公章的形式通过E-mail或传真提交给招标人（投标联系人:贾思勰，电话0571-</w:t>
            </w:r>
            <w:r>
              <w:rPr>
                <w:rFonts w:ascii="宋体" w:hAnsi="宋体" w:eastAsia="宋体" w:cs="宋体"/>
                <w:sz w:val="22"/>
              </w:rPr>
              <w:t>83837612</w:t>
            </w:r>
            <w:r>
              <w:rPr>
                <w:rFonts w:hint="eastAsia" w:ascii="宋体" w:hAnsi="宋体" w:eastAsia="宋体" w:cs="宋体"/>
                <w:kern w:val="0"/>
                <w:sz w:val="22"/>
              </w:rPr>
              <w:t>；传真：0571-</w:t>
            </w:r>
            <w:r>
              <w:rPr>
                <w:rFonts w:ascii="宋体" w:hAnsi="宋体" w:eastAsia="宋体" w:cs="宋体"/>
                <w:sz w:val="22"/>
              </w:rPr>
              <w:t>83837612</w:t>
            </w:r>
            <w:r>
              <w:rPr>
                <w:rFonts w:hint="eastAsia" w:ascii="宋体" w:hAnsi="宋体" w:eastAsia="宋体" w:cs="宋体"/>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b/>
                <w:kern w:val="0"/>
                <w:sz w:val="22"/>
              </w:rPr>
              <w:t>2019年</w:t>
            </w:r>
            <w:r>
              <w:rPr>
                <w:rFonts w:hint="eastAsia" w:ascii="宋体" w:hAnsi="宋体" w:eastAsia="宋体" w:cs="宋体"/>
                <w:b/>
                <w:kern w:val="0"/>
                <w:sz w:val="22"/>
                <w:lang w:val="en-US" w:eastAsia="zh-CN"/>
              </w:rPr>
              <w:t>7</w:t>
            </w:r>
            <w:r>
              <w:rPr>
                <w:rFonts w:hint="eastAsia" w:ascii="宋体" w:hAnsi="宋体" w:eastAsia="宋体" w:cs="宋体"/>
                <w:b/>
                <w:kern w:val="0"/>
                <w:sz w:val="22"/>
              </w:rPr>
              <w:t>月</w:t>
            </w:r>
            <w:r>
              <w:rPr>
                <w:rFonts w:hint="eastAsia" w:ascii="宋体" w:hAnsi="宋体" w:eastAsia="宋体" w:cs="宋体"/>
                <w:b/>
                <w:kern w:val="0"/>
                <w:sz w:val="22"/>
                <w:lang w:val="en-US" w:eastAsia="zh-CN"/>
              </w:rPr>
              <w:t>25</w:t>
            </w:r>
            <w:r>
              <w:rPr>
                <w:rFonts w:hint="eastAsia" w:ascii="宋体" w:hAnsi="宋体" w:eastAsia="宋体" w:cs="宋体"/>
                <w:b/>
                <w:kern w:val="0"/>
                <w:sz w:val="22"/>
              </w:rPr>
              <w:t>日</w:t>
            </w:r>
            <w:r>
              <w:rPr>
                <w:rFonts w:hint="eastAsia" w:ascii="宋体" w:hAnsi="宋体" w:eastAsia="宋体" w:cs="宋体"/>
                <w:b/>
                <w:kern w:val="0"/>
                <w:sz w:val="22"/>
                <w:lang w:val="en-US" w:eastAsia="zh-CN"/>
              </w:rPr>
              <w:t>13</w:t>
            </w:r>
            <w:r>
              <w:rPr>
                <w:rFonts w:hint="eastAsia" w:ascii="宋体" w:hAnsi="宋体" w:eastAsia="宋体" w:cs="宋体"/>
                <w:b/>
                <w:kern w:val="0"/>
                <w:sz w:val="22"/>
              </w:rPr>
              <w:t>时</w:t>
            </w:r>
            <w:r>
              <w:rPr>
                <w:rFonts w:hint="eastAsia" w:ascii="宋体" w:hAnsi="宋体" w:eastAsia="宋体" w:cs="宋体"/>
                <w:b/>
                <w:kern w:val="0"/>
                <w:sz w:val="22"/>
                <w:lang w:val="en-US" w:eastAsia="zh-CN"/>
              </w:rPr>
              <w:t>45</w:t>
            </w:r>
            <w:r>
              <w:rPr>
                <w:rFonts w:hint="eastAsia" w:ascii="宋体" w:hAnsi="宋体" w:eastAsia="宋体" w:cs="宋体"/>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 ，样品一套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杭州萧山国际机场高杆灯钢缆及电气控制系统、防坠落系统更新维护项目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在2019年</w:t>
            </w:r>
            <w:r>
              <w:rPr>
                <w:rFonts w:hint="eastAsia" w:ascii="宋体" w:hAnsi="宋体" w:eastAsia="宋体" w:cs="宋体"/>
                <w:kern w:val="0"/>
                <w:sz w:val="22"/>
                <w:lang w:val="en-US" w:eastAsia="zh-CN"/>
              </w:rPr>
              <w:t>7</w:t>
            </w:r>
            <w:r>
              <w:rPr>
                <w:rFonts w:hint="eastAsia" w:ascii="宋体" w:hAnsi="宋体" w:eastAsia="宋体" w:cs="宋体"/>
                <w:kern w:val="0"/>
                <w:sz w:val="22"/>
              </w:rPr>
              <w:t>月</w:t>
            </w:r>
            <w:r>
              <w:rPr>
                <w:rFonts w:hint="eastAsia" w:ascii="宋体" w:hAnsi="宋体" w:eastAsia="宋体" w:cs="宋体"/>
                <w:kern w:val="0"/>
                <w:sz w:val="22"/>
                <w:lang w:val="en-US" w:eastAsia="zh-CN"/>
              </w:rPr>
              <w:t>25</w:t>
            </w:r>
            <w:r>
              <w:rPr>
                <w:rFonts w:hint="eastAsia" w:ascii="宋体" w:hAnsi="宋体" w:eastAsia="宋体" w:cs="宋体"/>
                <w:kern w:val="0"/>
                <w:sz w:val="22"/>
              </w:rPr>
              <w:t>日</w:t>
            </w:r>
            <w:r>
              <w:rPr>
                <w:rFonts w:hint="eastAsia" w:ascii="宋体" w:hAnsi="宋体" w:eastAsia="宋体" w:cs="宋体"/>
                <w:kern w:val="0"/>
                <w:sz w:val="22"/>
                <w:lang w:val="en-US" w:eastAsia="zh-CN"/>
              </w:rPr>
              <w:t>13</w:t>
            </w:r>
            <w:r>
              <w:rPr>
                <w:rFonts w:hint="eastAsia" w:ascii="宋体" w:hAnsi="宋体" w:eastAsia="宋体" w:cs="宋体"/>
                <w:kern w:val="0"/>
                <w:sz w:val="22"/>
              </w:rPr>
              <w:t>时</w:t>
            </w:r>
            <w:r>
              <w:rPr>
                <w:rFonts w:hint="eastAsia" w:ascii="宋体" w:hAnsi="宋体" w:eastAsia="宋体" w:cs="宋体"/>
                <w:kern w:val="0"/>
                <w:sz w:val="22"/>
                <w:lang w:val="en-US" w:eastAsia="zh-CN"/>
              </w:rPr>
              <w:t>45</w:t>
            </w:r>
            <w:r>
              <w:rPr>
                <w:rFonts w:hint="eastAsia" w:ascii="宋体" w:hAnsi="宋体" w:eastAsia="宋体" w:cs="宋体"/>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履约保证金的形式：银行转账</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50"/>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hint="eastAsia" w:ascii="宋体" w:hAnsi="宋体" w:eastAsia="宋体" w:cs="宋体"/>
                <w:b/>
                <w:bCs/>
                <w:snapToGrid w:val="0"/>
                <w:kern w:val="0"/>
                <w:sz w:val="22"/>
              </w:rPr>
            </w:pPr>
            <w:r>
              <w:rPr>
                <w:rFonts w:hint="eastAsia" w:ascii="宋体" w:hAnsi="宋体" w:eastAsia="宋体" w:cs="宋体"/>
                <w:snapToGrid w:val="0"/>
                <w:kern w:val="0"/>
                <w:sz w:val="22"/>
              </w:rPr>
              <w:t>2、</w:t>
            </w:r>
            <w:r>
              <w:rPr>
                <w:rFonts w:hint="eastAsia" w:ascii="宋体" w:hAnsi="宋体" w:eastAsia="宋体" w:cs="宋体"/>
                <w:b/>
                <w:bCs/>
                <w:snapToGrid w:val="0"/>
                <w:kern w:val="0"/>
                <w:sz w:val="22"/>
              </w:rPr>
              <w:t>递交投标文件时，须提供满足</w:t>
            </w:r>
            <w:r>
              <w:rPr>
                <w:rFonts w:hint="eastAsia" w:ascii="宋体" w:hAnsi="宋体" w:eastAsia="宋体" w:cs="宋体"/>
                <w:b/>
                <w:bCs/>
                <w:kern w:val="0"/>
                <w:sz w:val="22"/>
              </w:rPr>
              <w:t>第三章“货物需求一览表及技术规格”中要求的直径12mm、10mm的钢丝绳样品各一根（长50cm），并附样品的“质量证明书”。样品应密封，按照4.1.2注明相关内容。★未在投标截止时间前送达的样品视作未提供投标样品，评标委员会有权作否决投标处理</w:t>
            </w:r>
          </w:p>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3、本前附表内容与招标文件其他内容不一致之处，以本前附表为准。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50"/>
              <w:rPr>
                <w:rFonts w:ascii="宋体" w:hAnsi="宋体" w:cs="宋体"/>
              </w:rPr>
            </w:pPr>
            <w:r>
              <w:rPr>
                <w:rFonts w:hint="eastAsia" w:ascii="宋体" w:hAnsi="宋体" w:cs="宋体"/>
              </w:rPr>
              <w:t>备注</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宋体" w:hAnsi="宋体" w:eastAsia="宋体" w:cs="宋体"/>
          <w:b/>
        </w:rPr>
      </w:pPr>
      <w:bookmarkStart w:id="8" w:name="_Toc2621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rPr>
        <w:br w:type="page"/>
      </w:r>
      <w:bookmarkEnd w:id="8"/>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9" w:name="_Toc9136"/>
      <w:r>
        <w:rPr>
          <w:rFonts w:hint="eastAsia" w:ascii="宋体" w:hAnsi="宋体" w:eastAsia="宋体" w:cs="宋体"/>
          <w:b/>
          <w:bCs/>
          <w:kern w:val="0"/>
          <w:sz w:val="22"/>
        </w:rPr>
        <w:t>1.2 资金来源</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0" w:name="_Toc10673"/>
      <w:r>
        <w:rPr>
          <w:rFonts w:hint="eastAsia" w:ascii="宋体" w:hAnsi="宋体" w:eastAsia="宋体" w:cs="宋体"/>
          <w:b/>
          <w:bCs/>
          <w:kern w:val="0"/>
          <w:sz w:val="22"/>
        </w:rPr>
        <w:t>1.3 招标</w:t>
      </w:r>
      <w:bookmarkEnd w:id="10"/>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1" w:name="_Toc718"/>
      <w:r>
        <w:rPr>
          <w:rFonts w:hint="eastAsia" w:ascii="宋体" w:hAnsi="宋体" w:eastAsia="宋体" w:cs="宋体"/>
          <w:b/>
          <w:bCs/>
          <w:kern w:val="0"/>
          <w:sz w:val="22"/>
        </w:rPr>
        <w:t>1.4 招标方式</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2" w:name="_Toc9161"/>
      <w:r>
        <w:rPr>
          <w:rFonts w:hint="eastAsia" w:ascii="宋体" w:hAnsi="宋体" w:eastAsia="宋体" w:cs="宋体"/>
          <w:b/>
          <w:bCs/>
          <w:kern w:val="0"/>
          <w:sz w:val="22"/>
        </w:rPr>
        <w:t>1.5 资格审查</w:t>
      </w:r>
      <w:bookmarkEnd w:id="1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3" w:name="_Toc13012"/>
      <w:r>
        <w:rPr>
          <w:rFonts w:hint="eastAsia" w:ascii="宋体" w:hAnsi="宋体" w:eastAsia="宋体" w:cs="宋体"/>
          <w:b/>
          <w:bCs/>
          <w:kern w:val="0"/>
          <w:sz w:val="22"/>
        </w:rPr>
        <w:t>1.6 投标人资质条件、能力和信誉</w:t>
      </w:r>
      <w:bookmarkEnd w:id="1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4" w:name="_Toc2796"/>
      <w:r>
        <w:rPr>
          <w:rFonts w:hint="eastAsia" w:ascii="宋体" w:hAnsi="宋体" w:eastAsia="宋体" w:cs="宋体"/>
          <w:b/>
          <w:bCs/>
          <w:kern w:val="0"/>
          <w:sz w:val="22"/>
        </w:rPr>
        <w:t>1.7 供货期</w:t>
      </w:r>
      <w:bookmarkEnd w:id="1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15"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1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16" w:name="_Toc4199"/>
      <w:r>
        <w:rPr>
          <w:rFonts w:hint="eastAsia" w:ascii="宋体" w:hAnsi="宋体" w:eastAsia="宋体" w:cs="宋体"/>
          <w:b/>
          <w:bCs/>
          <w:kern w:val="0"/>
          <w:sz w:val="22"/>
        </w:rPr>
        <w:t>1.10 投标预备会</w:t>
      </w:r>
      <w:bookmarkEnd w:id="1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7" w:name="_Toc4584"/>
      <w:r>
        <w:rPr>
          <w:rFonts w:hint="eastAsia" w:ascii="宋体" w:hAnsi="宋体" w:eastAsia="宋体" w:cs="宋体"/>
          <w:b/>
          <w:bCs/>
          <w:kern w:val="0"/>
          <w:sz w:val="22"/>
        </w:rPr>
        <w:t>1.11 分包</w:t>
      </w:r>
      <w:bookmarkEnd w:id="1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18" w:name="_Toc3996"/>
      <w:r>
        <w:rPr>
          <w:rFonts w:hint="eastAsia" w:ascii="宋体" w:hAnsi="宋体" w:eastAsia="宋体" w:cs="宋体"/>
          <w:b/>
          <w:bCs/>
          <w:kern w:val="0"/>
          <w:sz w:val="22"/>
        </w:rPr>
        <w:t>1.12 投标费用</w:t>
      </w:r>
      <w:bookmarkEnd w:id="1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9" w:name="_Toc143421657"/>
      <w:bookmarkStart w:id="20" w:name="_Toc15241"/>
      <w:r>
        <w:rPr>
          <w:rFonts w:hint="eastAsia" w:ascii="宋体" w:hAnsi="宋体" w:eastAsia="宋体" w:cs="宋体"/>
          <w:b/>
          <w:bCs/>
          <w:kern w:val="0"/>
          <w:sz w:val="22"/>
        </w:rPr>
        <w:t>2.招标文件</w:t>
      </w:r>
      <w:bookmarkEnd w:id="19"/>
      <w:bookmarkEnd w:id="20"/>
    </w:p>
    <w:p>
      <w:pPr>
        <w:autoSpaceDE w:val="0"/>
        <w:autoSpaceDN w:val="0"/>
        <w:adjustRightInd w:val="0"/>
        <w:snapToGrid w:val="0"/>
        <w:spacing w:line="360" w:lineRule="exact"/>
        <w:rPr>
          <w:rFonts w:ascii="宋体" w:hAnsi="宋体" w:eastAsia="宋体" w:cs="宋体"/>
          <w:b/>
          <w:bCs/>
          <w:kern w:val="0"/>
          <w:sz w:val="22"/>
        </w:rPr>
      </w:pPr>
      <w:bookmarkStart w:id="21" w:name="_Toc1426"/>
      <w:r>
        <w:rPr>
          <w:rFonts w:hint="eastAsia" w:ascii="宋体" w:hAnsi="宋体" w:eastAsia="宋体" w:cs="宋体"/>
          <w:b/>
          <w:bCs/>
          <w:kern w:val="0"/>
          <w:sz w:val="22"/>
        </w:rPr>
        <w:t>2.1 招标文件的组成</w:t>
      </w:r>
      <w:bookmarkEnd w:id="2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（3）货物需求一览表及技术规格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22" w:name="_Toc18230"/>
      <w:r>
        <w:rPr>
          <w:rFonts w:hint="eastAsia" w:ascii="宋体" w:hAnsi="宋体" w:eastAsia="宋体" w:cs="宋体"/>
          <w:b/>
          <w:bCs/>
          <w:kern w:val="0"/>
          <w:sz w:val="22"/>
        </w:rPr>
        <w:t>2.2 招标文件的澄清</w:t>
      </w:r>
      <w:bookmarkEnd w:id="2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w:t>
      </w:r>
      <w:r>
        <w:rPr>
          <w:rFonts w:hint="eastAsia" w:ascii="宋体" w:hAnsi="宋体" w:eastAsia="宋体" w:cs="宋体"/>
          <w:color w:val="000000"/>
          <w:szCs w:val="21"/>
        </w:rPr>
        <w:t>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23" w:name="_Toc18303"/>
      <w:r>
        <w:rPr>
          <w:rFonts w:hint="eastAsia" w:ascii="宋体" w:hAnsi="宋体" w:eastAsia="宋体" w:cs="宋体"/>
          <w:b/>
          <w:bCs/>
          <w:kern w:val="0"/>
          <w:sz w:val="22"/>
        </w:rPr>
        <w:t>2.3 招标文件的修改</w:t>
      </w:r>
      <w:bookmarkEnd w:id="23"/>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宋体"/>
          <w:b/>
          <w:bCs/>
          <w:kern w:val="0"/>
          <w:sz w:val="22"/>
        </w:rPr>
      </w:pPr>
      <w:bookmarkStart w:id="24" w:name="_Toc18870"/>
      <w:bookmarkStart w:id="25" w:name="_Toc143421658"/>
      <w:r>
        <w:rPr>
          <w:rFonts w:hint="eastAsia" w:ascii="宋体" w:hAnsi="宋体" w:eastAsia="宋体" w:cs="宋体"/>
          <w:b/>
          <w:bCs/>
          <w:kern w:val="0"/>
          <w:sz w:val="22"/>
        </w:rPr>
        <w:t>3.投标文件</w:t>
      </w:r>
      <w:bookmarkEnd w:id="24"/>
      <w:bookmarkEnd w:id="25"/>
    </w:p>
    <w:p>
      <w:pPr>
        <w:autoSpaceDE w:val="0"/>
        <w:autoSpaceDN w:val="0"/>
        <w:adjustRightInd w:val="0"/>
        <w:snapToGrid w:val="0"/>
        <w:spacing w:line="360" w:lineRule="exact"/>
        <w:rPr>
          <w:rFonts w:ascii="宋体" w:hAnsi="宋体" w:eastAsia="宋体" w:cs="宋体"/>
          <w:b/>
          <w:bCs/>
          <w:kern w:val="0"/>
          <w:sz w:val="22"/>
        </w:rPr>
      </w:pPr>
      <w:bookmarkStart w:id="26" w:name="_Toc461"/>
      <w:r>
        <w:rPr>
          <w:rFonts w:hint="eastAsia" w:ascii="宋体" w:hAnsi="宋体" w:eastAsia="宋体" w:cs="宋体"/>
          <w:b/>
          <w:bCs/>
          <w:kern w:val="0"/>
          <w:sz w:val="22"/>
        </w:rPr>
        <w:t>3.1 投标文件的语言和计量单位</w:t>
      </w:r>
      <w:bookmarkEnd w:id="2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“销售（供货）合同”。</w:t>
      </w:r>
    </w:p>
    <w:p>
      <w:pPr>
        <w:autoSpaceDE w:val="0"/>
        <w:autoSpaceDN w:val="0"/>
        <w:adjustRightInd w:val="0"/>
        <w:snapToGrid w:val="0"/>
        <w:spacing w:line="360" w:lineRule="exact"/>
        <w:rPr>
          <w:rFonts w:ascii="宋体" w:hAnsi="宋体" w:eastAsia="宋体" w:cs="宋体"/>
          <w:b/>
          <w:bCs/>
          <w:kern w:val="0"/>
          <w:sz w:val="22"/>
        </w:rPr>
      </w:pPr>
      <w:bookmarkStart w:id="27" w:name="_Toc1411"/>
      <w:r>
        <w:rPr>
          <w:rFonts w:hint="eastAsia" w:ascii="宋体" w:hAnsi="宋体" w:eastAsia="宋体" w:cs="宋体"/>
          <w:b/>
          <w:bCs/>
          <w:kern w:val="0"/>
          <w:sz w:val="22"/>
        </w:rPr>
        <w:t>3.2 投标文件的组成</w:t>
      </w:r>
      <w:bookmarkEnd w:id="27"/>
    </w:p>
    <w:p>
      <w:pPr>
        <w:adjustRightInd w:val="0"/>
        <w:snapToGrid w:val="0"/>
        <w:spacing w:line="360" w:lineRule="exact"/>
        <w:ind w:firstLine="440"/>
        <w:rPr>
          <w:rFonts w:ascii="宋体" w:hAnsi="宋体" w:eastAsia="宋体" w:cs="宋体"/>
          <w:sz w:val="22"/>
        </w:rPr>
      </w:pPr>
      <w:bookmarkStart w:id="28" w:name="_Toc32225"/>
      <w:r>
        <w:rPr>
          <w:rFonts w:hint="eastAsia" w:ascii="宋体" w:hAnsi="宋体" w:eastAsia="宋体" w:cs="宋体"/>
          <w:sz w:val="22"/>
        </w:rPr>
        <w:t>3.2.1投标函；</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3.2.2法定代表人资格证明书；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3.2.3授权委托书；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3.2.4 投标报价表；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设备制造商出具的授权书（代理商投标时提供）</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3.2.6技术规格偏离表；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3.2.7 商务条款响应偏离表；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3.2.9技术参数、结构及性能特点等产品技术规格书；</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3.2.10主要原材料及部件性能和生产厂家；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3.2.11产品制造、安装、验收标准和验收方法；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3.2.12现场指导、调试；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3.2.13产品的技术服务和售后服务的内容、措施、承诺；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3.2.14提供详细的培训计划，包括培训内容、培训时间、培训人数等；</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3.2.15关于质量保证期的说明；</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3.2.17</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8"/>
    </w:p>
    <w:p>
      <w:pPr>
        <w:adjustRightInd w:val="0"/>
        <w:snapToGrid w:val="0"/>
        <w:spacing w:line="360" w:lineRule="exact"/>
        <w:ind w:firstLine="440"/>
        <w:rPr>
          <w:rFonts w:ascii="宋体" w:hAnsi="宋体" w:eastAsia="宋体" w:cs="宋体"/>
          <w:sz w:val="22"/>
        </w:rPr>
      </w:pPr>
      <w:bookmarkStart w:id="29" w:name="_Toc13307"/>
      <w:r>
        <w:rPr>
          <w:rFonts w:hint="eastAsia" w:ascii="宋体" w:hAnsi="宋体" w:eastAsia="宋体" w:cs="宋体"/>
          <w:sz w:val="22"/>
        </w:rPr>
        <w:t>3.3.1投标人递交的投标函及投标报价表中的投标总价必须一致。投标人对该项目只允许有一个总报价，招标人不接受任何有选择的报价及修正报价；</w:t>
      </w:r>
    </w:p>
    <w:p>
      <w:pPr>
        <w:adjustRightInd w:val="0"/>
        <w:snapToGrid w:val="0"/>
        <w:spacing w:line="360" w:lineRule="exact"/>
        <w:ind w:firstLine="440"/>
        <w:rPr>
          <w:rFonts w:ascii="宋体" w:hAnsi="宋体" w:eastAsia="宋体" w:cs="宋体"/>
          <w:bCs/>
          <w:sz w:val="22"/>
        </w:rPr>
      </w:pPr>
      <w:r>
        <w:rPr>
          <w:rFonts w:hint="eastAsia" w:ascii="宋体" w:hAnsi="宋体" w:eastAsia="宋体" w:cs="宋体"/>
          <w:sz w:val="22"/>
        </w:rPr>
        <w:t>3.3.2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eastAsia="宋体" w:cs="宋体"/>
          <w:bCs/>
          <w:sz w:val="22"/>
        </w:rPr>
        <w:t xml:space="preserve"> </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3.3.3投标人应按“投标报价表”的要求报价，在投标报价表上写明拟提供货物的单价和总价；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3.3.6投标人对每种货物只允许有一个报价。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3.3.7招标人不接受任何折扣优惠报价，不接受任何赠送和选择性报价。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3.3.9其它须在报价中考虑的因素：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（2）交付验收前产品的保护费由投标人自行考虑并计入总价。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3.3.10</w:t>
      </w:r>
      <w:r>
        <w:rPr>
          <w:rFonts w:hint="eastAsia" w:ascii="宋体" w:hAnsi="宋体" w:eastAsia="宋体" w:cs="宋体"/>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b/>
          <w:color w:val="000000"/>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9"/>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30" w:name="_Toc30464"/>
      <w:r>
        <w:rPr>
          <w:rFonts w:hint="eastAsia" w:ascii="宋体" w:hAnsi="宋体" w:eastAsia="宋体" w:cs="宋体"/>
          <w:b/>
          <w:bCs/>
          <w:kern w:val="0"/>
          <w:sz w:val="22"/>
        </w:rPr>
        <w:t>3.5 投标保证金</w:t>
      </w:r>
      <w:bookmarkEnd w:id="30"/>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3.5.2招标人与中标人签订合同书后5日内，应当向未中标的投标人和中标人</w:t>
      </w:r>
      <w:r>
        <w:rPr>
          <w:rFonts w:hint="eastAsia" w:ascii="宋体" w:hAnsi="宋体" w:eastAsia="宋体" w:cs="宋体"/>
          <w:sz w:val="22"/>
        </w:rPr>
        <w:t>附息</w:t>
      </w:r>
      <w:r>
        <w:rPr>
          <w:rFonts w:hint="eastAsia" w:ascii="宋体" w:hAnsi="宋体" w:eastAsia="宋体" w:cs="宋体"/>
          <w:kern w:val="0"/>
          <w:sz w:val="22"/>
        </w:rPr>
        <w:t>退还投标保证金。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31" w:name="_Toc29989"/>
      <w:r>
        <w:rPr>
          <w:rFonts w:hint="eastAsia" w:ascii="宋体" w:hAnsi="宋体" w:eastAsia="宋体" w:cs="宋体"/>
          <w:b/>
          <w:bCs/>
          <w:kern w:val="0"/>
          <w:sz w:val="22"/>
        </w:rPr>
        <w:t>3.6 投标文件的编制</w:t>
      </w:r>
      <w:bookmarkEnd w:id="3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32" w:name="_Toc143421659"/>
    </w:p>
    <w:p>
      <w:pPr>
        <w:autoSpaceDE w:val="0"/>
        <w:autoSpaceDN w:val="0"/>
        <w:adjustRightInd w:val="0"/>
        <w:snapToGrid w:val="0"/>
        <w:spacing w:line="360" w:lineRule="exact"/>
        <w:rPr>
          <w:rFonts w:ascii="宋体" w:hAnsi="宋体" w:eastAsia="宋体" w:cs="宋体"/>
          <w:b/>
          <w:bCs/>
          <w:kern w:val="0"/>
          <w:sz w:val="22"/>
        </w:rPr>
      </w:pPr>
      <w:bookmarkStart w:id="33" w:name="_Toc32652"/>
      <w:r>
        <w:rPr>
          <w:rFonts w:hint="eastAsia" w:ascii="宋体" w:hAnsi="宋体" w:eastAsia="宋体" w:cs="宋体"/>
          <w:b/>
          <w:bCs/>
          <w:kern w:val="0"/>
          <w:sz w:val="22"/>
        </w:rPr>
        <w:t>4.投标</w:t>
      </w:r>
      <w:bookmarkEnd w:id="32"/>
      <w:bookmarkEnd w:id="33"/>
    </w:p>
    <w:p>
      <w:pPr>
        <w:autoSpaceDE w:val="0"/>
        <w:autoSpaceDN w:val="0"/>
        <w:adjustRightInd w:val="0"/>
        <w:snapToGrid w:val="0"/>
        <w:spacing w:line="360" w:lineRule="exact"/>
        <w:rPr>
          <w:rFonts w:ascii="宋体" w:hAnsi="宋体" w:eastAsia="宋体" w:cs="宋体"/>
          <w:b/>
          <w:bCs/>
          <w:kern w:val="0"/>
          <w:sz w:val="22"/>
        </w:rPr>
      </w:pPr>
      <w:bookmarkStart w:id="34" w:name="_Toc649"/>
      <w:r>
        <w:rPr>
          <w:rFonts w:hint="eastAsia" w:ascii="宋体" w:hAnsi="宋体" w:eastAsia="宋体" w:cs="宋体"/>
          <w:b/>
          <w:bCs/>
          <w:kern w:val="0"/>
          <w:sz w:val="22"/>
        </w:rPr>
        <w:t>4.1 投标文件的密封和标识</w:t>
      </w:r>
      <w:bookmarkEnd w:id="34"/>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35" w:name="_Toc16616"/>
      <w:r>
        <w:rPr>
          <w:rFonts w:hint="eastAsia" w:ascii="宋体" w:hAnsi="宋体" w:eastAsia="宋体" w:cs="宋体"/>
          <w:b/>
          <w:bCs/>
          <w:kern w:val="0"/>
          <w:sz w:val="22"/>
        </w:rPr>
        <w:t xml:space="preserve">4.2 投标文件的递交 </w:t>
      </w:r>
      <w:bookmarkEnd w:id="35"/>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36" w:name="_Toc26099"/>
      <w:r>
        <w:rPr>
          <w:rFonts w:hint="eastAsia" w:ascii="宋体" w:hAnsi="宋体" w:eastAsia="宋体" w:cs="宋体"/>
          <w:b/>
          <w:bCs/>
          <w:kern w:val="0"/>
          <w:sz w:val="22"/>
        </w:rPr>
        <w:t>4.3 投标文件的修改和撤回</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7" w:name="_Toc29641"/>
      <w:r>
        <w:rPr>
          <w:rFonts w:hint="eastAsia" w:ascii="宋体" w:hAnsi="宋体" w:eastAsia="宋体" w:cs="宋体"/>
          <w:b/>
          <w:bCs/>
          <w:kern w:val="0"/>
          <w:sz w:val="22"/>
        </w:rPr>
        <w:t>5.开标</w:t>
      </w:r>
      <w:bookmarkEnd w:id="37"/>
    </w:p>
    <w:p>
      <w:pPr>
        <w:autoSpaceDE w:val="0"/>
        <w:autoSpaceDN w:val="0"/>
        <w:adjustRightInd w:val="0"/>
        <w:snapToGrid w:val="0"/>
        <w:spacing w:line="360" w:lineRule="exact"/>
        <w:rPr>
          <w:rFonts w:ascii="宋体" w:hAnsi="宋体" w:eastAsia="宋体" w:cs="宋体"/>
          <w:b/>
          <w:bCs/>
          <w:kern w:val="0"/>
          <w:sz w:val="22"/>
        </w:rPr>
      </w:pPr>
      <w:bookmarkStart w:id="38" w:name="_Toc15123"/>
      <w:r>
        <w:rPr>
          <w:rFonts w:hint="eastAsia" w:ascii="宋体" w:hAnsi="宋体" w:eastAsia="宋体" w:cs="宋体"/>
          <w:b/>
          <w:bCs/>
          <w:kern w:val="0"/>
          <w:sz w:val="22"/>
        </w:rPr>
        <w:t>5.1 开标时间和地点</w:t>
      </w:r>
      <w:bookmarkEnd w:id="3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9" w:name="_Toc7101"/>
      <w:r>
        <w:rPr>
          <w:rFonts w:hint="eastAsia" w:ascii="宋体" w:hAnsi="宋体" w:eastAsia="宋体" w:cs="宋体"/>
          <w:b/>
          <w:bCs/>
          <w:kern w:val="0"/>
          <w:sz w:val="22"/>
        </w:rPr>
        <w:t>5.2 开标程序</w:t>
      </w:r>
      <w:bookmarkEnd w:id="39"/>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40" w:name="_Toc31578"/>
      <w:r>
        <w:rPr>
          <w:rFonts w:hint="eastAsia" w:ascii="宋体" w:hAnsi="宋体" w:eastAsia="宋体" w:cs="宋体"/>
          <w:b/>
          <w:bCs/>
          <w:kern w:val="0"/>
          <w:sz w:val="22"/>
        </w:rPr>
        <w:t>6.评标</w:t>
      </w:r>
      <w:bookmarkEnd w:id="40"/>
    </w:p>
    <w:p>
      <w:pPr>
        <w:autoSpaceDE w:val="0"/>
        <w:autoSpaceDN w:val="0"/>
        <w:adjustRightInd w:val="0"/>
        <w:snapToGrid w:val="0"/>
        <w:spacing w:line="360" w:lineRule="exact"/>
        <w:rPr>
          <w:rFonts w:ascii="宋体" w:hAnsi="宋体" w:eastAsia="宋体" w:cs="宋体"/>
          <w:b/>
          <w:bCs/>
          <w:kern w:val="0"/>
          <w:sz w:val="22"/>
        </w:rPr>
      </w:pPr>
      <w:bookmarkStart w:id="41" w:name="_Toc10279"/>
      <w:r>
        <w:rPr>
          <w:rFonts w:hint="eastAsia" w:ascii="宋体" w:hAnsi="宋体" w:eastAsia="宋体" w:cs="宋体"/>
          <w:b/>
          <w:bCs/>
          <w:kern w:val="0"/>
          <w:sz w:val="22"/>
        </w:rPr>
        <w:t>6.1 评标委员会</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42" w:name="_Toc3460"/>
      <w:r>
        <w:rPr>
          <w:rFonts w:hint="eastAsia" w:ascii="宋体" w:hAnsi="宋体" w:eastAsia="宋体" w:cs="宋体"/>
          <w:b/>
          <w:bCs/>
          <w:kern w:val="0"/>
          <w:sz w:val="22"/>
        </w:rPr>
        <w:t>6.2 评标原则</w:t>
      </w:r>
      <w:bookmarkEnd w:id="4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43" w:name="_Toc28178"/>
      <w:r>
        <w:rPr>
          <w:rFonts w:hint="eastAsia" w:ascii="宋体" w:hAnsi="宋体" w:eastAsia="宋体" w:cs="宋体"/>
          <w:b/>
          <w:bCs/>
          <w:kern w:val="0"/>
          <w:sz w:val="22"/>
        </w:rPr>
        <w:t>6.3 评标</w:t>
      </w:r>
      <w:bookmarkEnd w:id="4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44" w:name="_Toc24237"/>
      <w:r>
        <w:rPr>
          <w:rFonts w:hint="eastAsia" w:ascii="宋体" w:hAnsi="宋体" w:eastAsia="宋体" w:cs="宋体"/>
          <w:b/>
          <w:bCs/>
          <w:kern w:val="0"/>
          <w:sz w:val="22"/>
        </w:rPr>
        <w:t>7.合同授予</w:t>
      </w:r>
      <w:bookmarkEnd w:id="44"/>
    </w:p>
    <w:p>
      <w:pPr>
        <w:autoSpaceDE w:val="0"/>
        <w:autoSpaceDN w:val="0"/>
        <w:adjustRightInd w:val="0"/>
        <w:snapToGrid w:val="0"/>
        <w:spacing w:line="360" w:lineRule="exact"/>
        <w:rPr>
          <w:rFonts w:ascii="宋体" w:hAnsi="宋体" w:eastAsia="宋体" w:cs="宋体"/>
          <w:b/>
          <w:bCs/>
          <w:kern w:val="0"/>
          <w:sz w:val="22"/>
        </w:rPr>
      </w:pPr>
      <w:bookmarkStart w:id="45" w:name="_Toc18809"/>
      <w:r>
        <w:rPr>
          <w:rFonts w:hint="eastAsia" w:ascii="宋体" w:hAnsi="宋体" w:eastAsia="宋体" w:cs="宋体"/>
          <w:b/>
          <w:bCs/>
          <w:kern w:val="0"/>
          <w:sz w:val="22"/>
        </w:rPr>
        <w:t>7.1 定标方式</w:t>
      </w:r>
      <w:bookmarkEnd w:id="4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46" w:name="_Toc14573"/>
      <w:r>
        <w:rPr>
          <w:rFonts w:hint="eastAsia" w:ascii="宋体" w:hAnsi="宋体" w:eastAsia="宋体" w:cs="宋体"/>
          <w:b/>
          <w:bCs/>
          <w:kern w:val="0"/>
          <w:sz w:val="22"/>
        </w:rPr>
        <w:t>7.2 中标通知</w:t>
      </w:r>
      <w:bookmarkEnd w:id="4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7" w:name="_Toc27132"/>
      <w:r>
        <w:rPr>
          <w:rFonts w:hint="eastAsia" w:ascii="宋体" w:hAnsi="宋体" w:eastAsia="宋体" w:cs="宋体"/>
          <w:b/>
          <w:bCs/>
          <w:kern w:val="0"/>
          <w:sz w:val="22"/>
        </w:rPr>
        <w:t>7.3 履约保证金</w:t>
      </w:r>
      <w:bookmarkEnd w:id="4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8" w:name="_Toc27581"/>
      <w:r>
        <w:rPr>
          <w:rFonts w:hint="eastAsia" w:ascii="宋体" w:hAnsi="宋体" w:eastAsia="宋体" w:cs="宋体"/>
          <w:b/>
          <w:bCs/>
          <w:kern w:val="0"/>
          <w:sz w:val="22"/>
        </w:rPr>
        <w:t>7.4 签订合同</w:t>
      </w:r>
      <w:bookmarkEnd w:id="48"/>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9" w:name="_Toc11806"/>
      <w:bookmarkStart w:id="50" w:name="_Toc219809801"/>
      <w:bookmarkStart w:id="51" w:name="_Toc220123241"/>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9"/>
      <w:bookmarkEnd w:id="50"/>
      <w:bookmarkEnd w:id="51"/>
    </w:p>
    <w:p>
      <w:pPr>
        <w:autoSpaceDE w:val="0"/>
        <w:autoSpaceDN w:val="0"/>
        <w:adjustRightInd w:val="0"/>
        <w:snapToGrid w:val="0"/>
        <w:spacing w:line="360" w:lineRule="exact"/>
        <w:rPr>
          <w:rFonts w:ascii="宋体" w:hAnsi="宋体" w:eastAsia="宋体" w:cs="宋体"/>
          <w:b/>
          <w:bCs/>
          <w:kern w:val="0"/>
          <w:sz w:val="22"/>
        </w:rPr>
      </w:pPr>
      <w:bookmarkStart w:id="52" w:name="_Toc15553"/>
      <w:bookmarkStart w:id="53" w:name="_Toc220123242"/>
      <w:bookmarkStart w:id="54" w:name="_Toc219809802"/>
      <w:r>
        <w:rPr>
          <w:rFonts w:hint="eastAsia" w:ascii="宋体" w:hAnsi="宋体" w:eastAsia="宋体" w:cs="宋体"/>
          <w:b/>
          <w:bCs/>
          <w:kern w:val="0"/>
          <w:sz w:val="22"/>
        </w:rPr>
        <w:t>8.1 重新招标</w:t>
      </w:r>
      <w:bookmarkEnd w:id="52"/>
      <w:bookmarkEnd w:id="53"/>
      <w:bookmarkEnd w:id="54"/>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55" w:name="_Toc220123243"/>
      <w:bookmarkStart w:id="56" w:name="_Toc18806"/>
      <w:bookmarkStart w:id="57" w:name="_Toc219809803"/>
      <w:r>
        <w:rPr>
          <w:rFonts w:hint="eastAsia" w:ascii="宋体" w:hAnsi="宋体" w:eastAsia="宋体" w:cs="宋体"/>
          <w:b/>
          <w:bCs/>
          <w:kern w:val="0"/>
          <w:sz w:val="22"/>
        </w:rPr>
        <w:t>8.2 不再招标</w:t>
      </w:r>
      <w:bookmarkEnd w:id="55"/>
      <w:bookmarkEnd w:id="56"/>
      <w:bookmarkEnd w:id="57"/>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8" w:name="_Toc220123244"/>
      <w:bookmarkStart w:id="59" w:name="_Toc2986"/>
      <w:bookmarkStart w:id="60" w:name="_Toc215941254"/>
      <w:bookmarkStart w:id="61" w:name="_Toc219809804"/>
      <w:r>
        <w:rPr>
          <w:rFonts w:hint="eastAsia" w:ascii="宋体" w:hAnsi="宋体" w:eastAsia="宋体" w:cs="宋体"/>
          <w:b/>
          <w:bCs/>
          <w:kern w:val="0"/>
          <w:sz w:val="22"/>
        </w:rPr>
        <w:t>9.纪律和监督</w:t>
      </w:r>
      <w:bookmarkEnd w:id="58"/>
      <w:bookmarkEnd w:id="59"/>
      <w:bookmarkEnd w:id="60"/>
      <w:bookmarkEnd w:id="61"/>
    </w:p>
    <w:p>
      <w:pPr>
        <w:autoSpaceDE w:val="0"/>
        <w:autoSpaceDN w:val="0"/>
        <w:adjustRightInd w:val="0"/>
        <w:snapToGrid w:val="0"/>
        <w:spacing w:line="360" w:lineRule="exact"/>
        <w:rPr>
          <w:rFonts w:ascii="宋体" w:hAnsi="宋体" w:eastAsia="宋体" w:cs="宋体"/>
          <w:b/>
          <w:bCs/>
          <w:kern w:val="0"/>
          <w:sz w:val="22"/>
        </w:rPr>
      </w:pPr>
      <w:bookmarkStart w:id="62" w:name="_Toc220123245"/>
      <w:bookmarkStart w:id="63" w:name="_Toc5509"/>
      <w:bookmarkStart w:id="64" w:name="_Toc219809805"/>
      <w:r>
        <w:rPr>
          <w:rFonts w:hint="eastAsia" w:ascii="宋体" w:hAnsi="宋体" w:eastAsia="宋体" w:cs="宋体"/>
          <w:b/>
          <w:bCs/>
          <w:kern w:val="0"/>
          <w:sz w:val="22"/>
        </w:rPr>
        <w:t>9.1 对招标人的纪律要求</w:t>
      </w:r>
      <w:bookmarkEnd w:id="62"/>
      <w:bookmarkEnd w:id="63"/>
      <w:bookmarkEnd w:id="6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65" w:name="_Toc219809806"/>
      <w:bookmarkStart w:id="66" w:name="_Toc10820"/>
      <w:bookmarkStart w:id="67" w:name="_Toc220123246"/>
      <w:r>
        <w:rPr>
          <w:rFonts w:hint="eastAsia" w:ascii="宋体" w:hAnsi="宋体" w:eastAsia="宋体" w:cs="宋体"/>
          <w:b/>
          <w:bCs/>
          <w:kern w:val="0"/>
          <w:sz w:val="22"/>
        </w:rPr>
        <w:t>9.2 对投标人的纪律要求</w:t>
      </w:r>
      <w:bookmarkEnd w:id="65"/>
      <w:bookmarkEnd w:id="66"/>
      <w:bookmarkEnd w:id="6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8" w:name="_Toc220123247"/>
      <w:bookmarkStart w:id="69" w:name="_Toc219809807"/>
      <w:bookmarkStart w:id="70" w:name="_Toc10756"/>
      <w:r>
        <w:rPr>
          <w:rFonts w:hint="eastAsia" w:ascii="宋体" w:hAnsi="宋体" w:eastAsia="宋体" w:cs="宋体"/>
          <w:b/>
          <w:bCs/>
          <w:kern w:val="0"/>
          <w:sz w:val="22"/>
        </w:rPr>
        <w:t>9.3 对评标委员会成员的纪律要求</w:t>
      </w:r>
      <w:bookmarkEnd w:id="68"/>
      <w:bookmarkEnd w:id="69"/>
      <w:bookmarkEnd w:id="7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71" w:name="_Toc12792"/>
      <w:bookmarkStart w:id="72" w:name="_Toc219809808"/>
      <w:bookmarkStart w:id="73" w:name="_Toc220123248"/>
      <w:r>
        <w:rPr>
          <w:rFonts w:hint="eastAsia" w:ascii="宋体" w:hAnsi="宋体" w:eastAsia="宋体" w:cs="宋体"/>
          <w:b/>
          <w:bCs/>
          <w:kern w:val="0"/>
          <w:sz w:val="22"/>
        </w:rPr>
        <w:t>9.4 对评标活动有关的工作人员的纪律要求</w:t>
      </w:r>
      <w:bookmarkEnd w:id="71"/>
      <w:bookmarkEnd w:id="72"/>
      <w:bookmarkEnd w:id="7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74" w:name="_Toc220123249"/>
      <w:bookmarkStart w:id="75" w:name="_Toc219809809"/>
      <w:bookmarkStart w:id="76" w:name="_Toc239"/>
      <w:r>
        <w:rPr>
          <w:rFonts w:hint="eastAsia" w:ascii="宋体" w:hAnsi="宋体" w:eastAsia="宋体" w:cs="宋体"/>
          <w:b/>
          <w:bCs/>
          <w:kern w:val="0"/>
          <w:sz w:val="22"/>
        </w:rPr>
        <w:t>9.5 投诉</w:t>
      </w:r>
      <w:bookmarkEnd w:id="74"/>
      <w:bookmarkEnd w:id="75"/>
      <w:bookmarkEnd w:id="7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7" w:name="_Toc10817"/>
      <w:r>
        <w:rPr>
          <w:rFonts w:hint="eastAsia" w:ascii="宋体" w:hAnsi="宋体" w:eastAsia="宋体" w:cs="宋体"/>
          <w:b/>
          <w:bCs/>
          <w:kern w:val="0"/>
          <w:sz w:val="22"/>
        </w:rPr>
        <w:t>10. 需要补充的其他内容</w:t>
      </w:r>
      <w:bookmarkEnd w:id="77"/>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spacing w:line="560" w:lineRule="exact"/>
        <w:rPr>
          <w:rFonts w:ascii="宋体" w:hAnsi="宋体" w:eastAsia="宋体" w:cs="宋体"/>
        </w:rPr>
      </w:pPr>
    </w:p>
    <w:p>
      <w:pPr>
        <w:spacing w:line="560" w:lineRule="exact"/>
        <w:jc w:val="center"/>
        <w:rPr>
          <w:rFonts w:ascii="宋体" w:hAnsi="宋体" w:eastAsia="宋体" w:cs="宋体"/>
        </w:rPr>
      </w:pPr>
    </w:p>
    <w:p>
      <w:pPr>
        <w:snapToGrid w:val="0"/>
        <w:spacing w:line="560" w:lineRule="exact"/>
        <w:rPr>
          <w:rFonts w:ascii="宋体" w:hAnsi="宋体" w:eastAsia="宋体" w:cs="宋体"/>
        </w:rPr>
      </w:pPr>
    </w:p>
    <w:p>
      <w:pPr>
        <w:pStyle w:val="51"/>
        <w:rPr>
          <w:rFonts w:ascii="宋体" w:hAnsi="宋体" w:eastAsia="宋体" w:cs="宋体"/>
          <w:color w:val="000000"/>
          <w:kern w:val="2"/>
        </w:rPr>
      </w:pPr>
      <w:r>
        <w:rPr>
          <w:rFonts w:hint="eastAsia" w:ascii="宋体" w:hAnsi="宋体" w:eastAsia="宋体" w:cs="宋体"/>
          <w:b w:val="0"/>
          <w:bCs w:val="0"/>
          <w:color w:val="000000"/>
          <w:kern w:val="2"/>
          <w:sz w:val="22"/>
          <w:szCs w:val="24"/>
        </w:rPr>
        <w:br w:type="page"/>
      </w:r>
      <w:bookmarkStart w:id="78" w:name="_Toc321925453"/>
      <w:r>
        <w:rPr>
          <w:rFonts w:hint="eastAsia" w:ascii="宋体" w:hAnsi="宋体" w:eastAsia="宋体" w:cs="宋体"/>
          <w:color w:val="000000"/>
          <w:kern w:val="2"/>
        </w:rPr>
        <w:t>第三章  货物需求一览表及技术规格</w:t>
      </w:r>
      <w:bookmarkEnd w:id="78"/>
    </w:p>
    <w:p>
      <w:pPr>
        <w:rPr>
          <w:color w:val="000000"/>
        </w:rPr>
      </w:pPr>
    </w:p>
    <w:p>
      <w:pPr>
        <w:snapToGrid w:val="0"/>
        <w:spacing w:before="120" w:beforeLines="50" w:line="360" w:lineRule="auto"/>
        <w:outlineLvl w:val="1"/>
        <w:rPr>
          <w:rFonts w:ascii="宋体" w:hAnsi="宋体" w:eastAsia="宋体" w:cs="宋体"/>
          <w:b/>
          <w:bCs/>
          <w:color w:val="000000"/>
          <w:sz w:val="22"/>
        </w:rPr>
      </w:pPr>
      <w:r>
        <w:rPr>
          <w:rFonts w:hint="eastAsia" w:ascii="宋体" w:hAnsi="宋体" w:eastAsia="宋体" w:cs="宋体"/>
          <w:b/>
          <w:bCs/>
          <w:color w:val="000000"/>
          <w:sz w:val="22"/>
        </w:rPr>
        <w:t>一、 招标内容</w:t>
      </w:r>
    </w:p>
    <w:p>
      <w:pPr>
        <w:autoSpaceDE w:val="0"/>
        <w:autoSpaceDN w:val="0"/>
        <w:adjustRightInd w:val="0"/>
        <w:spacing w:line="360" w:lineRule="auto"/>
        <w:ind w:firstLine="440" w:firstLineChars="200"/>
        <w:jc w:val="left"/>
        <w:rPr>
          <w:rFonts w:ascii="宋体" w:hAnsi="宋体" w:eastAsia="宋体" w:cs="宋体"/>
          <w:color w:val="000000"/>
          <w:sz w:val="22"/>
        </w:rPr>
      </w:pPr>
      <w:r>
        <w:rPr>
          <w:rFonts w:hint="eastAsia" w:ascii="宋体" w:hAnsi="宋体" w:eastAsia="宋体" w:cs="宋体"/>
          <w:color w:val="000000"/>
          <w:sz w:val="22"/>
        </w:rPr>
        <w:t>杭州萧山国际机场飞行区高杆灯钢缆及电气控制系统、防坠落系统更新维护，供货期60日历天，投标人须按照投标价格供货（含安装），本项目包括以下内容：</w:t>
      </w:r>
    </w:p>
    <w:p>
      <w:pPr>
        <w:pStyle w:val="138"/>
        <w:spacing w:line="360" w:lineRule="auto"/>
        <w:ind w:firstLine="440" w:firstLineChars="200"/>
        <w:rPr>
          <w:rFonts w:ascii="宋体" w:hAnsi="宋体" w:eastAsia="宋体" w:cs="宋体"/>
          <w:b w:val="0"/>
          <w:color w:val="000000"/>
          <w:sz w:val="22"/>
          <w:szCs w:val="24"/>
        </w:rPr>
      </w:pPr>
      <w:r>
        <w:rPr>
          <w:rFonts w:hint="eastAsia" w:ascii="宋体" w:hAnsi="宋体" w:eastAsia="宋体" w:cs="宋体"/>
          <w:b w:val="0"/>
          <w:color w:val="000000"/>
          <w:sz w:val="22"/>
          <w:szCs w:val="24"/>
        </w:rPr>
        <w:t>1.更新47杆高杆灯所有钢缆；</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2.更新47杆高杆灯电气控制箱；</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3.更新47杆高杆灯防跌落系统的弹簧。</w:t>
      </w:r>
    </w:p>
    <w:p>
      <w:pPr>
        <w:snapToGrid w:val="0"/>
        <w:spacing w:before="120" w:beforeLines="50" w:line="360" w:lineRule="auto"/>
        <w:outlineLvl w:val="1"/>
        <w:rPr>
          <w:rFonts w:ascii="宋体" w:hAnsi="宋体" w:eastAsia="宋体" w:cs="宋体"/>
          <w:b/>
          <w:bCs/>
          <w:color w:val="000000"/>
          <w:sz w:val="22"/>
        </w:rPr>
      </w:pPr>
      <w:r>
        <w:rPr>
          <w:rFonts w:hint="eastAsia" w:ascii="宋体" w:hAnsi="宋体" w:eastAsia="宋体" w:cs="宋体"/>
          <w:b/>
          <w:bCs/>
          <w:color w:val="000000"/>
          <w:sz w:val="22"/>
        </w:rPr>
        <w:t>二、高杆灯技术参数要求</w:t>
      </w:r>
    </w:p>
    <w:p>
      <w:pPr>
        <w:autoSpaceDE w:val="0"/>
        <w:autoSpaceDN w:val="0"/>
        <w:adjustRightInd w:val="0"/>
        <w:spacing w:line="360" w:lineRule="auto"/>
        <w:ind w:firstLine="440" w:firstLineChars="200"/>
        <w:jc w:val="left"/>
        <w:rPr>
          <w:rFonts w:ascii="宋体" w:hAnsi="宋体" w:eastAsia="宋体" w:cs="宋体"/>
          <w:color w:val="000000"/>
          <w:sz w:val="22"/>
        </w:rPr>
      </w:pPr>
      <w:r>
        <w:rPr>
          <w:rFonts w:hint="eastAsia" w:ascii="宋体" w:hAnsi="宋体" w:eastAsia="宋体" w:cs="宋体"/>
          <w:color w:val="000000"/>
          <w:sz w:val="22"/>
        </w:rPr>
        <w:t>1. 设备明细及改造项目数量</w:t>
      </w:r>
    </w:p>
    <w:tbl>
      <w:tblPr>
        <w:tblStyle w:val="58"/>
        <w:tblW w:w="9462" w:type="dxa"/>
        <w:jc w:val="center"/>
        <w:tblInd w:w="0" w:type="dxa"/>
        <w:tblLayout w:type="fixed"/>
        <w:tblCellMar>
          <w:top w:w="0" w:type="dxa"/>
          <w:left w:w="108" w:type="dxa"/>
          <w:bottom w:w="0" w:type="dxa"/>
          <w:right w:w="108" w:type="dxa"/>
        </w:tblCellMar>
      </w:tblPr>
      <w:tblGrid>
        <w:gridCol w:w="727"/>
        <w:gridCol w:w="1425"/>
        <w:gridCol w:w="2118"/>
        <w:gridCol w:w="780"/>
        <w:gridCol w:w="870"/>
        <w:gridCol w:w="3542"/>
      </w:tblGrid>
      <w:tr>
        <w:tblPrEx>
          <w:tblLayout w:type="fixed"/>
          <w:tblCellMar>
            <w:top w:w="0" w:type="dxa"/>
            <w:left w:w="108" w:type="dxa"/>
            <w:bottom w:w="0" w:type="dxa"/>
            <w:right w:w="108" w:type="dxa"/>
          </w:tblCellMar>
        </w:tblPrEx>
        <w:trPr>
          <w:trHeight w:val="526"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设备名称</w:t>
            </w:r>
          </w:p>
        </w:tc>
        <w:tc>
          <w:tcPr>
            <w:tcW w:w="2118"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技术规格</w:t>
            </w:r>
          </w:p>
        </w:tc>
        <w:tc>
          <w:tcPr>
            <w:tcW w:w="78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单位</w:t>
            </w:r>
          </w:p>
        </w:tc>
        <w:tc>
          <w:tcPr>
            <w:tcW w:w="87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数量</w:t>
            </w:r>
          </w:p>
        </w:tc>
        <w:tc>
          <w:tcPr>
            <w:tcW w:w="3542"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备注</w:t>
            </w:r>
          </w:p>
        </w:tc>
      </w:tr>
      <w:tr>
        <w:tblPrEx>
          <w:tblLayout w:type="fixed"/>
          <w:tblCellMar>
            <w:top w:w="0" w:type="dxa"/>
            <w:left w:w="108" w:type="dxa"/>
            <w:bottom w:w="0" w:type="dxa"/>
            <w:right w:w="108" w:type="dxa"/>
          </w:tblCellMar>
        </w:tblPrEx>
        <w:trPr>
          <w:trHeight w:val="21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1</w:t>
            </w:r>
          </w:p>
        </w:tc>
        <w:tc>
          <w:tcPr>
            <w:tcW w:w="1425"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高杆灯钢缆</w:t>
            </w:r>
          </w:p>
        </w:tc>
        <w:tc>
          <w:tcPr>
            <w:tcW w:w="2118" w:type="dxa"/>
            <w:vMerge w:val="restart"/>
            <w:tcBorders>
              <w:top w:val="single" w:color="auto" w:sz="4" w:space="0"/>
              <w:left w:val="nil"/>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具体见技术要求</w:t>
            </w:r>
          </w:p>
        </w:tc>
        <w:tc>
          <w:tcPr>
            <w:tcW w:w="78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套</w:t>
            </w:r>
          </w:p>
        </w:tc>
        <w:tc>
          <w:tcPr>
            <w:tcW w:w="87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47</w:t>
            </w:r>
          </w:p>
        </w:tc>
        <w:tc>
          <w:tcPr>
            <w:tcW w:w="3542" w:type="dxa"/>
            <w:tcBorders>
              <w:top w:val="single" w:color="auto" w:sz="4" w:space="0"/>
              <w:left w:val="nil"/>
              <w:bottom w:val="single" w:color="auto" w:sz="4" w:space="0"/>
              <w:right w:val="single" w:color="auto" w:sz="4" w:space="0"/>
            </w:tcBorders>
            <w:vAlign w:val="center"/>
          </w:tcPr>
          <w:p>
            <w:pPr>
              <w:pStyle w:val="153"/>
              <w:spacing w:line="240" w:lineRule="auto"/>
              <w:jc w:val="left"/>
              <w:rPr>
                <w:rFonts w:ascii="宋体" w:eastAsia="宋体" w:cs="宋体"/>
                <w:color w:val="000000"/>
                <w:sz w:val="22"/>
                <w:szCs w:val="24"/>
              </w:rPr>
            </w:pPr>
            <w:r>
              <w:rPr>
                <w:rFonts w:hint="eastAsia" w:ascii="宋体" w:eastAsia="宋体" w:cs="宋体"/>
                <w:color w:val="000000"/>
                <w:sz w:val="22"/>
                <w:szCs w:val="24"/>
              </w:rPr>
              <w:t>1基高杆灯包含1根主绳、3根副绳；灯杆高度为25米。</w:t>
            </w:r>
          </w:p>
        </w:tc>
      </w:tr>
      <w:tr>
        <w:tblPrEx>
          <w:tblLayout w:type="fixed"/>
          <w:tblCellMar>
            <w:top w:w="0" w:type="dxa"/>
            <w:left w:w="108" w:type="dxa"/>
            <w:bottom w:w="0" w:type="dxa"/>
            <w:right w:w="108" w:type="dxa"/>
          </w:tblCellMar>
        </w:tblPrEx>
        <w:trPr>
          <w:trHeight w:val="21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2</w:t>
            </w:r>
          </w:p>
        </w:tc>
        <w:tc>
          <w:tcPr>
            <w:tcW w:w="1425"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电气控</w:t>
            </w:r>
          </w:p>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制箱</w:t>
            </w:r>
          </w:p>
        </w:tc>
        <w:tc>
          <w:tcPr>
            <w:tcW w:w="2118" w:type="dxa"/>
            <w:vMerge w:val="continue"/>
            <w:tcBorders>
              <w:left w:val="nil"/>
              <w:right w:val="single" w:color="auto" w:sz="4" w:space="0"/>
            </w:tcBorders>
            <w:vAlign w:val="center"/>
          </w:tcPr>
          <w:p>
            <w:pPr>
              <w:pStyle w:val="153"/>
              <w:spacing w:line="240" w:lineRule="auto"/>
              <w:jc w:val="center"/>
              <w:rPr>
                <w:rFonts w:ascii="宋体" w:eastAsia="宋体" w:cs="宋体"/>
                <w:color w:val="000000"/>
                <w:sz w:val="22"/>
                <w:szCs w:val="24"/>
              </w:rPr>
            </w:pPr>
          </w:p>
        </w:tc>
        <w:tc>
          <w:tcPr>
            <w:tcW w:w="78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套</w:t>
            </w:r>
          </w:p>
        </w:tc>
        <w:tc>
          <w:tcPr>
            <w:tcW w:w="87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47</w:t>
            </w:r>
          </w:p>
        </w:tc>
        <w:tc>
          <w:tcPr>
            <w:tcW w:w="3542"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p>
        </w:tc>
      </w:tr>
      <w:tr>
        <w:tblPrEx>
          <w:tblLayout w:type="fixed"/>
          <w:tblCellMar>
            <w:top w:w="0" w:type="dxa"/>
            <w:left w:w="108" w:type="dxa"/>
            <w:bottom w:w="0" w:type="dxa"/>
            <w:right w:w="108" w:type="dxa"/>
          </w:tblCellMar>
        </w:tblPrEx>
        <w:trPr>
          <w:trHeight w:val="21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3</w:t>
            </w:r>
          </w:p>
        </w:tc>
        <w:tc>
          <w:tcPr>
            <w:tcW w:w="1425" w:type="dxa"/>
            <w:tcBorders>
              <w:top w:val="single" w:color="auto" w:sz="4" w:space="0"/>
              <w:left w:val="single" w:color="auto" w:sz="4" w:space="0"/>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防跌落系统的弹簧</w:t>
            </w:r>
          </w:p>
        </w:tc>
        <w:tc>
          <w:tcPr>
            <w:tcW w:w="2118" w:type="dxa"/>
            <w:vMerge w:val="continue"/>
            <w:tcBorders>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p>
        </w:tc>
        <w:tc>
          <w:tcPr>
            <w:tcW w:w="78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套</w:t>
            </w:r>
          </w:p>
        </w:tc>
        <w:tc>
          <w:tcPr>
            <w:tcW w:w="870" w:type="dxa"/>
            <w:tcBorders>
              <w:top w:val="single" w:color="auto" w:sz="4" w:space="0"/>
              <w:left w:val="nil"/>
              <w:bottom w:val="single" w:color="auto" w:sz="4" w:space="0"/>
              <w:right w:val="single" w:color="auto" w:sz="4" w:space="0"/>
            </w:tcBorders>
            <w:vAlign w:val="center"/>
          </w:tcPr>
          <w:p>
            <w:pPr>
              <w:pStyle w:val="153"/>
              <w:spacing w:line="240" w:lineRule="auto"/>
              <w:jc w:val="center"/>
              <w:rPr>
                <w:rFonts w:ascii="宋体" w:eastAsia="宋体" w:cs="宋体"/>
                <w:color w:val="000000"/>
                <w:sz w:val="22"/>
                <w:szCs w:val="24"/>
              </w:rPr>
            </w:pPr>
            <w:r>
              <w:rPr>
                <w:rFonts w:hint="eastAsia" w:ascii="宋体" w:eastAsia="宋体" w:cs="宋体"/>
                <w:color w:val="000000"/>
                <w:sz w:val="22"/>
                <w:szCs w:val="24"/>
              </w:rPr>
              <w:t>282</w:t>
            </w:r>
          </w:p>
        </w:tc>
        <w:tc>
          <w:tcPr>
            <w:tcW w:w="3542" w:type="dxa"/>
            <w:tcBorders>
              <w:top w:val="single" w:color="auto" w:sz="4" w:space="0"/>
              <w:left w:val="nil"/>
              <w:bottom w:val="single" w:color="auto" w:sz="4" w:space="0"/>
              <w:right w:val="single" w:color="auto" w:sz="4" w:space="0"/>
            </w:tcBorders>
            <w:vAlign w:val="center"/>
          </w:tcPr>
          <w:p>
            <w:pPr>
              <w:pStyle w:val="153"/>
              <w:spacing w:line="240" w:lineRule="auto"/>
              <w:ind w:left="0" w:leftChars="0" w:firstLine="0"/>
              <w:jc w:val="left"/>
              <w:rPr>
                <w:rFonts w:ascii="宋体" w:eastAsia="宋体" w:cs="宋体"/>
                <w:color w:val="000000"/>
                <w:sz w:val="22"/>
                <w:szCs w:val="24"/>
              </w:rPr>
            </w:pPr>
          </w:p>
        </w:tc>
      </w:tr>
    </w:tbl>
    <w:p>
      <w:pPr>
        <w:adjustRightInd w:val="0"/>
        <w:snapToGrid w:val="0"/>
        <w:spacing w:line="360" w:lineRule="exact"/>
        <w:ind w:firstLine="440" w:firstLineChars="200"/>
        <w:rPr>
          <w:rFonts w:ascii="宋体" w:hAnsi="宋体" w:eastAsia="宋体" w:cs="Calibri"/>
          <w:sz w:val="22"/>
        </w:rPr>
      </w:pPr>
      <w:r>
        <w:rPr>
          <w:rFonts w:hint="eastAsia" w:ascii="宋体" w:hAnsi="宋体" w:eastAsia="宋体" w:cs="Calibri"/>
          <w:sz w:val="22"/>
        </w:rPr>
        <w:t>2.报价要求</w:t>
      </w:r>
    </w:p>
    <w:p>
      <w:pPr>
        <w:widowControl/>
        <w:adjustRightInd w:val="0"/>
        <w:snapToGrid w:val="0"/>
        <w:spacing w:line="360" w:lineRule="auto"/>
        <w:ind w:firstLine="770" w:firstLineChars="350"/>
        <w:rPr>
          <w:rFonts w:ascii="宋体" w:hAnsi="宋体" w:eastAsia="宋体" w:cs="宋体"/>
          <w:color w:val="000000"/>
          <w:sz w:val="22"/>
        </w:rPr>
      </w:pPr>
      <w:r>
        <w:rPr>
          <w:rFonts w:hint="eastAsia" w:ascii="宋体" w:hAnsi="宋体" w:eastAsia="宋体" w:cs="宋体"/>
          <w:color w:val="000000"/>
          <w:sz w:val="22"/>
        </w:rPr>
        <w:t>2.1投标人在报价中的标价应包括完成该项目的设备采购、损耗材料购买、技术人员的配备、专用机具租赁、投标方施工作业人员的劳务费、差旅费、保险费、设备运输费、安装费、第三方检测费等以及税费等所有费用，因投标人报价漏算少计，中标后不予追加。</w:t>
      </w:r>
    </w:p>
    <w:p>
      <w:pPr>
        <w:widowControl/>
        <w:adjustRightInd w:val="0"/>
        <w:snapToGrid w:val="0"/>
        <w:spacing w:line="360" w:lineRule="auto"/>
        <w:ind w:firstLine="770" w:firstLineChars="350"/>
        <w:rPr>
          <w:rFonts w:ascii="宋体" w:hAnsi="宋体" w:eastAsia="宋体" w:cs="宋体"/>
          <w:color w:val="000000"/>
          <w:sz w:val="22"/>
        </w:rPr>
      </w:pPr>
      <w:r>
        <w:rPr>
          <w:rFonts w:ascii="宋体" w:hAnsi="宋体" w:eastAsia="宋体" w:cs="宋体"/>
          <w:color w:val="000000"/>
          <w:sz w:val="22"/>
        </w:rPr>
        <w:t>2.2</w:t>
      </w:r>
      <w:r>
        <w:rPr>
          <w:rFonts w:hint="eastAsia" w:ascii="宋体" w:hAnsi="宋体" w:eastAsia="宋体" w:cs="宋体"/>
          <w:color w:val="000000"/>
          <w:sz w:val="22"/>
        </w:rPr>
        <w:t>投标中应充分考虑到设备安装过程中的特殊情况需要，特殊情况处理的费用应列入总报价中。</w:t>
      </w:r>
    </w:p>
    <w:p>
      <w:pPr>
        <w:widowControl/>
        <w:adjustRightInd w:val="0"/>
        <w:snapToGrid w:val="0"/>
        <w:spacing w:line="360" w:lineRule="auto"/>
        <w:ind w:firstLine="770" w:firstLineChars="350"/>
        <w:rPr>
          <w:rFonts w:ascii="宋体" w:hAnsi="宋体" w:eastAsia="宋体" w:cs="宋体"/>
          <w:color w:val="000000"/>
          <w:sz w:val="22"/>
        </w:rPr>
      </w:pPr>
      <w:r>
        <w:rPr>
          <w:rFonts w:ascii="宋体" w:hAnsi="宋体" w:eastAsia="宋体" w:cs="宋体"/>
          <w:color w:val="000000"/>
          <w:sz w:val="22"/>
        </w:rPr>
        <w:t>2.3</w:t>
      </w:r>
      <w:r>
        <w:rPr>
          <w:rFonts w:hint="eastAsia" w:ascii="宋体" w:hAnsi="宋体" w:eastAsia="宋体" w:cs="宋体"/>
          <w:color w:val="000000"/>
          <w:sz w:val="22"/>
        </w:rPr>
        <w:t>报价不因市场设备、材料、劳动力等因素发生变化而调整。</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3、技术要求</w:t>
      </w:r>
    </w:p>
    <w:p>
      <w:pPr>
        <w:widowControl/>
        <w:adjustRightInd w:val="0"/>
        <w:snapToGrid w:val="0"/>
        <w:spacing w:line="360" w:lineRule="auto"/>
        <w:ind w:firstLine="770" w:firstLineChars="350"/>
        <w:rPr>
          <w:rFonts w:ascii="宋体" w:hAnsi="宋体" w:eastAsia="宋体" w:cs="宋体"/>
          <w:color w:val="000000"/>
          <w:sz w:val="22"/>
        </w:rPr>
      </w:pPr>
      <w:r>
        <w:rPr>
          <w:rFonts w:hint="eastAsia" w:ascii="宋体" w:hAnsi="宋体" w:eastAsia="宋体" w:cs="宋体"/>
          <w:color w:val="000000"/>
          <w:sz w:val="22"/>
        </w:rPr>
        <w:t>3.1依据标的物的灯盘重量，其主钢丝绳应满足安全系数不小于8，使用钢丝绳直径不小于ø12mm。3根副钢丝绳，单根应满足安全系数不小于6，使用钢丝绳直径不小于ø10mm。钢丝绳应采用结构规格为</w:t>
      </w:r>
      <w:r>
        <w:rPr>
          <w:rFonts w:hint="eastAsia" w:ascii="宋体" w:hAnsi="宋体" w:eastAsia="宋体" w:cs="宋体"/>
          <w:sz w:val="22"/>
        </w:rPr>
        <w:t>18*7+FC，公称强度不低于1770MPa，右交互捻（ZS），表面镀锌级别不低于B级，</w:t>
      </w:r>
      <w:r>
        <w:rPr>
          <w:rFonts w:hint="eastAsia" w:ascii="宋体" w:hAnsi="宋体" w:eastAsia="宋体" w:cs="宋体"/>
          <w:color w:val="000000"/>
          <w:sz w:val="22"/>
        </w:rPr>
        <w:t>且技术条件完全符合GB/T8918-2006《重要用途钢丝绳》的要求。</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   3.2对飞行区47套所有高杆等防跌落系统弹簧进行更新，所有更换弹簧均与原系统匹配。</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   3.3高杆灯电气控制箱应符合《机坪升降式高杆灯MHT6013-2018》第4.6.9.1条的相关要求，其内部主要配件包含：</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   3.3.1高杆灯电气控制箱具备保护、控制主电源和控制升降系统的能力。</w:t>
      </w:r>
    </w:p>
    <w:p>
      <w:pPr>
        <w:widowControl/>
        <w:adjustRightInd w:val="0"/>
        <w:snapToGrid w:val="0"/>
        <w:spacing w:line="360" w:lineRule="auto"/>
        <w:ind w:firstLine="770" w:firstLineChars="350"/>
        <w:rPr>
          <w:rFonts w:ascii="宋体" w:hAnsi="宋体" w:eastAsia="宋体" w:cs="宋体"/>
          <w:color w:val="000000"/>
          <w:sz w:val="22"/>
        </w:rPr>
      </w:pPr>
      <w:r>
        <w:rPr>
          <w:rFonts w:hint="eastAsia" w:ascii="宋体" w:hAnsi="宋体" w:eastAsia="宋体" w:cs="宋体"/>
          <w:color w:val="000000"/>
          <w:sz w:val="22"/>
        </w:rPr>
        <w:t>3.3.1.1交流接触器规格：380V CJX2-0910型*2个   品牌要求：西门子、ABB、施耐德或同档次及以上</w:t>
      </w:r>
    </w:p>
    <w:p>
      <w:pPr>
        <w:widowControl/>
        <w:adjustRightInd w:val="0"/>
        <w:snapToGrid w:val="0"/>
        <w:spacing w:line="360" w:lineRule="auto"/>
        <w:ind w:firstLine="770" w:firstLineChars="350"/>
        <w:rPr>
          <w:rFonts w:ascii="宋体" w:hAnsi="宋体" w:eastAsia="宋体" w:cs="宋体"/>
          <w:color w:val="000000"/>
          <w:sz w:val="22"/>
        </w:rPr>
      </w:pPr>
      <w:r>
        <w:rPr>
          <w:rFonts w:hint="eastAsia" w:ascii="宋体" w:hAnsi="宋体" w:eastAsia="宋体" w:cs="宋体"/>
          <w:color w:val="000000"/>
          <w:sz w:val="22"/>
        </w:rPr>
        <w:t>3.3.1.2塑壳断路器规格：100A*1个                品牌要求：西门子、ABB、施耐德或同档次及以上</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   3.3.1.3空气断路器规格：1P63A *3个、2P6A*1个   品牌要求：西门子、ABB、施耐德或同档次及以上</w:t>
      </w:r>
    </w:p>
    <w:p>
      <w:pPr>
        <w:widowControl/>
        <w:adjustRightInd w:val="0"/>
        <w:snapToGrid w:val="0"/>
        <w:spacing w:line="360" w:lineRule="auto"/>
        <w:ind w:firstLine="770" w:firstLineChars="350"/>
        <w:rPr>
          <w:rFonts w:ascii="宋体" w:hAnsi="宋体" w:eastAsia="宋体" w:cs="宋体"/>
          <w:color w:val="000000"/>
          <w:sz w:val="22"/>
        </w:rPr>
      </w:pPr>
      <w:r>
        <w:rPr>
          <w:rFonts w:hint="eastAsia" w:ascii="宋体" w:hAnsi="宋体" w:eastAsia="宋体" w:cs="宋体"/>
          <w:color w:val="000000"/>
          <w:sz w:val="22"/>
        </w:rPr>
        <w:t>3.3.1.4熔断丝底座规格：1P32A *4个              品牌要求：西门子、ABB、施耐德或同档次及以上</w:t>
      </w:r>
    </w:p>
    <w:p>
      <w:pPr>
        <w:snapToGrid w:val="0"/>
        <w:spacing w:before="120" w:beforeLines="50" w:line="360" w:lineRule="auto"/>
        <w:outlineLvl w:val="1"/>
        <w:rPr>
          <w:rFonts w:ascii="宋体" w:hAnsi="宋体" w:eastAsia="宋体" w:cs="宋体"/>
          <w:b/>
          <w:bCs/>
          <w:color w:val="000000"/>
          <w:sz w:val="22"/>
        </w:rPr>
      </w:pPr>
      <w:r>
        <w:rPr>
          <w:rFonts w:hint="eastAsia" w:ascii="宋体" w:hAnsi="宋体" w:eastAsia="宋体" w:cs="宋体"/>
          <w:b/>
          <w:bCs/>
          <w:color w:val="000000"/>
          <w:sz w:val="22"/>
        </w:rPr>
        <w:t>三、供货及安装要求</w:t>
      </w:r>
    </w:p>
    <w:p>
      <w:pPr>
        <w:widowControl/>
        <w:adjustRightInd w:val="0"/>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合同签订后 </w:t>
      </w:r>
      <w:r>
        <w:rPr>
          <w:rFonts w:hint="eastAsia" w:ascii="宋体" w:hAnsi="宋体" w:eastAsia="宋体" w:cs="宋体"/>
          <w:color w:val="000000"/>
          <w:sz w:val="22"/>
          <w:u w:val="single"/>
        </w:rPr>
        <w:t>60</w:t>
      </w:r>
      <w:r>
        <w:rPr>
          <w:rFonts w:hint="eastAsia" w:ascii="宋体" w:hAnsi="宋体" w:eastAsia="宋体" w:cs="宋体"/>
          <w:color w:val="000000"/>
          <w:sz w:val="22"/>
        </w:rPr>
        <w:t>个日历天内。</w:t>
      </w:r>
    </w:p>
    <w:p>
      <w:pPr>
        <w:spacing w:line="360" w:lineRule="auto"/>
        <w:ind w:firstLine="440" w:firstLineChars="200"/>
        <w:rPr>
          <w:rFonts w:ascii="宋体" w:hAnsi="宋体" w:eastAsia="宋体" w:cs="宋体"/>
          <w:sz w:val="28"/>
          <w:szCs w:val="28"/>
        </w:rPr>
      </w:pPr>
      <w:r>
        <w:rPr>
          <w:rFonts w:hint="eastAsia" w:ascii="宋体" w:hAnsi="宋体" w:eastAsia="宋体" w:cs="宋体"/>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p>
      <w:pPr>
        <w:snapToGrid w:val="0"/>
        <w:spacing w:before="120" w:beforeLines="50" w:line="360" w:lineRule="auto"/>
        <w:outlineLvl w:val="1"/>
        <w:rPr>
          <w:rFonts w:ascii="宋体" w:hAnsi="宋体" w:eastAsia="宋体" w:cs="宋体"/>
          <w:b/>
          <w:bCs/>
          <w:color w:val="000000"/>
          <w:sz w:val="22"/>
        </w:rPr>
      </w:pPr>
      <w:r>
        <w:rPr>
          <w:rFonts w:hint="eastAsia" w:ascii="宋体" w:hAnsi="宋体" w:eastAsia="宋体" w:cs="宋体"/>
          <w:b/>
          <w:bCs/>
          <w:color w:val="000000"/>
          <w:sz w:val="22"/>
        </w:rPr>
        <w:t xml:space="preserve">四、高杆灯技术维保服务 </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1.服务要求</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2.为确保招标人飞行区高杆灯的正常运行，中标人承担招标人本项目所维护项目的质保技术服务。</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3.高杆灯质保内容</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4.控制箱维护质保</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5.钢缆更新质保</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6.中标人保证所提供的技术服务相应时间为24小时响应。故障修复时间为一般故障6小时内修复，平均修复时间小于24小时。</w:t>
      </w:r>
    </w:p>
    <w:p>
      <w:pPr>
        <w:numPr>
          <w:ilvl w:val="255"/>
          <w:numId w:val="0"/>
        </w:numPr>
        <w:spacing w:line="360" w:lineRule="auto"/>
        <w:rPr>
          <w:rFonts w:ascii="宋体" w:hAnsi="宋体" w:eastAsia="宋体" w:cs="宋体"/>
          <w:color w:val="000000"/>
          <w:sz w:val="22"/>
        </w:rPr>
      </w:pPr>
      <w:r>
        <w:rPr>
          <w:rFonts w:hint="eastAsia" w:ascii="宋体" w:hAnsi="宋体" w:eastAsia="宋体" w:cs="宋体"/>
          <w:color w:val="000000"/>
          <w:sz w:val="22"/>
        </w:rPr>
        <w:t xml:space="preserve">    7.中标人对招标人设备所进行的设备故障保养中，应及时更换受损部件，在保养、维护结束后，必须出具维修结果报告的电子和书面文档交招标人维修设备所在部门有关人员确认，以备案待查。</w:t>
      </w:r>
    </w:p>
    <w:p>
      <w:pPr>
        <w:numPr>
          <w:ilvl w:val="0"/>
          <w:numId w:val="6"/>
        </w:numPr>
        <w:spacing w:line="360" w:lineRule="auto"/>
        <w:rPr>
          <w:rFonts w:ascii="宋体" w:hAnsi="宋体" w:eastAsia="宋体" w:cs="宋体"/>
          <w:b/>
          <w:bCs/>
          <w:color w:val="000000"/>
          <w:sz w:val="22"/>
        </w:rPr>
      </w:pPr>
      <w:r>
        <w:rPr>
          <w:rFonts w:hint="eastAsia" w:ascii="宋体" w:hAnsi="宋体" w:eastAsia="宋体" w:cs="宋体"/>
          <w:b/>
          <w:bCs/>
          <w:color w:val="000000"/>
          <w:sz w:val="22"/>
        </w:rPr>
        <w:t xml:space="preserve">保修期要求 </w:t>
      </w:r>
    </w:p>
    <w:p>
      <w:pPr>
        <w:numPr>
          <w:ilvl w:val="255"/>
          <w:numId w:val="0"/>
        </w:numPr>
        <w:spacing w:line="360" w:lineRule="auto"/>
        <w:ind w:firstLine="440"/>
        <w:rPr>
          <w:rFonts w:ascii="宋体" w:hAnsi="宋体" w:eastAsia="宋体" w:cs="宋体"/>
          <w:color w:val="000000"/>
          <w:sz w:val="22"/>
        </w:rPr>
      </w:pPr>
      <w:r>
        <w:rPr>
          <w:rFonts w:hint="eastAsia" w:ascii="宋体" w:hAnsi="宋体" w:eastAsia="宋体" w:cs="宋体"/>
          <w:color w:val="000000"/>
          <w:sz w:val="22"/>
        </w:rPr>
        <w:t>投标人必须为所供钢缆、电气控制箱系统、防跌落弹簧等配件提供为期24个月的质保期，时间从招标人验收合格之日起计算，终身维修。</w:t>
      </w:r>
    </w:p>
    <w:p>
      <w:pPr>
        <w:snapToGrid w:val="0"/>
        <w:spacing w:line="360" w:lineRule="exact"/>
        <w:rPr>
          <w:rFonts w:ascii="宋体" w:hAnsi="宋体" w:eastAsia="宋体" w:cs="宋体"/>
          <w:b/>
          <w:bCs/>
          <w:sz w:val="22"/>
        </w:rPr>
      </w:pPr>
      <w:r>
        <w:rPr>
          <w:rFonts w:hint="eastAsia" w:ascii="宋体" w:hAnsi="宋体" w:eastAsia="宋体" w:cs="宋体"/>
          <w:b/>
          <w:bCs/>
          <w:sz w:val="22"/>
        </w:rPr>
        <w:t>六、施工安全要求</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1.</w:t>
      </w:r>
      <w:r>
        <w:rPr>
          <w:rFonts w:hint="eastAsia" w:ascii="宋体" w:hAnsi="宋体" w:eastAsia="宋体" w:cs="宋体"/>
          <w:color w:val="000000"/>
          <w:sz w:val="22"/>
        </w:rPr>
        <w:t>乙方应按合同约定履行安全职责，执行甲方有关安全工作的指示，在施工过程中，必须无条件地接受甲方的检查和监督。</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2.</w:t>
      </w:r>
      <w:r>
        <w:rPr>
          <w:rFonts w:hint="eastAsia" w:ascii="宋体" w:hAnsi="宋体" w:eastAsia="宋体" w:cs="宋体"/>
          <w:color w:val="000000"/>
          <w:sz w:val="22"/>
        </w:rPr>
        <w:t>乙方应在合同签订后【</w:t>
      </w:r>
      <w:r>
        <w:rPr>
          <w:rFonts w:ascii="宋体" w:hAnsi="宋体" w:eastAsia="宋体" w:cs="宋体"/>
          <w:color w:val="000000"/>
          <w:sz w:val="22"/>
        </w:rPr>
        <w:t>7</w:t>
      </w:r>
      <w:r>
        <w:rPr>
          <w:rFonts w:hint="eastAsia" w:ascii="宋体" w:hAnsi="宋体" w:eastAsia="宋体" w:cs="宋体"/>
          <w:color w:val="000000"/>
          <w:sz w:val="22"/>
        </w:rPr>
        <w:t>】日内，依施工现场情况合理制定施工组织设计，在服从甲方现场安排和总进度计划要求的情况下制定施工方案，严格控制施工作业全过程。</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4.</w:t>
      </w:r>
      <w:r>
        <w:rPr>
          <w:rFonts w:hint="eastAsia" w:ascii="宋体" w:hAnsi="宋体" w:eastAsia="宋体" w:cs="宋体"/>
          <w:color w:val="000000"/>
          <w:sz w:val="22"/>
        </w:rPr>
        <w:t>乙方应配备升降高度不低于</w:t>
      </w:r>
      <w:r>
        <w:rPr>
          <w:rFonts w:ascii="宋体" w:hAnsi="宋体" w:eastAsia="宋体" w:cs="宋体"/>
          <w:color w:val="000000"/>
          <w:sz w:val="22"/>
        </w:rPr>
        <w:t>30</w:t>
      </w:r>
      <w:r>
        <w:rPr>
          <w:rFonts w:hint="eastAsia" w:ascii="宋体" w:hAnsi="宋体" w:eastAsia="宋体" w:cs="宋体"/>
          <w:color w:val="000000"/>
          <w:sz w:val="22"/>
        </w:rPr>
        <w:t>米的升降设备，用于处置滑轮锈蚀、钢丝缠绕等意外事件，并配备具有高处安装、维护、拆除作业资质证书的作业人员负责现场的登高作业。</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5.</w:t>
      </w:r>
      <w:r>
        <w:rPr>
          <w:rFonts w:hint="eastAsia" w:ascii="宋体" w:hAnsi="宋体" w:eastAsia="宋体" w:cs="宋体"/>
          <w:color w:val="000000"/>
          <w:sz w:val="22"/>
        </w:rPr>
        <w:t>乙方应对其履行合同所雇佣的全部人员的工伤事故承担责任，但由于甲方原因造成乙方人员工伤事故的，应由甲方承担责任。</w:t>
      </w:r>
    </w:p>
    <w:p>
      <w:pPr>
        <w:numPr>
          <w:ilvl w:val="255"/>
          <w:numId w:val="0"/>
        </w:numPr>
        <w:spacing w:line="360" w:lineRule="auto"/>
        <w:ind w:firstLine="440" w:firstLineChars="200"/>
        <w:rPr>
          <w:rFonts w:ascii="宋体" w:hAnsi="宋体" w:eastAsia="宋体" w:cs="宋体"/>
          <w:color w:val="000000"/>
          <w:sz w:val="22"/>
        </w:rPr>
      </w:pPr>
      <w:r>
        <w:rPr>
          <w:rFonts w:ascii="宋体" w:hAnsi="宋体" w:eastAsia="宋体" w:cs="宋体"/>
          <w:color w:val="000000"/>
          <w:sz w:val="22"/>
        </w:rPr>
        <w:t>6.</w:t>
      </w:r>
      <w:r>
        <w:rPr>
          <w:rFonts w:hint="eastAsia" w:ascii="宋体" w:hAnsi="宋体" w:eastAsia="宋体" w:cs="宋体"/>
          <w:color w:val="000000"/>
          <w:sz w:val="22"/>
        </w:rPr>
        <w:t>由于乙方原因在施工作业场地内及其毗邻地带造成的第三者人员伤亡和财产损失的，由乙方承担赔偿责任。</w:t>
      </w:r>
    </w:p>
    <w:p>
      <w:pPr>
        <w:numPr>
          <w:ilvl w:val="0"/>
          <w:numId w:val="7"/>
        </w:numPr>
        <w:spacing w:line="360" w:lineRule="auto"/>
        <w:rPr>
          <w:rFonts w:ascii="宋体" w:hAnsi="宋体" w:eastAsia="宋体" w:cs="宋体"/>
          <w:color w:val="000000"/>
          <w:sz w:val="22"/>
        </w:rPr>
      </w:pPr>
      <w:r>
        <w:rPr>
          <w:rFonts w:hint="eastAsia" w:ascii="宋体" w:hAnsi="宋体" w:eastAsia="宋体" w:cs="宋体"/>
          <w:color w:val="000000"/>
          <w:sz w:val="22"/>
        </w:rPr>
        <w:br w:type="page"/>
      </w:r>
    </w:p>
    <w:p>
      <w:pPr>
        <w:pStyle w:val="51"/>
        <w:rPr>
          <w:rFonts w:ascii="宋体" w:hAnsi="宋体" w:eastAsia="宋体" w:cs="宋体"/>
        </w:rPr>
      </w:pPr>
      <w:bookmarkStart w:id="79" w:name="_Toc321925454"/>
      <w:r>
        <w:rPr>
          <w:rFonts w:hint="eastAsia" w:ascii="宋体" w:hAnsi="宋体" w:eastAsia="宋体" w:cs="宋体"/>
        </w:rPr>
        <w:t>第四章  合同条款</w:t>
      </w:r>
      <w:bookmarkEnd w:id="79"/>
    </w:p>
    <w:p>
      <w:pPr>
        <w:adjustRightInd w:val="0"/>
        <w:snapToGrid w:val="0"/>
        <w:spacing w:line="360" w:lineRule="exact"/>
        <w:ind w:firstLine="452"/>
        <w:jc w:val="left"/>
        <w:rPr>
          <w:rFonts w:ascii="宋体" w:hAnsi="宋体" w:eastAsia="宋体" w:cs="宋体"/>
          <w:b/>
          <w:sz w:val="22"/>
        </w:rPr>
      </w:pP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甲方：杭州萧山国际机场有限公司</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住所地：杭州萧山国际机场内</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乙方：</w:t>
      </w:r>
    </w:p>
    <w:p>
      <w:pPr>
        <w:adjustRightInd w:val="0"/>
        <w:snapToGrid w:val="0"/>
        <w:spacing w:line="360" w:lineRule="exact"/>
        <w:ind w:firstLine="452"/>
        <w:jc w:val="left"/>
        <w:rPr>
          <w:rFonts w:ascii="宋体" w:hAnsi="宋体" w:eastAsia="宋体" w:cs="宋体"/>
          <w:sz w:val="22"/>
        </w:rPr>
      </w:pPr>
      <w:r>
        <w:rPr>
          <w:rFonts w:hint="eastAsia" w:ascii="宋体" w:hAnsi="宋体" w:eastAsia="宋体" w:cs="宋体"/>
          <w:b/>
          <w:sz w:val="22"/>
        </w:rPr>
        <w:t>住所地：</w:t>
      </w:r>
      <w:r>
        <w:rPr>
          <w:rFonts w:hint="eastAsia" w:ascii="宋体" w:hAnsi="宋体" w:eastAsia="宋体" w:cs="宋体"/>
          <w:sz w:val="22"/>
        </w:rPr>
        <w:t xml:space="preserve"> </w:t>
      </w:r>
    </w:p>
    <w:p>
      <w:pPr>
        <w:adjustRightInd w:val="0"/>
        <w:snapToGrid w:val="0"/>
        <w:spacing w:line="360" w:lineRule="exact"/>
        <w:ind w:firstLine="450"/>
        <w:jc w:val="left"/>
        <w:rPr>
          <w:rFonts w:ascii="宋体" w:hAnsi="宋体" w:eastAsia="宋体" w:cs="宋体"/>
          <w:sz w:val="22"/>
        </w:rPr>
      </w:pP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eastAsia="宋体" w:cs="宋体"/>
          <w:sz w:val="22"/>
        </w:rPr>
      </w:pPr>
      <w:r>
        <w:rPr>
          <w:rFonts w:hint="eastAsia" w:ascii="宋体" w:hAnsi="宋体" w:eastAsia="宋体" w:cs="宋体"/>
          <w:b/>
          <w:bCs/>
          <w:sz w:val="22"/>
        </w:rPr>
        <w:t>一、产品规格型号及参数</w:t>
      </w:r>
    </w:p>
    <w:tbl>
      <w:tblPr>
        <w:tblStyle w:val="5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779"/>
        <w:gridCol w:w="1215"/>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46"/>
              <w:snapToGrid w:val="0"/>
              <w:jc w:val="left"/>
              <w:rPr>
                <w:rFonts w:ascii="宋体" w:hAnsi="宋体" w:cs="宋体"/>
                <w:b/>
                <w:sz w:val="22"/>
              </w:rPr>
            </w:pPr>
            <w:r>
              <w:rPr>
                <w:rFonts w:hint="eastAsia" w:ascii="宋体" w:hAnsi="宋体" w:cs="宋体"/>
                <w:b/>
                <w:sz w:val="22"/>
              </w:rPr>
              <w:t>序号</w:t>
            </w:r>
          </w:p>
        </w:tc>
        <w:tc>
          <w:tcPr>
            <w:tcW w:w="1530" w:type="dxa"/>
            <w:vAlign w:val="center"/>
          </w:tcPr>
          <w:p>
            <w:pPr>
              <w:pStyle w:val="146"/>
              <w:snapToGrid w:val="0"/>
              <w:jc w:val="left"/>
              <w:rPr>
                <w:rFonts w:ascii="宋体" w:hAnsi="宋体" w:cs="宋体"/>
                <w:b/>
                <w:sz w:val="22"/>
              </w:rPr>
            </w:pPr>
            <w:r>
              <w:rPr>
                <w:rFonts w:hint="eastAsia" w:ascii="宋体" w:hAnsi="宋体" w:cs="宋体"/>
                <w:b/>
                <w:sz w:val="22"/>
              </w:rPr>
              <w:t>产品名称</w:t>
            </w:r>
          </w:p>
        </w:tc>
        <w:tc>
          <w:tcPr>
            <w:tcW w:w="1779" w:type="dxa"/>
            <w:vAlign w:val="center"/>
          </w:tcPr>
          <w:p>
            <w:pPr>
              <w:pStyle w:val="146"/>
              <w:snapToGrid w:val="0"/>
              <w:jc w:val="center"/>
              <w:rPr>
                <w:rFonts w:ascii="宋体" w:hAnsi="宋体" w:cs="宋体"/>
                <w:b/>
                <w:sz w:val="22"/>
              </w:rPr>
            </w:pPr>
            <w:r>
              <w:rPr>
                <w:rFonts w:hint="eastAsia" w:ascii="宋体" w:hAnsi="宋体" w:cs="宋体"/>
                <w:b/>
                <w:sz w:val="22"/>
              </w:rPr>
              <w:t>产品规格</w:t>
            </w:r>
          </w:p>
        </w:tc>
        <w:tc>
          <w:tcPr>
            <w:tcW w:w="1215" w:type="dxa"/>
            <w:vAlign w:val="center"/>
          </w:tcPr>
          <w:p>
            <w:pPr>
              <w:pStyle w:val="146"/>
              <w:snapToGrid w:val="0"/>
              <w:jc w:val="center"/>
              <w:rPr>
                <w:rFonts w:ascii="宋体" w:hAnsi="宋体" w:cs="宋体"/>
                <w:b/>
                <w:sz w:val="22"/>
              </w:rPr>
            </w:pPr>
            <w:r>
              <w:rPr>
                <w:rFonts w:hint="eastAsia" w:ascii="宋体" w:hAnsi="宋体" w:cs="宋体"/>
                <w:b/>
                <w:sz w:val="22"/>
              </w:rPr>
              <w:t>单位</w:t>
            </w:r>
          </w:p>
        </w:tc>
        <w:tc>
          <w:tcPr>
            <w:tcW w:w="714" w:type="dxa"/>
            <w:vAlign w:val="center"/>
          </w:tcPr>
          <w:p>
            <w:pPr>
              <w:pStyle w:val="146"/>
              <w:snapToGrid w:val="0"/>
              <w:jc w:val="left"/>
              <w:rPr>
                <w:rFonts w:ascii="宋体" w:hAnsi="宋体" w:cs="宋体"/>
                <w:b/>
                <w:sz w:val="22"/>
              </w:rPr>
            </w:pPr>
            <w:r>
              <w:rPr>
                <w:rFonts w:hint="eastAsia" w:ascii="宋体" w:hAnsi="宋体" w:cs="宋体"/>
                <w:b/>
                <w:sz w:val="22"/>
              </w:rPr>
              <w:t>数量</w:t>
            </w:r>
          </w:p>
        </w:tc>
        <w:tc>
          <w:tcPr>
            <w:tcW w:w="1137" w:type="dxa"/>
            <w:vAlign w:val="center"/>
          </w:tcPr>
          <w:p>
            <w:pPr>
              <w:pStyle w:val="146"/>
              <w:snapToGrid w:val="0"/>
              <w:jc w:val="center"/>
              <w:rPr>
                <w:rFonts w:ascii="宋体" w:hAnsi="宋体" w:cs="宋体"/>
                <w:b/>
                <w:sz w:val="22"/>
              </w:rPr>
            </w:pPr>
            <w:r>
              <w:rPr>
                <w:rFonts w:hint="eastAsia" w:ascii="宋体" w:hAnsi="宋体" w:cs="宋体"/>
                <w:b/>
                <w:sz w:val="22"/>
              </w:rPr>
              <w:t>单价（元，不含税）</w:t>
            </w:r>
          </w:p>
        </w:tc>
        <w:tc>
          <w:tcPr>
            <w:tcW w:w="1122" w:type="dxa"/>
            <w:vAlign w:val="center"/>
          </w:tcPr>
          <w:p>
            <w:pPr>
              <w:pStyle w:val="146"/>
              <w:snapToGrid w:val="0"/>
              <w:jc w:val="center"/>
              <w:rPr>
                <w:rFonts w:ascii="宋体" w:hAnsi="宋体" w:cs="宋体"/>
                <w:b/>
                <w:sz w:val="22"/>
              </w:rPr>
            </w:pPr>
            <w:r>
              <w:rPr>
                <w:rFonts w:hint="eastAsia" w:ascii="宋体" w:hAnsi="宋体" w:cs="宋体"/>
                <w:b/>
                <w:sz w:val="22"/>
              </w:rPr>
              <w:t>金额</w:t>
            </w:r>
          </w:p>
          <w:p>
            <w:pPr>
              <w:pStyle w:val="146"/>
              <w:snapToGrid w:val="0"/>
              <w:jc w:val="left"/>
              <w:rPr>
                <w:rFonts w:ascii="宋体" w:hAnsi="宋体" w:cs="宋体"/>
                <w:b/>
                <w:sz w:val="22"/>
              </w:rPr>
            </w:pPr>
            <w:r>
              <w:rPr>
                <w:rFonts w:hint="eastAsia" w:ascii="宋体" w:hAnsi="宋体" w:cs="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46"/>
              <w:snapToGrid w:val="0"/>
              <w:ind w:firstLine="440" w:firstLineChars="200"/>
              <w:jc w:val="left"/>
              <w:rPr>
                <w:rFonts w:ascii="宋体" w:hAnsi="宋体" w:cs="宋体"/>
                <w:sz w:val="22"/>
              </w:rPr>
            </w:pPr>
          </w:p>
        </w:tc>
        <w:tc>
          <w:tcPr>
            <w:tcW w:w="1530" w:type="dxa"/>
            <w:vAlign w:val="center"/>
          </w:tcPr>
          <w:p>
            <w:pPr>
              <w:pStyle w:val="146"/>
              <w:snapToGrid w:val="0"/>
              <w:ind w:firstLine="440" w:firstLineChars="200"/>
              <w:jc w:val="left"/>
              <w:rPr>
                <w:rFonts w:ascii="宋体" w:hAnsi="宋体" w:cs="宋体"/>
                <w:sz w:val="22"/>
              </w:rPr>
            </w:pPr>
          </w:p>
        </w:tc>
        <w:tc>
          <w:tcPr>
            <w:tcW w:w="1779" w:type="dxa"/>
            <w:vAlign w:val="center"/>
          </w:tcPr>
          <w:p>
            <w:pPr>
              <w:pStyle w:val="146"/>
              <w:snapToGrid w:val="0"/>
              <w:ind w:firstLine="440" w:firstLineChars="200"/>
              <w:jc w:val="left"/>
              <w:rPr>
                <w:rFonts w:ascii="宋体" w:hAnsi="宋体" w:cs="宋体"/>
                <w:sz w:val="22"/>
              </w:rPr>
            </w:pPr>
          </w:p>
        </w:tc>
        <w:tc>
          <w:tcPr>
            <w:tcW w:w="1215" w:type="dxa"/>
            <w:vAlign w:val="center"/>
          </w:tcPr>
          <w:p>
            <w:pPr>
              <w:pStyle w:val="146"/>
              <w:snapToGrid w:val="0"/>
              <w:ind w:firstLine="440" w:firstLineChars="200"/>
              <w:jc w:val="left"/>
              <w:rPr>
                <w:rFonts w:ascii="宋体" w:hAnsi="宋体" w:cs="宋体"/>
                <w:sz w:val="22"/>
              </w:rPr>
            </w:pPr>
          </w:p>
        </w:tc>
        <w:tc>
          <w:tcPr>
            <w:tcW w:w="714" w:type="dxa"/>
            <w:vAlign w:val="center"/>
          </w:tcPr>
          <w:p>
            <w:pPr>
              <w:pStyle w:val="146"/>
              <w:snapToGrid w:val="0"/>
              <w:ind w:firstLine="440" w:firstLineChars="200"/>
              <w:jc w:val="left"/>
              <w:rPr>
                <w:rFonts w:ascii="宋体" w:hAnsi="宋体" w:cs="宋体"/>
                <w:sz w:val="22"/>
              </w:rPr>
            </w:pPr>
          </w:p>
        </w:tc>
        <w:tc>
          <w:tcPr>
            <w:tcW w:w="1137" w:type="dxa"/>
            <w:vAlign w:val="center"/>
          </w:tcPr>
          <w:p>
            <w:pPr>
              <w:pStyle w:val="146"/>
              <w:snapToGrid w:val="0"/>
              <w:ind w:firstLine="440" w:firstLineChars="200"/>
              <w:jc w:val="left"/>
              <w:rPr>
                <w:rFonts w:ascii="宋体" w:hAnsi="宋体" w:cs="宋体"/>
                <w:sz w:val="22"/>
              </w:rPr>
            </w:pPr>
          </w:p>
        </w:tc>
        <w:tc>
          <w:tcPr>
            <w:tcW w:w="1122" w:type="dxa"/>
            <w:vAlign w:val="center"/>
          </w:tcPr>
          <w:p>
            <w:pPr>
              <w:pStyle w:val="146"/>
              <w:snapToGrid w:val="0"/>
              <w:ind w:firstLine="440" w:firstLineChars="200"/>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46"/>
              <w:snapToGrid w:val="0"/>
              <w:ind w:firstLine="440" w:firstLineChars="200"/>
              <w:jc w:val="left"/>
              <w:rPr>
                <w:rFonts w:ascii="宋体" w:hAnsi="宋体" w:cs="宋体"/>
                <w:sz w:val="22"/>
              </w:rPr>
            </w:pPr>
          </w:p>
        </w:tc>
        <w:tc>
          <w:tcPr>
            <w:tcW w:w="1530" w:type="dxa"/>
            <w:vAlign w:val="center"/>
          </w:tcPr>
          <w:p>
            <w:pPr>
              <w:pStyle w:val="146"/>
              <w:snapToGrid w:val="0"/>
              <w:ind w:firstLine="440" w:firstLineChars="200"/>
              <w:jc w:val="left"/>
              <w:rPr>
                <w:rFonts w:ascii="宋体" w:hAnsi="宋体" w:cs="宋体"/>
                <w:sz w:val="22"/>
              </w:rPr>
            </w:pPr>
          </w:p>
        </w:tc>
        <w:tc>
          <w:tcPr>
            <w:tcW w:w="1779" w:type="dxa"/>
            <w:vAlign w:val="center"/>
          </w:tcPr>
          <w:p>
            <w:pPr>
              <w:pStyle w:val="146"/>
              <w:snapToGrid w:val="0"/>
              <w:ind w:firstLine="440" w:firstLineChars="200"/>
              <w:jc w:val="left"/>
              <w:rPr>
                <w:rFonts w:ascii="宋体" w:hAnsi="宋体" w:cs="宋体"/>
                <w:sz w:val="22"/>
              </w:rPr>
            </w:pPr>
          </w:p>
        </w:tc>
        <w:tc>
          <w:tcPr>
            <w:tcW w:w="1215" w:type="dxa"/>
            <w:vAlign w:val="center"/>
          </w:tcPr>
          <w:p>
            <w:pPr>
              <w:pStyle w:val="146"/>
              <w:snapToGrid w:val="0"/>
              <w:ind w:firstLine="440" w:firstLineChars="200"/>
              <w:jc w:val="left"/>
              <w:rPr>
                <w:rFonts w:ascii="宋体" w:hAnsi="宋体" w:cs="宋体"/>
                <w:sz w:val="22"/>
              </w:rPr>
            </w:pPr>
          </w:p>
        </w:tc>
        <w:tc>
          <w:tcPr>
            <w:tcW w:w="714" w:type="dxa"/>
            <w:vAlign w:val="center"/>
          </w:tcPr>
          <w:p>
            <w:pPr>
              <w:pStyle w:val="146"/>
              <w:snapToGrid w:val="0"/>
              <w:ind w:firstLine="440" w:firstLineChars="200"/>
              <w:jc w:val="left"/>
              <w:rPr>
                <w:rFonts w:ascii="宋体" w:hAnsi="宋体" w:cs="宋体"/>
                <w:sz w:val="22"/>
              </w:rPr>
            </w:pPr>
          </w:p>
        </w:tc>
        <w:tc>
          <w:tcPr>
            <w:tcW w:w="1137" w:type="dxa"/>
            <w:vAlign w:val="center"/>
          </w:tcPr>
          <w:p>
            <w:pPr>
              <w:pStyle w:val="146"/>
              <w:snapToGrid w:val="0"/>
              <w:ind w:firstLine="440" w:firstLineChars="200"/>
              <w:jc w:val="left"/>
              <w:rPr>
                <w:rFonts w:ascii="宋体" w:hAnsi="宋体" w:cs="宋体"/>
                <w:sz w:val="22"/>
              </w:rPr>
            </w:pPr>
          </w:p>
        </w:tc>
        <w:tc>
          <w:tcPr>
            <w:tcW w:w="1122" w:type="dxa"/>
            <w:vAlign w:val="center"/>
          </w:tcPr>
          <w:p>
            <w:pPr>
              <w:pStyle w:val="146"/>
              <w:snapToGrid w:val="0"/>
              <w:ind w:firstLine="440" w:firstLineChars="200"/>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46"/>
              <w:snapToGrid w:val="0"/>
              <w:ind w:firstLine="440" w:firstLineChars="200"/>
              <w:jc w:val="left"/>
              <w:rPr>
                <w:rFonts w:ascii="宋体" w:hAnsi="宋体" w:cs="宋体"/>
                <w:sz w:val="22"/>
              </w:rPr>
            </w:pPr>
          </w:p>
        </w:tc>
        <w:tc>
          <w:tcPr>
            <w:tcW w:w="1530" w:type="dxa"/>
            <w:vAlign w:val="center"/>
          </w:tcPr>
          <w:p>
            <w:pPr>
              <w:pStyle w:val="146"/>
              <w:snapToGrid w:val="0"/>
              <w:ind w:firstLine="440" w:firstLineChars="200"/>
              <w:jc w:val="left"/>
              <w:rPr>
                <w:rFonts w:ascii="宋体" w:hAnsi="宋体" w:cs="宋体"/>
                <w:sz w:val="22"/>
              </w:rPr>
            </w:pPr>
          </w:p>
        </w:tc>
        <w:tc>
          <w:tcPr>
            <w:tcW w:w="1779" w:type="dxa"/>
            <w:vAlign w:val="center"/>
          </w:tcPr>
          <w:p>
            <w:pPr>
              <w:pStyle w:val="146"/>
              <w:snapToGrid w:val="0"/>
              <w:ind w:firstLine="440" w:firstLineChars="200"/>
              <w:jc w:val="left"/>
              <w:rPr>
                <w:rFonts w:ascii="宋体" w:hAnsi="宋体" w:cs="宋体"/>
                <w:sz w:val="22"/>
              </w:rPr>
            </w:pPr>
          </w:p>
        </w:tc>
        <w:tc>
          <w:tcPr>
            <w:tcW w:w="1215" w:type="dxa"/>
            <w:vAlign w:val="center"/>
          </w:tcPr>
          <w:p>
            <w:pPr>
              <w:pStyle w:val="146"/>
              <w:snapToGrid w:val="0"/>
              <w:ind w:firstLine="440" w:firstLineChars="200"/>
              <w:jc w:val="left"/>
              <w:rPr>
                <w:rFonts w:ascii="宋体" w:hAnsi="宋体" w:cs="宋体"/>
                <w:sz w:val="22"/>
              </w:rPr>
            </w:pPr>
          </w:p>
        </w:tc>
        <w:tc>
          <w:tcPr>
            <w:tcW w:w="714" w:type="dxa"/>
            <w:vAlign w:val="center"/>
          </w:tcPr>
          <w:p>
            <w:pPr>
              <w:pStyle w:val="146"/>
              <w:snapToGrid w:val="0"/>
              <w:ind w:firstLine="440" w:firstLineChars="200"/>
              <w:jc w:val="left"/>
              <w:rPr>
                <w:rFonts w:ascii="宋体" w:hAnsi="宋体" w:cs="宋体"/>
                <w:sz w:val="22"/>
              </w:rPr>
            </w:pPr>
          </w:p>
        </w:tc>
        <w:tc>
          <w:tcPr>
            <w:tcW w:w="1137" w:type="dxa"/>
            <w:vAlign w:val="center"/>
          </w:tcPr>
          <w:p>
            <w:pPr>
              <w:pStyle w:val="146"/>
              <w:snapToGrid w:val="0"/>
              <w:ind w:firstLine="440" w:firstLineChars="200"/>
              <w:jc w:val="left"/>
              <w:rPr>
                <w:rFonts w:ascii="宋体" w:hAnsi="宋体" w:cs="宋体"/>
                <w:sz w:val="22"/>
              </w:rPr>
            </w:pPr>
          </w:p>
        </w:tc>
        <w:tc>
          <w:tcPr>
            <w:tcW w:w="1122" w:type="dxa"/>
            <w:vAlign w:val="center"/>
          </w:tcPr>
          <w:p>
            <w:pPr>
              <w:pStyle w:val="146"/>
              <w:snapToGrid w:val="0"/>
              <w:ind w:firstLine="440" w:firstLineChars="200"/>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7" w:type="dxa"/>
            <w:gridSpan w:val="2"/>
            <w:vAlign w:val="center"/>
          </w:tcPr>
          <w:p>
            <w:pPr>
              <w:pStyle w:val="146"/>
              <w:snapToGrid w:val="0"/>
              <w:ind w:firstLine="440" w:firstLineChars="200"/>
              <w:jc w:val="left"/>
              <w:rPr>
                <w:rFonts w:ascii="宋体" w:hAnsi="宋体" w:cs="宋体"/>
                <w:sz w:val="22"/>
              </w:rPr>
            </w:pPr>
            <w:r>
              <w:rPr>
                <w:rFonts w:hint="eastAsia" w:ascii="宋体" w:hAnsi="宋体" w:cs="宋体"/>
                <w:sz w:val="22"/>
              </w:rPr>
              <w:t>合计（不含税）</w:t>
            </w:r>
          </w:p>
        </w:tc>
        <w:tc>
          <w:tcPr>
            <w:tcW w:w="5967" w:type="dxa"/>
            <w:gridSpan w:val="5"/>
            <w:vAlign w:val="center"/>
          </w:tcPr>
          <w:p>
            <w:pPr>
              <w:pStyle w:val="146"/>
              <w:snapToGrid w:val="0"/>
              <w:ind w:firstLine="440" w:firstLineChars="200"/>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7" w:type="dxa"/>
            <w:gridSpan w:val="2"/>
            <w:vAlign w:val="center"/>
          </w:tcPr>
          <w:p>
            <w:pPr>
              <w:pStyle w:val="146"/>
              <w:snapToGrid w:val="0"/>
              <w:ind w:firstLine="440" w:firstLineChars="200"/>
              <w:jc w:val="left"/>
              <w:rPr>
                <w:rFonts w:ascii="宋体" w:hAnsi="宋体" w:cs="宋体"/>
                <w:sz w:val="22"/>
              </w:rPr>
            </w:pPr>
            <w:r>
              <w:rPr>
                <w:rFonts w:hint="eastAsia" w:ascii="宋体" w:hAnsi="宋体" w:cs="宋体"/>
                <w:sz w:val="22"/>
              </w:rPr>
              <w:t>税率</w:t>
            </w:r>
          </w:p>
        </w:tc>
        <w:tc>
          <w:tcPr>
            <w:tcW w:w="5967" w:type="dxa"/>
            <w:gridSpan w:val="5"/>
            <w:vAlign w:val="center"/>
          </w:tcPr>
          <w:p>
            <w:pPr>
              <w:pStyle w:val="146"/>
              <w:snapToGrid w:val="0"/>
              <w:ind w:firstLine="440" w:firstLineChars="200"/>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7" w:type="dxa"/>
            <w:gridSpan w:val="2"/>
            <w:vAlign w:val="center"/>
          </w:tcPr>
          <w:p>
            <w:pPr>
              <w:pStyle w:val="146"/>
              <w:snapToGrid w:val="0"/>
              <w:ind w:firstLine="440" w:firstLineChars="200"/>
              <w:jc w:val="left"/>
              <w:rPr>
                <w:rFonts w:ascii="宋体" w:hAnsi="宋体" w:cs="宋体"/>
                <w:sz w:val="22"/>
              </w:rPr>
            </w:pPr>
            <w:r>
              <w:rPr>
                <w:rFonts w:hint="eastAsia" w:ascii="宋体" w:hAnsi="宋体" w:cs="宋体"/>
                <w:sz w:val="22"/>
              </w:rPr>
              <w:t>合计（含税）</w:t>
            </w:r>
          </w:p>
        </w:tc>
        <w:tc>
          <w:tcPr>
            <w:tcW w:w="5967" w:type="dxa"/>
            <w:gridSpan w:val="5"/>
            <w:vAlign w:val="center"/>
          </w:tcPr>
          <w:p>
            <w:pPr>
              <w:pStyle w:val="146"/>
              <w:snapToGrid w:val="0"/>
              <w:ind w:firstLine="440" w:firstLineChars="200"/>
              <w:jc w:val="left"/>
              <w:rPr>
                <w:rFonts w:ascii="宋体" w:hAnsi="宋体" w:cs="宋体"/>
                <w:sz w:val="22"/>
              </w:rPr>
            </w:pPr>
          </w:p>
        </w:tc>
      </w:tr>
    </w:tbl>
    <w:p>
      <w:pPr>
        <w:adjustRightInd w:val="0"/>
        <w:snapToGrid w:val="0"/>
        <w:spacing w:line="360" w:lineRule="exact"/>
        <w:ind w:firstLine="442" w:firstLineChars="200"/>
        <w:rPr>
          <w:rFonts w:ascii="宋体" w:hAnsi="宋体" w:eastAsia="宋体" w:cs="宋体"/>
          <w:b/>
          <w:sz w:val="22"/>
        </w:rPr>
      </w:pPr>
      <w:bookmarkStart w:id="80" w:name="_Toc90452722"/>
      <w:bookmarkStart w:id="81" w:name="_Toc206217401"/>
      <w:bookmarkStart w:id="82" w:name="_Toc275274581"/>
      <w:r>
        <w:rPr>
          <w:rFonts w:hint="eastAsia" w:ascii="宋体" w:hAnsi="宋体" w:eastAsia="宋体" w:cs="宋体"/>
          <w:b/>
          <w:sz w:val="22"/>
        </w:rPr>
        <w:t>二、合同金额</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1.</w:t>
      </w:r>
      <w:r>
        <w:rPr>
          <w:rFonts w:hint="eastAsia" w:ascii="宋体" w:hAnsi="宋体" w:eastAsia="宋体" w:cs="宋体"/>
          <w:bCs/>
          <w:sz w:val="22"/>
        </w:rPr>
        <w:t>本合同金额为固定单价合同。本合同单价为杭州萧山国际机场内交货价。甲方不再承担其他任何费用。同时乙方承诺，不因甲方采购数量的增加或减少而变动固定单价。</w:t>
      </w:r>
    </w:p>
    <w:p>
      <w:pPr>
        <w:adjustRightInd w:val="0"/>
        <w:snapToGrid w:val="0"/>
        <w:spacing w:line="360" w:lineRule="exact"/>
        <w:ind w:firstLine="442" w:firstLineChars="200"/>
        <w:rPr>
          <w:rFonts w:ascii="宋体" w:hAnsi="宋体" w:eastAsia="宋体" w:cs="宋体"/>
          <w:bCs/>
          <w:sz w:val="22"/>
        </w:rPr>
      </w:pPr>
      <w:r>
        <w:rPr>
          <w:rFonts w:ascii="宋体" w:hAnsi="宋体" w:eastAsia="宋体" w:cs="宋体"/>
          <w:b/>
          <w:sz w:val="22"/>
        </w:rPr>
        <w:t>2</w:t>
      </w:r>
      <w:r>
        <w:rPr>
          <w:rFonts w:hint="eastAsia" w:ascii="宋体" w:hAnsi="宋体" w:eastAsia="宋体" w:cs="宋体"/>
          <w:b/>
          <w:sz w:val="22"/>
        </w:rPr>
        <w:t>.</w:t>
      </w:r>
      <w:r>
        <w:rPr>
          <w:rFonts w:hint="eastAsia" w:ascii="宋体" w:hAnsi="宋体" w:eastAsia="宋体" w:cs="宋体"/>
          <w:bCs/>
          <w:sz w:val="22"/>
        </w:rPr>
        <w:t>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50"/>
        <w:rPr>
          <w:rFonts w:ascii="宋体" w:hAnsi="宋体" w:eastAsia="宋体" w:cs="宋体"/>
          <w:bCs/>
          <w:sz w:val="22"/>
          <w:u w:val="single"/>
        </w:rPr>
      </w:pPr>
      <w:r>
        <w:rPr>
          <w:rFonts w:ascii="宋体" w:hAnsi="宋体" w:eastAsia="宋体" w:cs="宋体"/>
          <w:b/>
          <w:sz w:val="22"/>
        </w:rPr>
        <w:t>3</w:t>
      </w:r>
      <w:r>
        <w:rPr>
          <w:rFonts w:hint="eastAsia" w:ascii="宋体" w:hAnsi="宋体" w:eastAsia="宋体" w:cs="宋体"/>
          <w:b/>
          <w:sz w:val="22"/>
        </w:rPr>
        <w:t>.</w:t>
      </w:r>
      <w:r>
        <w:rPr>
          <w:rFonts w:hint="eastAsia" w:ascii="宋体" w:hAnsi="宋体" w:eastAsia="宋体" w:cs="宋体"/>
          <w:bCs/>
          <w:sz w:val="22"/>
        </w:rPr>
        <w:t>本合同暂定总额为大写：</w:t>
      </w:r>
      <w:r>
        <w:rPr>
          <w:rFonts w:ascii="宋体" w:hAnsi="宋体" w:eastAsia="宋体" w:cs="宋体"/>
          <w:bCs/>
          <w:sz w:val="22"/>
          <w:u w:val="single"/>
        </w:rPr>
        <w:t xml:space="preserve">            </w:t>
      </w:r>
      <w:r>
        <w:rPr>
          <w:rFonts w:hint="eastAsia" w:ascii="宋体" w:hAnsi="宋体" w:eastAsia="宋体" w:cs="宋体"/>
          <w:bCs/>
          <w:sz w:val="22"/>
        </w:rPr>
        <w:t>人民币，小写：</w:t>
      </w:r>
      <w:r>
        <w:rPr>
          <w:rFonts w:hint="eastAsia" w:ascii="宋体" w:hAnsi="宋体" w:eastAsia="宋体" w:cs="宋体"/>
          <w:bCs/>
          <w:sz w:val="22"/>
          <w:u w:val="single"/>
        </w:rPr>
        <w:t>￥</w:t>
      </w:r>
      <w:r>
        <w:rPr>
          <w:rFonts w:ascii="宋体" w:hAnsi="宋体" w:eastAsia="宋体" w:cs="宋体"/>
          <w:bCs/>
          <w:sz w:val="22"/>
          <w:u w:val="single"/>
        </w:rPr>
        <w:t xml:space="preserve">            </w:t>
      </w:r>
      <w:r>
        <w:rPr>
          <w:rFonts w:hint="eastAsia" w:ascii="宋体" w:hAnsi="宋体" w:eastAsia="宋体" w:cs="宋体"/>
          <w:bCs/>
          <w:sz w:val="22"/>
        </w:rPr>
        <w:t>，(其中：不含税金额为</w:t>
      </w:r>
      <w:r>
        <w:rPr>
          <w:rFonts w:hint="eastAsia" w:ascii="宋体" w:hAnsi="宋体" w:eastAsia="宋体" w:cs="宋体"/>
          <w:bCs/>
          <w:sz w:val="22"/>
          <w:u w:val="single"/>
        </w:rPr>
        <w:t xml:space="preserve">           </w:t>
      </w:r>
      <w:r>
        <w:rPr>
          <w:rFonts w:hint="eastAsia" w:ascii="宋体" w:hAnsi="宋体" w:eastAsia="宋体" w:cs="宋体"/>
          <w:bCs/>
          <w:sz w:val="22"/>
        </w:rPr>
        <w:t>，税额为</w:t>
      </w:r>
      <w:r>
        <w:rPr>
          <w:rFonts w:hint="eastAsia" w:ascii="宋体" w:hAnsi="宋体" w:eastAsia="宋体" w:cs="宋体"/>
          <w:bCs/>
          <w:sz w:val="22"/>
          <w:u w:val="single"/>
        </w:rPr>
        <w:t xml:space="preserve">          。</w:t>
      </w:r>
      <w:r>
        <w:rPr>
          <w:rFonts w:hint="eastAsia" w:ascii="宋体" w:hAnsi="宋体" w:eastAsia="宋体" w:cs="宋体"/>
          <w:bCs/>
          <w:sz w:val="22"/>
        </w:rPr>
        <w:t>）本次采购预估数量为：</w:t>
      </w:r>
      <w:r>
        <w:rPr>
          <w:rFonts w:ascii="宋体" w:hAnsi="宋体" w:eastAsia="宋体" w:cs="宋体"/>
          <w:bCs/>
          <w:sz w:val="22"/>
          <w:u w:val="single"/>
        </w:rPr>
        <w:t xml:space="preserve">                </w:t>
      </w:r>
      <w:r>
        <w:rPr>
          <w:rFonts w:hint="eastAsia" w:ascii="宋体" w:hAnsi="宋体" w:eastAsia="宋体" w:cs="宋体"/>
          <w:bCs/>
          <w:sz w:val="22"/>
          <w:u w:val="single"/>
        </w:rPr>
        <w:t>。</w:t>
      </w:r>
    </w:p>
    <w:p>
      <w:pPr>
        <w:adjustRightInd w:val="0"/>
        <w:snapToGrid w:val="0"/>
        <w:spacing w:line="360" w:lineRule="exact"/>
        <w:ind w:firstLine="442" w:firstLineChars="200"/>
        <w:rPr>
          <w:rFonts w:ascii="宋体" w:hAnsi="宋体" w:eastAsia="宋体" w:cs="宋体"/>
          <w:bCs/>
          <w:sz w:val="22"/>
        </w:rPr>
      </w:pPr>
      <w:r>
        <w:rPr>
          <w:rFonts w:ascii="宋体" w:hAnsi="宋体" w:eastAsia="宋体" w:cs="宋体"/>
          <w:b/>
          <w:sz w:val="22"/>
        </w:rPr>
        <w:t>4.</w:t>
      </w:r>
      <w:r>
        <w:rPr>
          <w:rFonts w:ascii="宋体" w:hAnsi="宋体" w:eastAsia="宋体" w:cs="宋体"/>
          <w:bCs/>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乙方应在交付合同产品时，同时向甲方提供使用产品的有关技术资料。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2.</w:t>
      </w:r>
      <w:r>
        <w:rPr>
          <w:rFonts w:hint="eastAsia" w:ascii="宋体" w:hAnsi="宋体" w:eastAsia="宋体" w:cs="宋体"/>
          <w:sz w:val="22"/>
        </w:rPr>
        <w:t>乙方应在交付高杆灯钢缆产品时，同时向甲方提供由第三方检测单位出具的钢丝绳质量检测报告，检测项目应包括但不限于实测直径、最小破断拉力、最小扭转次数、反复弯曲次数、镀锌层测试等，检测依据为GB8918-2006《重要用途钢丝绳》。</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四、知识产权</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五、产权担保</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outlineLvl w:val="0"/>
        <w:rPr>
          <w:rFonts w:ascii="宋体" w:hAnsi="宋体" w:eastAsia="宋体" w:cs="宋体"/>
          <w:b/>
          <w:sz w:val="22"/>
        </w:rPr>
      </w:pPr>
      <w:bookmarkStart w:id="83" w:name="_Toc422638512"/>
      <w:r>
        <w:rPr>
          <w:rFonts w:hint="eastAsia" w:ascii="宋体" w:hAnsi="宋体" w:eastAsia="宋体" w:cs="宋体"/>
          <w:b/>
          <w:sz w:val="22"/>
        </w:rPr>
        <w:t>五、转包或分包</w:t>
      </w:r>
      <w:bookmarkEnd w:id="83"/>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如有未经甲方书面同意的转让和分包行为，甲方有权解除合同，并有权要求乙方承担合同暂定总额【5】%的违约金，且全额没收履约保证金。</w:t>
      </w:r>
    </w:p>
    <w:p>
      <w:pPr>
        <w:adjustRightInd w:val="0"/>
        <w:snapToGrid w:val="0"/>
        <w:spacing w:line="360" w:lineRule="exact"/>
        <w:ind w:firstLine="442" w:firstLineChars="200"/>
        <w:outlineLvl w:val="0"/>
        <w:rPr>
          <w:rFonts w:ascii="宋体" w:hAnsi="宋体" w:eastAsia="宋体" w:cs="宋体"/>
          <w:b/>
          <w:sz w:val="22"/>
        </w:rPr>
      </w:pPr>
      <w:bookmarkStart w:id="84" w:name="_Toc422638513"/>
      <w:r>
        <w:rPr>
          <w:rFonts w:hint="eastAsia" w:ascii="宋体" w:hAnsi="宋体" w:eastAsia="宋体" w:cs="宋体"/>
          <w:b/>
          <w:sz w:val="22"/>
        </w:rPr>
        <w:t>七、产品包装、发运及运输</w:t>
      </w:r>
      <w:bookmarkEnd w:id="84"/>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乙方应在产品发运前对其按满足运输距离、防潮、防震、防锈和防破损装卸等要求进行包装，以保证产品安全运达甲方指定地点。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乙方在产品发运手续办理完毕后【24】小时内必须书面通知甲方，以便甲方准备接货。</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产品在本合同规定的交货地点交付甲方前发生的一切风险包括产品运输风险均由乙方负责。</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42" w:firstLineChars="200"/>
        <w:outlineLvl w:val="0"/>
        <w:rPr>
          <w:rFonts w:ascii="宋体" w:hAnsi="宋体" w:eastAsia="宋体" w:cs="宋体"/>
          <w:b/>
          <w:sz w:val="22"/>
        </w:rPr>
      </w:pPr>
      <w:bookmarkStart w:id="85" w:name="_Toc422638514"/>
      <w:r>
        <w:rPr>
          <w:rFonts w:hint="eastAsia" w:ascii="宋体" w:hAnsi="宋体" w:eastAsia="宋体" w:cs="宋体"/>
          <w:b/>
          <w:sz w:val="22"/>
        </w:rPr>
        <w:t>八、交货期、交货方式及交货地点</w:t>
      </w:r>
      <w:bookmarkEnd w:id="85"/>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交货期与交货方式：乙方每次在接到甲方根据本合同发出的采购通知单之日起【10】日内将产品送达甲方指定地点。</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2.</w:t>
      </w:r>
      <w:r>
        <w:rPr>
          <w:rFonts w:hint="eastAsia" w:ascii="宋体" w:hAnsi="宋体" w:eastAsia="宋体" w:cs="宋体"/>
          <w:sz w:val="22"/>
        </w:rPr>
        <w:t>交货地点：杭州萧山国际机场内</w:t>
      </w:r>
    </w:p>
    <w:p>
      <w:pPr>
        <w:adjustRightInd w:val="0"/>
        <w:snapToGrid w:val="0"/>
        <w:spacing w:line="360" w:lineRule="exact"/>
        <w:ind w:firstLine="442" w:firstLineChars="200"/>
        <w:outlineLvl w:val="0"/>
        <w:rPr>
          <w:rFonts w:ascii="宋体" w:hAnsi="宋体" w:eastAsia="宋体" w:cs="宋体"/>
          <w:b/>
          <w:sz w:val="22"/>
        </w:rPr>
      </w:pPr>
      <w:bookmarkStart w:id="86" w:name="_Toc422638515"/>
      <w:r>
        <w:rPr>
          <w:rFonts w:hint="eastAsia" w:ascii="宋体" w:hAnsi="宋体" w:eastAsia="宋体" w:cs="宋体"/>
          <w:b/>
          <w:sz w:val="22"/>
        </w:rPr>
        <w:t>九、安装与验收</w:t>
      </w:r>
      <w:bookmarkEnd w:id="86"/>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甲方对乙方交付的货物依据甲方要求和国家有关质量标准进行现场初步验收，同时对乙方交付的高杆灯钢缆以同绳为一个批次，分别进行采样，送至第三方检测单位进行质量检测，检测费用由乙方承担，若产品外观、数量、品种、规格、说明书和第三方检测报告等资料符合甲方要求的，视为初步验收合格，给予签收，初步验收不合格的不予签收并在到货之日起【20】日内以书面或电话形式向乙方提出异议。乙方在甲方初步验收合格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十】日内以书面方式向乙方提出相关异议。</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3.</w:t>
      </w:r>
      <w:r>
        <w:rPr>
          <w:rFonts w:hint="eastAsia" w:ascii="宋体" w:hAnsi="宋体" w:eastAsia="宋体" w:cs="宋体"/>
          <w:bCs/>
          <w:sz w:val="22"/>
        </w:rPr>
        <w:t>乙方应当在收到甲方前述第</w:t>
      </w:r>
      <w:r>
        <w:rPr>
          <w:rFonts w:ascii="宋体" w:hAnsi="宋体" w:eastAsia="宋体" w:cs="宋体"/>
          <w:bCs/>
          <w:sz w:val="22"/>
        </w:rPr>
        <w:t>1</w:t>
      </w:r>
      <w:r>
        <w:rPr>
          <w:rFonts w:hint="eastAsia" w:ascii="宋体" w:hAnsi="宋体" w:eastAsia="宋体" w:cs="宋体"/>
          <w:bCs/>
          <w:sz w:val="22"/>
        </w:rPr>
        <w:t>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4.具体的安装要求：</w:t>
      </w:r>
    </w:p>
    <w:p>
      <w:pPr>
        <w:adjustRightInd w:val="0"/>
        <w:snapToGrid w:val="0"/>
        <w:spacing w:line="360" w:lineRule="exact"/>
        <w:ind w:firstLine="440" w:firstLineChars="200"/>
        <w:rPr>
          <w:rFonts w:ascii="宋体" w:hAnsi="宋体" w:eastAsia="宋体" w:cs="宋体"/>
          <w:bCs/>
          <w:sz w:val="22"/>
        </w:rPr>
      </w:pPr>
      <w:r>
        <w:rPr>
          <w:rFonts w:hint="eastAsia" w:ascii="宋体" w:hAnsi="宋体" w:eastAsia="宋体" w:cs="宋体"/>
          <w:bCs/>
          <w:sz w:val="22"/>
        </w:rPr>
        <w:t>（</w:t>
      </w:r>
      <w:r>
        <w:rPr>
          <w:rFonts w:ascii="宋体" w:hAnsi="宋体" w:eastAsia="宋体" w:cs="宋体"/>
          <w:bCs/>
          <w:sz w:val="22"/>
        </w:rPr>
        <w:t>1</w:t>
      </w:r>
      <w:r>
        <w:rPr>
          <w:rFonts w:hint="eastAsia" w:ascii="宋体" w:hAnsi="宋体" w:eastAsia="宋体" w:cs="宋体"/>
          <w:bCs/>
          <w:sz w:val="22"/>
        </w:rPr>
        <w:t>）安装产品应与设备系统配套，且符合系统运行要求；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bCs/>
          <w:sz w:val="22"/>
        </w:rPr>
        <w:t>（</w:t>
      </w:r>
      <w:r>
        <w:rPr>
          <w:rFonts w:ascii="宋体" w:hAnsi="宋体" w:eastAsia="宋体" w:cs="宋体"/>
          <w:bCs/>
          <w:sz w:val="22"/>
        </w:rPr>
        <w:t>2</w:t>
      </w:r>
      <w:r>
        <w:rPr>
          <w:rFonts w:hint="eastAsia" w:ascii="宋体" w:hAnsi="宋体" w:eastAsia="宋体" w:cs="宋体"/>
          <w:bCs/>
          <w:sz w:val="22"/>
        </w:rPr>
        <w:t>）</w:t>
      </w:r>
      <w:r>
        <w:rPr>
          <w:rFonts w:hint="eastAsia" w:ascii="宋体" w:hAnsi="宋体" w:eastAsia="宋体" w:cs="宋体"/>
          <w:sz w:val="22"/>
        </w:rPr>
        <w:t>施工地点位于机场飞行区内，乙方进入施工地点人员、车辆须办理隔离区通行证，同时须甲方引领，并服从甲方的监督和管理，施工时间须由甲方决定。</w:t>
      </w:r>
    </w:p>
    <w:p>
      <w:pPr>
        <w:numPr>
          <w:ilvl w:val="255"/>
          <w:numId w:val="0"/>
        </w:numPr>
        <w:adjustRightInd w:val="0"/>
        <w:snapToGrid w:val="0"/>
        <w:spacing w:line="360" w:lineRule="exact"/>
        <w:rPr>
          <w:rFonts w:ascii="宋体" w:hAnsi="宋体" w:eastAsia="宋体" w:cs="宋体"/>
          <w:b/>
          <w:bCs/>
          <w:sz w:val="22"/>
        </w:rPr>
      </w:pPr>
      <w:r>
        <w:rPr>
          <w:rFonts w:hint="eastAsia" w:ascii="宋体" w:hAnsi="宋体" w:eastAsia="宋体" w:cs="宋体"/>
          <w:b/>
          <w:bCs/>
          <w:sz w:val="22"/>
        </w:rPr>
        <w:t xml:space="preserve">    5.具体的验收要求：</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（1）乙方根据本合同约定，提供约定数量和规格的产品及技术资料；</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（2）安装完成后的产品运行情况符合甲方要求。</w:t>
      </w:r>
    </w:p>
    <w:p>
      <w:pPr>
        <w:numPr>
          <w:ilvl w:val="255"/>
          <w:numId w:val="0"/>
        </w:numPr>
        <w:adjustRightInd w:val="0"/>
        <w:snapToGrid w:val="0"/>
        <w:spacing w:line="360" w:lineRule="exact"/>
        <w:ind w:firstLine="440"/>
        <w:rPr>
          <w:rFonts w:ascii="宋体" w:hAnsi="宋体" w:eastAsia="宋体" w:cs="宋体"/>
          <w:b/>
          <w:bCs/>
          <w:sz w:val="22"/>
        </w:rPr>
      </w:pPr>
      <w:r>
        <w:rPr>
          <w:rFonts w:hint="eastAsia" w:ascii="宋体" w:hAnsi="宋体" w:eastAsia="宋体" w:cs="宋体"/>
          <w:b/>
          <w:bCs/>
          <w:sz w:val="22"/>
        </w:rPr>
        <w:t>十、控制区证件管控条款</w:t>
      </w:r>
    </w:p>
    <w:p>
      <w:pPr>
        <w:numPr>
          <w:ilvl w:val="255"/>
          <w:numId w:val="0"/>
        </w:numPr>
        <w:adjustRightInd w:val="0"/>
        <w:snapToGrid w:val="0"/>
        <w:spacing w:line="360" w:lineRule="exact"/>
        <w:ind w:firstLine="440"/>
        <w:rPr>
          <w:rFonts w:ascii="宋体" w:hAnsi="宋体" w:eastAsia="宋体" w:cs="宋体"/>
          <w:sz w:val="22"/>
        </w:rPr>
      </w:pPr>
      <w:r>
        <w:rPr>
          <w:rFonts w:ascii="宋体" w:hAnsi="宋体" w:eastAsia="宋体" w:cs="宋体"/>
          <w:b/>
          <w:bCs/>
          <w:sz w:val="22"/>
        </w:rPr>
        <w:t>1.</w:t>
      </w:r>
      <w:r>
        <w:rPr>
          <w:rFonts w:hint="eastAsia" w:ascii="宋体" w:hAnsi="宋体" w:eastAsia="宋体" w:cs="宋体"/>
          <w:sz w:val="22"/>
        </w:rPr>
        <w:t>乙方因本合同工作需要进入控制区内的，应按照机场有关规定办理控制区通行证，并自行承担费用。</w:t>
      </w:r>
    </w:p>
    <w:p>
      <w:pPr>
        <w:numPr>
          <w:ilvl w:val="255"/>
          <w:numId w:val="0"/>
        </w:numPr>
        <w:adjustRightInd w:val="0"/>
        <w:snapToGrid w:val="0"/>
        <w:spacing w:line="360" w:lineRule="exact"/>
        <w:ind w:firstLine="440"/>
        <w:rPr>
          <w:rFonts w:ascii="宋体" w:hAnsi="宋体" w:eastAsia="宋体" w:cs="宋体"/>
          <w:sz w:val="22"/>
        </w:rPr>
      </w:pPr>
      <w:r>
        <w:rPr>
          <w:rFonts w:ascii="宋体" w:hAnsi="宋体" w:eastAsia="宋体" w:cs="宋体"/>
          <w:b/>
          <w:bCs/>
          <w:sz w:val="22"/>
        </w:rPr>
        <w:t>2.</w:t>
      </w:r>
      <w:r>
        <w:rPr>
          <w:rFonts w:hint="eastAsia" w:ascii="宋体" w:hAnsi="宋体" w:eastAsia="宋体" w:cs="宋体"/>
          <w:sz w:val="22"/>
        </w:rPr>
        <w:t>乙方应按要求提供真实有效的资料、证件等，如乙方未按规定办理控制区通行证或提供资料不真实或存在其他违反控制区通行证管理规定的行为，甲方有权单方解除合同，并按相关管理规定追究乙方责任。</w:t>
      </w:r>
    </w:p>
    <w:p>
      <w:pPr>
        <w:numPr>
          <w:ilvl w:val="255"/>
          <w:numId w:val="0"/>
        </w:numPr>
        <w:adjustRightInd w:val="0"/>
        <w:snapToGrid w:val="0"/>
        <w:spacing w:line="360" w:lineRule="exact"/>
        <w:ind w:firstLine="440"/>
        <w:rPr>
          <w:rFonts w:ascii="宋体" w:hAnsi="宋体" w:eastAsia="宋体" w:cs="宋体"/>
          <w:sz w:val="22"/>
        </w:rPr>
      </w:pPr>
      <w:r>
        <w:rPr>
          <w:rFonts w:ascii="宋体" w:hAnsi="宋体" w:eastAsia="宋体" w:cs="宋体"/>
          <w:b/>
          <w:bCs/>
          <w:sz w:val="22"/>
        </w:rPr>
        <w:t>3.</w:t>
      </w:r>
      <w:r>
        <w:rPr>
          <w:rFonts w:hint="eastAsia" w:ascii="宋体" w:hAnsi="宋体" w:eastAsia="宋体" w:cs="宋体"/>
          <w:sz w:val="22"/>
        </w:rPr>
        <w:t>如乙方违反本条约定，造成甲方损失的，乙方应予以赔偿；影响空防安全或造成社会负面影响的，乙方应承担由此引起的一切法律责任。</w:t>
      </w:r>
    </w:p>
    <w:p>
      <w:pPr>
        <w:adjustRightInd w:val="0"/>
        <w:snapToGrid w:val="0"/>
        <w:spacing w:line="360" w:lineRule="exact"/>
        <w:ind w:firstLine="442" w:firstLineChars="200"/>
        <w:outlineLvl w:val="0"/>
        <w:rPr>
          <w:rFonts w:ascii="宋体" w:hAnsi="宋体" w:eastAsia="宋体" w:cs="宋体"/>
          <w:b/>
          <w:sz w:val="22"/>
        </w:rPr>
      </w:pPr>
      <w:bookmarkStart w:id="87" w:name="_Toc422638516"/>
      <w:r>
        <w:rPr>
          <w:rFonts w:hint="eastAsia" w:ascii="宋体" w:hAnsi="宋体" w:eastAsia="宋体" w:cs="宋体"/>
          <w:b/>
          <w:sz w:val="22"/>
        </w:rPr>
        <w:t>十一、货款支付</w:t>
      </w:r>
      <w:bookmarkEnd w:id="87"/>
    </w:p>
    <w:p>
      <w:pPr>
        <w:pStyle w:val="49"/>
        <w:snapToGrid w:val="0"/>
        <w:spacing w:before="0" w:beforeAutospacing="0" w:after="0" w:afterAutospacing="0" w:line="360" w:lineRule="exact"/>
        <w:ind w:firstLine="442" w:firstLineChars="200"/>
        <w:jc w:val="both"/>
        <w:rPr>
          <w:rFonts w:ascii="宋体" w:hAnsi="宋体" w:eastAsia="宋体" w:cs="宋体"/>
          <w:kern w:val="2"/>
          <w:sz w:val="22"/>
          <w:szCs w:val="22"/>
        </w:rPr>
      </w:pPr>
      <w:r>
        <w:rPr>
          <w:rFonts w:hint="eastAsia" w:ascii="宋体" w:hAnsi="宋体" w:eastAsia="宋体" w:cs="宋体"/>
          <w:b/>
          <w:bCs/>
          <w:kern w:val="2"/>
          <w:sz w:val="22"/>
          <w:szCs w:val="22"/>
        </w:rPr>
        <w:t>1.</w:t>
      </w:r>
      <w:r>
        <w:rPr>
          <w:rFonts w:hint="eastAsia" w:ascii="宋体" w:hAnsi="宋体" w:eastAsia="宋体" w:cs="宋体"/>
          <w:kern w:val="2"/>
          <w:sz w:val="22"/>
          <w:szCs w:val="22"/>
        </w:rPr>
        <w:t>双方根据每次由甲方签署的安装验收合格报告支付该批次的产品价款。</w:t>
      </w:r>
    </w:p>
    <w:p>
      <w:pPr>
        <w:pStyle w:val="49"/>
        <w:snapToGrid w:val="0"/>
        <w:spacing w:before="0" w:beforeAutospacing="0" w:after="0" w:afterAutospacing="0" w:line="360" w:lineRule="exact"/>
        <w:ind w:left="420" w:leftChars="200"/>
        <w:jc w:val="both"/>
        <w:rPr>
          <w:rFonts w:ascii="宋体" w:hAnsi="宋体" w:eastAsia="宋体" w:cs="宋体"/>
          <w:b/>
          <w:bCs/>
          <w:kern w:val="2"/>
          <w:sz w:val="22"/>
          <w:szCs w:val="22"/>
        </w:rPr>
      </w:pPr>
      <w:r>
        <w:rPr>
          <w:rFonts w:hint="eastAsia" w:ascii="宋体" w:hAnsi="宋体" w:eastAsia="宋体" w:cs="宋体"/>
          <w:b/>
          <w:bCs/>
          <w:kern w:val="2"/>
          <w:sz w:val="22"/>
          <w:szCs w:val="22"/>
        </w:rPr>
        <w:t>2.</w:t>
      </w:r>
      <w:r>
        <w:rPr>
          <w:rFonts w:hint="eastAsia" w:ascii="宋体" w:hAnsi="宋体" w:eastAsia="宋体" w:cs="宋体"/>
          <w:kern w:val="2"/>
          <w:sz w:val="22"/>
          <w:szCs w:val="22"/>
        </w:rPr>
        <w:t>乙方于甲方签署安装验收合格报告后【十】日内向甲方开具正式增值税专用发票。</w:t>
      </w:r>
    </w:p>
    <w:p>
      <w:pPr>
        <w:pStyle w:val="49"/>
        <w:snapToGrid w:val="0"/>
        <w:spacing w:before="0" w:beforeAutospacing="0" w:after="0" w:afterAutospacing="0" w:line="360" w:lineRule="exact"/>
        <w:ind w:firstLine="442" w:firstLineChars="200"/>
        <w:jc w:val="both"/>
        <w:rPr>
          <w:rFonts w:ascii="宋体" w:hAnsi="宋体" w:eastAsia="宋体" w:cs="宋体"/>
          <w:color w:val="auto"/>
          <w:sz w:val="22"/>
          <w:szCs w:val="22"/>
        </w:rPr>
      </w:pPr>
      <w:r>
        <w:rPr>
          <w:rFonts w:hint="eastAsia" w:ascii="宋体" w:hAnsi="宋体" w:eastAsia="宋体" w:cs="宋体"/>
          <w:b/>
          <w:color w:val="auto"/>
          <w:sz w:val="22"/>
          <w:szCs w:val="22"/>
        </w:rPr>
        <w:t>十二、</w:t>
      </w:r>
      <w:r>
        <w:rPr>
          <w:rFonts w:hint="eastAsia" w:ascii="宋体" w:hAnsi="宋体" w:eastAsia="宋体" w:cs="宋体"/>
          <w:b/>
          <w:bCs/>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hint="eastAsia" w:ascii="宋体" w:hAnsi="宋体" w:eastAsia="宋体" w:cs="宋体"/>
          <w:b/>
          <w:color w:val="auto"/>
          <w:sz w:val="22"/>
          <w:szCs w:val="22"/>
        </w:rPr>
        <w:t>1.</w:t>
      </w:r>
      <w:r>
        <w:rPr>
          <w:rFonts w:hint="eastAsia" w:ascii="宋体" w:hAnsi="宋体" w:eastAsia="宋体" w:cs="宋体"/>
          <w:bCs/>
          <w:color w:val="auto"/>
          <w:sz w:val="22"/>
          <w:szCs w:val="22"/>
        </w:rPr>
        <w:t>乙方应在收到甲方中标通知书后【</w:t>
      </w:r>
      <w:r>
        <w:rPr>
          <w:rFonts w:ascii="宋体" w:hAnsi="宋体" w:eastAsia="宋体" w:cs="宋体"/>
          <w:bCs/>
          <w:color w:val="auto"/>
          <w:sz w:val="22"/>
          <w:szCs w:val="22"/>
        </w:rPr>
        <w:t>10】</w:t>
      </w:r>
      <w:r>
        <w:rPr>
          <w:rFonts w:hint="eastAsia" w:ascii="宋体" w:hAnsi="宋体" w:eastAsia="宋体" w:cs="宋体"/>
          <w:bCs/>
          <w:color w:val="auto"/>
          <w:sz w:val="22"/>
          <w:szCs w:val="22"/>
        </w:rPr>
        <w:t>日内，向甲方支付合同总价的【</w:t>
      </w:r>
      <w:r>
        <w:rPr>
          <w:rFonts w:ascii="宋体" w:hAnsi="宋体" w:eastAsia="宋体" w:cs="宋体"/>
          <w:bCs/>
          <w:color w:val="auto"/>
          <w:sz w:val="22"/>
          <w:szCs w:val="22"/>
        </w:rPr>
        <w:t>10%</w:t>
      </w:r>
      <w:r>
        <w:rPr>
          <w:rFonts w:hint="eastAsia" w:ascii="宋体" w:hAnsi="宋体" w:eastAsia="宋体" w:cs="宋体"/>
          <w:bCs/>
          <w:color w:val="auto"/>
          <w:sz w:val="22"/>
          <w:szCs w:val="22"/>
        </w:rPr>
        <w:t>】作为履约保证金。如果逾期未缴纳，甲方有权解除本合同，并要求乙方承担由此给甲方造成的损失。</w:t>
      </w:r>
    </w:p>
    <w:p>
      <w:pPr>
        <w:pStyle w:val="4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ascii="宋体" w:hAnsi="宋体" w:eastAsia="宋体" w:cs="宋体"/>
          <w:b/>
          <w:color w:val="auto"/>
          <w:sz w:val="22"/>
          <w:szCs w:val="22"/>
        </w:rPr>
        <w:t>2.</w:t>
      </w:r>
      <w:r>
        <w:rPr>
          <w:rFonts w:hint="eastAsia" w:ascii="宋体" w:hAnsi="宋体" w:eastAsia="宋体" w:cs="宋体"/>
          <w:bCs/>
          <w:color w:val="auto"/>
          <w:sz w:val="22"/>
          <w:szCs w:val="22"/>
        </w:rPr>
        <w:t>在合同履行期间，如果乙方存在违约情形，甲方有权优先从履约保证金中扣除相应款项，并书面通知乙方，乙方自收到书面通知之日起【</w:t>
      </w:r>
      <w:r>
        <w:rPr>
          <w:rFonts w:ascii="宋体" w:hAnsi="宋体" w:eastAsia="宋体" w:cs="宋体"/>
          <w:bCs/>
          <w:color w:val="auto"/>
          <w:sz w:val="22"/>
          <w:szCs w:val="22"/>
        </w:rPr>
        <w:t>5</w:t>
      </w:r>
      <w:r>
        <w:rPr>
          <w:rFonts w:hint="eastAsia" w:ascii="宋体" w:hAnsi="宋体" w:eastAsia="宋体" w:cs="宋体"/>
          <w:bCs/>
          <w:color w:val="auto"/>
          <w:sz w:val="22"/>
          <w:szCs w:val="22"/>
        </w:rPr>
        <w:t>】日内补足履约保证金。如果乙方不及时补足履约保证金，视为乙方违约，甲方有权解除合同，并要求乙方承担相应的违约责任。待免费质保期满后经甲方确认，乙方不存在任何违约情形并收到甲方书面认可后【</w:t>
      </w:r>
      <w:r>
        <w:rPr>
          <w:rFonts w:ascii="宋体" w:hAnsi="宋体" w:eastAsia="宋体" w:cs="宋体"/>
          <w:bCs/>
          <w:color w:val="auto"/>
          <w:sz w:val="22"/>
          <w:szCs w:val="22"/>
        </w:rPr>
        <w:t>10</w:t>
      </w:r>
      <w:r>
        <w:rPr>
          <w:rFonts w:hint="eastAsia" w:ascii="宋体" w:hAnsi="宋体" w:eastAsia="宋体" w:cs="宋体"/>
          <w:bCs/>
          <w:color w:val="auto"/>
          <w:sz w:val="22"/>
          <w:szCs w:val="22"/>
        </w:rPr>
        <w:t>】日内，甲方无息返还履约保证金。</w:t>
      </w:r>
    </w:p>
    <w:p>
      <w:pPr>
        <w:adjustRightInd w:val="0"/>
        <w:snapToGrid w:val="0"/>
        <w:spacing w:line="360" w:lineRule="exact"/>
        <w:ind w:firstLine="442" w:firstLineChars="200"/>
        <w:outlineLvl w:val="0"/>
        <w:rPr>
          <w:rFonts w:ascii="宋体" w:hAnsi="宋体" w:eastAsia="宋体" w:cs="宋体"/>
          <w:b/>
          <w:sz w:val="22"/>
        </w:rPr>
      </w:pPr>
      <w:bookmarkStart w:id="88" w:name="_Toc422638517"/>
      <w:r>
        <w:rPr>
          <w:rFonts w:hint="eastAsia" w:ascii="宋体" w:hAnsi="宋体" w:eastAsia="宋体" w:cs="宋体"/>
          <w:b/>
          <w:sz w:val="22"/>
        </w:rPr>
        <w:t>十三、税费</w:t>
      </w:r>
      <w:bookmarkEnd w:id="88"/>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本合同执行中相关的一切税费均由乙方负担。</w:t>
      </w:r>
    </w:p>
    <w:p>
      <w:pPr>
        <w:adjustRightInd w:val="0"/>
        <w:snapToGrid w:val="0"/>
        <w:spacing w:line="360" w:lineRule="exact"/>
        <w:ind w:firstLine="442" w:firstLineChars="200"/>
        <w:outlineLvl w:val="0"/>
        <w:rPr>
          <w:rFonts w:ascii="宋体" w:hAnsi="宋体" w:eastAsia="宋体" w:cs="宋体"/>
          <w:b/>
          <w:sz w:val="22"/>
        </w:rPr>
      </w:pPr>
      <w:bookmarkStart w:id="89" w:name="_Toc422638518"/>
      <w:r>
        <w:rPr>
          <w:rFonts w:hint="eastAsia" w:ascii="宋体" w:hAnsi="宋体" w:eastAsia="宋体" w:cs="宋体"/>
          <w:b/>
          <w:sz w:val="22"/>
        </w:rPr>
        <w:t>十</w:t>
      </w:r>
      <w:bookmarkEnd w:id="89"/>
      <w:r>
        <w:rPr>
          <w:rFonts w:hint="eastAsia" w:ascii="宋体" w:hAnsi="宋体" w:eastAsia="宋体" w:cs="宋体"/>
          <w:b/>
          <w:sz w:val="22"/>
        </w:rPr>
        <w:t>四、免费质保期及服务内容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1.</w:t>
      </w:r>
      <w:r>
        <w:rPr>
          <w:rFonts w:hint="eastAsia" w:ascii="宋体" w:hAnsi="宋体" w:eastAsia="宋体" w:cs="宋体"/>
          <w:bCs/>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乙方应为产品提供【24】个月的免费质保期（含工时费和零部件费），时间自甲方最终签署安装验收合格报告之日起计算。</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费、保险、检验、人民银行公布的同期货款基准利率及银行手续费、担保、抵押、法院执行措施所产生的费用等）以及由此给甲方造成的损失。</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4.</w:t>
      </w:r>
      <w:r>
        <w:rPr>
          <w:rFonts w:hint="eastAsia" w:ascii="宋体" w:hAnsi="宋体" w:eastAsia="宋体" w:cs="宋体"/>
          <w:sz w:val="22"/>
        </w:rPr>
        <w:t>乙方提供【24】小时售后服务，在接到报修通知后，维修人员应在【24】小时内赶到杭州萧山国际机场，并连续进行维修，直到产品恢复正常。修复部分的质保期自修复之日起重新开始计算。</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5.</w:t>
      </w:r>
      <w:r>
        <w:rPr>
          <w:rFonts w:hint="eastAsia" w:ascii="宋体" w:hAnsi="宋体" w:eastAsia="宋体" w:cs="宋体"/>
          <w:sz w:val="22"/>
        </w:rPr>
        <w:t>免费质保期结束的【30】天前，乙方负责对产品进行一次全面的检修和维护，并由甲方验收认可。甲方验收认可并不免除乙方对于验收认可后发生的但尚在质保期限内的产品故障或损坏的维修、退换义务。</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6.</w:t>
      </w:r>
      <w:r>
        <w:rPr>
          <w:rFonts w:hint="eastAsia" w:ascii="宋体" w:hAnsi="宋体" w:eastAsia="宋体" w:cs="宋体"/>
          <w:sz w:val="22"/>
        </w:rPr>
        <w:t>若乙方提供的产品属于伪劣产品或者假冒产品或者欺诈甲方，使得甲方遭受损失，乙方应向甲方承担违约责任，同时，甲方可依法寻求其他法律救济。</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十五、安全管理</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乙方应按合同约定履行安全职责，执行甲方有关安全工作的指示，在施工过程中，必须无条件地接受甲方的检查和监督。</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2.</w:t>
      </w:r>
      <w:r>
        <w:rPr>
          <w:rFonts w:hint="eastAsia" w:ascii="宋体" w:hAnsi="宋体" w:eastAsia="宋体" w:cs="宋体"/>
          <w:sz w:val="22"/>
        </w:rPr>
        <w:t>乙方应在合同签订后【7】日内，依施工现场情况合理制定施工组织设计，在服从甲方现场安排和总进度计划要求的情况下制定施工方案，严格控制施工作业全过程。</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3</w:t>
      </w:r>
      <w:r>
        <w:rPr>
          <w:rFonts w:ascii="宋体" w:hAnsi="宋体" w:eastAsia="宋体" w:cs="宋体"/>
          <w:b/>
          <w:bCs/>
          <w:sz w:val="22"/>
        </w:rPr>
        <w:t>.</w:t>
      </w:r>
      <w:r>
        <w:rPr>
          <w:rFonts w:hint="eastAsia" w:ascii="宋体" w:hAnsi="宋体" w:eastAsia="宋体" w:cs="宋体"/>
          <w:sz w:val="22"/>
        </w:rPr>
        <w:t>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4.</w:t>
      </w:r>
      <w:r>
        <w:rPr>
          <w:rFonts w:hint="eastAsia" w:ascii="宋体" w:hAnsi="宋体" w:eastAsia="宋体" w:cs="宋体"/>
          <w:sz w:val="22"/>
        </w:rPr>
        <w:t>乙方应配备升降高度不低于30米的升降设备，用于处置滑轮锈蚀、钢丝缠绕等意外事件，并配备具有高处安装、维护、拆除作业资质证书的作业人员负责现场的登高作业。</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5</w:t>
      </w:r>
      <w:r>
        <w:rPr>
          <w:rFonts w:ascii="宋体" w:hAnsi="宋体" w:eastAsia="宋体" w:cs="宋体"/>
          <w:b/>
          <w:bCs/>
          <w:sz w:val="22"/>
        </w:rPr>
        <w:t>.</w:t>
      </w:r>
      <w:r>
        <w:rPr>
          <w:rFonts w:hint="eastAsia" w:ascii="宋体" w:hAnsi="宋体" w:eastAsia="宋体" w:cs="宋体"/>
          <w:sz w:val="22"/>
        </w:rPr>
        <w:t>乙方应对其履行合同所雇佣的全部人员的工伤事故承担责任，但由于甲方原因造成乙方人员工伤事故的，应由甲方承担责任。</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6</w:t>
      </w:r>
      <w:r>
        <w:rPr>
          <w:rFonts w:ascii="宋体" w:hAnsi="宋体" w:eastAsia="宋体" w:cs="宋体"/>
          <w:b/>
          <w:bCs/>
          <w:sz w:val="22"/>
        </w:rPr>
        <w:t>.</w:t>
      </w:r>
      <w:r>
        <w:rPr>
          <w:rFonts w:hint="eastAsia" w:ascii="宋体" w:hAnsi="宋体" w:eastAsia="宋体" w:cs="宋体"/>
          <w:sz w:val="22"/>
        </w:rPr>
        <w:t>由于乙方原因在施工作业场地内及其毗邻地带造成的第三者人员伤亡和财产损失的，由乙方承担赔偿责任。</w:t>
      </w:r>
    </w:p>
    <w:p>
      <w:pPr>
        <w:adjustRightInd w:val="0"/>
        <w:snapToGrid w:val="0"/>
        <w:spacing w:line="360" w:lineRule="exact"/>
        <w:ind w:firstLine="442" w:firstLineChars="200"/>
        <w:outlineLvl w:val="0"/>
        <w:rPr>
          <w:rFonts w:ascii="宋体" w:hAnsi="宋体" w:eastAsia="宋体" w:cs="宋体"/>
          <w:b/>
          <w:sz w:val="22"/>
        </w:rPr>
      </w:pPr>
      <w:bookmarkStart w:id="90" w:name="_Toc422638519"/>
      <w:r>
        <w:rPr>
          <w:rFonts w:hint="eastAsia" w:ascii="宋体" w:hAnsi="宋体" w:eastAsia="宋体" w:cs="宋体"/>
          <w:b/>
          <w:sz w:val="22"/>
        </w:rPr>
        <w:t>十六、违约责任</w:t>
      </w:r>
      <w:bookmarkEnd w:id="90"/>
    </w:p>
    <w:p>
      <w:pPr>
        <w:numPr>
          <w:ilvl w:val="255"/>
          <w:numId w:val="0"/>
        </w:numPr>
        <w:adjustRightInd w:val="0"/>
        <w:snapToGrid w:val="0"/>
        <w:spacing w:line="360" w:lineRule="exact"/>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b/>
          <w:bCs/>
          <w:sz w:val="22"/>
        </w:rPr>
        <w:t>1.</w:t>
      </w:r>
      <w:r>
        <w:rPr>
          <w:rFonts w:hint="eastAsia" w:ascii="宋体" w:hAnsi="宋体" w:eastAsia="宋体" w:cs="宋体"/>
          <w:sz w:val="22"/>
        </w:rPr>
        <w:t>甲方无故逾期支付货款的，甲方应按逾期付款总额每日【0.05】%向乙方支付违约金。</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乙方逾期交付产品和本合同规定的文件资料的，或者未按甲方时间要求完成安装调试并通过甲方终验收的，乙方应按合同暂定总额每日【0.6】%向甲方支付违约金，由甲方从货款中扣除。逾期超过约定日期【15】日的，甲方可解除本合同。乙方因逾期交货或因其他违约行为导致甲方解除合同的，乙方应向甲方支付合同暂定总额【5】%的违约金，且全额没收履约保证金。如造成甲方损失超过违约金的，超出部分由乙方继续承担赔偿责任。 </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乙方所提供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4.</w:t>
      </w:r>
      <w:r>
        <w:rPr>
          <w:rFonts w:hint="eastAsia" w:ascii="宋体" w:hAnsi="宋体" w:eastAsia="宋体" w:cs="宋体"/>
          <w:sz w:val="22"/>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5.</w:t>
      </w:r>
      <w:r>
        <w:rPr>
          <w:rFonts w:hint="eastAsia" w:ascii="宋体" w:hAnsi="宋体" w:eastAsia="宋体" w:cs="宋体"/>
          <w:sz w:val="22"/>
        </w:rPr>
        <w:t>乙方不在约定期限内派人维修或维修质量验收不合格的，甲方可以委托他人维修，费用由乙方承担，甲方与第三方确认后可直接从履约保证金中扣除；履约保证金不足以抵扣的，继续向乙方追偿。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6.</w:t>
      </w:r>
      <w:r>
        <w:rPr>
          <w:rFonts w:hint="eastAsia" w:ascii="宋体" w:hAnsi="宋体" w:eastAsia="宋体" w:cs="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延迟而导致的经营损失等。并且，甲方为主张和实现债权而发生的律师费、诉讼费、公证费等费用均由乙方承担。</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7.</w:t>
      </w:r>
      <w:r>
        <w:rPr>
          <w:rFonts w:hint="eastAsia" w:ascii="宋体" w:hAnsi="宋体" w:eastAsia="宋体" w:cs="宋体"/>
          <w:sz w:val="22"/>
        </w:rPr>
        <w:t>对于本合同项下乙方应支付的赔偿款或违约金，甲方有权从应付乙方的货款及履约保证金中直接扣除，不足的部分，继续向乙方追偿。</w:t>
      </w:r>
    </w:p>
    <w:p>
      <w:pPr>
        <w:adjustRightInd w:val="0"/>
        <w:snapToGrid w:val="0"/>
        <w:spacing w:line="360" w:lineRule="exact"/>
        <w:ind w:firstLine="442" w:firstLineChars="200"/>
        <w:outlineLvl w:val="0"/>
        <w:rPr>
          <w:rFonts w:ascii="宋体" w:hAnsi="宋体" w:eastAsia="宋体" w:cs="宋体"/>
          <w:b/>
          <w:sz w:val="22"/>
        </w:rPr>
      </w:pPr>
      <w:bookmarkStart w:id="91" w:name="_Toc422638520"/>
      <w:r>
        <w:rPr>
          <w:rFonts w:hint="eastAsia" w:ascii="宋体" w:hAnsi="宋体" w:eastAsia="宋体" w:cs="宋体"/>
          <w:b/>
          <w:sz w:val="22"/>
        </w:rPr>
        <w:t>十七、不可抗力事件处理</w:t>
      </w:r>
      <w:bookmarkEnd w:id="91"/>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在合同有效期内，任何乙方因不可抗力事件导致不能履行合同，则合同履行期可延长，其延长期与不可抗力影响期相同。</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不可抗力事件发生后，遭遇不可抗力的一方应立即通知对方，并寄送有关官方权威机构出具的证明。</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十八、争议解决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十九、合同组成文件包含下列内容，且解释顺序如下：</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本合同协议书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中标通知书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招标文件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投标书及其附件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标准、规范及有关技术文件</w:t>
      </w:r>
    </w:p>
    <w:p>
      <w:pPr>
        <w:adjustRightInd w:val="0"/>
        <w:snapToGrid w:val="0"/>
        <w:spacing w:line="360" w:lineRule="exact"/>
        <w:ind w:firstLine="442" w:firstLineChars="200"/>
        <w:outlineLvl w:val="0"/>
        <w:rPr>
          <w:rFonts w:ascii="宋体" w:hAnsi="宋体" w:eastAsia="宋体" w:cs="宋体"/>
          <w:b/>
          <w:sz w:val="22"/>
        </w:rPr>
      </w:pPr>
      <w:bookmarkStart w:id="92" w:name="_Toc422638521"/>
      <w:r>
        <w:rPr>
          <w:rFonts w:hint="eastAsia" w:ascii="宋体" w:hAnsi="宋体" w:eastAsia="宋体" w:cs="宋体"/>
          <w:b/>
          <w:sz w:val="22"/>
        </w:rPr>
        <w:t>二十、合同生效及其它</w:t>
      </w:r>
      <w:bookmarkEnd w:id="92"/>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合同经双方法定代表人或授权代表签字（包含签章）并加盖单位公章或者合同章之日起成立，且乙方缴纳履约保证金之日起生效。</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hint="eastAsia" w:ascii="宋体" w:hAnsi="宋体" w:eastAsia="宋体" w:cs="宋体"/>
          <w:bCs/>
          <w:sz w:val="22"/>
        </w:rPr>
        <w:t>本合同有效期限为：合同生效之日起至免费质保期满止。</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3.</w:t>
      </w:r>
      <w:r>
        <w:rPr>
          <w:rFonts w:hint="eastAsia" w:ascii="宋体" w:hAnsi="宋体" w:eastAsia="宋体" w:cs="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本合同一式陆份，甲方执肆份，乙方持贰份，具有同等法律效力。</w:t>
      </w:r>
    </w:p>
    <w:p>
      <w:pPr>
        <w:tabs>
          <w:tab w:val="right" w:pos="8306"/>
        </w:tabs>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b/>
      </w:r>
    </w:p>
    <w:p>
      <w:pPr>
        <w:tabs>
          <w:tab w:val="right" w:pos="8306"/>
        </w:tabs>
        <w:adjustRightInd w:val="0"/>
        <w:snapToGrid w:val="0"/>
        <w:spacing w:line="360" w:lineRule="exact"/>
        <w:ind w:firstLine="440" w:firstLineChars="200"/>
        <w:jc w:val="left"/>
        <w:rPr>
          <w:rFonts w:ascii="宋体" w:hAnsi="宋体" w:eastAsia="宋体" w:cs="宋体"/>
          <w:sz w:val="22"/>
        </w:rPr>
      </w:pPr>
    </w:p>
    <w:p>
      <w:pPr>
        <w:tabs>
          <w:tab w:val="right" w:pos="8306"/>
        </w:tabs>
        <w:adjustRightInd w:val="0"/>
        <w:snapToGrid w:val="0"/>
        <w:spacing w:line="360" w:lineRule="exact"/>
        <w:ind w:firstLine="440" w:firstLineChars="20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（以下无正文）</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甲方：杭州萧山国际机场有限公司            乙方： </w:t>
      </w:r>
    </w:p>
    <w:p>
      <w:pPr>
        <w:adjustRightInd w:val="0"/>
        <w:snapToGrid w:val="0"/>
        <w:spacing w:line="360" w:lineRule="exact"/>
        <w:ind w:left="6750" w:hanging="6750"/>
        <w:jc w:val="left"/>
        <w:rPr>
          <w:rFonts w:ascii="宋体" w:hAnsi="宋体" w:eastAsia="宋体" w:cs="宋体"/>
          <w:sz w:val="22"/>
        </w:rPr>
      </w:pPr>
      <w:r>
        <w:rPr>
          <w:rFonts w:hint="eastAsia" w:ascii="宋体" w:hAnsi="宋体" w:eastAsia="宋体" w:cs="宋体"/>
          <w:sz w:val="22"/>
        </w:rPr>
        <w:t xml:space="preserve">地址：杭州萧山国际机场内                  地址： </w:t>
      </w:r>
    </w:p>
    <w:p>
      <w:pPr>
        <w:adjustRightInd w:val="0"/>
        <w:snapToGrid w:val="0"/>
        <w:spacing w:line="360" w:lineRule="exact"/>
        <w:ind w:left="6750" w:hanging="675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法定代表人（签字）：                       法定代表人（签字）：</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或                                        或</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授权代表（签字）：                         授权代表（签字）：</w:t>
      </w:r>
    </w:p>
    <w:p>
      <w:pPr>
        <w:adjustRightInd w:val="0"/>
        <w:snapToGrid w:val="0"/>
        <w:spacing w:line="360" w:lineRule="exact"/>
        <w:jc w:val="left"/>
        <w:rPr>
          <w:rFonts w:ascii="宋体" w:hAnsi="宋体" w:eastAsia="宋体" w:cs="宋体"/>
          <w:b/>
          <w:sz w:val="22"/>
        </w:rPr>
      </w:pPr>
      <w:r>
        <w:rPr>
          <w:rFonts w:hint="eastAsia" w:ascii="宋体" w:hAnsi="宋体" w:eastAsia="宋体" w:cs="宋体"/>
          <w:sz w:val="22"/>
        </w:rPr>
        <w:t xml:space="preserve">签字日期：                                签字日期： </w:t>
      </w:r>
    </w:p>
    <w:p>
      <w:pPr>
        <w:adjustRightInd w:val="0"/>
        <w:snapToGrid w:val="0"/>
        <w:spacing w:line="360" w:lineRule="exact"/>
        <w:ind w:firstLine="440" w:firstLineChars="200"/>
        <w:jc w:val="left"/>
        <w:rPr>
          <w:rFonts w:ascii="宋体" w:hAnsi="宋体" w:eastAsia="宋体" w:cs="宋体"/>
          <w:b/>
          <w:sz w:val="22"/>
        </w:rPr>
      </w:pPr>
      <w:r>
        <w:rPr>
          <w:rFonts w:hint="eastAsia" w:ascii="宋体" w:hAnsi="宋体" w:eastAsia="宋体" w:cs="宋体"/>
          <w:sz w:val="22"/>
        </w:rPr>
        <w:t>年  月  日                              年  月  日</w:t>
      </w:r>
    </w:p>
    <w:p>
      <w:pPr>
        <w:snapToGrid w:val="0"/>
        <w:spacing w:line="360" w:lineRule="exact"/>
        <w:ind w:firstLine="440" w:firstLineChars="200"/>
        <w:jc w:val="left"/>
        <w:rPr>
          <w:rFonts w:ascii="宋体" w:hAnsi="宋体" w:eastAsia="宋体" w:cs="宋体"/>
          <w:sz w:val="22"/>
        </w:rPr>
      </w:pPr>
    </w:p>
    <w:p>
      <w:pPr>
        <w:pStyle w:val="137"/>
        <w:spacing w:line="360" w:lineRule="exact"/>
        <w:ind w:firstLine="0" w:firstLineChars="0"/>
        <w:jc w:val="left"/>
        <w:rPr>
          <w:rFonts w:ascii="宋体" w:hAnsi="宋体" w:cs="宋体"/>
          <w:b/>
          <w:color w:val="auto"/>
          <w:sz w:val="22"/>
          <w:szCs w:val="22"/>
        </w:rPr>
      </w:pPr>
      <w:r>
        <w:rPr>
          <w:rFonts w:hint="eastAsia" w:ascii="宋体" w:hAnsi="宋体" w:cs="宋体"/>
          <w:b/>
          <w:color w:val="auto"/>
          <w:sz w:val="22"/>
          <w:szCs w:val="22"/>
        </w:rPr>
        <w:t>附件一：</w:t>
      </w:r>
    </w:p>
    <w:p>
      <w:pPr>
        <w:pStyle w:val="137"/>
        <w:spacing w:line="360" w:lineRule="exact"/>
        <w:ind w:firstLine="442"/>
        <w:jc w:val="left"/>
        <w:rPr>
          <w:rFonts w:ascii="宋体" w:hAnsi="宋体" w:cs="宋体"/>
          <w:b/>
          <w:color w:val="auto"/>
          <w:sz w:val="22"/>
          <w:szCs w:val="22"/>
        </w:rPr>
      </w:pPr>
    </w:p>
    <w:p>
      <w:pPr>
        <w:pStyle w:val="137"/>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142"/>
        <w:adjustRightInd w:val="0"/>
        <w:snapToGrid w:val="0"/>
        <w:ind w:firstLine="442"/>
        <w:jc w:val="left"/>
        <w:rPr>
          <w:rFonts w:ascii="宋体" w:hAnsi="宋体" w:cs="宋体"/>
          <w:b/>
          <w:sz w:val="22"/>
          <w:szCs w:val="22"/>
        </w:rPr>
      </w:pPr>
    </w:p>
    <w:p>
      <w:pPr>
        <w:pStyle w:val="142"/>
        <w:adjustRightInd w:val="0"/>
        <w:snapToGrid w:val="0"/>
        <w:ind w:firstLine="0" w:firstLineChars="0"/>
        <w:jc w:val="left"/>
        <w:rPr>
          <w:rFonts w:ascii="宋体" w:hAnsi="宋体" w:cs="宋体"/>
          <w:b/>
          <w:sz w:val="24"/>
          <w:szCs w:val="24"/>
        </w:rPr>
      </w:pPr>
      <w:r>
        <w:rPr>
          <w:rFonts w:hint="eastAsia" w:ascii="宋体" w:hAnsi="宋体" w:cs="宋体"/>
          <w:b/>
          <w:sz w:val="24"/>
          <w:szCs w:val="24"/>
        </w:rPr>
        <w:t>杭州萧山国际机场有限公司：</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我单位响应贵公司项目招标要求，参加项目投标。在投标过程中及中标后，我们将严格遵守国家法律法规和贵司招标文件要求，并郑重作出如下承诺和保证：</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二、不以任何名义为贵公司有关人员或项目第三方人员报销应由贵公司或个人支付的费用；</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三、不向贵公司有关人员或项目第三方人员提供宴请、旅游、和健身娱乐等活动；</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四、不为贵公司有关人员或项目第三方人员出国（境）、旅游等提供方便；</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五、不为贵公司有关人员或项目第三方人员个人装修住房、婚丧嫁娶、配偶子女工作安排等提供好处或便利条件；</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六、严格遵守国家招标投标法、合同法等法律规定，诚实守信，合法经营，坚决杜绝各种违法违纪行为。</w:t>
      </w:r>
    </w:p>
    <w:p>
      <w:pPr>
        <w:pStyle w:val="142"/>
        <w:adjustRightInd w:val="0"/>
        <w:snapToGrid w:val="0"/>
        <w:ind w:firstLine="480"/>
        <w:jc w:val="left"/>
        <w:rPr>
          <w:rFonts w:ascii="宋体" w:hAnsi="宋体" w:cs="宋体"/>
          <w:sz w:val="24"/>
          <w:szCs w:val="24"/>
        </w:rPr>
      </w:pPr>
      <w:r>
        <w:rPr>
          <w:rFonts w:ascii="宋体" w:hAnsi="宋体" w:cs="宋体"/>
          <w:sz w:val="24"/>
          <w:szCs w:val="24"/>
        </w:rPr>
        <w:t>七</w:t>
      </w:r>
      <w:r>
        <w:rPr>
          <w:rFonts w:hint="eastAsia" w:ascii="宋体" w:hAnsi="宋体" w:cs="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宋体"/>
          <w:sz w:val="24"/>
          <w:szCs w:val="24"/>
        </w:rPr>
        <w:t>0571－86661113。</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八、如违反上述廉洁自律承诺，贵公司有权：</w:t>
      </w:r>
    </w:p>
    <w:p>
      <w:pPr>
        <w:pStyle w:val="142"/>
        <w:numPr>
          <w:ilvl w:val="0"/>
          <w:numId w:val="8"/>
        </w:numPr>
        <w:adjustRightInd w:val="0"/>
        <w:snapToGrid w:val="0"/>
        <w:ind w:firstLineChars="0"/>
        <w:jc w:val="left"/>
        <w:rPr>
          <w:rFonts w:ascii="宋体" w:hAnsi="宋体" w:cs="宋体"/>
          <w:sz w:val="24"/>
          <w:szCs w:val="24"/>
        </w:rPr>
      </w:pPr>
      <w:r>
        <w:rPr>
          <w:rFonts w:hint="eastAsia" w:ascii="宋体" w:hAnsi="宋体" w:cs="宋体"/>
          <w:sz w:val="24"/>
          <w:szCs w:val="24"/>
        </w:rPr>
        <w:t>立即取消我单位投标、中标或在建项目的实施资格；</w:t>
      </w:r>
    </w:p>
    <w:p>
      <w:pPr>
        <w:pStyle w:val="142"/>
        <w:numPr>
          <w:ilvl w:val="0"/>
          <w:numId w:val="8"/>
        </w:numPr>
        <w:adjustRightInd w:val="0"/>
        <w:snapToGrid w:val="0"/>
        <w:ind w:firstLineChars="0"/>
        <w:jc w:val="left"/>
        <w:rPr>
          <w:rFonts w:ascii="宋体" w:hAnsi="宋体" w:cs="宋体"/>
          <w:sz w:val="24"/>
          <w:szCs w:val="24"/>
        </w:rPr>
      </w:pPr>
      <w:r>
        <w:rPr>
          <w:rFonts w:hint="eastAsia" w:ascii="宋体" w:hAnsi="宋体" w:cs="宋体"/>
          <w:sz w:val="24"/>
          <w:szCs w:val="24"/>
        </w:rPr>
        <w:t>扣除我方向贵公司缴纳的履约保证金的</w:t>
      </w:r>
      <w:r>
        <w:rPr>
          <w:rFonts w:ascii="宋体" w:hAnsi="宋体" w:cs="宋体"/>
          <w:sz w:val="24"/>
          <w:szCs w:val="24"/>
        </w:rPr>
        <w:t>10%作为违反廉洁自律承诺的违约金。如该违约金不足以弥补贵公司损失的，我单位仍将承担实际损失赔偿责任。</w:t>
      </w:r>
    </w:p>
    <w:p>
      <w:pPr>
        <w:pStyle w:val="142"/>
        <w:numPr>
          <w:ilvl w:val="0"/>
          <w:numId w:val="8"/>
        </w:numPr>
        <w:adjustRightInd w:val="0"/>
        <w:snapToGrid w:val="0"/>
        <w:ind w:firstLineChars="0"/>
        <w:jc w:val="left"/>
        <w:rPr>
          <w:rFonts w:ascii="宋体" w:hAnsi="宋体" w:cs="宋体"/>
          <w:sz w:val="24"/>
          <w:szCs w:val="24"/>
        </w:rPr>
      </w:pPr>
      <w:r>
        <w:rPr>
          <w:rFonts w:hint="eastAsia" w:ascii="宋体" w:hAnsi="宋体" w:cs="宋体"/>
          <w:sz w:val="24"/>
          <w:szCs w:val="24"/>
        </w:rPr>
        <w:t>拒绝我单位在一定时期内进入贵公司进行项目建设或其它经营活动；</w:t>
      </w:r>
    </w:p>
    <w:p>
      <w:pPr>
        <w:pStyle w:val="142"/>
        <w:numPr>
          <w:ilvl w:val="0"/>
          <w:numId w:val="8"/>
        </w:numPr>
        <w:adjustRightInd w:val="0"/>
        <w:snapToGrid w:val="0"/>
        <w:ind w:firstLineChars="0"/>
        <w:jc w:val="left"/>
        <w:rPr>
          <w:rFonts w:ascii="宋体" w:hAnsi="宋体" w:cs="宋体"/>
          <w:sz w:val="24"/>
          <w:szCs w:val="24"/>
        </w:rPr>
      </w:pPr>
      <w:r>
        <w:rPr>
          <w:rFonts w:hint="eastAsia" w:ascii="宋体" w:hAnsi="宋体" w:cs="宋体"/>
          <w:sz w:val="24"/>
          <w:szCs w:val="24"/>
        </w:rPr>
        <w:t>由此引起的相应损失均由我单位承担。</w:t>
      </w:r>
    </w:p>
    <w:p>
      <w:pPr>
        <w:pStyle w:val="142"/>
        <w:adjustRightInd w:val="0"/>
        <w:snapToGrid w:val="0"/>
        <w:ind w:firstLine="480"/>
        <w:jc w:val="left"/>
        <w:rPr>
          <w:rFonts w:ascii="宋体" w:hAnsi="宋体" w:cs="宋体"/>
          <w:sz w:val="24"/>
          <w:szCs w:val="24"/>
        </w:rPr>
      </w:pP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承诺人单位名称（盖章）：</w:t>
      </w:r>
      <w:r>
        <w:rPr>
          <w:rFonts w:ascii="宋体" w:hAnsi="宋体" w:cs="宋体"/>
          <w:sz w:val="24"/>
          <w:szCs w:val="24"/>
        </w:rPr>
        <w:t xml:space="preserve">            </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 ：                    </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或</w:t>
      </w:r>
      <w:r>
        <w:rPr>
          <w:rFonts w:ascii="宋体" w:hAnsi="宋体" w:cs="宋体"/>
          <w:sz w:val="24"/>
          <w:szCs w:val="24"/>
        </w:rPr>
        <w:t xml:space="preserve">                            </w:t>
      </w:r>
    </w:p>
    <w:p>
      <w:pPr>
        <w:pStyle w:val="142"/>
        <w:adjustRightInd w:val="0"/>
        <w:snapToGrid w:val="0"/>
        <w:ind w:firstLine="480"/>
        <w:jc w:val="left"/>
        <w:rPr>
          <w:rFonts w:ascii="宋体" w:hAnsi="宋体" w:cs="宋体"/>
          <w:sz w:val="24"/>
          <w:szCs w:val="24"/>
        </w:rPr>
      </w:pPr>
      <w:r>
        <w:rPr>
          <w:rFonts w:hint="eastAsia" w:ascii="宋体" w:hAnsi="宋体" w:cs="宋体"/>
          <w:sz w:val="24"/>
          <w:szCs w:val="24"/>
        </w:rPr>
        <w:t>委托代理人：</w:t>
      </w:r>
      <w:r>
        <w:rPr>
          <w:rFonts w:ascii="宋体" w:hAnsi="宋体" w:cs="宋体"/>
          <w:sz w:val="24"/>
          <w:szCs w:val="24"/>
        </w:rPr>
        <w:t xml:space="preserve">                   </w:t>
      </w:r>
    </w:p>
    <w:p>
      <w:pPr>
        <w:pStyle w:val="142"/>
        <w:adjustRightInd w:val="0"/>
        <w:snapToGrid w:val="0"/>
        <w:ind w:firstLine="482"/>
        <w:jc w:val="left"/>
        <w:rPr>
          <w:rFonts w:ascii="宋体" w:hAnsi="宋体" w:cs="宋体"/>
          <w:b/>
          <w:sz w:val="24"/>
          <w:szCs w:val="24"/>
        </w:rPr>
      </w:pPr>
    </w:p>
    <w:p>
      <w:pPr>
        <w:pStyle w:val="51"/>
        <w:ind w:left="1440" w:hanging="600"/>
        <w:rPr>
          <w:rFonts w:ascii="宋体" w:hAnsi="宋体" w:eastAsia="宋体" w:cs="宋体"/>
          <w:b w:val="0"/>
          <w:sz w:val="24"/>
          <w:szCs w:val="24"/>
        </w:rPr>
      </w:pPr>
      <w:r>
        <w:rPr>
          <w:rFonts w:hint="eastAsia" w:ascii="宋体" w:hAnsi="宋体" w:eastAsia="宋体" w:cs="宋体"/>
          <w:sz w:val="24"/>
          <w:szCs w:val="24"/>
        </w:rPr>
        <w:t xml:space="preserve">                           年     月     日</w:t>
      </w:r>
    </w:p>
    <w:p>
      <w:pPr>
        <w:pStyle w:val="51"/>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br w:type="page"/>
      </w:r>
    </w:p>
    <w:p>
      <w:pPr>
        <w:spacing w:line="560" w:lineRule="exact"/>
        <w:jc w:val="left"/>
        <w:rPr>
          <w:rFonts w:ascii="宋体" w:hAnsi="宋体" w:eastAsia="宋体" w:cs="宋体"/>
          <w:sz w:val="24"/>
          <w:szCs w:val="24"/>
        </w:rPr>
      </w:pPr>
      <w:r>
        <w:rPr>
          <w:rFonts w:hint="eastAsia" w:ascii="宋体" w:hAnsi="宋体" w:eastAsia="宋体" w:cs="宋体"/>
          <w:sz w:val="24"/>
          <w:szCs w:val="24"/>
        </w:rPr>
        <w:t>附件二：</w:t>
      </w:r>
    </w:p>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保密承诺书</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00" w:lineRule="exact"/>
        <w:rPr>
          <w:rFonts w:ascii="宋体" w:hAnsi="宋体" w:eastAsia="宋体" w:cs="宋体"/>
          <w:sz w:val="24"/>
          <w:szCs w:val="24"/>
        </w:rPr>
      </w:pPr>
      <w:r>
        <w:rPr>
          <w:rFonts w:hint="eastAsia" w:ascii="宋体" w:hAnsi="宋体" w:eastAsia="宋体" w:cs="宋体"/>
          <w:sz w:val="24"/>
          <w:szCs w:val="24"/>
        </w:rPr>
        <w:t>1.商业秘密</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1.1商业秘密是指机场公司（包括机场公司关联公司）一切专有、不对外公开的资料和信息。包括但不限于以下方面：</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（1）经营信息（发展规划、运营状况、客户资源、货源情报、投融资计划、开发计划、标书等）；</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（2）管理信息（管理方法、管理制度、员工管理、合同管理、纠纷管理等）；</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（3）产品及技术信息（设计及图纸、样品及服务、技术方案、质量标准、技术标准、计算机程序等）；</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（4）财务信息（财务收支、固定资产、流动资金、成本核算等）；</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（5）我方单独或机场公司（包括机场公司关联公司）和我方共同为机场公司开发、设计、生产的产品、资料及相关信息；</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（6）其他机场公司未对外公开的有关营运、计划、航班数据、标准、开发、生产、经营、质量管理控制和租赁的资料和数据等信息以及对供应商的管理文件。</w:t>
      </w:r>
    </w:p>
    <w:p>
      <w:pPr>
        <w:spacing w:line="500" w:lineRule="exact"/>
        <w:rPr>
          <w:rFonts w:ascii="宋体" w:hAnsi="宋体" w:eastAsia="宋体" w:cs="宋体"/>
          <w:sz w:val="24"/>
          <w:szCs w:val="24"/>
        </w:rPr>
      </w:pPr>
      <w:r>
        <w:rPr>
          <w:rFonts w:hint="eastAsia" w:ascii="宋体" w:hAnsi="宋体" w:eastAsia="宋体" w:cs="宋体"/>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00" w:lineRule="exact"/>
        <w:rPr>
          <w:rFonts w:ascii="宋体" w:hAnsi="宋体" w:eastAsia="宋体" w:cs="宋体"/>
          <w:sz w:val="24"/>
          <w:szCs w:val="24"/>
        </w:rPr>
      </w:pPr>
      <w:r>
        <w:rPr>
          <w:rFonts w:hint="eastAsia" w:ascii="宋体" w:hAnsi="宋体" w:eastAsia="宋体" w:cs="宋体"/>
          <w:sz w:val="24"/>
          <w:szCs w:val="24"/>
        </w:rPr>
        <w:t>1.3、对于上述提及的商业秘密，不能仅因为公开发表的文章或资讯中包含其内容，就认为是可对外公开的特殊情况。</w:t>
      </w:r>
    </w:p>
    <w:p>
      <w:pPr>
        <w:spacing w:line="500" w:lineRule="exact"/>
        <w:rPr>
          <w:rFonts w:ascii="宋体" w:hAnsi="宋体" w:eastAsia="宋体" w:cs="宋体"/>
          <w:sz w:val="24"/>
          <w:szCs w:val="24"/>
        </w:rPr>
      </w:pPr>
      <w:r>
        <w:rPr>
          <w:rFonts w:hint="eastAsia" w:ascii="宋体" w:hAnsi="宋体" w:eastAsia="宋体" w:cs="宋体"/>
          <w:sz w:val="24"/>
          <w:szCs w:val="24"/>
        </w:rPr>
        <w:t>1.4、以下资料不属于本承诺所指的商业秘密：</w:t>
      </w:r>
    </w:p>
    <w:p>
      <w:pPr>
        <w:spacing w:line="500" w:lineRule="exact"/>
        <w:rPr>
          <w:rFonts w:ascii="宋体" w:hAnsi="宋体" w:eastAsia="宋体" w:cs="宋体"/>
          <w:sz w:val="24"/>
          <w:szCs w:val="24"/>
        </w:rPr>
      </w:pPr>
      <w:r>
        <w:rPr>
          <w:rFonts w:hint="eastAsia" w:ascii="宋体" w:hAnsi="宋体" w:eastAsia="宋体" w:cs="宋体"/>
          <w:sz w:val="24"/>
          <w:szCs w:val="24"/>
        </w:rPr>
        <w:t>（1）我方从机场公司拟获悉之前已持有的我方无需承担保密义务的机场公司有关资料(但通过其它违约或侵权行为而获得的资料除外)；</w:t>
      </w:r>
    </w:p>
    <w:p>
      <w:pPr>
        <w:spacing w:line="500" w:lineRule="exact"/>
        <w:rPr>
          <w:rFonts w:ascii="宋体" w:hAnsi="宋体" w:eastAsia="宋体" w:cs="宋体"/>
          <w:sz w:val="24"/>
          <w:szCs w:val="24"/>
        </w:rPr>
      </w:pPr>
      <w:r>
        <w:rPr>
          <w:rFonts w:hint="eastAsia" w:ascii="宋体" w:hAnsi="宋体" w:eastAsia="宋体" w:cs="宋体"/>
          <w:sz w:val="24"/>
          <w:szCs w:val="24"/>
        </w:rPr>
        <w:t>（2）已经公开或已成为常识性的资料，且该等公开并非因违反本承诺所致。</w:t>
      </w:r>
    </w:p>
    <w:p>
      <w:pPr>
        <w:spacing w:line="500" w:lineRule="exact"/>
        <w:rPr>
          <w:rFonts w:ascii="宋体" w:hAnsi="宋体" w:eastAsia="宋体" w:cs="宋体"/>
          <w:sz w:val="24"/>
          <w:szCs w:val="24"/>
        </w:rPr>
      </w:pPr>
      <w:r>
        <w:rPr>
          <w:rFonts w:hint="eastAsia" w:ascii="宋体" w:hAnsi="宋体" w:eastAsia="宋体" w:cs="宋体"/>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00" w:lineRule="exact"/>
        <w:rPr>
          <w:rFonts w:ascii="宋体" w:hAnsi="宋体" w:eastAsia="宋体" w:cs="宋体"/>
          <w:sz w:val="24"/>
          <w:szCs w:val="24"/>
        </w:rPr>
      </w:pPr>
      <w:r>
        <w:rPr>
          <w:rFonts w:hint="eastAsia" w:ascii="宋体" w:hAnsi="宋体" w:eastAsia="宋体" w:cs="宋体"/>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（1）披露、使用或者允许他人以不正当手段获取的商业秘密；</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（2）为机场公司以外的第三人窃取、刺探、收买、非法提供商业秘密。</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（3）在电子公告系统、聊天系统、电子邮箱、论坛等计算机网络系统上传递、转发、抄送、发布、谈论和传播商业秘密；</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 xml:space="preserve">（4）在私人交往和通信中，向亲属、朋友以及与工作无关人员泄露商业秘密，或在公共场所谈论商业秘密； </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（5）擅自将属于商业秘密的文件、资料和其他物品携带、传递、寄运出机场公司办公场所或国（境）外。</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（6）未经机场公司同意就以任何方式私自保存、截留含有机场公司商业秘密的任何形式资料、文件和物品的复印件、复制品、副本。</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（7）将含有机场公司商业秘密的产品、技术或其他资料、信息向第三人销售、使用或以任何方式提供。</w:t>
      </w:r>
    </w:p>
    <w:p>
      <w:pPr>
        <w:spacing w:line="500" w:lineRule="exact"/>
        <w:rPr>
          <w:rFonts w:ascii="宋体" w:hAnsi="宋体" w:eastAsia="宋体" w:cs="宋体"/>
          <w:sz w:val="24"/>
          <w:szCs w:val="24"/>
        </w:rPr>
      </w:pPr>
      <w:r>
        <w:rPr>
          <w:rFonts w:hint="eastAsia" w:ascii="宋体" w:hAnsi="宋体" w:eastAsia="宋体" w:cs="宋体"/>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00" w:lineRule="exact"/>
        <w:rPr>
          <w:rFonts w:ascii="宋体" w:hAnsi="宋体" w:eastAsia="宋体" w:cs="宋体"/>
          <w:sz w:val="24"/>
          <w:szCs w:val="24"/>
        </w:rPr>
      </w:pPr>
      <w:r>
        <w:rPr>
          <w:rFonts w:hint="eastAsia" w:ascii="宋体" w:hAnsi="宋体" w:eastAsia="宋体" w:cs="宋体"/>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00" w:lineRule="exact"/>
        <w:rPr>
          <w:rFonts w:ascii="宋体" w:hAnsi="宋体" w:eastAsia="宋体" w:cs="宋体"/>
          <w:sz w:val="24"/>
          <w:szCs w:val="24"/>
        </w:rPr>
      </w:pPr>
      <w:r>
        <w:rPr>
          <w:rFonts w:hint="eastAsia" w:ascii="宋体" w:hAnsi="宋体" w:eastAsia="宋体" w:cs="宋体"/>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00" w:lineRule="exact"/>
        <w:rPr>
          <w:rFonts w:ascii="宋体" w:hAnsi="宋体" w:eastAsia="宋体" w:cs="宋体"/>
          <w:sz w:val="24"/>
          <w:szCs w:val="24"/>
        </w:rPr>
      </w:pPr>
      <w:r>
        <w:rPr>
          <w:rFonts w:hint="eastAsia" w:ascii="宋体" w:hAnsi="宋体" w:eastAsia="宋体" w:cs="宋体"/>
          <w:sz w:val="24"/>
          <w:szCs w:val="24"/>
        </w:rPr>
        <w:t>8、违约责任</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8.1因我方违反保密义务的行为造成机场公司的一切损失，我方应当全部予以赔偿。</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8.2如我方违反本承诺书下保密义务，应当承担违约责任，除赔偿损失外，还应依据合同向机场公司支付相应的违约金；</w:t>
      </w:r>
    </w:p>
    <w:p>
      <w:pPr>
        <w:adjustRightInd w:val="0"/>
        <w:snapToGrid w:val="0"/>
        <w:spacing w:line="500" w:lineRule="exact"/>
        <w:rPr>
          <w:rFonts w:ascii="宋体" w:hAnsi="宋体" w:eastAsia="宋体" w:cs="宋体"/>
          <w:sz w:val="24"/>
          <w:szCs w:val="24"/>
        </w:rPr>
      </w:pPr>
      <w:r>
        <w:rPr>
          <w:rFonts w:hint="eastAsia" w:ascii="宋体" w:hAnsi="宋体" w:eastAsia="宋体" w:cs="宋体"/>
          <w:sz w:val="24"/>
          <w:szCs w:val="24"/>
        </w:rPr>
        <w:t>9、本承诺书适用中华人民共和国法律，如因履行本承诺书发生争议，则双方均有权向机场公司所在地法院提起诉讼。</w:t>
      </w:r>
    </w:p>
    <w:p>
      <w:pPr>
        <w:spacing w:line="500" w:lineRule="exact"/>
        <w:rPr>
          <w:rFonts w:ascii="宋体" w:hAnsi="宋体" w:eastAsia="宋体" w:cs="宋体"/>
          <w:sz w:val="24"/>
          <w:szCs w:val="24"/>
        </w:rPr>
      </w:pPr>
    </w:p>
    <w:p>
      <w:pPr>
        <w:spacing w:line="500" w:lineRule="exact"/>
        <w:jc w:val="left"/>
        <w:rPr>
          <w:rFonts w:ascii="宋体" w:hAnsi="宋体" w:eastAsia="宋体" w:cs="宋体"/>
          <w:sz w:val="24"/>
          <w:szCs w:val="24"/>
        </w:rPr>
      </w:pPr>
      <w:r>
        <w:rPr>
          <w:rFonts w:hint="eastAsia" w:ascii="宋体" w:hAnsi="宋体" w:eastAsia="宋体" w:cs="宋体"/>
          <w:sz w:val="24"/>
          <w:szCs w:val="24"/>
        </w:rPr>
        <w:t>供应商(盖章):</w:t>
      </w:r>
    </w:p>
    <w:p>
      <w:pPr>
        <w:spacing w:line="500" w:lineRule="exact"/>
        <w:rPr>
          <w:rFonts w:ascii="宋体" w:hAnsi="宋体" w:eastAsia="宋体" w:cs="宋体"/>
          <w:sz w:val="24"/>
          <w:szCs w:val="24"/>
        </w:rPr>
      </w:pPr>
      <w:r>
        <w:rPr>
          <w:rFonts w:hint="eastAsia" w:ascii="宋体" w:hAnsi="宋体" w:eastAsia="宋体" w:cs="宋体"/>
          <w:sz w:val="24"/>
          <w:szCs w:val="24"/>
        </w:rPr>
        <w:t>法定代表人或授权代表：</w:t>
      </w:r>
    </w:p>
    <w:p>
      <w:pPr>
        <w:spacing w:line="500" w:lineRule="exact"/>
        <w:jc w:val="center"/>
        <w:rPr>
          <w:rFonts w:ascii="宋体" w:hAnsi="宋体" w:eastAsia="宋体" w:cs="宋体"/>
          <w:sz w:val="24"/>
          <w:szCs w:val="24"/>
        </w:rPr>
      </w:pPr>
    </w:p>
    <w:p>
      <w:pPr>
        <w:spacing w:line="500" w:lineRule="exact"/>
        <w:jc w:val="center"/>
        <w:rPr>
          <w:rFonts w:ascii="宋体" w:hAnsi="宋体" w:eastAsia="宋体" w:cs="宋体"/>
          <w:sz w:val="24"/>
          <w:szCs w:val="24"/>
        </w:rPr>
      </w:pPr>
    </w:p>
    <w:p>
      <w:pPr>
        <w:spacing w:line="500" w:lineRule="exact"/>
        <w:rPr>
          <w:rFonts w:ascii="宋体" w:hAnsi="宋体" w:eastAsia="宋体" w:cs="宋体"/>
          <w:sz w:val="24"/>
          <w:szCs w:val="24"/>
        </w:rPr>
      </w:pPr>
      <w:r>
        <w:rPr>
          <w:rFonts w:hint="eastAsia" w:ascii="宋体" w:hAnsi="宋体" w:eastAsia="宋体" w:cs="宋体"/>
          <w:sz w:val="24"/>
          <w:szCs w:val="24"/>
        </w:rPr>
        <w:t>电话/传真：</w:t>
      </w:r>
    </w:p>
    <w:p>
      <w:pPr>
        <w:spacing w:line="500" w:lineRule="exact"/>
        <w:rPr>
          <w:rFonts w:ascii="宋体" w:hAnsi="宋体" w:eastAsia="宋体" w:cs="宋体"/>
          <w:sz w:val="24"/>
          <w:szCs w:val="24"/>
        </w:rPr>
      </w:pPr>
      <w:r>
        <w:rPr>
          <w:rFonts w:hint="eastAsia" w:ascii="宋体" w:hAnsi="宋体" w:eastAsia="宋体" w:cs="宋体"/>
          <w:sz w:val="24"/>
          <w:szCs w:val="24"/>
        </w:rPr>
        <w:t>地址：</w:t>
      </w:r>
    </w:p>
    <w:p>
      <w:pPr>
        <w:spacing w:line="500" w:lineRule="exact"/>
        <w:rPr>
          <w:rFonts w:ascii="宋体" w:hAnsi="宋体" w:eastAsia="宋体" w:cs="宋体"/>
          <w:sz w:val="24"/>
          <w:szCs w:val="24"/>
        </w:rPr>
      </w:pPr>
    </w:p>
    <w:p>
      <w:pPr>
        <w:wordWrap w:val="0"/>
        <w:snapToGrid w:val="0"/>
        <w:spacing w:line="500" w:lineRule="exact"/>
        <w:jc w:val="right"/>
        <w:rPr>
          <w:rFonts w:ascii="宋体" w:hAnsi="宋体" w:eastAsia="宋体" w:cs="宋体"/>
          <w:sz w:val="24"/>
          <w:szCs w:val="24"/>
        </w:rPr>
      </w:pPr>
      <w:r>
        <w:rPr>
          <w:rFonts w:hint="eastAsia" w:ascii="宋体" w:hAnsi="宋体" w:eastAsia="宋体" w:cs="宋体"/>
          <w:sz w:val="24"/>
          <w:szCs w:val="24"/>
        </w:rPr>
        <w:t xml:space="preserve">          日期：     年   月   日        </w:t>
      </w:r>
    </w:p>
    <w:p>
      <w:pPr>
        <w:spacing w:line="500" w:lineRule="exact"/>
        <w:rPr>
          <w:rFonts w:ascii="宋体" w:hAnsi="宋体" w:eastAsia="宋体" w:cs="宋体"/>
          <w:sz w:val="24"/>
          <w:szCs w:val="24"/>
        </w:rPr>
      </w:pPr>
    </w:p>
    <w:bookmarkEnd w:id="80"/>
    <w:bookmarkEnd w:id="81"/>
    <w:p>
      <w:pPr>
        <w:pStyle w:val="2"/>
        <w:spacing w:before="0" w:after="0"/>
        <w:rPr>
          <w:rFonts w:ascii="宋体" w:hAnsi="宋体" w:cs="宋体"/>
          <w:kern w:val="0"/>
          <w:sz w:val="32"/>
        </w:rPr>
      </w:pPr>
      <w:bookmarkStart w:id="93" w:name="_Toc448002987"/>
      <w:bookmarkStart w:id="94" w:name="_Toc321925456"/>
      <w:r>
        <w:rPr>
          <w:rFonts w:hint="eastAsia" w:ascii="宋体" w:hAnsi="宋体" w:cs="宋体"/>
          <w:kern w:val="0"/>
          <w:sz w:val="32"/>
        </w:rPr>
        <w:t>第五章  评标方法及标准</w:t>
      </w:r>
      <w:bookmarkEnd w:id="93"/>
      <w:bookmarkEnd w:id="94"/>
    </w:p>
    <w:p>
      <w:pPr>
        <w:pStyle w:val="31"/>
        <w:spacing w:line="360" w:lineRule="exact"/>
        <w:ind w:firstLine="420"/>
        <w:rPr>
          <w:rFonts w:hAnsi="宋体" w:cs="宋体"/>
          <w:bCs/>
          <w:sz w:val="22"/>
          <w:szCs w:val="22"/>
        </w:rPr>
      </w:pPr>
      <w:r>
        <w:rPr>
          <w:rFonts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宋体"/>
          <w:b/>
          <w:bCs/>
          <w:sz w:val="22"/>
          <w:szCs w:val="22"/>
        </w:rPr>
      </w:pPr>
      <w:r>
        <w:rPr>
          <w:rFonts w:hAnsi="宋体" w:cs="宋体"/>
          <w:b/>
          <w:bCs/>
          <w:sz w:val="22"/>
          <w:szCs w:val="22"/>
        </w:rPr>
        <w:t>一、评标原则</w:t>
      </w:r>
    </w:p>
    <w:p>
      <w:pPr>
        <w:pStyle w:val="31"/>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bCs/>
          <w:sz w:val="22"/>
          <w:szCs w:val="22"/>
        </w:rPr>
        <w:t>经评审的最低价法</w:t>
      </w:r>
      <w:r>
        <w:rPr>
          <w:rFonts w:hint="eastAsia" w:hAnsi="宋体" w:cs="宋体"/>
          <w:bCs/>
          <w:sz w:val="22"/>
          <w:szCs w:val="22"/>
        </w:rPr>
        <w:t>，</w:t>
      </w:r>
      <w:r>
        <w:rPr>
          <w:rFonts w:hAnsi="宋体" w:cs="宋体"/>
          <w:bCs/>
          <w:sz w:val="22"/>
          <w:szCs w:val="22"/>
        </w:rPr>
        <w:t>评标应遵循公平、公正、科学、择优的原则。</w:t>
      </w:r>
    </w:p>
    <w:p>
      <w:pPr>
        <w:pStyle w:val="31"/>
        <w:spacing w:line="360" w:lineRule="exact"/>
        <w:rPr>
          <w:rFonts w:hAnsi="宋体" w:cs="宋体"/>
          <w:b/>
          <w:bCs/>
          <w:sz w:val="22"/>
          <w:szCs w:val="22"/>
        </w:rPr>
      </w:pPr>
      <w:r>
        <w:rPr>
          <w:rFonts w:hAnsi="宋体" w:cs="宋体"/>
          <w:b/>
          <w:bCs/>
          <w:sz w:val="22"/>
          <w:szCs w:val="22"/>
        </w:rPr>
        <w:t>二、评标组织</w:t>
      </w:r>
    </w:p>
    <w:p>
      <w:pPr>
        <w:pStyle w:val="31"/>
        <w:spacing w:line="360" w:lineRule="exact"/>
        <w:ind w:firstLine="420"/>
        <w:rPr>
          <w:rFonts w:hAnsi="宋体" w:cs="宋体"/>
          <w:sz w:val="22"/>
          <w:szCs w:val="22"/>
        </w:rPr>
      </w:pPr>
      <w:r>
        <w:rPr>
          <w:rFonts w:hAnsi="宋体" w:cs="宋体"/>
          <w:sz w:val="22"/>
          <w:szCs w:val="22"/>
        </w:rPr>
        <w:t>评标工作由招标人依法组建的评标委员会（小组）负责。评标委员会成员为3人及以上单数，</w:t>
      </w:r>
      <w:r>
        <w:rPr>
          <w:rFonts w:hint="eastAsia" w:hAnsi="宋体" w:cs="宋体"/>
          <w:sz w:val="22"/>
          <w:szCs w:val="22"/>
        </w:rPr>
        <w:t>评标委员会由招标人自行组建。</w:t>
      </w:r>
    </w:p>
    <w:p>
      <w:pPr>
        <w:pStyle w:val="31"/>
        <w:spacing w:line="360" w:lineRule="exact"/>
        <w:rPr>
          <w:rFonts w:hAnsi="宋体" w:cs="宋体"/>
          <w:b/>
          <w:bCs/>
          <w:sz w:val="22"/>
          <w:szCs w:val="22"/>
        </w:rPr>
      </w:pPr>
      <w:r>
        <w:rPr>
          <w:rFonts w:hAnsi="宋体" w:cs="宋体"/>
          <w:b/>
          <w:bCs/>
          <w:sz w:val="22"/>
          <w:szCs w:val="22"/>
        </w:rPr>
        <w:t>三、投标文件的评审</w:t>
      </w:r>
    </w:p>
    <w:p>
      <w:pPr>
        <w:pStyle w:val="31"/>
        <w:spacing w:line="360" w:lineRule="exact"/>
        <w:ind w:firstLine="442" w:firstLineChars="200"/>
        <w:rPr>
          <w:rFonts w:hAnsi="宋体" w:cs="宋体"/>
          <w:b/>
          <w:sz w:val="22"/>
          <w:szCs w:val="22"/>
        </w:rPr>
      </w:pPr>
      <w:r>
        <w:rPr>
          <w:rFonts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1"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1"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1"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1"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1"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1"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1"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31"/>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31"/>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31"/>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31"/>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宋体"/>
          <w:b/>
          <w:sz w:val="22"/>
          <w:szCs w:val="22"/>
        </w:rPr>
      </w:pPr>
      <w:r>
        <w:rPr>
          <w:rFonts w:hint="eastAsia" w:hAnsi="宋体" w:cs="宋体"/>
          <w:b/>
          <w:sz w:val="22"/>
          <w:szCs w:val="22"/>
        </w:rPr>
        <w:t>3.3推荐中标候选人</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31"/>
        <w:spacing w:line="360" w:lineRule="exact"/>
        <w:rPr>
          <w:rFonts w:hAnsi="宋体" w:cs="宋体"/>
          <w:b/>
          <w:sz w:val="22"/>
          <w:szCs w:val="22"/>
        </w:rPr>
      </w:pPr>
      <w:r>
        <w:rPr>
          <w:rFonts w:hint="eastAsia" w:hAnsi="宋体" w:cs="宋体"/>
          <w:b/>
          <w:sz w:val="22"/>
          <w:szCs w:val="22"/>
        </w:rPr>
        <w:t>3.4评标报告</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宋体"/>
          <w:b/>
          <w:sz w:val="22"/>
          <w:szCs w:val="22"/>
        </w:rPr>
      </w:pPr>
      <w:r>
        <w:rPr>
          <w:rFonts w:hint="eastAsia" w:hAnsi="宋体" w:cs="宋体"/>
          <w:b/>
          <w:sz w:val="22"/>
          <w:szCs w:val="22"/>
        </w:rPr>
        <w:t>四、定标</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51"/>
        <w:rPr>
          <w:rFonts w:ascii="宋体" w:hAnsi="宋体" w:eastAsia="宋体" w:cs="宋体"/>
        </w:rPr>
      </w:pPr>
      <w:bookmarkStart w:id="95" w:name="_Toc321925457"/>
      <w:r>
        <w:rPr>
          <w:rFonts w:hint="eastAsia" w:ascii="宋体" w:hAnsi="宋体" w:eastAsia="宋体" w:cs="宋体"/>
        </w:rPr>
        <w:t>第六章  投标文件格式</w:t>
      </w:r>
      <w:bookmarkEnd w:id="82"/>
      <w:bookmarkEnd w:id="95"/>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二、法定代表人资格证明书；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三、授权委托书；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四、投标报价表；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设备制造商的授权书（代理商投标时提供）</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六、技术规格偏离表；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七、商务条款响应偏离表；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九、技术参数、结构及性能特点等产品技术规格书；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十、主要原材料及部件性能和生产厂家；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十一、产品制造、安装、验收标准和验收方法；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十二、现场指导、调试；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十三、产品的技术服务和售后服务的内容、措施、承诺；</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十五、关于质量保证期的说明；</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十七、</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djustRightInd w:val="0"/>
        <w:snapToGrid w:val="0"/>
        <w:spacing w:line="400" w:lineRule="exact"/>
        <w:ind w:firstLine="440" w:firstLineChars="200"/>
        <w:rPr>
          <w:rFonts w:ascii="宋体" w:hAnsi="宋体" w:eastAsia="宋体" w:cs="宋体"/>
          <w:color w:val="000000"/>
          <w:sz w:val="22"/>
        </w:rPr>
      </w:pPr>
    </w:p>
    <w:p>
      <w:pPr>
        <w:rPr>
          <w:rFonts w:ascii="宋体" w:hAnsi="宋体" w:eastAsia="宋体" w:cs="宋体"/>
          <w:sz w:val="22"/>
        </w:rPr>
      </w:pPr>
    </w:p>
    <w:p>
      <w:pPr>
        <w:spacing w:line="440" w:lineRule="exact"/>
        <w:rPr>
          <w:rFonts w:ascii="宋体" w:hAnsi="宋体" w:eastAsia="宋体" w:cs="宋体"/>
          <w:color w:val="000000"/>
          <w:sz w:val="22"/>
        </w:rPr>
      </w:pPr>
    </w:p>
    <w:p>
      <w:pPr>
        <w:widowControl/>
        <w:jc w:val="left"/>
        <w:rPr>
          <w:rFonts w:ascii="宋体" w:hAnsi="宋体" w:eastAsia="宋体" w:cs="宋体"/>
          <w:color w:val="000000"/>
          <w:sz w:val="22"/>
        </w:rPr>
      </w:pPr>
      <w:r>
        <w:rPr>
          <w:rFonts w:hint="eastAsia" w:ascii="宋体" w:hAnsi="宋体" w:eastAsia="宋体" w:cs="宋体"/>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96" w:name="_Toc171421958"/>
      <w:r>
        <w:rPr>
          <w:rFonts w:hint="eastAsia" w:ascii="宋体" w:hAnsi="宋体" w:eastAsia="宋体" w:cs="宋体"/>
          <w:color w:val="000000"/>
        </w:rPr>
        <w:t>封面</w:t>
      </w:r>
      <w:bookmarkEnd w:id="96"/>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pacing w:line="440" w:lineRule="exact"/>
        <w:rPr>
          <w:rFonts w:ascii="宋体" w:hAnsi="宋体" w:eastAsia="宋体" w:cs="宋体"/>
          <w:sz w:val="22"/>
        </w:rPr>
      </w:pPr>
      <w:r>
        <w:rPr>
          <w:rFonts w:hint="eastAsia" w:ascii="宋体" w:hAnsi="宋体" w:eastAsia="宋体" w:cs="宋体"/>
          <w:sz w:val="22"/>
        </w:rPr>
        <w:t>致：杭州萧山国际机场有限公司</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根据贵方杭州萧山国际机场</w:t>
      </w:r>
      <w:r>
        <w:rPr>
          <w:rFonts w:hint="eastAsia" w:ascii="宋体" w:hAnsi="宋体" w:eastAsia="宋体" w:cs="宋体"/>
          <w:sz w:val="22"/>
          <w:u w:val="single"/>
        </w:rPr>
        <w:t xml:space="preserve">             </w:t>
      </w:r>
      <w:r>
        <w:rPr>
          <w:rFonts w:hint="eastAsia" w:ascii="宋体" w:hAnsi="宋体" w:eastAsia="宋体" w:cs="宋体"/>
          <w:sz w:val="22"/>
        </w:rPr>
        <w:t>采购项目的招标文件，授权代表</w:t>
      </w:r>
      <w:r>
        <w:rPr>
          <w:rFonts w:hint="eastAsia" w:ascii="宋体" w:hAnsi="宋体" w:eastAsia="宋体" w:cs="宋体"/>
          <w:sz w:val="22"/>
          <w:u w:val="single"/>
        </w:rPr>
        <w:t xml:space="preserve">        </w:t>
      </w:r>
      <w:r>
        <w:rPr>
          <w:rFonts w:hint="eastAsia" w:ascii="宋体" w:hAnsi="宋体" w:eastAsia="宋体" w:cs="宋体"/>
          <w:sz w:val="22"/>
        </w:rPr>
        <w:t>(全名、职务)经正式授权，代表投标人</w:t>
      </w:r>
      <w:r>
        <w:rPr>
          <w:rFonts w:hint="eastAsia" w:ascii="宋体" w:hAnsi="宋体" w:eastAsia="宋体" w:cs="宋体"/>
          <w:sz w:val="22"/>
          <w:u w:val="single"/>
        </w:rPr>
        <w:t xml:space="preserve">                    </w:t>
      </w:r>
      <w:r>
        <w:rPr>
          <w:rFonts w:hint="eastAsia" w:ascii="宋体" w:hAnsi="宋体" w:eastAsia="宋体" w:cs="宋体"/>
          <w:sz w:val="22"/>
        </w:rPr>
        <w:t>(投标人名称、地址)递交下述文件正本一份、副本二份。</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eastAsia="宋体" w:cs="宋体"/>
          <w:sz w:val="22"/>
        </w:rPr>
      </w:pPr>
      <w:r>
        <w:rPr>
          <w:rFonts w:hint="eastAsia" w:ascii="宋体" w:hAnsi="宋体" w:eastAsia="宋体" w:cs="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(小写)</w:t>
      </w:r>
      <w:r>
        <w:rPr>
          <w:rFonts w:hint="eastAsia" w:ascii="宋体" w:hAnsi="宋体" w:eastAsia="宋体" w:cs="宋体"/>
          <w:sz w:val="22"/>
          <w:u w:val="single"/>
        </w:rPr>
        <w:t xml:space="preserve">             </w:t>
      </w:r>
      <w:r>
        <w:rPr>
          <w:rFonts w:hint="eastAsia" w:ascii="宋体" w:hAnsi="宋体" w:eastAsia="宋体" w:cs="宋体"/>
          <w:sz w:val="22"/>
        </w:rPr>
        <w:t>。</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供货期：合同签订后</w:t>
      </w:r>
      <w:r>
        <w:rPr>
          <w:rFonts w:hint="eastAsia" w:ascii="宋体" w:hAnsi="宋体" w:eastAsia="宋体" w:cs="宋体"/>
          <w:sz w:val="22"/>
          <w:u w:val="single"/>
        </w:rPr>
        <w:t xml:space="preserve">      </w:t>
      </w:r>
      <w:r>
        <w:rPr>
          <w:rFonts w:hint="eastAsia" w:ascii="宋体" w:hAnsi="宋体" w:eastAsia="宋体" w:cs="宋体"/>
          <w:sz w:val="22"/>
        </w:rPr>
        <w:t>日历天、投标品牌：</w:t>
      </w:r>
      <w:r>
        <w:rPr>
          <w:rFonts w:hint="eastAsia" w:ascii="宋体" w:hAnsi="宋体" w:eastAsia="宋体" w:cs="宋体"/>
          <w:sz w:val="22"/>
          <w:u w:val="single"/>
        </w:rPr>
        <w:t xml:space="preserve">        </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本投标的投标有效期为自投标截止之日起120日内。</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投标人完全清楚并理解在投标有效期期满之前撤回投标，招标人有权不予退还投标人的投标保证金及银行同期存款利息。</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投标人：（盖单位章）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法定代表人或其委托代理人：（签字或盖章）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地    址：</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邮政编码：</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电    话：</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传    真：</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开户银行：</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账    号：</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日    期：    年     月     日</w:t>
      </w:r>
    </w:p>
    <w:p>
      <w:pPr>
        <w:adjustRightInd w:val="0"/>
        <w:snapToGrid w:val="0"/>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31"/>
        <w:spacing w:after="120" w:afterLines="50" w:line="360" w:lineRule="auto"/>
        <w:jc w:val="left"/>
        <w:rPr>
          <w:rFonts w:hAnsi="宋体" w:cs="宋体"/>
          <w:b/>
        </w:rPr>
      </w:pPr>
      <w:r>
        <w:rPr>
          <w:rFonts w:hAnsi="宋体" w:cs="宋体"/>
          <w:b/>
        </w:rPr>
        <w:br w:type="page"/>
      </w:r>
      <w:bookmarkStart w:id="97" w:name="_Toc144265958"/>
      <w:bookmarkStart w:id="98" w:name="_Toc137373398"/>
      <w:bookmarkStart w:id="99" w:name="_Toc133470542"/>
      <w:bookmarkStart w:id="100" w:name="_Toc133214309"/>
      <w:bookmarkStart w:id="101" w:name="_Toc133214102"/>
    </w:p>
    <w:p>
      <w:pPr>
        <w:pStyle w:val="31"/>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31"/>
        <w:spacing w:after="120" w:afterLines="50" w:line="360" w:lineRule="auto"/>
        <w:jc w:val="center"/>
        <w:rPr>
          <w:rFonts w:hAnsi="宋体" w:cs="宋体"/>
        </w:rPr>
      </w:pPr>
    </w:p>
    <w:p>
      <w:pPr>
        <w:pStyle w:val="31"/>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7"/>
    <w:bookmarkEnd w:id="98"/>
    <w:bookmarkEnd w:id="99"/>
    <w:bookmarkEnd w:id="100"/>
    <w:bookmarkEnd w:id="101"/>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(1)投标报价汇总表</w:t>
      </w:r>
    </w:p>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(2)设备费分项报价表</w:t>
      </w:r>
    </w:p>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4.1 投标报价汇总表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3544" w:type="dxa"/>
            <w:vAlign w:val="center"/>
          </w:tcPr>
          <w:p>
            <w:pPr>
              <w:snapToGrid w:val="0"/>
              <w:jc w:val="center"/>
              <w:rPr>
                <w:rFonts w:ascii="宋体" w:hAnsi="宋体" w:eastAsia="宋体" w:cs="宋体"/>
                <w:b/>
                <w:sz w:val="22"/>
              </w:rPr>
            </w:pPr>
            <w:r>
              <w:rPr>
                <w:rFonts w:hint="eastAsia" w:ascii="宋体" w:hAnsi="宋体" w:eastAsia="宋体" w:cs="宋体"/>
                <w:b/>
                <w:sz w:val="22"/>
              </w:rPr>
              <w:t xml:space="preserve">投 标 报 价 </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设备费(表4.2)</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设备安装费</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3</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施工组织措施费</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4</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特殊情况处置费（含专用机具租赁费）</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5</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第三方检测费</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6</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税费</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7</w:t>
            </w:r>
          </w:p>
        </w:tc>
        <w:tc>
          <w:tcPr>
            <w:tcW w:w="2976" w:type="dxa"/>
            <w:vAlign w:val="center"/>
          </w:tcPr>
          <w:p>
            <w:pPr>
              <w:snapToGrid w:val="0"/>
              <w:jc w:val="center"/>
              <w:rPr>
                <w:rFonts w:ascii="宋体" w:hAnsi="宋体" w:eastAsia="宋体" w:cs="宋体"/>
                <w:sz w:val="22"/>
              </w:rPr>
            </w:pPr>
            <w:r>
              <w:rPr>
                <w:rFonts w:hint="eastAsia" w:ascii="宋体" w:hAnsi="宋体" w:eastAsia="宋体" w:cs="宋体"/>
                <w:sz w:val="22"/>
              </w:rPr>
              <w:t>其他</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总    计</w:t>
            </w: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bl>
    <w:p>
      <w:pPr>
        <w:spacing w:line="360" w:lineRule="auto"/>
        <w:jc w:val="right"/>
        <w:rPr>
          <w:rFonts w:ascii="宋体" w:hAnsi="宋体" w:eastAsia="宋体" w:cs="宋体"/>
          <w:sz w:val="22"/>
        </w:rPr>
      </w:pP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注：</w:t>
      </w:r>
    </w:p>
    <w:p>
      <w:pPr>
        <w:numPr>
          <w:ilvl w:val="2"/>
          <w:numId w:val="12"/>
        </w:numPr>
        <w:adjustRightInd w:val="0"/>
        <w:snapToGrid w:val="0"/>
        <w:spacing w:line="360" w:lineRule="auto"/>
        <w:jc w:val="left"/>
        <w:textAlignment w:val="baseline"/>
        <w:rPr>
          <w:rFonts w:ascii="宋体" w:hAnsi="宋体" w:eastAsia="宋体" w:cs="宋体"/>
          <w:sz w:val="22"/>
        </w:rPr>
      </w:pPr>
      <w:r>
        <w:rPr>
          <w:rFonts w:hint="eastAsia" w:ascii="宋体" w:hAnsi="宋体" w:eastAsia="宋体" w:cs="宋体"/>
          <w:sz w:val="22"/>
        </w:rPr>
        <w:t>此表的“总计”系所有需招标人支付的投标金额总数即投标总价，投标总价中已包含投标人完成本招标项目的一切费用包括税费。</w:t>
      </w:r>
    </w:p>
    <w:p>
      <w:pPr>
        <w:snapToGrid w:val="0"/>
        <w:spacing w:line="360" w:lineRule="auto"/>
        <w:rPr>
          <w:rFonts w:ascii="宋体" w:hAnsi="宋体" w:eastAsia="宋体" w:cs="宋体"/>
          <w:sz w:val="22"/>
        </w:rPr>
      </w:pPr>
      <w:r>
        <w:rPr>
          <w:rFonts w:hint="eastAsia" w:ascii="宋体" w:hAnsi="宋体" w:eastAsia="宋体" w:cs="宋体"/>
          <w:sz w:val="22"/>
        </w:rPr>
        <w:t xml:space="preserve">        2、请投标人另行附表明确“设备安装费”及“施工组织措施费”中包含的项目、价格。</w:t>
      </w:r>
    </w:p>
    <w:p>
      <w:pPr>
        <w:spacing w:before="120" w:beforeLines="50" w:line="360" w:lineRule="auto"/>
        <w:ind w:firstLine="3960"/>
        <w:rPr>
          <w:rFonts w:ascii="宋体" w:hAnsi="宋体" w:eastAsia="宋体" w:cs="宋体"/>
        </w:rPr>
      </w:pPr>
      <w:bookmarkStart w:id="102" w:name="_Toc137373399"/>
      <w:bookmarkStart w:id="103" w:name="_Toc133214310"/>
      <w:bookmarkStart w:id="104" w:name="_Toc133470544"/>
      <w:bookmarkStart w:id="105" w:name="_Toc133214103"/>
    </w:p>
    <w:p>
      <w:pPr>
        <w:spacing w:line="360" w:lineRule="auto"/>
        <w:jc w:val="center"/>
        <w:rPr>
          <w:rFonts w:ascii="宋体" w:hAnsi="宋体" w:eastAsia="宋体" w:cs="宋体"/>
          <w:b/>
          <w:sz w:val="32"/>
          <w:szCs w:val="32"/>
        </w:rPr>
      </w:pPr>
      <w:bookmarkStart w:id="106" w:name="_Toc144265959"/>
      <w:r>
        <w:rPr>
          <w:rFonts w:hint="eastAsia" w:ascii="宋体" w:hAnsi="宋体" w:eastAsia="宋体" w:cs="宋体"/>
          <w:b/>
          <w:sz w:val="32"/>
          <w:szCs w:val="32"/>
        </w:rPr>
        <w:br w:type="page"/>
      </w:r>
    </w:p>
    <w:bookmarkEnd w:id="102"/>
    <w:bookmarkEnd w:id="103"/>
    <w:bookmarkEnd w:id="104"/>
    <w:bookmarkEnd w:id="105"/>
    <w:bookmarkEnd w:id="106"/>
    <w:p>
      <w:pPr>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4.2设备费分项报价表</w:t>
      </w:r>
    </w:p>
    <w:p>
      <w:pPr>
        <w:spacing w:line="360" w:lineRule="auto"/>
        <w:rPr>
          <w:rFonts w:ascii="宋体" w:hAnsi="宋体" w:eastAsia="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序 号</w:t>
            </w:r>
          </w:p>
        </w:tc>
        <w:tc>
          <w:tcPr>
            <w:tcW w:w="1523"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设备名称</w:t>
            </w:r>
          </w:p>
        </w:tc>
        <w:tc>
          <w:tcPr>
            <w:tcW w:w="1134"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规格型号</w:t>
            </w:r>
          </w:p>
        </w:tc>
        <w:tc>
          <w:tcPr>
            <w:tcW w:w="1032"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品 牌</w:t>
            </w:r>
          </w:p>
        </w:tc>
        <w:tc>
          <w:tcPr>
            <w:tcW w:w="755"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产地</w:t>
            </w:r>
          </w:p>
        </w:tc>
        <w:tc>
          <w:tcPr>
            <w:tcW w:w="637"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p>
        </w:tc>
        <w:tc>
          <w:tcPr>
            <w:tcW w:w="578"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数量</w:t>
            </w: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  价（不含税）</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eastAsia="宋体" w:cs="宋体"/>
                <w:b/>
                <w:bCs/>
                <w:kern w:val="0"/>
                <w:sz w:val="20"/>
              </w:rPr>
            </w:pPr>
          </w:p>
        </w:tc>
        <w:tc>
          <w:tcPr>
            <w:tcW w:w="1523" w:type="dxa"/>
            <w:vMerge w:val="continue"/>
            <w:shd w:val="clear" w:color="auto" w:fill="auto"/>
            <w:vAlign w:val="center"/>
          </w:tcPr>
          <w:p>
            <w:pPr>
              <w:widowControl/>
              <w:jc w:val="left"/>
              <w:rPr>
                <w:rFonts w:ascii="宋体" w:hAnsi="宋体" w:eastAsia="宋体" w:cs="宋体"/>
                <w:b/>
                <w:bCs/>
                <w:kern w:val="0"/>
                <w:sz w:val="20"/>
              </w:rPr>
            </w:pPr>
          </w:p>
        </w:tc>
        <w:tc>
          <w:tcPr>
            <w:tcW w:w="1134" w:type="dxa"/>
            <w:vMerge w:val="continue"/>
            <w:shd w:val="clear" w:color="auto" w:fill="auto"/>
            <w:vAlign w:val="center"/>
          </w:tcPr>
          <w:p>
            <w:pPr>
              <w:widowControl/>
              <w:jc w:val="left"/>
              <w:rPr>
                <w:rFonts w:ascii="宋体" w:hAnsi="宋体" w:eastAsia="宋体" w:cs="宋体"/>
                <w:b/>
                <w:bCs/>
                <w:kern w:val="0"/>
                <w:sz w:val="20"/>
              </w:rPr>
            </w:pPr>
          </w:p>
        </w:tc>
        <w:tc>
          <w:tcPr>
            <w:tcW w:w="1032" w:type="dxa"/>
            <w:vMerge w:val="continue"/>
            <w:shd w:val="clear" w:color="auto" w:fill="auto"/>
            <w:vAlign w:val="center"/>
          </w:tcPr>
          <w:p>
            <w:pPr>
              <w:widowControl/>
              <w:jc w:val="left"/>
              <w:rPr>
                <w:rFonts w:ascii="宋体" w:hAnsi="宋体" w:eastAsia="宋体" w:cs="宋体"/>
                <w:b/>
                <w:bCs/>
                <w:kern w:val="0"/>
                <w:sz w:val="20"/>
              </w:rPr>
            </w:pPr>
          </w:p>
        </w:tc>
        <w:tc>
          <w:tcPr>
            <w:tcW w:w="755" w:type="dxa"/>
            <w:vMerge w:val="continue"/>
            <w:shd w:val="clear" w:color="auto" w:fill="auto"/>
            <w:vAlign w:val="center"/>
          </w:tcPr>
          <w:p>
            <w:pPr>
              <w:widowControl/>
              <w:jc w:val="left"/>
              <w:rPr>
                <w:rFonts w:ascii="宋体" w:hAnsi="宋体" w:eastAsia="宋体" w:cs="宋体"/>
                <w:b/>
                <w:bCs/>
                <w:kern w:val="0"/>
                <w:sz w:val="20"/>
              </w:rPr>
            </w:pPr>
          </w:p>
        </w:tc>
        <w:tc>
          <w:tcPr>
            <w:tcW w:w="637" w:type="dxa"/>
            <w:vMerge w:val="continue"/>
            <w:shd w:val="clear" w:color="auto" w:fill="auto"/>
            <w:vAlign w:val="center"/>
          </w:tcPr>
          <w:p>
            <w:pPr>
              <w:widowControl/>
              <w:jc w:val="left"/>
              <w:rPr>
                <w:rFonts w:ascii="宋体" w:hAnsi="宋体" w:eastAsia="宋体" w:cs="宋体"/>
                <w:b/>
                <w:bCs/>
                <w:kern w:val="0"/>
                <w:sz w:val="20"/>
              </w:rPr>
            </w:pPr>
          </w:p>
        </w:tc>
        <w:tc>
          <w:tcPr>
            <w:tcW w:w="578" w:type="dxa"/>
            <w:vMerge w:val="continue"/>
            <w:shd w:val="clear" w:color="auto" w:fill="auto"/>
            <w:vAlign w:val="center"/>
          </w:tcPr>
          <w:p>
            <w:pPr>
              <w:widowControl/>
              <w:jc w:val="left"/>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r>
              <w:rPr>
                <w:rFonts w:ascii="宋体" w:hAnsi="宋体" w:eastAsia="宋体" w:cs="宋体"/>
                <w:b/>
                <w:bCs/>
                <w:kern w:val="0"/>
                <w:sz w:val="20"/>
              </w:rPr>
              <w:t>(元)</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r>
              <w:rPr>
                <w:rFonts w:ascii="宋体" w:hAnsi="宋体" w:eastAsia="宋体" w:cs="宋体"/>
                <w:b/>
                <w:bCs/>
                <w:kern w:val="0"/>
                <w:sz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1</w:t>
            </w: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2</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3</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4</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shd w:val="clear" w:color="000000" w:fill="FFFFFF"/>
            <w:vAlign w:val="center"/>
          </w:tcPr>
          <w:p>
            <w:pPr>
              <w:widowControl/>
              <w:jc w:val="center"/>
              <w:rPr>
                <w:rFonts w:ascii="宋体" w:hAnsi="宋体" w:eastAsia="宋体" w:cs="宋体"/>
                <w:b/>
                <w:bCs/>
                <w:kern w:val="0"/>
                <w:sz w:val="20"/>
              </w:rPr>
            </w:pPr>
          </w:p>
        </w:tc>
        <w:tc>
          <w:tcPr>
            <w:tcW w:w="1032" w:type="dxa"/>
            <w:shd w:val="clear" w:color="000000" w:fill="FFFFFF"/>
            <w:vAlign w:val="center"/>
          </w:tcPr>
          <w:p>
            <w:pPr>
              <w:widowControl/>
              <w:jc w:val="center"/>
              <w:rPr>
                <w:rFonts w:ascii="宋体" w:hAnsi="宋体" w:eastAsia="宋体" w:cs="宋体"/>
                <w:b/>
                <w:bCs/>
                <w:kern w:val="0"/>
                <w:sz w:val="20"/>
              </w:rPr>
            </w:pPr>
          </w:p>
        </w:tc>
        <w:tc>
          <w:tcPr>
            <w:tcW w:w="755" w:type="dxa"/>
            <w:shd w:val="clear" w:color="000000" w:fill="FFFFFF"/>
            <w:vAlign w:val="center"/>
          </w:tcPr>
          <w:p>
            <w:pPr>
              <w:widowControl/>
              <w:rPr>
                <w:rFonts w:ascii="宋体" w:hAnsi="宋体" w:eastAsia="宋体" w:cs="宋体"/>
                <w:b/>
                <w:bCs/>
                <w:kern w:val="0"/>
                <w:sz w:val="20"/>
              </w:rPr>
            </w:pPr>
          </w:p>
        </w:tc>
        <w:tc>
          <w:tcPr>
            <w:tcW w:w="637" w:type="dxa"/>
            <w:shd w:val="clear" w:color="000000" w:fill="FFFFFF"/>
            <w:vAlign w:val="center"/>
          </w:tcPr>
          <w:p>
            <w:pPr>
              <w:widowControl/>
              <w:rPr>
                <w:rFonts w:ascii="宋体" w:hAnsi="宋体" w:eastAsia="宋体" w:cs="宋体"/>
                <w:b/>
                <w:bCs/>
                <w:kern w:val="0"/>
                <w:sz w:val="20"/>
              </w:rPr>
            </w:pPr>
          </w:p>
        </w:tc>
        <w:tc>
          <w:tcPr>
            <w:tcW w:w="578" w:type="dxa"/>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408" w:type="dxa"/>
            <w:gridSpan w:val="9"/>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合计（不含税价）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408" w:type="dxa"/>
            <w:gridSpan w:val="9"/>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408" w:type="dxa"/>
            <w:gridSpan w:val="9"/>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合计（含税价）</w:t>
            </w:r>
          </w:p>
        </w:tc>
      </w:tr>
    </w:tbl>
    <w:p>
      <w:pPr>
        <w:widowControl/>
        <w:spacing w:line="300" w:lineRule="auto"/>
        <w:rPr>
          <w:rFonts w:ascii="宋体" w:hAnsi="宋体" w:eastAsia="宋体" w:cs="宋体"/>
          <w:sz w:val="22"/>
        </w:rPr>
      </w:pPr>
    </w:p>
    <w:p>
      <w:pPr>
        <w:widowControl/>
        <w:spacing w:line="300" w:lineRule="auto"/>
        <w:rPr>
          <w:rFonts w:ascii="宋体" w:hAnsi="宋体" w:eastAsia="宋体" w:cs="宋体"/>
          <w:sz w:val="22"/>
        </w:rPr>
      </w:pPr>
      <w:r>
        <w:rPr>
          <w:rFonts w:hint="eastAsia" w:ascii="宋体" w:hAnsi="宋体" w:eastAsia="宋体" w:cs="宋体"/>
          <w:sz w:val="22"/>
        </w:rPr>
        <w:t>注：</w:t>
      </w:r>
    </w:p>
    <w:p>
      <w:pPr>
        <w:widowControl/>
        <w:numPr>
          <w:ilvl w:val="0"/>
          <w:numId w:val="13"/>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综合单价包括但不限于产品生产、包装、运至指定地点的运输、装卸、保险、调试及所有第三章要求的伴随服务等招标文件规定的全部相关费用。</w:t>
      </w:r>
    </w:p>
    <w:p>
      <w:pPr>
        <w:spacing w:line="360" w:lineRule="auto"/>
        <w:rPr>
          <w:rFonts w:ascii="宋体" w:hAnsi="宋体" w:eastAsia="宋体" w:cs="宋体"/>
          <w:sz w:val="22"/>
        </w:rPr>
      </w:pPr>
    </w:p>
    <w:p>
      <w:pPr>
        <w:spacing w:line="440" w:lineRule="exact"/>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五、投标人资格证明文件</w:t>
      </w:r>
    </w:p>
    <w:p>
      <w:pPr>
        <w:overflowPunct w:val="0"/>
        <w:autoSpaceDE w:val="0"/>
        <w:autoSpaceDN w:val="0"/>
        <w:spacing w:line="440" w:lineRule="exact"/>
        <w:ind w:left="839" w:hanging="839"/>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企业名称</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主管部门</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经济类型</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法定代表人</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单位简历</w:t>
            </w:r>
          </w:p>
        </w:tc>
        <w:tc>
          <w:tcPr>
            <w:tcW w:w="7643" w:type="dxa"/>
            <w:gridSpan w:val="10"/>
            <w:vAlign w:val="center"/>
          </w:tcPr>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单位优势</w:t>
            </w:r>
          </w:p>
          <w:p>
            <w:pPr>
              <w:snapToGrid w:val="0"/>
              <w:ind w:left="-170" w:right="-170"/>
              <w:jc w:val="center"/>
              <w:rPr>
                <w:rFonts w:ascii="宋体" w:hAnsi="宋体" w:eastAsia="宋体" w:cs="宋体"/>
                <w:sz w:val="22"/>
              </w:rPr>
            </w:pPr>
            <w:r>
              <w:rPr>
                <w:rFonts w:hint="eastAsia" w:ascii="宋体" w:hAnsi="宋体" w:eastAsia="宋体" w:cs="宋体"/>
                <w:sz w:val="22"/>
              </w:rPr>
              <w:t>及 特 长</w:t>
            </w:r>
          </w:p>
        </w:tc>
        <w:tc>
          <w:tcPr>
            <w:tcW w:w="7643" w:type="dxa"/>
            <w:gridSpan w:val="10"/>
            <w:vAlign w:val="center"/>
          </w:tcPr>
          <w:p>
            <w:pPr>
              <w:pStyle w:val="39"/>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 位 概 况</w:t>
            </w: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职工总人数</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工程技术人员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生产工人</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销售人员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固定</w:t>
            </w:r>
          </w:p>
          <w:p>
            <w:pPr>
              <w:snapToGrid w:val="0"/>
              <w:ind w:left="-170" w:right="-170"/>
              <w:jc w:val="center"/>
              <w:rPr>
                <w:rFonts w:ascii="宋体" w:hAnsi="宋体" w:eastAsia="宋体" w:cs="宋体"/>
                <w:sz w:val="22"/>
              </w:rPr>
            </w:pPr>
            <w:r>
              <w:rPr>
                <w:rFonts w:hint="eastAsia" w:ascii="宋体" w:hAnsi="宋体" w:eastAsia="宋体" w:cs="宋体"/>
                <w:sz w:val="22"/>
              </w:rPr>
              <w:t>资产</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性质</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非生产性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流动</w:t>
            </w:r>
          </w:p>
          <w:p>
            <w:pPr>
              <w:snapToGrid w:val="0"/>
              <w:ind w:left="-170" w:right="-170"/>
              <w:jc w:val="center"/>
              <w:rPr>
                <w:rFonts w:ascii="宋体" w:hAnsi="宋体" w:eastAsia="宋体" w:cs="宋体"/>
                <w:sz w:val="22"/>
              </w:rPr>
            </w:pPr>
            <w:r>
              <w:rPr>
                <w:rFonts w:hint="eastAsia" w:ascii="宋体" w:hAnsi="宋体" w:eastAsia="宋体" w:cs="宋体"/>
                <w:sz w:val="22"/>
              </w:rPr>
              <w:t>资金</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来源</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自有资金</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银行贷款</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经营</w:t>
            </w:r>
          </w:p>
          <w:p>
            <w:pPr>
              <w:snapToGrid w:val="0"/>
              <w:ind w:left="-170" w:right="-170"/>
              <w:jc w:val="center"/>
              <w:rPr>
                <w:rFonts w:ascii="宋体" w:hAnsi="宋体" w:eastAsia="宋体" w:cs="宋体"/>
                <w:sz w:val="22"/>
              </w:rPr>
            </w:pPr>
            <w:r>
              <w:rPr>
                <w:rFonts w:hint="eastAsia" w:ascii="宋体" w:hAnsi="宋体" w:eastAsia="宋体" w:cs="宋体"/>
                <w:sz w:val="22"/>
              </w:rPr>
              <w:t>范围</w:t>
            </w:r>
          </w:p>
        </w:tc>
        <w:tc>
          <w:tcPr>
            <w:tcW w:w="7643" w:type="dxa"/>
            <w:gridSpan w:val="10"/>
            <w:vAlign w:val="center"/>
          </w:tcPr>
          <w:p>
            <w:pPr>
              <w:snapToGrid w:val="0"/>
              <w:ind w:left="-170" w:right="-170"/>
              <w:jc w:val="center"/>
              <w:rPr>
                <w:rFonts w:ascii="宋体" w:hAnsi="宋体" w:eastAsia="宋体" w:cs="宋体"/>
                <w:sz w:val="22"/>
              </w:rPr>
            </w:pPr>
          </w:p>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 济</w:t>
            </w:r>
          </w:p>
          <w:p>
            <w:pPr>
              <w:snapToGrid w:val="0"/>
              <w:ind w:left="-170" w:right="-170"/>
              <w:jc w:val="center"/>
              <w:rPr>
                <w:rFonts w:ascii="宋体" w:hAnsi="宋体" w:eastAsia="宋体" w:cs="宋体"/>
                <w:sz w:val="22"/>
              </w:rPr>
            </w:pPr>
            <w:r>
              <w:rPr>
                <w:rFonts w:hint="eastAsia" w:ascii="宋体" w:hAnsi="宋体" w:eastAsia="宋体" w:cs="宋体"/>
                <w:sz w:val="22"/>
              </w:rPr>
              <w:t>指 标</w:t>
            </w:r>
          </w:p>
        </w:tc>
        <w:tc>
          <w:tcPr>
            <w:tcW w:w="1553" w:type="dxa"/>
            <w:gridSpan w:val="2"/>
            <w:vAlign w:val="center"/>
          </w:tcPr>
          <w:p>
            <w:pPr>
              <w:snapToGrid w:val="0"/>
              <w:ind w:left="-170" w:right="-170"/>
              <w:jc w:val="center"/>
              <w:rPr>
                <w:rFonts w:ascii="宋体" w:hAnsi="宋体" w:eastAsia="宋体" w:cs="宋体"/>
                <w:sz w:val="22"/>
              </w:rPr>
            </w:pPr>
            <w:r>
              <w:rPr>
                <w:rFonts w:hint="eastAsia" w:ascii="宋体" w:hAnsi="宋体" w:eastAsia="宋体" w:cs="宋体"/>
                <w:sz w:val="22"/>
              </w:rPr>
              <w:t>年份</w:t>
            </w:r>
          </w:p>
        </w:tc>
        <w:tc>
          <w:tcPr>
            <w:tcW w:w="6090" w:type="dxa"/>
            <w:gridSpan w:val="8"/>
            <w:vAlign w:val="center"/>
          </w:tcPr>
          <w:p>
            <w:pPr>
              <w:snapToGrid w:val="0"/>
              <w:ind w:left="-170" w:right="-17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sz w:val="22"/>
              </w:rPr>
            </w:pPr>
          </w:p>
        </w:tc>
      </w:tr>
    </w:tbl>
    <w:p>
      <w:pPr>
        <w:overflowPunct w:val="0"/>
        <w:autoSpaceDE w:val="0"/>
        <w:autoSpaceDN w:val="0"/>
        <w:rPr>
          <w:rFonts w:ascii="宋体" w:hAnsi="宋体" w:eastAsia="宋体" w:cs="宋体"/>
          <w:sz w:val="22"/>
        </w:rPr>
      </w:pP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eastAsia="宋体" w:cs="宋体"/>
          <w:sz w:val="22"/>
        </w:rPr>
      </w:pPr>
      <w:r>
        <w:rPr>
          <w:rFonts w:hint="eastAsia" w:ascii="宋体" w:hAnsi="宋体" w:eastAsia="宋体" w:cs="宋体"/>
          <w:sz w:val="22"/>
        </w:rPr>
        <w:t>名称及概况：</w:t>
      </w:r>
    </w:p>
    <w:p>
      <w:pPr>
        <w:numPr>
          <w:ilvl w:val="0"/>
          <w:numId w:val="15"/>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制造商名称：</w:t>
      </w:r>
      <w:r>
        <w:rPr>
          <w:rFonts w:hint="eastAsia" w:ascii="宋体" w:hAnsi="宋体" w:eastAsia="宋体" w:cs="宋体"/>
          <w:sz w:val="22"/>
          <w:u w:val="single"/>
        </w:rPr>
        <w:t xml:space="preserve">                                                 </w:t>
      </w:r>
    </w:p>
    <w:p>
      <w:pPr>
        <w:numPr>
          <w:ilvl w:val="0"/>
          <w:numId w:val="15"/>
        </w:numPr>
        <w:adjustRightInd w:val="0"/>
        <w:spacing w:line="360" w:lineRule="auto"/>
        <w:textAlignment w:val="baseline"/>
        <w:rPr>
          <w:rFonts w:ascii="宋体" w:hAnsi="宋体" w:eastAsia="宋体" w:cs="宋体"/>
          <w:sz w:val="22"/>
        </w:rPr>
      </w:pPr>
      <w:r>
        <w:rPr>
          <w:rFonts w:hint="eastAsia" w:ascii="宋体" w:hAnsi="宋体" w:eastAsia="宋体" w:cs="宋体"/>
          <w:sz w:val="22"/>
        </w:rPr>
        <w:t>总部地址：</w:t>
      </w:r>
      <w:r>
        <w:rPr>
          <w:rFonts w:hint="eastAsia" w:ascii="宋体" w:hAnsi="宋体" w:eastAsia="宋体" w:cs="宋体"/>
          <w:sz w:val="22"/>
          <w:u w:val="single"/>
        </w:rPr>
        <w:t xml:space="preserve">                                                   </w:t>
      </w:r>
    </w:p>
    <w:p>
      <w:pPr>
        <w:spacing w:line="360" w:lineRule="auto"/>
        <w:ind w:left="840" w:firstLine="120"/>
        <w:rPr>
          <w:rFonts w:ascii="宋体" w:hAnsi="宋体" w:eastAsia="宋体" w:cs="宋体"/>
          <w:sz w:val="22"/>
          <w:u w:val="single"/>
        </w:rPr>
      </w:pPr>
      <w:r>
        <w:rPr>
          <w:rFonts w:hint="eastAsia" w:ascii="宋体" w:hAnsi="宋体" w:eastAsia="宋体" w:cs="宋体"/>
          <w:sz w:val="22"/>
        </w:rPr>
        <w:t>电传/传真/电话号码：</w:t>
      </w:r>
      <w:r>
        <w:rPr>
          <w:rFonts w:hint="eastAsia" w:ascii="宋体" w:hAnsi="宋体" w:eastAsia="宋体" w:cs="宋体"/>
          <w:sz w:val="22"/>
          <w:u w:val="single"/>
        </w:rPr>
        <w:t xml:space="preserve">                                         </w:t>
      </w:r>
    </w:p>
    <w:p>
      <w:pPr>
        <w:numPr>
          <w:ilvl w:val="0"/>
          <w:numId w:val="15"/>
        </w:numPr>
        <w:adjustRightInd w:val="0"/>
        <w:spacing w:line="360" w:lineRule="auto"/>
        <w:textAlignment w:val="baseline"/>
        <w:rPr>
          <w:rFonts w:ascii="宋体" w:hAnsi="宋体" w:eastAsia="宋体" w:cs="宋体"/>
          <w:sz w:val="22"/>
          <w:u w:val="single"/>
        </w:rPr>
      </w:pPr>
      <w:r>
        <w:rPr>
          <w:rFonts w:hint="eastAsia" w:ascii="宋体" w:hAnsi="宋体" w:eastAsia="宋体" w:cs="宋体"/>
          <w:sz w:val="22"/>
        </w:rPr>
        <w:t>成立和/或注册日期：</w:t>
      </w:r>
      <w:r>
        <w:rPr>
          <w:rFonts w:hint="eastAsia" w:ascii="宋体" w:hAnsi="宋体" w:eastAsia="宋体" w:cs="宋体"/>
          <w:sz w:val="22"/>
          <w:u w:val="single"/>
        </w:rPr>
        <w:t xml:space="preserve">                                          </w:t>
      </w:r>
    </w:p>
    <w:p>
      <w:pPr>
        <w:numPr>
          <w:ilvl w:val="0"/>
          <w:numId w:val="15"/>
        </w:numPr>
        <w:adjustRightInd w:val="0"/>
        <w:spacing w:line="360" w:lineRule="auto"/>
        <w:textAlignment w:val="baseline"/>
        <w:rPr>
          <w:rFonts w:ascii="宋体" w:hAnsi="宋体" w:eastAsia="宋体" w:cs="宋体"/>
          <w:sz w:val="22"/>
        </w:rPr>
      </w:pPr>
      <w:r>
        <w:rPr>
          <w:rFonts w:hint="eastAsia" w:ascii="宋体" w:hAnsi="宋体" w:eastAsia="宋体" w:cs="宋体"/>
          <w:sz w:val="22"/>
        </w:rPr>
        <w:t>实收资本：</w:t>
      </w:r>
      <w:r>
        <w:rPr>
          <w:rFonts w:hint="eastAsia" w:ascii="宋体" w:hAnsi="宋体" w:eastAsia="宋体" w:cs="宋体"/>
          <w:sz w:val="22"/>
          <w:u w:val="single"/>
        </w:rPr>
        <w:t xml:space="preserve">                                                   </w:t>
      </w:r>
    </w:p>
    <w:p>
      <w:pPr>
        <w:numPr>
          <w:ilvl w:val="0"/>
          <w:numId w:val="15"/>
        </w:numPr>
        <w:adjustRightInd w:val="0"/>
        <w:spacing w:line="360" w:lineRule="auto"/>
        <w:textAlignment w:val="baseline"/>
        <w:rPr>
          <w:rFonts w:ascii="宋体" w:hAnsi="宋体" w:eastAsia="宋体" w:cs="宋体"/>
          <w:sz w:val="22"/>
        </w:rPr>
      </w:pPr>
      <w:r>
        <w:rPr>
          <w:rFonts w:hint="eastAsia" w:ascii="宋体" w:hAnsi="宋体" w:eastAsia="宋体" w:cs="宋体"/>
          <w:sz w:val="22"/>
        </w:rPr>
        <w:t>近期资产负债表（到</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日止）</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固定资产：</w:t>
      </w: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流动资产：</w:t>
      </w: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长期负债：</w:t>
      </w: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流动负债：</w:t>
      </w: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净值：</w:t>
      </w:r>
      <w:r>
        <w:rPr>
          <w:rFonts w:hint="eastAsia" w:ascii="宋体" w:hAnsi="宋体" w:eastAsia="宋体" w:cs="宋体"/>
          <w:sz w:val="22"/>
          <w:u w:val="single"/>
        </w:rPr>
        <w:t xml:space="preserve">                                           </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主要负责人姓名：（可选填）</w:t>
      </w:r>
      <w:r>
        <w:rPr>
          <w:rFonts w:hint="eastAsia" w:ascii="宋体" w:hAnsi="宋体" w:eastAsia="宋体" w:cs="宋体"/>
          <w:sz w:val="22"/>
          <w:u w:val="single"/>
        </w:rPr>
        <w:t xml:space="preserve">                          </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制造商在中国的代表的姓名和地址：（如有的话）</w:t>
      </w:r>
    </w:p>
    <w:p>
      <w:pPr>
        <w:spacing w:line="360" w:lineRule="auto"/>
        <w:ind w:left="425"/>
        <w:rPr>
          <w:rFonts w:ascii="宋体" w:hAnsi="宋体" w:eastAsia="宋体" w:cs="宋体"/>
          <w:sz w:val="22"/>
        </w:rPr>
      </w:pPr>
      <w:r>
        <w:rPr>
          <w:rFonts w:hint="eastAsia" w:ascii="宋体" w:hAnsi="宋体" w:eastAsia="宋体" w:cs="宋体"/>
          <w:sz w:val="22"/>
          <w:u w:val="single"/>
        </w:rPr>
        <w:t xml:space="preserve">                                                        </w:t>
      </w:r>
    </w:p>
    <w:p>
      <w:pPr>
        <w:numPr>
          <w:ilvl w:val="0"/>
          <w:numId w:val="10"/>
        </w:numPr>
        <w:adjustRightInd w:val="0"/>
        <w:spacing w:line="360" w:lineRule="auto"/>
        <w:textAlignment w:val="baseline"/>
        <w:rPr>
          <w:rFonts w:ascii="宋体" w:hAnsi="宋体" w:eastAsia="宋体" w:cs="宋体"/>
          <w:sz w:val="22"/>
        </w:rPr>
      </w:pPr>
      <w:r>
        <w:rPr>
          <w:rFonts w:hint="eastAsia" w:ascii="宋体" w:hAnsi="宋体" w:eastAsia="宋体" w:cs="宋体"/>
          <w:sz w:val="22"/>
        </w:rPr>
        <w:t>(1) 关于制造投标货物的设施及其它情况：</w:t>
      </w:r>
    </w:p>
    <w:p>
      <w:pPr>
        <w:spacing w:line="360" w:lineRule="auto"/>
        <w:ind w:firstLine="360"/>
        <w:rPr>
          <w:rFonts w:ascii="宋体" w:hAnsi="宋体" w:eastAsia="宋体" w:cs="宋体"/>
          <w:sz w:val="22"/>
        </w:rPr>
      </w:pPr>
      <w:r>
        <w:rPr>
          <w:rFonts w:hint="eastAsia" w:ascii="宋体" w:hAnsi="宋体" w:eastAsia="宋体" w:cs="宋体"/>
          <w:sz w:val="22"/>
        </w:rPr>
        <w:t>工厂名称地址       生产的项目       年生产能力       职工人数</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1"/>
          <w:numId w:val="18"/>
        </w:numPr>
        <w:tabs>
          <w:tab w:val="left" w:pos="780"/>
          <w:tab w:val="clear" w:pos="840"/>
        </w:tabs>
        <w:adjustRightInd w:val="0"/>
        <w:spacing w:line="360" w:lineRule="auto"/>
        <w:ind w:left="780" w:hanging="360"/>
        <w:textAlignment w:val="baseline"/>
        <w:rPr>
          <w:rFonts w:ascii="宋体" w:hAnsi="宋体" w:eastAsia="宋体" w:cs="宋体"/>
          <w:sz w:val="22"/>
        </w:rPr>
      </w:pPr>
      <w:r>
        <w:rPr>
          <w:rFonts w:hint="eastAsia" w:ascii="宋体" w:hAnsi="宋体" w:eastAsia="宋体" w:cs="宋体"/>
          <w:sz w:val="22"/>
        </w:rPr>
        <w:t xml:space="preserve"> 本制造商不生产，而需从其它制造商购买的主要零部件：</w:t>
      </w:r>
    </w:p>
    <w:p>
      <w:pPr>
        <w:spacing w:line="360" w:lineRule="auto"/>
        <w:ind w:firstLine="360"/>
        <w:rPr>
          <w:rFonts w:ascii="宋体" w:hAnsi="宋体" w:eastAsia="宋体" w:cs="宋体"/>
          <w:sz w:val="22"/>
        </w:rPr>
      </w:pPr>
      <w:r>
        <w:rPr>
          <w:rFonts w:hint="eastAsia" w:ascii="宋体" w:hAnsi="宋体" w:eastAsia="宋体" w:cs="宋体"/>
          <w:sz w:val="22"/>
        </w:rPr>
        <w:t>制造商名称和地址               主要零部件名称</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9"/>
        </w:numPr>
        <w:adjustRightInd w:val="0"/>
        <w:spacing w:line="360" w:lineRule="auto"/>
        <w:ind w:right="443" w:rightChars="211"/>
        <w:textAlignment w:val="baseline"/>
        <w:rPr>
          <w:rFonts w:ascii="宋体" w:hAnsi="宋体" w:eastAsia="宋体" w:cs="宋体"/>
          <w:sz w:val="22"/>
        </w:rPr>
      </w:pPr>
      <w:r>
        <w:rPr>
          <w:rFonts w:hint="eastAsia" w:ascii="宋体" w:hAnsi="宋体" w:eastAsia="宋体" w:cs="宋体"/>
          <w:sz w:val="22"/>
        </w:rPr>
        <w:t>本制造商生产投标货物的经验（包括年限、项目业主、额定能力、商业运营的起始日期等）：</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numPr>
          <w:ilvl w:val="0"/>
          <w:numId w:val="19"/>
        </w:numPr>
        <w:adjustRightInd w:val="0"/>
        <w:spacing w:line="360" w:lineRule="auto"/>
        <w:textAlignment w:val="baseline"/>
        <w:rPr>
          <w:rFonts w:ascii="宋体" w:hAnsi="宋体" w:eastAsia="宋体" w:cs="宋体"/>
          <w:sz w:val="22"/>
        </w:rPr>
      </w:pPr>
      <w:r>
        <w:rPr>
          <w:rFonts w:hint="eastAsia" w:ascii="宋体" w:hAnsi="宋体" w:eastAsia="宋体" w:cs="宋体"/>
          <w:sz w:val="22"/>
        </w:rPr>
        <w:t>近3年该货物主要销售给国内、外主要客户的名称地址：</w:t>
      </w:r>
    </w:p>
    <w:p>
      <w:pPr>
        <w:numPr>
          <w:ilvl w:val="0"/>
          <w:numId w:val="20"/>
        </w:numPr>
        <w:adjustRightInd w:val="0"/>
        <w:spacing w:line="360" w:lineRule="auto"/>
        <w:textAlignment w:val="baseline"/>
        <w:rPr>
          <w:rFonts w:ascii="宋体" w:hAnsi="宋体" w:eastAsia="宋体" w:cs="宋体"/>
          <w:sz w:val="22"/>
        </w:rPr>
      </w:pPr>
      <w:r>
        <w:rPr>
          <w:rFonts w:hint="eastAsia" w:ascii="宋体" w:hAnsi="宋体" w:eastAsia="宋体" w:cs="宋体"/>
          <w:sz w:val="22"/>
        </w:rPr>
        <w:t>出口销售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20"/>
        </w:numPr>
        <w:adjustRightInd w:val="0"/>
        <w:spacing w:line="360" w:lineRule="auto"/>
        <w:textAlignment w:val="baseline"/>
        <w:rPr>
          <w:rFonts w:ascii="宋体" w:hAnsi="宋体" w:eastAsia="宋体" w:cs="宋体"/>
          <w:sz w:val="22"/>
        </w:rPr>
      </w:pPr>
      <w:r>
        <w:rPr>
          <w:rFonts w:hint="eastAsia" w:ascii="宋体" w:hAnsi="宋体" w:eastAsia="宋体" w:cs="宋体"/>
          <w:sz w:val="22"/>
        </w:rPr>
        <w:t>国内销售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21"/>
        </w:numPr>
        <w:adjustRightInd w:val="0"/>
        <w:spacing w:line="360" w:lineRule="auto"/>
        <w:textAlignment w:val="baseline"/>
        <w:rPr>
          <w:rFonts w:ascii="宋体" w:hAnsi="宋体" w:eastAsia="宋体" w:cs="宋体"/>
          <w:sz w:val="22"/>
        </w:rPr>
      </w:pPr>
      <w:r>
        <w:rPr>
          <w:rFonts w:hint="eastAsia" w:ascii="宋体" w:hAnsi="宋体" w:eastAsia="宋体" w:cs="宋体"/>
          <w:sz w:val="22"/>
        </w:rPr>
        <w:t>近三年的年营业额</w:t>
      </w:r>
    </w:p>
    <w:p>
      <w:pPr>
        <w:spacing w:line="360" w:lineRule="auto"/>
        <w:ind w:firstLine="480"/>
        <w:rPr>
          <w:rFonts w:ascii="宋体" w:hAnsi="宋体" w:eastAsia="宋体" w:cs="宋体"/>
          <w:sz w:val="22"/>
        </w:rPr>
      </w:pPr>
      <w:r>
        <w:rPr>
          <w:rFonts w:hint="eastAsia" w:ascii="宋体" w:hAnsi="宋体" w:eastAsia="宋体" w:cs="宋体"/>
          <w:sz w:val="22"/>
        </w:rPr>
        <w:t>年份             国内             出口             总额</w:t>
      </w:r>
    </w:p>
    <w:p>
      <w:pPr>
        <w:spacing w:line="360" w:lineRule="auto"/>
        <w:ind w:left="36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u w:val="single"/>
        </w:rPr>
        <w:br w:type="textWrapping"/>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21"/>
        </w:numPr>
        <w:adjustRightInd w:val="0"/>
        <w:spacing w:line="360" w:lineRule="auto"/>
        <w:textAlignment w:val="baseline"/>
        <w:rPr>
          <w:rFonts w:ascii="宋体" w:hAnsi="宋体" w:eastAsia="宋体" w:cs="宋体"/>
          <w:sz w:val="22"/>
        </w:rPr>
      </w:pPr>
      <w:r>
        <w:rPr>
          <w:rFonts w:hint="eastAsia" w:ascii="宋体" w:hAnsi="宋体" w:eastAsia="宋体" w:cs="宋体"/>
          <w:sz w:val="22"/>
        </w:rPr>
        <w:t>易损件供应商的名称和地址：</w:t>
      </w:r>
    </w:p>
    <w:p>
      <w:pPr>
        <w:spacing w:line="360" w:lineRule="auto"/>
        <w:ind w:firstLine="720"/>
        <w:rPr>
          <w:rFonts w:ascii="宋体" w:hAnsi="宋体" w:eastAsia="宋体" w:cs="宋体"/>
          <w:sz w:val="22"/>
        </w:rPr>
      </w:pPr>
      <w:r>
        <w:rPr>
          <w:rFonts w:hint="eastAsia" w:ascii="宋体" w:hAnsi="宋体" w:eastAsia="宋体" w:cs="宋体"/>
          <w:sz w:val="22"/>
        </w:rPr>
        <w:t>部件名称                              供应商</w:t>
      </w:r>
    </w:p>
    <w:p>
      <w:pPr>
        <w:spacing w:line="360" w:lineRule="auto"/>
        <w:ind w:firstLine="7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72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21"/>
        </w:numPr>
        <w:adjustRightInd w:val="0"/>
        <w:spacing w:line="360" w:lineRule="auto"/>
        <w:textAlignment w:val="baseline"/>
        <w:rPr>
          <w:rFonts w:ascii="宋体" w:hAnsi="宋体" w:eastAsia="宋体" w:cs="宋体"/>
          <w:sz w:val="22"/>
        </w:rPr>
      </w:pPr>
      <w:r>
        <w:rPr>
          <w:rFonts w:hint="eastAsia" w:ascii="宋体" w:hAnsi="宋体" w:eastAsia="宋体" w:cs="宋体"/>
          <w:sz w:val="22"/>
        </w:rPr>
        <w:t>有关开户银行的名称和地址：</w:t>
      </w:r>
      <w:r>
        <w:rPr>
          <w:rFonts w:hint="eastAsia" w:ascii="宋体" w:hAnsi="宋体" w:eastAsia="宋体" w:cs="宋体"/>
          <w:sz w:val="22"/>
          <w:u w:val="single"/>
        </w:rPr>
        <w:t xml:space="preserve">                                      </w:t>
      </w:r>
    </w:p>
    <w:p>
      <w:pPr>
        <w:numPr>
          <w:ilvl w:val="0"/>
          <w:numId w:val="21"/>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制造商所属的集团公司（如有的话）：</w:t>
      </w:r>
      <w:r>
        <w:rPr>
          <w:rFonts w:hint="eastAsia" w:ascii="宋体" w:hAnsi="宋体" w:eastAsia="宋体" w:cs="宋体"/>
          <w:sz w:val="22"/>
          <w:u w:val="single"/>
        </w:rPr>
        <w:t xml:space="preserve">                                </w:t>
      </w:r>
    </w:p>
    <w:p>
      <w:pPr>
        <w:numPr>
          <w:ilvl w:val="0"/>
          <w:numId w:val="21"/>
        </w:numPr>
        <w:adjustRightInd w:val="0"/>
        <w:spacing w:line="360" w:lineRule="auto"/>
        <w:textAlignment w:val="baseline"/>
        <w:rPr>
          <w:rFonts w:ascii="宋体" w:hAnsi="宋体" w:eastAsia="宋体" w:cs="宋体"/>
          <w:sz w:val="22"/>
        </w:rPr>
      </w:pPr>
      <w:r>
        <w:rPr>
          <w:rFonts w:hint="eastAsia" w:ascii="宋体" w:hAnsi="宋体" w:eastAsia="宋体" w:cs="宋体"/>
          <w:sz w:val="22"/>
        </w:rPr>
        <w:t>其他情况：</w:t>
      </w:r>
      <w:r>
        <w:rPr>
          <w:rFonts w:hint="eastAsia" w:ascii="宋体" w:hAnsi="宋体" w:eastAsia="宋体" w:cs="宋体"/>
          <w:sz w:val="22"/>
          <w:u w:val="single"/>
        </w:rPr>
        <w:t xml:space="preserve">                                                      </w:t>
      </w:r>
    </w:p>
    <w:p>
      <w:pPr>
        <w:spacing w:line="360" w:lineRule="auto"/>
        <w:ind w:left="425"/>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兹证明上述声明是真实、正确的，并提供了全部能提供的资料和数据，我们同意遵照贵方要求出示有关证明文件。</w:t>
      </w:r>
    </w:p>
    <w:p>
      <w:pPr>
        <w:spacing w:line="360" w:lineRule="auto"/>
        <w:rPr>
          <w:rFonts w:ascii="宋体" w:hAnsi="宋体" w:eastAsia="宋体" w:cs="宋体"/>
          <w:sz w:val="22"/>
        </w:rPr>
      </w:pPr>
    </w:p>
    <w:p>
      <w:pPr>
        <w:spacing w:line="360" w:lineRule="auto"/>
        <w:rPr>
          <w:rFonts w:ascii="宋体" w:hAnsi="宋体" w:eastAsia="宋体" w:cs="宋体"/>
          <w:sz w:val="22"/>
        </w:rPr>
      </w:pPr>
    </w:p>
    <w:p>
      <w:pPr>
        <w:spacing w:before="120" w:beforeLines="50" w:line="360" w:lineRule="auto"/>
        <w:rPr>
          <w:rFonts w:ascii="宋体" w:hAnsi="宋体" w:eastAsia="宋体" w:cs="宋体"/>
          <w:sz w:val="22"/>
        </w:rPr>
      </w:pPr>
      <w:r>
        <w:rPr>
          <w:rFonts w:hint="eastAsia" w:ascii="宋体" w:hAnsi="宋体" w:eastAsia="宋体" w:cs="宋体"/>
          <w:sz w:val="22"/>
        </w:rPr>
        <w:t>制造商名称 （公章）</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签字人姓名和职务</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签字人签字</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签字日期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传真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pacing w:before="120" w:beforeLines="50" w:line="360" w:lineRule="auto"/>
        <w:rPr>
          <w:rFonts w:ascii="宋体" w:hAnsi="宋体" w:eastAsia="宋体" w:cs="宋体"/>
          <w:u w:val="single"/>
        </w:rPr>
      </w:pPr>
    </w:p>
    <w:p>
      <w:pPr>
        <w:overflowPunct w:val="0"/>
        <w:autoSpaceDE w:val="0"/>
        <w:autoSpaceDN w:val="0"/>
        <w:spacing w:line="440" w:lineRule="exact"/>
        <w:jc w:val="left"/>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（三）投标产品近三年的销售业绩一览表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line="360" w:lineRule="auto"/>
        <w:jc w:val="left"/>
        <w:rPr>
          <w:rFonts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rPr>
        <w:t>本表只需填写符合“招标公告”资格条件和“评标办法”业绩评审标准的业绩。</w:t>
      </w:r>
      <w:r>
        <w:rPr>
          <w:rFonts w:hint="eastAsia" w:ascii="宋体" w:hAnsi="宋体" w:eastAsia="宋体" w:cs="宋体"/>
          <w:kern w:val="0"/>
          <w:szCs w:val="21"/>
        </w:rPr>
        <w:t>附业绩的销售合同。</w:t>
      </w:r>
    </w:p>
    <w:p>
      <w:pPr>
        <w:spacing w:line="360" w:lineRule="auto"/>
        <w:jc w:val="left"/>
        <w:rPr>
          <w:rFonts w:ascii="宋体" w:hAnsi="宋体" w:eastAsia="宋体" w:cs="宋体"/>
          <w:kern w:val="0"/>
          <w:szCs w:val="21"/>
        </w:rPr>
      </w:pPr>
    </w:p>
    <w:p>
      <w:pPr>
        <w:spacing w:line="360" w:lineRule="auto"/>
        <w:jc w:val="center"/>
        <w:rPr>
          <w:rFonts w:ascii="宋体" w:hAnsi="宋体" w:eastAsia="宋体" w:cs="宋体"/>
          <w:b/>
          <w:sz w:val="32"/>
          <w:szCs w:val="32"/>
        </w:rPr>
      </w:pPr>
    </w:p>
    <w:p>
      <w:pPr>
        <w:pStyle w:val="31"/>
        <w:adjustRightInd w:val="0"/>
        <w:snapToGrid w:val="0"/>
        <w:spacing w:line="560" w:lineRule="exact"/>
        <w:rPr>
          <w:rFonts w:hAnsi="宋体" w:cs="宋体"/>
          <w:b/>
        </w:rPr>
      </w:pPr>
      <w:r>
        <w:rPr>
          <w:rFonts w:hAnsi="宋体" w:cs="宋体"/>
          <w:b/>
          <w:sz w:val="32"/>
          <w:szCs w:val="32"/>
        </w:rPr>
        <w:br w:type="page"/>
      </w: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六、技术规格偏离表</w:t>
      </w:r>
    </w:p>
    <w:p>
      <w:pPr>
        <w:spacing w:line="560" w:lineRule="exact"/>
        <w:rPr>
          <w:rFonts w:ascii="宋体" w:hAnsi="宋体" w:eastAsia="宋体" w:cs="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365" w:type="dxa"/>
            <w:vAlign w:val="center"/>
          </w:tcPr>
          <w:p>
            <w:pPr>
              <w:jc w:val="center"/>
              <w:rPr>
                <w:rFonts w:ascii="宋体" w:hAnsi="宋体" w:eastAsia="宋体" w:cs="宋体"/>
                <w:szCs w:val="21"/>
              </w:rPr>
            </w:pPr>
            <w:r>
              <w:rPr>
                <w:rFonts w:hint="eastAsia" w:ascii="宋体" w:hAnsi="宋体" w:eastAsia="宋体" w:cs="宋体"/>
                <w:szCs w:val="21"/>
              </w:rPr>
              <w:t>货物名称</w:t>
            </w:r>
          </w:p>
        </w:tc>
        <w:tc>
          <w:tcPr>
            <w:tcW w:w="1260" w:type="dxa"/>
            <w:vAlign w:val="center"/>
          </w:tcPr>
          <w:p>
            <w:pPr>
              <w:jc w:val="center"/>
              <w:rPr>
                <w:rFonts w:ascii="宋体" w:hAnsi="宋体" w:eastAsia="宋体" w:cs="宋体"/>
                <w:szCs w:val="21"/>
              </w:rPr>
            </w:pPr>
            <w:r>
              <w:rPr>
                <w:rFonts w:hint="eastAsia" w:ascii="宋体" w:hAnsi="宋体" w:eastAsia="宋体" w:cs="宋体"/>
                <w:szCs w:val="21"/>
              </w:rPr>
              <w:t>招标文件条目号</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招标规格</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投标规格</w:t>
            </w:r>
          </w:p>
        </w:tc>
        <w:tc>
          <w:tcPr>
            <w:tcW w:w="1890" w:type="dxa"/>
            <w:vAlign w:val="center"/>
          </w:tcPr>
          <w:p>
            <w:pPr>
              <w:jc w:val="center"/>
              <w:rPr>
                <w:rFonts w:ascii="宋体" w:hAnsi="宋体" w:eastAsia="宋体" w:cs="宋体"/>
                <w:szCs w:val="21"/>
              </w:rPr>
            </w:pPr>
            <w:r>
              <w:rPr>
                <w:rFonts w:hint="eastAsia" w:ascii="宋体" w:hAnsi="宋体" w:eastAsia="宋体" w:cs="宋体"/>
                <w:szCs w:val="21"/>
              </w:rPr>
              <w:t>偏离</w:t>
            </w:r>
          </w:p>
        </w:tc>
        <w:tc>
          <w:tcPr>
            <w:tcW w:w="1470" w:type="dxa"/>
            <w:vAlign w:val="center"/>
          </w:tcPr>
          <w:p>
            <w:pPr>
              <w:jc w:val="center"/>
              <w:rPr>
                <w:rFonts w:ascii="宋体" w:hAnsi="宋体" w:eastAsia="宋体" w:cs="宋体"/>
                <w:szCs w:val="21"/>
              </w:rPr>
            </w:pPr>
            <w:r>
              <w:rPr>
                <w:rFonts w:hint="eastAsia" w:ascii="宋体" w:hAnsi="宋体" w:eastAsia="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bl>
    <w:p>
      <w:pPr>
        <w:spacing w:line="560" w:lineRule="exact"/>
        <w:rPr>
          <w:rFonts w:ascii="宋体" w:hAnsi="宋体" w:eastAsia="宋体" w:cs="宋体"/>
        </w:rPr>
      </w:pPr>
      <w:r>
        <w:rPr>
          <w:rFonts w:hint="eastAsia" w:ascii="宋体" w:hAnsi="宋体" w:eastAsia="宋体" w:cs="宋体"/>
          <w:bCs/>
        </w:rPr>
        <w:t>注：如不填写，则视为完全响应招标文件的技术要求。</w:t>
      </w:r>
    </w:p>
    <w:p>
      <w:pPr>
        <w:spacing w:line="360" w:lineRule="auto"/>
        <w:jc w:val="center"/>
        <w:rPr>
          <w:rFonts w:ascii="宋体" w:hAnsi="宋体" w:eastAsia="宋体" w:cs="宋体"/>
          <w:b/>
        </w:rPr>
      </w:pPr>
    </w:p>
    <w:p>
      <w:pPr>
        <w:pStyle w:val="31"/>
        <w:adjustRightInd w:val="0"/>
        <w:snapToGrid w:val="0"/>
        <w:spacing w:line="560" w:lineRule="exact"/>
        <w:rPr>
          <w:rFonts w:hAnsi="宋体" w:cs="宋体"/>
          <w:b/>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七、商务条款响应偏离表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r>
              <w:rPr>
                <w:rFonts w:hAnsi="宋体" w:cs="宋体"/>
                <w:kern w:val="2"/>
                <w:sz w:val="21"/>
              </w:rPr>
              <w:t>序号</w:t>
            </w:r>
          </w:p>
        </w:tc>
        <w:tc>
          <w:tcPr>
            <w:tcW w:w="900" w:type="dxa"/>
            <w:vAlign w:val="center"/>
          </w:tcPr>
          <w:p>
            <w:pPr>
              <w:pStyle w:val="31"/>
              <w:adjustRightInd w:val="0"/>
              <w:snapToGrid w:val="0"/>
              <w:jc w:val="center"/>
              <w:rPr>
                <w:rFonts w:hAnsi="宋体" w:cs="宋体"/>
                <w:kern w:val="2"/>
                <w:sz w:val="21"/>
              </w:rPr>
            </w:pPr>
            <w:r>
              <w:rPr>
                <w:rFonts w:hAnsi="宋体" w:cs="宋体"/>
                <w:kern w:val="2"/>
                <w:sz w:val="21"/>
              </w:rPr>
              <w:t>内容</w:t>
            </w:r>
          </w:p>
        </w:tc>
        <w:tc>
          <w:tcPr>
            <w:tcW w:w="3510" w:type="dxa"/>
            <w:vAlign w:val="center"/>
          </w:tcPr>
          <w:p>
            <w:pPr>
              <w:pStyle w:val="31"/>
              <w:adjustRightInd w:val="0"/>
              <w:snapToGrid w:val="0"/>
              <w:jc w:val="center"/>
              <w:rPr>
                <w:rFonts w:hAnsi="宋体" w:cs="宋体"/>
                <w:kern w:val="2"/>
                <w:sz w:val="21"/>
              </w:rPr>
            </w:pPr>
            <w:r>
              <w:rPr>
                <w:rFonts w:hAnsi="宋体" w:cs="宋体"/>
                <w:kern w:val="2"/>
                <w:sz w:val="21"/>
              </w:rPr>
              <w:t>招标文件要求</w:t>
            </w:r>
          </w:p>
        </w:tc>
        <w:tc>
          <w:tcPr>
            <w:tcW w:w="3510" w:type="dxa"/>
            <w:vAlign w:val="center"/>
          </w:tcPr>
          <w:p>
            <w:pPr>
              <w:pStyle w:val="31"/>
              <w:adjustRightInd w:val="0"/>
              <w:snapToGrid w:val="0"/>
              <w:jc w:val="center"/>
              <w:rPr>
                <w:rFonts w:hAnsi="宋体" w:cs="宋体"/>
                <w:kern w:val="2"/>
                <w:sz w:val="21"/>
              </w:rPr>
            </w:pPr>
            <w:r>
              <w:rPr>
                <w:rFonts w:hAnsi="宋体" w:cs="宋体"/>
                <w:kern w:val="2"/>
                <w:sz w:val="21"/>
              </w:rPr>
              <w:t>投标文件对应内容</w:t>
            </w:r>
          </w:p>
        </w:tc>
        <w:tc>
          <w:tcPr>
            <w:tcW w:w="827" w:type="dxa"/>
            <w:vAlign w:val="center"/>
          </w:tcPr>
          <w:p>
            <w:pPr>
              <w:pStyle w:val="31"/>
              <w:adjustRightInd w:val="0"/>
              <w:snapToGrid w:val="0"/>
              <w:jc w:val="center"/>
              <w:rPr>
                <w:rFonts w:hAnsi="宋体" w:cs="宋体"/>
                <w:kern w:val="2"/>
                <w:sz w:val="21"/>
              </w:rPr>
            </w:pPr>
            <w:r>
              <w:rPr>
                <w:rFonts w:hAnsi="宋体" w:cs="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s="宋体"/>
                <w:kern w:val="2"/>
                <w:sz w:val="21"/>
              </w:rPr>
            </w:pPr>
          </w:p>
        </w:tc>
        <w:tc>
          <w:tcPr>
            <w:tcW w:w="90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3510" w:type="dxa"/>
            <w:vAlign w:val="center"/>
          </w:tcPr>
          <w:p>
            <w:pPr>
              <w:pStyle w:val="31"/>
              <w:adjustRightInd w:val="0"/>
              <w:snapToGrid w:val="0"/>
              <w:jc w:val="center"/>
              <w:rPr>
                <w:rFonts w:hAnsi="宋体" w:cs="宋体"/>
                <w:kern w:val="2"/>
                <w:sz w:val="21"/>
              </w:rPr>
            </w:pPr>
          </w:p>
        </w:tc>
        <w:tc>
          <w:tcPr>
            <w:tcW w:w="827" w:type="dxa"/>
            <w:vAlign w:val="center"/>
          </w:tcPr>
          <w:p>
            <w:pPr>
              <w:pStyle w:val="31"/>
              <w:adjustRightInd w:val="0"/>
              <w:snapToGrid w:val="0"/>
              <w:jc w:val="center"/>
              <w:rPr>
                <w:rFonts w:hAnsi="宋体" w:cs="宋体"/>
                <w:kern w:val="2"/>
                <w:sz w:val="21"/>
              </w:rPr>
            </w:pPr>
          </w:p>
        </w:tc>
      </w:tr>
    </w:tbl>
    <w:p>
      <w:pPr>
        <w:pStyle w:val="31"/>
        <w:adjustRightInd w:val="0"/>
        <w:snapToGrid w:val="0"/>
        <w:spacing w:line="560" w:lineRule="exact"/>
        <w:rPr>
          <w:rFonts w:hAnsi="宋体" w:cs="宋体"/>
          <w:bCs/>
          <w:sz w:val="24"/>
          <w:szCs w:val="24"/>
        </w:rPr>
      </w:pPr>
    </w:p>
    <w:p>
      <w:pPr>
        <w:pStyle w:val="31"/>
        <w:adjustRightInd w:val="0"/>
        <w:snapToGrid w:val="0"/>
        <w:spacing w:line="560" w:lineRule="exact"/>
        <w:rPr>
          <w:rFonts w:hAnsi="宋体" w:cs="宋体"/>
          <w:bCs/>
          <w:sz w:val="24"/>
          <w:szCs w:val="24"/>
        </w:rPr>
      </w:pPr>
      <w:r>
        <w:rPr>
          <w:rFonts w:hAnsi="宋体" w:cs="宋体"/>
          <w:bCs/>
          <w:sz w:val="24"/>
          <w:szCs w:val="24"/>
        </w:rPr>
        <w:t>注：如不填写，则视为完全响应招标文件的</w:t>
      </w:r>
      <w:r>
        <w:rPr>
          <w:rFonts w:hint="eastAsia" w:hAnsi="宋体" w:cs="宋体"/>
          <w:bCs/>
          <w:sz w:val="24"/>
          <w:szCs w:val="24"/>
        </w:rPr>
        <w:t>商务</w:t>
      </w:r>
      <w:r>
        <w:rPr>
          <w:rFonts w:hAnsi="宋体" w:cs="宋体"/>
          <w:bCs/>
          <w:sz w:val="24"/>
          <w:szCs w:val="24"/>
        </w:rPr>
        <w:t>要求。</w:t>
      </w:r>
    </w:p>
    <w:p>
      <w:pPr>
        <w:pStyle w:val="31"/>
        <w:adjustRightInd w:val="0"/>
        <w:snapToGrid w:val="0"/>
        <w:spacing w:line="560" w:lineRule="exact"/>
        <w:rPr>
          <w:rFonts w:hAnsi="宋体" w:cs="宋体"/>
          <w:bCs/>
          <w:sz w:val="24"/>
          <w:szCs w:val="24"/>
        </w:rPr>
      </w:pPr>
    </w:p>
    <w:p>
      <w:pPr>
        <w:widowControl/>
        <w:jc w:val="left"/>
        <w:rPr>
          <w:rFonts w:ascii="宋体" w:hAnsi="宋体" w:eastAsia="宋体" w:cs="宋体"/>
          <w:color w:val="000000"/>
          <w:sz w:val="32"/>
          <w:szCs w:val="32"/>
        </w:rPr>
      </w:pPr>
    </w:p>
    <w:p>
      <w:pPr>
        <w:rPr>
          <w:rFonts w:ascii="宋体" w:hAnsi="宋体" w:eastAsia="宋体" w:cs="宋体"/>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1</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杭州萧山国际机场飞行区高杆灯钢缆及电气控制系统、防坠落系统更新维护项目招标文件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592E53D5"/>
    <w:multiLevelType w:val="singleLevel"/>
    <w:tmpl w:val="592E53D5"/>
    <w:lvl w:ilvl="0" w:tentative="0">
      <w:start w:val="1"/>
      <w:numFmt w:val="decimal"/>
      <w:suff w:val="space"/>
      <w:lvlText w:val="%1."/>
      <w:lvlJc w:val="left"/>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C51244"/>
    <w:multiLevelType w:val="singleLevel"/>
    <w:tmpl w:val="5CC51244"/>
    <w:lvl w:ilvl="0" w:tentative="0">
      <w:start w:val="5"/>
      <w:numFmt w:val="decimal"/>
      <w:suff w:val="nothing"/>
      <w:lvlText w:val="（%1）"/>
      <w:lvlJc w:val="left"/>
    </w:lvl>
  </w:abstractNum>
  <w:abstractNum w:abstractNumId="17">
    <w:nsid w:val="5CE4A514"/>
    <w:multiLevelType w:val="singleLevel"/>
    <w:tmpl w:val="5CE4A514"/>
    <w:lvl w:ilvl="0" w:tentative="0">
      <w:start w:val="5"/>
      <w:numFmt w:val="chineseCounting"/>
      <w:suff w:val="nothing"/>
      <w:lvlText w:val="%1、"/>
      <w:lvlJc w:val="left"/>
    </w:lvl>
  </w:abstractNum>
  <w:abstractNum w:abstractNumId="18">
    <w:nsid w:val="5D1F101D"/>
    <w:multiLevelType w:val="singleLevel"/>
    <w:tmpl w:val="5D1F101D"/>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1F103E"/>
    <w:multiLevelType w:val="singleLevel"/>
    <w:tmpl w:val="5D1F103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13"/>
  </w:num>
  <w:num w:numId="2">
    <w:abstractNumId w:val="18"/>
  </w:num>
  <w:num w:numId="3">
    <w:abstractNumId w:val="19"/>
  </w:num>
  <w:num w:numId="4">
    <w:abstractNumId w:val="20"/>
  </w:num>
  <w:num w:numId="5">
    <w:abstractNumId w:val="16"/>
  </w:num>
  <w:num w:numId="6">
    <w:abstractNumId w:val="17"/>
  </w:num>
  <w:num w:numId="7">
    <w:abstractNumId w:val="14"/>
  </w:num>
  <w:num w:numId="8">
    <w:abstractNumId w:val="15"/>
  </w:num>
  <w:num w:numId="9">
    <w:abstractNumId w:val="12"/>
  </w:num>
  <w:num w:numId="10">
    <w:abstractNumId w:val="10"/>
  </w:num>
  <w:num w:numId="11">
    <w:abstractNumId w:val="4"/>
  </w:num>
  <w:num w:numId="12">
    <w:abstractNumId w:val="11"/>
  </w:num>
  <w:num w:numId="13">
    <w:abstractNumId w:val="1"/>
  </w:num>
  <w:num w:numId="14">
    <w:abstractNumId w:val="5"/>
  </w:num>
  <w:num w:numId="15">
    <w:abstractNumId w:val="7"/>
  </w:num>
  <w:num w:numId="16">
    <w:abstractNumId w:val="3"/>
  </w:num>
  <w:num w:numId="17">
    <w:abstractNumId w:val="0"/>
  </w:num>
  <w:num w:numId="18">
    <w:abstractNumId w:val="2"/>
  </w:num>
  <w:num w:numId="19">
    <w:abstractNumId w:val="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31EB7"/>
    <w:rsid w:val="3C877B41"/>
    <w:rsid w:val="3D834FE7"/>
    <w:rsid w:val="7AEC22F8"/>
    <w:rsid w:val="7DCC28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szCs w:val="22"/>
    </w:rPr>
  </w:style>
  <w:style w:type="paragraph" w:styleId="13">
    <w:name w:val="annotation text"/>
    <w:basedOn w:val="1"/>
    <w:link w:val="106"/>
    <w:unhideWhenUsed/>
    <w:qFormat/>
    <w:uiPriority w:val="0"/>
    <w:pPr>
      <w:jc w:val="left"/>
    </w:pPr>
    <w:rPr>
      <w:sz w:val="24"/>
      <w:szCs w:val="24"/>
    </w:r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10"/>
    <w:unhideWhenUsed/>
    <w:qFormat/>
    <w:uiPriority w:val="0"/>
    <w:pPr>
      <w:spacing w:after="120"/>
    </w:pPr>
    <w:rPr>
      <w:sz w:val="24"/>
      <w:szCs w:val="24"/>
    </w:r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2"/>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7">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文本首行缩进 2 字符"/>
    <w:link w:val="37"/>
    <w:qFormat/>
    <w:uiPriority w:val="0"/>
    <w:rPr>
      <w:rFonts w:asciiTheme="minorHAnsi" w:hAnsiTheme="minorHAnsi" w:eastAsiaTheme="minorEastAsia" w:cstheme="minorBidi"/>
      <w:szCs w:val="22"/>
      <w:lang w:val="en-US" w:eastAsia="zh-CN" w:bidi="ar-SA"/>
    </w:rPr>
  </w:style>
  <w:style w:type="character" w:customStyle="1" w:styleId="79">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文本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szCs w:val="22"/>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Cs w:val="24"/>
    </w:rPr>
  </w:style>
  <w:style w:type="paragraph" w:customStyle="1" w:styleId="99">
    <w:name w:val="Char Char Char Char Char Char"/>
    <w:basedOn w:val="1"/>
    <w:qFormat/>
    <w:uiPriority w:val="0"/>
    <w:rPr>
      <w:rFonts w:ascii="Times New Roman" w:hAnsi="Times New Roman" w:eastAsia="宋体" w:cs="Times New Roman"/>
      <w:szCs w:val="24"/>
    </w:rPr>
  </w:style>
  <w:style w:type="character" w:customStyle="1" w:styleId="100">
    <w:name w:val="批注框文本 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 字符1"/>
    <w:basedOn w:val="52"/>
    <w:semiHidden/>
    <w:qFormat/>
    <w:uiPriority w:val="99"/>
    <w:rPr>
      <w:rFonts w:asciiTheme="minorHAnsi" w:hAnsiTheme="minorHAnsi" w:eastAsiaTheme="minorEastAsia" w:cstheme="minorBidi"/>
      <w:lang w:val="en-US" w:eastAsia="zh-CN" w:bidi="ar-SA"/>
    </w:rPr>
  </w:style>
  <w:style w:type="character" w:customStyle="1" w:styleId="103">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4">
    <w:name w:val="纯文本 字符1"/>
    <w:basedOn w:val="52"/>
    <w:semiHidden/>
    <w:qFormat/>
    <w:uiPriority w:val="99"/>
    <w:rPr>
      <w:rFonts w:hAnsi="Courier New" w:cs="Courier New" w:asciiTheme="minorEastAsia" w:eastAsiaTheme="minorEastAsia"/>
      <w:lang w:val="en-US" w:eastAsia="zh-CN" w:bidi="ar-SA"/>
    </w:rPr>
  </w:style>
  <w:style w:type="character" w:customStyle="1" w:styleId="105">
    <w:name w:val="纯文本字符1"/>
    <w:basedOn w:val="52"/>
    <w:semiHidden/>
    <w:qFormat/>
    <w:uiPriority w:val="99"/>
    <w:rPr>
      <w:rFonts w:ascii="宋体" w:hAnsi="Courier" w:eastAsia="宋体" w:cstheme="minorBidi"/>
      <w:lang w:val="en-US" w:eastAsia="zh-CN" w:bidi="ar-SA"/>
    </w:rPr>
  </w:style>
  <w:style w:type="character" w:customStyle="1" w:styleId="106">
    <w:name w:val="批注文字 字符"/>
    <w:basedOn w:val="52"/>
    <w:link w:val="13"/>
    <w:qFormat/>
    <w:uiPriority w:val="0"/>
    <w:rPr>
      <w:rFonts w:asciiTheme="minorHAnsi" w:hAnsiTheme="minorHAnsi" w:eastAsiaTheme="minorEastAsia" w:cstheme="minorBidi"/>
      <w:sz w:val="24"/>
      <w:szCs w:val="24"/>
      <w:lang w:val="en-US" w:eastAsia="zh-CN" w:bidi="ar-SA"/>
    </w:rPr>
  </w:style>
  <w:style w:type="character" w:customStyle="1" w:styleId="107">
    <w:name w:val="批注主题 字符1"/>
    <w:basedOn w:val="106"/>
    <w:semiHidden/>
    <w:qFormat/>
    <w:uiPriority w:val="99"/>
    <w:rPr>
      <w:b/>
      <w:bCs/>
      <w:sz w:val="24"/>
      <w:szCs w:val="24"/>
    </w:rPr>
  </w:style>
  <w:style w:type="character" w:customStyle="1" w:styleId="108">
    <w:name w:val="批注主题字符1"/>
    <w:basedOn w:val="106"/>
    <w:semiHidden/>
    <w:qFormat/>
    <w:uiPriority w:val="99"/>
    <w:rPr>
      <w:b/>
      <w:bCs/>
      <w:sz w:val="24"/>
      <w:szCs w:val="24"/>
    </w:rPr>
  </w:style>
  <w:style w:type="paragraph" w:customStyle="1" w:styleId="109">
    <w:name w:val="Char Char Char Char"/>
    <w:basedOn w:val="1"/>
    <w:qFormat/>
    <w:uiPriority w:val="0"/>
    <w:rPr>
      <w:rFonts w:ascii="Times New Roman" w:hAnsi="Times New Roman" w:eastAsia="宋体" w:cs="Times New Roman"/>
      <w:szCs w:val="24"/>
    </w:rPr>
  </w:style>
  <w:style w:type="character" w:customStyle="1" w:styleId="110">
    <w:name w:val="正文文本 字符"/>
    <w:basedOn w:val="52"/>
    <w:link w:val="16"/>
    <w:qFormat/>
    <w:uiPriority w:val="0"/>
    <w:rPr>
      <w:rFonts w:asciiTheme="minorHAnsi" w:hAnsiTheme="minorHAnsi" w:eastAsiaTheme="minorEastAsia" w:cstheme="minorBidi"/>
      <w:sz w:val="24"/>
      <w:szCs w:val="24"/>
      <w:lang w:val="en-US" w:eastAsia="zh-CN" w:bidi="ar-SA"/>
    </w:rPr>
  </w:style>
  <w:style w:type="character" w:customStyle="1" w:styleId="111">
    <w:name w:val="正文文本首行缩进 字符1"/>
    <w:basedOn w:val="110"/>
    <w:semiHidden/>
    <w:qFormat/>
    <w:uiPriority w:val="99"/>
    <w:rPr>
      <w:sz w:val="24"/>
      <w:szCs w:val="24"/>
    </w:rPr>
  </w:style>
  <w:style w:type="character" w:customStyle="1" w:styleId="112">
    <w:name w:val="正文首行缩进字符1"/>
    <w:basedOn w:val="110"/>
    <w:semiHidden/>
    <w:qFormat/>
    <w:uiPriority w:val="99"/>
    <w:rPr>
      <w:sz w:val="24"/>
      <w:szCs w:val="24"/>
    </w:rPr>
  </w:style>
  <w:style w:type="character" w:customStyle="1" w:styleId="113">
    <w:name w:val="正文文本缩进 3 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4">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5">
    <w:name w:val="p0"/>
    <w:basedOn w:val="1"/>
    <w:qFormat/>
    <w:uiPriority w:val="0"/>
    <w:pPr>
      <w:widowControl/>
    </w:pPr>
    <w:rPr>
      <w:rFonts w:ascii="Times New Roman" w:hAnsi="Times New Roman" w:eastAsia="宋体" w:cs="Times New Roman"/>
      <w:kern w:val="0"/>
      <w:szCs w:val="21"/>
    </w:rPr>
  </w:style>
  <w:style w:type="character" w:customStyle="1" w:styleId="116">
    <w:name w:val="文档结构图 字符1"/>
    <w:basedOn w:val="52"/>
    <w:semiHidden/>
    <w:qFormat/>
    <w:uiPriority w:val="99"/>
    <w:rPr>
      <w:rFonts w:ascii="Microsoft YaHei UI" w:eastAsia="Microsoft YaHei UI" w:hAnsiTheme="minorHAnsi" w:cstheme="minorBidi"/>
      <w:sz w:val="18"/>
      <w:szCs w:val="18"/>
      <w:lang w:val="en-US" w:eastAsia="zh-CN" w:bidi="ar-SA"/>
    </w:rPr>
  </w:style>
  <w:style w:type="character" w:customStyle="1" w:styleId="117">
    <w:name w:val="正文文本 3 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8">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9">
    <w:name w:val="正文文本缩进 字符1"/>
    <w:basedOn w:val="52"/>
    <w:semiHidden/>
    <w:qFormat/>
    <w:uiPriority w:val="99"/>
    <w:rPr>
      <w:rFonts w:asciiTheme="minorHAnsi" w:hAnsiTheme="minorHAnsi" w:eastAsiaTheme="minorEastAsia" w:cstheme="minorBidi"/>
      <w:lang w:val="en-US" w:eastAsia="zh-CN" w:bidi="ar-SA"/>
    </w:rPr>
  </w:style>
  <w:style w:type="character" w:customStyle="1" w:styleId="120">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21">
    <w:name w:val="正文文本缩进 2 字符1"/>
    <w:basedOn w:val="52"/>
    <w:semiHidden/>
    <w:qFormat/>
    <w:uiPriority w:val="99"/>
    <w:rPr>
      <w:rFonts w:asciiTheme="minorHAnsi" w:hAnsiTheme="minorHAnsi" w:eastAsiaTheme="minorEastAsia" w:cstheme="minorBidi"/>
      <w:lang w:val="en-US" w:eastAsia="zh-CN" w:bidi="ar-SA"/>
    </w:rPr>
  </w:style>
  <w:style w:type="character" w:customStyle="1" w:styleId="122">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23">
    <w:name w:val="Legal 3"/>
    <w:basedOn w:val="124"/>
    <w:next w:val="124"/>
    <w:qFormat/>
    <w:uiPriority w:val="0"/>
    <w:pPr>
      <w:spacing w:after="120"/>
    </w:pPr>
    <w:rPr>
      <w:rFonts w:cs="Times New Roman"/>
      <w:color w:val="auto"/>
    </w:rPr>
  </w:style>
  <w:style w:type="paragraph" w:customStyle="1" w:styleId="1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5">
    <w:name w:val="页脚 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7">
    <w:name w:val="正文文本首行缩进 2 字符1"/>
    <w:basedOn w:val="119"/>
    <w:semiHidden/>
    <w:qFormat/>
    <w:uiPriority w:val="99"/>
  </w:style>
  <w:style w:type="character" w:customStyle="1" w:styleId="128">
    <w:name w:val="正文首行缩进 2字符1"/>
    <w:basedOn w:val="120"/>
    <w:semiHidden/>
    <w:qFormat/>
    <w:uiPriority w:val="99"/>
  </w:style>
  <w:style w:type="character" w:customStyle="1" w:styleId="129">
    <w:name w:val="页眉 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30">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31">
    <w:name w:val="正文文本 2 字符1"/>
    <w:basedOn w:val="52"/>
    <w:semiHidden/>
    <w:qFormat/>
    <w:uiPriority w:val="99"/>
    <w:rPr>
      <w:rFonts w:asciiTheme="minorHAnsi" w:hAnsiTheme="minorHAnsi" w:eastAsiaTheme="minorEastAsia" w:cstheme="minorBidi"/>
      <w:lang w:val="en-US" w:eastAsia="zh-CN" w:bidi="ar-SA"/>
    </w:rPr>
  </w:style>
  <w:style w:type="character" w:customStyle="1" w:styleId="132">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33">
    <w:name w:val="标题 字符1"/>
    <w:basedOn w:val="52"/>
    <w:qFormat/>
    <w:uiPriority w:val="10"/>
    <w:rPr>
      <w:rFonts w:asciiTheme="majorHAnsi" w:hAnsiTheme="majorHAnsi" w:eastAsiaTheme="majorEastAsia" w:cstheme="majorBidi"/>
      <w:b/>
      <w:bCs/>
      <w:sz w:val="32"/>
      <w:szCs w:val="32"/>
      <w:lang w:val="en-US" w:eastAsia="zh-CN" w:bidi="ar-SA"/>
    </w:rPr>
  </w:style>
  <w:style w:type="character" w:customStyle="1" w:styleId="134">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35">
    <w:name w:val="列出段落1"/>
    <w:basedOn w:val="1"/>
    <w:unhideWhenUsed/>
    <w:qFormat/>
    <w:uiPriority w:val="99"/>
    <w:pPr>
      <w:ind w:firstLine="420" w:firstLineChars="200"/>
    </w:pPr>
    <w:rPr>
      <w:rFonts w:ascii="Calibri" w:hAnsi="Calibri" w:eastAsia="宋体" w:cs="Times New Roman"/>
    </w:rPr>
  </w:style>
  <w:style w:type="paragraph" w:customStyle="1" w:styleId="136">
    <w:name w:val="图表标题"/>
    <w:basedOn w:val="1"/>
    <w:next w:val="16"/>
    <w:qFormat/>
    <w:uiPriority w:val="0"/>
    <w:rPr>
      <w:rFonts w:ascii="Times New Roman" w:hAnsi="Times New Roman" w:eastAsia="宋体" w:cs="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8">
    <w:name w:val="Char"/>
    <w:basedOn w:val="1"/>
    <w:qFormat/>
    <w:uiPriority w:val="0"/>
    <w:rPr>
      <w:rFonts w:ascii="仿宋_GB2312" w:hAnsi="Times New Roman" w:eastAsia="仿宋_GB2312" w:cs="Times New Roman"/>
      <w:b/>
      <w:sz w:val="32"/>
      <w:szCs w:val="32"/>
    </w:rPr>
  </w:style>
  <w:style w:type="paragraph" w:customStyle="1" w:styleId="139">
    <w:name w:val="Char4 Char Char Char"/>
    <w:basedOn w:val="22"/>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1">
    <w:name w:val="Char Char Char"/>
    <w:basedOn w:val="1"/>
    <w:qFormat/>
    <w:uiPriority w:val="0"/>
    <w:pPr>
      <w:ind w:firstLine="360" w:firstLineChars="150"/>
    </w:pPr>
    <w:rPr>
      <w:rFonts w:ascii="Tahoma" w:hAnsi="Tahoma" w:eastAsia="宋体" w:cs="Times New Roman"/>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3">
    <w:name w:val="legal 2"/>
    <w:basedOn w:val="124"/>
    <w:next w:val="124"/>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5">
    <w:name w:val="Legal 5"/>
    <w:basedOn w:val="124"/>
    <w:next w:val="124"/>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4"/>
    <w:next w:val="124"/>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0">
    <w:name w:val="1"/>
    <w:basedOn w:val="1"/>
    <w:qFormat/>
    <w:uiPriority w:val="0"/>
    <w:rPr>
      <w:rFonts w:ascii="仿宋_GB2312" w:hAnsi="Times New Roman" w:eastAsia="仿宋_GB2312" w:cs="Times New Roman"/>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3">
    <w:name w:val="Char1"/>
    <w:basedOn w:val="1"/>
    <w:qFormat/>
    <w:uiPriority w:val="0"/>
    <w:pPr>
      <w:spacing w:line="360" w:lineRule="auto"/>
      <w:ind w:left="-2" w:leftChars="-1" w:firstLine="2"/>
    </w:pPr>
    <w:rPr>
      <w:rFonts w:ascii="仿宋_GB2312" w:hAnsi="宋体"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4315</Words>
  <Characters>24601</Characters>
  <Lines>205</Lines>
  <Paragraphs>57</Paragraphs>
  <TotalTime>0</TotalTime>
  <ScaleCrop>false</ScaleCrop>
  <LinksUpToDate>false</LinksUpToDate>
  <CharactersWithSpaces>28859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2018-06-06T08:17:00Z</dcterms:created>
  <dc:creator>张治</dc:creator>
  <cp:lastModifiedBy>贾思勰</cp:lastModifiedBy>
  <dcterms:modified xsi:type="dcterms:W3CDTF">2019-07-05T09:04:50Z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