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航站楼行李转盘视频监控及显示屏安装</w:t>
      </w:r>
      <w:r>
        <w:rPr>
          <w:rFonts w:hint="eastAsia" w:eastAsia="黑体" w:cs="Calibri"/>
          <w:b/>
          <w:sz w:val="44"/>
          <w:szCs w:val="44"/>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32"/>
          <w:szCs w:val="32"/>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一九年七月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360" w:lineRule="auto"/>
        <w:rPr>
          <w:rFonts w:asciiTheme="minorEastAsia" w:hAnsiTheme="minorEastAsia" w:eastAsiaTheme="minorEastAsia" w:cstheme="minorBidi"/>
          <w:szCs w:val="22"/>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"_Toc450630556" </w:instrText>
      </w:r>
      <w:r>
        <w:fldChar w:fldCharType="separate"/>
      </w:r>
      <w:r>
        <w:rPr>
          <w:rStyle w:val="56"/>
          <w:rFonts w:hint="eastAsia" w:asciiTheme="minorEastAsia" w:hAnsiTheme="minorEastAsia" w:eastAsiaTheme="minorEastAsia"/>
        </w:rPr>
        <w:t>第一章</w:t>
      </w:r>
      <w:r>
        <w:rPr>
          <w:rStyle w:val="56"/>
          <w:rFonts w:asciiTheme="minorEastAsia" w:hAnsiTheme="minorEastAsia" w:eastAsiaTheme="minorEastAsia"/>
        </w:rPr>
        <w:t xml:space="preserve"> </w:t>
      </w:r>
      <w:r>
        <w:rPr>
          <w:rStyle w:val="56"/>
          <w:rFonts w:hint="eastAsia" w:asciiTheme="minorEastAsia" w:hAnsiTheme="minorEastAsia" w:eastAsiaTheme="minorEastAsia"/>
        </w:rPr>
        <w:t xml:space="preserve">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_Toc450630556 \h </w:instrText>
      </w:r>
      <w:r>
        <w:rPr>
          <w:rFonts w:asciiTheme="minorEastAsia" w:hAnsiTheme="minorEastAsia" w:eastAsiaTheme="minorEastAsia"/>
        </w:rPr>
        <w:fldChar w:fldCharType="separate"/>
      </w:r>
      <w:r>
        <w:rPr>
          <w:rFonts w:asciiTheme="minorEastAsia" w:hAnsiTheme="minorEastAsia" w:eastAsiaTheme="minorEastAsia"/>
        </w:rPr>
        <w:t>- 2 -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"_Toc450630558" </w:instrText>
      </w:r>
      <w:r>
        <w:fldChar w:fldCharType="separate"/>
      </w:r>
      <w:r>
        <w:rPr>
          <w:rStyle w:val="56"/>
          <w:rFonts w:hint="eastAsia" w:asciiTheme="minorEastAsia" w:hAnsiTheme="minorEastAsia" w:eastAsiaTheme="minorEastAsia"/>
        </w:rPr>
        <w:t>第二章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_Toc450630558 \h </w:instrText>
      </w:r>
      <w:r>
        <w:rPr>
          <w:rFonts w:asciiTheme="minorEastAsia" w:hAnsiTheme="minorEastAsia" w:eastAsiaTheme="minorEastAsia"/>
        </w:rPr>
        <w:fldChar w:fldCharType="separate"/>
      </w:r>
      <w:r>
        <w:rPr>
          <w:rFonts w:asciiTheme="minorEastAsia" w:hAnsiTheme="minorEastAsia" w:eastAsiaTheme="minorEastAsia"/>
        </w:rPr>
        <w:t>- 4 -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"_Toc450630559" </w:instrText>
      </w:r>
      <w:r>
        <w:fldChar w:fldCharType="separate"/>
      </w:r>
      <w:r>
        <w:rPr>
          <w:rStyle w:val="56"/>
          <w:rFonts w:hint="eastAsia" w:asciiTheme="minorEastAsia" w:hAnsiTheme="minorEastAsia" w:eastAsiaTheme="minorEastAsia"/>
        </w:rPr>
        <w:t>第三章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合同条款及格式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_Toc450630559 \h </w:instrText>
      </w:r>
      <w:r>
        <w:rPr>
          <w:rFonts w:asciiTheme="minorEastAsia" w:hAnsiTheme="minorEastAsia" w:eastAsiaTheme="minorEastAsia"/>
        </w:rPr>
        <w:fldChar w:fldCharType="separate"/>
      </w:r>
      <w:r>
        <w:rPr>
          <w:rFonts w:asciiTheme="minorEastAsia" w:hAnsiTheme="minorEastAsia" w:eastAsiaTheme="minorEastAsia"/>
        </w:rPr>
        <w:t>- 12 -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"_Toc450630562" </w:instrText>
      </w:r>
      <w:r>
        <w:fldChar w:fldCharType="separate"/>
      </w:r>
      <w:r>
        <w:rPr>
          <w:rStyle w:val="56"/>
          <w:rFonts w:hint="eastAsia" w:asciiTheme="minorEastAsia" w:hAnsiTheme="minorEastAsia" w:eastAsiaTheme="minorEastAsia"/>
        </w:rPr>
        <w:t>第四章</w:t>
      </w:r>
      <w:r>
        <w:rPr>
          <w:rStyle w:val="56"/>
          <w:rFonts w:asciiTheme="minorEastAsia" w:hAnsiTheme="minorEastAsia" w:eastAsiaTheme="minorEastAsia"/>
        </w:rPr>
        <w:t xml:space="preserve">  </w:t>
      </w:r>
      <w:r>
        <w:rPr>
          <w:rStyle w:val="56"/>
          <w:rFonts w:hint="eastAsia" w:asciiTheme="minorEastAsia" w:hAnsiTheme="minorEastAsia" w:eastAsiaTheme="minorEastAsia"/>
        </w:rPr>
        <w:t>参考工程量清单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_Toc450630562 \h </w:instrText>
      </w:r>
      <w:r>
        <w:rPr>
          <w:rFonts w:asciiTheme="minorEastAsia" w:hAnsiTheme="minorEastAsia" w:eastAsiaTheme="minorEastAsia"/>
        </w:rPr>
        <w:fldChar w:fldCharType="separate"/>
      </w:r>
      <w:r>
        <w:rPr>
          <w:rFonts w:asciiTheme="minorEastAsia" w:hAnsiTheme="minorEastAsia" w:eastAsiaTheme="minorEastAsia"/>
        </w:rPr>
        <w:t>- 42 -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"_Toc450630563" </w:instrText>
      </w:r>
      <w:r>
        <w:fldChar w:fldCharType="separate"/>
      </w:r>
      <w:r>
        <w:rPr>
          <w:rStyle w:val="56"/>
          <w:rFonts w:hint="eastAsia" w:asciiTheme="minorEastAsia" w:hAnsiTheme="minorEastAsia" w:eastAsiaTheme="minorEastAsia"/>
        </w:rPr>
        <w:t>第五章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技术标准及要求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_Toc450630563 \h </w:instrText>
      </w:r>
      <w:r>
        <w:rPr>
          <w:rFonts w:asciiTheme="minorEastAsia" w:hAnsiTheme="minorEastAsia" w:eastAsiaTheme="minorEastAsia"/>
        </w:rPr>
        <w:fldChar w:fldCharType="separate"/>
      </w:r>
      <w:r>
        <w:rPr>
          <w:rFonts w:asciiTheme="minorEastAsia" w:hAnsiTheme="minorEastAsia" w:eastAsiaTheme="minorEastAsia"/>
        </w:rPr>
        <w:t>- 43 -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"_Toc450630564" </w:instrText>
      </w:r>
      <w:r>
        <w:fldChar w:fldCharType="separate"/>
      </w:r>
      <w:r>
        <w:rPr>
          <w:rStyle w:val="56"/>
          <w:rFonts w:hint="eastAsia" w:asciiTheme="minorEastAsia" w:hAnsiTheme="minorEastAsia" w:eastAsiaTheme="minorEastAsia"/>
        </w:rPr>
        <w:t>第六章</w:t>
      </w:r>
      <w:r>
        <w:rPr>
          <w:rStyle w:val="56"/>
          <w:rFonts w:asciiTheme="minorEastAsia" w:hAnsiTheme="minorEastAsia" w:eastAsiaTheme="minorEastAsia"/>
        </w:rPr>
        <w:t xml:space="preserve">  </w:t>
      </w:r>
      <w:r>
        <w:rPr>
          <w:rStyle w:val="56"/>
          <w:rFonts w:hint="eastAsia" w:asciiTheme="minorEastAsia" w:hAnsiTheme="minorEastAsia" w:eastAsiaTheme="minorEastAsia"/>
        </w:rPr>
        <w:t>评标办法及标准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_Toc450630564 \h </w:instrText>
      </w:r>
      <w:r>
        <w:rPr>
          <w:rFonts w:asciiTheme="minorEastAsia" w:hAnsiTheme="minorEastAsia" w:eastAsiaTheme="minorEastAsia"/>
        </w:rPr>
        <w:fldChar w:fldCharType="separate"/>
      </w:r>
      <w:r>
        <w:rPr>
          <w:rFonts w:asciiTheme="minorEastAsia" w:hAnsiTheme="minorEastAsia" w:eastAsiaTheme="minorEastAsia"/>
        </w:rPr>
        <w:t>- 55 -</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39"/>
        <w:tabs>
          <w:tab w:val="right" w:leader="dot" w:pos="8290"/>
        </w:tabs>
        <w:spacing w:line="360" w:lineRule="auto"/>
        <w:rPr>
          <w:rFonts w:asciiTheme="minorEastAsia" w:hAnsiTheme="minorEastAsia" w:eastAsiaTheme="minorEastAsia" w:cstheme="minorBidi"/>
          <w:szCs w:val="22"/>
        </w:rPr>
      </w:pPr>
      <w:r>
        <w:fldChar w:fldCharType="begin"/>
      </w:r>
      <w:r>
        <w:instrText xml:space="preserve"> HYPERLINK \l "_Toc450630565" </w:instrText>
      </w:r>
      <w:r>
        <w:fldChar w:fldCharType="separate"/>
      </w:r>
      <w:r>
        <w:rPr>
          <w:rStyle w:val="56"/>
          <w:rFonts w:hint="eastAsia" w:asciiTheme="minorEastAsia" w:hAnsiTheme="minorEastAsia" w:eastAsiaTheme="minorEastAsia"/>
        </w:rPr>
        <w:t>第七章</w:t>
      </w:r>
      <w:r>
        <w:rPr>
          <w:rStyle w:val="56"/>
          <w:rFonts w:asciiTheme="minorEastAsia" w:hAnsiTheme="minorEastAsia" w:eastAsiaTheme="minorEastAsia"/>
        </w:rPr>
        <w:t xml:space="preserve">  </w:t>
      </w:r>
      <w:r>
        <w:rPr>
          <w:rStyle w:val="56"/>
          <w:rFonts w:hint="eastAsia" w:asciiTheme="minorEastAsia" w:hAnsiTheme="minorEastAsia" w:eastAsiaTheme="minorEastAsia"/>
        </w:rPr>
        <w:t>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_Toc450630565 \h </w:instrText>
      </w:r>
      <w:r>
        <w:rPr>
          <w:rFonts w:asciiTheme="minorEastAsia" w:hAnsiTheme="minorEastAsia" w:eastAsiaTheme="minorEastAsia"/>
        </w:rPr>
        <w:fldChar w:fldCharType="separate"/>
      </w:r>
      <w:r>
        <w:rPr>
          <w:rFonts w:asciiTheme="minorEastAsia" w:hAnsiTheme="minorEastAsia" w:eastAsiaTheme="minorEastAsia"/>
        </w:rPr>
        <w:t>- 58 -</w:t>
      </w:r>
      <w:r>
        <w:rPr>
          <w:rFonts w:asciiTheme="minorEastAsia" w:hAnsiTheme="minorEastAsia" w:eastAsiaTheme="minorEastAsia"/>
        </w:rPr>
        <w:fldChar w:fldCharType="end"/>
      </w:r>
      <w:r>
        <w:rPr>
          <w:rFonts w:asciiTheme="minorEastAsia" w:hAnsiTheme="minorEastAsia" w:eastAsiaTheme="minorEastAsia"/>
        </w:rPr>
        <w:fldChar w:fldCharType="end"/>
      </w:r>
    </w:p>
    <w:p>
      <w:pPr>
        <w:tabs>
          <w:tab w:val="right" w:leader="dot" w:pos="8364"/>
        </w:tabs>
        <w:spacing w:line="360" w:lineRule="auto"/>
        <w:rPr>
          <w:b/>
        </w:rPr>
      </w:pPr>
      <w:r>
        <w:rPr>
          <w:rFonts w:hint="eastAsia" w:asciiTheme="minorEastAsia" w:hAnsiTheme="minorEastAsia"/>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450630556"/>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pStyle w:val="139"/>
        <w:widowControl/>
        <w:numPr>
          <w:numId w:val="0"/>
        </w:numPr>
        <w:snapToGrid w:val="0"/>
        <w:spacing w:line="360" w:lineRule="exact"/>
        <w:ind w:leftChars="0"/>
        <w:jc w:val="left"/>
        <w:rPr>
          <w:rFonts w:cs="Arial" w:asciiTheme="minorEastAsia" w:hAnsiTheme="minorEastAsia"/>
          <w:b/>
          <w:bCs/>
          <w:kern w:val="0"/>
          <w:sz w:val="22"/>
          <w:szCs w:val="22"/>
        </w:rPr>
      </w:pPr>
      <w:bookmarkStart w:id="353" w:name="_GoBack"/>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adjustRightInd w:val="0"/>
        <w:snapToGrid w:val="0"/>
        <w:spacing w:line="340" w:lineRule="exact"/>
        <w:ind w:firstLine="656" w:firstLineChars="298"/>
        <w:rPr>
          <w:rFonts w:hint="eastAsia" w:ascii="宋体" w:hAnsi="宋体" w:cs="Arial"/>
          <w:color w:val="000000"/>
          <w:kern w:val="0"/>
          <w:sz w:val="22"/>
        </w:rPr>
      </w:pPr>
      <w:r>
        <w:rPr>
          <w:rFonts w:hint="eastAsia" w:ascii="宋体" w:hAnsi="宋体" w:cs="Arial"/>
          <w:color w:val="000000"/>
          <w:kern w:val="0"/>
          <w:sz w:val="22"/>
          <w:lang w:val="en-US" w:eastAsia="zh-CN"/>
        </w:rPr>
        <w:t>1、</w:t>
      </w:r>
      <w:r>
        <w:rPr>
          <w:rFonts w:hint="eastAsia" w:ascii="宋体" w:hAnsi="宋体" w:cs="Arial"/>
          <w:color w:val="000000"/>
          <w:kern w:val="0"/>
          <w:sz w:val="22"/>
        </w:rPr>
        <w:t>项目概况：在航站楼13个行李转盘区域合计安装13个视频监控摄像机及13个监控显示屏，用于监控并显示行李装卸情况。</w:t>
      </w:r>
    </w:p>
    <w:p>
      <w:pPr>
        <w:adjustRightInd w:val="0"/>
        <w:snapToGrid w:val="0"/>
        <w:spacing w:line="340" w:lineRule="exact"/>
        <w:ind w:firstLine="656" w:firstLineChars="298"/>
        <w:rPr>
          <w:rFonts w:hint="eastAsia" w:ascii="宋体" w:hAnsi="宋体" w:cs="Arial"/>
          <w:color w:val="000000"/>
          <w:kern w:val="0"/>
          <w:sz w:val="22"/>
        </w:rPr>
      </w:pPr>
      <w:r>
        <w:rPr>
          <w:rFonts w:hint="eastAsia" w:ascii="宋体" w:hAnsi="宋体" w:cs="Arial"/>
          <w:color w:val="000000"/>
          <w:kern w:val="0"/>
          <w:sz w:val="22"/>
          <w:lang w:val="en-US" w:eastAsia="zh-CN"/>
        </w:rPr>
        <w:t>2、</w:t>
      </w:r>
      <w:r>
        <w:rPr>
          <w:rFonts w:hint="eastAsia" w:ascii="宋体" w:hAnsi="宋体" w:cs="Arial"/>
          <w:color w:val="000000"/>
          <w:kern w:val="0"/>
          <w:sz w:val="22"/>
        </w:rPr>
        <w:t>招标内容：</w:t>
      </w:r>
    </w:p>
    <w:p>
      <w:pPr>
        <w:adjustRightInd w:val="0"/>
        <w:snapToGrid w:val="0"/>
        <w:spacing w:line="340" w:lineRule="exact"/>
        <w:ind w:firstLine="656" w:firstLineChars="298"/>
        <w:rPr>
          <w:rFonts w:ascii="宋体" w:hAnsi="宋体" w:cs="Arial"/>
          <w:color w:val="000000"/>
          <w:kern w:val="0"/>
          <w:sz w:val="22"/>
        </w:rPr>
      </w:pPr>
      <w:r>
        <w:rPr>
          <w:rFonts w:hint="eastAsia" w:ascii="宋体" w:hAnsi="宋体" w:cs="Arial"/>
          <w:color w:val="000000"/>
          <w:kern w:val="0"/>
          <w:sz w:val="22"/>
        </w:rPr>
        <w:t>a、监控摄像机安装：</w:t>
      </w:r>
    </w:p>
    <w:p>
      <w:pPr>
        <w:adjustRightInd w:val="0"/>
        <w:snapToGrid w:val="0"/>
        <w:spacing w:line="340" w:lineRule="exact"/>
        <w:ind w:left="657" w:leftChars="273" w:hanging="2" w:hangingChars="1"/>
        <w:rPr>
          <w:rFonts w:ascii="宋体" w:hAnsi="宋体" w:cs="Arial"/>
          <w:color w:val="000000"/>
          <w:kern w:val="0"/>
          <w:sz w:val="22"/>
        </w:rPr>
      </w:pPr>
      <w:r>
        <w:rPr>
          <w:rFonts w:hint="eastAsia" w:ascii="宋体" w:hAnsi="宋体" w:cs="Arial"/>
          <w:color w:val="000000"/>
          <w:kern w:val="0"/>
          <w:sz w:val="22"/>
        </w:rPr>
        <w:t xml:space="preserve">  在每个行李转盘的机坪侧安装专用监控摄像机，总计安装摄像机13个，所有新增摄像机接入现有安防网络。</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b、监控显示设备安装：</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 xml:space="preserve">  在每个行李转盘的航站楼侧安装专用监控显示大屏，总计安装LCD大屏13个。</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c、监控图像存储：</w:t>
      </w:r>
    </w:p>
    <w:p>
      <w:pPr>
        <w:adjustRightInd w:val="0"/>
        <w:snapToGrid w:val="0"/>
        <w:spacing w:line="340" w:lineRule="exact"/>
        <w:ind w:left="660"/>
        <w:rPr>
          <w:rFonts w:ascii="宋体" w:hAnsi="宋体" w:cs="Arial"/>
          <w:color w:val="000000"/>
          <w:kern w:val="0"/>
          <w:sz w:val="22"/>
        </w:rPr>
      </w:pPr>
      <w:r>
        <w:rPr>
          <w:rFonts w:hint="eastAsia" w:ascii="宋体" w:hAnsi="宋体" w:cs="Arial"/>
          <w:color w:val="000000"/>
          <w:kern w:val="0"/>
          <w:sz w:val="22"/>
        </w:rPr>
        <w:t xml:space="preserve">  所有新增图像存入现有监控系统，存储时间90天。</w:t>
      </w:r>
    </w:p>
    <w:p>
      <w:pPr>
        <w:adjustRightInd w:val="0"/>
        <w:snapToGrid w:val="0"/>
        <w:spacing w:line="340" w:lineRule="exact"/>
        <w:ind w:firstLine="656" w:firstLineChars="298"/>
        <w:rPr>
          <w:rFonts w:cs="Arial" w:asciiTheme="minorEastAsia" w:hAnsiTheme="minorEastAsia"/>
          <w:kern w:val="0"/>
          <w:sz w:val="22"/>
          <w:szCs w:val="22"/>
        </w:rPr>
      </w:pPr>
      <w:r>
        <w:rPr>
          <w:rFonts w:hint="eastAsia" w:ascii="宋体" w:hAnsi="宋体" w:cs="Arial"/>
          <w:color w:val="000000"/>
          <w:kern w:val="0"/>
          <w:sz w:val="22"/>
        </w:rPr>
        <w:t>详细内容见第五章技术标准及要求。</w:t>
      </w:r>
      <w:r>
        <w:rPr>
          <w:rFonts w:ascii="宋体" w:hAnsi="宋体" w:cs="Arial"/>
          <w:color w:val="000000"/>
          <w:kern w:val="0"/>
          <w:sz w:val="22"/>
        </w:rPr>
        <w:t xml:space="preserve"> </w:t>
      </w:r>
      <w:r>
        <w:rPr>
          <w:rFonts w:hint="eastAsia" w:cs="Arial" w:asciiTheme="minorEastAsia" w:hAnsiTheme="minorEastAsia"/>
          <w:kern w:val="0"/>
          <w:sz w:val="22"/>
          <w:szCs w:val="22"/>
        </w:rPr>
        <w:t xml:space="preserve">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（3）本工程设一个标段，要求</w:t>
      </w:r>
      <w:r>
        <w:rPr>
          <w:rFonts w:hint="eastAsia" w:ascii="宋体" w:hAnsi="宋体" w:cs="Calibri"/>
          <w:kern w:val="0"/>
          <w:sz w:val="22"/>
        </w:rPr>
        <w:t>合同签订后</w:t>
      </w:r>
      <w:r>
        <w:rPr>
          <w:rFonts w:hint="eastAsia" w:cs="Arial" w:asciiTheme="minorEastAsia" w:hAnsiTheme="minorEastAsia"/>
          <w:kern w:val="0"/>
          <w:sz w:val="22"/>
          <w:szCs w:val="22"/>
          <w:u w:val="single"/>
        </w:rPr>
        <w:t>60</w:t>
      </w:r>
      <w:r>
        <w:rPr>
          <w:rFonts w:hint="eastAsia" w:cs="Arial" w:asciiTheme="minorEastAsia" w:hAnsiTheme="minorEastAsia"/>
          <w:kern w:val="0"/>
          <w:sz w:val="22"/>
          <w:szCs w:val="22"/>
        </w:rPr>
        <w:t>日历天内完工。</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（1）具有独立法人资格，持有有效营业执照</w:t>
      </w:r>
      <w:r>
        <w:rPr>
          <w:rFonts w:ascii="宋体" w:hAnsi="宋体" w:cs="Arial"/>
          <w:kern w:val="0"/>
          <w:sz w:val="22"/>
          <w:szCs w:val="22"/>
        </w:rPr>
        <w:t>(</w:t>
      </w:r>
      <w:r>
        <w:rPr>
          <w:rFonts w:hint="eastAsia" w:ascii="宋体" w:hAnsi="宋体" w:cs="Arial"/>
          <w:kern w:val="0"/>
          <w:sz w:val="22"/>
          <w:szCs w:val="22"/>
        </w:rPr>
        <w:t>提供营业执照复印件，原件备查</w:t>
      </w:r>
      <w:r>
        <w:rPr>
          <w:rFonts w:ascii="宋体" w:hAnsi="宋体" w:cs="Arial"/>
          <w:kern w:val="0"/>
          <w:sz w:val="22"/>
          <w:szCs w:val="22"/>
        </w:rPr>
        <w:t>)</w:t>
      </w:r>
      <w:r>
        <w:rPr>
          <w:rFonts w:hint="eastAsia" w:ascii="宋体" w:hAnsi="宋体" w:cs="Arial"/>
          <w:kern w:val="0"/>
          <w:sz w:val="22"/>
          <w:szCs w:val="22"/>
        </w:rPr>
        <w:t>；</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（2）投标人应具有有效的《安全生产许可证》。</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3</w:t>
      </w:r>
      <w:r>
        <w:rPr>
          <w:rFonts w:hint="eastAsia" w:ascii="宋体" w:hAnsi="宋体" w:cs="Arial"/>
          <w:kern w:val="0"/>
          <w:sz w:val="22"/>
          <w:szCs w:val="22"/>
        </w:rPr>
        <w:t>）依据最高人民法院等九部门《关于在招标投标活动中对失信被执行人实施联合惩戒的通知》，投标人不得为失信被执行人。（通过信用中国网站</w:t>
      </w:r>
      <w:r>
        <w:rPr>
          <w:rFonts w:ascii="宋体" w:hAnsi="宋体" w:cs="Arial"/>
          <w:kern w:val="0"/>
          <w:sz w:val="22"/>
          <w:szCs w:val="22"/>
        </w:rPr>
        <w:t xml:space="preserve">www.creditchina.gov.cn </w:t>
      </w:r>
      <w:r>
        <w:rPr>
          <w:rFonts w:hint="eastAsia" w:ascii="宋体" w:hAnsi="宋体" w:cs="Arial"/>
          <w:kern w:val="0"/>
          <w:sz w:val="22"/>
          <w:szCs w:val="22"/>
        </w:rPr>
        <w:t>查询，查询结果以网站页面显示内容为准，投标时需提供查询结果并加盖投标人公章作为证明材料）。若在中标公示期间发现中标候选人在投标截止日前为失信被执行人的，招标人将依法取消其中标资格。</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）近三年（</w:t>
      </w:r>
      <w:r>
        <w:rPr>
          <w:rFonts w:ascii="宋体" w:hAnsi="宋体" w:cs="Arial"/>
          <w:kern w:val="0"/>
          <w:sz w:val="22"/>
          <w:szCs w:val="22"/>
        </w:rPr>
        <w:t>2016</w:t>
      </w:r>
      <w:r>
        <w:rPr>
          <w:rFonts w:hint="eastAsia" w:ascii="宋体" w:hAnsi="宋体" w:cs="Arial"/>
          <w:kern w:val="0"/>
          <w:sz w:val="22"/>
          <w:szCs w:val="22"/>
        </w:rPr>
        <w:t>年</w:t>
      </w:r>
      <w:r>
        <w:rPr>
          <w:rFonts w:ascii="宋体" w:hAnsi="宋体" w:cs="Arial"/>
          <w:kern w:val="0"/>
          <w:sz w:val="22"/>
          <w:szCs w:val="22"/>
        </w:rPr>
        <w:t>1</w:t>
      </w:r>
      <w:r>
        <w:rPr>
          <w:rFonts w:hint="eastAsia" w:ascii="宋体" w:hAnsi="宋体" w:cs="Arial"/>
          <w:kern w:val="0"/>
          <w:sz w:val="22"/>
          <w:szCs w:val="22"/>
        </w:rPr>
        <w:t>月</w:t>
      </w:r>
      <w:r>
        <w:rPr>
          <w:rFonts w:ascii="宋体" w:hAnsi="宋体" w:cs="Arial"/>
          <w:kern w:val="0"/>
          <w:sz w:val="22"/>
          <w:szCs w:val="22"/>
        </w:rPr>
        <w:t>1</w:t>
      </w:r>
      <w:r>
        <w:rPr>
          <w:rFonts w:hint="eastAsia" w:ascii="宋体" w:hAnsi="宋体" w:cs="Arial"/>
          <w:kern w:val="0"/>
          <w:sz w:val="22"/>
          <w:szCs w:val="22"/>
        </w:rPr>
        <w:t>日起至投标截止日止）无行贿犯罪记录</w:t>
      </w:r>
      <w:r>
        <w:rPr>
          <w:rFonts w:ascii="宋体" w:hAnsi="宋体" w:cs="Arial"/>
          <w:kern w:val="0"/>
          <w:sz w:val="22"/>
          <w:szCs w:val="22"/>
        </w:rPr>
        <w:t>(</w:t>
      </w:r>
      <w:r>
        <w:rPr>
          <w:rFonts w:hint="eastAsia" w:ascii="宋体" w:hAnsi="宋体" w:cs="Arial"/>
          <w:kern w:val="0"/>
          <w:sz w:val="22"/>
          <w:szCs w:val="22"/>
        </w:rPr>
        <w:t>通过中国裁判文书网</w:t>
      </w:r>
      <w:r>
        <w:rPr>
          <w:rFonts w:ascii="宋体" w:hAnsi="宋体" w:cs="Arial"/>
          <w:kern w:val="0"/>
          <w:sz w:val="22"/>
          <w:szCs w:val="22"/>
        </w:rPr>
        <w:t>http://wenshu.court.gov.cn</w:t>
      </w:r>
      <w:r>
        <w:rPr>
          <w:rFonts w:hint="eastAsia" w:ascii="宋体" w:hAnsi="宋体" w:cs="Arial"/>
          <w:kern w:val="0"/>
          <w:sz w:val="22"/>
          <w:szCs w:val="22"/>
        </w:rPr>
        <w:t>查询，查询结果以网站页面显示内容为准，投标时需提供查询结果并加盖投标人公章作为证明材料</w:t>
      </w:r>
      <w:r>
        <w:rPr>
          <w:rFonts w:ascii="宋体" w:hAnsi="宋体" w:cs="Arial"/>
          <w:kern w:val="0"/>
          <w:sz w:val="22"/>
          <w:szCs w:val="22"/>
        </w:rPr>
        <w:t>)</w:t>
      </w:r>
      <w:r>
        <w:rPr>
          <w:rFonts w:hint="eastAsia" w:ascii="宋体" w:hAnsi="宋体" w:cs="Arial"/>
          <w:kern w:val="0"/>
          <w:sz w:val="22"/>
          <w:szCs w:val="22"/>
        </w:rPr>
        <w:t>。若在中标公示期间发现中标候选人在投标截止日前存在行贿犯罪记录的，招标人将依法取消其中标资格。</w:t>
      </w:r>
      <w:r>
        <w:rPr>
          <w:rFonts w:ascii="宋体" w:hAnsi="宋体" w:cs="Arial"/>
          <w:kern w:val="0"/>
          <w:sz w:val="22"/>
          <w:szCs w:val="22"/>
        </w:rPr>
        <w:t xml:space="preserve"> </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6</w:t>
      </w:r>
      <w:r>
        <w:rPr>
          <w:rFonts w:hint="eastAsia" w:ascii="宋体" w:hAnsi="宋体" w:cs="Arial"/>
          <w:kern w:val="0"/>
          <w:sz w:val="22"/>
          <w:szCs w:val="22"/>
        </w:rPr>
        <w:t>）</w:t>
      </w:r>
      <w:r>
        <w:rPr>
          <w:rFonts w:hint="eastAsia" w:ascii="宋体" w:hAnsi="宋体" w:cs="Arial"/>
          <w:kern w:val="0"/>
          <w:sz w:val="22"/>
        </w:rPr>
        <w:t>具有电子与智能化工程专业承包二级及以上或民航空管工程及机场弱电系统工程专业承包二级及以上资质（提供证明文件并加盖公章）。</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w:t>
      </w:r>
      <w:r>
        <w:rPr>
          <w:rFonts w:ascii="宋体" w:hAnsi="宋体" w:cs="Arial"/>
          <w:kern w:val="0"/>
          <w:sz w:val="22"/>
          <w:szCs w:val="22"/>
        </w:rPr>
        <w:t>7</w:t>
      </w:r>
      <w:r>
        <w:rPr>
          <w:rFonts w:hint="eastAsia" w:ascii="宋体" w:hAnsi="宋体" w:cs="Arial"/>
          <w:kern w:val="0"/>
          <w:sz w:val="22"/>
          <w:szCs w:val="22"/>
        </w:rPr>
        <w:t>）本项目不接受联合体投标。</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宋体"/>
          <w:sz w:val="22"/>
          <w:szCs w:val="22"/>
        </w:rPr>
      </w:pPr>
      <w:r>
        <w:rPr>
          <w:rFonts w:hint="eastAsia" w:ascii="宋体" w:hAnsi="宋体"/>
          <w:sz w:val="22"/>
          <w:szCs w:val="22"/>
        </w:rPr>
        <w:t>投标联系人：贾思勰</w:t>
      </w:r>
      <w:r>
        <w:rPr>
          <w:rFonts w:ascii="宋体" w:hAnsi="宋体"/>
          <w:sz w:val="22"/>
          <w:szCs w:val="22"/>
        </w:rPr>
        <w:t xml:space="preserve">        </w:t>
      </w:r>
      <w:r>
        <w:rPr>
          <w:rFonts w:hint="eastAsia" w:ascii="宋体" w:hAnsi="宋体"/>
          <w:sz w:val="22"/>
          <w:szCs w:val="22"/>
        </w:rPr>
        <w:t>联系电话：</w:t>
      </w:r>
      <w:r>
        <w:rPr>
          <w:rFonts w:ascii="宋体" w:hAnsi="宋体"/>
          <w:sz w:val="22"/>
          <w:szCs w:val="22"/>
        </w:rPr>
        <w:t xml:space="preserve"> 0571-83837612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招标监督人：阮工         联系电话： 0</w:t>
      </w:r>
      <w:r>
        <w:rPr>
          <w:rFonts w:ascii="宋体" w:hAnsi="宋体"/>
          <w:bCs/>
          <w:sz w:val="22"/>
        </w:rPr>
        <w:t>571-86662133</w:t>
      </w:r>
    </w:p>
    <w:bookmarkEnd w:id="353"/>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u w:val="single"/>
              </w:rPr>
              <w:t>航站楼行李转盘视频监控及显示屏安装</w:t>
            </w:r>
            <w:r>
              <w:rPr>
                <w:rFonts w:hint="eastAsia" w:ascii="宋体" w:hAnsi="宋体" w:cs="Arial"/>
                <w:kern w:val="0"/>
                <w:sz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ascii="宋体" w:hAnsi="宋体" w:cs="Arial"/>
                <w:kern w:val="0"/>
                <w:sz w:val="22"/>
              </w:rPr>
              <w:t>2019年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22</w:t>
            </w:r>
            <w:r>
              <w:rPr>
                <w:rFonts w:hint="eastAsia" w:ascii="宋体" w:hAnsi="宋体" w:cs="Arial"/>
                <w:kern w:val="0"/>
                <w:sz w:val="22"/>
              </w:rPr>
              <w:t>日上午9时00分</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cs="Calibri" w:asciiTheme="minorEastAsia" w:hAnsiTheme="minorEastAsia"/>
                <w:kern w:val="0"/>
                <w:sz w:val="22"/>
                <w:lang w:eastAsia="zh-CN"/>
              </w:rPr>
              <w:t>杭州萧山国际机场翔越路综合服务楼招标中心</w:t>
            </w:r>
          </w:p>
          <w:p>
            <w:pPr>
              <w:autoSpaceDE w:val="0"/>
              <w:autoSpaceDN w:val="0"/>
              <w:adjustRightInd w:val="0"/>
              <w:snapToGrid w:val="0"/>
              <w:rPr>
                <w:rFonts w:cs="Calibri" w:asciiTheme="minorEastAsia" w:hAnsiTheme="minorEastAsia"/>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cs="Calibri" w:asciiTheme="minorEastAsia" w:hAnsiTheme="minorEastAsia"/>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22</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7</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30</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Arial"/>
                <w:kern w:val="0"/>
                <w:sz w:val="22"/>
                <w:u w:val="single"/>
              </w:rPr>
              <w:t>航站楼行李转盘视频监控及显示屏安装工程</w:t>
            </w:r>
            <w:r>
              <w:rPr>
                <w:rFonts w:hint="eastAsia" w:ascii="宋体" w:hAnsi="宋体" w:cs="宋体"/>
                <w:sz w:val="22"/>
              </w:rPr>
              <w:t>投标文件</w:t>
            </w:r>
          </w:p>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在</w:t>
            </w:r>
            <w:r>
              <w:rPr>
                <w:rFonts w:ascii="宋体" w:hAnsi="宋体" w:cs="Calibri"/>
                <w:kern w:val="0"/>
                <w:sz w:val="22"/>
                <w:u w:val="single"/>
              </w:rPr>
              <w:t xml:space="preserve"> </w:t>
            </w:r>
            <w:r>
              <w:rPr>
                <w:rFonts w:hint="eastAsia" w:ascii="宋体" w:hAnsi="宋体" w:cs="Arial"/>
                <w:kern w:val="0"/>
                <w:sz w:val="22"/>
                <w:u w:val="single"/>
              </w:rPr>
              <w:t>2019年</w:t>
            </w:r>
            <w:r>
              <w:rPr>
                <w:rFonts w:hint="eastAsia" w:ascii="宋体" w:hAnsi="宋体" w:cs="Arial"/>
                <w:kern w:val="0"/>
                <w:sz w:val="22"/>
                <w:u w:val="single"/>
                <w:lang w:val="en-US" w:eastAsia="zh-CN"/>
              </w:rPr>
              <w:t>7</w:t>
            </w:r>
            <w:r>
              <w:rPr>
                <w:rFonts w:hint="eastAsia" w:ascii="宋体" w:hAnsi="宋体" w:cs="Arial"/>
                <w:kern w:val="0"/>
                <w:sz w:val="22"/>
                <w:u w:val="single"/>
              </w:rPr>
              <w:t>月</w:t>
            </w:r>
            <w:r>
              <w:rPr>
                <w:rFonts w:hint="eastAsia" w:ascii="宋体" w:hAnsi="宋体" w:cs="Arial"/>
                <w:kern w:val="0"/>
                <w:sz w:val="22"/>
                <w:u w:val="single"/>
                <w:lang w:val="en-US" w:eastAsia="zh-CN"/>
              </w:rPr>
              <w:t>30</w:t>
            </w:r>
            <w:r>
              <w:rPr>
                <w:rFonts w:hint="eastAsia" w:ascii="宋体" w:hAnsi="宋体" w:cs="Arial"/>
                <w:kern w:val="0"/>
                <w:sz w:val="22"/>
                <w:u w:val="single"/>
              </w:rPr>
              <w:t>日上午9时00分</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ascii="宋体" w:hAnsi="宋体" w:cs="Calibri"/>
                <w:snapToGrid w:val="0"/>
                <w:color w:val="000000"/>
                <w:kern w:val="0"/>
                <w:sz w:val="22"/>
              </w:rPr>
              <w:t>3</w:t>
            </w:r>
            <w:r>
              <w:rPr>
                <w:rFonts w:hint="eastAsia" w:ascii="宋体" w:hAnsi="宋体" w:cs="Calibri"/>
                <w:snapToGrid w:val="0"/>
                <w:color w:val="000000"/>
                <w:kern w:val="0"/>
                <w:sz w:val="22"/>
              </w:rPr>
              <w:t>、</w:t>
            </w:r>
            <w:r>
              <w:rPr>
                <w:rFonts w:hint="eastAsia" w:ascii="宋体" w:hAnsi="宋体" w:cs="Calibri"/>
                <w:b/>
                <w:snapToGrid w:val="0"/>
                <w:color w:val="000000"/>
                <w:kern w:val="0"/>
                <w:sz w:val="22"/>
              </w:rPr>
              <w:t>本工程包含少量隔离区施工，</w:t>
            </w:r>
            <w:r>
              <w:rPr>
                <w:rFonts w:hint="eastAsia" w:ascii="宋体" w:hAnsi="宋体"/>
                <w:b/>
                <w:color w:val="000000"/>
                <w:sz w:val="22"/>
              </w:rPr>
              <w:t>投标人应充分考虑施工监管等风险因素可能导致发生或增加的费用。</w:t>
            </w:r>
            <w:r>
              <w:rPr>
                <w:rFonts w:hint="eastAsia" w:ascii="宋体" w:hAnsi="宋体"/>
                <w:b/>
                <w:bCs/>
                <w:color w:val="000000"/>
                <w:sz w:val="22"/>
              </w:rPr>
              <w:t>隔离区内施工监管费用施工标准</w:t>
            </w:r>
            <w:r>
              <w:rPr>
                <w:rFonts w:ascii="宋体" w:hAnsi="宋体"/>
                <w:b/>
                <w:bCs/>
                <w:color w:val="000000"/>
                <w:sz w:val="22"/>
              </w:rPr>
              <w:t xml:space="preserve"> </w:t>
            </w:r>
            <w:r>
              <w:rPr>
                <w:rFonts w:hint="eastAsia" w:ascii="宋体" w:hAnsi="宋体"/>
                <w:b/>
                <w:bCs/>
                <w:color w:val="000000"/>
                <w:sz w:val="22"/>
              </w:rPr>
              <w:t>见</w:t>
            </w:r>
            <w:r>
              <w:rPr>
                <w:rFonts w:ascii="宋体" w:hAnsi="宋体"/>
                <w:b/>
                <w:bCs/>
                <w:color w:val="000000"/>
                <w:sz w:val="22"/>
              </w:rPr>
              <w:t>3.3.</w:t>
            </w:r>
            <w:r>
              <w:rPr>
                <w:rFonts w:hint="eastAsia" w:ascii="宋体" w:hAnsi="宋体"/>
                <w:b/>
                <w:bCs/>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5"/>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6"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7"/>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2"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3"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4"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4"/>
    </w:p>
    <w:p>
      <w:pPr>
        <w:autoSpaceDE w:val="0"/>
        <w:autoSpaceDN w:val="0"/>
        <w:adjustRightInd w:val="0"/>
        <w:snapToGrid w:val="0"/>
        <w:spacing w:line="360" w:lineRule="auto"/>
        <w:ind w:firstLine="440" w:firstLineChars="200"/>
        <w:rPr>
          <w:rFonts w:ascii="宋体" w:cs="Calibri"/>
          <w:sz w:val="22"/>
        </w:rPr>
      </w:pPr>
      <w:bookmarkStart w:id="15" w:name="_Toc3996"/>
      <w:r>
        <w:rPr>
          <w:rFonts w:hint="eastAsia" w:ascii="宋体" w:hAnsi="宋体" w:cs="Calibri"/>
          <w:sz w:val="22"/>
        </w:rPr>
        <w:t>本项目不允许分包。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6" w:name="_Toc15241"/>
      <w:bookmarkStart w:id="17" w:name="_Toc143421657"/>
      <w:r>
        <w:rPr>
          <w:rFonts w:cs="Calibri" w:asciiTheme="minorEastAsia" w:hAnsiTheme="minorEastAsia"/>
          <w:b/>
          <w:bCs/>
          <w:kern w:val="0"/>
          <w:sz w:val="22"/>
        </w:rPr>
        <w:t>2.招标文件</w:t>
      </w:r>
      <w:bookmarkEnd w:id="16"/>
      <w:bookmarkEnd w:id="17"/>
    </w:p>
    <w:p>
      <w:pPr>
        <w:autoSpaceDE w:val="0"/>
        <w:autoSpaceDN w:val="0"/>
        <w:adjustRightInd w:val="0"/>
        <w:snapToGrid w:val="0"/>
        <w:spacing w:line="360" w:lineRule="exact"/>
        <w:rPr>
          <w:rFonts w:cs="Calibri" w:asciiTheme="minorEastAsia" w:hAnsiTheme="minorEastAsia"/>
          <w:b/>
          <w:bCs/>
          <w:kern w:val="0"/>
          <w:sz w:val="22"/>
        </w:rPr>
      </w:pPr>
      <w:bookmarkStart w:id="18" w:name="_Toc1426"/>
      <w:r>
        <w:rPr>
          <w:rFonts w:cs="Calibri" w:asciiTheme="minorEastAsia" w:hAnsiTheme="minorEastAsia"/>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9" w:name="_Toc18230"/>
      <w:r>
        <w:rPr>
          <w:rFonts w:cs="Calibri" w:asciiTheme="minorEastAsia" w:hAnsiTheme="minorEastAsia"/>
          <w:b/>
          <w:bCs/>
          <w:kern w:val="0"/>
          <w:sz w:val="22"/>
        </w:rPr>
        <w:t>2.2 招标文件的澄清</w:t>
      </w:r>
      <w:bookmarkEnd w:id="1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0" w:name="_Toc18303"/>
      <w:r>
        <w:rPr>
          <w:rFonts w:cs="Calibri" w:asciiTheme="minorEastAsia" w:hAnsiTheme="minorEastAsia"/>
          <w:b/>
          <w:bCs/>
          <w:kern w:val="0"/>
          <w:sz w:val="22"/>
        </w:rPr>
        <w:t>2.3 招标文件的修改</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43421658"/>
      <w:bookmarkStart w:id="22" w:name="_Toc18870"/>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4已标价工程量清单</w:t>
      </w:r>
      <w:r>
        <w:rPr>
          <w:rFonts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3.2.5</w:t>
      </w:r>
      <w:r>
        <w:rPr>
          <w:rFonts w:hint="eastAsia" w:cs="Calibri" w:asciiTheme="minorEastAsia" w:hAnsiTheme="minorEastAsia"/>
          <w:color w:val="000000"/>
          <w:sz w:val="22"/>
        </w:rPr>
        <w:t>施工组织设计；</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3.3.1投标人应按第七章“投标文件格式”的要求填写相应表格并报价。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rPr>
        <w:t>本工程为固定总价合同（计日工除外）</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b/>
          <w:bCs/>
          <w:sz w:val="22"/>
        </w:rPr>
      </w:pPr>
      <w:r>
        <w:rPr>
          <w:rFonts w:hint="eastAsia" w:ascii="宋体" w:hAnsi="宋体" w:cs="宋体"/>
          <w:b/>
          <w:bCs/>
          <w:sz w:val="22"/>
        </w:rPr>
        <w:t>3.3.8投标人应充分考虑以下各项风险因素可能导致发生或增加的费用，并计入投标报价中，不报视作优惠：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b/>
          <w:bCs/>
          <w:sz w:val="22"/>
          <w:u w:val="single"/>
        </w:rPr>
      </w:pPr>
      <w:r>
        <w:rPr>
          <w:rFonts w:ascii="宋体" w:hAnsi="宋体" w:cs="宋体"/>
          <w:b/>
          <w:bCs/>
          <w:sz w:val="22"/>
          <w:u w:val="single"/>
        </w:rPr>
        <w:t>a</w:t>
      </w:r>
      <w:r>
        <w:rPr>
          <w:rFonts w:hint="eastAsia" w:ascii="宋体" w:hAnsi="宋体" w:cs="宋体"/>
          <w:b/>
          <w:bCs/>
          <w:sz w:val="22"/>
          <w:u w:val="single"/>
        </w:rPr>
        <w:t>、隔离区施工监管费，按每个作业点每天300元计；</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b、投标人将隔离区施工监管费单列。若未列明，默认包含在总价内；</w:t>
      </w:r>
    </w:p>
    <w:p>
      <w:pPr>
        <w:adjustRightInd w:val="0"/>
        <w:snapToGrid w:val="0"/>
        <w:spacing w:line="360" w:lineRule="exact"/>
        <w:ind w:firstLine="440"/>
        <w:rPr>
          <w:rFonts w:ascii="宋体" w:hAnsi="宋体" w:cs="宋体"/>
          <w:b/>
          <w:bCs/>
          <w:sz w:val="22"/>
          <w:u w:val="single"/>
        </w:rPr>
      </w:pPr>
      <w:r>
        <w:rPr>
          <w:rFonts w:hint="eastAsia" w:ascii="宋体" w:hAnsi="宋体" w:cs="宋体"/>
          <w:b/>
          <w:bCs/>
          <w:sz w:val="22"/>
          <w:u w:val="single"/>
        </w:rPr>
        <w:t>c、投标人合理评估隔离区内施工作业时间。</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kern w:val="0"/>
          <w:sz w:val="22"/>
        </w:rPr>
        <w:t>7.4.3</w:t>
      </w:r>
      <w:r>
        <w:rPr>
          <w:rFonts w:hint="eastAsia" w:ascii="宋体" w:hAnsi="宋体" w:cs="Calibri"/>
          <w:color w:val="000000"/>
          <w:kern w:val="0"/>
          <w:sz w:val="22"/>
        </w:rPr>
        <w:t xml:space="preserve">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cs="Calibri" w:asciiTheme="minorEastAsia" w:hAnsiTheme="minorEastAsia"/>
          <w:b/>
          <w:color w:val="000000"/>
          <w:kern w:val="0"/>
          <w:sz w:val="22"/>
        </w:rPr>
      </w:pPr>
      <w:r>
        <w:rPr>
          <w:rFonts w:hint="eastAsia" w:ascii="宋体" w:hAnsi="宋体" w:cs="Calibri"/>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cs="Calibri" w:asciiTheme="minorEastAsia" w:hAnsiTheme="minorEastAsia"/>
          <w:b/>
          <w:color w:val="000000"/>
          <w:kern w:val="0"/>
          <w:sz w:val="22"/>
        </w:rPr>
      </w:pP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15553"/>
      <w:bookmarkStart w:id="50" w:name="_Toc220123242"/>
      <w:bookmarkStart w:id="51" w:name="_Toc21980980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20123243"/>
      <w:bookmarkStart w:id="53" w:name="_Toc18806"/>
      <w:bookmarkStart w:id="54" w:name="_Toc21980980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5941254"/>
      <w:bookmarkStart w:id="56" w:name="_Toc219809804"/>
      <w:bookmarkStart w:id="57" w:name="_Toc220123244"/>
      <w:bookmarkStart w:id="58" w:name="_Toc2986"/>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20123247"/>
      <w:bookmarkStart w:id="67" w:name="_Toc21980980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19809808"/>
      <w:bookmarkStart w:id="69" w:name="_Toc220123248"/>
      <w:bookmarkStart w:id="70" w:name="_Toc12792"/>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5" w:name="_Toc450630559"/>
      <w:r>
        <w:t>第</w:t>
      </w:r>
      <w:r>
        <w:rPr>
          <w:rFonts w:hint="eastAsia"/>
        </w:rPr>
        <w:t>三</w:t>
      </w:r>
      <w:r>
        <w:t xml:space="preserve">章  </w:t>
      </w:r>
      <w:r>
        <w:rPr>
          <w:rFonts w:hint="eastAsia"/>
        </w:rPr>
        <w:t>合同条款及格式</w:t>
      </w:r>
      <w:bookmarkEnd w:id="75"/>
    </w:p>
    <w:p>
      <w:pPr>
        <w:keepNext/>
        <w:keepLines/>
        <w:spacing w:before="120" w:after="120" w:line="400" w:lineRule="exact"/>
        <w:ind w:right="-16"/>
        <w:jc w:val="center"/>
        <w:outlineLvl w:val="0"/>
        <w:rPr>
          <w:rFonts w:ascii="宋体" w:hAnsi="宋体" w:cs="宋体"/>
          <w:b/>
          <w:sz w:val="28"/>
          <w:szCs w:val="20"/>
        </w:rPr>
      </w:pPr>
      <w:r>
        <w:br w:type="page"/>
      </w:r>
      <w:bookmarkStart w:id="76" w:name="_Toc450630560"/>
      <w:bookmarkStart w:id="77" w:name="_Toc448097405"/>
      <w:r>
        <w:rPr>
          <w:rFonts w:hint="eastAsia" w:ascii="宋体" w:hAnsi="宋体" w:cs="宋体"/>
          <w:b/>
          <w:sz w:val="28"/>
          <w:szCs w:val="20"/>
        </w:rPr>
        <w:t>第一部分  合同协议书</w:t>
      </w:r>
      <w:bookmarkEnd w:id="76"/>
      <w:bookmarkEnd w:id="77"/>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杭州萧山国际机场</w:t>
      </w:r>
      <w:r>
        <w:rPr>
          <w:rFonts w:asciiTheme="minorEastAsia" w:hAnsiTheme="minorEastAsia"/>
          <w:sz w:val="22"/>
          <w:szCs w:val="22"/>
        </w:rPr>
        <w:t>有限公司</w:t>
      </w:r>
      <w:r>
        <w:rPr>
          <w:rFonts w:hint="eastAsia" w:asciiTheme="minorEastAsia" w:hAnsiTheme="minorEastAsia"/>
          <w:sz w:val="22"/>
          <w:szCs w:val="22"/>
        </w:rPr>
        <w:t>（以下简称“发包人”）为实施</w:t>
      </w:r>
      <w:r>
        <w:rPr>
          <w:rFonts w:hint="eastAsia" w:asciiTheme="minorEastAsia" w:hAnsiTheme="minorEastAsia"/>
          <w:sz w:val="22"/>
          <w:szCs w:val="22"/>
          <w:u w:val="single"/>
        </w:rPr>
        <w:t>杭州萧山国际机场            工程</w:t>
      </w:r>
      <w:r>
        <w:rPr>
          <w:rFonts w:hint="eastAsia" w:asciiTheme="minorEastAsia" w:hAnsiTheme="minorEastAsia"/>
          <w:sz w:val="22"/>
          <w:szCs w:val="22"/>
        </w:rPr>
        <w:t>，已接受（以下简称“承包人”）对该项目施工的投标。发包人和承包人共同达成如下协议。</w:t>
      </w:r>
    </w:p>
    <w:p>
      <w:pPr>
        <w:spacing w:line="400" w:lineRule="exact"/>
        <w:ind w:firstLine="440" w:firstLineChars="200"/>
        <w:rPr>
          <w:rFonts w:asciiTheme="minorEastAsia" w:hAnsiTheme="minorEastAsia"/>
          <w:sz w:val="22"/>
          <w:szCs w:val="22"/>
        </w:rPr>
      </w:pPr>
      <w:bookmarkStart w:id="78" w:name="_Toc152042548"/>
      <w:bookmarkStart w:id="79" w:name="_Toc144974828"/>
      <w:r>
        <w:rPr>
          <w:rFonts w:hint="eastAsia" w:asciiTheme="minorEastAsia" w:hAnsiTheme="minorEastAsia"/>
          <w:sz w:val="22"/>
          <w:szCs w:val="22"/>
        </w:rPr>
        <w:t>1. 本协议书与下列文件一起构成合同文件：</w:t>
      </w:r>
      <w:bookmarkEnd w:id="78"/>
      <w:bookmarkEnd w:id="79"/>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（2）本合同协议书（含合同谈判纪要）；</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（3）中标通知书；</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（4）本合同专用条款；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（5）招标文件及其补充文件（包括询标记录）；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（6）投标文件及其附件；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（7）本合同通用条款；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（8）标准、规范及有关技术文件；</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（9）图纸；</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（10）工程量清单；</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（11）工程报价书。 </w:t>
      </w:r>
    </w:p>
    <w:p>
      <w:pPr>
        <w:spacing w:line="400" w:lineRule="exact"/>
        <w:ind w:firstLine="440" w:firstLineChars="200"/>
        <w:rPr>
          <w:rFonts w:asciiTheme="minorEastAsia" w:hAnsiTheme="minorEastAsia"/>
          <w:sz w:val="22"/>
          <w:szCs w:val="22"/>
        </w:rPr>
      </w:pPr>
      <w:bookmarkStart w:id="80" w:name="_Toc144974829"/>
      <w:bookmarkStart w:id="81" w:name="_Toc152042549"/>
      <w:r>
        <w:rPr>
          <w:rFonts w:hint="eastAsia" w:asciiTheme="minorEastAsia" w:hAnsiTheme="minorEastAsia"/>
          <w:sz w:val="22"/>
          <w:szCs w:val="22"/>
        </w:rPr>
        <w:t>2. 上述文件互相补充和解释，如有不明确或不一致之处，以合同约定次序在先者为准。</w:t>
      </w:r>
      <w:bookmarkEnd w:id="80"/>
      <w:bookmarkEnd w:id="81"/>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3. 签约合同价：人民币（大写）</w:t>
      </w:r>
      <w:r>
        <w:rPr>
          <w:rFonts w:hint="eastAsia" w:asciiTheme="minorEastAsia" w:hAnsiTheme="minorEastAsia"/>
          <w:sz w:val="22"/>
          <w:szCs w:val="22"/>
          <w:u w:val="single"/>
        </w:rPr>
        <w:t xml:space="preserve">             </w:t>
      </w:r>
      <w:r>
        <w:rPr>
          <w:rFonts w:hint="eastAsia" w:asciiTheme="minorEastAsia" w:hAnsiTheme="minorEastAsia"/>
          <w:sz w:val="22"/>
          <w:szCs w:val="22"/>
        </w:rPr>
        <w:t>元（¥</w:t>
      </w:r>
      <w:r>
        <w:rPr>
          <w:rFonts w:hint="eastAsia" w:asciiTheme="minorEastAsia" w:hAnsiTheme="minorEastAsia"/>
          <w:sz w:val="22"/>
          <w:szCs w:val="22"/>
          <w:u w:val="single"/>
        </w:rPr>
        <w:t xml:space="preserve">              </w:t>
      </w:r>
      <w:r>
        <w:rPr>
          <w:rFonts w:hint="eastAsia" w:asciiTheme="minorEastAsia" w:hAnsiTheme="minorEastAsia"/>
          <w:sz w:val="22"/>
          <w:szCs w:val="22"/>
        </w:rPr>
        <w:t>元 ）。</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4. 承包人项目经理：。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5. 工程质量符合</w:t>
      </w:r>
      <w:r>
        <w:rPr>
          <w:rFonts w:hint="eastAsia" w:asciiTheme="minorEastAsia" w:hAnsiTheme="minorEastAsia"/>
          <w:sz w:val="22"/>
          <w:szCs w:val="22"/>
          <w:u w:val="single"/>
        </w:rPr>
        <w:t xml:space="preserve">  合同约定且达到合格  </w:t>
      </w:r>
      <w:r>
        <w:rPr>
          <w:rFonts w:hint="eastAsia" w:asciiTheme="minorEastAsia" w:hAnsiTheme="minorEastAsia"/>
          <w:sz w:val="22"/>
          <w:szCs w:val="22"/>
        </w:rPr>
        <w:t>标准。</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6. 承包人承诺按合同约定承担工程的实施、完成及缺陷修复。</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7. 发包人承诺按合同约定的条件、时间和方式向承包人支付合同价款。</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8. 承包人应按照发包人指示开工，工期为</w:t>
      </w:r>
      <w:r>
        <w:rPr>
          <w:rFonts w:hint="eastAsia" w:asciiTheme="minorEastAsia" w:hAnsiTheme="minorEastAsia"/>
          <w:sz w:val="22"/>
          <w:szCs w:val="22"/>
          <w:u w:val="single"/>
        </w:rPr>
        <w:t xml:space="preserve">    </w:t>
      </w:r>
      <w:r>
        <w:rPr>
          <w:rFonts w:hint="eastAsia" w:asciiTheme="minorEastAsia" w:hAnsiTheme="minorEastAsia"/>
          <w:sz w:val="22"/>
          <w:szCs w:val="22"/>
        </w:rPr>
        <w:t>日历天。</w:t>
      </w: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9. 本协议书一式陆份，甲方执肆份，乙方执贰份。</w:t>
      </w:r>
    </w:p>
    <w:p>
      <w:pPr>
        <w:spacing w:line="400" w:lineRule="exact"/>
        <w:ind w:firstLine="440" w:firstLineChars="200"/>
        <w:rPr>
          <w:rFonts w:asciiTheme="minorEastAsia" w:hAnsiTheme="minorEastAsia"/>
          <w:sz w:val="22"/>
          <w:szCs w:val="22"/>
        </w:rPr>
      </w:pPr>
      <w:bookmarkStart w:id="82" w:name="_Toc152042550"/>
      <w:bookmarkStart w:id="83" w:name="_Toc144974830"/>
      <w:r>
        <w:rPr>
          <w:rFonts w:hint="eastAsia" w:asciiTheme="minorEastAsia" w:hAnsiTheme="minorEastAsia"/>
          <w:sz w:val="22"/>
          <w:szCs w:val="22"/>
        </w:rPr>
        <w:t>10. 合同未尽事宜，双方另行签订补充协议。补充协议是合同的组成部分。</w:t>
      </w:r>
      <w:bookmarkEnd w:id="82"/>
      <w:bookmarkEnd w:id="83"/>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11.合同生效：本合同自双方法定代表人或委托代理人签字盖章之日起生效。</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发包人：                （盖单位章）    承包人：                  （盖单位章）</w:t>
      </w:r>
    </w:p>
    <w:p>
      <w:pPr>
        <w:spacing w:line="400" w:lineRule="exact"/>
        <w:ind w:firstLine="440" w:firstLineChars="200"/>
        <w:rPr>
          <w:rFonts w:asciiTheme="minorEastAsia" w:hAnsiTheme="minorEastAsia"/>
          <w:sz w:val="22"/>
          <w:szCs w:val="22"/>
        </w:rPr>
      </w:pPr>
    </w:p>
    <w:p>
      <w:pPr>
        <w:spacing w:line="40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法定代表人或其委托代理人：              法定代表人或其委托代理人：          </w:t>
      </w:r>
    </w:p>
    <w:p>
      <w:pPr>
        <w:spacing w:line="400" w:lineRule="exact"/>
        <w:ind w:firstLine="480" w:firstLineChars="200"/>
        <w:rPr>
          <w:szCs w:val="21"/>
        </w:rPr>
      </w:pP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4" w:name="_Toc246392119"/>
      <w:bookmarkStart w:id="85" w:name="_Toc450630561"/>
      <w:bookmarkStart w:id="86" w:name="_Toc448097406"/>
      <w:bookmarkStart w:id="87" w:name="_Toc375636693"/>
      <w:bookmarkStart w:id="88" w:name="_Toc375636694"/>
      <w:bookmarkStart w:id="89" w:name="_Toc152042545"/>
      <w:bookmarkStart w:id="90" w:name="_Toc152045766"/>
      <w:bookmarkStart w:id="91" w:name="_Toc144974736"/>
      <w:r>
        <w:rPr>
          <w:rFonts w:hint="eastAsia" w:ascii="宋体" w:hAnsi="宋体" w:cs="宋体"/>
          <w:b/>
          <w:sz w:val="28"/>
          <w:szCs w:val="20"/>
        </w:rPr>
        <w:t>第二部分  通用合同条款</w:t>
      </w:r>
      <w:bookmarkEnd w:id="84"/>
      <w:bookmarkEnd w:id="85"/>
      <w:bookmarkEnd w:id="86"/>
      <w:bookmarkEnd w:id="87"/>
    </w:p>
    <w:p>
      <w:pPr>
        <w:pStyle w:val="141"/>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88"/>
    </w:p>
    <w:bookmarkEnd w:id="89"/>
    <w:bookmarkEnd w:id="90"/>
    <w:bookmarkEnd w:id="91"/>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 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4.2.1承包人向发包人提供履约担保，担保方式为：银行转账，担保额度：合同总价的10％。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napToGrid w:val="0"/>
        <w:spacing w:line="360" w:lineRule="exact"/>
        <w:rPr>
          <w:rFonts w:ascii="宋体" w:hAnsi="宋体" w:cs="宋体"/>
          <w:sz w:val="22"/>
        </w:rPr>
      </w:pPr>
      <w:r>
        <w:rPr>
          <w:rFonts w:hint="eastAsia" w:ascii="宋体" w:hAnsi="宋体" w:cs="宋体"/>
          <w:sz w:val="22"/>
        </w:rPr>
        <w:t>15．变更（本项目不存在变更）</w:t>
      </w:r>
    </w:p>
    <w:p>
      <w:pPr>
        <w:snapToGrid w:val="0"/>
        <w:spacing w:line="360" w:lineRule="exact"/>
        <w:rPr>
          <w:rFonts w:ascii="宋体" w:hAnsi="宋体" w:cs="宋体"/>
          <w:sz w:val="22"/>
        </w:rPr>
      </w:pPr>
      <w:r>
        <w:rPr>
          <w:rFonts w:hint="eastAsia" w:ascii="宋体" w:hAnsi="宋体" w:cs="宋体"/>
          <w:sz w:val="22"/>
        </w:rPr>
        <w:t>16．价格调整</w:t>
      </w:r>
    </w:p>
    <w:p>
      <w:pPr>
        <w:snapToGrid w:val="0"/>
        <w:spacing w:line="360" w:lineRule="exact"/>
        <w:rPr>
          <w:rFonts w:ascii="宋体" w:hAnsi="宋体" w:cs="宋体"/>
          <w:sz w:val="22"/>
        </w:rPr>
      </w:pPr>
      <w:r>
        <w:rPr>
          <w:rFonts w:hint="eastAsia" w:ascii="宋体" w:hAnsi="宋体" w:cs="宋体"/>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，并无息退还承包人履约保证金。结算价的5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rPr>
        <w:t>20%</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rPr>
        <w:t>20%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杭州萧山国际机场航站楼行李转盘视频监控及显示屏安装工程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杭州萧山国际机场航站楼行李转盘视频监控及显示屏安装工程</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承包人必须保证机场运行时间内及时响应发包人的报修，在接到报修后，承包人技术服务人员必须在接到报修后2小时赶到现场，持续维修直至故障排除设备完全恢复正常使用为止。在故障解决之后，承包人应将故障现象及原因、处理过程和方法、完成处理及恢复正常的时间和日期等以书面形式报告发包人。</w:t>
      </w:r>
    </w:p>
    <w:p>
      <w:pPr>
        <w:spacing w:line="340" w:lineRule="exact"/>
        <w:ind w:firstLine="440" w:firstLineChars="200"/>
        <w:rPr>
          <w:rFonts w:ascii="宋体" w:hAnsi="宋体" w:cs="宋体"/>
          <w:sz w:val="22"/>
        </w:rPr>
      </w:pPr>
      <w:r>
        <w:rPr>
          <w:rFonts w:hint="eastAsia" w:ascii="宋体" w:hAnsi="宋体" w:cs="宋体"/>
          <w:sz w:val="22"/>
        </w:rPr>
        <w:t>2．质保期内承包人必须每月进行一次例行的系统检查并出具系统检查报告。</w:t>
      </w:r>
    </w:p>
    <w:p>
      <w:pPr>
        <w:spacing w:line="340" w:lineRule="exact"/>
        <w:ind w:firstLine="440" w:firstLineChars="200"/>
        <w:rPr>
          <w:rFonts w:ascii="宋体" w:hAnsi="宋体" w:cs="宋体"/>
          <w:sz w:val="22"/>
        </w:rPr>
      </w:pPr>
      <w:r>
        <w:rPr>
          <w:rFonts w:hint="eastAsia" w:ascii="宋体" w:hAnsi="宋体" w:cs="宋体"/>
          <w:sz w:val="22"/>
        </w:rPr>
        <w:t>3．质保期内承包人必须免费提供系统配置修改、软件缺陷修补。</w:t>
      </w:r>
    </w:p>
    <w:p>
      <w:pPr>
        <w:spacing w:line="340" w:lineRule="exact"/>
        <w:ind w:firstLine="440" w:firstLineChars="200"/>
        <w:rPr>
          <w:rFonts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spacing w:line="340" w:lineRule="exact"/>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hint="eastAsia" w:ascii="宋体" w:hAnsi="宋体" w:cs="宋体"/>
          <w:sz w:val="22"/>
        </w:rPr>
        <w:t>6．如质保期内的缺陷未能解决，质保期应相应延长，具体延长时间由双方协定。</w:t>
      </w:r>
    </w:p>
    <w:p>
      <w:pPr>
        <w:spacing w:line="340" w:lineRule="exact"/>
        <w:ind w:firstLine="440" w:firstLineChars="200"/>
        <w:rPr>
          <w:rFonts w:ascii="宋体" w:hAnsi="宋体" w:cs="宋体"/>
          <w:sz w:val="22"/>
        </w:rPr>
      </w:pPr>
      <w:r>
        <w:rPr>
          <w:rFonts w:hint="eastAsia" w:ascii="宋体" w:hAnsi="宋体" w:cs="宋体"/>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pPr>
        <w:spacing w:line="340" w:lineRule="exact"/>
        <w:ind w:firstLine="440" w:firstLineChars="200"/>
        <w:rPr>
          <w:rFonts w:ascii="宋体" w:hAnsi="宋体" w:cs="宋体"/>
          <w:sz w:val="22"/>
        </w:rPr>
      </w:pPr>
      <w:r>
        <w:rPr>
          <w:rFonts w:hint="eastAsia" w:ascii="宋体" w:hAnsi="宋体" w:cs="宋体"/>
          <w:sz w:val="22"/>
        </w:rPr>
        <w:t>8．在系统质保期结束时，承包人提供包括但不限于：质保期的维护和维修记录。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Theme="minorEastAsia" w:hAnsiTheme="minorEastAsia"/>
          <w:b/>
          <w:sz w:val="22"/>
          <w:szCs w:val="22"/>
          <w:u w:val="single"/>
        </w:rPr>
        <w:t>杭州萧山国际机场有限公司</w:t>
      </w:r>
    </w:p>
    <w:p>
      <w:pPr>
        <w:spacing w:line="360" w:lineRule="exact"/>
        <w:rPr>
          <w:rFonts w:asciiTheme="minorEastAsia" w:hAnsiTheme="minorEastAsia"/>
          <w:b/>
          <w:sz w:val="22"/>
          <w:szCs w:val="22"/>
          <w:u w:val="single"/>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为确保</w:t>
      </w:r>
      <w:r>
        <w:rPr>
          <w:rFonts w:hint="eastAsia" w:asciiTheme="minorEastAsia" w:hAnsiTheme="minorEastAsia"/>
          <w:b/>
          <w:sz w:val="22"/>
          <w:szCs w:val="22"/>
        </w:rPr>
        <w:t>杭州萧山国际机场</w:t>
      </w:r>
      <w:r>
        <w:rPr>
          <w:rFonts w:hint="eastAsia" w:asciiTheme="minorEastAsia" w:hAnsiTheme="minorEastAsia"/>
          <w:b/>
          <w:sz w:val="22"/>
          <w:szCs w:val="22"/>
          <w:u w:val="single"/>
        </w:rPr>
        <w:t>航站楼行李转盘视频监控及显示屏安装工程</w:t>
      </w:r>
      <w:r>
        <w:rPr>
          <w:rFonts w:asciiTheme="minorEastAsia" w:hAnsiTheme="minorEastAsia"/>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发包人：杭州萧山国际机场有限公司         承包人：</w:t>
      </w:r>
    </w:p>
    <w:p>
      <w:pPr>
        <w:rPr>
          <w:rFonts w:cs="宋体" w:asciiTheme="minorEastAsia" w:hAnsiTheme="minorEastAsia"/>
          <w:bCs/>
          <w:sz w:val="22"/>
          <w:szCs w:val="22"/>
        </w:rPr>
      </w:pPr>
    </w:p>
    <w:p>
      <w:pPr>
        <w:pStyle w:val="123"/>
        <w:ind w:firstLine="0" w:firstLineChars="0"/>
        <w:rPr>
          <w:rFonts w:ascii="宋体" w:hAnsi="宋体"/>
          <w:color w:val="auto"/>
        </w:rPr>
      </w:pPr>
      <w:r>
        <w:rPr>
          <w:rFonts w:hint="eastAsia" w:ascii="宋体" w:hAnsi="宋体"/>
          <w:color w:val="auto"/>
        </w:rPr>
        <w:br w:type="page"/>
      </w:r>
    </w:p>
    <w:p>
      <w:pPr>
        <w:pStyle w:val="123"/>
        <w:ind w:firstLine="0" w:firstLineChars="0"/>
        <w:jc w:val="center"/>
        <w:rPr>
          <w:rFonts w:ascii="宋体" w:hAnsi="宋体"/>
          <w:b/>
          <w:bCs/>
          <w:color w:val="auto"/>
          <w:sz w:val="36"/>
          <w:szCs w:val="36"/>
        </w:rPr>
      </w:pPr>
      <w:r>
        <w:rPr>
          <w:rFonts w:hint="eastAsia" w:ascii="宋体" w:hAnsi="宋体"/>
          <w:b/>
          <w:bCs/>
          <w:color w:val="auto"/>
          <w:sz w:val="36"/>
          <w:szCs w:val="36"/>
        </w:rPr>
        <w:t>杭州萧山国际机场基建项目安全文明施工考核办法</w:t>
      </w:r>
    </w:p>
    <w:p>
      <w:pPr>
        <w:pStyle w:val="123"/>
        <w:ind w:firstLine="0" w:firstLineChars="0"/>
        <w:rPr>
          <w:rFonts w:ascii="宋体" w:hAnsi="宋体"/>
          <w:color w:val="auto"/>
        </w:rPr>
      </w:pPr>
    </w:p>
    <w:p>
      <w:pPr>
        <w:pStyle w:val="123"/>
        <w:ind w:firstLine="440"/>
        <w:rPr>
          <w:rFonts w:ascii="宋体" w:hAnsi="宋体" w:cs="宋体"/>
          <w:color w:val="auto"/>
          <w:sz w:val="22"/>
          <w:szCs w:val="22"/>
        </w:rPr>
      </w:pPr>
      <w:r>
        <w:rPr>
          <w:rFonts w:hint="eastAsia" w:ascii="宋体" w:hAnsi="宋体" w:cs="宋体"/>
          <w:color w:val="auto"/>
          <w:sz w:val="22"/>
          <w:szCs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一、考核原则</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预先通知原则。发包人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奖励与处罚相结合原则。通过考核与评比，在机场公司组织的各类检查评比中，获得好评的的施工项目部将按照相关规定予以奖励；对违反国家相关法律、法规和安全生产规范、规程、标准及《杭州萧山国际机场安全文明施工协议书》的，将严格按照本考核办法扣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考核与结算相结合原则。发包人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（四）考核与经济利益直接挂钩原则。以《安全文明施工工作联系单》确认的奖惩数额为准。</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二、适用范围</w:t>
      </w:r>
    </w:p>
    <w:p>
      <w:pPr>
        <w:pStyle w:val="123"/>
        <w:ind w:firstLine="0" w:firstLineChars="0"/>
        <w:rPr>
          <w:rFonts w:ascii="宋体" w:hAnsi="宋体" w:cs="宋体"/>
          <w:color w:val="auto"/>
          <w:sz w:val="22"/>
          <w:szCs w:val="22"/>
        </w:rPr>
      </w:pPr>
      <w:r>
        <w:rPr>
          <w:rFonts w:hint="eastAsia" w:ascii="宋体" w:hAnsi="宋体" w:cs="宋体"/>
          <w:color w:val="auto"/>
          <w:sz w:val="22"/>
          <w:szCs w:val="22"/>
        </w:rPr>
        <w:t>本考核办法适用于参与杭州萧山国际机场基本建设的各施工单位。与总包单位签订分包合同的分包单位纳入对总包单位的考核，不作为被考核主体。</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三、考核程序</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发包人一份。</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（四）考核最终汇总兑现。各施工项目部工程结束后由发包人计算出累计处罚总数，从工程履约保证金中扣除，但不得超过工程履约保证金的20%。</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四、其它</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（一）施工项目部突破《杭州萧山国际机场安全文明施工协议书》安全控制目标内容之一的，不属于本办法考核范围，由发包人依据有关规定直接进行处罚。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（二）《处罚标准》中所称的“协议”是指机场公司与施工项目部签订的《杭州萧山国际机场安全文明施工协议书》及各种协议文件；“建标”是指《建筑施工安全检查标准》（JGJ59-2011）。</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（三）施工项目部收到《安全文明施工工作联系单》后，在指定期限内仍未整改到位，加倍处罚直至整改到位为止。</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（四）本考核办法未作规定，但已违反国家相关法律、法规和安全生产规范、规程、标准及《杭州萧山国际机场安全文明施工协议书》的行为，由发包人参照《处罚标准》相关规定进行处罚。</w:t>
      </w:r>
    </w:p>
    <w:p>
      <w:pPr>
        <w:pStyle w:val="123"/>
        <w:ind w:firstLine="0" w:firstLineChars="0"/>
        <w:rPr>
          <w:rFonts w:ascii="宋体" w:hAnsi="宋体" w:cs="宋体"/>
          <w:color w:val="auto"/>
          <w:sz w:val="22"/>
          <w:szCs w:val="22"/>
        </w:rPr>
      </w:pPr>
      <w:r>
        <w:rPr>
          <w:rFonts w:hint="eastAsia" w:ascii="宋体" w:hAnsi="宋体" w:cs="宋体"/>
          <w:color w:val="auto"/>
          <w:sz w:val="22"/>
          <w:szCs w:val="22"/>
        </w:rPr>
        <w:t>（五）本考核办法以实际发文为准。</w:t>
      </w:r>
    </w:p>
    <w:p>
      <w:pPr>
        <w:pStyle w:val="123"/>
        <w:ind w:firstLine="0" w:firstLineChars="0"/>
        <w:rPr>
          <w:rFonts w:ascii="宋体" w:hAnsi="宋体" w:cs="宋体"/>
          <w:color w:val="auto"/>
          <w:sz w:val="22"/>
          <w:szCs w:val="22"/>
        </w:rPr>
      </w:pPr>
      <w:r>
        <w:rPr>
          <w:rFonts w:hint="eastAsia" w:ascii="宋体" w:hAnsi="宋体" w:cs="宋体"/>
          <w:color w:val="auto"/>
          <w:sz w:val="22"/>
          <w:szCs w:val="22"/>
        </w:rPr>
        <w:t>基建项目安全文明施工处罚标准</w:t>
      </w:r>
    </w:p>
    <w:p>
      <w:pPr>
        <w:pStyle w:val="123"/>
        <w:ind w:firstLine="0" w:firstLineChars="0"/>
        <w:rPr>
          <w:rFonts w:ascii="宋体" w:hAnsi="宋体" w:cs="宋体"/>
          <w:color w:val="auto"/>
          <w:sz w:val="22"/>
          <w:szCs w:val="22"/>
        </w:rPr>
      </w:pPr>
    </w:p>
    <w:tbl>
      <w:tblPr>
        <w:tblStyle w:val="5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135"/>
        <w:gridCol w:w="78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序列号</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内       容</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依据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不停航施工</w:t>
            </w:r>
          </w:p>
        </w:tc>
        <w:tc>
          <w:tcPr>
            <w:tcW w:w="788" w:type="dxa"/>
            <w:vAlign w:val="center"/>
          </w:tcPr>
          <w:p>
            <w:pPr>
              <w:pStyle w:val="123"/>
              <w:ind w:firstLine="0" w:firstLineChars="0"/>
              <w:rPr>
                <w:rFonts w:ascii="宋体" w:hAnsi="宋体" w:cs="宋体"/>
                <w:color w:val="auto"/>
                <w:sz w:val="22"/>
                <w:szCs w:val="22"/>
              </w:rPr>
            </w:pPr>
          </w:p>
        </w:tc>
        <w:tc>
          <w:tcPr>
            <w:tcW w:w="1409" w:type="dxa"/>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未按照杭州国际机场不停航施工组织方案、安全保障措施进行施工作业影响机场正常运行或造成不安全事件的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无故不参加各类不停航施工例会、专题会议的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未对施工人员进行空防安全和运行安全教育培训或教育培训无台帐记录的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施工进场前未对施工人员进行安全教育或交底的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管理人员擅离岗位、未实施全程监管或未有效履行安全管理职责的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现场不服从机场现场管理人员指挥、管理的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１.7</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未按规定设置或撤除关闭标志、警戒围栏、警示灯具的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１.8</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施工人员、车辆、机具擅自侵入飞行活动区或超出净空限制面高度的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施工人员攀爬、翻越、跨越隔离围栏及其他安全防护设施或向控制区内传递物品等，尚未影响机场正常运行的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１.10</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施工人员、车辆、机具擅自超越指定施工活动范围或机具不按指定区域停放的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距控制区围界5米内堆放材料、设备或停放车辆、机具，造成空防安全隐患的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１.12</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不按要求作业，挖破或挖断地下管线</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１.13</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未按规定对材料、临时堆放物、施工垃圾采取防风、防尾流吹散措施的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施工现场随意丢弃生活垃圾及易漂浮物的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１.15</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未做到工完场清，沿线道面、施工现场遗留工具、材料、垃圾未及时清理清扫的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进入控制区施工的车辆存在灯光、转向、制动等机械故障和尾部无放大号的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在控制区内行驶车辆未安装或未开启黄色警示灯的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控制区车辆驾驶员在控制区内有违章驾驶行为的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１.19</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无应急处置预案和机制，发生紧急情况未能及时有效处置，影响机场正常运行的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１.20</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发生其它违反《民用机场运行安全管理规定》（191号令）和杭州萧山国际机场安全运行管理规定行为的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方案</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w:t>
            </w:r>
          </w:p>
        </w:tc>
        <w:tc>
          <w:tcPr>
            <w:tcW w:w="6135"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空防安全</w:t>
            </w:r>
          </w:p>
        </w:tc>
        <w:tc>
          <w:tcPr>
            <w:tcW w:w="788" w:type="dxa"/>
            <w:vAlign w:val="center"/>
          </w:tcPr>
          <w:p>
            <w:pPr>
              <w:pStyle w:val="123"/>
              <w:ind w:firstLine="0" w:firstLineChars="0"/>
              <w:rPr>
                <w:rFonts w:ascii="宋体" w:hAnsi="宋体" w:cs="宋体"/>
                <w:color w:val="auto"/>
                <w:sz w:val="22"/>
                <w:szCs w:val="22"/>
              </w:rPr>
            </w:pPr>
          </w:p>
        </w:tc>
        <w:tc>
          <w:tcPr>
            <w:tcW w:w="1409" w:type="dxa"/>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进入控制区的人员不服从机场管理人员的管理、检查的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把关不严，提供虚假证明、证件或其它相关资料申办控制区人员通行证的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提供虚假车辆、设备证件、检验记录和保险凭证申办《车辆通行证》的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车辆证件、检验记录和保险凭证过期失效未补办后续手续，仍进入控制区施工作业的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未建立控制区通行证统一保管制度，无控制区通行证管理台帐或台帐记录不全的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发生无证施工人员进入控制区的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发生施工人员转借、涂改、冒用他人通行证的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人员、车辆通行证保管不善，造成丢失；或通行证遗失不及时上报的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人员调离、辞退、开除，车辆重新调配，或通行证到期，证件未在规定时限内交回注销的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施工队伍中有违法、犯罪人员，隐瞒不报的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毗邻控制区施工，未安装沿围界监控探头或监控探头存有盲区（段），监控无专人值守或值守人员离岗脱岗的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毗邻控制区施工，沿围界未设置专门看护的固定和巡逻保安岗位、保安人员擅离岗位或保安人员未履职管理的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在机场区域内燃放烟花、爆竹，或施放气球、风筝等升空物体的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在机场区域内饲养猫、狗、鸡、鸭等牲畜、动物的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2.15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其它违反民用航空安全、法律、法规和机场空防安全管理规定的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安全生产</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安全生产管理体制</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安全管理制度不健全，项目经理、项目技术负责人等各类管理人员（包括安全员、资料员、质控员）未按相关规定要求到位的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安全制度执行不力，无考核机制或考核制度执行不严</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安全责任制未建立</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安全责任制不健全，未层层签订至班组或岗位的各级安全责任书</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各级各部门未执行责任制的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经济承包中无安全生产、文明施工目标管理或目标管理不落实</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3.1.7</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未制定各工种安全技术操作规程的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3.1.8</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专（兼）职安全员不按规定如数到位的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单位内部安全网络未建立或不健全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3.1.10</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拒绝或拖延加入基建安全网络</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无故不参加发包人组织的各种安全会议、网络活动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不按规定开展各级、各类安全教育培训，未按规定设置民工学校</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对施工人员无安全教育或安全教育无针对性</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无日常安全检查、定期安全检查、专项安全检查记录或记录不全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无安全管理台账或安全管理台账缺失不全</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对查出的隐患整改做不到定人、定时间、定措施进行整改落实的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3.1.17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对隐患整改通知书所列项目未如期整改完成的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无施工组织设计或施工组织设计未经审批的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3.2.2</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施工组织设计中无安全措施或安全措施不全面、无针对性</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专业性较强、危险性较大的项目，未单独编制专项安全施工组织设计、未制定专项施工方案或未经过专家论证的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3.2.4</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施工组织设计安全措施未落实或落实有漏项的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3.2.5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不按规定进行安全技术交底，或交底不全、交底针对性不强</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现场安全设施和措施</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使用国家明令淘汰、禁止使用的危及施工安全的工艺、设备、材料的。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地面开挖作业未对毗邻建筑物、构筑物和地下管线等采取专项防护措施的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基坑支护无方案或不按方案实施的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未按规定进行基坑支护变形监测和对毗邻建筑物、重要管线、道路进行沉降观测的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支护设施产生局部变形未采取措施调整的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基坑施工未设置有效排水措施，或深基础施工采用坑外降水，无防止临近建筑危险沉降措施的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积土、料具堆放、机械设备施工距槽边距离小于设计规定，又无措施的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基坑内作业人员无必要安全防护措施和充足照明的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支模架施工未按施工专项方案实施的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3.3.10</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临边无防护措施，防护设施不规范或有空档、超过间隙的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高处作业不按规定设置防坠网或防坠网规格、材质、覆盖面积不符合要求的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各种洞（井）口、梯口、通道口无防护措施，防护措施不符合要求或不严密，未形成定型化、工具化的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电梯井不封闭，电梯井内每隔两层(不大于l0m)少一道平网的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rPr>
        <w:tc>
          <w:tcPr>
            <w:tcW w:w="784"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3.3.14</w:t>
            </w:r>
          </w:p>
        </w:tc>
        <w:tc>
          <w:tcPr>
            <w:tcW w:w="6135" w:type="dxa"/>
            <w:tcBorders>
              <w:top w:val="single" w:color="auto" w:sz="4"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通道口无防护棚，通道口防护不严或防护棚不牢固、材质不符合要求的</w:t>
            </w:r>
          </w:p>
        </w:tc>
        <w:tc>
          <w:tcPr>
            <w:tcW w:w="788"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4"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脚手架、升降、吊装等设施设备的拆装队伍没有取得资格证书的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脚手架、脚手板等不按要求搭设，空隙过大或材质不符合要求的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安全密目网不牢固、不严密或材质、设置不符合要求的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脚手架超载或荷载不均匀、堆放杂物或垃圾清理不及时的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3.3.19</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未设专用通道或通道设置不符合要求的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脚手架拆卸时不实行区域隔离，无专人看护等保护性安全措施的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移动脚手架安全措施不到位，存在安全隐患的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卸料台搭设不符合设计要求或不按规范要求搭建的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升降、吊装作业未设警戒区、无专业人员指挥、无专人警戒或管理的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升降、吊装设备无围栏、防护门，无安全警示等安全设施的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升降、吊装设备无防坠装置或防坠装置不符合设计、规范要求的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升降、吊装设备钢丝绳绳径倍数不足、磨损、断丝超标，地锚埋没不符合设计要求</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升降、吊装设备无专人日常维护，未按规定定期检验、检查或检查无记录，检验检查出的问题不及时整改的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违章操作或违章使用升降、吊装设备，超重作业的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3.3.29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移动式吊装装置不符合设计、方案和规范要求，存在安全隐患的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钢丝绳、绳卡、地锚等不符合规范和安全要求,或钢丝绳锈蚀、缺油、磨损超标的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无防风、避雷装置和措施，或防风避雷装置措施不符合要求的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各类用电设施、设备、施工机具未做保护接零、无漏电保护装置的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3.3.33</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机具、设备使用无安全防护装置或保险装置的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使用Ⅰ类手持电动工具不按规定穿戴绝缘用品的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施工机具无人操作时未切断电源的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电焊机无防雨罩的，焊把线接头超过3处或绝缘老化的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3.3.37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各机械作业场所无防雨棚和作业台不安全的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现场安全管理</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各类操作人员无证上岗的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专业性较强、危险性较大施工作业，现场无专业人员、安全管理人员旁站看护的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作业人员不服管理、违反规章制度和操作规程冒险作业的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施工人员不戴安全帽、高处作业人员不系安全带或不按要求系安全带</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现场未按规定采取设置安全网等保障措施的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3.4.6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施工人员在施工现场抽烟的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施工用电</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外电小于安全距离无防护措施、防护措施不符合要求的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未采用TN—S接零保护系统的、三级漏电保护系统的；专用保护零线（PE线）设置不符合要求的、或保护零线（PE线）与工作零线（N线）混接的；纯动力电未用四芯电缆的，动力带照明电未使用五芯电缆的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开关箱(末级)无漏电保护或保护器失灵、漏电保护装置参数不匹配</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3.5.4</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违反“—机、一闸、一漏、一箱”的配置原则</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安装位置不当、周围杂物多不便操作、存在安全隐患</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3.5.6</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电箱下引出线混乱、配电箱内多路配电无标记的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3.5.7</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电箱无门、无锁、无防雨措施或无责任人的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3.5.8</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室内线路及灯具安全高度低于2.4m未使用安全电压供电的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3.5.9</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潮湿作业环境中未使用36v以下安全电压照明灯具的、手持照明灯未使用36v及以下电源供电</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3.5.10</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电线老化、破皮、未按规范包扎的、电线私拉乱接、无过路保护的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3.5.11</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电杆、横担、架空线路不符合施工规范要求</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3.5.12</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无用电管理档案、无接地极阻值摇测记录、电工巡视维修记录或填写不真实的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消防安全与危险品管理</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未制定消防安全管理规章制度或规章制度不健全的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未制定各工种用火、用电、使用易燃材料等各项消防安全操作规程的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4.3</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未健全消防安全网络（配备专职或兼职消防员），并报备的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4.4</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无专（兼）职义务消防队，或消防队员未掌握基本消防知识和操作技能的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未制定灭火和应急疏散预案并开展消防应急演练的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4.6</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未组织开展各类防火检查，并及时采取措施整改发现的隐患、问题的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4.7</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对重大消防安全隐患未能及时整改、处理的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4.8</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未建立消防安全管理台帐或台帐缺失的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4.9</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未组织开展消防安全知识教育培训，施工人员不了解本岗位防火措施、遇险报警、初期扑救及自救逃生的知识和技能的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4.10</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施工现场未设置必要足够安全疏散指示标志、防火禁烟标志机场火警电话的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重点消防部位无人看护或巡视、无消防警示标志牌，值守巡视人员脱岗或不履行职责的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易燃、易爆物品不按规定进行分类存放或管理不善、无人看护、管理的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未设或侵占疏散通道、安全出口、消防通道，或通道出口不畅通、应急照明不符合规定的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工地现场未设置消火水源（消火栓）或消火水源不齐全、不合理，不能满足消防要求的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4.15</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工地现场灭火器、灭火砂、水桶、铁锹等消防设施、器材配置不全、不足、失效，或被遮挡影响使用，或被挪作他用的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灭火器材无专人维护、保养、检查和登记管理的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违章关闭消防设施、切断电源或挪用消防灭火器材的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动火作业未经机场公安消防管理部门审查批准的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4.19</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施工现场未及时清理地面可燃物，动火作业未清理地面可燃物的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动火作业无接火盆、现场无看火人、灭火器材配备不足、过期、失效的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动火作业火花隔层溅落未采取有效安全措施的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4.22</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气瓶无标准色标，无防震圈和防护帽的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气瓶横放或气瓶间距小于5米、距明火小于10米又无隔离措施的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乙炔瓶使用或存放时平放或不按规定存放的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4.25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发生其它违反国家消防法律法规，消防安全管理规章制度现象的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协议</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文明施工</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施工工地未按照投标承诺实行标化管理的要求进行建设和管理的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 xml:space="preserve">施工现场未建立生活设施、管理制度和日常检查、考核制度。 </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建筑材料、构件、料具堆放零乱，堆放不齐，未标名品、种型的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工地道路不做硬化处理，工地地面无绿化，道面任意占用、工地内道路不畅通的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施工现场无排水设施或排水不全、不通畅的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无防止泥浆、污水、废水外流或堵塞下水道和排水河道措施的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5.7</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工地地面（楼层面）存在积水、积雪现象的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5.8</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施工现场、周围的建筑和生活垃圾不及时清扫、清运和处理或现场焚烧垃圾、有毒有害物质的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5.9</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施工现场临时厕所设置不足或不符合卫生要求的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5.10</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施工人员随地大小便的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5.11</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未做到工完场地清的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5.12</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不按规定高度、材质及美观要求设置工地围挡、围墙的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5.13</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不按规定对工地现场实施封闭管理的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5.14</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无门卫和无门卫制度，或门卫制度执行不严格，存在人员、车辆无证任意进出的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5.15</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现场未按安全标志总平面图设置安全标志的，或安全标志、警示标志残缺不全的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4"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5.16</w:t>
            </w:r>
          </w:p>
        </w:tc>
        <w:tc>
          <w:tcPr>
            <w:tcW w:w="6135" w:type="dxa"/>
            <w:tcBorders>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夜间施工照明设施不足、无现场管理员和安全员看护，存在安全隐患的</w:t>
            </w:r>
          </w:p>
        </w:tc>
        <w:tc>
          <w:tcPr>
            <w:tcW w:w="788" w:type="dxa"/>
            <w:tcBorders>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临时宿舍管理</w:t>
            </w:r>
          </w:p>
        </w:tc>
        <w:tc>
          <w:tcPr>
            <w:tcW w:w="788" w:type="dxa"/>
            <w:vAlign w:val="center"/>
          </w:tcPr>
          <w:p>
            <w:pPr>
              <w:pStyle w:val="123"/>
              <w:ind w:firstLine="0" w:firstLineChars="0"/>
              <w:rPr>
                <w:rFonts w:ascii="宋体" w:hAnsi="宋体" w:cs="宋体"/>
                <w:color w:val="auto"/>
                <w:sz w:val="22"/>
                <w:szCs w:val="22"/>
              </w:rPr>
            </w:pP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宿舍区管理制度不健全，未落实日常管理责任人</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宿舍区无专（兼）职治安、防火、卫生管理监督巡视员</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宿舍区未实行封闭管理，留宿外来人员无登记制度、存在男女混居现象的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在尚未竣工的建筑物内设置临设的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6.5</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临时宿舍、设施未经验收合格投入使用的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6.6</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临时宿舍、设施无抗大风（10级以上）、防雷击措施的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宿舍区消防器材配备不足或失效的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宿舍内未设置独立的漏电、短路保护器和足够数量的安全插座，存在私拉乱接电线现象的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宿舍内（包括值班室）违规使用大功率电器的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6.10</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宿舍内混杂堆放工具、用具、易燃易爆或有毒物品的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6.11</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宿舍内垃圾无人清扫，生活用品放置零乱的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6.12</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无卫生防病宣传教育,或无保健医药箱、急救器材、急救措施和经培训的急救人员的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6.13</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食堂卫生管理制度不全，管理不善，设施不全，卫生不符合要求，未按要求设置足够数量开水炉、电热水器或饮用水保温桶等基本生活设施的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6.14</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宿舍区未提供为作业人员晾晒衣物的场地和设施</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84"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6.15</w:t>
            </w:r>
          </w:p>
        </w:tc>
        <w:tc>
          <w:tcPr>
            <w:tcW w:w="6135" w:type="dxa"/>
            <w:tcBorders>
              <w:top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宿舍区未设置水冲式厕所和符合要求淋浴室的</w:t>
            </w:r>
          </w:p>
        </w:tc>
        <w:tc>
          <w:tcPr>
            <w:tcW w:w="788" w:type="dxa"/>
            <w:tcBorders>
              <w:top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4"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6.16</w:t>
            </w:r>
          </w:p>
        </w:tc>
        <w:tc>
          <w:tcPr>
            <w:tcW w:w="6135" w:type="dxa"/>
            <w:tcBorders>
              <w:top w:val="single" w:color="auto" w:sz="2" w:space="0"/>
              <w:bottom w:val="single" w:color="auto" w:sz="2" w:space="0"/>
            </w:tcBorders>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宿舍生活区未设置施工人员学习娱乐场所的</w:t>
            </w:r>
          </w:p>
        </w:tc>
        <w:tc>
          <w:tcPr>
            <w:tcW w:w="788"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6.17</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宿舍区墙壁屋顶不严密、门窗不齐全，或通风效果差的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6.18</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宿舍无保暖、防暑、防蚊虫叮咬措施的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4"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6.19</w:t>
            </w:r>
          </w:p>
        </w:tc>
        <w:tc>
          <w:tcPr>
            <w:tcW w:w="6135" w:type="dxa"/>
          </w:tcPr>
          <w:p>
            <w:pPr>
              <w:pStyle w:val="123"/>
              <w:ind w:firstLine="0" w:firstLineChars="0"/>
              <w:rPr>
                <w:rFonts w:ascii="宋体" w:hAnsi="宋体" w:cs="宋体"/>
                <w:color w:val="auto"/>
                <w:sz w:val="22"/>
                <w:szCs w:val="22"/>
              </w:rPr>
            </w:pPr>
            <w:r>
              <w:rPr>
                <w:rFonts w:hint="eastAsia" w:ascii="宋体" w:hAnsi="宋体" w:cs="宋体"/>
                <w:color w:val="auto"/>
                <w:sz w:val="22"/>
                <w:szCs w:val="22"/>
              </w:rPr>
              <w:t>宿舍生活区、大门口及周围毗邻区域垃圾未装容器，垃圾清扫、清运不及时、排水不畅，环境卫生不符合要求的</w:t>
            </w:r>
          </w:p>
        </w:tc>
        <w:tc>
          <w:tcPr>
            <w:tcW w:w="788" w:type="dxa"/>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建标</w:t>
            </w:r>
          </w:p>
        </w:tc>
        <w:tc>
          <w:tcPr>
            <w:tcW w:w="1409" w:type="dxa"/>
            <w:tcBorders>
              <w:top w:val="single" w:color="auto" w:sz="2" w:space="0"/>
              <w:bottom w:val="single" w:color="auto" w:sz="2" w:space="0"/>
            </w:tcBorders>
            <w:vAlign w:val="center"/>
          </w:tcPr>
          <w:p>
            <w:pPr>
              <w:pStyle w:val="123"/>
              <w:ind w:firstLine="0" w:firstLineChars="0"/>
              <w:rPr>
                <w:rFonts w:ascii="宋体" w:hAnsi="宋体" w:cs="宋体"/>
                <w:color w:val="auto"/>
                <w:sz w:val="22"/>
                <w:szCs w:val="22"/>
              </w:rPr>
            </w:pPr>
            <w:r>
              <w:rPr>
                <w:rFonts w:hint="eastAsia" w:ascii="宋体" w:hAnsi="宋体" w:cs="宋体"/>
                <w:color w:val="auto"/>
                <w:sz w:val="22"/>
                <w:szCs w:val="22"/>
              </w:rPr>
              <w:t>300元/项</w:t>
            </w:r>
          </w:p>
        </w:tc>
      </w:tr>
    </w:tbl>
    <w:p>
      <w:pPr>
        <w:pStyle w:val="123"/>
        <w:ind w:firstLine="0" w:firstLineChars="0"/>
        <w:rPr>
          <w:rFonts w:ascii="宋体" w:hAnsi="宋体"/>
          <w:color w:val="auto"/>
        </w:rPr>
        <w:sectPr>
          <w:footerReference r:id="rId7" w:type="first"/>
          <w:pgSz w:w="11906" w:h="16838"/>
          <w:pgMar w:top="1134" w:right="1247" w:bottom="1134" w:left="1247" w:header="851" w:footer="992" w:gutter="0"/>
          <w:pgNumType w:fmt="numberInDash"/>
          <w:cols w:space="720" w:num="1"/>
          <w:docGrid w:linePitch="312" w:charSpace="0"/>
        </w:sectPr>
      </w:pPr>
    </w:p>
    <w:p>
      <w:pPr>
        <w:pStyle w:val="123"/>
        <w:ind w:firstLine="0" w:firstLineChars="0"/>
        <w:rPr>
          <w:rFonts w:ascii="宋体" w:hAnsi="宋体"/>
          <w:color w:val="auto"/>
        </w:rPr>
      </w:pPr>
      <w:r>
        <w:rPr>
          <w:rFonts w:hint="eastAsia" w:ascii="宋体" w:hAnsi="宋体"/>
          <w:color w:val="auto"/>
        </w:rPr>
        <w:t>附件三</w:t>
      </w:r>
    </w:p>
    <w:p>
      <w:pPr>
        <w:pStyle w:val="123"/>
        <w:ind w:firstLine="0" w:firstLineChars="0"/>
        <w:jc w:val="center"/>
        <w:rPr>
          <w:rFonts w:ascii="宋体" w:hAnsi="宋体"/>
          <w:b/>
          <w:color w:val="auto"/>
          <w:sz w:val="36"/>
        </w:rPr>
      </w:pPr>
      <w:r>
        <w:rPr>
          <w:rFonts w:hint="eastAsia" w:ascii="宋体" w:hAnsi="宋体"/>
          <w:b/>
          <w:color w:val="auto"/>
          <w:sz w:val="36"/>
        </w:rPr>
        <w:t>廉洁自律承诺书</w:t>
      </w:r>
    </w:p>
    <w:p>
      <w:pPr>
        <w:pStyle w:val="123"/>
        <w:ind w:firstLine="0" w:firstLineChars="0"/>
        <w:rPr>
          <w:rFonts w:ascii="宋体" w:hAnsi="宋体"/>
          <w:color w:val="auto"/>
        </w:rPr>
      </w:pPr>
    </w:p>
    <w:p>
      <w:pPr>
        <w:pStyle w:val="128"/>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28"/>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8"/>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8"/>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8"/>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8"/>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（1）立即取消我单位投标、中标或在建项目的实施资格；</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（2）扣除我方向贵公司缴纳的履约保证金的10%作为违反廉洁自律承诺的违约金。如该违约金不足以弥补贵公司损失的，我单位仍将承担实际损失赔偿责任。</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（3）拒绝我单位在一定时期内进入贵公司进行项目建设或其它经营活动；</w:t>
      </w:r>
    </w:p>
    <w:p>
      <w:pPr>
        <w:pStyle w:val="128"/>
        <w:adjustRightInd w:val="0"/>
        <w:snapToGrid w:val="0"/>
        <w:ind w:left="600" w:firstLine="0" w:firstLineChars="0"/>
        <w:jc w:val="left"/>
        <w:rPr>
          <w:rFonts w:ascii="宋体" w:hAnsi="宋体"/>
          <w:sz w:val="24"/>
          <w:szCs w:val="24"/>
        </w:rPr>
      </w:pPr>
      <w:r>
        <w:rPr>
          <w:rFonts w:hint="eastAsia" w:ascii="宋体" w:hAnsi="宋体"/>
          <w:sz w:val="24"/>
          <w:szCs w:val="24"/>
        </w:rPr>
        <w:t>（4）由此引起的相应损失均由我单位承担。</w:t>
      </w:r>
    </w:p>
    <w:p>
      <w:pPr>
        <w:pStyle w:val="128"/>
        <w:adjustRightInd w:val="0"/>
        <w:snapToGrid w:val="0"/>
        <w:ind w:firstLine="480"/>
        <w:jc w:val="left"/>
        <w:rPr>
          <w:rFonts w:ascii="宋体" w:hAnsi="宋体"/>
          <w:sz w:val="24"/>
          <w:szCs w:val="24"/>
        </w:rPr>
      </w:pPr>
    </w:p>
    <w:p>
      <w:pPr>
        <w:pStyle w:val="128"/>
        <w:adjustRightInd w:val="0"/>
        <w:snapToGrid w:val="0"/>
        <w:ind w:firstLine="480"/>
        <w:jc w:val="left"/>
        <w:rPr>
          <w:rFonts w:ascii="宋体" w:hAnsi="宋体"/>
          <w:sz w:val="24"/>
          <w:szCs w:val="24"/>
        </w:rPr>
      </w:pPr>
      <w:r>
        <w:rPr>
          <w:rFonts w:hint="eastAsia" w:ascii="宋体" w:hAnsi="宋体"/>
          <w:sz w:val="24"/>
          <w:szCs w:val="24"/>
        </w:rPr>
        <w:t xml:space="preserve">承诺人单位名称（盖章）：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法定代表人 ：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或                            </w:t>
      </w:r>
    </w:p>
    <w:p>
      <w:pPr>
        <w:pStyle w:val="128"/>
        <w:adjustRightInd w:val="0"/>
        <w:snapToGrid w:val="0"/>
        <w:ind w:firstLine="480"/>
        <w:jc w:val="left"/>
        <w:rPr>
          <w:rFonts w:ascii="宋体" w:hAnsi="宋体"/>
          <w:sz w:val="24"/>
          <w:szCs w:val="24"/>
        </w:rPr>
      </w:pPr>
      <w:r>
        <w:rPr>
          <w:rFonts w:hint="eastAsia" w:ascii="宋体" w:hAnsi="宋体"/>
          <w:sz w:val="24"/>
          <w:szCs w:val="24"/>
        </w:rPr>
        <w:t xml:space="preserve">委托代理人：                   </w:t>
      </w:r>
    </w:p>
    <w:p>
      <w:pPr>
        <w:pStyle w:val="128"/>
        <w:adjustRightInd w:val="0"/>
        <w:snapToGrid w:val="0"/>
        <w:ind w:firstLine="482"/>
        <w:jc w:val="left"/>
        <w:rPr>
          <w:rFonts w:ascii="宋体" w:hAnsi="宋体"/>
          <w:b/>
          <w:sz w:val="24"/>
          <w:szCs w:val="24"/>
        </w:rPr>
      </w:pPr>
    </w:p>
    <w:p>
      <w:pPr>
        <w:pStyle w:val="51"/>
        <w:widowControl/>
        <w:jc w:val="left"/>
        <w:rPr>
          <w:b w:val="0"/>
        </w:rPr>
      </w:pPr>
      <w:r>
        <w:rPr>
          <w:rFonts w:hint="eastAsia" w:ascii="宋体" w:hAnsi="宋体" w:eastAsia="宋体"/>
          <w:b w:val="0"/>
          <w:sz w:val="24"/>
          <w:szCs w:val="24"/>
        </w:rPr>
        <w:t xml:space="preserve">                           年     月     日</w:t>
      </w:r>
    </w:p>
    <w:p>
      <w:pPr>
        <w:widowControl/>
        <w:jc w:val="left"/>
        <w:rPr>
          <w:rFonts w:ascii="Cambria" w:hAnsi="Cambria" w:eastAsia="黑体" w:cs="Times New Roman"/>
          <w:b/>
          <w:bCs/>
          <w:kern w:val="0"/>
          <w:sz w:val="32"/>
          <w:szCs w:val="32"/>
        </w:rPr>
      </w:pPr>
      <w:r>
        <w:br w:type="page"/>
      </w:r>
    </w:p>
    <w:p>
      <w:pPr>
        <w:pStyle w:val="51"/>
      </w:pPr>
      <w:bookmarkStart w:id="92" w:name="_Toc450630562"/>
      <w:r>
        <w:rPr>
          <w:rFonts w:hint="eastAsia"/>
        </w:rPr>
        <w:t>第四章  参考工程量清单</w:t>
      </w:r>
      <w:bookmarkEnd w:id="92"/>
    </w:p>
    <w:p>
      <w:pPr>
        <w:widowControl/>
        <w:ind w:firstLine="480" w:firstLineChars="200"/>
        <w:jc w:val="left"/>
        <w:rPr>
          <w:rFonts w:ascii="Cambria" w:hAnsi="Cambria" w:eastAsia="黑体" w:cs="Times New Roman"/>
          <w:b/>
          <w:bCs/>
          <w:kern w:val="0"/>
          <w:sz w:val="32"/>
          <w:szCs w:val="32"/>
        </w:rPr>
      </w:pPr>
      <w:r>
        <w:rPr>
          <w:rFonts w:hint="eastAsia"/>
        </w:rPr>
        <w:t>详细内容见第五章技术标准及要求</w:t>
      </w:r>
      <w:r>
        <w:br w:type="page"/>
      </w:r>
    </w:p>
    <w:p>
      <w:pPr>
        <w:pStyle w:val="51"/>
        <w:rPr>
          <w:rFonts w:ascii="宋体" w:hAnsi="宋体"/>
          <w:sz w:val="22"/>
        </w:rPr>
      </w:pPr>
      <w:bookmarkStart w:id="93" w:name="_Toc450630563"/>
      <w:r>
        <w:rPr>
          <w:rFonts w:hint="eastAsia"/>
        </w:rPr>
        <w:t xml:space="preserve">第五章  </w:t>
      </w:r>
      <w:bookmarkEnd w:id="93"/>
      <w:r>
        <w:rPr>
          <w:rFonts w:hint="eastAsia"/>
        </w:rPr>
        <w:t>技术标准及要求</w:t>
      </w:r>
    </w:p>
    <w:p>
      <w:pPr>
        <w:pStyle w:val="2"/>
        <w:widowControl/>
        <w:spacing w:line="360" w:lineRule="exact"/>
        <w:ind w:right="2" w:rightChars="1"/>
        <w:jc w:val="both"/>
        <w:rPr>
          <w:rFonts w:ascii="宋体" w:hAnsi="宋体" w:cs="宋体"/>
          <w:color w:val="000000"/>
          <w:sz w:val="22"/>
          <w:szCs w:val="22"/>
        </w:rPr>
      </w:pPr>
      <w:bookmarkStart w:id="94" w:name="_Toc105213123"/>
      <w:bookmarkStart w:id="95" w:name="_Toc118207929"/>
      <w:bookmarkStart w:id="96" w:name="_Toc124561160"/>
      <w:bookmarkStart w:id="97" w:name="_Toc214177989"/>
      <w:bookmarkStart w:id="98" w:name="_Toc118101327"/>
      <w:bookmarkStart w:id="99" w:name="_Toc4765"/>
      <w:bookmarkStart w:id="100" w:name="_Toc118624721"/>
      <w:bookmarkStart w:id="101" w:name="_Toc392056798"/>
      <w:bookmarkStart w:id="102" w:name="_Toc119258084"/>
      <w:bookmarkStart w:id="103" w:name="_Toc119504303"/>
      <w:bookmarkStart w:id="104" w:name="_Toc123028527"/>
      <w:bookmarkStart w:id="105" w:name="_Toc119378288"/>
      <w:bookmarkStart w:id="106" w:name="_Toc386910844"/>
      <w:bookmarkStart w:id="107" w:name="_Toc17021"/>
      <w:bookmarkStart w:id="108" w:name="_Toc127347639"/>
      <w:bookmarkStart w:id="109" w:name="_Toc122958925"/>
      <w:bookmarkStart w:id="110" w:name="_Toc119378476"/>
      <w:bookmarkStart w:id="111" w:name="_1总则"/>
      <w:bookmarkStart w:id="112" w:name="_Toc119258098"/>
      <w:bookmarkStart w:id="113" w:name="_Toc127347647"/>
      <w:bookmarkStart w:id="114" w:name="_Toc123028535"/>
      <w:bookmarkStart w:id="115" w:name="_Toc122958933"/>
      <w:bookmarkStart w:id="116" w:name="_Toc124561168"/>
      <w:bookmarkStart w:id="117" w:name="_Toc214177997"/>
      <w:r>
        <w:rPr>
          <w:rFonts w:hint="eastAsia" w:ascii="宋体" w:hAnsi="宋体" w:cs="宋体"/>
          <w:color w:val="000000"/>
          <w:sz w:val="22"/>
          <w:szCs w:val="22"/>
        </w:rPr>
        <w:t>1总则</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End w:id="111"/>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18" w:name="_Toc119378477"/>
      <w:bookmarkStart w:id="119" w:name="_Toc127347640"/>
      <w:bookmarkStart w:id="120" w:name="_Toc123028528"/>
      <w:bookmarkStart w:id="121" w:name="_Toc119504304"/>
      <w:bookmarkStart w:id="122" w:name="_Toc119258085"/>
      <w:bookmarkStart w:id="123" w:name="_Toc214177990"/>
      <w:bookmarkStart w:id="124" w:name="_Toc122958926"/>
      <w:bookmarkStart w:id="125" w:name="_Toc124561161"/>
      <w:bookmarkStart w:id="126" w:name="_Toc392056799"/>
      <w:bookmarkStart w:id="127" w:name="_Toc386910845"/>
      <w:bookmarkStart w:id="128" w:name="_Toc119378289"/>
      <w:r>
        <w:rPr>
          <w:rFonts w:hint="eastAsia" w:ascii="宋体" w:hAnsi="宋体" w:cs="宋体"/>
          <w:color w:val="000000"/>
          <w:sz w:val="22"/>
          <w:szCs w:val="22"/>
        </w:rPr>
        <w:t>1.1概述</w:t>
      </w:r>
      <w:bookmarkEnd w:id="118"/>
      <w:bookmarkEnd w:id="119"/>
      <w:bookmarkEnd w:id="120"/>
      <w:bookmarkEnd w:id="121"/>
      <w:bookmarkEnd w:id="122"/>
      <w:bookmarkEnd w:id="123"/>
      <w:bookmarkEnd w:id="124"/>
      <w:bookmarkEnd w:id="125"/>
      <w:bookmarkEnd w:id="126"/>
      <w:bookmarkEnd w:id="127"/>
      <w:bookmarkEnd w:id="128"/>
    </w:p>
    <w:p>
      <w:pPr>
        <w:snapToGrid w:val="0"/>
        <w:spacing w:line="360" w:lineRule="exact"/>
        <w:ind w:right="2" w:rightChars="1" w:firstLine="440" w:firstLineChars="200"/>
        <w:rPr>
          <w:rFonts w:ascii="宋体" w:hAnsi="宋体" w:eastAsia="宋体" w:cs="宋体"/>
          <w:b/>
          <w:color w:val="000000"/>
          <w:sz w:val="22"/>
          <w:szCs w:val="22"/>
        </w:rPr>
      </w:pPr>
      <w:r>
        <w:rPr>
          <w:rFonts w:hint="eastAsia" w:ascii="宋体" w:hAnsi="宋体" w:eastAsia="宋体" w:cs="宋体"/>
          <w:color w:val="000000"/>
          <w:sz w:val="22"/>
          <w:szCs w:val="22"/>
        </w:rPr>
        <w:t>本技术标准及要求是招标文件的组成部分，内容包括</w:t>
      </w:r>
      <w:r>
        <w:rPr>
          <w:rFonts w:hint="eastAsia" w:ascii="宋体" w:hAnsi="宋体" w:eastAsia="宋体" w:cs="宋体"/>
          <w:color w:val="000000"/>
          <w:sz w:val="22"/>
          <w:szCs w:val="22"/>
          <w:u w:val="single"/>
        </w:rPr>
        <w:t>杭州萧山国际机场有限公司</w:t>
      </w:r>
      <w:r>
        <w:rPr>
          <w:rFonts w:hint="eastAsia" w:ascii="宋体" w:hAnsi="宋体" w:eastAsia="宋体" w:cs="宋体"/>
          <w:kern w:val="0"/>
          <w:sz w:val="22"/>
          <w:szCs w:val="22"/>
          <w:u w:val="single"/>
        </w:rPr>
        <w:t>航站楼行李转盘视频监控及显示屏安装</w:t>
      </w:r>
      <w:r>
        <w:rPr>
          <w:rFonts w:hint="eastAsia" w:ascii="宋体" w:hAnsi="宋体" w:eastAsia="宋体" w:cs="宋体"/>
          <w:color w:val="000000"/>
          <w:kern w:val="0"/>
          <w:sz w:val="22"/>
          <w:szCs w:val="22"/>
          <w:u w:val="single"/>
        </w:rPr>
        <w:t>工程</w:t>
      </w:r>
      <w:r>
        <w:rPr>
          <w:rFonts w:hint="eastAsia" w:ascii="宋体" w:hAnsi="宋体" w:eastAsia="宋体" w:cs="宋体"/>
          <w:color w:val="000000"/>
          <w:sz w:val="22"/>
          <w:szCs w:val="22"/>
        </w:rPr>
        <w:t>的主要规格、要求、资料及有关文件。</w:t>
      </w:r>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必须按招标文件各章节条款的内容合理编制投标文件，并在投标文件中按本技术标准及要求要求按顺序逐项作出实质性应答，投标文件与本技术标准及要求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exact"/>
        <w:ind w:firstLine="440" w:firstLineChars="200"/>
        <w:rPr>
          <w:rFonts w:ascii="宋体" w:hAnsi="宋体" w:eastAsia="宋体" w:cs="宋体"/>
          <w:color w:val="000000"/>
          <w:sz w:val="22"/>
          <w:szCs w:val="22"/>
        </w:rPr>
      </w:pPr>
      <w:bookmarkStart w:id="129" w:name="_Toc283888180"/>
      <w:bookmarkStart w:id="130" w:name="_Toc283888221"/>
      <w:r>
        <w:rPr>
          <w:rFonts w:hint="eastAsia" w:ascii="宋体" w:hAnsi="宋体" w:eastAsia="宋体" w:cs="宋体"/>
          <w:color w:val="000000"/>
          <w:sz w:val="22"/>
          <w:szCs w:val="22"/>
        </w:rPr>
        <w:t>投标人提供的安防系统必须是全新的未曾使用过的设备。</w:t>
      </w:r>
      <w:bookmarkEnd w:id="129"/>
      <w:bookmarkEnd w:id="130"/>
    </w:p>
    <w:p>
      <w:pPr>
        <w:snapToGrid w:val="0"/>
        <w:spacing w:line="360" w:lineRule="exact"/>
        <w:ind w:right="2" w:rightChars="1" w:firstLine="440" w:firstLineChars="200"/>
        <w:rPr>
          <w:rFonts w:ascii="宋体" w:hAnsi="宋体" w:eastAsia="宋体" w:cs="宋体"/>
          <w:color w:val="000000"/>
          <w:sz w:val="22"/>
          <w:szCs w:val="22"/>
        </w:rPr>
      </w:pPr>
      <w:bookmarkStart w:id="131" w:name="_Toc283888222"/>
      <w:bookmarkStart w:id="132" w:name="_Toc283888181"/>
      <w:r>
        <w:rPr>
          <w:rFonts w:hint="eastAsia" w:ascii="宋体" w:hAnsi="宋体" w:eastAsia="宋体" w:cs="宋体"/>
          <w:color w:val="000000"/>
          <w:sz w:val="22"/>
          <w:szCs w:val="22"/>
        </w:rPr>
        <w:t>投标人应保证所供安防系统的先进性、可靠性和适用性。</w:t>
      </w:r>
      <w:bookmarkEnd w:id="131"/>
      <w:bookmarkEnd w:id="132"/>
    </w:p>
    <w:p>
      <w:pPr>
        <w:snapToGrid w:val="0"/>
        <w:spacing w:line="360" w:lineRule="exact"/>
        <w:ind w:right="2" w:rightChars="1" w:firstLine="440" w:firstLineChars="200"/>
        <w:rPr>
          <w:rFonts w:ascii="宋体" w:hAnsi="宋体" w:eastAsia="宋体" w:cs="宋体"/>
          <w:color w:val="000000"/>
          <w:sz w:val="22"/>
          <w:szCs w:val="22"/>
        </w:rPr>
      </w:pPr>
      <w:bookmarkStart w:id="133" w:name="_Toc283888182"/>
      <w:bookmarkStart w:id="134" w:name="_Toc283888223"/>
      <w:r>
        <w:rPr>
          <w:rFonts w:hint="eastAsia" w:ascii="宋体" w:hAnsi="宋体" w:eastAsia="宋体" w:cs="宋体"/>
          <w:color w:val="000000"/>
          <w:sz w:val="22"/>
          <w:szCs w:val="22"/>
        </w:rPr>
        <w:t>投标人应保证所供安防系统的完整性和成套性，能保证安防系统的正常运行和使用。</w:t>
      </w:r>
      <w:bookmarkEnd w:id="133"/>
      <w:bookmarkEnd w:id="134"/>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exact"/>
        <w:ind w:right="2" w:rightChars="1"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exact"/>
        <w:ind w:right="2" w:rightChars="1"/>
        <w:rPr>
          <w:rFonts w:hAnsi="宋体" w:cs="宋体"/>
          <w:bCs/>
          <w:color w:val="000000"/>
          <w:sz w:val="22"/>
          <w:szCs w:val="22"/>
        </w:rPr>
      </w:pPr>
      <w:bookmarkStart w:id="135" w:name="_Toc119258088"/>
      <w:r>
        <w:rPr>
          <w:rFonts w:hint="eastAsia" w:hAnsi="宋体" w:cs="宋体"/>
          <w:bCs/>
          <w:color w:val="000000"/>
          <w:sz w:val="22"/>
          <w:szCs w:val="22"/>
        </w:rPr>
        <w:t>1.1.1工程项目概况</w:t>
      </w:r>
      <w:bookmarkEnd w:id="135"/>
    </w:p>
    <w:p>
      <w:pPr>
        <w:adjustRightInd w:val="0"/>
        <w:snapToGrid w:val="0"/>
        <w:spacing w:line="360" w:lineRule="exact"/>
        <w:ind w:firstLine="440" w:firstLineChars="200"/>
        <w:rPr>
          <w:rFonts w:ascii="宋体" w:hAnsi="宋体" w:eastAsia="宋体" w:cs="宋体"/>
          <w:color w:val="000000"/>
          <w:kern w:val="0"/>
          <w:sz w:val="22"/>
          <w:szCs w:val="22"/>
        </w:rPr>
      </w:pPr>
      <w:bookmarkStart w:id="136" w:name="_Toc119258091"/>
      <w:bookmarkStart w:id="137" w:name="_Toc119378290"/>
      <w:bookmarkStart w:id="138" w:name="_Toc119378478"/>
      <w:bookmarkStart w:id="139" w:name="_Toc123028529"/>
      <w:bookmarkStart w:id="140" w:name="_Toc124561162"/>
      <w:bookmarkStart w:id="141" w:name="_Toc119504305"/>
      <w:bookmarkStart w:id="142" w:name="_Toc392056800"/>
      <w:bookmarkStart w:id="143" w:name="_Toc214177991"/>
      <w:bookmarkStart w:id="144" w:name="_Toc127347641"/>
      <w:bookmarkStart w:id="145" w:name="_Toc386910846"/>
      <w:bookmarkStart w:id="146" w:name="_Toc122958927"/>
      <w:bookmarkStart w:id="147" w:name="OLE_LINK6"/>
      <w:r>
        <w:rPr>
          <w:rFonts w:hint="eastAsia" w:ascii="宋体" w:hAnsi="宋体" w:eastAsia="宋体" w:cs="宋体"/>
          <w:color w:val="000000"/>
          <w:kern w:val="0"/>
          <w:sz w:val="22"/>
          <w:szCs w:val="22"/>
        </w:rPr>
        <w:t>在航站楼13个行李转盘区域合计安装13个视频监控摄像机及13个监控显示屏，用于监控并显示行李装卸情况。</w:t>
      </w:r>
    </w:p>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r>
        <w:rPr>
          <w:rFonts w:hint="eastAsia" w:ascii="宋体" w:hAnsi="宋体" w:cs="宋体"/>
          <w:color w:val="000000"/>
          <w:sz w:val="22"/>
          <w:szCs w:val="22"/>
        </w:rPr>
        <w:t>1.2总体要求</w:t>
      </w:r>
      <w:bookmarkEnd w:id="136"/>
      <w:bookmarkEnd w:id="137"/>
      <w:bookmarkEnd w:id="138"/>
      <w:bookmarkEnd w:id="139"/>
      <w:bookmarkEnd w:id="140"/>
      <w:bookmarkEnd w:id="141"/>
      <w:bookmarkEnd w:id="142"/>
      <w:bookmarkEnd w:id="143"/>
      <w:bookmarkEnd w:id="144"/>
      <w:bookmarkEnd w:id="145"/>
      <w:bookmarkEnd w:id="146"/>
    </w:p>
    <w:bookmarkEnd w:id="147"/>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1.2.1</w:t>
      </w:r>
      <w:r>
        <w:rPr>
          <w:rFonts w:hint="eastAsia" w:hAnsi="宋体" w:cs="宋体"/>
          <w:b w:val="0"/>
          <w:bCs/>
          <w:color w:val="000000"/>
          <w:sz w:val="22"/>
          <w:szCs w:val="22"/>
        </w:rPr>
        <w:t>投标人须认真阅读本技术标准及要求，若投标人与招标人对条款的理解不一致或者技术标准及要求中描述的内容出现前后不一致，以招标人的解释为准。</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1.2.2</w:t>
      </w:r>
      <w:r>
        <w:rPr>
          <w:rFonts w:hint="eastAsia" w:hAnsi="宋体" w:cs="宋体"/>
          <w:b w:val="0"/>
          <w:bCs/>
          <w:color w:val="000000"/>
          <w:sz w:val="22"/>
          <w:szCs w:val="22"/>
        </w:rPr>
        <w:t>投标人必须根据</w:t>
      </w:r>
      <w:bookmarkStart w:id="148" w:name="OLE_LINK7"/>
      <w:r>
        <w:rPr>
          <w:rFonts w:hint="eastAsia" w:hAnsi="宋体" w:cs="宋体"/>
          <w:b w:val="0"/>
          <w:bCs/>
          <w:color w:val="000000"/>
          <w:sz w:val="22"/>
          <w:szCs w:val="22"/>
        </w:rPr>
        <w:t>本技术标准及要求的要求在投标时提供投标技术标准及要求，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1.2.3</w:t>
      </w:r>
      <w:bookmarkStart w:id="149" w:name="OLE_LINK15"/>
      <w:r>
        <w:rPr>
          <w:rFonts w:hint="eastAsia" w:hAnsi="宋体" w:cs="宋体"/>
          <w:b w:val="0"/>
          <w:bCs/>
          <w:color w:val="000000"/>
          <w:sz w:val="22"/>
          <w:szCs w:val="22"/>
        </w:rPr>
        <w:t>本技术标准及要求仅指工程的主要要求，不应作为完整</w:t>
      </w:r>
      <w:bookmarkEnd w:id="148"/>
      <w:r>
        <w:rPr>
          <w:rFonts w:hint="eastAsia" w:hAnsi="宋体" w:cs="宋体"/>
          <w:b w:val="0"/>
          <w:bCs/>
          <w:color w:val="000000"/>
          <w:sz w:val="22"/>
          <w:szCs w:val="22"/>
        </w:rPr>
        <w:t>的详细的要求，投标人应提供完整的详细的系统设计、设备材料配置，并计入投标总价。如果满足本技术标准及要求所要求的系统功能和性能所需的软件、硬件、服务未列入投标总价，投标人必须在不变更投标总价的前提下予以补足。</w:t>
      </w:r>
    </w:p>
    <w:bookmarkEnd w:id="149"/>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1.2.4</w:t>
      </w:r>
      <w:r>
        <w:rPr>
          <w:rFonts w:hint="eastAsia" w:hAnsi="宋体" w:cs="宋体"/>
          <w:b w:val="0"/>
          <w:bCs/>
          <w:color w:val="000000"/>
          <w:sz w:val="22"/>
          <w:szCs w:val="22"/>
        </w:rPr>
        <w:t>为满足本技术标准及要求中要求的系统功能和性能，投标人应提供本技术标准及要求中未描述的所需的全部设备、附件、软件、工具和服务，费用包含在投标总价内。</w:t>
      </w:r>
    </w:p>
    <w:p>
      <w:pPr>
        <w:pStyle w:val="4"/>
        <w:keepNext w:val="0"/>
        <w:numPr>
          <w:ilvl w:val="0"/>
          <w:numId w:val="0"/>
        </w:numPr>
        <w:tabs>
          <w:tab w:val="left" w:pos="720"/>
        </w:tabs>
        <w:snapToGrid w:val="0"/>
        <w:spacing w:line="360" w:lineRule="exact"/>
        <w:ind w:left="-823" w:leftChars="-343" w:firstLine="753" w:firstLineChars="341"/>
        <w:rPr>
          <w:rFonts w:hAnsi="宋体" w:cs="宋体"/>
          <w:b w:val="0"/>
          <w:bCs/>
          <w:color w:val="000000"/>
          <w:sz w:val="22"/>
          <w:szCs w:val="22"/>
        </w:rPr>
      </w:pPr>
      <w:bookmarkStart w:id="150" w:name="_Toc107240627"/>
      <w:r>
        <w:rPr>
          <w:rFonts w:hint="eastAsia" w:hAnsi="宋体" w:cs="宋体"/>
          <w:bCs/>
          <w:color w:val="000000"/>
          <w:sz w:val="22"/>
          <w:szCs w:val="22"/>
        </w:rPr>
        <w:t>1.2.5</w:t>
      </w:r>
      <w:r>
        <w:rPr>
          <w:rFonts w:hint="eastAsia" w:hAnsi="宋体" w:cs="宋体"/>
          <w:b w:val="0"/>
          <w:bCs/>
          <w:color w:val="000000"/>
          <w:sz w:val="22"/>
          <w:szCs w:val="22"/>
        </w:rPr>
        <w:t>招标人保留采纳投标人所提供的更为优秀可靠的系统设计方案的权利。</w:t>
      </w:r>
      <w:bookmarkEnd w:id="150"/>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1.2.6</w:t>
      </w:r>
      <w:r>
        <w:rPr>
          <w:rFonts w:hint="eastAsia" w:hAnsi="宋体" w:cs="宋体"/>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1.2.7</w:t>
      </w:r>
      <w:r>
        <w:rPr>
          <w:rFonts w:hint="eastAsia" w:hAnsi="宋体" w:cs="宋体"/>
          <w:b w:val="0"/>
          <w:bCs/>
          <w:color w:val="000000"/>
          <w:sz w:val="22"/>
          <w:szCs w:val="22"/>
        </w:rPr>
        <w:t>投标人应仔细研究本技术标准及要求，在满足规格书所有技术要求的前提下，结合土建结构和系统设备的特点，对本规格书提出的安防系统的设计和系统配置提出更详细的系统方案，并用文字和图纸做详细说明。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1.2.8</w:t>
      </w:r>
      <w:r>
        <w:rPr>
          <w:rFonts w:hint="eastAsia" w:hAnsi="宋体" w:cs="宋体"/>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exact"/>
        <w:rPr>
          <w:rFonts w:hAnsi="宋体" w:cs="宋体"/>
          <w:b w:val="0"/>
          <w:bCs/>
          <w:color w:val="000000"/>
          <w:sz w:val="22"/>
          <w:szCs w:val="22"/>
        </w:rPr>
      </w:pPr>
      <w:r>
        <w:rPr>
          <w:rFonts w:hint="eastAsia" w:hAnsi="宋体" w:cs="宋体"/>
          <w:bCs/>
          <w:color w:val="000000"/>
          <w:sz w:val="22"/>
          <w:szCs w:val="22"/>
        </w:rPr>
        <w:t>1.2.9</w:t>
      </w:r>
      <w:r>
        <w:rPr>
          <w:rFonts w:hint="eastAsia" w:hAnsi="宋体" w:cs="宋体"/>
          <w:b w:val="0"/>
          <w:bCs/>
          <w:color w:val="000000"/>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exact"/>
        <w:rPr>
          <w:rFonts w:hAnsi="宋体" w:cs="宋体"/>
          <w:bCs/>
          <w:color w:val="000000"/>
          <w:sz w:val="22"/>
          <w:szCs w:val="22"/>
        </w:rPr>
      </w:pPr>
      <w:bookmarkStart w:id="151" w:name="_Toc113810169"/>
      <w:bookmarkStart w:id="152" w:name="_Toc107586417"/>
      <w:r>
        <w:rPr>
          <w:rFonts w:hint="eastAsia" w:hAnsi="宋体" w:cs="宋体"/>
          <w:bCs/>
          <w:color w:val="000000"/>
          <w:sz w:val="22"/>
          <w:szCs w:val="22"/>
        </w:rPr>
        <w:t>1.2.10系统总体产品及服务质量保证要求</w:t>
      </w:r>
      <w:bookmarkEnd w:id="151"/>
      <w:bookmarkEnd w:id="152"/>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1.2.10.1</w:t>
      </w:r>
      <w:r>
        <w:rPr>
          <w:rFonts w:hint="eastAsia" w:ascii="宋体" w:hAnsi="宋体" w:eastAsia="宋体" w:cs="宋体"/>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1.2.10.2</w:t>
      </w:r>
      <w:r>
        <w:rPr>
          <w:rFonts w:hint="eastAsia" w:ascii="宋体" w:hAnsi="宋体" w:eastAsia="宋体" w:cs="宋体"/>
          <w:b w:val="0"/>
          <w:color w:val="00000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1.2.10.3</w:t>
      </w:r>
      <w:r>
        <w:rPr>
          <w:rFonts w:hint="eastAsia" w:ascii="宋体" w:hAnsi="宋体" w:eastAsia="宋体" w:cs="宋体"/>
          <w:b w:val="0"/>
          <w:color w:val="000000"/>
          <w:sz w:val="22"/>
          <w:szCs w:val="22"/>
        </w:rPr>
        <w:t>投标人所提供的产品必须是全新的、无破损的，为原厂包装，并符合本技术标准及要求规定的规格、质量。</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1.2.10.4</w:t>
      </w:r>
      <w:r>
        <w:rPr>
          <w:rFonts w:hint="eastAsia" w:ascii="宋体" w:hAnsi="宋体" w:eastAsia="宋体" w:cs="宋体"/>
          <w:b w:val="0"/>
          <w:color w:val="00000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exact"/>
        <w:ind w:left="-720"/>
        <w:rPr>
          <w:rFonts w:hAnsi="宋体" w:cs="宋体"/>
          <w:bCs/>
          <w:color w:val="000000"/>
          <w:sz w:val="22"/>
          <w:szCs w:val="22"/>
        </w:rPr>
      </w:pPr>
      <w:bookmarkStart w:id="153" w:name="_Toc113810170"/>
      <w:bookmarkStart w:id="154" w:name="_Toc107586418"/>
      <w:r>
        <w:rPr>
          <w:rFonts w:hint="eastAsia" w:hAnsi="宋体" w:cs="宋体"/>
          <w:bCs/>
          <w:color w:val="000000"/>
          <w:sz w:val="22"/>
          <w:szCs w:val="22"/>
        </w:rPr>
        <w:t xml:space="preserve">      1.2.11资料管理要求</w:t>
      </w:r>
      <w:bookmarkEnd w:id="153"/>
      <w:bookmarkEnd w:id="154"/>
    </w:p>
    <w:p>
      <w:pPr>
        <w:snapToGrid w:val="0"/>
        <w:spacing w:line="36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提供的资料（除随机资料外）要求以中文为准。</w:t>
      </w:r>
    </w:p>
    <w:p>
      <w:pPr>
        <w:pStyle w:val="4"/>
        <w:keepNext w:val="0"/>
        <w:numPr>
          <w:ilvl w:val="0"/>
          <w:numId w:val="0"/>
        </w:numPr>
        <w:tabs>
          <w:tab w:val="left" w:pos="720"/>
        </w:tabs>
        <w:snapToGrid w:val="0"/>
        <w:spacing w:line="360" w:lineRule="exact"/>
        <w:ind w:left="-720"/>
        <w:rPr>
          <w:rFonts w:hAnsi="宋体" w:cs="宋体"/>
          <w:bCs/>
          <w:color w:val="000000"/>
          <w:sz w:val="22"/>
          <w:szCs w:val="22"/>
        </w:rPr>
      </w:pPr>
      <w:bookmarkStart w:id="155" w:name="_Toc81378259"/>
      <w:bookmarkStart w:id="156" w:name="_Toc81122692"/>
      <w:bookmarkStart w:id="157" w:name="_Toc81122749"/>
      <w:bookmarkStart w:id="158" w:name="_Toc51336888"/>
      <w:bookmarkStart w:id="159" w:name="_Toc81390750"/>
      <w:bookmarkStart w:id="160" w:name="_Toc81122222"/>
      <w:r>
        <w:rPr>
          <w:rFonts w:hint="eastAsia" w:hAnsi="宋体" w:cs="宋体"/>
          <w:bCs/>
          <w:color w:val="000000"/>
          <w:sz w:val="22"/>
          <w:szCs w:val="22"/>
        </w:rPr>
        <w:t xml:space="preserve">      1.2.12工地勘察</w:t>
      </w:r>
      <w:bookmarkEnd w:id="155"/>
      <w:bookmarkEnd w:id="156"/>
      <w:bookmarkEnd w:id="157"/>
      <w:bookmarkEnd w:id="158"/>
      <w:bookmarkEnd w:id="159"/>
      <w:bookmarkEnd w:id="160"/>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1.2.12.1</w:t>
      </w:r>
      <w:r>
        <w:rPr>
          <w:rFonts w:hint="eastAsia" w:ascii="宋体" w:hAnsi="宋体" w:eastAsia="宋体" w:cs="宋体"/>
          <w:b w:val="0"/>
          <w:color w:val="00000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 xml:space="preserve">1.2.12.2 </w:t>
      </w:r>
      <w:bookmarkStart w:id="161" w:name="OLE_LINK8"/>
      <w:r>
        <w:rPr>
          <w:rFonts w:hint="eastAsia" w:ascii="宋体" w:hAnsi="宋体" w:eastAsia="宋体" w:cs="宋体"/>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161"/>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1.2.12.3</w:t>
      </w:r>
      <w:r>
        <w:rPr>
          <w:rFonts w:hint="eastAsia" w:ascii="宋体" w:hAnsi="宋体" w:eastAsia="宋体" w:cs="宋体"/>
          <w:b w:val="0"/>
          <w:color w:val="000000"/>
          <w:sz w:val="22"/>
          <w:szCs w:val="22"/>
        </w:rPr>
        <w:t xml:space="preserve"> 投标人的一切人员在进入工地时，须遵守发包人的所有规定和条例。</w:t>
      </w:r>
    </w:p>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62" w:name="_Toc214177993"/>
      <w:bookmarkStart w:id="163" w:name="_Toc123028531"/>
      <w:bookmarkStart w:id="164" w:name="_Toc392056802"/>
      <w:bookmarkStart w:id="165" w:name="_Toc124561164"/>
      <w:bookmarkStart w:id="166" w:name="_Toc122958929"/>
      <w:bookmarkStart w:id="167" w:name="_Toc119258094"/>
      <w:bookmarkStart w:id="168" w:name="_Toc386910848"/>
      <w:bookmarkStart w:id="169" w:name="_Toc127347643"/>
      <w:bookmarkStart w:id="170" w:name="_Toc119258096"/>
      <w:r>
        <w:rPr>
          <w:rFonts w:hint="eastAsia" w:ascii="宋体" w:hAnsi="宋体" w:cs="宋体"/>
          <w:color w:val="000000"/>
          <w:sz w:val="22"/>
          <w:szCs w:val="22"/>
        </w:rPr>
        <w:t>1.3标准和规范</w:t>
      </w:r>
      <w:bookmarkEnd w:id="162"/>
      <w:bookmarkEnd w:id="163"/>
      <w:bookmarkEnd w:id="164"/>
      <w:bookmarkEnd w:id="165"/>
      <w:bookmarkEnd w:id="166"/>
      <w:bookmarkEnd w:id="167"/>
      <w:bookmarkEnd w:id="168"/>
      <w:bookmarkEnd w:id="169"/>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color w:val="000000"/>
          <w:sz w:val="22"/>
          <w:szCs w:val="22"/>
        </w:rPr>
      </w:pPr>
      <w:r>
        <w:rPr>
          <w:rFonts w:hint="eastAsia" w:ascii="宋体" w:hAnsi="宋体" w:eastAsia="宋体" w:cs="宋体"/>
          <w:color w:val="000000"/>
          <w:sz w:val="22"/>
          <w:szCs w:val="22"/>
        </w:rPr>
        <w:t>1.3.1</w:t>
      </w:r>
      <w:r>
        <w:rPr>
          <w:rFonts w:hint="eastAsia" w:ascii="宋体" w:hAnsi="宋体" w:eastAsia="宋体" w:cs="宋体"/>
          <w:b w:val="0"/>
          <w:color w:val="000000"/>
          <w:sz w:val="22"/>
          <w:szCs w:val="22"/>
        </w:rPr>
        <w:t>投标人所提供的设备及系统至少符合下列标准和规范这些标准应包括但不限于：</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民用建筑电气设计规范 JGJ/T16-92；</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中国电气装置安装工程施工及验收规范 GBJ232-82；</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国际民航组织理事会“国际标准和建议措施《附件14--机场》”；</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国际民航组织理事会“国际标准和建议措施、航空电信、国际民用航空公约”《附件10》；</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建筑与建筑群综合布线系统工程设计规范 CECS 72:97；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信息技术设备(包括电气事务设备)的安全GB4943-1995；</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电子设备雷击保护导则GB7450-87；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智能建筑工程质量验收规范（GB 50339-2003）；</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建筑物电子信息系统防雷技术规范（GB 50343-2004）；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建筑设计防火规范（GBJ 16-87）；</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电磁兼容标准综述电磁兼容基本术语和定义的应用与解释（GB/T 17624.1-1998）；</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取自电缆的材料燃烧时析出气体的试验方法（GB/T 17650-1998）；</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用户终端设备耐过电压和过电流能力要求和试验方法（YD/T870-906）；</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安全防范工程费用概预算编制办法（GT/T70-94）；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安全防范系统通用图形符号（GT/T74-94）；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安全防范工程程序与要求（GT/T75-94）；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保安电视监控工程技术规范（GT/76-94）；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入侵报警工程设计规范（GA/77-94）；</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用户终端设备耐过电压和过电流能要求和试验方法（YD/T870-906）；</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其他相关标准和图集；</w:t>
      </w:r>
    </w:p>
    <w:p>
      <w:pPr>
        <w:pStyle w:val="4"/>
        <w:keepNext w:val="0"/>
        <w:numPr>
          <w:ilvl w:val="0"/>
          <w:numId w:val="5"/>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现行的国家有关建筑消防标准和规范；</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 w:val="0"/>
          <w:bCs/>
          <w:color w:val="000000"/>
          <w:sz w:val="22"/>
          <w:szCs w:val="22"/>
        </w:rPr>
        <w:t>提供书面文件得到业主认可。</w:t>
      </w:r>
    </w:p>
    <w:p>
      <w:pPr>
        <w:pStyle w:val="4"/>
        <w:keepNext w:val="0"/>
        <w:numPr>
          <w:ilvl w:val="0"/>
          <w:numId w:val="0"/>
        </w:numPr>
        <w:tabs>
          <w:tab w:val="left" w:pos="720"/>
        </w:tabs>
        <w:snapToGrid w:val="0"/>
        <w:spacing w:line="360" w:lineRule="exact"/>
        <w:ind w:right="2" w:rightChars="1"/>
        <w:rPr>
          <w:rFonts w:hAnsi="宋体" w:cs="宋体"/>
          <w:b w:val="0"/>
          <w:bCs/>
          <w:color w:val="000000"/>
          <w:sz w:val="22"/>
          <w:szCs w:val="22"/>
        </w:rPr>
      </w:pPr>
      <w:r>
        <w:rPr>
          <w:rFonts w:hint="eastAsia" w:hAnsi="宋体" w:cs="宋体"/>
          <w:bCs/>
          <w:color w:val="000000"/>
          <w:sz w:val="22"/>
          <w:szCs w:val="22"/>
        </w:rPr>
        <w:t>1.3.2计量标准</w:t>
      </w:r>
    </w:p>
    <w:p>
      <w:pPr>
        <w:snapToGrid w:val="0"/>
        <w:spacing w:line="36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计量单位除本技术规格另有规定，应以中华人民共和国法定计量单位作为计量单位。不在法定计量单位范围内的，将使用国际计量单位和国家选定的其它计量单位。</w:t>
      </w:r>
    </w:p>
    <w:bookmarkEnd w:id="170"/>
    <w:p>
      <w:pPr>
        <w:pStyle w:val="3"/>
        <w:keepNext w:val="0"/>
        <w:keepLines w:val="0"/>
        <w:tabs>
          <w:tab w:val="left" w:pos="576"/>
        </w:tabs>
        <w:spacing w:before="0" w:after="0" w:line="360" w:lineRule="exact"/>
        <w:ind w:left="576" w:hanging="576"/>
        <w:jc w:val="both"/>
        <w:rPr>
          <w:rFonts w:ascii="宋体" w:hAnsi="宋体" w:cs="宋体"/>
          <w:color w:val="000000"/>
          <w:sz w:val="22"/>
          <w:szCs w:val="22"/>
        </w:rPr>
      </w:pPr>
      <w:bookmarkStart w:id="171" w:name="_Toc214177996"/>
      <w:bookmarkStart w:id="172" w:name="_Toc122958932"/>
      <w:bookmarkStart w:id="173" w:name="_Toc124561167"/>
      <w:bookmarkStart w:id="174" w:name="_Toc127347646"/>
      <w:bookmarkStart w:id="175" w:name="_Toc386910851"/>
      <w:bookmarkStart w:id="176" w:name="_Toc120933823"/>
      <w:bookmarkStart w:id="177" w:name="_Toc392056805"/>
      <w:bookmarkStart w:id="178" w:name="_Toc123028534"/>
      <w:r>
        <w:rPr>
          <w:rFonts w:hint="eastAsia" w:ascii="宋体" w:hAnsi="宋体" w:cs="宋体"/>
          <w:color w:val="000000"/>
          <w:sz w:val="22"/>
          <w:szCs w:val="22"/>
        </w:rPr>
        <w:t>1.4工程</w:t>
      </w:r>
      <w:bookmarkEnd w:id="171"/>
      <w:bookmarkEnd w:id="172"/>
      <w:bookmarkEnd w:id="173"/>
      <w:bookmarkEnd w:id="174"/>
      <w:bookmarkEnd w:id="175"/>
      <w:bookmarkEnd w:id="176"/>
      <w:bookmarkEnd w:id="177"/>
      <w:bookmarkEnd w:id="178"/>
      <w:r>
        <w:rPr>
          <w:rFonts w:hint="eastAsia" w:ascii="宋体" w:hAnsi="宋体" w:cs="宋体"/>
          <w:color w:val="000000"/>
          <w:sz w:val="22"/>
          <w:szCs w:val="22"/>
        </w:rPr>
        <w:t>施工内容</w:t>
      </w:r>
    </w:p>
    <w:p>
      <w:pPr>
        <w:snapToGrid w:val="0"/>
        <w:spacing w:line="360" w:lineRule="exact"/>
        <w:rPr>
          <w:rFonts w:ascii="宋体" w:hAnsi="宋体" w:eastAsia="宋体" w:cs="宋体"/>
          <w:b/>
          <w:color w:val="000000"/>
          <w:sz w:val="22"/>
          <w:szCs w:val="22"/>
        </w:rPr>
      </w:pPr>
      <w:r>
        <w:rPr>
          <w:rFonts w:hint="eastAsia" w:ascii="宋体" w:hAnsi="宋体" w:eastAsia="宋体" w:cs="宋体"/>
          <w:b/>
          <w:color w:val="000000"/>
          <w:sz w:val="22"/>
          <w:szCs w:val="22"/>
        </w:rPr>
        <w:t>1.4.1 施工背景说明：</w:t>
      </w:r>
    </w:p>
    <w:p>
      <w:pPr>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根据机场公司要求，公开行李卸运环境，透明化旅客行李卸运过程，现需对行李转盘机坪侧加装专用监控设备，并在航站楼侧加装LCD屏显示实时监控视频。</w:t>
      </w:r>
    </w:p>
    <w:p>
      <w:pPr>
        <w:snapToGrid w:val="0"/>
        <w:spacing w:line="360" w:lineRule="exact"/>
        <w:rPr>
          <w:rFonts w:ascii="宋体" w:hAnsi="宋体" w:eastAsia="宋体" w:cs="宋体"/>
          <w:b/>
          <w:color w:val="000000"/>
          <w:sz w:val="22"/>
          <w:szCs w:val="22"/>
        </w:rPr>
      </w:pPr>
      <w:bookmarkStart w:id="179" w:name="_Toc536443890"/>
      <w:r>
        <w:rPr>
          <w:rFonts w:hint="eastAsia" w:ascii="宋体" w:hAnsi="宋体" w:eastAsia="宋体" w:cs="宋体"/>
          <w:b/>
          <w:bCs/>
          <w:color w:val="000000"/>
          <w:sz w:val="22"/>
          <w:szCs w:val="22"/>
        </w:rPr>
        <w:t xml:space="preserve">1.4.2 </w:t>
      </w:r>
      <w:r>
        <w:rPr>
          <w:rFonts w:hint="eastAsia" w:ascii="宋体" w:hAnsi="宋体" w:eastAsia="宋体" w:cs="宋体"/>
          <w:b/>
          <w:color w:val="000000"/>
          <w:sz w:val="22"/>
          <w:szCs w:val="22"/>
        </w:rPr>
        <w:t>施工方必须完成的工程内容如下：</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1.4.2.1监控摄像机安装：</w:t>
      </w:r>
    </w:p>
    <w:p>
      <w:pPr>
        <w:adjustRightInd w:val="0"/>
        <w:snapToGrid w:val="0"/>
        <w:spacing w:line="360" w:lineRule="exact"/>
        <w:ind w:left="657" w:leftChars="273" w:hanging="2" w:hangingChars="1"/>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在每个行李转盘的机坪侧安装专用监控摄像机，总计安装摄像机13个，所有新增摄像机接入现有安防网络。</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1.4.2.2监控显示设备安装：</w:t>
      </w:r>
    </w:p>
    <w:p>
      <w:pPr>
        <w:adjustRightInd w:val="0"/>
        <w:snapToGrid w:val="0"/>
        <w:spacing w:line="360" w:lineRule="exact"/>
        <w:ind w:left="66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在每个行李转盘的航站楼侧安装专用监控显示大屏，总计安装LCD大屏13个。</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1.4.2.3监控图像存储：</w:t>
      </w:r>
    </w:p>
    <w:p>
      <w:pPr>
        <w:adjustRightInd w:val="0"/>
        <w:snapToGrid w:val="0"/>
        <w:spacing w:line="360" w:lineRule="exact"/>
        <w:ind w:left="66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所有新增图像存入现有监控系统，存储时间90天。</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1.4.2.4电源及网络</w:t>
      </w:r>
    </w:p>
    <w:p>
      <w:pPr>
        <w:adjustRightInd w:val="0"/>
        <w:snapToGrid w:val="0"/>
        <w:spacing w:line="360" w:lineRule="exact"/>
        <w:ind w:firstLine="440" w:firstLineChars="200"/>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本次新增设备所涉及的相关电源线、网线皆就近敷设至相关弱电机房。</w:t>
      </w:r>
    </w:p>
    <w:p>
      <w:pPr>
        <w:snapToGrid w:val="0"/>
        <w:spacing w:line="360" w:lineRule="exact"/>
        <w:rPr>
          <w:rFonts w:ascii="宋体" w:hAnsi="宋体" w:eastAsia="宋体" w:cs="宋体"/>
          <w:b/>
          <w:color w:val="000000"/>
          <w:sz w:val="22"/>
          <w:szCs w:val="22"/>
        </w:rPr>
      </w:pPr>
      <w:r>
        <w:rPr>
          <w:rFonts w:hint="eastAsia" w:ascii="宋体" w:hAnsi="宋体" w:eastAsia="宋体" w:cs="宋体"/>
          <w:b/>
          <w:color w:val="000000"/>
          <w:sz w:val="22"/>
          <w:szCs w:val="22"/>
        </w:rPr>
        <w:t>1.4.3本工程涉及现有监控系统现状及要求：</w:t>
      </w:r>
    </w:p>
    <w:p>
      <w:pPr>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杭州萧山国际机场现有监控系统基于海康威视8600监控平台，本项目涉及的设备需接入此平台。</w:t>
      </w:r>
    </w:p>
    <w:p>
      <w:pPr>
        <w:adjustRightInd w:val="0"/>
        <w:snapToGrid w:val="0"/>
        <w:spacing w:line="360" w:lineRule="exact"/>
        <w:ind w:firstLine="480"/>
        <w:rPr>
          <w:rFonts w:ascii="宋体" w:hAnsi="宋体" w:eastAsia="宋体" w:cs="宋体"/>
          <w:color w:val="000000"/>
          <w:kern w:val="0"/>
          <w:sz w:val="22"/>
          <w:szCs w:val="22"/>
        </w:rPr>
      </w:pPr>
    </w:p>
    <w:p>
      <w:pPr>
        <w:pStyle w:val="4"/>
        <w:keepNext w:val="0"/>
        <w:numPr>
          <w:ilvl w:val="0"/>
          <w:numId w:val="0"/>
        </w:numPr>
        <w:tabs>
          <w:tab w:val="left" w:pos="720"/>
        </w:tabs>
        <w:snapToGrid w:val="0"/>
        <w:spacing w:line="360" w:lineRule="exact"/>
        <w:ind w:right="2" w:rightChars="1"/>
        <w:rPr>
          <w:rFonts w:hAnsi="宋体" w:cs="宋体"/>
          <w:color w:val="000000"/>
          <w:sz w:val="22"/>
          <w:szCs w:val="22"/>
        </w:rPr>
      </w:pPr>
      <w:bookmarkStart w:id="180" w:name="_Toc392056806"/>
      <w:bookmarkStart w:id="181" w:name="_Toc386910852"/>
      <w:r>
        <w:rPr>
          <w:rFonts w:hint="eastAsia" w:hAnsi="宋体" w:cs="宋体"/>
          <w:color w:val="000000"/>
          <w:sz w:val="22"/>
          <w:szCs w:val="22"/>
        </w:rPr>
        <w:t>1.5参考工程量清单</w:t>
      </w:r>
      <w:bookmarkEnd w:id="180"/>
      <w:bookmarkEnd w:id="181"/>
    </w:p>
    <w:bookmarkEnd w:id="112"/>
    <w:bookmarkEnd w:id="113"/>
    <w:bookmarkEnd w:id="114"/>
    <w:bookmarkEnd w:id="115"/>
    <w:bookmarkEnd w:id="116"/>
    <w:bookmarkEnd w:id="117"/>
    <w:bookmarkEnd w:id="179"/>
    <w:tbl>
      <w:tblPr>
        <w:tblStyle w:val="58"/>
        <w:tblW w:w="97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39"/>
        <w:gridCol w:w="1320"/>
        <w:gridCol w:w="114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5" w:hRule="atLeast"/>
        </w:trPr>
        <w:tc>
          <w:tcPr>
            <w:tcW w:w="720" w:type="dxa"/>
            <w:vAlign w:val="center"/>
          </w:tcPr>
          <w:p>
            <w:pPr>
              <w:spacing w:line="360" w:lineRule="exact"/>
              <w:jc w:val="center"/>
              <w:rPr>
                <w:rFonts w:ascii="宋体" w:hAnsi="宋体" w:eastAsia="宋体" w:cs="宋体"/>
                <w:b/>
                <w:bCs/>
                <w:color w:val="000000"/>
                <w:kern w:val="0"/>
                <w:sz w:val="22"/>
                <w:szCs w:val="22"/>
              </w:rPr>
            </w:pPr>
            <w:bookmarkStart w:id="182" w:name="_Toc119258201"/>
            <w:bookmarkStart w:id="183" w:name="_Toc122958973"/>
            <w:bookmarkStart w:id="184" w:name="_Toc119504362"/>
            <w:bookmarkStart w:id="185" w:name="_Toc124561208"/>
            <w:bookmarkStart w:id="186" w:name="_Toc119378346"/>
            <w:bookmarkStart w:id="187" w:name="_Toc113810222"/>
            <w:bookmarkStart w:id="188" w:name="_Toc123028574"/>
            <w:bookmarkStart w:id="189" w:name="_Toc214178028"/>
            <w:bookmarkStart w:id="190" w:name="_Toc119378534"/>
            <w:bookmarkStart w:id="191" w:name="_Toc127347687"/>
            <w:bookmarkStart w:id="192" w:name="_Toc107586469"/>
            <w:bookmarkStart w:id="193" w:name="_Toc386206737"/>
            <w:r>
              <w:rPr>
                <w:rFonts w:hint="eastAsia" w:ascii="宋体" w:hAnsi="宋体" w:eastAsia="宋体" w:cs="宋体"/>
                <w:b/>
                <w:bCs/>
                <w:color w:val="000000"/>
                <w:kern w:val="0"/>
                <w:sz w:val="22"/>
                <w:szCs w:val="22"/>
              </w:rPr>
              <w:t>序号</w:t>
            </w:r>
          </w:p>
        </w:tc>
        <w:tc>
          <w:tcPr>
            <w:tcW w:w="4739"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设备名称</w:t>
            </w:r>
          </w:p>
        </w:tc>
        <w:tc>
          <w:tcPr>
            <w:tcW w:w="1320"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w:t>
            </w:r>
          </w:p>
        </w:tc>
        <w:tc>
          <w:tcPr>
            <w:tcW w:w="1140"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1845" w:type="dxa"/>
            <w:vAlign w:val="center"/>
          </w:tcPr>
          <w:p>
            <w:pPr>
              <w:spacing w:line="360" w:lineRule="exact"/>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val="zh-TW"/>
              </w:rPr>
              <w:t>高清枪型摄像机</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含防护罩、支架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2</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高清镜头</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3</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企业级硬盘</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845"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安装于现有海康磁盘阵列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4</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LCD大屏</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5</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视频解码器</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845" w:type="dxa"/>
            <w:vAlign w:val="center"/>
          </w:tcPr>
          <w:p>
            <w:pPr>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6</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LCD大屏吊装支架</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845"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7</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六类网线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2400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8</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RVV3*1.5电源线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1200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9</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RVV2*1.0电源线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1200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10</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KBG管</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米</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2400</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spacing w:line="360" w:lineRule="exact"/>
              <w:jc w:val="center"/>
              <w:rPr>
                <w:rFonts w:ascii="宋体" w:hAnsi="宋体" w:eastAsia="宋体" w:cs="宋体"/>
                <w:color w:val="000000"/>
                <w:kern w:val="0"/>
                <w:sz w:val="22"/>
                <w:szCs w:val="22"/>
              </w:rPr>
            </w:pPr>
            <w:r>
              <w:rPr>
                <w:rFonts w:hint="eastAsia" w:ascii="宋体" w:hAnsi="宋体" w:eastAsia="宋体" w:cs="宋体"/>
                <w:color w:val="000000"/>
                <w:sz w:val="22"/>
                <w:szCs w:val="22"/>
              </w:rPr>
              <w:t>11</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开关电源</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13</w:t>
            </w:r>
          </w:p>
        </w:tc>
        <w:tc>
          <w:tcPr>
            <w:tcW w:w="1845" w:type="dxa"/>
            <w:vAlign w:val="center"/>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4739"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kern w:val="0"/>
                <w:sz w:val="22"/>
                <w:szCs w:val="22"/>
              </w:rPr>
              <w:t>插线板</w:t>
            </w:r>
          </w:p>
        </w:tc>
        <w:tc>
          <w:tcPr>
            <w:tcW w:w="13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个</w:t>
            </w:r>
          </w:p>
        </w:tc>
        <w:tc>
          <w:tcPr>
            <w:tcW w:w="114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sz w:val="22"/>
                <w:szCs w:val="22"/>
              </w:rPr>
              <w:t>13</w:t>
            </w:r>
          </w:p>
        </w:tc>
        <w:tc>
          <w:tcPr>
            <w:tcW w:w="1845" w:type="dxa"/>
          </w:tcPr>
          <w:p>
            <w:pPr>
              <w:widowControl/>
              <w:spacing w:line="360" w:lineRule="exact"/>
              <w:jc w:val="center"/>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720" w:type="dxa"/>
            <w:vAlign w:val="center"/>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4739"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辅材</w:t>
            </w:r>
          </w:p>
        </w:tc>
        <w:tc>
          <w:tcPr>
            <w:tcW w:w="1320"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批</w:t>
            </w:r>
          </w:p>
        </w:tc>
        <w:tc>
          <w:tcPr>
            <w:tcW w:w="1140" w:type="dxa"/>
          </w:tcPr>
          <w:p>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845" w:type="dxa"/>
          </w:tcPr>
          <w:p>
            <w:pPr>
              <w:widowControl/>
              <w:spacing w:line="360" w:lineRule="exact"/>
              <w:jc w:val="center"/>
              <w:rPr>
                <w:rFonts w:ascii="宋体" w:hAnsi="宋体" w:eastAsia="宋体" w:cs="宋体"/>
                <w:color w:val="000000"/>
                <w:kern w:val="0"/>
                <w:sz w:val="22"/>
                <w:szCs w:val="22"/>
              </w:rPr>
            </w:pPr>
          </w:p>
        </w:tc>
      </w:tr>
    </w:tbl>
    <w:p>
      <w:pPr>
        <w:pStyle w:val="49"/>
        <w:snapToGrid w:val="0"/>
        <w:spacing w:before="0" w:beforeAutospacing="0" w:after="0" w:afterAutospacing="0" w:line="360" w:lineRule="exact"/>
        <w:ind w:firstLine="440" w:firstLineChars="200"/>
        <w:jc w:val="both"/>
        <w:rPr>
          <w:rFonts w:ascii="宋体" w:hAnsi="宋体" w:eastAsia="宋体" w:cs="宋体"/>
          <w:sz w:val="22"/>
          <w:szCs w:val="22"/>
        </w:rPr>
      </w:pPr>
    </w:p>
    <w:p>
      <w:pPr>
        <w:pStyle w:val="49"/>
        <w:snapToGrid w:val="0"/>
        <w:spacing w:before="0" w:beforeAutospacing="0" w:after="0" w:afterAutospacing="0" w:line="360" w:lineRule="exact"/>
        <w:ind w:firstLine="440" w:firstLineChars="200"/>
        <w:jc w:val="both"/>
        <w:rPr>
          <w:rFonts w:ascii="宋体" w:hAnsi="宋体" w:eastAsia="宋体" w:cs="宋体"/>
          <w:sz w:val="22"/>
          <w:szCs w:val="22"/>
        </w:rPr>
      </w:pPr>
      <w:r>
        <w:rPr>
          <w:rFonts w:hint="eastAsia" w:ascii="宋体" w:hAnsi="宋体" w:eastAsia="宋体" w:cs="宋体"/>
          <w:sz w:val="22"/>
          <w:szCs w:val="22"/>
        </w:rPr>
        <w:t>以上所述招标范围的工程施工内容并非详细完整的工程内容，投标人必须仔细踏勘现场，准确掌握全部工程内容。投标人须充分考虑机场现有安防系统和安防网络所使用设备的品牌和型号，所采购的设备能接入现有的监控系统和网络平台，与现有系统兼容。若投标人认为所投的设备品牌型号接入现有的安防系统和安防网络需额外增加设备，该类设备由投标人负责提供。若有遗漏或缺项报价的风险由投标人承担，投标人认为有遗漏或缺项报价的请另附页列明。</w:t>
      </w:r>
    </w:p>
    <w:p>
      <w:pPr>
        <w:pStyle w:val="3"/>
        <w:keepNext w:val="0"/>
        <w:keepLines w:val="0"/>
        <w:tabs>
          <w:tab w:val="left" w:pos="576"/>
        </w:tabs>
        <w:spacing w:before="0" w:line="360" w:lineRule="exact"/>
        <w:jc w:val="both"/>
        <w:rPr>
          <w:rFonts w:ascii="宋体" w:hAnsi="宋体" w:cs="宋体"/>
          <w:color w:val="000000"/>
          <w:sz w:val="22"/>
          <w:szCs w:val="22"/>
        </w:rPr>
      </w:pPr>
      <w:bookmarkStart w:id="194" w:name="_Toc127347657"/>
      <w:bookmarkStart w:id="195" w:name="_Toc214178004"/>
      <w:bookmarkStart w:id="196" w:name="_Toc119378303"/>
      <w:bookmarkStart w:id="197" w:name="_Toc119504318"/>
      <w:bookmarkStart w:id="198" w:name="_Toc122958942"/>
      <w:bookmarkStart w:id="199" w:name="_Toc124561178"/>
      <w:bookmarkStart w:id="200" w:name="_Toc119378491"/>
      <w:bookmarkStart w:id="201" w:name="_Toc123028544"/>
      <w:bookmarkStart w:id="202" w:name="_Toc119258136"/>
      <w:bookmarkStart w:id="203" w:name="_Toc392056813"/>
      <w:r>
        <w:rPr>
          <w:rFonts w:hint="eastAsia" w:ascii="宋体" w:hAnsi="宋体" w:cs="宋体"/>
          <w:color w:val="000000"/>
          <w:sz w:val="22"/>
          <w:szCs w:val="22"/>
        </w:rPr>
        <w:t>1.6 详细技术要求</w:t>
      </w:r>
      <w:bookmarkEnd w:id="194"/>
      <w:bookmarkEnd w:id="195"/>
      <w:bookmarkEnd w:id="196"/>
      <w:bookmarkEnd w:id="197"/>
      <w:bookmarkEnd w:id="198"/>
      <w:bookmarkEnd w:id="199"/>
      <w:bookmarkEnd w:id="200"/>
      <w:bookmarkEnd w:id="201"/>
      <w:bookmarkEnd w:id="202"/>
      <w:bookmarkEnd w:id="203"/>
    </w:p>
    <w:p>
      <w:pPr>
        <w:pStyle w:val="5"/>
        <w:keepNext w:val="0"/>
        <w:keepLines w:val="0"/>
        <w:tabs>
          <w:tab w:val="left" w:pos="900"/>
          <w:tab w:val="left" w:pos="1584"/>
        </w:tabs>
        <w:snapToGrid w:val="0"/>
        <w:spacing w:before="0" w:after="0" w:line="360" w:lineRule="exact"/>
        <w:ind w:left="1584" w:right="2" w:rightChars="1" w:hanging="1584"/>
        <w:rPr>
          <w:rFonts w:ascii="宋体" w:hAnsi="宋体" w:eastAsia="宋体" w:cs="宋体"/>
          <w:color w:val="000000"/>
          <w:sz w:val="22"/>
          <w:szCs w:val="22"/>
        </w:rPr>
      </w:pPr>
      <w:bookmarkStart w:id="204" w:name="_Toc128984433"/>
      <w:r>
        <w:rPr>
          <w:rFonts w:hint="eastAsia" w:ascii="宋体" w:hAnsi="宋体" w:eastAsia="宋体" w:cs="宋体"/>
          <w:sz w:val="22"/>
          <w:szCs w:val="22"/>
        </w:rPr>
        <w:t xml:space="preserve">1.6.1 </w:t>
      </w:r>
      <w:r>
        <w:rPr>
          <w:rFonts w:hint="eastAsia" w:ascii="宋体" w:hAnsi="宋体" w:eastAsia="宋体" w:cs="宋体"/>
          <w:color w:val="000000"/>
          <w:sz w:val="22"/>
          <w:szCs w:val="22"/>
        </w:rPr>
        <w:t>总体性能指标</w:t>
      </w:r>
    </w:p>
    <w:bookmarkEnd w:id="204"/>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color w:val="000000"/>
          <w:sz w:val="22"/>
          <w:szCs w:val="22"/>
          <w:lang w:val="zh-TW"/>
        </w:rPr>
      </w:pPr>
      <w:r>
        <w:rPr>
          <w:rFonts w:hint="eastAsia" w:ascii="宋体" w:hAnsi="宋体" w:cs="宋体"/>
          <w:sz w:val="22"/>
          <w:szCs w:val="22"/>
        </w:rPr>
        <w:t>1.6.1.1</w:t>
      </w:r>
      <w:r>
        <w:rPr>
          <w:rFonts w:hint="eastAsia" w:ascii="宋体" w:hAnsi="宋体" w:cs="宋体"/>
          <w:bCs w:val="0"/>
          <w:color w:val="000000"/>
          <w:sz w:val="22"/>
          <w:szCs w:val="22"/>
        </w:rPr>
        <w:t>高清</w:t>
      </w:r>
      <w:r>
        <w:rPr>
          <w:rFonts w:hint="eastAsia" w:ascii="宋体" w:hAnsi="宋体" w:cs="宋体"/>
          <w:color w:val="000000"/>
          <w:sz w:val="22"/>
          <w:szCs w:val="22"/>
          <w:lang w:val="zh-TW"/>
        </w:rPr>
        <w:t>枪型摄像机</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r>
        <w:rPr>
          <w:rFonts w:hint="eastAsia" w:ascii="宋体" w:hAnsi="宋体" w:cs="宋体"/>
          <w:bCs w:val="0"/>
          <w:color w:val="000000"/>
          <w:sz w:val="22"/>
          <w:szCs w:val="22"/>
        </w:rPr>
        <w:t>可接受的标准化产品品牌为：</w:t>
      </w:r>
      <w:r>
        <w:rPr>
          <w:rFonts w:hint="eastAsia" w:ascii="宋体" w:hAnsi="宋体" w:cs="宋体"/>
          <w:sz w:val="22"/>
          <w:szCs w:val="22"/>
        </w:rPr>
        <w:t>海康、大华、宇视</w:t>
      </w:r>
      <w:r>
        <w:rPr>
          <w:rFonts w:hint="eastAsia" w:ascii="宋体" w:hAnsi="宋体" w:cs="宋体"/>
          <w:bCs w:val="0"/>
          <w:color w:val="000000"/>
          <w:sz w:val="22"/>
          <w:szCs w:val="22"/>
        </w:rPr>
        <w:t>同等或以上档次品牌。</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成像器件</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≥1/2英寸CMOS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有效像素</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有效像素：≥200万像素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帧率</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支持60fps(1920×1080)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最低照度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彩色:0.001 Lux @(F1.2,AGC ON)</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黑白:0.0001Lux @(F1.2,AGC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视频压缩标准</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H.265/H.264/MJPEG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数字降噪</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3D降噪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三码流功能</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背光补偿</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电源</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color w:val="000000"/>
                <w:sz w:val="22"/>
                <w:szCs w:val="22"/>
              </w:rPr>
              <w:t xml:space="preserve">AC 24V/DC12V </w:t>
            </w:r>
          </w:p>
        </w:tc>
      </w:tr>
    </w:tbl>
    <w:p>
      <w:pPr>
        <w:pStyle w:val="6"/>
        <w:keepNext w:val="0"/>
        <w:keepLines w:val="0"/>
        <w:tabs>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sz w:val="22"/>
          <w:szCs w:val="22"/>
        </w:rPr>
      </w:pPr>
      <w:r>
        <w:rPr>
          <w:rFonts w:hint="eastAsia" w:ascii="宋体" w:hAnsi="宋体" w:cs="宋体"/>
          <w:sz w:val="22"/>
          <w:szCs w:val="22"/>
        </w:rPr>
        <w:t>1.6.1.2</w:t>
      </w:r>
      <w:r>
        <w:rPr>
          <w:rFonts w:hint="eastAsia" w:ascii="宋体" w:hAnsi="宋体" w:cs="宋体"/>
          <w:bCs w:val="0"/>
          <w:sz w:val="22"/>
          <w:szCs w:val="22"/>
        </w:rPr>
        <w:t>高清镜头</w:t>
      </w:r>
    </w:p>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sz w:val="22"/>
          <w:szCs w:val="22"/>
        </w:rPr>
      </w:pPr>
      <w:r>
        <w:rPr>
          <w:rFonts w:hint="eastAsia" w:ascii="宋体" w:hAnsi="宋体" w:cs="宋体"/>
          <w:bCs w:val="0"/>
          <w:sz w:val="22"/>
          <w:szCs w:val="22"/>
        </w:rPr>
        <w:t>可接受的标准化产品品牌为：腾龙、COMPUTAR</w:t>
      </w:r>
      <w:r>
        <w:rPr>
          <w:rFonts w:hint="eastAsia" w:ascii="宋体" w:hAnsi="宋体" w:cs="宋体"/>
          <w:sz w:val="22"/>
          <w:szCs w:val="22"/>
        </w:rPr>
        <w:t>、富士能同等或以上档次品牌。</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接口类型：CS接口或C接口加垫圈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像面尺寸：</w:t>
            </w:r>
            <w:r>
              <w:rPr>
                <w:rFonts w:hint="eastAsia" w:ascii="宋体" w:hAnsi="宋体" w:eastAsia="宋体" w:cs="宋体"/>
                <w:bCs/>
                <w:sz w:val="22"/>
                <w:szCs w:val="22"/>
              </w:rPr>
              <w:t>≥1/2英寸</w:t>
            </w:r>
          </w:p>
        </w:tc>
      </w:tr>
    </w:tbl>
    <w:p>
      <w:pPr>
        <w:pStyle w:val="6"/>
        <w:keepNext w:val="0"/>
        <w:keepLines w:val="0"/>
        <w:tabs>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bookmarkStart w:id="205" w:name="_Toc430266653"/>
    </w:p>
    <w:bookmarkEnd w:id="205"/>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1.6.1.3</w:t>
      </w:r>
      <w:r>
        <w:rPr>
          <w:rFonts w:hint="eastAsia" w:ascii="宋体" w:hAnsi="宋体" w:cs="宋体"/>
          <w:bCs w:val="0"/>
          <w:color w:val="000000"/>
          <w:sz w:val="22"/>
          <w:szCs w:val="22"/>
        </w:rPr>
        <w:t xml:space="preserve"> LCD大屏</w:t>
      </w:r>
    </w:p>
    <w:p>
      <w:pPr>
        <w:widowControl/>
        <w:spacing w:line="360" w:lineRule="exact"/>
        <w:ind w:left="250" w:leftChars="104" w:right="319" w:rightChars="133"/>
        <w:jc w:val="left"/>
        <w:rPr>
          <w:rFonts w:ascii="宋体" w:hAnsi="宋体" w:eastAsia="宋体" w:cs="宋体"/>
          <w:b/>
          <w:bCs/>
          <w:kern w:val="0"/>
          <w:sz w:val="22"/>
          <w:szCs w:val="22"/>
        </w:rPr>
      </w:pPr>
      <w:r>
        <w:rPr>
          <w:rFonts w:hint="eastAsia" w:ascii="宋体" w:hAnsi="宋体" w:eastAsia="宋体" w:cs="宋体"/>
          <w:b/>
          <w:bCs/>
          <w:kern w:val="0"/>
          <w:sz w:val="22"/>
          <w:szCs w:val="22"/>
        </w:rPr>
        <w:t>可接受的标准化产品品牌为：数源、</w:t>
      </w:r>
      <w:r>
        <w:rPr>
          <w:rFonts w:hint="eastAsia" w:ascii="宋体" w:hAnsi="宋体"/>
          <w:b/>
          <w:bCs/>
          <w:kern w:val="0"/>
          <w:sz w:val="22"/>
          <w:szCs w:val="28"/>
        </w:rPr>
        <w:t>海康、大华</w:t>
      </w:r>
      <w:r>
        <w:rPr>
          <w:rFonts w:hint="eastAsia" w:ascii="宋体" w:hAnsi="宋体" w:eastAsia="宋体" w:cs="宋体"/>
          <w:b/>
          <w:bCs/>
          <w:kern w:val="0"/>
          <w:sz w:val="22"/>
          <w:szCs w:val="22"/>
        </w:rPr>
        <w:t>同等或以上档次品牌。</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sz w:val="22"/>
                <w:szCs w:val="22"/>
              </w:rPr>
              <w:t>屏幕尺寸</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sz w:val="22"/>
                <w:szCs w:val="22"/>
              </w:rPr>
              <w:t>55寸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分辨率</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像素间距</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≤0.681*0.681mm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亮度及对比度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≥650cd/m2且对比度≥1200:1</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或≥450cd/m2且对比度≥4000:1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显示色彩</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接口</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支持DVI\VGA\HDMI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水平/垂直视角</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≥176度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响应时间</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灰阶等级</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坏点等级</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到达ISO 13406-2坏点等级II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设备工作需求</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sz w:val="22"/>
                <w:szCs w:val="22"/>
              </w:rPr>
              <w:t>满足24小时不间断运行要求的工业级产品，平均无故障时间</w:t>
            </w:r>
            <w:r>
              <w:rPr>
                <w:rFonts w:hint="eastAsia" w:ascii="宋体" w:hAnsi="宋体" w:eastAsia="宋体" w:cs="宋体"/>
                <w:bCs/>
                <w:sz w:val="22"/>
                <w:szCs w:val="22"/>
              </w:rPr>
              <w:t>≥50000小时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纵向、横向浏览图片和文字显示</w:t>
            </w:r>
          </w:p>
        </w:tc>
        <w:tc>
          <w:tcPr>
            <w:tcW w:w="4788"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定时残像去除功能</w:t>
            </w:r>
          </w:p>
        </w:tc>
        <w:tc>
          <w:tcPr>
            <w:tcW w:w="4788"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sz w:val="22"/>
                <w:szCs w:val="22"/>
              </w:rPr>
              <w:t>通过遥控器从屏幕正面控制屏幕开关、参数设置</w:t>
            </w:r>
          </w:p>
        </w:tc>
        <w:tc>
          <w:tcPr>
            <w:tcW w:w="4788" w:type="dxa"/>
            <w:vAlign w:val="center"/>
          </w:tcPr>
          <w:p>
            <w:pPr>
              <w:spacing w:line="360" w:lineRule="exact"/>
              <w:jc w:val="left"/>
              <w:rPr>
                <w:rFonts w:ascii="宋体" w:hAnsi="宋体" w:eastAsia="宋体" w:cs="宋体"/>
                <w:bCs/>
                <w:sz w:val="22"/>
                <w:szCs w:val="22"/>
              </w:rPr>
            </w:pPr>
            <w:r>
              <w:rPr>
                <w:rFonts w:hint="eastAsia" w:ascii="宋体" w:hAnsi="宋体" w:eastAsia="宋体" w:cs="宋体"/>
                <w:sz w:val="22"/>
                <w:szCs w:val="22"/>
              </w:rPr>
              <w:t>支持</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1.6.1.4 </w:t>
      </w:r>
      <w:r>
        <w:rPr>
          <w:rFonts w:hint="eastAsia" w:ascii="宋体" w:hAnsi="宋体" w:cs="宋体"/>
          <w:bCs w:val="0"/>
          <w:color w:val="000000"/>
          <w:sz w:val="22"/>
          <w:szCs w:val="22"/>
        </w:rPr>
        <w:t>LCD大屏吊装支架</w:t>
      </w:r>
    </w:p>
    <w:tbl>
      <w:tblPr>
        <w:tblStyle w:val="58"/>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276"/>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064"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
                <w:bCs/>
                <w:sz w:val="22"/>
                <w:szCs w:val="22"/>
              </w:rPr>
              <w:t>功能</w:t>
            </w:r>
          </w:p>
        </w:tc>
        <w:tc>
          <w:tcPr>
            <w:tcW w:w="4788" w:type="dxa"/>
            <w:vAlign w:val="center"/>
          </w:tcPr>
          <w:p>
            <w:pPr>
              <w:widowControl/>
              <w:spacing w:line="360" w:lineRule="exact"/>
              <w:ind w:right="319" w:rightChars="133"/>
              <w:rPr>
                <w:rFonts w:ascii="宋体" w:hAnsi="宋体" w:eastAsia="宋体" w:cs="宋体"/>
                <w:color w:val="000000"/>
                <w:sz w:val="22"/>
                <w:szCs w:val="22"/>
              </w:rPr>
            </w:pPr>
            <w:r>
              <w:rPr>
                <w:rFonts w:hint="eastAsia" w:ascii="宋体" w:hAnsi="宋体" w:eastAsia="宋体" w:cs="宋体"/>
                <w:b/>
                <w:bCs/>
                <w:sz w:val="22"/>
                <w:szCs w:val="22"/>
              </w:rPr>
              <w:t>要求可收纳包括LCD大屏、视频解码器及所有实现设备功能所需的辅材；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
                <w:bCs/>
                <w:color w:val="000000"/>
                <w:sz w:val="22"/>
                <w:szCs w:val="22"/>
              </w:rPr>
              <w:t>外观</w:t>
            </w:r>
          </w:p>
        </w:tc>
        <w:tc>
          <w:tcPr>
            <w:tcW w:w="4788" w:type="dxa"/>
            <w:vAlign w:val="center"/>
          </w:tcPr>
          <w:p>
            <w:pPr>
              <w:widowControl/>
              <w:spacing w:line="360" w:lineRule="exact"/>
              <w:ind w:right="319" w:rightChars="133"/>
              <w:jc w:val="left"/>
              <w:rPr>
                <w:rFonts w:ascii="宋体" w:hAnsi="宋体" w:eastAsia="宋体" w:cs="宋体"/>
                <w:b/>
                <w:bCs/>
                <w:color w:val="000000"/>
                <w:sz w:val="22"/>
                <w:szCs w:val="22"/>
              </w:rPr>
            </w:pPr>
            <w:r>
              <w:rPr>
                <w:rFonts w:hint="eastAsia" w:ascii="宋体" w:hAnsi="宋体" w:eastAsia="宋体" w:cs="宋体"/>
                <w:b/>
                <w:bCs/>
                <w:color w:val="000000"/>
                <w:sz w:val="22"/>
                <w:szCs w:val="22"/>
              </w:rPr>
              <w:t>使用全包裹的方式，除LCD的显示屏外，其余所有设备、线缆目视不可见；</w:t>
            </w:r>
          </w:p>
          <w:p>
            <w:pPr>
              <w:widowControl/>
              <w:spacing w:line="360" w:lineRule="exact"/>
              <w:ind w:right="319" w:rightChars="133"/>
              <w:jc w:val="left"/>
              <w:rPr>
                <w:rFonts w:ascii="宋体" w:hAnsi="宋体" w:eastAsia="宋体" w:cs="宋体"/>
                <w:b/>
                <w:bCs/>
                <w:color w:val="000000"/>
                <w:sz w:val="22"/>
                <w:szCs w:val="22"/>
              </w:rPr>
            </w:pPr>
            <w:r>
              <w:rPr>
                <w:rFonts w:hint="eastAsia" w:ascii="宋体" w:hAnsi="宋体" w:eastAsia="宋体" w:cs="宋体"/>
                <w:b/>
                <w:bCs/>
                <w:color w:val="000000"/>
                <w:sz w:val="22"/>
                <w:szCs w:val="22"/>
              </w:rPr>
              <w:t>视频解码器及其它设备、辅材单独使用收纳箱收纳；</w:t>
            </w:r>
          </w:p>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
                <w:bCs/>
                <w:color w:val="000000"/>
                <w:sz w:val="22"/>
                <w:szCs w:val="22"/>
              </w:rPr>
              <w:t>具体款式参照T3航站楼行李提取旅客出口处显示屏支架。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276" w:type="dxa"/>
            <w:vAlign w:val="center"/>
          </w:tcPr>
          <w:p>
            <w:pPr>
              <w:spacing w:line="360" w:lineRule="exact"/>
              <w:jc w:val="left"/>
              <w:rPr>
                <w:rFonts w:ascii="宋体" w:hAnsi="宋体" w:eastAsia="宋体" w:cs="宋体"/>
                <w:color w:val="000000"/>
                <w:sz w:val="22"/>
                <w:szCs w:val="22"/>
              </w:rPr>
            </w:pPr>
            <w:r>
              <w:rPr>
                <w:rFonts w:hint="eastAsia" w:ascii="宋体" w:hAnsi="宋体" w:eastAsia="宋体" w:cs="宋体"/>
                <w:bCs/>
                <w:sz w:val="22"/>
                <w:szCs w:val="22"/>
              </w:rPr>
              <w:t>大屏框体尺寸</w:t>
            </w:r>
          </w:p>
        </w:tc>
        <w:tc>
          <w:tcPr>
            <w:tcW w:w="4788" w:type="dxa"/>
            <w:vAlign w:val="center"/>
          </w:tcPr>
          <w:p>
            <w:pPr>
              <w:widowControl/>
              <w:spacing w:line="360" w:lineRule="exact"/>
              <w:ind w:right="319" w:rightChars="133"/>
              <w:jc w:val="left"/>
              <w:rPr>
                <w:rFonts w:ascii="宋体" w:hAnsi="宋体" w:eastAsia="宋体" w:cs="宋体"/>
                <w:color w:val="000000"/>
                <w:sz w:val="22"/>
                <w:szCs w:val="22"/>
              </w:rPr>
            </w:pPr>
            <w:r>
              <w:rPr>
                <w:rFonts w:hint="eastAsia" w:ascii="宋体" w:hAnsi="宋体" w:eastAsia="宋体" w:cs="宋体"/>
                <w:bCs/>
                <w:sz w:val="22"/>
                <w:szCs w:val="22"/>
              </w:rPr>
              <w:t>&gt;1220mm*700mm*200mm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7"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276" w:type="dxa"/>
            <w:vAlign w:val="center"/>
          </w:tcPr>
          <w:p>
            <w:pPr>
              <w:spacing w:line="360" w:lineRule="exact"/>
              <w:jc w:val="left"/>
              <w:rPr>
                <w:rFonts w:ascii="宋体" w:hAnsi="宋体" w:eastAsia="宋体" w:cs="宋体"/>
                <w:bCs/>
                <w:sz w:val="22"/>
                <w:szCs w:val="22"/>
              </w:rPr>
            </w:pPr>
            <w:r>
              <w:rPr>
                <w:rFonts w:hint="eastAsia" w:ascii="宋体" w:hAnsi="宋体" w:eastAsia="宋体" w:cs="宋体"/>
                <w:bCs/>
                <w:sz w:val="22"/>
                <w:szCs w:val="22"/>
              </w:rPr>
              <w:t>支架吊杆长度</w:t>
            </w:r>
          </w:p>
        </w:tc>
        <w:tc>
          <w:tcPr>
            <w:tcW w:w="4788" w:type="dxa"/>
            <w:vAlign w:val="center"/>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&gt;600mm</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1.6.1.5 企业级</w:t>
      </w:r>
      <w:r>
        <w:rPr>
          <w:rFonts w:hint="eastAsia" w:ascii="宋体" w:hAnsi="宋体" w:cs="宋体"/>
          <w:bCs w:val="0"/>
          <w:color w:val="000000"/>
          <w:sz w:val="22"/>
          <w:szCs w:val="22"/>
        </w:rPr>
        <w:t>硬盘</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r>
        <w:rPr>
          <w:rFonts w:hint="eastAsia" w:ascii="宋体" w:hAnsi="宋体" w:cs="宋体"/>
          <w:bCs w:val="0"/>
          <w:color w:val="000000"/>
          <w:sz w:val="22"/>
          <w:szCs w:val="22"/>
        </w:rPr>
        <w:t xml:space="preserve">  可接受标准化产品品牌为：希捷、西数同等或以上档次品牌。</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使用企业级硬盘，单块硬盘容量</w:t>
            </w:r>
            <w:r>
              <w:rPr>
                <w:rFonts w:hint="eastAsia" w:ascii="宋体" w:hAnsi="宋体" w:eastAsia="宋体" w:cs="宋体"/>
                <w:bCs/>
                <w:sz w:val="22"/>
                <w:szCs w:val="22"/>
              </w:rPr>
              <w:t>≥6T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安装于本场现有海康磁盘阵列且无兼容性问题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3</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转速：7200r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4</w:t>
            </w:r>
          </w:p>
        </w:tc>
        <w:tc>
          <w:tcPr>
            <w:tcW w:w="7529" w:type="dxa"/>
          </w:tcPr>
          <w:p>
            <w:pPr>
              <w:spacing w:line="360" w:lineRule="exact"/>
              <w:rPr>
                <w:rFonts w:ascii="宋体" w:hAnsi="宋体" w:eastAsia="宋体" w:cs="宋体"/>
                <w:sz w:val="22"/>
                <w:szCs w:val="22"/>
              </w:rPr>
            </w:pPr>
            <w:r>
              <w:rPr>
                <w:rFonts w:hint="eastAsia" w:ascii="宋体" w:hAnsi="宋体" w:eastAsia="宋体" w:cs="宋体"/>
                <w:sz w:val="22"/>
                <w:szCs w:val="22"/>
              </w:rPr>
              <w:t>缓存：</w:t>
            </w:r>
            <w:r>
              <w:rPr>
                <w:rFonts w:hint="eastAsia" w:ascii="宋体" w:hAnsi="宋体" w:eastAsia="宋体" w:cs="宋体"/>
                <w:bCs/>
                <w:sz w:val="22"/>
                <w:szCs w:val="22"/>
              </w:rPr>
              <w:t>≥256M</w:t>
            </w:r>
          </w:p>
        </w:tc>
      </w:tr>
    </w:tbl>
    <w:p>
      <w:pPr>
        <w:pStyle w:val="6"/>
        <w:keepNext w:val="0"/>
        <w:keepLines w:val="0"/>
        <w:tabs>
          <w:tab w:val="left" w:pos="420"/>
          <w:tab w:val="left" w:pos="720"/>
          <w:tab w:val="left" w:pos="1080"/>
          <w:tab w:val="left" w:pos="1968"/>
        </w:tabs>
        <w:adjustRightInd w:val="0"/>
        <w:snapToGrid w:val="0"/>
        <w:spacing w:before="0" w:after="0" w:line="360" w:lineRule="exact"/>
        <w:ind w:right="2" w:rightChars="1"/>
        <w:rPr>
          <w:rFonts w:ascii="宋体" w:hAnsi="宋体" w:cs="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1.6.1.6 </w:t>
      </w:r>
      <w:r>
        <w:rPr>
          <w:rFonts w:hint="eastAsia" w:ascii="宋体" w:hAnsi="宋体" w:cs="宋体"/>
          <w:bCs w:val="0"/>
          <w:color w:val="000000"/>
          <w:sz w:val="22"/>
          <w:szCs w:val="22"/>
        </w:rPr>
        <w:t>视频解码器</w:t>
      </w:r>
    </w:p>
    <w:p>
      <w:pPr>
        <w:widowControl/>
        <w:spacing w:line="360" w:lineRule="exact"/>
        <w:ind w:left="250" w:leftChars="104" w:right="319" w:rightChars="133"/>
        <w:jc w:val="left"/>
        <w:rPr>
          <w:rFonts w:ascii="宋体" w:hAnsi="宋体" w:eastAsia="宋体" w:cs="宋体"/>
          <w:b/>
          <w:color w:val="000000"/>
          <w:sz w:val="22"/>
          <w:szCs w:val="22"/>
        </w:rPr>
      </w:pPr>
      <w:r>
        <w:rPr>
          <w:rFonts w:hint="eastAsia" w:ascii="宋体" w:hAnsi="宋体" w:eastAsia="宋体" w:cs="宋体"/>
          <w:b/>
          <w:color w:val="000000"/>
          <w:sz w:val="22"/>
          <w:szCs w:val="22"/>
        </w:rPr>
        <w:t xml:space="preserve">  </w:t>
      </w:r>
      <w:r>
        <w:rPr>
          <w:rFonts w:hint="eastAsia" w:ascii="宋体" w:hAnsi="宋体" w:eastAsia="宋体" w:cs="宋体"/>
          <w:b/>
          <w:sz w:val="22"/>
          <w:szCs w:val="22"/>
        </w:rPr>
        <w:t>本设备须与本场现有海康监控平台无缝兼容</w:t>
      </w:r>
    </w:p>
    <w:tbl>
      <w:tblPr>
        <w:tblStyle w:val="58"/>
        <w:tblW w:w="8429"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序号</w:t>
            </w:r>
          </w:p>
        </w:tc>
        <w:tc>
          <w:tcPr>
            <w:tcW w:w="7529" w:type="dxa"/>
          </w:tcPr>
          <w:p>
            <w:pPr>
              <w:spacing w:line="360" w:lineRule="exact"/>
              <w:jc w:val="center"/>
              <w:rPr>
                <w:rFonts w:ascii="宋体" w:hAnsi="宋体" w:eastAsia="宋体" w:cs="宋体"/>
                <w:b/>
                <w:sz w:val="22"/>
                <w:szCs w:val="22"/>
              </w:rPr>
            </w:pPr>
            <w:r>
              <w:rPr>
                <w:rFonts w:hint="eastAsia" w:ascii="宋体" w:hAnsi="宋体" w:eastAsia="宋体" w:cs="宋体"/>
                <w:b/>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7529" w:type="dxa"/>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输出接口：</w:t>
            </w:r>
          </w:p>
          <w:p>
            <w:pPr>
              <w:widowControl/>
              <w:spacing w:line="360" w:lineRule="exact"/>
              <w:ind w:right="319" w:rightChars="133"/>
              <w:jc w:val="left"/>
              <w:rPr>
                <w:rFonts w:ascii="宋体" w:hAnsi="宋体" w:eastAsia="宋体" w:cs="宋体"/>
                <w:sz w:val="22"/>
                <w:szCs w:val="22"/>
              </w:rPr>
            </w:pPr>
            <w:r>
              <w:rPr>
                <w:rFonts w:hint="eastAsia" w:ascii="宋体" w:hAnsi="宋体" w:eastAsia="宋体" w:cs="宋体"/>
                <w:bCs/>
                <w:sz w:val="22"/>
                <w:szCs w:val="22"/>
              </w:rPr>
              <w:t>HDMI输出 ≥1路、DVI输出 ≥1路、VGA输出 ≥1路、CVBS输出 ≥1路、RCA音频输出 ≥2路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7529" w:type="dxa"/>
          </w:tcPr>
          <w:p>
            <w:pPr>
              <w:widowControl/>
              <w:spacing w:line="360" w:lineRule="exact"/>
              <w:ind w:right="319" w:rightChars="133"/>
              <w:jc w:val="left"/>
              <w:rPr>
                <w:rFonts w:ascii="宋体" w:hAnsi="宋体" w:eastAsia="宋体" w:cs="宋体"/>
                <w:sz w:val="22"/>
                <w:szCs w:val="22"/>
              </w:rPr>
            </w:pPr>
            <w:r>
              <w:rPr>
                <w:rFonts w:hint="eastAsia" w:ascii="宋体" w:hAnsi="宋体" w:eastAsia="宋体" w:cs="宋体"/>
                <w:bCs/>
                <w:sz w:val="22"/>
                <w:szCs w:val="22"/>
              </w:rPr>
              <w:t>支持分辨率：支持1080P（1920*1080P）、720P（1280*720P）、UXGA（1600*1200）、 SVGA（800*600）、VGA（640*480）等多种分辨率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00" w:type="dxa"/>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3</w:t>
            </w:r>
          </w:p>
        </w:tc>
        <w:tc>
          <w:tcPr>
            <w:tcW w:w="7529" w:type="dxa"/>
          </w:tcPr>
          <w:p>
            <w:pPr>
              <w:widowControl/>
              <w:spacing w:line="360" w:lineRule="exact"/>
              <w:ind w:right="319" w:rightChars="133"/>
              <w:jc w:val="left"/>
              <w:rPr>
                <w:rFonts w:ascii="宋体" w:hAnsi="宋体" w:eastAsia="宋体" w:cs="宋体"/>
                <w:bCs/>
                <w:sz w:val="22"/>
                <w:szCs w:val="22"/>
              </w:rPr>
            </w:pPr>
            <w:r>
              <w:rPr>
                <w:rFonts w:hint="eastAsia" w:ascii="宋体" w:hAnsi="宋体" w:eastAsia="宋体" w:cs="宋体"/>
                <w:bCs/>
                <w:sz w:val="22"/>
                <w:szCs w:val="22"/>
              </w:rPr>
              <w:t>电源 DC12V</w:t>
            </w:r>
          </w:p>
        </w:tc>
      </w:tr>
    </w:tbl>
    <w:p>
      <w:pPr>
        <w:spacing w:line="360" w:lineRule="exact"/>
        <w:rPr>
          <w:rFonts w:ascii="宋体" w:hAnsi="宋体" w:eastAsia="宋体" w:cs="宋体"/>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 xml:space="preserve">1.6.1.7 </w:t>
      </w:r>
      <w:r>
        <w:rPr>
          <w:rFonts w:hint="eastAsia" w:ascii="宋体" w:hAnsi="宋体" w:cs="宋体"/>
          <w:bCs w:val="0"/>
          <w:color w:val="000000"/>
          <w:sz w:val="22"/>
          <w:szCs w:val="22"/>
        </w:rPr>
        <w:t>六类网线</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2" w:firstLineChars="200"/>
        <w:rPr>
          <w:rFonts w:ascii="宋体" w:hAnsi="宋体" w:cs="宋体"/>
          <w:color w:val="000000"/>
          <w:sz w:val="22"/>
          <w:szCs w:val="22"/>
        </w:rPr>
      </w:pPr>
      <w:r>
        <w:rPr>
          <w:rFonts w:hint="eastAsia" w:ascii="宋体" w:hAnsi="宋体" w:cs="宋体"/>
          <w:bCs w:val="0"/>
          <w:color w:val="000000"/>
          <w:sz w:val="22"/>
          <w:szCs w:val="22"/>
        </w:rPr>
        <w:t>可接受的标准化产品品牌为：鸿雁、普天、TCL同等或以上档次品牌。</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gridSpan w:val="2"/>
            <w:vAlign w:val="center"/>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类型</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六类UTP电缆，每线对具有隔离的骨架结构，以保证系统的传输性能，紧护套结构以保证施工前后的性能保持一致。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芯线规格</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23 AWG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芯线对数</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4对，每芯带有彩色护套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标准</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带宽</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直流电阻</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9.38</w:t>
            </w:r>
            <w:r>
              <w:rPr>
                <w:rFonts w:hint="eastAsia" w:ascii="宋体" w:hAnsi="宋体" w:eastAsia="宋体" w:cs="宋体"/>
                <w:color w:val="000000"/>
                <w:sz w:val="22"/>
                <w:szCs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特性阻抗</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100</w:t>
            </w:r>
            <w:r>
              <w:rPr>
                <w:rFonts w:hint="eastAsia" w:ascii="宋体" w:hAnsi="宋体" w:eastAsia="宋体" w:cs="宋体"/>
                <w:color w:val="000000"/>
                <w:sz w:val="22"/>
                <w:szCs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护套</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126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认证</w:t>
            </w:r>
          </w:p>
        </w:tc>
        <w:tc>
          <w:tcPr>
            <w:tcW w:w="702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IEC60332-1，IEC 61034、IEC60754性能要求</w:t>
            </w:r>
          </w:p>
        </w:tc>
      </w:tr>
    </w:tbl>
    <w:p>
      <w:pPr>
        <w:spacing w:line="360" w:lineRule="exact"/>
        <w:rPr>
          <w:rFonts w:ascii="宋体" w:hAnsi="宋体" w:eastAsia="宋体" w:cs="宋体"/>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1.6.1.8</w:t>
      </w:r>
      <w:r>
        <w:rPr>
          <w:rFonts w:hint="eastAsia" w:ascii="宋体" w:hAnsi="宋体" w:cs="宋体"/>
          <w:bCs w:val="0"/>
          <w:color w:val="000000"/>
          <w:sz w:val="22"/>
          <w:szCs w:val="22"/>
        </w:rPr>
        <w:t xml:space="preserve"> RVV3*1.5电源线、RVV2*1.0电源线</w:t>
      </w: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442" w:firstLineChars="200"/>
        <w:rPr>
          <w:rFonts w:ascii="宋体" w:hAnsi="宋体" w:cs="宋体"/>
          <w:color w:val="000000"/>
          <w:sz w:val="22"/>
          <w:szCs w:val="22"/>
        </w:rPr>
      </w:pPr>
      <w:r>
        <w:rPr>
          <w:rFonts w:hint="eastAsia" w:ascii="宋体" w:hAnsi="宋体" w:cs="宋体"/>
          <w:bCs w:val="0"/>
          <w:color w:val="000000"/>
          <w:sz w:val="22"/>
          <w:szCs w:val="22"/>
        </w:rPr>
        <w:t>可接受的标准化产品品牌为：爱谱华顿、联嘉祥、天诚同等或以上档次品牌。</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采用PVC材料，低烟低卤，符合UL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护套：PVC，低烟低卤，符合UL 1666要求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最大工作电压：≥300V（25℃）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最小弯曲率：≤电缆外径的6倍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线缆耐压300V</w:t>
            </w:r>
          </w:p>
        </w:tc>
      </w:tr>
    </w:tbl>
    <w:p>
      <w:pPr>
        <w:spacing w:line="360" w:lineRule="exact"/>
        <w:ind w:firstLine="440" w:firstLineChars="200"/>
        <w:rPr>
          <w:rFonts w:ascii="宋体" w:hAnsi="宋体" w:eastAsia="宋体" w:cs="宋体"/>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exact"/>
        <w:ind w:right="2" w:rightChars="1" w:firstLine="221" w:firstLineChars="100"/>
        <w:rPr>
          <w:rFonts w:ascii="宋体" w:hAnsi="宋体" w:cs="宋体"/>
          <w:bCs w:val="0"/>
          <w:color w:val="000000"/>
          <w:sz w:val="22"/>
          <w:szCs w:val="22"/>
        </w:rPr>
      </w:pPr>
      <w:r>
        <w:rPr>
          <w:rFonts w:hint="eastAsia" w:ascii="宋体" w:hAnsi="宋体" w:cs="宋体"/>
          <w:sz w:val="22"/>
          <w:szCs w:val="22"/>
        </w:rPr>
        <w:t>1.6.1.9</w:t>
      </w:r>
      <w:r>
        <w:rPr>
          <w:rFonts w:hint="eastAsia" w:ascii="宋体" w:hAnsi="宋体" w:cs="宋体"/>
          <w:bCs w:val="0"/>
          <w:color w:val="000000"/>
          <w:sz w:val="22"/>
          <w:szCs w:val="22"/>
        </w:rPr>
        <w:t xml:space="preserve"> KBG管</w:t>
      </w:r>
    </w:p>
    <w:tbl>
      <w:tblPr>
        <w:tblStyle w:val="58"/>
        <w:tblW w:w="91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序号</w:t>
            </w:r>
          </w:p>
        </w:tc>
        <w:tc>
          <w:tcPr>
            <w:tcW w:w="8280" w:type="dxa"/>
          </w:tcPr>
          <w:p>
            <w:pPr>
              <w:spacing w:line="360" w:lineRule="exact"/>
              <w:jc w:val="center"/>
              <w:rPr>
                <w:rFonts w:ascii="宋体" w:hAnsi="宋体" w:eastAsia="宋体" w:cs="宋体"/>
                <w:b/>
                <w:color w:val="000000"/>
                <w:sz w:val="22"/>
                <w:szCs w:val="22"/>
              </w:rPr>
            </w:pPr>
            <w:r>
              <w:rPr>
                <w:rFonts w:hint="eastAsia" w:ascii="宋体" w:hAnsi="宋体" w:eastAsia="宋体" w:cs="宋体"/>
                <w:b/>
                <w:color w:val="000000"/>
                <w:sz w:val="22"/>
                <w:szCs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Φ25热镀锌KBG管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壁厚≥1.2MM，管壁均匀、一致、不应有折扁、裂缝、砂眼、塌陷等现象。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900" w:type="dxa"/>
            <w:vAlign w:val="center"/>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8280" w:type="dxa"/>
          </w:tcPr>
          <w:p>
            <w:pPr>
              <w:spacing w:line="360" w:lineRule="exact"/>
              <w:rPr>
                <w:rFonts w:ascii="宋体" w:hAnsi="宋体" w:eastAsia="宋体" w:cs="宋体"/>
                <w:color w:val="000000"/>
                <w:sz w:val="22"/>
                <w:szCs w:val="22"/>
              </w:rPr>
            </w:pPr>
            <w:r>
              <w:rPr>
                <w:rFonts w:hint="eastAsia" w:ascii="宋体" w:hAnsi="宋体" w:eastAsia="宋体" w:cs="宋体"/>
                <w:color w:val="000000"/>
                <w:sz w:val="22"/>
                <w:szCs w:val="22"/>
              </w:rPr>
              <w:t>管箍的大小应符合国家规范要求，丝扣清晰、均匀、不乱扣，镀锌层均匀，无剥落、无劈裂，两端光滑无毛刺。</w:t>
            </w:r>
          </w:p>
        </w:tc>
      </w:tr>
    </w:tbl>
    <w:p>
      <w:pPr>
        <w:spacing w:line="360" w:lineRule="exact"/>
        <w:rPr>
          <w:rFonts w:ascii="宋体" w:hAnsi="宋体" w:eastAsia="宋体" w:cs="宋体"/>
          <w:sz w:val="22"/>
          <w:szCs w:val="22"/>
        </w:rPr>
      </w:pPr>
    </w:p>
    <w:p>
      <w:pPr>
        <w:spacing w:line="360" w:lineRule="exact"/>
        <w:rPr>
          <w:rFonts w:ascii="宋体" w:hAnsi="宋体" w:eastAsia="宋体" w:cs="宋体"/>
          <w:sz w:val="22"/>
          <w:szCs w:val="22"/>
        </w:rPr>
      </w:pPr>
    </w:p>
    <w:bookmarkEnd w:id="182"/>
    <w:bookmarkEnd w:id="183"/>
    <w:bookmarkEnd w:id="184"/>
    <w:bookmarkEnd w:id="185"/>
    <w:bookmarkEnd w:id="186"/>
    <w:bookmarkEnd w:id="187"/>
    <w:bookmarkEnd w:id="188"/>
    <w:bookmarkEnd w:id="189"/>
    <w:bookmarkEnd w:id="190"/>
    <w:bookmarkEnd w:id="191"/>
    <w:bookmarkEnd w:id="192"/>
    <w:bookmarkEnd w:id="193"/>
    <w:p>
      <w:pPr>
        <w:pStyle w:val="5"/>
        <w:keepNext w:val="0"/>
        <w:keepLines w:val="0"/>
        <w:tabs>
          <w:tab w:val="left" w:pos="900"/>
          <w:tab w:val="left" w:pos="1584"/>
        </w:tabs>
        <w:snapToGrid w:val="0"/>
        <w:spacing w:before="0" w:after="0" w:line="360" w:lineRule="exact"/>
        <w:ind w:right="2" w:rightChars="1"/>
        <w:rPr>
          <w:rFonts w:ascii="宋体" w:hAnsi="宋体" w:eastAsia="宋体" w:cs="宋体"/>
          <w:sz w:val="22"/>
          <w:szCs w:val="22"/>
        </w:rPr>
      </w:pPr>
      <w:r>
        <w:rPr>
          <w:rFonts w:hint="eastAsia" w:ascii="宋体" w:hAnsi="宋体" w:eastAsia="宋体" w:cs="宋体"/>
          <w:sz w:val="22"/>
          <w:szCs w:val="22"/>
        </w:rPr>
        <w:t>1.6.2工作制度和施工要求</w:t>
      </w:r>
    </w:p>
    <w:p>
      <w:pPr>
        <w:spacing w:line="360" w:lineRule="exact"/>
        <w:ind w:firstLine="454"/>
        <w:rPr>
          <w:rFonts w:ascii="宋体" w:hAnsi="宋体" w:eastAsia="宋体" w:cs="宋体"/>
          <w:sz w:val="22"/>
          <w:szCs w:val="22"/>
        </w:rPr>
      </w:pPr>
      <w:r>
        <w:rPr>
          <w:rFonts w:hint="eastAsia" w:ascii="宋体" w:hAnsi="宋体" w:eastAsia="宋体" w:cs="宋体"/>
          <w:sz w:val="22"/>
          <w:szCs w:val="22"/>
        </w:rPr>
        <w:t>杭州萧山国际机场工作制度为365天∕24小时。</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由于本工程施工地点属于航站楼区域，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施工道路：所有人员必须按招标人指定的进出场路口进出，并不得违反。</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施工临时设施：报价人根据现场情况及招标文件要求，综合考虑施工生产临时设施(包括仓库、料场)。所有的施工生产临时设施的方案需经招标人批准后方可实施。</w:t>
      </w:r>
    </w:p>
    <w:p>
      <w:pPr>
        <w:spacing w:line="360" w:lineRule="exact"/>
        <w:rPr>
          <w:rFonts w:ascii="宋体" w:hAnsi="宋体" w:eastAsia="宋体" w:cs="宋体"/>
          <w:b/>
          <w:kern w:val="0"/>
          <w:sz w:val="22"/>
          <w:szCs w:val="22"/>
        </w:rPr>
      </w:pPr>
      <w:r>
        <w:rPr>
          <w:rFonts w:hint="eastAsia" w:ascii="宋体" w:hAnsi="宋体" w:eastAsia="宋体" w:cs="宋体"/>
          <w:b/>
          <w:bCs/>
          <w:kern w:val="0"/>
          <w:sz w:val="22"/>
          <w:szCs w:val="22"/>
        </w:rPr>
        <w:t>1.6.2.1</w:t>
      </w:r>
      <w:r>
        <w:rPr>
          <w:rFonts w:hint="eastAsia" w:ascii="宋体" w:hAnsi="宋体" w:eastAsia="宋体" w:cs="宋体"/>
          <w:b/>
          <w:kern w:val="0"/>
          <w:sz w:val="22"/>
          <w:szCs w:val="22"/>
        </w:rPr>
        <w:t>线缆敷设</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所有弱电管路、线槽（或桥架）及弱电终端设备施工、安装均应按相应弱电规范要求与强电保持足够的间距。</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平面图中由弱电井引出的管路、线槽均按弱电井详图对应系统位置整齐连接到位。</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施工中遇管线过长,须加中间过路盒,图中未注明处须按施工规范施工。</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所有穿越防火分区的管、槽施工完毕后需做防火封堵处理。</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所有弱电管路、线槽在相应设备未到位时，仅埋（敷）管路。</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电线暗配管保护层应沿最近的路线敷设并减少弯曲。与建筑物、构筑物表面的距离不应小于150mm。</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弯曲处，不应有折皱、凹陷和裂缝，且弯扁程度不应大于管外径的10%。</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暗配管的弯曲半径应符合下列规定：弯曲半径不应小于管外径的6倍，当埋设砼内时，其弯曲半径不应小于管外径的10倍。</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当暗配管遇以下情况之一时，中间应增设接线盒，且接线盒的位置应便于穿线:管长度每超过30m，</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无弯曲；管长度每超过20m，有一个弯曲；管长度每超过15m，有二个弯曲；管长度每超过8m，有三个弯曲。</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管口应平整，光滑；接口应牢固密封。</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线缆的排列应避免交叉。线缆布放时长度应有冗余。在前端设备安装位置、设备间的铜缆的预留长度一般为1m～2m，光缆在设备端预留长度至少为5m。有特殊要求的应按设计要求预留长度。</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所有管路应做接地处理。</w:t>
      </w:r>
      <w:bookmarkStart w:id="206" w:name="_Toc119504328"/>
      <w:bookmarkStart w:id="207" w:name="_Toc392056822"/>
      <w:bookmarkStart w:id="208" w:name="_Toc119378314"/>
      <w:bookmarkStart w:id="209" w:name="_Toc214178012"/>
      <w:bookmarkStart w:id="210" w:name="_Toc118771464"/>
      <w:bookmarkStart w:id="211" w:name="_Toc107586453"/>
      <w:bookmarkStart w:id="212" w:name="_Toc118214040"/>
      <w:bookmarkStart w:id="213" w:name="_Toc119258153"/>
      <w:bookmarkStart w:id="214" w:name="_Toc123028558"/>
      <w:bookmarkStart w:id="215" w:name="_Toc122958957"/>
      <w:bookmarkStart w:id="216" w:name="_Toc127347671"/>
      <w:bookmarkStart w:id="217" w:name="_Toc119378502"/>
      <w:bookmarkStart w:id="218" w:name="_Toc124561192"/>
    </w:p>
    <w:p>
      <w:pPr>
        <w:spacing w:line="360" w:lineRule="exact"/>
        <w:rPr>
          <w:rFonts w:ascii="宋体" w:hAnsi="宋体" w:eastAsia="宋体" w:cs="宋体"/>
          <w:b/>
          <w:sz w:val="22"/>
          <w:szCs w:val="22"/>
        </w:rPr>
      </w:pPr>
      <w:r>
        <w:rPr>
          <w:rFonts w:hint="eastAsia" w:ascii="宋体" w:hAnsi="宋体" w:eastAsia="宋体" w:cs="宋体"/>
          <w:b/>
          <w:bCs/>
          <w:kern w:val="0"/>
          <w:sz w:val="22"/>
          <w:szCs w:val="22"/>
        </w:rPr>
        <w:t>1.6.2.2</w:t>
      </w:r>
      <w:r>
        <w:rPr>
          <w:rFonts w:hint="eastAsia" w:ascii="宋体" w:hAnsi="宋体" w:eastAsia="宋体" w:cs="宋体"/>
          <w:b/>
          <w:sz w:val="22"/>
          <w:szCs w:val="22"/>
        </w:rPr>
        <w:t>接地</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投标人须保证所提供的设备都能可靠接地，并负责实施。所有接地线应采用多股铜线或铜带，与机房设备的接地点端接。</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所有接地要求符合TIA/EIA-607标准。</w:t>
      </w:r>
    </w:p>
    <w:p>
      <w:pPr>
        <w:pStyle w:val="6"/>
        <w:keepNext w:val="0"/>
        <w:keepLines w:val="0"/>
        <w:numPr>
          <w:ilvl w:val="0"/>
          <w:numId w:val="6"/>
        </w:numPr>
        <w:tabs>
          <w:tab w:val="left" w:pos="720"/>
          <w:tab w:val="left" w:pos="1080"/>
          <w:tab w:val="left" w:pos="1968"/>
        </w:tabs>
        <w:adjustRightInd w:val="0"/>
        <w:snapToGrid w:val="0"/>
        <w:spacing w:before="0" w:after="0" w:line="360" w:lineRule="exact"/>
        <w:ind w:right="2" w:rightChars="1"/>
        <w:rPr>
          <w:rFonts w:ascii="宋体" w:hAnsi="宋体" w:cs="宋体"/>
          <w:b w:val="0"/>
          <w:sz w:val="22"/>
          <w:szCs w:val="22"/>
        </w:rPr>
      </w:pPr>
      <w:r>
        <w:rPr>
          <w:rFonts w:hint="eastAsia" w:ascii="宋体" w:hAnsi="宋体" w:cs="宋体"/>
          <w:b w:val="0"/>
          <w:sz w:val="22"/>
          <w:szCs w:val="22"/>
        </w:rPr>
        <w:t>室外设备接地电阻不得大于4Ω。</w:t>
      </w:r>
    </w:p>
    <w:p>
      <w:pPr>
        <w:pStyle w:val="5"/>
        <w:keepNext w:val="0"/>
        <w:keepLines w:val="0"/>
        <w:tabs>
          <w:tab w:val="left" w:pos="900"/>
          <w:tab w:val="left" w:pos="1584"/>
        </w:tabs>
        <w:snapToGrid w:val="0"/>
        <w:spacing w:before="0" w:after="0" w:line="360" w:lineRule="exact"/>
        <w:ind w:left="1584" w:right="2" w:rightChars="1" w:hanging="1584"/>
        <w:rPr>
          <w:rFonts w:ascii="宋体" w:hAnsi="宋体" w:eastAsia="宋体" w:cs="宋体"/>
          <w:sz w:val="22"/>
          <w:szCs w:val="22"/>
        </w:rPr>
      </w:pPr>
      <w:bookmarkStart w:id="219" w:name="_Toc430266657"/>
      <w:bookmarkStart w:id="220" w:name="OLE_LINK12"/>
      <w:r>
        <w:rPr>
          <w:rFonts w:hint="eastAsia" w:ascii="宋体" w:hAnsi="宋体" w:eastAsia="宋体" w:cs="宋体"/>
          <w:sz w:val="22"/>
          <w:szCs w:val="22"/>
        </w:rPr>
        <w:t>1.6.3不停航施工方案</w:t>
      </w:r>
      <w:bookmarkEnd w:id="219"/>
    </w:p>
    <w:bookmarkEnd w:id="220"/>
    <w:p>
      <w:pPr>
        <w:spacing w:line="360" w:lineRule="exact"/>
        <w:ind w:firstLine="440" w:firstLineChars="200"/>
        <w:rPr>
          <w:rFonts w:ascii="宋体" w:hAnsi="宋体" w:eastAsia="宋体" w:cs="宋体"/>
          <w:b/>
          <w:sz w:val="22"/>
          <w:szCs w:val="22"/>
        </w:rPr>
      </w:pPr>
      <w:r>
        <w:rPr>
          <w:rFonts w:hint="eastAsia" w:ascii="宋体" w:hAnsi="宋体" w:eastAsia="宋体" w:cs="宋体"/>
          <w:sz w:val="22"/>
          <w:szCs w:val="22"/>
        </w:rPr>
        <w:t>货机坪监控更新及存储扩容工程是在机场不关闭且航班计划不变的情况下实施的，为确保飞行安全和航班正常，</w:t>
      </w:r>
      <w:r>
        <w:rPr>
          <w:rFonts w:hint="eastAsia" w:ascii="宋体" w:hAnsi="宋体" w:eastAsia="宋体" w:cs="宋体"/>
          <w:b/>
          <w:sz w:val="22"/>
          <w:szCs w:val="22"/>
        </w:rPr>
        <w:t>投标人应按照民航局第191令颁布实施的《民用机场运行安全管理规定》（CCAR－140）的要求，制定本次施工的不停航施工方案，并在配合T2航站楼中转厅改造其他施工单位。</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1.6.3.1</w:t>
      </w:r>
      <w:r>
        <w:rPr>
          <w:rFonts w:hint="eastAsia" w:ascii="宋体" w:hAnsi="宋体" w:eastAsia="宋体" w:cs="宋体"/>
          <w:sz w:val="22"/>
          <w:szCs w:val="22"/>
        </w:rPr>
        <w:t>对施工区域应实行封闭式施工管理，航班运行期间，任何施工机具，车辆不得超出障碍物限制面。</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1.6.3.2</w:t>
      </w:r>
      <w:r>
        <w:rPr>
          <w:rFonts w:hint="eastAsia" w:ascii="宋体" w:hAnsi="宋体" w:eastAsia="宋体" w:cs="宋体"/>
          <w:sz w:val="22"/>
          <w:szCs w:val="22"/>
        </w:rPr>
        <w:t>施工材料及施工垃圾应采取有效措施避免被风或飞机尾气吹入飞行区或停机坪。</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1.6.3.3</w:t>
      </w:r>
      <w:r>
        <w:rPr>
          <w:rFonts w:hint="eastAsia" w:ascii="宋体" w:hAnsi="宋体" w:eastAsia="宋体" w:cs="宋体"/>
          <w:sz w:val="22"/>
          <w:szCs w:val="22"/>
        </w:rPr>
        <w:t>投标人应在投标文件中明确设立一名专职安全负责人，负责不停航施工期间的安全管理工作。</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1.6.3.4</w:t>
      </w:r>
      <w:r>
        <w:rPr>
          <w:rFonts w:hint="eastAsia" w:ascii="宋体" w:hAnsi="宋体" w:eastAsia="宋体" w:cs="宋体"/>
          <w:sz w:val="22"/>
          <w:szCs w:val="22"/>
        </w:rPr>
        <w:t>投标人应充分考虑不停航施工及采取各种保障飞行安全措施引起的各类必要的费用及时间需求，不得以此为理由要求业主增加费用和延长工期。</w:t>
      </w:r>
    </w:p>
    <w:p>
      <w:pPr>
        <w:spacing w:line="360" w:lineRule="exact"/>
        <w:rPr>
          <w:rFonts w:ascii="宋体" w:hAnsi="宋体" w:eastAsia="宋体" w:cs="宋体"/>
          <w:sz w:val="22"/>
          <w:szCs w:val="22"/>
        </w:rPr>
      </w:pPr>
      <w:r>
        <w:rPr>
          <w:rFonts w:hint="eastAsia" w:ascii="宋体" w:hAnsi="宋体" w:eastAsia="宋体" w:cs="宋体"/>
          <w:b/>
          <w:bCs/>
          <w:kern w:val="0"/>
          <w:sz w:val="22"/>
          <w:szCs w:val="22"/>
        </w:rPr>
        <w:t>1.6.3.5</w:t>
      </w:r>
      <w:r>
        <w:rPr>
          <w:rFonts w:hint="eastAsia" w:ascii="宋体" w:hAnsi="宋体" w:eastAsia="宋体" w:cs="宋体"/>
          <w:sz w:val="22"/>
          <w:szCs w:val="22"/>
        </w:rPr>
        <w:t>投标人应充分了解机场隔离区管理规定，提前做好车辆、人员进入隔离区的证件办理工作，不得以此为理由要求业主增加费用和延长工期。</w:t>
      </w:r>
    </w:p>
    <w:p>
      <w:pPr>
        <w:pStyle w:val="3"/>
        <w:keepNext w:val="0"/>
        <w:keepLines w:val="0"/>
        <w:tabs>
          <w:tab w:val="left" w:pos="576"/>
        </w:tabs>
        <w:spacing w:line="360" w:lineRule="exact"/>
        <w:jc w:val="both"/>
        <w:rPr>
          <w:rFonts w:ascii="宋体" w:hAnsi="宋体" w:cs="宋体"/>
          <w:sz w:val="22"/>
          <w:szCs w:val="22"/>
        </w:rPr>
      </w:pPr>
      <w:r>
        <w:rPr>
          <w:rFonts w:hint="eastAsia" w:ascii="宋体" w:hAnsi="宋体" w:cs="宋体"/>
          <w:sz w:val="22"/>
          <w:szCs w:val="22"/>
        </w:rPr>
        <w:t>1.7合同签定后的工作任务及要求</w:t>
      </w:r>
      <w:bookmarkEnd w:id="206"/>
      <w:bookmarkEnd w:id="207"/>
      <w:bookmarkEnd w:id="208"/>
      <w:bookmarkEnd w:id="209"/>
      <w:bookmarkEnd w:id="210"/>
      <w:bookmarkEnd w:id="211"/>
      <w:bookmarkEnd w:id="212"/>
      <w:bookmarkEnd w:id="213"/>
      <w:bookmarkEnd w:id="214"/>
      <w:bookmarkEnd w:id="215"/>
      <w:bookmarkEnd w:id="216"/>
      <w:bookmarkEnd w:id="217"/>
      <w:bookmarkEnd w:id="218"/>
    </w:p>
    <w:p>
      <w:pPr>
        <w:pStyle w:val="4"/>
        <w:keepNext w:val="0"/>
        <w:numPr>
          <w:ilvl w:val="0"/>
          <w:numId w:val="0"/>
        </w:numPr>
        <w:tabs>
          <w:tab w:val="left" w:pos="720"/>
          <w:tab w:val="clear" w:pos="1275"/>
        </w:tabs>
        <w:snapToGrid w:val="0"/>
        <w:spacing w:line="360" w:lineRule="exact"/>
        <w:ind w:right="2" w:rightChars="1"/>
        <w:rPr>
          <w:rFonts w:hAnsi="宋体" w:cs="宋体"/>
          <w:bCs/>
          <w:sz w:val="22"/>
          <w:szCs w:val="22"/>
        </w:rPr>
      </w:pPr>
      <w:r>
        <w:rPr>
          <w:rFonts w:hint="eastAsia" w:hAnsi="宋体" w:cs="宋体"/>
          <w:bCs/>
          <w:sz w:val="22"/>
          <w:szCs w:val="22"/>
        </w:rPr>
        <w:t>1.7.1资料管理要求</w:t>
      </w:r>
    </w:p>
    <w:p>
      <w:pPr>
        <w:pStyle w:val="5"/>
        <w:keepNext w:val="0"/>
        <w:keepLines w:val="0"/>
        <w:tabs>
          <w:tab w:val="left" w:pos="840"/>
          <w:tab w:val="left" w:pos="900"/>
          <w:tab w:val="left" w:pos="1584"/>
        </w:tabs>
        <w:snapToGrid w:val="0"/>
        <w:spacing w:before="0" w:after="0" w:line="360" w:lineRule="exact"/>
        <w:ind w:left="840" w:right="2" w:rightChars="1" w:hanging="840"/>
        <w:rPr>
          <w:rFonts w:ascii="宋体" w:hAnsi="宋体" w:eastAsia="宋体" w:cs="宋体"/>
          <w:b w:val="0"/>
          <w:sz w:val="22"/>
          <w:szCs w:val="22"/>
        </w:rPr>
      </w:pPr>
      <w:r>
        <w:rPr>
          <w:rFonts w:hint="eastAsia" w:ascii="宋体" w:hAnsi="宋体" w:eastAsia="宋体" w:cs="宋体"/>
          <w:sz w:val="22"/>
          <w:szCs w:val="22"/>
        </w:rPr>
        <w:t>1.7.1.1</w:t>
      </w:r>
      <w:r>
        <w:rPr>
          <w:rFonts w:hint="eastAsia" w:ascii="宋体" w:hAnsi="宋体" w:eastAsia="宋体" w:cs="宋体"/>
          <w:b w:val="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1.7.1.2</w:t>
      </w:r>
      <w:r>
        <w:rPr>
          <w:rFonts w:hint="eastAsia" w:ascii="宋体" w:hAnsi="宋体" w:eastAsia="宋体" w:cs="宋体"/>
          <w:b w:val="0"/>
          <w:kern w:val="2"/>
          <w:sz w:val="22"/>
          <w:szCs w:val="22"/>
        </w:rPr>
        <w:t xml:space="preserve">项目资料管理必须包括需求整理及确认、深化设计、开发、试验室测试、现场安装调试、现场测试、验收、技术培训等、文档、竣工资料等的编制、提交、存档等。 </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21" w:name="_Toc123028564"/>
      <w:bookmarkStart w:id="222" w:name="_Toc121826436"/>
      <w:bookmarkStart w:id="223" w:name="_Toc214178018"/>
      <w:bookmarkStart w:id="224" w:name="_Toc392056827"/>
      <w:bookmarkStart w:id="225" w:name="_Toc127347677"/>
      <w:bookmarkStart w:id="226" w:name="_Toc124561198"/>
      <w:bookmarkStart w:id="227" w:name="_Toc122958963"/>
      <w:r>
        <w:rPr>
          <w:rFonts w:hint="eastAsia" w:ascii="宋体" w:hAnsi="宋体" w:cs="宋体"/>
          <w:sz w:val="22"/>
          <w:szCs w:val="22"/>
        </w:rPr>
        <w:t>1.7.4设备及产品运输包装、到货开箱及仓储</w:t>
      </w:r>
      <w:bookmarkEnd w:id="221"/>
      <w:bookmarkEnd w:id="222"/>
      <w:bookmarkEnd w:id="223"/>
      <w:bookmarkEnd w:id="224"/>
      <w:bookmarkEnd w:id="225"/>
      <w:bookmarkEnd w:id="226"/>
      <w:bookmarkEnd w:id="227"/>
    </w:p>
    <w:p>
      <w:pPr>
        <w:pStyle w:val="4"/>
        <w:keepNext w:val="0"/>
        <w:numPr>
          <w:ilvl w:val="0"/>
          <w:numId w:val="0"/>
        </w:numPr>
        <w:tabs>
          <w:tab w:val="left" w:pos="720"/>
          <w:tab w:val="clear" w:pos="1275"/>
        </w:tabs>
        <w:snapToGrid w:val="0"/>
        <w:spacing w:line="360" w:lineRule="exact"/>
        <w:ind w:right="2" w:rightChars="1"/>
        <w:rPr>
          <w:rFonts w:hAnsi="宋体" w:cs="宋体"/>
          <w:b w:val="0"/>
          <w:kern w:val="2"/>
          <w:sz w:val="22"/>
          <w:szCs w:val="22"/>
        </w:rPr>
      </w:pPr>
      <w:r>
        <w:rPr>
          <w:rFonts w:hint="eastAsia" w:hAnsi="宋体" w:cs="宋体"/>
          <w:sz w:val="22"/>
          <w:szCs w:val="22"/>
        </w:rPr>
        <w:t>1.7.4.1</w:t>
      </w:r>
      <w:r>
        <w:rPr>
          <w:rFonts w:hint="eastAsia" w:hAnsi="宋体" w:cs="宋体"/>
          <w:b w:val="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 w:val="clear" w:pos="1275"/>
        </w:tabs>
        <w:snapToGrid w:val="0"/>
        <w:spacing w:line="360" w:lineRule="exact"/>
        <w:rPr>
          <w:rFonts w:hAnsi="宋体" w:cs="宋体"/>
          <w:b w:val="0"/>
          <w:kern w:val="2"/>
          <w:sz w:val="22"/>
          <w:szCs w:val="22"/>
        </w:rPr>
      </w:pPr>
      <w:r>
        <w:rPr>
          <w:rFonts w:hint="eastAsia" w:hAnsi="宋体" w:cs="宋体"/>
          <w:sz w:val="22"/>
          <w:szCs w:val="22"/>
        </w:rPr>
        <w:t>1.7.4.2</w:t>
      </w:r>
      <w:r>
        <w:rPr>
          <w:rFonts w:hint="eastAsia" w:hAnsi="宋体" w:cs="宋体"/>
          <w:b w:val="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 w:val="clear" w:pos="1275"/>
        </w:tabs>
        <w:snapToGrid w:val="0"/>
        <w:spacing w:line="360" w:lineRule="exact"/>
        <w:rPr>
          <w:rFonts w:hAnsi="宋体" w:cs="宋体"/>
          <w:b w:val="0"/>
          <w:sz w:val="22"/>
          <w:szCs w:val="22"/>
        </w:rPr>
      </w:pPr>
      <w:r>
        <w:rPr>
          <w:rFonts w:hint="eastAsia" w:hAnsi="宋体" w:cs="宋体"/>
          <w:sz w:val="22"/>
          <w:szCs w:val="22"/>
        </w:rPr>
        <w:t>1.7.4.3</w:t>
      </w:r>
      <w:r>
        <w:rPr>
          <w:rFonts w:hint="eastAsia" w:hAnsi="宋体" w:cs="宋体"/>
          <w:b w:val="0"/>
          <w:sz w:val="22"/>
          <w:szCs w:val="22"/>
        </w:rPr>
        <w:t>设备到达发包人指定现场后，投标人应根据发包人的要求，派员参加到货签收，并作好签收记录。</w:t>
      </w:r>
    </w:p>
    <w:p>
      <w:pPr>
        <w:pStyle w:val="4"/>
        <w:keepNext w:val="0"/>
        <w:numPr>
          <w:ilvl w:val="0"/>
          <w:numId w:val="0"/>
        </w:numPr>
        <w:tabs>
          <w:tab w:val="left" w:pos="720"/>
          <w:tab w:val="clear" w:pos="1275"/>
        </w:tabs>
        <w:snapToGrid w:val="0"/>
        <w:spacing w:line="360" w:lineRule="exact"/>
        <w:rPr>
          <w:rFonts w:hAnsi="宋体" w:cs="宋体"/>
          <w:b w:val="0"/>
          <w:sz w:val="22"/>
          <w:szCs w:val="22"/>
        </w:rPr>
      </w:pPr>
      <w:r>
        <w:rPr>
          <w:rFonts w:hint="eastAsia" w:hAnsi="宋体" w:cs="宋体"/>
          <w:sz w:val="22"/>
          <w:szCs w:val="22"/>
        </w:rPr>
        <w:t>1.7.4.4</w:t>
      </w:r>
      <w:r>
        <w:rPr>
          <w:rFonts w:hint="eastAsia" w:hAnsi="宋体" w:cs="宋体"/>
          <w:b w:val="0"/>
          <w:sz w:val="22"/>
          <w:szCs w:val="22"/>
        </w:rPr>
        <w:t>投标人应根据工程进度分批到货。在硬件设备软硬件购买前，投标人须以书面的形式向发包人提供硬件设备的详细配置和版本的清单，并报发包人备案。</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28" w:name="_Toc122958965"/>
      <w:bookmarkStart w:id="229" w:name="_Toc392056829"/>
      <w:bookmarkStart w:id="230" w:name="_Toc121826438"/>
      <w:bookmarkStart w:id="231" w:name="_Toc124561200"/>
      <w:bookmarkStart w:id="232" w:name="_Toc123028566"/>
      <w:bookmarkStart w:id="233" w:name="_Toc107586461"/>
      <w:bookmarkStart w:id="234" w:name="_Toc214178020"/>
      <w:bookmarkStart w:id="235" w:name="_Toc119684696"/>
      <w:bookmarkStart w:id="236" w:name="_Toc118214048"/>
      <w:bookmarkStart w:id="237" w:name="_Toc127347679"/>
      <w:r>
        <w:rPr>
          <w:rFonts w:hint="eastAsia" w:ascii="宋体" w:hAnsi="宋体" w:cs="宋体"/>
          <w:sz w:val="22"/>
          <w:szCs w:val="22"/>
        </w:rPr>
        <w:t>1.7.4安装调试</w:t>
      </w:r>
      <w:bookmarkEnd w:id="228"/>
      <w:bookmarkEnd w:id="229"/>
      <w:bookmarkEnd w:id="230"/>
      <w:bookmarkEnd w:id="231"/>
      <w:bookmarkEnd w:id="232"/>
      <w:bookmarkEnd w:id="233"/>
      <w:bookmarkEnd w:id="234"/>
      <w:bookmarkEnd w:id="235"/>
      <w:bookmarkEnd w:id="236"/>
      <w:bookmarkEnd w:id="237"/>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1.7.4.1安装</w:t>
      </w:r>
    </w:p>
    <w:p>
      <w:pPr>
        <w:pStyle w:val="5"/>
        <w:keepNext w:val="0"/>
        <w:keepLines w:val="0"/>
        <w:tabs>
          <w:tab w:val="left" w:pos="720"/>
          <w:tab w:val="left" w:pos="84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1.7.4.1.1</w:t>
      </w:r>
      <w:r>
        <w:rPr>
          <w:rFonts w:hint="eastAsia" w:ascii="宋体" w:hAnsi="宋体" w:eastAsia="宋体" w:cs="宋体"/>
          <w:b w:val="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exact"/>
        <w:ind w:left="840" w:right="2" w:rightChars="1" w:hanging="840"/>
        <w:rPr>
          <w:rFonts w:ascii="宋体" w:hAnsi="宋体" w:eastAsia="宋体" w:cs="宋体"/>
          <w:b w:val="0"/>
          <w:kern w:val="2"/>
          <w:sz w:val="22"/>
          <w:szCs w:val="22"/>
        </w:rPr>
      </w:pPr>
      <w:r>
        <w:rPr>
          <w:rFonts w:hint="eastAsia" w:ascii="宋体" w:hAnsi="宋体" w:eastAsia="宋体" w:cs="宋体"/>
          <w:sz w:val="22"/>
          <w:szCs w:val="22"/>
        </w:rPr>
        <w:t xml:space="preserve">1.7.4.1.2 </w:t>
      </w:r>
      <w:r>
        <w:rPr>
          <w:rFonts w:hint="eastAsia" w:ascii="宋体" w:hAnsi="宋体" w:eastAsia="宋体" w:cs="宋体"/>
          <w:b w:val="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exact"/>
        <w:ind w:left="840" w:right="2" w:rightChars="1" w:hanging="840"/>
        <w:rPr>
          <w:rFonts w:ascii="宋体" w:hAnsi="宋体" w:eastAsia="宋体" w:cs="宋体"/>
          <w:b w:val="0"/>
          <w:kern w:val="2"/>
          <w:sz w:val="22"/>
          <w:szCs w:val="22"/>
        </w:rPr>
      </w:pPr>
      <w:r>
        <w:rPr>
          <w:rFonts w:hint="eastAsia" w:ascii="宋体" w:hAnsi="宋体" w:eastAsia="宋体" w:cs="宋体"/>
          <w:sz w:val="22"/>
          <w:szCs w:val="22"/>
        </w:rPr>
        <w:t xml:space="preserve">1.7.4.1.3 </w:t>
      </w:r>
      <w:r>
        <w:rPr>
          <w:rFonts w:hint="eastAsia" w:ascii="宋体" w:hAnsi="宋体" w:eastAsia="宋体" w:cs="宋体"/>
          <w:b w:val="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exact"/>
        <w:ind w:right="2" w:rightChars="1"/>
        <w:rPr>
          <w:rFonts w:ascii="宋体" w:hAnsi="宋体" w:eastAsia="宋体" w:cs="宋体"/>
          <w:b w:val="0"/>
          <w:kern w:val="2"/>
          <w:sz w:val="22"/>
          <w:szCs w:val="22"/>
        </w:rPr>
      </w:pPr>
      <w:r>
        <w:rPr>
          <w:rFonts w:hint="eastAsia" w:ascii="宋体" w:hAnsi="宋体" w:eastAsia="宋体" w:cs="宋体"/>
          <w:sz w:val="22"/>
          <w:szCs w:val="22"/>
        </w:rPr>
        <w:t xml:space="preserve">1.7.4.1.4 </w:t>
      </w:r>
      <w:r>
        <w:rPr>
          <w:rFonts w:hint="eastAsia" w:ascii="宋体" w:hAnsi="宋体" w:eastAsia="宋体" w:cs="宋体"/>
          <w:b w:val="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1.7.4.1.5 </w:t>
      </w:r>
      <w:bookmarkStart w:id="238" w:name="OLE_LINK13"/>
      <w:r>
        <w:rPr>
          <w:rFonts w:hint="eastAsia" w:ascii="宋体" w:hAnsi="宋体" w:eastAsia="宋体" w:cs="宋体"/>
          <w:b w:val="0"/>
          <w:kern w:val="2"/>
          <w:sz w:val="22"/>
          <w:szCs w:val="22"/>
        </w:rPr>
        <w:t>工程所产生的临时费用及所需设备的产品现场保护、工作设施、工作照明、防护、安装脚手、围栏、警告标志和守护人员等由投标人负责。</w:t>
      </w:r>
    </w:p>
    <w:bookmarkEnd w:id="238"/>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1.7.4.1.6</w:t>
      </w:r>
      <w:r>
        <w:rPr>
          <w:rFonts w:hint="eastAsia" w:ascii="宋体" w:hAnsi="宋体" w:eastAsia="宋体" w:cs="宋体"/>
          <w:b w:val="0"/>
          <w:kern w:val="2"/>
          <w:sz w:val="22"/>
          <w:szCs w:val="22"/>
        </w:rPr>
        <w:t>投标人在进驻现场前2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1.7.4.1.7</w:t>
      </w:r>
      <w:r>
        <w:rPr>
          <w:rFonts w:hint="eastAsia" w:ascii="宋体" w:hAnsi="宋体" w:eastAsia="宋体" w:cs="宋体"/>
          <w:b w:val="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1.7.4.2调试</w:t>
      </w:r>
    </w:p>
    <w:p>
      <w:pPr>
        <w:pStyle w:val="5"/>
        <w:keepNext w:val="0"/>
        <w:keepLines w:val="0"/>
        <w:tabs>
          <w:tab w:val="left" w:pos="720"/>
          <w:tab w:val="left" w:pos="840"/>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1.7.4.2.1</w:t>
      </w:r>
      <w:r>
        <w:rPr>
          <w:rFonts w:hint="eastAsia" w:ascii="宋体" w:hAnsi="宋体" w:eastAsia="宋体" w:cs="宋体"/>
          <w:b w:val="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exact"/>
        <w:ind w:left="1584" w:right="2" w:rightChars="1" w:hanging="1584"/>
        <w:rPr>
          <w:rFonts w:ascii="宋体" w:hAnsi="宋体" w:eastAsia="宋体" w:cs="宋体"/>
          <w:b w:val="0"/>
          <w:kern w:val="2"/>
          <w:sz w:val="22"/>
          <w:szCs w:val="22"/>
        </w:rPr>
      </w:pPr>
      <w:r>
        <w:rPr>
          <w:rFonts w:hint="eastAsia" w:ascii="宋体" w:hAnsi="宋体" w:eastAsia="宋体" w:cs="宋体"/>
          <w:sz w:val="22"/>
          <w:szCs w:val="22"/>
        </w:rPr>
        <w:t xml:space="preserve">1.7.4.2.2 </w:t>
      </w:r>
      <w:r>
        <w:rPr>
          <w:rFonts w:hint="eastAsia" w:ascii="宋体" w:hAnsi="宋体" w:eastAsia="宋体" w:cs="宋体"/>
          <w:b w:val="0"/>
          <w:kern w:val="2"/>
          <w:sz w:val="22"/>
          <w:szCs w:val="22"/>
        </w:rPr>
        <w:t>调试前，相关部门的建议和要求均应作为调试及验收要求的补充。</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39" w:name="_Toc214178024"/>
      <w:bookmarkStart w:id="240" w:name="_Toc127347683"/>
      <w:bookmarkStart w:id="241" w:name="_Toc392056833"/>
      <w:bookmarkStart w:id="242" w:name="_Toc124561204"/>
      <w:bookmarkStart w:id="243" w:name="_Toc122958969"/>
      <w:bookmarkStart w:id="244" w:name="_Toc123028570"/>
      <w:r>
        <w:rPr>
          <w:rFonts w:hint="eastAsia" w:ascii="宋体" w:hAnsi="宋体" w:cs="宋体"/>
          <w:sz w:val="22"/>
          <w:szCs w:val="22"/>
        </w:rPr>
        <w:t>1.7.5最终验收</w:t>
      </w:r>
      <w:bookmarkEnd w:id="239"/>
      <w:bookmarkEnd w:id="240"/>
      <w:bookmarkEnd w:id="241"/>
      <w:bookmarkEnd w:id="242"/>
      <w:bookmarkEnd w:id="243"/>
      <w:bookmarkEnd w:id="244"/>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1.7.5.1系统验收合格必须满足以下所有条件：</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1.7.5.1.1</w:t>
      </w:r>
      <w:r>
        <w:rPr>
          <w:rFonts w:hint="eastAsia" w:ascii="宋体" w:hAnsi="宋体" w:eastAsia="宋体" w:cs="宋体"/>
          <w:b w:val="0"/>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 xml:space="preserve">1.7.5.1.2 </w:t>
      </w:r>
      <w:r>
        <w:rPr>
          <w:rFonts w:hint="eastAsia" w:ascii="宋体" w:hAnsi="宋体" w:eastAsia="宋体" w:cs="宋体"/>
          <w:b w:val="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 xml:space="preserve">1.7.5.1.3 </w:t>
      </w:r>
      <w:r>
        <w:rPr>
          <w:rFonts w:hint="eastAsia" w:ascii="宋体" w:hAnsi="宋体" w:eastAsia="宋体" w:cs="宋体"/>
          <w:b w:val="0"/>
          <w:sz w:val="22"/>
          <w:szCs w:val="22"/>
        </w:rPr>
        <w:t>按照HXIA工程档案管理要求进行竣工资料归档。</w:t>
      </w:r>
    </w:p>
    <w:p>
      <w:pPr>
        <w:pStyle w:val="4"/>
        <w:keepNext w:val="0"/>
        <w:numPr>
          <w:ilvl w:val="0"/>
          <w:numId w:val="0"/>
        </w:numPr>
        <w:tabs>
          <w:tab w:val="left" w:pos="720"/>
          <w:tab w:val="clear" w:pos="1275"/>
        </w:tabs>
        <w:snapToGrid w:val="0"/>
        <w:spacing w:line="360" w:lineRule="exact"/>
        <w:rPr>
          <w:rFonts w:hAnsi="宋体" w:cs="宋体"/>
          <w:b w:val="0"/>
          <w:kern w:val="2"/>
          <w:sz w:val="22"/>
          <w:szCs w:val="22"/>
        </w:rPr>
      </w:pPr>
      <w:r>
        <w:rPr>
          <w:rFonts w:hint="eastAsia" w:hAnsi="宋体" w:cs="宋体"/>
          <w:sz w:val="22"/>
          <w:szCs w:val="22"/>
        </w:rPr>
        <w:t>1.7.5.1.4</w:t>
      </w:r>
      <w:r>
        <w:rPr>
          <w:rFonts w:hint="eastAsia" w:hAnsi="宋体" w:cs="宋体"/>
          <w:b w:val="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r>
        <w:rPr>
          <w:rFonts w:hint="eastAsia" w:hAnsi="宋体" w:cs="宋体"/>
          <w:sz w:val="22"/>
          <w:szCs w:val="22"/>
        </w:rPr>
        <w:t>1.7.5.1.5</w:t>
      </w:r>
      <w:r>
        <w:rPr>
          <w:rFonts w:hint="eastAsia" w:hAnsi="宋体" w:cs="宋体"/>
          <w:b w:val="0"/>
          <w:sz w:val="22"/>
          <w:szCs w:val="22"/>
        </w:rPr>
        <w:t>工程最终验收合格后，发包人给投标人颁发工程接收证书，同时进入为期2年的质保期。</w:t>
      </w:r>
    </w:p>
    <w:p>
      <w:pPr>
        <w:pStyle w:val="3"/>
        <w:keepNext w:val="0"/>
        <w:keepLines w:val="0"/>
        <w:tabs>
          <w:tab w:val="left" w:pos="576"/>
        </w:tabs>
        <w:snapToGrid w:val="0"/>
        <w:spacing w:line="360" w:lineRule="exact"/>
        <w:ind w:left="576" w:right="2" w:rightChars="1" w:hanging="576"/>
        <w:jc w:val="both"/>
        <w:rPr>
          <w:rFonts w:ascii="宋体" w:hAnsi="宋体" w:cs="宋体"/>
          <w:sz w:val="22"/>
          <w:szCs w:val="22"/>
        </w:rPr>
      </w:pPr>
      <w:bookmarkStart w:id="245" w:name="_Toc119504343"/>
      <w:bookmarkStart w:id="246" w:name="_Toc124561205"/>
      <w:bookmarkStart w:id="247" w:name="_Toc214178025"/>
      <w:bookmarkStart w:id="248" w:name="_Toc392056834"/>
      <w:bookmarkStart w:id="249" w:name="_Toc123028571"/>
      <w:bookmarkStart w:id="250" w:name="_Toc119378328"/>
      <w:bookmarkStart w:id="251" w:name="_Toc127347684"/>
      <w:bookmarkStart w:id="252" w:name="_Toc119378516"/>
      <w:bookmarkStart w:id="253" w:name="_Toc122958970"/>
      <w:bookmarkStart w:id="254" w:name="_Toc119258174"/>
      <w:bookmarkStart w:id="255" w:name="_Toc113810220"/>
      <w:bookmarkStart w:id="256" w:name="_Toc110162598"/>
      <w:r>
        <w:rPr>
          <w:rFonts w:hint="eastAsia" w:ascii="宋体" w:hAnsi="宋体" w:cs="宋体"/>
          <w:sz w:val="22"/>
          <w:szCs w:val="22"/>
        </w:rPr>
        <w:t>1.7.6系统质保期</w:t>
      </w:r>
      <w:bookmarkEnd w:id="245"/>
      <w:bookmarkEnd w:id="246"/>
      <w:bookmarkEnd w:id="247"/>
      <w:bookmarkEnd w:id="248"/>
      <w:bookmarkEnd w:id="249"/>
      <w:bookmarkEnd w:id="250"/>
      <w:bookmarkEnd w:id="251"/>
      <w:bookmarkEnd w:id="252"/>
      <w:bookmarkEnd w:id="253"/>
      <w:bookmarkEnd w:id="254"/>
      <w:bookmarkEnd w:id="255"/>
      <w:bookmarkEnd w:id="256"/>
    </w:p>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r>
        <w:rPr>
          <w:rFonts w:hint="eastAsia" w:hAnsi="宋体" w:cs="宋体"/>
          <w:sz w:val="22"/>
          <w:szCs w:val="22"/>
        </w:rPr>
        <w:t>1.7.6.1系统质保期内</w:t>
      </w:r>
    </w:p>
    <w:p>
      <w:pPr>
        <w:pStyle w:val="5"/>
        <w:keepNext w:val="0"/>
        <w:keepLines w:val="0"/>
        <w:tabs>
          <w:tab w:val="left" w:pos="900"/>
          <w:tab w:val="left" w:pos="960"/>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1.7.6.1.1</w:t>
      </w:r>
      <w:r>
        <w:rPr>
          <w:rFonts w:hint="eastAsia" w:ascii="宋体" w:hAnsi="宋体" w:eastAsia="宋体" w:cs="宋体"/>
          <w:b w:val="0"/>
          <w:kern w:val="2"/>
          <w:sz w:val="22"/>
          <w:szCs w:val="22"/>
        </w:rPr>
        <w:t>投标人必须为合同内所供应系统和服务提供24个月的质保期服务（若第三方产品免费保修期明确大于24个月的则按原厂商的承诺执行），计算日期从最终系统验收之日计算。</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1.7.6.1.2 </w:t>
      </w:r>
      <w:r>
        <w:rPr>
          <w:rFonts w:hint="eastAsia" w:ascii="宋体" w:hAnsi="宋体" w:eastAsia="宋体" w:cs="宋体"/>
          <w:b w:val="0"/>
          <w:kern w:val="2"/>
          <w:sz w:val="22"/>
          <w:szCs w:val="22"/>
        </w:rPr>
        <w:t>投标人必须保证机场运行时间内及时响应发包人的请求，在接到报修后2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kern w:val="2"/>
          <w:sz w:val="22"/>
          <w:szCs w:val="22"/>
        </w:rPr>
      </w:pPr>
      <w:r>
        <w:rPr>
          <w:rFonts w:hint="eastAsia" w:ascii="宋体" w:hAnsi="宋体" w:eastAsia="宋体" w:cs="宋体"/>
          <w:sz w:val="22"/>
          <w:szCs w:val="22"/>
        </w:rPr>
        <w:t xml:space="preserve">1.7.6.1.3 </w:t>
      </w:r>
      <w:r>
        <w:rPr>
          <w:rFonts w:hint="eastAsia" w:ascii="宋体" w:hAnsi="宋体" w:eastAsia="宋体" w:cs="宋体"/>
          <w:b w:val="0"/>
          <w:kern w:val="2"/>
          <w:sz w:val="22"/>
          <w:szCs w:val="22"/>
        </w:rPr>
        <w:t>质保期内投标人必须免费提供系统配置修改、配置升级服务、软件缺陷修补。</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1.7.6.1.5 </w:t>
      </w:r>
      <w:r>
        <w:rPr>
          <w:rFonts w:hint="eastAsia" w:ascii="宋体" w:hAnsi="宋体" w:eastAsia="宋体" w:cs="宋体"/>
          <w:b w:val="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1.7.6.1.6 </w:t>
      </w:r>
      <w:r>
        <w:rPr>
          <w:rFonts w:hint="eastAsia" w:ascii="宋体" w:hAnsi="宋体" w:eastAsia="宋体" w:cs="宋体"/>
          <w:b w:val="0"/>
          <w:kern w:val="2"/>
          <w:sz w:val="22"/>
          <w:szCs w:val="22"/>
        </w:rPr>
        <w:t>系统设备无论什么原因发生任何故障或损坏，投标人应及时提供替换设备，以保证每年不低于99.9%的设备可使用率，投标人必须负责维修，平均维修期限不得超过15天，一切费用由投标人承担。</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kern w:val="2"/>
          <w:sz w:val="22"/>
          <w:szCs w:val="22"/>
        </w:rPr>
      </w:pPr>
      <w:r>
        <w:rPr>
          <w:rFonts w:hint="eastAsia" w:ascii="宋体" w:hAnsi="宋体" w:eastAsia="宋体" w:cs="宋体"/>
          <w:sz w:val="22"/>
          <w:szCs w:val="22"/>
        </w:rPr>
        <w:t xml:space="preserve">1.7.6.1.7 </w:t>
      </w:r>
      <w:r>
        <w:rPr>
          <w:rFonts w:hint="eastAsia" w:ascii="宋体" w:hAnsi="宋体" w:eastAsia="宋体" w:cs="宋体"/>
          <w:b w:val="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exact"/>
        <w:rPr>
          <w:rFonts w:ascii="宋体" w:hAnsi="宋体" w:eastAsia="宋体" w:cs="宋体"/>
          <w:b w:val="0"/>
          <w:kern w:val="2"/>
          <w:sz w:val="22"/>
          <w:szCs w:val="22"/>
        </w:rPr>
      </w:pPr>
      <w:r>
        <w:rPr>
          <w:rFonts w:hint="eastAsia" w:ascii="宋体" w:hAnsi="宋体" w:eastAsia="宋体" w:cs="宋体"/>
          <w:sz w:val="22"/>
          <w:szCs w:val="22"/>
        </w:rPr>
        <w:t xml:space="preserve">1.7.6.1.8 </w:t>
      </w:r>
      <w:r>
        <w:rPr>
          <w:rFonts w:hint="eastAsia" w:ascii="宋体" w:hAnsi="宋体" w:eastAsia="宋体" w:cs="宋体"/>
          <w:b w:val="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bookmarkStart w:id="257" w:name="_Toc118214033"/>
      <w:bookmarkStart w:id="258" w:name="_Toc119684723"/>
      <w:bookmarkStart w:id="259" w:name="_Toc107586446"/>
      <w:bookmarkStart w:id="260" w:name="_Toc119684722"/>
      <w:bookmarkStart w:id="261" w:name="_Toc118214032"/>
      <w:r>
        <w:rPr>
          <w:rFonts w:hint="eastAsia" w:hAnsi="宋体" w:cs="宋体"/>
          <w:sz w:val="22"/>
          <w:szCs w:val="22"/>
        </w:rPr>
        <w:t>1.7.8质量管理</w:t>
      </w:r>
      <w:bookmarkEnd w:id="257"/>
      <w:bookmarkEnd w:id="258"/>
      <w:bookmarkEnd w:id="259"/>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1.7.8.1</w:t>
      </w:r>
      <w:r>
        <w:rPr>
          <w:rFonts w:hint="eastAsia" w:ascii="宋体" w:hAnsi="宋体" w:eastAsia="宋体" w:cs="宋体"/>
          <w:b w:val="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1.7.8.2</w:t>
      </w:r>
      <w:r>
        <w:rPr>
          <w:rFonts w:hint="eastAsia" w:ascii="宋体" w:hAnsi="宋体" w:eastAsia="宋体" w:cs="宋体"/>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1.7.8.3</w:t>
      </w:r>
      <w:r>
        <w:rPr>
          <w:rFonts w:hint="eastAsia" w:ascii="宋体" w:hAnsi="宋体" w:eastAsia="宋体" w:cs="宋体"/>
          <w:b w:val="0"/>
          <w:sz w:val="22"/>
          <w:szCs w:val="22"/>
        </w:rPr>
        <w:t>投标人应按照ISO9000系列质量管理体系的实施、竣工和修补缺陷的规范，建立适当和可行的质量保证体系，并保证工程的实施、竣工和修补缺陷的全部过程符合该质量保证体系的要求。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1.7.8.4</w:t>
      </w:r>
      <w:r>
        <w:rPr>
          <w:rFonts w:hint="eastAsia" w:ascii="宋体" w:hAnsi="宋体" w:eastAsia="宋体" w:cs="宋体"/>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sz w:val="22"/>
          <w:szCs w:val="22"/>
        </w:rPr>
      </w:pPr>
      <w:r>
        <w:rPr>
          <w:rFonts w:hint="eastAsia" w:ascii="宋体" w:hAnsi="宋体" w:eastAsia="宋体" w:cs="宋体"/>
          <w:sz w:val="22"/>
          <w:szCs w:val="22"/>
        </w:rPr>
        <w:t>1.7.8.5</w:t>
      </w:r>
      <w:r>
        <w:rPr>
          <w:rFonts w:hint="eastAsia" w:ascii="宋体" w:hAnsi="宋体" w:eastAsia="宋体" w:cs="宋体"/>
          <w:b w:val="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exact"/>
        <w:ind w:left="862" w:right="2" w:rightChars="1" w:hanging="862"/>
        <w:rPr>
          <w:rFonts w:ascii="宋体" w:hAnsi="宋体" w:eastAsia="宋体" w:cs="宋体"/>
          <w:b w:val="0"/>
          <w:sz w:val="22"/>
          <w:szCs w:val="22"/>
        </w:rPr>
      </w:pPr>
      <w:r>
        <w:rPr>
          <w:rFonts w:hint="eastAsia" w:ascii="宋体" w:hAnsi="宋体" w:eastAsia="宋体" w:cs="宋体"/>
          <w:sz w:val="22"/>
          <w:szCs w:val="22"/>
        </w:rPr>
        <w:t>1.7.8.6</w:t>
      </w:r>
      <w:r>
        <w:rPr>
          <w:rFonts w:hint="eastAsia" w:ascii="宋体" w:hAnsi="宋体" w:eastAsia="宋体" w:cs="宋体"/>
          <w:b w:val="0"/>
          <w:sz w:val="22"/>
          <w:szCs w:val="22"/>
        </w:rPr>
        <w:t>质量体系还应包括但不限于以下内容：</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施工、生产、安装及测试活动精确完整的测量记录。</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设备及其安装位置的直接关系。</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sz w:val="22"/>
          <w:szCs w:val="22"/>
        </w:rPr>
        <w:t>跟踪</w:t>
      </w:r>
      <w:r>
        <w:rPr>
          <w:rFonts w:hint="eastAsia" w:ascii="宋体" w:hAnsi="宋体" w:eastAsia="宋体" w:cs="宋体"/>
          <w:bCs/>
          <w:sz w:val="22"/>
          <w:szCs w:val="22"/>
        </w:rPr>
        <w:t>工程</w:t>
      </w:r>
      <w:r>
        <w:rPr>
          <w:rFonts w:hint="eastAsia" w:ascii="宋体" w:hAnsi="宋体" w:eastAsia="宋体" w:cs="宋体"/>
          <w:sz w:val="22"/>
          <w:szCs w:val="22"/>
        </w:rPr>
        <w:t>进度，维护</w:t>
      </w:r>
      <w:r>
        <w:rPr>
          <w:rFonts w:hint="eastAsia" w:ascii="宋体" w:hAnsi="宋体" w:eastAsia="宋体" w:cs="宋体"/>
          <w:bCs/>
          <w:sz w:val="22"/>
          <w:szCs w:val="22"/>
        </w:rPr>
        <w:t>工程</w:t>
      </w:r>
      <w:r>
        <w:rPr>
          <w:rFonts w:hint="eastAsia" w:ascii="宋体" w:hAnsi="宋体" w:eastAsia="宋体" w:cs="宋体"/>
          <w:sz w:val="22"/>
          <w:szCs w:val="22"/>
        </w:rPr>
        <w:t>全过程中的质量检测记录文档。</w:t>
      </w:r>
    </w:p>
    <w:p>
      <w:pPr>
        <w:numPr>
          <w:ilvl w:val="0"/>
          <w:numId w:val="7"/>
        </w:numPr>
        <w:snapToGrid w:val="0"/>
        <w:spacing w:line="360" w:lineRule="exact"/>
        <w:ind w:right="2" w:rightChars="1"/>
        <w:rPr>
          <w:rFonts w:ascii="宋体" w:hAnsi="宋体" w:eastAsia="宋体" w:cs="宋体"/>
          <w:sz w:val="22"/>
          <w:szCs w:val="22"/>
        </w:rPr>
      </w:pPr>
      <w:r>
        <w:rPr>
          <w:rFonts w:hint="eastAsia" w:ascii="宋体" w:hAnsi="宋体" w:eastAsia="宋体" w:cs="宋体"/>
          <w:bCs/>
          <w:sz w:val="22"/>
          <w:szCs w:val="22"/>
        </w:rPr>
        <w:t>工程</w:t>
      </w:r>
      <w:r>
        <w:rPr>
          <w:rFonts w:hint="eastAsia" w:ascii="宋体" w:hAnsi="宋体" w:eastAsia="宋体" w:cs="宋体"/>
          <w:sz w:val="22"/>
          <w:szCs w:val="22"/>
        </w:rPr>
        <w:t>的关键节点进度表。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1.7.8.7</w:t>
      </w:r>
      <w:r>
        <w:rPr>
          <w:rFonts w:hint="eastAsia" w:ascii="宋体" w:hAnsi="宋体" w:eastAsia="宋体" w:cs="宋体"/>
          <w:b w:val="0"/>
          <w:sz w:val="22"/>
          <w:szCs w:val="22"/>
        </w:rPr>
        <w:t>投标人应按照质量体系的要求提供、填写、整理并保存任何必要的过程记录。发包人可随时查阅这些过程记录。</w:t>
      </w:r>
    </w:p>
    <w:bookmarkEnd w:id="260"/>
    <w:bookmarkEnd w:id="261"/>
    <w:p>
      <w:pPr>
        <w:pStyle w:val="4"/>
        <w:keepNext w:val="0"/>
        <w:numPr>
          <w:ilvl w:val="0"/>
          <w:numId w:val="0"/>
        </w:numPr>
        <w:tabs>
          <w:tab w:val="left" w:pos="720"/>
          <w:tab w:val="clear" w:pos="1275"/>
        </w:tabs>
        <w:snapToGrid w:val="0"/>
        <w:spacing w:line="360" w:lineRule="exact"/>
        <w:ind w:right="2" w:rightChars="1"/>
        <w:rPr>
          <w:rFonts w:hAnsi="宋体" w:cs="宋体"/>
          <w:sz w:val="22"/>
          <w:szCs w:val="22"/>
        </w:rPr>
      </w:pPr>
      <w:bookmarkStart w:id="262" w:name="_Toc119684725"/>
      <w:bookmarkStart w:id="263" w:name="_Toc118214035"/>
      <w:r>
        <w:rPr>
          <w:rFonts w:hint="eastAsia" w:hAnsi="宋体" w:cs="宋体"/>
          <w:sz w:val="22"/>
          <w:szCs w:val="22"/>
        </w:rPr>
        <w:t>1.7.9变更管理</w:t>
      </w:r>
      <w:bookmarkEnd w:id="262"/>
      <w:bookmarkEnd w:id="263"/>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1.7.9.1</w:t>
      </w:r>
      <w:r>
        <w:rPr>
          <w:rFonts w:hint="eastAsia" w:ascii="宋体" w:hAnsi="宋体" w:eastAsia="宋体" w:cs="宋体"/>
          <w:b w:val="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1.7.9.2</w:t>
      </w:r>
      <w:r>
        <w:rPr>
          <w:rFonts w:hint="eastAsia" w:ascii="宋体" w:hAnsi="宋体" w:eastAsia="宋体" w:cs="宋体"/>
          <w:b w:val="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1.7.9.3</w:t>
      </w:r>
      <w:r>
        <w:rPr>
          <w:rFonts w:hint="eastAsia" w:ascii="宋体" w:hAnsi="宋体" w:eastAsia="宋体" w:cs="宋体"/>
          <w:b w:val="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1.7.9.4</w:t>
      </w:r>
      <w:r>
        <w:rPr>
          <w:rFonts w:hint="eastAsia" w:ascii="宋体" w:hAnsi="宋体" w:eastAsia="宋体" w:cs="宋体"/>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1.7.9.5</w:t>
      </w:r>
      <w:r>
        <w:rPr>
          <w:rFonts w:hint="eastAsia" w:ascii="宋体" w:hAnsi="宋体" w:eastAsia="宋体" w:cs="宋体"/>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exact"/>
        <w:ind w:left="960" w:right="2" w:rightChars="1" w:hanging="960"/>
        <w:rPr>
          <w:rFonts w:ascii="宋体" w:hAnsi="宋体" w:eastAsia="宋体" w:cs="宋体"/>
          <w:b w:val="0"/>
          <w:sz w:val="22"/>
          <w:szCs w:val="22"/>
        </w:rPr>
      </w:pPr>
      <w:r>
        <w:rPr>
          <w:rFonts w:hint="eastAsia" w:ascii="宋体" w:hAnsi="宋体" w:eastAsia="宋体" w:cs="宋体"/>
          <w:sz w:val="22"/>
          <w:szCs w:val="22"/>
        </w:rPr>
        <w:t>1.7.9.6</w:t>
      </w:r>
      <w:r>
        <w:rPr>
          <w:rFonts w:hint="eastAsia" w:ascii="宋体" w:hAnsi="宋体" w:eastAsia="宋体" w:cs="宋体"/>
          <w:b w:val="0"/>
          <w:sz w:val="22"/>
          <w:szCs w:val="22"/>
        </w:rPr>
        <w:t>没有发包人的书面指示，投标人不得作任何变更。</w:t>
      </w:r>
    </w:p>
    <w:p>
      <w:pPr>
        <w:pStyle w:val="4"/>
        <w:keepNext w:val="0"/>
        <w:numPr>
          <w:ilvl w:val="0"/>
          <w:numId w:val="0"/>
        </w:numPr>
        <w:tabs>
          <w:tab w:val="left" w:pos="720"/>
          <w:tab w:val="clear" w:pos="1275"/>
        </w:tabs>
        <w:snapToGrid w:val="0"/>
        <w:spacing w:line="360" w:lineRule="exact"/>
        <w:ind w:right="2" w:rightChars="1"/>
        <w:rPr>
          <w:rFonts w:hAnsi="宋体" w:cs="宋体"/>
          <w:b w:val="0"/>
          <w:sz w:val="22"/>
          <w:szCs w:val="22"/>
        </w:rPr>
      </w:pPr>
      <w:r>
        <w:rPr>
          <w:rFonts w:hint="eastAsia" w:hAnsi="宋体" w:cs="宋体"/>
          <w:sz w:val="22"/>
          <w:szCs w:val="22"/>
        </w:rPr>
        <w:t>1.7.10施工、安装与测试</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1.7.10.1</w:t>
      </w:r>
      <w:r>
        <w:rPr>
          <w:rFonts w:hint="eastAsia" w:ascii="宋体" w:hAnsi="宋体" w:eastAsia="宋体" w:cs="宋体"/>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1.7.10.2</w:t>
      </w:r>
      <w:r>
        <w:rPr>
          <w:rFonts w:hint="eastAsia" w:ascii="宋体" w:hAnsi="宋体" w:eastAsia="宋体" w:cs="宋体"/>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 w:val="clear" w:pos="1275"/>
        </w:tabs>
        <w:snapToGrid w:val="0"/>
        <w:spacing w:line="360" w:lineRule="exact"/>
        <w:ind w:right="2" w:rightChars="1"/>
        <w:rPr>
          <w:rFonts w:hAnsi="宋体" w:cs="宋体"/>
          <w:b w:val="0"/>
          <w:sz w:val="22"/>
          <w:szCs w:val="22"/>
        </w:rPr>
      </w:pPr>
      <w:bookmarkStart w:id="264" w:name="_Toc119684729"/>
      <w:bookmarkStart w:id="265" w:name="_Toc118214039"/>
      <w:r>
        <w:rPr>
          <w:rFonts w:hint="eastAsia" w:hAnsi="宋体" w:cs="宋体"/>
          <w:sz w:val="22"/>
          <w:szCs w:val="22"/>
        </w:rPr>
        <w:t>1.7.11日常管理</w:t>
      </w:r>
      <w:bookmarkEnd w:id="264"/>
      <w:bookmarkEnd w:id="265"/>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1.7.11.1</w:t>
      </w:r>
      <w:r>
        <w:rPr>
          <w:rFonts w:hint="eastAsia" w:ascii="宋体" w:hAnsi="宋体" w:eastAsia="宋体" w:cs="宋体"/>
          <w:b w:val="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1.7.11.2</w:t>
      </w:r>
      <w:r>
        <w:rPr>
          <w:rFonts w:hint="eastAsia" w:ascii="宋体" w:hAnsi="宋体" w:eastAsia="宋体" w:cs="宋体"/>
          <w:b w:val="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1.7.11.3</w:t>
      </w:r>
      <w:r>
        <w:rPr>
          <w:rFonts w:hint="eastAsia" w:ascii="宋体" w:hAnsi="宋体" w:eastAsia="宋体" w:cs="宋体"/>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1.7.11.4</w:t>
      </w:r>
      <w:r>
        <w:rPr>
          <w:rFonts w:hint="eastAsia" w:ascii="宋体" w:hAnsi="宋体" w:eastAsia="宋体" w:cs="宋体"/>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exact"/>
        <w:rPr>
          <w:rFonts w:ascii="宋体" w:hAnsi="宋体" w:eastAsia="宋体" w:cs="宋体"/>
          <w:b w:val="0"/>
          <w:sz w:val="22"/>
          <w:szCs w:val="22"/>
        </w:rPr>
      </w:pPr>
      <w:r>
        <w:rPr>
          <w:rFonts w:hint="eastAsia" w:ascii="宋体" w:hAnsi="宋体" w:eastAsia="宋体" w:cs="宋体"/>
          <w:sz w:val="22"/>
          <w:szCs w:val="22"/>
        </w:rPr>
        <w:t>1.7.11.5</w:t>
      </w:r>
      <w:r>
        <w:rPr>
          <w:rFonts w:hint="eastAsia" w:ascii="宋体" w:hAnsi="宋体" w:eastAsia="宋体" w:cs="宋体"/>
          <w:b w:val="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 w:val="clear" w:pos="1275"/>
        </w:tabs>
        <w:snapToGrid w:val="0"/>
        <w:spacing w:line="360" w:lineRule="exact"/>
        <w:ind w:right="2" w:rightChars="1"/>
        <w:rPr>
          <w:rFonts w:hAnsi="宋体" w:cs="宋体"/>
          <w:sz w:val="22"/>
          <w:szCs w:val="22"/>
        </w:rPr>
      </w:pPr>
      <w:r>
        <w:rPr>
          <w:rFonts w:hint="eastAsia" w:hAnsi="宋体" w:cs="宋体"/>
          <w:sz w:val="22"/>
          <w:szCs w:val="22"/>
        </w:rPr>
        <w:t>1.7.12招标人对工程主要材料（设备）的要求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snapToGrid w:val="0"/>
        <w:spacing w:line="360" w:lineRule="exact"/>
        <w:jc w:val="left"/>
        <w:rPr>
          <w:rFonts w:ascii="宋体" w:hAnsi="宋体"/>
          <w:sz w:val="22"/>
        </w:rPr>
      </w:pPr>
    </w:p>
    <w:p>
      <w:pPr>
        <w:snapToGrid w:val="0"/>
        <w:spacing w:line="360" w:lineRule="exact"/>
        <w:jc w:val="left"/>
        <w:rPr>
          <w:rFonts w:ascii="宋体" w:hAnsi="宋体"/>
          <w:sz w:val="22"/>
        </w:rPr>
      </w:pPr>
    </w:p>
    <w:p>
      <w:pPr>
        <w:pStyle w:val="51"/>
        <w:spacing w:line="360" w:lineRule="exact"/>
      </w:pPr>
      <w:r>
        <w:rPr>
          <w:rFonts w:ascii="宋体" w:hAnsi="宋体"/>
          <w:sz w:val="22"/>
          <w:szCs w:val="22"/>
        </w:rPr>
        <w:br w:type="page"/>
      </w:r>
      <w:bookmarkStart w:id="266" w:name="_Toc450630564"/>
      <w:bookmarkStart w:id="267" w:name="_Toc275274581"/>
      <w:r>
        <w:t>第</w:t>
      </w:r>
      <w:r>
        <w:rPr>
          <w:rFonts w:hint="eastAsia"/>
        </w:rPr>
        <w:t>六</w:t>
      </w:r>
      <w:r>
        <w:t xml:space="preserve">章  </w:t>
      </w:r>
      <w:r>
        <w:rPr>
          <w:rFonts w:hint="eastAsia"/>
        </w:rPr>
        <w:t>评标办法及标准</w:t>
      </w:r>
      <w:bookmarkEnd w:id="26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3.3.1商务报价分80分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80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3-20分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8"/>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46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vAlign w:val="center"/>
          </w:tcPr>
          <w:p>
            <w:pPr>
              <w:pStyle w:val="31"/>
              <w:adjustRightInd w:val="0"/>
              <w:snapToGrid w:val="0"/>
              <w:spacing w:line="360" w:lineRule="exact"/>
              <w:jc w:val="center"/>
              <w:rPr>
                <w:rFonts w:hAnsi="宋体" w:cs="宋体"/>
                <w:sz w:val="22"/>
                <w:szCs w:val="22"/>
              </w:rPr>
            </w:pPr>
            <w:bookmarkStart w:id="268" w:name="EB562eafe08a1e40d28dbdcef1bed719f4"/>
            <w:r>
              <w:rPr>
                <w:rFonts w:hint="eastAsia" w:hAnsi="宋体" w:cs="宋体"/>
                <w:sz w:val="22"/>
                <w:szCs w:val="22"/>
              </w:rPr>
              <w:t>评分因素</w:t>
            </w:r>
          </w:p>
          <w:p>
            <w:pPr>
              <w:pStyle w:val="31"/>
              <w:adjustRightInd w:val="0"/>
              <w:snapToGrid w:val="0"/>
              <w:spacing w:line="360" w:lineRule="exact"/>
              <w:jc w:val="center"/>
              <w:rPr>
                <w:rFonts w:hAnsi="宋体" w:cs="宋体"/>
                <w:sz w:val="22"/>
                <w:szCs w:val="22"/>
              </w:rPr>
            </w:pPr>
            <w:r>
              <w:rPr>
                <w:rFonts w:hint="eastAsia" w:hAnsi="宋体" w:cs="宋体"/>
                <w:sz w:val="22"/>
                <w:szCs w:val="22"/>
              </w:rPr>
              <w:t>及分值权重</w:t>
            </w:r>
          </w:p>
        </w:tc>
        <w:tc>
          <w:tcPr>
            <w:tcW w:w="1937"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评审因素子项</w:t>
            </w:r>
          </w:p>
        </w:tc>
        <w:tc>
          <w:tcPr>
            <w:tcW w:w="4625"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评分标准</w:t>
            </w:r>
          </w:p>
        </w:tc>
        <w:tc>
          <w:tcPr>
            <w:tcW w:w="1708" w:type="dxa"/>
            <w:vAlign w:val="center"/>
          </w:tcPr>
          <w:p>
            <w:pPr>
              <w:pStyle w:val="31"/>
              <w:adjustRightInd w:val="0"/>
              <w:snapToGrid w:val="0"/>
              <w:spacing w:line="360" w:lineRule="exact"/>
              <w:jc w:val="center"/>
              <w:rPr>
                <w:rFonts w:hAnsi="宋体" w:cs="宋体"/>
                <w:sz w:val="22"/>
                <w:szCs w:val="22"/>
              </w:rPr>
            </w:pPr>
            <w:r>
              <w:rPr>
                <w:rFonts w:hint="eastAsia" w:hAnsi="宋体" w:cs="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606" w:type="dxa"/>
            <w:vMerge w:val="restart"/>
            <w:vAlign w:val="center"/>
          </w:tcPr>
          <w:p>
            <w:pPr>
              <w:pStyle w:val="31"/>
              <w:adjustRightInd w:val="0"/>
              <w:snapToGrid w:val="0"/>
              <w:spacing w:line="360" w:lineRule="exact"/>
              <w:rPr>
                <w:rFonts w:hAnsi="宋体" w:cs="宋体"/>
                <w:sz w:val="22"/>
                <w:szCs w:val="22"/>
              </w:rPr>
            </w:pPr>
            <w:r>
              <w:rPr>
                <w:rFonts w:hint="eastAsia" w:hAnsi="宋体" w:cs="宋体"/>
                <w:sz w:val="22"/>
                <w:szCs w:val="22"/>
              </w:rPr>
              <w:t>技术及资信部分（20分）</w:t>
            </w:r>
          </w:p>
        </w:tc>
        <w:tc>
          <w:tcPr>
            <w:tcW w:w="1937"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设备技术指响应偏离情况</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对投标文件中设备技术的偏离情况进行评分。满分</w:t>
            </w:r>
            <w:r>
              <w:rPr>
                <w:rFonts w:hint="eastAsia" w:hAnsi="宋体" w:cs="宋体"/>
                <w:sz w:val="22"/>
                <w:szCs w:val="22"/>
              </w:rPr>
              <w:t>3</w:t>
            </w:r>
            <w:r>
              <w:rPr>
                <w:rFonts w:hint="eastAsia" w:hAnsi="宋体" w:cs="宋体"/>
                <w:sz w:val="22"/>
                <w:szCs w:val="22"/>
                <w:lang w:val="zh-CN"/>
              </w:rPr>
              <w:t>分，每项负偏离扣0.5分，扣完为止；</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Merge w:val="restart"/>
            <w:vAlign w:val="center"/>
          </w:tcPr>
          <w:p>
            <w:pPr>
              <w:pStyle w:val="31"/>
              <w:adjustRightInd w:val="0"/>
              <w:snapToGrid w:val="0"/>
              <w:spacing w:line="360" w:lineRule="exact"/>
              <w:rPr>
                <w:rFonts w:hAnsi="宋体" w:cs="宋体"/>
                <w:sz w:val="22"/>
                <w:szCs w:val="22"/>
              </w:rPr>
            </w:pPr>
            <w:r>
              <w:rPr>
                <w:rFonts w:hint="eastAsia" w:hAnsi="宋体" w:cs="宋体"/>
                <w:sz w:val="22"/>
                <w:szCs w:val="22"/>
              </w:rPr>
              <w:t>技术方案可行性</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对管线敷设方案的可行性、合理性、完整性进行评分，1-5分；</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Merge w:val="continue"/>
            <w:vAlign w:val="center"/>
          </w:tcPr>
          <w:p>
            <w:pPr>
              <w:pStyle w:val="31"/>
              <w:adjustRightInd w:val="0"/>
              <w:snapToGrid w:val="0"/>
              <w:spacing w:line="360" w:lineRule="exact"/>
              <w:rPr>
                <w:rFonts w:hAnsi="宋体" w:cs="宋体"/>
                <w:sz w:val="22"/>
                <w:szCs w:val="22"/>
              </w:rPr>
            </w:pP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 xml:space="preserve">对不停航施工组织方案的可行性、合理性、完整性进行评分； </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1606" w:type="dxa"/>
            <w:vMerge w:val="continue"/>
            <w:vAlign w:val="center"/>
          </w:tcPr>
          <w:p>
            <w:pPr>
              <w:pStyle w:val="31"/>
              <w:adjustRightInd w:val="0"/>
              <w:snapToGrid w:val="0"/>
              <w:spacing w:line="360" w:lineRule="exact"/>
              <w:rPr>
                <w:rFonts w:hAnsi="宋体" w:cs="宋体"/>
                <w:sz w:val="22"/>
                <w:szCs w:val="22"/>
              </w:rPr>
            </w:pPr>
          </w:p>
        </w:tc>
        <w:tc>
          <w:tcPr>
            <w:tcW w:w="1937" w:type="dxa"/>
            <w:vAlign w:val="center"/>
          </w:tcPr>
          <w:p>
            <w:pPr>
              <w:pStyle w:val="31"/>
              <w:adjustRightInd w:val="0"/>
              <w:snapToGrid w:val="0"/>
              <w:spacing w:line="360" w:lineRule="exact"/>
              <w:rPr>
                <w:rFonts w:hAnsi="宋体" w:cs="宋体"/>
                <w:sz w:val="22"/>
                <w:szCs w:val="22"/>
              </w:rPr>
            </w:pPr>
            <w:r>
              <w:rPr>
                <w:rFonts w:hint="eastAsia" w:hAnsi="宋体" w:cs="宋体"/>
                <w:sz w:val="22"/>
                <w:szCs w:val="22"/>
                <w:lang w:val="zh-CN"/>
              </w:rPr>
              <w:t>售后服务方案</w:t>
            </w:r>
          </w:p>
        </w:tc>
        <w:tc>
          <w:tcPr>
            <w:tcW w:w="4625"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对售后服务方案进行横向比较打分</w:t>
            </w:r>
          </w:p>
        </w:tc>
        <w:tc>
          <w:tcPr>
            <w:tcW w:w="1708" w:type="dxa"/>
            <w:vAlign w:val="center"/>
          </w:tcPr>
          <w:p>
            <w:pPr>
              <w:pStyle w:val="31"/>
              <w:adjustRightInd w:val="0"/>
              <w:snapToGrid w:val="0"/>
              <w:spacing w:line="360" w:lineRule="exact"/>
              <w:rPr>
                <w:rFonts w:hAnsi="宋体" w:cs="宋体"/>
                <w:sz w:val="22"/>
                <w:szCs w:val="22"/>
              </w:rPr>
            </w:pPr>
            <w:r>
              <w:rPr>
                <w:rFonts w:hint="eastAsia" w:hAnsi="宋体" w:cs="宋体"/>
                <w:sz w:val="22"/>
                <w:szCs w:val="22"/>
              </w:rPr>
              <w:t>1-5分</w:t>
            </w:r>
          </w:p>
        </w:tc>
      </w:tr>
      <w:bookmarkEnd w:id="268"/>
    </w:tbl>
    <w:p>
      <w:pPr>
        <w:pStyle w:val="31"/>
        <w:adjustRightInd w:val="0"/>
        <w:snapToGrid w:val="0"/>
        <w:spacing w:line="360" w:lineRule="exact"/>
        <w:rPr>
          <w:rFonts w:hAnsi="宋体" w:cs="Calibri"/>
          <w:sz w:val="22"/>
          <w:szCs w:val="22"/>
        </w:rPr>
      </w:pPr>
    </w:p>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269" w:name="_Toc450630565"/>
      <w:r>
        <w:t>第</w:t>
      </w:r>
      <w:r>
        <w:rPr>
          <w:rFonts w:hint="eastAsia"/>
        </w:rPr>
        <w:t>七</w:t>
      </w:r>
      <w:r>
        <w:t>章  投标文件格式</w:t>
      </w:r>
      <w:bookmarkEnd w:id="267"/>
      <w:bookmarkEnd w:id="26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四、已标价工程量清单</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五、施工组织设计</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六、项目管理机构</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七、资格审查资料</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八、投标人认为</w:t>
      </w:r>
      <w:r>
        <w:rPr>
          <w:rFonts w:cs="Calibri" w:asciiTheme="minorEastAsia" w:hAnsiTheme="minorEastAsia"/>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270" w:name="_Toc171421958"/>
      <w:r>
        <w:rPr>
          <w:rFonts w:cs="Calibri"/>
          <w:color w:val="000000"/>
        </w:rPr>
        <w:t>封面</w:t>
      </w:r>
      <w:bookmarkEnd w:id="27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271" w:name="_Toc137373398"/>
      <w:bookmarkStart w:id="272" w:name="_Toc133214102"/>
      <w:bookmarkStart w:id="273" w:name="_Toc144265958"/>
      <w:bookmarkStart w:id="274" w:name="_Toc133470542"/>
      <w:bookmarkStart w:id="275" w:name="_Toc133214309"/>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31"/>
        <w:spacing w:after="120" w:afterLines="50" w:line="360" w:lineRule="auto"/>
        <w:jc w:val="center"/>
        <w:rPr>
          <w:rFonts w:hAnsi="宋体" w:cs="宋体"/>
        </w:rPr>
      </w:pPr>
    </w:p>
    <w:bookmarkEnd w:id="271"/>
    <w:bookmarkEnd w:id="272"/>
    <w:bookmarkEnd w:id="273"/>
    <w:bookmarkEnd w:id="274"/>
    <w:bookmarkEnd w:id="275"/>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0"/>
        <w:rPr>
          <w:rFonts w:ascii="宋体" w:hAnsi="宋体" w:eastAsia="宋体"/>
          <w:szCs w:val="23"/>
        </w:rPr>
      </w:pPr>
      <w:bookmarkStart w:id="276" w:name="_Toc11710"/>
      <w:bookmarkStart w:id="277" w:name="_Toc246392155"/>
      <w:bookmarkStart w:id="278" w:name="_Toc179632817"/>
      <w:bookmarkStart w:id="279" w:name="_Toc152045797"/>
      <w:bookmarkStart w:id="280" w:name="_Toc152042586"/>
      <w:bookmarkStart w:id="281" w:name="_Toc144974865"/>
      <w:r>
        <w:rPr>
          <w:rFonts w:hint="eastAsia" w:ascii="宋体" w:hAnsi="宋体" w:eastAsia="宋体"/>
        </w:rPr>
        <w:t>附表一：</w:t>
      </w:r>
      <w:r>
        <w:rPr>
          <w:rFonts w:hint="eastAsia" w:ascii="宋体" w:hAnsi="宋体" w:eastAsia="宋体"/>
          <w:szCs w:val="23"/>
        </w:rPr>
        <w:t>拟投入本标段的主要施工设备表</w:t>
      </w:r>
      <w:bookmarkEnd w:id="276"/>
      <w:bookmarkEnd w:id="277"/>
      <w:bookmarkEnd w:id="278"/>
      <w:bookmarkEnd w:id="279"/>
      <w:bookmarkEnd w:id="280"/>
      <w:bookmarkEnd w:id="28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282" w:name="_Toc179632818"/>
      <w:bookmarkStart w:id="283" w:name="_Toc246392156"/>
      <w:bookmarkStart w:id="284" w:name="_Toc4957"/>
      <w:bookmarkStart w:id="285" w:name="_Toc152045798"/>
      <w:bookmarkStart w:id="286" w:name="_Toc152042587"/>
      <w:bookmarkStart w:id="287" w:name="_Toc144974866"/>
      <w:r>
        <w:rPr>
          <w:rFonts w:hint="eastAsia" w:ascii="宋体" w:hAnsi="宋体" w:eastAsia="宋体"/>
        </w:rPr>
        <w:t>附表二：拟配备本标段的试验和检测仪器设备表</w:t>
      </w:r>
      <w:bookmarkEnd w:id="282"/>
      <w:bookmarkEnd w:id="283"/>
      <w:bookmarkEnd w:id="284"/>
      <w:bookmarkEnd w:id="285"/>
      <w:bookmarkEnd w:id="286"/>
      <w:bookmarkEnd w:id="287"/>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0"/>
        <w:rPr>
          <w:rFonts w:ascii="宋体" w:hAnsi="宋体" w:eastAsia="宋体"/>
        </w:rPr>
      </w:pPr>
      <w:bookmarkStart w:id="288" w:name="_Toc152045799"/>
      <w:bookmarkStart w:id="289" w:name="_Toc8928"/>
      <w:bookmarkStart w:id="290" w:name="_Toc246392157"/>
      <w:bookmarkStart w:id="291" w:name="_Toc179632819"/>
      <w:bookmarkStart w:id="292" w:name="_Toc152042588"/>
      <w:bookmarkStart w:id="293" w:name="_Toc144974867"/>
      <w:r>
        <w:rPr>
          <w:rFonts w:hint="eastAsia" w:ascii="宋体" w:hAnsi="宋体" w:eastAsia="宋体"/>
        </w:rPr>
        <w:t>附表三：劳动力计划表</w:t>
      </w:r>
      <w:bookmarkEnd w:id="288"/>
      <w:bookmarkEnd w:id="289"/>
      <w:bookmarkEnd w:id="290"/>
      <w:bookmarkEnd w:id="291"/>
      <w:bookmarkEnd w:id="292"/>
      <w:bookmarkEnd w:id="293"/>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0"/>
        <w:rPr>
          <w:rFonts w:ascii="宋体" w:hAnsi="宋体" w:eastAsia="宋体"/>
          <w:sz w:val="22"/>
          <w:szCs w:val="22"/>
        </w:rPr>
      </w:pPr>
      <w:bookmarkStart w:id="294" w:name="_Toc152042589"/>
      <w:bookmarkStart w:id="295" w:name="_Toc246392158"/>
      <w:bookmarkStart w:id="296" w:name="_Toc179632820"/>
      <w:bookmarkStart w:id="297" w:name="_Toc3750"/>
      <w:bookmarkStart w:id="298" w:name="_Toc144974868"/>
      <w:bookmarkStart w:id="299" w:name="_Toc152045800"/>
      <w:r>
        <w:rPr>
          <w:rFonts w:hint="eastAsia" w:ascii="宋体" w:hAnsi="宋体" w:eastAsia="宋体"/>
          <w:sz w:val="22"/>
          <w:szCs w:val="22"/>
        </w:rPr>
        <w:t>附表四：计划开、竣工日期和施工进度网络图</w:t>
      </w:r>
      <w:bookmarkEnd w:id="294"/>
      <w:bookmarkEnd w:id="295"/>
      <w:bookmarkEnd w:id="296"/>
      <w:bookmarkEnd w:id="297"/>
      <w:bookmarkEnd w:id="298"/>
      <w:bookmarkEnd w:id="299"/>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300" w:name="_Toc152042590"/>
      <w:bookmarkStart w:id="301" w:name="_Toc152045801"/>
      <w:bookmarkStart w:id="302" w:name="_Toc144974869"/>
      <w:bookmarkStart w:id="303" w:name="_Toc246392159"/>
      <w:bookmarkStart w:id="304" w:name="_Toc179632821"/>
      <w:r>
        <w:rPr>
          <w:rFonts w:hint="eastAsia" w:ascii="宋体" w:hAnsi="宋体"/>
          <w:sz w:val="22"/>
          <w:szCs w:val="22"/>
        </w:rPr>
        <w:t>附表五：施工总平面图</w:t>
      </w:r>
      <w:bookmarkEnd w:id="300"/>
      <w:bookmarkEnd w:id="301"/>
      <w:bookmarkEnd w:id="302"/>
      <w:bookmarkEnd w:id="303"/>
      <w:bookmarkEnd w:id="304"/>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0"/>
        <w:rPr>
          <w:rFonts w:ascii="宋体" w:hAnsi="宋体" w:eastAsia="宋体"/>
          <w:szCs w:val="23"/>
        </w:rPr>
      </w:pPr>
      <w:bookmarkStart w:id="305" w:name="_Toc246392161"/>
      <w:bookmarkStart w:id="306" w:name="_Toc144974872"/>
      <w:bookmarkStart w:id="307" w:name="_Toc179632824"/>
      <w:bookmarkStart w:id="308" w:name="_Toc152042593"/>
      <w:bookmarkStart w:id="309" w:name="_Toc152045804"/>
      <w:bookmarkStart w:id="310" w:name="_Toc29304"/>
      <w:r>
        <w:rPr>
          <w:rFonts w:hint="eastAsia" w:ascii="宋体" w:hAnsi="宋体" w:eastAsia="宋体"/>
          <w:szCs w:val="23"/>
        </w:rPr>
        <w:t>（一）项目管理机构组成表</w:t>
      </w:r>
      <w:bookmarkEnd w:id="305"/>
      <w:bookmarkEnd w:id="306"/>
      <w:bookmarkEnd w:id="307"/>
      <w:bookmarkEnd w:id="308"/>
      <w:bookmarkEnd w:id="309"/>
      <w:bookmarkEnd w:id="310"/>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0"/>
        <w:rPr>
          <w:rFonts w:ascii="宋体" w:hAnsi="宋体" w:eastAsia="宋体"/>
          <w:szCs w:val="23"/>
        </w:rPr>
      </w:pPr>
      <w:bookmarkStart w:id="311" w:name="_Toc152045805"/>
      <w:bookmarkStart w:id="312" w:name="_Toc179632825"/>
      <w:bookmarkStart w:id="313" w:name="_Toc144974873"/>
      <w:bookmarkStart w:id="314" w:name="_Toc152042594"/>
      <w:bookmarkStart w:id="315" w:name="_Toc25718"/>
      <w:bookmarkStart w:id="316" w:name="_Toc246392162"/>
      <w:r>
        <w:rPr>
          <w:rFonts w:hint="eastAsia" w:ascii="宋体" w:hAnsi="宋体" w:eastAsia="宋体"/>
          <w:szCs w:val="23"/>
        </w:rPr>
        <w:t>（二）主要人员简历表</w:t>
      </w:r>
      <w:bookmarkEnd w:id="311"/>
      <w:bookmarkEnd w:id="312"/>
      <w:bookmarkEnd w:id="313"/>
      <w:bookmarkEnd w:id="314"/>
      <w:bookmarkEnd w:id="315"/>
      <w:bookmarkEnd w:id="316"/>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姓  名</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年 龄</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学历</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称</w:t>
            </w:r>
          </w:p>
        </w:tc>
        <w:tc>
          <w:tcPr>
            <w:tcW w:w="1079" w:type="dxa"/>
            <w:gridSpan w:val="2"/>
            <w:vAlign w:val="center"/>
          </w:tcPr>
          <w:p>
            <w:pPr>
              <w:spacing w:line="440" w:lineRule="exact"/>
              <w:rPr>
                <w:rFonts w:asciiTheme="minorEastAsia" w:hAnsiTheme="minorEastAsia"/>
                <w:sz w:val="22"/>
                <w:szCs w:val="22"/>
              </w:rPr>
            </w:pPr>
          </w:p>
        </w:tc>
        <w:tc>
          <w:tcPr>
            <w:tcW w:w="927"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职 务</w:t>
            </w:r>
          </w:p>
        </w:tc>
        <w:tc>
          <w:tcPr>
            <w:tcW w:w="1065" w:type="dxa"/>
            <w:vAlign w:val="center"/>
          </w:tcPr>
          <w:p>
            <w:pPr>
              <w:spacing w:line="440" w:lineRule="exact"/>
              <w:rPr>
                <w:rFonts w:asciiTheme="minorEastAsia" w:hAnsiTheme="minorEastAsia"/>
                <w:sz w:val="22"/>
                <w:szCs w:val="22"/>
              </w:rPr>
            </w:pPr>
          </w:p>
        </w:tc>
        <w:tc>
          <w:tcPr>
            <w:tcW w:w="1784" w:type="dxa"/>
            <w:gridSpan w:val="3"/>
            <w:vAlign w:val="center"/>
          </w:tcPr>
          <w:p>
            <w:pPr>
              <w:spacing w:line="440" w:lineRule="exact"/>
              <w:rPr>
                <w:rFonts w:asciiTheme="minorEastAsia" w:hAnsiTheme="minorEastAsia"/>
                <w:sz w:val="22"/>
                <w:szCs w:val="22"/>
              </w:rPr>
            </w:pPr>
            <w:r>
              <w:rPr>
                <w:rFonts w:hint="eastAsia" w:asciiTheme="minorEastAsia" w:hAnsiTheme="minorEastAsia"/>
                <w:sz w:val="22"/>
                <w:szCs w:val="22"/>
              </w:rPr>
              <w:t>拟在本合同任职</w:t>
            </w:r>
          </w:p>
        </w:tc>
        <w:tc>
          <w:tcPr>
            <w:tcW w:w="2135" w:type="dxa"/>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毕业学校</w:t>
            </w:r>
          </w:p>
        </w:tc>
        <w:tc>
          <w:tcPr>
            <w:tcW w:w="6990" w:type="dxa"/>
            <w:gridSpan w:val="8"/>
          </w:tcPr>
          <w:p>
            <w:pPr>
              <w:spacing w:line="440" w:lineRule="exact"/>
              <w:rPr>
                <w:rFonts w:asciiTheme="minorEastAsia" w:hAnsiTheme="minorEastAsia"/>
                <w:sz w:val="22"/>
                <w:szCs w:val="22"/>
              </w:rPr>
            </w:pPr>
            <w:r>
              <w:rPr>
                <w:rFonts w:hint="eastAsia" w:asciiTheme="minorEastAsia" w:hAnsiTheme="minorEastAsia"/>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szCs w:val="22"/>
              </w:rPr>
            </w:pPr>
            <w:r>
              <w:rPr>
                <w:rFonts w:hint="eastAsia" w:asciiTheme="minorEastAsia" w:hAnsiTheme="minorEastAsia"/>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时  间</w:t>
            </w:r>
          </w:p>
        </w:tc>
        <w:tc>
          <w:tcPr>
            <w:tcW w:w="3074" w:type="dxa"/>
            <w:gridSpan w:val="4"/>
            <w:vAlign w:val="center"/>
          </w:tcPr>
          <w:p>
            <w:pPr>
              <w:spacing w:line="440" w:lineRule="exact"/>
              <w:rPr>
                <w:rFonts w:asciiTheme="minorEastAsia" w:hAnsiTheme="minorEastAsia"/>
                <w:sz w:val="22"/>
                <w:szCs w:val="22"/>
              </w:rPr>
            </w:pPr>
            <w:r>
              <w:rPr>
                <w:rFonts w:hint="eastAsia" w:asciiTheme="minorEastAsia" w:hAnsiTheme="minorEastAsia"/>
                <w:sz w:val="22"/>
                <w:szCs w:val="22"/>
              </w:rPr>
              <w:t>参加过的类似项目</w:t>
            </w:r>
          </w:p>
        </w:tc>
        <w:tc>
          <w:tcPr>
            <w:tcW w:w="1261" w:type="dxa"/>
            <w:vAlign w:val="center"/>
          </w:tcPr>
          <w:p>
            <w:pPr>
              <w:spacing w:line="440" w:lineRule="exact"/>
              <w:rPr>
                <w:rFonts w:asciiTheme="minorEastAsia" w:hAnsiTheme="minorEastAsia"/>
                <w:sz w:val="22"/>
                <w:szCs w:val="22"/>
              </w:rPr>
            </w:pPr>
            <w:r>
              <w:rPr>
                <w:rFonts w:hint="eastAsia" w:asciiTheme="minorEastAsia" w:hAnsiTheme="minorEastAsia"/>
                <w:sz w:val="22"/>
                <w:szCs w:val="22"/>
              </w:rPr>
              <w:t>担任职务</w:t>
            </w:r>
          </w:p>
        </w:tc>
        <w:tc>
          <w:tcPr>
            <w:tcW w:w="2296" w:type="dxa"/>
            <w:gridSpan w:val="2"/>
            <w:vAlign w:val="center"/>
          </w:tcPr>
          <w:p>
            <w:pPr>
              <w:spacing w:line="440" w:lineRule="exact"/>
              <w:rPr>
                <w:rFonts w:asciiTheme="minorEastAsia" w:hAnsiTheme="minorEastAsia"/>
                <w:sz w:val="22"/>
                <w:szCs w:val="22"/>
              </w:rPr>
            </w:pPr>
            <w:r>
              <w:rPr>
                <w:rFonts w:hint="eastAsia" w:asciiTheme="minorEastAsia" w:hAnsiTheme="minorEastAsia"/>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szCs w:val="22"/>
              </w:rPr>
            </w:pPr>
          </w:p>
        </w:tc>
        <w:tc>
          <w:tcPr>
            <w:tcW w:w="3074" w:type="dxa"/>
            <w:gridSpan w:val="4"/>
          </w:tcPr>
          <w:p>
            <w:pPr>
              <w:spacing w:line="440" w:lineRule="exact"/>
              <w:rPr>
                <w:rFonts w:asciiTheme="minorEastAsia" w:hAnsiTheme="minorEastAsia"/>
                <w:sz w:val="22"/>
                <w:szCs w:val="22"/>
              </w:rPr>
            </w:pPr>
          </w:p>
        </w:tc>
        <w:tc>
          <w:tcPr>
            <w:tcW w:w="1261" w:type="dxa"/>
          </w:tcPr>
          <w:p>
            <w:pPr>
              <w:spacing w:line="440" w:lineRule="exact"/>
              <w:rPr>
                <w:rFonts w:asciiTheme="minorEastAsia" w:hAnsiTheme="minorEastAsia"/>
                <w:sz w:val="22"/>
                <w:szCs w:val="22"/>
              </w:rPr>
            </w:pPr>
          </w:p>
        </w:tc>
        <w:tc>
          <w:tcPr>
            <w:tcW w:w="2296" w:type="dxa"/>
            <w:gridSpan w:val="2"/>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szCs w:val="22"/>
              </w:rPr>
            </w:pPr>
          </w:p>
        </w:tc>
        <w:tc>
          <w:tcPr>
            <w:tcW w:w="3074" w:type="dxa"/>
            <w:gridSpan w:val="4"/>
            <w:vAlign w:val="center"/>
          </w:tcPr>
          <w:p>
            <w:pPr>
              <w:spacing w:line="440" w:lineRule="exact"/>
              <w:rPr>
                <w:rFonts w:asciiTheme="minorEastAsia" w:hAnsiTheme="minorEastAsia"/>
                <w:sz w:val="22"/>
                <w:szCs w:val="22"/>
              </w:rPr>
            </w:pPr>
          </w:p>
        </w:tc>
        <w:tc>
          <w:tcPr>
            <w:tcW w:w="1261" w:type="dxa"/>
            <w:vAlign w:val="center"/>
          </w:tcPr>
          <w:p>
            <w:pPr>
              <w:spacing w:line="440" w:lineRule="exact"/>
              <w:rPr>
                <w:rFonts w:asciiTheme="minorEastAsia" w:hAnsiTheme="minorEastAsia"/>
                <w:sz w:val="22"/>
                <w:szCs w:val="22"/>
              </w:rPr>
            </w:pPr>
          </w:p>
        </w:tc>
        <w:tc>
          <w:tcPr>
            <w:tcW w:w="2296" w:type="dxa"/>
            <w:gridSpan w:val="2"/>
            <w:vAlign w:val="center"/>
          </w:tcPr>
          <w:p>
            <w:pPr>
              <w:spacing w:line="440" w:lineRule="exact"/>
              <w:rPr>
                <w:rFonts w:asciiTheme="minorEastAsia" w:hAnsiTheme="minorEastAsia"/>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317" w:name="_Toc7025"/>
      <w:bookmarkStart w:id="318" w:name="_Toc245036711"/>
      <w:r>
        <w:rPr>
          <w:rFonts w:hint="eastAsia" w:ascii="Calibri" w:hAnsi="Calibri" w:eastAsia="黑体" w:cs="Calibri"/>
          <w:color w:val="000000"/>
          <w:sz w:val="32"/>
          <w:szCs w:val="32"/>
        </w:rPr>
        <w:t>七、资格审查资料</w:t>
      </w:r>
      <w:bookmarkEnd w:id="317"/>
      <w:bookmarkEnd w:id="318"/>
    </w:p>
    <w:p>
      <w:pPr>
        <w:topLinePunct/>
        <w:spacing w:line="440" w:lineRule="exact"/>
        <w:jc w:val="center"/>
        <w:rPr>
          <w:rFonts w:ascii="宋体" w:hAnsi="宋体"/>
          <w:sz w:val="27"/>
          <w:szCs w:val="27"/>
        </w:rPr>
      </w:pPr>
    </w:p>
    <w:p>
      <w:pPr>
        <w:pStyle w:val="140"/>
        <w:rPr>
          <w:rFonts w:ascii="宋体" w:hAnsi="宋体" w:eastAsia="宋体"/>
          <w:szCs w:val="23"/>
        </w:rPr>
      </w:pPr>
      <w:bookmarkStart w:id="319" w:name="_Toc152045808"/>
      <w:bookmarkStart w:id="320" w:name="_Toc17487"/>
      <w:bookmarkStart w:id="321" w:name="_Toc245036712"/>
      <w:bookmarkStart w:id="322" w:name="_Toc152042597"/>
      <w:bookmarkStart w:id="323" w:name="_Toc144974876"/>
      <w:r>
        <w:rPr>
          <w:rFonts w:hint="eastAsia" w:ascii="宋体" w:hAnsi="宋体" w:eastAsia="宋体"/>
          <w:szCs w:val="23"/>
        </w:rPr>
        <w:t>（一）投标人基本情况表</w:t>
      </w:r>
      <w:bookmarkEnd w:id="319"/>
      <w:bookmarkEnd w:id="320"/>
      <w:bookmarkEnd w:id="321"/>
      <w:bookmarkEnd w:id="322"/>
      <w:bookmarkEnd w:id="323"/>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szCs w:val="22"/>
              </w:rPr>
            </w:pPr>
            <w:r>
              <w:rPr>
                <w:rFonts w:hint="eastAsia" w:asciiTheme="minorEastAsia" w:hAnsiTheme="minorEastAsia"/>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szCs w:val="22"/>
              </w:rPr>
            </w:pPr>
            <w:r>
              <w:rPr>
                <w:rFonts w:hint="eastAsia" w:asciiTheme="minorEastAsia" w:hAnsiTheme="minorEastAsia"/>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jc w:val="center"/>
              <w:rPr>
                <w:rFonts w:asciiTheme="minorEastAsia" w:hAnsiTheme="minorEastAsia"/>
                <w:sz w:val="22"/>
                <w:szCs w:val="22"/>
              </w:rPr>
            </w:pPr>
          </w:p>
          <w:p>
            <w:pPr>
              <w:topLinePunct/>
              <w:spacing w:line="440" w:lineRule="exac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r>
              <w:rPr>
                <w:rFonts w:hint="eastAsia" w:asciiTheme="minorEastAsia" w:hAnsiTheme="minorEastAsia"/>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0"/>
        <w:rPr>
          <w:rFonts w:ascii="宋体" w:hAnsi="宋体" w:eastAsia="宋体"/>
          <w:szCs w:val="23"/>
        </w:rPr>
      </w:pPr>
      <w:bookmarkStart w:id="324" w:name="_Toc144974877"/>
      <w:bookmarkStart w:id="325" w:name="_Toc152042598"/>
      <w:bookmarkStart w:id="326" w:name="_Toc16950"/>
      <w:bookmarkStart w:id="327" w:name="_Toc245036713"/>
      <w:bookmarkStart w:id="328" w:name="_Toc152045809"/>
      <w:r>
        <w:rPr>
          <w:rFonts w:hint="eastAsia" w:ascii="宋体" w:hAnsi="宋体" w:eastAsia="宋体"/>
        </w:rPr>
        <w:br w:type="page"/>
      </w:r>
      <w:r>
        <w:rPr>
          <w:rFonts w:hint="eastAsia" w:ascii="宋体" w:hAnsi="宋体" w:eastAsia="宋体"/>
        </w:rPr>
        <w:t>（二）近年财务状况表</w:t>
      </w:r>
      <w:bookmarkEnd w:id="324"/>
      <w:bookmarkEnd w:id="325"/>
      <w:bookmarkEnd w:id="326"/>
      <w:bookmarkEnd w:id="327"/>
      <w:bookmarkEnd w:id="328"/>
    </w:p>
    <w:p>
      <w:pPr>
        <w:spacing w:line="440" w:lineRule="exact"/>
        <w:rPr>
          <w:rFonts w:ascii="宋体" w:hAnsi="宋体"/>
          <w:sz w:val="23"/>
          <w:szCs w:val="23"/>
        </w:rPr>
      </w:pPr>
    </w:p>
    <w:p>
      <w:pPr>
        <w:pStyle w:val="140"/>
        <w:rPr>
          <w:rFonts w:ascii="宋体" w:hAnsi="宋体" w:eastAsia="宋体"/>
          <w:szCs w:val="23"/>
        </w:rPr>
      </w:pPr>
      <w:bookmarkStart w:id="329" w:name="_Toc245036714"/>
      <w:bookmarkStart w:id="330" w:name="_Toc152045810"/>
      <w:bookmarkStart w:id="331" w:name="_Toc152042599"/>
      <w:bookmarkStart w:id="332" w:name="_Toc144974878"/>
      <w:bookmarkStart w:id="333" w:name="_Toc31021"/>
      <w:r>
        <w:rPr>
          <w:rFonts w:hint="eastAsia" w:ascii="宋体" w:hAnsi="宋体" w:eastAsia="宋体"/>
          <w:szCs w:val="23"/>
        </w:rPr>
        <w:t>（三）近年完成的类似项目情况表</w:t>
      </w:r>
      <w:bookmarkEnd w:id="329"/>
      <w:bookmarkEnd w:id="330"/>
      <w:bookmarkEnd w:id="331"/>
      <w:bookmarkEnd w:id="332"/>
      <w:bookmarkEnd w:id="333"/>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4" w:name="_Toc13233"/>
            <w:r>
              <w:rPr>
                <w:rFonts w:hint="eastAsia" w:ascii="宋体" w:hAnsi="宋体"/>
                <w:szCs w:val="21"/>
              </w:rPr>
              <w:t>项目所在地</w:t>
            </w:r>
            <w:bookmarkEnd w:id="33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5" w:name="_Toc20896"/>
            <w:r>
              <w:rPr>
                <w:rFonts w:hint="eastAsia" w:ascii="宋体" w:hAnsi="宋体"/>
                <w:szCs w:val="21"/>
              </w:rPr>
              <w:t>发包人地址</w:t>
            </w:r>
            <w:bookmarkEnd w:id="33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336" w:name="_Toc3155"/>
            <w:r>
              <w:rPr>
                <w:rFonts w:hint="eastAsia" w:ascii="宋体" w:hAnsi="宋体"/>
                <w:szCs w:val="21"/>
              </w:rPr>
              <w:t>承担的工作</w:t>
            </w:r>
            <w:bookmarkEnd w:id="336"/>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0"/>
        <w:rPr>
          <w:rFonts w:ascii="宋体" w:hAnsi="宋体" w:eastAsia="宋体"/>
          <w:szCs w:val="23"/>
        </w:rPr>
      </w:pPr>
      <w:bookmarkStart w:id="337" w:name="_Toc152042600"/>
      <w:bookmarkStart w:id="338" w:name="_Toc26600"/>
      <w:bookmarkStart w:id="339" w:name="_Toc152045811"/>
      <w:bookmarkStart w:id="340" w:name="_Toc144974879"/>
      <w:bookmarkStart w:id="341" w:name="_Toc245036715"/>
      <w:r>
        <w:rPr>
          <w:rFonts w:hint="eastAsia" w:ascii="宋体" w:hAnsi="宋体" w:eastAsia="宋体"/>
          <w:szCs w:val="23"/>
        </w:rPr>
        <w:br w:type="page"/>
      </w:r>
      <w:r>
        <w:rPr>
          <w:rFonts w:hint="eastAsia" w:ascii="宋体" w:hAnsi="宋体" w:eastAsia="宋体"/>
          <w:szCs w:val="23"/>
        </w:rPr>
        <w:t>（四）正在施工的和新承接的项目情况表</w:t>
      </w:r>
      <w:bookmarkEnd w:id="337"/>
      <w:bookmarkEnd w:id="338"/>
      <w:bookmarkEnd w:id="339"/>
      <w:bookmarkEnd w:id="340"/>
      <w:bookmarkEnd w:id="341"/>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342" w:name="_Toc5773"/>
            <w:bookmarkStart w:id="343" w:name="_Toc144974880"/>
            <w:bookmarkStart w:id="344" w:name="_Toc152042601"/>
            <w:bookmarkStart w:id="345" w:name="_Toc152045812"/>
            <w:bookmarkStart w:id="346" w:name="_Toc245036716"/>
            <w:r>
              <w:rPr>
                <w:rFonts w:hint="eastAsia" w:ascii="宋体" w:hAnsi="宋体"/>
                <w:szCs w:val="21"/>
              </w:rPr>
              <w:t>项目名称</w:t>
            </w:r>
            <w:bookmarkEnd w:id="342"/>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343"/>
      <w:bookmarkEnd w:id="344"/>
      <w:bookmarkEnd w:id="345"/>
      <w:bookmarkEnd w:id="346"/>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347" w:name="_Toc245036717"/>
      <w:bookmarkStart w:id="348" w:name="_Toc675"/>
      <w:bookmarkStart w:id="349" w:name="_Toc152045813"/>
      <w:bookmarkStart w:id="350" w:name="_Toc152042602"/>
      <w:bookmarkStart w:id="351" w:name="_Toc144974881"/>
      <w:r>
        <w:rPr>
          <w:rFonts w:hint="eastAsia" w:ascii="宋体" w:hAnsi="宋体" w:eastAsia="宋体"/>
        </w:rPr>
        <w:br w:type="page"/>
      </w:r>
      <w:r>
        <w:rPr>
          <w:rFonts w:hint="eastAsia" w:ascii="Calibri" w:hAnsi="Calibri" w:eastAsia="黑体" w:cs="Calibri"/>
          <w:color w:val="000000"/>
          <w:sz w:val="32"/>
          <w:szCs w:val="32"/>
        </w:rPr>
        <w:t>八、</w:t>
      </w:r>
      <w:bookmarkStart w:id="352" w:name="_Toc21221"/>
      <w:bookmarkEnd w:id="347"/>
      <w:bookmarkEnd w:id="348"/>
      <w:bookmarkEnd w:id="349"/>
      <w:bookmarkEnd w:id="350"/>
      <w:bookmarkEnd w:id="35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352"/>
    <w:p>
      <w:pPr>
        <w:overflowPunct w:val="0"/>
        <w:autoSpaceDE w:val="0"/>
        <w:autoSpaceDN w:val="0"/>
        <w:spacing w:line="440" w:lineRule="exact"/>
        <w:ind w:left="839" w:hanging="839"/>
        <w:jc w:val="center"/>
        <w:rPr>
          <w:rFonts w:ascii="宋体" w:hAnsi="宋体" w:cs="宋体"/>
          <w:b/>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74 -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pPr>
    <w:r>
      <w:rPr>
        <w:rFonts w:hint="eastAsia" w:ascii="宋体" w:hAnsi="宋体"/>
        <w:color w:val="000000"/>
        <w:szCs w:val="18"/>
      </w:rPr>
      <w:t>杭州萧山国际机场航站楼行李转盘视频监控及显示屏安装工程施工招标文件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80ED022"/>
    <w:multiLevelType w:val="multilevel"/>
    <w:tmpl w:val="580ED022"/>
    <w:lvl w:ilvl="0" w:tentative="0">
      <w:start w:val="1"/>
      <w:numFmt w:val="decimal"/>
      <w:lvlText w:val="%1)"/>
      <w:lvlJc w:val="left"/>
      <w:pPr>
        <w:tabs>
          <w:tab w:val="left" w:pos="1140"/>
        </w:tabs>
        <w:ind w:left="1140" w:hanging="420"/>
      </w:pPr>
      <w:rPr>
        <w:rFonts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abstractNum w:abstractNumId="5">
    <w:nsid w:val="5D253357"/>
    <w:multiLevelType w:val="singleLevel"/>
    <w:tmpl w:val="5D25335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6">
    <w:nsid w:val="5D253378"/>
    <w:multiLevelType w:val="singleLevel"/>
    <w:tmpl w:val="5D25337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360D"/>
    <w:rsid w:val="03F11F5D"/>
    <w:rsid w:val="17BF1255"/>
    <w:rsid w:val="2FA518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qFormat/>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qFormat/>
    <w:uiPriority w:val="0"/>
    <w:pPr>
      <w:spacing w:after="120"/>
      <w:ind w:left="420" w:leftChars="200" w:firstLine="420"/>
    </w:pPr>
    <w:rPr>
      <w:szCs w:val="24"/>
    </w:rPr>
  </w:style>
  <w:style w:type="paragraph" w:styleId="38">
    <w:name w:val="header"/>
    <w:basedOn w:val="1"/>
    <w:link w:val="8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Calibri" w:hAnsi="Calibri" w:eastAsia="宋体" w:cs="Times New Roman"/>
      <w:b/>
      <w:bCs/>
      <w:lang w:val="en-US" w:eastAsia="zh-CN" w:bidi="ar-SA"/>
    </w:rPr>
  </w:style>
  <w:style w:type="character" w:styleId="54">
    <w:name w:val="page number"/>
    <w:basedOn w:val="52"/>
    <w:unhideWhenUsed/>
    <w:qFormat/>
    <w:uiPriority w:val="0"/>
    <w:rPr>
      <w:rFonts w:ascii="Calibri" w:hAnsi="Calibri" w:eastAsia="宋体" w:cs="Times New Roman"/>
      <w:lang w:val="en-US" w:eastAsia="zh-CN" w:bidi="ar-SA"/>
    </w:rPr>
  </w:style>
  <w:style w:type="character" w:styleId="55">
    <w:name w:val="FollowedHyperlink"/>
    <w:unhideWhenUsed/>
    <w:qFormat/>
    <w:uiPriority w:val="99"/>
    <w:rPr>
      <w:rFonts w:ascii="Calibri" w:hAnsi="Calibri" w:eastAsia="宋体" w:cs="Times New Roman"/>
      <w:color w:val="800080"/>
      <w:u w:val="single"/>
      <w:lang w:val="en-US" w:eastAsia="zh-CN" w:bidi="ar-SA"/>
    </w:rPr>
  </w:style>
  <w:style w:type="character" w:styleId="56">
    <w:name w:val="Hyperlink"/>
    <w:unhideWhenUsed/>
    <w:qFormat/>
    <w:uiPriority w:val="99"/>
    <w:rPr>
      <w:rFonts w:ascii="Calibri" w:hAnsi="Calibri" w:eastAsia="宋体" w:cs="Times New Roman"/>
      <w:color w:val="0000FF"/>
      <w:u w:val="single"/>
      <w:lang w:val="en-US" w:eastAsia="zh-CN" w:bidi="ar-SA"/>
    </w:rPr>
  </w:style>
  <w:style w:type="character" w:styleId="57">
    <w:name w:val="annotation reference"/>
    <w:unhideWhenUsed/>
    <w:qFormat/>
    <w:uiPriority w:val="0"/>
    <w:rPr>
      <w:rFonts w:ascii="Calibri" w:hAnsi="Calibri" w:eastAsia="宋体" w:cs="Times New Roman"/>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字符"/>
    <w:basedOn w:val="52"/>
    <w:link w:val="9"/>
    <w:qFormat/>
    <w:uiPriority w:val="0"/>
    <w:rPr>
      <w:rFonts w:ascii="Arial" w:hAnsi="Arial" w:eastAsia="黑体" w:cs="Times New Roman"/>
      <w:kern w:val="0"/>
      <w:lang w:val="en-US" w:eastAsia="zh-CN" w:bidi="ar-SA"/>
    </w:rPr>
  </w:style>
  <w:style w:type="character" w:customStyle="1" w:styleId="67">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字符"/>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字符"/>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ascii="Calibri" w:hAnsi="Calibri" w:eastAsia="宋体" w:cs="Times New Roman"/>
      <w:kern w:val="2"/>
      <w:sz w:val="18"/>
      <w:szCs w:val="18"/>
      <w:lang w:val="en-US" w:eastAsia="zh-CN" w:bidi="ar-SA"/>
    </w:rPr>
  </w:style>
  <w:style w:type="character" w:customStyle="1" w:styleId="77">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78">
    <w:name w:val="正文文本首行缩进 2 字符"/>
    <w:link w:val="37"/>
    <w:qFormat/>
    <w:uiPriority w:val="0"/>
    <w:rPr>
      <w:rFonts w:ascii="Calibri" w:hAnsi="Calibri" w:eastAsia="宋体" w:cs="Times New Roman"/>
      <w:szCs w:val="24"/>
      <w:lang w:val="en-US" w:eastAsia="zh-CN" w:bidi="ar-SA"/>
    </w:rPr>
  </w:style>
  <w:style w:type="character" w:customStyle="1" w:styleId="79">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Calibri" w:hAnsi="Calibri" w:eastAsia="宋体" w:cs="Times New Roman"/>
      <w:lang w:val="en-US" w:eastAsia="zh-CN" w:bidi="ar-SA"/>
    </w:rPr>
  </w:style>
  <w:style w:type="character" w:customStyle="1" w:styleId="83">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Calibri" w:hAnsi="Calibri" w:eastAsia="宋体" w:cs="Times New Roman"/>
      <w:lang w:val="en-US" w:eastAsia="zh-CN" w:bidi="ar-SA"/>
    </w:rPr>
  </w:style>
  <w:style w:type="character" w:customStyle="1" w:styleId="85">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6">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文本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ascii="Calibri" w:hAnsi="Calibri" w:eastAsia="宋体" w:cs="Times New Roman"/>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hAnsi="Calibri" w:eastAsia="Heiti SC Light" w:cs="Times New Roman"/>
      <w:sz w:val="18"/>
      <w:szCs w:val="18"/>
      <w:lang w:val="en-US" w:eastAsia="zh-CN" w:bidi="ar-SA"/>
    </w:rPr>
  </w:style>
  <w:style w:type="character" w:customStyle="1" w:styleId="101">
    <w:name w:val="日期字符1"/>
    <w:basedOn w:val="52"/>
    <w:semiHidden/>
    <w:qFormat/>
    <w:uiPriority w:val="99"/>
    <w:rPr>
      <w:rFonts w:ascii="Calibri" w:hAnsi="Calibri" w:eastAsia="宋体" w:cs="Times New Roman"/>
      <w:lang w:val="en-US" w:eastAsia="zh-CN" w:bidi="ar-SA"/>
    </w:rPr>
  </w:style>
  <w:style w:type="character" w:customStyle="1" w:styleId="102">
    <w:name w:val="纯文本字符1"/>
    <w:basedOn w:val="52"/>
    <w:semiHidden/>
    <w:qFormat/>
    <w:uiPriority w:val="99"/>
    <w:rPr>
      <w:rFonts w:ascii="宋体" w:hAnsi="Courier" w:eastAsia="宋体" w:cs="Times New Roman"/>
      <w:lang w:val="en-US" w:eastAsia="zh-CN" w:bidi="ar-SA"/>
    </w:rPr>
  </w:style>
  <w:style w:type="character" w:customStyle="1" w:styleId="103">
    <w:name w:val="批注文字 字符"/>
    <w:basedOn w:val="52"/>
    <w:link w:val="13"/>
    <w:semiHidden/>
    <w:qFormat/>
    <w:uiPriority w:val="99"/>
    <w:rPr>
      <w:rFonts w:ascii="Calibri" w:hAnsi="Calibri" w:eastAsia="宋体" w:cs="Times New Roman"/>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字符"/>
    <w:basedOn w:val="52"/>
    <w:link w:val="16"/>
    <w:semiHidden/>
    <w:qFormat/>
    <w:uiPriority w:val="99"/>
    <w:rPr>
      <w:rFonts w:ascii="Calibri" w:hAnsi="Calibri" w:eastAsia="宋体" w:cs="Times New Roman"/>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rFonts w:ascii="Calibri" w:hAnsi="Calibri" w:eastAsia="宋体" w:cs="Times New Roman"/>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hAnsi="Calibri" w:eastAsia="Heiti SC Light" w:cs="Times New Roman"/>
      <w:lang w:val="en-US" w:eastAsia="zh-CN" w:bidi="ar-SA"/>
    </w:rPr>
  </w:style>
  <w:style w:type="character" w:customStyle="1" w:styleId="111">
    <w:name w:val="正文文本 3字符1"/>
    <w:basedOn w:val="52"/>
    <w:semiHidden/>
    <w:qFormat/>
    <w:uiPriority w:val="99"/>
    <w:rPr>
      <w:rFonts w:ascii="Calibri" w:hAnsi="Calibri" w:eastAsia="宋体" w:cs="Times New Roman"/>
      <w:sz w:val="16"/>
      <w:szCs w:val="16"/>
      <w:lang w:val="en-US" w:eastAsia="zh-CN" w:bidi="ar-SA"/>
    </w:rPr>
  </w:style>
  <w:style w:type="character" w:customStyle="1" w:styleId="112">
    <w:name w:val="正文文本缩进字符1"/>
    <w:basedOn w:val="52"/>
    <w:semiHidden/>
    <w:qFormat/>
    <w:uiPriority w:val="99"/>
    <w:rPr>
      <w:rFonts w:ascii="Calibri" w:hAnsi="Calibri" w:eastAsia="宋体" w:cs="Times New Roman"/>
      <w:lang w:val="en-US" w:eastAsia="zh-CN" w:bidi="ar-SA"/>
    </w:rPr>
  </w:style>
  <w:style w:type="character" w:customStyle="1" w:styleId="113">
    <w:name w:val="正文文本缩进 2字符1"/>
    <w:basedOn w:val="52"/>
    <w:semiHidden/>
    <w:qFormat/>
    <w:uiPriority w:val="99"/>
    <w:rPr>
      <w:rFonts w:ascii="Calibri" w:hAnsi="Calibri" w:eastAsia="宋体" w:cs="Times New Roman"/>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Calibri" w:hAnsi="Calibri" w:eastAsia="宋体" w:cs="Times New Roman"/>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Calibri" w:hAnsi="Calibri" w:eastAsia="宋体" w:cs="Times New Roman"/>
      <w:sz w:val="18"/>
      <w:szCs w:val="18"/>
      <w:lang w:val="en-US" w:eastAsia="zh-CN" w:bidi="ar-SA"/>
    </w:rPr>
  </w:style>
  <w:style w:type="character" w:customStyle="1" w:styleId="119">
    <w:name w:val="正文文本 2字符1"/>
    <w:basedOn w:val="52"/>
    <w:semiHidden/>
    <w:qFormat/>
    <w:uiPriority w:val="99"/>
    <w:rPr>
      <w:rFonts w:ascii="Calibri" w:hAnsi="Calibri" w:eastAsia="宋体" w:cs="Times New Roman"/>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List Paragraph"/>
    <w:basedOn w:val="1"/>
    <w:qFormat/>
    <w:uiPriority w:val="34"/>
    <w:pPr>
      <w:ind w:firstLine="420" w:firstLineChars="200"/>
    </w:pPr>
  </w:style>
  <w:style w:type="paragraph" w:customStyle="1" w:styleId="140">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1">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75</Pages>
  <Words>8412</Words>
  <Characters>47952</Characters>
  <Lines>399</Lines>
  <Paragraphs>112</Paragraphs>
  <TotalTime>0</TotalTime>
  <ScaleCrop>false</ScaleCrop>
  <LinksUpToDate>false</LinksUpToDate>
  <CharactersWithSpaces>56252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2016-05-18T00:13:00Z</dcterms:created>
  <dc:creator>y z</dc:creator>
  <cp:lastModifiedBy>贾思勰</cp:lastModifiedBy>
  <dcterms:modified xsi:type="dcterms:W3CDTF">2019-07-10T00:41:22Z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