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急救设备及物品</w:t>
      </w:r>
      <w:r>
        <w:rPr>
          <w:rFonts w:hint="eastAsia" w:eastAsia="黑体" w:cs="Calibri"/>
          <w:b/>
          <w:sz w:val="44"/>
          <w:szCs w:val="44"/>
        </w:rPr>
        <w:t>采购项目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七</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ascii="黑体" w:hAnsi="黑体" w:eastAsia="黑体"/>
          <w:sz w:val="22"/>
          <w:szCs w:val="22"/>
        </w:rPr>
        <w:t>- 15 -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- 23 -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- 26 -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321925451"/>
      <w:r>
        <w:rPr>
          <w:rFonts w:hint="eastAsia"/>
        </w:rPr>
        <w:t>第一章 招标公告</w:t>
      </w:r>
      <w:bookmarkEnd w:id="0"/>
    </w:p>
    <w:p>
      <w:pPr>
        <w:widowControl/>
        <w:snapToGrid w:val="0"/>
        <w:spacing w:line="360" w:lineRule="exact"/>
        <w:jc w:val="left"/>
        <w:rPr>
          <w:rFonts w:cs="Arial" w:asciiTheme="minorEastAsia" w:hAnsiTheme="minorEastAsia"/>
          <w:b/>
          <w:bCs/>
          <w:kern w:val="0"/>
          <w:sz w:val="22"/>
        </w:rPr>
      </w:pPr>
    </w:p>
    <w:p>
      <w:pPr>
        <w:widowControl/>
        <w:snapToGrid w:val="0"/>
        <w:spacing w:line="360" w:lineRule="exact"/>
        <w:jc w:val="left"/>
        <w:rPr>
          <w:rFonts w:cs="Arial" w:asciiTheme="minorEastAsia" w:hAnsiTheme="minorEastAsia"/>
          <w:kern w:val="0"/>
          <w:sz w:val="22"/>
        </w:rPr>
      </w:pPr>
      <w:r>
        <w:rPr>
          <w:rFonts w:hint="eastAsia" w:cs="Arial" w:asciiTheme="minorEastAsia" w:hAnsiTheme="minorEastAsia"/>
          <w:b/>
          <w:bCs/>
          <w:kern w:val="0"/>
          <w:sz w:val="22"/>
        </w:rPr>
        <w:t>一、招标内容</w:t>
      </w:r>
    </w:p>
    <w:p>
      <w:pPr>
        <w:widowControl/>
        <w:adjustRightInd w:val="0"/>
        <w:snapToGrid w:val="0"/>
        <w:spacing w:line="36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杭州萧山国际机场有限公司就</w:t>
      </w:r>
      <w:r>
        <w:rPr>
          <w:rFonts w:cs="Arial" w:asciiTheme="minorEastAsia" w:hAnsiTheme="minorEastAsia"/>
          <w:kern w:val="0"/>
          <w:sz w:val="22"/>
        </w:rPr>
        <w:t>杭州萧山国际机场</w:t>
      </w:r>
      <w:r>
        <w:rPr>
          <w:rFonts w:hint="eastAsia" w:cs="Arial" w:asciiTheme="minorEastAsia" w:hAnsiTheme="minorEastAsia"/>
          <w:kern w:val="0"/>
          <w:sz w:val="22"/>
        </w:rPr>
        <w:t>急救设备及物品</w:t>
      </w:r>
      <w:r>
        <w:rPr>
          <w:rFonts w:cs="Arial" w:asciiTheme="minorEastAsia" w:hAnsiTheme="minorEastAsia"/>
          <w:kern w:val="0"/>
          <w:sz w:val="22"/>
        </w:rPr>
        <w:t>采购项</w:t>
      </w:r>
      <w:r>
        <w:rPr>
          <w:rFonts w:hint="eastAsia" w:cs="Arial" w:asciiTheme="minorEastAsia" w:hAnsiTheme="minorEastAsia"/>
          <w:kern w:val="0"/>
          <w:sz w:val="22"/>
        </w:rPr>
        <w:t>目进行公开招标，欢迎符合资格要求的供应商参与投标。</w:t>
      </w:r>
    </w:p>
    <w:p>
      <w:pPr>
        <w:widowControl/>
        <w:adjustRightInd w:val="0"/>
        <w:snapToGrid w:val="0"/>
        <w:spacing w:line="36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招标货物名称、数量及主要技术规格</w:t>
      </w:r>
    </w:p>
    <w:tbl>
      <w:tblPr>
        <w:tblStyle w:val="58"/>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992"/>
        <w:gridCol w:w="2078"/>
        <w:gridCol w:w="244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adjustRightInd w:val="0"/>
              <w:snapToGrid w:val="0"/>
              <w:jc w:val="center"/>
              <w:rPr>
                <w:rFonts w:asciiTheme="minorEastAsia" w:hAnsiTheme="minorEastAsia"/>
                <w:caps/>
                <w:sz w:val="22"/>
              </w:rPr>
            </w:pPr>
            <w:r>
              <w:rPr>
                <w:rFonts w:asciiTheme="minorEastAsia" w:hAnsiTheme="minorEastAsia"/>
                <w:caps/>
                <w:sz w:val="22"/>
              </w:rPr>
              <w:t>货物名称</w:t>
            </w:r>
          </w:p>
        </w:tc>
        <w:tc>
          <w:tcPr>
            <w:tcW w:w="992" w:type="dxa"/>
            <w:vAlign w:val="center"/>
          </w:tcPr>
          <w:p>
            <w:pPr>
              <w:adjustRightInd w:val="0"/>
              <w:snapToGrid w:val="0"/>
              <w:jc w:val="center"/>
              <w:rPr>
                <w:rFonts w:asciiTheme="minorEastAsia" w:hAnsiTheme="minorEastAsia"/>
                <w:caps/>
                <w:sz w:val="22"/>
              </w:rPr>
            </w:pPr>
            <w:r>
              <w:rPr>
                <w:rFonts w:asciiTheme="minorEastAsia" w:hAnsiTheme="minorEastAsia"/>
                <w:caps/>
                <w:sz w:val="22"/>
              </w:rPr>
              <w:t>数 量</w:t>
            </w:r>
          </w:p>
        </w:tc>
        <w:tc>
          <w:tcPr>
            <w:tcW w:w="2078" w:type="dxa"/>
            <w:vAlign w:val="center"/>
          </w:tcPr>
          <w:p>
            <w:pPr>
              <w:adjustRightInd w:val="0"/>
              <w:snapToGrid w:val="0"/>
              <w:jc w:val="center"/>
              <w:rPr>
                <w:rFonts w:asciiTheme="minorEastAsia" w:hAnsiTheme="minorEastAsia"/>
                <w:caps/>
                <w:sz w:val="22"/>
              </w:rPr>
            </w:pPr>
            <w:r>
              <w:rPr>
                <w:rFonts w:asciiTheme="minorEastAsia" w:hAnsiTheme="minorEastAsia"/>
                <w:caps/>
                <w:sz w:val="22"/>
              </w:rPr>
              <w:t>主要技术规格</w:t>
            </w:r>
          </w:p>
        </w:tc>
        <w:tc>
          <w:tcPr>
            <w:tcW w:w="2442" w:type="dxa"/>
            <w:vAlign w:val="center"/>
          </w:tcPr>
          <w:p>
            <w:pPr>
              <w:adjustRightInd w:val="0"/>
              <w:snapToGrid w:val="0"/>
              <w:jc w:val="center"/>
              <w:rPr>
                <w:rFonts w:asciiTheme="minorEastAsia" w:hAnsiTheme="minorEastAsia"/>
                <w:caps/>
                <w:sz w:val="22"/>
              </w:rPr>
            </w:pPr>
            <w:r>
              <w:rPr>
                <w:rFonts w:asciiTheme="minorEastAsia" w:hAnsiTheme="minorEastAsia"/>
                <w:caps/>
                <w:sz w:val="22"/>
              </w:rPr>
              <w:t>供货期</w:t>
            </w:r>
          </w:p>
        </w:tc>
        <w:tc>
          <w:tcPr>
            <w:tcW w:w="1340" w:type="dxa"/>
            <w:vAlign w:val="center"/>
          </w:tcPr>
          <w:p>
            <w:pPr>
              <w:adjustRightInd w:val="0"/>
              <w:snapToGrid w:val="0"/>
              <w:jc w:val="center"/>
              <w:rPr>
                <w:rFonts w:asciiTheme="minorEastAsia" w:hAnsiTheme="minorEastAsia"/>
                <w:caps/>
                <w:sz w:val="22"/>
              </w:rPr>
            </w:pPr>
            <w:r>
              <w:rPr>
                <w:rFonts w:asciiTheme="minorEastAsia" w:hAnsiTheme="minorEastAsia"/>
                <w:caps/>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snapToGrid w:val="0"/>
              <w:jc w:val="center"/>
              <w:rPr>
                <w:rFonts w:asciiTheme="minorEastAsia" w:hAnsiTheme="minorEastAsia"/>
                <w:sz w:val="22"/>
              </w:rPr>
            </w:pPr>
            <w:r>
              <w:rPr>
                <w:rFonts w:hint="eastAsia" w:asciiTheme="minorEastAsia" w:hAnsiTheme="minorEastAsia"/>
                <w:sz w:val="22"/>
              </w:rPr>
              <w:t>详见第三章</w:t>
            </w:r>
          </w:p>
        </w:tc>
        <w:tc>
          <w:tcPr>
            <w:tcW w:w="992" w:type="dxa"/>
            <w:vAlign w:val="center"/>
          </w:tcPr>
          <w:p>
            <w:pPr>
              <w:snapToGrid w:val="0"/>
              <w:jc w:val="center"/>
              <w:rPr>
                <w:rFonts w:asciiTheme="minorEastAsia" w:hAnsiTheme="minorEastAsia"/>
                <w:sz w:val="22"/>
              </w:rPr>
            </w:pPr>
            <w:r>
              <w:rPr>
                <w:rFonts w:hint="eastAsia" w:asciiTheme="minorEastAsia" w:hAnsiTheme="minorEastAsia"/>
                <w:sz w:val="22"/>
              </w:rPr>
              <w:t>详见第三章</w:t>
            </w:r>
          </w:p>
        </w:tc>
        <w:tc>
          <w:tcPr>
            <w:tcW w:w="2078" w:type="dxa"/>
            <w:vAlign w:val="center"/>
          </w:tcPr>
          <w:p>
            <w:pPr>
              <w:pStyle w:val="13"/>
              <w:snapToGrid w:val="0"/>
              <w:jc w:val="center"/>
              <w:rPr>
                <w:rFonts w:asciiTheme="minorEastAsia" w:hAnsiTheme="minorEastAsia"/>
                <w:sz w:val="22"/>
                <w:szCs w:val="22"/>
              </w:rPr>
            </w:pPr>
            <w:r>
              <w:rPr>
                <w:rFonts w:hint="eastAsia" w:asciiTheme="minorEastAsia" w:hAnsiTheme="minorEastAsia"/>
                <w:sz w:val="22"/>
                <w:szCs w:val="22"/>
              </w:rPr>
              <w:t>详见第三章</w:t>
            </w:r>
          </w:p>
        </w:tc>
        <w:tc>
          <w:tcPr>
            <w:tcW w:w="2442" w:type="dxa"/>
            <w:vAlign w:val="center"/>
          </w:tcPr>
          <w:p>
            <w:pPr>
              <w:adjustRightInd w:val="0"/>
              <w:snapToGrid w:val="0"/>
              <w:jc w:val="center"/>
              <w:rPr>
                <w:rFonts w:asciiTheme="minorEastAsia" w:hAnsiTheme="minorEastAsia"/>
                <w:sz w:val="22"/>
              </w:rPr>
            </w:pPr>
            <w:r>
              <w:rPr>
                <w:rFonts w:hint="eastAsia" w:asciiTheme="minorEastAsia" w:hAnsiTheme="minorEastAsia"/>
                <w:sz w:val="22"/>
              </w:rPr>
              <w:t>合同签订后</w:t>
            </w:r>
            <w:r>
              <w:rPr>
                <w:rFonts w:hint="eastAsia" w:asciiTheme="minorEastAsia" w:hAnsiTheme="minorEastAsia"/>
                <w:sz w:val="22"/>
                <w:u w:val="single"/>
              </w:rPr>
              <w:t>30</w:t>
            </w:r>
            <w:r>
              <w:rPr>
                <w:rFonts w:hint="eastAsia" w:asciiTheme="minorEastAsia" w:hAnsiTheme="minorEastAsia"/>
                <w:sz w:val="22"/>
              </w:rPr>
              <w:t>日历天</w:t>
            </w:r>
          </w:p>
        </w:tc>
        <w:tc>
          <w:tcPr>
            <w:tcW w:w="1340" w:type="dxa"/>
            <w:vAlign w:val="center"/>
          </w:tcPr>
          <w:p>
            <w:pPr>
              <w:adjustRightInd w:val="0"/>
              <w:snapToGrid w:val="0"/>
              <w:jc w:val="center"/>
              <w:rPr>
                <w:rFonts w:asciiTheme="minorEastAsia" w:hAnsiTheme="minorEastAsia"/>
                <w:sz w:val="22"/>
              </w:rPr>
            </w:pPr>
            <w:r>
              <w:rPr>
                <w:rFonts w:asciiTheme="minorEastAsia" w:hAnsiTheme="minorEastAsia"/>
                <w:sz w:val="22"/>
              </w:rPr>
              <w:t>杭州萧山国际机场</w:t>
            </w:r>
          </w:p>
        </w:tc>
      </w:tr>
    </w:tbl>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二、投标人资格要求</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（1）</w:t>
      </w:r>
      <w:r>
        <w:rPr>
          <w:rStyle w:val="83"/>
          <w:rFonts w:hint="eastAsia" w:cs="宋体" w:asciiTheme="minorEastAsia" w:hAnsiTheme="minorEastAsia"/>
          <w:sz w:val="22"/>
        </w:rPr>
        <w:t>具有独立法人资格的制造商或代理商，注册资金不少于人民币</w:t>
      </w:r>
      <w:r>
        <w:rPr>
          <w:rStyle w:val="83"/>
          <w:rFonts w:hint="eastAsia" w:cs="宋体" w:asciiTheme="minorEastAsia" w:hAnsiTheme="minorEastAsia"/>
          <w:sz w:val="22"/>
          <w:u w:val="single"/>
        </w:rPr>
        <w:t xml:space="preserve"> 150 </w:t>
      </w:r>
      <w:r>
        <w:rPr>
          <w:rStyle w:val="83"/>
          <w:rFonts w:hint="eastAsia" w:cs="宋体" w:asciiTheme="minorEastAsia" w:hAnsiTheme="minorEastAsia"/>
          <w:sz w:val="22"/>
        </w:rPr>
        <w:t>万元或等值外币(按投标截止日中国人民银行公布的汇率中间价换算)</w:t>
      </w:r>
      <w:r>
        <w:rPr>
          <w:rFonts w:hint="eastAsia" w:cs="Arial" w:asciiTheme="minorEastAsia" w:hAnsiTheme="minorEastAsia"/>
          <w:kern w:val="0"/>
          <w:sz w:val="22"/>
        </w:rPr>
        <w:t>。</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2）能独立承担民事责任和履行合同能力，具有良好的商业信誉和健全的财务会计管理制度，有依法缴纳税收和社会保障资金的良好记录，在本次招标前三年内的经营活动中没有重大违法记录和不良记录。（需提供承诺函，格式自拟）</w:t>
      </w:r>
    </w:p>
    <w:p>
      <w:pPr>
        <w:widowControl/>
        <w:adjustRightInd w:val="0"/>
        <w:snapToGrid w:val="0"/>
        <w:spacing w:line="340" w:lineRule="exact"/>
        <w:ind w:firstLine="440" w:firstLineChars="200"/>
        <w:rPr>
          <w:rFonts w:ascii="宋体" w:hAnsi="宋体" w:cs="Arial"/>
          <w:kern w:val="0"/>
          <w:sz w:val="22"/>
        </w:rPr>
      </w:pPr>
      <w:r>
        <w:rPr>
          <w:rFonts w:hint="eastAsia" w:cs="Arial" w:asciiTheme="minorEastAsia" w:hAnsiTheme="minorEastAsia"/>
          <w:kern w:val="0"/>
          <w:sz w:val="22"/>
        </w:rPr>
        <w:t>（3）投标人</w:t>
      </w:r>
      <w:r>
        <w:rPr>
          <w:rFonts w:cs="Arial" w:asciiTheme="minorEastAsia" w:hAnsiTheme="minorEastAsia"/>
          <w:kern w:val="0"/>
          <w:sz w:val="22"/>
        </w:rPr>
        <w:t>具有一般纳税人</w:t>
      </w:r>
      <w:r>
        <w:rPr>
          <w:rFonts w:hint="eastAsia" w:cs="Arial" w:asciiTheme="minorEastAsia" w:hAnsiTheme="minorEastAsia"/>
          <w:kern w:val="0"/>
          <w:sz w:val="22"/>
        </w:rPr>
        <w:t>资格</w:t>
      </w:r>
      <w:r>
        <w:rPr>
          <w:rFonts w:cs="Arial" w:asciiTheme="minorEastAsia" w:hAnsiTheme="minorEastAsia"/>
          <w:kern w:val="0"/>
          <w:sz w:val="22"/>
        </w:rPr>
        <w:t>，可提供税率为</w:t>
      </w:r>
      <w:r>
        <w:rPr>
          <w:rFonts w:hint="eastAsia" w:cs="Arial" w:asciiTheme="minorEastAsia" w:hAnsiTheme="minorEastAsia"/>
          <w:kern w:val="0"/>
          <w:sz w:val="22"/>
        </w:rPr>
        <w:t>13</w:t>
      </w:r>
      <w:r>
        <w:rPr>
          <w:rFonts w:cs="Arial" w:asciiTheme="minorEastAsia" w:hAnsiTheme="minorEastAsia"/>
          <w:kern w:val="0"/>
          <w:sz w:val="22"/>
        </w:rPr>
        <w:t>%的增值税专用发票</w:t>
      </w:r>
      <w:r>
        <w:rPr>
          <w:rFonts w:hint="eastAsia" w:cs="Arial" w:asciiTheme="minorEastAsia" w:hAnsiTheme="minorEastAsia"/>
          <w:kern w:val="0"/>
          <w:sz w:val="22"/>
        </w:rPr>
        <w:t>。</w:t>
      </w:r>
      <w:r>
        <w:rPr>
          <w:rFonts w:hint="eastAsia" w:ascii="宋体" w:hAnsi="宋体" w:cs="Arial"/>
          <w:kern w:val="0"/>
          <w:sz w:val="22"/>
        </w:rPr>
        <w:t>（需提供税务机关出具的一般纳税人资格认定相关证明材料复印件并加盖投标人公章作为证明材料，原件备查）。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（4）投标人可为制造商或代理商。制造商须具有医疗器械注册、医疗器械生产企业许可证等相关证明材料；代理商须具有医疗器械经营许可证、制造商授权书等相关证明材料。</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（5）</w:t>
      </w:r>
      <w:r>
        <w:rPr>
          <w:rFonts w:cs="Arial" w:asciiTheme="minorEastAsia" w:hAnsiTheme="minorEastAsia"/>
          <w:kern w:val="0"/>
          <w:sz w:val="22"/>
        </w:rPr>
        <w:t>本项目不接受联合</w:t>
      </w:r>
      <w:r>
        <w:rPr>
          <w:rFonts w:hint="eastAsia" w:cs="Arial" w:asciiTheme="minorEastAsia" w:hAnsiTheme="minorEastAsia"/>
          <w:kern w:val="0"/>
          <w:sz w:val="22"/>
        </w:rPr>
        <w:t>体</w:t>
      </w:r>
      <w:r>
        <w:rPr>
          <w:rFonts w:cs="Arial" w:asciiTheme="minorEastAsia" w:hAnsiTheme="minorEastAsia"/>
          <w:kern w:val="0"/>
          <w:sz w:val="22"/>
        </w:rPr>
        <w:t>投标</w:t>
      </w:r>
      <w:r>
        <w:rPr>
          <w:rFonts w:hint="eastAsia" w:cs="Arial" w:asciiTheme="minorEastAsia" w:hAnsiTheme="minorEastAsia"/>
          <w:kern w:val="0"/>
          <w:sz w:val="22"/>
        </w:rPr>
        <w:t>。</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三、招标文件获取</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rPr>
        <w:t>http://www.hzairport.com/zbxx.aspx</w:t>
      </w:r>
      <w:r>
        <w:rPr>
          <w:rFonts w:cs="Arial" w:asciiTheme="minorEastAsia" w:hAnsiTheme="minorEastAsia"/>
          <w:kern w:val="0"/>
          <w:sz w:val="22"/>
        </w:rPr>
        <w:fldChar w:fldCharType="end"/>
      </w:r>
      <w:r>
        <w:rPr>
          <w:rFonts w:hint="eastAsia" w:cs="Arial" w:asciiTheme="minorEastAsia" w:hAnsiTheme="minorEastAsia"/>
          <w:kern w:val="0"/>
          <w:sz w:val="22"/>
        </w:rPr>
        <w:t>自行下载招标文件。</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招标文件下载</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四、投标文件的递交</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（1）</w:t>
      </w:r>
      <w:r>
        <w:rPr>
          <w:rFonts w:hint="eastAsia" w:ascii="宋体" w:hAnsi="宋体" w:cs="Arial"/>
          <w:kern w:val="0"/>
          <w:sz w:val="22"/>
        </w:rPr>
        <w:t>投标文件递交截止时间：2019年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30</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时00分（北京时间）。投标文件在封口处加盖公章，并派专人于2</w:t>
      </w:r>
      <w:r>
        <w:rPr>
          <w:rFonts w:hint="eastAsia" w:ascii="宋体" w:hAnsi="宋体" w:cs="Arial"/>
          <w:kern w:val="0"/>
          <w:sz w:val="22"/>
        </w:rPr>
        <w:t>019年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30</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w:t>
      </w:r>
      <w:r>
        <w:rPr>
          <w:rFonts w:hint="eastAsia" w:ascii="宋体" w:hAnsi="宋体" w:cs="Arial"/>
          <w:kern w:val="0"/>
          <w:sz w:val="22"/>
        </w:rPr>
        <w:t>前送至杭州萧山国际机场翔越路综合服务楼园区招标中心，逾期无效；若采用投递方式的，请于</w:t>
      </w:r>
      <w:r>
        <w:rPr>
          <w:rFonts w:hint="eastAsia" w:ascii="宋体" w:hAnsi="宋体" w:cs="Arial"/>
          <w:kern w:val="0"/>
          <w:sz w:val="22"/>
        </w:rPr>
        <w:t>2019年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30</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w:t>
      </w:r>
      <w:r>
        <w:rPr>
          <w:rFonts w:hint="eastAsia" w:ascii="宋体" w:hAnsi="宋体" w:cs="Arial"/>
          <w:kern w:val="0"/>
          <w:sz w:val="22"/>
        </w:rPr>
        <w:t>前投递至杭州萧山国际机场综合楼213室，逾期无效。</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（2）</w:t>
      </w:r>
      <w:r>
        <w:rPr>
          <w:rFonts w:hint="eastAsia" w:asciiTheme="minorEastAsia" w:hAnsiTheme="minorEastAsia"/>
          <w:sz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五、发布公告的媒介</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本次招标公告在</w:t>
      </w:r>
      <w:r>
        <w:rPr>
          <w:rFonts w:hint="eastAsia" w:cs="Arial" w:asciiTheme="minorEastAsia" w:hAnsiTheme="minorEastAsia"/>
          <w:b/>
          <w:kern w:val="0"/>
          <w:sz w:val="22"/>
        </w:rPr>
        <w:t>中国采购与招标网和杭州萧山机场有限公司</w:t>
      </w:r>
      <w:r>
        <w:rPr>
          <w:rFonts w:hint="eastAsia" w:cs="Arial" w:asciiTheme="minorEastAsia" w:hAnsiTheme="minorEastAsia"/>
          <w:kern w:val="0"/>
          <w:sz w:val="22"/>
        </w:rPr>
        <w:t>主页上发布</w:t>
      </w:r>
    </w:p>
    <w:p>
      <w:pPr>
        <w:widowControl/>
        <w:adjustRightInd w:val="0"/>
        <w:snapToGrid w:val="0"/>
        <w:spacing w:line="340" w:lineRule="exact"/>
        <w:ind w:firstLine="440" w:firstLineChars="200"/>
        <w:rPr>
          <w:rFonts w:cs="Arial" w:asciiTheme="minorEastAsia" w:hAnsiTheme="minorEastAsia"/>
          <w:kern w:val="0"/>
          <w:sz w:val="22"/>
        </w:rPr>
      </w:pPr>
      <w:r>
        <w:rPr>
          <w:rFonts w:hint="eastAsia" w:asciiTheme="minorEastAsia" w:hAnsiTheme="minorEastAsia"/>
          <w:sz w:val="22"/>
        </w:rPr>
        <w:t>中国采购与招标网</w:t>
      </w:r>
      <w:r>
        <w:rPr>
          <w:rFonts w:asciiTheme="minorEastAsia" w:hAnsiTheme="minorEastAsia"/>
          <w:sz w:val="22"/>
        </w:rPr>
        <w:t xml:space="preserve">  </w:t>
      </w:r>
      <w:r>
        <w:fldChar w:fldCharType="begin"/>
      </w:r>
      <w:r>
        <w:instrText xml:space="preserve"> HYPERLINK "http://www.chinabidding.com.cn" </w:instrText>
      </w:r>
      <w:r>
        <w:fldChar w:fldCharType="separate"/>
      </w:r>
      <w:r>
        <w:rPr>
          <w:rFonts w:asciiTheme="minorEastAsia" w:hAnsiTheme="minorEastAsia"/>
          <w:sz w:val="22"/>
        </w:rPr>
        <w:t>http://www.chinabidding.com.cn</w:t>
      </w:r>
      <w:r>
        <w:rPr>
          <w:rFonts w:asciiTheme="minorEastAsia" w:hAnsiTheme="minorEastAsia"/>
          <w:sz w:val="22"/>
        </w:rPr>
        <w:fldChar w:fldCharType="end"/>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杭州萧山机场有限公司主页http://www.hzairport.com</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六、联系方式</w:t>
      </w:r>
    </w:p>
    <w:p>
      <w:pPr>
        <w:widowControl/>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投标联系人：贾思勰        联系电话： 0571-</w:t>
      </w:r>
      <w:r>
        <w:rPr>
          <w:rFonts w:asciiTheme="minorEastAsia" w:hAnsiTheme="minorEastAsia"/>
          <w:sz w:val="22"/>
        </w:rPr>
        <w:t>83837612</w:t>
      </w:r>
    </w:p>
    <w:p>
      <w:pPr>
        <w:widowControl/>
        <w:adjustRightInd w:val="0"/>
        <w:snapToGrid w:val="0"/>
        <w:spacing w:line="340" w:lineRule="exact"/>
        <w:ind w:firstLine="440" w:firstLineChars="200"/>
        <w:rPr>
          <w:rFonts w:asciiTheme="minorEastAsia" w:hAnsiTheme="minorEastAsia"/>
          <w:bCs/>
          <w:sz w:val="22"/>
        </w:rPr>
      </w:pPr>
      <w:r>
        <w:rPr>
          <w:rFonts w:hint="eastAsia" w:asciiTheme="minorEastAsia" w:hAnsiTheme="minorEastAsia"/>
          <w:bCs/>
          <w:sz w:val="22"/>
        </w:rPr>
        <w:t>招标监督人：阮周长         联系电话：0</w:t>
      </w:r>
      <w:r>
        <w:rPr>
          <w:rFonts w:asciiTheme="minorEastAsia" w:hAnsiTheme="minorEastAsia"/>
          <w:bCs/>
          <w:sz w:val="22"/>
        </w:rPr>
        <w:t>571-86662133</w:t>
      </w:r>
    </w:p>
    <w:p>
      <w:pPr>
        <w:pStyle w:val="51"/>
      </w:pPr>
      <w:r>
        <w:rPr>
          <w:rFonts w:hint="eastAsia" w:asciiTheme="minorEastAsia" w:hAnsiTheme="minorEastAsia"/>
          <w:bCs w:val="0"/>
          <w:sz w:val="22"/>
          <w:szCs w:val="22"/>
        </w:rPr>
        <w:t xml:space="preserve">  </w:t>
      </w:r>
      <w:r>
        <w:rPr>
          <w:rFonts w:asciiTheme="minorEastAsia" w:hAnsiTheme="minorEastAsia"/>
          <w:bCs w:val="0"/>
          <w:sz w:val="22"/>
          <w:szCs w:val="22"/>
        </w:rPr>
        <w:br w:type="page"/>
      </w:r>
      <w:bookmarkStart w:id="1" w:name="_Toc321925452"/>
      <w:r>
        <w:t>第</w:t>
      </w:r>
      <w:r>
        <w:rPr>
          <w:rFonts w:hint="eastAsia"/>
        </w:rPr>
        <w:t>二</w:t>
      </w:r>
      <w:r>
        <w:t>章  投标</w:t>
      </w:r>
      <w:r>
        <w:rPr>
          <w:rFonts w:hint="eastAsia"/>
        </w:rPr>
        <w:t>人须知</w:t>
      </w:r>
      <w:bookmarkEnd w:id="1"/>
    </w:p>
    <w:p>
      <w:pPr>
        <w:pStyle w:val="34"/>
        <w:spacing w:line="240" w:lineRule="auto"/>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Arial"/>
                <w:kern w:val="0"/>
                <w:sz w:val="22"/>
              </w:rPr>
              <w:t>杭州萧山国际机场</w:t>
            </w:r>
            <w:r>
              <w:rPr>
                <w:rFonts w:hint="eastAsia" w:ascii="宋体" w:hAnsi="宋体" w:cs="Arial"/>
                <w:kern w:val="0"/>
                <w:sz w:val="22"/>
              </w:rPr>
              <w:t>急救设备及物品</w:t>
            </w:r>
            <w:r>
              <w:rPr>
                <w:rFonts w:ascii="宋体" w:hAnsi="宋体" w:cs="Arial"/>
                <w:kern w:val="0"/>
                <w:sz w:val="22"/>
              </w:rPr>
              <w:t>采购项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83"/>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 xml:space="preserve"> 30 </w:t>
            </w:r>
            <w:r>
              <w:rPr>
                <w:rFonts w:hint="eastAsia"/>
                <w:sz w:val="22"/>
              </w:rPr>
              <w:t>日历天</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符合国家现行标准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□组织，踏勘时间：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201</w:t>
            </w:r>
            <w:r>
              <w:rPr>
                <w:rFonts w:hint="eastAsia" w:cs="Calibri" w:asciiTheme="minorEastAsia" w:hAnsiTheme="minorEastAsia"/>
                <w:kern w:val="0"/>
                <w:sz w:val="22"/>
              </w:rPr>
              <w:t>9</w:t>
            </w:r>
            <w:r>
              <w:rPr>
                <w:rFonts w:cs="Calibri" w:asciiTheme="minorEastAsia" w:hAnsiTheme="minorEastAsia"/>
                <w:kern w:val="0"/>
                <w:sz w:val="22"/>
              </w:rPr>
              <w:t>年</w:t>
            </w:r>
            <w:r>
              <w:rPr>
                <w:rFonts w:hint="eastAsia" w:cs="Calibri" w:asciiTheme="minorEastAsia" w:hAnsiTheme="minorEastAsia"/>
                <w:kern w:val="0"/>
                <w:sz w:val="22"/>
                <w:lang w:val="en-US" w:eastAsia="zh-CN"/>
              </w:rPr>
              <w:t>7</w:t>
            </w:r>
            <w:r>
              <w:rPr>
                <w:rFonts w:cs="Calibri" w:asciiTheme="minorEastAsia" w:hAnsiTheme="minorEastAsia"/>
                <w:kern w:val="0"/>
                <w:sz w:val="22"/>
              </w:rPr>
              <w:t>月</w:t>
            </w:r>
            <w:r>
              <w:rPr>
                <w:rFonts w:hint="eastAsia" w:cs="Calibri" w:asciiTheme="minorEastAsia" w:hAnsiTheme="minorEastAsia"/>
                <w:kern w:val="0"/>
                <w:sz w:val="22"/>
                <w:lang w:val="en-US" w:eastAsia="zh-CN"/>
              </w:rPr>
              <w:t>22</w:t>
            </w:r>
            <w:r>
              <w:rPr>
                <w:rFonts w:cs="Calibri" w:asciiTheme="minorEastAsia" w:hAnsiTheme="minorEastAsia"/>
                <w:kern w:val="0"/>
                <w:sz w:val="22"/>
              </w:rPr>
              <w:t>日11：30前，</w:t>
            </w:r>
            <w:r>
              <w:rPr>
                <w:rFonts w:hint="eastAsia" w:cs="Calibri" w:asciiTheme="minorEastAsia" w:hAnsiTheme="minorEastAsia"/>
                <w:kern w:val="0"/>
                <w:sz w:val="22"/>
              </w:rPr>
              <w:t>以书面加盖公章的形式通过E-mail或传真提交给招标人（投标联系人:贾思勰，电话0571-</w:t>
            </w:r>
            <w:r>
              <w:rPr>
                <w:rFonts w:cs="Calibri" w:asciiTheme="minorEastAsia" w:hAnsiTheme="minorEastAsia"/>
                <w:kern w:val="0"/>
                <w:sz w:val="22"/>
              </w:rPr>
              <w:t>83837612</w:t>
            </w:r>
            <w:r>
              <w:rPr>
                <w:rFonts w:hint="eastAsia" w:cs="Calibri" w:asciiTheme="minorEastAsia" w:hAnsiTheme="minorEastAsia"/>
                <w:kern w:val="0"/>
                <w:sz w:val="22"/>
              </w:rPr>
              <w:t>；传真：0571-</w:t>
            </w:r>
            <w:r>
              <w:rPr>
                <w:rFonts w:cs="Calibri" w:asciiTheme="minorEastAsia" w:hAnsiTheme="minorEastAsia"/>
                <w:kern w:val="0"/>
                <w:sz w:val="22"/>
              </w:rPr>
              <w:t>83837612</w:t>
            </w:r>
            <w:r>
              <w:rPr>
                <w:rFonts w:hint="eastAsia" w:cs="Calibri" w:asciiTheme="minorEastAsia" w:hAnsiTheme="minorEastAsia"/>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Calibri" w:asciiTheme="minorEastAsia" w:hAnsiTheme="minorEastAsia"/>
                <w:b/>
                <w:kern w:val="0"/>
                <w:sz w:val="22"/>
              </w:rPr>
              <w:t>2019年</w:t>
            </w:r>
            <w:r>
              <w:rPr>
                <w:rFonts w:hint="eastAsia" w:cs="Calibri" w:asciiTheme="minorEastAsia" w:hAnsiTheme="minorEastAsia"/>
                <w:b/>
                <w:kern w:val="0"/>
                <w:sz w:val="22"/>
                <w:lang w:val="en-US" w:eastAsia="zh-CN"/>
              </w:rPr>
              <w:t>7</w:t>
            </w:r>
            <w:r>
              <w:rPr>
                <w:rFonts w:hint="eastAsia" w:cs="Calibri" w:asciiTheme="minorEastAsia" w:hAnsiTheme="minorEastAsia"/>
                <w:b/>
                <w:kern w:val="0"/>
                <w:sz w:val="22"/>
              </w:rPr>
              <w:t>月</w:t>
            </w:r>
            <w:r>
              <w:rPr>
                <w:rFonts w:hint="eastAsia" w:cs="Calibri" w:asciiTheme="minorEastAsia" w:hAnsiTheme="minorEastAsia"/>
                <w:b/>
                <w:kern w:val="0"/>
                <w:sz w:val="22"/>
                <w:lang w:val="en-US" w:eastAsia="zh-CN"/>
              </w:rPr>
              <w:t>30</w:t>
            </w:r>
            <w:r>
              <w:rPr>
                <w:rFonts w:hint="eastAsia" w:cs="Calibri" w:asciiTheme="minorEastAsia" w:hAnsiTheme="minorEastAsia"/>
                <w:b/>
                <w:kern w:val="0"/>
                <w:sz w:val="22"/>
              </w:rPr>
              <w:t>日</w:t>
            </w:r>
            <w:r>
              <w:rPr>
                <w:rFonts w:hint="eastAsia" w:cs="Calibri" w:asciiTheme="minorEastAsia" w:hAnsiTheme="minorEastAsia"/>
                <w:b/>
                <w:kern w:val="0"/>
                <w:sz w:val="22"/>
                <w:lang w:eastAsia="zh-CN"/>
              </w:rPr>
              <w:t>下午</w:t>
            </w:r>
            <w:r>
              <w:rPr>
                <w:rFonts w:hint="eastAsia" w:cs="Calibri" w:asciiTheme="minorEastAsia" w:hAnsiTheme="minorEastAsia"/>
                <w:b/>
                <w:kern w:val="0"/>
                <w:sz w:val="22"/>
                <w:lang w:val="en-US" w:eastAsia="zh-CN"/>
              </w:rPr>
              <w:t>14</w:t>
            </w:r>
            <w:r>
              <w:rPr>
                <w:rFonts w:hint="eastAsia" w:cs="Calibri" w:asciiTheme="minorEastAsia" w:hAnsiTheme="minorEastAsia"/>
                <w:b/>
                <w:kern w:val="0"/>
                <w:sz w:val="22"/>
              </w:rPr>
              <w:t>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投标保证金</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w:t>
            </w:r>
            <w:r>
              <w:rPr>
                <w:rFonts w:hint="eastAsia" w:ascii="宋体" w:hAnsi="宋体" w:cs="Calibri"/>
                <w:kern w:val="0"/>
                <w:sz w:val="22"/>
              </w:rPr>
              <w:t>5</w:t>
            </w:r>
            <w:r>
              <w:rPr>
                <w:rFonts w:ascii="宋体" w:hAnsi="宋体" w:cs="Calibri"/>
                <w:kern w:val="0"/>
                <w:sz w:val="22"/>
              </w:rPr>
              <w:t>.3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w:t>
            </w:r>
            <w:r>
              <w:rPr>
                <w:rFonts w:hint="eastAsia" w:ascii="宋体" w:hAnsi="宋体" w:cs="Calibri"/>
                <w:kern w:val="0"/>
                <w:sz w:val="22"/>
              </w:rPr>
              <w:t>5</w:t>
            </w:r>
            <w:r>
              <w:rPr>
                <w:rFonts w:ascii="宋体" w:hAnsi="宋体" w:cs="Calibri"/>
                <w:kern w:val="0"/>
                <w:sz w:val="22"/>
              </w:rPr>
              <w:t>.4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w:t>
            </w:r>
            <w:r>
              <w:rPr>
                <w:rFonts w:hint="eastAsia" w:ascii="宋体" w:hAnsi="宋体" w:cs="Calibri"/>
                <w:kern w:val="0"/>
                <w:sz w:val="22"/>
              </w:rPr>
              <w:t>5</w:t>
            </w:r>
            <w:r>
              <w:rPr>
                <w:rFonts w:ascii="宋体" w:hAnsi="宋体" w:cs="Calibri"/>
                <w:kern w:val="0"/>
                <w:sz w:val="22"/>
              </w:rPr>
              <w:t>.5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cs="Calibri" w:asciiTheme="minorEastAsia" w:hAnsiTheme="minorEastAsia"/>
                <w:kern w:val="0"/>
                <w:sz w:val="22"/>
                <w:u w:val="single"/>
              </w:rPr>
              <w:t>杭州萧山国际机场急救设备及物品采购</w:t>
            </w:r>
            <w:r>
              <w:rPr>
                <w:rFonts w:cs="Calibri" w:asciiTheme="minorEastAsia" w:hAnsiTheme="minorEastAsia"/>
                <w:kern w:val="0"/>
                <w:sz w:val="22"/>
                <w:u w:val="single"/>
              </w:rPr>
              <w:t>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rPr>
              <w:t>2019年</w:t>
            </w:r>
            <w:r>
              <w:rPr>
                <w:rFonts w:hint="eastAsia" w:cs="Calibri" w:asciiTheme="minorEastAsia" w:hAnsiTheme="minorEastAsia"/>
                <w:kern w:val="0"/>
                <w:sz w:val="22"/>
                <w:u w:val="single"/>
                <w:lang w:val="en-US" w:eastAsia="zh-CN"/>
              </w:rPr>
              <w:t>7</w:t>
            </w:r>
            <w:r>
              <w:rPr>
                <w:rFonts w:hint="eastAsia" w:cs="Calibri" w:asciiTheme="minorEastAsia" w:hAnsiTheme="minorEastAsia"/>
                <w:kern w:val="0"/>
                <w:sz w:val="22"/>
                <w:u w:val="single"/>
              </w:rPr>
              <w:t>月</w:t>
            </w:r>
            <w:r>
              <w:rPr>
                <w:rFonts w:hint="eastAsia" w:cs="Calibri" w:asciiTheme="minorEastAsia" w:hAnsiTheme="minorEastAsia"/>
                <w:kern w:val="0"/>
                <w:sz w:val="22"/>
                <w:u w:val="single"/>
                <w:lang w:val="en-US" w:eastAsia="zh-CN"/>
              </w:rPr>
              <w:t>30</w:t>
            </w:r>
            <w:r>
              <w:rPr>
                <w:rFonts w:hint="eastAsia" w:cs="Calibri" w:asciiTheme="minorEastAsia" w:hAnsiTheme="minorEastAsia"/>
                <w:kern w:val="0"/>
                <w:sz w:val="22"/>
                <w:u w:val="single"/>
              </w:rPr>
              <w:t>日</w:t>
            </w:r>
            <w:r>
              <w:rPr>
                <w:rFonts w:hint="eastAsia" w:cs="Calibri" w:asciiTheme="minorEastAsia" w:hAnsiTheme="minorEastAsia"/>
                <w:kern w:val="0"/>
                <w:sz w:val="22"/>
                <w:u w:val="single"/>
                <w:lang w:eastAsia="zh-CN"/>
              </w:rPr>
              <w:t>下午</w:t>
            </w:r>
            <w:r>
              <w:rPr>
                <w:rFonts w:hint="eastAsia" w:cs="Calibri" w:asciiTheme="minorEastAsia" w:hAnsiTheme="minorEastAsia"/>
                <w:kern w:val="0"/>
                <w:sz w:val="22"/>
                <w:u w:val="single"/>
                <w:lang w:val="en-US" w:eastAsia="zh-CN"/>
              </w:rPr>
              <w:t>14</w:t>
            </w:r>
            <w:r>
              <w:rPr>
                <w:rFonts w:hint="eastAsia" w:cs="Calibri" w:asciiTheme="minorEastAsia" w:hAnsiTheme="minorEastAsia"/>
                <w:kern w:val="0"/>
                <w:sz w:val="22"/>
                <w:u w:val="single"/>
              </w:rPr>
              <w:t>时00分</w:t>
            </w:r>
            <w:bookmarkStart w:id="90" w:name="_GoBack"/>
            <w:bookmarkEnd w:id="90"/>
            <w:r>
              <w:rPr>
                <w:rFonts w:cs="Calibri" w:asciiTheme="minorEastAsia" w:hAnsi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2"/>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1.1.2项目</w:t>
      </w:r>
      <w:r>
        <w:rPr>
          <w:rFonts w:hint="eastAsia" w:cs="Calibri" w:asciiTheme="minorEastAsia" w:hAnsiTheme="minorEastAsia"/>
          <w:color w:val="000000"/>
          <w:kern w:val="0"/>
          <w:sz w:val="22"/>
        </w:rPr>
        <w:t>交货</w:t>
      </w:r>
      <w:r>
        <w:rPr>
          <w:rFonts w:cs="Calibri" w:asciiTheme="minorEastAsia" w:hAnsiTheme="minorEastAsia"/>
          <w:color w:val="000000"/>
          <w:kern w:val="0"/>
          <w:sz w:val="22"/>
        </w:rPr>
        <w:t>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3"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4"/>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5"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6"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w:t>
      </w:r>
      <w:r>
        <w:rPr>
          <w:rFonts w:hint="eastAsia" w:cs="Calibri" w:asciiTheme="minorEastAsia" w:hAnsiTheme="minorEastAsia"/>
          <w:b/>
          <w:bCs/>
          <w:kern w:val="0"/>
          <w:sz w:val="22"/>
        </w:rPr>
        <w:t>供货</w:t>
      </w:r>
      <w:r>
        <w:rPr>
          <w:rFonts w:cs="Calibri" w:asciiTheme="minorEastAsia" w:hAnsiTheme="minorEastAsia"/>
          <w:b/>
          <w:bCs/>
          <w:kern w:val="0"/>
          <w:sz w:val="22"/>
        </w:rPr>
        <w:t>期</w:t>
      </w:r>
      <w:bookmarkEnd w:id="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color w:val="000000"/>
          <w:sz w:val="22"/>
        </w:rPr>
      </w:pPr>
      <w:bookmarkStart w:id="9"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0"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1"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本项目</w:t>
      </w:r>
      <w:r>
        <w:rPr>
          <w:rFonts w:hint="eastAsia" w:cs="Calibri" w:asciiTheme="minorEastAsia" w:hAnsiTheme="minorEastAsia"/>
          <w:color w:val="000000"/>
          <w:sz w:val="22"/>
        </w:rPr>
        <w:t>涉及到其它专业的部分分项工作</w:t>
      </w:r>
      <w:r>
        <w:rPr>
          <w:rFonts w:cs="Calibri" w:asciiTheme="minorEastAsia" w:hAnsiTheme="minorEastAsia"/>
          <w:color w:val="000000"/>
          <w:sz w:val="22"/>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12"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3" w:name="_Toc143421657"/>
      <w:bookmarkStart w:id="14" w:name="_Toc15241"/>
      <w:r>
        <w:rPr>
          <w:rFonts w:cs="Calibri" w:asciiTheme="minorEastAsia" w:hAnsiTheme="minorEastAsia"/>
          <w:b/>
          <w:bCs/>
          <w:kern w:val="0"/>
          <w:sz w:val="22"/>
        </w:rPr>
        <w:t>2.招标文件</w:t>
      </w:r>
      <w:bookmarkEnd w:id="13"/>
      <w:bookmarkEnd w:id="14"/>
    </w:p>
    <w:p>
      <w:pPr>
        <w:autoSpaceDE w:val="0"/>
        <w:autoSpaceDN w:val="0"/>
        <w:adjustRightInd w:val="0"/>
        <w:snapToGrid w:val="0"/>
        <w:spacing w:line="360" w:lineRule="exact"/>
        <w:rPr>
          <w:rFonts w:cs="Calibri" w:asciiTheme="minorEastAsia" w:hAnsiTheme="minorEastAsia"/>
          <w:b/>
          <w:bCs/>
          <w:kern w:val="0"/>
          <w:sz w:val="22"/>
        </w:rPr>
      </w:pPr>
      <w:bookmarkStart w:id="15" w:name="_Toc1426"/>
      <w:r>
        <w:rPr>
          <w:rFonts w:cs="Calibri" w:asciiTheme="minorEastAsia" w:hAnsiTheme="minorEastAsia"/>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6" w:name="_Toc18230"/>
      <w:r>
        <w:rPr>
          <w:rFonts w:cs="Calibri" w:asciiTheme="minorEastAsia" w:hAnsiTheme="minorEastAsia"/>
          <w:b/>
          <w:bCs/>
          <w:kern w:val="0"/>
          <w:sz w:val="22"/>
        </w:rPr>
        <w:t>2.2 招标文件的澄清</w:t>
      </w:r>
      <w:bookmarkEnd w:id="1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ascii="Calibri" w:hAnsi="Calibri" w:cs="Calibri"/>
          <w:color w:val="000000"/>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17" w:name="_Toc18303"/>
      <w:r>
        <w:rPr>
          <w:rFonts w:cs="Calibri" w:asciiTheme="minorEastAsia" w:hAnsiTheme="minorEastAsia"/>
          <w:b/>
          <w:bCs/>
          <w:kern w:val="0"/>
          <w:sz w:val="22"/>
        </w:rPr>
        <w:t>2.3 招标文件的修改</w:t>
      </w:r>
      <w:bookmarkEnd w:id="1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8870"/>
      <w:bookmarkStart w:id="19" w:name="_Toc143421658"/>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w:t>
      </w:r>
      <w:r>
        <w:rPr>
          <w:rFonts w:cs="Calibri" w:asciiTheme="minorEastAsia" w:hAnsiTheme="minorEastAsia"/>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cs="Calibri" w:asciiTheme="minorEastAsia" w:hAnsiTheme="minorEastAsia"/>
          <w:color w:val="000000"/>
          <w:sz w:val="22"/>
        </w:rPr>
        <w:t>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ascii="宋体" w:hAnsi="宋体" w:cs="Arial"/>
          <w:kern w:val="0"/>
          <w:sz w:val="22"/>
        </w:rPr>
        <w:t>（3）</w:t>
      </w:r>
      <w:r>
        <w:rPr>
          <w:rFonts w:ascii="宋体" w:hAnsi="宋体" w:cs="Calibri"/>
          <w:color w:val="000000"/>
          <w:sz w:val="22"/>
        </w:rPr>
        <w:t>设备制造商的授权书</w:t>
      </w:r>
      <w:r>
        <w:rPr>
          <w:rFonts w:hint="eastAsia" w:ascii="宋体" w:hAnsi="宋体" w:cs="Calibri"/>
          <w:color w:val="000000"/>
          <w:sz w:val="22"/>
        </w:rPr>
        <w:t>（代理商投标时提供）</w:t>
      </w:r>
    </w:p>
    <w:p>
      <w:pPr>
        <w:adjustRightInd w:val="0"/>
        <w:snapToGrid w:val="0"/>
        <w:spacing w:line="360" w:lineRule="exact"/>
        <w:ind w:firstLine="44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3.5.2招标人与中标人签订合同书后5日内，应当向未中标的投标人和中标人退还投标保证金。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219809801"/>
      <w:bookmarkStart w:id="44" w:name="_Toc220123241"/>
      <w:bookmarkStart w:id="45" w:name="_Toc11806"/>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rPr>
      </w:pPr>
      <w:r>
        <w:rPr>
          <w:rFonts w:hint="eastAsia" w:cs="Calibri" w:asciiTheme="minorEastAsia" w:hAnsiTheme="minorEastAsia"/>
          <w:color w:val="000000"/>
          <w:kern w:val="0"/>
          <w:sz w:val="22"/>
        </w:rPr>
        <w:t xml:space="preserve">7.4.3 </w:t>
      </w:r>
      <w:r>
        <w:rPr>
          <w:rFonts w:hint="eastAsia" w:cs="Calibri" w:asciiTheme="minorEastAsia" w:hAnsiTheme="minorEastAsia"/>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color w:val="000000"/>
          <w:kern w:val="0"/>
          <w:sz w:val="22"/>
        </w:rPr>
        <w:t xml:space="preserve">7.4.4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15553"/>
      <w:bookmarkStart w:id="47" w:name="_Toc220123242"/>
      <w:bookmarkStart w:id="48" w:name="_Toc219809802"/>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219809803"/>
      <w:bookmarkStart w:id="50" w:name="_Toc220123243"/>
      <w:bookmarkStart w:id="51" w:name="_Toc18806"/>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15941254"/>
      <w:bookmarkStart w:id="53" w:name="_Toc219809804"/>
      <w:bookmarkStart w:id="54" w:name="_Toc220123244"/>
      <w:bookmarkStart w:id="55" w:name="_Toc2986"/>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219809805"/>
      <w:bookmarkStart w:id="57" w:name="_Toc220123245"/>
      <w:bookmarkStart w:id="58" w:name="_Toc5509"/>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219809806"/>
      <w:bookmarkStart w:id="60" w:name="_Toc220123246"/>
      <w:bookmarkStart w:id="61" w:name="_Toc10820"/>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sz w:val="22"/>
        </w:rPr>
      </w:pPr>
      <w:r>
        <w:rPr>
          <w:rFonts w:hint="eastAsia" w:cs="Calibri" w:asciiTheme="minorEastAsia" w:hAnsiTheme="minor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219809807"/>
      <w:bookmarkStart w:id="63" w:name="_Toc220123247"/>
      <w:bookmarkStart w:id="64" w:name="_Toc10756"/>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rPr>
        <w:t>五</w:t>
      </w:r>
      <w:r>
        <w:rPr>
          <w:rFonts w:cs="Calibri" w:asciiTheme="minorEastAsia" w:hAnsiTheme="minorEastAsia"/>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220123248"/>
      <w:bookmarkStart w:id="66" w:name="_Toc219809808"/>
      <w:bookmarkStart w:id="67" w:name="_Toc12792"/>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19809809"/>
      <w:bookmarkStart w:id="69" w:name="_Toc220123249"/>
      <w:bookmarkStart w:id="70" w:name="_Toc23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cs="Calibri" w:asciiTheme="minorEastAsia" w:hAnsiTheme="minorEastAsia"/>
          <w:color w:val="000000"/>
          <w:sz w:val="22"/>
        </w:rPr>
      </w:pPr>
      <w:r>
        <w:rPr>
          <w:rFonts w:cs="Calibri" w:asciiTheme="minorEastAsia" w:hAnsiTheme="minorEastAsia"/>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r>
        <w:t>第</w:t>
      </w:r>
      <w:r>
        <w:rPr>
          <w:rFonts w:hint="eastAsia"/>
        </w:rPr>
        <w:t>三</w:t>
      </w:r>
      <w:r>
        <w:t>章  货物需求一览表及技术规格</w:t>
      </w:r>
    </w:p>
    <w:p>
      <w:pPr>
        <w:snapToGrid w:val="0"/>
        <w:spacing w:line="400" w:lineRule="exact"/>
        <w:rPr>
          <w:rFonts w:ascii="宋体" w:hAnsi="宋体"/>
          <w:b/>
          <w:sz w:val="22"/>
        </w:rPr>
      </w:pPr>
      <w:r>
        <w:rPr>
          <w:rFonts w:ascii="宋体" w:hAnsi="宋体"/>
          <w:b/>
          <w:sz w:val="22"/>
        </w:rPr>
        <w:t>1、概述</w:t>
      </w:r>
    </w:p>
    <w:p>
      <w:pPr>
        <w:snapToGrid w:val="0"/>
        <w:spacing w:line="400" w:lineRule="exact"/>
        <w:rPr>
          <w:rFonts w:ascii="宋体" w:hAnsi="宋体"/>
          <w:sz w:val="22"/>
        </w:rPr>
      </w:pPr>
      <w:r>
        <w:rPr>
          <w:rFonts w:ascii="宋体" w:hAnsi="宋体"/>
          <w:sz w:val="22"/>
        </w:rPr>
        <w:t>1.1 本技术规格书是招标文件的组成部分。内容包括杭州萧山国际机场有限公司所需</w:t>
      </w:r>
      <w:r>
        <w:rPr>
          <w:rFonts w:hint="eastAsia" w:ascii="宋体" w:hAnsi="宋体"/>
          <w:sz w:val="22"/>
        </w:rPr>
        <w:t>急救设备及物品</w:t>
      </w:r>
      <w:r>
        <w:rPr>
          <w:rFonts w:ascii="宋体" w:hAnsi="宋体"/>
          <w:sz w:val="22"/>
        </w:rPr>
        <w:t>基本规格、条款、资料及有关文件。</w:t>
      </w:r>
    </w:p>
    <w:p>
      <w:pPr>
        <w:snapToGrid w:val="0"/>
        <w:spacing w:line="400" w:lineRule="exact"/>
        <w:rPr>
          <w:rFonts w:ascii="宋体" w:hAnsi="宋体"/>
          <w:b/>
          <w:sz w:val="22"/>
        </w:rPr>
      </w:pPr>
      <w:r>
        <w:rPr>
          <w:rFonts w:hint="eastAsia" w:ascii="宋体" w:hAnsi="宋体" w:eastAsia="宋体" w:cs="宋体"/>
          <w:b/>
          <w:sz w:val="22"/>
        </w:rPr>
        <w:t>*</w:t>
      </w:r>
      <w:r>
        <w:rPr>
          <w:rFonts w:ascii="宋体" w:hAnsi="宋体"/>
          <w:b/>
          <w:sz w:val="22"/>
        </w:rPr>
        <w:t>1.2 投标人应提供成熟的、已被广泛使用的合格产品，投标的</w:t>
      </w:r>
      <w:r>
        <w:rPr>
          <w:rFonts w:hint="eastAsia" w:ascii="宋体" w:hAnsi="宋体"/>
          <w:b/>
          <w:sz w:val="22"/>
        </w:rPr>
        <w:t>产品</w:t>
      </w:r>
      <w:r>
        <w:rPr>
          <w:rFonts w:ascii="宋体" w:hAnsi="宋体"/>
          <w:b/>
          <w:sz w:val="22"/>
        </w:rPr>
        <w:t>及必须是全新并未经使用过的。</w:t>
      </w:r>
    </w:p>
    <w:p>
      <w:pPr>
        <w:snapToGrid w:val="0"/>
        <w:spacing w:line="400" w:lineRule="exact"/>
        <w:rPr>
          <w:rFonts w:ascii="宋体" w:hAnsi="宋体"/>
          <w:sz w:val="22"/>
        </w:rPr>
      </w:pPr>
      <w:r>
        <w:rPr>
          <w:rFonts w:ascii="宋体" w:hAnsi="宋体"/>
          <w:sz w:val="22"/>
        </w:rPr>
        <w:t>1.</w:t>
      </w:r>
      <w:r>
        <w:rPr>
          <w:rFonts w:hint="eastAsia" w:ascii="宋体" w:hAnsi="宋体"/>
          <w:sz w:val="22"/>
        </w:rPr>
        <w:t>3</w:t>
      </w:r>
      <w:r>
        <w:rPr>
          <w:rFonts w:ascii="宋体" w:hAnsi="宋体"/>
          <w:sz w:val="22"/>
        </w:rPr>
        <w:t xml:space="preserve"> 投标人应在投标书中列表标明</w:t>
      </w:r>
      <w:r>
        <w:rPr>
          <w:rFonts w:hint="eastAsia" w:ascii="宋体" w:hAnsi="宋体"/>
          <w:sz w:val="22"/>
        </w:rPr>
        <w:t>产品的规格参数</w:t>
      </w:r>
      <w:r>
        <w:rPr>
          <w:rFonts w:ascii="宋体" w:hAnsi="宋体"/>
          <w:sz w:val="22"/>
        </w:rPr>
        <w:t>，任何偏差必须列入偏差表。中标后卖方在合同谈判中的任何偏差不得超越此偏差表中已被业主确认的条款。</w:t>
      </w:r>
    </w:p>
    <w:p>
      <w:pPr>
        <w:pStyle w:val="16"/>
        <w:snapToGrid w:val="0"/>
        <w:spacing w:after="0" w:line="400" w:lineRule="exact"/>
        <w:rPr>
          <w:rFonts w:ascii="宋体" w:hAnsi="宋体"/>
          <w:sz w:val="22"/>
        </w:rPr>
      </w:pPr>
      <w:r>
        <w:rPr>
          <w:rFonts w:ascii="宋体" w:hAnsi="宋体"/>
          <w:sz w:val="22"/>
        </w:rPr>
        <w:t>1.</w:t>
      </w:r>
      <w:r>
        <w:rPr>
          <w:rFonts w:hint="eastAsia" w:ascii="宋体" w:hAnsi="宋体"/>
          <w:sz w:val="22"/>
        </w:rPr>
        <w:t>4</w:t>
      </w:r>
      <w:r>
        <w:rPr>
          <w:rFonts w:ascii="宋体" w:hAnsi="宋体"/>
          <w:sz w:val="22"/>
        </w:rPr>
        <w:t xml:space="preserve"> 投标人必须对投标内容和提供的产品所涉及的一切专利承担责任，并负责保护业主的利益不受任何损害。一切由于文字、商标、软件和技术专利等方面的侵权而引起的法律裁决、诉讼和费用均由投标人负责。</w:t>
      </w:r>
    </w:p>
    <w:p>
      <w:pPr>
        <w:snapToGrid w:val="0"/>
        <w:spacing w:line="400" w:lineRule="exact"/>
        <w:rPr>
          <w:rFonts w:ascii="宋体" w:hAnsi="宋体"/>
          <w:b/>
          <w:sz w:val="22"/>
        </w:rPr>
      </w:pPr>
      <w:r>
        <w:rPr>
          <w:rFonts w:hint="eastAsia" w:ascii="宋体" w:hAnsi="宋体"/>
          <w:b/>
          <w:sz w:val="22"/>
        </w:rPr>
        <w:t>2、产品</w:t>
      </w:r>
      <w:r>
        <w:rPr>
          <w:rFonts w:ascii="宋体" w:hAnsi="宋体"/>
          <w:b/>
          <w:sz w:val="22"/>
        </w:rPr>
        <w:t>需求一览表</w:t>
      </w:r>
    </w:p>
    <w:tbl>
      <w:tblPr>
        <w:tblStyle w:val="58"/>
        <w:tblW w:w="10065" w:type="dxa"/>
        <w:jc w:val="center"/>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5"/>
        <w:gridCol w:w="850"/>
        <w:gridCol w:w="5572"/>
        <w:gridCol w:w="851"/>
        <w:gridCol w:w="807"/>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72" w:hRule="atLeast"/>
          <w:jc w:val="center"/>
        </w:trPr>
        <w:tc>
          <w:tcPr>
            <w:tcW w:w="1985" w:type="dxa"/>
            <w:vAlign w:val="center"/>
          </w:tcPr>
          <w:p>
            <w:pPr>
              <w:rPr>
                <w:rFonts w:cs="Calibri" w:asciiTheme="minorEastAsia" w:hAnsiTheme="minorEastAsia"/>
                <w:color w:val="000000"/>
                <w:sz w:val="22"/>
              </w:rPr>
            </w:pPr>
            <w:r>
              <w:rPr>
                <w:rFonts w:hint="eastAsia" w:cs="Calibri" w:asciiTheme="minorEastAsia" w:hAnsiTheme="minorEastAsia"/>
                <w:color w:val="000000"/>
                <w:sz w:val="22"/>
              </w:rPr>
              <w:t>名称</w:t>
            </w:r>
          </w:p>
        </w:tc>
        <w:tc>
          <w:tcPr>
            <w:tcW w:w="850" w:type="dxa"/>
            <w:vAlign w:val="center"/>
          </w:tcPr>
          <w:p>
            <w:pPr>
              <w:rPr>
                <w:rFonts w:cs="Calibri" w:asciiTheme="minorEastAsia" w:hAnsiTheme="minorEastAsia"/>
                <w:color w:val="000000"/>
                <w:sz w:val="22"/>
              </w:rPr>
            </w:pPr>
            <w:r>
              <w:rPr>
                <w:rFonts w:cs="Calibri" w:asciiTheme="minorEastAsia" w:hAnsiTheme="minorEastAsia"/>
                <w:color w:val="000000"/>
                <w:sz w:val="22"/>
              </w:rPr>
              <w:t>数 量</w:t>
            </w:r>
          </w:p>
        </w:tc>
        <w:tc>
          <w:tcPr>
            <w:tcW w:w="5572" w:type="dxa"/>
            <w:vAlign w:val="center"/>
          </w:tcPr>
          <w:p>
            <w:pPr>
              <w:jc w:val="center"/>
              <w:rPr>
                <w:rFonts w:cs="Calibri" w:asciiTheme="minorEastAsia" w:hAnsiTheme="minorEastAsia"/>
                <w:color w:val="000000"/>
                <w:sz w:val="22"/>
              </w:rPr>
            </w:pPr>
            <w:r>
              <w:rPr>
                <w:rFonts w:cs="Calibri" w:asciiTheme="minorEastAsia" w:hAnsiTheme="minorEastAsia"/>
                <w:color w:val="000000"/>
                <w:sz w:val="22"/>
              </w:rPr>
              <w:t>主要技术规格</w:t>
            </w:r>
          </w:p>
        </w:tc>
        <w:tc>
          <w:tcPr>
            <w:tcW w:w="851" w:type="dxa"/>
            <w:vAlign w:val="center"/>
          </w:tcPr>
          <w:p>
            <w:pPr>
              <w:snapToGrid w:val="0"/>
              <w:rPr>
                <w:rFonts w:ascii="宋体" w:hAnsi="宋体"/>
                <w:caps/>
                <w:sz w:val="22"/>
              </w:rPr>
            </w:pPr>
            <w:r>
              <w:rPr>
                <w:rFonts w:ascii="宋体" w:hAnsi="宋体"/>
                <w:caps/>
                <w:sz w:val="22"/>
              </w:rPr>
              <w:t>交货期</w:t>
            </w:r>
          </w:p>
        </w:tc>
        <w:tc>
          <w:tcPr>
            <w:tcW w:w="807" w:type="dxa"/>
            <w:vAlign w:val="center"/>
          </w:tcPr>
          <w:p>
            <w:pPr>
              <w:snapToGrid w:val="0"/>
              <w:rPr>
                <w:rFonts w:ascii="宋体" w:hAnsi="宋体"/>
                <w:caps/>
                <w:sz w:val="22"/>
              </w:rPr>
            </w:pPr>
            <w:r>
              <w:rPr>
                <w:rFonts w:ascii="宋体" w:hAnsi="宋体"/>
                <w:caps/>
                <w:sz w:val="22"/>
              </w:rPr>
              <w:t>交货地点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72" w:hRule="atLeast"/>
          <w:jc w:val="center"/>
        </w:trPr>
        <w:tc>
          <w:tcPr>
            <w:tcW w:w="1985" w:type="dxa"/>
            <w:vAlign w:val="center"/>
          </w:tcPr>
          <w:p>
            <w:pPr>
              <w:rPr>
                <w:rFonts w:cs="Calibri" w:asciiTheme="minorEastAsia" w:hAnsiTheme="minorEastAsia"/>
                <w:color w:val="000000"/>
                <w:sz w:val="22"/>
              </w:rPr>
            </w:pPr>
            <w:r>
              <w:rPr>
                <w:rFonts w:hint="eastAsia" w:cs="Calibri" w:asciiTheme="minorEastAsia" w:hAnsiTheme="minorEastAsia"/>
                <w:color w:val="000000"/>
                <w:sz w:val="22"/>
              </w:rPr>
              <w:t>心电图机</w:t>
            </w:r>
          </w:p>
        </w:tc>
        <w:tc>
          <w:tcPr>
            <w:tcW w:w="850" w:type="dxa"/>
            <w:vAlign w:val="center"/>
          </w:tcPr>
          <w:p>
            <w:pPr>
              <w:snapToGrid w:val="0"/>
              <w:rPr>
                <w:rFonts w:cs="Calibri" w:asciiTheme="minorEastAsia" w:hAnsiTheme="minorEastAsia"/>
                <w:color w:val="000000"/>
                <w:sz w:val="22"/>
              </w:rPr>
            </w:pPr>
            <w:r>
              <w:rPr>
                <w:rFonts w:hint="eastAsia" w:cs="Calibri" w:asciiTheme="minorEastAsia" w:hAnsiTheme="minorEastAsia"/>
                <w:color w:val="000000"/>
                <w:sz w:val="22"/>
              </w:rPr>
              <w:t>3台</w:t>
            </w:r>
          </w:p>
        </w:tc>
        <w:tc>
          <w:tcPr>
            <w:tcW w:w="5572" w:type="dxa"/>
            <w:vAlign w:val="center"/>
          </w:tcPr>
          <w:p>
            <w:pPr>
              <w:snapToGrid w:val="0"/>
              <w:rPr>
                <w:rFonts w:cs="Calibri" w:asciiTheme="minorEastAsia" w:hAnsiTheme="minorEastAsia"/>
                <w:color w:val="000000"/>
                <w:sz w:val="22"/>
              </w:rPr>
            </w:pPr>
            <w:r>
              <w:rPr>
                <w:rFonts w:hint="eastAsia" w:cs="Calibri" w:asciiTheme="minorEastAsia" w:hAnsiTheme="minorEastAsia"/>
                <w:color w:val="000000"/>
                <w:sz w:val="22"/>
              </w:rPr>
              <w:t>1、心电输入：12导联同步采集</w:t>
            </w:r>
          </w:p>
          <w:p>
            <w:pPr>
              <w:snapToGrid w:val="0"/>
              <w:rPr>
                <w:rFonts w:cs="Calibri" w:asciiTheme="minorEastAsia" w:hAnsiTheme="minorEastAsia"/>
                <w:color w:val="000000"/>
                <w:sz w:val="22"/>
              </w:rPr>
            </w:pPr>
            <w:r>
              <w:rPr>
                <w:rFonts w:hint="eastAsia" w:cs="Calibri" w:asciiTheme="minorEastAsia" w:hAnsiTheme="minorEastAsia"/>
                <w:color w:val="000000"/>
                <w:sz w:val="22"/>
              </w:rPr>
              <w:t>2、采样率：≥8000Hz</w:t>
            </w:r>
          </w:p>
          <w:p>
            <w:pPr>
              <w:snapToGrid w:val="0"/>
              <w:rPr>
                <w:rFonts w:cs="Calibri" w:asciiTheme="minorEastAsia" w:hAnsiTheme="minorEastAsia"/>
                <w:color w:val="000000"/>
                <w:sz w:val="22"/>
              </w:rPr>
            </w:pPr>
            <w:r>
              <w:rPr>
                <w:rFonts w:hint="eastAsia" w:cs="Calibri" w:asciiTheme="minorEastAsia" w:hAnsiTheme="minorEastAsia"/>
                <w:color w:val="000000"/>
                <w:sz w:val="22"/>
              </w:rPr>
              <w:t>3、共模抑制比：≥105dB</w:t>
            </w:r>
          </w:p>
          <w:p>
            <w:pPr>
              <w:snapToGrid w:val="0"/>
              <w:rPr>
                <w:rFonts w:cs="Calibri" w:asciiTheme="minorEastAsia" w:hAnsiTheme="minorEastAsia"/>
                <w:color w:val="000000"/>
                <w:sz w:val="22"/>
              </w:rPr>
            </w:pPr>
            <w:r>
              <w:rPr>
                <w:rFonts w:hint="eastAsia" w:cs="Calibri" w:asciiTheme="minorEastAsia" w:hAnsiTheme="minorEastAsia"/>
                <w:color w:val="000000"/>
                <w:sz w:val="22"/>
              </w:rPr>
              <w:t>4、频率响应：0.05Hz-150Hz（+0.4/-3dB）</w:t>
            </w:r>
          </w:p>
          <w:p>
            <w:pPr>
              <w:snapToGrid w:val="0"/>
              <w:rPr>
                <w:rFonts w:cs="Calibri" w:asciiTheme="minorEastAsia" w:hAnsiTheme="minorEastAsia"/>
                <w:color w:val="000000"/>
                <w:sz w:val="22"/>
              </w:rPr>
            </w:pPr>
            <w:r>
              <w:rPr>
                <w:rFonts w:hint="eastAsia" w:cs="Calibri" w:asciiTheme="minorEastAsia" w:hAnsiTheme="minorEastAsia"/>
                <w:color w:val="000000"/>
                <w:sz w:val="22"/>
              </w:rPr>
              <w:t>5、滤波器：低通滤波、肌电滤波、交流滤波、基线抑制滤波</w:t>
            </w:r>
          </w:p>
          <w:p>
            <w:pPr>
              <w:snapToGrid w:val="0"/>
              <w:rPr>
                <w:rFonts w:cs="Calibri" w:asciiTheme="minorEastAsia" w:hAnsiTheme="minorEastAsia"/>
                <w:color w:val="000000"/>
                <w:sz w:val="22"/>
              </w:rPr>
            </w:pPr>
            <w:r>
              <w:rPr>
                <w:rFonts w:hint="eastAsia" w:cs="Calibri" w:asciiTheme="minorEastAsia" w:hAnsiTheme="minorEastAsia"/>
                <w:color w:val="000000"/>
                <w:sz w:val="22"/>
              </w:rPr>
              <w:t>（1）低通滤波：75Hz、100Hz、150Hz，三档</w:t>
            </w:r>
          </w:p>
          <w:p>
            <w:pPr>
              <w:snapToGrid w:val="0"/>
              <w:rPr>
                <w:rFonts w:cs="Calibri" w:asciiTheme="minorEastAsia" w:hAnsiTheme="minorEastAsia"/>
                <w:color w:val="000000"/>
                <w:sz w:val="22"/>
              </w:rPr>
            </w:pPr>
            <w:r>
              <w:rPr>
                <w:rFonts w:hint="eastAsia" w:cs="Calibri" w:asciiTheme="minorEastAsia" w:hAnsiTheme="minorEastAsia"/>
                <w:color w:val="000000"/>
                <w:sz w:val="22"/>
              </w:rPr>
              <w:t>（2）肌电滤波：25Hz、30Hz，二档</w:t>
            </w:r>
          </w:p>
          <w:p>
            <w:pPr>
              <w:snapToGrid w:val="0"/>
              <w:rPr>
                <w:rFonts w:cs="Calibri" w:asciiTheme="minorEastAsia" w:hAnsiTheme="minorEastAsia"/>
                <w:color w:val="000000"/>
                <w:sz w:val="22"/>
              </w:rPr>
            </w:pPr>
            <w:r>
              <w:rPr>
                <w:rFonts w:hint="eastAsia" w:cs="Calibri" w:asciiTheme="minorEastAsia" w:hAnsiTheme="minorEastAsia"/>
                <w:color w:val="000000"/>
                <w:sz w:val="22"/>
              </w:rPr>
              <w:t>（3）交流滤波：50Hz、60Hz，二档</w:t>
            </w:r>
          </w:p>
          <w:p>
            <w:pPr>
              <w:snapToGrid w:val="0"/>
              <w:rPr>
                <w:rFonts w:cs="Calibri" w:asciiTheme="minorEastAsia" w:hAnsiTheme="minorEastAsia"/>
                <w:color w:val="000000"/>
                <w:sz w:val="22"/>
              </w:rPr>
            </w:pPr>
            <w:r>
              <w:rPr>
                <w:rFonts w:hint="eastAsia" w:cs="Calibri" w:asciiTheme="minorEastAsia" w:hAnsiTheme="minorEastAsia"/>
                <w:color w:val="000000"/>
                <w:sz w:val="22"/>
              </w:rPr>
              <w:t>（4）基线抑制：-20dB、-34dB，二档</w:t>
            </w:r>
          </w:p>
          <w:p>
            <w:pPr>
              <w:snapToGrid w:val="0"/>
              <w:rPr>
                <w:rFonts w:cs="Calibri" w:asciiTheme="minorEastAsia" w:hAnsiTheme="minorEastAsia"/>
                <w:color w:val="000000"/>
                <w:sz w:val="22"/>
              </w:rPr>
            </w:pPr>
            <w:r>
              <w:rPr>
                <w:rFonts w:hint="eastAsia" w:cs="Calibri" w:asciiTheme="minorEastAsia" w:hAnsiTheme="minorEastAsia"/>
                <w:color w:val="000000"/>
                <w:sz w:val="22"/>
              </w:rPr>
              <w:t>6、显示方式：≥7英寸彩色液晶屏</w:t>
            </w:r>
          </w:p>
          <w:p>
            <w:pPr>
              <w:snapToGrid w:val="0"/>
              <w:rPr>
                <w:rFonts w:cs="Calibri" w:asciiTheme="minorEastAsia" w:hAnsiTheme="minorEastAsia"/>
                <w:color w:val="000000"/>
                <w:sz w:val="22"/>
              </w:rPr>
            </w:pPr>
            <w:r>
              <w:rPr>
                <w:rFonts w:hint="eastAsia" w:cs="Calibri" w:asciiTheme="minorEastAsia" w:hAnsiTheme="minorEastAsia"/>
                <w:color w:val="000000"/>
                <w:sz w:val="22"/>
              </w:rPr>
              <w:t>7、记录器：内置高精度热阵列打印，并支持6通道及以上打印</w:t>
            </w:r>
          </w:p>
          <w:p>
            <w:pPr>
              <w:snapToGrid w:val="0"/>
              <w:rPr>
                <w:rFonts w:cs="Calibri" w:asciiTheme="minorEastAsia" w:hAnsiTheme="minorEastAsia"/>
                <w:color w:val="000000"/>
                <w:sz w:val="22"/>
              </w:rPr>
            </w:pPr>
            <w:r>
              <w:rPr>
                <w:rFonts w:hint="eastAsia" w:cs="Calibri" w:asciiTheme="minorEastAsia" w:hAnsiTheme="minorEastAsia"/>
                <w:color w:val="000000"/>
                <w:sz w:val="22"/>
              </w:rPr>
              <w:t>8、操作模式：可自动或手动。自动操作时支持实时或回顾记录，具备自动检测并延长记录心律失常波形，且支持全自动开始记录，记录波形10-24秒可调</w:t>
            </w:r>
          </w:p>
          <w:p>
            <w:pPr>
              <w:snapToGrid w:val="0"/>
              <w:rPr>
                <w:rFonts w:cs="Calibri" w:asciiTheme="minorEastAsia" w:hAnsiTheme="minorEastAsia"/>
                <w:color w:val="000000"/>
                <w:sz w:val="22"/>
              </w:rPr>
            </w:pPr>
            <w:r>
              <w:rPr>
                <w:rFonts w:hint="eastAsia" w:cs="Calibri" w:asciiTheme="minorEastAsia" w:hAnsiTheme="minorEastAsia"/>
                <w:color w:val="000000"/>
                <w:sz w:val="22"/>
              </w:rPr>
              <w:t>9、自动测量参数：包括心率、PR间期、QT/QTc、P/QRS/T电轴、RV5/SV1电压等值</w:t>
            </w:r>
          </w:p>
          <w:p>
            <w:pPr>
              <w:snapToGrid w:val="0"/>
              <w:rPr>
                <w:rFonts w:cs="Calibri" w:asciiTheme="minorEastAsia" w:hAnsiTheme="minorEastAsia"/>
                <w:color w:val="000000"/>
                <w:sz w:val="22"/>
              </w:rPr>
            </w:pPr>
            <w:r>
              <w:rPr>
                <w:rFonts w:hint="eastAsia" w:cs="Calibri" w:asciiTheme="minorEastAsia" w:hAnsiTheme="minorEastAsia"/>
                <w:color w:val="000000"/>
                <w:sz w:val="22"/>
              </w:rPr>
              <w:t>10、自动结果分析：5大类240种以上分析结论支持，分析结果支持中文或英文切换</w:t>
            </w:r>
          </w:p>
          <w:p>
            <w:pPr>
              <w:snapToGrid w:val="0"/>
              <w:rPr>
                <w:rFonts w:cs="Calibri" w:asciiTheme="minorEastAsia" w:hAnsiTheme="minorEastAsia"/>
                <w:color w:val="000000"/>
                <w:sz w:val="22"/>
              </w:rPr>
            </w:pPr>
            <w:r>
              <w:rPr>
                <w:rFonts w:hint="eastAsia" w:cs="Calibri" w:asciiTheme="minorEastAsia" w:hAnsiTheme="minorEastAsia"/>
                <w:color w:val="000000"/>
                <w:sz w:val="22"/>
              </w:rPr>
              <w:t>11、内部存储：≥400份心电图，并支持储存卡扩展</w:t>
            </w:r>
          </w:p>
          <w:p>
            <w:pPr>
              <w:snapToGrid w:val="0"/>
              <w:rPr>
                <w:rFonts w:cs="Calibri" w:asciiTheme="minorEastAsia" w:hAnsiTheme="minorEastAsia"/>
                <w:color w:val="000000"/>
                <w:sz w:val="22"/>
              </w:rPr>
            </w:pPr>
            <w:r>
              <w:rPr>
                <w:rFonts w:hint="eastAsia" w:cs="Calibri" w:asciiTheme="minorEastAsia" w:hAnsiTheme="minorEastAsia"/>
                <w:color w:val="000000"/>
                <w:sz w:val="22"/>
              </w:rPr>
              <w:t>12、网络连接：支持有线、无线网络连接</w:t>
            </w:r>
          </w:p>
          <w:p>
            <w:pPr>
              <w:snapToGrid w:val="0"/>
              <w:rPr>
                <w:rFonts w:cs="Calibri" w:asciiTheme="minorEastAsia" w:hAnsiTheme="minorEastAsia"/>
                <w:color w:val="000000"/>
                <w:sz w:val="22"/>
              </w:rPr>
            </w:pPr>
            <w:r>
              <w:rPr>
                <w:rFonts w:hint="eastAsia" w:cs="Calibri" w:asciiTheme="minorEastAsia" w:hAnsiTheme="minorEastAsia"/>
                <w:color w:val="000000"/>
                <w:sz w:val="22"/>
              </w:rPr>
              <w:t>13、自诊断功能：具有设备自诊断及故障提示功能</w:t>
            </w:r>
          </w:p>
        </w:tc>
        <w:tc>
          <w:tcPr>
            <w:tcW w:w="851" w:type="dxa"/>
            <w:vMerge w:val="restart"/>
            <w:vAlign w:val="center"/>
          </w:tcPr>
          <w:p>
            <w:pPr>
              <w:snapToGrid w:val="0"/>
              <w:rPr>
                <w:rFonts w:ascii="宋体" w:hAnsi="宋体"/>
                <w:caps/>
                <w:sz w:val="22"/>
              </w:rPr>
            </w:pPr>
            <w:r>
              <w:rPr>
                <w:rFonts w:ascii="宋体" w:hAnsi="宋体"/>
                <w:sz w:val="22"/>
              </w:rPr>
              <w:t>合同</w:t>
            </w:r>
            <w:r>
              <w:rPr>
                <w:rFonts w:hint="eastAsia" w:ascii="宋体" w:hAnsi="宋体"/>
                <w:sz w:val="22"/>
              </w:rPr>
              <w:t>签订</w:t>
            </w:r>
            <w:r>
              <w:rPr>
                <w:rFonts w:ascii="宋体" w:hAnsi="宋体"/>
                <w:sz w:val="22"/>
              </w:rPr>
              <w:t>起</w:t>
            </w:r>
            <w:r>
              <w:rPr>
                <w:rFonts w:hint="eastAsia" w:ascii="宋体" w:hAnsi="宋体"/>
                <w:sz w:val="22"/>
              </w:rPr>
              <w:t>30日历天内</w:t>
            </w:r>
          </w:p>
        </w:tc>
        <w:tc>
          <w:tcPr>
            <w:tcW w:w="807" w:type="dxa"/>
            <w:vMerge w:val="restart"/>
            <w:vAlign w:val="center"/>
          </w:tcPr>
          <w:p>
            <w:pPr>
              <w:snapToGrid w:val="0"/>
              <w:rPr>
                <w:rFonts w:ascii="宋体" w:hAnsi="宋体"/>
                <w:caps/>
                <w:sz w:val="22"/>
              </w:rPr>
            </w:pPr>
            <w:r>
              <w:rPr>
                <w:rFonts w:ascii="宋体" w:hAnsi="宋体"/>
                <w:sz w:val="22"/>
              </w:rPr>
              <w:t>杭州萧山国际机场</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72" w:hRule="atLeast"/>
          <w:jc w:val="center"/>
        </w:trPr>
        <w:tc>
          <w:tcPr>
            <w:tcW w:w="1985" w:type="dxa"/>
            <w:vAlign w:val="center"/>
          </w:tcPr>
          <w:p>
            <w:pPr>
              <w:rPr>
                <w:rFonts w:cs="Calibri" w:asciiTheme="minorEastAsia" w:hAnsiTheme="minorEastAsia"/>
                <w:color w:val="000000"/>
                <w:sz w:val="22"/>
              </w:rPr>
            </w:pPr>
            <w:r>
              <w:rPr>
                <w:rFonts w:hint="eastAsia" w:cs="Calibri" w:asciiTheme="minorEastAsia" w:hAnsiTheme="minorEastAsia"/>
                <w:color w:val="000000"/>
                <w:sz w:val="22"/>
              </w:rPr>
              <w:t>呼吸机</w:t>
            </w:r>
          </w:p>
        </w:tc>
        <w:tc>
          <w:tcPr>
            <w:tcW w:w="850" w:type="dxa"/>
            <w:vAlign w:val="center"/>
          </w:tcPr>
          <w:p>
            <w:pPr>
              <w:snapToGrid w:val="0"/>
              <w:rPr>
                <w:rFonts w:cs="Calibri" w:asciiTheme="minorEastAsia" w:hAnsiTheme="minorEastAsia"/>
                <w:color w:val="000000"/>
                <w:sz w:val="22"/>
              </w:rPr>
            </w:pPr>
            <w:r>
              <w:rPr>
                <w:rFonts w:hint="eastAsia" w:cs="Calibri" w:asciiTheme="minorEastAsia" w:hAnsiTheme="minorEastAsia"/>
                <w:color w:val="000000"/>
                <w:sz w:val="22"/>
              </w:rPr>
              <w:t>3台</w:t>
            </w:r>
          </w:p>
        </w:tc>
        <w:tc>
          <w:tcPr>
            <w:tcW w:w="5572" w:type="dxa"/>
            <w:vAlign w:val="center"/>
          </w:tcPr>
          <w:p>
            <w:pPr>
              <w:rPr>
                <w:rFonts w:asciiTheme="minorEastAsia" w:hAnsiTheme="minorEastAsia"/>
                <w:sz w:val="22"/>
              </w:rPr>
            </w:pPr>
            <w:r>
              <w:rPr>
                <w:rFonts w:hint="eastAsia" w:asciiTheme="minorEastAsia" w:hAnsiTheme="minorEastAsia"/>
                <w:sz w:val="22"/>
              </w:rPr>
              <w:t>1、通气模式：CPAP、S、T、S/T、PC、PC-SIMV等</w:t>
            </w:r>
          </w:p>
          <w:p>
            <w:pPr>
              <w:rPr>
                <w:rFonts w:asciiTheme="minorEastAsia" w:hAnsiTheme="minorEastAsia"/>
                <w:sz w:val="22"/>
              </w:rPr>
            </w:pPr>
            <w:r>
              <w:rPr>
                <w:rFonts w:hint="eastAsia" w:asciiTheme="minorEastAsia" w:hAnsiTheme="minorEastAsia"/>
                <w:sz w:val="22"/>
              </w:rPr>
              <w:t>2、容量模式：AC、CV、SIMV等</w:t>
            </w:r>
          </w:p>
          <w:p>
            <w:pPr>
              <w:rPr>
                <w:rFonts w:asciiTheme="minorEastAsia" w:hAnsiTheme="minorEastAsia"/>
                <w:sz w:val="22"/>
              </w:rPr>
            </w:pPr>
            <w:r>
              <w:rPr>
                <w:rFonts w:hint="eastAsia" w:asciiTheme="minorEastAsia" w:hAnsiTheme="minorEastAsia"/>
                <w:sz w:val="22"/>
              </w:rPr>
              <w:t>3、通气类型：有创、无创</w:t>
            </w:r>
          </w:p>
          <w:p>
            <w:pPr>
              <w:rPr>
                <w:rFonts w:asciiTheme="minorEastAsia" w:hAnsiTheme="minorEastAsia"/>
                <w:sz w:val="22"/>
              </w:rPr>
            </w:pPr>
            <w:r>
              <w:rPr>
                <w:rFonts w:hint="eastAsia" w:asciiTheme="minorEastAsia" w:hAnsiTheme="minorEastAsia"/>
                <w:sz w:val="22"/>
              </w:rPr>
              <w:t>4、压力支持范围：0-35厘米水柱</w:t>
            </w:r>
          </w:p>
          <w:p>
            <w:pPr>
              <w:rPr>
                <w:rFonts w:asciiTheme="minorEastAsia" w:hAnsiTheme="minorEastAsia"/>
                <w:sz w:val="22"/>
              </w:rPr>
            </w:pPr>
            <w:r>
              <w:rPr>
                <w:rFonts w:hint="eastAsia" w:asciiTheme="minorEastAsia" w:hAnsiTheme="minorEastAsia"/>
                <w:sz w:val="22"/>
              </w:rPr>
              <w:t>5、潮气量：50-2000毫升</w:t>
            </w:r>
          </w:p>
          <w:p>
            <w:pPr>
              <w:rPr>
                <w:rFonts w:asciiTheme="minorEastAsia" w:hAnsiTheme="minorEastAsia"/>
                <w:sz w:val="22"/>
              </w:rPr>
            </w:pPr>
            <w:r>
              <w:rPr>
                <w:rFonts w:hint="eastAsia" w:asciiTheme="minorEastAsia" w:hAnsiTheme="minorEastAsia"/>
                <w:sz w:val="22"/>
              </w:rPr>
              <w:t>6、呼吸频率：≤60次/分钟</w:t>
            </w:r>
          </w:p>
          <w:p>
            <w:pPr>
              <w:rPr>
                <w:rFonts w:asciiTheme="minorEastAsia" w:hAnsiTheme="minorEastAsia"/>
                <w:sz w:val="22"/>
              </w:rPr>
            </w:pPr>
            <w:r>
              <w:rPr>
                <w:rFonts w:hint="eastAsia" w:asciiTheme="minorEastAsia" w:hAnsiTheme="minorEastAsia"/>
                <w:sz w:val="22"/>
              </w:rPr>
              <w:t>7、吸气时间：0.3-5.0秒</w:t>
            </w:r>
          </w:p>
          <w:p>
            <w:pPr>
              <w:rPr>
                <w:rFonts w:asciiTheme="minorEastAsia" w:hAnsiTheme="minorEastAsia"/>
                <w:sz w:val="22"/>
              </w:rPr>
            </w:pPr>
            <w:r>
              <w:rPr>
                <w:rFonts w:hint="eastAsia" w:asciiTheme="minorEastAsia" w:hAnsiTheme="minorEastAsia"/>
                <w:sz w:val="22"/>
              </w:rPr>
              <w:t>8、压力上升时间：1（100毫秒）-6（600毫秒）</w:t>
            </w:r>
          </w:p>
          <w:p>
            <w:pPr>
              <w:rPr>
                <w:rFonts w:asciiTheme="minorEastAsia" w:hAnsiTheme="minorEastAsia"/>
                <w:sz w:val="22"/>
              </w:rPr>
            </w:pPr>
            <w:r>
              <w:rPr>
                <w:rFonts w:hint="eastAsia" w:asciiTheme="minorEastAsia" w:hAnsiTheme="minorEastAsia"/>
                <w:sz w:val="22"/>
              </w:rPr>
              <w:t>9、显示方式：≥5.5英寸彩色液晶屏</w:t>
            </w:r>
          </w:p>
          <w:p>
            <w:pPr>
              <w:rPr>
                <w:rFonts w:asciiTheme="minorEastAsia" w:hAnsiTheme="minorEastAsia"/>
                <w:sz w:val="22"/>
              </w:rPr>
            </w:pPr>
            <w:r>
              <w:rPr>
                <w:rFonts w:hint="eastAsia" w:asciiTheme="minorEastAsia" w:hAnsiTheme="minorEastAsia"/>
                <w:sz w:val="22"/>
              </w:rPr>
              <w:t>10、报警功能：病人断开连接、窒息、潮气量偏低或偏高、每分钟通气量偏低或偏高、呼吸频率偏低或偏高、吸气压力偏低或偏高（容量模式下）等</w:t>
            </w:r>
          </w:p>
          <w:p>
            <w:pPr>
              <w:rPr>
                <w:rFonts w:asciiTheme="minorEastAsia" w:hAnsiTheme="minorEastAsia"/>
                <w:sz w:val="22"/>
              </w:rPr>
            </w:pPr>
            <w:r>
              <w:rPr>
                <w:rFonts w:hint="eastAsia" w:asciiTheme="minorEastAsia" w:hAnsiTheme="minorEastAsia"/>
                <w:sz w:val="22"/>
              </w:rPr>
              <w:t>11、监测数据：呼出潮气量、每分呼出通气量、漏气量、呼吸频率、吸气峰值流量、吸气峰值压力、呼吸比、平均气道压力等</w:t>
            </w:r>
          </w:p>
          <w:p>
            <w:pPr>
              <w:rPr>
                <w:rFonts w:asciiTheme="minorEastAsia" w:hAnsiTheme="minorEastAsia"/>
                <w:sz w:val="22"/>
              </w:rPr>
            </w:pPr>
            <w:r>
              <w:rPr>
                <w:rFonts w:hint="eastAsia" w:asciiTheme="minorEastAsia" w:hAnsiTheme="minorEastAsia"/>
                <w:sz w:val="22"/>
              </w:rPr>
              <w:t>12、具备全自动灵敏度触发，无需人工调节</w:t>
            </w:r>
          </w:p>
          <w:p>
            <w:pPr>
              <w:rPr>
                <w:rFonts w:asciiTheme="minorEastAsia" w:hAnsiTheme="minorEastAsia"/>
                <w:sz w:val="22"/>
              </w:rPr>
            </w:pPr>
            <w:r>
              <w:rPr>
                <w:rFonts w:hint="eastAsia" w:asciiTheme="minorEastAsia" w:hAnsiTheme="minorEastAsia"/>
                <w:sz w:val="22"/>
              </w:rPr>
              <w:t>13、漏气补偿：全自动漏气补偿功能，漏气补偿量60升/分钟</w:t>
            </w:r>
          </w:p>
          <w:p>
            <w:pPr>
              <w:rPr>
                <w:rFonts w:asciiTheme="minorEastAsia" w:hAnsiTheme="minorEastAsia"/>
                <w:sz w:val="22"/>
              </w:rPr>
            </w:pPr>
            <w:r>
              <w:rPr>
                <w:rFonts w:hint="eastAsia" w:asciiTheme="minorEastAsia" w:hAnsiTheme="minorEastAsia"/>
                <w:sz w:val="22"/>
              </w:rPr>
              <w:t>14、适用人群：体重＞5千克的儿童或成人</w:t>
            </w:r>
          </w:p>
          <w:p>
            <w:pPr>
              <w:rPr>
                <w:rFonts w:asciiTheme="minorEastAsia" w:hAnsiTheme="minorEastAsia"/>
                <w:sz w:val="22"/>
              </w:rPr>
            </w:pPr>
            <w:r>
              <w:rPr>
                <w:rFonts w:hint="eastAsia" w:asciiTheme="minorEastAsia" w:hAnsiTheme="minorEastAsia"/>
                <w:sz w:val="22"/>
              </w:rPr>
              <w:t>15、电池续航：≥6小时</w:t>
            </w:r>
          </w:p>
          <w:p>
            <w:pPr>
              <w:rPr>
                <w:rFonts w:cs="Calibri" w:asciiTheme="minorEastAsia" w:hAnsiTheme="minorEastAsia"/>
                <w:color w:val="000000"/>
                <w:sz w:val="22"/>
              </w:rPr>
            </w:pPr>
            <w:r>
              <w:rPr>
                <w:rFonts w:hint="eastAsia" w:asciiTheme="minorEastAsia" w:hAnsiTheme="minorEastAsia"/>
                <w:sz w:val="22"/>
              </w:rPr>
              <w:t>16、经FDA认证的可用于生命支持的呼吸机（24小时连续不断开机使用）</w:t>
            </w:r>
          </w:p>
        </w:tc>
        <w:tc>
          <w:tcPr>
            <w:tcW w:w="851" w:type="dxa"/>
            <w:vMerge w:val="continue"/>
            <w:vAlign w:val="center"/>
          </w:tcPr>
          <w:p>
            <w:pPr>
              <w:snapToGrid w:val="0"/>
              <w:rPr>
                <w:rFonts w:ascii="宋体" w:hAnsi="宋体"/>
                <w:caps/>
                <w:sz w:val="22"/>
              </w:rPr>
            </w:pPr>
          </w:p>
        </w:tc>
        <w:tc>
          <w:tcPr>
            <w:tcW w:w="807" w:type="dxa"/>
            <w:vMerge w:val="continue"/>
            <w:vAlign w:val="center"/>
          </w:tcPr>
          <w:p>
            <w:pPr>
              <w:snapToGrid w:val="0"/>
              <w:rPr>
                <w:rFonts w:ascii="宋体" w:hAnsi="宋体"/>
                <w:caps/>
                <w:sz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72" w:hRule="atLeast"/>
          <w:jc w:val="center"/>
        </w:trPr>
        <w:tc>
          <w:tcPr>
            <w:tcW w:w="1985" w:type="dxa"/>
            <w:vAlign w:val="center"/>
          </w:tcPr>
          <w:p>
            <w:pPr>
              <w:rPr>
                <w:rFonts w:cs="Calibri" w:asciiTheme="minorEastAsia" w:hAnsiTheme="minorEastAsia"/>
                <w:color w:val="000000"/>
                <w:sz w:val="22"/>
              </w:rPr>
            </w:pPr>
            <w:r>
              <w:rPr>
                <w:rFonts w:hint="eastAsia" w:cs="Calibri" w:asciiTheme="minorEastAsia" w:hAnsiTheme="minorEastAsia"/>
                <w:color w:val="000000"/>
                <w:sz w:val="22"/>
              </w:rPr>
              <w:t>体外除颤器（AED)</w:t>
            </w:r>
          </w:p>
        </w:tc>
        <w:tc>
          <w:tcPr>
            <w:tcW w:w="850" w:type="dxa"/>
            <w:vAlign w:val="center"/>
          </w:tcPr>
          <w:p>
            <w:pPr>
              <w:snapToGrid w:val="0"/>
              <w:rPr>
                <w:rFonts w:cs="Calibri" w:asciiTheme="minorEastAsia" w:hAnsiTheme="minorEastAsia"/>
                <w:color w:val="000000"/>
                <w:sz w:val="22"/>
              </w:rPr>
            </w:pPr>
            <w:r>
              <w:rPr>
                <w:rFonts w:hint="eastAsia" w:cs="Calibri" w:asciiTheme="minorEastAsia" w:hAnsiTheme="minorEastAsia"/>
                <w:color w:val="000000"/>
                <w:sz w:val="22"/>
              </w:rPr>
              <w:t>10台</w:t>
            </w:r>
          </w:p>
        </w:tc>
        <w:tc>
          <w:tcPr>
            <w:tcW w:w="5572" w:type="dxa"/>
            <w:vAlign w:val="center"/>
          </w:tcPr>
          <w:p>
            <w:pPr>
              <w:rPr>
                <w:rFonts w:asciiTheme="minorEastAsia" w:hAnsiTheme="minorEastAsia"/>
                <w:sz w:val="22"/>
              </w:rPr>
            </w:pPr>
            <w:r>
              <w:rPr>
                <w:rFonts w:hint="eastAsia" w:asciiTheme="minorEastAsia" w:hAnsiTheme="minorEastAsia"/>
                <w:sz w:val="22"/>
              </w:rPr>
              <w:t>1、环境要求：操作温度（0℃-50℃）、储存温度（-30℃-65℃）、储存湿度（5%-95%）</w:t>
            </w:r>
          </w:p>
          <w:p>
            <w:pPr>
              <w:rPr>
                <w:rFonts w:asciiTheme="minorEastAsia" w:hAnsiTheme="minorEastAsia"/>
                <w:sz w:val="22"/>
              </w:rPr>
            </w:pPr>
            <w:r>
              <w:rPr>
                <w:rFonts w:hint="eastAsia" w:asciiTheme="minorEastAsia" w:hAnsiTheme="minorEastAsia"/>
                <w:sz w:val="22"/>
              </w:rPr>
              <w:t>2、尺寸要求：320±10 mm（长）*265±10 mm（宽）*100±10 mm（高）</w:t>
            </w:r>
          </w:p>
          <w:p>
            <w:pPr>
              <w:rPr>
                <w:rFonts w:asciiTheme="minorEastAsia" w:hAnsiTheme="minorEastAsia"/>
                <w:sz w:val="22"/>
              </w:rPr>
            </w:pPr>
            <w:r>
              <w:rPr>
                <w:rFonts w:hint="eastAsia" w:asciiTheme="minorEastAsia" w:hAnsiTheme="minorEastAsia"/>
                <w:sz w:val="22"/>
              </w:rPr>
              <w:t>3、重量要求：≤2.8 Kg（含电极片和电池）</w:t>
            </w:r>
          </w:p>
          <w:p>
            <w:pPr>
              <w:rPr>
                <w:rFonts w:asciiTheme="minorEastAsia" w:hAnsiTheme="minorEastAsia"/>
                <w:sz w:val="22"/>
              </w:rPr>
            </w:pPr>
            <w:r>
              <w:rPr>
                <w:rFonts w:hint="eastAsia" w:asciiTheme="minorEastAsia" w:hAnsiTheme="minorEastAsia"/>
                <w:sz w:val="22"/>
              </w:rPr>
              <w:t>4、外观要求：功能键和操作按钮必须颜色醒目且有保护设计，配有≥3.0英寸彩色液晶屏</w:t>
            </w:r>
          </w:p>
          <w:p>
            <w:pPr>
              <w:rPr>
                <w:rFonts w:asciiTheme="minorEastAsia" w:hAnsiTheme="minorEastAsia"/>
                <w:sz w:val="22"/>
              </w:rPr>
            </w:pPr>
            <w:r>
              <w:rPr>
                <w:rFonts w:hint="eastAsia" w:asciiTheme="minorEastAsia" w:hAnsiTheme="minorEastAsia"/>
                <w:sz w:val="22"/>
              </w:rPr>
              <w:t>5、除颤模式：配备成人模式、儿童模式，切换模式的功能按键处须有明显标识和图标，切换模式时伴有明确的语音提示</w:t>
            </w:r>
          </w:p>
          <w:p>
            <w:pPr>
              <w:rPr>
                <w:rFonts w:asciiTheme="minorEastAsia" w:hAnsiTheme="minorEastAsia"/>
                <w:sz w:val="22"/>
              </w:rPr>
            </w:pPr>
            <w:r>
              <w:rPr>
                <w:rFonts w:hint="eastAsia" w:asciiTheme="minorEastAsia" w:hAnsiTheme="minorEastAsia"/>
                <w:sz w:val="22"/>
              </w:rPr>
              <w:t>6、输出能量：成人模式输出能量固定自动升级，最小输出能量不低于150J；儿童模式输出能量固定自动升级，最大推荐输出能量不超过70J。成人或儿童除颤能量由设备自动调节，不需要人为设定，以便于非专业医务人员使用</w:t>
            </w:r>
          </w:p>
          <w:p>
            <w:pPr>
              <w:rPr>
                <w:rFonts w:asciiTheme="minorEastAsia" w:hAnsiTheme="minorEastAsia"/>
                <w:sz w:val="22"/>
              </w:rPr>
            </w:pPr>
            <w:r>
              <w:rPr>
                <w:rFonts w:hint="eastAsia" w:asciiTheme="minorEastAsia" w:hAnsiTheme="minorEastAsia"/>
                <w:sz w:val="22"/>
              </w:rPr>
              <w:t>7、电量：支持除颤放电至少140次，或至少240分钟ECG监护</w:t>
            </w:r>
          </w:p>
          <w:p>
            <w:pPr>
              <w:rPr>
                <w:rFonts w:asciiTheme="minorEastAsia" w:hAnsiTheme="minorEastAsia"/>
                <w:sz w:val="22"/>
              </w:rPr>
            </w:pPr>
            <w:r>
              <w:rPr>
                <w:rFonts w:hint="eastAsia" w:asciiTheme="minorEastAsia" w:hAnsiTheme="minorEastAsia"/>
                <w:sz w:val="22"/>
              </w:rPr>
              <w:t>8、开机方式：不设置单独电源开关按键，打开盖子电源自动接通并进入施救状态</w:t>
            </w:r>
          </w:p>
          <w:p>
            <w:pPr>
              <w:rPr>
                <w:rFonts w:asciiTheme="minorEastAsia" w:hAnsiTheme="minorEastAsia"/>
                <w:sz w:val="22"/>
              </w:rPr>
            </w:pPr>
            <w:r>
              <w:rPr>
                <w:rFonts w:hint="eastAsia" w:asciiTheme="minorEastAsia" w:hAnsiTheme="minorEastAsia"/>
                <w:sz w:val="22"/>
              </w:rPr>
              <w:t>9、自检功能：设备具有开机自检、每天待机自检、每月待机自检功能，并具有自检结果显示功能</w:t>
            </w:r>
          </w:p>
          <w:p>
            <w:pPr>
              <w:rPr>
                <w:rFonts w:asciiTheme="minorEastAsia" w:hAnsiTheme="minorEastAsia"/>
                <w:sz w:val="22"/>
              </w:rPr>
            </w:pPr>
            <w:r>
              <w:rPr>
                <w:rFonts w:hint="eastAsia" w:asciiTheme="minorEastAsia" w:hAnsiTheme="minorEastAsia"/>
                <w:sz w:val="22"/>
              </w:rPr>
              <w:t>10、设备故障位置诊断：具有设备故障位置显示功能，包括电池、电极片、内部元件维修指示等</w:t>
            </w:r>
          </w:p>
          <w:p>
            <w:pPr>
              <w:rPr>
                <w:rFonts w:asciiTheme="minorEastAsia" w:hAnsiTheme="minorEastAsia"/>
                <w:sz w:val="22"/>
              </w:rPr>
            </w:pPr>
            <w:r>
              <w:rPr>
                <w:rFonts w:hint="eastAsia" w:asciiTheme="minorEastAsia" w:hAnsiTheme="minorEastAsia"/>
                <w:sz w:val="22"/>
              </w:rPr>
              <w:t>11、数据传输：可通过蓝牙等方式进行数据传输</w:t>
            </w:r>
          </w:p>
          <w:p>
            <w:pPr>
              <w:rPr>
                <w:rFonts w:asciiTheme="minorEastAsia" w:hAnsiTheme="minorEastAsia"/>
                <w:sz w:val="22"/>
              </w:rPr>
            </w:pPr>
            <w:r>
              <w:rPr>
                <w:rFonts w:hint="eastAsia" w:asciiTheme="minorEastAsia" w:hAnsiTheme="minorEastAsia"/>
                <w:sz w:val="22"/>
              </w:rPr>
              <w:t>12、内部储存：至少可保存90分钟的救助数据</w:t>
            </w:r>
          </w:p>
          <w:p>
            <w:pPr>
              <w:rPr>
                <w:rFonts w:asciiTheme="minorEastAsia" w:hAnsiTheme="minorEastAsia"/>
                <w:sz w:val="22"/>
              </w:rPr>
            </w:pPr>
            <w:r>
              <w:rPr>
                <w:rFonts w:hint="eastAsia" w:asciiTheme="minorEastAsia" w:hAnsiTheme="minorEastAsia"/>
                <w:sz w:val="22"/>
              </w:rPr>
              <w:t>13、撞击/跌落：可经受从1.2米高度跌落至任何边缘、角落或表面</w:t>
            </w:r>
          </w:p>
          <w:p>
            <w:pPr>
              <w:snapToGrid w:val="0"/>
              <w:rPr>
                <w:rFonts w:cs="Calibri" w:asciiTheme="minorEastAsia" w:hAnsiTheme="minorEastAsia"/>
                <w:color w:val="000000"/>
                <w:sz w:val="22"/>
              </w:rPr>
            </w:pPr>
            <w:r>
              <w:rPr>
                <w:rFonts w:hint="eastAsia" w:ascii="宋体" w:hAnsi="宋体"/>
                <w:caps/>
                <w:sz w:val="22"/>
              </w:rPr>
              <w:t>14、防水：可经受来自各方向喷射的水</w:t>
            </w:r>
          </w:p>
        </w:tc>
        <w:tc>
          <w:tcPr>
            <w:tcW w:w="851" w:type="dxa"/>
            <w:vMerge w:val="continue"/>
            <w:vAlign w:val="center"/>
          </w:tcPr>
          <w:p>
            <w:pPr>
              <w:snapToGrid w:val="0"/>
              <w:rPr>
                <w:rFonts w:ascii="宋体" w:hAnsi="宋体"/>
                <w:caps/>
                <w:sz w:val="22"/>
              </w:rPr>
            </w:pPr>
          </w:p>
        </w:tc>
        <w:tc>
          <w:tcPr>
            <w:tcW w:w="807" w:type="dxa"/>
            <w:vMerge w:val="continue"/>
            <w:vAlign w:val="center"/>
          </w:tcPr>
          <w:p>
            <w:pPr>
              <w:snapToGrid w:val="0"/>
              <w:rPr>
                <w:rFonts w:ascii="宋体" w:hAnsi="宋体"/>
                <w:caps/>
                <w:sz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72" w:hRule="atLeast"/>
          <w:jc w:val="center"/>
        </w:trPr>
        <w:tc>
          <w:tcPr>
            <w:tcW w:w="1985" w:type="dxa"/>
            <w:vAlign w:val="center"/>
          </w:tcPr>
          <w:p>
            <w:pPr>
              <w:rPr>
                <w:rFonts w:cs="Calibri" w:asciiTheme="minorEastAsia" w:hAnsiTheme="minorEastAsia"/>
                <w:color w:val="000000"/>
                <w:sz w:val="22"/>
              </w:rPr>
            </w:pPr>
            <w:r>
              <w:rPr>
                <w:rFonts w:hint="eastAsia" w:cs="Calibri" w:asciiTheme="minorEastAsia" w:hAnsiTheme="minorEastAsia"/>
                <w:color w:val="000000"/>
                <w:sz w:val="22"/>
              </w:rPr>
              <w:t>心电监护除颤仪</w:t>
            </w:r>
          </w:p>
        </w:tc>
        <w:tc>
          <w:tcPr>
            <w:tcW w:w="850" w:type="dxa"/>
            <w:vAlign w:val="center"/>
          </w:tcPr>
          <w:p>
            <w:pPr>
              <w:snapToGrid w:val="0"/>
              <w:rPr>
                <w:rFonts w:cs="Calibri" w:asciiTheme="minorEastAsia" w:hAnsiTheme="minorEastAsia"/>
                <w:color w:val="000000"/>
                <w:sz w:val="22"/>
              </w:rPr>
            </w:pPr>
            <w:r>
              <w:rPr>
                <w:rFonts w:hint="eastAsia" w:cs="Calibri" w:asciiTheme="minorEastAsia" w:hAnsiTheme="minorEastAsia"/>
                <w:color w:val="000000"/>
                <w:sz w:val="22"/>
              </w:rPr>
              <w:t>1台</w:t>
            </w:r>
          </w:p>
        </w:tc>
        <w:tc>
          <w:tcPr>
            <w:tcW w:w="5572" w:type="dxa"/>
            <w:vAlign w:val="center"/>
          </w:tcPr>
          <w:p>
            <w:pPr>
              <w:snapToGrid w:val="0"/>
              <w:rPr>
                <w:rFonts w:ascii="宋体" w:hAnsi="宋体"/>
                <w:caps/>
                <w:sz w:val="22"/>
              </w:rPr>
            </w:pPr>
            <w:r>
              <w:rPr>
                <w:rFonts w:hint="eastAsia" w:ascii="宋体" w:hAnsi="宋体"/>
                <w:caps/>
                <w:sz w:val="22"/>
              </w:rPr>
              <w:t>1、适用人群：适用于成人、儿童、新生儿</w:t>
            </w:r>
          </w:p>
          <w:p>
            <w:pPr>
              <w:snapToGrid w:val="0"/>
              <w:rPr>
                <w:rFonts w:ascii="宋体" w:hAnsi="宋体"/>
                <w:caps/>
                <w:sz w:val="22"/>
              </w:rPr>
            </w:pPr>
            <w:r>
              <w:rPr>
                <w:rFonts w:hint="eastAsia" w:ascii="宋体" w:hAnsi="宋体"/>
                <w:caps/>
                <w:sz w:val="22"/>
              </w:rPr>
              <w:t>2、显示方式：≥6.5英寸彩色液晶屏</w:t>
            </w:r>
          </w:p>
          <w:p>
            <w:pPr>
              <w:snapToGrid w:val="0"/>
              <w:rPr>
                <w:rFonts w:ascii="宋体" w:hAnsi="宋体"/>
                <w:caps/>
                <w:sz w:val="22"/>
              </w:rPr>
            </w:pPr>
            <w:r>
              <w:rPr>
                <w:rFonts w:hint="eastAsia" w:ascii="宋体" w:hAnsi="宋体"/>
                <w:caps/>
                <w:sz w:val="22"/>
              </w:rPr>
              <w:t>3、工作模式：手动除颤、同步复律、AED（含语音提示功能）、生命体征监护、内部放电、设备智能自检等</w:t>
            </w:r>
          </w:p>
          <w:p>
            <w:pPr>
              <w:snapToGrid w:val="0"/>
              <w:rPr>
                <w:rFonts w:ascii="宋体" w:hAnsi="宋体"/>
                <w:caps/>
                <w:sz w:val="22"/>
              </w:rPr>
            </w:pPr>
            <w:r>
              <w:rPr>
                <w:rFonts w:hint="eastAsia" w:ascii="宋体" w:hAnsi="宋体"/>
                <w:caps/>
                <w:sz w:val="22"/>
              </w:rPr>
              <w:t>4、除颤电流波形：双相波</w:t>
            </w:r>
          </w:p>
          <w:p>
            <w:pPr>
              <w:snapToGrid w:val="0"/>
              <w:rPr>
                <w:rFonts w:ascii="宋体" w:hAnsi="宋体"/>
                <w:caps/>
                <w:sz w:val="22"/>
              </w:rPr>
            </w:pPr>
            <w:r>
              <w:rPr>
                <w:rFonts w:hint="eastAsia" w:ascii="宋体" w:hAnsi="宋体"/>
                <w:caps/>
                <w:sz w:val="22"/>
              </w:rPr>
              <w:t>5、除颤能量：≤300J，≥12档能量可选</w:t>
            </w:r>
          </w:p>
          <w:p>
            <w:pPr>
              <w:snapToGrid w:val="0"/>
              <w:rPr>
                <w:rFonts w:ascii="宋体" w:hAnsi="宋体"/>
                <w:caps/>
                <w:sz w:val="22"/>
              </w:rPr>
            </w:pPr>
            <w:r>
              <w:rPr>
                <w:rFonts w:hint="eastAsia" w:ascii="宋体" w:hAnsi="宋体"/>
                <w:caps/>
                <w:sz w:val="22"/>
              </w:rPr>
              <w:t>6、快速充电：充电到200J时间不大于4秒（包括使用交流电时），充电过程中可在屏幕上显示当前能量值</w:t>
            </w:r>
          </w:p>
          <w:p>
            <w:pPr>
              <w:snapToGrid w:val="0"/>
              <w:rPr>
                <w:rFonts w:ascii="宋体" w:hAnsi="宋体"/>
                <w:caps/>
                <w:sz w:val="22"/>
              </w:rPr>
            </w:pPr>
            <w:r>
              <w:rPr>
                <w:rFonts w:hint="eastAsia" w:ascii="宋体" w:hAnsi="宋体"/>
                <w:caps/>
                <w:sz w:val="22"/>
              </w:rPr>
              <w:t>7、ECG波形恢复时间：除颤放电后，心电波形恢复时间不大于3秒</w:t>
            </w:r>
          </w:p>
          <w:p>
            <w:pPr>
              <w:snapToGrid w:val="0"/>
              <w:rPr>
                <w:rFonts w:ascii="宋体" w:hAnsi="宋体"/>
                <w:caps/>
                <w:sz w:val="22"/>
              </w:rPr>
            </w:pPr>
            <w:r>
              <w:rPr>
                <w:rFonts w:hint="eastAsia" w:ascii="宋体" w:hAnsi="宋体"/>
                <w:caps/>
                <w:sz w:val="22"/>
              </w:rPr>
              <w:t>8、心电导联：3导心电监护功能</w:t>
            </w:r>
          </w:p>
          <w:p>
            <w:pPr>
              <w:snapToGrid w:val="0"/>
              <w:rPr>
                <w:rFonts w:ascii="宋体" w:hAnsi="宋体"/>
                <w:caps/>
                <w:sz w:val="22"/>
              </w:rPr>
            </w:pPr>
            <w:r>
              <w:rPr>
                <w:rFonts w:hint="eastAsia" w:ascii="宋体" w:hAnsi="宋体"/>
                <w:caps/>
                <w:sz w:val="22"/>
              </w:rPr>
              <w:t>9、心电共模抑制比：≥100 dB</w:t>
            </w:r>
          </w:p>
          <w:p>
            <w:pPr>
              <w:snapToGrid w:val="0"/>
              <w:rPr>
                <w:rFonts w:ascii="宋体" w:hAnsi="宋体"/>
                <w:caps/>
                <w:sz w:val="22"/>
              </w:rPr>
            </w:pPr>
            <w:r>
              <w:rPr>
                <w:rFonts w:hint="eastAsia" w:ascii="宋体" w:hAnsi="宋体"/>
                <w:caps/>
                <w:sz w:val="22"/>
              </w:rPr>
              <w:t>10、自检指示：带有自检指示灯，每天自动自检并更新状态灯颜色，并保存自检结果</w:t>
            </w:r>
          </w:p>
          <w:p>
            <w:pPr>
              <w:snapToGrid w:val="0"/>
              <w:rPr>
                <w:rFonts w:ascii="宋体" w:hAnsi="宋体"/>
                <w:caps/>
                <w:sz w:val="22"/>
              </w:rPr>
            </w:pPr>
            <w:r>
              <w:rPr>
                <w:rFonts w:hint="eastAsia" w:ascii="宋体" w:hAnsi="宋体"/>
                <w:caps/>
                <w:sz w:val="22"/>
              </w:rPr>
              <w:t>11、数据储存：可储存大于160小时心电图连续波形，可储存周围环境音</w:t>
            </w:r>
          </w:p>
          <w:p>
            <w:pPr>
              <w:snapToGrid w:val="0"/>
              <w:rPr>
                <w:rFonts w:ascii="宋体" w:hAnsi="宋体"/>
                <w:caps/>
                <w:sz w:val="22"/>
              </w:rPr>
            </w:pPr>
            <w:r>
              <w:rPr>
                <w:rFonts w:hint="eastAsia" w:ascii="宋体" w:hAnsi="宋体"/>
                <w:caps/>
                <w:sz w:val="22"/>
              </w:rPr>
              <w:t>12、使用环境：-5℃-45℃</w:t>
            </w:r>
          </w:p>
          <w:p>
            <w:pPr>
              <w:snapToGrid w:val="0"/>
              <w:rPr>
                <w:rFonts w:ascii="宋体" w:hAnsi="宋体"/>
                <w:caps/>
                <w:sz w:val="22"/>
              </w:rPr>
            </w:pPr>
            <w:r>
              <w:rPr>
                <w:rFonts w:hint="eastAsia" w:ascii="宋体" w:hAnsi="宋体"/>
                <w:caps/>
                <w:sz w:val="22"/>
              </w:rPr>
              <w:t>13、防水防尘等级：IP44</w:t>
            </w:r>
          </w:p>
          <w:p>
            <w:pPr>
              <w:snapToGrid w:val="0"/>
              <w:rPr>
                <w:rFonts w:cs="Calibri" w:asciiTheme="minorEastAsia" w:hAnsiTheme="minorEastAsia"/>
                <w:color w:val="000000"/>
                <w:sz w:val="22"/>
              </w:rPr>
            </w:pPr>
            <w:r>
              <w:rPr>
                <w:rFonts w:hint="eastAsia" w:ascii="宋体" w:hAnsi="宋体"/>
                <w:caps/>
                <w:sz w:val="22"/>
              </w:rPr>
              <w:t>14、振动冲击及跌落认证：通过MIL-STD-810F 514.5 Gategory 4及MIL-STD-810F 514.5 Gategory 9，可用于救护车及急救直升机</w:t>
            </w:r>
          </w:p>
        </w:tc>
        <w:tc>
          <w:tcPr>
            <w:tcW w:w="851" w:type="dxa"/>
            <w:vMerge w:val="continue"/>
            <w:vAlign w:val="center"/>
          </w:tcPr>
          <w:p>
            <w:pPr>
              <w:snapToGrid w:val="0"/>
              <w:rPr>
                <w:rFonts w:ascii="宋体" w:hAnsi="宋体"/>
                <w:caps/>
                <w:sz w:val="22"/>
              </w:rPr>
            </w:pPr>
          </w:p>
        </w:tc>
        <w:tc>
          <w:tcPr>
            <w:tcW w:w="807" w:type="dxa"/>
            <w:vMerge w:val="continue"/>
            <w:vAlign w:val="center"/>
          </w:tcPr>
          <w:p>
            <w:pPr>
              <w:snapToGrid w:val="0"/>
              <w:rPr>
                <w:rFonts w:ascii="宋体" w:hAnsi="宋体"/>
                <w:caps/>
                <w:sz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72" w:hRule="atLeast"/>
          <w:jc w:val="center"/>
        </w:trPr>
        <w:tc>
          <w:tcPr>
            <w:tcW w:w="1985" w:type="dxa"/>
            <w:vAlign w:val="center"/>
          </w:tcPr>
          <w:p>
            <w:pPr>
              <w:rPr>
                <w:rFonts w:cs="Calibri" w:asciiTheme="minorEastAsia" w:hAnsiTheme="minorEastAsia"/>
                <w:color w:val="000000"/>
                <w:sz w:val="22"/>
              </w:rPr>
            </w:pPr>
            <w:r>
              <w:rPr>
                <w:rFonts w:hint="eastAsia" w:cs="Calibri" w:asciiTheme="minorEastAsia" w:hAnsiTheme="minorEastAsia"/>
                <w:color w:val="000000"/>
                <w:sz w:val="22"/>
              </w:rPr>
              <w:t>吸引设备</w:t>
            </w:r>
          </w:p>
        </w:tc>
        <w:tc>
          <w:tcPr>
            <w:tcW w:w="850" w:type="dxa"/>
            <w:vAlign w:val="center"/>
          </w:tcPr>
          <w:p>
            <w:pPr>
              <w:snapToGrid w:val="0"/>
              <w:rPr>
                <w:rFonts w:cs="Calibri" w:asciiTheme="minorEastAsia" w:hAnsiTheme="minorEastAsia"/>
                <w:color w:val="000000"/>
                <w:sz w:val="22"/>
              </w:rPr>
            </w:pPr>
            <w:r>
              <w:rPr>
                <w:rFonts w:hint="eastAsia" w:cs="Calibri" w:asciiTheme="minorEastAsia" w:hAnsiTheme="minorEastAsia"/>
                <w:color w:val="000000"/>
                <w:sz w:val="22"/>
              </w:rPr>
              <w:t>1套</w:t>
            </w:r>
          </w:p>
        </w:tc>
        <w:tc>
          <w:tcPr>
            <w:tcW w:w="5572" w:type="dxa"/>
            <w:vAlign w:val="center"/>
          </w:tcPr>
          <w:p>
            <w:pPr>
              <w:snapToGrid w:val="0"/>
              <w:rPr>
                <w:rFonts w:ascii="宋体" w:hAnsi="宋体"/>
                <w:caps/>
                <w:sz w:val="22"/>
              </w:rPr>
            </w:pPr>
            <w:r>
              <w:rPr>
                <w:rFonts w:hint="eastAsia" w:ascii="宋体" w:hAnsi="宋体"/>
                <w:caps/>
                <w:sz w:val="22"/>
              </w:rPr>
              <w:t>1、极限负压值：≥0.08</w:t>
            </w:r>
            <w:r>
              <w:rPr>
                <w:rFonts w:hint="eastAsia" w:asciiTheme="minorEastAsia" w:hAnsiTheme="minorEastAsia"/>
                <w:sz w:val="22"/>
              </w:rPr>
              <w:t xml:space="preserve"> M</w:t>
            </w:r>
            <w:r>
              <w:rPr>
                <w:rFonts w:hint="eastAsia" w:ascii="宋体" w:hAnsi="宋体"/>
                <w:caps/>
                <w:sz w:val="22"/>
              </w:rPr>
              <w:t>P</w:t>
            </w:r>
            <w:r>
              <w:rPr>
                <w:rFonts w:hint="eastAsia" w:asciiTheme="minorEastAsia" w:hAnsiTheme="minorEastAsia"/>
                <w:sz w:val="22"/>
              </w:rPr>
              <w:t>a</w:t>
            </w:r>
            <w:r>
              <w:rPr>
                <w:rFonts w:hint="eastAsia" w:ascii="宋体" w:hAnsi="宋体"/>
                <w:caps/>
                <w:sz w:val="22"/>
              </w:rPr>
              <w:t>（600</w:t>
            </w:r>
            <w:r>
              <w:rPr>
                <w:rFonts w:hint="eastAsia" w:asciiTheme="minorEastAsia" w:hAnsiTheme="minorEastAsia"/>
                <w:sz w:val="22"/>
              </w:rPr>
              <w:t>mm</w:t>
            </w:r>
            <w:r>
              <w:rPr>
                <w:rFonts w:hint="eastAsia" w:ascii="宋体" w:hAnsi="宋体"/>
                <w:caps/>
                <w:sz w:val="22"/>
              </w:rPr>
              <w:t>H</w:t>
            </w:r>
            <w:r>
              <w:rPr>
                <w:rFonts w:hint="eastAsia" w:asciiTheme="minorEastAsia" w:hAnsiTheme="minorEastAsia"/>
                <w:sz w:val="22"/>
              </w:rPr>
              <w:t>g</w:t>
            </w:r>
            <w:r>
              <w:rPr>
                <w:rFonts w:hint="eastAsia" w:ascii="宋体" w:hAnsi="宋体"/>
                <w:caps/>
                <w:sz w:val="22"/>
              </w:rPr>
              <w:t>）</w:t>
            </w:r>
          </w:p>
          <w:p>
            <w:pPr>
              <w:snapToGrid w:val="0"/>
              <w:rPr>
                <w:rFonts w:ascii="宋体" w:hAnsi="宋体"/>
                <w:caps/>
                <w:sz w:val="22"/>
              </w:rPr>
            </w:pPr>
            <w:r>
              <w:rPr>
                <w:rFonts w:hint="eastAsia" w:ascii="宋体" w:hAnsi="宋体"/>
                <w:caps/>
                <w:sz w:val="22"/>
              </w:rPr>
              <w:t>2、负压调节范围：0.02</w:t>
            </w:r>
            <w:r>
              <w:rPr>
                <w:rFonts w:hint="eastAsia" w:asciiTheme="minorEastAsia" w:hAnsiTheme="minorEastAsia"/>
                <w:sz w:val="22"/>
              </w:rPr>
              <w:t xml:space="preserve"> M</w:t>
            </w:r>
            <w:r>
              <w:rPr>
                <w:rFonts w:hint="eastAsia" w:ascii="宋体" w:hAnsi="宋体"/>
                <w:caps/>
                <w:sz w:val="22"/>
              </w:rPr>
              <w:t>P</w:t>
            </w:r>
            <w:r>
              <w:rPr>
                <w:rFonts w:hint="eastAsia" w:asciiTheme="minorEastAsia" w:hAnsiTheme="minorEastAsia"/>
                <w:sz w:val="22"/>
              </w:rPr>
              <w:t>a</w:t>
            </w:r>
            <w:r>
              <w:rPr>
                <w:rFonts w:hint="eastAsia" w:ascii="宋体" w:hAnsi="宋体"/>
                <w:caps/>
                <w:sz w:val="22"/>
              </w:rPr>
              <w:t>（150</w:t>
            </w:r>
            <w:r>
              <w:rPr>
                <w:rFonts w:hint="eastAsia" w:asciiTheme="minorEastAsia" w:hAnsiTheme="minorEastAsia"/>
                <w:sz w:val="22"/>
              </w:rPr>
              <w:t>mm</w:t>
            </w:r>
            <w:r>
              <w:rPr>
                <w:rFonts w:hint="eastAsia" w:ascii="宋体" w:hAnsi="宋体"/>
                <w:caps/>
                <w:sz w:val="22"/>
              </w:rPr>
              <w:t>H</w:t>
            </w:r>
            <w:r>
              <w:rPr>
                <w:rFonts w:hint="eastAsia" w:asciiTheme="minorEastAsia" w:hAnsiTheme="minorEastAsia"/>
                <w:sz w:val="22"/>
              </w:rPr>
              <w:t>g</w:t>
            </w:r>
            <w:r>
              <w:rPr>
                <w:rFonts w:hint="eastAsia" w:ascii="宋体" w:hAnsi="宋体"/>
                <w:caps/>
                <w:sz w:val="22"/>
              </w:rPr>
              <w:t>）-极限负压值：</w:t>
            </w:r>
          </w:p>
          <w:p>
            <w:pPr>
              <w:snapToGrid w:val="0"/>
              <w:rPr>
                <w:rFonts w:ascii="宋体" w:hAnsi="宋体"/>
                <w:caps/>
                <w:sz w:val="22"/>
              </w:rPr>
            </w:pPr>
            <w:r>
              <w:rPr>
                <w:rFonts w:hint="eastAsia" w:ascii="宋体" w:hAnsi="宋体"/>
                <w:caps/>
                <w:sz w:val="22"/>
              </w:rPr>
              <w:t>3、抽气速率：≥20L/m</w:t>
            </w:r>
            <w:r>
              <w:rPr>
                <w:rFonts w:hint="eastAsia" w:asciiTheme="minorEastAsia" w:hAnsiTheme="minorEastAsia"/>
                <w:sz w:val="22"/>
              </w:rPr>
              <w:t>in</w:t>
            </w:r>
          </w:p>
          <w:p>
            <w:pPr>
              <w:snapToGrid w:val="0"/>
              <w:rPr>
                <w:rFonts w:ascii="宋体" w:hAnsi="宋体"/>
                <w:caps/>
                <w:sz w:val="22"/>
              </w:rPr>
            </w:pPr>
            <w:r>
              <w:rPr>
                <w:rFonts w:hint="eastAsia" w:ascii="宋体" w:hAnsi="宋体"/>
                <w:caps/>
                <w:sz w:val="22"/>
              </w:rPr>
              <w:t>4、噪声：≤65dB(A)</w:t>
            </w:r>
          </w:p>
          <w:p>
            <w:pPr>
              <w:snapToGrid w:val="0"/>
              <w:rPr>
                <w:rFonts w:ascii="宋体" w:hAnsi="宋体"/>
                <w:caps/>
                <w:sz w:val="22"/>
              </w:rPr>
            </w:pPr>
            <w:r>
              <w:rPr>
                <w:rFonts w:hint="eastAsia" w:ascii="宋体" w:hAnsi="宋体"/>
                <w:caps/>
                <w:sz w:val="22"/>
              </w:rPr>
              <w:t>5、贮液瓶：≥1000mL(PC塑料)</w:t>
            </w:r>
          </w:p>
          <w:p>
            <w:pPr>
              <w:snapToGrid w:val="0"/>
              <w:rPr>
                <w:rFonts w:ascii="宋体" w:hAnsi="宋体"/>
                <w:caps/>
                <w:sz w:val="22"/>
              </w:rPr>
            </w:pPr>
            <w:r>
              <w:rPr>
                <w:rFonts w:hint="eastAsia" w:ascii="宋体" w:hAnsi="宋体"/>
                <w:caps/>
                <w:sz w:val="22"/>
              </w:rPr>
              <w:t>8、电池类型：铅酸电池或锂离子电池</w:t>
            </w:r>
          </w:p>
          <w:p>
            <w:pPr>
              <w:snapToGrid w:val="0"/>
              <w:rPr>
                <w:rFonts w:ascii="宋体" w:hAnsi="宋体"/>
                <w:caps/>
                <w:sz w:val="22"/>
              </w:rPr>
            </w:pPr>
            <w:r>
              <w:rPr>
                <w:rFonts w:hint="eastAsia" w:ascii="宋体" w:hAnsi="宋体"/>
                <w:caps/>
                <w:sz w:val="22"/>
              </w:rPr>
              <w:t>9、内置电池工作时间：≥25分钟</w:t>
            </w:r>
          </w:p>
        </w:tc>
        <w:tc>
          <w:tcPr>
            <w:tcW w:w="851" w:type="dxa"/>
            <w:vMerge w:val="continue"/>
            <w:vAlign w:val="center"/>
          </w:tcPr>
          <w:p>
            <w:pPr>
              <w:snapToGrid w:val="0"/>
              <w:rPr>
                <w:rFonts w:ascii="宋体" w:hAnsi="宋体"/>
                <w:caps/>
                <w:sz w:val="22"/>
              </w:rPr>
            </w:pPr>
          </w:p>
        </w:tc>
        <w:tc>
          <w:tcPr>
            <w:tcW w:w="807" w:type="dxa"/>
            <w:vMerge w:val="continue"/>
            <w:vAlign w:val="center"/>
          </w:tcPr>
          <w:p>
            <w:pPr>
              <w:snapToGrid w:val="0"/>
              <w:rPr>
                <w:rFonts w:ascii="宋体" w:hAnsi="宋体"/>
                <w:caps/>
                <w:sz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72" w:hRule="atLeast"/>
          <w:jc w:val="center"/>
        </w:trPr>
        <w:tc>
          <w:tcPr>
            <w:tcW w:w="1985" w:type="dxa"/>
            <w:vAlign w:val="center"/>
          </w:tcPr>
          <w:p>
            <w:pPr>
              <w:rPr>
                <w:rFonts w:cs="Calibri" w:asciiTheme="minorEastAsia" w:hAnsiTheme="minorEastAsia"/>
                <w:color w:val="000000"/>
                <w:sz w:val="22"/>
              </w:rPr>
            </w:pPr>
            <w:r>
              <w:rPr>
                <w:rFonts w:hint="eastAsia" w:cs="Calibri" w:asciiTheme="minorEastAsia" w:hAnsiTheme="minorEastAsia"/>
                <w:color w:val="000000"/>
                <w:sz w:val="22"/>
              </w:rPr>
              <w:t>电脑中频治疗仪</w:t>
            </w:r>
          </w:p>
        </w:tc>
        <w:tc>
          <w:tcPr>
            <w:tcW w:w="850" w:type="dxa"/>
            <w:vAlign w:val="center"/>
          </w:tcPr>
          <w:p>
            <w:pPr>
              <w:snapToGrid w:val="0"/>
              <w:rPr>
                <w:rFonts w:cs="Calibri" w:asciiTheme="minorEastAsia" w:hAnsiTheme="minorEastAsia"/>
                <w:color w:val="000000"/>
                <w:sz w:val="22"/>
              </w:rPr>
            </w:pPr>
            <w:r>
              <w:rPr>
                <w:rFonts w:hint="eastAsia" w:cs="Calibri" w:asciiTheme="minorEastAsia" w:hAnsiTheme="minorEastAsia"/>
                <w:color w:val="000000"/>
                <w:sz w:val="22"/>
              </w:rPr>
              <w:t>1台</w:t>
            </w:r>
          </w:p>
        </w:tc>
        <w:tc>
          <w:tcPr>
            <w:tcW w:w="5572" w:type="dxa"/>
            <w:vAlign w:val="center"/>
          </w:tcPr>
          <w:p>
            <w:pPr>
              <w:rPr>
                <w:rFonts w:asciiTheme="minorEastAsia" w:hAnsiTheme="minorEastAsia"/>
                <w:sz w:val="22"/>
              </w:rPr>
            </w:pPr>
            <w:r>
              <w:rPr>
                <w:rFonts w:hint="eastAsia" w:ascii="宋体" w:hAnsi="宋体"/>
                <w:caps/>
                <w:sz w:val="22"/>
              </w:rPr>
              <w:t>1、</w:t>
            </w:r>
            <w:r>
              <w:rPr>
                <w:rFonts w:hint="eastAsia" w:asciiTheme="minorEastAsia" w:hAnsiTheme="minorEastAsia"/>
                <w:sz w:val="22"/>
              </w:rPr>
              <w:t>操控方式：≥7英寸彩色触摸屏操控</w:t>
            </w:r>
          </w:p>
          <w:p>
            <w:pPr>
              <w:rPr>
                <w:rFonts w:asciiTheme="minorEastAsia" w:hAnsiTheme="minorEastAsia"/>
                <w:sz w:val="22"/>
              </w:rPr>
            </w:pPr>
            <w:r>
              <w:rPr>
                <w:rFonts w:hint="eastAsia" w:ascii="宋体" w:hAnsi="宋体"/>
                <w:caps/>
                <w:sz w:val="22"/>
              </w:rPr>
              <w:t>2、具有3</w:t>
            </w:r>
            <w:r>
              <w:rPr>
                <w:rFonts w:hint="eastAsia" w:asciiTheme="minorEastAsia" w:hAnsiTheme="minorEastAsia"/>
                <w:sz w:val="22"/>
              </w:rPr>
              <w:t>组负压电极输出，3组针插式电极输出</w:t>
            </w:r>
          </w:p>
          <w:p>
            <w:pPr>
              <w:rPr>
                <w:rFonts w:asciiTheme="minorEastAsia" w:hAnsiTheme="minorEastAsia"/>
                <w:sz w:val="22"/>
              </w:rPr>
            </w:pPr>
            <w:r>
              <w:rPr>
                <w:rFonts w:hint="eastAsia" w:asciiTheme="minorEastAsia" w:hAnsiTheme="minorEastAsia"/>
                <w:sz w:val="22"/>
              </w:rPr>
              <w:t>3、工作频率：2000Hz、3000Hz、4000Hz、5000Hz、6000Hz</w:t>
            </w:r>
          </w:p>
          <w:p>
            <w:pPr>
              <w:rPr>
                <w:rFonts w:asciiTheme="minorEastAsia" w:hAnsiTheme="minorEastAsia"/>
                <w:sz w:val="22"/>
              </w:rPr>
            </w:pPr>
            <w:r>
              <w:rPr>
                <w:rFonts w:hint="eastAsia" w:asciiTheme="minorEastAsia" w:hAnsiTheme="minorEastAsia"/>
                <w:sz w:val="22"/>
              </w:rPr>
              <w:t>4、输出电流：≤50毫安</w:t>
            </w:r>
          </w:p>
          <w:p>
            <w:pPr>
              <w:rPr>
                <w:rFonts w:asciiTheme="minorEastAsia" w:hAnsiTheme="minorEastAsia"/>
                <w:sz w:val="22"/>
              </w:rPr>
            </w:pPr>
            <w:r>
              <w:rPr>
                <w:rFonts w:hint="eastAsia" w:asciiTheme="minorEastAsia" w:hAnsiTheme="minorEastAsia"/>
                <w:sz w:val="22"/>
              </w:rPr>
              <w:t>5、调制频率：0-199Hz</w:t>
            </w:r>
          </w:p>
          <w:p>
            <w:pPr>
              <w:snapToGrid w:val="0"/>
              <w:rPr>
                <w:rFonts w:ascii="宋体" w:hAnsi="宋体"/>
                <w:caps/>
                <w:sz w:val="22"/>
              </w:rPr>
            </w:pPr>
            <w:r>
              <w:rPr>
                <w:rFonts w:hint="eastAsia" w:ascii="宋体" w:hAnsi="宋体"/>
                <w:caps/>
                <w:sz w:val="22"/>
              </w:rPr>
              <w:t>6、五种差频治疗模式：低差频模式（1-10</w:t>
            </w:r>
            <w:r>
              <w:rPr>
                <w:rFonts w:hint="eastAsia" w:asciiTheme="minorEastAsia" w:hAnsiTheme="minorEastAsia"/>
                <w:sz w:val="22"/>
              </w:rPr>
              <w:t xml:space="preserve"> Hz</w:t>
            </w:r>
            <w:r>
              <w:rPr>
                <w:rFonts w:hint="eastAsia" w:ascii="宋体" w:hAnsi="宋体"/>
                <w:caps/>
                <w:sz w:val="22"/>
              </w:rPr>
              <w:t>）、中差频模式（20-30</w:t>
            </w:r>
            <w:r>
              <w:rPr>
                <w:rFonts w:hint="eastAsia" w:asciiTheme="minorEastAsia" w:hAnsiTheme="minorEastAsia"/>
                <w:sz w:val="22"/>
              </w:rPr>
              <w:t xml:space="preserve"> Hz</w:t>
            </w:r>
            <w:r>
              <w:rPr>
                <w:rFonts w:hint="eastAsia" w:ascii="宋体" w:hAnsi="宋体"/>
                <w:caps/>
                <w:sz w:val="22"/>
              </w:rPr>
              <w:t>）、高差频模式（40-60</w:t>
            </w:r>
            <w:r>
              <w:rPr>
                <w:rFonts w:hint="eastAsia" w:asciiTheme="minorEastAsia" w:hAnsiTheme="minorEastAsia"/>
                <w:sz w:val="22"/>
              </w:rPr>
              <w:t xml:space="preserve"> Hz</w:t>
            </w:r>
            <w:r>
              <w:rPr>
                <w:rFonts w:hint="eastAsia" w:ascii="宋体" w:hAnsi="宋体"/>
                <w:caps/>
                <w:sz w:val="22"/>
              </w:rPr>
              <w:t>）、广差频模式（1-60</w:t>
            </w:r>
            <w:r>
              <w:rPr>
                <w:rFonts w:hint="eastAsia" w:asciiTheme="minorEastAsia" w:hAnsiTheme="minorEastAsia"/>
                <w:sz w:val="22"/>
              </w:rPr>
              <w:t xml:space="preserve"> Hz</w:t>
            </w:r>
            <w:r>
              <w:rPr>
                <w:rFonts w:hint="eastAsia" w:ascii="宋体" w:hAnsi="宋体"/>
                <w:caps/>
                <w:sz w:val="22"/>
              </w:rPr>
              <w:t>）、超广差频模式（1-100</w:t>
            </w:r>
            <w:r>
              <w:rPr>
                <w:rFonts w:hint="eastAsia" w:asciiTheme="minorEastAsia" w:hAnsiTheme="minorEastAsia"/>
                <w:sz w:val="22"/>
              </w:rPr>
              <w:t xml:space="preserve"> Hz</w:t>
            </w:r>
            <w:r>
              <w:rPr>
                <w:rFonts w:hint="eastAsia" w:ascii="宋体" w:hAnsi="宋体"/>
                <w:caps/>
                <w:sz w:val="22"/>
              </w:rPr>
              <w:t>）</w:t>
            </w:r>
          </w:p>
          <w:p>
            <w:pPr>
              <w:snapToGrid w:val="0"/>
              <w:rPr>
                <w:rFonts w:ascii="宋体" w:hAnsi="宋体"/>
                <w:caps/>
                <w:sz w:val="22"/>
              </w:rPr>
            </w:pPr>
            <w:r>
              <w:rPr>
                <w:rFonts w:hint="eastAsia" w:ascii="宋体" w:hAnsi="宋体"/>
                <w:caps/>
                <w:sz w:val="22"/>
              </w:rPr>
              <w:t>7、差频变化周期：自然节律、周期性变化节律（15秒、30秒、60秒）</w:t>
            </w:r>
          </w:p>
          <w:p>
            <w:pPr>
              <w:snapToGrid w:val="0"/>
              <w:rPr>
                <w:rFonts w:ascii="宋体" w:hAnsi="宋体"/>
                <w:caps/>
                <w:sz w:val="22"/>
              </w:rPr>
            </w:pPr>
            <w:r>
              <w:rPr>
                <w:rFonts w:hint="eastAsia" w:ascii="宋体" w:hAnsi="宋体"/>
                <w:caps/>
                <w:sz w:val="22"/>
              </w:rPr>
              <w:t>8、动态节律：0秒、3秒、6秒、9秒、12秒、15秒</w:t>
            </w:r>
          </w:p>
          <w:p>
            <w:pPr>
              <w:snapToGrid w:val="0"/>
              <w:rPr>
                <w:rFonts w:ascii="宋体" w:hAnsi="宋体"/>
                <w:caps/>
                <w:sz w:val="22"/>
              </w:rPr>
            </w:pPr>
            <w:r>
              <w:rPr>
                <w:rFonts w:hint="eastAsia" w:ascii="宋体" w:hAnsi="宋体"/>
                <w:caps/>
                <w:sz w:val="22"/>
              </w:rPr>
              <w:t>9、干扰输出模式：普通干扰模式、三维立体模式、动态节律模式、立体动态节律、调制干扰模式、立体调制模式、对极调制模式、立体对极调制模式、两种程序模式等</w:t>
            </w:r>
          </w:p>
          <w:p>
            <w:pPr>
              <w:snapToGrid w:val="0"/>
              <w:rPr>
                <w:rFonts w:ascii="宋体" w:hAnsi="宋体"/>
                <w:caps/>
                <w:sz w:val="22"/>
              </w:rPr>
            </w:pPr>
            <w:r>
              <w:rPr>
                <w:rFonts w:hint="eastAsia" w:ascii="宋体" w:hAnsi="宋体"/>
                <w:caps/>
                <w:sz w:val="22"/>
              </w:rPr>
              <w:t>10、具有输出端状态识别检测功能</w:t>
            </w:r>
          </w:p>
          <w:p>
            <w:pPr>
              <w:snapToGrid w:val="0"/>
              <w:rPr>
                <w:rFonts w:ascii="宋体" w:hAnsi="宋体"/>
                <w:caps/>
                <w:sz w:val="22"/>
              </w:rPr>
            </w:pPr>
            <w:r>
              <w:rPr>
                <w:rFonts w:hint="eastAsia" w:ascii="宋体" w:hAnsi="宋体"/>
                <w:caps/>
                <w:sz w:val="22"/>
              </w:rPr>
              <w:t>11、顶盘加热功能：可单独开启及关闭，最高温度为40±3℃</w:t>
            </w:r>
          </w:p>
          <w:p>
            <w:pPr>
              <w:snapToGrid w:val="0"/>
              <w:rPr>
                <w:rFonts w:ascii="宋体" w:hAnsi="宋体"/>
                <w:caps/>
                <w:sz w:val="22"/>
              </w:rPr>
            </w:pPr>
            <w:r>
              <w:rPr>
                <w:rFonts w:hint="eastAsia" w:ascii="宋体" w:hAnsi="宋体"/>
                <w:caps/>
                <w:sz w:val="22"/>
              </w:rPr>
              <w:t>12、负压吸引功能：输出负压0-30kp</w:t>
            </w:r>
            <w:r>
              <w:rPr>
                <w:rFonts w:hint="eastAsia" w:asciiTheme="minorEastAsia" w:hAnsiTheme="minorEastAsia"/>
                <w:sz w:val="22"/>
              </w:rPr>
              <w:t>a</w:t>
            </w:r>
            <w:r>
              <w:rPr>
                <w:rFonts w:hint="eastAsia" w:ascii="宋体" w:hAnsi="宋体"/>
                <w:caps/>
                <w:sz w:val="22"/>
              </w:rPr>
              <w:t>连续可调</w:t>
            </w:r>
          </w:p>
          <w:p>
            <w:pPr>
              <w:snapToGrid w:val="0"/>
              <w:rPr>
                <w:rFonts w:ascii="宋体" w:hAnsi="宋体"/>
                <w:caps/>
                <w:sz w:val="22"/>
              </w:rPr>
            </w:pPr>
            <w:r>
              <w:rPr>
                <w:rFonts w:hint="eastAsia" w:ascii="宋体" w:hAnsi="宋体"/>
                <w:caps/>
                <w:sz w:val="22"/>
              </w:rPr>
              <w:t>13、治疗定时：1-99分钟连续可调，步长为1分钟</w:t>
            </w:r>
          </w:p>
          <w:p>
            <w:pPr>
              <w:snapToGrid w:val="0"/>
              <w:rPr>
                <w:rFonts w:ascii="宋体" w:hAnsi="宋体"/>
                <w:caps/>
                <w:sz w:val="22"/>
              </w:rPr>
            </w:pPr>
            <w:r>
              <w:rPr>
                <w:rFonts w:hint="eastAsia" w:ascii="宋体" w:hAnsi="宋体"/>
                <w:caps/>
                <w:sz w:val="22"/>
              </w:rPr>
              <w:t>14、系统自置15种以上常见疾病的处方</w:t>
            </w:r>
          </w:p>
          <w:p>
            <w:pPr>
              <w:snapToGrid w:val="0"/>
              <w:rPr>
                <w:rFonts w:cs="Calibri" w:asciiTheme="minorEastAsia" w:hAnsiTheme="minorEastAsia"/>
                <w:color w:val="000000"/>
                <w:sz w:val="22"/>
              </w:rPr>
            </w:pPr>
            <w:r>
              <w:rPr>
                <w:rFonts w:hint="eastAsia" w:ascii="宋体" w:hAnsi="宋体"/>
                <w:caps/>
                <w:sz w:val="22"/>
              </w:rPr>
              <w:t>15、两种模式：自定义模式、处方模式</w:t>
            </w:r>
          </w:p>
        </w:tc>
        <w:tc>
          <w:tcPr>
            <w:tcW w:w="851" w:type="dxa"/>
            <w:vMerge w:val="continue"/>
            <w:vAlign w:val="center"/>
          </w:tcPr>
          <w:p>
            <w:pPr>
              <w:snapToGrid w:val="0"/>
              <w:rPr>
                <w:rFonts w:ascii="宋体" w:hAnsi="宋体"/>
                <w:caps/>
                <w:sz w:val="22"/>
              </w:rPr>
            </w:pPr>
          </w:p>
        </w:tc>
        <w:tc>
          <w:tcPr>
            <w:tcW w:w="807" w:type="dxa"/>
            <w:vMerge w:val="continue"/>
            <w:vAlign w:val="center"/>
          </w:tcPr>
          <w:p>
            <w:pPr>
              <w:snapToGrid w:val="0"/>
              <w:rPr>
                <w:rFonts w:ascii="宋体" w:hAnsi="宋体"/>
                <w:caps/>
                <w:sz w:val="22"/>
              </w:rPr>
            </w:pPr>
          </w:p>
        </w:tc>
      </w:tr>
    </w:tbl>
    <w:p>
      <w:pPr>
        <w:pStyle w:val="51"/>
      </w:pPr>
      <w:bookmarkStart w:id="72" w:name="_Toc321925454"/>
      <w:r>
        <w:rPr>
          <w:rFonts w:hint="eastAsia"/>
        </w:rPr>
        <w:t xml:space="preserve">第四章  </w:t>
      </w:r>
      <w:r>
        <w:t>合同条款</w:t>
      </w:r>
    </w:p>
    <w:p>
      <w:pPr>
        <w:spacing w:line="340" w:lineRule="exact"/>
        <w:ind w:firstLine="442" w:firstLineChars="200"/>
        <w:jc w:val="center"/>
        <w:rPr>
          <w:rFonts w:asciiTheme="minorEastAsia" w:hAnsiTheme="minorEastAsia"/>
          <w:b/>
          <w:sz w:val="22"/>
        </w:rPr>
      </w:pPr>
    </w:p>
    <w:p>
      <w:pPr>
        <w:adjustRightInd w:val="0"/>
        <w:snapToGrid w:val="0"/>
        <w:spacing w:line="340" w:lineRule="exact"/>
        <w:ind w:firstLine="452"/>
        <w:rPr>
          <w:rFonts w:asciiTheme="minorEastAsia" w:hAnsiTheme="minorEastAsia"/>
          <w:b/>
          <w:sz w:val="22"/>
        </w:rPr>
      </w:pPr>
      <w:r>
        <w:rPr>
          <w:rFonts w:hint="eastAsia" w:asciiTheme="minorEastAsia" w:hAnsiTheme="minorEastAsia"/>
          <w:b/>
          <w:sz w:val="22"/>
        </w:rPr>
        <w:t>甲方：杭州萧山国际机场有限公司</w:t>
      </w:r>
    </w:p>
    <w:p>
      <w:pPr>
        <w:adjustRightInd w:val="0"/>
        <w:snapToGrid w:val="0"/>
        <w:spacing w:line="340" w:lineRule="exact"/>
        <w:ind w:firstLine="452"/>
        <w:rPr>
          <w:rFonts w:asciiTheme="minorEastAsia" w:hAnsiTheme="minorEastAsia"/>
          <w:b/>
          <w:sz w:val="22"/>
        </w:rPr>
      </w:pPr>
      <w:r>
        <w:rPr>
          <w:rFonts w:hint="eastAsia" w:asciiTheme="minorEastAsia" w:hAnsiTheme="minorEastAsia"/>
          <w:b/>
          <w:sz w:val="22"/>
        </w:rPr>
        <w:t>住所地：杭州萧山国际机场内</w:t>
      </w:r>
    </w:p>
    <w:p>
      <w:pPr>
        <w:adjustRightInd w:val="0"/>
        <w:snapToGrid w:val="0"/>
        <w:spacing w:line="340" w:lineRule="exact"/>
        <w:rPr>
          <w:rFonts w:asciiTheme="minorEastAsia" w:hAnsiTheme="minorEastAsia"/>
          <w:b/>
          <w:sz w:val="22"/>
        </w:rPr>
      </w:pPr>
    </w:p>
    <w:p>
      <w:pPr>
        <w:adjustRightInd w:val="0"/>
        <w:snapToGrid w:val="0"/>
        <w:spacing w:line="340" w:lineRule="exact"/>
        <w:ind w:firstLine="452"/>
        <w:rPr>
          <w:rFonts w:asciiTheme="minorEastAsia" w:hAnsiTheme="minorEastAsia"/>
          <w:b/>
          <w:sz w:val="22"/>
        </w:rPr>
      </w:pPr>
      <w:r>
        <w:rPr>
          <w:rFonts w:hint="eastAsia" w:asciiTheme="minorEastAsia" w:hAnsiTheme="minorEastAsia"/>
          <w:b/>
          <w:sz w:val="22"/>
        </w:rPr>
        <w:t>乙方:</w:t>
      </w:r>
    </w:p>
    <w:p>
      <w:pPr>
        <w:adjustRightInd w:val="0"/>
        <w:snapToGrid w:val="0"/>
        <w:spacing w:line="340" w:lineRule="exact"/>
        <w:ind w:firstLine="452"/>
        <w:rPr>
          <w:rFonts w:asciiTheme="minorEastAsia" w:hAnsiTheme="minorEastAsia"/>
          <w:sz w:val="22"/>
        </w:rPr>
      </w:pPr>
      <w:r>
        <w:rPr>
          <w:rFonts w:hint="eastAsia" w:asciiTheme="minorEastAsia" w:hAnsiTheme="minorEastAsia"/>
          <w:b/>
          <w:sz w:val="22"/>
        </w:rPr>
        <w:t>住所地:</w:t>
      </w:r>
    </w:p>
    <w:p>
      <w:pPr>
        <w:adjustRightInd w:val="0"/>
        <w:snapToGrid w:val="0"/>
        <w:spacing w:line="340" w:lineRule="exact"/>
        <w:ind w:firstLine="450"/>
        <w:rPr>
          <w:rFonts w:asciiTheme="minorEastAsia" w:hAnsiTheme="minorEastAsia"/>
          <w:sz w:val="22"/>
        </w:rPr>
      </w:pPr>
    </w:p>
    <w:p>
      <w:pPr>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甲、乙双方根据《中华人民共和国合同法》等相关法律法规，就相关货物采购事宜，在互利、平等的原则基础上，经协商一致，特签订本合同，以共同遵守。</w:t>
      </w:r>
    </w:p>
    <w:p>
      <w:pPr>
        <w:spacing w:line="340" w:lineRule="exact"/>
        <w:ind w:firstLine="593"/>
        <w:rPr>
          <w:rFonts w:asciiTheme="minorEastAsia" w:hAnsiTheme="minorEastAsia"/>
          <w:b/>
          <w:bCs/>
          <w:sz w:val="22"/>
        </w:rPr>
      </w:pPr>
      <w:r>
        <w:rPr>
          <w:rFonts w:hint="eastAsia" w:asciiTheme="minorEastAsia" w:hAnsiTheme="minorEastAsia"/>
          <w:b/>
          <w:bCs/>
          <w:sz w:val="22"/>
        </w:rPr>
        <w:t>一、货物规格型号及参数</w:t>
      </w:r>
    </w:p>
    <w:tbl>
      <w:tblPr>
        <w:tblStyle w:val="58"/>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1820"/>
        <w:gridCol w:w="215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vAlign w:val="center"/>
          </w:tcPr>
          <w:p>
            <w:pPr>
              <w:pStyle w:val="148"/>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序号</w:t>
            </w:r>
          </w:p>
        </w:tc>
        <w:tc>
          <w:tcPr>
            <w:tcW w:w="1559" w:type="dxa"/>
            <w:vAlign w:val="center"/>
          </w:tcPr>
          <w:p>
            <w:pPr>
              <w:pStyle w:val="148"/>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货物名称</w:t>
            </w:r>
          </w:p>
        </w:tc>
        <w:tc>
          <w:tcPr>
            <w:tcW w:w="1820" w:type="dxa"/>
            <w:vAlign w:val="center"/>
          </w:tcPr>
          <w:p>
            <w:pPr>
              <w:pStyle w:val="148"/>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品牌型号</w:t>
            </w:r>
          </w:p>
        </w:tc>
        <w:tc>
          <w:tcPr>
            <w:tcW w:w="2150" w:type="dxa"/>
            <w:vAlign w:val="center"/>
          </w:tcPr>
          <w:p>
            <w:pPr>
              <w:pStyle w:val="148"/>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单位</w:t>
            </w:r>
          </w:p>
        </w:tc>
        <w:tc>
          <w:tcPr>
            <w:tcW w:w="1180" w:type="dxa"/>
            <w:vAlign w:val="center"/>
          </w:tcPr>
          <w:p>
            <w:pPr>
              <w:pStyle w:val="148"/>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数量</w:t>
            </w:r>
          </w:p>
        </w:tc>
        <w:tc>
          <w:tcPr>
            <w:tcW w:w="1134" w:type="dxa"/>
            <w:vAlign w:val="center"/>
          </w:tcPr>
          <w:p>
            <w:pPr>
              <w:pStyle w:val="148"/>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单价</w:t>
            </w:r>
          </w:p>
        </w:tc>
        <w:tc>
          <w:tcPr>
            <w:tcW w:w="1476" w:type="dxa"/>
            <w:vAlign w:val="center"/>
          </w:tcPr>
          <w:p>
            <w:pPr>
              <w:pStyle w:val="148"/>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pStyle w:val="148"/>
              <w:spacing w:line="560" w:lineRule="exact"/>
              <w:jc w:val="center"/>
              <w:rPr>
                <w:rFonts w:asciiTheme="minorEastAsia" w:hAnsiTheme="minorEastAsia" w:eastAsiaTheme="minorEastAsia"/>
                <w:sz w:val="22"/>
              </w:rPr>
            </w:pPr>
          </w:p>
        </w:tc>
        <w:tc>
          <w:tcPr>
            <w:tcW w:w="1559" w:type="dxa"/>
            <w:vAlign w:val="center"/>
          </w:tcPr>
          <w:p>
            <w:pPr>
              <w:pStyle w:val="148"/>
              <w:spacing w:line="560" w:lineRule="exact"/>
              <w:jc w:val="center"/>
              <w:rPr>
                <w:rFonts w:asciiTheme="minorEastAsia" w:hAnsiTheme="minorEastAsia" w:eastAsiaTheme="minorEastAsia"/>
                <w:sz w:val="22"/>
              </w:rPr>
            </w:pPr>
          </w:p>
        </w:tc>
        <w:tc>
          <w:tcPr>
            <w:tcW w:w="1820" w:type="dxa"/>
            <w:vAlign w:val="center"/>
          </w:tcPr>
          <w:p>
            <w:pPr>
              <w:pStyle w:val="148"/>
              <w:spacing w:line="560" w:lineRule="exact"/>
              <w:jc w:val="center"/>
              <w:rPr>
                <w:rFonts w:asciiTheme="minorEastAsia" w:hAnsiTheme="minorEastAsia" w:eastAsiaTheme="minorEastAsia"/>
                <w:sz w:val="22"/>
              </w:rPr>
            </w:pPr>
          </w:p>
        </w:tc>
        <w:tc>
          <w:tcPr>
            <w:tcW w:w="2150" w:type="dxa"/>
            <w:vAlign w:val="center"/>
          </w:tcPr>
          <w:p>
            <w:pPr>
              <w:pStyle w:val="148"/>
              <w:spacing w:line="560" w:lineRule="exact"/>
              <w:jc w:val="center"/>
              <w:rPr>
                <w:rFonts w:asciiTheme="minorEastAsia" w:hAnsiTheme="minorEastAsia" w:eastAsiaTheme="minorEastAsia"/>
                <w:sz w:val="22"/>
              </w:rPr>
            </w:pPr>
          </w:p>
        </w:tc>
        <w:tc>
          <w:tcPr>
            <w:tcW w:w="1180" w:type="dxa"/>
            <w:vAlign w:val="center"/>
          </w:tcPr>
          <w:p>
            <w:pPr>
              <w:pStyle w:val="148"/>
              <w:spacing w:line="560" w:lineRule="exact"/>
              <w:ind w:firstLine="110" w:firstLineChars="50"/>
              <w:jc w:val="center"/>
              <w:rPr>
                <w:rFonts w:asciiTheme="minorEastAsia" w:hAnsiTheme="minorEastAsia" w:eastAsiaTheme="minorEastAsia"/>
                <w:sz w:val="22"/>
              </w:rPr>
            </w:pPr>
          </w:p>
        </w:tc>
        <w:tc>
          <w:tcPr>
            <w:tcW w:w="1134" w:type="dxa"/>
            <w:vAlign w:val="center"/>
          </w:tcPr>
          <w:p>
            <w:pPr>
              <w:pStyle w:val="148"/>
              <w:spacing w:line="560" w:lineRule="exact"/>
              <w:jc w:val="center"/>
              <w:rPr>
                <w:rFonts w:asciiTheme="minorEastAsia" w:hAnsiTheme="minorEastAsia" w:eastAsiaTheme="minorEastAsia"/>
                <w:sz w:val="22"/>
              </w:rPr>
            </w:pPr>
          </w:p>
        </w:tc>
        <w:tc>
          <w:tcPr>
            <w:tcW w:w="1476" w:type="dxa"/>
            <w:vAlign w:val="center"/>
          </w:tcPr>
          <w:p>
            <w:pPr>
              <w:pStyle w:val="148"/>
              <w:spacing w:line="560" w:lineRule="exact"/>
              <w:ind w:firstLine="110" w:firstLineChars="50"/>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pStyle w:val="148"/>
              <w:spacing w:line="560" w:lineRule="exact"/>
              <w:jc w:val="center"/>
              <w:rPr>
                <w:rFonts w:asciiTheme="minorEastAsia" w:hAnsiTheme="minorEastAsia" w:eastAsiaTheme="minorEastAsia"/>
                <w:sz w:val="22"/>
              </w:rPr>
            </w:pPr>
            <w:r>
              <w:rPr>
                <w:rFonts w:hint="eastAsia" w:asciiTheme="minorEastAsia" w:hAnsiTheme="minorEastAsia" w:eastAsiaTheme="minorEastAsia"/>
                <w:sz w:val="22"/>
              </w:rPr>
              <w:t>合计</w:t>
            </w:r>
          </w:p>
        </w:tc>
        <w:tc>
          <w:tcPr>
            <w:tcW w:w="9319" w:type="dxa"/>
            <w:gridSpan w:val="6"/>
          </w:tcPr>
          <w:p>
            <w:pPr>
              <w:pStyle w:val="148"/>
              <w:spacing w:line="560" w:lineRule="exact"/>
              <w:jc w:val="right"/>
              <w:rPr>
                <w:rFonts w:asciiTheme="minorEastAsia" w:hAnsiTheme="minorEastAsia" w:eastAsiaTheme="minorEastAsia"/>
                <w:sz w:val="22"/>
              </w:rPr>
            </w:pPr>
          </w:p>
        </w:tc>
      </w:tr>
    </w:tbl>
    <w:p>
      <w:pPr>
        <w:adjustRightInd w:val="0"/>
        <w:snapToGrid w:val="0"/>
        <w:spacing w:line="340" w:lineRule="exact"/>
        <w:ind w:firstLine="602"/>
        <w:rPr>
          <w:rFonts w:asciiTheme="minorEastAsia" w:hAnsiTheme="minorEastAsia"/>
          <w:b/>
          <w:sz w:val="22"/>
        </w:rPr>
      </w:pPr>
      <w:r>
        <w:rPr>
          <w:rFonts w:hint="eastAsia" w:asciiTheme="minorEastAsia" w:hAnsiTheme="minorEastAsia"/>
          <w:b/>
          <w:sz w:val="22"/>
        </w:rPr>
        <w:t>二、合同金额</w:t>
      </w:r>
    </w:p>
    <w:p>
      <w:pPr>
        <w:spacing w:line="340" w:lineRule="exact"/>
        <w:ind w:firstLine="422" w:firstLineChars="192"/>
        <w:rPr>
          <w:rFonts w:asciiTheme="minorEastAsia" w:hAnsiTheme="minorEastAsia"/>
          <w:sz w:val="22"/>
        </w:rPr>
      </w:pPr>
      <w:r>
        <w:rPr>
          <w:rFonts w:hint="eastAsia" w:asciiTheme="minorEastAsia" w:hAnsiTheme="minorEastAsia"/>
          <w:sz w:val="22"/>
        </w:rPr>
        <w:t>本合同金额为固定总价合同，合同金额为（大写）：人民币    ，（小写）</w:t>
      </w:r>
      <w:r>
        <w:rPr>
          <w:rFonts w:hint="eastAsia" w:cs="宋体" w:asciiTheme="minorEastAsia" w:hAnsiTheme="minorEastAsia"/>
          <w:sz w:val="22"/>
        </w:rPr>
        <w:t>¥</w:t>
      </w:r>
      <w:r>
        <w:rPr>
          <w:rFonts w:hint="eastAsia" w:cs="Arial" w:asciiTheme="minorEastAsia" w:hAnsiTheme="minorEastAsia"/>
          <w:sz w:val="22"/>
        </w:rPr>
        <w:t xml:space="preserve">       </w:t>
      </w:r>
      <w:r>
        <w:rPr>
          <w:rFonts w:hint="eastAsia" w:asciiTheme="minorEastAsia" w:hAnsiTheme="minorEastAsia"/>
          <w:sz w:val="22"/>
        </w:rPr>
        <w:t>。本合同价为杭州萧山国际机场内交货价，含货物价格、运输费、包装费、保险费、税费等所有费用。甲方不再承担其他任何费用。</w:t>
      </w:r>
    </w:p>
    <w:p>
      <w:pPr>
        <w:spacing w:line="340" w:lineRule="exact"/>
        <w:ind w:firstLine="422" w:firstLineChars="192"/>
        <w:rPr>
          <w:rFonts w:asciiTheme="minorEastAsia" w:hAnsiTheme="minorEastAsia"/>
          <w:sz w:val="22"/>
        </w:rPr>
      </w:pPr>
      <w:r>
        <w:rPr>
          <w:rFonts w:hint="eastAsia" w:asciiTheme="minorEastAsia" w:hAnsiTheme="minorEastAsia"/>
          <w:sz w:val="22"/>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340" w:lineRule="exact"/>
        <w:ind w:firstLine="602"/>
        <w:rPr>
          <w:rFonts w:asciiTheme="minorEastAsia" w:hAnsiTheme="minorEastAsia"/>
          <w:b/>
          <w:sz w:val="22"/>
        </w:rPr>
      </w:pPr>
      <w:r>
        <w:rPr>
          <w:rFonts w:hint="eastAsia" w:asciiTheme="minorEastAsia" w:hAnsiTheme="minorEastAsia"/>
          <w:b/>
          <w:sz w:val="22"/>
        </w:rPr>
        <w:t>三、技术资料</w:t>
      </w:r>
    </w:p>
    <w:p>
      <w:pPr>
        <w:adjustRightInd w:val="0"/>
        <w:snapToGrid w:val="0"/>
        <w:spacing w:line="340" w:lineRule="exact"/>
        <w:ind w:firstLine="602"/>
        <w:rPr>
          <w:rFonts w:asciiTheme="minorEastAsia" w:hAnsiTheme="minorEastAsia"/>
          <w:sz w:val="22"/>
        </w:rPr>
      </w:pPr>
      <w:r>
        <w:rPr>
          <w:rFonts w:hint="eastAsia" w:asciiTheme="minorEastAsia" w:hAnsiTheme="minorEastAsia"/>
          <w:sz w:val="22"/>
        </w:rPr>
        <w:t>1.乙方应在交付合同货物时同时向甲方提供使用货物的有关技术资料。</w:t>
      </w:r>
    </w:p>
    <w:p>
      <w:pPr>
        <w:adjustRightInd w:val="0"/>
        <w:snapToGrid w:val="0"/>
        <w:spacing w:line="340" w:lineRule="exact"/>
        <w:ind w:firstLine="602"/>
        <w:rPr>
          <w:rFonts w:asciiTheme="minorEastAsia" w:hAnsiTheme="minorEastAsia"/>
          <w:sz w:val="22"/>
        </w:rPr>
      </w:pPr>
      <w:r>
        <w:rPr>
          <w:rFonts w:hint="eastAsia" w:asciiTheme="minorEastAsia" w:hAnsiTheme="minorEastAsia"/>
          <w:sz w:val="22"/>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340" w:lineRule="exact"/>
        <w:ind w:firstLine="602"/>
        <w:rPr>
          <w:rFonts w:asciiTheme="minorEastAsia" w:hAnsiTheme="minorEastAsia"/>
          <w:b/>
          <w:sz w:val="22"/>
        </w:rPr>
      </w:pPr>
      <w:r>
        <w:rPr>
          <w:rFonts w:hint="eastAsia" w:asciiTheme="minorEastAsia" w:hAnsiTheme="minorEastAsia"/>
          <w:b/>
          <w:sz w:val="22"/>
        </w:rPr>
        <w:t>四、知识产权</w:t>
      </w:r>
    </w:p>
    <w:p>
      <w:pPr>
        <w:adjustRightInd w:val="0"/>
        <w:snapToGrid w:val="0"/>
        <w:spacing w:line="340" w:lineRule="exact"/>
        <w:ind w:firstLine="602"/>
        <w:rPr>
          <w:rFonts w:asciiTheme="minorEastAsia" w:hAnsiTheme="minorEastAsia"/>
          <w:sz w:val="22"/>
        </w:rPr>
      </w:pPr>
      <w:r>
        <w:rPr>
          <w:rFonts w:hint="eastAsia" w:asciiTheme="minorEastAsia" w:hAnsiTheme="minorEastAsia"/>
          <w:sz w:val="22"/>
        </w:rPr>
        <w:t>乙方应保证所提供的货物或其任何一部分均不会侵犯任何第三方的知识产权等合法权益。如因乙方违反本条保证并导致甲方遭受损失的，甲方有权解除本合同，乙方须就甲方遭受的该等损失承担赔偿责任。</w:t>
      </w:r>
    </w:p>
    <w:p>
      <w:pPr>
        <w:adjustRightInd w:val="0"/>
        <w:snapToGrid w:val="0"/>
        <w:spacing w:line="340" w:lineRule="exact"/>
        <w:ind w:firstLine="602"/>
        <w:rPr>
          <w:rFonts w:asciiTheme="minorEastAsia" w:hAnsiTheme="minorEastAsia"/>
          <w:b/>
          <w:sz w:val="22"/>
        </w:rPr>
      </w:pPr>
      <w:r>
        <w:rPr>
          <w:rFonts w:hint="eastAsia" w:asciiTheme="minorEastAsia" w:hAnsiTheme="minorEastAsia"/>
          <w:b/>
          <w:sz w:val="22"/>
        </w:rPr>
        <w:t>五、产权担保</w:t>
      </w:r>
    </w:p>
    <w:p>
      <w:pPr>
        <w:adjustRightInd w:val="0"/>
        <w:snapToGrid w:val="0"/>
        <w:spacing w:line="340" w:lineRule="exact"/>
        <w:ind w:firstLine="602"/>
        <w:rPr>
          <w:rFonts w:asciiTheme="minorEastAsia" w:hAnsiTheme="minorEastAsia"/>
          <w:sz w:val="22"/>
        </w:rPr>
      </w:pPr>
      <w:r>
        <w:rPr>
          <w:rFonts w:hint="eastAsia" w:asciiTheme="minorEastAsia" w:hAnsiTheme="minorEastAsia"/>
          <w:sz w:val="22"/>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340" w:lineRule="exact"/>
        <w:ind w:firstLine="602"/>
        <w:rPr>
          <w:rFonts w:asciiTheme="minorEastAsia" w:hAnsiTheme="minorEastAsia"/>
          <w:b/>
          <w:sz w:val="22"/>
        </w:rPr>
      </w:pPr>
      <w:r>
        <w:rPr>
          <w:rFonts w:hint="eastAsia" w:asciiTheme="minorEastAsia" w:hAnsiTheme="minorEastAsia"/>
          <w:b/>
          <w:sz w:val="22"/>
        </w:rPr>
        <w:t>六、转包或分包</w:t>
      </w:r>
    </w:p>
    <w:p>
      <w:pPr>
        <w:adjustRightInd w:val="0"/>
        <w:snapToGrid w:val="0"/>
        <w:spacing w:line="340" w:lineRule="exact"/>
        <w:ind w:firstLine="602"/>
        <w:rPr>
          <w:rFonts w:asciiTheme="minorEastAsia" w:hAnsiTheme="minorEastAsia"/>
          <w:sz w:val="22"/>
        </w:rPr>
      </w:pPr>
      <w:r>
        <w:rPr>
          <w:rFonts w:hint="eastAsia" w:asciiTheme="minorEastAsia" w:hAnsiTheme="minorEastAsia"/>
          <w:sz w:val="22"/>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340" w:lineRule="exact"/>
        <w:ind w:firstLine="602"/>
        <w:rPr>
          <w:rFonts w:asciiTheme="minorEastAsia" w:hAnsiTheme="minorEastAsia"/>
          <w:sz w:val="22"/>
        </w:rPr>
      </w:pPr>
      <w:r>
        <w:rPr>
          <w:rFonts w:hint="eastAsia" w:asciiTheme="minorEastAsia" w:hAnsiTheme="minorEastAsia"/>
          <w:sz w:val="22"/>
        </w:rPr>
        <w:t>2.如有未经甲方书面同意的转让和分包行为，甲方有权解除合同，并有权要求乙方承担合同暂定总额【10%】的违约金。</w:t>
      </w:r>
    </w:p>
    <w:p>
      <w:pPr>
        <w:adjustRightInd w:val="0"/>
        <w:snapToGrid w:val="0"/>
        <w:spacing w:line="340" w:lineRule="exact"/>
        <w:ind w:firstLine="602"/>
        <w:rPr>
          <w:rFonts w:asciiTheme="minorEastAsia" w:hAnsiTheme="minorEastAsia"/>
          <w:b/>
          <w:sz w:val="22"/>
        </w:rPr>
      </w:pPr>
      <w:r>
        <w:rPr>
          <w:rFonts w:hint="eastAsia" w:asciiTheme="minorEastAsia" w:hAnsiTheme="minorEastAsia"/>
          <w:b/>
          <w:sz w:val="22"/>
        </w:rPr>
        <w:t>七、货物包装、发货及运输</w:t>
      </w:r>
    </w:p>
    <w:p>
      <w:pPr>
        <w:adjustRightInd w:val="0"/>
        <w:snapToGrid w:val="0"/>
        <w:spacing w:line="340" w:lineRule="exact"/>
        <w:ind w:firstLine="602"/>
        <w:rPr>
          <w:rFonts w:asciiTheme="minorEastAsia" w:hAnsiTheme="minorEastAsia"/>
          <w:sz w:val="22"/>
        </w:rPr>
      </w:pPr>
      <w:r>
        <w:rPr>
          <w:rFonts w:hint="eastAsia" w:asciiTheme="minorEastAsia" w:hAnsiTheme="minorEastAsia"/>
          <w:sz w:val="22"/>
        </w:rPr>
        <w:t>1. 乙方应在货物发运前对其按满足运输距离、防潮、防震、防锈和防破损装卸等要求进行包装，以保证货物安全运达甲方指定地点。</w:t>
      </w:r>
    </w:p>
    <w:p>
      <w:pPr>
        <w:adjustRightInd w:val="0"/>
        <w:snapToGrid w:val="0"/>
        <w:spacing w:line="340" w:lineRule="exact"/>
        <w:ind w:firstLine="602"/>
        <w:rPr>
          <w:rFonts w:asciiTheme="minorEastAsia" w:hAnsiTheme="minorEastAsia"/>
          <w:sz w:val="22"/>
        </w:rPr>
      </w:pPr>
      <w:r>
        <w:rPr>
          <w:rFonts w:hint="eastAsia" w:asciiTheme="minorEastAsia" w:hAnsiTheme="minorEastAsia"/>
          <w:sz w:val="22"/>
        </w:rPr>
        <w:t>2. 使用说明书、质量检验证明书、技术资料、随配附件和工具以及清单一并附于货物内同时向甲方交付。如资料不全的，视为乙方未完全履行交付义务。</w:t>
      </w:r>
    </w:p>
    <w:p>
      <w:pPr>
        <w:adjustRightInd w:val="0"/>
        <w:snapToGrid w:val="0"/>
        <w:spacing w:line="340" w:lineRule="exact"/>
        <w:ind w:firstLine="602"/>
        <w:rPr>
          <w:rFonts w:asciiTheme="minorEastAsia" w:hAnsiTheme="minorEastAsia"/>
          <w:sz w:val="22"/>
        </w:rPr>
      </w:pPr>
      <w:r>
        <w:rPr>
          <w:rFonts w:hint="eastAsia" w:asciiTheme="minorEastAsia" w:hAnsiTheme="minorEastAsia"/>
          <w:sz w:val="22"/>
        </w:rPr>
        <w:t>3. 乙方在货物发运手续办理完毕后【24】小时内必须书面通知甲方，以便甲方准备接货。</w:t>
      </w:r>
    </w:p>
    <w:p>
      <w:pPr>
        <w:adjustRightInd w:val="0"/>
        <w:snapToGrid w:val="0"/>
        <w:spacing w:line="340" w:lineRule="exact"/>
        <w:ind w:firstLine="602"/>
        <w:rPr>
          <w:rFonts w:asciiTheme="minorEastAsia" w:hAnsiTheme="minorEastAsia"/>
          <w:sz w:val="22"/>
        </w:rPr>
      </w:pPr>
      <w:r>
        <w:rPr>
          <w:rFonts w:hint="eastAsia" w:asciiTheme="minorEastAsia" w:hAnsiTheme="minorEastAsia"/>
          <w:sz w:val="22"/>
        </w:rPr>
        <w:t>4. 货物在本合同规定的交货地点交付甲方前发生的一切风险包括货物运输风险均由乙方负责。</w:t>
      </w:r>
    </w:p>
    <w:p>
      <w:pPr>
        <w:adjustRightInd w:val="0"/>
        <w:snapToGrid w:val="0"/>
        <w:spacing w:line="340" w:lineRule="exact"/>
        <w:ind w:firstLine="602"/>
        <w:rPr>
          <w:rFonts w:asciiTheme="minorEastAsia" w:hAnsiTheme="minorEastAsia"/>
          <w:b/>
          <w:sz w:val="22"/>
        </w:rPr>
      </w:pPr>
      <w:r>
        <w:rPr>
          <w:rFonts w:hint="eastAsia" w:asciiTheme="minorEastAsia" w:hAnsiTheme="minorEastAsia"/>
          <w:sz w:val="22"/>
        </w:rPr>
        <w:t>5. 货物在规定的交付期限内由乙方送达甲方指定的交货地点并经甲方签收后视为交付，乙方同时必须在货物到达的当天立即通知甲方货物已送达。</w:t>
      </w:r>
    </w:p>
    <w:p>
      <w:pPr>
        <w:adjustRightInd w:val="0"/>
        <w:snapToGrid w:val="0"/>
        <w:spacing w:line="340" w:lineRule="exact"/>
        <w:ind w:firstLine="602"/>
        <w:rPr>
          <w:rFonts w:asciiTheme="minorEastAsia" w:hAnsiTheme="minorEastAsia"/>
          <w:b/>
          <w:sz w:val="22"/>
        </w:rPr>
      </w:pPr>
      <w:r>
        <w:rPr>
          <w:rFonts w:hint="eastAsia" w:asciiTheme="minorEastAsia" w:hAnsiTheme="minorEastAsia"/>
          <w:b/>
          <w:sz w:val="22"/>
        </w:rPr>
        <w:t>八、交货期、交货方式及交货地点</w:t>
      </w:r>
    </w:p>
    <w:p>
      <w:pPr>
        <w:adjustRightInd w:val="0"/>
        <w:snapToGrid w:val="0"/>
        <w:spacing w:line="340" w:lineRule="exact"/>
        <w:ind w:firstLine="602"/>
        <w:rPr>
          <w:rFonts w:asciiTheme="minorEastAsia" w:hAnsiTheme="minorEastAsia"/>
          <w:sz w:val="22"/>
        </w:rPr>
      </w:pPr>
      <w:r>
        <w:rPr>
          <w:rFonts w:hint="eastAsia" w:asciiTheme="minorEastAsia" w:hAnsiTheme="minorEastAsia"/>
          <w:sz w:val="22"/>
        </w:rPr>
        <w:t>1. 交货期：合同签订后  30日历天以内</w:t>
      </w:r>
    </w:p>
    <w:p>
      <w:pPr>
        <w:adjustRightInd w:val="0"/>
        <w:snapToGrid w:val="0"/>
        <w:spacing w:line="340" w:lineRule="exact"/>
        <w:ind w:firstLine="602"/>
        <w:rPr>
          <w:rFonts w:asciiTheme="minorEastAsia" w:hAnsiTheme="minorEastAsia"/>
          <w:sz w:val="22"/>
        </w:rPr>
      </w:pPr>
      <w:r>
        <w:rPr>
          <w:rFonts w:hint="eastAsia" w:asciiTheme="minorEastAsia" w:hAnsiTheme="minorEastAsia"/>
          <w:sz w:val="22"/>
        </w:rPr>
        <w:t>2. 交货方式：乙方送货上门</w:t>
      </w:r>
    </w:p>
    <w:p>
      <w:pPr>
        <w:adjustRightInd w:val="0"/>
        <w:snapToGrid w:val="0"/>
        <w:spacing w:line="340" w:lineRule="exact"/>
        <w:ind w:firstLine="602"/>
        <w:rPr>
          <w:rFonts w:asciiTheme="minorEastAsia" w:hAnsiTheme="minorEastAsia"/>
          <w:sz w:val="22"/>
        </w:rPr>
      </w:pPr>
      <w:r>
        <w:rPr>
          <w:rFonts w:hint="eastAsia" w:asciiTheme="minorEastAsia" w:hAnsiTheme="minorEastAsia"/>
          <w:sz w:val="22"/>
        </w:rPr>
        <w:t>3. 交货地点：杭州萧山国际机场内</w:t>
      </w:r>
    </w:p>
    <w:p>
      <w:pPr>
        <w:adjustRightInd w:val="0"/>
        <w:snapToGrid w:val="0"/>
        <w:spacing w:line="340" w:lineRule="exact"/>
        <w:ind w:firstLine="602"/>
        <w:outlineLvl w:val="0"/>
        <w:rPr>
          <w:rFonts w:asciiTheme="minorEastAsia" w:hAnsiTheme="minorEastAsia"/>
          <w:b/>
          <w:sz w:val="22"/>
        </w:rPr>
      </w:pPr>
      <w:r>
        <w:rPr>
          <w:rFonts w:hint="eastAsia" w:asciiTheme="minorEastAsia" w:hAnsiTheme="minorEastAsia"/>
          <w:b/>
          <w:sz w:val="22"/>
        </w:rPr>
        <w:t>九、验收</w:t>
      </w:r>
    </w:p>
    <w:p>
      <w:pPr>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2.乙方交货前应对货物作出全面检查和对验收文件进行整理，并列出清单，作为甲方收货验收和使用的技术条件依据，乙方质量检验证书应随货物交甲方。</w:t>
      </w:r>
    </w:p>
    <w:p>
      <w:pPr>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3.甲方签收货物后如发现货物的品种、数量、花色或质量不符合合同约定或相关质量要求，甲方应在签收之日起【7 】日内以书面或电话形式向乙方提出异议；乙方应当在收到甲方异议之日起【 3】日内作出答复或与甲方协商处理，或在【 3】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7】日内签署验收合格确认书。验收合格确认书并不免除乙方在本合同项下应当承担的质量保证责任以及售后服务的义务。</w:t>
      </w:r>
    </w:p>
    <w:p>
      <w:pPr>
        <w:adjustRightInd w:val="0"/>
        <w:snapToGrid w:val="0"/>
        <w:spacing w:line="340" w:lineRule="exact"/>
        <w:ind w:firstLine="602"/>
        <w:rPr>
          <w:rFonts w:asciiTheme="minorEastAsia" w:hAnsiTheme="minorEastAsia"/>
          <w:b/>
          <w:sz w:val="22"/>
        </w:rPr>
      </w:pPr>
      <w:r>
        <w:rPr>
          <w:rFonts w:hint="eastAsia" w:asciiTheme="minorEastAsia" w:hAnsiTheme="minorEastAsia"/>
          <w:b/>
          <w:sz w:val="22"/>
        </w:rPr>
        <w:t>十、货款支付</w:t>
      </w:r>
    </w:p>
    <w:p>
      <w:pPr>
        <w:pStyle w:val="49"/>
        <w:snapToGrid w:val="0"/>
        <w:spacing w:before="0" w:beforeAutospacing="0" w:after="0" w:afterAutospacing="0" w:line="360" w:lineRule="auto"/>
        <w:ind w:firstLine="442" w:firstLineChars="200"/>
        <w:jc w:val="both"/>
        <w:rPr>
          <w:rFonts w:ascii="宋体" w:hAnsi="宋体" w:eastAsia="宋体"/>
          <w:color w:val="auto"/>
          <w:sz w:val="22"/>
          <w:szCs w:val="22"/>
        </w:rPr>
      </w:pPr>
      <w:r>
        <w:rPr>
          <w:rFonts w:hint="eastAsia" w:ascii="宋体" w:hAnsi="宋体" w:eastAsia="宋体"/>
          <w:b/>
          <w:color w:val="auto"/>
          <w:sz w:val="22"/>
          <w:szCs w:val="22"/>
        </w:rPr>
        <w:t>1</w:t>
      </w:r>
      <w:r>
        <w:rPr>
          <w:rFonts w:hint="eastAsia" w:ascii="宋体" w:hAnsi="宋体" w:eastAsia="宋体"/>
          <w:color w:val="auto"/>
          <w:sz w:val="22"/>
          <w:szCs w:val="22"/>
        </w:rPr>
        <w:t>. 合同签订之日起15个工作日内甲方向乙方支付合同总金额的10%。设备安装调试完成后，并经甲方验收合格后【15】个工作日内，支付至合同总金额的95%。</w:t>
      </w:r>
    </w:p>
    <w:p>
      <w:pPr>
        <w:pStyle w:val="49"/>
        <w:snapToGrid w:val="0"/>
        <w:spacing w:before="0" w:beforeAutospacing="0" w:after="0" w:afterAutospacing="0" w:line="360" w:lineRule="auto"/>
        <w:ind w:firstLine="442" w:firstLineChars="200"/>
        <w:jc w:val="both"/>
        <w:rPr>
          <w:rFonts w:ascii="宋体" w:hAnsi="宋体" w:eastAsia="宋体"/>
          <w:color w:val="auto"/>
          <w:sz w:val="22"/>
          <w:szCs w:val="22"/>
        </w:rPr>
      </w:pPr>
      <w:r>
        <w:rPr>
          <w:rFonts w:hint="eastAsia" w:ascii="宋体" w:hAnsi="宋体" w:eastAsia="宋体"/>
          <w:b/>
          <w:color w:val="auto"/>
          <w:sz w:val="22"/>
          <w:szCs w:val="22"/>
        </w:rPr>
        <w:t>2.</w:t>
      </w:r>
      <w:r>
        <w:rPr>
          <w:rFonts w:hint="eastAsia" w:ascii="仿宋" w:hAnsi="仿宋" w:eastAsia="仿宋"/>
          <w:color w:val="auto"/>
        </w:rPr>
        <w:t xml:space="preserve"> </w:t>
      </w:r>
      <w:r>
        <w:rPr>
          <w:rFonts w:hint="eastAsia" w:ascii="宋体" w:hAnsi="宋体" w:eastAsia="宋体"/>
          <w:color w:val="auto"/>
          <w:sz w:val="22"/>
          <w:szCs w:val="22"/>
        </w:rPr>
        <w:t>质量保证金为合同总价5</w:t>
      </w:r>
      <w:r>
        <w:rPr>
          <w:rFonts w:ascii="宋体" w:hAnsi="宋体" w:eastAsia="宋体"/>
          <w:color w:val="auto"/>
          <w:sz w:val="22"/>
          <w:szCs w:val="22"/>
        </w:rPr>
        <w:t>%，</w:t>
      </w:r>
      <w:r>
        <w:rPr>
          <w:rFonts w:hint="eastAsia" w:ascii="宋体" w:hAnsi="宋体" w:eastAsia="宋体"/>
          <w:color w:val="auto"/>
          <w:sz w:val="22"/>
          <w:szCs w:val="22"/>
        </w:rPr>
        <w:t>质量保证金于质量保证期满后【十五】</w:t>
      </w:r>
      <w:r>
        <w:rPr>
          <w:rFonts w:ascii="宋体" w:hAnsi="宋体" w:eastAsia="宋体"/>
          <w:color w:val="auto"/>
          <w:sz w:val="22"/>
          <w:szCs w:val="22"/>
        </w:rPr>
        <w:t>工作日内</w:t>
      </w:r>
      <w:r>
        <w:rPr>
          <w:rFonts w:hint="eastAsia" w:ascii="宋体" w:hAnsi="宋体" w:eastAsia="宋体"/>
          <w:color w:val="auto"/>
          <w:sz w:val="22"/>
          <w:szCs w:val="22"/>
        </w:rPr>
        <w:t>一并无息</w:t>
      </w:r>
      <w:r>
        <w:rPr>
          <w:rFonts w:ascii="宋体" w:hAnsi="宋体" w:eastAsia="宋体"/>
          <w:color w:val="auto"/>
          <w:sz w:val="22"/>
          <w:szCs w:val="22"/>
        </w:rPr>
        <w:t>支付。</w:t>
      </w:r>
    </w:p>
    <w:p>
      <w:pPr>
        <w:pStyle w:val="49"/>
        <w:snapToGrid w:val="0"/>
        <w:spacing w:before="0" w:beforeAutospacing="0" w:after="0" w:afterAutospacing="0" w:line="360" w:lineRule="auto"/>
        <w:ind w:firstLine="442" w:firstLineChars="200"/>
        <w:jc w:val="both"/>
        <w:rPr>
          <w:rFonts w:ascii="宋体" w:hAnsi="宋体" w:eastAsia="宋体"/>
          <w:color w:val="auto"/>
          <w:sz w:val="22"/>
          <w:szCs w:val="22"/>
        </w:rPr>
      </w:pPr>
      <w:r>
        <w:rPr>
          <w:rFonts w:hint="eastAsia" w:ascii="宋体" w:hAnsi="宋体" w:eastAsia="宋体"/>
          <w:b/>
          <w:color w:val="auto"/>
          <w:sz w:val="22"/>
          <w:szCs w:val="22"/>
        </w:rPr>
        <w:t>3.</w:t>
      </w:r>
      <w:r>
        <w:rPr>
          <w:rFonts w:hint="eastAsia" w:ascii="宋体" w:hAnsi="宋体" w:eastAsia="宋体"/>
          <w:color w:val="auto"/>
          <w:sz w:val="22"/>
          <w:szCs w:val="22"/>
        </w:rPr>
        <w:t>乙方在甲方每次付款前开具正式增值税发票。</w:t>
      </w:r>
    </w:p>
    <w:p>
      <w:pPr>
        <w:adjustRightInd w:val="0"/>
        <w:snapToGrid w:val="0"/>
        <w:spacing w:line="340" w:lineRule="exact"/>
        <w:ind w:firstLine="602"/>
        <w:rPr>
          <w:rFonts w:asciiTheme="minorEastAsia" w:hAnsiTheme="minorEastAsia"/>
          <w:b/>
          <w:sz w:val="22"/>
        </w:rPr>
      </w:pPr>
      <w:r>
        <w:rPr>
          <w:rFonts w:hint="eastAsia" w:asciiTheme="minorEastAsia" w:hAnsiTheme="minorEastAsia"/>
          <w:b/>
          <w:sz w:val="22"/>
        </w:rPr>
        <w:t>十一、履约保证金</w:t>
      </w:r>
    </w:p>
    <w:p>
      <w:pPr>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1．乙方应在收到甲方中标通知书后【10】日内，向甲方支付合同总价的【10%】作为履约保证金。如果逾期未缴纳，甲方有权解除本合同，并要求乙方承担由此给甲方造成的损失。</w:t>
      </w:r>
    </w:p>
    <w:p>
      <w:pPr>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2．在合同履行期间，如果乙方存在违约情形，甲方有权优先从履约保证金中扣除相应款项，并书面通知乙方。乙方自收到书面通知之日起【5】日内补足履约保证金。如果乙方不及时补足履约保证金，视为乙方违约，甲方有权解除合同，并要求乙方承担相应的违约责任。待合同约定服务内容全部履行并完毕，乙方不存在任何违约情形并收到甲方书面认可后【10】日内，甲方无息返还履约保证金。</w:t>
      </w:r>
    </w:p>
    <w:p>
      <w:pPr>
        <w:adjustRightInd w:val="0"/>
        <w:snapToGrid w:val="0"/>
        <w:spacing w:line="340" w:lineRule="exact"/>
        <w:ind w:firstLine="602"/>
        <w:outlineLvl w:val="0"/>
        <w:rPr>
          <w:rFonts w:asciiTheme="minorEastAsia" w:hAnsiTheme="minorEastAsia"/>
          <w:b/>
          <w:sz w:val="22"/>
        </w:rPr>
      </w:pPr>
      <w:r>
        <w:rPr>
          <w:rFonts w:hint="eastAsia" w:asciiTheme="minorEastAsia" w:hAnsiTheme="minorEastAsia"/>
          <w:b/>
          <w:sz w:val="22"/>
        </w:rPr>
        <w:t>十二、免费质保期及服务内容</w:t>
      </w:r>
    </w:p>
    <w:p>
      <w:pPr>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1. 乙方保证其所供应的货物符合相关货物质量标准，不存在任何质量瑕疵或因质量瑕疵而导致的安全隐患，且为未经使用的全新货物。</w:t>
      </w:r>
    </w:p>
    <w:p>
      <w:pPr>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2. 乙方应为货物提供【两】年的免费质保期，时间自甲方签署货物验收合格确认书之日起计算。</w:t>
      </w:r>
    </w:p>
    <w:p>
      <w:pPr>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3．免费质保期内由于非甲方原因发生的损坏，乙方免费提供返修，保证货物正常安全使用为止。如无法返修，乙方应负责免费更换或由甲方退还乙方所供货物，乙方退还甲方支付的合同款，同时应承担该货物的直接费用（运输、保险、检验、人民银行公布的同期货款基准利率及银行手续费、担保、抵押、法院执行措施所产生的费用等）以及由此给甲方造成的损失。</w:t>
      </w:r>
    </w:p>
    <w:p>
      <w:pPr>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4．乙方提供【24】小时售后服务，在接到报修通知后，维修人员应在【24】小时内赶到杭州萧山国际机场，并连续进行维修，直到货物恢复正常。修复部分的质保期自修复之日起重新开始计算。</w:t>
      </w:r>
    </w:p>
    <w:p>
      <w:pPr>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5.免费质保期结束的【15】天前，乙方负责对货物进行一次全面的返修，并由甲方验收认可。甲方验收认可并不免除乙方对于验收认可后发生的但尚在质保期限内的货物损坏的维修、退换货义务。</w:t>
      </w:r>
    </w:p>
    <w:p>
      <w:pPr>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6、若乙方提供的货物属于伪劣货物或者假冒货物或者欺诈甲方，使得甲方遭受损失，乙方应向甲方承担违约责任，同时，甲方可依法寻求其他法律救济。</w:t>
      </w:r>
    </w:p>
    <w:p>
      <w:pPr>
        <w:adjustRightInd w:val="0"/>
        <w:snapToGrid w:val="0"/>
        <w:spacing w:line="340" w:lineRule="exact"/>
        <w:ind w:firstLine="442" w:firstLineChars="200"/>
        <w:rPr>
          <w:rFonts w:asciiTheme="minorEastAsia" w:hAnsiTheme="minorEastAsia"/>
          <w:sz w:val="22"/>
        </w:rPr>
      </w:pPr>
      <w:r>
        <w:rPr>
          <w:rFonts w:hint="eastAsia" w:asciiTheme="minorEastAsia" w:hAnsiTheme="minorEastAsia"/>
          <w:b/>
          <w:sz w:val="22"/>
        </w:rPr>
        <w:t>十三、违约责任</w:t>
      </w:r>
    </w:p>
    <w:p>
      <w:pPr>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1. 甲方无故逾期支付货款的,甲方应按逾期付款总额每日【0.05】%向乙方支付违约金。</w:t>
      </w:r>
    </w:p>
    <w:p>
      <w:pPr>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 xml:space="preserve">2. 乙方逾期交付货物和本合同规定的文件资料的，乙方应按合同暂定总额每日【0.6】%向甲方支付违约金，由甲方从货款中扣除。逾期超过约定日期【10】个工作日的，甲方可解除本合同。乙方因逾期交货或因其他违约行为导致甲方解除合同的，乙方应向甲方支付合同暂定总额【5】%的违约金，且全额没收乙方的履约保证金，如造成甲方损失超过违约金的，超出部分由乙方继续承担赔偿责任。 </w:t>
      </w:r>
    </w:p>
    <w:p>
      <w:pPr>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3.因乙方更换货物而逾期交货的，按乙方逾期交货处理。乙方拒绝更换货物的，甲方可单方面解除合同，不予支付相应货款，履约保证金不予以返还。</w:t>
      </w:r>
    </w:p>
    <w:p>
      <w:pPr>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4．因乙方提供货物质量问题或者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5. 乙方不在约定期限内派人返修或返修质量验收不合格的，甲方可以委托他人修理，费用由乙方承担，甲方与第三方确认后可直接从履约保证金中扣除；履约保证金不足以抵扣的，继续向乙方追偿。</w:t>
      </w:r>
    </w:p>
    <w:p>
      <w:pPr>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7．对于本合同项下乙方应支付的赔偿款或违约金，甲方有权从应付乙方的货款及履约保证金中直接扣除，仍不足的部分，继续向乙方追偿。</w:t>
      </w:r>
    </w:p>
    <w:p>
      <w:pPr>
        <w:adjustRightInd w:val="0"/>
        <w:snapToGrid w:val="0"/>
        <w:spacing w:line="340" w:lineRule="exact"/>
        <w:ind w:firstLine="602"/>
        <w:outlineLvl w:val="0"/>
        <w:rPr>
          <w:rFonts w:asciiTheme="minorEastAsia" w:hAnsiTheme="minorEastAsia"/>
          <w:b/>
          <w:sz w:val="22"/>
        </w:rPr>
      </w:pPr>
      <w:r>
        <w:rPr>
          <w:rFonts w:hint="eastAsia" w:asciiTheme="minorEastAsia" w:hAnsiTheme="minorEastAsia"/>
          <w:b/>
          <w:sz w:val="22"/>
        </w:rPr>
        <w:t>十四、不可抗力事件处理</w:t>
      </w:r>
    </w:p>
    <w:p>
      <w:pPr>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1. 在合同有效期内，任何一方因不可抗力事件导致不能履行合同，则合同履行期可延长，其延长期与不可抗力影响期相同。</w:t>
      </w:r>
    </w:p>
    <w:p>
      <w:pPr>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2. 不可抗力事件发生后，遭遇不可抗力的一方应立即通知对方，并寄送有关官方权威机构出具的证明。</w:t>
      </w:r>
    </w:p>
    <w:p>
      <w:pPr>
        <w:spacing w:line="340" w:lineRule="exact"/>
        <w:ind w:firstLine="418" w:firstLineChars="190"/>
        <w:rPr>
          <w:rFonts w:asciiTheme="minorEastAsia" w:hAnsiTheme="minorEastAsia"/>
          <w:sz w:val="22"/>
        </w:rPr>
      </w:pPr>
      <w:r>
        <w:rPr>
          <w:rFonts w:hint="eastAsia" w:asciiTheme="minorEastAsia" w:hAnsiTheme="minorEastAsia"/>
          <w:sz w:val="22"/>
        </w:rPr>
        <w:t>3. 不可抗力事件延续【30】天以上，双方应通过友好协商，确定是否继续履行合同；协商无法达成一致的，本合同自动终止，双方互不承担赔偿或违约责任。</w:t>
      </w:r>
    </w:p>
    <w:p>
      <w:pPr>
        <w:adjustRightInd w:val="0"/>
        <w:snapToGrid w:val="0"/>
        <w:spacing w:line="340" w:lineRule="exact"/>
        <w:ind w:firstLine="602"/>
        <w:rPr>
          <w:rFonts w:asciiTheme="minorEastAsia" w:hAnsiTheme="minorEastAsia"/>
          <w:b/>
          <w:sz w:val="22"/>
        </w:rPr>
      </w:pPr>
      <w:r>
        <w:rPr>
          <w:rFonts w:hint="eastAsia" w:asciiTheme="minorEastAsia" w:hAnsiTheme="minorEastAsia"/>
          <w:b/>
          <w:sz w:val="22"/>
        </w:rPr>
        <w:t>十五、争议解决</w:t>
      </w:r>
    </w:p>
    <w:p>
      <w:pPr>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双方在执行合同中所发生的一切争议，应通过协商解决。如协商不成，由甲方所在地的人民法院管辖审理。</w:t>
      </w:r>
    </w:p>
    <w:p>
      <w:pPr>
        <w:adjustRightInd w:val="0"/>
        <w:snapToGrid w:val="0"/>
        <w:spacing w:line="340" w:lineRule="exact"/>
        <w:ind w:firstLine="442" w:firstLineChars="200"/>
        <w:rPr>
          <w:rFonts w:asciiTheme="minorEastAsia" w:hAnsiTheme="minorEastAsia"/>
          <w:b/>
          <w:sz w:val="22"/>
        </w:rPr>
      </w:pPr>
      <w:r>
        <w:rPr>
          <w:rFonts w:hint="eastAsia" w:asciiTheme="minorEastAsia" w:hAnsiTheme="minorEastAsia"/>
          <w:b/>
          <w:sz w:val="22"/>
        </w:rPr>
        <w:t>十六、合同组成文件包含下列内容，且解释顺序如下：</w:t>
      </w:r>
    </w:p>
    <w:p>
      <w:pPr>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1.本合同协议书</w:t>
      </w:r>
    </w:p>
    <w:p>
      <w:pPr>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2.中标通知书</w:t>
      </w:r>
    </w:p>
    <w:p>
      <w:pPr>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3.招标文件</w:t>
      </w:r>
    </w:p>
    <w:p>
      <w:pPr>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4.投标书及其附件</w:t>
      </w:r>
    </w:p>
    <w:p>
      <w:pPr>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5.标准、规范及有关技术文件</w:t>
      </w:r>
    </w:p>
    <w:p>
      <w:pPr>
        <w:adjustRightInd w:val="0"/>
        <w:snapToGrid w:val="0"/>
        <w:spacing w:line="340" w:lineRule="exact"/>
        <w:ind w:firstLine="602"/>
        <w:outlineLvl w:val="0"/>
        <w:rPr>
          <w:rFonts w:asciiTheme="minorEastAsia" w:hAnsiTheme="minorEastAsia"/>
          <w:b/>
          <w:sz w:val="22"/>
        </w:rPr>
      </w:pPr>
      <w:r>
        <w:rPr>
          <w:rFonts w:hint="eastAsia" w:asciiTheme="minorEastAsia" w:hAnsiTheme="minorEastAsia"/>
          <w:b/>
          <w:sz w:val="22"/>
        </w:rPr>
        <w:t>十七、合同生效及其它</w:t>
      </w:r>
    </w:p>
    <w:p>
      <w:pPr>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1. 合同经双方法定代表人或授权代表签字（包含签章）并加盖单位公章或者合同章之日起生效。</w:t>
      </w:r>
    </w:p>
    <w:p>
      <w:pPr>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2.本合同未尽事宜，双方可签订补充协议予以执行；未达成补充协议的，遵照《合同法》及有关法律法规执行。</w:t>
      </w:r>
    </w:p>
    <w:p>
      <w:pPr>
        <w:tabs>
          <w:tab w:val="right" w:pos="8306"/>
        </w:tabs>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3.本合同一式陆份，甲执四份，乙方持二份，具有同等法律效力。</w:t>
      </w:r>
    </w:p>
    <w:p>
      <w:pPr>
        <w:tabs>
          <w:tab w:val="right" w:pos="8306"/>
        </w:tabs>
        <w:adjustRightInd w:val="0"/>
        <w:snapToGrid w:val="0"/>
        <w:spacing w:line="340" w:lineRule="exact"/>
        <w:rPr>
          <w:rFonts w:asciiTheme="minorEastAsia" w:hAnsiTheme="minorEastAsia"/>
          <w:sz w:val="22"/>
        </w:rPr>
      </w:pPr>
    </w:p>
    <w:p>
      <w:pPr>
        <w:tabs>
          <w:tab w:val="right" w:pos="8306"/>
        </w:tabs>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（以下为签署页）</w:t>
      </w:r>
      <w:r>
        <w:rPr>
          <w:rFonts w:hint="eastAsia" w:asciiTheme="minorEastAsia" w:hAnsiTheme="minorEastAsia"/>
          <w:sz w:val="22"/>
        </w:rPr>
        <w:tab/>
      </w:r>
    </w:p>
    <w:p>
      <w:pPr>
        <w:adjustRightInd w:val="0"/>
        <w:snapToGrid w:val="0"/>
        <w:spacing w:line="340" w:lineRule="exact"/>
        <w:ind w:left="3520" w:hanging="3520" w:hangingChars="1600"/>
        <w:rPr>
          <w:rFonts w:asciiTheme="minorEastAsia" w:hAnsiTheme="minorEastAsia"/>
          <w:sz w:val="22"/>
        </w:rPr>
      </w:pPr>
      <w:r>
        <w:rPr>
          <w:rFonts w:hint="eastAsia" w:asciiTheme="minorEastAsia" w:hAnsiTheme="minorEastAsia"/>
          <w:sz w:val="22"/>
        </w:rPr>
        <w:t>甲方：杭州萧山国际机场有限公司  乙方：</w:t>
      </w:r>
    </w:p>
    <w:p>
      <w:pPr>
        <w:adjustRightInd w:val="0"/>
        <w:snapToGrid w:val="0"/>
        <w:spacing w:line="340" w:lineRule="exact"/>
        <w:ind w:left="6750" w:hanging="6750"/>
        <w:rPr>
          <w:rFonts w:asciiTheme="minorEastAsia" w:hAnsiTheme="minorEastAsia"/>
          <w:sz w:val="22"/>
        </w:rPr>
      </w:pPr>
      <w:r>
        <w:rPr>
          <w:rFonts w:hint="eastAsia" w:asciiTheme="minorEastAsia" w:hAnsiTheme="minorEastAsia"/>
          <w:sz w:val="22"/>
        </w:rPr>
        <w:t>地址：杭州萧山国际机场内        地址：</w:t>
      </w:r>
    </w:p>
    <w:p>
      <w:pPr>
        <w:adjustRightInd w:val="0"/>
        <w:snapToGrid w:val="0"/>
        <w:spacing w:line="340" w:lineRule="exact"/>
        <w:ind w:left="6750" w:hanging="6750"/>
        <w:rPr>
          <w:rFonts w:asciiTheme="minorEastAsia" w:hAnsiTheme="minorEastAsia"/>
          <w:sz w:val="22"/>
        </w:rPr>
      </w:pPr>
    </w:p>
    <w:p>
      <w:pPr>
        <w:adjustRightInd w:val="0"/>
        <w:snapToGrid w:val="0"/>
        <w:spacing w:line="340" w:lineRule="exact"/>
        <w:rPr>
          <w:rFonts w:asciiTheme="minorEastAsia" w:hAnsiTheme="minorEastAsia"/>
          <w:sz w:val="22"/>
        </w:rPr>
      </w:pPr>
      <w:r>
        <w:rPr>
          <w:rFonts w:hint="eastAsia" w:asciiTheme="minorEastAsia" w:hAnsiTheme="minorEastAsia"/>
          <w:sz w:val="22"/>
        </w:rPr>
        <w:t>法定代表人：                     法定代表人：</w:t>
      </w:r>
    </w:p>
    <w:p>
      <w:pPr>
        <w:adjustRightInd w:val="0"/>
        <w:snapToGrid w:val="0"/>
        <w:spacing w:line="340" w:lineRule="exact"/>
        <w:rPr>
          <w:rFonts w:asciiTheme="minorEastAsia" w:hAnsiTheme="minorEastAsia"/>
          <w:sz w:val="22"/>
        </w:rPr>
      </w:pPr>
      <w:r>
        <w:rPr>
          <w:rFonts w:hint="eastAsia" w:asciiTheme="minorEastAsia" w:hAnsiTheme="minorEastAsia"/>
          <w:sz w:val="22"/>
        </w:rPr>
        <w:t>或                               或</w:t>
      </w:r>
    </w:p>
    <w:p>
      <w:pPr>
        <w:adjustRightInd w:val="0"/>
        <w:snapToGrid w:val="0"/>
        <w:spacing w:line="340" w:lineRule="exact"/>
        <w:rPr>
          <w:rFonts w:asciiTheme="minorEastAsia" w:hAnsiTheme="minorEastAsia"/>
          <w:sz w:val="22"/>
        </w:rPr>
      </w:pPr>
      <w:r>
        <w:rPr>
          <w:rFonts w:hint="eastAsia" w:asciiTheme="minorEastAsia" w:hAnsiTheme="minorEastAsia"/>
          <w:sz w:val="22"/>
        </w:rPr>
        <w:t>授权代表：                       授权代表：</w:t>
      </w:r>
    </w:p>
    <w:p>
      <w:pPr>
        <w:adjustRightInd w:val="0"/>
        <w:snapToGrid w:val="0"/>
        <w:spacing w:line="340" w:lineRule="exact"/>
        <w:rPr>
          <w:rFonts w:asciiTheme="minorEastAsia" w:hAnsiTheme="minorEastAsia"/>
          <w:sz w:val="22"/>
        </w:rPr>
      </w:pPr>
      <w:r>
        <w:rPr>
          <w:rFonts w:hint="eastAsia" w:asciiTheme="minorEastAsia" w:hAnsiTheme="minorEastAsia"/>
          <w:sz w:val="22"/>
        </w:rPr>
        <w:t xml:space="preserve">签字日期：                       签字日期： </w:t>
      </w:r>
    </w:p>
    <w:p>
      <w:pPr>
        <w:adjustRightInd w:val="0"/>
        <w:snapToGrid w:val="0"/>
        <w:spacing w:line="340" w:lineRule="exact"/>
        <w:rPr>
          <w:rFonts w:asciiTheme="minorEastAsia" w:hAnsiTheme="minorEastAsia"/>
          <w:b/>
          <w:sz w:val="22"/>
        </w:rPr>
      </w:pPr>
    </w:p>
    <w:p>
      <w:pPr>
        <w:adjustRightInd w:val="0"/>
        <w:snapToGrid w:val="0"/>
        <w:spacing w:line="340" w:lineRule="exact"/>
        <w:ind w:firstLine="440" w:firstLineChars="200"/>
        <w:rPr>
          <w:rFonts w:asciiTheme="minorEastAsia" w:hAnsiTheme="minorEastAsia"/>
          <w:b/>
          <w:sz w:val="22"/>
        </w:rPr>
      </w:pPr>
      <w:r>
        <w:rPr>
          <w:rFonts w:hint="eastAsia" w:asciiTheme="minorEastAsia" w:hAnsiTheme="minorEastAsia"/>
          <w:sz w:val="22"/>
        </w:rPr>
        <w:t>年  月  日                      年  月  日</w:t>
      </w:r>
    </w:p>
    <w:p>
      <w:pPr>
        <w:spacing w:line="340" w:lineRule="exact"/>
        <w:rPr>
          <w:rFonts w:asciiTheme="minorEastAsia" w:hAnsiTheme="minorEastAsia"/>
          <w:sz w:val="22"/>
        </w:rPr>
      </w:pPr>
    </w:p>
    <w:bookmarkEnd w:id="72"/>
    <w:p>
      <w:pPr>
        <w:spacing w:line="340" w:lineRule="exact"/>
        <w:rPr>
          <w:rFonts w:asciiTheme="minorEastAsia" w:hAnsiTheme="minorEastAsia"/>
          <w:sz w:val="22"/>
        </w:rPr>
      </w:pPr>
      <w:bookmarkStart w:id="73" w:name="_Toc90452722"/>
      <w:bookmarkStart w:id="74" w:name="_Toc206217401"/>
      <w:r>
        <w:rPr>
          <w:rFonts w:hint="eastAsia" w:asciiTheme="minorEastAsia" w:hAnsiTheme="minorEastAsia"/>
          <w:sz w:val="22"/>
        </w:rPr>
        <w:t>附件1：</w:t>
      </w:r>
    </w:p>
    <w:p>
      <w:pPr>
        <w:widowControl/>
        <w:jc w:val="left"/>
        <w:rPr>
          <w:rFonts w:asciiTheme="minorEastAsia" w:hAnsiTheme="minorEastAsia"/>
          <w:sz w:val="22"/>
        </w:rPr>
      </w:pPr>
      <w:r>
        <w:rPr>
          <w:rFonts w:asciiTheme="minorEastAsia" w:hAnsiTheme="minorEastAsia"/>
          <w:sz w:val="22"/>
        </w:rPr>
        <w:br w:type="page"/>
      </w:r>
    </w:p>
    <w:p>
      <w:pPr>
        <w:pStyle w:val="139"/>
        <w:spacing w:line="340" w:lineRule="exact"/>
        <w:ind w:firstLine="0" w:firstLineChars="0"/>
        <w:jc w:val="center"/>
        <w:rPr>
          <w:rFonts w:asciiTheme="minorEastAsia" w:hAnsiTheme="minorEastAsia" w:eastAsiaTheme="minorEastAsia"/>
          <w:b/>
          <w:color w:val="auto"/>
          <w:sz w:val="36"/>
          <w:szCs w:val="36"/>
        </w:rPr>
      </w:pPr>
    </w:p>
    <w:p>
      <w:pPr>
        <w:pStyle w:val="139"/>
        <w:spacing w:line="340" w:lineRule="exact"/>
        <w:ind w:firstLine="0" w:firstLineChars="0"/>
        <w:jc w:val="center"/>
        <w:rPr>
          <w:rFonts w:ascii="黑体" w:hAnsi="黑体" w:eastAsia="黑体"/>
          <w:b/>
          <w:color w:val="auto"/>
          <w:sz w:val="32"/>
          <w:szCs w:val="32"/>
        </w:rPr>
      </w:pPr>
      <w:r>
        <w:rPr>
          <w:rFonts w:hint="eastAsia" w:ascii="黑体" w:hAnsi="黑体" w:eastAsia="黑体"/>
          <w:b/>
          <w:color w:val="auto"/>
          <w:sz w:val="32"/>
          <w:szCs w:val="32"/>
        </w:rPr>
        <w:t>杭州萧山国际机场有限公司廉洁自律承诺书</w:t>
      </w:r>
    </w:p>
    <w:p>
      <w:pPr>
        <w:pStyle w:val="139"/>
        <w:spacing w:line="340" w:lineRule="exact"/>
        <w:ind w:firstLine="0" w:firstLineChars="0"/>
        <w:jc w:val="center"/>
        <w:rPr>
          <w:rFonts w:asciiTheme="minorEastAsia" w:hAnsiTheme="minorEastAsia" w:eastAsiaTheme="minorEastAsia"/>
          <w:b/>
          <w:color w:val="auto"/>
          <w:sz w:val="36"/>
          <w:szCs w:val="36"/>
        </w:rPr>
      </w:pPr>
    </w:p>
    <w:p>
      <w:pPr>
        <w:pStyle w:val="144"/>
        <w:adjustRightInd w:val="0"/>
        <w:snapToGrid w:val="0"/>
        <w:spacing w:line="340" w:lineRule="exact"/>
        <w:ind w:firstLine="0" w:firstLineChars="0"/>
        <w:rPr>
          <w:rFonts w:asciiTheme="minorEastAsia" w:hAnsiTheme="minorEastAsia" w:eastAsiaTheme="minorEastAsia"/>
          <w:b/>
          <w:sz w:val="22"/>
          <w:szCs w:val="22"/>
        </w:rPr>
      </w:pPr>
      <w:r>
        <w:rPr>
          <w:rFonts w:hint="eastAsia" w:asciiTheme="minorEastAsia" w:hAnsiTheme="minorEastAsia" w:eastAsiaTheme="minorEastAsia"/>
          <w:b/>
          <w:sz w:val="22"/>
          <w:szCs w:val="22"/>
        </w:rPr>
        <w:t>杭州萧山国际机场有限公司：</w:t>
      </w:r>
    </w:p>
    <w:p>
      <w:pPr>
        <w:pStyle w:val="144"/>
        <w:adjustRightInd w:val="0"/>
        <w:snapToGrid w:val="0"/>
        <w:spacing w:line="340" w:lineRule="exact"/>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我单位响应贵公司项目招标要求，参加项目投标。在投标过程中及中标后，我们将严格遵守国家法律法规和贵司招标文件要求，并郑重作出如下承诺和保证：</w:t>
      </w:r>
    </w:p>
    <w:p>
      <w:pPr>
        <w:pStyle w:val="144"/>
        <w:adjustRightInd w:val="0"/>
        <w:snapToGrid w:val="0"/>
        <w:spacing w:line="340" w:lineRule="exact"/>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44"/>
        <w:adjustRightInd w:val="0"/>
        <w:snapToGrid w:val="0"/>
        <w:spacing w:line="340" w:lineRule="exact"/>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二、不以任何名义为贵公司有关人员或项目第三方人员报销应由贵公司或个人支付的费用；</w:t>
      </w:r>
    </w:p>
    <w:p>
      <w:pPr>
        <w:pStyle w:val="144"/>
        <w:adjustRightInd w:val="0"/>
        <w:snapToGrid w:val="0"/>
        <w:spacing w:line="340" w:lineRule="exact"/>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三、不向贵公司有关人员或项目第三方人员提供宴请、旅游、和健身娱乐等活动；</w:t>
      </w:r>
    </w:p>
    <w:p>
      <w:pPr>
        <w:pStyle w:val="144"/>
        <w:adjustRightInd w:val="0"/>
        <w:snapToGrid w:val="0"/>
        <w:spacing w:line="340" w:lineRule="exact"/>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四、不为贵公司有关人员或项目第三方人员出国（境）、旅游等提供方便；</w:t>
      </w:r>
    </w:p>
    <w:p>
      <w:pPr>
        <w:pStyle w:val="144"/>
        <w:adjustRightInd w:val="0"/>
        <w:snapToGrid w:val="0"/>
        <w:spacing w:line="340" w:lineRule="exact"/>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五、不为贵公司有关人员或项目第三方人员个人装修住房、婚丧嫁娶、配偶子女工作安排等提供好处或便利条件；</w:t>
      </w:r>
    </w:p>
    <w:p>
      <w:pPr>
        <w:pStyle w:val="144"/>
        <w:adjustRightInd w:val="0"/>
        <w:snapToGrid w:val="0"/>
        <w:spacing w:line="340" w:lineRule="exact"/>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六、严格遵守国家招标投标法、合同法等法律规定，诚实守信，合法经营，坚决杜绝各种违法违纪行为。</w:t>
      </w:r>
    </w:p>
    <w:p>
      <w:pPr>
        <w:pStyle w:val="144"/>
        <w:adjustRightInd w:val="0"/>
        <w:snapToGrid w:val="0"/>
        <w:spacing w:line="340" w:lineRule="exact"/>
        <w:ind w:firstLine="440"/>
        <w:rPr>
          <w:rFonts w:asciiTheme="minorEastAsia" w:hAnsiTheme="minorEastAsia" w:eastAsiaTheme="minorEastAsia"/>
          <w:sz w:val="22"/>
          <w:szCs w:val="22"/>
        </w:rPr>
      </w:pPr>
      <w:r>
        <w:rPr>
          <w:rFonts w:asciiTheme="minorEastAsia" w:hAnsiTheme="minorEastAsia" w:eastAsiaTheme="minorEastAsia"/>
          <w:sz w:val="22"/>
          <w:szCs w:val="22"/>
        </w:rPr>
        <w:t>七</w:t>
      </w:r>
      <w:r>
        <w:rPr>
          <w:rFonts w:hint="eastAsia" w:asciiTheme="minorEastAsia" w:hAnsiTheme="minorEastAsia" w:eastAsiaTheme="minorEastAsia"/>
          <w:sz w:val="22"/>
          <w:szCs w:val="22"/>
        </w:rPr>
        <w:t>、若发现贵公司有关人员或项目第三方人员有故意设置障碍或推诿刁难我方人员参与正常投标项目建设活动以索要好处等行为，我单位将及时向贵公司纪检监察部门举报，举报电话：0571－86661113。</w:t>
      </w:r>
    </w:p>
    <w:p>
      <w:pPr>
        <w:pStyle w:val="144"/>
        <w:adjustRightInd w:val="0"/>
        <w:snapToGrid w:val="0"/>
        <w:spacing w:line="340" w:lineRule="exact"/>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八、如违反上述廉洁自律承诺，贵公司有权：</w:t>
      </w:r>
    </w:p>
    <w:p>
      <w:pPr>
        <w:pStyle w:val="144"/>
        <w:numPr>
          <w:ilvl w:val="0"/>
          <w:numId w:val="5"/>
        </w:numPr>
        <w:adjustRightInd w:val="0"/>
        <w:snapToGrid w:val="0"/>
        <w:spacing w:line="340" w:lineRule="exact"/>
        <w:ind w:firstLineChars="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立即取消我单位投标、中标或在建项目的实施资格；</w:t>
      </w:r>
    </w:p>
    <w:p>
      <w:pPr>
        <w:pStyle w:val="144"/>
        <w:numPr>
          <w:ilvl w:val="0"/>
          <w:numId w:val="5"/>
        </w:numPr>
        <w:adjustRightInd w:val="0"/>
        <w:snapToGrid w:val="0"/>
        <w:spacing w:line="340" w:lineRule="exact"/>
        <w:ind w:firstLineChars="0"/>
        <w:jc w:val="left"/>
        <w:rPr>
          <w:rFonts w:asciiTheme="minorEastAsia" w:hAnsiTheme="minorEastAsia" w:eastAsiaTheme="minorEastAsia"/>
          <w:sz w:val="22"/>
          <w:szCs w:val="22"/>
        </w:rPr>
      </w:pPr>
      <w:r>
        <w:rPr>
          <w:rFonts w:hint="eastAsia" w:asciiTheme="minorEastAsia" w:hAnsiTheme="minorEastAsia" w:eastAsiaTheme="minorEastAsia"/>
          <w:sz w:val="22"/>
          <w:szCs w:val="22"/>
        </w:rPr>
        <w:t>扣除我方向贵公司缴纳的履约保证金的10%作为违反廉洁自律承诺的违约金。如该违约金不足以弥补贵公司损失的，我单位仍将承担实际损失赔偿责任。</w:t>
      </w:r>
    </w:p>
    <w:p>
      <w:pPr>
        <w:pStyle w:val="144"/>
        <w:numPr>
          <w:ilvl w:val="0"/>
          <w:numId w:val="5"/>
        </w:numPr>
        <w:adjustRightInd w:val="0"/>
        <w:snapToGrid w:val="0"/>
        <w:spacing w:line="340" w:lineRule="exact"/>
        <w:ind w:firstLineChars="0"/>
        <w:jc w:val="left"/>
        <w:rPr>
          <w:rFonts w:asciiTheme="minorEastAsia" w:hAnsiTheme="minorEastAsia" w:eastAsiaTheme="minorEastAsia"/>
          <w:sz w:val="22"/>
          <w:szCs w:val="22"/>
        </w:rPr>
      </w:pPr>
      <w:r>
        <w:rPr>
          <w:rFonts w:hint="eastAsia" w:asciiTheme="minorEastAsia" w:hAnsiTheme="minorEastAsia" w:eastAsiaTheme="minorEastAsia"/>
          <w:sz w:val="22"/>
          <w:szCs w:val="22"/>
        </w:rPr>
        <w:t>拒绝我单位在一定时期内进入贵公司进行项目建设或其它经营活动；</w:t>
      </w:r>
    </w:p>
    <w:p>
      <w:pPr>
        <w:pStyle w:val="144"/>
        <w:numPr>
          <w:ilvl w:val="0"/>
          <w:numId w:val="5"/>
        </w:numPr>
        <w:adjustRightInd w:val="0"/>
        <w:snapToGrid w:val="0"/>
        <w:spacing w:line="340" w:lineRule="exact"/>
        <w:ind w:firstLineChars="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由此引起的相应损失均由我单位承担。</w:t>
      </w:r>
    </w:p>
    <w:p>
      <w:pPr>
        <w:pStyle w:val="144"/>
        <w:adjustRightInd w:val="0"/>
        <w:snapToGrid w:val="0"/>
        <w:spacing w:line="340" w:lineRule="exact"/>
        <w:ind w:firstLine="440"/>
        <w:rPr>
          <w:rFonts w:asciiTheme="minorEastAsia" w:hAnsiTheme="minorEastAsia" w:eastAsiaTheme="minorEastAsia"/>
          <w:sz w:val="22"/>
          <w:szCs w:val="22"/>
        </w:rPr>
      </w:pPr>
    </w:p>
    <w:p>
      <w:pPr>
        <w:pStyle w:val="144"/>
        <w:adjustRightInd w:val="0"/>
        <w:snapToGrid w:val="0"/>
        <w:spacing w:line="340" w:lineRule="exact"/>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 xml:space="preserve">承诺人单位名称（盖章）：            </w:t>
      </w:r>
    </w:p>
    <w:p>
      <w:pPr>
        <w:pStyle w:val="144"/>
        <w:adjustRightInd w:val="0"/>
        <w:snapToGrid w:val="0"/>
        <w:spacing w:line="340" w:lineRule="exact"/>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 xml:space="preserve">法定代表人 ：                    </w:t>
      </w:r>
    </w:p>
    <w:p>
      <w:pPr>
        <w:pStyle w:val="144"/>
        <w:adjustRightInd w:val="0"/>
        <w:snapToGrid w:val="0"/>
        <w:spacing w:line="340" w:lineRule="exact"/>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 xml:space="preserve">或                            </w:t>
      </w:r>
    </w:p>
    <w:p>
      <w:pPr>
        <w:pStyle w:val="144"/>
        <w:adjustRightInd w:val="0"/>
        <w:snapToGrid w:val="0"/>
        <w:spacing w:line="340" w:lineRule="exact"/>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 xml:space="preserve">委托代理人：                   </w:t>
      </w:r>
    </w:p>
    <w:p>
      <w:pPr>
        <w:pStyle w:val="144"/>
        <w:adjustRightInd w:val="0"/>
        <w:snapToGrid w:val="0"/>
        <w:spacing w:line="340" w:lineRule="exact"/>
        <w:ind w:firstLine="442"/>
        <w:rPr>
          <w:rFonts w:asciiTheme="minorEastAsia" w:hAnsiTheme="minorEastAsia" w:eastAsiaTheme="minorEastAsia"/>
          <w:b/>
          <w:sz w:val="22"/>
          <w:szCs w:val="22"/>
        </w:rPr>
      </w:pPr>
    </w:p>
    <w:p>
      <w:pPr>
        <w:pStyle w:val="51"/>
        <w:spacing w:line="340" w:lineRule="exact"/>
        <w:rPr>
          <w:rFonts w:asciiTheme="minorEastAsia" w:hAnsiTheme="minorEastAsia" w:eastAsiaTheme="minorEastAsia"/>
          <w:b w:val="0"/>
          <w:sz w:val="22"/>
          <w:szCs w:val="22"/>
        </w:rPr>
      </w:pPr>
      <w:r>
        <w:rPr>
          <w:rFonts w:hint="eastAsia" w:asciiTheme="minorEastAsia" w:hAnsiTheme="minorEastAsia" w:eastAsiaTheme="minorEastAsia"/>
          <w:b w:val="0"/>
          <w:sz w:val="22"/>
          <w:szCs w:val="22"/>
        </w:rPr>
        <w:t xml:space="preserve">                           年     月     日</w:t>
      </w:r>
    </w:p>
    <w:p>
      <w:pPr>
        <w:spacing w:line="340" w:lineRule="exact"/>
        <w:rPr>
          <w:rFonts w:asciiTheme="minorEastAsia" w:hAnsiTheme="minorEastAsia"/>
          <w:sz w:val="22"/>
        </w:rPr>
      </w:pPr>
    </w:p>
    <w:p>
      <w:pPr>
        <w:spacing w:line="340" w:lineRule="exact"/>
        <w:rPr>
          <w:rFonts w:asciiTheme="minorEastAsia" w:hAnsiTheme="minorEastAsia"/>
          <w:sz w:val="22"/>
        </w:rPr>
      </w:pPr>
    </w:p>
    <w:p>
      <w:pPr>
        <w:widowControl/>
        <w:spacing w:line="340" w:lineRule="exact"/>
        <w:jc w:val="left"/>
        <w:rPr>
          <w:rFonts w:asciiTheme="minorEastAsia" w:hAnsiTheme="minorEastAsia"/>
          <w:sz w:val="22"/>
        </w:rPr>
      </w:pPr>
      <w:r>
        <w:rPr>
          <w:rFonts w:asciiTheme="minorEastAsia" w:hAnsiTheme="minorEastAsia"/>
          <w:sz w:val="22"/>
        </w:rPr>
        <w:br w:type="page"/>
      </w:r>
    </w:p>
    <w:p>
      <w:pPr>
        <w:spacing w:line="340" w:lineRule="exact"/>
        <w:rPr>
          <w:rFonts w:asciiTheme="minorEastAsia" w:hAnsiTheme="minorEastAsia"/>
          <w:sz w:val="22"/>
        </w:rPr>
      </w:pPr>
      <w:r>
        <w:rPr>
          <w:rFonts w:hint="eastAsia" w:asciiTheme="minorEastAsia" w:hAnsiTheme="minorEastAsia"/>
          <w:sz w:val="22"/>
        </w:rPr>
        <w:t>附件2：保密承诺书</w:t>
      </w:r>
    </w:p>
    <w:p>
      <w:pPr>
        <w:spacing w:line="340" w:lineRule="exact"/>
        <w:jc w:val="center"/>
        <w:rPr>
          <w:rFonts w:ascii="黑体" w:hAnsi="黑体" w:eastAsia="黑体"/>
          <w:b/>
          <w:bCs/>
          <w:sz w:val="32"/>
          <w:szCs w:val="32"/>
        </w:rPr>
      </w:pPr>
    </w:p>
    <w:p>
      <w:pPr>
        <w:spacing w:line="340" w:lineRule="exact"/>
        <w:jc w:val="center"/>
        <w:rPr>
          <w:rFonts w:ascii="黑体" w:hAnsi="黑体" w:eastAsia="黑体"/>
          <w:b/>
          <w:bCs/>
          <w:sz w:val="32"/>
          <w:szCs w:val="32"/>
        </w:rPr>
      </w:pPr>
      <w:r>
        <w:rPr>
          <w:rFonts w:hint="eastAsia" w:ascii="黑体" w:hAnsi="黑体" w:eastAsia="黑体"/>
          <w:b/>
          <w:bCs/>
          <w:sz w:val="32"/>
          <w:szCs w:val="32"/>
        </w:rPr>
        <w:t>保密承诺书</w:t>
      </w:r>
    </w:p>
    <w:p>
      <w:pPr>
        <w:spacing w:line="340" w:lineRule="exact"/>
        <w:jc w:val="center"/>
        <w:rPr>
          <w:rFonts w:ascii="黑体" w:hAnsi="黑体" w:eastAsia="黑体"/>
          <w:b/>
          <w:bCs/>
          <w:sz w:val="32"/>
          <w:szCs w:val="32"/>
        </w:rPr>
      </w:pPr>
    </w:p>
    <w:p>
      <w:pPr>
        <w:snapToGrid w:val="0"/>
        <w:spacing w:line="340" w:lineRule="exact"/>
        <w:ind w:firstLine="440" w:firstLineChars="200"/>
        <w:rPr>
          <w:rFonts w:asciiTheme="minorEastAsia" w:hAnsiTheme="minorEastAsia"/>
          <w:sz w:val="22"/>
        </w:rPr>
      </w:pPr>
      <w:r>
        <w:rPr>
          <w:rFonts w:hint="eastAsia" w:asciiTheme="minorEastAsia" w:hAnsiTheme="minorEastAsia"/>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40" w:lineRule="exact"/>
        <w:rPr>
          <w:rFonts w:asciiTheme="minorEastAsia" w:hAnsiTheme="minorEastAsia"/>
          <w:sz w:val="22"/>
        </w:rPr>
      </w:pPr>
      <w:r>
        <w:rPr>
          <w:rFonts w:hint="eastAsia" w:asciiTheme="minorEastAsia" w:hAnsiTheme="minorEastAsia"/>
          <w:sz w:val="22"/>
        </w:rPr>
        <w:t>1.商业秘密</w:t>
      </w:r>
    </w:p>
    <w:p>
      <w:pPr>
        <w:adjustRightInd w:val="0"/>
        <w:snapToGrid w:val="0"/>
        <w:spacing w:line="340" w:lineRule="exact"/>
        <w:rPr>
          <w:rFonts w:asciiTheme="minorEastAsia" w:hAnsiTheme="minorEastAsia"/>
          <w:sz w:val="22"/>
        </w:rPr>
      </w:pPr>
      <w:r>
        <w:rPr>
          <w:rFonts w:hint="eastAsia" w:asciiTheme="minorEastAsia" w:hAnsiTheme="minorEastAsia"/>
          <w:sz w:val="22"/>
        </w:rPr>
        <w:t>1.1商业秘密是指机场公司（包括机场公司关联公司）一切专有、不对外公开的资料和信息。包括但不限于以下方面：</w:t>
      </w:r>
    </w:p>
    <w:p>
      <w:pPr>
        <w:adjustRightInd w:val="0"/>
        <w:snapToGrid w:val="0"/>
        <w:spacing w:line="340" w:lineRule="exact"/>
        <w:rPr>
          <w:rFonts w:asciiTheme="minorEastAsia" w:hAnsiTheme="minorEastAsia"/>
          <w:sz w:val="22"/>
        </w:rPr>
      </w:pPr>
      <w:r>
        <w:rPr>
          <w:rFonts w:hint="eastAsia" w:asciiTheme="minorEastAsia" w:hAnsiTheme="minorEastAsia"/>
          <w:sz w:val="22"/>
        </w:rPr>
        <w:t>（1）经营信息（发展规划、运营状况、客户资源、货源情报、投融资计划、开发计划、标书等）；</w:t>
      </w:r>
    </w:p>
    <w:p>
      <w:pPr>
        <w:adjustRightInd w:val="0"/>
        <w:snapToGrid w:val="0"/>
        <w:spacing w:line="340" w:lineRule="exact"/>
        <w:rPr>
          <w:rFonts w:asciiTheme="minorEastAsia" w:hAnsiTheme="minorEastAsia"/>
          <w:sz w:val="22"/>
        </w:rPr>
      </w:pPr>
      <w:r>
        <w:rPr>
          <w:rFonts w:hint="eastAsia" w:asciiTheme="minorEastAsia" w:hAnsiTheme="minorEastAsia"/>
          <w:sz w:val="22"/>
        </w:rPr>
        <w:t>（2）管理信息（管理方法、管理制度、员工管理、合同管理、纠纷管理等）；</w:t>
      </w:r>
    </w:p>
    <w:p>
      <w:pPr>
        <w:adjustRightInd w:val="0"/>
        <w:snapToGrid w:val="0"/>
        <w:spacing w:line="340" w:lineRule="exact"/>
        <w:rPr>
          <w:rFonts w:asciiTheme="minorEastAsia" w:hAnsiTheme="minorEastAsia"/>
          <w:sz w:val="22"/>
        </w:rPr>
      </w:pPr>
      <w:r>
        <w:rPr>
          <w:rFonts w:hint="eastAsia" w:asciiTheme="minorEastAsia" w:hAnsiTheme="minorEastAsia"/>
          <w:sz w:val="22"/>
        </w:rPr>
        <w:t>（3）产品及技术信息（设计及图纸、样品及服务、技术方案、质量标准、技术标准、计算机程序等）；</w:t>
      </w:r>
    </w:p>
    <w:p>
      <w:pPr>
        <w:adjustRightInd w:val="0"/>
        <w:snapToGrid w:val="0"/>
        <w:spacing w:line="340" w:lineRule="exact"/>
        <w:rPr>
          <w:rFonts w:asciiTheme="minorEastAsia" w:hAnsiTheme="minorEastAsia"/>
          <w:sz w:val="22"/>
        </w:rPr>
      </w:pPr>
      <w:r>
        <w:rPr>
          <w:rFonts w:hint="eastAsia" w:asciiTheme="minorEastAsia" w:hAnsiTheme="minorEastAsia"/>
          <w:sz w:val="22"/>
        </w:rPr>
        <w:t>（4）财务信息（财务收支、固定资产、流动资金、成本核算等）；</w:t>
      </w:r>
    </w:p>
    <w:p>
      <w:pPr>
        <w:adjustRightInd w:val="0"/>
        <w:snapToGrid w:val="0"/>
        <w:spacing w:line="340" w:lineRule="exact"/>
        <w:rPr>
          <w:rFonts w:asciiTheme="minorEastAsia" w:hAnsiTheme="minorEastAsia"/>
          <w:sz w:val="22"/>
        </w:rPr>
      </w:pPr>
      <w:r>
        <w:rPr>
          <w:rFonts w:hint="eastAsia" w:asciiTheme="minorEastAsia" w:hAnsiTheme="minorEastAsia"/>
          <w:sz w:val="22"/>
        </w:rPr>
        <w:t>（5）我方单独或机场公司（包括机场公司关联公司）和我方共同为机场公司开发、设计、生产的产品、资料及相关信息；</w:t>
      </w:r>
    </w:p>
    <w:p>
      <w:pPr>
        <w:adjustRightInd w:val="0"/>
        <w:snapToGrid w:val="0"/>
        <w:spacing w:line="340" w:lineRule="exact"/>
        <w:rPr>
          <w:rFonts w:asciiTheme="minorEastAsia" w:hAnsiTheme="minorEastAsia"/>
          <w:sz w:val="22"/>
        </w:rPr>
      </w:pPr>
      <w:r>
        <w:rPr>
          <w:rFonts w:hint="eastAsia" w:asciiTheme="minorEastAsia" w:hAnsiTheme="minorEastAsia"/>
          <w:sz w:val="22"/>
        </w:rPr>
        <w:t>（6）其他机场公司未对外公开的有关营运、计划、航班数据、标准、开发、生产、经营、质量管理控制和租赁的资料和数据等信息以及对供应商的管理文件。</w:t>
      </w:r>
    </w:p>
    <w:p>
      <w:pPr>
        <w:spacing w:line="340" w:lineRule="exact"/>
        <w:rPr>
          <w:rFonts w:asciiTheme="minorEastAsia" w:hAnsiTheme="minorEastAsia"/>
          <w:sz w:val="22"/>
        </w:rPr>
      </w:pPr>
      <w:r>
        <w:rPr>
          <w:rFonts w:hint="eastAsia" w:asciiTheme="minorEastAsia" w:hAnsiTheme="minorEastAsia"/>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40" w:lineRule="exact"/>
        <w:rPr>
          <w:rFonts w:asciiTheme="minorEastAsia" w:hAnsiTheme="minorEastAsia"/>
          <w:sz w:val="22"/>
        </w:rPr>
      </w:pPr>
      <w:r>
        <w:rPr>
          <w:rFonts w:hint="eastAsia" w:asciiTheme="minorEastAsia" w:hAnsiTheme="minorEastAsia"/>
          <w:sz w:val="22"/>
        </w:rPr>
        <w:t>1.3、对于上述提及的商业秘密，不能仅因为公开发表的文章或资讯中包含其内容，就认为是可对外公开的特殊情况。</w:t>
      </w:r>
    </w:p>
    <w:p>
      <w:pPr>
        <w:spacing w:line="340" w:lineRule="exact"/>
        <w:rPr>
          <w:rFonts w:asciiTheme="minorEastAsia" w:hAnsiTheme="minorEastAsia"/>
          <w:sz w:val="22"/>
        </w:rPr>
      </w:pPr>
      <w:r>
        <w:rPr>
          <w:rFonts w:hint="eastAsia" w:asciiTheme="minorEastAsia" w:hAnsiTheme="minorEastAsia"/>
          <w:sz w:val="22"/>
        </w:rPr>
        <w:t>1.4、以下资料不属于本承诺所指的商业秘密：</w:t>
      </w:r>
    </w:p>
    <w:p>
      <w:pPr>
        <w:spacing w:line="340" w:lineRule="exact"/>
        <w:rPr>
          <w:rFonts w:asciiTheme="minorEastAsia" w:hAnsiTheme="minorEastAsia"/>
          <w:sz w:val="22"/>
        </w:rPr>
      </w:pPr>
      <w:r>
        <w:rPr>
          <w:rFonts w:hint="eastAsia" w:asciiTheme="minorEastAsia" w:hAnsiTheme="minorEastAsia"/>
          <w:sz w:val="22"/>
        </w:rPr>
        <w:t>（1）我方从机场公司拟获悉之前已持有的我方无需承担保密义务的机场公司有关资料(但通过其它违约或侵权行为而获得的资料除外)；</w:t>
      </w:r>
    </w:p>
    <w:p>
      <w:pPr>
        <w:spacing w:line="340" w:lineRule="exact"/>
        <w:rPr>
          <w:rFonts w:asciiTheme="minorEastAsia" w:hAnsiTheme="minorEastAsia"/>
          <w:sz w:val="22"/>
        </w:rPr>
      </w:pPr>
      <w:r>
        <w:rPr>
          <w:rFonts w:hint="eastAsia" w:asciiTheme="minorEastAsia" w:hAnsiTheme="minorEastAsia"/>
          <w:sz w:val="22"/>
        </w:rPr>
        <w:t>（2）已经公开或已成为常识性的资料，且该等公开并非因违反本承诺所致。</w:t>
      </w:r>
    </w:p>
    <w:p>
      <w:pPr>
        <w:spacing w:line="340" w:lineRule="exact"/>
        <w:rPr>
          <w:rFonts w:asciiTheme="minorEastAsia" w:hAnsiTheme="minorEastAsia"/>
          <w:sz w:val="22"/>
        </w:rPr>
      </w:pPr>
    </w:p>
    <w:p>
      <w:pPr>
        <w:spacing w:line="340" w:lineRule="exact"/>
        <w:rPr>
          <w:rFonts w:asciiTheme="minorEastAsia" w:hAnsiTheme="minorEastAsia"/>
          <w:sz w:val="22"/>
        </w:rPr>
      </w:pPr>
      <w:r>
        <w:rPr>
          <w:rFonts w:hint="eastAsia" w:asciiTheme="minorEastAsia" w:hAnsiTheme="minorEastAsia"/>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40" w:lineRule="exact"/>
        <w:rPr>
          <w:rFonts w:asciiTheme="minorEastAsia" w:hAnsiTheme="minorEastAsia"/>
          <w:sz w:val="22"/>
        </w:rPr>
      </w:pPr>
    </w:p>
    <w:p>
      <w:pPr>
        <w:spacing w:line="340" w:lineRule="exact"/>
        <w:rPr>
          <w:rFonts w:asciiTheme="minorEastAsia" w:hAnsiTheme="minorEastAsia"/>
          <w:sz w:val="22"/>
        </w:rPr>
      </w:pPr>
      <w:r>
        <w:rPr>
          <w:rFonts w:hint="eastAsia" w:asciiTheme="minorEastAsia" w:hAnsiTheme="minorEastAsia"/>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40" w:lineRule="exact"/>
        <w:rPr>
          <w:rFonts w:asciiTheme="minorEastAsia" w:hAnsiTheme="minorEastAsia"/>
          <w:sz w:val="22"/>
        </w:rPr>
      </w:pPr>
    </w:p>
    <w:p>
      <w:pPr>
        <w:adjustRightInd w:val="0"/>
        <w:snapToGrid w:val="0"/>
        <w:spacing w:line="340" w:lineRule="exact"/>
        <w:rPr>
          <w:rFonts w:asciiTheme="minorEastAsia" w:hAnsiTheme="minorEastAsia"/>
          <w:sz w:val="22"/>
        </w:rPr>
      </w:pPr>
      <w:r>
        <w:rPr>
          <w:rFonts w:hint="eastAsia" w:asciiTheme="minorEastAsia" w:hAnsiTheme="minorEastAsia"/>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40" w:lineRule="exact"/>
        <w:rPr>
          <w:rFonts w:asciiTheme="minorEastAsia" w:hAnsiTheme="minorEastAsia"/>
          <w:sz w:val="22"/>
        </w:rPr>
      </w:pPr>
      <w:r>
        <w:rPr>
          <w:rFonts w:hint="eastAsia" w:asciiTheme="minorEastAsia" w:hAnsiTheme="minorEastAsia"/>
          <w:sz w:val="22"/>
        </w:rPr>
        <w:t>（1）披露、使用或者允许他人以不正当手段获取的商业秘密；</w:t>
      </w:r>
    </w:p>
    <w:p>
      <w:pPr>
        <w:adjustRightInd w:val="0"/>
        <w:snapToGrid w:val="0"/>
        <w:spacing w:line="340" w:lineRule="exact"/>
        <w:rPr>
          <w:rFonts w:asciiTheme="minorEastAsia" w:hAnsiTheme="minorEastAsia"/>
          <w:sz w:val="22"/>
        </w:rPr>
      </w:pPr>
      <w:r>
        <w:rPr>
          <w:rFonts w:hint="eastAsia" w:asciiTheme="minorEastAsia" w:hAnsiTheme="minorEastAsia"/>
          <w:sz w:val="22"/>
        </w:rPr>
        <w:t>（2）为机场公司以外的第三人窃取、刺探、收买、非法提供商业秘密。</w:t>
      </w:r>
    </w:p>
    <w:p>
      <w:pPr>
        <w:adjustRightInd w:val="0"/>
        <w:snapToGrid w:val="0"/>
        <w:spacing w:line="340" w:lineRule="exact"/>
        <w:rPr>
          <w:rFonts w:asciiTheme="minorEastAsia" w:hAnsiTheme="minorEastAsia"/>
          <w:sz w:val="22"/>
        </w:rPr>
      </w:pPr>
      <w:r>
        <w:rPr>
          <w:rFonts w:hint="eastAsia" w:asciiTheme="minorEastAsia" w:hAnsiTheme="minorEastAsia"/>
          <w:sz w:val="22"/>
        </w:rPr>
        <w:t>（3）在电子公告系统、聊天系统、电子邮箱、论坛等计算机网络系统上传递、转发、抄送、发布、谈论和传播商业秘密；</w:t>
      </w:r>
    </w:p>
    <w:p>
      <w:pPr>
        <w:adjustRightInd w:val="0"/>
        <w:snapToGrid w:val="0"/>
        <w:spacing w:line="340" w:lineRule="exact"/>
        <w:rPr>
          <w:rFonts w:asciiTheme="minorEastAsia" w:hAnsiTheme="minorEastAsia"/>
          <w:sz w:val="22"/>
        </w:rPr>
      </w:pPr>
      <w:r>
        <w:rPr>
          <w:rFonts w:hint="eastAsia" w:asciiTheme="minorEastAsia" w:hAnsiTheme="minorEastAsia"/>
          <w:sz w:val="22"/>
        </w:rPr>
        <w:t xml:space="preserve">（4）在私人交往和通信中，向亲属、朋友以及与工作无关人员泄露商业秘密，或在公共场所谈论商业秘密； </w:t>
      </w:r>
    </w:p>
    <w:p>
      <w:pPr>
        <w:adjustRightInd w:val="0"/>
        <w:snapToGrid w:val="0"/>
        <w:spacing w:line="340" w:lineRule="exact"/>
        <w:rPr>
          <w:rFonts w:asciiTheme="minorEastAsia" w:hAnsiTheme="minorEastAsia"/>
          <w:sz w:val="22"/>
        </w:rPr>
      </w:pPr>
      <w:r>
        <w:rPr>
          <w:rFonts w:hint="eastAsia" w:asciiTheme="minorEastAsia" w:hAnsiTheme="minorEastAsia"/>
          <w:sz w:val="22"/>
        </w:rPr>
        <w:t>（5）擅自将属于商业秘密的文件、资料和其他物品携带、传递、寄运出机场公司办公场所或国（境）外。</w:t>
      </w:r>
    </w:p>
    <w:p>
      <w:pPr>
        <w:adjustRightInd w:val="0"/>
        <w:snapToGrid w:val="0"/>
        <w:spacing w:line="340" w:lineRule="exact"/>
        <w:rPr>
          <w:rFonts w:asciiTheme="minorEastAsia" w:hAnsiTheme="minorEastAsia"/>
          <w:sz w:val="22"/>
        </w:rPr>
      </w:pPr>
      <w:r>
        <w:rPr>
          <w:rFonts w:hint="eastAsia" w:asciiTheme="minorEastAsia" w:hAnsiTheme="minorEastAsia"/>
          <w:sz w:val="22"/>
        </w:rPr>
        <w:t>（6）未经机场公司同意就以任何方式私自保存、截留含有机场公司商业秘密的任何形式资料、文件和物品的复印件、复制品、副本。</w:t>
      </w:r>
    </w:p>
    <w:p>
      <w:pPr>
        <w:adjustRightInd w:val="0"/>
        <w:snapToGrid w:val="0"/>
        <w:spacing w:line="340" w:lineRule="exact"/>
        <w:rPr>
          <w:rFonts w:asciiTheme="minorEastAsia" w:hAnsiTheme="minorEastAsia"/>
          <w:sz w:val="22"/>
        </w:rPr>
      </w:pPr>
      <w:r>
        <w:rPr>
          <w:rFonts w:hint="eastAsia" w:asciiTheme="minorEastAsia" w:hAnsiTheme="minorEastAsia"/>
          <w:sz w:val="22"/>
        </w:rPr>
        <w:t>（7）将含有机场公司商业秘密的产品、技术或其他资料、信息向第三人销售、使用或以任何方式提供。</w:t>
      </w:r>
    </w:p>
    <w:p>
      <w:pPr>
        <w:adjustRightInd w:val="0"/>
        <w:snapToGrid w:val="0"/>
        <w:spacing w:line="340" w:lineRule="exact"/>
        <w:rPr>
          <w:rFonts w:asciiTheme="minorEastAsia" w:hAnsiTheme="minorEastAsia"/>
          <w:sz w:val="22"/>
        </w:rPr>
      </w:pPr>
    </w:p>
    <w:p>
      <w:pPr>
        <w:spacing w:line="340" w:lineRule="exact"/>
        <w:rPr>
          <w:rFonts w:asciiTheme="minorEastAsia" w:hAnsiTheme="minorEastAsia"/>
          <w:sz w:val="22"/>
        </w:rPr>
      </w:pPr>
      <w:r>
        <w:rPr>
          <w:rFonts w:hint="eastAsia" w:asciiTheme="minorEastAsia" w:hAnsiTheme="minorEastAsia"/>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40" w:lineRule="exact"/>
        <w:rPr>
          <w:rFonts w:asciiTheme="minorEastAsia" w:hAnsiTheme="minorEastAsia"/>
          <w:sz w:val="22"/>
        </w:rPr>
      </w:pPr>
    </w:p>
    <w:p>
      <w:pPr>
        <w:spacing w:line="340" w:lineRule="exact"/>
        <w:rPr>
          <w:rFonts w:asciiTheme="minorEastAsia" w:hAnsiTheme="minorEastAsia"/>
          <w:sz w:val="22"/>
        </w:rPr>
      </w:pPr>
      <w:r>
        <w:rPr>
          <w:rFonts w:hint="eastAsia" w:asciiTheme="minorEastAsia" w:hAnsiTheme="minorEastAsia"/>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40" w:lineRule="exact"/>
        <w:rPr>
          <w:rFonts w:asciiTheme="minorEastAsia" w:hAnsiTheme="minorEastAsia"/>
          <w:sz w:val="22"/>
        </w:rPr>
      </w:pPr>
    </w:p>
    <w:p>
      <w:pPr>
        <w:spacing w:line="340" w:lineRule="exact"/>
        <w:rPr>
          <w:rFonts w:asciiTheme="minorEastAsia" w:hAnsiTheme="minorEastAsia"/>
          <w:sz w:val="22"/>
        </w:rPr>
      </w:pPr>
      <w:r>
        <w:rPr>
          <w:rFonts w:hint="eastAsia" w:asciiTheme="minorEastAsia" w:hAnsiTheme="minorEastAsia"/>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40" w:lineRule="exact"/>
        <w:rPr>
          <w:rFonts w:asciiTheme="minorEastAsia" w:hAnsiTheme="minorEastAsia"/>
          <w:sz w:val="22"/>
        </w:rPr>
      </w:pPr>
    </w:p>
    <w:p>
      <w:pPr>
        <w:spacing w:line="340" w:lineRule="exact"/>
        <w:rPr>
          <w:rFonts w:asciiTheme="minorEastAsia" w:hAnsiTheme="minorEastAsia"/>
          <w:sz w:val="22"/>
        </w:rPr>
      </w:pPr>
      <w:r>
        <w:rPr>
          <w:rFonts w:hint="eastAsia" w:asciiTheme="minorEastAsia" w:hAnsiTheme="minorEastAsia"/>
          <w:sz w:val="22"/>
        </w:rPr>
        <w:t>8、违约责任</w:t>
      </w:r>
    </w:p>
    <w:p>
      <w:pPr>
        <w:adjustRightInd w:val="0"/>
        <w:snapToGrid w:val="0"/>
        <w:spacing w:line="340" w:lineRule="exact"/>
        <w:rPr>
          <w:rFonts w:asciiTheme="minorEastAsia" w:hAnsiTheme="minorEastAsia"/>
          <w:sz w:val="22"/>
        </w:rPr>
      </w:pPr>
      <w:r>
        <w:rPr>
          <w:rFonts w:hint="eastAsia" w:asciiTheme="minorEastAsia" w:hAnsiTheme="minorEastAsia"/>
          <w:sz w:val="22"/>
        </w:rPr>
        <w:t>8.1因我方违反保密义务的行为造成机场公司的一切损失，我方应当全部予以赔偿。</w:t>
      </w:r>
    </w:p>
    <w:p>
      <w:pPr>
        <w:adjustRightInd w:val="0"/>
        <w:snapToGrid w:val="0"/>
        <w:spacing w:line="340" w:lineRule="exact"/>
        <w:rPr>
          <w:rFonts w:asciiTheme="minorEastAsia" w:hAnsiTheme="minorEastAsia"/>
          <w:sz w:val="22"/>
        </w:rPr>
      </w:pPr>
      <w:r>
        <w:rPr>
          <w:rFonts w:hint="eastAsia" w:asciiTheme="minorEastAsia" w:hAnsiTheme="minorEastAsia"/>
          <w:sz w:val="22"/>
        </w:rPr>
        <w:t>8.2如我方违反本承诺书下保密义务，应当承担违约责任，除赔偿损失外，还应依据合同向机场公司支付相应的违约金；</w:t>
      </w:r>
    </w:p>
    <w:p>
      <w:pPr>
        <w:adjustRightInd w:val="0"/>
        <w:snapToGrid w:val="0"/>
        <w:spacing w:line="340" w:lineRule="exact"/>
        <w:rPr>
          <w:rFonts w:asciiTheme="minorEastAsia" w:hAnsiTheme="minorEastAsia"/>
          <w:sz w:val="22"/>
        </w:rPr>
      </w:pPr>
      <w:r>
        <w:rPr>
          <w:rFonts w:hint="eastAsia" w:asciiTheme="minorEastAsia" w:hAnsiTheme="minorEastAsia"/>
          <w:sz w:val="22"/>
        </w:rPr>
        <w:t>9、本承诺书适用中华人民共和国法律，如因履行本承诺书发生争议，则双方均有权向机场公司所在地法院提起诉讼。</w:t>
      </w:r>
    </w:p>
    <w:p>
      <w:pPr>
        <w:spacing w:line="340" w:lineRule="exact"/>
        <w:rPr>
          <w:rFonts w:asciiTheme="minorEastAsia" w:hAnsiTheme="minorEastAsia"/>
          <w:sz w:val="22"/>
        </w:rPr>
      </w:pPr>
    </w:p>
    <w:p>
      <w:pPr>
        <w:spacing w:line="340" w:lineRule="exact"/>
        <w:rPr>
          <w:rFonts w:asciiTheme="minorEastAsia" w:hAnsiTheme="minorEastAsia"/>
          <w:sz w:val="22"/>
        </w:rPr>
      </w:pPr>
    </w:p>
    <w:p>
      <w:pPr>
        <w:spacing w:line="340" w:lineRule="exact"/>
        <w:rPr>
          <w:rFonts w:asciiTheme="minorEastAsia" w:hAnsiTheme="minorEastAsia"/>
          <w:sz w:val="22"/>
        </w:rPr>
      </w:pPr>
      <w:r>
        <w:rPr>
          <w:rFonts w:hint="eastAsia" w:asciiTheme="minorEastAsia" w:hAnsiTheme="minorEastAsia"/>
          <w:sz w:val="22"/>
        </w:rPr>
        <w:t xml:space="preserve">                        供应商(盖章):</w:t>
      </w:r>
    </w:p>
    <w:p>
      <w:pPr>
        <w:spacing w:line="340" w:lineRule="exact"/>
        <w:jc w:val="center"/>
        <w:rPr>
          <w:rFonts w:asciiTheme="minorEastAsia" w:hAnsiTheme="minorEastAsia"/>
          <w:sz w:val="22"/>
        </w:rPr>
      </w:pPr>
      <w:r>
        <w:rPr>
          <w:rFonts w:hint="eastAsia" w:asciiTheme="minorEastAsia" w:hAnsiTheme="minorEastAsia"/>
          <w:sz w:val="22"/>
        </w:rPr>
        <w:t>法定代表人或授权代表：</w:t>
      </w:r>
    </w:p>
    <w:p>
      <w:pPr>
        <w:spacing w:line="340" w:lineRule="exact"/>
        <w:jc w:val="center"/>
        <w:rPr>
          <w:rFonts w:asciiTheme="minorEastAsia" w:hAnsiTheme="minorEastAsia"/>
          <w:sz w:val="22"/>
        </w:rPr>
      </w:pPr>
    </w:p>
    <w:p>
      <w:pPr>
        <w:spacing w:line="340" w:lineRule="exact"/>
        <w:jc w:val="center"/>
        <w:rPr>
          <w:rFonts w:asciiTheme="minorEastAsia" w:hAnsiTheme="minorEastAsia"/>
          <w:sz w:val="22"/>
        </w:rPr>
      </w:pPr>
    </w:p>
    <w:p>
      <w:pPr>
        <w:spacing w:line="340" w:lineRule="exact"/>
        <w:jc w:val="center"/>
        <w:rPr>
          <w:rFonts w:asciiTheme="minorEastAsia" w:hAnsiTheme="minorEastAsia"/>
          <w:sz w:val="22"/>
        </w:rPr>
      </w:pPr>
    </w:p>
    <w:p>
      <w:pPr>
        <w:spacing w:line="340" w:lineRule="exact"/>
        <w:rPr>
          <w:rFonts w:asciiTheme="minorEastAsia" w:hAnsiTheme="minorEastAsia"/>
          <w:sz w:val="22"/>
        </w:rPr>
      </w:pPr>
      <w:r>
        <w:rPr>
          <w:rFonts w:hint="eastAsia" w:asciiTheme="minorEastAsia" w:hAnsiTheme="minorEastAsia"/>
          <w:sz w:val="22"/>
        </w:rPr>
        <w:t xml:space="preserve">                       电话/传真：</w:t>
      </w:r>
    </w:p>
    <w:p>
      <w:pPr>
        <w:spacing w:line="340" w:lineRule="exact"/>
        <w:jc w:val="center"/>
        <w:rPr>
          <w:rFonts w:asciiTheme="minorEastAsia" w:hAnsiTheme="minorEastAsia"/>
          <w:sz w:val="22"/>
        </w:rPr>
      </w:pPr>
    </w:p>
    <w:p>
      <w:pPr>
        <w:spacing w:line="340" w:lineRule="exact"/>
        <w:rPr>
          <w:rFonts w:asciiTheme="minorEastAsia" w:hAnsiTheme="minorEastAsia"/>
          <w:sz w:val="22"/>
        </w:rPr>
      </w:pPr>
      <w:r>
        <w:rPr>
          <w:rFonts w:hint="eastAsia" w:asciiTheme="minorEastAsia" w:hAnsiTheme="minorEastAsia"/>
          <w:sz w:val="22"/>
        </w:rPr>
        <w:t xml:space="preserve">                       地址：</w:t>
      </w:r>
    </w:p>
    <w:p>
      <w:pPr>
        <w:spacing w:line="340" w:lineRule="exact"/>
        <w:rPr>
          <w:rFonts w:asciiTheme="minorEastAsia" w:hAnsiTheme="minorEastAsia"/>
          <w:sz w:val="22"/>
        </w:rPr>
      </w:pPr>
    </w:p>
    <w:p>
      <w:pPr>
        <w:snapToGrid w:val="0"/>
        <w:spacing w:line="340" w:lineRule="exact"/>
        <w:jc w:val="center"/>
        <w:rPr>
          <w:rFonts w:asciiTheme="minorEastAsia" w:hAnsiTheme="minorEastAsia"/>
          <w:sz w:val="22"/>
        </w:rPr>
      </w:pPr>
      <w:r>
        <w:rPr>
          <w:rFonts w:hint="eastAsia" w:asciiTheme="minorEastAsia" w:hAnsiTheme="minorEastAsia"/>
          <w:sz w:val="22"/>
        </w:rPr>
        <w:t>日期：     年   月   日</w:t>
      </w:r>
    </w:p>
    <w:p>
      <w:pPr>
        <w:pStyle w:val="51"/>
        <w:spacing w:line="340" w:lineRule="exact"/>
        <w:rPr>
          <w:rFonts w:asciiTheme="minorEastAsia" w:hAnsiTheme="minorEastAsia" w:eastAsiaTheme="minorEastAsia"/>
          <w:sz w:val="22"/>
          <w:szCs w:val="22"/>
        </w:rPr>
      </w:pPr>
    </w:p>
    <w:bookmarkEnd w:id="73"/>
    <w:bookmarkEnd w:id="74"/>
    <w:p>
      <w:pPr>
        <w:pStyle w:val="2"/>
        <w:spacing w:before="0" w:after="0"/>
        <w:rPr>
          <w:rFonts w:ascii="Calibri" w:hAnsi="Calibri" w:eastAsia="黑体" w:cs="Calibri"/>
          <w:kern w:val="0"/>
          <w:sz w:val="32"/>
        </w:rPr>
      </w:pPr>
      <w:bookmarkStart w:id="75" w:name="_Toc275274581"/>
      <w:r>
        <w:br w:type="page"/>
      </w:r>
      <w:bookmarkStart w:id="76" w:name="_Toc448002987"/>
      <w:bookmarkStart w:id="77" w:name="_Toc321925456"/>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76"/>
      <w:bookmarkEnd w:id="77"/>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bCs/>
          <w:sz w:val="22"/>
          <w:szCs w:val="22"/>
        </w:rPr>
        <w:t>否决投标</w:t>
      </w:r>
      <w:r>
        <w:rPr>
          <w:rFonts w:hAnsi="宋体" w:cs="Calibri"/>
          <w:b/>
          <w:sz w:val="22"/>
          <w:szCs w:val="22"/>
        </w:rPr>
        <w:t>处理</w:t>
      </w:r>
      <w:r>
        <w:rPr>
          <w:rFonts w:hAnsi="宋体" w:cs="Calibri"/>
          <w:sz w:val="22"/>
          <w:szCs w:val="22"/>
        </w:rPr>
        <w:t>。</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sz w:val="22"/>
        </w:rPr>
      </w:pPr>
      <w:r>
        <w:rPr>
          <w:rFonts w:ascii="宋体" w:hAnsi="宋体" w:cs="Calibri"/>
          <w:b/>
          <w:sz w:val="22"/>
        </w:rPr>
        <w:t>3.3</w:t>
      </w:r>
      <w:r>
        <w:rPr>
          <w:rFonts w:hint="eastAsia" w:ascii="宋体" w:hAnsi="宋体"/>
          <w:b/>
          <w:sz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2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sz w:val="22"/>
          <w:szCs w:val="22"/>
        </w:rPr>
        <w:t>每个投标人最终得分=商务报价分+资信及技术分</w:t>
      </w:r>
    </w:p>
    <w:p>
      <w:pPr>
        <w:pStyle w:val="31"/>
        <w:adjustRightInd w:val="0"/>
        <w:snapToGrid w:val="0"/>
        <w:spacing w:line="360" w:lineRule="exact"/>
        <w:ind w:firstLine="442" w:firstLineChars="200"/>
        <w:rPr>
          <w:rFonts w:hAnsi="宋体" w:cs="Calibri"/>
          <w:b/>
          <w:sz w:val="22"/>
          <w:szCs w:val="22"/>
        </w:rPr>
      </w:pPr>
      <w:r>
        <w:rPr>
          <w:rFonts w:hint="eastAsia" w:hAnsi="宋体" w:cs="Calibri"/>
          <w:b/>
          <w:sz w:val="22"/>
          <w:szCs w:val="22"/>
        </w:rPr>
        <w:t>3.3.1商务报价分 30-70分</w:t>
      </w:r>
    </w:p>
    <w:p>
      <w:pPr>
        <w:adjustRightInd w:val="0"/>
        <w:snapToGrid w:val="0"/>
        <w:spacing w:line="360" w:lineRule="exact"/>
        <w:ind w:firstLine="440" w:firstLineChars="200"/>
        <w:rPr>
          <w:rFonts w:hAnsi="宋体"/>
          <w:sz w:val="22"/>
        </w:rPr>
      </w:pPr>
      <w:r>
        <w:rPr>
          <w:rFonts w:hint="eastAsia" w:hAnsi="宋体"/>
          <w:sz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adjustRightInd w:val="0"/>
        <w:snapToGrid w:val="0"/>
        <w:spacing w:line="360" w:lineRule="exact"/>
        <w:ind w:firstLine="440" w:firstLineChars="200"/>
        <w:rPr>
          <w:rFonts w:hAnsi="宋体"/>
          <w:sz w:val="22"/>
        </w:rPr>
      </w:pPr>
      <w:r>
        <w:rPr>
          <w:rFonts w:hint="eastAsia" w:hAnsi="宋体"/>
          <w:sz w:val="22"/>
        </w:rPr>
        <w:t>投标人的投标价等于评标基准价的得70分，每高于评标基准价1%的扣1分，每低于评标基准价1%的扣0.5分（不足1个百分点按插值法计算，小数点后保留二位，四舍五入，商务分最低得分为30分）</w:t>
      </w:r>
    </w:p>
    <w:p>
      <w:pPr>
        <w:pStyle w:val="31"/>
        <w:adjustRightInd w:val="0"/>
        <w:snapToGrid w:val="0"/>
        <w:spacing w:line="360" w:lineRule="exact"/>
        <w:ind w:firstLine="440" w:firstLineChars="200"/>
        <w:rPr>
          <w:rFonts w:hAnsi="宋体"/>
          <w:sz w:val="22"/>
        </w:rPr>
      </w:pPr>
      <w:r>
        <w:rPr>
          <w:rFonts w:hint="eastAsia" w:hAnsi="宋体"/>
          <w:sz w:val="22"/>
        </w:rPr>
        <w:t>此项由评标委员会集体核实后统一打分。</w:t>
      </w:r>
    </w:p>
    <w:p>
      <w:pPr>
        <w:pStyle w:val="31"/>
        <w:adjustRightInd w:val="0"/>
        <w:snapToGrid w:val="0"/>
        <w:spacing w:line="360" w:lineRule="exact"/>
        <w:ind w:firstLine="442" w:firstLineChars="200"/>
        <w:rPr>
          <w:rFonts w:hAnsi="宋体" w:cs="Calibri"/>
          <w:b/>
          <w:sz w:val="22"/>
          <w:szCs w:val="22"/>
        </w:rPr>
      </w:pPr>
      <w:r>
        <w:rPr>
          <w:rFonts w:hint="eastAsia" w:hAnsi="宋体" w:cs="Calibri"/>
          <w:b/>
          <w:sz w:val="22"/>
          <w:szCs w:val="22"/>
        </w:rPr>
        <w:t>2、资信及技术评分 0-30分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Ansi="宋体"/>
          <w:b/>
        </w:rPr>
      </w:pPr>
      <w:r>
        <w:rPr>
          <w:rFonts w:hint="eastAsia" w:hAnsi="宋体" w:cs="Calibri"/>
          <w:sz w:val="22"/>
          <w:szCs w:val="22"/>
        </w:rPr>
        <w:t>资信及技术评分分值设定标准</w:t>
      </w:r>
    </w:p>
    <w:tbl>
      <w:tblPr>
        <w:tblStyle w:val="58"/>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701"/>
        <w:gridCol w:w="505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trPr>
        <w:tc>
          <w:tcPr>
            <w:tcW w:w="160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评分因素</w:t>
            </w:r>
          </w:p>
          <w:p>
            <w:pPr>
              <w:snapToGrid w:val="0"/>
              <w:jc w:val="center"/>
              <w:rPr>
                <w:rFonts w:ascii="宋体" w:hAnsi="宋体"/>
                <w:szCs w:val="21"/>
              </w:rPr>
            </w:pPr>
            <w:r>
              <w:rPr>
                <w:rFonts w:hint="eastAsia" w:ascii="宋体" w:hAnsi="宋体"/>
                <w:szCs w:val="21"/>
              </w:rPr>
              <w:t>及分值权重</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评审因素子项</w:t>
            </w:r>
          </w:p>
        </w:tc>
        <w:tc>
          <w:tcPr>
            <w:tcW w:w="50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评分标准</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3" w:hRule="atLeast"/>
        </w:trPr>
        <w:tc>
          <w:tcPr>
            <w:tcW w:w="1606" w:type="dxa"/>
            <w:vMerge w:val="restart"/>
            <w:vAlign w:val="center"/>
          </w:tcPr>
          <w:p>
            <w:pPr>
              <w:snapToGrid w:val="0"/>
              <w:jc w:val="center"/>
              <w:rPr>
                <w:rFonts w:ascii="宋体" w:hAnsi="宋体"/>
                <w:szCs w:val="21"/>
              </w:rPr>
            </w:pPr>
            <w:r>
              <w:rPr>
                <w:rFonts w:hint="eastAsia" w:ascii="宋体" w:hAnsi="宋体"/>
                <w:szCs w:val="21"/>
              </w:rPr>
              <w:t>技术标评分（</w:t>
            </w:r>
            <w:r>
              <w:rPr>
                <w:rFonts w:hint="eastAsia" w:ascii="宋体" w:hAnsi="宋体"/>
                <w:bCs/>
                <w:szCs w:val="21"/>
              </w:rPr>
              <w:t>满分</w:t>
            </w:r>
            <w:r>
              <w:rPr>
                <w:rFonts w:ascii="宋体" w:hAnsi="宋体"/>
                <w:bCs/>
                <w:szCs w:val="21"/>
              </w:rPr>
              <w:t>30</w:t>
            </w:r>
            <w:r>
              <w:rPr>
                <w:rFonts w:hint="eastAsia" w:ascii="宋体" w:hAnsi="宋体"/>
                <w:bCs/>
                <w:szCs w:val="21"/>
              </w:rPr>
              <w:t>分）</w:t>
            </w:r>
          </w:p>
        </w:tc>
        <w:tc>
          <w:tcPr>
            <w:tcW w:w="1701" w:type="dxa"/>
            <w:tcBorders>
              <w:bottom w:val="single" w:color="auto" w:sz="4" w:space="0"/>
            </w:tcBorders>
            <w:vAlign w:val="center"/>
          </w:tcPr>
          <w:p>
            <w:pPr>
              <w:snapToGrid w:val="0"/>
              <w:jc w:val="center"/>
              <w:rPr>
                <w:rFonts w:ascii="宋体" w:hAnsi="宋体"/>
                <w:szCs w:val="21"/>
              </w:rPr>
            </w:pPr>
            <w:r>
              <w:rPr>
                <w:rFonts w:hint="eastAsia" w:ascii="宋体" w:hAnsi="宋体"/>
                <w:szCs w:val="21"/>
              </w:rPr>
              <w:t>技术规格</w:t>
            </w:r>
          </w:p>
        </w:tc>
        <w:tc>
          <w:tcPr>
            <w:tcW w:w="5057" w:type="dxa"/>
            <w:tcBorders>
              <w:bottom w:val="single" w:color="auto" w:sz="4" w:space="0"/>
            </w:tcBorders>
            <w:vAlign w:val="center"/>
          </w:tcPr>
          <w:p>
            <w:pPr>
              <w:snapToGrid w:val="0"/>
              <w:jc w:val="left"/>
              <w:rPr>
                <w:rFonts w:ascii="宋体" w:hAnsi="宋体"/>
                <w:szCs w:val="21"/>
              </w:rPr>
            </w:pPr>
            <w:r>
              <w:rPr>
                <w:rFonts w:hint="eastAsia" w:ascii="宋体" w:hAnsi="宋体"/>
                <w:szCs w:val="21"/>
              </w:rPr>
              <w:t>满足招标文件要求的得</w:t>
            </w:r>
            <w:r>
              <w:rPr>
                <w:rFonts w:ascii="宋体" w:hAnsi="宋体"/>
                <w:szCs w:val="21"/>
              </w:rPr>
              <w:t>5</w:t>
            </w:r>
            <w:r>
              <w:rPr>
                <w:rFonts w:hint="eastAsia" w:ascii="宋体" w:hAnsi="宋体"/>
                <w:szCs w:val="21"/>
              </w:rPr>
              <w:t>分。</w:t>
            </w:r>
          </w:p>
          <w:p>
            <w:pPr>
              <w:snapToGrid w:val="0"/>
              <w:jc w:val="left"/>
              <w:rPr>
                <w:rFonts w:ascii="宋体" w:hAnsi="宋体"/>
                <w:szCs w:val="21"/>
              </w:rPr>
            </w:pPr>
            <w:r>
              <w:rPr>
                <w:rFonts w:hint="eastAsia" w:ascii="宋体" w:hAnsi="宋体"/>
                <w:szCs w:val="21"/>
              </w:rPr>
              <w:t>优于招标文件要求的得</w:t>
            </w:r>
            <w:r>
              <w:rPr>
                <w:rFonts w:ascii="宋体" w:hAnsi="宋体"/>
                <w:szCs w:val="21"/>
              </w:rPr>
              <w:t>5</w:t>
            </w:r>
            <w:r>
              <w:rPr>
                <w:rFonts w:hint="eastAsia" w:ascii="宋体" w:hAnsi="宋体"/>
                <w:szCs w:val="21"/>
              </w:rPr>
              <w:t>.1-</w:t>
            </w:r>
            <w:r>
              <w:rPr>
                <w:rFonts w:ascii="宋体" w:hAnsi="宋体"/>
                <w:szCs w:val="21"/>
              </w:rPr>
              <w:t>10</w:t>
            </w:r>
            <w:r>
              <w:rPr>
                <w:rFonts w:hint="eastAsia" w:ascii="宋体" w:hAnsi="宋体"/>
                <w:szCs w:val="21"/>
              </w:rPr>
              <w:t>分</w:t>
            </w:r>
          </w:p>
        </w:tc>
        <w:tc>
          <w:tcPr>
            <w:tcW w:w="1276" w:type="dxa"/>
            <w:tcBorders>
              <w:bottom w:val="single" w:color="auto" w:sz="4" w:space="0"/>
            </w:tcBorders>
            <w:vAlign w:val="center"/>
          </w:tcPr>
          <w:p>
            <w:pPr>
              <w:snapToGrid w:val="0"/>
              <w:jc w:val="center"/>
              <w:rPr>
                <w:rFonts w:ascii="宋体" w:hAnsi="宋体"/>
                <w:b/>
                <w:bCs/>
                <w:szCs w:val="21"/>
              </w:rPr>
            </w:pPr>
            <w:r>
              <w:rPr>
                <w:rFonts w:ascii="宋体" w:hAnsi="宋体"/>
                <w:b/>
                <w:bCs/>
                <w:szCs w:val="21"/>
              </w:rPr>
              <w:t>0-10</w:t>
            </w:r>
            <w:r>
              <w:rPr>
                <w:rFonts w:hint="eastAsia" w:ascii="宋体" w:hAnsi="宋体"/>
                <w:b/>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1" w:hRule="atLeast"/>
        </w:trPr>
        <w:tc>
          <w:tcPr>
            <w:tcW w:w="1606" w:type="dxa"/>
            <w:vMerge w:val="continue"/>
            <w:vAlign w:val="center"/>
          </w:tcPr>
          <w:p>
            <w:pPr>
              <w:snapToGrid w:val="0"/>
              <w:jc w:val="center"/>
              <w:rPr>
                <w:rFonts w:ascii="宋体" w:hAnsi="宋体"/>
                <w:szCs w:val="21"/>
              </w:rPr>
            </w:pPr>
          </w:p>
        </w:tc>
        <w:tc>
          <w:tcPr>
            <w:tcW w:w="1701" w:type="dxa"/>
            <w:vAlign w:val="center"/>
          </w:tcPr>
          <w:p>
            <w:pPr>
              <w:snapToGrid w:val="0"/>
              <w:jc w:val="center"/>
              <w:rPr>
                <w:rFonts w:ascii="宋体" w:hAnsi="宋体"/>
                <w:szCs w:val="21"/>
              </w:rPr>
            </w:pPr>
            <w:r>
              <w:rPr>
                <w:rFonts w:hint="eastAsia" w:ascii="宋体" w:hAnsi="宋体"/>
                <w:szCs w:val="21"/>
              </w:rPr>
              <w:t>整体性能</w:t>
            </w:r>
          </w:p>
        </w:tc>
        <w:tc>
          <w:tcPr>
            <w:tcW w:w="5057" w:type="dxa"/>
            <w:vAlign w:val="center"/>
          </w:tcPr>
          <w:p>
            <w:pPr>
              <w:snapToGrid w:val="0"/>
              <w:jc w:val="left"/>
              <w:rPr>
                <w:rFonts w:ascii="宋体" w:hAnsi="宋体"/>
                <w:szCs w:val="21"/>
              </w:rPr>
            </w:pPr>
            <w:r>
              <w:rPr>
                <w:rFonts w:hint="eastAsia" w:ascii="宋体" w:hAnsi="宋体" w:cs="Calibri"/>
                <w:kern w:val="0"/>
                <w:sz w:val="22"/>
                <w:lang w:val="zh-CN"/>
              </w:rPr>
              <w:t>根据设备的品牌、性能优劣性、节能、噪音、设备操作人性化等横向比较评分。</w:t>
            </w:r>
          </w:p>
        </w:tc>
        <w:tc>
          <w:tcPr>
            <w:tcW w:w="1276" w:type="dxa"/>
            <w:vAlign w:val="center"/>
          </w:tcPr>
          <w:p>
            <w:pPr>
              <w:snapToGrid w:val="0"/>
              <w:jc w:val="center"/>
              <w:rPr>
                <w:rFonts w:ascii="宋体" w:hAnsi="宋体"/>
                <w:b/>
                <w:szCs w:val="21"/>
              </w:rPr>
            </w:pPr>
            <w:r>
              <w:rPr>
                <w:rFonts w:ascii="宋体" w:hAnsi="宋体"/>
                <w:b/>
                <w:szCs w:val="21"/>
              </w:rPr>
              <w:t>0</w:t>
            </w:r>
            <w:r>
              <w:rPr>
                <w:rFonts w:hint="eastAsia" w:ascii="宋体" w:hAnsi="宋体"/>
                <w:b/>
                <w:szCs w:val="21"/>
              </w:rPr>
              <w:t>-</w:t>
            </w:r>
            <w:r>
              <w:rPr>
                <w:rFonts w:ascii="宋体" w:hAnsi="宋体"/>
                <w:b/>
                <w:szCs w:val="21"/>
              </w:rPr>
              <w:t>10</w:t>
            </w:r>
            <w:r>
              <w:rPr>
                <w:rFonts w:hint="eastAsia" w:ascii="宋体" w:hAnsi="宋体"/>
                <w:b/>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0" w:hRule="atLeast"/>
        </w:trPr>
        <w:tc>
          <w:tcPr>
            <w:tcW w:w="1606" w:type="dxa"/>
            <w:vMerge w:val="continue"/>
            <w:vAlign w:val="center"/>
          </w:tcPr>
          <w:p>
            <w:pPr>
              <w:snapToGrid w:val="0"/>
              <w:jc w:val="center"/>
              <w:rPr>
                <w:rFonts w:ascii="宋体" w:hAnsi="宋体"/>
                <w:szCs w:val="21"/>
              </w:rPr>
            </w:pPr>
          </w:p>
        </w:tc>
        <w:tc>
          <w:tcPr>
            <w:tcW w:w="1701" w:type="dxa"/>
            <w:vAlign w:val="center"/>
          </w:tcPr>
          <w:p>
            <w:pPr>
              <w:snapToGrid w:val="0"/>
              <w:jc w:val="center"/>
              <w:rPr>
                <w:rFonts w:ascii="宋体" w:hAnsi="宋体"/>
                <w:szCs w:val="21"/>
              </w:rPr>
            </w:pPr>
            <w:r>
              <w:rPr>
                <w:rFonts w:hint="eastAsia" w:ascii="宋体" w:hAnsi="宋体"/>
                <w:szCs w:val="21"/>
              </w:rPr>
              <w:t>投标文件编写情况</w:t>
            </w:r>
          </w:p>
        </w:tc>
        <w:tc>
          <w:tcPr>
            <w:tcW w:w="5057" w:type="dxa"/>
            <w:vAlign w:val="center"/>
          </w:tcPr>
          <w:p>
            <w:pPr>
              <w:snapToGrid w:val="0"/>
              <w:jc w:val="left"/>
              <w:rPr>
                <w:rFonts w:ascii="宋体" w:hAnsi="宋体"/>
                <w:szCs w:val="21"/>
              </w:rPr>
            </w:pPr>
            <w:r>
              <w:rPr>
                <w:rFonts w:hint="eastAsia" w:ascii="宋体" w:hAnsi="宋体"/>
                <w:szCs w:val="21"/>
              </w:rPr>
              <w:t>产品介绍（查看所投设备详细技术参数说明）是否全面，详尽。优良得5分，一般得2分，较差得0分。</w:t>
            </w:r>
          </w:p>
        </w:tc>
        <w:tc>
          <w:tcPr>
            <w:tcW w:w="1276" w:type="dxa"/>
            <w:vAlign w:val="center"/>
          </w:tcPr>
          <w:p>
            <w:pPr>
              <w:snapToGrid w:val="0"/>
              <w:jc w:val="center"/>
              <w:rPr>
                <w:rFonts w:ascii="宋体" w:hAnsi="宋体"/>
                <w:b/>
                <w:szCs w:val="21"/>
              </w:rPr>
            </w:pPr>
            <w:r>
              <w:rPr>
                <w:rFonts w:ascii="宋体" w:hAnsi="宋体"/>
                <w:b/>
                <w:szCs w:val="21"/>
              </w:rPr>
              <w:t>0-</w:t>
            </w:r>
            <w:r>
              <w:rPr>
                <w:rFonts w:hint="eastAsia" w:ascii="宋体" w:hAnsi="宋体"/>
                <w:b/>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5" w:hRule="atLeast"/>
        </w:trPr>
        <w:tc>
          <w:tcPr>
            <w:tcW w:w="1606" w:type="dxa"/>
            <w:vMerge w:val="continue"/>
            <w:vAlign w:val="center"/>
          </w:tcPr>
          <w:p>
            <w:pPr>
              <w:snapToGrid w:val="0"/>
              <w:jc w:val="center"/>
              <w:rPr>
                <w:rFonts w:ascii="宋体" w:hAnsi="宋体"/>
                <w:szCs w:val="21"/>
              </w:rPr>
            </w:pPr>
          </w:p>
        </w:tc>
        <w:tc>
          <w:tcPr>
            <w:tcW w:w="1701" w:type="dxa"/>
            <w:vAlign w:val="center"/>
          </w:tcPr>
          <w:p>
            <w:pPr>
              <w:snapToGrid w:val="0"/>
              <w:jc w:val="center"/>
              <w:rPr>
                <w:rFonts w:ascii="宋体" w:hAnsi="宋体"/>
                <w:szCs w:val="21"/>
              </w:rPr>
            </w:pPr>
            <w:r>
              <w:rPr>
                <w:rFonts w:hint="eastAsia" w:ascii="宋体" w:hAnsi="宋体"/>
                <w:szCs w:val="21"/>
              </w:rPr>
              <w:t>质保、人员配备、售后服务</w:t>
            </w:r>
          </w:p>
        </w:tc>
        <w:tc>
          <w:tcPr>
            <w:tcW w:w="5057" w:type="dxa"/>
            <w:vAlign w:val="center"/>
          </w:tcPr>
          <w:p>
            <w:pPr>
              <w:snapToGrid w:val="0"/>
              <w:jc w:val="left"/>
              <w:rPr>
                <w:rFonts w:hAnsi="宋体"/>
                <w:sz w:val="22"/>
              </w:rPr>
            </w:pPr>
            <w:r>
              <w:rPr>
                <w:rFonts w:hint="eastAsia" w:hAnsi="宋体"/>
                <w:sz w:val="22"/>
              </w:rPr>
              <w:t>投标人是否具有较强的服务能力、售后服务承诺、提供的售后服务方案的可行性、完整性以及服务承诺落实的保障措施，质保期内外的后续技术支持和维护能力情况等；由评委横向比较评分。</w:t>
            </w:r>
          </w:p>
        </w:tc>
        <w:tc>
          <w:tcPr>
            <w:tcW w:w="1276" w:type="dxa"/>
            <w:vAlign w:val="center"/>
          </w:tcPr>
          <w:p>
            <w:pPr>
              <w:snapToGrid w:val="0"/>
              <w:jc w:val="center"/>
              <w:rPr>
                <w:rFonts w:ascii="宋体" w:hAnsi="宋体"/>
                <w:b/>
                <w:szCs w:val="21"/>
              </w:rPr>
            </w:pPr>
            <w:r>
              <w:rPr>
                <w:rFonts w:hint="eastAsia" w:ascii="宋体" w:hAnsi="宋体"/>
                <w:b/>
                <w:szCs w:val="21"/>
              </w:rPr>
              <w:t>0-5分</w:t>
            </w:r>
          </w:p>
        </w:tc>
      </w:tr>
    </w:tbl>
    <w:p>
      <w:pPr>
        <w:adjustRightInd w:val="0"/>
        <w:ind w:firstLine="540"/>
        <w:jc w:val="center"/>
        <w:rPr>
          <w:rFonts w:ascii="宋体" w:hAnsi="宋体"/>
          <w:b/>
          <w:szCs w:val="21"/>
        </w:rPr>
      </w:pPr>
    </w:p>
    <w:p>
      <w:pPr>
        <w:pStyle w:val="31"/>
        <w:adjustRightInd w:val="0"/>
        <w:snapToGrid w:val="0"/>
        <w:spacing w:line="360" w:lineRule="exact"/>
        <w:ind w:firstLine="440" w:firstLineChars="200"/>
        <w:rPr>
          <w:rFonts w:hAnsi="宋体" w:cs="Calibri"/>
          <w:sz w:val="22"/>
          <w:szCs w:val="22"/>
        </w:rPr>
      </w:pPr>
    </w:p>
    <w:p>
      <w:pPr>
        <w:pStyle w:val="31"/>
        <w:adjustRightInd w:val="0"/>
        <w:snapToGrid w:val="0"/>
        <w:spacing w:line="360" w:lineRule="exact"/>
        <w:ind w:firstLine="442" w:firstLineChars="200"/>
        <w:rPr>
          <w:rFonts w:hAnsi="宋体" w:cs="Calibri"/>
          <w:b/>
          <w:sz w:val="22"/>
          <w:szCs w:val="22"/>
        </w:rPr>
      </w:pPr>
      <w:r>
        <w:rPr>
          <w:rFonts w:hAnsi="宋体" w:cs="Calibri"/>
          <w:b/>
          <w:sz w:val="22"/>
          <w:szCs w:val="22"/>
        </w:rPr>
        <w:t>3.4推荐中标候选人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推荐得分最高、次高的投标人为中标候选人（如果得分相同则按投标人报价从低到高顺序推荐为中标候选人，如果投标报价也相同，则抽签决定）。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3.4.3当有效投标文件只有一名时，则由评标委员会确定是否推荐为中标候选人。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2" w:firstLineChars="200"/>
        <w:rPr>
          <w:rFonts w:hAnsi="宋体"/>
          <w:b/>
        </w:rPr>
      </w:pPr>
      <w:r>
        <w:rPr>
          <w:rFonts w:hint="eastAsia" w:hAnsi="宋体" w:cs="Calibri"/>
          <w:b/>
          <w:sz w:val="22"/>
          <w:szCs w:val="22"/>
        </w:rPr>
        <w:t>4.4招标人对评标、定标结果不负责解释。</w:t>
      </w:r>
    </w:p>
    <w:p>
      <w:r>
        <w:br w:type="page"/>
      </w:r>
    </w:p>
    <w:p>
      <w:pPr>
        <w:pStyle w:val="51"/>
      </w:pPr>
      <w:bookmarkStart w:id="78" w:name="_Toc321925457"/>
      <w:r>
        <w:t>第</w:t>
      </w:r>
      <w:r>
        <w:rPr>
          <w:rFonts w:hint="eastAsia"/>
        </w:rPr>
        <w:t>六</w:t>
      </w:r>
      <w:r>
        <w:t>章  投标文件格式</w:t>
      </w:r>
      <w:bookmarkEnd w:id="75"/>
      <w:bookmarkEnd w:id="78"/>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二、</w:t>
      </w:r>
      <w:r>
        <w:rPr>
          <w:rFonts w:cs="Calibri" w:asciiTheme="minorEastAsia" w:hAnsiTheme="minorEastAsia"/>
          <w:color w:val="000000"/>
          <w:sz w:val="22"/>
        </w:rPr>
        <w:t>法定代表人资格证明书；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三、</w:t>
      </w:r>
      <w:r>
        <w:rPr>
          <w:rFonts w:cs="Calibri" w:asciiTheme="minorEastAsia" w:hAnsiTheme="minorEastAsia"/>
          <w:color w:val="000000"/>
          <w:sz w:val="22"/>
        </w:rPr>
        <w:t>授权委托书；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四、</w:t>
      </w:r>
      <w:r>
        <w:rPr>
          <w:rFonts w:cs="Calibri" w:asciiTheme="minorEastAsia" w:hAnsiTheme="minorEastAsia"/>
          <w:color w:val="000000"/>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w:t>
      </w:r>
      <w:r>
        <w:rPr>
          <w:rFonts w:cs="Calibri" w:asciiTheme="minorEastAsia" w:hAnsiTheme="minorEastAsia"/>
          <w:color w:val="000000"/>
          <w:sz w:val="22"/>
        </w:rPr>
        <w:t>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400" w:lineRule="exact"/>
        <w:ind w:firstLine="440" w:firstLineChars="20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（3）</w:t>
      </w:r>
      <w:r>
        <w:rPr>
          <w:rFonts w:ascii="宋体" w:hAnsi="宋体" w:cs="Calibri"/>
          <w:color w:val="000000"/>
          <w:sz w:val="22"/>
        </w:rPr>
        <w:t>设备制造商的授权书</w:t>
      </w:r>
      <w:r>
        <w:rPr>
          <w:rFonts w:hint="eastAsia" w:ascii="宋体" w:hAnsi="宋体" w:cs="Calibri"/>
          <w:color w:val="000000"/>
          <w:sz w:val="22"/>
        </w:rPr>
        <w:t>（代理商投标时提供）</w:t>
      </w:r>
    </w:p>
    <w:p>
      <w:pPr>
        <w:adjustRightInd w:val="0"/>
        <w:snapToGrid w:val="0"/>
        <w:spacing w:line="400" w:lineRule="exact"/>
        <w:ind w:firstLine="440" w:firstLineChars="20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投标产品近三年的销售业绩一览表（附业绩的合同）。</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六、</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sz w:val="22"/>
        </w:rPr>
      </w:pPr>
      <w:r>
        <w:rPr>
          <w:rFonts w:hint="eastAsia" w:ascii="宋体" w:hAnsi="宋体" w:cs="宋体"/>
          <w:sz w:val="22"/>
        </w:rPr>
        <w:t>七、商务条款响应偏离表；</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九、技术参数、结构及性能特点等产品技术规格书；</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十、主要原材料及部件性能和生产厂家；</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十一、产品制造、安装、验收标准和验收方法；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十二、现场指导、调试；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十三、</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十五、关于质量保证期的说明；</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十七、</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ascii="宋体" w:hAnsi="宋体" w:cs="Calibri"/>
          <w:color w:val="000000"/>
          <w:sz w:val="22"/>
        </w:rPr>
      </w:pPr>
      <w:r>
        <w:rPr>
          <w:rFonts w:hint="eastAsia" w:ascii="宋体" w:hAnsi="宋体" w:cs="Calibri"/>
          <w:color w:val="000000"/>
          <w:sz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79" w:name="_Toc171421958"/>
      <w:r>
        <w:rPr>
          <w:rFonts w:cs="Calibri"/>
          <w:color w:val="000000"/>
        </w:rPr>
        <w:t>封面</w:t>
      </w:r>
      <w:bookmarkEnd w:id="79"/>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20" w:firstLineChars="200"/>
        <w:jc w:val="center"/>
        <w:rPr>
          <w:rFonts w:cs="Calibri"/>
          <w:color w:val="000000"/>
        </w:rPr>
      </w:pPr>
    </w:p>
    <w:p>
      <w:pPr>
        <w:spacing w:line="440" w:lineRule="exact"/>
        <w:rPr>
          <w:rFonts w:cs="Calibri"/>
          <w:color w:val="000000"/>
          <w:sz w:val="44"/>
          <w:szCs w:val="44"/>
        </w:rPr>
      </w:pPr>
    </w:p>
    <w:p>
      <w:pPr>
        <w:spacing w:before="624" w:beforeLines="200" w:after="624"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r>
        <w:rPr>
          <w:rFonts w:cs="Calibri"/>
          <w:color w:val="000000"/>
        </w:rPr>
        <w:t xml:space="preserve">                  </w:t>
      </w: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ascii="宋体" w:hAnsi="宋体"/>
          <w:sz w:val="22"/>
        </w:rPr>
        <w:t>致：</w:t>
      </w:r>
      <w:r>
        <w:rPr>
          <w:rFonts w:hint="eastAsia" w:ascii="宋体" w:hAnsi="宋体"/>
          <w:sz w:val="22"/>
        </w:rPr>
        <w:t>杭州萧山国际机场</w:t>
      </w:r>
      <w:r>
        <w:rPr>
          <w:rFonts w:ascii="宋体" w:hAnsi="宋体"/>
          <w:sz w:val="22"/>
        </w:rPr>
        <w:t>有限公司</w:t>
      </w:r>
    </w:p>
    <w:p>
      <w:pPr>
        <w:overflowPunct w:val="0"/>
        <w:autoSpaceDE w:val="0"/>
        <w:autoSpaceDN w:val="0"/>
        <w:spacing w:line="440" w:lineRule="exact"/>
        <w:ind w:firstLine="440" w:firstLineChars="200"/>
        <w:rPr>
          <w:rFonts w:ascii="宋体" w:hAnsi="宋体"/>
          <w:sz w:val="22"/>
        </w:rPr>
      </w:pPr>
      <w:r>
        <w:rPr>
          <w:rFonts w:ascii="宋体" w:hAnsi="宋体"/>
          <w:sz w:val="22"/>
        </w:rPr>
        <w:t>根据贵方杭州萧山国际机场</w:t>
      </w:r>
      <w:r>
        <w:rPr>
          <w:rFonts w:hint="eastAsia" w:ascii="宋体" w:hAnsi="宋体"/>
          <w:sz w:val="22"/>
          <w:u w:val="single"/>
        </w:rPr>
        <w:t xml:space="preserve">             </w:t>
      </w:r>
      <w:r>
        <w:rPr>
          <w:rFonts w:ascii="宋体" w:hAnsi="宋体"/>
          <w:sz w:val="22"/>
        </w:rPr>
        <w:t>采购项</w:t>
      </w:r>
      <w:r>
        <w:rPr>
          <w:rFonts w:hint="eastAsia" w:ascii="宋体" w:hAnsi="宋体"/>
          <w:sz w:val="22"/>
        </w:rPr>
        <w:t>目</w:t>
      </w:r>
      <w:r>
        <w:rPr>
          <w:rFonts w:ascii="宋体" w:hAnsi="宋体"/>
          <w:sz w:val="22"/>
        </w:rPr>
        <w:t>的</w:t>
      </w:r>
      <w:r>
        <w:rPr>
          <w:rFonts w:hint="eastAsia" w:ascii="宋体" w:hAnsi="宋体"/>
          <w:sz w:val="22"/>
        </w:rPr>
        <w:t>招标文件</w:t>
      </w:r>
      <w:r>
        <w:rPr>
          <w:rFonts w:ascii="宋体" w:hAnsi="宋体"/>
          <w:sz w:val="22"/>
        </w:rPr>
        <w:t>，授权代表</w:t>
      </w:r>
      <w:r>
        <w:rPr>
          <w:rFonts w:ascii="宋体" w:hAnsi="宋体" w:cs="Arial"/>
          <w:sz w:val="22"/>
          <w:u w:val="single"/>
        </w:rPr>
        <w:t xml:space="preserve">        </w:t>
      </w:r>
      <w:r>
        <w:rPr>
          <w:rFonts w:ascii="宋体" w:hAnsi="宋体"/>
          <w:sz w:val="22"/>
        </w:rPr>
        <w:t>(全名、职务)经正式授权</w:t>
      </w:r>
      <w:r>
        <w:rPr>
          <w:rFonts w:hint="eastAsia" w:ascii="宋体" w:hAnsi="宋体"/>
          <w:sz w:val="22"/>
        </w:rPr>
        <w:t>，</w:t>
      </w:r>
      <w:r>
        <w:rPr>
          <w:rFonts w:ascii="宋体" w:hAnsi="宋体"/>
          <w:sz w:val="22"/>
        </w:rPr>
        <w:t>代表投标人</w:t>
      </w:r>
      <w:r>
        <w:rPr>
          <w:rFonts w:ascii="宋体" w:hAnsi="宋体" w:cs="Arial"/>
          <w:sz w:val="22"/>
          <w:u w:val="single"/>
        </w:rPr>
        <w:t xml:space="preserve">                    </w:t>
      </w:r>
      <w:r>
        <w:rPr>
          <w:rFonts w:ascii="宋体" w:hAnsi="宋体"/>
          <w:sz w:val="22"/>
        </w:rPr>
        <w:t>(投标人名称、地址)递交下述文件正本一份</w:t>
      </w:r>
      <w:r>
        <w:rPr>
          <w:rFonts w:hint="eastAsia" w:ascii="宋体" w:hAnsi="宋体"/>
          <w:sz w:val="22"/>
        </w:rPr>
        <w:t>、</w:t>
      </w:r>
      <w:r>
        <w:rPr>
          <w:rFonts w:ascii="宋体" w:hAnsi="宋体"/>
          <w:sz w:val="22"/>
        </w:rPr>
        <w:t>副本</w:t>
      </w:r>
      <w:r>
        <w:rPr>
          <w:rFonts w:hint="eastAsia" w:ascii="宋体" w:hAnsi="宋体"/>
          <w:sz w:val="22"/>
        </w:rPr>
        <w:t>二</w:t>
      </w:r>
      <w:r>
        <w:rPr>
          <w:rFonts w:ascii="宋体" w:hAnsi="宋体"/>
          <w:sz w:val="22"/>
        </w:rPr>
        <w:t>份。</w:t>
      </w:r>
    </w:p>
    <w:p>
      <w:pPr>
        <w:overflowPunct w:val="0"/>
        <w:autoSpaceDE w:val="0"/>
        <w:autoSpaceDN w:val="0"/>
        <w:spacing w:line="440" w:lineRule="exact"/>
        <w:ind w:firstLine="440" w:firstLineChars="200"/>
        <w:rPr>
          <w:rFonts w:ascii="宋体" w:hAnsi="宋体" w:cs="Arial"/>
          <w:sz w:val="22"/>
        </w:rPr>
      </w:pPr>
      <w:r>
        <w:rPr>
          <w:rFonts w:ascii="宋体" w:hAnsi="宋体" w:cs="Arial"/>
          <w:sz w:val="22"/>
        </w:rPr>
        <w:t>据此函，本授权代表宣布同意如下：</w:t>
      </w:r>
    </w:p>
    <w:p>
      <w:pPr>
        <w:numPr>
          <w:ilvl w:val="0"/>
          <w:numId w:val="7"/>
        </w:numPr>
        <w:tabs>
          <w:tab w:val="left" w:pos="840"/>
        </w:tabs>
        <w:overflowPunct w:val="0"/>
        <w:autoSpaceDE w:val="0"/>
        <w:autoSpaceDN w:val="0"/>
        <w:spacing w:line="440" w:lineRule="exact"/>
        <w:rPr>
          <w:rFonts w:ascii="宋体" w:hAnsi="宋体"/>
          <w:sz w:val="22"/>
        </w:rPr>
      </w:pPr>
      <w:r>
        <w:rPr>
          <w:rFonts w:ascii="宋体" w:hAnsi="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sz w:val="22"/>
        </w:rPr>
      </w:pPr>
      <w:r>
        <w:rPr>
          <w:rFonts w:ascii="宋体" w:hAnsi="宋体"/>
          <w:sz w:val="22"/>
        </w:rPr>
        <w:t>(大写)</w:t>
      </w:r>
      <w:r>
        <w:rPr>
          <w:rFonts w:hint="eastAsia" w:ascii="宋体" w:hAnsi="宋体"/>
          <w:sz w:val="22"/>
          <w:u w:val="single"/>
        </w:rPr>
        <w:t xml:space="preserve">                   </w:t>
      </w:r>
      <w:r>
        <w:rPr>
          <w:rFonts w:ascii="宋体" w:hAnsi="宋体"/>
          <w:sz w:val="22"/>
        </w:rPr>
        <w:t>(小写)</w:t>
      </w:r>
      <w:r>
        <w:rPr>
          <w:rFonts w:ascii="宋体" w:hAnsi="宋体"/>
          <w:sz w:val="22"/>
          <w:u w:val="single"/>
        </w:rPr>
        <w:t xml:space="preserve">             </w:t>
      </w:r>
      <w:r>
        <w:rPr>
          <w:rFonts w:ascii="宋体" w:hAnsi="宋体"/>
          <w:sz w:val="22"/>
        </w:rPr>
        <w:t>。</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7"/>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投标人将按投标文件的规定履行合同责任和义务。</w:t>
      </w:r>
    </w:p>
    <w:p>
      <w:pPr>
        <w:numPr>
          <w:ilvl w:val="0"/>
          <w:numId w:val="7"/>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投标人已详细审查全部招标文件包括澄清函和修改文件(如果有)、所有已提供的资料以及有关附件，</w:t>
      </w:r>
      <w:r>
        <w:rPr>
          <w:rFonts w:hint="eastAsia"/>
          <w:sz w:val="22"/>
        </w:rPr>
        <w:t>投标人已完全理解上述文件的全部内容，并放弃提出任何误解或不明作为抗辩的权利</w:t>
      </w:r>
      <w:r>
        <w:rPr>
          <w:rFonts w:ascii="宋体" w:hAnsi="宋体"/>
          <w:sz w:val="22"/>
        </w:rPr>
        <w:t>。</w:t>
      </w:r>
    </w:p>
    <w:p>
      <w:pPr>
        <w:numPr>
          <w:ilvl w:val="0"/>
          <w:numId w:val="7"/>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本投标的投标有效期为自</w:t>
      </w:r>
      <w:r>
        <w:rPr>
          <w:rFonts w:hint="eastAsia" w:ascii="宋体" w:hAnsi="宋体"/>
          <w:sz w:val="22"/>
        </w:rPr>
        <w:t>投标截止</w:t>
      </w:r>
      <w:r>
        <w:rPr>
          <w:rFonts w:ascii="宋体" w:hAnsi="宋体"/>
          <w:sz w:val="22"/>
        </w:rPr>
        <w:t>之日起</w:t>
      </w:r>
      <w:r>
        <w:rPr>
          <w:rFonts w:hint="eastAsia" w:ascii="宋体" w:hAnsi="宋体"/>
          <w:sz w:val="22"/>
        </w:rPr>
        <w:t>120</w:t>
      </w:r>
      <w:r>
        <w:rPr>
          <w:rFonts w:ascii="宋体" w:hAnsi="宋体"/>
          <w:sz w:val="22"/>
        </w:rPr>
        <w:t>日</w:t>
      </w:r>
      <w:r>
        <w:rPr>
          <w:rFonts w:hint="eastAsia" w:ascii="宋体" w:hAnsi="宋体"/>
          <w:sz w:val="22"/>
        </w:rPr>
        <w:t>内</w:t>
      </w:r>
      <w:r>
        <w:rPr>
          <w:rFonts w:ascii="宋体" w:hAnsi="宋体"/>
          <w:sz w:val="22"/>
        </w:rPr>
        <w:t>。</w:t>
      </w:r>
    </w:p>
    <w:p>
      <w:pPr>
        <w:numPr>
          <w:ilvl w:val="0"/>
          <w:numId w:val="7"/>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投标人完全清楚并理解在投标有效期期满之前撤回投标，招标人有权</w:t>
      </w:r>
      <w:r>
        <w:rPr>
          <w:rFonts w:hint="eastAsia" w:ascii="宋体" w:hAnsi="宋体" w:cs="宋体"/>
          <w:sz w:val="22"/>
        </w:rPr>
        <w:t>不予退还</w:t>
      </w:r>
      <w:r>
        <w:rPr>
          <w:rFonts w:ascii="宋体" w:hAnsi="宋体"/>
          <w:sz w:val="22"/>
        </w:rPr>
        <w:t>投标人的</w:t>
      </w:r>
      <w:r>
        <w:rPr>
          <w:rFonts w:hint="eastAsia" w:ascii="宋体" w:hAnsi="宋体"/>
          <w:sz w:val="22"/>
        </w:rPr>
        <w:t>投标保证金及银行同期存款利息</w:t>
      </w:r>
      <w:r>
        <w:rPr>
          <w:rFonts w:ascii="宋体" w:hAnsi="宋体"/>
          <w:sz w:val="22"/>
        </w:rPr>
        <w:t>。</w:t>
      </w:r>
    </w:p>
    <w:p>
      <w:pPr>
        <w:numPr>
          <w:ilvl w:val="0"/>
          <w:numId w:val="7"/>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投标人同意按照贵方可能提出的要求提供与其投标有关的任何其它数字或资料，并对贵方可能不接受最低价投标及任何投标表示理解。</w:t>
      </w:r>
    </w:p>
    <w:p>
      <w:pPr>
        <w:numPr>
          <w:ilvl w:val="0"/>
          <w:numId w:val="7"/>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日    期：    年     月     日</w:t>
      </w:r>
    </w:p>
    <w:p>
      <w:pPr>
        <w:adjustRightInd w:val="0"/>
        <w:snapToGrid w:val="0"/>
        <w:jc w:val="center"/>
        <w:rPr>
          <w:rFonts w:eastAsia="黑体" w:cs="Calibri"/>
          <w:color w:val="000000"/>
          <w:sz w:val="32"/>
          <w:szCs w:val="32"/>
        </w:rPr>
      </w:pPr>
      <w:r>
        <w:rPr>
          <w:rFonts w:ascii="宋体" w:hAnsi="宋体" w:cs="Arial"/>
          <w:sz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56" w:afterLines="50" w:line="440" w:lineRule="exact"/>
        <w:rPr>
          <w:rFonts w:cs="Calibri"/>
          <w:color w:val="000000"/>
        </w:rPr>
      </w:pPr>
    </w:p>
    <w:p>
      <w:pPr>
        <w:spacing w:after="156"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156"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156"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156"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156"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156"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156"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系</w:t>
      </w:r>
      <w:r>
        <w:rPr>
          <w:rFonts w:cs="Calibri"/>
          <w:color w:val="000000"/>
          <w:sz w:val="22"/>
          <w:u w:val="single"/>
        </w:rPr>
        <w:t xml:space="preserve">                          </w:t>
      </w:r>
      <w:r>
        <w:rPr>
          <w:rFonts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 xml:space="preserve">投标人：（盖单位章） </w:t>
      </w:r>
    </w:p>
    <w:p>
      <w:pPr>
        <w:spacing w:line="440" w:lineRule="exact"/>
        <w:ind w:firstLine="4936" w:firstLineChars="2235"/>
        <w:rPr>
          <w:rFonts w:cs="Calibri"/>
          <w:b/>
          <w:color w:val="000000"/>
          <w:sz w:val="22"/>
        </w:rPr>
      </w:pPr>
      <w:r>
        <w:rPr>
          <w:rFonts w:cs="Calibri"/>
          <w:b/>
          <w:color w:val="000000"/>
          <w:sz w:val="22"/>
        </w:rPr>
        <w:pict>
          <v:shape id="Text Box 6" o:spid="_x0000_s1026" o:spt="202" type="#_x0000_t202" style="position:absolute;left:0pt;margin-left:0pt;margin-top:63.25pt;height:171.6pt;width:423pt;mso-wrap-distance-bottom:0pt;mso-wrap-distance-left:9pt;mso-wrap-distance-right:9pt;mso-wrap-distance-top:0pt;z-index:251657216;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58240;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hAnsi="宋体" w:cs="宋体"/>
          <w:sz w:val="22"/>
        </w:rPr>
      </w:pPr>
    </w:p>
    <w:p>
      <w:pPr>
        <w:pStyle w:val="31"/>
        <w:spacing w:after="156" w:afterLines="50" w:line="360" w:lineRule="auto"/>
        <w:jc w:val="left"/>
        <w:rPr>
          <w:rFonts w:hAnsi="宋体" w:cs="宋体"/>
          <w:b/>
        </w:rPr>
      </w:pPr>
      <w:r>
        <w:rPr>
          <w:rFonts w:hAnsi="宋体" w:cs="宋体"/>
          <w:b/>
        </w:rPr>
        <w:br w:type="page"/>
      </w:r>
      <w:bookmarkStart w:id="80" w:name="_Toc133214102"/>
      <w:bookmarkStart w:id="81" w:name="_Toc133214309"/>
      <w:bookmarkStart w:id="82" w:name="_Toc133470542"/>
      <w:bookmarkStart w:id="83" w:name="_Toc137373398"/>
      <w:bookmarkStart w:id="84" w:name="_Toc144265958"/>
    </w:p>
    <w:p>
      <w:pPr>
        <w:pStyle w:val="31"/>
        <w:spacing w:after="156"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四、投标报价表</w:t>
      </w:r>
    </w:p>
    <w:p>
      <w:pPr>
        <w:pStyle w:val="31"/>
        <w:spacing w:after="156" w:afterLines="50" w:line="360" w:lineRule="auto"/>
        <w:jc w:val="center"/>
        <w:rPr>
          <w:rFonts w:hAnsi="宋体" w:cs="宋体"/>
        </w:rPr>
      </w:pPr>
    </w:p>
    <w:p>
      <w:pPr>
        <w:pStyle w:val="31"/>
        <w:numPr>
          <w:ilvl w:val="1"/>
          <w:numId w:val="8"/>
        </w:numPr>
        <w:snapToGrid w:val="0"/>
        <w:spacing w:before="156" w:beforeLines="50" w:line="360" w:lineRule="exact"/>
        <w:rPr>
          <w:rFonts w:hAnsi="宋体" w:cs="宋体"/>
          <w:b/>
          <w:sz w:val="22"/>
          <w:szCs w:val="22"/>
        </w:rPr>
      </w:pPr>
      <w:r>
        <w:rPr>
          <w:rFonts w:hint="eastAsia" w:hAnsi="宋体" w:cs="宋体"/>
          <w:b/>
          <w:sz w:val="22"/>
          <w:szCs w:val="22"/>
        </w:rPr>
        <w:t>总则</w:t>
      </w:r>
    </w:p>
    <w:p>
      <w:pPr>
        <w:pStyle w:val="31"/>
        <w:numPr>
          <w:ilvl w:val="1"/>
          <w:numId w:val="9"/>
        </w:numPr>
        <w:snapToGrid w:val="0"/>
        <w:spacing w:before="156"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9"/>
        </w:numPr>
        <w:snapToGrid w:val="0"/>
        <w:spacing w:before="156"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1"/>
        <w:numPr>
          <w:ilvl w:val="1"/>
          <w:numId w:val="9"/>
        </w:numPr>
        <w:snapToGrid w:val="0"/>
        <w:spacing w:before="156"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9"/>
        </w:numPr>
        <w:snapToGrid w:val="0"/>
        <w:spacing w:before="156"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9"/>
        </w:numPr>
        <w:snapToGrid w:val="0"/>
        <w:spacing w:before="156"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9"/>
        </w:numPr>
        <w:snapToGrid w:val="0"/>
        <w:spacing w:before="156"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31"/>
        <w:numPr>
          <w:ilvl w:val="1"/>
          <w:numId w:val="8"/>
        </w:numPr>
        <w:snapToGrid w:val="0"/>
        <w:spacing w:before="156" w:beforeLines="50" w:line="360" w:lineRule="exact"/>
        <w:rPr>
          <w:rFonts w:hAnsi="宋体" w:cs="宋体"/>
          <w:sz w:val="22"/>
          <w:szCs w:val="22"/>
        </w:rPr>
      </w:pPr>
      <w:r>
        <w:rPr>
          <w:rFonts w:hint="eastAsia" w:hAnsi="宋体" w:cs="宋体"/>
          <w:sz w:val="22"/>
          <w:szCs w:val="22"/>
        </w:rPr>
        <w:t>投标报价表包含以下各表</w:t>
      </w:r>
    </w:p>
    <w:bookmarkEnd w:id="80"/>
    <w:bookmarkEnd w:id="81"/>
    <w:bookmarkEnd w:id="82"/>
    <w:bookmarkEnd w:id="83"/>
    <w:bookmarkEnd w:id="84"/>
    <w:p>
      <w:pPr>
        <w:snapToGrid w:val="0"/>
        <w:spacing w:before="156"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56"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156"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156" w:beforeLines="50" w:line="360" w:lineRule="exact"/>
        <w:ind w:left="1134"/>
        <w:rPr>
          <w:rFonts w:ascii="宋体" w:hAnsi="宋体" w:cs="宋体"/>
          <w:sz w:val="22"/>
        </w:rPr>
      </w:pPr>
      <w:r>
        <w:rPr>
          <w:rFonts w:hint="eastAsia" w:ascii="宋体" w:hAnsi="宋体" w:cs="宋体"/>
          <w:sz w:val="22"/>
        </w:rPr>
        <w:t>(4)备品备件分项报价表（不计入总价）</w:t>
      </w:r>
    </w:p>
    <w:p>
      <w:pPr>
        <w:snapToGrid w:val="0"/>
        <w:spacing w:before="156"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58"/>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2</w:t>
            </w:r>
          </w:p>
        </w:tc>
        <w:tc>
          <w:tcPr>
            <w:tcW w:w="2976" w:type="dxa"/>
            <w:vAlign w:val="center"/>
          </w:tcPr>
          <w:p>
            <w:pPr>
              <w:snapToGrid w:val="0"/>
              <w:jc w:val="center"/>
              <w:rPr>
                <w:rFonts w:ascii="宋体" w:hAnsi="宋体" w:cs="宋体"/>
                <w:sz w:val="22"/>
              </w:rPr>
            </w:pPr>
            <w:r>
              <w:rPr>
                <w:rFonts w:hint="eastAsia" w:ascii="宋体" w:hAnsi="宋体" w:cs="宋体"/>
                <w:sz w:val="22"/>
              </w:rPr>
              <w:t>随机配件和专用工具(表4.3)</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10"/>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10"/>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156" w:beforeLines="50" w:line="360" w:lineRule="auto"/>
        <w:ind w:firstLine="3960"/>
        <w:rPr>
          <w:rFonts w:ascii="宋体" w:hAnsi="宋体" w:cs="宋体"/>
        </w:rPr>
      </w:pPr>
      <w:bookmarkStart w:id="85" w:name="_Toc133214103"/>
      <w:bookmarkStart w:id="86" w:name="_Toc133214310"/>
      <w:bookmarkStart w:id="87" w:name="_Toc133470544"/>
      <w:bookmarkStart w:id="88" w:name="_Toc137373399"/>
    </w:p>
    <w:p>
      <w:pPr>
        <w:spacing w:line="360" w:lineRule="auto"/>
        <w:jc w:val="center"/>
        <w:rPr>
          <w:rFonts w:ascii="宋体" w:hAnsi="宋体" w:cs="宋体"/>
          <w:b/>
          <w:sz w:val="32"/>
          <w:szCs w:val="32"/>
        </w:rPr>
      </w:pPr>
      <w:bookmarkStart w:id="89" w:name="_Toc144265959"/>
      <w:r>
        <w:rPr>
          <w:rFonts w:hint="eastAsia" w:ascii="宋体" w:hAnsi="宋体" w:cs="宋体"/>
          <w:b/>
          <w:sz w:val="32"/>
          <w:szCs w:val="32"/>
        </w:rPr>
        <w:br w:type="page"/>
      </w:r>
    </w:p>
    <w:bookmarkEnd w:id="85"/>
    <w:bookmarkEnd w:id="86"/>
    <w:bookmarkEnd w:id="87"/>
    <w:bookmarkEnd w:id="88"/>
    <w:bookmarkEnd w:id="89"/>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062"/>
        <w:gridCol w:w="789"/>
        <w:gridCol w:w="720"/>
        <w:gridCol w:w="528"/>
        <w:gridCol w:w="447"/>
        <w:gridCol w:w="418"/>
        <w:gridCol w:w="1071"/>
        <w:gridCol w:w="1019"/>
        <w:gridCol w:w="1019"/>
        <w:gridCol w:w="1019"/>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527"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06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78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72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52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44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4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0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价（不含税）</w:t>
            </w:r>
          </w:p>
        </w:tc>
        <w:tc>
          <w:tcPr>
            <w:tcW w:w="10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价（不含税）</w:t>
            </w:r>
          </w:p>
        </w:tc>
        <w:tc>
          <w:tcPr>
            <w:tcW w:w="10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0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价（含税）</w:t>
            </w:r>
          </w:p>
        </w:tc>
        <w:tc>
          <w:tcPr>
            <w:tcW w:w="100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价（不含是）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7" w:type="dxa"/>
            <w:vMerge w:val="continue"/>
            <w:shd w:val="clear" w:color="auto" w:fill="auto"/>
            <w:vAlign w:val="center"/>
          </w:tcPr>
          <w:p>
            <w:pPr>
              <w:widowControl/>
              <w:jc w:val="left"/>
              <w:rPr>
                <w:rFonts w:ascii="宋体" w:hAnsi="宋体" w:cs="宋体"/>
                <w:b/>
                <w:bCs/>
                <w:kern w:val="0"/>
                <w:sz w:val="20"/>
              </w:rPr>
            </w:pPr>
          </w:p>
        </w:tc>
        <w:tc>
          <w:tcPr>
            <w:tcW w:w="1062" w:type="dxa"/>
            <w:vMerge w:val="continue"/>
            <w:shd w:val="clear" w:color="auto" w:fill="auto"/>
            <w:vAlign w:val="center"/>
          </w:tcPr>
          <w:p>
            <w:pPr>
              <w:widowControl/>
              <w:jc w:val="left"/>
              <w:rPr>
                <w:rFonts w:ascii="宋体" w:hAnsi="宋体" w:cs="宋体"/>
                <w:b/>
                <w:bCs/>
                <w:kern w:val="0"/>
                <w:sz w:val="20"/>
              </w:rPr>
            </w:pPr>
          </w:p>
        </w:tc>
        <w:tc>
          <w:tcPr>
            <w:tcW w:w="789" w:type="dxa"/>
            <w:vMerge w:val="continue"/>
            <w:shd w:val="clear" w:color="auto" w:fill="auto"/>
            <w:vAlign w:val="center"/>
          </w:tcPr>
          <w:p>
            <w:pPr>
              <w:widowControl/>
              <w:jc w:val="left"/>
              <w:rPr>
                <w:rFonts w:ascii="宋体" w:hAnsi="宋体" w:cs="宋体"/>
                <w:b/>
                <w:bCs/>
                <w:kern w:val="0"/>
                <w:sz w:val="20"/>
              </w:rPr>
            </w:pPr>
          </w:p>
        </w:tc>
        <w:tc>
          <w:tcPr>
            <w:tcW w:w="720" w:type="dxa"/>
            <w:vMerge w:val="continue"/>
            <w:shd w:val="clear" w:color="auto" w:fill="auto"/>
            <w:vAlign w:val="center"/>
          </w:tcPr>
          <w:p>
            <w:pPr>
              <w:widowControl/>
              <w:jc w:val="left"/>
              <w:rPr>
                <w:rFonts w:ascii="宋体" w:hAnsi="宋体" w:cs="宋体"/>
                <w:b/>
                <w:bCs/>
                <w:kern w:val="0"/>
                <w:sz w:val="20"/>
              </w:rPr>
            </w:pPr>
          </w:p>
        </w:tc>
        <w:tc>
          <w:tcPr>
            <w:tcW w:w="528" w:type="dxa"/>
            <w:vMerge w:val="continue"/>
            <w:shd w:val="clear" w:color="auto" w:fill="auto"/>
            <w:vAlign w:val="center"/>
          </w:tcPr>
          <w:p>
            <w:pPr>
              <w:widowControl/>
              <w:jc w:val="left"/>
              <w:rPr>
                <w:rFonts w:ascii="宋体" w:hAnsi="宋体" w:cs="宋体"/>
                <w:b/>
                <w:bCs/>
                <w:kern w:val="0"/>
                <w:sz w:val="20"/>
              </w:rPr>
            </w:pPr>
          </w:p>
        </w:tc>
        <w:tc>
          <w:tcPr>
            <w:tcW w:w="447" w:type="dxa"/>
            <w:vMerge w:val="continue"/>
            <w:shd w:val="clear" w:color="auto" w:fill="auto"/>
            <w:vAlign w:val="center"/>
          </w:tcPr>
          <w:p>
            <w:pPr>
              <w:widowControl/>
              <w:jc w:val="left"/>
              <w:rPr>
                <w:rFonts w:ascii="宋体" w:hAnsi="宋体" w:cs="宋体"/>
                <w:b/>
                <w:bCs/>
                <w:kern w:val="0"/>
                <w:sz w:val="20"/>
              </w:rPr>
            </w:pPr>
          </w:p>
        </w:tc>
        <w:tc>
          <w:tcPr>
            <w:tcW w:w="418" w:type="dxa"/>
            <w:vMerge w:val="continue"/>
            <w:shd w:val="clear" w:color="auto" w:fill="auto"/>
            <w:vAlign w:val="center"/>
          </w:tcPr>
          <w:p>
            <w:pPr>
              <w:widowControl/>
              <w:jc w:val="left"/>
              <w:rPr>
                <w:rFonts w:ascii="宋体" w:hAnsi="宋体" w:cs="宋体"/>
                <w:b/>
                <w:bCs/>
                <w:kern w:val="0"/>
                <w:sz w:val="20"/>
              </w:rPr>
            </w:pPr>
          </w:p>
        </w:tc>
        <w:tc>
          <w:tcPr>
            <w:tcW w:w="10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0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0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w:t>
            </w:r>
          </w:p>
        </w:tc>
        <w:tc>
          <w:tcPr>
            <w:tcW w:w="10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00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7"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062" w:type="dxa"/>
            <w:shd w:val="clear" w:color="000000" w:fill="FFFFFF"/>
            <w:vAlign w:val="center"/>
          </w:tcPr>
          <w:p>
            <w:pPr>
              <w:widowControl/>
              <w:jc w:val="center"/>
              <w:rPr>
                <w:rFonts w:ascii="宋体" w:hAnsi="宋体" w:cs="宋体"/>
                <w:b/>
                <w:bCs/>
                <w:kern w:val="0"/>
                <w:sz w:val="20"/>
              </w:rPr>
            </w:pPr>
          </w:p>
        </w:tc>
        <w:tc>
          <w:tcPr>
            <w:tcW w:w="789"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20"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528"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447"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4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19" w:type="dxa"/>
            <w:shd w:val="clear" w:color="000000" w:fill="FFFFFF"/>
          </w:tcPr>
          <w:p>
            <w:pPr>
              <w:widowControl/>
              <w:jc w:val="center"/>
              <w:rPr>
                <w:rFonts w:ascii="宋体" w:hAnsi="宋体" w:cs="宋体"/>
                <w:b/>
                <w:bCs/>
                <w:kern w:val="0"/>
                <w:sz w:val="20"/>
              </w:rPr>
            </w:pPr>
          </w:p>
        </w:tc>
        <w:tc>
          <w:tcPr>
            <w:tcW w:w="1019" w:type="dxa"/>
            <w:shd w:val="clear" w:color="000000" w:fill="FFFFFF"/>
          </w:tcPr>
          <w:p>
            <w:pPr>
              <w:widowControl/>
              <w:jc w:val="center"/>
              <w:rPr>
                <w:rFonts w:ascii="宋体" w:hAnsi="宋体" w:cs="宋体"/>
                <w:b/>
                <w:bCs/>
                <w:kern w:val="0"/>
                <w:sz w:val="20"/>
              </w:rPr>
            </w:pPr>
          </w:p>
        </w:tc>
        <w:tc>
          <w:tcPr>
            <w:tcW w:w="1019" w:type="dxa"/>
            <w:shd w:val="clear" w:color="000000" w:fill="FFFFFF"/>
          </w:tcPr>
          <w:p>
            <w:pPr>
              <w:widowControl/>
              <w:jc w:val="center"/>
              <w:rPr>
                <w:rFonts w:ascii="宋体" w:hAnsi="宋体" w:cs="宋体"/>
                <w:b/>
                <w:bCs/>
                <w:kern w:val="0"/>
                <w:sz w:val="20"/>
              </w:rPr>
            </w:pPr>
          </w:p>
        </w:tc>
        <w:tc>
          <w:tcPr>
            <w:tcW w:w="1009"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7"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062" w:type="dxa"/>
            <w:shd w:val="clear" w:color="000000" w:fill="FFFFFF"/>
            <w:vAlign w:val="center"/>
          </w:tcPr>
          <w:p>
            <w:pPr>
              <w:widowControl/>
              <w:jc w:val="center"/>
              <w:rPr>
                <w:rFonts w:ascii="宋体" w:hAnsi="宋体"/>
                <w:b/>
                <w:bCs/>
                <w:kern w:val="0"/>
                <w:szCs w:val="21"/>
              </w:rPr>
            </w:pPr>
          </w:p>
        </w:tc>
        <w:tc>
          <w:tcPr>
            <w:tcW w:w="78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28" w:type="dxa"/>
            <w:tcBorders>
              <w:bottom w:val="single" w:color="auto" w:sz="4" w:space="0"/>
            </w:tcBorders>
            <w:shd w:val="clear" w:color="000000" w:fill="FFFFFF"/>
            <w:vAlign w:val="center"/>
          </w:tcPr>
          <w:p>
            <w:pPr>
              <w:widowControl/>
              <w:rPr>
                <w:rFonts w:ascii="宋体" w:hAnsi="宋体" w:cs="宋体"/>
                <w:b/>
                <w:bCs/>
                <w:kern w:val="0"/>
                <w:sz w:val="20"/>
              </w:rPr>
            </w:pPr>
          </w:p>
        </w:tc>
        <w:tc>
          <w:tcPr>
            <w:tcW w:w="447" w:type="dxa"/>
            <w:tcBorders>
              <w:bottom w:val="single" w:color="auto" w:sz="4" w:space="0"/>
            </w:tcBorders>
            <w:shd w:val="clear" w:color="000000" w:fill="FFFFFF"/>
            <w:vAlign w:val="center"/>
          </w:tcPr>
          <w:p>
            <w:pPr>
              <w:widowControl/>
              <w:rPr>
                <w:rFonts w:ascii="宋体" w:hAnsi="宋体" w:cs="宋体"/>
                <w:b/>
                <w:bCs/>
                <w:kern w:val="0"/>
                <w:sz w:val="20"/>
              </w:rPr>
            </w:pPr>
          </w:p>
        </w:tc>
        <w:tc>
          <w:tcPr>
            <w:tcW w:w="4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71" w:type="dxa"/>
            <w:shd w:val="clear" w:color="000000" w:fill="FFFFFF"/>
            <w:vAlign w:val="center"/>
          </w:tcPr>
          <w:p>
            <w:pPr>
              <w:widowControl/>
              <w:jc w:val="center"/>
              <w:rPr>
                <w:rFonts w:ascii="宋体" w:hAnsi="宋体" w:cs="宋体"/>
                <w:b/>
                <w:bCs/>
                <w:kern w:val="0"/>
                <w:sz w:val="20"/>
              </w:rPr>
            </w:pPr>
          </w:p>
        </w:tc>
        <w:tc>
          <w:tcPr>
            <w:tcW w:w="1019" w:type="dxa"/>
            <w:shd w:val="clear" w:color="000000" w:fill="FFFFFF"/>
          </w:tcPr>
          <w:p>
            <w:pPr>
              <w:widowControl/>
              <w:jc w:val="center"/>
              <w:rPr>
                <w:rFonts w:ascii="宋体" w:hAnsi="宋体" w:cs="宋体"/>
                <w:b/>
                <w:bCs/>
                <w:kern w:val="0"/>
                <w:sz w:val="20"/>
              </w:rPr>
            </w:pPr>
          </w:p>
        </w:tc>
        <w:tc>
          <w:tcPr>
            <w:tcW w:w="1019" w:type="dxa"/>
            <w:shd w:val="clear" w:color="000000" w:fill="FFFFFF"/>
          </w:tcPr>
          <w:p>
            <w:pPr>
              <w:widowControl/>
              <w:jc w:val="center"/>
              <w:rPr>
                <w:rFonts w:ascii="宋体" w:hAnsi="宋体" w:cs="宋体"/>
                <w:b/>
                <w:bCs/>
                <w:kern w:val="0"/>
                <w:sz w:val="20"/>
              </w:rPr>
            </w:pPr>
          </w:p>
        </w:tc>
        <w:tc>
          <w:tcPr>
            <w:tcW w:w="1019" w:type="dxa"/>
            <w:shd w:val="clear" w:color="000000" w:fill="FFFFFF"/>
          </w:tcPr>
          <w:p>
            <w:pPr>
              <w:widowControl/>
              <w:jc w:val="center"/>
              <w:rPr>
                <w:rFonts w:ascii="宋体" w:hAnsi="宋体" w:cs="宋体"/>
                <w:b/>
                <w:bCs/>
                <w:kern w:val="0"/>
                <w:sz w:val="20"/>
              </w:rPr>
            </w:pPr>
          </w:p>
        </w:tc>
        <w:tc>
          <w:tcPr>
            <w:tcW w:w="1009"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7"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062" w:type="dxa"/>
            <w:shd w:val="clear" w:color="000000" w:fill="FFFFFF"/>
            <w:vAlign w:val="center"/>
          </w:tcPr>
          <w:p>
            <w:pPr>
              <w:widowControl/>
              <w:jc w:val="center"/>
              <w:rPr>
                <w:rFonts w:ascii="宋体" w:hAnsi="宋体"/>
                <w:b/>
                <w:bCs/>
                <w:kern w:val="0"/>
                <w:szCs w:val="21"/>
              </w:rPr>
            </w:pPr>
          </w:p>
        </w:tc>
        <w:tc>
          <w:tcPr>
            <w:tcW w:w="78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28" w:type="dxa"/>
            <w:tcBorders>
              <w:bottom w:val="single" w:color="auto" w:sz="4" w:space="0"/>
            </w:tcBorders>
            <w:shd w:val="clear" w:color="000000" w:fill="FFFFFF"/>
            <w:vAlign w:val="center"/>
          </w:tcPr>
          <w:p>
            <w:pPr>
              <w:widowControl/>
              <w:rPr>
                <w:rFonts w:ascii="宋体" w:hAnsi="宋体" w:cs="宋体"/>
                <w:b/>
                <w:bCs/>
                <w:kern w:val="0"/>
                <w:sz w:val="20"/>
              </w:rPr>
            </w:pPr>
          </w:p>
        </w:tc>
        <w:tc>
          <w:tcPr>
            <w:tcW w:w="447" w:type="dxa"/>
            <w:tcBorders>
              <w:bottom w:val="single" w:color="auto" w:sz="4" w:space="0"/>
            </w:tcBorders>
            <w:shd w:val="clear" w:color="000000" w:fill="FFFFFF"/>
            <w:vAlign w:val="center"/>
          </w:tcPr>
          <w:p>
            <w:pPr>
              <w:widowControl/>
              <w:rPr>
                <w:rFonts w:ascii="宋体" w:hAnsi="宋体" w:cs="宋体"/>
                <w:b/>
                <w:bCs/>
                <w:kern w:val="0"/>
                <w:sz w:val="20"/>
              </w:rPr>
            </w:pPr>
          </w:p>
        </w:tc>
        <w:tc>
          <w:tcPr>
            <w:tcW w:w="4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71" w:type="dxa"/>
            <w:shd w:val="clear" w:color="000000" w:fill="FFFFFF"/>
            <w:vAlign w:val="center"/>
          </w:tcPr>
          <w:p>
            <w:pPr>
              <w:widowControl/>
              <w:jc w:val="center"/>
              <w:rPr>
                <w:rFonts w:ascii="宋体" w:hAnsi="宋体" w:cs="宋体"/>
                <w:b/>
                <w:bCs/>
                <w:kern w:val="0"/>
                <w:sz w:val="20"/>
              </w:rPr>
            </w:pPr>
          </w:p>
        </w:tc>
        <w:tc>
          <w:tcPr>
            <w:tcW w:w="1019" w:type="dxa"/>
            <w:shd w:val="clear" w:color="000000" w:fill="FFFFFF"/>
          </w:tcPr>
          <w:p>
            <w:pPr>
              <w:widowControl/>
              <w:jc w:val="center"/>
              <w:rPr>
                <w:rFonts w:ascii="宋体" w:hAnsi="宋体" w:cs="宋体"/>
                <w:b/>
                <w:bCs/>
                <w:kern w:val="0"/>
                <w:sz w:val="20"/>
              </w:rPr>
            </w:pPr>
          </w:p>
        </w:tc>
        <w:tc>
          <w:tcPr>
            <w:tcW w:w="1019" w:type="dxa"/>
            <w:shd w:val="clear" w:color="000000" w:fill="FFFFFF"/>
          </w:tcPr>
          <w:p>
            <w:pPr>
              <w:widowControl/>
              <w:jc w:val="center"/>
              <w:rPr>
                <w:rFonts w:ascii="宋体" w:hAnsi="宋体" w:cs="宋体"/>
                <w:b/>
                <w:bCs/>
                <w:kern w:val="0"/>
                <w:sz w:val="20"/>
              </w:rPr>
            </w:pPr>
          </w:p>
        </w:tc>
        <w:tc>
          <w:tcPr>
            <w:tcW w:w="1019" w:type="dxa"/>
            <w:shd w:val="clear" w:color="000000" w:fill="FFFFFF"/>
          </w:tcPr>
          <w:p>
            <w:pPr>
              <w:widowControl/>
              <w:jc w:val="center"/>
              <w:rPr>
                <w:rFonts w:ascii="宋体" w:hAnsi="宋体" w:cs="宋体"/>
                <w:b/>
                <w:bCs/>
                <w:kern w:val="0"/>
                <w:sz w:val="20"/>
              </w:rPr>
            </w:pPr>
          </w:p>
        </w:tc>
        <w:tc>
          <w:tcPr>
            <w:tcW w:w="1009"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7"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062" w:type="dxa"/>
            <w:shd w:val="clear" w:color="000000" w:fill="FFFFFF"/>
            <w:vAlign w:val="center"/>
          </w:tcPr>
          <w:p>
            <w:pPr>
              <w:widowControl/>
              <w:jc w:val="center"/>
              <w:rPr>
                <w:rFonts w:ascii="宋体" w:hAnsi="宋体"/>
                <w:b/>
                <w:bCs/>
                <w:kern w:val="0"/>
                <w:szCs w:val="21"/>
              </w:rPr>
            </w:pPr>
          </w:p>
        </w:tc>
        <w:tc>
          <w:tcPr>
            <w:tcW w:w="78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28" w:type="dxa"/>
            <w:tcBorders>
              <w:bottom w:val="single" w:color="auto" w:sz="4" w:space="0"/>
            </w:tcBorders>
            <w:shd w:val="clear" w:color="000000" w:fill="FFFFFF"/>
            <w:vAlign w:val="center"/>
          </w:tcPr>
          <w:p>
            <w:pPr>
              <w:widowControl/>
              <w:rPr>
                <w:rFonts w:ascii="宋体" w:hAnsi="宋体" w:cs="宋体"/>
                <w:b/>
                <w:bCs/>
                <w:kern w:val="0"/>
                <w:sz w:val="20"/>
              </w:rPr>
            </w:pPr>
          </w:p>
        </w:tc>
        <w:tc>
          <w:tcPr>
            <w:tcW w:w="447" w:type="dxa"/>
            <w:tcBorders>
              <w:bottom w:val="single" w:color="auto" w:sz="4" w:space="0"/>
            </w:tcBorders>
            <w:shd w:val="clear" w:color="000000" w:fill="FFFFFF"/>
            <w:vAlign w:val="center"/>
          </w:tcPr>
          <w:p>
            <w:pPr>
              <w:widowControl/>
              <w:rPr>
                <w:rFonts w:ascii="宋体" w:hAnsi="宋体" w:cs="宋体"/>
                <w:b/>
                <w:bCs/>
                <w:kern w:val="0"/>
                <w:sz w:val="20"/>
              </w:rPr>
            </w:pPr>
          </w:p>
        </w:tc>
        <w:tc>
          <w:tcPr>
            <w:tcW w:w="4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71" w:type="dxa"/>
            <w:shd w:val="clear" w:color="000000" w:fill="FFFFFF"/>
            <w:vAlign w:val="center"/>
          </w:tcPr>
          <w:p>
            <w:pPr>
              <w:widowControl/>
              <w:jc w:val="center"/>
              <w:rPr>
                <w:rFonts w:ascii="宋体" w:hAnsi="宋体" w:cs="宋体"/>
                <w:b/>
                <w:bCs/>
                <w:kern w:val="0"/>
                <w:sz w:val="20"/>
              </w:rPr>
            </w:pPr>
          </w:p>
        </w:tc>
        <w:tc>
          <w:tcPr>
            <w:tcW w:w="1019" w:type="dxa"/>
            <w:shd w:val="clear" w:color="000000" w:fill="FFFFFF"/>
          </w:tcPr>
          <w:p>
            <w:pPr>
              <w:widowControl/>
              <w:jc w:val="center"/>
              <w:rPr>
                <w:rFonts w:ascii="宋体" w:hAnsi="宋体" w:cs="宋体"/>
                <w:b/>
                <w:bCs/>
                <w:kern w:val="0"/>
                <w:sz w:val="20"/>
              </w:rPr>
            </w:pPr>
          </w:p>
        </w:tc>
        <w:tc>
          <w:tcPr>
            <w:tcW w:w="1019" w:type="dxa"/>
            <w:shd w:val="clear" w:color="000000" w:fill="FFFFFF"/>
          </w:tcPr>
          <w:p>
            <w:pPr>
              <w:widowControl/>
              <w:jc w:val="center"/>
              <w:rPr>
                <w:rFonts w:ascii="宋体" w:hAnsi="宋体" w:cs="宋体"/>
                <w:b/>
                <w:bCs/>
                <w:kern w:val="0"/>
                <w:sz w:val="20"/>
              </w:rPr>
            </w:pPr>
          </w:p>
        </w:tc>
        <w:tc>
          <w:tcPr>
            <w:tcW w:w="1019" w:type="dxa"/>
            <w:shd w:val="clear" w:color="000000" w:fill="FFFFFF"/>
          </w:tcPr>
          <w:p>
            <w:pPr>
              <w:widowControl/>
              <w:jc w:val="center"/>
              <w:rPr>
                <w:rFonts w:ascii="宋体" w:hAnsi="宋体" w:cs="宋体"/>
                <w:b/>
                <w:bCs/>
                <w:kern w:val="0"/>
                <w:sz w:val="20"/>
              </w:rPr>
            </w:pPr>
          </w:p>
        </w:tc>
        <w:tc>
          <w:tcPr>
            <w:tcW w:w="1009"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7"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062" w:type="dxa"/>
            <w:shd w:val="clear" w:color="000000" w:fill="FFFFFF"/>
            <w:vAlign w:val="center"/>
          </w:tcPr>
          <w:p>
            <w:pPr>
              <w:widowControl/>
              <w:jc w:val="center"/>
              <w:rPr>
                <w:rFonts w:ascii="宋体" w:hAnsi="宋体"/>
                <w:b/>
                <w:bCs/>
                <w:kern w:val="0"/>
                <w:szCs w:val="21"/>
              </w:rPr>
            </w:pPr>
          </w:p>
        </w:tc>
        <w:tc>
          <w:tcPr>
            <w:tcW w:w="78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28" w:type="dxa"/>
            <w:tcBorders>
              <w:bottom w:val="single" w:color="auto" w:sz="4" w:space="0"/>
            </w:tcBorders>
            <w:shd w:val="clear" w:color="000000" w:fill="FFFFFF"/>
            <w:vAlign w:val="center"/>
          </w:tcPr>
          <w:p>
            <w:pPr>
              <w:widowControl/>
              <w:rPr>
                <w:rFonts w:ascii="宋体" w:hAnsi="宋体" w:cs="宋体"/>
                <w:b/>
                <w:bCs/>
                <w:kern w:val="0"/>
                <w:sz w:val="20"/>
              </w:rPr>
            </w:pPr>
          </w:p>
        </w:tc>
        <w:tc>
          <w:tcPr>
            <w:tcW w:w="447" w:type="dxa"/>
            <w:tcBorders>
              <w:bottom w:val="single" w:color="auto" w:sz="4" w:space="0"/>
            </w:tcBorders>
            <w:shd w:val="clear" w:color="000000" w:fill="FFFFFF"/>
            <w:vAlign w:val="center"/>
          </w:tcPr>
          <w:p>
            <w:pPr>
              <w:widowControl/>
              <w:rPr>
                <w:rFonts w:ascii="宋体" w:hAnsi="宋体" w:cs="宋体"/>
                <w:b/>
                <w:bCs/>
                <w:kern w:val="0"/>
                <w:sz w:val="20"/>
              </w:rPr>
            </w:pPr>
          </w:p>
        </w:tc>
        <w:tc>
          <w:tcPr>
            <w:tcW w:w="4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71" w:type="dxa"/>
            <w:shd w:val="clear" w:color="000000" w:fill="FFFFFF"/>
            <w:vAlign w:val="center"/>
          </w:tcPr>
          <w:p>
            <w:pPr>
              <w:widowControl/>
              <w:jc w:val="center"/>
              <w:rPr>
                <w:rFonts w:ascii="宋体" w:hAnsi="宋体" w:cs="宋体"/>
                <w:b/>
                <w:bCs/>
                <w:kern w:val="0"/>
                <w:sz w:val="20"/>
              </w:rPr>
            </w:pPr>
          </w:p>
        </w:tc>
        <w:tc>
          <w:tcPr>
            <w:tcW w:w="1019" w:type="dxa"/>
            <w:shd w:val="clear" w:color="000000" w:fill="FFFFFF"/>
          </w:tcPr>
          <w:p>
            <w:pPr>
              <w:widowControl/>
              <w:jc w:val="center"/>
              <w:rPr>
                <w:rFonts w:ascii="宋体" w:hAnsi="宋体" w:cs="宋体"/>
                <w:b/>
                <w:bCs/>
                <w:kern w:val="0"/>
                <w:sz w:val="20"/>
              </w:rPr>
            </w:pPr>
          </w:p>
        </w:tc>
        <w:tc>
          <w:tcPr>
            <w:tcW w:w="1019" w:type="dxa"/>
            <w:shd w:val="clear" w:color="000000" w:fill="FFFFFF"/>
          </w:tcPr>
          <w:p>
            <w:pPr>
              <w:widowControl/>
              <w:jc w:val="center"/>
              <w:rPr>
                <w:rFonts w:ascii="宋体" w:hAnsi="宋体" w:cs="宋体"/>
                <w:b/>
                <w:bCs/>
                <w:kern w:val="0"/>
                <w:sz w:val="20"/>
              </w:rPr>
            </w:pPr>
          </w:p>
        </w:tc>
        <w:tc>
          <w:tcPr>
            <w:tcW w:w="1019" w:type="dxa"/>
            <w:shd w:val="clear" w:color="000000" w:fill="FFFFFF"/>
          </w:tcPr>
          <w:p>
            <w:pPr>
              <w:widowControl/>
              <w:jc w:val="center"/>
              <w:rPr>
                <w:rFonts w:ascii="宋体" w:hAnsi="宋体" w:cs="宋体"/>
                <w:b/>
                <w:bCs/>
                <w:kern w:val="0"/>
                <w:sz w:val="20"/>
              </w:rPr>
            </w:pPr>
          </w:p>
        </w:tc>
        <w:tc>
          <w:tcPr>
            <w:tcW w:w="1009"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7" w:type="dxa"/>
            <w:shd w:val="clear" w:color="000000" w:fill="FFFFFF"/>
            <w:vAlign w:val="center"/>
          </w:tcPr>
          <w:p>
            <w:pPr>
              <w:widowControl/>
              <w:jc w:val="left"/>
              <w:rPr>
                <w:rFonts w:ascii="宋体" w:hAnsi="宋体" w:cs="宋体"/>
                <w:b/>
                <w:bCs/>
                <w:kern w:val="0"/>
                <w:sz w:val="20"/>
              </w:rPr>
            </w:pPr>
          </w:p>
        </w:tc>
        <w:tc>
          <w:tcPr>
            <w:tcW w:w="1062" w:type="dxa"/>
            <w:shd w:val="clear" w:color="000000" w:fill="FFFFFF"/>
            <w:vAlign w:val="center"/>
          </w:tcPr>
          <w:p>
            <w:pPr>
              <w:widowControl/>
              <w:jc w:val="center"/>
              <w:rPr>
                <w:rFonts w:ascii="宋体" w:hAnsi="宋体" w:cs="宋体"/>
                <w:b/>
                <w:bCs/>
                <w:kern w:val="0"/>
                <w:sz w:val="20"/>
              </w:rPr>
            </w:pPr>
          </w:p>
        </w:tc>
        <w:tc>
          <w:tcPr>
            <w:tcW w:w="78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28" w:type="dxa"/>
            <w:tcBorders>
              <w:bottom w:val="single" w:color="auto" w:sz="4" w:space="0"/>
            </w:tcBorders>
            <w:shd w:val="clear" w:color="000000" w:fill="FFFFFF"/>
            <w:vAlign w:val="center"/>
          </w:tcPr>
          <w:p>
            <w:pPr>
              <w:widowControl/>
              <w:rPr>
                <w:rFonts w:ascii="宋体" w:hAnsi="宋体" w:cs="宋体"/>
                <w:b/>
                <w:bCs/>
                <w:kern w:val="0"/>
                <w:sz w:val="20"/>
              </w:rPr>
            </w:pPr>
          </w:p>
        </w:tc>
        <w:tc>
          <w:tcPr>
            <w:tcW w:w="447" w:type="dxa"/>
            <w:tcBorders>
              <w:bottom w:val="single" w:color="auto" w:sz="4" w:space="0"/>
            </w:tcBorders>
            <w:shd w:val="clear" w:color="000000" w:fill="FFFFFF"/>
            <w:vAlign w:val="center"/>
          </w:tcPr>
          <w:p>
            <w:pPr>
              <w:widowControl/>
              <w:rPr>
                <w:rFonts w:ascii="宋体" w:hAnsi="宋体" w:cs="宋体"/>
                <w:b/>
                <w:bCs/>
                <w:kern w:val="0"/>
                <w:sz w:val="20"/>
              </w:rPr>
            </w:pPr>
          </w:p>
        </w:tc>
        <w:tc>
          <w:tcPr>
            <w:tcW w:w="4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71" w:type="dxa"/>
            <w:shd w:val="clear" w:color="000000" w:fill="FFFFFF"/>
            <w:vAlign w:val="center"/>
          </w:tcPr>
          <w:p>
            <w:pPr>
              <w:widowControl/>
              <w:jc w:val="center"/>
              <w:rPr>
                <w:rFonts w:ascii="宋体" w:hAnsi="宋体" w:cs="宋体"/>
                <w:b/>
                <w:bCs/>
                <w:kern w:val="0"/>
                <w:sz w:val="20"/>
              </w:rPr>
            </w:pPr>
          </w:p>
        </w:tc>
        <w:tc>
          <w:tcPr>
            <w:tcW w:w="1019" w:type="dxa"/>
            <w:shd w:val="clear" w:color="000000" w:fill="FFFFFF"/>
          </w:tcPr>
          <w:p>
            <w:pPr>
              <w:widowControl/>
              <w:jc w:val="center"/>
              <w:rPr>
                <w:rFonts w:ascii="宋体" w:hAnsi="宋体" w:cs="宋体"/>
                <w:b/>
                <w:bCs/>
                <w:kern w:val="0"/>
                <w:sz w:val="20"/>
              </w:rPr>
            </w:pPr>
          </w:p>
        </w:tc>
        <w:tc>
          <w:tcPr>
            <w:tcW w:w="1019" w:type="dxa"/>
            <w:shd w:val="clear" w:color="000000" w:fill="FFFFFF"/>
          </w:tcPr>
          <w:p>
            <w:pPr>
              <w:widowControl/>
              <w:jc w:val="center"/>
              <w:rPr>
                <w:rFonts w:ascii="宋体" w:hAnsi="宋体" w:cs="宋体"/>
                <w:b/>
                <w:bCs/>
                <w:kern w:val="0"/>
                <w:sz w:val="20"/>
              </w:rPr>
            </w:pPr>
          </w:p>
        </w:tc>
        <w:tc>
          <w:tcPr>
            <w:tcW w:w="1019" w:type="dxa"/>
            <w:shd w:val="clear" w:color="000000" w:fill="FFFFFF"/>
          </w:tcPr>
          <w:p>
            <w:pPr>
              <w:widowControl/>
              <w:jc w:val="center"/>
              <w:rPr>
                <w:rFonts w:ascii="宋体" w:hAnsi="宋体" w:cs="宋体"/>
                <w:b/>
                <w:bCs/>
                <w:kern w:val="0"/>
                <w:sz w:val="20"/>
              </w:rPr>
            </w:pPr>
          </w:p>
        </w:tc>
        <w:tc>
          <w:tcPr>
            <w:tcW w:w="1009"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7" w:type="dxa"/>
            <w:shd w:val="clear" w:color="000000" w:fill="FFFFFF"/>
            <w:vAlign w:val="center"/>
          </w:tcPr>
          <w:p>
            <w:pPr>
              <w:widowControl/>
              <w:jc w:val="left"/>
              <w:rPr>
                <w:rFonts w:ascii="宋体" w:hAnsi="宋体" w:cs="宋体"/>
                <w:b/>
                <w:bCs/>
                <w:kern w:val="0"/>
                <w:sz w:val="20"/>
              </w:rPr>
            </w:pPr>
          </w:p>
        </w:tc>
        <w:tc>
          <w:tcPr>
            <w:tcW w:w="1062" w:type="dxa"/>
            <w:shd w:val="clear" w:color="000000" w:fill="FFFFFF"/>
            <w:vAlign w:val="center"/>
          </w:tcPr>
          <w:p>
            <w:pPr>
              <w:widowControl/>
              <w:jc w:val="center"/>
              <w:rPr>
                <w:rFonts w:ascii="宋体" w:hAnsi="宋体" w:cs="宋体"/>
                <w:b/>
                <w:bCs/>
                <w:kern w:val="0"/>
                <w:sz w:val="20"/>
              </w:rPr>
            </w:pPr>
          </w:p>
        </w:tc>
        <w:tc>
          <w:tcPr>
            <w:tcW w:w="78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28" w:type="dxa"/>
            <w:tcBorders>
              <w:bottom w:val="single" w:color="auto" w:sz="4" w:space="0"/>
            </w:tcBorders>
            <w:shd w:val="clear" w:color="000000" w:fill="FFFFFF"/>
            <w:vAlign w:val="center"/>
          </w:tcPr>
          <w:p>
            <w:pPr>
              <w:widowControl/>
              <w:rPr>
                <w:rFonts w:ascii="宋体" w:hAnsi="宋体" w:cs="宋体"/>
                <w:b/>
                <w:bCs/>
                <w:kern w:val="0"/>
                <w:sz w:val="20"/>
              </w:rPr>
            </w:pPr>
          </w:p>
        </w:tc>
        <w:tc>
          <w:tcPr>
            <w:tcW w:w="447" w:type="dxa"/>
            <w:tcBorders>
              <w:bottom w:val="single" w:color="auto" w:sz="4" w:space="0"/>
            </w:tcBorders>
            <w:shd w:val="clear" w:color="000000" w:fill="FFFFFF"/>
            <w:vAlign w:val="center"/>
          </w:tcPr>
          <w:p>
            <w:pPr>
              <w:widowControl/>
              <w:rPr>
                <w:rFonts w:ascii="宋体" w:hAnsi="宋体" w:cs="宋体"/>
                <w:b/>
                <w:bCs/>
                <w:kern w:val="0"/>
                <w:sz w:val="20"/>
              </w:rPr>
            </w:pPr>
          </w:p>
        </w:tc>
        <w:tc>
          <w:tcPr>
            <w:tcW w:w="4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71" w:type="dxa"/>
            <w:shd w:val="clear" w:color="000000" w:fill="FFFFFF"/>
            <w:vAlign w:val="center"/>
          </w:tcPr>
          <w:p>
            <w:pPr>
              <w:widowControl/>
              <w:jc w:val="center"/>
              <w:rPr>
                <w:rFonts w:ascii="宋体" w:hAnsi="宋体" w:cs="宋体"/>
                <w:b/>
                <w:bCs/>
                <w:kern w:val="0"/>
                <w:sz w:val="20"/>
              </w:rPr>
            </w:pPr>
          </w:p>
        </w:tc>
        <w:tc>
          <w:tcPr>
            <w:tcW w:w="1019" w:type="dxa"/>
            <w:shd w:val="clear" w:color="000000" w:fill="FFFFFF"/>
          </w:tcPr>
          <w:p>
            <w:pPr>
              <w:widowControl/>
              <w:jc w:val="center"/>
              <w:rPr>
                <w:rFonts w:ascii="宋体" w:hAnsi="宋体" w:cs="宋体"/>
                <w:b/>
                <w:bCs/>
                <w:kern w:val="0"/>
                <w:sz w:val="20"/>
              </w:rPr>
            </w:pPr>
          </w:p>
        </w:tc>
        <w:tc>
          <w:tcPr>
            <w:tcW w:w="1019" w:type="dxa"/>
            <w:shd w:val="clear" w:color="000000" w:fill="FFFFFF"/>
          </w:tcPr>
          <w:p>
            <w:pPr>
              <w:widowControl/>
              <w:jc w:val="center"/>
              <w:rPr>
                <w:rFonts w:ascii="宋体" w:hAnsi="宋体" w:cs="宋体"/>
                <w:b/>
                <w:bCs/>
                <w:kern w:val="0"/>
                <w:sz w:val="20"/>
              </w:rPr>
            </w:pPr>
          </w:p>
        </w:tc>
        <w:tc>
          <w:tcPr>
            <w:tcW w:w="1019" w:type="dxa"/>
            <w:shd w:val="clear" w:color="000000" w:fill="FFFFFF"/>
          </w:tcPr>
          <w:p>
            <w:pPr>
              <w:widowControl/>
              <w:jc w:val="center"/>
              <w:rPr>
                <w:rFonts w:ascii="宋体" w:hAnsi="宋体" w:cs="宋体"/>
                <w:b/>
                <w:bCs/>
                <w:kern w:val="0"/>
                <w:sz w:val="20"/>
              </w:rPr>
            </w:pPr>
          </w:p>
        </w:tc>
        <w:tc>
          <w:tcPr>
            <w:tcW w:w="1009"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7" w:type="dxa"/>
            <w:shd w:val="clear" w:color="000000" w:fill="FFFFFF"/>
            <w:vAlign w:val="center"/>
          </w:tcPr>
          <w:p>
            <w:pPr>
              <w:widowControl/>
              <w:jc w:val="left"/>
              <w:rPr>
                <w:rFonts w:ascii="宋体" w:hAnsi="宋体" w:cs="宋体"/>
                <w:b/>
                <w:bCs/>
                <w:kern w:val="0"/>
                <w:sz w:val="20"/>
              </w:rPr>
            </w:pPr>
          </w:p>
        </w:tc>
        <w:tc>
          <w:tcPr>
            <w:tcW w:w="1062" w:type="dxa"/>
            <w:shd w:val="clear" w:color="000000" w:fill="FFFFFF"/>
            <w:vAlign w:val="center"/>
          </w:tcPr>
          <w:p>
            <w:pPr>
              <w:widowControl/>
              <w:jc w:val="center"/>
              <w:rPr>
                <w:rFonts w:ascii="宋体" w:hAnsi="宋体" w:cs="宋体"/>
                <w:b/>
                <w:bCs/>
                <w:kern w:val="0"/>
                <w:sz w:val="20"/>
              </w:rPr>
            </w:pPr>
          </w:p>
        </w:tc>
        <w:tc>
          <w:tcPr>
            <w:tcW w:w="78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28" w:type="dxa"/>
            <w:tcBorders>
              <w:bottom w:val="single" w:color="auto" w:sz="4" w:space="0"/>
            </w:tcBorders>
            <w:shd w:val="clear" w:color="000000" w:fill="FFFFFF"/>
            <w:vAlign w:val="center"/>
          </w:tcPr>
          <w:p>
            <w:pPr>
              <w:widowControl/>
              <w:rPr>
                <w:rFonts w:ascii="宋体" w:hAnsi="宋体" w:cs="宋体"/>
                <w:b/>
                <w:bCs/>
                <w:kern w:val="0"/>
                <w:sz w:val="20"/>
              </w:rPr>
            </w:pPr>
          </w:p>
        </w:tc>
        <w:tc>
          <w:tcPr>
            <w:tcW w:w="447" w:type="dxa"/>
            <w:tcBorders>
              <w:bottom w:val="single" w:color="auto" w:sz="4" w:space="0"/>
            </w:tcBorders>
            <w:shd w:val="clear" w:color="000000" w:fill="FFFFFF"/>
            <w:vAlign w:val="center"/>
          </w:tcPr>
          <w:p>
            <w:pPr>
              <w:widowControl/>
              <w:rPr>
                <w:rFonts w:ascii="宋体" w:hAnsi="宋体" w:cs="宋体"/>
                <w:b/>
                <w:bCs/>
                <w:kern w:val="0"/>
                <w:sz w:val="20"/>
              </w:rPr>
            </w:pPr>
          </w:p>
        </w:tc>
        <w:tc>
          <w:tcPr>
            <w:tcW w:w="4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71" w:type="dxa"/>
            <w:shd w:val="clear" w:color="000000" w:fill="FFFFFF"/>
            <w:vAlign w:val="center"/>
          </w:tcPr>
          <w:p>
            <w:pPr>
              <w:widowControl/>
              <w:jc w:val="center"/>
              <w:rPr>
                <w:rFonts w:ascii="宋体" w:hAnsi="宋体" w:cs="宋体"/>
                <w:b/>
                <w:bCs/>
                <w:kern w:val="0"/>
                <w:sz w:val="20"/>
              </w:rPr>
            </w:pPr>
          </w:p>
        </w:tc>
        <w:tc>
          <w:tcPr>
            <w:tcW w:w="1019" w:type="dxa"/>
            <w:shd w:val="clear" w:color="000000" w:fill="FFFFFF"/>
          </w:tcPr>
          <w:p>
            <w:pPr>
              <w:widowControl/>
              <w:jc w:val="center"/>
              <w:rPr>
                <w:rFonts w:ascii="宋体" w:hAnsi="宋体" w:cs="宋体"/>
                <w:b/>
                <w:bCs/>
                <w:kern w:val="0"/>
                <w:sz w:val="20"/>
              </w:rPr>
            </w:pPr>
          </w:p>
        </w:tc>
        <w:tc>
          <w:tcPr>
            <w:tcW w:w="1019" w:type="dxa"/>
            <w:shd w:val="clear" w:color="000000" w:fill="FFFFFF"/>
          </w:tcPr>
          <w:p>
            <w:pPr>
              <w:widowControl/>
              <w:jc w:val="center"/>
              <w:rPr>
                <w:rFonts w:ascii="宋体" w:hAnsi="宋体" w:cs="宋体"/>
                <w:b/>
                <w:bCs/>
                <w:kern w:val="0"/>
                <w:sz w:val="20"/>
              </w:rPr>
            </w:pPr>
          </w:p>
        </w:tc>
        <w:tc>
          <w:tcPr>
            <w:tcW w:w="1019" w:type="dxa"/>
            <w:shd w:val="clear" w:color="000000" w:fill="FFFFFF"/>
          </w:tcPr>
          <w:p>
            <w:pPr>
              <w:widowControl/>
              <w:jc w:val="center"/>
              <w:rPr>
                <w:rFonts w:ascii="宋体" w:hAnsi="宋体" w:cs="宋体"/>
                <w:b/>
                <w:bCs/>
                <w:kern w:val="0"/>
                <w:sz w:val="20"/>
              </w:rPr>
            </w:pPr>
          </w:p>
        </w:tc>
        <w:tc>
          <w:tcPr>
            <w:tcW w:w="1009"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7" w:type="dxa"/>
            <w:shd w:val="clear" w:color="000000" w:fill="FFFFFF"/>
            <w:vAlign w:val="center"/>
          </w:tcPr>
          <w:p>
            <w:pPr>
              <w:widowControl/>
              <w:jc w:val="left"/>
              <w:rPr>
                <w:rFonts w:ascii="宋体" w:hAnsi="宋体" w:cs="宋体"/>
                <w:b/>
                <w:bCs/>
                <w:kern w:val="0"/>
                <w:sz w:val="20"/>
              </w:rPr>
            </w:pPr>
          </w:p>
        </w:tc>
        <w:tc>
          <w:tcPr>
            <w:tcW w:w="1062" w:type="dxa"/>
            <w:shd w:val="clear" w:color="000000" w:fill="FFFFFF"/>
            <w:vAlign w:val="center"/>
          </w:tcPr>
          <w:p>
            <w:pPr>
              <w:widowControl/>
              <w:jc w:val="center"/>
              <w:rPr>
                <w:rFonts w:ascii="宋体" w:hAnsi="宋体" w:cs="宋体"/>
                <w:b/>
                <w:bCs/>
                <w:kern w:val="0"/>
                <w:sz w:val="20"/>
              </w:rPr>
            </w:pPr>
          </w:p>
        </w:tc>
        <w:tc>
          <w:tcPr>
            <w:tcW w:w="78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28" w:type="dxa"/>
            <w:tcBorders>
              <w:bottom w:val="single" w:color="auto" w:sz="4" w:space="0"/>
            </w:tcBorders>
            <w:shd w:val="clear" w:color="000000" w:fill="FFFFFF"/>
            <w:vAlign w:val="center"/>
          </w:tcPr>
          <w:p>
            <w:pPr>
              <w:widowControl/>
              <w:rPr>
                <w:rFonts w:ascii="宋体" w:hAnsi="宋体" w:cs="宋体"/>
                <w:b/>
                <w:bCs/>
                <w:kern w:val="0"/>
                <w:sz w:val="20"/>
              </w:rPr>
            </w:pPr>
          </w:p>
        </w:tc>
        <w:tc>
          <w:tcPr>
            <w:tcW w:w="447" w:type="dxa"/>
            <w:tcBorders>
              <w:bottom w:val="single" w:color="auto" w:sz="4" w:space="0"/>
            </w:tcBorders>
            <w:shd w:val="clear" w:color="000000" w:fill="FFFFFF"/>
            <w:vAlign w:val="center"/>
          </w:tcPr>
          <w:p>
            <w:pPr>
              <w:widowControl/>
              <w:rPr>
                <w:rFonts w:ascii="宋体" w:hAnsi="宋体" w:cs="宋体"/>
                <w:b/>
                <w:bCs/>
                <w:kern w:val="0"/>
                <w:sz w:val="20"/>
              </w:rPr>
            </w:pPr>
          </w:p>
        </w:tc>
        <w:tc>
          <w:tcPr>
            <w:tcW w:w="4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71" w:type="dxa"/>
            <w:shd w:val="clear" w:color="000000" w:fill="FFFFFF"/>
            <w:vAlign w:val="center"/>
          </w:tcPr>
          <w:p>
            <w:pPr>
              <w:widowControl/>
              <w:jc w:val="center"/>
              <w:rPr>
                <w:rFonts w:ascii="宋体" w:hAnsi="宋体" w:cs="宋体"/>
                <w:b/>
                <w:bCs/>
                <w:kern w:val="0"/>
                <w:sz w:val="20"/>
              </w:rPr>
            </w:pPr>
          </w:p>
        </w:tc>
        <w:tc>
          <w:tcPr>
            <w:tcW w:w="1019" w:type="dxa"/>
            <w:shd w:val="clear" w:color="000000" w:fill="FFFFFF"/>
          </w:tcPr>
          <w:p>
            <w:pPr>
              <w:widowControl/>
              <w:jc w:val="center"/>
              <w:rPr>
                <w:rFonts w:ascii="宋体" w:hAnsi="宋体" w:cs="宋体"/>
                <w:b/>
                <w:bCs/>
                <w:kern w:val="0"/>
                <w:sz w:val="20"/>
              </w:rPr>
            </w:pPr>
          </w:p>
        </w:tc>
        <w:tc>
          <w:tcPr>
            <w:tcW w:w="1019" w:type="dxa"/>
            <w:shd w:val="clear" w:color="000000" w:fill="FFFFFF"/>
          </w:tcPr>
          <w:p>
            <w:pPr>
              <w:widowControl/>
              <w:jc w:val="center"/>
              <w:rPr>
                <w:rFonts w:ascii="宋体" w:hAnsi="宋体" w:cs="宋体"/>
                <w:b/>
                <w:bCs/>
                <w:kern w:val="0"/>
                <w:sz w:val="20"/>
              </w:rPr>
            </w:pPr>
          </w:p>
        </w:tc>
        <w:tc>
          <w:tcPr>
            <w:tcW w:w="1019" w:type="dxa"/>
            <w:shd w:val="clear" w:color="000000" w:fill="FFFFFF"/>
          </w:tcPr>
          <w:p>
            <w:pPr>
              <w:widowControl/>
              <w:jc w:val="center"/>
              <w:rPr>
                <w:rFonts w:ascii="宋体" w:hAnsi="宋体" w:cs="宋体"/>
                <w:b/>
                <w:bCs/>
                <w:kern w:val="0"/>
                <w:sz w:val="20"/>
              </w:rPr>
            </w:pPr>
          </w:p>
        </w:tc>
        <w:tc>
          <w:tcPr>
            <w:tcW w:w="1009"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7" w:type="dxa"/>
            <w:shd w:val="clear" w:color="000000" w:fill="FFFFFF"/>
            <w:vAlign w:val="center"/>
          </w:tcPr>
          <w:p>
            <w:pPr>
              <w:widowControl/>
              <w:jc w:val="left"/>
              <w:rPr>
                <w:rFonts w:ascii="宋体" w:hAnsi="宋体" w:cs="宋体"/>
                <w:b/>
                <w:bCs/>
                <w:kern w:val="0"/>
                <w:sz w:val="20"/>
              </w:rPr>
            </w:pPr>
          </w:p>
        </w:tc>
        <w:tc>
          <w:tcPr>
            <w:tcW w:w="1062" w:type="dxa"/>
            <w:shd w:val="clear" w:color="000000" w:fill="FFFFFF"/>
            <w:vAlign w:val="center"/>
          </w:tcPr>
          <w:p>
            <w:pPr>
              <w:widowControl/>
              <w:jc w:val="center"/>
              <w:rPr>
                <w:rFonts w:ascii="宋体" w:hAnsi="宋体" w:cs="宋体"/>
                <w:b/>
                <w:bCs/>
                <w:kern w:val="0"/>
                <w:sz w:val="20"/>
              </w:rPr>
            </w:pPr>
          </w:p>
        </w:tc>
        <w:tc>
          <w:tcPr>
            <w:tcW w:w="789" w:type="dxa"/>
            <w:shd w:val="clear" w:color="000000" w:fill="FFFFFF"/>
            <w:vAlign w:val="center"/>
          </w:tcPr>
          <w:p>
            <w:pPr>
              <w:widowControl/>
              <w:jc w:val="center"/>
              <w:rPr>
                <w:rFonts w:ascii="宋体" w:hAnsi="宋体" w:cs="宋体"/>
                <w:b/>
                <w:bCs/>
                <w:kern w:val="0"/>
                <w:sz w:val="20"/>
              </w:rPr>
            </w:pPr>
          </w:p>
        </w:tc>
        <w:tc>
          <w:tcPr>
            <w:tcW w:w="720" w:type="dxa"/>
            <w:shd w:val="clear" w:color="000000" w:fill="FFFFFF"/>
            <w:vAlign w:val="center"/>
          </w:tcPr>
          <w:p>
            <w:pPr>
              <w:widowControl/>
              <w:jc w:val="center"/>
              <w:rPr>
                <w:rFonts w:ascii="宋体" w:hAnsi="宋体" w:cs="宋体"/>
                <w:b/>
                <w:bCs/>
                <w:kern w:val="0"/>
                <w:sz w:val="20"/>
              </w:rPr>
            </w:pPr>
          </w:p>
        </w:tc>
        <w:tc>
          <w:tcPr>
            <w:tcW w:w="528" w:type="dxa"/>
            <w:shd w:val="clear" w:color="000000" w:fill="FFFFFF"/>
            <w:vAlign w:val="center"/>
          </w:tcPr>
          <w:p>
            <w:pPr>
              <w:widowControl/>
              <w:rPr>
                <w:rFonts w:ascii="宋体" w:hAnsi="宋体" w:cs="宋体"/>
                <w:b/>
                <w:bCs/>
                <w:kern w:val="0"/>
                <w:sz w:val="20"/>
              </w:rPr>
            </w:pPr>
          </w:p>
        </w:tc>
        <w:tc>
          <w:tcPr>
            <w:tcW w:w="447" w:type="dxa"/>
            <w:shd w:val="clear" w:color="000000" w:fill="FFFFFF"/>
            <w:vAlign w:val="center"/>
          </w:tcPr>
          <w:p>
            <w:pPr>
              <w:widowControl/>
              <w:rPr>
                <w:rFonts w:ascii="宋体" w:hAnsi="宋体" w:cs="宋体"/>
                <w:b/>
                <w:bCs/>
                <w:kern w:val="0"/>
                <w:sz w:val="20"/>
              </w:rPr>
            </w:pPr>
          </w:p>
        </w:tc>
        <w:tc>
          <w:tcPr>
            <w:tcW w:w="418" w:type="dxa"/>
            <w:shd w:val="clear" w:color="000000" w:fill="FFFFFF"/>
            <w:vAlign w:val="center"/>
          </w:tcPr>
          <w:p>
            <w:pPr>
              <w:widowControl/>
              <w:jc w:val="center"/>
              <w:rPr>
                <w:rFonts w:ascii="宋体" w:hAnsi="宋体" w:cs="宋体"/>
                <w:b/>
                <w:bCs/>
                <w:kern w:val="0"/>
                <w:sz w:val="20"/>
              </w:rPr>
            </w:pPr>
          </w:p>
        </w:tc>
        <w:tc>
          <w:tcPr>
            <w:tcW w:w="1071" w:type="dxa"/>
            <w:shd w:val="clear" w:color="000000" w:fill="FFFFFF"/>
            <w:vAlign w:val="center"/>
          </w:tcPr>
          <w:p>
            <w:pPr>
              <w:widowControl/>
              <w:jc w:val="center"/>
              <w:rPr>
                <w:rFonts w:ascii="宋体" w:hAnsi="宋体" w:cs="宋体"/>
                <w:b/>
                <w:bCs/>
                <w:kern w:val="0"/>
                <w:sz w:val="20"/>
              </w:rPr>
            </w:pPr>
          </w:p>
        </w:tc>
        <w:tc>
          <w:tcPr>
            <w:tcW w:w="1019" w:type="dxa"/>
            <w:shd w:val="clear" w:color="000000" w:fill="FFFFFF"/>
          </w:tcPr>
          <w:p>
            <w:pPr>
              <w:widowControl/>
              <w:jc w:val="center"/>
              <w:rPr>
                <w:rFonts w:ascii="宋体" w:hAnsi="宋体" w:cs="宋体"/>
                <w:b/>
                <w:bCs/>
                <w:kern w:val="0"/>
                <w:sz w:val="20"/>
              </w:rPr>
            </w:pPr>
          </w:p>
        </w:tc>
        <w:tc>
          <w:tcPr>
            <w:tcW w:w="1019" w:type="dxa"/>
            <w:shd w:val="clear" w:color="000000" w:fill="FFFFFF"/>
          </w:tcPr>
          <w:p>
            <w:pPr>
              <w:widowControl/>
              <w:jc w:val="center"/>
              <w:rPr>
                <w:rFonts w:ascii="宋体" w:hAnsi="宋体" w:cs="宋体"/>
                <w:b/>
                <w:bCs/>
                <w:kern w:val="0"/>
                <w:sz w:val="20"/>
              </w:rPr>
            </w:pPr>
          </w:p>
        </w:tc>
        <w:tc>
          <w:tcPr>
            <w:tcW w:w="1019" w:type="dxa"/>
            <w:shd w:val="clear" w:color="000000" w:fill="FFFFFF"/>
          </w:tcPr>
          <w:p>
            <w:pPr>
              <w:widowControl/>
              <w:jc w:val="center"/>
              <w:rPr>
                <w:rFonts w:ascii="宋体" w:hAnsi="宋体" w:cs="宋体"/>
                <w:b/>
                <w:bCs/>
                <w:kern w:val="0"/>
                <w:sz w:val="20"/>
              </w:rPr>
            </w:pPr>
          </w:p>
        </w:tc>
        <w:tc>
          <w:tcPr>
            <w:tcW w:w="100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7" w:type="dxa"/>
            <w:shd w:val="clear" w:color="000000" w:fill="FFFFFF"/>
            <w:vAlign w:val="center"/>
          </w:tcPr>
          <w:p>
            <w:pPr>
              <w:widowControl/>
              <w:jc w:val="left"/>
              <w:rPr>
                <w:rFonts w:ascii="宋体" w:hAnsi="宋体" w:cs="宋体"/>
                <w:b/>
                <w:bCs/>
                <w:kern w:val="0"/>
                <w:sz w:val="20"/>
              </w:rPr>
            </w:pPr>
          </w:p>
        </w:tc>
        <w:tc>
          <w:tcPr>
            <w:tcW w:w="106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w:t>
            </w:r>
          </w:p>
        </w:tc>
        <w:tc>
          <w:tcPr>
            <w:tcW w:w="78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28" w:type="dxa"/>
            <w:tcBorders>
              <w:bottom w:val="single" w:color="auto" w:sz="4" w:space="0"/>
            </w:tcBorders>
            <w:shd w:val="clear" w:color="000000" w:fill="FFFFFF"/>
            <w:vAlign w:val="center"/>
          </w:tcPr>
          <w:p>
            <w:pPr>
              <w:widowControl/>
              <w:rPr>
                <w:rFonts w:ascii="宋体" w:hAnsi="宋体" w:cs="宋体"/>
                <w:b/>
                <w:bCs/>
                <w:kern w:val="0"/>
                <w:sz w:val="20"/>
              </w:rPr>
            </w:pPr>
          </w:p>
        </w:tc>
        <w:tc>
          <w:tcPr>
            <w:tcW w:w="447" w:type="dxa"/>
            <w:tcBorders>
              <w:bottom w:val="single" w:color="auto" w:sz="4" w:space="0"/>
            </w:tcBorders>
            <w:shd w:val="clear" w:color="000000" w:fill="FFFFFF"/>
            <w:vAlign w:val="center"/>
          </w:tcPr>
          <w:p>
            <w:pPr>
              <w:widowControl/>
              <w:rPr>
                <w:rFonts w:ascii="宋体" w:hAnsi="宋体" w:cs="宋体"/>
                <w:b/>
                <w:bCs/>
                <w:kern w:val="0"/>
                <w:sz w:val="20"/>
              </w:rPr>
            </w:pPr>
          </w:p>
        </w:tc>
        <w:tc>
          <w:tcPr>
            <w:tcW w:w="4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71" w:type="dxa"/>
            <w:shd w:val="clear" w:color="000000" w:fill="FFFFFF"/>
            <w:vAlign w:val="center"/>
          </w:tcPr>
          <w:p>
            <w:pPr>
              <w:widowControl/>
              <w:jc w:val="center"/>
              <w:rPr>
                <w:rFonts w:ascii="宋体" w:hAnsi="宋体" w:cs="宋体"/>
                <w:b/>
                <w:bCs/>
                <w:kern w:val="0"/>
                <w:sz w:val="20"/>
              </w:rPr>
            </w:pPr>
          </w:p>
        </w:tc>
        <w:tc>
          <w:tcPr>
            <w:tcW w:w="1019" w:type="dxa"/>
            <w:shd w:val="clear" w:color="000000" w:fill="FFFFFF"/>
          </w:tcPr>
          <w:p>
            <w:pPr>
              <w:widowControl/>
              <w:jc w:val="center"/>
              <w:rPr>
                <w:rFonts w:ascii="宋体" w:hAnsi="宋体" w:cs="宋体"/>
                <w:b/>
                <w:bCs/>
                <w:kern w:val="0"/>
                <w:sz w:val="20"/>
              </w:rPr>
            </w:pPr>
          </w:p>
        </w:tc>
        <w:tc>
          <w:tcPr>
            <w:tcW w:w="1019" w:type="dxa"/>
            <w:shd w:val="clear" w:color="000000" w:fill="FFFFFF"/>
          </w:tcPr>
          <w:p>
            <w:pPr>
              <w:widowControl/>
              <w:jc w:val="center"/>
              <w:rPr>
                <w:rFonts w:ascii="宋体" w:hAnsi="宋体" w:cs="宋体"/>
                <w:b/>
                <w:bCs/>
                <w:kern w:val="0"/>
                <w:sz w:val="20"/>
              </w:rPr>
            </w:pPr>
          </w:p>
        </w:tc>
        <w:tc>
          <w:tcPr>
            <w:tcW w:w="1019" w:type="dxa"/>
            <w:shd w:val="clear" w:color="000000" w:fill="FFFFFF"/>
          </w:tcPr>
          <w:p>
            <w:pPr>
              <w:widowControl/>
              <w:jc w:val="center"/>
              <w:rPr>
                <w:rFonts w:ascii="宋体" w:hAnsi="宋体" w:cs="宋体"/>
                <w:b/>
                <w:bCs/>
                <w:kern w:val="0"/>
                <w:sz w:val="20"/>
              </w:rPr>
            </w:pPr>
          </w:p>
        </w:tc>
        <w:tc>
          <w:tcPr>
            <w:tcW w:w="1009"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1"/>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4.3随机配件和专用工具分项报价表</w:t>
      </w:r>
    </w:p>
    <w:tbl>
      <w:tblPr>
        <w:tblStyle w:val="58"/>
        <w:tblpPr w:leftFromText="180" w:rightFromText="180" w:vertAnchor="text" w:tblpY="1"/>
        <w:tblOverlap w:val="never"/>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1903"/>
        <w:gridCol w:w="711"/>
        <w:gridCol w:w="460"/>
        <w:gridCol w:w="562"/>
        <w:gridCol w:w="476"/>
        <w:gridCol w:w="431"/>
        <w:gridCol w:w="849"/>
        <w:gridCol w:w="845"/>
        <w:gridCol w:w="845"/>
        <w:gridCol w:w="845"/>
        <w:gridCol w:w="845"/>
        <w:gridCol w:w="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4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90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71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46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56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476"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43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84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（不含税）</w:t>
            </w:r>
          </w:p>
        </w:tc>
        <w:tc>
          <w:tcPr>
            <w:tcW w:w="84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价（不含税）</w:t>
            </w:r>
          </w:p>
        </w:tc>
        <w:tc>
          <w:tcPr>
            <w:tcW w:w="84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84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价（含税）</w:t>
            </w:r>
          </w:p>
        </w:tc>
        <w:tc>
          <w:tcPr>
            <w:tcW w:w="84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（含税）</w:t>
            </w:r>
          </w:p>
        </w:tc>
        <w:tc>
          <w:tcPr>
            <w:tcW w:w="42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34" w:type="dxa"/>
            <w:vMerge w:val="continue"/>
            <w:shd w:val="clear" w:color="auto" w:fill="auto"/>
            <w:vAlign w:val="center"/>
          </w:tcPr>
          <w:p>
            <w:pPr>
              <w:widowControl/>
              <w:jc w:val="center"/>
              <w:rPr>
                <w:rFonts w:ascii="宋体" w:hAnsi="宋体" w:cs="宋体"/>
                <w:b/>
                <w:bCs/>
                <w:kern w:val="0"/>
                <w:sz w:val="20"/>
              </w:rPr>
            </w:pPr>
          </w:p>
        </w:tc>
        <w:tc>
          <w:tcPr>
            <w:tcW w:w="1903" w:type="dxa"/>
            <w:vMerge w:val="continue"/>
            <w:shd w:val="clear" w:color="auto" w:fill="auto"/>
            <w:vAlign w:val="center"/>
          </w:tcPr>
          <w:p>
            <w:pPr>
              <w:widowControl/>
              <w:jc w:val="left"/>
              <w:rPr>
                <w:rFonts w:ascii="宋体" w:hAnsi="宋体" w:cs="宋体"/>
                <w:b/>
                <w:bCs/>
                <w:kern w:val="0"/>
                <w:sz w:val="20"/>
              </w:rPr>
            </w:pPr>
          </w:p>
        </w:tc>
        <w:tc>
          <w:tcPr>
            <w:tcW w:w="711" w:type="dxa"/>
            <w:vMerge w:val="continue"/>
            <w:shd w:val="clear" w:color="auto" w:fill="auto"/>
            <w:vAlign w:val="center"/>
          </w:tcPr>
          <w:p>
            <w:pPr>
              <w:widowControl/>
              <w:jc w:val="left"/>
              <w:rPr>
                <w:rFonts w:ascii="宋体" w:hAnsi="宋体" w:cs="宋体"/>
                <w:b/>
                <w:bCs/>
                <w:kern w:val="0"/>
                <w:sz w:val="20"/>
              </w:rPr>
            </w:pPr>
          </w:p>
        </w:tc>
        <w:tc>
          <w:tcPr>
            <w:tcW w:w="460" w:type="dxa"/>
            <w:vMerge w:val="continue"/>
            <w:shd w:val="clear" w:color="auto" w:fill="auto"/>
            <w:vAlign w:val="center"/>
          </w:tcPr>
          <w:p>
            <w:pPr>
              <w:widowControl/>
              <w:jc w:val="left"/>
              <w:rPr>
                <w:rFonts w:ascii="宋体" w:hAnsi="宋体" w:cs="宋体"/>
                <w:b/>
                <w:bCs/>
                <w:kern w:val="0"/>
                <w:sz w:val="20"/>
              </w:rPr>
            </w:pPr>
          </w:p>
        </w:tc>
        <w:tc>
          <w:tcPr>
            <w:tcW w:w="562" w:type="dxa"/>
            <w:vMerge w:val="continue"/>
            <w:shd w:val="clear" w:color="auto" w:fill="auto"/>
            <w:vAlign w:val="center"/>
          </w:tcPr>
          <w:p>
            <w:pPr>
              <w:widowControl/>
              <w:jc w:val="left"/>
              <w:rPr>
                <w:rFonts w:ascii="宋体" w:hAnsi="宋体" w:cs="宋体"/>
                <w:b/>
                <w:bCs/>
                <w:kern w:val="0"/>
                <w:sz w:val="20"/>
              </w:rPr>
            </w:pPr>
          </w:p>
        </w:tc>
        <w:tc>
          <w:tcPr>
            <w:tcW w:w="476" w:type="dxa"/>
            <w:vMerge w:val="continue"/>
            <w:shd w:val="clear" w:color="auto" w:fill="auto"/>
            <w:vAlign w:val="center"/>
          </w:tcPr>
          <w:p>
            <w:pPr>
              <w:widowControl/>
              <w:jc w:val="left"/>
              <w:rPr>
                <w:rFonts w:ascii="宋体" w:hAnsi="宋体" w:cs="宋体"/>
                <w:b/>
                <w:bCs/>
                <w:kern w:val="0"/>
                <w:sz w:val="20"/>
              </w:rPr>
            </w:pPr>
          </w:p>
        </w:tc>
        <w:tc>
          <w:tcPr>
            <w:tcW w:w="431" w:type="dxa"/>
            <w:vMerge w:val="continue"/>
            <w:shd w:val="clear" w:color="auto" w:fill="auto"/>
            <w:vAlign w:val="center"/>
          </w:tcPr>
          <w:p>
            <w:pPr>
              <w:widowControl/>
              <w:jc w:val="left"/>
              <w:rPr>
                <w:rFonts w:ascii="宋体" w:hAnsi="宋体" w:cs="宋体"/>
                <w:b/>
                <w:bCs/>
                <w:kern w:val="0"/>
                <w:sz w:val="20"/>
              </w:rPr>
            </w:pPr>
          </w:p>
        </w:tc>
        <w:tc>
          <w:tcPr>
            <w:tcW w:w="84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4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4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w:t>
            </w:r>
          </w:p>
        </w:tc>
        <w:tc>
          <w:tcPr>
            <w:tcW w:w="84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4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422"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903" w:type="dxa"/>
            <w:shd w:val="clear" w:color="000000" w:fill="FFFFFF"/>
            <w:vAlign w:val="center"/>
          </w:tcPr>
          <w:p>
            <w:pPr>
              <w:widowControl/>
              <w:jc w:val="center"/>
              <w:rPr>
                <w:rFonts w:ascii="宋体" w:hAnsi="宋体" w:cs="宋体"/>
                <w:b/>
                <w:bCs/>
                <w:kern w:val="0"/>
                <w:sz w:val="20"/>
              </w:rPr>
            </w:pPr>
          </w:p>
        </w:tc>
        <w:tc>
          <w:tcPr>
            <w:tcW w:w="711" w:type="dxa"/>
            <w:shd w:val="clear" w:color="000000" w:fill="FFFFFF"/>
            <w:vAlign w:val="center"/>
          </w:tcPr>
          <w:p>
            <w:pPr>
              <w:widowControl/>
              <w:snapToGrid w:val="0"/>
              <w:rPr>
                <w:rFonts w:ascii="宋体" w:hAnsi="宋体"/>
                <w:b/>
                <w:bCs/>
                <w:kern w:val="0"/>
                <w:sz w:val="22"/>
              </w:rPr>
            </w:pPr>
          </w:p>
        </w:tc>
        <w:tc>
          <w:tcPr>
            <w:tcW w:w="460" w:type="dxa"/>
            <w:shd w:val="clear" w:color="000000" w:fill="FFFFFF"/>
            <w:vAlign w:val="center"/>
          </w:tcPr>
          <w:p>
            <w:pPr>
              <w:widowControl/>
              <w:snapToGrid w:val="0"/>
              <w:jc w:val="center"/>
              <w:rPr>
                <w:rFonts w:ascii="宋体" w:hAnsi="宋体" w:cs="宋体"/>
                <w:kern w:val="0"/>
                <w:sz w:val="20"/>
              </w:rPr>
            </w:pPr>
          </w:p>
        </w:tc>
        <w:tc>
          <w:tcPr>
            <w:tcW w:w="562" w:type="dxa"/>
            <w:shd w:val="clear" w:color="000000" w:fill="FFFFFF"/>
            <w:vAlign w:val="center"/>
          </w:tcPr>
          <w:p>
            <w:pPr>
              <w:widowControl/>
              <w:snapToGrid w:val="0"/>
              <w:jc w:val="center"/>
              <w:rPr>
                <w:rFonts w:ascii="宋体" w:hAnsi="宋体" w:cs="宋体"/>
                <w:b/>
                <w:bCs/>
                <w:kern w:val="0"/>
                <w:sz w:val="20"/>
              </w:rPr>
            </w:pPr>
          </w:p>
        </w:tc>
        <w:tc>
          <w:tcPr>
            <w:tcW w:w="476" w:type="dxa"/>
            <w:shd w:val="clear" w:color="000000" w:fill="FFFFFF"/>
            <w:vAlign w:val="center"/>
          </w:tcPr>
          <w:p>
            <w:pPr>
              <w:snapToGrid w:val="0"/>
              <w:jc w:val="center"/>
              <w:rPr>
                <w:rFonts w:ascii="宋体" w:hAnsi="宋体"/>
                <w:sz w:val="20"/>
              </w:rPr>
            </w:pPr>
          </w:p>
        </w:tc>
        <w:tc>
          <w:tcPr>
            <w:tcW w:w="431" w:type="dxa"/>
            <w:shd w:val="clear" w:color="000000" w:fill="FFFFFF"/>
            <w:vAlign w:val="center"/>
          </w:tcPr>
          <w:p>
            <w:pPr>
              <w:widowControl/>
              <w:snapToGrid w:val="0"/>
              <w:rPr>
                <w:rFonts w:ascii="宋体" w:hAnsi="宋体"/>
                <w:b/>
                <w:bCs/>
                <w:kern w:val="0"/>
                <w:sz w:val="22"/>
              </w:rPr>
            </w:pPr>
          </w:p>
        </w:tc>
        <w:tc>
          <w:tcPr>
            <w:tcW w:w="849" w:type="dxa"/>
            <w:shd w:val="clear" w:color="000000" w:fill="FFFFFF"/>
            <w:vAlign w:val="center"/>
          </w:tcPr>
          <w:p>
            <w:pPr>
              <w:widowControl/>
              <w:jc w:val="center"/>
              <w:rPr>
                <w:rFonts w:ascii="宋体" w:hAnsi="宋体" w:cs="宋体"/>
                <w:b/>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vAlign w:val="center"/>
          </w:tcPr>
          <w:p>
            <w:pPr>
              <w:widowControl/>
              <w:jc w:val="left"/>
              <w:rPr>
                <w:rFonts w:ascii="宋体" w:hAnsi="宋体" w:cs="宋体"/>
                <w:bCs/>
                <w:kern w:val="0"/>
                <w:sz w:val="20"/>
              </w:rPr>
            </w:pPr>
          </w:p>
        </w:tc>
        <w:tc>
          <w:tcPr>
            <w:tcW w:w="422"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903" w:type="dxa"/>
            <w:shd w:val="clear" w:color="000000" w:fill="FFFFFF"/>
            <w:vAlign w:val="center"/>
          </w:tcPr>
          <w:p>
            <w:pPr>
              <w:widowControl/>
              <w:snapToGrid w:val="0"/>
              <w:rPr>
                <w:rFonts w:ascii="宋体" w:hAnsi="宋体" w:cs="宋体"/>
                <w:kern w:val="0"/>
                <w:sz w:val="22"/>
              </w:rPr>
            </w:pPr>
          </w:p>
        </w:tc>
        <w:tc>
          <w:tcPr>
            <w:tcW w:w="711" w:type="dxa"/>
            <w:shd w:val="clear" w:color="000000" w:fill="FFFFFF"/>
            <w:vAlign w:val="center"/>
          </w:tcPr>
          <w:p>
            <w:pPr>
              <w:widowControl/>
              <w:snapToGrid w:val="0"/>
              <w:rPr>
                <w:rFonts w:ascii="宋体" w:hAnsi="宋体"/>
                <w:b/>
                <w:bCs/>
                <w:kern w:val="0"/>
                <w:sz w:val="22"/>
              </w:rPr>
            </w:pPr>
          </w:p>
        </w:tc>
        <w:tc>
          <w:tcPr>
            <w:tcW w:w="460" w:type="dxa"/>
            <w:shd w:val="clear" w:color="000000" w:fill="FFFFFF"/>
            <w:vAlign w:val="center"/>
          </w:tcPr>
          <w:p>
            <w:pPr>
              <w:widowControl/>
              <w:snapToGrid w:val="0"/>
              <w:jc w:val="center"/>
              <w:rPr>
                <w:rFonts w:ascii="宋体" w:hAnsi="宋体" w:cs="宋体"/>
                <w:kern w:val="0"/>
                <w:sz w:val="20"/>
              </w:rPr>
            </w:pPr>
          </w:p>
        </w:tc>
        <w:tc>
          <w:tcPr>
            <w:tcW w:w="562" w:type="dxa"/>
            <w:shd w:val="clear" w:color="000000" w:fill="FFFFFF"/>
            <w:vAlign w:val="center"/>
          </w:tcPr>
          <w:p>
            <w:pPr>
              <w:widowControl/>
              <w:snapToGrid w:val="0"/>
              <w:jc w:val="center"/>
              <w:rPr>
                <w:rFonts w:ascii="宋体" w:hAnsi="宋体" w:cs="宋体"/>
                <w:b/>
                <w:bCs/>
                <w:kern w:val="0"/>
                <w:sz w:val="20"/>
              </w:rPr>
            </w:pPr>
          </w:p>
        </w:tc>
        <w:tc>
          <w:tcPr>
            <w:tcW w:w="476" w:type="dxa"/>
            <w:shd w:val="clear" w:color="000000" w:fill="FFFFFF"/>
            <w:vAlign w:val="center"/>
          </w:tcPr>
          <w:p>
            <w:pPr>
              <w:snapToGrid w:val="0"/>
              <w:jc w:val="center"/>
              <w:rPr>
                <w:rFonts w:ascii="宋体" w:hAnsi="宋体"/>
                <w:sz w:val="20"/>
              </w:rPr>
            </w:pPr>
          </w:p>
        </w:tc>
        <w:tc>
          <w:tcPr>
            <w:tcW w:w="431" w:type="dxa"/>
            <w:shd w:val="clear" w:color="000000" w:fill="FFFFFF"/>
            <w:vAlign w:val="center"/>
          </w:tcPr>
          <w:p>
            <w:pPr>
              <w:widowControl/>
              <w:snapToGrid w:val="0"/>
              <w:rPr>
                <w:rFonts w:ascii="宋体" w:hAnsi="宋体"/>
                <w:b/>
                <w:bCs/>
                <w:kern w:val="0"/>
                <w:sz w:val="22"/>
              </w:rPr>
            </w:pPr>
          </w:p>
        </w:tc>
        <w:tc>
          <w:tcPr>
            <w:tcW w:w="849" w:type="dxa"/>
            <w:shd w:val="clear" w:color="000000" w:fill="FFFFFF"/>
            <w:vAlign w:val="center"/>
          </w:tcPr>
          <w:p>
            <w:pPr>
              <w:widowControl/>
              <w:jc w:val="center"/>
              <w:rPr>
                <w:rFonts w:ascii="宋体" w:hAnsi="宋体" w:cs="宋体"/>
                <w:b/>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vAlign w:val="center"/>
          </w:tcPr>
          <w:p>
            <w:pPr>
              <w:widowControl/>
              <w:jc w:val="left"/>
              <w:rPr>
                <w:rFonts w:ascii="宋体" w:hAnsi="宋体" w:cs="宋体"/>
                <w:bCs/>
                <w:kern w:val="0"/>
                <w:sz w:val="20"/>
              </w:rPr>
            </w:pPr>
          </w:p>
        </w:tc>
        <w:tc>
          <w:tcPr>
            <w:tcW w:w="422"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903" w:type="dxa"/>
            <w:shd w:val="clear" w:color="000000" w:fill="FFFFFF"/>
            <w:vAlign w:val="center"/>
          </w:tcPr>
          <w:p>
            <w:pPr>
              <w:widowControl/>
              <w:snapToGrid w:val="0"/>
              <w:rPr>
                <w:rFonts w:ascii="宋体" w:hAnsi="宋体" w:cs="宋体"/>
                <w:kern w:val="0"/>
                <w:sz w:val="22"/>
              </w:rPr>
            </w:pPr>
          </w:p>
        </w:tc>
        <w:tc>
          <w:tcPr>
            <w:tcW w:w="711" w:type="dxa"/>
            <w:shd w:val="clear" w:color="000000" w:fill="FFFFFF"/>
            <w:vAlign w:val="center"/>
          </w:tcPr>
          <w:p>
            <w:pPr>
              <w:widowControl/>
              <w:snapToGrid w:val="0"/>
              <w:rPr>
                <w:rFonts w:ascii="宋体" w:hAnsi="宋体"/>
                <w:b/>
                <w:bCs/>
                <w:kern w:val="0"/>
                <w:sz w:val="22"/>
              </w:rPr>
            </w:pPr>
          </w:p>
        </w:tc>
        <w:tc>
          <w:tcPr>
            <w:tcW w:w="460" w:type="dxa"/>
            <w:shd w:val="clear" w:color="000000" w:fill="FFFFFF"/>
            <w:vAlign w:val="center"/>
          </w:tcPr>
          <w:p>
            <w:pPr>
              <w:widowControl/>
              <w:snapToGrid w:val="0"/>
              <w:jc w:val="center"/>
              <w:rPr>
                <w:rFonts w:ascii="宋体" w:hAnsi="宋体" w:cs="宋体"/>
                <w:kern w:val="0"/>
                <w:sz w:val="20"/>
              </w:rPr>
            </w:pPr>
          </w:p>
        </w:tc>
        <w:tc>
          <w:tcPr>
            <w:tcW w:w="562" w:type="dxa"/>
            <w:shd w:val="clear" w:color="000000" w:fill="FFFFFF"/>
            <w:vAlign w:val="center"/>
          </w:tcPr>
          <w:p>
            <w:pPr>
              <w:widowControl/>
              <w:snapToGrid w:val="0"/>
              <w:jc w:val="center"/>
              <w:rPr>
                <w:rFonts w:ascii="宋体" w:hAnsi="宋体" w:cs="宋体"/>
                <w:b/>
                <w:bCs/>
                <w:kern w:val="0"/>
                <w:sz w:val="20"/>
              </w:rPr>
            </w:pPr>
          </w:p>
        </w:tc>
        <w:tc>
          <w:tcPr>
            <w:tcW w:w="476" w:type="dxa"/>
            <w:shd w:val="clear" w:color="000000" w:fill="FFFFFF"/>
            <w:vAlign w:val="center"/>
          </w:tcPr>
          <w:p>
            <w:pPr>
              <w:snapToGrid w:val="0"/>
              <w:jc w:val="center"/>
              <w:rPr>
                <w:rFonts w:ascii="宋体" w:hAnsi="宋体"/>
                <w:sz w:val="20"/>
              </w:rPr>
            </w:pPr>
          </w:p>
        </w:tc>
        <w:tc>
          <w:tcPr>
            <w:tcW w:w="431" w:type="dxa"/>
            <w:shd w:val="clear" w:color="000000" w:fill="FFFFFF"/>
            <w:vAlign w:val="center"/>
          </w:tcPr>
          <w:p>
            <w:pPr>
              <w:widowControl/>
              <w:snapToGrid w:val="0"/>
              <w:rPr>
                <w:rFonts w:ascii="宋体" w:hAnsi="宋体"/>
                <w:b/>
                <w:bCs/>
                <w:kern w:val="0"/>
                <w:sz w:val="22"/>
              </w:rPr>
            </w:pPr>
          </w:p>
        </w:tc>
        <w:tc>
          <w:tcPr>
            <w:tcW w:w="849" w:type="dxa"/>
            <w:shd w:val="clear" w:color="000000" w:fill="FFFFFF"/>
            <w:vAlign w:val="center"/>
          </w:tcPr>
          <w:p>
            <w:pPr>
              <w:widowControl/>
              <w:jc w:val="center"/>
              <w:rPr>
                <w:rFonts w:ascii="宋体" w:hAnsi="宋体" w:cs="宋体"/>
                <w:b/>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vAlign w:val="center"/>
          </w:tcPr>
          <w:p>
            <w:pPr>
              <w:widowControl/>
              <w:jc w:val="left"/>
              <w:rPr>
                <w:rFonts w:ascii="宋体" w:hAnsi="宋体" w:cs="宋体"/>
                <w:bCs/>
                <w:kern w:val="0"/>
                <w:sz w:val="20"/>
              </w:rPr>
            </w:pPr>
          </w:p>
        </w:tc>
        <w:tc>
          <w:tcPr>
            <w:tcW w:w="422"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34"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903" w:type="dxa"/>
            <w:shd w:val="clear" w:color="000000" w:fill="FFFFFF"/>
            <w:vAlign w:val="center"/>
          </w:tcPr>
          <w:p>
            <w:pPr>
              <w:widowControl/>
              <w:snapToGrid w:val="0"/>
              <w:rPr>
                <w:rFonts w:ascii="宋体" w:hAnsi="宋体" w:cs="宋体"/>
                <w:kern w:val="0"/>
                <w:sz w:val="22"/>
              </w:rPr>
            </w:pPr>
          </w:p>
        </w:tc>
        <w:tc>
          <w:tcPr>
            <w:tcW w:w="711" w:type="dxa"/>
            <w:shd w:val="clear" w:color="000000" w:fill="FFFFFF"/>
            <w:vAlign w:val="center"/>
          </w:tcPr>
          <w:p>
            <w:pPr>
              <w:widowControl/>
              <w:snapToGrid w:val="0"/>
              <w:rPr>
                <w:rFonts w:ascii="宋体" w:hAnsi="宋体"/>
                <w:b/>
                <w:bCs/>
                <w:kern w:val="0"/>
                <w:sz w:val="22"/>
              </w:rPr>
            </w:pPr>
          </w:p>
        </w:tc>
        <w:tc>
          <w:tcPr>
            <w:tcW w:w="460" w:type="dxa"/>
            <w:shd w:val="clear" w:color="000000" w:fill="FFFFFF"/>
            <w:vAlign w:val="center"/>
          </w:tcPr>
          <w:p>
            <w:pPr>
              <w:widowControl/>
              <w:snapToGrid w:val="0"/>
              <w:jc w:val="center"/>
              <w:rPr>
                <w:rFonts w:ascii="宋体" w:hAnsi="宋体" w:cs="宋体"/>
                <w:kern w:val="0"/>
                <w:sz w:val="20"/>
              </w:rPr>
            </w:pPr>
          </w:p>
        </w:tc>
        <w:tc>
          <w:tcPr>
            <w:tcW w:w="562" w:type="dxa"/>
            <w:shd w:val="clear" w:color="000000" w:fill="FFFFFF"/>
            <w:vAlign w:val="center"/>
          </w:tcPr>
          <w:p>
            <w:pPr>
              <w:widowControl/>
              <w:snapToGrid w:val="0"/>
              <w:jc w:val="center"/>
              <w:rPr>
                <w:rFonts w:ascii="宋体" w:hAnsi="宋体" w:cs="宋体"/>
                <w:b/>
                <w:bCs/>
                <w:kern w:val="0"/>
                <w:sz w:val="20"/>
              </w:rPr>
            </w:pPr>
          </w:p>
        </w:tc>
        <w:tc>
          <w:tcPr>
            <w:tcW w:w="476" w:type="dxa"/>
            <w:shd w:val="clear" w:color="000000" w:fill="FFFFFF"/>
            <w:vAlign w:val="center"/>
          </w:tcPr>
          <w:p>
            <w:pPr>
              <w:snapToGrid w:val="0"/>
              <w:jc w:val="center"/>
              <w:rPr>
                <w:rFonts w:ascii="宋体" w:hAnsi="宋体"/>
                <w:sz w:val="20"/>
              </w:rPr>
            </w:pPr>
          </w:p>
        </w:tc>
        <w:tc>
          <w:tcPr>
            <w:tcW w:w="431" w:type="dxa"/>
            <w:shd w:val="clear" w:color="000000" w:fill="FFFFFF"/>
            <w:vAlign w:val="center"/>
          </w:tcPr>
          <w:p>
            <w:pPr>
              <w:widowControl/>
              <w:snapToGrid w:val="0"/>
              <w:rPr>
                <w:rFonts w:ascii="宋体" w:hAnsi="宋体"/>
                <w:b/>
                <w:bCs/>
                <w:kern w:val="0"/>
                <w:sz w:val="22"/>
              </w:rPr>
            </w:pPr>
          </w:p>
        </w:tc>
        <w:tc>
          <w:tcPr>
            <w:tcW w:w="849" w:type="dxa"/>
            <w:shd w:val="clear" w:color="000000" w:fill="FFFFFF"/>
            <w:vAlign w:val="center"/>
          </w:tcPr>
          <w:p>
            <w:pPr>
              <w:widowControl/>
              <w:jc w:val="center"/>
              <w:rPr>
                <w:rFonts w:ascii="宋体" w:hAnsi="宋体" w:cs="宋体"/>
                <w:b/>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vAlign w:val="center"/>
          </w:tcPr>
          <w:p>
            <w:pPr>
              <w:widowControl/>
              <w:jc w:val="left"/>
              <w:rPr>
                <w:rFonts w:ascii="宋体" w:hAnsi="宋体" w:cs="宋体"/>
                <w:bCs/>
                <w:kern w:val="0"/>
                <w:sz w:val="20"/>
              </w:rPr>
            </w:pPr>
          </w:p>
        </w:tc>
        <w:tc>
          <w:tcPr>
            <w:tcW w:w="422"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34" w:type="dxa"/>
            <w:shd w:val="clear" w:color="000000" w:fill="FFFFFF"/>
            <w:vAlign w:val="center"/>
          </w:tcPr>
          <w:p>
            <w:pPr>
              <w:widowControl/>
              <w:jc w:val="center"/>
              <w:rPr>
                <w:rFonts w:ascii="宋体" w:hAnsi="宋体" w:cs="宋体"/>
                <w:b/>
                <w:kern w:val="0"/>
                <w:sz w:val="20"/>
              </w:rPr>
            </w:pPr>
          </w:p>
        </w:tc>
        <w:tc>
          <w:tcPr>
            <w:tcW w:w="1903" w:type="dxa"/>
            <w:shd w:val="clear" w:color="000000" w:fill="FFFFFF"/>
            <w:vAlign w:val="center"/>
          </w:tcPr>
          <w:p>
            <w:pPr>
              <w:widowControl/>
              <w:jc w:val="center"/>
              <w:rPr>
                <w:rFonts w:ascii="宋体" w:hAnsi="宋体"/>
                <w:b/>
                <w:bCs/>
                <w:kern w:val="0"/>
                <w:szCs w:val="21"/>
              </w:rPr>
            </w:pPr>
          </w:p>
        </w:tc>
        <w:tc>
          <w:tcPr>
            <w:tcW w:w="711" w:type="dxa"/>
            <w:shd w:val="clear" w:color="000000" w:fill="FFFFFF"/>
            <w:vAlign w:val="center"/>
          </w:tcPr>
          <w:p>
            <w:pPr>
              <w:widowControl/>
              <w:snapToGrid w:val="0"/>
              <w:rPr>
                <w:rFonts w:ascii="宋体" w:hAnsi="宋体"/>
                <w:b/>
                <w:bCs/>
                <w:kern w:val="0"/>
                <w:sz w:val="22"/>
              </w:rPr>
            </w:pPr>
          </w:p>
        </w:tc>
        <w:tc>
          <w:tcPr>
            <w:tcW w:w="460" w:type="dxa"/>
            <w:shd w:val="clear" w:color="000000" w:fill="FFFFFF"/>
            <w:vAlign w:val="center"/>
          </w:tcPr>
          <w:p>
            <w:pPr>
              <w:widowControl/>
              <w:snapToGrid w:val="0"/>
              <w:jc w:val="center"/>
              <w:rPr>
                <w:rFonts w:ascii="宋体" w:hAnsi="宋体" w:cs="宋体"/>
                <w:kern w:val="0"/>
                <w:sz w:val="20"/>
              </w:rPr>
            </w:pPr>
          </w:p>
        </w:tc>
        <w:tc>
          <w:tcPr>
            <w:tcW w:w="562" w:type="dxa"/>
            <w:shd w:val="clear" w:color="000000" w:fill="FFFFFF"/>
            <w:vAlign w:val="center"/>
          </w:tcPr>
          <w:p>
            <w:pPr>
              <w:widowControl/>
              <w:snapToGrid w:val="0"/>
              <w:jc w:val="center"/>
              <w:rPr>
                <w:rFonts w:ascii="宋体" w:hAnsi="宋体" w:cs="宋体"/>
                <w:b/>
                <w:bCs/>
                <w:kern w:val="0"/>
                <w:sz w:val="20"/>
              </w:rPr>
            </w:pPr>
          </w:p>
        </w:tc>
        <w:tc>
          <w:tcPr>
            <w:tcW w:w="476" w:type="dxa"/>
            <w:shd w:val="clear" w:color="000000" w:fill="FFFFFF"/>
            <w:vAlign w:val="center"/>
          </w:tcPr>
          <w:p>
            <w:pPr>
              <w:snapToGrid w:val="0"/>
              <w:jc w:val="center"/>
              <w:rPr>
                <w:rFonts w:ascii="宋体" w:hAnsi="宋体"/>
                <w:sz w:val="20"/>
              </w:rPr>
            </w:pPr>
          </w:p>
        </w:tc>
        <w:tc>
          <w:tcPr>
            <w:tcW w:w="431" w:type="dxa"/>
            <w:shd w:val="clear" w:color="000000" w:fill="FFFFFF"/>
            <w:vAlign w:val="center"/>
          </w:tcPr>
          <w:p>
            <w:pPr>
              <w:widowControl/>
              <w:snapToGrid w:val="0"/>
              <w:rPr>
                <w:rFonts w:ascii="宋体" w:hAnsi="宋体"/>
                <w:b/>
                <w:bCs/>
                <w:kern w:val="0"/>
                <w:sz w:val="22"/>
              </w:rPr>
            </w:pPr>
          </w:p>
        </w:tc>
        <w:tc>
          <w:tcPr>
            <w:tcW w:w="849" w:type="dxa"/>
            <w:shd w:val="clear" w:color="000000" w:fill="FFFFFF"/>
            <w:vAlign w:val="center"/>
          </w:tcPr>
          <w:p>
            <w:pPr>
              <w:widowControl/>
              <w:jc w:val="center"/>
              <w:rPr>
                <w:rFonts w:ascii="宋体" w:hAnsi="宋体" w:cs="宋体"/>
                <w:b/>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vAlign w:val="center"/>
          </w:tcPr>
          <w:p>
            <w:pPr>
              <w:widowControl/>
              <w:jc w:val="left"/>
              <w:rPr>
                <w:rFonts w:ascii="宋体" w:hAnsi="宋体" w:cs="宋体"/>
                <w:bCs/>
                <w:kern w:val="0"/>
                <w:sz w:val="20"/>
              </w:rPr>
            </w:pPr>
          </w:p>
        </w:tc>
        <w:tc>
          <w:tcPr>
            <w:tcW w:w="422"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34" w:type="dxa"/>
            <w:shd w:val="clear" w:color="000000" w:fill="FFFFFF"/>
            <w:vAlign w:val="center"/>
          </w:tcPr>
          <w:p>
            <w:pPr>
              <w:widowControl/>
              <w:jc w:val="left"/>
              <w:rPr>
                <w:rFonts w:ascii="宋体" w:hAnsi="宋体" w:cs="宋体"/>
                <w:b/>
                <w:bCs/>
                <w:kern w:val="0"/>
                <w:sz w:val="20"/>
              </w:rPr>
            </w:pPr>
          </w:p>
        </w:tc>
        <w:tc>
          <w:tcPr>
            <w:tcW w:w="1903" w:type="dxa"/>
            <w:shd w:val="clear" w:color="000000" w:fill="FFFFFF"/>
            <w:vAlign w:val="center"/>
          </w:tcPr>
          <w:p>
            <w:pPr>
              <w:widowControl/>
              <w:snapToGrid w:val="0"/>
              <w:rPr>
                <w:rFonts w:ascii="宋体" w:hAnsi="宋体" w:cs="宋体"/>
                <w:kern w:val="0"/>
                <w:sz w:val="22"/>
              </w:rPr>
            </w:pPr>
          </w:p>
        </w:tc>
        <w:tc>
          <w:tcPr>
            <w:tcW w:w="711" w:type="dxa"/>
            <w:shd w:val="clear" w:color="000000" w:fill="FFFFFF"/>
            <w:vAlign w:val="center"/>
          </w:tcPr>
          <w:p>
            <w:pPr>
              <w:widowControl/>
              <w:snapToGrid w:val="0"/>
              <w:rPr>
                <w:rFonts w:ascii="宋体" w:hAnsi="宋体"/>
                <w:b/>
                <w:bCs/>
                <w:kern w:val="0"/>
                <w:sz w:val="22"/>
              </w:rPr>
            </w:pPr>
          </w:p>
        </w:tc>
        <w:tc>
          <w:tcPr>
            <w:tcW w:w="460" w:type="dxa"/>
            <w:shd w:val="clear" w:color="000000" w:fill="FFFFFF"/>
            <w:vAlign w:val="center"/>
          </w:tcPr>
          <w:p>
            <w:pPr>
              <w:widowControl/>
              <w:snapToGrid w:val="0"/>
              <w:jc w:val="center"/>
              <w:rPr>
                <w:rFonts w:ascii="宋体" w:hAnsi="宋体" w:cs="宋体"/>
                <w:kern w:val="0"/>
                <w:sz w:val="20"/>
              </w:rPr>
            </w:pPr>
          </w:p>
        </w:tc>
        <w:tc>
          <w:tcPr>
            <w:tcW w:w="562" w:type="dxa"/>
            <w:shd w:val="clear" w:color="000000" w:fill="FFFFFF"/>
            <w:vAlign w:val="center"/>
          </w:tcPr>
          <w:p>
            <w:pPr>
              <w:widowControl/>
              <w:snapToGrid w:val="0"/>
              <w:jc w:val="center"/>
              <w:rPr>
                <w:rFonts w:ascii="宋体" w:hAnsi="宋体" w:cs="宋体"/>
                <w:b/>
                <w:bCs/>
                <w:kern w:val="0"/>
                <w:sz w:val="20"/>
              </w:rPr>
            </w:pPr>
          </w:p>
        </w:tc>
        <w:tc>
          <w:tcPr>
            <w:tcW w:w="476" w:type="dxa"/>
            <w:shd w:val="clear" w:color="000000" w:fill="FFFFFF"/>
            <w:vAlign w:val="center"/>
          </w:tcPr>
          <w:p>
            <w:pPr>
              <w:snapToGrid w:val="0"/>
              <w:jc w:val="center"/>
              <w:rPr>
                <w:rFonts w:ascii="宋体" w:hAnsi="宋体"/>
                <w:sz w:val="20"/>
              </w:rPr>
            </w:pPr>
          </w:p>
        </w:tc>
        <w:tc>
          <w:tcPr>
            <w:tcW w:w="431" w:type="dxa"/>
            <w:shd w:val="clear" w:color="000000" w:fill="FFFFFF"/>
            <w:vAlign w:val="center"/>
          </w:tcPr>
          <w:p>
            <w:pPr>
              <w:widowControl/>
              <w:snapToGrid w:val="0"/>
              <w:rPr>
                <w:rFonts w:ascii="宋体" w:hAnsi="宋体"/>
                <w:b/>
                <w:bCs/>
                <w:kern w:val="0"/>
                <w:sz w:val="22"/>
              </w:rPr>
            </w:pPr>
          </w:p>
        </w:tc>
        <w:tc>
          <w:tcPr>
            <w:tcW w:w="849" w:type="dxa"/>
            <w:shd w:val="clear" w:color="000000" w:fill="FFFFFF"/>
            <w:vAlign w:val="center"/>
          </w:tcPr>
          <w:p>
            <w:pPr>
              <w:widowControl/>
              <w:jc w:val="center"/>
              <w:rPr>
                <w:rFonts w:ascii="宋体" w:hAnsi="宋体" w:cs="宋体"/>
                <w:b/>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vAlign w:val="center"/>
          </w:tcPr>
          <w:p>
            <w:pPr>
              <w:widowControl/>
              <w:jc w:val="left"/>
              <w:rPr>
                <w:rFonts w:ascii="宋体" w:hAnsi="宋体" w:cs="宋体"/>
                <w:bCs/>
                <w:kern w:val="0"/>
                <w:sz w:val="20"/>
              </w:rPr>
            </w:pPr>
          </w:p>
        </w:tc>
        <w:tc>
          <w:tcPr>
            <w:tcW w:w="422"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34" w:type="dxa"/>
            <w:shd w:val="clear" w:color="000000" w:fill="FFFFFF"/>
            <w:vAlign w:val="center"/>
          </w:tcPr>
          <w:p>
            <w:pPr>
              <w:widowControl/>
              <w:jc w:val="left"/>
              <w:rPr>
                <w:rFonts w:ascii="宋体" w:hAnsi="宋体" w:cs="宋体"/>
                <w:b/>
                <w:bCs/>
                <w:kern w:val="0"/>
                <w:sz w:val="20"/>
              </w:rPr>
            </w:pPr>
          </w:p>
        </w:tc>
        <w:tc>
          <w:tcPr>
            <w:tcW w:w="1903" w:type="dxa"/>
            <w:shd w:val="clear" w:color="000000" w:fill="FFFFFF"/>
            <w:vAlign w:val="center"/>
          </w:tcPr>
          <w:p>
            <w:pPr>
              <w:widowControl/>
              <w:snapToGrid w:val="0"/>
              <w:rPr>
                <w:rFonts w:ascii="宋体" w:hAnsi="宋体" w:cs="宋体"/>
                <w:kern w:val="0"/>
                <w:sz w:val="22"/>
              </w:rPr>
            </w:pPr>
          </w:p>
        </w:tc>
        <w:tc>
          <w:tcPr>
            <w:tcW w:w="711" w:type="dxa"/>
            <w:shd w:val="clear" w:color="000000" w:fill="FFFFFF"/>
            <w:vAlign w:val="center"/>
          </w:tcPr>
          <w:p>
            <w:pPr>
              <w:widowControl/>
              <w:snapToGrid w:val="0"/>
              <w:rPr>
                <w:rFonts w:ascii="宋体" w:hAnsi="宋体"/>
                <w:b/>
                <w:bCs/>
                <w:kern w:val="0"/>
                <w:sz w:val="22"/>
              </w:rPr>
            </w:pPr>
          </w:p>
        </w:tc>
        <w:tc>
          <w:tcPr>
            <w:tcW w:w="460" w:type="dxa"/>
            <w:shd w:val="clear" w:color="000000" w:fill="FFFFFF"/>
            <w:vAlign w:val="center"/>
          </w:tcPr>
          <w:p>
            <w:pPr>
              <w:widowControl/>
              <w:snapToGrid w:val="0"/>
              <w:jc w:val="center"/>
              <w:rPr>
                <w:rFonts w:ascii="宋体" w:hAnsi="宋体" w:cs="宋体"/>
                <w:kern w:val="0"/>
                <w:sz w:val="20"/>
              </w:rPr>
            </w:pPr>
          </w:p>
        </w:tc>
        <w:tc>
          <w:tcPr>
            <w:tcW w:w="562" w:type="dxa"/>
            <w:shd w:val="clear" w:color="000000" w:fill="FFFFFF"/>
            <w:vAlign w:val="center"/>
          </w:tcPr>
          <w:p>
            <w:pPr>
              <w:widowControl/>
              <w:snapToGrid w:val="0"/>
              <w:jc w:val="center"/>
              <w:rPr>
                <w:rFonts w:ascii="宋体" w:hAnsi="宋体" w:cs="宋体"/>
                <w:b/>
                <w:bCs/>
                <w:kern w:val="0"/>
                <w:sz w:val="20"/>
              </w:rPr>
            </w:pPr>
          </w:p>
        </w:tc>
        <w:tc>
          <w:tcPr>
            <w:tcW w:w="476" w:type="dxa"/>
            <w:shd w:val="clear" w:color="000000" w:fill="FFFFFF"/>
            <w:vAlign w:val="center"/>
          </w:tcPr>
          <w:p>
            <w:pPr>
              <w:snapToGrid w:val="0"/>
              <w:jc w:val="center"/>
              <w:rPr>
                <w:rFonts w:ascii="宋体" w:hAnsi="宋体"/>
                <w:sz w:val="20"/>
              </w:rPr>
            </w:pPr>
          </w:p>
        </w:tc>
        <w:tc>
          <w:tcPr>
            <w:tcW w:w="431" w:type="dxa"/>
            <w:shd w:val="clear" w:color="000000" w:fill="FFFFFF"/>
            <w:vAlign w:val="center"/>
          </w:tcPr>
          <w:p>
            <w:pPr>
              <w:widowControl/>
              <w:snapToGrid w:val="0"/>
              <w:rPr>
                <w:rFonts w:ascii="宋体" w:hAnsi="宋体"/>
                <w:b/>
                <w:bCs/>
                <w:kern w:val="0"/>
                <w:sz w:val="22"/>
              </w:rPr>
            </w:pPr>
          </w:p>
        </w:tc>
        <w:tc>
          <w:tcPr>
            <w:tcW w:w="849" w:type="dxa"/>
            <w:shd w:val="clear" w:color="000000" w:fill="FFFFFF"/>
            <w:vAlign w:val="center"/>
          </w:tcPr>
          <w:p>
            <w:pPr>
              <w:widowControl/>
              <w:jc w:val="center"/>
              <w:rPr>
                <w:rFonts w:ascii="宋体" w:hAnsi="宋体" w:cs="宋体"/>
                <w:b/>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vAlign w:val="center"/>
          </w:tcPr>
          <w:p>
            <w:pPr>
              <w:widowControl/>
              <w:jc w:val="left"/>
              <w:rPr>
                <w:rFonts w:ascii="宋体" w:hAnsi="宋体" w:cs="宋体"/>
                <w:bCs/>
                <w:kern w:val="0"/>
                <w:sz w:val="20"/>
              </w:rPr>
            </w:pPr>
          </w:p>
        </w:tc>
        <w:tc>
          <w:tcPr>
            <w:tcW w:w="422"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34" w:type="dxa"/>
            <w:shd w:val="clear" w:color="000000" w:fill="FFFFFF"/>
            <w:vAlign w:val="center"/>
          </w:tcPr>
          <w:p>
            <w:pPr>
              <w:widowControl/>
              <w:jc w:val="left"/>
              <w:rPr>
                <w:rFonts w:ascii="宋体" w:hAnsi="宋体" w:cs="宋体"/>
                <w:b/>
                <w:bCs/>
                <w:kern w:val="0"/>
                <w:sz w:val="20"/>
              </w:rPr>
            </w:pPr>
          </w:p>
        </w:tc>
        <w:tc>
          <w:tcPr>
            <w:tcW w:w="1903" w:type="dxa"/>
            <w:shd w:val="clear" w:color="000000" w:fill="FFFFFF"/>
            <w:vAlign w:val="center"/>
          </w:tcPr>
          <w:p>
            <w:pPr>
              <w:widowControl/>
              <w:snapToGrid w:val="0"/>
              <w:rPr>
                <w:rFonts w:ascii="宋体" w:hAnsi="宋体" w:cs="宋体"/>
                <w:kern w:val="0"/>
                <w:sz w:val="22"/>
              </w:rPr>
            </w:pPr>
          </w:p>
        </w:tc>
        <w:tc>
          <w:tcPr>
            <w:tcW w:w="711" w:type="dxa"/>
            <w:shd w:val="clear" w:color="000000" w:fill="FFFFFF"/>
            <w:vAlign w:val="center"/>
          </w:tcPr>
          <w:p>
            <w:pPr>
              <w:widowControl/>
              <w:snapToGrid w:val="0"/>
              <w:rPr>
                <w:rFonts w:ascii="宋体" w:hAnsi="宋体"/>
                <w:b/>
                <w:bCs/>
                <w:kern w:val="0"/>
                <w:sz w:val="22"/>
              </w:rPr>
            </w:pPr>
          </w:p>
        </w:tc>
        <w:tc>
          <w:tcPr>
            <w:tcW w:w="460" w:type="dxa"/>
            <w:shd w:val="clear" w:color="000000" w:fill="FFFFFF"/>
            <w:vAlign w:val="center"/>
          </w:tcPr>
          <w:p>
            <w:pPr>
              <w:widowControl/>
              <w:snapToGrid w:val="0"/>
              <w:jc w:val="center"/>
              <w:rPr>
                <w:rFonts w:ascii="宋体" w:hAnsi="宋体" w:cs="宋体"/>
                <w:kern w:val="0"/>
                <w:sz w:val="20"/>
              </w:rPr>
            </w:pPr>
          </w:p>
        </w:tc>
        <w:tc>
          <w:tcPr>
            <w:tcW w:w="562" w:type="dxa"/>
            <w:shd w:val="clear" w:color="000000" w:fill="FFFFFF"/>
            <w:vAlign w:val="center"/>
          </w:tcPr>
          <w:p>
            <w:pPr>
              <w:widowControl/>
              <w:snapToGrid w:val="0"/>
              <w:jc w:val="center"/>
              <w:rPr>
                <w:rFonts w:ascii="宋体" w:hAnsi="宋体" w:cs="宋体"/>
                <w:b/>
                <w:bCs/>
                <w:kern w:val="0"/>
                <w:sz w:val="20"/>
              </w:rPr>
            </w:pPr>
          </w:p>
        </w:tc>
        <w:tc>
          <w:tcPr>
            <w:tcW w:w="476" w:type="dxa"/>
            <w:shd w:val="clear" w:color="000000" w:fill="FFFFFF"/>
            <w:vAlign w:val="center"/>
          </w:tcPr>
          <w:p>
            <w:pPr>
              <w:snapToGrid w:val="0"/>
              <w:jc w:val="center"/>
              <w:rPr>
                <w:rFonts w:ascii="宋体" w:hAnsi="宋体"/>
                <w:sz w:val="20"/>
              </w:rPr>
            </w:pPr>
          </w:p>
        </w:tc>
        <w:tc>
          <w:tcPr>
            <w:tcW w:w="431" w:type="dxa"/>
            <w:shd w:val="clear" w:color="000000" w:fill="FFFFFF"/>
            <w:vAlign w:val="center"/>
          </w:tcPr>
          <w:p>
            <w:pPr>
              <w:widowControl/>
              <w:snapToGrid w:val="0"/>
              <w:rPr>
                <w:rFonts w:ascii="宋体" w:hAnsi="宋体"/>
                <w:b/>
                <w:bCs/>
                <w:kern w:val="0"/>
                <w:sz w:val="22"/>
              </w:rPr>
            </w:pPr>
          </w:p>
        </w:tc>
        <w:tc>
          <w:tcPr>
            <w:tcW w:w="849" w:type="dxa"/>
            <w:shd w:val="clear" w:color="000000" w:fill="FFFFFF"/>
            <w:vAlign w:val="center"/>
          </w:tcPr>
          <w:p>
            <w:pPr>
              <w:widowControl/>
              <w:jc w:val="center"/>
              <w:rPr>
                <w:rFonts w:ascii="宋体" w:hAnsi="宋体" w:cs="宋体"/>
                <w:b/>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vAlign w:val="center"/>
          </w:tcPr>
          <w:p>
            <w:pPr>
              <w:widowControl/>
              <w:jc w:val="left"/>
              <w:rPr>
                <w:rFonts w:ascii="宋体" w:hAnsi="宋体" w:cs="宋体"/>
                <w:bCs/>
                <w:kern w:val="0"/>
                <w:sz w:val="20"/>
              </w:rPr>
            </w:pPr>
          </w:p>
        </w:tc>
        <w:tc>
          <w:tcPr>
            <w:tcW w:w="422"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6"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845" w:type="dxa"/>
          </w:tcPr>
          <w:p>
            <w:pPr>
              <w:widowControl/>
              <w:jc w:val="center"/>
              <w:rPr>
                <w:rFonts w:ascii="宋体" w:hAnsi="宋体" w:cs="宋体"/>
                <w:kern w:val="0"/>
                <w:sz w:val="20"/>
              </w:rPr>
            </w:pPr>
          </w:p>
        </w:tc>
        <w:tc>
          <w:tcPr>
            <w:tcW w:w="845" w:type="dxa"/>
          </w:tcPr>
          <w:p>
            <w:pPr>
              <w:widowControl/>
              <w:jc w:val="center"/>
              <w:rPr>
                <w:rFonts w:ascii="宋体" w:hAnsi="宋体" w:cs="宋体"/>
                <w:kern w:val="0"/>
                <w:sz w:val="20"/>
              </w:rPr>
            </w:pPr>
          </w:p>
        </w:tc>
        <w:tc>
          <w:tcPr>
            <w:tcW w:w="845" w:type="dxa"/>
          </w:tcPr>
          <w:p>
            <w:pPr>
              <w:widowControl/>
              <w:jc w:val="center"/>
              <w:rPr>
                <w:rFonts w:ascii="宋体" w:hAnsi="宋体" w:cs="宋体"/>
                <w:kern w:val="0"/>
                <w:sz w:val="20"/>
              </w:rPr>
            </w:pPr>
          </w:p>
        </w:tc>
        <w:tc>
          <w:tcPr>
            <w:tcW w:w="845"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422"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4.4备品备件分项报价表</w:t>
      </w:r>
    </w:p>
    <w:tbl>
      <w:tblPr>
        <w:tblStyle w:val="58"/>
        <w:tblpPr w:leftFromText="180" w:rightFromText="180" w:vertAnchor="text" w:tblpY="1"/>
        <w:tblOverlap w:val="never"/>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1903"/>
        <w:gridCol w:w="711"/>
        <w:gridCol w:w="460"/>
        <w:gridCol w:w="562"/>
        <w:gridCol w:w="476"/>
        <w:gridCol w:w="431"/>
        <w:gridCol w:w="849"/>
        <w:gridCol w:w="845"/>
        <w:gridCol w:w="845"/>
        <w:gridCol w:w="845"/>
        <w:gridCol w:w="845"/>
        <w:gridCol w:w="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4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90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71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46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56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476"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43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84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价（不含税） </w:t>
            </w:r>
          </w:p>
        </w:tc>
        <w:tc>
          <w:tcPr>
            <w:tcW w:w="84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价（不含税）</w:t>
            </w:r>
          </w:p>
        </w:tc>
        <w:tc>
          <w:tcPr>
            <w:tcW w:w="84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84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价（含税）</w:t>
            </w:r>
          </w:p>
        </w:tc>
        <w:tc>
          <w:tcPr>
            <w:tcW w:w="84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价（含税） </w:t>
            </w:r>
          </w:p>
        </w:tc>
        <w:tc>
          <w:tcPr>
            <w:tcW w:w="42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34" w:type="dxa"/>
            <w:vMerge w:val="continue"/>
            <w:shd w:val="clear" w:color="auto" w:fill="auto"/>
            <w:vAlign w:val="center"/>
          </w:tcPr>
          <w:p>
            <w:pPr>
              <w:widowControl/>
              <w:jc w:val="center"/>
              <w:rPr>
                <w:rFonts w:ascii="宋体" w:hAnsi="宋体" w:cs="宋体"/>
                <w:b/>
                <w:bCs/>
                <w:kern w:val="0"/>
                <w:sz w:val="20"/>
              </w:rPr>
            </w:pPr>
          </w:p>
        </w:tc>
        <w:tc>
          <w:tcPr>
            <w:tcW w:w="1903" w:type="dxa"/>
            <w:vMerge w:val="continue"/>
            <w:shd w:val="clear" w:color="auto" w:fill="auto"/>
            <w:vAlign w:val="center"/>
          </w:tcPr>
          <w:p>
            <w:pPr>
              <w:widowControl/>
              <w:jc w:val="left"/>
              <w:rPr>
                <w:rFonts w:ascii="宋体" w:hAnsi="宋体" w:cs="宋体"/>
                <w:b/>
                <w:bCs/>
                <w:kern w:val="0"/>
                <w:sz w:val="20"/>
              </w:rPr>
            </w:pPr>
          </w:p>
        </w:tc>
        <w:tc>
          <w:tcPr>
            <w:tcW w:w="711" w:type="dxa"/>
            <w:vMerge w:val="continue"/>
            <w:shd w:val="clear" w:color="auto" w:fill="auto"/>
            <w:vAlign w:val="center"/>
          </w:tcPr>
          <w:p>
            <w:pPr>
              <w:widowControl/>
              <w:jc w:val="left"/>
              <w:rPr>
                <w:rFonts w:ascii="宋体" w:hAnsi="宋体" w:cs="宋体"/>
                <w:b/>
                <w:bCs/>
                <w:kern w:val="0"/>
                <w:sz w:val="20"/>
              </w:rPr>
            </w:pPr>
          </w:p>
        </w:tc>
        <w:tc>
          <w:tcPr>
            <w:tcW w:w="460" w:type="dxa"/>
            <w:vMerge w:val="continue"/>
            <w:shd w:val="clear" w:color="auto" w:fill="auto"/>
            <w:vAlign w:val="center"/>
          </w:tcPr>
          <w:p>
            <w:pPr>
              <w:widowControl/>
              <w:jc w:val="left"/>
              <w:rPr>
                <w:rFonts w:ascii="宋体" w:hAnsi="宋体" w:cs="宋体"/>
                <w:b/>
                <w:bCs/>
                <w:kern w:val="0"/>
                <w:sz w:val="20"/>
              </w:rPr>
            </w:pPr>
          </w:p>
        </w:tc>
        <w:tc>
          <w:tcPr>
            <w:tcW w:w="562" w:type="dxa"/>
            <w:vMerge w:val="continue"/>
            <w:shd w:val="clear" w:color="auto" w:fill="auto"/>
            <w:vAlign w:val="center"/>
          </w:tcPr>
          <w:p>
            <w:pPr>
              <w:widowControl/>
              <w:jc w:val="left"/>
              <w:rPr>
                <w:rFonts w:ascii="宋体" w:hAnsi="宋体" w:cs="宋体"/>
                <w:b/>
                <w:bCs/>
                <w:kern w:val="0"/>
                <w:sz w:val="20"/>
              </w:rPr>
            </w:pPr>
          </w:p>
        </w:tc>
        <w:tc>
          <w:tcPr>
            <w:tcW w:w="476" w:type="dxa"/>
            <w:vMerge w:val="continue"/>
            <w:shd w:val="clear" w:color="auto" w:fill="auto"/>
            <w:vAlign w:val="center"/>
          </w:tcPr>
          <w:p>
            <w:pPr>
              <w:widowControl/>
              <w:jc w:val="left"/>
              <w:rPr>
                <w:rFonts w:ascii="宋体" w:hAnsi="宋体" w:cs="宋体"/>
                <w:b/>
                <w:bCs/>
                <w:kern w:val="0"/>
                <w:sz w:val="20"/>
              </w:rPr>
            </w:pPr>
          </w:p>
        </w:tc>
        <w:tc>
          <w:tcPr>
            <w:tcW w:w="431" w:type="dxa"/>
            <w:vMerge w:val="continue"/>
            <w:shd w:val="clear" w:color="auto" w:fill="auto"/>
            <w:vAlign w:val="center"/>
          </w:tcPr>
          <w:p>
            <w:pPr>
              <w:widowControl/>
              <w:jc w:val="left"/>
              <w:rPr>
                <w:rFonts w:ascii="宋体" w:hAnsi="宋体" w:cs="宋体"/>
                <w:b/>
                <w:bCs/>
                <w:kern w:val="0"/>
                <w:sz w:val="20"/>
              </w:rPr>
            </w:pPr>
          </w:p>
        </w:tc>
        <w:tc>
          <w:tcPr>
            <w:tcW w:w="84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4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4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w:t>
            </w:r>
          </w:p>
        </w:tc>
        <w:tc>
          <w:tcPr>
            <w:tcW w:w="84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4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422"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903" w:type="dxa"/>
            <w:shd w:val="clear" w:color="000000" w:fill="FFFFFF"/>
            <w:vAlign w:val="center"/>
          </w:tcPr>
          <w:p>
            <w:pPr>
              <w:widowControl/>
              <w:jc w:val="center"/>
              <w:rPr>
                <w:rFonts w:ascii="宋体" w:hAnsi="宋体" w:cs="宋体"/>
                <w:b/>
                <w:bCs/>
                <w:kern w:val="0"/>
                <w:sz w:val="20"/>
              </w:rPr>
            </w:pPr>
          </w:p>
        </w:tc>
        <w:tc>
          <w:tcPr>
            <w:tcW w:w="711" w:type="dxa"/>
            <w:shd w:val="clear" w:color="000000" w:fill="FFFFFF"/>
            <w:vAlign w:val="center"/>
          </w:tcPr>
          <w:p>
            <w:pPr>
              <w:widowControl/>
              <w:snapToGrid w:val="0"/>
              <w:rPr>
                <w:rFonts w:ascii="宋体" w:hAnsi="宋体"/>
                <w:b/>
                <w:bCs/>
                <w:kern w:val="0"/>
                <w:sz w:val="22"/>
              </w:rPr>
            </w:pPr>
          </w:p>
        </w:tc>
        <w:tc>
          <w:tcPr>
            <w:tcW w:w="460" w:type="dxa"/>
            <w:shd w:val="clear" w:color="000000" w:fill="FFFFFF"/>
            <w:vAlign w:val="center"/>
          </w:tcPr>
          <w:p>
            <w:pPr>
              <w:widowControl/>
              <w:snapToGrid w:val="0"/>
              <w:jc w:val="center"/>
              <w:rPr>
                <w:rFonts w:ascii="宋体" w:hAnsi="宋体" w:cs="宋体"/>
                <w:kern w:val="0"/>
                <w:sz w:val="20"/>
              </w:rPr>
            </w:pPr>
          </w:p>
        </w:tc>
        <w:tc>
          <w:tcPr>
            <w:tcW w:w="562" w:type="dxa"/>
            <w:shd w:val="clear" w:color="000000" w:fill="FFFFFF"/>
            <w:vAlign w:val="center"/>
          </w:tcPr>
          <w:p>
            <w:pPr>
              <w:widowControl/>
              <w:snapToGrid w:val="0"/>
              <w:jc w:val="center"/>
              <w:rPr>
                <w:rFonts w:ascii="宋体" w:hAnsi="宋体" w:cs="宋体"/>
                <w:b/>
                <w:bCs/>
                <w:kern w:val="0"/>
                <w:sz w:val="20"/>
              </w:rPr>
            </w:pPr>
          </w:p>
        </w:tc>
        <w:tc>
          <w:tcPr>
            <w:tcW w:w="476" w:type="dxa"/>
            <w:shd w:val="clear" w:color="000000" w:fill="FFFFFF"/>
            <w:vAlign w:val="center"/>
          </w:tcPr>
          <w:p>
            <w:pPr>
              <w:snapToGrid w:val="0"/>
              <w:jc w:val="center"/>
              <w:rPr>
                <w:rFonts w:ascii="宋体" w:hAnsi="宋体"/>
                <w:sz w:val="20"/>
              </w:rPr>
            </w:pPr>
          </w:p>
        </w:tc>
        <w:tc>
          <w:tcPr>
            <w:tcW w:w="431" w:type="dxa"/>
            <w:shd w:val="clear" w:color="000000" w:fill="FFFFFF"/>
            <w:vAlign w:val="center"/>
          </w:tcPr>
          <w:p>
            <w:pPr>
              <w:widowControl/>
              <w:snapToGrid w:val="0"/>
              <w:rPr>
                <w:rFonts w:ascii="宋体" w:hAnsi="宋体"/>
                <w:b/>
                <w:bCs/>
                <w:kern w:val="0"/>
                <w:sz w:val="22"/>
              </w:rPr>
            </w:pPr>
          </w:p>
        </w:tc>
        <w:tc>
          <w:tcPr>
            <w:tcW w:w="849" w:type="dxa"/>
            <w:shd w:val="clear" w:color="000000" w:fill="FFFFFF"/>
            <w:vAlign w:val="center"/>
          </w:tcPr>
          <w:p>
            <w:pPr>
              <w:widowControl/>
              <w:jc w:val="center"/>
              <w:rPr>
                <w:rFonts w:ascii="宋体" w:hAnsi="宋体" w:cs="宋体"/>
                <w:b/>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vAlign w:val="center"/>
          </w:tcPr>
          <w:p>
            <w:pPr>
              <w:widowControl/>
              <w:jc w:val="left"/>
              <w:rPr>
                <w:rFonts w:ascii="宋体" w:hAnsi="宋体" w:cs="宋体"/>
                <w:bCs/>
                <w:kern w:val="0"/>
                <w:sz w:val="20"/>
              </w:rPr>
            </w:pPr>
          </w:p>
        </w:tc>
        <w:tc>
          <w:tcPr>
            <w:tcW w:w="422"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903" w:type="dxa"/>
            <w:shd w:val="clear" w:color="000000" w:fill="FFFFFF"/>
            <w:vAlign w:val="center"/>
          </w:tcPr>
          <w:p>
            <w:pPr>
              <w:widowControl/>
              <w:snapToGrid w:val="0"/>
              <w:rPr>
                <w:rFonts w:ascii="宋体" w:hAnsi="宋体" w:cs="宋体"/>
                <w:kern w:val="0"/>
                <w:sz w:val="22"/>
              </w:rPr>
            </w:pPr>
          </w:p>
        </w:tc>
        <w:tc>
          <w:tcPr>
            <w:tcW w:w="711" w:type="dxa"/>
            <w:shd w:val="clear" w:color="000000" w:fill="FFFFFF"/>
            <w:vAlign w:val="center"/>
          </w:tcPr>
          <w:p>
            <w:pPr>
              <w:widowControl/>
              <w:snapToGrid w:val="0"/>
              <w:rPr>
                <w:rFonts w:ascii="宋体" w:hAnsi="宋体"/>
                <w:b/>
                <w:bCs/>
                <w:kern w:val="0"/>
                <w:sz w:val="22"/>
              </w:rPr>
            </w:pPr>
          </w:p>
        </w:tc>
        <w:tc>
          <w:tcPr>
            <w:tcW w:w="460" w:type="dxa"/>
            <w:shd w:val="clear" w:color="000000" w:fill="FFFFFF"/>
            <w:vAlign w:val="center"/>
          </w:tcPr>
          <w:p>
            <w:pPr>
              <w:widowControl/>
              <w:snapToGrid w:val="0"/>
              <w:jc w:val="center"/>
              <w:rPr>
                <w:rFonts w:ascii="宋体" w:hAnsi="宋体" w:cs="宋体"/>
                <w:kern w:val="0"/>
                <w:sz w:val="20"/>
              </w:rPr>
            </w:pPr>
          </w:p>
        </w:tc>
        <w:tc>
          <w:tcPr>
            <w:tcW w:w="562" w:type="dxa"/>
            <w:shd w:val="clear" w:color="000000" w:fill="FFFFFF"/>
            <w:vAlign w:val="center"/>
          </w:tcPr>
          <w:p>
            <w:pPr>
              <w:widowControl/>
              <w:snapToGrid w:val="0"/>
              <w:jc w:val="center"/>
              <w:rPr>
                <w:rFonts w:ascii="宋体" w:hAnsi="宋体" w:cs="宋体"/>
                <w:b/>
                <w:bCs/>
                <w:kern w:val="0"/>
                <w:sz w:val="20"/>
              </w:rPr>
            </w:pPr>
          </w:p>
        </w:tc>
        <w:tc>
          <w:tcPr>
            <w:tcW w:w="476" w:type="dxa"/>
            <w:shd w:val="clear" w:color="000000" w:fill="FFFFFF"/>
            <w:vAlign w:val="center"/>
          </w:tcPr>
          <w:p>
            <w:pPr>
              <w:snapToGrid w:val="0"/>
              <w:jc w:val="center"/>
              <w:rPr>
                <w:rFonts w:ascii="宋体" w:hAnsi="宋体"/>
                <w:sz w:val="20"/>
              </w:rPr>
            </w:pPr>
          </w:p>
        </w:tc>
        <w:tc>
          <w:tcPr>
            <w:tcW w:w="431" w:type="dxa"/>
            <w:shd w:val="clear" w:color="000000" w:fill="FFFFFF"/>
            <w:vAlign w:val="center"/>
          </w:tcPr>
          <w:p>
            <w:pPr>
              <w:widowControl/>
              <w:snapToGrid w:val="0"/>
              <w:rPr>
                <w:rFonts w:ascii="宋体" w:hAnsi="宋体"/>
                <w:b/>
                <w:bCs/>
                <w:kern w:val="0"/>
                <w:sz w:val="22"/>
              </w:rPr>
            </w:pPr>
          </w:p>
        </w:tc>
        <w:tc>
          <w:tcPr>
            <w:tcW w:w="849" w:type="dxa"/>
            <w:shd w:val="clear" w:color="000000" w:fill="FFFFFF"/>
            <w:vAlign w:val="center"/>
          </w:tcPr>
          <w:p>
            <w:pPr>
              <w:widowControl/>
              <w:jc w:val="center"/>
              <w:rPr>
                <w:rFonts w:ascii="宋体" w:hAnsi="宋体" w:cs="宋体"/>
                <w:b/>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vAlign w:val="center"/>
          </w:tcPr>
          <w:p>
            <w:pPr>
              <w:widowControl/>
              <w:jc w:val="left"/>
              <w:rPr>
                <w:rFonts w:ascii="宋体" w:hAnsi="宋体" w:cs="宋体"/>
                <w:bCs/>
                <w:kern w:val="0"/>
                <w:sz w:val="20"/>
              </w:rPr>
            </w:pPr>
          </w:p>
        </w:tc>
        <w:tc>
          <w:tcPr>
            <w:tcW w:w="422"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903" w:type="dxa"/>
            <w:shd w:val="clear" w:color="000000" w:fill="FFFFFF"/>
            <w:vAlign w:val="center"/>
          </w:tcPr>
          <w:p>
            <w:pPr>
              <w:widowControl/>
              <w:snapToGrid w:val="0"/>
              <w:rPr>
                <w:rFonts w:ascii="宋体" w:hAnsi="宋体" w:cs="宋体"/>
                <w:kern w:val="0"/>
                <w:sz w:val="22"/>
              </w:rPr>
            </w:pPr>
          </w:p>
        </w:tc>
        <w:tc>
          <w:tcPr>
            <w:tcW w:w="711" w:type="dxa"/>
            <w:shd w:val="clear" w:color="000000" w:fill="FFFFFF"/>
            <w:vAlign w:val="center"/>
          </w:tcPr>
          <w:p>
            <w:pPr>
              <w:widowControl/>
              <w:snapToGrid w:val="0"/>
              <w:rPr>
                <w:rFonts w:ascii="宋体" w:hAnsi="宋体"/>
                <w:b/>
                <w:bCs/>
                <w:kern w:val="0"/>
                <w:sz w:val="22"/>
              </w:rPr>
            </w:pPr>
          </w:p>
        </w:tc>
        <w:tc>
          <w:tcPr>
            <w:tcW w:w="460" w:type="dxa"/>
            <w:shd w:val="clear" w:color="000000" w:fill="FFFFFF"/>
            <w:vAlign w:val="center"/>
          </w:tcPr>
          <w:p>
            <w:pPr>
              <w:widowControl/>
              <w:snapToGrid w:val="0"/>
              <w:jc w:val="center"/>
              <w:rPr>
                <w:rFonts w:ascii="宋体" w:hAnsi="宋体" w:cs="宋体"/>
                <w:kern w:val="0"/>
                <w:sz w:val="20"/>
              </w:rPr>
            </w:pPr>
          </w:p>
        </w:tc>
        <w:tc>
          <w:tcPr>
            <w:tcW w:w="562" w:type="dxa"/>
            <w:shd w:val="clear" w:color="000000" w:fill="FFFFFF"/>
            <w:vAlign w:val="center"/>
          </w:tcPr>
          <w:p>
            <w:pPr>
              <w:widowControl/>
              <w:snapToGrid w:val="0"/>
              <w:jc w:val="center"/>
              <w:rPr>
                <w:rFonts w:ascii="宋体" w:hAnsi="宋体" w:cs="宋体"/>
                <w:b/>
                <w:bCs/>
                <w:kern w:val="0"/>
                <w:sz w:val="20"/>
              </w:rPr>
            </w:pPr>
          </w:p>
        </w:tc>
        <w:tc>
          <w:tcPr>
            <w:tcW w:w="476" w:type="dxa"/>
            <w:shd w:val="clear" w:color="000000" w:fill="FFFFFF"/>
            <w:vAlign w:val="center"/>
          </w:tcPr>
          <w:p>
            <w:pPr>
              <w:snapToGrid w:val="0"/>
              <w:jc w:val="center"/>
              <w:rPr>
                <w:rFonts w:ascii="宋体" w:hAnsi="宋体"/>
                <w:sz w:val="20"/>
              </w:rPr>
            </w:pPr>
          </w:p>
        </w:tc>
        <w:tc>
          <w:tcPr>
            <w:tcW w:w="431" w:type="dxa"/>
            <w:shd w:val="clear" w:color="000000" w:fill="FFFFFF"/>
            <w:vAlign w:val="center"/>
          </w:tcPr>
          <w:p>
            <w:pPr>
              <w:widowControl/>
              <w:snapToGrid w:val="0"/>
              <w:rPr>
                <w:rFonts w:ascii="宋体" w:hAnsi="宋体"/>
                <w:b/>
                <w:bCs/>
                <w:kern w:val="0"/>
                <w:sz w:val="22"/>
              </w:rPr>
            </w:pPr>
          </w:p>
        </w:tc>
        <w:tc>
          <w:tcPr>
            <w:tcW w:w="849" w:type="dxa"/>
            <w:shd w:val="clear" w:color="000000" w:fill="FFFFFF"/>
            <w:vAlign w:val="center"/>
          </w:tcPr>
          <w:p>
            <w:pPr>
              <w:widowControl/>
              <w:jc w:val="center"/>
              <w:rPr>
                <w:rFonts w:ascii="宋体" w:hAnsi="宋体" w:cs="宋体"/>
                <w:b/>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vAlign w:val="center"/>
          </w:tcPr>
          <w:p>
            <w:pPr>
              <w:widowControl/>
              <w:jc w:val="left"/>
              <w:rPr>
                <w:rFonts w:ascii="宋体" w:hAnsi="宋体" w:cs="宋体"/>
                <w:bCs/>
                <w:kern w:val="0"/>
                <w:sz w:val="20"/>
              </w:rPr>
            </w:pPr>
          </w:p>
        </w:tc>
        <w:tc>
          <w:tcPr>
            <w:tcW w:w="422"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34"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903" w:type="dxa"/>
            <w:shd w:val="clear" w:color="000000" w:fill="FFFFFF"/>
            <w:vAlign w:val="center"/>
          </w:tcPr>
          <w:p>
            <w:pPr>
              <w:widowControl/>
              <w:snapToGrid w:val="0"/>
              <w:rPr>
                <w:rFonts w:ascii="宋体" w:hAnsi="宋体" w:cs="宋体"/>
                <w:kern w:val="0"/>
                <w:sz w:val="22"/>
              </w:rPr>
            </w:pPr>
          </w:p>
        </w:tc>
        <w:tc>
          <w:tcPr>
            <w:tcW w:w="711" w:type="dxa"/>
            <w:shd w:val="clear" w:color="000000" w:fill="FFFFFF"/>
            <w:vAlign w:val="center"/>
          </w:tcPr>
          <w:p>
            <w:pPr>
              <w:widowControl/>
              <w:snapToGrid w:val="0"/>
              <w:rPr>
                <w:rFonts w:ascii="宋体" w:hAnsi="宋体"/>
                <w:b/>
                <w:bCs/>
                <w:kern w:val="0"/>
                <w:sz w:val="22"/>
              </w:rPr>
            </w:pPr>
          </w:p>
        </w:tc>
        <w:tc>
          <w:tcPr>
            <w:tcW w:w="460" w:type="dxa"/>
            <w:shd w:val="clear" w:color="000000" w:fill="FFFFFF"/>
            <w:vAlign w:val="center"/>
          </w:tcPr>
          <w:p>
            <w:pPr>
              <w:widowControl/>
              <w:snapToGrid w:val="0"/>
              <w:jc w:val="center"/>
              <w:rPr>
                <w:rFonts w:ascii="宋体" w:hAnsi="宋体" w:cs="宋体"/>
                <w:kern w:val="0"/>
                <w:sz w:val="20"/>
              </w:rPr>
            </w:pPr>
          </w:p>
        </w:tc>
        <w:tc>
          <w:tcPr>
            <w:tcW w:w="562" w:type="dxa"/>
            <w:shd w:val="clear" w:color="000000" w:fill="FFFFFF"/>
            <w:vAlign w:val="center"/>
          </w:tcPr>
          <w:p>
            <w:pPr>
              <w:widowControl/>
              <w:snapToGrid w:val="0"/>
              <w:jc w:val="center"/>
              <w:rPr>
                <w:rFonts w:ascii="宋体" w:hAnsi="宋体" w:cs="宋体"/>
                <w:b/>
                <w:bCs/>
                <w:kern w:val="0"/>
                <w:sz w:val="20"/>
              </w:rPr>
            </w:pPr>
          </w:p>
        </w:tc>
        <w:tc>
          <w:tcPr>
            <w:tcW w:w="476" w:type="dxa"/>
            <w:shd w:val="clear" w:color="000000" w:fill="FFFFFF"/>
            <w:vAlign w:val="center"/>
          </w:tcPr>
          <w:p>
            <w:pPr>
              <w:snapToGrid w:val="0"/>
              <w:jc w:val="center"/>
              <w:rPr>
                <w:rFonts w:ascii="宋体" w:hAnsi="宋体"/>
                <w:sz w:val="20"/>
              </w:rPr>
            </w:pPr>
          </w:p>
        </w:tc>
        <w:tc>
          <w:tcPr>
            <w:tcW w:w="431" w:type="dxa"/>
            <w:shd w:val="clear" w:color="000000" w:fill="FFFFFF"/>
            <w:vAlign w:val="center"/>
          </w:tcPr>
          <w:p>
            <w:pPr>
              <w:widowControl/>
              <w:snapToGrid w:val="0"/>
              <w:rPr>
                <w:rFonts w:ascii="宋体" w:hAnsi="宋体"/>
                <w:b/>
                <w:bCs/>
                <w:kern w:val="0"/>
                <w:sz w:val="22"/>
              </w:rPr>
            </w:pPr>
          </w:p>
        </w:tc>
        <w:tc>
          <w:tcPr>
            <w:tcW w:w="849" w:type="dxa"/>
            <w:shd w:val="clear" w:color="000000" w:fill="FFFFFF"/>
            <w:vAlign w:val="center"/>
          </w:tcPr>
          <w:p>
            <w:pPr>
              <w:widowControl/>
              <w:jc w:val="center"/>
              <w:rPr>
                <w:rFonts w:ascii="宋体" w:hAnsi="宋体" w:cs="宋体"/>
                <w:b/>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vAlign w:val="center"/>
          </w:tcPr>
          <w:p>
            <w:pPr>
              <w:widowControl/>
              <w:jc w:val="left"/>
              <w:rPr>
                <w:rFonts w:ascii="宋体" w:hAnsi="宋体" w:cs="宋体"/>
                <w:bCs/>
                <w:kern w:val="0"/>
                <w:sz w:val="20"/>
              </w:rPr>
            </w:pPr>
          </w:p>
        </w:tc>
        <w:tc>
          <w:tcPr>
            <w:tcW w:w="422"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34" w:type="dxa"/>
            <w:shd w:val="clear" w:color="000000" w:fill="FFFFFF"/>
            <w:vAlign w:val="center"/>
          </w:tcPr>
          <w:p>
            <w:pPr>
              <w:widowControl/>
              <w:jc w:val="center"/>
              <w:rPr>
                <w:rFonts w:ascii="宋体" w:hAnsi="宋体" w:cs="宋体"/>
                <w:b/>
                <w:kern w:val="0"/>
                <w:sz w:val="20"/>
              </w:rPr>
            </w:pPr>
          </w:p>
        </w:tc>
        <w:tc>
          <w:tcPr>
            <w:tcW w:w="1903" w:type="dxa"/>
            <w:shd w:val="clear" w:color="000000" w:fill="FFFFFF"/>
            <w:vAlign w:val="center"/>
          </w:tcPr>
          <w:p>
            <w:pPr>
              <w:widowControl/>
              <w:jc w:val="center"/>
              <w:rPr>
                <w:rFonts w:ascii="宋体" w:hAnsi="宋体"/>
                <w:b/>
                <w:bCs/>
                <w:kern w:val="0"/>
                <w:szCs w:val="21"/>
              </w:rPr>
            </w:pPr>
          </w:p>
        </w:tc>
        <w:tc>
          <w:tcPr>
            <w:tcW w:w="711" w:type="dxa"/>
            <w:shd w:val="clear" w:color="000000" w:fill="FFFFFF"/>
            <w:vAlign w:val="center"/>
          </w:tcPr>
          <w:p>
            <w:pPr>
              <w:widowControl/>
              <w:snapToGrid w:val="0"/>
              <w:rPr>
                <w:rFonts w:ascii="宋体" w:hAnsi="宋体"/>
                <w:b/>
                <w:bCs/>
                <w:kern w:val="0"/>
                <w:sz w:val="22"/>
              </w:rPr>
            </w:pPr>
          </w:p>
        </w:tc>
        <w:tc>
          <w:tcPr>
            <w:tcW w:w="460" w:type="dxa"/>
            <w:shd w:val="clear" w:color="000000" w:fill="FFFFFF"/>
            <w:vAlign w:val="center"/>
          </w:tcPr>
          <w:p>
            <w:pPr>
              <w:widowControl/>
              <w:snapToGrid w:val="0"/>
              <w:jc w:val="center"/>
              <w:rPr>
                <w:rFonts w:ascii="宋体" w:hAnsi="宋体" w:cs="宋体"/>
                <w:kern w:val="0"/>
                <w:sz w:val="20"/>
              </w:rPr>
            </w:pPr>
          </w:p>
        </w:tc>
        <w:tc>
          <w:tcPr>
            <w:tcW w:w="562" w:type="dxa"/>
            <w:shd w:val="clear" w:color="000000" w:fill="FFFFFF"/>
            <w:vAlign w:val="center"/>
          </w:tcPr>
          <w:p>
            <w:pPr>
              <w:widowControl/>
              <w:snapToGrid w:val="0"/>
              <w:jc w:val="center"/>
              <w:rPr>
                <w:rFonts w:ascii="宋体" w:hAnsi="宋体" w:cs="宋体"/>
                <w:b/>
                <w:bCs/>
                <w:kern w:val="0"/>
                <w:sz w:val="20"/>
              </w:rPr>
            </w:pPr>
          </w:p>
        </w:tc>
        <w:tc>
          <w:tcPr>
            <w:tcW w:w="476" w:type="dxa"/>
            <w:shd w:val="clear" w:color="000000" w:fill="FFFFFF"/>
            <w:vAlign w:val="center"/>
          </w:tcPr>
          <w:p>
            <w:pPr>
              <w:snapToGrid w:val="0"/>
              <w:jc w:val="center"/>
              <w:rPr>
                <w:rFonts w:ascii="宋体" w:hAnsi="宋体"/>
                <w:sz w:val="20"/>
              </w:rPr>
            </w:pPr>
          </w:p>
        </w:tc>
        <w:tc>
          <w:tcPr>
            <w:tcW w:w="431" w:type="dxa"/>
            <w:shd w:val="clear" w:color="000000" w:fill="FFFFFF"/>
            <w:vAlign w:val="center"/>
          </w:tcPr>
          <w:p>
            <w:pPr>
              <w:widowControl/>
              <w:snapToGrid w:val="0"/>
              <w:rPr>
                <w:rFonts w:ascii="宋体" w:hAnsi="宋体"/>
                <w:b/>
                <w:bCs/>
                <w:kern w:val="0"/>
                <w:sz w:val="22"/>
              </w:rPr>
            </w:pPr>
          </w:p>
        </w:tc>
        <w:tc>
          <w:tcPr>
            <w:tcW w:w="849" w:type="dxa"/>
            <w:shd w:val="clear" w:color="000000" w:fill="FFFFFF"/>
            <w:vAlign w:val="center"/>
          </w:tcPr>
          <w:p>
            <w:pPr>
              <w:widowControl/>
              <w:jc w:val="center"/>
              <w:rPr>
                <w:rFonts w:ascii="宋体" w:hAnsi="宋体" w:cs="宋体"/>
                <w:b/>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vAlign w:val="center"/>
          </w:tcPr>
          <w:p>
            <w:pPr>
              <w:widowControl/>
              <w:jc w:val="left"/>
              <w:rPr>
                <w:rFonts w:ascii="宋体" w:hAnsi="宋体" w:cs="宋体"/>
                <w:bCs/>
                <w:kern w:val="0"/>
                <w:sz w:val="20"/>
              </w:rPr>
            </w:pPr>
          </w:p>
        </w:tc>
        <w:tc>
          <w:tcPr>
            <w:tcW w:w="422"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34" w:type="dxa"/>
            <w:shd w:val="clear" w:color="000000" w:fill="FFFFFF"/>
            <w:vAlign w:val="center"/>
          </w:tcPr>
          <w:p>
            <w:pPr>
              <w:widowControl/>
              <w:jc w:val="left"/>
              <w:rPr>
                <w:rFonts w:ascii="宋体" w:hAnsi="宋体" w:cs="宋体"/>
                <w:b/>
                <w:bCs/>
                <w:kern w:val="0"/>
                <w:sz w:val="20"/>
              </w:rPr>
            </w:pPr>
          </w:p>
        </w:tc>
        <w:tc>
          <w:tcPr>
            <w:tcW w:w="1903" w:type="dxa"/>
            <w:shd w:val="clear" w:color="000000" w:fill="FFFFFF"/>
            <w:vAlign w:val="center"/>
          </w:tcPr>
          <w:p>
            <w:pPr>
              <w:widowControl/>
              <w:snapToGrid w:val="0"/>
              <w:rPr>
                <w:rFonts w:ascii="宋体" w:hAnsi="宋体" w:cs="宋体"/>
                <w:kern w:val="0"/>
                <w:sz w:val="22"/>
              </w:rPr>
            </w:pPr>
          </w:p>
        </w:tc>
        <w:tc>
          <w:tcPr>
            <w:tcW w:w="711" w:type="dxa"/>
            <w:shd w:val="clear" w:color="000000" w:fill="FFFFFF"/>
            <w:vAlign w:val="center"/>
          </w:tcPr>
          <w:p>
            <w:pPr>
              <w:widowControl/>
              <w:snapToGrid w:val="0"/>
              <w:rPr>
                <w:rFonts w:ascii="宋体" w:hAnsi="宋体"/>
                <w:b/>
                <w:bCs/>
                <w:kern w:val="0"/>
                <w:sz w:val="22"/>
              </w:rPr>
            </w:pPr>
          </w:p>
        </w:tc>
        <w:tc>
          <w:tcPr>
            <w:tcW w:w="460" w:type="dxa"/>
            <w:shd w:val="clear" w:color="000000" w:fill="FFFFFF"/>
            <w:vAlign w:val="center"/>
          </w:tcPr>
          <w:p>
            <w:pPr>
              <w:widowControl/>
              <w:snapToGrid w:val="0"/>
              <w:jc w:val="center"/>
              <w:rPr>
                <w:rFonts w:ascii="宋体" w:hAnsi="宋体" w:cs="宋体"/>
                <w:kern w:val="0"/>
                <w:sz w:val="20"/>
              </w:rPr>
            </w:pPr>
          </w:p>
        </w:tc>
        <w:tc>
          <w:tcPr>
            <w:tcW w:w="562" w:type="dxa"/>
            <w:shd w:val="clear" w:color="000000" w:fill="FFFFFF"/>
            <w:vAlign w:val="center"/>
          </w:tcPr>
          <w:p>
            <w:pPr>
              <w:widowControl/>
              <w:snapToGrid w:val="0"/>
              <w:jc w:val="center"/>
              <w:rPr>
                <w:rFonts w:ascii="宋体" w:hAnsi="宋体" w:cs="宋体"/>
                <w:b/>
                <w:bCs/>
                <w:kern w:val="0"/>
                <w:sz w:val="20"/>
              </w:rPr>
            </w:pPr>
          </w:p>
        </w:tc>
        <w:tc>
          <w:tcPr>
            <w:tcW w:w="476" w:type="dxa"/>
            <w:shd w:val="clear" w:color="000000" w:fill="FFFFFF"/>
            <w:vAlign w:val="center"/>
          </w:tcPr>
          <w:p>
            <w:pPr>
              <w:snapToGrid w:val="0"/>
              <w:jc w:val="center"/>
              <w:rPr>
                <w:rFonts w:ascii="宋体" w:hAnsi="宋体"/>
                <w:sz w:val="20"/>
              </w:rPr>
            </w:pPr>
          </w:p>
        </w:tc>
        <w:tc>
          <w:tcPr>
            <w:tcW w:w="431" w:type="dxa"/>
            <w:shd w:val="clear" w:color="000000" w:fill="FFFFFF"/>
            <w:vAlign w:val="center"/>
          </w:tcPr>
          <w:p>
            <w:pPr>
              <w:widowControl/>
              <w:snapToGrid w:val="0"/>
              <w:rPr>
                <w:rFonts w:ascii="宋体" w:hAnsi="宋体"/>
                <w:b/>
                <w:bCs/>
                <w:kern w:val="0"/>
                <w:sz w:val="22"/>
              </w:rPr>
            </w:pPr>
          </w:p>
        </w:tc>
        <w:tc>
          <w:tcPr>
            <w:tcW w:w="849" w:type="dxa"/>
            <w:shd w:val="clear" w:color="000000" w:fill="FFFFFF"/>
            <w:vAlign w:val="center"/>
          </w:tcPr>
          <w:p>
            <w:pPr>
              <w:widowControl/>
              <w:jc w:val="center"/>
              <w:rPr>
                <w:rFonts w:ascii="宋体" w:hAnsi="宋体" w:cs="宋体"/>
                <w:b/>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vAlign w:val="center"/>
          </w:tcPr>
          <w:p>
            <w:pPr>
              <w:widowControl/>
              <w:jc w:val="left"/>
              <w:rPr>
                <w:rFonts w:ascii="宋体" w:hAnsi="宋体" w:cs="宋体"/>
                <w:bCs/>
                <w:kern w:val="0"/>
                <w:sz w:val="20"/>
              </w:rPr>
            </w:pPr>
          </w:p>
        </w:tc>
        <w:tc>
          <w:tcPr>
            <w:tcW w:w="422"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34" w:type="dxa"/>
            <w:shd w:val="clear" w:color="000000" w:fill="FFFFFF"/>
            <w:vAlign w:val="center"/>
          </w:tcPr>
          <w:p>
            <w:pPr>
              <w:widowControl/>
              <w:jc w:val="left"/>
              <w:rPr>
                <w:rFonts w:ascii="宋体" w:hAnsi="宋体" w:cs="宋体"/>
                <w:b/>
                <w:bCs/>
                <w:kern w:val="0"/>
                <w:sz w:val="20"/>
              </w:rPr>
            </w:pPr>
          </w:p>
        </w:tc>
        <w:tc>
          <w:tcPr>
            <w:tcW w:w="1903" w:type="dxa"/>
            <w:shd w:val="clear" w:color="000000" w:fill="FFFFFF"/>
            <w:vAlign w:val="center"/>
          </w:tcPr>
          <w:p>
            <w:pPr>
              <w:widowControl/>
              <w:snapToGrid w:val="0"/>
              <w:rPr>
                <w:rFonts w:ascii="宋体" w:hAnsi="宋体" w:cs="宋体"/>
                <w:kern w:val="0"/>
                <w:sz w:val="22"/>
              </w:rPr>
            </w:pPr>
          </w:p>
        </w:tc>
        <w:tc>
          <w:tcPr>
            <w:tcW w:w="711" w:type="dxa"/>
            <w:shd w:val="clear" w:color="000000" w:fill="FFFFFF"/>
            <w:vAlign w:val="center"/>
          </w:tcPr>
          <w:p>
            <w:pPr>
              <w:widowControl/>
              <w:snapToGrid w:val="0"/>
              <w:rPr>
                <w:rFonts w:ascii="宋体" w:hAnsi="宋体"/>
                <w:b/>
                <w:bCs/>
                <w:kern w:val="0"/>
                <w:sz w:val="22"/>
              </w:rPr>
            </w:pPr>
          </w:p>
        </w:tc>
        <w:tc>
          <w:tcPr>
            <w:tcW w:w="460" w:type="dxa"/>
            <w:shd w:val="clear" w:color="000000" w:fill="FFFFFF"/>
            <w:vAlign w:val="center"/>
          </w:tcPr>
          <w:p>
            <w:pPr>
              <w:widowControl/>
              <w:snapToGrid w:val="0"/>
              <w:jc w:val="center"/>
              <w:rPr>
                <w:rFonts w:ascii="宋体" w:hAnsi="宋体" w:cs="宋体"/>
                <w:kern w:val="0"/>
                <w:sz w:val="20"/>
              </w:rPr>
            </w:pPr>
          </w:p>
        </w:tc>
        <w:tc>
          <w:tcPr>
            <w:tcW w:w="562" w:type="dxa"/>
            <w:shd w:val="clear" w:color="000000" w:fill="FFFFFF"/>
            <w:vAlign w:val="center"/>
          </w:tcPr>
          <w:p>
            <w:pPr>
              <w:widowControl/>
              <w:snapToGrid w:val="0"/>
              <w:jc w:val="center"/>
              <w:rPr>
                <w:rFonts w:ascii="宋体" w:hAnsi="宋体" w:cs="宋体"/>
                <w:b/>
                <w:bCs/>
                <w:kern w:val="0"/>
                <w:sz w:val="20"/>
              </w:rPr>
            </w:pPr>
          </w:p>
        </w:tc>
        <w:tc>
          <w:tcPr>
            <w:tcW w:w="476" w:type="dxa"/>
            <w:shd w:val="clear" w:color="000000" w:fill="FFFFFF"/>
            <w:vAlign w:val="center"/>
          </w:tcPr>
          <w:p>
            <w:pPr>
              <w:snapToGrid w:val="0"/>
              <w:jc w:val="center"/>
              <w:rPr>
                <w:rFonts w:ascii="宋体" w:hAnsi="宋体"/>
                <w:sz w:val="20"/>
              </w:rPr>
            </w:pPr>
          </w:p>
        </w:tc>
        <w:tc>
          <w:tcPr>
            <w:tcW w:w="431" w:type="dxa"/>
            <w:shd w:val="clear" w:color="000000" w:fill="FFFFFF"/>
            <w:vAlign w:val="center"/>
          </w:tcPr>
          <w:p>
            <w:pPr>
              <w:widowControl/>
              <w:snapToGrid w:val="0"/>
              <w:rPr>
                <w:rFonts w:ascii="宋体" w:hAnsi="宋体"/>
                <w:b/>
                <w:bCs/>
                <w:kern w:val="0"/>
                <w:sz w:val="22"/>
              </w:rPr>
            </w:pPr>
          </w:p>
        </w:tc>
        <w:tc>
          <w:tcPr>
            <w:tcW w:w="849" w:type="dxa"/>
            <w:shd w:val="clear" w:color="000000" w:fill="FFFFFF"/>
            <w:vAlign w:val="center"/>
          </w:tcPr>
          <w:p>
            <w:pPr>
              <w:widowControl/>
              <w:jc w:val="center"/>
              <w:rPr>
                <w:rFonts w:ascii="宋体" w:hAnsi="宋体" w:cs="宋体"/>
                <w:b/>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vAlign w:val="center"/>
          </w:tcPr>
          <w:p>
            <w:pPr>
              <w:widowControl/>
              <w:jc w:val="left"/>
              <w:rPr>
                <w:rFonts w:ascii="宋体" w:hAnsi="宋体" w:cs="宋体"/>
                <w:bCs/>
                <w:kern w:val="0"/>
                <w:sz w:val="20"/>
              </w:rPr>
            </w:pPr>
          </w:p>
        </w:tc>
        <w:tc>
          <w:tcPr>
            <w:tcW w:w="422"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34" w:type="dxa"/>
            <w:shd w:val="clear" w:color="000000" w:fill="FFFFFF"/>
            <w:vAlign w:val="center"/>
          </w:tcPr>
          <w:p>
            <w:pPr>
              <w:widowControl/>
              <w:jc w:val="left"/>
              <w:rPr>
                <w:rFonts w:ascii="宋体" w:hAnsi="宋体" w:cs="宋体"/>
                <w:b/>
                <w:bCs/>
                <w:kern w:val="0"/>
                <w:sz w:val="20"/>
              </w:rPr>
            </w:pPr>
          </w:p>
        </w:tc>
        <w:tc>
          <w:tcPr>
            <w:tcW w:w="1903" w:type="dxa"/>
            <w:shd w:val="clear" w:color="000000" w:fill="FFFFFF"/>
            <w:vAlign w:val="center"/>
          </w:tcPr>
          <w:p>
            <w:pPr>
              <w:widowControl/>
              <w:snapToGrid w:val="0"/>
              <w:rPr>
                <w:rFonts w:ascii="宋体" w:hAnsi="宋体" w:cs="宋体"/>
                <w:kern w:val="0"/>
                <w:sz w:val="22"/>
              </w:rPr>
            </w:pPr>
          </w:p>
        </w:tc>
        <w:tc>
          <w:tcPr>
            <w:tcW w:w="711" w:type="dxa"/>
            <w:shd w:val="clear" w:color="000000" w:fill="FFFFFF"/>
            <w:vAlign w:val="center"/>
          </w:tcPr>
          <w:p>
            <w:pPr>
              <w:widowControl/>
              <w:snapToGrid w:val="0"/>
              <w:rPr>
                <w:rFonts w:ascii="宋体" w:hAnsi="宋体"/>
                <w:b/>
                <w:bCs/>
                <w:kern w:val="0"/>
                <w:sz w:val="22"/>
              </w:rPr>
            </w:pPr>
          </w:p>
        </w:tc>
        <w:tc>
          <w:tcPr>
            <w:tcW w:w="460" w:type="dxa"/>
            <w:shd w:val="clear" w:color="000000" w:fill="FFFFFF"/>
            <w:vAlign w:val="center"/>
          </w:tcPr>
          <w:p>
            <w:pPr>
              <w:widowControl/>
              <w:snapToGrid w:val="0"/>
              <w:jc w:val="center"/>
              <w:rPr>
                <w:rFonts w:ascii="宋体" w:hAnsi="宋体" w:cs="宋体"/>
                <w:kern w:val="0"/>
                <w:sz w:val="20"/>
              </w:rPr>
            </w:pPr>
          </w:p>
        </w:tc>
        <w:tc>
          <w:tcPr>
            <w:tcW w:w="562" w:type="dxa"/>
            <w:shd w:val="clear" w:color="000000" w:fill="FFFFFF"/>
            <w:vAlign w:val="center"/>
          </w:tcPr>
          <w:p>
            <w:pPr>
              <w:widowControl/>
              <w:snapToGrid w:val="0"/>
              <w:jc w:val="center"/>
              <w:rPr>
                <w:rFonts w:ascii="宋体" w:hAnsi="宋体" w:cs="宋体"/>
                <w:b/>
                <w:bCs/>
                <w:kern w:val="0"/>
                <w:sz w:val="20"/>
              </w:rPr>
            </w:pPr>
          </w:p>
        </w:tc>
        <w:tc>
          <w:tcPr>
            <w:tcW w:w="476" w:type="dxa"/>
            <w:shd w:val="clear" w:color="000000" w:fill="FFFFFF"/>
            <w:vAlign w:val="center"/>
          </w:tcPr>
          <w:p>
            <w:pPr>
              <w:snapToGrid w:val="0"/>
              <w:jc w:val="center"/>
              <w:rPr>
                <w:rFonts w:ascii="宋体" w:hAnsi="宋体"/>
                <w:sz w:val="20"/>
              </w:rPr>
            </w:pPr>
          </w:p>
        </w:tc>
        <w:tc>
          <w:tcPr>
            <w:tcW w:w="431" w:type="dxa"/>
            <w:shd w:val="clear" w:color="000000" w:fill="FFFFFF"/>
            <w:vAlign w:val="center"/>
          </w:tcPr>
          <w:p>
            <w:pPr>
              <w:widowControl/>
              <w:snapToGrid w:val="0"/>
              <w:rPr>
                <w:rFonts w:ascii="宋体" w:hAnsi="宋体"/>
                <w:b/>
                <w:bCs/>
                <w:kern w:val="0"/>
                <w:sz w:val="22"/>
              </w:rPr>
            </w:pPr>
          </w:p>
        </w:tc>
        <w:tc>
          <w:tcPr>
            <w:tcW w:w="849" w:type="dxa"/>
            <w:shd w:val="clear" w:color="000000" w:fill="FFFFFF"/>
            <w:vAlign w:val="center"/>
          </w:tcPr>
          <w:p>
            <w:pPr>
              <w:widowControl/>
              <w:jc w:val="center"/>
              <w:rPr>
                <w:rFonts w:ascii="宋体" w:hAnsi="宋体" w:cs="宋体"/>
                <w:b/>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vAlign w:val="center"/>
          </w:tcPr>
          <w:p>
            <w:pPr>
              <w:widowControl/>
              <w:jc w:val="left"/>
              <w:rPr>
                <w:rFonts w:ascii="宋体" w:hAnsi="宋体" w:cs="宋体"/>
                <w:bCs/>
                <w:kern w:val="0"/>
                <w:sz w:val="20"/>
              </w:rPr>
            </w:pPr>
          </w:p>
        </w:tc>
        <w:tc>
          <w:tcPr>
            <w:tcW w:w="422"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6"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845" w:type="dxa"/>
          </w:tcPr>
          <w:p>
            <w:pPr>
              <w:widowControl/>
              <w:jc w:val="center"/>
              <w:rPr>
                <w:rFonts w:ascii="宋体" w:hAnsi="宋体" w:cs="宋体"/>
                <w:kern w:val="0"/>
                <w:sz w:val="20"/>
              </w:rPr>
            </w:pPr>
          </w:p>
        </w:tc>
        <w:tc>
          <w:tcPr>
            <w:tcW w:w="845" w:type="dxa"/>
          </w:tcPr>
          <w:p>
            <w:pPr>
              <w:widowControl/>
              <w:jc w:val="center"/>
              <w:rPr>
                <w:rFonts w:ascii="宋体" w:hAnsi="宋体" w:cs="宋体"/>
                <w:kern w:val="0"/>
                <w:sz w:val="20"/>
              </w:rPr>
            </w:pPr>
          </w:p>
        </w:tc>
        <w:tc>
          <w:tcPr>
            <w:tcW w:w="845" w:type="dxa"/>
          </w:tcPr>
          <w:p>
            <w:pPr>
              <w:widowControl/>
              <w:jc w:val="center"/>
              <w:rPr>
                <w:rFonts w:ascii="宋体" w:hAnsi="宋体" w:cs="宋体"/>
                <w:kern w:val="0"/>
                <w:sz w:val="20"/>
              </w:rPr>
            </w:pPr>
          </w:p>
        </w:tc>
        <w:tc>
          <w:tcPr>
            <w:tcW w:w="845"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422"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jc w:val="center"/>
        <w:rPr>
          <w:rFonts w:ascii="宋体" w:hAnsi="宋体" w:cs="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w:t>
      </w:r>
      <w:r>
        <w:rPr>
          <w:rFonts w:ascii="Calibri" w:hAnsi="Calibri"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58"/>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9"/>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（二）制造商资格声明</w:t>
      </w:r>
    </w:p>
    <w:p>
      <w:pPr>
        <w:numPr>
          <w:ilvl w:val="0"/>
          <w:numId w:val="12"/>
        </w:numPr>
        <w:adjustRightInd w:val="0"/>
        <w:spacing w:before="156" w:beforeLines="50" w:line="360" w:lineRule="auto"/>
        <w:textAlignment w:val="baseline"/>
        <w:rPr>
          <w:rFonts w:ascii="宋体" w:hAnsi="宋体" w:cs="宋体"/>
          <w:sz w:val="22"/>
        </w:rPr>
      </w:pPr>
      <w:r>
        <w:rPr>
          <w:rFonts w:hint="eastAsia" w:ascii="宋体" w:hAnsi="宋体" w:cs="宋体"/>
          <w:sz w:val="22"/>
        </w:rPr>
        <w:t>名称及概况：</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1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13"/>
        </w:numPr>
        <w:adjustRightInd w:val="0"/>
        <w:spacing w:line="360" w:lineRule="auto"/>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rPr>
          <w:rFonts w:ascii="宋体" w:hAnsi="宋体" w:cs="宋体"/>
          <w:sz w:val="22"/>
        </w:rPr>
      </w:pPr>
      <w:r>
        <w:rPr>
          <w:rFonts w:hint="eastAsia" w:ascii="宋体" w:hAnsi="宋体" w:cs="宋体"/>
          <w:sz w:val="22"/>
          <w:u w:val="single"/>
        </w:rPr>
        <w:t xml:space="preserve">                                                        </w:t>
      </w:r>
    </w:p>
    <w:p>
      <w:pPr>
        <w:numPr>
          <w:ilvl w:val="0"/>
          <w:numId w:val="8"/>
        </w:numPr>
        <w:adjustRightInd w:val="0"/>
        <w:spacing w:line="360" w:lineRule="auto"/>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360"/>
        <w:rPr>
          <w:rFonts w:ascii="宋体" w:hAnsi="宋体" w:cs="宋体"/>
          <w:sz w:val="22"/>
        </w:rPr>
      </w:pPr>
      <w:r>
        <w:rPr>
          <w:rFonts w:hint="eastAsia" w:ascii="宋体" w:hAnsi="宋体" w:cs="宋体"/>
          <w:sz w:val="22"/>
        </w:rPr>
        <w:t>工厂名称地址       生产的项目       年生产能力       职工人数</w:t>
      </w:r>
    </w:p>
    <w:p>
      <w:pPr>
        <w:spacing w:line="360" w:lineRule="auto"/>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16"/>
        </w:numPr>
        <w:tabs>
          <w:tab w:val="left" w:pos="780"/>
          <w:tab w:val="clear" w:pos="840"/>
        </w:tabs>
        <w:adjustRightInd w:val="0"/>
        <w:spacing w:line="360" w:lineRule="auto"/>
        <w:ind w:left="780" w:hanging="36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360"/>
        <w:rPr>
          <w:rFonts w:ascii="宋体" w:hAnsi="宋体" w:cs="宋体"/>
          <w:sz w:val="22"/>
        </w:rPr>
      </w:pPr>
      <w:r>
        <w:rPr>
          <w:rFonts w:hint="eastAsia" w:ascii="宋体" w:hAnsi="宋体" w:cs="宋体"/>
          <w:sz w:val="22"/>
        </w:rPr>
        <w:t>制造商名称和地址               主要零部件名称</w:t>
      </w:r>
    </w:p>
    <w:p>
      <w:pPr>
        <w:spacing w:line="360" w:lineRule="auto"/>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7"/>
        </w:numPr>
        <w:adjustRightInd w:val="0"/>
        <w:spacing w:line="360" w:lineRule="auto"/>
        <w:ind w:right="443" w:rightChars="211"/>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360"/>
        <w:rPr>
          <w:rFonts w:ascii="宋体" w:hAnsi="宋体" w:cs="宋体"/>
          <w:sz w:val="22"/>
        </w:rPr>
      </w:pPr>
      <w:r>
        <w:rPr>
          <w:rFonts w:hint="eastAsia" w:ascii="宋体" w:hAnsi="宋体" w:cs="宋体"/>
          <w:sz w:val="22"/>
          <w:u w:val="single"/>
        </w:rPr>
        <w:t xml:space="preserve">                                                                 </w:t>
      </w:r>
    </w:p>
    <w:p>
      <w:pPr>
        <w:spacing w:line="360" w:lineRule="auto"/>
        <w:ind w:firstLine="360"/>
        <w:rPr>
          <w:rFonts w:ascii="宋体" w:hAnsi="宋体" w:cs="宋体"/>
          <w:sz w:val="22"/>
        </w:rPr>
      </w:pPr>
      <w:r>
        <w:rPr>
          <w:rFonts w:hint="eastAsia" w:ascii="宋体" w:hAnsi="宋体" w:cs="宋体"/>
          <w:sz w:val="22"/>
          <w:u w:val="single"/>
        </w:rPr>
        <w:t xml:space="preserve">                                                                 </w:t>
      </w:r>
    </w:p>
    <w:p>
      <w:pPr>
        <w:numPr>
          <w:ilvl w:val="0"/>
          <w:numId w:val="17"/>
        </w:numPr>
        <w:adjustRightInd w:val="0"/>
        <w:spacing w:line="360" w:lineRule="auto"/>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出口销售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国内销售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9"/>
        </w:numPr>
        <w:adjustRightInd w:val="0"/>
        <w:spacing w:line="360" w:lineRule="auto"/>
        <w:textAlignment w:val="baseline"/>
        <w:rPr>
          <w:rFonts w:ascii="宋体" w:hAnsi="宋体" w:cs="宋体"/>
          <w:sz w:val="22"/>
        </w:rPr>
      </w:pPr>
      <w:r>
        <w:rPr>
          <w:rFonts w:hint="eastAsia" w:ascii="宋体" w:hAnsi="宋体" w:cs="宋体"/>
          <w:sz w:val="22"/>
        </w:rPr>
        <w:t>近三年的年营业额</w:t>
      </w:r>
    </w:p>
    <w:p>
      <w:pPr>
        <w:spacing w:line="360" w:lineRule="auto"/>
        <w:ind w:firstLine="480"/>
        <w:rPr>
          <w:rFonts w:ascii="宋体" w:hAnsi="宋体" w:cs="宋体"/>
          <w:sz w:val="22"/>
        </w:rPr>
      </w:pPr>
      <w:r>
        <w:rPr>
          <w:rFonts w:hint="eastAsia" w:ascii="宋体" w:hAnsi="宋体" w:cs="宋体"/>
          <w:sz w:val="22"/>
        </w:rPr>
        <w:t>年份             国内             出口             总额</w:t>
      </w:r>
    </w:p>
    <w:p>
      <w:pPr>
        <w:spacing w:line="360" w:lineRule="auto"/>
        <w:ind w:left="36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9"/>
        </w:numPr>
        <w:adjustRightInd w:val="0"/>
        <w:spacing w:line="360" w:lineRule="auto"/>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720"/>
        <w:rPr>
          <w:rFonts w:ascii="宋体" w:hAnsi="宋体" w:cs="宋体"/>
          <w:sz w:val="22"/>
        </w:rPr>
      </w:pPr>
      <w:r>
        <w:rPr>
          <w:rFonts w:hint="eastAsia" w:ascii="宋体" w:hAnsi="宋体" w:cs="宋体"/>
          <w:sz w:val="22"/>
        </w:rPr>
        <w:t>部件名称                              供应商</w:t>
      </w:r>
    </w:p>
    <w:p>
      <w:pPr>
        <w:spacing w:line="360" w:lineRule="auto"/>
        <w:ind w:firstLine="7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7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9"/>
        </w:numPr>
        <w:adjustRightInd w:val="0"/>
        <w:spacing w:line="360" w:lineRule="auto"/>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19"/>
        </w:numPr>
        <w:adjustRightInd w:val="0"/>
        <w:spacing w:line="360" w:lineRule="auto"/>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19"/>
        </w:numPr>
        <w:adjustRightInd w:val="0"/>
        <w:spacing w:line="360" w:lineRule="auto"/>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rPr>
          <w:rFonts w:ascii="宋体" w:hAnsi="宋体" w:cs="宋体"/>
          <w:sz w:val="22"/>
        </w:rPr>
      </w:pPr>
    </w:p>
    <w:p>
      <w:pPr>
        <w:spacing w:line="360" w:lineRule="auto"/>
        <w:rPr>
          <w:rFonts w:ascii="宋体" w:hAnsi="宋体" w:cs="宋体"/>
          <w:sz w:val="22"/>
        </w:rPr>
      </w:pPr>
    </w:p>
    <w:p>
      <w:pPr>
        <w:spacing w:before="156" w:beforeLines="50" w:line="360" w:lineRule="auto"/>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56" w:beforeLines="50" w:line="360" w:lineRule="auto"/>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56" w:beforeLines="50" w:line="360" w:lineRule="auto"/>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56" w:beforeLines="50" w:line="360" w:lineRule="auto"/>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56" w:beforeLines="50" w:line="360" w:lineRule="auto"/>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56" w:beforeLines="50" w:line="360" w:lineRule="auto"/>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56" w:beforeLines="50" w:line="360" w:lineRule="auto"/>
        <w:rPr>
          <w:rFonts w:ascii="宋体" w:hAnsi="宋体" w:cs="宋体"/>
          <w:u w:val="single"/>
        </w:rPr>
      </w:pPr>
    </w:p>
    <w:p>
      <w:pPr>
        <w:overflowPunct w:val="0"/>
        <w:autoSpaceDE w:val="0"/>
        <w:autoSpaceDN w:val="0"/>
        <w:spacing w:line="440" w:lineRule="exact"/>
        <w:jc w:val="left"/>
        <w:rPr>
          <w:rFonts w:ascii="宋体" w:hAnsi="宋体" w:cs="Calibri"/>
          <w:sz w:val="22"/>
        </w:rPr>
      </w:pPr>
    </w:p>
    <w:p>
      <w:pPr>
        <w:spacing w:line="360" w:lineRule="auto"/>
        <w:jc w:val="center"/>
        <w:rPr>
          <w:rFonts w:ascii="宋体" w:hAnsi="宋体" w:cs="宋体"/>
          <w:b/>
          <w:sz w:val="32"/>
          <w:szCs w:val="32"/>
        </w:rPr>
      </w:pPr>
      <w:r>
        <w:rPr>
          <w:rFonts w:ascii="宋体" w:hAnsi="宋体" w:cs="Calibri"/>
          <w:sz w:val="22"/>
        </w:rPr>
        <w:br w:type="page"/>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（三）</w:t>
      </w:r>
      <w:r>
        <w:rPr>
          <w:rFonts w:ascii="宋体" w:hAnsi="宋体" w:cs="宋体"/>
          <w:b/>
          <w:sz w:val="32"/>
          <w:szCs w:val="32"/>
        </w:rPr>
        <w:t>设备制造商的授权书</w:t>
      </w:r>
    </w:p>
    <w:p>
      <w:pPr>
        <w:spacing w:line="360" w:lineRule="auto"/>
        <w:jc w:val="center"/>
        <w:rPr>
          <w:rFonts w:ascii="宋体" w:hAnsi="宋体" w:cs="宋体"/>
          <w:b/>
          <w:sz w:val="32"/>
          <w:szCs w:val="32"/>
        </w:rPr>
      </w:pPr>
      <w:r>
        <w:rPr>
          <w:rFonts w:hint="eastAsia" w:ascii="宋体" w:hAnsi="宋体" w:cs="宋体"/>
          <w:b/>
          <w:sz w:val="32"/>
          <w:szCs w:val="32"/>
        </w:rPr>
        <w:t>（代理商投标时提供）</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（四）投标产品近三年的销售业绩一览表</w:t>
      </w:r>
    </w:p>
    <w:tbl>
      <w:tblPr>
        <w:tblStyle w:val="58"/>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ascii="ˎ̥" w:hAnsi="ˎ̥" w:cs="宋体"/>
          <w:kern w:val="0"/>
          <w:szCs w:val="21"/>
        </w:rPr>
      </w:pPr>
    </w:p>
    <w:p>
      <w:pPr>
        <w:spacing w:line="360" w:lineRule="auto"/>
        <w:jc w:val="center"/>
        <w:rPr>
          <w:rFonts w:ascii="宋体" w:hAnsi="宋体" w:cs="宋体"/>
          <w:b/>
          <w:sz w:val="32"/>
          <w:szCs w:val="32"/>
        </w:rPr>
      </w:pPr>
    </w:p>
    <w:p>
      <w:pPr>
        <w:pStyle w:val="31"/>
        <w:adjustRightInd w:val="0"/>
        <w:snapToGrid w:val="0"/>
        <w:spacing w:line="560" w:lineRule="exact"/>
        <w:rPr>
          <w:rFonts w:hAnsi="宋体"/>
          <w:b/>
        </w:rPr>
      </w:pPr>
      <w:r>
        <w:rPr>
          <w:rFonts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六、技术规格偏离表</w:t>
      </w:r>
    </w:p>
    <w:p>
      <w:pPr>
        <w:spacing w:line="560" w:lineRule="exact"/>
        <w:rPr>
          <w:rFonts w:ascii="宋体" w:hAnsi="宋体"/>
        </w:rPr>
      </w:pPr>
    </w:p>
    <w:tbl>
      <w:tblPr>
        <w:tblStyle w:val="5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31"/>
        <w:adjustRightInd w:val="0"/>
        <w:snapToGrid w:val="0"/>
        <w:spacing w:line="560" w:lineRule="exact"/>
        <w:rPr>
          <w:rFonts w:hAnsi="宋体"/>
          <w:b/>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七、</w:t>
      </w:r>
      <w:r>
        <w:rPr>
          <w:rFonts w:ascii="Calibri" w:hAnsi="Calibri" w:eastAsia="黑体" w:cs="Calibri"/>
          <w:color w:val="000000"/>
          <w:sz w:val="32"/>
          <w:szCs w:val="32"/>
        </w:rPr>
        <w:t>商务条款响应</w:t>
      </w:r>
      <w:r>
        <w:rPr>
          <w:rFonts w:hint="eastAsia" w:ascii="Calibri" w:hAnsi="Calibri" w:eastAsia="黑体" w:cs="Calibri"/>
          <w:color w:val="000000"/>
          <w:sz w:val="32"/>
          <w:szCs w:val="32"/>
        </w:rPr>
        <w:t>偏离</w:t>
      </w:r>
      <w:r>
        <w:rPr>
          <w:rFonts w:ascii="Calibri" w:hAnsi="Calibri" w:eastAsia="黑体" w:cs="Calibri"/>
          <w:color w:val="000000"/>
          <w:sz w:val="32"/>
          <w:szCs w:val="32"/>
        </w:rPr>
        <w:t>表</w:t>
      </w:r>
    </w:p>
    <w:tbl>
      <w:tblPr>
        <w:tblStyle w:val="5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r>
              <w:rPr>
                <w:rFonts w:hAnsi="宋体"/>
                <w:kern w:val="2"/>
                <w:sz w:val="21"/>
              </w:rPr>
              <w:t>序号</w:t>
            </w:r>
          </w:p>
        </w:tc>
        <w:tc>
          <w:tcPr>
            <w:tcW w:w="900" w:type="dxa"/>
            <w:vAlign w:val="center"/>
          </w:tcPr>
          <w:p>
            <w:pPr>
              <w:pStyle w:val="31"/>
              <w:adjustRightInd w:val="0"/>
              <w:snapToGrid w:val="0"/>
              <w:jc w:val="center"/>
              <w:rPr>
                <w:rFonts w:hAnsi="宋体"/>
                <w:kern w:val="2"/>
                <w:sz w:val="21"/>
              </w:rPr>
            </w:pPr>
            <w:r>
              <w:rPr>
                <w:rFonts w:hAnsi="宋体"/>
                <w:kern w:val="2"/>
                <w:sz w:val="21"/>
              </w:rPr>
              <w:t>内容</w:t>
            </w:r>
          </w:p>
        </w:tc>
        <w:tc>
          <w:tcPr>
            <w:tcW w:w="3510" w:type="dxa"/>
            <w:vAlign w:val="center"/>
          </w:tcPr>
          <w:p>
            <w:pPr>
              <w:pStyle w:val="31"/>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31"/>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31"/>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bl>
    <w:p>
      <w:pPr>
        <w:pStyle w:val="31"/>
        <w:adjustRightInd w:val="0"/>
        <w:snapToGrid w:val="0"/>
        <w:spacing w:line="560" w:lineRule="exact"/>
        <w:rPr>
          <w:rFonts w:hAnsi="宋体"/>
          <w:bCs/>
          <w:sz w:val="24"/>
          <w:szCs w:val="24"/>
        </w:rPr>
      </w:pPr>
    </w:p>
    <w:p>
      <w:pPr>
        <w:pStyle w:val="31"/>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31"/>
        <w:adjustRightInd w:val="0"/>
        <w:snapToGrid w:val="0"/>
        <w:spacing w:line="560" w:lineRule="exact"/>
        <w:rPr>
          <w:rFonts w:hAnsi="宋体"/>
          <w:bCs/>
          <w:sz w:val="24"/>
          <w:szCs w:val="24"/>
        </w:rPr>
      </w:pPr>
    </w:p>
    <w:p>
      <w:pPr>
        <w:widowControl/>
        <w:jc w:val="left"/>
        <w:rPr>
          <w:rFonts w:ascii="Calibri" w:hAnsi="Calibri" w:eastAsia="黑体" w:cs="Calibri"/>
          <w:color w:val="000000"/>
          <w:sz w:val="32"/>
          <w:szCs w:val="32"/>
        </w:rPr>
      </w:pPr>
    </w:p>
    <w:p/>
    <w:p/>
    <w:sectPr>
      <w:footerReference r:id="rId7" w:type="first"/>
      <w:pgSz w:w="11906" w:h="16838"/>
      <w:pgMar w:top="1134" w:right="1247" w:bottom="1134" w:left="124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Heiti SC Light">
    <w:altName w:val="Arial Unicode MS"/>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6"/>
          <w:jc w:val="center"/>
        </w:pPr>
        <w:r>
          <w:fldChar w:fldCharType="begin"/>
        </w:r>
        <w:r>
          <w:instrText xml:space="preserve"> PAGE   \* MERGEFORMAT </w:instrText>
        </w:r>
        <w:r>
          <w:fldChar w:fldCharType="separate"/>
        </w:r>
        <w:r>
          <w:rPr>
            <w:lang w:val="zh-CN"/>
          </w:rPr>
          <w:t>-</w:t>
        </w:r>
        <w:r>
          <w:t xml:space="preserve"> 17 -</w:t>
        </w:r>
        <w:r>
          <w:fldChar w:fldCharType="end"/>
        </w:r>
      </w:p>
    </w:sdtContent>
  </w:sdt>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杭州萧山国际机场急救设备及物品采购采购项目招标文件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5">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7">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8">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9">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0">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1">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2">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4">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5">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6">
    <w:nsid w:val="5D258FFF"/>
    <w:multiLevelType w:val="singleLevel"/>
    <w:tmpl w:val="5D258FFF"/>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17">
    <w:nsid w:val="5D259020"/>
    <w:multiLevelType w:val="singleLevel"/>
    <w:tmpl w:val="5D259020"/>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8">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46"/>
      <w:lvlText w:val=""/>
      <w:lvlJc w:val="left"/>
      <w:pPr>
        <w:tabs>
          <w:tab w:val="left" w:pos="3780"/>
        </w:tabs>
        <w:ind w:left="3780" w:hanging="420"/>
      </w:pPr>
      <w:rPr>
        <w:rFonts w:hint="default" w:ascii="Wingdings" w:hAnsi="Wingdings"/>
      </w:rPr>
    </w:lvl>
  </w:abstractNum>
  <w:num w:numId="1">
    <w:abstractNumId w:val="14"/>
  </w:num>
  <w:num w:numId="2">
    <w:abstractNumId w:val="16"/>
  </w:num>
  <w:num w:numId="3">
    <w:abstractNumId w:val="17"/>
  </w:num>
  <w:num w:numId="4">
    <w:abstractNumId w:val="18"/>
  </w:num>
  <w:num w:numId="5">
    <w:abstractNumId w:val="15"/>
  </w:num>
  <w:num w:numId="6">
    <w:abstractNumId w:val="2"/>
  </w:num>
  <w:num w:numId="7">
    <w:abstractNumId w:val="13"/>
  </w:num>
  <w:num w:numId="8">
    <w:abstractNumId w:val="11"/>
  </w:num>
  <w:num w:numId="9">
    <w:abstractNumId w:val="5"/>
  </w:num>
  <w:num w:numId="10">
    <w:abstractNumId w:val="12"/>
  </w:num>
  <w:num w:numId="11">
    <w:abstractNumId w:val="1"/>
  </w:num>
  <w:num w:numId="12">
    <w:abstractNumId w:val="6"/>
  </w:num>
  <w:num w:numId="13">
    <w:abstractNumId w:val="8"/>
  </w:num>
  <w:num w:numId="14">
    <w:abstractNumId w:val="4"/>
  </w:num>
  <w:num w:numId="15">
    <w:abstractNumId w:val="0"/>
  </w:num>
  <w:num w:numId="16">
    <w:abstractNumId w:val="3"/>
  </w:num>
  <w:num w:numId="17">
    <w:abstractNumId w:val="10"/>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535E7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99" w:name="index 2"/>
    <w:lsdException w:uiPriority="99" w:name="index 3"/>
    <w:lsdException w:uiPriority="99" w:name="index 4"/>
    <w:lsdException w:uiPriority="0" w:name="index 5"/>
    <w:lsdException w:uiPriority="99" w:name="index 6"/>
    <w:lsdException w:uiPriority="99" w:name="index 7"/>
    <w:lsdException w:uiPriority="99" w:name="index 8"/>
    <w:lsdException w:uiPriority="99" w:name="index 9"/>
    <w:lsdException w:uiPriority="39"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99" w:name="footnote text"/>
    <w:lsdException w:qFormat="1" w:uiPriority="0" w:name="annotation text"/>
    <w:lsdException w:uiPriority="0"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0" w:name="page number"/>
    <w:lsdException w:uiPriority="99" w:name="endnote reference"/>
    <w:lsdException w:uiPriority="99" w:name="endnote text"/>
    <w:lsdException w:uiPriority="0" w:name="table of authorities"/>
    <w:lsdException w:uiPriority="99" w:name="macro"/>
    <w:lsdException w:uiPriority="99" w:name="toa heading"/>
    <w:lsdException w:uiPriority="0" w:name="List"/>
    <w:lsdException w:uiPriority="0" w:name="List Bullet"/>
    <w:lsdException w:uiPriority="99" w:name="List Number"/>
    <w:lsdException w:uiPriority="0" w:name="List 2"/>
    <w:lsdException w:uiPriority="0" w:name="List 3"/>
    <w:lsdException w:uiPriority="0" w:name="List 4"/>
    <w:lsdException w:uiPriority="99" w:name="List 5"/>
    <w:lsdException w:uiPriority="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0" w:name="Date"/>
    <w:lsdException w:uiPriority="0" w:name="Body Text First Indent"/>
    <w:lsdException w:uiPriority="0" w:name="Body Text First Indent 2"/>
    <w:lsdException w:uiPriority="99"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0" w:name="Document Map"/>
    <w:lsdException w:qFormat="1"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0"/>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1"/>
    <w:unhideWhenUsed/>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2"/>
    <w:unhideWhenUsed/>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3"/>
    <w:unhideWhenUsed/>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4"/>
    <w:unhideWhenUsed/>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5"/>
    <w:unhideWhenUsed/>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6"/>
    <w:unhideWhenUsed/>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7"/>
    <w:unhideWhenUsed/>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8"/>
    <w:unhideWhenUsed/>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uiPriority w:val="1"/>
  </w:style>
  <w:style w:type="table" w:default="1" w:styleId="58">
    <w:name w:val="Normal Table"/>
    <w:unhideWhenUsed/>
    <w:uiPriority w:val="99"/>
    <w:tblPr>
      <w:tblLayout w:type="fixed"/>
      <w:tblCellMar>
        <w:top w:w="0" w:type="dxa"/>
        <w:left w:w="108" w:type="dxa"/>
        <w:bottom w:w="0" w:type="dxa"/>
        <w:right w:w="108" w:type="dxa"/>
      </w:tblCellMar>
    </w:tblPr>
  </w:style>
  <w:style w:type="paragraph" w:styleId="11">
    <w:name w:val="List 3"/>
    <w:basedOn w:val="1"/>
    <w:unhideWhenUsed/>
    <w:uiPriority w:val="0"/>
    <w:pPr>
      <w:ind w:left="100" w:leftChars="400" w:hanging="200" w:hangingChars="200"/>
    </w:pPr>
    <w:rPr>
      <w:rFonts w:ascii="Times New Roman" w:hAnsi="Times New Roman" w:eastAsia="宋体" w:cs="Times New Roman"/>
      <w:szCs w:val="24"/>
    </w:rPr>
  </w:style>
  <w:style w:type="paragraph" w:styleId="12">
    <w:name w:val="annotation subject"/>
    <w:basedOn w:val="13"/>
    <w:next w:val="13"/>
    <w:link w:val="96"/>
    <w:unhideWhenUsed/>
    <w:uiPriority w:val="0"/>
    <w:rPr>
      <w:rFonts w:ascii="Times New Roman" w:hAnsi="Times New Roman" w:eastAsia="宋体" w:cs="Times New Roman"/>
      <w:b/>
      <w:bCs/>
      <w:kern w:val="0"/>
      <w:sz w:val="20"/>
      <w:szCs w:val="22"/>
    </w:rPr>
  </w:style>
  <w:style w:type="paragraph" w:styleId="13">
    <w:name w:val="annotation text"/>
    <w:basedOn w:val="1"/>
    <w:link w:val="107"/>
    <w:unhideWhenUsed/>
    <w:qFormat/>
    <w:uiPriority w:val="0"/>
    <w:pPr>
      <w:jc w:val="left"/>
    </w:pPr>
    <w:rPr>
      <w:sz w:val="24"/>
      <w:szCs w:val="24"/>
    </w:rPr>
  </w:style>
  <w:style w:type="paragraph" w:styleId="14">
    <w:name w:val="toc 7"/>
    <w:basedOn w:val="1"/>
    <w:next w:val="1"/>
    <w:unhideWhenUsed/>
    <w:uiPriority w:val="0"/>
    <w:pPr>
      <w:ind w:left="1260"/>
      <w:jc w:val="left"/>
    </w:pPr>
    <w:rPr>
      <w:rFonts w:ascii="Times New Roman" w:hAnsi="Times New Roman" w:eastAsia="宋体" w:cs="Times New Roman"/>
      <w:sz w:val="20"/>
      <w:szCs w:val="20"/>
    </w:rPr>
  </w:style>
  <w:style w:type="paragraph" w:styleId="15">
    <w:name w:val="Body Text First Indent"/>
    <w:basedOn w:val="16"/>
    <w:link w:val="91"/>
    <w:unhideWhenUsed/>
    <w:uiPriority w:val="0"/>
    <w:pPr>
      <w:ind w:firstLine="420" w:firstLineChars="100"/>
    </w:pPr>
    <w:rPr>
      <w:rFonts w:ascii="Times New Roman" w:hAnsi="Times New Roman" w:eastAsia="宋体" w:cs="Times New Roman"/>
      <w:kern w:val="0"/>
      <w:sz w:val="20"/>
    </w:rPr>
  </w:style>
  <w:style w:type="paragraph" w:styleId="16">
    <w:name w:val="Body Text"/>
    <w:basedOn w:val="1"/>
    <w:link w:val="111"/>
    <w:unhideWhenUsed/>
    <w:uiPriority w:val="0"/>
    <w:pPr>
      <w:spacing w:after="120"/>
    </w:pPr>
    <w:rPr>
      <w:sz w:val="24"/>
      <w:szCs w:val="24"/>
    </w:rPr>
  </w:style>
  <w:style w:type="paragraph" w:styleId="17">
    <w:name w:val="table of authorities"/>
    <w:basedOn w:val="1"/>
    <w:next w:val="1"/>
    <w:unhideWhenUsed/>
    <w:uiPriority w:val="0"/>
    <w:pPr>
      <w:ind w:left="420" w:leftChars="200"/>
    </w:pPr>
    <w:rPr>
      <w:rFonts w:ascii="Times New Roman" w:hAnsi="Times New Roman" w:eastAsia="宋体" w:cs="Times New Roman"/>
      <w:szCs w:val="24"/>
    </w:rPr>
  </w:style>
  <w:style w:type="paragraph" w:styleId="18">
    <w:name w:val="Normal Indent"/>
    <w:basedOn w:val="1"/>
    <w:unhideWhenUsed/>
    <w:uiPriority w:val="0"/>
    <w:pPr>
      <w:ind w:firstLine="420"/>
    </w:pPr>
    <w:rPr>
      <w:rFonts w:ascii="Times New Roman" w:hAnsi="Times New Roman" w:eastAsia="宋体" w:cs="Times New Roman"/>
      <w:szCs w:val="20"/>
    </w:rPr>
  </w:style>
  <w:style w:type="paragraph" w:styleId="19">
    <w:name w:val="caption"/>
    <w:basedOn w:val="1"/>
    <w:next w:val="1"/>
    <w:unhideWhenUsed/>
    <w:qFormat/>
    <w:uiPriority w:val="0"/>
    <w:rPr>
      <w:rFonts w:ascii="Arial" w:hAnsi="Arial" w:eastAsia="黑体" w:cs="Arial"/>
      <w:sz w:val="20"/>
      <w:szCs w:val="20"/>
    </w:rPr>
  </w:style>
  <w:style w:type="paragraph" w:styleId="20">
    <w:name w:val="index 5"/>
    <w:basedOn w:val="1"/>
    <w:next w:val="1"/>
    <w:unhideWhenUsed/>
    <w:uiPriority w:val="0"/>
    <w:pPr>
      <w:ind w:left="800" w:leftChars="800"/>
    </w:pPr>
    <w:rPr>
      <w:rFonts w:ascii="Times New Roman" w:hAnsi="Times New Roman" w:eastAsia="宋体" w:cs="Times New Roman"/>
      <w:szCs w:val="24"/>
    </w:rPr>
  </w:style>
  <w:style w:type="paragraph" w:styleId="21">
    <w:name w:val="List Bullet"/>
    <w:basedOn w:val="1"/>
    <w:unhideWhenUsed/>
    <w:uiPriority w:val="0"/>
    <w:pPr>
      <w:numPr>
        <w:ilvl w:val="0"/>
        <w:numId w:val="2"/>
      </w:numPr>
    </w:pPr>
  </w:style>
  <w:style w:type="paragraph" w:styleId="22">
    <w:name w:val="Document Map"/>
    <w:basedOn w:val="1"/>
    <w:link w:val="72"/>
    <w:unhideWhenUsed/>
    <w:uiPriority w:val="0"/>
    <w:pPr>
      <w:shd w:val="clear" w:color="auto" w:fill="000080"/>
    </w:pPr>
    <w:rPr>
      <w:rFonts w:ascii="Times New Roman" w:hAnsi="Times New Roman" w:eastAsia="宋体" w:cs="Times New Roman"/>
      <w:kern w:val="0"/>
      <w:sz w:val="20"/>
    </w:rPr>
  </w:style>
  <w:style w:type="paragraph" w:styleId="23">
    <w:name w:val="Body Text 3"/>
    <w:basedOn w:val="1"/>
    <w:link w:val="84"/>
    <w:unhideWhenUsed/>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80"/>
    <w:unhideWhenUsed/>
    <w:uiPriority w:val="0"/>
    <w:pPr>
      <w:ind w:firstLine="560" w:firstLineChars="200"/>
    </w:pPr>
    <w:rPr>
      <w:rFonts w:ascii="宋体" w:hAnsi="宋体" w:eastAsia="宋体" w:cs="Times New Roman"/>
      <w:kern w:val="0"/>
      <w:sz w:val="28"/>
      <w:szCs w:val="28"/>
    </w:rPr>
  </w:style>
  <w:style w:type="paragraph" w:styleId="25">
    <w:name w:val="List 2"/>
    <w:basedOn w:val="1"/>
    <w:unhideWhenUsed/>
    <w:uiPriority w:val="0"/>
    <w:pPr>
      <w:ind w:left="100" w:leftChars="200" w:hanging="200" w:hangingChars="200"/>
    </w:pPr>
    <w:rPr>
      <w:rFonts w:ascii="Times New Roman" w:hAnsi="Times New Roman" w:eastAsia="宋体" w:cs="Times New Roman"/>
      <w:szCs w:val="24"/>
    </w:rPr>
  </w:style>
  <w:style w:type="paragraph" w:styleId="26">
    <w:name w:val="List Continue"/>
    <w:basedOn w:val="1"/>
    <w:unhideWhenUsed/>
    <w:uiPriority w:val="0"/>
    <w:pPr>
      <w:spacing w:after="120"/>
      <w:ind w:left="420" w:leftChars="200"/>
    </w:pPr>
    <w:rPr>
      <w:rFonts w:ascii="Times New Roman" w:hAnsi="Times New Roman" w:eastAsia="宋体" w:cs="Times New Roman"/>
      <w:szCs w:val="24"/>
    </w:rPr>
  </w:style>
  <w:style w:type="paragraph" w:styleId="27">
    <w:name w:val="Block Text"/>
    <w:basedOn w:val="1"/>
    <w:unhideWhenUsed/>
    <w:uiPriority w:val="0"/>
    <w:pPr>
      <w:spacing w:before="120" w:after="120" w:line="360" w:lineRule="auto"/>
      <w:ind w:left="525" w:right="202"/>
    </w:pPr>
    <w:rPr>
      <w:rFonts w:ascii="宋体" w:hAnsi="宋体" w:eastAsia="宋体" w:cs="Times New Roman"/>
      <w:spacing w:val="-4"/>
      <w:sz w:val="24"/>
      <w:szCs w:val="24"/>
    </w:rPr>
  </w:style>
  <w:style w:type="paragraph" w:styleId="28">
    <w:name w:val="List Bullet 2"/>
    <w:basedOn w:val="1"/>
    <w:unhideWhenUsed/>
    <w:uiPriority w:val="0"/>
    <w:pPr>
      <w:numPr>
        <w:ilvl w:val="0"/>
        <w:numId w:val="3"/>
      </w:numPr>
    </w:pPr>
  </w:style>
  <w:style w:type="paragraph" w:styleId="29">
    <w:name w:val="toc 5"/>
    <w:basedOn w:val="1"/>
    <w:next w:val="1"/>
    <w:unhideWhenUsed/>
    <w:uiPriority w:val="0"/>
    <w:pPr>
      <w:ind w:left="840"/>
      <w:jc w:val="left"/>
    </w:pPr>
    <w:rPr>
      <w:rFonts w:ascii="Times New Roman" w:hAnsi="Times New Roman" w:eastAsia="宋体" w:cs="Times New Roman"/>
      <w:sz w:val="20"/>
      <w:szCs w:val="20"/>
    </w:rPr>
  </w:style>
  <w:style w:type="paragraph" w:styleId="30">
    <w:name w:val="toc 3"/>
    <w:basedOn w:val="1"/>
    <w:next w:val="1"/>
    <w:unhideWhenUsed/>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5"/>
    <w:unhideWhenUsed/>
    <w:qFormat/>
    <w:uiPriority w:val="0"/>
    <w:rPr>
      <w:rFonts w:ascii="宋体" w:hAnsi="Courier New" w:eastAsia="宋体" w:cs="Times New Roman"/>
      <w:kern w:val="0"/>
      <w:sz w:val="20"/>
      <w:szCs w:val="21"/>
    </w:rPr>
  </w:style>
  <w:style w:type="paragraph" w:styleId="32">
    <w:name w:val="toc 8"/>
    <w:basedOn w:val="1"/>
    <w:next w:val="1"/>
    <w:unhideWhenUsed/>
    <w:uiPriority w:val="0"/>
    <w:pPr>
      <w:ind w:left="1470"/>
      <w:jc w:val="left"/>
    </w:pPr>
    <w:rPr>
      <w:rFonts w:ascii="Times New Roman" w:hAnsi="Times New Roman" w:eastAsia="宋体" w:cs="Times New Roman"/>
      <w:sz w:val="20"/>
      <w:szCs w:val="20"/>
    </w:rPr>
  </w:style>
  <w:style w:type="paragraph" w:styleId="33">
    <w:name w:val="Date"/>
    <w:basedOn w:val="1"/>
    <w:next w:val="1"/>
    <w:link w:val="69"/>
    <w:unhideWhenUsed/>
    <w:uiPriority w:val="0"/>
    <w:pPr>
      <w:ind w:left="100" w:leftChars="2500"/>
    </w:pPr>
    <w:rPr>
      <w:rFonts w:ascii="Times New Roman" w:hAnsi="Times New Roman" w:eastAsia="宋体" w:cs="Times New Roman"/>
      <w:kern w:val="0"/>
      <w:sz w:val="20"/>
    </w:rPr>
  </w:style>
  <w:style w:type="paragraph" w:styleId="34">
    <w:name w:val="Body Text Indent 2"/>
    <w:basedOn w:val="1"/>
    <w:link w:val="95"/>
    <w:unhideWhenUsed/>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70"/>
    <w:unhideWhenUsed/>
    <w:uiPriority w:val="0"/>
    <w:rPr>
      <w:rFonts w:ascii="Times New Roman" w:hAnsi="Times New Roman" w:eastAsia="宋体" w:cs="Times New Roman"/>
      <w:kern w:val="0"/>
      <w:sz w:val="18"/>
      <w:szCs w:val="18"/>
    </w:rPr>
  </w:style>
  <w:style w:type="paragraph" w:styleId="36">
    <w:name w:val="footer"/>
    <w:basedOn w:val="1"/>
    <w:link w:val="88"/>
    <w:unhideWhenUsed/>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7">
    <w:name w:val="Body Text First Indent 2"/>
    <w:basedOn w:val="24"/>
    <w:link w:val="79"/>
    <w:unhideWhenUsed/>
    <w:uiPriority w:val="0"/>
    <w:pPr>
      <w:spacing w:after="120"/>
      <w:ind w:left="420" w:leftChars="200" w:firstLine="420"/>
    </w:pPr>
    <w:rPr>
      <w:szCs w:val="22"/>
    </w:rPr>
  </w:style>
  <w:style w:type="paragraph" w:styleId="38">
    <w:name w:val="header"/>
    <w:basedOn w:val="1"/>
    <w:link w:val="87"/>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9">
    <w:name w:val="toc 1"/>
    <w:basedOn w:val="1"/>
    <w:next w:val="1"/>
    <w:unhideWhenUsed/>
    <w:uiPriority w:val="39"/>
    <w:pPr>
      <w:adjustRightInd w:val="0"/>
      <w:snapToGrid w:val="0"/>
    </w:pPr>
    <w:rPr>
      <w:rFonts w:ascii="Times New Roman" w:hAnsi="Times New Roman" w:eastAsia="仿宋" w:cs="Times New Roman"/>
      <w:szCs w:val="24"/>
    </w:rPr>
  </w:style>
  <w:style w:type="paragraph" w:styleId="40">
    <w:name w:val="toc 4"/>
    <w:basedOn w:val="1"/>
    <w:next w:val="1"/>
    <w:unhideWhenUsed/>
    <w:uiPriority w:val="0"/>
    <w:pPr>
      <w:ind w:left="630"/>
      <w:jc w:val="left"/>
    </w:pPr>
    <w:rPr>
      <w:rFonts w:ascii="楷体_GB2312" w:hAnsi="Times New Roman" w:eastAsia="楷体_GB2312" w:cs="Times New Roman"/>
      <w:sz w:val="28"/>
      <w:szCs w:val="20"/>
    </w:rPr>
  </w:style>
  <w:style w:type="paragraph" w:styleId="41">
    <w:name w:val="List"/>
    <w:basedOn w:val="1"/>
    <w:unhideWhenUsed/>
    <w:uiPriority w:val="0"/>
    <w:pPr>
      <w:ind w:left="200" w:hanging="200" w:hangingChars="200"/>
    </w:pPr>
    <w:rPr>
      <w:rFonts w:ascii="Times New Roman" w:hAnsi="Times New Roman" w:eastAsia="宋体" w:cs="Times New Roman"/>
      <w:szCs w:val="24"/>
    </w:rPr>
  </w:style>
  <w:style w:type="paragraph" w:styleId="42">
    <w:name w:val="toc 6"/>
    <w:basedOn w:val="1"/>
    <w:next w:val="1"/>
    <w:unhideWhenUsed/>
    <w:uiPriority w:val="0"/>
    <w:pPr>
      <w:ind w:left="1050"/>
      <w:jc w:val="left"/>
    </w:pPr>
    <w:rPr>
      <w:rFonts w:ascii="Times New Roman" w:hAnsi="Times New Roman" w:eastAsia="宋体" w:cs="Times New Roman"/>
      <w:sz w:val="20"/>
      <w:szCs w:val="20"/>
    </w:rPr>
  </w:style>
  <w:style w:type="paragraph" w:styleId="43">
    <w:name w:val="Body Text Indent 3"/>
    <w:basedOn w:val="1"/>
    <w:link w:val="90"/>
    <w:unhideWhenUsed/>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unhideWhenUsed/>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5">
    <w:name w:val="toc 9"/>
    <w:basedOn w:val="1"/>
    <w:next w:val="1"/>
    <w:unhideWhenUsed/>
    <w:uiPriority w:val="0"/>
    <w:pPr>
      <w:ind w:left="1680"/>
      <w:jc w:val="left"/>
    </w:pPr>
    <w:rPr>
      <w:rFonts w:ascii="Times New Roman" w:hAnsi="Times New Roman" w:eastAsia="宋体" w:cs="Times New Roman"/>
      <w:sz w:val="20"/>
      <w:szCs w:val="20"/>
    </w:rPr>
  </w:style>
  <w:style w:type="paragraph" w:styleId="46">
    <w:name w:val="Body Text 2"/>
    <w:basedOn w:val="1"/>
    <w:link w:val="71"/>
    <w:unhideWhenUsed/>
    <w:uiPriority w:val="0"/>
    <w:pPr>
      <w:spacing w:after="120" w:line="480" w:lineRule="auto"/>
    </w:pPr>
    <w:rPr>
      <w:rFonts w:ascii="Times New Roman" w:hAnsi="Times New Roman" w:eastAsia="宋体" w:cs="Times New Roman"/>
      <w:kern w:val="0"/>
      <w:sz w:val="20"/>
    </w:rPr>
  </w:style>
  <w:style w:type="paragraph" w:styleId="47">
    <w:name w:val="List 4"/>
    <w:basedOn w:val="1"/>
    <w:unhideWhenUsed/>
    <w:uiPriority w:val="0"/>
    <w:pPr>
      <w:ind w:left="100" w:leftChars="600" w:hanging="200" w:hangingChars="200"/>
    </w:pPr>
    <w:rPr>
      <w:rFonts w:ascii="Times New Roman" w:hAnsi="Times New Roman" w:eastAsia="宋体" w:cs="Times New Roman"/>
      <w:szCs w:val="24"/>
    </w:rPr>
  </w:style>
  <w:style w:type="paragraph" w:styleId="48">
    <w:name w:val="List Continue 2"/>
    <w:basedOn w:val="1"/>
    <w:unhideWhenUsed/>
    <w:uiPriority w:val="0"/>
    <w:pPr>
      <w:spacing w:after="120"/>
      <w:ind w:left="840" w:leftChars="400"/>
    </w:pPr>
    <w:rPr>
      <w:rFonts w:ascii="Times New Roman" w:hAnsi="Times New Roman" w:eastAsia="宋体" w:cs="Times New Roman"/>
      <w:szCs w:val="24"/>
    </w:rPr>
  </w:style>
  <w:style w:type="paragraph" w:styleId="49">
    <w:name w:val="Normal (Web)"/>
    <w:basedOn w:val="1"/>
    <w:unhideWhenUsed/>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unhideWhenUsed/>
    <w:uiPriority w:val="0"/>
    <w:pPr>
      <w:adjustRightInd w:val="0"/>
      <w:snapToGrid w:val="0"/>
      <w:jc w:val="center"/>
    </w:pPr>
    <w:rPr>
      <w:rFonts w:ascii="Times New Roman" w:hAnsi="Times New Roman" w:eastAsia="宋体" w:cs="Times New Roman"/>
      <w:szCs w:val="20"/>
    </w:rPr>
  </w:style>
  <w:style w:type="paragraph" w:styleId="51">
    <w:name w:val="Title"/>
    <w:basedOn w:val="1"/>
    <w:next w:val="1"/>
    <w:link w:val="97"/>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rFonts w:asciiTheme="minorHAnsi" w:hAnsiTheme="minorHAnsi" w:eastAsiaTheme="minorEastAsia" w:cstheme="minorBidi"/>
      <w:b/>
      <w:bCs/>
      <w:kern w:val="2"/>
      <w:sz w:val="21"/>
      <w:szCs w:val="22"/>
      <w:lang w:val="en-US" w:eastAsia="zh-CN" w:bidi="ar-SA"/>
    </w:rPr>
  </w:style>
  <w:style w:type="character" w:styleId="54">
    <w:name w:val="page number"/>
    <w:basedOn w:val="52"/>
    <w:unhideWhenUsed/>
    <w:uiPriority w:val="0"/>
    <w:rPr>
      <w:rFonts w:asciiTheme="minorHAnsi" w:hAnsiTheme="minorHAnsi" w:eastAsiaTheme="minorEastAsia" w:cstheme="minorBidi"/>
      <w:kern w:val="2"/>
      <w:sz w:val="21"/>
      <w:szCs w:val="22"/>
      <w:lang w:val="en-US" w:eastAsia="zh-CN" w:bidi="ar-SA"/>
    </w:rPr>
  </w:style>
  <w:style w:type="character" w:styleId="55">
    <w:name w:val="FollowedHyperlink"/>
    <w:unhideWhenUsed/>
    <w:uiPriority w:val="99"/>
    <w:rPr>
      <w:rFonts w:asciiTheme="minorHAnsi" w:hAnsiTheme="minorHAnsi" w:eastAsiaTheme="minorEastAsia" w:cstheme="minorBidi"/>
      <w:color w:val="800080"/>
      <w:kern w:val="2"/>
      <w:sz w:val="21"/>
      <w:szCs w:val="22"/>
      <w:u w:val="single"/>
      <w:lang w:val="en-US" w:eastAsia="zh-CN" w:bidi="ar-SA"/>
    </w:rPr>
  </w:style>
  <w:style w:type="character" w:styleId="56">
    <w:name w:val="Hyperlink"/>
    <w:unhideWhenUsed/>
    <w:uiPriority w:val="99"/>
    <w:rPr>
      <w:rFonts w:asciiTheme="minorHAnsi" w:hAnsiTheme="minorHAnsi" w:eastAsiaTheme="minorEastAsia" w:cstheme="minorBidi"/>
      <w:color w:val="0000FF"/>
      <w:kern w:val="2"/>
      <w:sz w:val="21"/>
      <w:szCs w:val="22"/>
      <w:u w:val="single"/>
      <w:lang w:val="en-US" w:eastAsia="zh-CN" w:bidi="ar-SA"/>
    </w:rPr>
  </w:style>
  <w:style w:type="character" w:styleId="57">
    <w:name w:val="annotation reference"/>
    <w:unhideWhenUsed/>
    <w:uiPriority w:val="0"/>
    <w:rPr>
      <w:rFonts w:asciiTheme="minorHAnsi" w:hAnsiTheme="minorHAnsi" w:eastAsiaTheme="minorEastAsia" w:cstheme="minorBidi"/>
      <w:kern w:val="2"/>
      <w:sz w:val="21"/>
      <w:szCs w:val="21"/>
      <w:lang w:val="en-US" w:eastAsia="zh-CN" w:bidi="ar-SA"/>
    </w:rPr>
  </w:style>
  <w:style w:type="table" w:styleId="59">
    <w:name w:val="Table Grid"/>
    <w:basedOn w:val="5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60">
    <w:name w:val="标题 1 Char"/>
    <w:basedOn w:val="52"/>
    <w:link w:val="2"/>
    <w:uiPriority w:val="0"/>
    <w:rPr>
      <w:rFonts w:ascii="Times New Roman" w:hAnsi="Times New Roman" w:eastAsia="宋体" w:cs="Times New Roman"/>
      <w:b/>
      <w:bCs/>
      <w:kern w:val="44"/>
      <w:sz w:val="30"/>
      <w:szCs w:val="44"/>
      <w:lang w:val="en-US" w:eastAsia="zh-CN" w:bidi="ar-SA"/>
    </w:rPr>
  </w:style>
  <w:style w:type="character" w:customStyle="1" w:styleId="61">
    <w:name w:val="标题 2 Char"/>
    <w:basedOn w:val="52"/>
    <w:link w:val="3"/>
    <w:uiPriority w:val="0"/>
    <w:rPr>
      <w:rFonts w:ascii="Arial" w:hAnsi="Arial" w:eastAsia="宋体" w:cs="Times New Roman"/>
      <w:b/>
      <w:bCs/>
      <w:kern w:val="0"/>
      <w:sz w:val="28"/>
      <w:szCs w:val="32"/>
      <w:lang w:val="en-US" w:eastAsia="zh-CN" w:bidi="ar-SA"/>
    </w:rPr>
  </w:style>
  <w:style w:type="character" w:customStyle="1" w:styleId="62">
    <w:name w:val="标题 3 Char"/>
    <w:basedOn w:val="52"/>
    <w:link w:val="4"/>
    <w:uiPriority w:val="0"/>
    <w:rPr>
      <w:rFonts w:ascii="宋体" w:hAnsi="Times New Roman" w:eastAsia="宋体" w:cs="Times New Roman"/>
      <w:b/>
      <w:kern w:val="0"/>
      <w:sz w:val="28"/>
      <w:szCs w:val="20"/>
      <w:lang w:val="en-US" w:eastAsia="zh-CN" w:bidi="ar-SA"/>
    </w:rPr>
  </w:style>
  <w:style w:type="character" w:customStyle="1" w:styleId="63">
    <w:name w:val="标题 4 Char"/>
    <w:basedOn w:val="52"/>
    <w:link w:val="5"/>
    <w:uiPriority w:val="0"/>
    <w:rPr>
      <w:rFonts w:ascii="Arial" w:hAnsi="Arial" w:eastAsia="黑体" w:cs="Times New Roman"/>
      <w:b/>
      <w:bCs/>
      <w:kern w:val="0"/>
      <w:sz w:val="28"/>
      <w:szCs w:val="28"/>
      <w:lang w:val="en-US" w:eastAsia="zh-CN" w:bidi="ar-SA"/>
    </w:rPr>
  </w:style>
  <w:style w:type="character" w:customStyle="1" w:styleId="64">
    <w:name w:val="标题 5 Char"/>
    <w:basedOn w:val="52"/>
    <w:link w:val="6"/>
    <w:uiPriority w:val="0"/>
    <w:rPr>
      <w:rFonts w:ascii="Times New Roman" w:hAnsi="Times New Roman" w:eastAsia="宋体" w:cs="Times New Roman"/>
      <w:b/>
      <w:bCs/>
      <w:kern w:val="0"/>
      <w:sz w:val="28"/>
      <w:szCs w:val="28"/>
      <w:lang w:val="en-US" w:eastAsia="zh-CN" w:bidi="ar-SA"/>
    </w:rPr>
  </w:style>
  <w:style w:type="character" w:customStyle="1" w:styleId="65">
    <w:name w:val="标题 6 Char"/>
    <w:basedOn w:val="52"/>
    <w:link w:val="7"/>
    <w:uiPriority w:val="0"/>
    <w:rPr>
      <w:rFonts w:ascii="Arial" w:hAnsi="Arial" w:eastAsia="黑体" w:cs="Times New Roman"/>
      <w:b/>
      <w:bCs/>
      <w:kern w:val="0"/>
      <w:sz w:val="24"/>
      <w:szCs w:val="24"/>
      <w:lang w:val="en-US" w:eastAsia="zh-CN" w:bidi="ar-SA"/>
    </w:rPr>
  </w:style>
  <w:style w:type="character" w:customStyle="1" w:styleId="66">
    <w:name w:val="标题 7 Char"/>
    <w:basedOn w:val="52"/>
    <w:link w:val="8"/>
    <w:uiPriority w:val="0"/>
    <w:rPr>
      <w:rFonts w:ascii="Times New Roman" w:hAnsi="Times New Roman" w:eastAsia="宋体" w:cs="Times New Roman"/>
      <w:b/>
      <w:bCs/>
      <w:kern w:val="0"/>
      <w:sz w:val="24"/>
      <w:szCs w:val="24"/>
      <w:lang w:val="en-US" w:eastAsia="zh-CN" w:bidi="ar-SA"/>
    </w:rPr>
  </w:style>
  <w:style w:type="character" w:customStyle="1" w:styleId="67">
    <w:name w:val="标题 8 Char"/>
    <w:basedOn w:val="52"/>
    <w:link w:val="9"/>
    <w:uiPriority w:val="0"/>
    <w:rPr>
      <w:rFonts w:ascii="Arial" w:hAnsi="Arial" w:eastAsia="黑体" w:cs="Times New Roman"/>
      <w:kern w:val="0"/>
      <w:sz w:val="24"/>
      <w:szCs w:val="24"/>
      <w:lang w:val="en-US" w:eastAsia="zh-CN" w:bidi="ar-SA"/>
    </w:rPr>
  </w:style>
  <w:style w:type="character" w:customStyle="1" w:styleId="68">
    <w:name w:val="标题 9 Char"/>
    <w:basedOn w:val="52"/>
    <w:link w:val="10"/>
    <w:uiPriority w:val="0"/>
    <w:rPr>
      <w:rFonts w:ascii="Arial" w:hAnsi="Arial" w:eastAsia="黑体" w:cs="Times New Roman"/>
      <w:kern w:val="0"/>
      <w:sz w:val="20"/>
      <w:szCs w:val="21"/>
      <w:lang w:val="en-US" w:eastAsia="zh-CN" w:bidi="ar-SA"/>
    </w:rPr>
  </w:style>
  <w:style w:type="character" w:customStyle="1" w:styleId="69">
    <w:name w:val="日期 Char"/>
    <w:link w:val="33"/>
    <w:uiPriority w:val="0"/>
    <w:rPr>
      <w:rFonts w:ascii="Times New Roman" w:hAnsi="Times New Roman" w:eastAsia="宋体" w:cs="Times New Roman"/>
      <w:kern w:val="0"/>
      <w:sz w:val="20"/>
      <w:szCs w:val="22"/>
      <w:lang w:val="en-US" w:eastAsia="zh-CN" w:bidi="ar-SA"/>
    </w:rPr>
  </w:style>
  <w:style w:type="character" w:customStyle="1" w:styleId="70">
    <w:name w:val="批注框文本 Char"/>
    <w:link w:val="35"/>
    <w:semiHidden/>
    <w:uiPriority w:val="0"/>
    <w:rPr>
      <w:rFonts w:ascii="Times New Roman" w:hAnsi="Times New Roman" w:eastAsia="宋体" w:cs="Times New Roman"/>
      <w:kern w:val="0"/>
      <w:sz w:val="18"/>
      <w:szCs w:val="18"/>
      <w:lang w:val="en-US" w:eastAsia="zh-CN" w:bidi="ar-SA"/>
    </w:rPr>
  </w:style>
  <w:style w:type="character" w:customStyle="1" w:styleId="71">
    <w:name w:val="正文文本 2 Char"/>
    <w:link w:val="46"/>
    <w:uiPriority w:val="0"/>
    <w:rPr>
      <w:rFonts w:ascii="Times New Roman" w:hAnsi="Times New Roman" w:eastAsia="宋体" w:cs="Times New Roman"/>
      <w:kern w:val="0"/>
      <w:sz w:val="20"/>
      <w:szCs w:val="22"/>
      <w:lang w:val="en-US" w:eastAsia="zh-CN" w:bidi="ar-SA"/>
    </w:rPr>
  </w:style>
  <w:style w:type="character" w:customStyle="1" w:styleId="72">
    <w:name w:val="文档结构图 Char"/>
    <w:link w:val="22"/>
    <w:uiPriority w:val="0"/>
    <w:rPr>
      <w:rFonts w:ascii="Times New Roman" w:hAnsi="Times New Roman" w:eastAsia="宋体" w:cs="Times New Roman"/>
      <w:kern w:val="0"/>
      <w:sz w:val="20"/>
      <w:szCs w:val="22"/>
      <w:lang w:val="en-US" w:eastAsia="zh-CN" w:bidi="ar-SA"/>
    </w:rPr>
  </w:style>
  <w:style w:type="character" w:customStyle="1" w:styleId="73">
    <w:name w:val="font51"/>
    <w:qFormat/>
    <w:uiPriority w:val="0"/>
    <w:rPr>
      <w:rFonts w:hint="default" w:ascii="Times New Roman" w:hAnsi="Times New Roman" w:cs="Times New Roman" w:eastAsiaTheme="minorEastAsia"/>
      <w:b/>
      <w:color w:val="000000"/>
      <w:kern w:val="2"/>
      <w:sz w:val="24"/>
      <w:szCs w:val="24"/>
      <w:u w:val="none"/>
      <w:lang w:val="en-US" w:eastAsia="zh-CN" w:bidi="ar-SA"/>
    </w:rPr>
  </w:style>
  <w:style w:type="character" w:customStyle="1" w:styleId="74">
    <w:name w:val="Char Char"/>
    <w:uiPriority w:val="0"/>
    <w:rPr>
      <w:rFonts w:ascii="宋体" w:hAnsi="Courier New" w:eastAsia="宋体" w:cs="Courier New"/>
      <w:kern w:val="2"/>
      <w:sz w:val="21"/>
      <w:szCs w:val="21"/>
      <w:lang w:val="en-US" w:eastAsia="zh-CN" w:bidi="ar-SA"/>
    </w:rPr>
  </w:style>
  <w:style w:type="character" w:customStyle="1" w:styleId="75">
    <w:name w:val="纯文本 Char"/>
    <w:link w:val="31"/>
    <w:qFormat/>
    <w:uiPriority w:val="0"/>
    <w:rPr>
      <w:rFonts w:ascii="宋体" w:hAnsi="Courier New" w:eastAsia="宋体" w:cs="Times New Roman"/>
      <w:kern w:val="0"/>
      <w:sz w:val="20"/>
      <w:szCs w:val="21"/>
      <w:lang w:val="en-US" w:eastAsia="zh-CN" w:bidi="ar-SA"/>
    </w:rPr>
  </w:style>
  <w:style w:type="character" w:customStyle="1" w:styleId="76">
    <w:name w:val="注释文本字符"/>
    <w:semiHidden/>
    <w:uiPriority w:val="0"/>
    <w:rPr>
      <w:rFonts w:ascii="Times New Roman" w:hAnsi="Times New Roman" w:eastAsia="宋体" w:cs="Times New Roman"/>
      <w:kern w:val="0"/>
      <w:sz w:val="20"/>
      <w:szCs w:val="24"/>
      <w:lang w:val="en-US" w:eastAsia="zh-CN" w:bidi="ar-SA"/>
    </w:rPr>
  </w:style>
  <w:style w:type="character" w:customStyle="1" w:styleId="77">
    <w:name w:val="Char Char3"/>
    <w:uiPriority w:val="0"/>
    <w:rPr>
      <w:rFonts w:eastAsia="宋体" w:asciiTheme="minorHAnsi" w:hAnsiTheme="minorHAnsi" w:cstheme="minorBidi"/>
      <w:kern w:val="2"/>
      <w:sz w:val="18"/>
      <w:szCs w:val="18"/>
      <w:lang w:val="en-US" w:eastAsia="zh-CN" w:bidi="ar-SA"/>
    </w:rPr>
  </w:style>
  <w:style w:type="character" w:customStyle="1" w:styleId="78">
    <w:name w:val="font61"/>
    <w:qFormat/>
    <w:uiPriority w:val="0"/>
    <w:rPr>
      <w:rFonts w:hint="default" w:ascii="Times New Roman" w:hAnsi="Times New Roman" w:cs="Times New Roman" w:eastAsiaTheme="minorEastAsia"/>
      <w:color w:val="000000"/>
      <w:kern w:val="2"/>
      <w:sz w:val="24"/>
      <w:szCs w:val="24"/>
      <w:u w:val="none"/>
      <w:lang w:val="en-US" w:eastAsia="zh-CN" w:bidi="ar-SA"/>
    </w:rPr>
  </w:style>
  <w:style w:type="character" w:customStyle="1" w:styleId="79">
    <w:name w:val="正文首行缩进 2 Char"/>
    <w:link w:val="37"/>
    <w:uiPriority w:val="0"/>
    <w:rPr>
      <w:rFonts w:asciiTheme="minorHAnsi" w:hAnsiTheme="minorHAnsi" w:eastAsiaTheme="minorEastAsia" w:cstheme="minorBidi"/>
      <w:kern w:val="2"/>
      <w:sz w:val="21"/>
      <w:szCs w:val="22"/>
      <w:lang w:val="en-US" w:eastAsia="zh-CN" w:bidi="ar-SA"/>
    </w:rPr>
  </w:style>
  <w:style w:type="character" w:customStyle="1" w:styleId="80">
    <w:name w:val="正文文本缩进 Char"/>
    <w:link w:val="24"/>
    <w:uiPriority w:val="0"/>
    <w:rPr>
      <w:rFonts w:ascii="宋体" w:hAnsi="宋体" w:eastAsia="宋体" w:cs="Times New Roman"/>
      <w:kern w:val="0"/>
      <w:sz w:val="28"/>
      <w:szCs w:val="28"/>
      <w:lang w:val="en-US" w:eastAsia="zh-CN" w:bidi="ar-SA"/>
    </w:rPr>
  </w:style>
  <w:style w:type="character" w:customStyle="1" w:styleId="81">
    <w:name w:val="font21"/>
    <w:qFormat/>
    <w:uiPriority w:val="0"/>
    <w:rPr>
      <w:rFonts w:hint="default" w:ascii="Times New Roman" w:hAnsi="Times New Roman" w:cs="Times New Roman" w:eastAsiaTheme="minorEastAsia"/>
      <w:color w:val="000000"/>
      <w:kern w:val="2"/>
      <w:sz w:val="24"/>
      <w:szCs w:val="24"/>
      <w:u w:val="none"/>
      <w:vertAlign w:val="superscript"/>
      <w:lang w:val="en-US" w:eastAsia="zh-CN" w:bidi="ar-SA"/>
    </w:rPr>
  </w:style>
  <w:style w:type="character" w:customStyle="1" w:styleId="82">
    <w:name w:val="font71"/>
    <w:qFormat/>
    <w:uiPriority w:val="0"/>
    <w:rPr>
      <w:rFonts w:hint="eastAsia" w:ascii="宋体" w:hAnsi="宋体" w:eastAsia="宋体" w:cs="宋体"/>
      <w:color w:val="000000"/>
      <w:kern w:val="2"/>
      <w:sz w:val="24"/>
      <w:szCs w:val="24"/>
      <w:u w:val="none"/>
      <w:lang w:val="en-US" w:eastAsia="zh-CN" w:bidi="ar-SA"/>
    </w:rPr>
  </w:style>
  <w:style w:type="character" w:customStyle="1" w:styleId="83">
    <w:name w:val="zbggmain style9"/>
    <w:basedOn w:val="52"/>
    <w:qFormat/>
    <w:uiPriority w:val="0"/>
    <w:rPr>
      <w:rFonts w:asciiTheme="minorHAnsi" w:hAnsiTheme="minorHAnsi" w:eastAsiaTheme="minorEastAsia" w:cstheme="minorBidi"/>
      <w:kern w:val="2"/>
      <w:sz w:val="21"/>
      <w:szCs w:val="22"/>
      <w:lang w:val="en-US" w:eastAsia="zh-CN" w:bidi="ar-SA"/>
    </w:rPr>
  </w:style>
  <w:style w:type="character" w:customStyle="1" w:styleId="84">
    <w:name w:val="正文文本 3 Char"/>
    <w:link w:val="23"/>
    <w:uiPriority w:val="0"/>
    <w:rPr>
      <w:rFonts w:ascii="Times New Roman" w:hAnsi="Times New Roman" w:eastAsia="宋体" w:cs="Times New Roman"/>
      <w:kern w:val="0"/>
      <w:sz w:val="16"/>
      <w:szCs w:val="16"/>
      <w:lang w:val="en-US" w:eastAsia="zh-CN" w:bidi="ar-SA"/>
    </w:rPr>
  </w:style>
  <w:style w:type="character" w:customStyle="1" w:styleId="85">
    <w:name w:val="px1233"/>
    <w:basedOn w:val="52"/>
    <w:uiPriority w:val="0"/>
    <w:rPr>
      <w:rFonts w:asciiTheme="minorHAnsi" w:hAnsiTheme="minorHAnsi" w:eastAsiaTheme="minorEastAsia" w:cstheme="minorBidi"/>
      <w:kern w:val="2"/>
      <w:sz w:val="21"/>
      <w:szCs w:val="22"/>
      <w:lang w:val="en-US" w:eastAsia="zh-CN" w:bidi="ar-SA"/>
    </w:rPr>
  </w:style>
  <w:style w:type="character" w:customStyle="1" w:styleId="86">
    <w:name w:val="font11"/>
    <w:qFormat/>
    <w:uiPriority w:val="0"/>
    <w:rPr>
      <w:rFonts w:hint="default" w:ascii="Times New Roman" w:hAnsi="Times New Roman" w:cs="Times New Roman" w:eastAsiaTheme="minorEastAsia"/>
      <w:color w:val="000000"/>
      <w:kern w:val="2"/>
      <w:sz w:val="21"/>
      <w:szCs w:val="21"/>
      <w:u w:val="none"/>
      <w:lang w:val="en-US" w:eastAsia="zh-CN" w:bidi="ar-SA"/>
    </w:rPr>
  </w:style>
  <w:style w:type="character" w:customStyle="1" w:styleId="87">
    <w:name w:val="页眉 Char"/>
    <w:link w:val="38"/>
    <w:uiPriority w:val="0"/>
    <w:rPr>
      <w:rFonts w:ascii="Times New Roman" w:hAnsi="Times New Roman" w:eastAsia="宋体" w:cs="Times New Roman"/>
      <w:kern w:val="0"/>
      <w:sz w:val="18"/>
      <w:szCs w:val="20"/>
      <w:lang w:val="en-US" w:eastAsia="zh-CN" w:bidi="ar-SA"/>
    </w:rPr>
  </w:style>
  <w:style w:type="character" w:customStyle="1" w:styleId="88">
    <w:name w:val="页脚 Char"/>
    <w:link w:val="36"/>
    <w:uiPriority w:val="99"/>
    <w:rPr>
      <w:rFonts w:ascii="Times New Roman" w:hAnsi="Times New Roman" w:eastAsia="宋体" w:cs="Times New Roman"/>
      <w:kern w:val="0"/>
      <w:sz w:val="18"/>
      <w:szCs w:val="20"/>
      <w:lang w:val="en-US" w:eastAsia="zh-CN" w:bidi="ar-SA"/>
    </w:rPr>
  </w:style>
  <w:style w:type="character" w:customStyle="1" w:styleId="89">
    <w:name w:val="font41"/>
    <w:qFormat/>
    <w:uiPriority w:val="0"/>
    <w:rPr>
      <w:rFonts w:hint="eastAsia" w:ascii="宋体" w:hAnsi="宋体" w:eastAsia="宋体" w:cs="宋体"/>
      <w:b/>
      <w:color w:val="000000"/>
      <w:kern w:val="2"/>
      <w:sz w:val="24"/>
      <w:szCs w:val="24"/>
      <w:u w:val="none"/>
      <w:lang w:val="en-US" w:eastAsia="zh-CN" w:bidi="ar-SA"/>
    </w:rPr>
  </w:style>
  <w:style w:type="character" w:customStyle="1" w:styleId="90">
    <w:name w:val="正文文本缩进 3 Char"/>
    <w:link w:val="43"/>
    <w:uiPriority w:val="0"/>
    <w:rPr>
      <w:rFonts w:ascii="Times New Roman" w:hAnsi="Times New Roman" w:eastAsia="宋体" w:cs="Times New Roman"/>
      <w:kern w:val="0"/>
      <w:sz w:val="16"/>
      <w:szCs w:val="16"/>
      <w:lang w:val="en-US" w:eastAsia="zh-CN" w:bidi="ar-SA"/>
    </w:rPr>
  </w:style>
  <w:style w:type="character" w:customStyle="1" w:styleId="91">
    <w:name w:val="正文首行缩进 Char"/>
    <w:basedOn w:val="92"/>
    <w:link w:val="15"/>
    <w:uiPriority w:val="0"/>
    <w:rPr>
      <w:rFonts w:ascii="Times New Roman" w:hAnsi="Times New Roman" w:eastAsia="宋体" w:cs="Times New Roman"/>
      <w:kern w:val="0"/>
      <w:sz w:val="20"/>
    </w:rPr>
  </w:style>
  <w:style w:type="character" w:customStyle="1" w:styleId="92">
    <w:name w:val="正文文本字符"/>
    <w:uiPriority w:val="0"/>
    <w:rPr>
      <w:rFonts w:ascii="Times New Roman" w:hAnsi="Times New Roman" w:eastAsia="宋体" w:cs="Times New Roman"/>
      <w:kern w:val="0"/>
      <w:sz w:val="20"/>
      <w:szCs w:val="24"/>
      <w:lang w:val="en-US" w:eastAsia="zh-CN" w:bidi="ar-SA"/>
    </w:rPr>
  </w:style>
  <w:style w:type="character" w:customStyle="1" w:styleId="93">
    <w:name w:val="Char Char2"/>
    <w:uiPriority w:val="0"/>
    <w:rPr>
      <w:rFonts w:eastAsia="宋体" w:asciiTheme="minorHAnsi" w:hAnsiTheme="minorHAnsi" w:cstheme="minorBidi"/>
      <w:kern w:val="2"/>
      <w:sz w:val="18"/>
      <w:szCs w:val="18"/>
      <w:lang w:val="en-US" w:eastAsia="zh-CN" w:bidi="ar-SA"/>
    </w:rPr>
  </w:style>
  <w:style w:type="character" w:customStyle="1" w:styleId="94">
    <w:name w:val="font01"/>
    <w:qFormat/>
    <w:uiPriority w:val="0"/>
    <w:rPr>
      <w:rFonts w:hint="eastAsia" w:ascii="宋体" w:hAnsi="宋体" w:eastAsia="宋体" w:cs="宋体"/>
      <w:color w:val="000000"/>
      <w:kern w:val="2"/>
      <w:sz w:val="21"/>
      <w:szCs w:val="21"/>
      <w:u w:val="none"/>
      <w:lang w:val="en-US" w:eastAsia="zh-CN" w:bidi="ar-SA"/>
    </w:rPr>
  </w:style>
  <w:style w:type="character" w:customStyle="1" w:styleId="95">
    <w:name w:val="正文文本缩进 2 Char"/>
    <w:link w:val="34"/>
    <w:uiPriority w:val="0"/>
    <w:rPr>
      <w:rFonts w:ascii="Times New Roman" w:hAnsi="Times New Roman" w:eastAsia="宋体" w:cs="Times New Roman"/>
      <w:kern w:val="0"/>
      <w:sz w:val="20"/>
      <w:szCs w:val="22"/>
      <w:lang w:val="en-US" w:eastAsia="zh-CN" w:bidi="ar-SA"/>
    </w:rPr>
  </w:style>
  <w:style w:type="character" w:customStyle="1" w:styleId="96">
    <w:name w:val="批注主题 Char"/>
    <w:link w:val="12"/>
    <w:semiHidden/>
    <w:uiPriority w:val="0"/>
    <w:rPr>
      <w:rFonts w:ascii="Times New Roman" w:hAnsi="Times New Roman" w:eastAsia="宋体" w:cs="Times New Roman"/>
      <w:b/>
      <w:bCs/>
      <w:kern w:val="0"/>
      <w:sz w:val="20"/>
      <w:szCs w:val="22"/>
      <w:lang w:val="en-US" w:eastAsia="zh-CN" w:bidi="ar-SA"/>
    </w:rPr>
  </w:style>
  <w:style w:type="character" w:customStyle="1" w:styleId="97">
    <w:name w:val="标题 Char"/>
    <w:link w:val="51"/>
    <w:qFormat/>
    <w:uiPriority w:val="0"/>
    <w:rPr>
      <w:rFonts w:ascii="Cambria" w:hAnsi="Cambria" w:eastAsia="黑体" w:cs="Times New Roman"/>
      <w:b/>
      <w:bCs/>
      <w:kern w:val="0"/>
      <w:sz w:val="32"/>
      <w:szCs w:val="32"/>
      <w:lang w:val="en-US" w:eastAsia="zh-CN" w:bidi="ar-SA"/>
    </w:rPr>
  </w:style>
  <w:style w:type="paragraph" w:customStyle="1" w:styleId="98">
    <w:name w:val="样式1"/>
    <w:basedOn w:val="5"/>
    <w:uiPriority w:val="0"/>
    <w:pPr>
      <w:tabs>
        <w:tab w:val="left" w:pos="864"/>
      </w:tabs>
      <w:spacing w:before="120" w:after="120" w:line="360" w:lineRule="auto"/>
      <w:ind w:left="864" w:hanging="864"/>
    </w:pPr>
    <w:rPr>
      <w:b w:val="0"/>
      <w:bCs w:val="0"/>
    </w:rPr>
  </w:style>
  <w:style w:type="paragraph" w:customStyle="1" w:styleId="99">
    <w:name w:val="Char Char Char1 Char Char Char Char"/>
    <w:basedOn w:val="1"/>
    <w:uiPriority w:val="0"/>
    <w:rPr>
      <w:rFonts w:ascii="Times New Roman" w:hAnsi="Times New Roman" w:eastAsia="宋体" w:cs="Times New Roman"/>
      <w:szCs w:val="24"/>
    </w:rPr>
  </w:style>
  <w:style w:type="paragraph" w:customStyle="1" w:styleId="100">
    <w:name w:val="Char Char Char Char Char Char"/>
    <w:basedOn w:val="1"/>
    <w:uiPriority w:val="0"/>
    <w:rPr>
      <w:rFonts w:ascii="Times New Roman" w:hAnsi="Times New Roman" w:eastAsia="宋体" w:cs="Times New Roman"/>
      <w:szCs w:val="24"/>
    </w:rPr>
  </w:style>
  <w:style w:type="character" w:customStyle="1" w:styleId="101">
    <w:name w:val="批注框文本 Char1"/>
    <w:basedOn w:val="52"/>
    <w:semiHidden/>
    <w:uiPriority w:val="99"/>
    <w:rPr>
      <w:rFonts w:asciiTheme="minorHAnsi" w:hAnsiTheme="minorHAnsi" w:eastAsiaTheme="minorEastAsia" w:cstheme="minorBidi"/>
      <w:kern w:val="2"/>
      <w:sz w:val="18"/>
      <w:szCs w:val="18"/>
      <w:lang w:val="en-US" w:eastAsia="zh-CN" w:bidi="ar-SA"/>
    </w:rPr>
  </w:style>
  <w:style w:type="character" w:customStyle="1" w:styleId="102">
    <w:name w:val="批注框文本字符1"/>
    <w:basedOn w:val="52"/>
    <w:semiHidden/>
    <w:uiPriority w:val="99"/>
    <w:rPr>
      <w:rFonts w:ascii="Heiti SC Light" w:eastAsia="Heiti SC Light" w:hAnsiTheme="minorHAnsi" w:cstheme="minorBidi"/>
      <w:kern w:val="2"/>
      <w:sz w:val="18"/>
      <w:szCs w:val="18"/>
      <w:lang w:val="en-US" w:eastAsia="zh-CN" w:bidi="ar-SA"/>
    </w:rPr>
  </w:style>
  <w:style w:type="character" w:customStyle="1" w:styleId="103">
    <w:name w:val="日期 Char1"/>
    <w:basedOn w:val="52"/>
    <w:semiHidden/>
    <w:uiPriority w:val="99"/>
    <w:rPr>
      <w:rFonts w:asciiTheme="minorHAnsi" w:hAnsiTheme="minorHAnsi" w:eastAsiaTheme="minorEastAsia" w:cstheme="minorBidi"/>
      <w:kern w:val="2"/>
      <w:sz w:val="21"/>
      <w:szCs w:val="22"/>
      <w:lang w:val="en-US" w:eastAsia="zh-CN" w:bidi="ar-SA"/>
    </w:rPr>
  </w:style>
  <w:style w:type="character" w:customStyle="1" w:styleId="104">
    <w:name w:val="日期字符1"/>
    <w:basedOn w:val="52"/>
    <w:semiHidden/>
    <w:uiPriority w:val="99"/>
    <w:rPr>
      <w:rFonts w:asciiTheme="minorHAnsi" w:hAnsiTheme="minorHAnsi" w:eastAsiaTheme="minorEastAsia" w:cstheme="minorBidi"/>
      <w:kern w:val="2"/>
      <w:sz w:val="21"/>
      <w:szCs w:val="22"/>
      <w:lang w:val="en-US" w:eastAsia="zh-CN" w:bidi="ar-SA"/>
    </w:rPr>
  </w:style>
  <w:style w:type="character" w:customStyle="1" w:styleId="105">
    <w:name w:val="纯文本 Char1"/>
    <w:basedOn w:val="52"/>
    <w:semiHidden/>
    <w:qFormat/>
    <w:uiPriority w:val="99"/>
    <w:rPr>
      <w:rFonts w:ascii="宋体" w:hAnsi="Courier New" w:eastAsia="宋体" w:cs="Courier New"/>
      <w:kern w:val="2"/>
      <w:sz w:val="21"/>
      <w:szCs w:val="21"/>
      <w:lang w:val="en-US" w:eastAsia="zh-CN" w:bidi="ar-SA"/>
    </w:rPr>
  </w:style>
  <w:style w:type="character" w:customStyle="1" w:styleId="106">
    <w:name w:val="纯文本字符1"/>
    <w:basedOn w:val="52"/>
    <w:semiHidden/>
    <w:qFormat/>
    <w:uiPriority w:val="99"/>
    <w:rPr>
      <w:rFonts w:ascii="宋体" w:hAnsi="Courier" w:eastAsia="宋体" w:cstheme="minorBidi"/>
      <w:kern w:val="2"/>
      <w:sz w:val="21"/>
      <w:szCs w:val="22"/>
      <w:lang w:val="en-US" w:eastAsia="zh-CN" w:bidi="ar-SA"/>
    </w:rPr>
  </w:style>
  <w:style w:type="character" w:customStyle="1" w:styleId="107">
    <w:name w:val="批注文字 Char"/>
    <w:basedOn w:val="52"/>
    <w:link w:val="13"/>
    <w:qFormat/>
    <w:uiPriority w:val="0"/>
    <w:rPr>
      <w:rFonts w:asciiTheme="minorHAnsi" w:hAnsiTheme="minorHAnsi" w:eastAsiaTheme="minorEastAsia" w:cstheme="minorBidi"/>
      <w:kern w:val="2"/>
      <w:sz w:val="24"/>
      <w:szCs w:val="24"/>
      <w:lang w:val="en-US" w:eastAsia="zh-CN" w:bidi="ar-SA"/>
    </w:rPr>
  </w:style>
  <w:style w:type="character" w:customStyle="1" w:styleId="108">
    <w:name w:val="批注主题 Char1"/>
    <w:basedOn w:val="107"/>
    <w:semiHidden/>
    <w:qFormat/>
    <w:uiPriority w:val="99"/>
    <w:rPr>
      <w:b/>
      <w:bCs/>
      <w:sz w:val="24"/>
      <w:szCs w:val="24"/>
    </w:rPr>
  </w:style>
  <w:style w:type="character" w:customStyle="1" w:styleId="109">
    <w:name w:val="批注主题字符1"/>
    <w:basedOn w:val="107"/>
    <w:semiHidden/>
    <w:qFormat/>
    <w:uiPriority w:val="99"/>
    <w:rPr>
      <w:b/>
      <w:bCs/>
      <w:sz w:val="24"/>
      <w:szCs w:val="24"/>
    </w:rPr>
  </w:style>
  <w:style w:type="paragraph" w:customStyle="1" w:styleId="110">
    <w:name w:val="Char Char Char Char"/>
    <w:basedOn w:val="1"/>
    <w:qFormat/>
    <w:uiPriority w:val="0"/>
    <w:rPr>
      <w:rFonts w:ascii="Times New Roman" w:hAnsi="Times New Roman" w:eastAsia="宋体" w:cs="Times New Roman"/>
      <w:szCs w:val="24"/>
    </w:rPr>
  </w:style>
  <w:style w:type="character" w:customStyle="1" w:styleId="111">
    <w:name w:val="正文文本 Char"/>
    <w:basedOn w:val="52"/>
    <w:link w:val="16"/>
    <w:qFormat/>
    <w:uiPriority w:val="0"/>
    <w:rPr>
      <w:rFonts w:asciiTheme="minorHAnsi" w:hAnsiTheme="minorHAnsi" w:eastAsiaTheme="minorEastAsia" w:cstheme="minorBidi"/>
      <w:kern w:val="2"/>
      <w:sz w:val="24"/>
      <w:szCs w:val="24"/>
      <w:lang w:val="en-US" w:eastAsia="zh-CN" w:bidi="ar-SA"/>
    </w:rPr>
  </w:style>
  <w:style w:type="character" w:customStyle="1" w:styleId="112">
    <w:name w:val="正文首行缩进 Char1"/>
    <w:basedOn w:val="111"/>
    <w:semiHidden/>
    <w:qFormat/>
    <w:uiPriority w:val="99"/>
    <w:rPr>
      <w:sz w:val="24"/>
      <w:szCs w:val="24"/>
    </w:rPr>
  </w:style>
  <w:style w:type="character" w:customStyle="1" w:styleId="113">
    <w:name w:val="正文首行缩进字符1"/>
    <w:basedOn w:val="111"/>
    <w:semiHidden/>
    <w:qFormat/>
    <w:uiPriority w:val="99"/>
    <w:rPr>
      <w:sz w:val="24"/>
      <w:szCs w:val="24"/>
    </w:rPr>
  </w:style>
  <w:style w:type="character" w:customStyle="1" w:styleId="114">
    <w:name w:val="正文文本缩进 3 Char1"/>
    <w:basedOn w:val="52"/>
    <w:semiHidden/>
    <w:uiPriority w:val="99"/>
    <w:rPr>
      <w:rFonts w:asciiTheme="minorHAnsi" w:hAnsiTheme="minorHAnsi" w:eastAsiaTheme="minorEastAsia" w:cstheme="minorBidi"/>
      <w:kern w:val="2"/>
      <w:sz w:val="16"/>
      <w:szCs w:val="16"/>
      <w:lang w:val="en-US" w:eastAsia="zh-CN" w:bidi="ar-SA"/>
    </w:rPr>
  </w:style>
  <w:style w:type="character" w:customStyle="1" w:styleId="115">
    <w:name w:val="正文文本缩进 3字符1"/>
    <w:basedOn w:val="52"/>
    <w:semiHidden/>
    <w:uiPriority w:val="99"/>
    <w:rPr>
      <w:rFonts w:asciiTheme="minorHAnsi" w:hAnsiTheme="minorHAnsi" w:eastAsiaTheme="minorEastAsia" w:cstheme="minorBidi"/>
      <w:kern w:val="2"/>
      <w:sz w:val="16"/>
      <w:szCs w:val="16"/>
      <w:lang w:val="en-US" w:eastAsia="zh-CN" w:bidi="ar-SA"/>
    </w:rPr>
  </w:style>
  <w:style w:type="paragraph" w:customStyle="1" w:styleId="116">
    <w:name w:val="p0"/>
    <w:basedOn w:val="1"/>
    <w:qFormat/>
    <w:uiPriority w:val="0"/>
    <w:pPr>
      <w:widowControl/>
    </w:pPr>
    <w:rPr>
      <w:rFonts w:ascii="Times New Roman" w:hAnsi="Times New Roman" w:eastAsia="宋体" w:cs="Times New Roman"/>
      <w:kern w:val="0"/>
      <w:szCs w:val="21"/>
    </w:rPr>
  </w:style>
  <w:style w:type="character" w:customStyle="1" w:styleId="117">
    <w:name w:val="文档结构图 Char1"/>
    <w:basedOn w:val="52"/>
    <w:semiHidden/>
    <w:uiPriority w:val="99"/>
    <w:rPr>
      <w:rFonts w:ascii="宋体" w:eastAsia="宋体" w:hAnsiTheme="minorHAnsi" w:cstheme="minorBidi"/>
      <w:kern w:val="2"/>
      <w:sz w:val="18"/>
      <w:szCs w:val="18"/>
      <w:lang w:val="en-US" w:eastAsia="zh-CN" w:bidi="ar-SA"/>
    </w:rPr>
  </w:style>
  <w:style w:type="character" w:customStyle="1" w:styleId="118">
    <w:name w:val="文档结构图 字符1"/>
    <w:basedOn w:val="52"/>
    <w:semiHidden/>
    <w:uiPriority w:val="99"/>
    <w:rPr>
      <w:rFonts w:ascii="Heiti SC Light" w:eastAsia="Heiti SC Light" w:hAnsiTheme="minorHAnsi" w:cstheme="minorBidi"/>
      <w:kern w:val="2"/>
      <w:sz w:val="21"/>
      <w:szCs w:val="22"/>
      <w:lang w:val="en-US" w:eastAsia="zh-CN" w:bidi="ar-SA"/>
    </w:rPr>
  </w:style>
  <w:style w:type="character" w:customStyle="1" w:styleId="119">
    <w:name w:val="正文文本 3 Char1"/>
    <w:basedOn w:val="52"/>
    <w:semiHidden/>
    <w:uiPriority w:val="99"/>
    <w:rPr>
      <w:rFonts w:asciiTheme="minorHAnsi" w:hAnsiTheme="minorHAnsi" w:eastAsiaTheme="minorEastAsia" w:cstheme="minorBidi"/>
      <w:kern w:val="2"/>
      <w:sz w:val="16"/>
      <w:szCs w:val="16"/>
      <w:lang w:val="en-US" w:eastAsia="zh-CN" w:bidi="ar-SA"/>
    </w:rPr>
  </w:style>
  <w:style w:type="character" w:customStyle="1" w:styleId="120">
    <w:name w:val="正文文本 3字符1"/>
    <w:basedOn w:val="52"/>
    <w:semiHidden/>
    <w:uiPriority w:val="99"/>
    <w:rPr>
      <w:rFonts w:asciiTheme="minorHAnsi" w:hAnsiTheme="minorHAnsi" w:eastAsiaTheme="minorEastAsia" w:cstheme="minorBidi"/>
      <w:kern w:val="2"/>
      <w:sz w:val="16"/>
      <w:szCs w:val="16"/>
      <w:lang w:val="en-US" w:eastAsia="zh-CN" w:bidi="ar-SA"/>
    </w:rPr>
  </w:style>
  <w:style w:type="character" w:customStyle="1" w:styleId="121">
    <w:name w:val="正文文本缩进 Char1"/>
    <w:basedOn w:val="52"/>
    <w:semiHidden/>
    <w:uiPriority w:val="99"/>
    <w:rPr>
      <w:rFonts w:asciiTheme="minorHAnsi" w:hAnsiTheme="minorHAnsi" w:eastAsiaTheme="minorEastAsia" w:cstheme="minorBidi"/>
      <w:kern w:val="2"/>
      <w:sz w:val="21"/>
      <w:szCs w:val="22"/>
      <w:lang w:val="en-US" w:eastAsia="zh-CN" w:bidi="ar-SA"/>
    </w:rPr>
  </w:style>
  <w:style w:type="character" w:customStyle="1" w:styleId="122">
    <w:name w:val="正文文本缩进字符1"/>
    <w:basedOn w:val="52"/>
    <w:semiHidden/>
    <w:uiPriority w:val="99"/>
    <w:rPr>
      <w:rFonts w:asciiTheme="minorHAnsi" w:hAnsiTheme="minorHAnsi" w:eastAsiaTheme="minorEastAsia" w:cstheme="minorBidi"/>
      <w:kern w:val="2"/>
      <w:sz w:val="21"/>
      <w:szCs w:val="22"/>
      <w:lang w:val="en-US" w:eastAsia="zh-CN" w:bidi="ar-SA"/>
    </w:rPr>
  </w:style>
  <w:style w:type="character" w:customStyle="1" w:styleId="123">
    <w:name w:val="正文文本缩进 2 Char1"/>
    <w:basedOn w:val="52"/>
    <w:semiHidden/>
    <w:uiPriority w:val="99"/>
    <w:rPr>
      <w:rFonts w:asciiTheme="minorHAnsi" w:hAnsiTheme="minorHAnsi" w:eastAsiaTheme="minorEastAsia" w:cstheme="minorBidi"/>
      <w:kern w:val="2"/>
      <w:sz w:val="21"/>
      <w:szCs w:val="22"/>
      <w:lang w:val="en-US" w:eastAsia="zh-CN" w:bidi="ar-SA"/>
    </w:rPr>
  </w:style>
  <w:style w:type="character" w:customStyle="1" w:styleId="124">
    <w:name w:val="正文文本缩进 2字符1"/>
    <w:basedOn w:val="52"/>
    <w:semiHidden/>
    <w:uiPriority w:val="99"/>
    <w:rPr>
      <w:rFonts w:asciiTheme="minorHAnsi" w:hAnsiTheme="minorHAnsi" w:eastAsiaTheme="minorEastAsia" w:cstheme="minorBidi"/>
      <w:kern w:val="2"/>
      <w:sz w:val="21"/>
      <w:szCs w:val="22"/>
      <w:lang w:val="en-US" w:eastAsia="zh-CN" w:bidi="ar-SA"/>
    </w:rPr>
  </w:style>
  <w:style w:type="paragraph" w:customStyle="1" w:styleId="125">
    <w:name w:val="Legal 3"/>
    <w:basedOn w:val="126"/>
    <w:next w:val="126"/>
    <w:uiPriority w:val="0"/>
    <w:pPr>
      <w:spacing w:after="120"/>
    </w:pPr>
    <w:rPr>
      <w:rFonts w:cs="Times New Roman"/>
      <w:color w:val="auto"/>
    </w:rPr>
  </w:style>
  <w:style w:type="paragraph" w:customStyle="1" w:styleId="126">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27">
    <w:name w:val="页脚 Char1"/>
    <w:basedOn w:val="52"/>
    <w:semiHidden/>
    <w:uiPriority w:val="99"/>
    <w:rPr>
      <w:rFonts w:asciiTheme="minorHAnsi" w:hAnsiTheme="minorHAnsi" w:eastAsiaTheme="minorEastAsia" w:cstheme="minorBidi"/>
      <w:kern w:val="2"/>
      <w:sz w:val="18"/>
      <w:szCs w:val="18"/>
      <w:lang w:val="en-US" w:eastAsia="zh-CN" w:bidi="ar-SA"/>
    </w:rPr>
  </w:style>
  <w:style w:type="character" w:customStyle="1" w:styleId="128">
    <w:name w:val="页脚字符1"/>
    <w:basedOn w:val="52"/>
    <w:semiHidden/>
    <w:uiPriority w:val="99"/>
    <w:rPr>
      <w:rFonts w:asciiTheme="minorHAnsi" w:hAnsiTheme="minorHAnsi" w:eastAsiaTheme="minorEastAsia" w:cstheme="minorBidi"/>
      <w:kern w:val="2"/>
      <w:sz w:val="18"/>
      <w:szCs w:val="18"/>
      <w:lang w:val="en-US" w:eastAsia="zh-CN" w:bidi="ar-SA"/>
    </w:rPr>
  </w:style>
  <w:style w:type="character" w:customStyle="1" w:styleId="129">
    <w:name w:val="正文首行缩进 2 Char1"/>
    <w:basedOn w:val="121"/>
    <w:semiHidden/>
    <w:uiPriority w:val="99"/>
  </w:style>
  <w:style w:type="character" w:customStyle="1" w:styleId="130">
    <w:name w:val="正文首行缩进 2字符1"/>
    <w:basedOn w:val="122"/>
    <w:semiHidden/>
    <w:uiPriority w:val="99"/>
  </w:style>
  <w:style w:type="character" w:customStyle="1" w:styleId="131">
    <w:name w:val="页眉 Char1"/>
    <w:basedOn w:val="52"/>
    <w:semiHidden/>
    <w:uiPriority w:val="99"/>
    <w:rPr>
      <w:rFonts w:asciiTheme="minorHAnsi" w:hAnsiTheme="minorHAnsi" w:eastAsiaTheme="minorEastAsia" w:cstheme="minorBidi"/>
      <w:kern w:val="2"/>
      <w:sz w:val="18"/>
      <w:szCs w:val="18"/>
      <w:lang w:val="en-US" w:eastAsia="zh-CN" w:bidi="ar-SA"/>
    </w:rPr>
  </w:style>
  <w:style w:type="character" w:customStyle="1" w:styleId="132">
    <w:name w:val="页眉字符1"/>
    <w:basedOn w:val="52"/>
    <w:semiHidden/>
    <w:uiPriority w:val="99"/>
    <w:rPr>
      <w:rFonts w:asciiTheme="minorHAnsi" w:hAnsiTheme="minorHAnsi" w:eastAsiaTheme="minorEastAsia" w:cstheme="minorBidi"/>
      <w:kern w:val="2"/>
      <w:sz w:val="18"/>
      <w:szCs w:val="18"/>
      <w:lang w:val="en-US" w:eastAsia="zh-CN" w:bidi="ar-SA"/>
    </w:rPr>
  </w:style>
  <w:style w:type="character" w:customStyle="1" w:styleId="133">
    <w:name w:val="正文文本 2 Char1"/>
    <w:basedOn w:val="52"/>
    <w:semiHidden/>
    <w:uiPriority w:val="99"/>
    <w:rPr>
      <w:rFonts w:asciiTheme="minorHAnsi" w:hAnsiTheme="minorHAnsi" w:eastAsiaTheme="minorEastAsia" w:cstheme="minorBidi"/>
      <w:kern w:val="2"/>
      <w:sz w:val="21"/>
      <w:szCs w:val="22"/>
      <w:lang w:val="en-US" w:eastAsia="zh-CN" w:bidi="ar-SA"/>
    </w:rPr>
  </w:style>
  <w:style w:type="character" w:customStyle="1" w:styleId="134">
    <w:name w:val="正文文本 2字符1"/>
    <w:basedOn w:val="52"/>
    <w:semiHidden/>
    <w:uiPriority w:val="99"/>
    <w:rPr>
      <w:rFonts w:asciiTheme="minorHAnsi" w:hAnsiTheme="minorHAnsi" w:eastAsiaTheme="minorEastAsia" w:cstheme="minorBidi"/>
      <w:kern w:val="2"/>
      <w:sz w:val="21"/>
      <w:szCs w:val="22"/>
      <w:lang w:val="en-US" w:eastAsia="zh-CN" w:bidi="ar-SA"/>
    </w:rPr>
  </w:style>
  <w:style w:type="character" w:customStyle="1" w:styleId="135">
    <w:name w:val="标题 Char1"/>
    <w:basedOn w:val="52"/>
    <w:uiPriority w:val="10"/>
    <w:rPr>
      <w:rFonts w:eastAsia="宋体" w:asciiTheme="majorHAnsi" w:hAnsiTheme="majorHAnsi" w:cstheme="majorBidi"/>
      <w:b/>
      <w:bCs/>
      <w:kern w:val="2"/>
      <w:sz w:val="32"/>
      <w:szCs w:val="32"/>
      <w:lang w:val="en-US" w:eastAsia="zh-CN" w:bidi="ar-SA"/>
    </w:rPr>
  </w:style>
  <w:style w:type="character" w:customStyle="1" w:styleId="136">
    <w:name w:val="标题字符1"/>
    <w:basedOn w:val="52"/>
    <w:uiPriority w:val="10"/>
    <w:rPr>
      <w:rFonts w:eastAsia="宋体" w:asciiTheme="majorHAnsi" w:hAnsiTheme="majorHAnsi" w:cstheme="majorBidi"/>
      <w:b/>
      <w:bCs/>
      <w:kern w:val="2"/>
      <w:sz w:val="32"/>
      <w:szCs w:val="32"/>
      <w:lang w:val="en-US" w:eastAsia="zh-CN" w:bidi="ar-SA"/>
    </w:rPr>
  </w:style>
  <w:style w:type="paragraph" w:customStyle="1" w:styleId="137">
    <w:name w:val="列出段落1"/>
    <w:basedOn w:val="1"/>
    <w:unhideWhenUsed/>
    <w:qFormat/>
    <w:uiPriority w:val="99"/>
    <w:pPr>
      <w:ind w:firstLine="420" w:firstLineChars="200"/>
    </w:pPr>
    <w:rPr>
      <w:rFonts w:ascii="Calibri" w:hAnsi="Calibri" w:eastAsia="宋体" w:cs="Times New Roman"/>
    </w:rPr>
  </w:style>
  <w:style w:type="paragraph" w:customStyle="1" w:styleId="138">
    <w:name w:val="图表标题"/>
    <w:basedOn w:val="1"/>
    <w:next w:val="16"/>
    <w:uiPriority w:val="0"/>
    <w:rPr>
      <w:rFonts w:ascii="Times New Roman" w:hAnsi="Times New Roman" w:eastAsia="宋体" w:cs="Times New Roman"/>
      <w:sz w:val="30"/>
      <w:szCs w:val="20"/>
    </w:rPr>
  </w:style>
  <w:style w:type="paragraph" w:customStyle="1" w:styleId="139">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40">
    <w:name w:val="Char"/>
    <w:basedOn w:val="1"/>
    <w:uiPriority w:val="0"/>
    <w:rPr>
      <w:rFonts w:ascii="仿宋_GB2312" w:hAnsi="Times New Roman" w:eastAsia="仿宋_GB2312" w:cs="Times New Roman"/>
      <w:b/>
      <w:sz w:val="32"/>
      <w:szCs w:val="32"/>
    </w:rPr>
  </w:style>
  <w:style w:type="paragraph" w:customStyle="1" w:styleId="141">
    <w:name w:val="Char4 Char Char Char"/>
    <w:basedOn w:val="22"/>
    <w:uiPriority w:val="0"/>
    <w:rPr>
      <w:rFonts w:ascii="Tahoma" w:hAnsi="Tahoma"/>
      <w:sz w:val="24"/>
    </w:rPr>
  </w:style>
  <w:style w:type="paragraph" w:customStyle="1" w:styleId="142">
    <w:name w:val="表内文字"/>
    <w:basedOn w:val="1"/>
    <w:uiPriority w:val="0"/>
    <w:pPr>
      <w:widowControl/>
      <w:ind w:firstLine="120" w:firstLineChars="50"/>
    </w:pPr>
    <w:rPr>
      <w:rFonts w:ascii="宋体" w:hAnsi="宋体" w:eastAsia="宋体" w:cs="Times New Roman"/>
      <w:sz w:val="24"/>
      <w:szCs w:val="20"/>
    </w:rPr>
  </w:style>
  <w:style w:type="paragraph" w:customStyle="1" w:styleId="143">
    <w:name w:val="Char Char Char"/>
    <w:basedOn w:val="1"/>
    <w:uiPriority w:val="0"/>
    <w:pPr>
      <w:ind w:firstLine="360" w:firstLineChars="150"/>
    </w:pPr>
    <w:rPr>
      <w:rFonts w:ascii="Tahoma" w:hAnsi="Tahoma" w:eastAsia="宋体" w:cs="Times New Roman"/>
      <w:sz w:val="24"/>
      <w:szCs w:val="20"/>
    </w:rPr>
  </w:style>
  <w:style w:type="paragraph" w:customStyle="1" w:styleId="144">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45">
    <w:name w:val="legal 2"/>
    <w:basedOn w:val="126"/>
    <w:next w:val="126"/>
    <w:uiPriority w:val="0"/>
    <w:pPr>
      <w:spacing w:after="120"/>
    </w:pPr>
    <w:rPr>
      <w:rFonts w:cs="Times New Roman"/>
      <w:color w:val="auto"/>
    </w:rPr>
  </w:style>
  <w:style w:type="paragraph" w:customStyle="1" w:styleId="146">
    <w:name w:val="列表延续"/>
    <w:basedOn w:val="1"/>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47">
    <w:name w:val="Legal 5"/>
    <w:basedOn w:val="126"/>
    <w:next w:val="126"/>
    <w:uiPriority w:val="0"/>
    <w:pPr>
      <w:spacing w:after="120"/>
    </w:pPr>
    <w:rPr>
      <w:rFonts w:cs="Times New Roman"/>
      <w:color w:val="auto"/>
    </w:rPr>
  </w:style>
  <w:style w:type="paragraph" w:customStyle="1" w:styleId="14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9">
    <w:name w:val="Legal 4"/>
    <w:basedOn w:val="126"/>
    <w:next w:val="126"/>
    <w:uiPriority w:val="0"/>
    <w:pPr>
      <w:spacing w:after="120"/>
    </w:pPr>
    <w:rPr>
      <w:rFonts w:cs="Times New Roman"/>
      <w:color w:val="auto"/>
    </w:rPr>
  </w:style>
  <w:style w:type="paragraph" w:customStyle="1" w:styleId="150">
    <w:name w:val="_Style 41"/>
    <w:next w:val="1"/>
    <w:uiPriority w:val="0"/>
    <w:pPr>
      <w:widowControl w:val="0"/>
      <w:jc w:val="both"/>
    </w:pPr>
    <w:rPr>
      <w:rFonts w:ascii="Calibri" w:hAnsi="Calibri" w:eastAsia="宋体" w:cs="Times New Roman"/>
      <w:kern w:val="2"/>
      <w:sz w:val="21"/>
      <w:szCs w:val="22"/>
      <w:lang w:val="en-US" w:eastAsia="zh-CN" w:bidi="ar-SA"/>
    </w:rPr>
  </w:style>
  <w:style w:type="paragraph" w:customStyle="1" w:styleId="151">
    <w:name w:val="正文文字3"/>
    <w:basedOn w:val="16"/>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52">
    <w:name w:val="1"/>
    <w:basedOn w:val="1"/>
    <w:uiPriority w:val="0"/>
    <w:rPr>
      <w:rFonts w:ascii="仿宋_GB2312" w:hAnsi="Times New Roman" w:eastAsia="仿宋_GB2312" w:cs="Times New Roman"/>
      <w:b/>
      <w:sz w:val="32"/>
      <w:szCs w:val="32"/>
    </w:rPr>
  </w:style>
  <w:style w:type="paragraph" w:customStyle="1" w:styleId="153">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4">
    <w:name w:val="p16"/>
    <w:basedOn w:val="1"/>
    <w:uiPriority w:val="0"/>
    <w:pPr>
      <w:widowControl/>
      <w:spacing w:line="360" w:lineRule="auto"/>
      <w:ind w:left="-2" w:firstLine="2"/>
      <w:jc w:val="left"/>
    </w:pPr>
    <w:rPr>
      <w:rFonts w:ascii="宋体" w:hAnsi="宋体" w:eastAsia="宋体" w:cs="宋体"/>
      <w:kern w:val="0"/>
      <w:sz w:val="30"/>
      <w:szCs w:val="30"/>
    </w:rPr>
  </w:style>
  <w:style w:type="paragraph" w:customStyle="1" w:styleId="155">
    <w:name w:val="List Paragraph"/>
    <w:basedOn w:val="1"/>
    <w:unhideWhenUsed/>
    <w:uiPriority w:val="99"/>
    <w:pPr>
      <w:ind w:firstLine="420" w:firstLineChars="200"/>
    </w:pPr>
    <w:rPr>
      <w:sz w:val="24"/>
      <w:szCs w:val="24"/>
    </w:rPr>
  </w:style>
  <w:style w:type="paragraph" w:customStyle="1" w:styleId="156">
    <w:name w:val="正文 A"/>
    <w:uiPriority w:val="0"/>
    <w:pPr>
      <w:widowControl w:val="0"/>
      <w:pBdr>
        <w:top w:val="none" w:color="FFFFFF" w:sz="96" w:space="31"/>
        <w:left w:val="none" w:color="FFFFFF" w:sz="96" w:space="31"/>
        <w:bottom w:val="none" w:color="FFFFFF" w:sz="96" w:space="31"/>
        <w:right w:val="none" w:color="FFFFFF" w:sz="96" w:space="31"/>
      </w:pBdr>
      <w:jc w:val="both"/>
    </w:pPr>
    <w:rPr>
      <w:rFonts w:ascii="Calibri" w:hAnsi="Calibri" w:eastAsia="宋体" w:cs="Calibri"/>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4375</Words>
  <Characters>24941</Characters>
  <Lines>207</Lines>
  <Paragraphs>58</Paragraphs>
  <TotalTime>0</TotalTime>
  <ScaleCrop>false</ScaleCrop>
  <LinksUpToDate>false</LinksUpToDate>
  <CharactersWithSpaces>29258</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2019-07-02T06:17:00Z</dcterms:created>
  <dc:creator>周海龙01</dc:creator>
  <cp:lastModifiedBy>贾思勰</cp:lastModifiedBy>
  <dcterms:modified xsi:type="dcterms:W3CDTF">2019-07-10T07:13:25Z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