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color w:val="auto"/>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color w:val="auto"/>
          <w:sz w:val="44"/>
          <w:szCs w:val="44"/>
        </w:rPr>
      </w:pPr>
    </w:p>
    <w:p>
      <w:pPr>
        <w:autoSpaceDE w:val="0"/>
        <w:autoSpaceDN w:val="0"/>
        <w:adjustRightInd w:val="0"/>
        <w:jc w:val="center"/>
        <w:rPr>
          <w:rFonts w:eastAsia="黑体" w:cs="Calibri"/>
          <w:b/>
          <w:color w:val="auto"/>
          <w:sz w:val="44"/>
          <w:szCs w:val="44"/>
        </w:rPr>
      </w:pPr>
    </w:p>
    <w:p>
      <w:pPr>
        <w:autoSpaceDE w:val="0"/>
        <w:autoSpaceDN w:val="0"/>
        <w:adjustRightInd w:val="0"/>
        <w:jc w:val="center"/>
        <w:rPr>
          <w:rFonts w:eastAsia="黑体" w:cs="Calibri"/>
          <w:b/>
          <w:color w:val="auto"/>
          <w:sz w:val="44"/>
          <w:szCs w:val="44"/>
        </w:rPr>
      </w:pPr>
      <w:r>
        <w:rPr>
          <w:rFonts w:hint="eastAsia" w:eastAsia="黑体" w:cs="Calibri"/>
          <w:b/>
          <w:color w:val="auto"/>
          <w:sz w:val="44"/>
          <w:szCs w:val="44"/>
        </w:rPr>
        <w:t>杭州萧山国际机场</w:t>
      </w:r>
    </w:p>
    <w:p>
      <w:pPr>
        <w:autoSpaceDE w:val="0"/>
        <w:autoSpaceDN w:val="0"/>
        <w:adjustRightInd w:val="0"/>
        <w:jc w:val="center"/>
        <w:rPr>
          <w:rFonts w:eastAsia="黑体" w:cs="Calibri"/>
          <w:b/>
          <w:color w:val="auto"/>
          <w:sz w:val="44"/>
          <w:szCs w:val="44"/>
        </w:rPr>
      </w:pPr>
      <w:r>
        <w:rPr>
          <w:rFonts w:hint="eastAsia" w:eastAsia="黑体" w:cs="Calibri"/>
          <w:b/>
          <w:color w:val="auto"/>
          <w:sz w:val="44"/>
          <w:szCs w:val="44"/>
        </w:rPr>
        <w:t xml:space="preserve">  </w:t>
      </w:r>
      <w:r>
        <w:rPr>
          <w:rFonts w:hint="eastAsia" w:eastAsia="黑体" w:cs="Calibri"/>
          <w:b/>
          <w:color w:val="auto"/>
          <w:sz w:val="44"/>
          <w:szCs w:val="44"/>
          <w:u w:val="single"/>
        </w:rPr>
        <w:t>T1/T2中央空调系统循环水泵维保</w:t>
      </w:r>
      <w:r>
        <w:rPr>
          <w:rFonts w:hint="eastAsia" w:eastAsia="黑体" w:cs="Calibri"/>
          <w:b/>
          <w:color w:val="auto"/>
          <w:sz w:val="44"/>
          <w:szCs w:val="44"/>
        </w:rPr>
        <w:t xml:space="preserve">项目    </w:t>
      </w:r>
    </w:p>
    <w:p>
      <w:pPr>
        <w:autoSpaceDE w:val="0"/>
        <w:autoSpaceDN w:val="0"/>
        <w:adjustRightInd w:val="0"/>
        <w:jc w:val="center"/>
        <w:rPr>
          <w:rFonts w:eastAsia="黑体" w:cs="Calibri"/>
          <w:b/>
          <w:bCs/>
          <w:color w:val="auto"/>
          <w:spacing w:val="60"/>
          <w:sz w:val="82"/>
          <w:szCs w:val="82"/>
        </w:rPr>
      </w:pPr>
    </w:p>
    <w:p>
      <w:pPr>
        <w:autoSpaceDE w:val="0"/>
        <w:autoSpaceDN w:val="0"/>
        <w:adjustRightInd w:val="0"/>
        <w:jc w:val="center"/>
        <w:rPr>
          <w:rFonts w:eastAsia="黑体" w:cs="Calibri"/>
          <w:b/>
          <w:bCs/>
          <w:color w:val="auto"/>
          <w:spacing w:val="60"/>
          <w:sz w:val="82"/>
          <w:szCs w:val="82"/>
        </w:rPr>
      </w:pPr>
      <w:r>
        <w:rPr>
          <w:rFonts w:eastAsia="黑体" w:cs="Calibri"/>
          <w:b/>
          <w:bCs/>
          <w:color w:val="auto"/>
          <w:spacing w:val="60"/>
          <w:sz w:val="82"/>
          <w:szCs w:val="82"/>
        </w:rPr>
        <w:t>招标文件</w:t>
      </w:r>
    </w:p>
    <w:p>
      <w:pPr>
        <w:autoSpaceDE w:val="0"/>
        <w:autoSpaceDN w:val="0"/>
        <w:adjustRightInd w:val="0"/>
        <w:jc w:val="center"/>
        <w:rPr>
          <w:rFonts w:cs="Calibri"/>
          <w:b/>
          <w:color w:val="auto"/>
          <w:kern w:val="0"/>
          <w:sz w:val="44"/>
          <w:szCs w:val="44"/>
        </w:rPr>
      </w:pPr>
    </w:p>
    <w:p>
      <w:pPr>
        <w:autoSpaceDE w:val="0"/>
        <w:autoSpaceDN w:val="0"/>
        <w:adjustRightInd w:val="0"/>
        <w:jc w:val="center"/>
        <w:rPr>
          <w:rFonts w:cs="Calibri"/>
          <w:b/>
          <w:color w:val="auto"/>
          <w:kern w:val="0"/>
          <w:sz w:val="44"/>
          <w:szCs w:val="44"/>
        </w:rPr>
      </w:pPr>
    </w:p>
    <w:p>
      <w:pPr>
        <w:autoSpaceDE w:val="0"/>
        <w:autoSpaceDN w:val="0"/>
        <w:adjustRightInd w:val="0"/>
        <w:jc w:val="center"/>
        <w:rPr>
          <w:rFonts w:cs="Calibri"/>
          <w:color w:val="auto"/>
          <w:kern w:val="0"/>
          <w:sz w:val="32"/>
          <w:szCs w:val="32"/>
        </w:rPr>
      </w:pPr>
    </w:p>
    <w:p>
      <w:pPr>
        <w:pStyle w:val="21"/>
        <w:spacing w:line="480" w:lineRule="auto"/>
        <w:rPr>
          <w:rFonts w:ascii="Calibri" w:hAnsi="Calibri" w:eastAsia="隶书" w:cs="Calibri"/>
          <w:color w:val="auto"/>
          <w:sz w:val="32"/>
        </w:rPr>
      </w:pPr>
    </w:p>
    <w:p>
      <w:pPr>
        <w:pStyle w:val="21"/>
        <w:spacing w:line="480" w:lineRule="auto"/>
        <w:jc w:val="center"/>
        <w:rPr>
          <w:rFonts w:ascii="Calibri" w:hAnsi="Calibri" w:eastAsia="隶书" w:cs="Calibri"/>
          <w:color w:val="auto"/>
          <w:sz w:val="32"/>
        </w:rPr>
      </w:pPr>
    </w:p>
    <w:p>
      <w:pPr>
        <w:snapToGrid w:val="0"/>
        <w:jc w:val="center"/>
        <w:rPr>
          <w:rFonts w:eastAsia="黑体" w:cs="Calibri"/>
          <w:color w:val="auto"/>
          <w:sz w:val="32"/>
          <w:szCs w:val="32"/>
        </w:rPr>
      </w:pPr>
      <w:r>
        <w:rPr>
          <w:rFonts w:eastAsia="黑体" w:cs="Calibri"/>
          <w:color w:val="auto"/>
          <w:sz w:val="32"/>
          <w:szCs w:val="32"/>
        </w:rPr>
        <w:t>杭州萧山国际机场有限公司</w:t>
      </w:r>
    </w:p>
    <w:p>
      <w:pPr>
        <w:rPr>
          <w:rFonts w:eastAsia="黑体" w:cs="Calibri"/>
          <w:color w:val="auto"/>
          <w:sz w:val="32"/>
          <w:szCs w:val="32"/>
        </w:rPr>
      </w:pPr>
    </w:p>
    <w:p>
      <w:pPr>
        <w:pStyle w:val="21"/>
        <w:spacing w:line="480" w:lineRule="auto"/>
        <w:jc w:val="center"/>
        <w:rPr>
          <w:rFonts w:ascii="Calibri" w:hAnsi="Calibri" w:eastAsia="楷体_GB2312" w:cs="Calibri"/>
          <w:color w:val="auto"/>
          <w:sz w:val="24"/>
          <w:szCs w:val="24"/>
          <w:u w:val="single"/>
        </w:rPr>
      </w:pPr>
      <w:r>
        <w:rPr>
          <w:rFonts w:hint="eastAsia" w:ascii="Calibri" w:hAnsi="Calibri" w:eastAsia="黑体" w:cs="Calibri"/>
          <w:color w:val="auto"/>
          <w:sz w:val="32"/>
          <w:szCs w:val="32"/>
        </w:rPr>
        <w:t>二</w:t>
      </w:r>
      <w:r>
        <w:rPr>
          <w:rFonts w:hint="eastAsia" w:ascii="黑体" w:hAnsi="黑体" w:eastAsia="黑体" w:cs="Calibri"/>
          <w:color w:val="auto"/>
          <w:sz w:val="32"/>
          <w:szCs w:val="32"/>
        </w:rPr>
        <w:t>Ο</w:t>
      </w:r>
      <w:r>
        <w:rPr>
          <w:rFonts w:hint="eastAsia" w:ascii="Calibri" w:hAnsi="Calibri" w:eastAsia="黑体" w:cs="Calibri"/>
          <w:color w:val="auto"/>
          <w:sz w:val="32"/>
          <w:szCs w:val="32"/>
        </w:rPr>
        <w:t>一九年</w:t>
      </w:r>
      <w:r>
        <w:rPr>
          <w:rFonts w:hint="eastAsia" w:ascii="Calibri" w:hAnsi="Calibri" w:eastAsia="黑体" w:cs="Calibri"/>
          <w:color w:val="auto"/>
          <w:sz w:val="32"/>
          <w:szCs w:val="32"/>
          <w:u w:val="single"/>
        </w:rPr>
        <w:t xml:space="preserve"> 七 </w:t>
      </w:r>
      <w:r>
        <w:rPr>
          <w:rFonts w:ascii="Calibri" w:hAnsi="Calibri" w:eastAsia="黑体" w:cs="Calibri"/>
          <w:color w:val="auto"/>
          <w:sz w:val="32"/>
          <w:szCs w:val="32"/>
        </w:rPr>
        <w:t>月</w:t>
      </w:r>
    </w:p>
    <w:p>
      <w:pPr>
        <w:snapToGrid w:val="0"/>
        <w:spacing w:line="360" w:lineRule="auto"/>
        <w:jc w:val="center"/>
        <w:rPr>
          <w:rFonts w:cs="Calibri"/>
          <w:color w:val="auto"/>
          <w:sz w:val="32"/>
          <w:szCs w:val="32"/>
        </w:rPr>
      </w:pPr>
    </w:p>
    <w:p>
      <w:pPr>
        <w:pStyle w:val="30"/>
        <w:rPr>
          <w:rFonts w:ascii="Calibri" w:cs="Calibri"/>
          <w:b/>
          <w:color w:val="auto"/>
          <w:sz w:val="44"/>
        </w:rPr>
      </w:pPr>
      <w:bookmarkStart w:id="3" w:name="_Toc349011855"/>
      <w:bookmarkStart w:id="4" w:name="_Toc386363314"/>
      <w:bookmarkStart w:id="5" w:name="_Toc349007685"/>
      <w:bookmarkStart w:id="6" w:name="_Toc386359390"/>
      <w:r>
        <w:rPr>
          <w:rFonts w:hint="eastAsia" w:ascii="Calibri" w:cs="Calibri"/>
          <w:b/>
          <w:color w:val="auto"/>
          <w:sz w:val="44"/>
        </w:rPr>
        <w:t xml:space="preserve"> </w:t>
      </w:r>
    </w:p>
    <w:p>
      <w:pPr>
        <w:pStyle w:val="30"/>
        <w:rPr>
          <w:rFonts w:ascii="Calibri" w:hAnsi="Calibri" w:cs="Calibri"/>
          <w:b/>
          <w:color w:val="auto"/>
          <w:sz w:val="44"/>
        </w:rPr>
      </w:pPr>
      <w:bookmarkStart w:id="7" w:name="_Toc444811406"/>
      <w:bookmarkStart w:id="8" w:name="_Toc444174976"/>
      <w:bookmarkStart w:id="9" w:name="_Toc444173456"/>
      <w:bookmarkStart w:id="10" w:name="_Toc400369182"/>
      <w:bookmarkStart w:id="11" w:name="_Toc448002981"/>
      <w:r>
        <w:rPr>
          <w:rFonts w:ascii="Calibri" w:cs="Calibri"/>
          <w:b/>
          <w:color w:val="auto"/>
          <w:sz w:val="44"/>
        </w:rPr>
        <w:t>目</w:t>
      </w:r>
      <w:r>
        <w:rPr>
          <w:rFonts w:ascii="Calibri" w:hAnsi="Calibri" w:cs="Calibri"/>
          <w:b/>
          <w:color w:val="auto"/>
          <w:sz w:val="44"/>
        </w:rPr>
        <w:t xml:space="preserve">  </w:t>
      </w:r>
      <w:r>
        <w:rPr>
          <w:rFonts w:ascii="Calibri" w:cs="Calibri"/>
          <w:b/>
          <w:color w:val="auto"/>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黑体"/>
          <w:bCs w:val="0"/>
          <w:color w:val="auto"/>
          <w:kern w:val="2"/>
          <w:sz w:val="22"/>
          <w:szCs w:val="22"/>
        </w:rPr>
      </w:pPr>
      <w:r>
        <w:rPr>
          <w:rFonts w:hint="eastAsia" w:ascii="黑体" w:hAnsi="黑体" w:eastAsia="黑体" w:cs="Calibri"/>
          <w:color w:val="auto"/>
          <w:sz w:val="22"/>
          <w:szCs w:val="22"/>
        </w:rPr>
        <w:fldChar w:fldCharType="begin"/>
      </w:r>
      <w:r>
        <w:rPr>
          <w:rFonts w:hint="eastAsia" w:ascii="黑体" w:hAnsi="黑体" w:eastAsia="黑体" w:cs="Calibri"/>
          <w:color w:val="auto"/>
          <w:sz w:val="22"/>
          <w:szCs w:val="22"/>
        </w:rPr>
        <w:instrText xml:space="preserve"> TOC \o "1-3" \h \z \u </w:instrText>
      </w:r>
      <w:r>
        <w:rPr>
          <w:rFonts w:hint="eastAsia" w:ascii="黑体" w:hAnsi="黑体" w:eastAsia="黑体" w:cs="Calibri"/>
          <w:color w:val="auto"/>
          <w:sz w:val="22"/>
          <w:szCs w:val="22"/>
        </w:rPr>
        <w:fldChar w:fldCharType="separate"/>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"_Toc448002982" </w:instrText>
      </w:r>
      <w:r>
        <w:rPr>
          <w:color w:val="auto"/>
        </w:rPr>
        <w:fldChar w:fldCharType="separate"/>
      </w:r>
      <w:r>
        <w:rPr>
          <w:rStyle w:val="50"/>
          <w:rFonts w:hint="eastAsia" w:ascii="黑体" w:hAnsi="黑体" w:eastAsia="黑体" w:cs="Calibri"/>
          <w:color w:val="auto"/>
          <w:kern w:val="0"/>
          <w:sz w:val="22"/>
          <w:szCs w:val="22"/>
        </w:rPr>
        <w:t>第一章  招标公告</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_Toc448002982 \h </w:instrText>
      </w:r>
      <w:r>
        <w:rPr>
          <w:rFonts w:hint="eastAsia" w:ascii="黑体" w:hAnsi="黑体" w:eastAsia="黑体"/>
          <w:color w:val="auto"/>
          <w:sz w:val="22"/>
          <w:szCs w:val="22"/>
        </w:rPr>
        <w:fldChar w:fldCharType="separate"/>
      </w:r>
      <w:r>
        <w:rPr>
          <w:rFonts w:ascii="黑体" w:hAnsi="黑体" w:eastAsia="黑体"/>
          <w:color w:val="auto"/>
          <w:sz w:val="22"/>
          <w:szCs w:val="22"/>
        </w:rPr>
        <w:t>- 2 -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"_Toc448002983" </w:instrText>
      </w:r>
      <w:r>
        <w:rPr>
          <w:color w:val="auto"/>
        </w:rPr>
        <w:fldChar w:fldCharType="separate"/>
      </w:r>
      <w:r>
        <w:rPr>
          <w:rStyle w:val="50"/>
          <w:rFonts w:hint="eastAsia" w:ascii="黑体" w:hAnsi="黑体" w:eastAsia="黑体" w:cs="Calibri"/>
          <w:color w:val="auto"/>
          <w:kern w:val="0"/>
          <w:sz w:val="22"/>
          <w:szCs w:val="22"/>
        </w:rPr>
        <w:t>第二章  投标人须知</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_Toc448002983 \h </w:instrText>
      </w:r>
      <w:r>
        <w:rPr>
          <w:rFonts w:hint="eastAsia" w:ascii="黑体" w:hAnsi="黑体" w:eastAsia="黑体"/>
          <w:color w:val="auto"/>
          <w:sz w:val="22"/>
          <w:szCs w:val="22"/>
        </w:rPr>
        <w:fldChar w:fldCharType="separate"/>
      </w:r>
      <w:r>
        <w:rPr>
          <w:rFonts w:ascii="黑体" w:hAnsi="黑体" w:eastAsia="黑体"/>
          <w:color w:val="auto"/>
          <w:sz w:val="22"/>
          <w:szCs w:val="22"/>
        </w:rPr>
        <w:t>- 3 -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"_Toc448002985" </w:instrText>
      </w:r>
      <w:r>
        <w:rPr>
          <w:color w:val="auto"/>
        </w:rPr>
        <w:fldChar w:fldCharType="separate"/>
      </w:r>
      <w:r>
        <w:rPr>
          <w:rStyle w:val="50"/>
          <w:rFonts w:hint="eastAsia" w:ascii="黑体" w:hAnsi="黑体" w:eastAsia="黑体" w:cs="Calibri"/>
          <w:color w:val="auto"/>
          <w:kern w:val="0"/>
          <w:sz w:val="22"/>
          <w:szCs w:val="22"/>
        </w:rPr>
        <w:t>第三章  服务技术标准及要求</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_Toc448002985 \h </w:instrText>
      </w:r>
      <w:r>
        <w:rPr>
          <w:rFonts w:hint="eastAsia" w:ascii="黑体" w:hAnsi="黑体" w:eastAsia="黑体"/>
          <w:color w:val="auto"/>
          <w:sz w:val="22"/>
          <w:szCs w:val="22"/>
        </w:rPr>
        <w:fldChar w:fldCharType="separate"/>
      </w:r>
      <w:r>
        <w:rPr>
          <w:rFonts w:ascii="黑体" w:hAnsi="黑体" w:eastAsia="黑体"/>
          <w:color w:val="auto"/>
          <w:sz w:val="22"/>
          <w:szCs w:val="22"/>
        </w:rPr>
        <w:t>- 11 -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"_Toc448002986" </w:instrText>
      </w:r>
      <w:r>
        <w:rPr>
          <w:color w:val="auto"/>
        </w:rPr>
        <w:fldChar w:fldCharType="separate"/>
      </w:r>
      <w:r>
        <w:rPr>
          <w:rStyle w:val="50"/>
          <w:rFonts w:hint="eastAsia" w:ascii="黑体" w:hAnsi="黑体" w:eastAsia="黑体" w:cs="Calibri"/>
          <w:color w:val="auto"/>
          <w:kern w:val="0"/>
          <w:sz w:val="22"/>
          <w:szCs w:val="22"/>
        </w:rPr>
        <w:t>第四章  合同条款</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_Toc448002986 \h </w:instrText>
      </w:r>
      <w:r>
        <w:rPr>
          <w:rFonts w:hint="eastAsia" w:ascii="黑体" w:hAnsi="黑体" w:eastAsia="黑体"/>
          <w:color w:val="auto"/>
          <w:sz w:val="22"/>
          <w:szCs w:val="22"/>
        </w:rPr>
        <w:fldChar w:fldCharType="separate"/>
      </w:r>
      <w:r>
        <w:rPr>
          <w:rFonts w:ascii="黑体" w:hAnsi="黑体" w:eastAsia="黑体"/>
          <w:color w:val="auto"/>
          <w:sz w:val="22"/>
          <w:szCs w:val="22"/>
        </w:rPr>
        <w:t>- 12 -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"_Toc448002987" </w:instrText>
      </w:r>
      <w:r>
        <w:rPr>
          <w:color w:val="auto"/>
        </w:rPr>
        <w:fldChar w:fldCharType="separate"/>
      </w:r>
      <w:r>
        <w:rPr>
          <w:rStyle w:val="50"/>
          <w:rFonts w:hint="eastAsia" w:ascii="黑体" w:hAnsi="黑体" w:eastAsia="黑体" w:cs="Calibri"/>
          <w:color w:val="auto"/>
          <w:kern w:val="0"/>
          <w:sz w:val="22"/>
          <w:szCs w:val="22"/>
        </w:rPr>
        <w:t>第五章  评标方法及标准</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_Toc448002987 \h </w:instrText>
      </w:r>
      <w:r>
        <w:rPr>
          <w:rFonts w:hint="eastAsia" w:ascii="黑体" w:hAnsi="黑体" w:eastAsia="黑体"/>
          <w:color w:val="auto"/>
          <w:sz w:val="22"/>
          <w:szCs w:val="22"/>
        </w:rPr>
        <w:fldChar w:fldCharType="separate"/>
      </w:r>
      <w:r>
        <w:rPr>
          <w:rFonts w:ascii="黑体" w:hAnsi="黑体" w:eastAsia="黑体"/>
          <w:color w:val="auto"/>
          <w:sz w:val="22"/>
          <w:szCs w:val="22"/>
        </w:rPr>
        <w:t>- 13 -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pStyle w:val="30"/>
        <w:spacing w:line="480" w:lineRule="auto"/>
        <w:rPr>
          <w:rFonts w:ascii="黑体" w:hAnsi="黑体" w:eastAsia="黑体" w:cs="黑体"/>
          <w:bCs w:val="0"/>
          <w:color w:val="auto"/>
          <w:kern w:val="2"/>
          <w:sz w:val="22"/>
          <w:szCs w:val="22"/>
        </w:rPr>
      </w:pPr>
      <w:r>
        <w:rPr>
          <w:color w:val="auto"/>
        </w:rPr>
        <w:fldChar w:fldCharType="begin"/>
      </w:r>
      <w:r>
        <w:rPr>
          <w:color w:val="auto"/>
        </w:rPr>
        <w:instrText xml:space="preserve"> HYPERLINK \l "_Toc448002988" </w:instrText>
      </w:r>
      <w:r>
        <w:rPr>
          <w:color w:val="auto"/>
        </w:rPr>
        <w:fldChar w:fldCharType="separate"/>
      </w:r>
      <w:r>
        <w:rPr>
          <w:rStyle w:val="50"/>
          <w:rFonts w:hint="eastAsia" w:ascii="黑体" w:hAnsi="黑体" w:eastAsia="黑体" w:cs="Calibri"/>
          <w:color w:val="auto"/>
          <w:kern w:val="0"/>
          <w:sz w:val="22"/>
          <w:szCs w:val="22"/>
        </w:rPr>
        <w:t>第五章  投标文件格式</w:t>
      </w:r>
      <w:r>
        <w:rPr>
          <w:rFonts w:hint="eastAsia" w:ascii="黑体" w:hAnsi="黑体" w:eastAsia="黑体"/>
          <w:color w:val="auto"/>
          <w:sz w:val="22"/>
          <w:szCs w:val="22"/>
        </w:rPr>
        <w:tab/>
      </w:r>
      <w:r>
        <w:rPr>
          <w:rFonts w:hint="eastAsia" w:ascii="黑体" w:hAnsi="黑体" w:eastAsia="黑体"/>
          <w:color w:val="auto"/>
          <w:sz w:val="22"/>
          <w:szCs w:val="22"/>
        </w:rPr>
        <w:fldChar w:fldCharType="begin"/>
      </w:r>
      <w:r>
        <w:rPr>
          <w:rFonts w:hint="eastAsia" w:ascii="黑体" w:hAnsi="黑体" w:eastAsia="黑体"/>
          <w:color w:val="auto"/>
          <w:sz w:val="22"/>
          <w:szCs w:val="22"/>
        </w:rPr>
        <w:instrText xml:space="preserve"> PAGEREF _Toc448002988 \h </w:instrText>
      </w:r>
      <w:r>
        <w:rPr>
          <w:rFonts w:hint="eastAsia" w:ascii="黑体" w:hAnsi="黑体" w:eastAsia="黑体"/>
          <w:color w:val="auto"/>
          <w:sz w:val="22"/>
          <w:szCs w:val="22"/>
        </w:rPr>
        <w:fldChar w:fldCharType="separate"/>
      </w:r>
      <w:r>
        <w:rPr>
          <w:rFonts w:ascii="黑体" w:hAnsi="黑体" w:eastAsia="黑体"/>
          <w:color w:val="auto"/>
          <w:sz w:val="22"/>
          <w:szCs w:val="22"/>
        </w:rPr>
        <w:t>- 16 -</w:t>
      </w:r>
      <w:r>
        <w:rPr>
          <w:rFonts w:hint="eastAsia" w:ascii="黑体" w:hAnsi="黑体" w:eastAsia="黑体"/>
          <w:color w:val="auto"/>
          <w:sz w:val="22"/>
          <w:szCs w:val="22"/>
        </w:rPr>
        <w:fldChar w:fldCharType="end"/>
      </w:r>
      <w:r>
        <w:rPr>
          <w:rFonts w:hint="eastAsia" w:ascii="黑体" w:hAnsi="黑体" w:eastAsia="黑体"/>
          <w:color w:val="auto"/>
          <w:sz w:val="22"/>
          <w:szCs w:val="22"/>
        </w:rPr>
        <w:fldChar w:fldCharType="end"/>
      </w:r>
    </w:p>
    <w:p>
      <w:pPr>
        <w:spacing w:line="480" w:lineRule="auto"/>
        <w:jc w:val="center"/>
        <w:rPr>
          <w:rFonts w:cs="Calibri"/>
          <w:color w:val="auto"/>
          <w:sz w:val="24"/>
        </w:rPr>
      </w:pPr>
      <w:r>
        <w:rPr>
          <w:rFonts w:hint="eastAsia" w:ascii="黑体" w:hAnsi="黑体" w:eastAsia="黑体" w:cs="Calibri"/>
          <w:color w:val="auto"/>
          <w:sz w:val="22"/>
        </w:rPr>
        <w:fldChar w:fldCharType="end"/>
      </w:r>
    </w:p>
    <w:p>
      <w:pPr>
        <w:spacing w:line="440" w:lineRule="exact"/>
        <w:ind w:right="480"/>
        <w:rPr>
          <w:rFonts w:cs="Calibri"/>
          <w:color w:val="auto"/>
          <w:sz w:val="24"/>
        </w:rPr>
      </w:pPr>
    </w:p>
    <w:p>
      <w:pPr>
        <w:pStyle w:val="2"/>
        <w:spacing w:before="0" w:after="0" w:line="360" w:lineRule="auto"/>
        <w:jc w:val="center"/>
        <w:rPr>
          <w:rFonts w:ascii="Calibri" w:eastAsia="黑体" w:cs="Calibri"/>
          <w:color w:val="auto"/>
          <w:kern w:val="0"/>
          <w:sz w:val="32"/>
        </w:rPr>
      </w:pPr>
      <w:r>
        <w:rPr>
          <w:rFonts w:ascii="Calibri" w:hAnsi="Calibri" w:cs="Calibri"/>
          <w:color w:val="auto"/>
        </w:rPr>
        <w:br w:type="page"/>
      </w:r>
      <w:bookmarkStart w:id="12" w:name="_Toc6581"/>
      <w:bookmarkStart w:id="13" w:name="_Toc6832"/>
      <w:bookmarkStart w:id="14" w:name="_Toc7641"/>
      <w:bookmarkStart w:id="15" w:name="_Toc22293"/>
      <w:bookmarkStart w:id="16" w:name="_Toc24784"/>
      <w:bookmarkStart w:id="17" w:name="_Toc18642"/>
      <w:bookmarkStart w:id="18" w:name="_Toc24932"/>
      <w:bookmarkStart w:id="19" w:name="_Toc8110"/>
      <w:bookmarkStart w:id="20" w:name="_Toc14628"/>
      <w:bookmarkStart w:id="21" w:name="_Toc448002982"/>
      <w:bookmarkStart w:id="22" w:name="_Toc248766631"/>
      <w:bookmarkStart w:id="23" w:name="_Toc249322950"/>
      <w:r>
        <w:rPr>
          <w:rFonts w:ascii="Calibri" w:eastAsia="黑体" w:cs="Calibri"/>
          <w:color w:val="auto"/>
          <w:kern w:val="0"/>
          <w:sz w:val="32"/>
        </w:rPr>
        <w:t>第一章</w:t>
      </w:r>
      <w:r>
        <w:rPr>
          <w:rFonts w:ascii="Calibri" w:hAnsi="Calibri" w:eastAsia="黑体" w:cs="Calibri"/>
          <w:color w:val="auto"/>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auto"/>
          <w:kern w:val="0"/>
          <w:sz w:val="32"/>
        </w:rPr>
        <w:t>招标公告</w:t>
      </w:r>
      <w:bookmarkEnd w:id="21"/>
    </w:p>
    <w:p>
      <w:pPr>
        <w:widowControl/>
        <w:snapToGrid w:val="0"/>
        <w:spacing w:line="340" w:lineRule="exact"/>
        <w:jc w:val="left"/>
        <w:rPr>
          <w:rFonts w:ascii="Arial" w:hAnsi="Arial" w:cs="Arial"/>
          <w:b/>
          <w:bCs/>
          <w:color w:val="auto"/>
          <w:kern w:val="0"/>
          <w:sz w:val="22"/>
        </w:rPr>
      </w:pPr>
      <w:bookmarkStart w:id="120" w:name="_GoBack"/>
      <w:r>
        <w:rPr>
          <w:rFonts w:hint="eastAsia" w:ascii="Arial" w:hAnsi="Arial" w:cs="Arial"/>
          <w:b/>
          <w:bCs/>
          <w:color w:val="auto"/>
          <w:kern w:val="0"/>
          <w:sz w:val="22"/>
        </w:rPr>
        <w:t>一、招标范围及内容</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（1）杭州萧山国际机场</w:t>
      </w:r>
      <w:r>
        <w:rPr>
          <w:rFonts w:hint="eastAsia" w:ascii="宋体" w:hAnsi="宋体" w:cs="Arial"/>
          <w:color w:val="auto"/>
          <w:kern w:val="0"/>
          <w:sz w:val="22"/>
          <w:u w:val="single"/>
        </w:rPr>
        <w:t xml:space="preserve"> </w:t>
      </w:r>
      <w:r>
        <w:rPr>
          <w:rFonts w:hint="eastAsia" w:ascii="宋体" w:hAnsi="宋体" w:eastAsia="宋体" w:cs="Arial"/>
          <w:color w:val="auto"/>
          <w:kern w:val="0"/>
          <w:sz w:val="22"/>
          <w:u w:val="single"/>
        </w:rPr>
        <w:t>T1/T2</w:t>
      </w:r>
      <w:r>
        <w:rPr>
          <w:rFonts w:hint="eastAsia" w:ascii="宋体" w:hAnsi="宋体" w:cs="Arial"/>
          <w:color w:val="auto"/>
          <w:kern w:val="0"/>
          <w:sz w:val="22"/>
          <w:u w:val="single"/>
        </w:rPr>
        <w:t xml:space="preserve">中央空调系统循环水泵维保 </w:t>
      </w:r>
      <w:r>
        <w:rPr>
          <w:rFonts w:ascii="宋体" w:hAnsi="宋体" w:cs="Arial"/>
          <w:color w:val="auto"/>
          <w:kern w:val="0"/>
          <w:sz w:val="22"/>
        </w:rPr>
        <w:t>项目</w:t>
      </w:r>
      <w:r>
        <w:rPr>
          <w:rFonts w:hint="eastAsia" w:ascii="宋体" w:hAnsi="宋体" w:cs="Arial"/>
          <w:color w:val="auto"/>
          <w:kern w:val="0"/>
          <w:sz w:val="22"/>
        </w:rPr>
        <w:t>已批准建设，项目业主为杭州萧山国际机场有限公司，建设资金来源为自筹。项目已具备招标条件，现对本项目</w:t>
      </w:r>
      <w:r>
        <w:rPr>
          <w:rFonts w:hint="eastAsia" w:ascii="宋体" w:hAnsi="宋体" w:cs="Arial"/>
          <w:color w:val="auto"/>
          <w:kern w:val="0"/>
          <w:sz w:val="22"/>
          <w:u w:val="single"/>
        </w:rPr>
        <w:t xml:space="preserve"> </w:t>
      </w:r>
      <w:r>
        <w:rPr>
          <w:rFonts w:hint="eastAsia" w:ascii="宋体" w:hAnsi="宋体" w:eastAsia="宋体" w:cs="Arial"/>
          <w:color w:val="auto"/>
          <w:kern w:val="0"/>
          <w:sz w:val="22"/>
          <w:u w:val="single"/>
        </w:rPr>
        <w:t>T1/T2</w:t>
      </w:r>
      <w:r>
        <w:rPr>
          <w:rFonts w:hint="eastAsia" w:ascii="宋体" w:hAnsi="宋体" w:cs="Arial"/>
          <w:color w:val="auto"/>
          <w:kern w:val="0"/>
          <w:sz w:val="22"/>
          <w:u w:val="single"/>
        </w:rPr>
        <w:t xml:space="preserve">中央空调系统循环水泵维保项目  </w:t>
      </w:r>
      <w:r>
        <w:rPr>
          <w:rFonts w:hint="eastAsia" w:ascii="宋体" w:hAnsi="宋体" w:cs="Arial"/>
          <w:color w:val="auto"/>
          <w:kern w:val="0"/>
          <w:sz w:val="22"/>
        </w:rPr>
        <w:t>进行公开招标。</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（2）项目概况：</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该项目业务内容为</w:t>
      </w:r>
      <w:r>
        <w:rPr>
          <w:rFonts w:hint="eastAsia" w:ascii="宋体" w:hAnsi="宋体" w:eastAsia="宋体" w:cs="Arial"/>
          <w:color w:val="auto"/>
          <w:kern w:val="0"/>
          <w:sz w:val="22"/>
        </w:rPr>
        <w:t>T1/T2</w:t>
      </w:r>
      <w:r>
        <w:rPr>
          <w:rFonts w:hint="eastAsia" w:ascii="宋体" w:hAnsi="宋体" w:cs="Arial"/>
          <w:color w:val="auto"/>
          <w:kern w:val="0"/>
          <w:sz w:val="22"/>
        </w:rPr>
        <w:t>航站楼中央空调循环水泵群组的设备咨询服务、常规维护保养、大修解体保养、应急抢修等业务，共涉及相关设备32</w:t>
      </w:r>
      <w:r>
        <w:rPr>
          <w:rFonts w:hint="eastAsia" w:ascii="宋体" w:hAnsi="宋体" w:cs="Arial"/>
          <w:color w:val="auto"/>
          <w:kern w:val="0"/>
          <w:sz w:val="22"/>
        </w:rPr>
        <w:t xml:space="preserve">台。 </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本项目位于  T1/T2航站楼动力机房 ，</w:t>
      </w:r>
      <w:r>
        <w:rPr>
          <w:rFonts w:hint="eastAsia" w:ascii="宋体" w:hAnsi="宋体" w:cs="Arial"/>
          <w:color w:val="auto"/>
          <w:kern w:val="0"/>
          <w:sz w:val="22"/>
        </w:rPr>
        <w:t>具体要求详见第三章“服务技术标准及要求”。</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lang w:eastAsia="zh-CN"/>
        </w:rPr>
        <w:t>（</w:t>
      </w:r>
      <w:r>
        <w:rPr>
          <w:rFonts w:hint="eastAsia" w:ascii="宋体" w:hAnsi="宋体" w:cs="Arial"/>
          <w:color w:val="auto"/>
          <w:kern w:val="0"/>
          <w:sz w:val="22"/>
          <w:lang w:val="en-US" w:eastAsia="zh-CN"/>
        </w:rPr>
        <w:t>3</w:t>
      </w:r>
      <w:r>
        <w:rPr>
          <w:rFonts w:hint="eastAsia" w:ascii="宋体" w:hAnsi="宋体" w:cs="Arial"/>
          <w:color w:val="auto"/>
          <w:kern w:val="0"/>
          <w:sz w:val="22"/>
          <w:lang w:eastAsia="zh-CN"/>
        </w:rPr>
        <w:t>）</w:t>
      </w:r>
      <w:r>
        <w:rPr>
          <w:rFonts w:hint="eastAsia" w:ascii="宋体" w:hAnsi="宋体" w:cs="Arial"/>
          <w:color w:val="auto"/>
          <w:kern w:val="0"/>
          <w:sz w:val="22"/>
        </w:rPr>
        <w:t>招标内容：</w:t>
      </w:r>
    </w:p>
    <w:p>
      <w:pPr>
        <w:widowControl/>
        <w:adjustRightInd w:val="0"/>
        <w:snapToGrid w:val="0"/>
        <w:spacing w:line="340" w:lineRule="exact"/>
        <w:ind w:firstLine="440" w:firstLineChars="200"/>
        <w:rPr>
          <w:rFonts w:hint="eastAsia" w:ascii="宋体" w:hAnsi="宋体" w:cs="Arial"/>
          <w:color w:val="auto"/>
          <w:kern w:val="0"/>
          <w:sz w:val="22"/>
        </w:rPr>
      </w:pPr>
      <w:r>
        <w:rPr>
          <w:rFonts w:hint="eastAsia" w:ascii="宋体" w:hAnsi="宋体" w:cs="Arial"/>
          <w:color w:val="auto"/>
          <w:kern w:val="0"/>
          <w:sz w:val="22"/>
        </w:rPr>
        <w:t>1.制定和编制维保计划</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2.对招标文件规定的水泵设备进行定期专业维护</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3.快速处理招标水泵设备的故障响应</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4.做好对招标方理论培训和咨询工作</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（4）服务期：</w:t>
      </w:r>
      <w:r>
        <w:rPr>
          <w:rFonts w:hint="eastAsia" w:ascii="宋体" w:hAnsi="宋体" w:eastAsia="宋体" w:cs="Arial"/>
          <w:color w:val="auto"/>
          <w:kern w:val="0"/>
          <w:sz w:val="22"/>
        </w:rPr>
        <w:t>两</w:t>
      </w:r>
      <w:r>
        <w:rPr>
          <w:rFonts w:hint="eastAsia" w:ascii="宋体" w:hAnsi="宋体" w:cs="Arial"/>
          <w:color w:val="auto"/>
          <w:kern w:val="0"/>
          <w:sz w:val="22"/>
        </w:rPr>
        <w:t>年，自20</w:t>
      </w:r>
      <w:r>
        <w:rPr>
          <w:rFonts w:hint="eastAsia" w:ascii="宋体" w:hAnsi="宋体" w:eastAsia="宋体" w:cs="Arial"/>
          <w:color w:val="auto"/>
          <w:kern w:val="0"/>
          <w:sz w:val="22"/>
        </w:rPr>
        <w:t>20</w:t>
      </w:r>
      <w:r>
        <w:rPr>
          <w:rFonts w:hint="eastAsia" w:ascii="宋体" w:hAnsi="宋体" w:cs="Arial"/>
          <w:color w:val="auto"/>
          <w:kern w:val="0"/>
          <w:sz w:val="22"/>
        </w:rPr>
        <w:t>年1月1日起至2021年12月31日止</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二、</w:t>
      </w:r>
      <w:r>
        <w:rPr>
          <w:rFonts w:ascii="Arial" w:hAnsi="Arial" w:cs="Arial"/>
          <w:b/>
          <w:bCs/>
          <w:color w:val="auto"/>
          <w:kern w:val="0"/>
          <w:sz w:val="22"/>
        </w:rPr>
        <w:t> </w:t>
      </w:r>
      <w:r>
        <w:rPr>
          <w:rFonts w:hint="eastAsia" w:ascii="Arial" w:hAnsi="Arial" w:cs="Arial"/>
          <w:b/>
          <w:bCs/>
          <w:color w:val="auto"/>
          <w:kern w:val="0"/>
          <w:sz w:val="22"/>
        </w:rPr>
        <w:t>投标人资格要求</w:t>
      </w:r>
      <w:r>
        <w:rPr>
          <w:rFonts w:ascii="Arial" w:hAnsi="Arial" w:cs="Arial"/>
          <w:b/>
          <w:bCs/>
          <w:color w:val="auto"/>
          <w:kern w:val="0"/>
          <w:sz w:val="22"/>
        </w:rPr>
        <w:t> </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w:t>
      </w:r>
      <w:r>
        <w:rPr>
          <w:rFonts w:ascii="宋体" w:hAnsi="宋体" w:cs="Arial"/>
          <w:color w:val="auto"/>
          <w:kern w:val="0"/>
          <w:sz w:val="22"/>
        </w:rPr>
        <w:t>具有独立法人资格，持有有效营业执照</w:t>
      </w:r>
      <w:r>
        <w:rPr>
          <w:rFonts w:hint="eastAsia" w:ascii="宋体" w:hAnsi="宋体" w:cs="Arial"/>
          <w:color w:val="auto"/>
          <w:kern w:val="0"/>
          <w:sz w:val="22"/>
        </w:rPr>
        <w:t>，企业注册资金50万人民币及以上</w:t>
      </w:r>
      <w:r>
        <w:rPr>
          <w:rFonts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（3）投标人</w:t>
      </w:r>
      <w:r>
        <w:rPr>
          <w:rFonts w:ascii="宋体" w:hAnsi="宋体" w:cs="Arial"/>
          <w:color w:val="auto"/>
          <w:kern w:val="0"/>
          <w:sz w:val="22"/>
        </w:rPr>
        <w:t>具有一般纳税人</w:t>
      </w:r>
      <w:r>
        <w:rPr>
          <w:rFonts w:hint="eastAsia" w:ascii="宋体" w:hAnsi="宋体" w:cs="Arial"/>
          <w:color w:val="auto"/>
          <w:kern w:val="0"/>
          <w:sz w:val="22"/>
        </w:rPr>
        <w:t>资格</w:t>
      </w:r>
      <w:r>
        <w:rPr>
          <w:rFonts w:ascii="宋体" w:hAnsi="宋体" w:cs="Arial"/>
          <w:color w:val="auto"/>
          <w:kern w:val="0"/>
          <w:sz w:val="22"/>
        </w:rPr>
        <w:t>，可提供税率为</w:t>
      </w:r>
      <w:r>
        <w:rPr>
          <w:rFonts w:hint="eastAsia" w:ascii="宋体" w:hAnsi="宋体" w:cs="Arial"/>
          <w:color w:val="auto"/>
          <w:kern w:val="0"/>
          <w:sz w:val="22"/>
        </w:rPr>
        <w:t>6</w:t>
      </w:r>
      <w:r>
        <w:rPr>
          <w:rFonts w:ascii="宋体" w:hAnsi="宋体" w:cs="Arial"/>
          <w:color w:val="auto"/>
          <w:kern w:val="0"/>
          <w:sz w:val="22"/>
        </w:rPr>
        <w:t>%的增值税专用发票</w:t>
      </w:r>
      <w:r>
        <w:rPr>
          <w:rFonts w:hint="eastAsia"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（4）投标人须具备本次招标水泵品牌中任一维保服务授权书资质（需提供授权书复印件并加盖公章，否则不予认可，原件备查），并在人员、设备、资金等方面具有相应的能力；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（5）201</w:t>
      </w:r>
      <w:r>
        <w:rPr>
          <w:rFonts w:hint="eastAsia" w:ascii="宋体" w:hAnsi="宋体" w:eastAsia="宋体" w:cs="Arial"/>
          <w:color w:val="auto"/>
          <w:kern w:val="0"/>
          <w:sz w:val="22"/>
        </w:rPr>
        <w:t>6</w:t>
      </w:r>
      <w:r>
        <w:rPr>
          <w:rFonts w:hint="eastAsia" w:ascii="宋体" w:hAnsi="宋体" w:cs="Arial"/>
          <w:color w:val="auto"/>
          <w:kern w:val="0"/>
          <w:sz w:val="22"/>
        </w:rPr>
        <w:t>年1月1日至投标截止日具有1个及以上水泵维护保养合同经验（须提供合同复印件并加盖公章作为证明材料，否则不予认可，原件备查）</w:t>
      </w:r>
      <w:r>
        <w:rPr>
          <w:rFonts w:ascii="宋体" w:hAnsi="宋体" w:cs="Arial"/>
          <w:color w:val="auto"/>
          <w:kern w:val="0"/>
          <w:sz w:val="22"/>
        </w:rPr>
        <w:t>；</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（6）本次招标不接受联合体投标。</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三、招标文件获取</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凡符合资格条件并有投标意向的潜在投标人，请通过杭州萧山机场有限公司主页</w:t>
      </w:r>
      <w:r>
        <w:rPr>
          <w:color w:val="auto"/>
        </w:rPr>
        <w:fldChar w:fldCharType="begin"/>
      </w:r>
      <w:r>
        <w:rPr>
          <w:color w:val="auto"/>
        </w:rPr>
        <w:instrText xml:space="preserve"> HYPERLINK "http://www.hzairport.com/zbxx.aspx" </w:instrText>
      </w:r>
      <w:r>
        <w:rPr>
          <w:color w:val="auto"/>
        </w:rPr>
        <w:fldChar w:fldCharType="separate"/>
      </w:r>
      <w:r>
        <w:rPr>
          <w:rFonts w:ascii="宋体" w:hAnsi="宋体" w:cs="Arial"/>
          <w:color w:val="auto"/>
          <w:kern w:val="0"/>
          <w:sz w:val="22"/>
        </w:rPr>
        <w:t>http://www.hzairport.com/zbxx.aspx</w:t>
      </w:r>
      <w:r>
        <w:rPr>
          <w:rFonts w:ascii="宋体" w:hAnsi="宋体" w:cs="Arial"/>
          <w:color w:val="auto"/>
          <w:kern w:val="0"/>
          <w:sz w:val="22"/>
        </w:rPr>
        <w:fldChar w:fldCharType="end"/>
      </w:r>
      <w:r>
        <w:rPr>
          <w:rFonts w:hint="eastAsia" w:ascii="宋体" w:hAnsi="宋体" w:cs="Arial"/>
          <w:color w:val="auto"/>
          <w:kern w:val="0"/>
          <w:sz w:val="22"/>
        </w:rPr>
        <w:t>自行下载招标文件。</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招标文件下载</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四、投标文件的递交</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（1）投标文件递交截止时间：201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eastAsia="宋体" w:cs="Arial"/>
          <w:color w:val="auto"/>
          <w:kern w:val="0"/>
          <w:sz w:val="22"/>
          <w:lang w:val="en-US" w:eastAsia="zh-CN"/>
        </w:rPr>
        <w:t>7</w:t>
      </w:r>
      <w:r>
        <w:rPr>
          <w:rFonts w:hint="eastAsia" w:ascii="宋体" w:hAnsi="宋体" w:cs="Arial"/>
          <w:color w:val="auto"/>
          <w:kern w:val="0"/>
          <w:sz w:val="22"/>
        </w:rPr>
        <w:t>月</w:t>
      </w:r>
      <w:r>
        <w:rPr>
          <w:rFonts w:hint="eastAsia" w:ascii="宋体" w:hAnsi="宋体" w:eastAsia="宋体" w:cs="Arial"/>
          <w:color w:val="auto"/>
          <w:kern w:val="0"/>
          <w:sz w:val="22"/>
          <w:lang w:val="en-US" w:eastAsia="zh-CN"/>
        </w:rPr>
        <w:t>26</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分（北京时间）。投标文件在封口处加盖公章，并派专人于201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eastAsia="宋体" w:cs="Arial"/>
          <w:color w:val="auto"/>
          <w:kern w:val="0"/>
          <w:sz w:val="22"/>
          <w:lang w:val="en-US" w:eastAsia="zh-CN"/>
        </w:rPr>
        <w:t>7</w:t>
      </w:r>
      <w:r>
        <w:rPr>
          <w:rFonts w:hint="eastAsia" w:ascii="宋体" w:hAnsi="宋体" w:cs="Arial"/>
          <w:color w:val="auto"/>
          <w:kern w:val="0"/>
          <w:sz w:val="22"/>
        </w:rPr>
        <w:t>月</w:t>
      </w:r>
      <w:r>
        <w:rPr>
          <w:rFonts w:hint="eastAsia" w:ascii="宋体" w:hAnsi="宋体" w:eastAsia="宋体" w:cs="Arial"/>
          <w:color w:val="auto"/>
          <w:kern w:val="0"/>
          <w:sz w:val="22"/>
          <w:lang w:val="en-US" w:eastAsia="zh-CN"/>
        </w:rPr>
        <w:t>26</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分（北京时间）前送至杭州萧山国际机场翔越路综合服务楼园区招标中心，逾期无效；若采用投递方式的，请于201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eastAsia="宋体" w:cs="Arial"/>
          <w:color w:val="auto"/>
          <w:kern w:val="0"/>
          <w:sz w:val="22"/>
          <w:lang w:val="en-US" w:eastAsia="zh-CN"/>
        </w:rPr>
        <w:t>7</w:t>
      </w:r>
      <w:r>
        <w:rPr>
          <w:rFonts w:hint="eastAsia" w:ascii="宋体" w:hAnsi="宋体" w:cs="Arial"/>
          <w:color w:val="auto"/>
          <w:kern w:val="0"/>
          <w:sz w:val="22"/>
        </w:rPr>
        <w:t>月</w:t>
      </w:r>
      <w:r>
        <w:rPr>
          <w:rFonts w:hint="eastAsia" w:ascii="宋体" w:hAnsi="宋体" w:eastAsia="宋体" w:cs="Arial"/>
          <w:color w:val="auto"/>
          <w:kern w:val="0"/>
          <w:sz w:val="22"/>
          <w:lang w:val="en-US" w:eastAsia="zh-CN"/>
        </w:rPr>
        <w:t>26</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分（北京时间）前投递至杭州萧山国际机场综合楼213室，逾期无效。</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（2）</w:t>
      </w:r>
      <w:r>
        <w:rPr>
          <w:rFonts w:hint="eastAsia" w:ascii="宋体" w:hAnsi="宋体"/>
          <w:color w:val="auto"/>
          <w:szCs w:val="21"/>
        </w:rPr>
        <w:t>逾期送达或者未送达指定地点的投标文件，招标人不予受理。</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五、发布公告的媒介</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本次招标公告在</w:t>
      </w:r>
      <w:r>
        <w:rPr>
          <w:rFonts w:hint="eastAsia" w:ascii="宋体" w:hAnsi="宋体" w:cs="Arial"/>
          <w:b/>
          <w:color w:val="auto"/>
          <w:kern w:val="0"/>
          <w:sz w:val="22"/>
        </w:rPr>
        <w:t>中国采购与招标网和杭州萧山机场有限公司</w:t>
      </w:r>
      <w:r>
        <w:rPr>
          <w:rFonts w:hint="eastAsia" w:ascii="宋体" w:hAnsi="宋体" w:cs="Arial"/>
          <w:color w:val="auto"/>
          <w:kern w:val="0"/>
          <w:sz w:val="22"/>
        </w:rPr>
        <w:t>主页上发布</w:t>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olor w:val="auto"/>
          <w:sz w:val="22"/>
        </w:rPr>
        <w:t>中国采购与招标网</w:t>
      </w:r>
      <w:r>
        <w:rPr>
          <w:rFonts w:ascii="宋体" w:hAnsi="宋体"/>
          <w:color w:val="auto"/>
          <w:sz w:val="22"/>
        </w:rPr>
        <w:t xml:space="preserve">  </w:t>
      </w:r>
      <w:r>
        <w:rPr>
          <w:color w:val="auto"/>
        </w:rPr>
        <w:fldChar w:fldCharType="begin"/>
      </w:r>
      <w:r>
        <w:rPr>
          <w:color w:val="auto"/>
        </w:rPr>
        <w:instrText xml:space="preserve"> HYPERLINK "http://www.chinabidding.com.cn" </w:instrText>
      </w:r>
      <w:r>
        <w:rPr>
          <w:color w:val="auto"/>
        </w:rPr>
        <w:fldChar w:fldCharType="separate"/>
      </w:r>
      <w:r>
        <w:rPr>
          <w:rFonts w:ascii="宋体" w:hAnsi="宋体"/>
          <w:color w:val="auto"/>
          <w:sz w:val="22"/>
        </w:rPr>
        <w:t>http://www.chinabidding.com.cn</w:t>
      </w:r>
      <w:r>
        <w:rPr>
          <w:rFonts w:ascii="宋体" w:hAnsi="宋体"/>
          <w:color w:val="auto"/>
          <w:sz w:val="22"/>
        </w:rPr>
        <w:fldChar w:fldCharType="end"/>
      </w:r>
    </w:p>
    <w:p>
      <w:pPr>
        <w:widowControl/>
        <w:adjustRightInd w:val="0"/>
        <w:snapToGrid w:val="0"/>
        <w:spacing w:line="340" w:lineRule="exact"/>
        <w:ind w:firstLine="440" w:firstLineChars="200"/>
        <w:rPr>
          <w:rFonts w:ascii="宋体" w:hAnsi="宋体" w:cs="Arial"/>
          <w:color w:val="auto"/>
          <w:kern w:val="0"/>
          <w:sz w:val="22"/>
        </w:rPr>
      </w:pPr>
      <w:r>
        <w:rPr>
          <w:rFonts w:hint="eastAsia" w:ascii="宋体" w:hAnsi="宋体" w:cs="Arial"/>
          <w:color w:val="auto"/>
          <w:kern w:val="0"/>
          <w:sz w:val="22"/>
        </w:rPr>
        <w:t>杭州萧山机场有限公司主页http://www.hzairport.com</w:t>
      </w:r>
    </w:p>
    <w:p>
      <w:pPr>
        <w:widowControl/>
        <w:snapToGrid w:val="0"/>
        <w:spacing w:line="340" w:lineRule="exact"/>
        <w:jc w:val="left"/>
        <w:rPr>
          <w:rFonts w:ascii="Arial" w:hAnsi="Arial" w:cs="Arial"/>
          <w:b/>
          <w:bCs/>
          <w:color w:val="auto"/>
          <w:kern w:val="0"/>
          <w:sz w:val="22"/>
        </w:rPr>
      </w:pPr>
      <w:r>
        <w:rPr>
          <w:rFonts w:hint="eastAsia" w:ascii="Arial" w:hAnsi="Arial" w:cs="Arial"/>
          <w:b/>
          <w:bCs/>
          <w:color w:val="auto"/>
          <w:kern w:val="0"/>
          <w:sz w:val="22"/>
        </w:rPr>
        <w:t>六、联系方式</w:t>
      </w:r>
    </w:p>
    <w:p>
      <w:pPr>
        <w:widowControl/>
        <w:adjustRightInd w:val="0"/>
        <w:snapToGrid w:val="0"/>
        <w:spacing w:line="340" w:lineRule="exact"/>
        <w:ind w:firstLine="440" w:firstLineChars="200"/>
        <w:rPr>
          <w:rFonts w:ascii="等线" w:hAnsi="等线"/>
          <w:color w:val="auto"/>
          <w:sz w:val="22"/>
        </w:rPr>
      </w:pPr>
      <w:r>
        <w:rPr>
          <w:rFonts w:hint="eastAsia" w:ascii="等线" w:hAnsi="等线"/>
          <w:color w:val="auto"/>
          <w:sz w:val="22"/>
        </w:rPr>
        <w:t xml:space="preserve">投标联系人：褚建国   联系电话：0571-83833144 </w:t>
      </w:r>
    </w:p>
    <w:p>
      <w:pPr>
        <w:widowControl/>
        <w:adjustRightInd w:val="0"/>
        <w:snapToGrid w:val="0"/>
        <w:spacing w:line="340" w:lineRule="exact"/>
        <w:ind w:firstLine="440" w:firstLineChars="200"/>
        <w:rPr>
          <w:rFonts w:ascii="等线" w:hAnsi="等线"/>
          <w:color w:val="auto"/>
          <w:sz w:val="22"/>
        </w:rPr>
      </w:pPr>
      <w:r>
        <w:rPr>
          <w:rFonts w:hint="eastAsia" w:ascii="等线" w:hAnsi="等线"/>
          <w:color w:val="auto"/>
          <w:sz w:val="22"/>
        </w:rPr>
        <w:t xml:space="preserve">技术联系人：褚建国   联系电话：0571-83833144  </w:t>
      </w:r>
    </w:p>
    <w:p>
      <w:pPr>
        <w:widowControl/>
        <w:adjustRightInd w:val="0"/>
        <w:snapToGrid w:val="0"/>
        <w:spacing w:line="340" w:lineRule="exact"/>
        <w:ind w:firstLine="440" w:firstLineChars="200"/>
        <w:rPr>
          <w:rFonts w:ascii="等线" w:hAnsi="等线"/>
          <w:bCs/>
          <w:color w:val="auto"/>
          <w:sz w:val="22"/>
        </w:rPr>
      </w:pPr>
      <w:r>
        <w:rPr>
          <w:rFonts w:hint="eastAsia" w:ascii="等线" w:hAnsi="等线"/>
          <w:bCs/>
          <w:color w:val="auto"/>
          <w:sz w:val="22"/>
        </w:rPr>
        <w:t>招标监督人：冯卫光   联系电话：0571-86662336</w:t>
      </w:r>
    </w:p>
    <w:bookmarkEnd w:id="120"/>
    <w:p>
      <w:pPr>
        <w:pStyle w:val="2"/>
        <w:spacing w:before="0" w:after="0" w:line="360" w:lineRule="auto"/>
        <w:jc w:val="center"/>
        <w:rPr>
          <w:rFonts w:ascii="Calibri" w:hAnsi="Calibri" w:eastAsia="黑体" w:cs="Calibri"/>
          <w:color w:val="auto"/>
          <w:kern w:val="0"/>
          <w:sz w:val="32"/>
        </w:rPr>
      </w:pPr>
      <w:r>
        <w:rPr>
          <w:rFonts w:ascii="宋体" w:hAnsi="宋体" w:cs="Calibri"/>
          <w:color w:val="auto"/>
          <w:kern w:val="0"/>
          <w:highlight w:val="yellow"/>
        </w:rPr>
        <w:br w:type="page"/>
      </w:r>
      <w:bookmarkStart w:id="24" w:name="_Toc448002983"/>
      <w:r>
        <w:rPr>
          <w:rFonts w:ascii="Calibri" w:eastAsia="黑体" w:cs="Calibri"/>
          <w:color w:val="auto"/>
          <w:kern w:val="0"/>
          <w:sz w:val="32"/>
        </w:rPr>
        <w:t>第二章</w:t>
      </w:r>
      <w:r>
        <w:rPr>
          <w:rFonts w:ascii="Calibri" w:hAnsi="Calibri" w:eastAsia="黑体" w:cs="Calibri"/>
          <w:color w:val="auto"/>
          <w:kern w:val="0"/>
          <w:sz w:val="32"/>
        </w:rPr>
        <w:t xml:space="preserve">  </w:t>
      </w:r>
      <w:r>
        <w:rPr>
          <w:rFonts w:ascii="Calibri" w:eastAsia="黑体" w:cs="Calibri"/>
          <w:color w:val="auto"/>
          <w:kern w:val="0"/>
          <w:sz w:val="32"/>
        </w:rPr>
        <w:t>投标人须知</w:t>
      </w:r>
      <w:bookmarkEnd w:id="0"/>
      <w:bookmarkEnd w:id="22"/>
      <w:bookmarkEnd w:id="23"/>
      <w:bookmarkEnd w:id="24"/>
      <w:bookmarkStart w:id="25" w:name="_Toc143421654"/>
    </w:p>
    <w:p>
      <w:pPr>
        <w:pStyle w:val="82"/>
        <w:jc w:val="center"/>
        <w:rPr>
          <w:rFonts w:ascii="Calibri" w:hAnsi="Calibri" w:eastAsia="黑体" w:cs="Calibri"/>
          <w:color w:val="auto"/>
          <w:kern w:val="2"/>
          <w:sz w:val="28"/>
          <w:szCs w:val="32"/>
        </w:rPr>
      </w:pPr>
      <w:bookmarkStart w:id="26" w:name="_Toc448002984"/>
      <w:bookmarkStart w:id="27" w:name="_Toc349011858"/>
      <w:bookmarkStart w:id="28" w:name="_Toc386359393"/>
      <w:bookmarkStart w:id="29" w:name="_Toc386363317"/>
      <w:bookmarkStart w:id="30" w:name="_Toc400369185"/>
      <w:bookmarkStart w:id="31" w:name="_Toc444174979"/>
      <w:bookmarkStart w:id="32" w:name="_Toc444811409"/>
      <w:bookmarkStart w:id="33" w:name="_Toc349007688"/>
      <w:bookmarkStart w:id="34" w:name="_Toc444173459"/>
      <w:bookmarkStart w:id="35" w:name="_Toc11881"/>
      <w:r>
        <w:rPr>
          <w:rFonts w:ascii="Calibri" w:hAnsi="Arial" w:eastAsia="黑体" w:cs="Calibri"/>
          <w:color w:val="auto"/>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sz w:val="22"/>
              </w:rPr>
              <w:t>1.1</w:t>
            </w:r>
            <w:r>
              <w:rPr>
                <w:rFonts w:hint="eastAsia" w:ascii="等线" w:hAnsi="等线" w:cs="Calibri"/>
                <w:color w:val="auto"/>
                <w:sz w:val="22"/>
              </w:rPr>
              <w:t>.1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项目名称</w:t>
            </w:r>
          </w:p>
        </w:tc>
        <w:tc>
          <w:tcPr>
            <w:tcW w:w="6487" w:type="dxa"/>
            <w:vAlign w:val="center"/>
          </w:tcPr>
          <w:p>
            <w:pPr>
              <w:autoSpaceDE w:val="0"/>
              <w:autoSpaceDN w:val="0"/>
              <w:adjustRightInd w:val="0"/>
              <w:snapToGrid w:val="0"/>
              <w:rPr>
                <w:rFonts w:ascii="等线" w:hAnsi="等线" w:cs="Calibri"/>
                <w:color w:val="auto"/>
                <w:kern w:val="0"/>
                <w:sz w:val="22"/>
              </w:rPr>
            </w:pPr>
            <w:r>
              <w:rPr>
                <w:rFonts w:ascii="宋体" w:hAnsi="宋体" w:cs="Arial"/>
                <w:color w:val="auto"/>
                <w:kern w:val="0"/>
                <w:sz w:val="22"/>
              </w:rPr>
              <w:t>杭州萧山国际机场</w:t>
            </w:r>
            <w:r>
              <w:rPr>
                <w:rFonts w:hint="eastAsia" w:ascii="宋体" w:hAnsi="宋体" w:eastAsia="宋体" w:cs="Arial"/>
                <w:color w:val="auto"/>
                <w:kern w:val="0"/>
                <w:sz w:val="22"/>
              </w:rPr>
              <w:t>T1/T2</w:t>
            </w:r>
            <w:r>
              <w:rPr>
                <w:rFonts w:hint="eastAsia" w:ascii="宋体" w:hAnsi="宋体" w:cs="Arial"/>
                <w:color w:val="auto"/>
                <w:kern w:val="0"/>
                <w:sz w:val="22"/>
              </w:rPr>
              <w:t>中央空调系统循环水泵维保</w:t>
            </w:r>
            <w:r>
              <w:rPr>
                <w:rFonts w:ascii="宋体" w:hAnsi="宋体" w:cs="Arial"/>
                <w:color w:val="auto"/>
                <w:kern w:val="0"/>
                <w:sz w:val="22"/>
              </w:rPr>
              <w:t>项</w:t>
            </w:r>
            <w:r>
              <w:rPr>
                <w:rFonts w:hint="eastAsia" w:ascii="宋体" w:hAnsi="宋体" w:cs="Arial"/>
                <w:color w:val="auto"/>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sz w:val="22"/>
              </w:rPr>
            </w:pPr>
            <w:r>
              <w:rPr>
                <w:rFonts w:ascii="等线" w:hAnsi="等线" w:cs="Calibri"/>
                <w:color w:val="auto"/>
                <w:sz w:val="22"/>
              </w:rPr>
              <w:t>1.1.2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实施</w:t>
            </w:r>
            <w:r>
              <w:rPr>
                <w:rFonts w:ascii="等线" w:hAnsi="等线" w:cs="Calibri"/>
                <w:color w:val="auto"/>
                <w:kern w:val="0"/>
                <w:sz w:val="22"/>
              </w:rPr>
              <w:t>地点</w:t>
            </w:r>
          </w:p>
        </w:tc>
        <w:tc>
          <w:tcPr>
            <w:tcW w:w="6487" w:type="dxa"/>
            <w:vAlign w:val="center"/>
          </w:tcPr>
          <w:p>
            <w:pPr>
              <w:autoSpaceDE w:val="0"/>
              <w:autoSpaceDN w:val="0"/>
              <w:adjustRightInd w:val="0"/>
              <w:snapToGrid w:val="0"/>
              <w:rPr>
                <w:rFonts w:ascii="等线" w:hAnsi="等线" w:cs="Calibri"/>
                <w:color w:val="auto"/>
                <w:kern w:val="0"/>
                <w:sz w:val="22"/>
              </w:rPr>
            </w:pPr>
            <w:r>
              <w:rPr>
                <w:rFonts w:ascii="宋体" w:hAnsi="宋体" w:cs="Calibri"/>
                <w:color w:val="auto"/>
                <w:kern w:val="0"/>
                <w:sz w:val="22"/>
              </w:rPr>
              <w:t>杭州萧山国际机场</w:t>
            </w:r>
            <w:r>
              <w:rPr>
                <w:rFonts w:ascii="宋体" w:hAnsi="宋体" w:cs="Calibri"/>
                <w:color w:val="auto"/>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资金来源</w:t>
            </w:r>
          </w:p>
        </w:tc>
        <w:tc>
          <w:tcPr>
            <w:tcW w:w="6487" w:type="dxa"/>
            <w:vAlign w:val="center"/>
          </w:tcPr>
          <w:p>
            <w:pPr>
              <w:autoSpaceDE w:val="0"/>
              <w:autoSpaceDN w:val="0"/>
              <w:adjustRightInd w:val="0"/>
              <w:snapToGrid w:val="0"/>
              <w:rPr>
                <w:rFonts w:ascii="等线" w:hAnsi="等线" w:cs="Calibri"/>
                <w:color w:val="auto"/>
                <w:kern w:val="0"/>
                <w:sz w:val="22"/>
              </w:rPr>
            </w:pPr>
            <w:r>
              <w:rPr>
                <w:rStyle w:val="132"/>
                <w:rFonts w:hint="eastAsia" w:ascii="等线" w:hAnsi="等线" w:cs="Calibri"/>
                <w:color w:val="auto"/>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招标</w:t>
            </w:r>
            <w:r>
              <w:rPr>
                <w:rFonts w:hint="eastAsia" w:ascii="等线" w:hAnsi="等线" w:cs="Calibri"/>
                <w:color w:val="auto"/>
                <w:kern w:val="0"/>
                <w:sz w:val="22"/>
              </w:rPr>
              <w:t>内容</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见招标公告，具体要求详见第</w:t>
            </w:r>
            <w:r>
              <w:rPr>
                <w:rFonts w:hint="eastAsia" w:ascii="等线" w:hAnsi="等线" w:cs="Calibri"/>
                <w:color w:val="auto"/>
                <w:kern w:val="0"/>
                <w:sz w:val="22"/>
              </w:rPr>
              <w:t>三</w:t>
            </w:r>
            <w:r>
              <w:rPr>
                <w:rFonts w:ascii="等线" w:hAnsi="等线" w:cs="Calibri"/>
                <w:color w:val="auto"/>
                <w:kern w:val="0"/>
                <w:sz w:val="22"/>
              </w:rPr>
              <w:t>章“</w:t>
            </w:r>
            <w:r>
              <w:rPr>
                <w:rFonts w:hint="eastAsia" w:ascii="等线" w:hAnsi="等线" w:cs="Calibri"/>
                <w:color w:val="auto"/>
                <w:kern w:val="0"/>
                <w:sz w:val="22"/>
              </w:rPr>
              <w:t>服务技术标准及要求</w:t>
            </w:r>
            <w:r>
              <w:rPr>
                <w:rFonts w:ascii="等线" w:hAnsi="等线" w:cs="Calibri"/>
                <w:color w:val="auto"/>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4</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招标方式</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5</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资格审查</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6</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投标人资质条件、能力和信誉</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详见招标公告</w:t>
            </w:r>
            <w:r>
              <w:rPr>
                <w:rFonts w:hint="eastAsia" w:ascii="等线" w:hAnsi="等线" w:cs="Calibri"/>
                <w:color w:val="auto"/>
                <w:kern w:val="0"/>
                <w:sz w:val="22"/>
              </w:rPr>
              <w:t>“</w:t>
            </w:r>
            <w:r>
              <w:rPr>
                <w:rFonts w:hint="eastAsia" w:ascii="等线" w:hAnsi="等线" w:cs="黑体"/>
                <w:color w:val="auto"/>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7</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服务期</w:t>
            </w:r>
          </w:p>
        </w:tc>
        <w:tc>
          <w:tcPr>
            <w:tcW w:w="6487" w:type="dxa"/>
            <w:vAlign w:val="center"/>
          </w:tcPr>
          <w:p>
            <w:pPr>
              <w:rPr>
                <w:rFonts w:ascii="等线" w:hAnsi="等线"/>
                <w:color w:val="auto"/>
                <w:sz w:val="22"/>
              </w:rPr>
            </w:pPr>
            <w:r>
              <w:rPr>
                <w:rFonts w:hint="eastAsia" w:ascii="等线" w:hAnsi="等线"/>
                <w:color w:val="auto"/>
                <w:sz w:val="22"/>
                <w:u w:val="single"/>
              </w:rPr>
              <w:t xml:space="preserve">   </w:t>
            </w:r>
            <w:r>
              <w:rPr>
                <w:rFonts w:hint="eastAsia" w:ascii="等线" w:hAnsi="等线" w:eastAsia="宋体"/>
                <w:color w:val="auto"/>
                <w:sz w:val="22"/>
                <w:u w:val="single"/>
              </w:rPr>
              <w:t>730</w:t>
            </w:r>
            <w:r>
              <w:rPr>
                <w:rFonts w:hint="eastAsia" w:ascii="等线" w:hAnsi="等线"/>
                <w:color w:val="auto"/>
                <w:sz w:val="22"/>
                <w:u w:val="single"/>
              </w:rPr>
              <w:t xml:space="preserve">   </w:t>
            </w:r>
            <w:r>
              <w:rPr>
                <w:rFonts w:hint="eastAsia" w:ascii="等线" w:hAnsi="等线"/>
                <w:color w:val="auto"/>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1.8</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质量要求</w:t>
            </w:r>
          </w:p>
        </w:tc>
        <w:tc>
          <w:tcPr>
            <w:tcW w:w="6487" w:type="dxa"/>
            <w:vAlign w:val="center"/>
          </w:tcPr>
          <w:p>
            <w:pPr>
              <w:rPr>
                <w:rFonts w:ascii="等线" w:hAnsi="等线"/>
                <w:color w:val="auto"/>
                <w:sz w:val="22"/>
              </w:rPr>
            </w:pPr>
            <w:r>
              <w:rPr>
                <w:rFonts w:hint="eastAsia" w:ascii="等线" w:hAnsi="等线"/>
                <w:iCs/>
                <w:color w:val="auto"/>
                <w:sz w:val="22"/>
              </w:rPr>
              <w:t>符</w:t>
            </w:r>
            <w:r>
              <w:rPr>
                <w:rFonts w:hint="eastAsia" w:ascii="等线" w:hAnsi="等线"/>
                <w:color w:val="auto"/>
                <w:sz w:val="22"/>
              </w:rPr>
              <w:t>合国家现行标准</w:t>
            </w:r>
            <w:r>
              <w:rPr>
                <w:rFonts w:hint="eastAsia" w:ascii="宋体" w:hAnsi="宋体"/>
                <w:color w:val="auto"/>
                <w:sz w:val="22"/>
              </w:rPr>
              <w:t>（详见第三章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9</w:t>
            </w:r>
            <w:r>
              <w:rPr>
                <w:rFonts w:ascii="等线" w:hAnsi="等线" w:cs="Calibri"/>
                <w:color w:val="auto"/>
                <w:kern w:val="0"/>
                <w:sz w:val="22"/>
              </w:rPr>
              <w:t>.1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踏勘现场</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不组织</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□组织，踏勘时间：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w:t>
            </w:r>
            <w:r>
              <w:rPr>
                <w:rFonts w:hint="eastAsia" w:ascii="等线" w:hAnsi="等线" w:cs="Calibri"/>
                <w:color w:val="auto"/>
                <w:kern w:val="0"/>
                <w:sz w:val="22"/>
              </w:rPr>
              <w:t>10</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投标预备会</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不召开</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□召开，召开时间：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投标人提出问题的截止时间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eastAsia="宋体" w:cs="Calibri"/>
                <w:color w:val="auto"/>
                <w:kern w:val="0"/>
                <w:sz w:val="22"/>
              </w:rPr>
              <w:t>2019</w:t>
            </w:r>
            <w:r>
              <w:rPr>
                <w:rFonts w:hint="eastAsia" w:ascii="宋体" w:hAnsi="宋体" w:cs="Calibri"/>
                <w:color w:val="auto"/>
                <w:kern w:val="0"/>
                <w:sz w:val="22"/>
              </w:rPr>
              <w:t>年</w:t>
            </w:r>
            <w:r>
              <w:rPr>
                <w:rFonts w:hint="eastAsia" w:ascii="宋体" w:hAnsi="宋体" w:eastAsia="宋体" w:cs="Calibri"/>
                <w:color w:val="auto"/>
                <w:kern w:val="0"/>
                <w:sz w:val="22"/>
                <w:lang w:val="en-US" w:eastAsia="zh-CN"/>
              </w:rPr>
              <w:t>7</w:t>
            </w:r>
            <w:r>
              <w:rPr>
                <w:rFonts w:hint="eastAsia" w:ascii="宋体" w:hAnsi="宋体" w:cs="Calibri"/>
                <w:color w:val="auto"/>
                <w:kern w:val="0"/>
                <w:sz w:val="22"/>
              </w:rPr>
              <w:t>月</w:t>
            </w:r>
            <w:r>
              <w:rPr>
                <w:rFonts w:hint="eastAsia" w:ascii="宋体" w:hAnsi="宋体" w:eastAsia="宋体" w:cs="Calibri"/>
                <w:color w:val="auto"/>
                <w:kern w:val="0"/>
                <w:sz w:val="22"/>
                <w:lang w:val="en-US" w:eastAsia="zh-CN"/>
              </w:rPr>
              <w:t>18</w:t>
            </w:r>
            <w:r>
              <w:rPr>
                <w:rFonts w:hint="eastAsia" w:ascii="宋体" w:hAnsi="宋体" w:cs="Calibri"/>
                <w:color w:val="auto"/>
                <w:kern w:val="0"/>
                <w:sz w:val="22"/>
              </w:rPr>
              <w:t>日11：30前，以书面加盖公章的形式通过E-mail或传真提交给招标人（投标联系人:褚建国，电话0571-83833144；传真：</w:t>
            </w:r>
            <w:r>
              <w:rPr>
                <w:rFonts w:ascii="宋体" w:hAnsi="宋体" w:cs="Calibri"/>
                <w:color w:val="auto"/>
                <w:kern w:val="0"/>
                <w:sz w:val="22"/>
              </w:rPr>
              <w:t>0571-</w:t>
            </w:r>
            <w:r>
              <w:rPr>
                <w:rFonts w:hint="eastAsia" w:ascii="宋体" w:hAnsi="宋体" w:cs="Calibri"/>
                <w:color w:val="auto"/>
                <w:kern w:val="0"/>
                <w:sz w:val="22"/>
              </w:rPr>
              <w:t>86661149；电子邮箱：406498787@qq.com）投标人必须在规定时间前提出对招标文件的疑问，否则招标人有权拒绝接收和拒绝回答未在截止时间前提出的疑问。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投标截止时间</w:t>
            </w:r>
          </w:p>
        </w:tc>
        <w:tc>
          <w:tcPr>
            <w:tcW w:w="6487" w:type="dxa"/>
            <w:vAlign w:val="center"/>
          </w:tcPr>
          <w:p>
            <w:pPr>
              <w:autoSpaceDE w:val="0"/>
              <w:autoSpaceDN w:val="0"/>
              <w:adjustRightInd w:val="0"/>
              <w:snapToGrid w:val="0"/>
              <w:rPr>
                <w:rFonts w:ascii="等线" w:hAnsi="等线" w:cs="Calibri"/>
                <w:b/>
                <w:color w:val="auto"/>
                <w:kern w:val="0"/>
                <w:sz w:val="22"/>
              </w:rPr>
            </w:pPr>
            <w:r>
              <w:rPr>
                <w:rFonts w:hint="eastAsia" w:ascii="宋体" w:hAnsi="宋体" w:cs="Arial"/>
                <w:color w:val="auto"/>
                <w:kern w:val="0"/>
                <w:sz w:val="22"/>
              </w:rPr>
              <w:t>201</w:t>
            </w:r>
            <w:r>
              <w:rPr>
                <w:rFonts w:hint="eastAsia" w:ascii="宋体" w:hAnsi="宋体" w:eastAsia="宋体" w:cs="Arial"/>
                <w:color w:val="auto"/>
                <w:kern w:val="0"/>
                <w:sz w:val="22"/>
              </w:rPr>
              <w:t>9</w:t>
            </w:r>
            <w:r>
              <w:rPr>
                <w:rFonts w:hint="eastAsia" w:ascii="宋体" w:hAnsi="宋体" w:cs="Arial"/>
                <w:color w:val="auto"/>
                <w:kern w:val="0"/>
                <w:sz w:val="22"/>
              </w:rPr>
              <w:t>年</w:t>
            </w:r>
            <w:r>
              <w:rPr>
                <w:rFonts w:hint="eastAsia" w:ascii="宋体" w:hAnsi="宋体" w:eastAsia="宋体" w:cs="Arial"/>
                <w:color w:val="auto"/>
                <w:kern w:val="0"/>
                <w:sz w:val="22"/>
                <w:lang w:val="en-US" w:eastAsia="zh-CN"/>
              </w:rPr>
              <w:t>7</w:t>
            </w:r>
            <w:r>
              <w:rPr>
                <w:rFonts w:hint="eastAsia" w:ascii="宋体" w:hAnsi="宋体" w:cs="Arial"/>
                <w:color w:val="auto"/>
                <w:kern w:val="0"/>
                <w:sz w:val="22"/>
              </w:rPr>
              <w:t>月</w:t>
            </w:r>
            <w:r>
              <w:rPr>
                <w:rFonts w:hint="eastAsia" w:ascii="宋体" w:hAnsi="宋体" w:eastAsia="宋体" w:cs="Arial"/>
                <w:color w:val="auto"/>
                <w:kern w:val="0"/>
                <w:sz w:val="22"/>
                <w:lang w:val="en-US" w:eastAsia="zh-CN"/>
              </w:rPr>
              <w:t>26</w:t>
            </w:r>
            <w:r>
              <w:rPr>
                <w:rFonts w:hint="eastAsia" w:ascii="宋体" w:hAnsi="宋体" w:cs="Arial"/>
                <w:color w:val="auto"/>
                <w:kern w:val="0"/>
                <w:sz w:val="22"/>
              </w:rPr>
              <w:t>日</w:t>
            </w:r>
            <w:r>
              <w:rPr>
                <w:rFonts w:hint="eastAsia" w:ascii="宋体" w:hAnsi="宋体" w:cs="Arial"/>
                <w:color w:val="auto"/>
                <w:kern w:val="0"/>
                <w:sz w:val="22"/>
                <w:lang w:eastAsia="zh-CN"/>
              </w:rPr>
              <w:t>上午</w:t>
            </w:r>
            <w:r>
              <w:rPr>
                <w:rFonts w:hint="eastAsia" w:ascii="宋体" w:hAnsi="宋体" w:cs="Arial"/>
                <w:color w:val="auto"/>
                <w:kern w:val="0"/>
                <w:sz w:val="22"/>
                <w:lang w:val="en-US" w:eastAsia="zh-CN"/>
              </w:rPr>
              <w:t>9</w:t>
            </w:r>
            <w:r>
              <w:rPr>
                <w:rFonts w:hint="eastAsia" w:ascii="宋体" w:hAnsi="宋体" w:cs="Arial"/>
                <w:color w:val="auto"/>
                <w:kern w:val="0"/>
                <w:sz w:val="22"/>
              </w:rPr>
              <w:t>时</w:t>
            </w:r>
            <w:r>
              <w:rPr>
                <w:rFonts w:hint="eastAsia" w:ascii="宋体" w:hAnsi="宋体" w:cs="Arial"/>
                <w:color w:val="auto"/>
                <w:kern w:val="0"/>
                <w:sz w:val="22"/>
                <w:lang w:val="en-US" w:eastAsia="zh-CN"/>
              </w:rPr>
              <w:t>00</w:t>
            </w:r>
            <w:r>
              <w:rPr>
                <w:rFonts w:hint="eastAsia" w:ascii="宋体" w:hAnsi="宋体" w:cs="Arial"/>
                <w:color w:val="auto"/>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2.2.3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投标人确认收到招标文件澄清的时间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cs="Calibri"/>
                <w:color w:val="auto"/>
                <w:kern w:val="0"/>
                <w:sz w:val="22"/>
              </w:rPr>
              <w:t>招标人可主动地或在解答投标人提出的澄清问题时对招标文件进行修改，</w:t>
            </w:r>
            <w:bookmarkStart w:id="36" w:name="_Toc226175287"/>
            <w:bookmarkStart w:id="37" w:name="_Toc236586447"/>
            <w:r>
              <w:rPr>
                <w:rFonts w:hint="eastAsia" w:ascii="宋体" w:hAnsi="宋体" w:cs="Calibri"/>
                <w:color w:val="auto"/>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2.3.2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投标人确认收到招标文件修改的时间</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cs="Calibri"/>
                <w:color w:val="auto"/>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3.4.1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投标有效期</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等线" w:hAnsi="等线" w:cs="Calibri"/>
                <w:color w:val="auto"/>
                <w:kern w:val="0"/>
                <w:sz w:val="22"/>
              </w:rPr>
              <w:t>12</w:t>
            </w:r>
            <w:r>
              <w:rPr>
                <w:rFonts w:ascii="等线" w:hAnsi="等线" w:cs="Calibri"/>
                <w:color w:val="auto"/>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3.5.1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投标保证金</w:t>
            </w:r>
          </w:p>
        </w:tc>
        <w:tc>
          <w:tcPr>
            <w:tcW w:w="6487" w:type="dxa"/>
            <w:vAlign w:val="center"/>
          </w:tcPr>
          <w:p>
            <w:pPr>
              <w:snapToGrid w:val="0"/>
              <w:rPr>
                <w:rFonts w:ascii="等线" w:hAnsi="等线"/>
                <w:color w:val="auto"/>
                <w:sz w:val="22"/>
                <w:lang w:val="zh-CN"/>
              </w:rPr>
            </w:pPr>
            <w:r>
              <w:rPr>
                <w:rFonts w:hint="eastAsia" w:ascii="等线" w:hAnsi="等线"/>
                <w:color w:val="auto"/>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签字或盖章要求</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b/>
                <w:color w:val="auto"/>
                <w:kern w:val="0"/>
                <w:sz w:val="22"/>
              </w:rPr>
              <w:t>投标文件封面（或扉页）、投标函以及各类报价表</w:t>
            </w:r>
            <w:r>
              <w:rPr>
                <w:rFonts w:ascii="等线" w:hAnsi="等线" w:cs="Calibri"/>
                <w:color w:val="auto"/>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3.6.4</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投标文件副本份数</w:t>
            </w:r>
          </w:p>
        </w:tc>
        <w:tc>
          <w:tcPr>
            <w:tcW w:w="6487" w:type="dxa"/>
            <w:vAlign w:val="center"/>
          </w:tcPr>
          <w:p>
            <w:pPr>
              <w:autoSpaceDE w:val="0"/>
              <w:autoSpaceDN w:val="0"/>
              <w:adjustRightInd w:val="0"/>
              <w:snapToGrid w:val="0"/>
              <w:rPr>
                <w:rFonts w:ascii="宋体" w:hAnsi="宋体" w:cs="Calibri"/>
                <w:color w:val="auto"/>
                <w:kern w:val="0"/>
                <w:sz w:val="22"/>
              </w:rPr>
            </w:pPr>
            <w:r>
              <w:rPr>
                <w:rFonts w:hint="eastAsia" w:ascii="宋体" w:hAnsi="宋体" w:cs="Calibri"/>
                <w:color w:val="auto"/>
                <w:kern w:val="0"/>
                <w:sz w:val="22"/>
              </w:rPr>
              <w:t>正本一份，</w:t>
            </w:r>
            <w:r>
              <w:rPr>
                <w:rFonts w:ascii="宋体" w:hAnsi="宋体" w:cs="Calibri"/>
                <w:color w:val="auto"/>
                <w:kern w:val="0"/>
                <w:sz w:val="22"/>
              </w:rPr>
              <w:t>副本</w:t>
            </w:r>
            <w:r>
              <w:rPr>
                <w:rFonts w:hint="eastAsia" w:ascii="宋体" w:hAnsi="宋体" w:cs="Calibri"/>
                <w:color w:val="auto"/>
                <w:kern w:val="0"/>
                <w:sz w:val="22"/>
              </w:rPr>
              <w:t>二</w:t>
            </w:r>
            <w:r>
              <w:rPr>
                <w:rFonts w:ascii="宋体" w:hAnsi="宋体" w:cs="Calibri"/>
                <w:color w:val="auto"/>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3.6.5</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装订要求</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按照投标人须知3.2项约定的投标文件组成内容，投标文件应按以下要求装订：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不分册装订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□分册装订</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每册采用</w:t>
            </w:r>
            <w:r>
              <w:rPr>
                <w:rFonts w:ascii="等线" w:hAnsi="等线" w:cs="Calibri"/>
                <w:color w:val="auto"/>
                <w:kern w:val="0"/>
                <w:sz w:val="22"/>
                <w:u w:val="single"/>
              </w:rPr>
              <w:t xml:space="preserve"> 胶装 </w:t>
            </w:r>
            <w:r>
              <w:rPr>
                <w:rFonts w:ascii="等线" w:hAnsi="等线" w:cs="Calibri"/>
                <w:color w:val="auto"/>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4.1.2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封套上写明</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招标人的地址：</w:t>
            </w:r>
            <w:r>
              <w:rPr>
                <w:rFonts w:hint="eastAsia" w:ascii="等线" w:hAnsi="等线"/>
                <w:color w:val="auto"/>
                <w:sz w:val="22"/>
                <w:u w:val="single"/>
              </w:rPr>
              <w:t>杭州萧山国际机场内</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招标人名称：</w:t>
            </w:r>
            <w:r>
              <w:rPr>
                <w:rFonts w:ascii="等线" w:hAnsi="等线" w:cs="Calibri"/>
                <w:color w:val="auto"/>
                <w:kern w:val="0"/>
                <w:sz w:val="22"/>
                <w:u w:val="single"/>
              </w:rPr>
              <w:t>杭州萧山国际机场有限公司</w:t>
            </w:r>
          </w:p>
          <w:p>
            <w:pPr>
              <w:autoSpaceDE w:val="0"/>
              <w:autoSpaceDN w:val="0"/>
              <w:adjustRightInd w:val="0"/>
              <w:snapToGrid w:val="0"/>
              <w:rPr>
                <w:rFonts w:ascii="等线" w:hAnsi="等线" w:cs="Calibri"/>
                <w:color w:val="auto"/>
                <w:kern w:val="0"/>
                <w:sz w:val="22"/>
              </w:rPr>
            </w:pPr>
            <w:r>
              <w:rPr>
                <w:rFonts w:hint="eastAsia" w:ascii="等线" w:hAnsi="等线" w:cs="宋体"/>
                <w:color w:val="auto"/>
                <w:sz w:val="22"/>
              </w:rPr>
              <w:t>项目名称：</w:t>
            </w:r>
            <w:r>
              <w:rPr>
                <w:rFonts w:hint="eastAsia" w:ascii="等线" w:hAnsi="等线" w:eastAsia="宋体" w:cs="Calibri"/>
                <w:color w:val="auto"/>
                <w:kern w:val="0"/>
                <w:sz w:val="22"/>
                <w:u w:val="single"/>
              </w:rPr>
              <w:t>T1/T2</w:t>
            </w:r>
            <w:r>
              <w:rPr>
                <w:rFonts w:hint="eastAsia" w:ascii="等线" w:hAnsi="等线" w:cs="Calibri"/>
                <w:color w:val="auto"/>
                <w:kern w:val="0"/>
                <w:sz w:val="22"/>
                <w:u w:val="single"/>
              </w:rPr>
              <w:t>中央空调系统循环水泵维保项目</w:t>
            </w:r>
            <w:r>
              <w:rPr>
                <w:rFonts w:hint="eastAsia" w:ascii="等线" w:hAnsi="等线" w:cs="宋体"/>
                <w:color w:val="auto"/>
                <w:sz w:val="22"/>
              </w:rPr>
              <w:t>投标文件</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在</w:t>
            </w:r>
            <w:r>
              <w:rPr>
                <w:rFonts w:hint="eastAsia" w:ascii="等线" w:hAnsi="等线" w:cs="Calibri"/>
                <w:color w:val="auto"/>
                <w:kern w:val="0"/>
                <w:sz w:val="22"/>
                <w:u w:val="single"/>
              </w:rPr>
              <w:t>2019年</w:t>
            </w:r>
            <w:r>
              <w:rPr>
                <w:rFonts w:hint="eastAsia" w:ascii="等线" w:hAnsi="等线" w:cs="Calibri"/>
                <w:color w:val="auto"/>
                <w:kern w:val="0"/>
                <w:sz w:val="22"/>
                <w:u w:val="single"/>
                <w:lang w:val="en-US" w:eastAsia="zh-CN"/>
              </w:rPr>
              <w:t>7</w:t>
            </w:r>
            <w:r>
              <w:rPr>
                <w:rFonts w:hint="eastAsia" w:ascii="等线" w:hAnsi="等线" w:cs="Calibri"/>
                <w:color w:val="auto"/>
                <w:kern w:val="0"/>
                <w:sz w:val="22"/>
                <w:u w:val="single"/>
              </w:rPr>
              <w:t>月</w:t>
            </w:r>
            <w:r>
              <w:rPr>
                <w:rFonts w:hint="eastAsia" w:ascii="等线" w:hAnsi="等线" w:cs="Calibri"/>
                <w:color w:val="auto"/>
                <w:kern w:val="0"/>
                <w:sz w:val="22"/>
                <w:u w:val="single"/>
                <w:lang w:val="en-US" w:eastAsia="zh-CN"/>
              </w:rPr>
              <w:t>26</w:t>
            </w:r>
            <w:r>
              <w:rPr>
                <w:rFonts w:hint="eastAsia" w:ascii="等线" w:hAnsi="等线" w:cs="Calibri"/>
                <w:color w:val="auto"/>
                <w:kern w:val="0"/>
                <w:sz w:val="22"/>
                <w:u w:val="single"/>
              </w:rPr>
              <w:t>日</w:t>
            </w:r>
            <w:r>
              <w:rPr>
                <w:rFonts w:hint="eastAsia" w:ascii="等线" w:hAnsi="等线" w:cs="Calibri"/>
                <w:color w:val="auto"/>
                <w:kern w:val="0"/>
                <w:sz w:val="22"/>
                <w:u w:val="single"/>
                <w:lang w:eastAsia="zh-CN"/>
              </w:rPr>
              <w:t>上午</w:t>
            </w:r>
            <w:r>
              <w:rPr>
                <w:rFonts w:hint="eastAsia" w:ascii="等线" w:hAnsi="等线" w:cs="Calibri"/>
                <w:color w:val="auto"/>
                <w:kern w:val="0"/>
                <w:sz w:val="22"/>
                <w:u w:val="single"/>
                <w:lang w:val="en-US" w:eastAsia="zh-CN"/>
              </w:rPr>
              <w:t>9</w:t>
            </w:r>
            <w:r>
              <w:rPr>
                <w:rFonts w:hint="eastAsia" w:ascii="等线" w:hAnsi="等线" w:cs="Calibri"/>
                <w:color w:val="auto"/>
                <w:kern w:val="0"/>
                <w:sz w:val="22"/>
                <w:u w:val="single"/>
              </w:rPr>
              <w:t>时</w:t>
            </w:r>
            <w:r>
              <w:rPr>
                <w:rFonts w:hint="eastAsia" w:ascii="等线" w:hAnsi="等线" w:cs="Calibri"/>
                <w:color w:val="auto"/>
                <w:kern w:val="0"/>
                <w:sz w:val="22"/>
                <w:u w:val="single"/>
                <w:lang w:val="en-US" w:eastAsia="zh-CN"/>
              </w:rPr>
              <w:t>00</w:t>
            </w:r>
            <w:r>
              <w:rPr>
                <w:rFonts w:hint="eastAsia" w:ascii="等线" w:hAnsi="等线" w:cs="Calibri"/>
                <w:color w:val="auto"/>
                <w:kern w:val="0"/>
                <w:sz w:val="22"/>
                <w:u w:val="single"/>
              </w:rPr>
              <w:t>分</w:t>
            </w:r>
            <w:r>
              <w:rPr>
                <w:rFonts w:ascii="等线" w:hAnsi="等线" w:cs="Calibri"/>
                <w:color w:val="auto"/>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4.2.2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递交投标文件地点</w:t>
            </w:r>
          </w:p>
        </w:tc>
        <w:tc>
          <w:tcPr>
            <w:tcW w:w="6487" w:type="dxa"/>
            <w:vAlign w:val="center"/>
          </w:tcPr>
          <w:p>
            <w:pPr>
              <w:autoSpaceDE w:val="0"/>
              <w:autoSpaceDN w:val="0"/>
              <w:adjustRightInd w:val="0"/>
              <w:snapToGrid w:val="0"/>
              <w:rPr>
                <w:rFonts w:ascii="等线" w:hAnsi="等线" w:cs="Calibri"/>
                <w:color w:val="auto"/>
                <w:kern w:val="0"/>
                <w:sz w:val="22"/>
              </w:rPr>
            </w:pPr>
            <w:r>
              <w:rPr>
                <w:rFonts w:hint="eastAsia" w:ascii="宋体" w:hAnsi="宋体"/>
                <w:b/>
                <w:bCs/>
                <w:color w:val="auto"/>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4.2.3</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是否退还投标文件</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否</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5.1.1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开标时间和地点</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开标时间：同投标截止时间</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5.2</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开标程序</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1</w:t>
            </w:r>
            <w:r>
              <w:rPr>
                <w:rFonts w:ascii="等线" w:hAnsi="等线" w:cs="Calibri"/>
                <w:color w:val="auto"/>
                <w:kern w:val="0"/>
                <w:sz w:val="22"/>
              </w:rPr>
              <w:t>）密封情况检查：由投标人或者其集体推选的代表检查投标文件的密封情况。</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2</w:t>
            </w:r>
            <w:r>
              <w:rPr>
                <w:rFonts w:ascii="等线" w:hAnsi="等线" w:cs="Calibri"/>
                <w:color w:val="auto"/>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6.1.1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评标委员会的组建</w:t>
            </w:r>
          </w:p>
        </w:tc>
        <w:tc>
          <w:tcPr>
            <w:tcW w:w="6487" w:type="dxa"/>
            <w:vAlign w:val="center"/>
          </w:tcPr>
          <w:p>
            <w:pPr>
              <w:autoSpaceDE w:val="0"/>
              <w:autoSpaceDN w:val="0"/>
              <w:adjustRightInd w:val="0"/>
              <w:snapToGrid w:val="0"/>
              <w:jc w:val="left"/>
              <w:rPr>
                <w:rFonts w:ascii="等线" w:hAnsi="等线"/>
                <w:color w:val="auto"/>
                <w:sz w:val="22"/>
              </w:rPr>
            </w:pPr>
            <w:r>
              <w:rPr>
                <w:rFonts w:hint="eastAsia" w:ascii="等线" w:hAnsi="等线"/>
                <w:color w:val="auto"/>
                <w:sz w:val="22"/>
              </w:rPr>
              <w:t>评标委员会构成</w:t>
            </w:r>
            <w:r>
              <w:rPr>
                <w:rFonts w:hint="eastAsia" w:ascii="等线" w:hAnsi="等线" w:cs="Calibri"/>
                <w:color w:val="auto"/>
                <w:kern w:val="0"/>
                <w:sz w:val="22"/>
              </w:rPr>
              <w:t>：3</w:t>
            </w:r>
            <w:r>
              <w:rPr>
                <w:rFonts w:hint="eastAsia" w:ascii="等线" w:hAnsi="等线"/>
                <w:color w:val="auto"/>
                <w:sz w:val="22"/>
              </w:rPr>
              <w:t>人及以上单数</w:t>
            </w:r>
          </w:p>
          <w:p>
            <w:pPr>
              <w:autoSpaceDE w:val="0"/>
              <w:autoSpaceDN w:val="0"/>
              <w:adjustRightInd w:val="0"/>
              <w:snapToGrid w:val="0"/>
              <w:jc w:val="left"/>
              <w:rPr>
                <w:rFonts w:ascii="等线" w:hAnsi="等线"/>
                <w:color w:val="auto"/>
                <w:sz w:val="22"/>
              </w:rPr>
            </w:pPr>
            <w:r>
              <w:rPr>
                <w:rFonts w:hint="eastAsia" w:ascii="等线" w:hAnsi="等线"/>
                <w:color w:val="auto"/>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7.1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是否授权评标委员会确定中标人</w:t>
            </w:r>
          </w:p>
        </w:tc>
        <w:tc>
          <w:tcPr>
            <w:tcW w:w="6487" w:type="dxa"/>
            <w:vAlign w:val="center"/>
          </w:tcPr>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t>□是</w:t>
            </w:r>
          </w:p>
          <w:p>
            <w:pPr>
              <w:autoSpaceDE w:val="0"/>
              <w:autoSpaceDN w:val="0"/>
              <w:adjustRightInd w:val="0"/>
              <w:snapToGrid w:val="0"/>
              <w:rPr>
                <w:rFonts w:ascii="等线" w:hAnsi="等线" w:cs="Calibri"/>
                <w:color w:val="auto"/>
                <w:kern w:val="0"/>
                <w:sz w:val="22"/>
              </w:rPr>
            </w:pPr>
            <w:r>
              <w:rPr>
                <w:rFonts w:ascii="等线" w:hAnsi="等线" w:cs="Calibri"/>
                <w:color w:val="auto"/>
                <w:kern w:val="0"/>
                <w:sz w:val="22"/>
              </w:rPr>
              <w:sym w:font="Wingdings" w:char="F0FE"/>
            </w:r>
            <w:r>
              <w:rPr>
                <w:rFonts w:ascii="等线" w:hAnsi="等线" w:cs="Calibri"/>
                <w:color w:val="auto"/>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7.3.1</w:t>
            </w:r>
          </w:p>
        </w:tc>
        <w:tc>
          <w:tcPr>
            <w:tcW w:w="2004"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履约担保</w:t>
            </w:r>
          </w:p>
        </w:tc>
        <w:tc>
          <w:tcPr>
            <w:tcW w:w="6487" w:type="dxa"/>
            <w:vAlign w:val="center"/>
          </w:tcPr>
          <w:p>
            <w:pPr>
              <w:autoSpaceDE w:val="0"/>
              <w:autoSpaceDN w:val="0"/>
              <w:adjustRightInd w:val="0"/>
              <w:snapToGrid w:val="0"/>
              <w:jc w:val="left"/>
              <w:rPr>
                <w:rFonts w:ascii="等线" w:hAnsi="等线"/>
                <w:color w:val="auto"/>
                <w:sz w:val="22"/>
              </w:rPr>
            </w:pPr>
            <w:r>
              <w:rPr>
                <w:rFonts w:ascii="等线" w:hAnsi="等线"/>
                <w:color w:val="auto"/>
                <w:sz w:val="22"/>
              </w:rPr>
              <w:t>履约担保的形式：</w:t>
            </w:r>
            <w:r>
              <w:rPr>
                <w:rFonts w:hint="eastAsia" w:ascii="等线" w:hAnsi="等线"/>
                <w:color w:val="auto"/>
                <w:sz w:val="22"/>
              </w:rPr>
              <w:t>银行转账</w:t>
            </w:r>
          </w:p>
          <w:p>
            <w:pPr>
              <w:autoSpaceDE w:val="0"/>
              <w:autoSpaceDN w:val="0"/>
              <w:adjustRightInd w:val="0"/>
              <w:snapToGrid w:val="0"/>
              <w:jc w:val="left"/>
              <w:rPr>
                <w:rFonts w:ascii="等线" w:hAnsi="等线"/>
                <w:color w:val="auto"/>
                <w:sz w:val="22"/>
              </w:rPr>
            </w:pPr>
            <w:r>
              <w:rPr>
                <w:rFonts w:ascii="等线" w:hAnsi="等线"/>
                <w:color w:val="auto"/>
                <w:sz w:val="22"/>
              </w:rPr>
              <w:t>履约担保的金额：</w:t>
            </w:r>
            <w:r>
              <w:rPr>
                <w:rFonts w:hint="eastAsia" w:ascii="等线" w:hAnsi="等线"/>
                <w:color w:val="auto"/>
                <w:sz w:val="22"/>
              </w:rPr>
              <w:t>合同总价的</w:t>
            </w:r>
            <w:r>
              <w:rPr>
                <w:rFonts w:ascii="等线" w:hAnsi="等线"/>
                <w:color w:val="auto"/>
                <w:sz w:val="22"/>
              </w:rPr>
              <w:t>10</w:t>
            </w:r>
            <w:r>
              <w:rPr>
                <w:rFonts w:hint="eastAsia" w:ascii="等线" w:hAnsi="等线"/>
                <w:color w:val="auto"/>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10</w:t>
            </w:r>
          </w:p>
        </w:tc>
        <w:tc>
          <w:tcPr>
            <w:tcW w:w="8491" w:type="dxa"/>
            <w:gridSpan w:val="2"/>
            <w:vAlign w:val="center"/>
          </w:tcPr>
          <w:p>
            <w:pPr>
              <w:autoSpaceDE w:val="0"/>
              <w:autoSpaceDN w:val="0"/>
              <w:adjustRightInd w:val="0"/>
              <w:snapToGrid w:val="0"/>
              <w:jc w:val="center"/>
              <w:rPr>
                <w:rFonts w:ascii="等线" w:hAnsi="等线" w:cs="Calibri"/>
                <w:snapToGrid w:val="0"/>
                <w:color w:val="auto"/>
                <w:sz w:val="22"/>
              </w:rPr>
            </w:pPr>
            <w:r>
              <w:rPr>
                <w:rFonts w:ascii="等线" w:hAnsi="等线" w:cs="Calibri"/>
                <w:color w:val="auto"/>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等线" w:hAnsi="等线" w:cs="Calibri"/>
                <w:color w:val="auto"/>
                <w:kern w:val="0"/>
                <w:sz w:val="22"/>
              </w:rPr>
            </w:pPr>
            <w:r>
              <w:rPr>
                <w:rFonts w:ascii="等线" w:hAnsi="等线" w:cs="Calibri"/>
                <w:color w:val="auto"/>
                <w:kern w:val="0"/>
                <w:sz w:val="22"/>
              </w:rPr>
              <w:t>10.</w:t>
            </w:r>
            <w:r>
              <w:rPr>
                <w:rFonts w:hint="eastAsia" w:ascii="等线" w:hAnsi="等线" w:cs="Calibri"/>
                <w:color w:val="auto"/>
                <w:kern w:val="0"/>
                <w:sz w:val="22"/>
              </w:rPr>
              <w:t>2</w:t>
            </w:r>
          </w:p>
        </w:tc>
        <w:tc>
          <w:tcPr>
            <w:tcW w:w="2004" w:type="dxa"/>
            <w:shd w:val="clear" w:color="auto" w:fill="auto"/>
            <w:vAlign w:val="center"/>
          </w:tcPr>
          <w:p>
            <w:pPr>
              <w:pStyle w:val="43"/>
              <w:adjustRightInd w:val="0"/>
              <w:snapToGrid w:val="0"/>
              <w:spacing w:line="240" w:lineRule="auto"/>
              <w:jc w:val="center"/>
              <w:rPr>
                <w:rFonts w:ascii="等线" w:hAnsi="等线" w:eastAsia="等线" w:cs="Calibri"/>
                <w:color w:val="auto"/>
                <w:sz w:val="22"/>
                <w:szCs w:val="22"/>
              </w:rPr>
            </w:pPr>
            <w:r>
              <w:rPr>
                <w:rFonts w:ascii="等线" w:hAnsi="等线" w:eastAsia="等线" w:cs="Calibri"/>
                <w:color w:val="auto"/>
                <w:sz w:val="22"/>
                <w:szCs w:val="22"/>
              </w:rPr>
              <w:t>其他</w:t>
            </w:r>
          </w:p>
        </w:tc>
        <w:tc>
          <w:tcPr>
            <w:tcW w:w="6487" w:type="dxa"/>
            <w:shd w:val="clear" w:color="auto" w:fill="FFFFFF"/>
            <w:vAlign w:val="center"/>
          </w:tcPr>
          <w:p>
            <w:pPr>
              <w:adjustRightInd w:val="0"/>
              <w:snapToGrid w:val="0"/>
              <w:rPr>
                <w:rFonts w:ascii="等线" w:hAnsi="等线" w:cs="Calibri"/>
                <w:snapToGrid w:val="0"/>
                <w:color w:val="auto"/>
                <w:kern w:val="0"/>
                <w:sz w:val="22"/>
              </w:rPr>
            </w:pPr>
            <w:r>
              <w:rPr>
                <w:rFonts w:ascii="等线" w:hAnsi="等线" w:cs="Calibri"/>
                <w:snapToGrid w:val="0"/>
                <w:color w:val="auto"/>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等线" w:hAnsi="等线" w:cs="Calibri"/>
                <w:snapToGrid w:val="0"/>
                <w:color w:val="auto"/>
                <w:kern w:val="0"/>
                <w:sz w:val="22"/>
              </w:rPr>
              <w:t>异议</w:t>
            </w:r>
            <w:r>
              <w:rPr>
                <w:rFonts w:ascii="等线" w:hAnsi="等线" w:cs="Calibri"/>
                <w:snapToGrid w:val="0"/>
                <w:color w:val="auto"/>
                <w:kern w:val="0"/>
                <w:sz w:val="22"/>
              </w:rPr>
              <w:t>。</w:t>
            </w:r>
          </w:p>
          <w:p>
            <w:pPr>
              <w:adjustRightInd w:val="0"/>
              <w:snapToGrid w:val="0"/>
              <w:rPr>
                <w:rFonts w:ascii="等线" w:hAnsi="等线" w:cs="Calibri"/>
                <w:snapToGrid w:val="0"/>
                <w:color w:val="auto"/>
                <w:kern w:val="0"/>
                <w:sz w:val="22"/>
              </w:rPr>
            </w:pPr>
            <w:r>
              <w:rPr>
                <w:rFonts w:ascii="等线" w:hAnsi="等线" w:cs="Calibri"/>
                <w:snapToGrid w:val="0"/>
                <w:color w:val="auto"/>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等线" w:hAnsi="等线" w:cs="Calibri"/>
                <w:color w:val="auto"/>
                <w:kern w:val="0"/>
                <w:sz w:val="22"/>
              </w:rPr>
            </w:pPr>
            <w:r>
              <w:rPr>
                <w:rFonts w:hint="eastAsia" w:ascii="等线" w:hAnsi="等线" w:cs="Calibri"/>
                <w:color w:val="auto"/>
                <w:kern w:val="0"/>
                <w:sz w:val="22"/>
              </w:rPr>
              <w:t>10.3</w:t>
            </w:r>
          </w:p>
        </w:tc>
        <w:tc>
          <w:tcPr>
            <w:tcW w:w="2004" w:type="dxa"/>
            <w:shd w:val="clear" w:color="auto" w:fill="auto"/>
            <w:vAlign w:val="center"/>
          </w:tcPr>
          <w:p>
            <w:pPr>
              <w:pStyle w:val="43"/>
              <w:spacing w:line="240" w:lineRule="auto"/>
              <w:jc w:val="center"/>
              <w:rPr>
                <w:rFonts w:ascii="等线" w:hAnsi="等线" w:eastAsia="等线" w:cs="Calibri"/>
                <w:color w:val="auto"/>
                <w:sz w:val="22"/>
                <w:szCs w:val="22"/>
              </w:rPr>
            </w:pPr>
            <w:r>
              <w:rPr>
                <w:rFonts w:hint="eastAsia" w:ascii="等线" w:hAnsi="等线" w:eastAsia="等线" w:cs="Calibri"/>
                <w:color w:val="auto"/>
                <w:sz w:val="22"/>
                <w:szCs w:val="22"/>
              </w:rPr>
              <w:t>备注</w:t>
            </w:r>
          </w:p>
        </w:tc>
        <w:tc>
          <w:tcPr>
            <w:tcW w:w="6487" w:type="dxa"/>
            <w:shd w:val="clear" w:color="auto" w:fill="FFFFFF"/>
            <w:vAlign w:val="center"/>
          </w:tcPr>
          <w:p>
            <w:pPr>
              <w:adjustRightInd w:val="0"/>
              <w:snapToGrid w:val="0"/>
              <w:rPr>
                <w:rFonts w:ascii="等线" w:hAnsi="等线" w:cs="Calibri"/>
                <w:color w:val="auto"/>
                <w:kern w:val="0"/>
                <w:sz w:val="22"/>
              </w:rPr>
            </w:pPr>
            <w:r>
              <w:rPr>
                <w:rFonts w:ascii="等线" w:hAnsi="等线" w:cs="Calibri"/>
                <w:color w:val="auto"/>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auto"/>
          <w:kern w:val="0"/>
          <w:szCs w:val="21"/>
        </w:rPr>
      </w:pPr>
      <w:bookmarkStart w:id="38" w:name="_Toc143421656"/>
      <w:bookmarkStart w:id="39" w:name="_Toc11067"/>
    </w:p>
    <w:p>
      <w:pPr>
        <w:autoSpaceDE w:val="0"/>
        <w:autoSpaceDN w:val="0"/>
        <w:adjustRightInd w:val="0"/>
        <w:snapToGrid w:val="0"/>
        <w:spacing w:line="360" w:lineRule="exact"/>
        <w:rPr>
          <w:rFonts w:ascii="等线" w:hAnsi="等线" w:cs="Calibri"/>
          <w:b/>
          <w:bCs/>
          <w:color w:val="auto"/>
          <w:kern w:val="0"/>
          <w:sz w:val="22"/>
        </w:rPr>
      </w:pPr>
      <w:r>
        <w:rPr>
          <w:rFonts w:eastAsia="黑体" w:cs="Calibri"/>
          <w:b/>
          <w:bCs/>
          <w:color w:val="auto"/>
          <w:kern w:val="0"/>
          <w:szCs w:val="21"/>
        </w:rPr>
        <w:br w:type="page"/>
      </w:r>
      <w:r>
        <w:rPr>
          <w:rFonts w:ascii="等线" w:hAnsi="等线" w:cs="Calibri"/>
          <w:b/>
          <w:bCs/>
          <w:color w:val="auto"/>
          <w:kern w:val="0"/>
          <w:sz w:val="22"/>
        </w:rPr>
        <w:t>1.</w:t>
      </w:r>
      <w:r>
        <w:rPr>
          <w:rFonts w:hint="eastAsia" w:ascii="等线" w:hAnsi="等线" w:cs="Calibri"/>
          <w:b/>
          <w:bCs/>
          <w:color w:val="auto"/>
          <w:kern w:val="0"/>
          <w:sz w:val="22"/>
        </w:rPr>
        <w:t xml:space="preserve"> </w:t>
      </w:r>
      <w:r>
        <w:rPr>
          <w:rFonts w:ascii="等线" w:hAnsi="等线" w:cs="Calibri"/>
          <w:b/>
          <w:bCs/>
          <w:color w:val="auto"/>
          <w:kern w:val="0"/>
          <w:sz w:val="22"/>
        </w:rPr>
        <w:t>总则</w:t>
      </w:r>
      <w:bookmarkEnd w:id="38"/>
      <w:bookmarkEnd w:id="39"/>
    </w:p>
    <w:p>
      <w:pPr>
        <w:autoSpaceDE w:val="0"/>
        <w:autoSpaceDN w:val="0"/>
        <w:adjustRightInd w:val="0"/>
        <w:snapToGrid w:val="0"/>
        <w:spacing w:line="360" w:lineRule="exact"/>
        <w:rPr>
          <w:rFonts w:ascii="等线" w:hAnsi="等线" w:cs="Calibri"/>
          <w:b/>
          <w:bCs/>
          <w:color w:val="auto"/>
          <w:kern w:val="0"/>
          <w:sz w:val="22"/>
        </w:rPr>
      </w:pPr>
      <w:bookmarkStart w:id="40" w:name="_Toc26216"/>
      <w:r>
        <w:rPr>
          <w:rFonts w:ascii="等线" w:hAnsi="等线" w:cs="Calibri"/>
          <w:b/>
          <w:bCs/>
          <w:color w:val="auto"/>
          <w:kern w:val="0"/>
          <w:sz w:val="22"/>
        </w:rPr>
        <w:t>1.1 项目</w:t>
      </w:r>
      <w:bookmarkEnd w:id="40"/>
      <w:r>
        <w:rPr>
          <w:rFonts w:ascii="等线" w:hAnsi="等线" w:cs="Calibri"/>
          <w:b/>
          <w:bCs/>
          <w:color w:val="auto"/>
          <w:kern w:val="0"/>
          <w:sz w:val="22"/>
        </w:rPr>
        <w:t>概况</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kern w:val="0"/>
          <w:sz w:val="22"/>
        </w:rPr>
        <w:t>1.1.2项目</w:t>
      </w:r>
      <w:r>
        <w:rPr>
          <w:rFonts w:hint="eastAsia" w:ascii="等线" w:hAnsi="等线" w:cs="Calibri"/>
          <w:color w:val="auto"/>
          <w:kern w:val="0"/>
          <w:sz w:val="22"/>
        </w:rPr>
        <w:t>实施</w:t>
      </w:r>
      <w:r>
        <w:rPr>
          <w:rFonts w:ascii="等线" w:hAnsi="等线" w:cs="Calibri"/>
          <w:color w:val="auto"/>
          <w:kern w:val="0"/>
          <w:sz w:val="22"/>
        </w:rPr>
        <w:t>地点见投标人须知前附表</w:t>
      </w:r>
      <w:r>
        <w:rPr>
          <w:rFonts w:ascii="等线" w:hAnsi="等线" w:cs="Calibri"/>
          <w:color w:val="auto"/>
          <w:sz w:val="22"/>
        </w:rPr>
        <w:t>。</w:t>
      </w:r>
    </w:p>
    <w:p>
      <w:pPr>
        <w:autoSpaceDE w:val="0"/>
        <w:autoSpaceDN w:val="0"/>
        <w:adjustRightInd w:val="0"/>
        <w:snapToGrid w:val="0"/>
        <w:spacing w:line="360" w:lineRule="exact"/>
        <w:rPr>
          <w:rFonts w:ascii="等线" w:hAnsi="等线" w:cs="Calibri"/>
          <w:b/>
          <w:bCs/>
          <w:color w:val="auto"/>
          <w:kern w:val="0"/>
          <w:sz w:val="22"/>
        </w:rPr>
      </w:pPr>
      <w:bookmarkStart w:id="41" w:name="_Toc9136"/>
      <w:r>
        <w:rPr>
          <w:rFonts w:ascii="等线" w:hAnsi="等线" w:cs="Calibri"/>
          <w:b/>
          <w:bCs/>
          <w:color w:val="auto"/>
          <w:kern w:val="0"/>
          <w:sz w:val="22"/>
        </w:rPr>
        <w:t>1.</w:t>
      </w:r>
      <w:r>
        <w:rPr>
          <w:rFonts w:hint="eastAsia" w:ascii="等线" w:hAnsi="等线" w:cs="Calibri"/>
          <w:b/>
          <w:bCs/>
          <w:color w:val="auto"/>
          <w:kern w:val="0"/>
          <w:sz w:val="22"/>
        </w:rPr>
        <w:t>2</w:t>
      </w:r>
      <w:r>
        <w:rPr>
          <w:rFonts w:ascii="等线" w:hAnsi="等线" w:cs="Calibri"/>
          <w:b/>
          <w:bCs/>
          <w:color w:val="auto"/>
          <w:kern w:val="0"/>
          <w:sz w:val="22"/>
        </w:rPr>
        <w:t xml:space="preserve"> 资金来源</w:t>
      </w:r>
      <w:bookmarkEnd w:id="41"/>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2" w:name="_Toc10673"/>
      <w:r>
        <w:rPr>
          <w:rFonts w:ascii="等线" w:hAnsi="等线" w:cs="Calibri"/>
          <w:b/>
          <w:bCs/>
          <w:color w:val="auto"/>
          <w:kern w:val="0"/>
          <w:sz w:val="22"/>
        </w:rPr>
        <w:t>1.</w:t>
      </w:r>
      <w:r>
        <w:rPr>
          <w:rFonts w:hint="eastAsia" w:ascii="等线" w:hAnsi="等线" w:cs="Calibri"/>
          <w:b/>
          <w:bCs/>
          <w:color w:val="auto"/>
          <w:kern w:val="0"/>
          <w:sz w:val="22"/>
        </w:rPr>
        <w:t>3</w:t>
      </w:r>
      <w:r>
        <w:rPr>
          <w:rFonts w:ascii="等线" w:hAnsi="等线" w:cs="Calibri"/>
          <w:b/>
          <w:bCs/>
          <w:color w:val="auto"/>
          <w:kern w:val="0"/>
          <w:sz w:val="22"/>
        </w:rPr>
        <w:t xml:space="preserve"> 招标</w:t>
      </w:r>
      <w:bookmarkEnd w:id="42"/>
      <w:r>
        <w:rPr>
          <w:rFonts w:hint="eastAsia" w:ascii="等线" w:hAnsi="等线" w:cs="Calibri"/>
          <w:b/>
          <w:bCs/>
          <w:color w:val="auto"/>
          <w:kern w:val="0"/>
          <w:sz w:val="22"/>
        </w:rPr>
        <w:t>内容</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3" w:name="_Toc718"/>
      <w:r>
        <w:rPr>
          <w:rFonts w:ascii="等线" w:hAnsi="等线" w:cs="Calibri"/>
          <w:b/>
          <w:bCs/>
          <w:color w:val="auto"/>
          <w:kern w:val="0"/>
          <w:sz w:val="22"/>
        </w:rPr>
        <w:t>1.</w:t>
      </w:r>
      <w:r>
        <w:rPr>
          <w:rFonts w:hint="eastAsia" w:ascii="等线" w:hAnsi="等线" w:cs="Calibri"/>
          <w:b/>
          <w:bCs/>
          <w:color w:val="auto"/>
          <w:kern w:val="0"/>
          <w:sz w:val="22"/>
        </w:rPr>
        <w:t>4</w:t>
      </w:r>
      <w:r>
        <w:rPr>
          <w:rFonts w:ascii="等线" w:hAnsi="等线" w:cs="Calibri"/>
          <w:b/>
          <w:bCs/>
          <w:color w:val="auto"/>
          <w:kern w:val="0"/>
          <w:sz w:val="22"/>
        </w:rPr>
        <w:t xml:space="preserve"> 招标方式</w:t>
      </w:r>
      <w:bookmarkEnd w:id="43"/>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4" w:name="_Toc9161"/>
      <w:r>
        <w:rPr>
          <w:rFonts w:ascii="等线" w:hAnsi="等线" w:cs="Calibri"/>
          <w:b/>
          <w:bCs/>
          <w:color w:val="auto"/>
          <w:kern w:val="0"/>
          <w:sz w:val="22"/>
        </w:rPr>
        <w:t>1.</w:t>
      </w:r>
      <w:r>
        <w:rPr>
          <w:rFonts w:hint="eastAsia" w:ascii="等线" w:hAnsi="等线" w:cs="Calibri"/>
          <w:b/>
          <w:bCs/>
          <w:color w:val="auto"/>
          <w:kern w:val="0"/>
          <w:sz w:val="22"/>
        </w:rPr>
        <w:t xml:space="preserve">5 </w:t>
      </w:r>
      <w:r>
        <w:rPr>
          <w:rFonts w:ascii="等线" w:hAnsi="等线" w:cs="Calibri"/>
          <w:b/>
          <w:bCs/>
          <w:color w:val="auto"/>
          <w:kern w:val="0"/>
          <w:sz w:val="22"/>
        </w:rPr>
        <w:t>资格审查</w:t>
      </w:r>
      <w:bookmarkEnd w:id="44"/>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5" w:name="_Toc13012"/>
      <w:r>
        <w:rPr>
          <w:rFonts w:ascii="等线" w:hAnsi="等线" w:cs="Calibri"/>
          <w:b/>
          <w:bCs/>
          <w:color w:val="auto"/>
          <w:kern w:val="0"/>
          <w:sz w:val="22"/>
        </w:rPr>
        <w:t>1.</w:t>
      </w:r>
      <w:r>
        <w:rPr>
          <w:rFonts w:hint="eastAsia" w:ascii="等线" w:hAnsi="等线" w:cs="Calibri"/>
          <w:b/>
          <w:bCs/>
          <w:color w:val="auto"/>
          <w:kern w:val="0"/>
          <w:sz w:val="22"/>
        </w:rPr>
        <w:t>6</w:t>
      </w:r>
      <w:r>
        <w:rPr>
          <w:rFonts w:ascii="等线" w:hAnsi="等线" w:cs="Calibri"/>
          <w:b/>
          <w:bCs/>
          <w:color w:val="auto"/>
          <w:kern w:val="0"/>
          <w:sz w:val="22"/>
        </w:rPr>
        <w:t xml:space="preserve"> 投标人资质条件、能力和信誉</w:t>
      </w:r>
      <w:bookmarkEnd w:id="45"/>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6" w:name="_Toc2796"/>
      <w:r>
        <w:rPr>
          <w:rFonts w:ascii="等线" w:hAnsi="等线" w:cs="Calibri"/>
          <w:b/>
          <w:bCs/>
          <w:color w:val="auto"/>
          <w:kern w:val="0"/>
          <w:sz w:val="22"/>
        </w:rPr>
        <w:t>1.</w:t>
      </w:r>
      <w:r>
        <w:rPr>
          <w:rFonts w:hint="eastAsia" w:ascii="等线" w:hAnsi="等线" w:cs="Calibri"/>
          <w:b/>
          <w:bCs/>
          <w:color w:val="auto"/>
          <w:kern w:val="0"/>
          <w:sz w:val="22"/>
        </w:rPr>
        <w:t>7</w:t>
      </w:r>
      <w:r>
        <w:rPr>
          <w:rFonts w:ascii="等线" w:hAnsi="等线" w:cs="Calibri"/>
          <w:b/>
          <w:bCs/>
          <w:color w:val="auto"/>
          <w:kern w:val="0"/>
          <w:sz w:val="22"/>
        </w:rPr>
        <w:t xml:space="preserve"> </w:t>
      </w:r>
      <w:r>
        <w:rPr>
          <w:rFonts w:hint="eastAsia" w:ascii="等线" w:hAnsi="等线" w:cs="Calibri"/>
          <w:b/>
          <w:bCs/>
          <w:color w:val="auto"/>
          <w:kern w:val="0"/>
          <w:sz w:val="22"/>
        </w:rPr>
        <w:t>服务</w:t>
      </w:r>
      <w:r>
        <w:rPr>
          <w:rFonts w:ascii="等线" w:hAnsi="等线" w:cs="Calibri"/>
          <w:b/>
          <w:bCs/>
          <w:color w:val="auto"/>
          <w:kern w:val="0"/>
          <w:sz w:val="22"/>
        </w:rPr>
        <w:t>期</w:t>
      </w:r>
      <w:bookmarkEnd w:id="4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r>
        <w:rPr>
          <w:rFonts w:hint="eastAsia" w:ascii="等线" w:hAnsi="等线" w:cs="Calibri"/>
          <w:b/>
          <w:bCs/>
          <w:color w:val="auto"/>
          <w:kern w:val="0"/>
          <w:sz w:val="22"/>
        </w:rPr>
        <w:t>1.8 质量要求</w:t>
      </w:r>
    </w:p>
    <w:p>
      <w:pPr>
        <w:adjustRightInd w:val="0"/>
        <w:snapToGrid w:val="0"/>
        <w:spacing w:line="360" w:lineRule="exact"/>
        <w:ind w:firstLine="440" w:firstLineChars="200"/>
        <w:rPr>
          <w:rFonts w:ascii="等线" w:hAnsi="等线" w:cs="Calibri"/>
          <w:color w:val="auto"/>
          <w:sz w:val="22"/>
        </w:rPr>
      </w:pPr>
      <w:bookmarkStart w:id="47" w:name="_Toc13907"/>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1.</w:t>
      </w:r>
      <w:r>
        <w:rPr>
          <w:rFonts w:hint="eastAsia" w:ascii="等线" w:hAnsi="等线" w:cs="Calibri"/>
          <w:b/>
          <w:bCs/>
          <w:color w:val="auto"/>
          <w:kern w:val="0"/>
          <w:sz w:val="22"/>
        </w:rPr>
        <w:t>9</w:t>
      </w:r>
      <w:r>
        <w:rPr>
          <w:rFonts w:ascii="等线" w:hAnsi="等线" w:cs="Calibri"/>
          <w:b/>
          <w:bCs/>
          <w:color w:val="auto"/>
          <w:kern w:val="0"/>
          <w:sz w:val="22"/>
        </w:rPr>
        <w:t xml:space="preserve"> 踏勘现场</w:t>
      </w:r>
      <w:bookmarkEnd w:id="47"/>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.2 投标人踏勘现场发生的费用自理。</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.3 投标人自行负责在踏勘现场中所发生的人员伤亡和财产损失。</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w:t>
      </w:r>
      <w:r>
        <w:rPr>
          <w:rFonts w:hint="eastAsia" w:ascii="等线" w:hAnsi="等线" w:cs="Calibri"/>
          <w:color w:val="auto"/>
          <w:sz w:val="22"/>
        </w:rPr>
        <w:t>9</w:t>
      </w:r>
      <w:r>
        <w:rPr>
          <w:rFonts w:ascii="等线" w:hAnsi="等线" w:cs="Calibri"/>
          <w:color w:val="auto"/>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等线" w:hAnsi="等线" w:cs="Calibri"/>
          <w:b/>
          <w:bCs/>
          <w:color w:val="auto"/>
          <w:kern w:val="0"/>
          <w:sz w:val="22"/>
        </w:rPr>
      </w:pPr>
      <w:bookmarkStart w:id="48" w:name="_Toc4199"/>
      <w:r>
        <w:rPr>
          <w:rFonts w:ascii="等线" w:hAnsi="等线" w:cs="Calibri"/>
          <w:b/>
          <w:bCs/>
          <w:color w:val="auto"/>
          <w:kern w:val="0"/>
          <w:sz w:val="22"/>
        </w:rPr>
        <w:t>1.</w:t>
      </w:r>
      <w:r>
        <w:rPr>
          <w:rFonts w:hint="eastAsia" w:ascii="等线" w:hAnsi="等线" w:cs="Calibri"/>
          <w:b/>
          <w:bCs/>
          <w:color w:val="auto"/>
          <w:kern w:val="0"/>
          <w:sz w:val="22"/>
        </w:rPr>
        <w:t>10</w:t>
      </w:r>
      <w:r>
        <w:rPr>
          <w:rFonts w:ascii="等线" w:hAnsi="等线" w:cs="Calibri"/>
          <w:b/>
          <w:bCs/>
          <w:color w:val="auto"/>
          <w:kern w:val="0"/>
          <w:sz w:val="22"/>
        </w:rPr>
        <w:t xml:space="preserve"> 投标预备会</w:t>
      </w:r>
      <w:bookmarkEnd w:id="48"/>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49" w:name="_Toc4584"/>
      <w:r>
        <w:rPr>
          <w:rFonts w:ascii="等线" w:hAnsi="等线" w:cs="Calibri"/>
          <w:b/>
          <w:bCs/>
          <w:color w:val="auto"/>
          <w:kern w:val="0"/>
          <w:sz w:val="22"/>
        </w:rPr>
        <w:t>1.1</w:t>
      </w:r>
      <w:r>
        <w:rPr>
          <w:rFonts w:hint="eastAsia" w:ascii="等线" w:hAnsi="等线" w:cs="Calibri"/>
          <w:b/>
          <w:bCs/>
          <w:color w:val="auto"/>
          <w:kern w:val="0"/>
          <w:sz w:val="22"/>
        </w:rPr>
        <w:t>1</w:t>
      </w:r>
      <w:r>
        <w:rPr>
          <w:rFonts w:ascii="等线" w:hAnsi="等线" w:cs="Calibri"/>
          <w:b/>
          <w:bCs/>
          <w:color w:val="auto"/>
          <w:kern w:val="0"/>
          <w:sz w:val="22"/>
        </w:rPr>
        <w:t xml:space="preserve"> 分包</w:t>
      </w:r>
      <w:bookmarkEnd w:id="4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本项目</w:t>
      </w:r>
      <w:r>
        <w:rPr>
          <w:rFonts w:hint="eastAsia" w:ascii="等线" w:hAnsi="等线" w:cs="Calibri"/>
          <w:color w:val="auto"/>
          <w:sz w:val="22"/>
        </w:rPr>
        <w:t>涉及到其它专业的部分分项工作</w:t>
      </w:r>
      <w:r>
        <w:rPr>
          <w:rFonts w:ascii="等线" w:hAnsi="等线" w:cs="Calibri"/>
          <w:color w:val="auto"/>
          <w:sz w:val="22"/>
        </w:rPr>
        <w:t>允许分包。</w:t>
      </w:r>
    </w:p>
    <w:p>
      <w:pPr>
        <w:autoSpaceDE w:val="0"/>
        <w:autoSpaceDN w:val="0"/>
        <w:adjustRightInd w:val="0"/>
        <w:snapToGrid w:val="0"/>
        <w:spacing w:line="360" w:lineRule="exact"/>
        <w:rPr>
          <w:rFonts w:ascii="等线" w:hAnsi="等线" w:cs="Calibri"/>
          <w:b/>
          <w:bCs/>
          <w:color w:val="auto"/>
          <w:kern w:val="0"/>
          <w:sz w:val="22"/>
        </w:rPr>
      </w:pPr>
      <w:bookmarkStart w:id="50" w:name="_Toc3996"/>
      <w:r>
        <w:rPr>
          <w:rFonts w:ascii="等线" w:hAnsi="等线" w:cs="Calibri"/>
          <w:b/>
          <w:bCs/>
          <w:color w:val="auto"/>
          <w:kern w:val="0"/>
          <w:sz w:val="22"/>
        </w:rPr>
        <w:t>1.1</w:t>
      </w:r>
      <w:r>
        <w:rPr>
          <w:rFonts w:hint="eastAsia" w:ascii="等线" w:hAnsi="等线" w:cs="Calibri"/>
          <w:b/>
          <w:bCs/>
          <w:color w:val="auto"/>
          <w:kern w:val="0"/>
          <w:sz w:val="22"/>
        </w:rPr>
        <w:t>2</w:t>
      </w:r>
      <w:r>
        <w:rPr>
          <w:rFonts w:ascii="等线" w:hAnsi="等线" w:cs="Calibri"/>
          <w:b/>
          <w:bCs/>
          <w:color w:val="auto"/>
          <w:kern w:val="0"/>
          <w:sz w:val="22"/>
        </w:rPr>
        <w:t xml:space="preserve"> 投标费用</w:t>
      </w:r>
      <w:bookmarkEnd w:id="50"/>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投标人在投标过程中的一切费用，不论中标与否，均由投标人自理。</w:t>
      </w:r>
    </w:p>
    <w:p>
      <w:pPr>
        <w:autoSpaceDE w:val="0"/>
        <w:autoSpaceDN w:val="0"/>
        <w:adjustRightInd w:val="0"/>
        <w:snapToGrid w:val="0"/>
        <w:spacing w:line="360" w:lineRule="exact"/>
        <w:rPr>
          <w:rFonts w:ascii="等线" w:hAnsi="等线" w:cs="Calibri"/>
          <w:b/>
          <w:bCs/>
          <w:color w:val="auto"/>
          <w:kern w:val="0"/>
          <w:sz w:val="22"/>
        </w:rPr>
      </w:pPr>
      <w:bookmarkStart w:id="51" w:name="_Toc15241"/>
      <w:bookmarkStart w:id="52" w:name="_Toc143421657"/>
      <w:r>
        <w:rPr>
          <w:rFonts w:ascii="等线" w:hAnsi="等线" w:cs="Calibri"/>
          <w:b/>
          <w:bCs/>
          <w:color w:val="auto"/>
          <w:kern w:val="0"/>
          <w:sz w:val="22"/>
        </w:rPr>
        <w:t>2.招标文件</w:t>
      </w:r>
      <w:bookmarkEnd w:id="51"/>
      <w:bookmarkEnd w:id="52"/>
    </w:p>
    <w:p>
      <w:pPr>
        <w:autoSpaceDE w:val="0"/>
        <w:autoSpaceDN w:val="0"/>
        <w:adjustRightInd w:val="0"/>
        <w:snapToGrid w:val="0"/>
        <w:spacing w:line="360" w:lineRule="exact"/>
        <w:rPr>
          <w:rFonts w:ascii="等线" w:hAnsi="等线" w:cs="Calibri"/>
          <w:b/>
          <w:bCs/>
          <w:color w:val="auto"/>
          <w:kern w:val="0"/>
          <w:sz w:val="22"/>
        </w:rPr>
      </w:pPr>
      <w:bookmarkStart w:id="53" w:name="_Toc1426"/>
      <w:r>
        <w:rPr>
          <w:rFonts w:ascii="等线" w:hAnsi="等线" w:cs="Calibri"/>
          <w:b/>
          <w:bCs/>
          <w:color w:val="auto"/>
          <w:kern w:val="0"/>
          <w:sz w:val="22"/>
        </w:rPr>
        <w:t>2.1 招标文件的组成</w:t>
      </w:r>
      <w:bookmarkEnd w:id="53"/>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本招标文件包括：</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（1）招标公告</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（2）投标人须知</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w:t>
      </w:r>
      <w:r>
        <w:rPr>
          <w:rFonts w:hint="eastAsia" w:ascii="等线" w:hAnsi="等线" w:cs="Calibri"/>
          <w:color w:val="auto"/>
          <w:kern w:val="0"/>
          <w:sz w:val="22"/>
        </w:rPr>
        <w:t>服务技术标准及要求</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4</w:t>
      </w:r>
      <w:r>
        <w:rPr>
          <w:rFonts w:ascii="等线" w:hAnsi="等线" w:cs="Calibri"/>
          <w:color w:val="auto"/>
          <w:kern w:val="0"/>
          <w:sz w:val="22"/>
        </w:rPr>
        <w:t>）合同条款</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5</w:t>
      </w:r>
      <w:r>
        <w:rPr>
          <w:rFonts w:ascii="等线" w:hAnsi="等线" w:cs="Calibri"/>
          <w:color w:val="auto"/>
          <w:kern w:val="0"/>
          <w:sz w:val="22"/>
        </w:rPr>
        <w:t>）评标办法及标准</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w:t>
      </w:r>
      <w:r>
        <w:rPr>
          <w:rFonts w:hint="eastAsia" w:ascii="等线" w:hAnsi="等线" w:cs="Calibri"/>
          <w:color w:val="auto"/>
          <w:kern w:val="0"/>
          <w:sz w:val="22"/>
        </w:rPr>
        <w:t>6</w:t>
      </w:r>
      <w:r>
        <w:rPr>
          <w:rFonts w:ascii="等线" w:hAnsi="等线" w:cs="Calibri"/>
          <w:color w:val="auto"/>
          <w:kern w:val="0"/>
          <w:sz w:val="22"/>
        </w:rPr>
        <w:t>）投标文件格式</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根据本须知第2.2款和2.3款对招标文件做出的澄清、修改，构成招标文件的组成部分。</w:t>
      </w:r>
    </w:p>
    <w:p>
      <w:pPr>
        <w:autoSpaceDE w:val="0"/>
        <w:autoSpaceDN w:val="0"/>
        <w:adjustRightInd w:val="0"/>
        <w:snapToGrid w:val="0"/>
        <w:spacing w:line="360" w:lineRule="exact"/>
        <w:rPr>
          <w:rFonts w:ascii="等线" w:hAnsi="等线" w:cs="Calibri"/>
          <w:b/>
          <w:bCs/>
          <w:color w:val="auto"/>
          <w:kern w:val="0"/>
          <w:sz w:val="22"/>
        </w:rPr>
      </w:pPr>
      <w:bookmarkStart w:id="54" w:name="_Toc18230"/>
      <w:r>
        <w:rPr>
          <w:rFonts w:ascii="等线" w:hAnsi="等线" w:cs="Calibri"/>
          <w:b/>
          <w:bCs/>
          <w:color w:val="auto"/>
          <w:kern w:val="0"/>
          <w:sz w:val="22"/>
        </w:rPr>
        <w:t>2.2 招标文件的澄清</w:t>
      </w:r>
      <w:bookmarkEnd w:id="54"/>
    </w:p>
    <w:p>
      <w:pPr>
        <w:adjustRightInd w:val="0"/>
        <w:snapToGrid w:val="0"/>
        <w:spacing w:line="360" w:lineRule="exact"/>
        <w:ind w:firstLine="440"/>
        <w:rPr>
          <w:rFonts w:ascii="等线" w:hAnsi="等线" w:cs="Calibri"/>
          <w:color w:val="auto"/>
          <w:sz w:val="22"/>
        </w:rPr>
      </w:pPr>
      <w:bookmarkStart w:id="55" w:name="_Toc18303"/>
      <w:r>
        <w:rPr>
          <w:rFonts w:ascii="等线" w:hAnsi="等线" w:cs="Calibri"/>
          <w:color w:val="auto"/>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等线" w:hAnsi="等线" w:cs="Calibri"/>
          <w:color w:val="auto"/>
          <w:sz w:val="22"/>
        </w:rPr>
      </w:pPr>
      <w:r>
        <w:rPr>
          <w:rFonts w:ascii="等线" w:hAnsi="等线" w:cs="Calibri"/>
          <w:color w:val="auto"/>
          <w:sz w:val="22"/>
        </w:rPr>
        <w:t>2.2.2</w:t>
      </w:r>
      <w:r>
        <w:rPr>
          <w:rFonts w:hint="eastAsia" w:ascii="等线" w:hAnsi="等线" w:cs="Calibri"/>
          <w:color w:val="auto"/>
          <w:kern w:val="0"/>
          <w:sz w:val="22"/>
        </w:rPr>
        <w:t>招标人将视情况采用补充公告的方式予以澄清。</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2.3 招标文件的修改</w:t>
      </w:r>
      <w:bookmarkEnd w:id="55"/>
    </w:p>
    <w:p>
      <w:pPr>
        <w:adjustRightInd w:val="0"/>
        <w:snapToGrid w:val="0"/>
        <w:spacing w:line="360" w:lineRule="exact"/>
        <w:ind w:firstLine="440"/>
        <w:rPr>
          <w:rFonts w:ascii="等线" w:hAnsi="等线" w:cs="Calibri"/>
          <w:color w:val="auto"/>
          <w:sz w:val="22"/>
        </w:rPr>
      </w:pPr>
      <w:r>
        <w:rPr>
          <w:rFonts w:ascii="等线" w:hAnsi="等线" w:cs="Calibri"/>
          <w:color w:val="auto"/>
          <w:kern w:val="0"/>
          <w:sz w:val="22"/>
        </w:rPr>
        <w:t>2.3.1</w:t>
      </w:r>
      <w:r>
        <w:rPr>
          <w:rFonts w:hint="eastAsia" w:ascii="等线" w:hAnsi="等线" w:cs="Calibri"/>
          <w:color w:val="auto"/>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等线" w:hAnsi="等线" w:cs="Calibri"/>
          <w:color w:val="auto"/>
          <w:sz w:val="22"/>
        </w:rPr>
      </w:pPr>
      <w:r>
        <w:rPr>
          <w:rFonts w:ascii="等线" w:hAnsi="等线" w:cs="Calibri"/>
          <w:color w:val="auto"/>
          <w:sz w:val="22"/>
        </w:rPr>
        <w:t>2.3.2</w:t>
      </w:r>
      <w:r>
        <w:rPr>
          <w:rFonts w:hint="eastAsia" w:ascii="等线" w:hAnsi="等线" w:cs="Calibri"/>
          <w:color w:val="auto"/>
          <w:sz w:val="22"/>
        </w:rPr>
        <w:t>招标文件的修改为招标文件的组成部分，对投标人有约束力。</w:t>
      </w:r>
    </w:p>
    <w:p>
      <w:pPr>
        <w:autoSpaceDE w:val="0"/>
        <w:autoSpaceDN w:val="0"/>
        <w:adjustRightInd w:val="0"/>
        <w:snapToGrid w:val="0"/>
        <w:spacing w:line="360" w:lineRule="exact"/>
        <w:rPr>
          <w:rFonts w:ascii="等线" w:hAnsi="等线" w:cs="Calibri"/>
          <w:b/>
          <w:bCs/>
          <w:color w:val="auto"/>
          <w:kern w:val="0"/>
          <w:sz w:val="22"/>
        </w:rPr>
      </w:pPr>
      <w:bookmarkStart w:id="56" w:name="_Toc143421658"/>
      <w:bookmarkStart w:id="57" w:name="_Toc18870"/>
      <w:r>
        <w:rPr>
          <w:rFonts w:ascii="等线" w:hAnsi="等线" w:cs="Calibri"/>
          <w:b/>
          <w:bCs/>
          <w:color w:val="auto"/>
          <w:kern w:val="0"/>
          <w:sz w:val="22"/>
        </w:rPr>
        <w:t>3.投标文件</w:t>
      </w:r>
      <w:bookmarkEnd w:id="56"/>
      <w:bookmarkEnd w:id="57"/>
    </w:p>
    <w:p>
      <w:pPr>
        <w:autoSpaceDE w:val="0"/>
        <w:autoSpaceDN w:val="0"/>
        <w:adjustRightInd w:val="0"/>
        <w:snapToGrid w:val="0"/>
        <w:spacing w:line="360" w:lineRule="exact"/>
        <w:rPr>
          <w:rFonts w:ascii="等线" w:hAnsi="等线" w:cs="Calibri"/>
          <w:b/>
          <w:bCs/>
          <w:color w:val="auto"/>
          <w:kern w:val="0"/>
          <w:sz w:val="22"/>
        </w:rPr>
      </w:pPr>
      <w:bookmarkStart w:id="58" w:name="_Toc461"/>
      <w:r>
        <w:rPr>
          <w:rFonts w:ascii="等线" w:hAnsi="等线" w:cs="Calibri"/>
          <w:b/>
          <w:bCs/>
          <w:color w:val="auto"/>
          <w:kern w:val="0"/>
          <w:sz w:val="22"/>
        </w:rPr>
        <w:t>3.1 投标文件的语言和计量单位</w:t>
      </w:r>
      <w:bookmarkEnd w:id="5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3.1.1投标文件与投标有关的所有文件均应使用中文。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3.1.3招标文件中的“天”除特别说明外，均为日历天。</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3.1.4招标文件中所指的“合同”除特别说明外，指 “</w:t>
      </w:r>
      <w:r>
        <w:rPr>
          <w:rFonts w:hint="eastAsia" w:ascii="等线" w:hAnsi="等线" w:cs="Calibri"/>
          <w:color w:val="auto"/>
          <w:kern w:val="0"/>
          <w:sz w:val="22"/>
        </w:rPr>
        <w:t>服务</w:t>
      </w:r>
      <w:r>
        <w:rPr>
          <w:rFonts w:ascii="等线" w:hAnsi="等线" w:cs="Calibri"/>
          <w:color w:val="auto"/>
          <w:kern w:val="0"/>
          <w:sz w:val="22"/>
        </w:rPr>
        <w:t>合同”。</w:t>
      </w:r>
    </w:p>
    <w:p>
      <w:pPr>
        <w:autoSpaceDE w:val="0"/>
        <w:autoSpaceDN w:val="0"/>
        <w:adjustRightInd w:val="0"/>
        <w:snapToGrid w:val="0"/>
        <w:spacing w:line="360" w:lineRule="exact"/>
        <w:rPr>
          <w:rFonts w:ascii="等线" w:hAnsi="等线" w:cs="Calibri"/>
          <w:b/>
          <w:bCs/>
          <w:color w:val="auto"/>
          <w:kern w:val="0"/>
          <w:sz w:val="22"/>
        </w:rPr>
      </w:pPr>
      <w:bookmarkStart w:id="59" w:name="_Toc1411"/>
      <w:r>
        <w:rPr>
          <w:rFonts w:ascii="等线" w:hAnsi="等线" w:cs="Calibri"/>
          <w:b/>
          <w:bCs/>
          <w:color w:val="auto"/>
          <w:kern w:val="0"/>
          <w:sz w:val="22"/>
        </w:rPr>
        <w:t>3.2 投标文件的组成</w:t>
      </w:r>
      <w:bookmarkEnd w:id="59"/>
    </w:p>
    <w:p>
      <w:pPr>
        <w:adjustRightInd w:val="0"/>
        <w:snapToGrid w:val="0"/>
        <w:spacing w:line="360" w:lineRule="exact"/>
        <w:ind w:firstLine="440" w:firstLineChars="200"/>
        <w:rPr>
          <w:rFonts w:ascii="等线" w:hAnsi="等线" w:cs="Calibri"/>
          <w:color w:val="auto"/>
          <w:sz w:val="22"/>
        </w:rPr>
      </w:pPr>
      <w:bookmarkStart w:id="60" w:name="_Toc32225"/>
      <w:r>
        <w:rPr>
          <w:rFonts w:ascii="等线" w:hAnsi="等线" w:cs="Calibri"/>
          <w:color w:val="auto"/>
          <w:sz w:val="22"/>
        </w:rPr>
        <w:t>3.2.1投标函；</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2</w:t>
      </w:r>
      <w:r>
        <w:rPr>
          <w:rFonts w:ascii="等线" w:hAnsi="等线" w:cs="Calibri"/>
          <w:color w:val="auto"/>
          <w:sz w:val="22"/>
        </w:rPr>
        <w:t>法定代表人资格证明书；</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3</w:t>
      </w:r>
      <w:r>
        <w:rPr>
          <w:rFonts w:ascii="等线" w:hAnsi="等线" w:cs="Calibri"/>
          <w:color w:val="auto"/>
          <w:sz w:val="22"/>
        </w:rPr>
        <w:t>授权委托书；</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w:t>
      </w:r>
      <w:r>
        <w:rPr>
          <w:rFonts w:hint="eastAsia" w:ascii="等线" w:hAnsi="等线" w:cs="Calibri"/>
          <w:color w:val="auto"/>
          <w:sz w:val="22"/>
        </w:rPr>
        <w:t>4</w:t>
      </w:r>
      <w:r>
        <w:rPr>
          <w:rFonts w:ascii="等线" w:hAnsi="等线" w:cs="Calibri"/>
          <w:color w:val="auto"/>
          <w:sz w:val="22"/>
        </w:rPr>
        <w:t xml:space="preserve"> 投标报价表；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3.2.5投标人资格证明文件：</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（1）投标人一般情况</w:t>
      </w:r>
      <w:r>
        <w:rPr>
          <w:rFonts w:hint="eastAsia" w:ascii="等线" w:hAnsi="等线" w:cs="Calibri"/>
          <w:color w:val="auto"/>
          <w:sz w:val="22"/>
        </w:rPr>
        <w:t>及</w:t>
      </w:r>
      <w:r>
        <w:rPr>
          <w:rFonts w:ascii="等线" w:hAnsi="等线" w:cs="Calibri"/>
          <w:color w:val="auto"/>
          <w:sz w:val="22"/>
        </w:rPr>
        <w:t>有关证明投标人法律地位的文件（包括营业执照</w:t>
      </w:r>
      <w:r>
        <w:rPr>
          <w:rFonts w:hint="eastAsia" w:ascii="等线" w:hAnsi="等线" w:cs="Calibri"/>
          <w:color w:val="auto"/>
          <w:sz w:val="22"/>
        </w:rPr>
        <w:t>、税务登记证、</w:t>
      </w:r>
      <w:r>
        <w:rPr>
          <w:rFonts w:ascii="等线" w:hAnsi="等线" w:cs="Calibri"/>
          <w:color w:val="auto"/>
          <w:sz w:val="22"/>
        </w:rPr>
        <w:t>一般纳税人证明材料</w:t>
      </w:r>
      <w:r>
        <w:rPr>
          <w:rFonts w:hint="eastAsia" w:ascii="等线" w:hAnsi="等线" w:cs="Calibri"/>
          <w:color w:val="auto"/>
          <w:sz w:val="22"/>
        </w:rPr>
        <w:t>、</w:t>
      </w:r>
      <w:r>
        <w:rPr>
          <w:rFonts w:ascii="等线" w:hAnsi="等线" w:cs="Calibri"/>
          <w:color w:val="auto"/>
          <w:sz w:val="22"/>
        </w:rPr>
        <w:t>资质</w:t>
      </w:r>
      <w:r>
        <w:rPr>
          <w:rFonts w:hint="eastAsia" w:ascii="等线" w:hAnsi="等线" w:cs="Calibri"/>
          <w:color w:val="auto"/>
          <w:sz w:val="22"/>
        </w:rPr>
        <w:t>证书</w:t>
      </w:r>
      <w:r>
        <w:rPr>
          <w:rFonts w:ascii="等线" w:hAnsi="等线" w:cs="Calibri"/>
          <w:color w:val="auto"/>
          <w:sz w:val="22"/>
        </w:rPr>
        <w:t>等），说明投标人的注册地点和主要经营范围；</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（2）有关证明投标人的企业信誉及获得各种奖励等资料；</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（3）投标人经济实力：包括企业注册资金、财务报告与报表中反映的财务状况</w:t>
      </w:r>
      <w:r>
        <w:rPr>
          <w:rFonts w:hint="eastAsia"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（4）</w:t>
      </w:r>
      <w:r>
        <w:rPr>
          <w:rFonts w:ascii="等线" w:hAnsi="等线" w:cs="Calibri"/>
          <w:color w:val="auto"/>
          <w:sz w:val="22"/>
        </w:rPr>
        <w:t>近三年完成类似项目业绩情况</w:t>
      </w:r>
      <w:r>
        <w:rPr>
          <w:rFonts w:hint="eastAsia"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（5）招标文件投标人资格要求中提供的相关材料。</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3.2.6</w:t>
      </w:r>
      <w:r>
        <w:rPr>
          <w:rFonts w:hint="eastAsia" w:ascii="等线" w:hAnsi="等线" w:cs="Calibri"/>
          <w:color w:val="auto"/>
          <w:sz w:val="22"/>
        </w:rPr>
        <w:t xml:space="preserve"> </w:t>
      </w:r>
      <w:r>
        <w:rPr>
          <w:rFonts w:ascii="等线" w:hAnsi="等线" w:cs="Calibri"/>
          <w:color w:val="auto"/>
          <w:sz w:val="22"/>
        </w:rPr>
        <w:t>服务大纲</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（1）本项目概况；</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（2）工作内容和依据；</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w:t>
      </w:r>
      <w:r>
        <w:rPr>
          <w:rFonts w:hint="eastAsia" w:ascii="等线" w:hAnsi="等线" w:cs="Calibri"/>
          <w:color w:val="auto"/>
          <w:sz w:val="22"/>
        </w:rPr>
        <w:t>现场机构、人力、物资设备配置</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（4）服务人员的作业安排和进场计划；</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w:t>
      </w:r>
      <w:r>
        <w:rPr>
          <w:rFonts w:hint="eastAsia" w:ascii="等线" w:hAnsi="等线" w:cs="Calibri"/>
          <w:color w:val="auto"/>
          <w:sz w:val="22"/>
        </w:rPr>
        <w:t>运行、安全、服务等相关管理方案</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（6）对本项目的实施意见及重点</w:t>
      </w:r>
      <w:r>
        <w:rPr>
          <w:rFonts w:hint="eastAsia" w:ascii="等线" w:hAnsi="等线" w:cs="Calibri"/>
          <w:color w:val="auto"/>
          <w:sz w:val="22"/>
        </w:rPr>
        <w:t>、</w:t>
      </w:r>
      <w:r>
        <w:rPr>
          <w:rFonts w:ascii="等线" w:hAnsi="等线" w:cs="Calibri"/>
          <w:color w:val="auto"/>
          <w:sz w:val="22"/>
        </w:rPr>
        <w:t>难点控制；</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（7）对特殊情况的承诺以及灾害性、突发事件的应急预案；</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8</w:t>
      </w:r>
      <w:r>
        <w:rPr>
          <w:rFonts w:ascii="等线" w:hAnsi="等线" w:cs="Calibri"/>
          <w:color w:val="auto"/>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9</w:t>
      </w:r>
      <w:r>
        <w:rPr>
          <w:rFonts w:ascii="等线" w:hAnsi="等线" w:cs="Calibri"/>
          <w:color w:val="auto"/>
          <w:sz w:val="22"/>
        </w:rPr>
        <w:t>）投入本项目服务的仪器、仪表、设备及交通工具汇总表</w:t>
      </w:r>
      <w:r>
        <w:rPr>
          <w:rFonts w:hint="eastAsia" w:ascii="等线" w:hAnsi="等线" w:cs="Calibri"/>
          <w:color w:val="auto"/>
          <w:sz w:val="22"/>
        </w:rPr>
        <w:t>。</w:t>
      </w:r>
    </w:p>
    <w:p>
      <w:pPr>
        <w:adjustRightInd w:val="0"/>
        <w:snapToGrid w:val="0"/>
        <w:spacing w:line="360" w:lineRule="exact"/>
        <w:ind w:firstLine="440" w:firstLineChars="200"/>
        <w:rPr>
          <w:rFonts w:ascii="等线" w:hAnsi="等线"/>
          <w:color w:val="auto"/>
          <w:sz w:val="22"/>
        </w:rPr>
      </w:pPr>
      <w:r>
        <w:rPr>
          <w:rFonts w:ascii="等线" w:hAnsi="等线" w:cs="Calibri"/>
          <w:color w:val="auto"/>
          <w:sz w:val="22"/>
        </w:rPr>
        <w:t>3.2.7</w:t>
      </w:r>
      <w:r>
        <w:rPr>
          <w:rFonts w:hint="eastAsia" w:ascii="等线" w:hAnsi="等线" w:cs="Arial"/>
          <w:color w:val="auto"/>
          <w:sz w:val="22"/>
        </w:rPr>
        <w:t>投标人认为</w:t>
      </w:r>
      <w:r>
        <w:rPr>
          <w:rFonts w:ascii="等线" w:hAnsi="等线" w:cs="Arial"/>
          <w:color w:val="auto"/>
          <w:sz w:val="22"/>
        </w:rPr>
        <w:t>应该提供的其他材料</w:t>
      </w:r>
      <w:r>
        <w:rPr>
          <w:rFonts w:hint="eastAsia" w:ascii="等线" w:hAnsi="等线" w:cs="Arial"/>
          <w:color w:val="auto"/>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3.3 投标报价</w:t>
      </w:r>
      <w:bookmarkEnd w:id="60"/>
    </w:p>
    <w:p>
      <w:pPr>
        <w:adjustRightInd w:val="0"/>
        <w:snapToGrid w:val="0"/>
        <w:spacing w:line="360" w:lineRule="exact"/>
        <w:ind w:firstLine="440" w:firstLineChars="200"/>
        <w:rPr>
          <w:rFonts w:ascii="等线" w:hAnsi="等线" w:cs="Calibri"/>
          <w:color w:val="auto"/>
          <w:kern w:val="0"/>
          <w:sz w:val="22"/>
        </w:rPr>
      </w:pPr>
      <w:bookmarkStart w:id="61" w:name="_Toc13307"/>
      <w:r>
        <w:rPr>
          <w:rFonts w:ascii="等线" w:hAnsi="等线" w:cs="Calibri"/>
          <w:color w:val="auto"/>
          <w:kern w:val="0"/>
          <w:sz w:val="22"/>
        </w:rPr>
        <w:t>3.2.1 投标人应按本招标文件中“投标文件格式”的要求填写相应表格。</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3.2.4投标报价的其他要求</w:t>
      </w:r>
      <w:r>
        <w:rPr>
          <w:rFonts w:hint="eastAsia" w:ascii="等线" w:hAnsi="等线" w:cs="Calibri"/>
          <w:color w:val="auto"/>
          <w:kern w:val="0"/>
          <w:sz w:val="22"/>
        </w:rPr>
        <w:t>：</w:t>
      </w:r>
      <w:r>
        <w:rPr>
          <w:rFonts w:hint="eastAsia" w:ascii="等线" w:hAnsi="等线" w:cs="Calibri"/>
          <w:b/>
          <w:color w:val="auto"/>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等线" w:hAnsi="等线" w:cs="Calibri"/>
          <w:b/>
          <w:color w:val="auto"/>
          <w:kern w:val="0"/>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3.4 投标有效期</w:t>
      </w:r>
      <w:bookmarkEnd w:id="61"/>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等线" w:hAnsi="等线" w:cs="Calibri"/>
          <w:b/>
          <w:bCs/>
          <w:color w:val="auto"/>
          <w:kern w:val="0"/>
          <w:sz w:val="22"/>
        </w:rPr>
      </w:pPr>
      <w:bookmarkStart w:id="62" w:name="_Toc30464"/>
      <w:r>
        <w:rPr>
          <w:rFonts w:ascii="等线" w:hAnsi="等线" w:cs="Calibri"/>
          <w:b/>
          <w:bCs/>
          <w:color w:val="auto"/>
          <w:kern w:val="0"/>
          <w:sz w:val="22"/>
        </w:rPr>
        <w:t>3.5 投标保证金</w:t>
      </w:r>
      <w:bookmarkEnd w:id="62"/>
      <w:r>
        <w:rPr>
          <w:rFonts w:hint="eastAsia" w:ascii="等线" w:hAnsi="等线" w:cs="Calibri"/>
          <w:b/>
          <w:bCs/>
          <w:color w:val="auto"/>
          <w:kern w:val="0"/>
          <w:sz w:val="22"/>
        </w:rPr>
        <w:t>（如有）</w:t>
      </w:r>
    </w:p>
    <w:p>
      <w:pPr>
        <w:adjustRightInd w:val="0"/>
        <w:snapToGrid w:val="0"/>
        <w:spacing w:line="360" w:lineRule="exact"/>
        <w:ind w:firstLine="440"/>
        <w:rPr>
          <w:rFonts w:ascii="宋体" w:hAnsi="宋体" w:cs="Calibri"/>
          <w:color w:val="auto"/>
          <w:kern w:val="0"/>
          <w:sz w:val="22"/>
        </w:rPr>
      </w:pPr>
      <w:bookmarkStart w:id="63" w:name="_Toc29989"/>
      <w:r>
        <w:rPr>
          <w:rFonts w:ascii="宋体" w:hAnsi="宋体" w:cs="Calibri"/>
          <w:color w:val="auto"/>
          <w:kern w:val="0"/>
          <w:sz w:val="22"/>
        </w:rPr>
        <w:t>3.5.1投标人在递交投标文件的同时，应按投标人须知前附表规定的金额、担保形式和第</w:t>
      </w:r>
      <w:r>
        <w:rPr>
          <w:rFonts w:hint="eastAsia" w:ascii="宋体" w:hAnsi="宋体" w:cs="Calibri"/>
          <w:color w:val="auto"/>
          <w:kern w:val="0"/>
          <w:sz w:val="22"/>
        </w:rPr>
        <w:t>六</w:t>
      </w:r>
      <w:r>
        <w:rPr>
          <w:rFonts w:ascii="宋体" w:hAnsi="宋体" w:cs="Calibri"/>
          <w:color w:val="auto"/>
          <w:kern w:val="0"/>
          <w:sz w:val="22"/>
        </w:rPr>
        <w:t>章</w:t>
      </w:r>
      <w:r>
        <w:rPr>
          <w:rFonts w:ascii="宋体" w:hAnsi="宋体" w:cs="Calibri"/>
          <w:color w:val="auto"/>
          <w:sz w:val="22"/>
        </w:rPr>
        <w:t>“投标文件格式”</w:t>
      </w:r>
      <w:r>
        <w:rPr>
          <w:rFonts w:ascii="宋体" w:hAnsi="宋体" w:cs="Calibri"/>
          <w:color w:val="auto"/>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3.5.2</w:t>
      </w:r>
      <w:r>
        <w:rPr>
          <w:rFonts w:hint="eastAsia" w:ascii="宋体" w:hAnsi="宋体" w:cs="Calibri"/>
          <w:color w:val="auto"/>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3.5.3投标人如有下列情形之一的，投标保证金将不予退还：</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（1）投标人在规定的投标有效期内撤销或修改其投标文件；</w:t>
      </w:r>
    </w:p>
    <w:p>
      <w:pPr>
        <w:adjustRightInd w:val="0"/>
        <w:snapToGrid w:val="0"/>
        <w:spacing w:line="360" w:lineRule="exact"/>
        <w:ind w:firstLine="440"/>
        <w:rPr>
          <w:rFonts w:ascii="宋体" w:hAnsi="宋体" w:cs="Calibri"/>
          <w:color w:val="auto"/>
          <w:sz w:val="22"/>
        </w:rPr>
      </w:pPr>
      <w:r>
        <w:rPr>
          <w:rFonts w:ascii="宋体" w:hAnsi="宋体" w:cs="Calibri"/>
          <w:color w:val="auto"/>
          <w:kern w:val="0"/>
          <w:sz w:val="22"/>
        </w:rPr>
        <w:t>（2）</w:t>
      </w:r>
      <w:r>
        <w:rPr>
          <w:rFonts w:ascii="等线" w:hAnsi="等线" w:cs="Calibri"/>
          <w:color w:val="auto"/>
          <w:kern w:val="0"/>
          <w:sz w:val="22"/>
        </w:rPr>
        <w:t>中标人在收到中标通知书后，</w:t>
      </w:r>
      <w:r>
        <w:rPr>
          <w:rFonts w:ascii="等线" w:hAnsi="等线" w:cs="Calibri"/>
          <w:color w:val="auto"/>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auto"/>
          <w:sz w:val="22"/>
        </w:rPr>
        <w:t>；</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3.6 投标文件的编制</w:t>
      </w:r>
      <w:bookmarkEnd w:id="63"/>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3.6.1 投标文件应按本须知第3.2款规定的内容和第</w:t>
      </w:r>
      <w:r>
        <w:rPr>
          <w:rFonts w:hint="eastAsia" w:ascii="等线" w:hAnsi="等线" w:cs="Calibri"/>
          <w:color w:val="auto"/>
          <w:sz w:val="22"/>
        </w:rPr>
        <w:t>六</w:t>
      </w:r>
      <w:r>
        <w:rPr>
          <w:rFonts w:ascii="等线" w:hAnsi="等线" w:cs="Calibri"/>
          <w:color w:val="auto"/>
          <w:sz w:val="22"/>
        </w:rPr>
        <w:t>章“投标文件格式”进行编写，如有必要，可以增加附页，作为投标文件的组成部分，“投标文件格式”中没有规定的可自行编制格式。其中，</w:t>
      </w:r>
      <w:r>
        <w:rPr>
          <w:rFonts w:hint="eastAsia" w:ascii="等线" w:hAnsi="等线" w:cs="Calibri"/>
          <w:color w:val="auto"/>
          <w:sz w:val="22"/>
        </w:rPr>
        <w:t>服务期</w:t>
      </w:r>
      <w:r>
        <w:rPr>
          <w:rFonts w:ascii="等线" w:hAnsi="等线" w:cs="Calibri"/>
          <w:color w:val="auto"/>
          <w:sz w:val="22"/>
        </w:rPr>
        <w:t>在满足招标文件实质性要求的基础上，可以提出比招标文件要求更有利于招标人的承诺。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 xml:space="preserve">3.6.2 </w:t>
      </w:r>
      <w:r>
        <w:rPr>
          <w:rFonts w:ascii="等线" w:hAnsi="等线" w:cs="Calibri"/>
          <w:color w:val="auto"/>
          <w:kern w:val="0"/>
          <w:sz w:val="22"/>
        </w:rPr>
        <w:t>投标文件应对招标文件有关</w:t>
      </w:r>
      <w:r>
        <w:rPr>
          <w:rFonts w:hint="eastAsia" w:ascii="等线" w:hAnsi="等线" w:cs="Calibri"/>
          <w:color w:val="auto"/>
          <w:kern w:val="0"/>
          <w:sz w:val="22"/>
        </w:rPr>
        <w:t>服务</w:t>
      </w:r>
      <w:r>
        <w:rPr>
          <w:rFonts w:ascii="等线" w:hAnsi="等线" w:cs="Calibri"/>
          <w:color w:val="auto"/>
          <w:kern w:val="0"/>
          <w:sz w:val="22"/>
        </w:rPr>
        <w:t>期、投标有效期、招标</w:t>
      </w:r>
      <w:r>
        <w:rPr>
          <w:rFonts w:hint="eastAsia" w:ascii="等线" w:hAnsi="等线" w:cs="Calibri"/>
          <w:color w:val="auto"/>
          <w:kern w:val="0"/>
          <w:sz w:val="22"/>
        </w:rPr>
        <w:t>内容</w:t>
      </w:r>
      <w:r>
        <w:rPr>
          <w:rFonts w:ascii="等线" w:hAnsi="等线" w:cs="Calibri"/>
          <w:color w:val="auto"/>
          <w:kern w:val="0"/>
          <w:sz w:val="22"/>
        </w:rPr>
        <w:t>等实质性内容作出响应。</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等线" w:hAnsi="等线" w:cs="Calibri"/>
          <w:color w:val="auto"/>
          <w:kern w:val="0"/>
          <w:sz w:val="22"/>
        </w:rPr>
        <w:t>签字或盖章的具体要求见投标人须知前附表。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3.6.4投标文件正本一份， 副本份数见投标人须知前附表。正本、副本的封面上应清楚地标记</w:t>
      </w:r>
      <w:r>
        <w:rPr>
          <w:rFonts w:ascii="等线" w:hAnsi="等线" w:cs="Calibri"/>
          <w:b/>
          <w:bCs/>
          <w:color w:val="auto"/>
          <w:sz w:val="22"/>
        </w:rPr>
        <w:t>“正本</w:t>
      </w:r>
      <w:r>
        <w:rPr>
          <w:rFonts w:ascii="等线" w:hAnsi="等线" w:cs="Calibri"/>
          <w:color w:val="auto"/>
          <w:sz w:val="22"/>
        </w:rPr>
        <w:t>”或“</w:t>
      </w:r>
      <w:r>
        <w:rPr>
          <w:rFonts w:ascii="等线" w:hAnsi="等线" w:cs="Calibri"/>
          <w:b/>
          <w:bCs/>
          <w:color w:val="auto"/>
          <w:sz w:val="22"/>
        </w:rPr>
        <w:t>副本</w:t>
      </w:r>
      <w:r>
        <w:rPr>
          <w:rFonts w:ascii="等线" w:hAnsi="等线" w:cs="Calibri"/>
          <w:color w:val="auto"/>
          <w:sz w:val="22"/>
        </w:rPr>
        <w:t>”的字样。当副本和正本不一致时，以正本为准。</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等线" w:hAnsi="等线" w:cs="Calibri"/>
          <w:b/>
          <w:bCs/>
          <w:color w:val="auto"/>
          <w:kern w:val="0"/>
          <w:sz w:val="22"/>
        </w:rPr>
      </w:pPr>
      <w:bookmarkStart w:id="65" w:name="_Toc32652"/>
      <w:r>
        <w:rPr>
          <w:rFonts w:ascii="等线" w:hAnsi="等线" w:cs="Calibri"/>
          <w:b/>
          <w:bCs/>
          <w:color w:val="auto"/>
          <w:kern w:val="0"/>
          <w:sz w:val="22"/>
        </w:rPr>
        <w:t>4.投标</w:t>
      </w:r>
      <w:bookmarkEnd w:id="64"/>
      <w:bookmarkEnd w:id="65"/>
    </w:p>
    <w:p>
      <w:pPr>
        <w:autoSpaceDE w:val="0"/>
        <w:autoSpaceDN w:val="0"/>
        <w:adjustRightInd w:val="0"/>
        <w:snapToGrid w:val="0"/>
        <w:spacing w:line="360" w:lineRule="exact"/>
        <w:rPr>
          <w:rFonts w:ascii="等线" w:hAnsi="等线" w:cs="Calibri"/>
          <w:b/>
          <w:bCs/>
          <w:color w:val="auto"/>
          <w:kern w:val="0"/>
          <w:sz w:val="22"/>
        </w:rPr>
      </w:pPr>
      <w:bookmarkStart w:id="66" w:name="_Toc649"/>
      <w:r>
        <w:rPr>
          <w:rFonts w:ascii="等线" w:hAnsi="等线" w:cs="Calibri"/>
          <w:b/>
          <w:bCs/>
          <w:color w:val="auto"/>
          <w:kern w:val="0"/>
          <w:sz w:val="22"/>
        </w:rPr>
        <w:t>4.1 投标文件的密封和标识</w:t>
      </w:r>
      <w:bookmarkEnd w:id="66"/>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4.1.1</w:t>
      </w:r>
      <w:r>
        <w:rPr>
          <w:rFonts w:ascii="等线" w:hAnsi="等线" w:cs="Calibri"/>
          <w:color w:val="auto"/>
          <w:kern w:val="0"/>
          <w:sz w:val="22"/>
        </w:rPr>
        <w:t>投标文件的正本、副本可一同</w:t>
      </w:r>
      <w:r>
        <w:rPr>
          <w:rFonts w:hint="eastAsia" w:ascii="等线" w:hAnsi="等线" w:cs="Calibri"/>
          <w:color w:val="auto"/>
          <w:kern w:val="0"/>
          <w:sz w:val="22"/>
        </w:rPr>
        <w:t>密封</w:t>
      </w:r>
      <w:r>
        <w:rPr>
          <w:rFonts w:ascii="等线" w:hAnsi="等线" w:cs="Calibri"/>
          <w:color w:val="auto"/>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4.1.3 未按本章第4.1.1项或第4.1.2项要求密封和加写标记的投标文件，招标人不予受理。</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4.1.</w:t>
      </w:r>
      <w:r>
        <w:rPr>
          <w:rFonts w:hint="eastAsia" w:ascii="等线" w:hAnsi="等线" w:cs="Calibri"/>
          <w:color w:val="auto"/>
          <w:kern w:val="0"/>
          <w:sz w:val="22"/>
        </w:rPr>
        <w:t>4</w:t>
      </w:r>
      <w:r>
        <w:rPr>
          <w:rFonts w:ascii="等线" w:hAnsi="等线" w:cs="Calibri"/>
          <w:color w:val="auto"/>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等线" w:hAnsi="等线" w:cs="Calibri"/>
          <w:b/>
          <w:bCs/>
          <w:color w:val="auto"/>
          <w:kern w:val="0"/>
          <w:sz w:val="22"/>
        </w:rPr>
      </w:pPr>
      <w:bookmarkStart w:id="67" w:name="_Toc16616"/>
      <w:r>
        <w:rPr>
          <w:rFonts w:ascii="等线" w:hAnsi="等线" w:cs="Calibri"/>
          <w:b/>
          <w:bCs/>
          <w:color w:val="auto"/>
          <w:kern w:val="0"/>
          <w:sz w:val="22"/>
        </w:rPr>
        <w:t xml:space="preserve">4.2 投标文件的递交 </w:t>
      </w:r>
      <w:bookmarkEnd w:id="67"/>
    </w:p>
    <w:p>
      <w:pPr>
        <w:autoSpaceDE w:val="0"/>
        <w:autoSpaceDN w:val="0"/>
        <w:adjustRightInd w:val="0"/>
        <w:snapToGrid w:val="0"/>
        <w:spacing w:line="360" w:lineRule="exact"/>
        <w:ind w:firstLine="442" w:firstLineChars="200"/>
        <w:rPr>
          <w:rFonts w:ascii="等线" w:hAnsi="等线" w:cs="Calibri"/>
          <w:b/>
          <w:bCs/>
          <w:color w:val="auto"/>
          <w:kern w:val="0"/>
          <w:sz w:val="22"/>
        </w:rPr>
      </w:pPr>
      <w:r>
        <w:rPr>
          <w:rFonts w:ascii="等线" w:hAnsi="等线" w:cs="Calibri"/>
          <w:b/>
          <w:bCs/>
          <w:color w:val="auto"/>
          <w:kern w:val="0"/>
          <w:sz w:val="22"/>
        </w:rPr>
        <w:t>4.2.1投标人应在本须知前附表规定的投标截止时间前递交投标文件。</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4.2.2投标人送达投标文件的地点：见投标人须知前附表。</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4.2.3除投标人须知前附表另有规定外，投标人所递交的投标文件不予退还。</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4.2.</w:t>
      </w:r>
      <w:r>
        <w:rPr>
          <w:rFonts w:hint="eastAsia" w:ascii="等线" w:hAnsi="等线" w:cs="Calibri"/>
          <w:color w:val="auto"/>
          <w:sz w:val="22"/>
        </w:rPr>
        <w:t>4</w:t>
      </w:r>
      <w:r>
        <w:rPr>
          <w:rFonts w:ascii="等线" w:hAnsi="等线" w:cs="Calibri"/>
          <w:color w:val="auto"/>
          <w:sz w:val="22"/>
        </w:rPr>
        <w:t>逾期送达的或者未送达指定地点的投标文件，招标人不予受理。</w:t>
      </w:r>
    </w:p>
    <w:p>
      <w:pPr>
        <w:autoSpaceDE w:val="0"/>
        <w:autoSpaceDN w:val="0"/>
        <w:adjustRightInd w:val="0"/>
        <w:snapToGrid w:val="0"/>
        <w:spacing w:line="360" w:lineRule="exact"/>
        <w:rPr>
          <w:rFonts w:ascii="等线" w:hAnsi="等线" w:cs="Calibri"/>
          <w:b/>
          <w:bCs/>
          <w:color w:val="auto"/>
          <w:kern w:val="0"/>
          <w:sz w:val="22"/>
        </w:rPr>
      </w:pPr>
      <w:bookmarkStart w:id="68" w:name="_Toc26099"/>
      <w:r>
        <w:rPr>
          <w:rFonts w:ascii="等线" w:hAnsi="等线" w:cs="Calibri"/>
          <w:b/>
          <w:bCs/>
          <w:color w:val="auto"/>
          <w:kern w:val="0"/>
          <w:sz w:val="22"/>
        </w:rPr>
        <w:t>4.3 投标文件的修改和撤回</w:t>
      </w:r>
      <w:bookmarkEnd w:id="6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等线" w:hAnsi="等线" w:cs="Calibri"/>
          <w:b/>
          <w:bCs/>
          <w:color w:val="auto"/>
          <w:kern w:val="0"/>
          <w:sz w:val="22"/>
        </w:rPr>
      </w:pPr>
      <w:bookmarkStart w:id="69" w:name="_Toc29641"/>
      <w:r>
        <w:rPr>
          <w:rFonts w:ascii="等线" w:hAnsi="等线" w:cs="Calibri"/>
          <w:b/>
          <w:bCs/>
          <w:color w:val="auto"/>
          <w:kern w:val="0"/>
          <w:sz w:val="22"/>
        </w:rPr>
        <w:t>5.开标</w:t>
      </w:r>
      <w:bookmarkEnd w:id="69"/>
    </w:p>
    <w:p>
      <w:pPr>
        <w:autoSpaceDE w:val="0"/>
        <w:autoSpaceDN w:val="0"/>
        <w:adjustRightInd w:val="0"/>
        <w:snapToGrid w:val="0"/>
        <w:spacing w:line="360" w:lineRule="exact"/>
        <w:rPr>
          <w:rFonts w:ascii="等线" w:hAnsi="等线" w:cs="Calibri"/>
          <w:b/>
          <w:bCs/>
          <w:color w:val="auto"/>
          <w:kern w:val="0"/>
          <w:sz w:val="22"/>
        </w:rPr>
      </w:pPr>
      <w:bookmarkStart w:id="70" w:name="_Toc15123"/>
      <w:r>
        <w:rPr>
          <w:rFonts w:ascii="等线" w:hAnsi="等线" w:cs="Calibri"/>
          <w:b/>
          <w:bCs/>
          <w:color w:val="auto"/>
          <w:kern w:val="0"/>
          <w:sz w:val="22"/>
        </w:rPr>
        <w:t>5.1 开标时间和地点</w:t>
      </w:r>
      <w:bookmarkEnd w:id="70"/>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5.1.1</w:t>
      </w:r>
      <w:r>
        <w:rPr>
          <w:rFonts w:ascii="宋体" w:hAnsi="宋体" w:cs="Calibri"/>
          <w:color w:val="auto"/>
          <w:sz w:val="22"/>
        </w:rPr>
        <w:t>招标人在投标人须知规定的投标截止时间（开标时间）和地点公开开标，并邀请所有投标人的法定代表人或其委托代理人准时参加</w:t>
      </w:r>
      <w:r>
        <w:rPr>
          <w:rFonts w:hint="eastAsia" w:ascii="宋体" w:hAnsi="宋体" w:cs="Calibri"/>
          <w:color w:val="auto"/>
          <w:sz w:val="22"/>
        </w:rPr>
        <w:t>，参加开标的代表应签名报到以证明其出席，未参加开标的投标人视作默认开标结果。</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5.1.2投标人在投标时应随身携带下列资料提交招标人</w:t>
      </w:r>
    </w:p>
    <w:p>
      <w:pPr>
        <w:adjustRightInd w:val="0"/>
        <w:snapToGrid w:val="0"/>
        <w:spacing w:line="360" w:lineRule="exact"/>
        <w:ind w:firstLine="440" w:firstLineChars="200"/>
        <w:rPr>
          <w:rFonts w:ascii="等线" w:hAnsi="等线" w:cs="Calibri"/>
          <w:color w:val="auto"/>
          <w:sz w:val="22"/>
        </w:rPr>
      </w:pPr>
      <w:bookmarkStart w:id="71" w:name="_Toc7101"/>
      <w:r>
        <w:rPr>
          <w:rFonts w:ascii="等线" w:hAnsi="等线" w:cs="Calibri"/>
          <w:color w:val="auto"/>
          <w:sz w:val="22"/>
        </w:rPr>
        <w:t>（1）委托代理人的身份证、法定代表人授权委托书</w:t>
      </w:r>
      <w:r>
        <w:rPr>
          <w:rFonts w:hint="eastAsia" w:ascii="等线" w:hAnsi="等线" w:cs="Calibri"/>
          <w:color w:val="auto"/>
          <w:sz w:val="22"/>
        </w:rPr>
        <w:t>（装订在投标文件内亦可）</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（2）投标保证金收执证明或汇款凭证或银行回单</w:t>
      </w:r>
      <w:r>
        <w:rPr>
          <w:rFonts w:hint="eastAsia" w:ascii="等线" w:hAnsi="等线" w:cs="Calibri"/>
          <w:color w:val="auto"/>
          <w:sz w:val="22"/>
        </w:rPr>
        <w:t>（装订在投标文件内亦可）</w:t>
      </w:r>
      <w:r>
        <w:rPr>
          <w:rFonts w:ascii="等线" w:hAnsi="等线" w:cs="Calibri"/>
          <w:color w:val="auto"/>
          <w:sz w:val="22"/>
        </w:rPr>
        <w:t>。</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5.2 开标程序</w:t>
      </w:r>
      <w:bookmarkEnd w:id="71"/>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主持人按下列程序进行开标：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（1）宣布开标纪律；</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（3）宣布开标人、唱标人、记录人、监标人等有关人员姓名；</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（4）按照投标人须知前附表规定检查投标文件的密封情况；</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（5）按照投标人须知前附表的规定确定并宣布投标文件开标顺序；</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w:t>
      </w:r>
      <w:r>
        <w:rPr>
          <w:rFonts w:ascii="等线" w:hAnsi="等线" w:cs="Calibri"/>
          <w:color w:val="auto"/>
          <w:sz w:val="22"/>
        </w:rPr>
        <w:t>按照宣布的开标顺序当众开标，公布投标人名称、投标保证金的递交情况、投标报价、</w:t>
      </w:r>
      <w:r>
        <w:rPr>
          <w:rFonts w:hint="eastAsia" w:ascii="等线" w:hAnsi="等线" w:cs="Calibri"/>
          <w:color w:val="auto"/>
          <w:sz w:val="22"/>
        </w:rPr>
        <w:t>服务期</w:t>
      </w:r>
      <w:r>
        <w:rPr>
          <w:rFonts w:ascii="等线" w:hAnsi="等线" w:cs="Calibri"/>
          <w:color w:val="auto"/>
          <w:sz w:val="22"/>
        </w:rPr>
        <w:t>及其他内容，并记录在案；</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（7）投标人代表、招标人代表、监标人、记录人等有关人员在开标记录上签字确认；</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（8）开标结束。</w:t>
      </w:r>
    </w:p>
    <w:p>
      <w:pPr>
        <w:autoSpaceDE w:val="0"/>
        <w:autoSpaceDN w:val="0"/>
        <w:adjustRightInd w:val="0"/>
        <w:snapToGrid w:val="0"/>
        <w:spacing w:line="360" w:lineRule="exact"/>
        <w:rPr>
          <w:rFonts w:ascii="等线" w:hAnsi="等线" w:cs="Calibri"/>
          <w:b/>
          <w:bCs/>
          <w:color w:val="auto"/>
          <w:kern w:val="0"/>
          <w:sz w:val="22"/>
        </w:rPr>
      </w:pPr>
      <w:bookmarkStart w:id="72" w:name="_Toc31578"/>
      <w:r>
        <w:rPr>
          <w:rFonts w:ascii="等线" w:hAnsi="等线" w:cs="Calibri"/>
          <w:b/>
          <w:bCs/>
          <w:color w:val="auto"/>
          <w:kern w:val="0"/>
          <w:sz w:val="22"/>
        </w:rPr>
        <w:t>6.评标</w:t>
      </w:r>
      <w:bookmarkEnd w:id="72"/>
    </w:p>
    <w:p>
      <w:pPr>
        <w:autoSpaceDE w:val="0"/>
        <w:autoSpaceDN w:val="0"/>
        <w:adjustRightInd w:val="0"/>
        <w:snapToGrid w:val="0"/>
        <w:spacing w:line="360" w:lineRule="exact"/>
        <w:rPr>
          <w:rFonts w:ascii="等线" w:hAnsi="等线" w:cs="Calibri"/>
          <w:b/>
          <w:bCs/>
          <w:color w:val="auto"/>
          <w:kern w:val="0"/>
          <w:sz w:val="22"/>
        </w:rPr>
      </w:pPr>
      <w:bookmarkStart w:id="73" w:name="_Toc10279"/>
      <w:r>
        <w:rPr>
          <w:rFonts w:ascii="等线" w:hAnsi="等线" w:cs="Calibri"/>
          <w:b/>
          <w:bCs/>
          <w:color w:val="auto"/>
          <w:kern w:val="0"/>
          <w:sz w:val="22"/>
        </w:rPr>
        <w:t>6.1 评标委员会</w:t>
      </w:r>
      <w:bookmarkEnd w:id="73"/>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6.1.2评标委员会成员有下列情形之一的，应当回避：</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（1）招标人或投标人的主要负责人的近亲属；</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（2）项目主管部门或者行政监督部门的人员；</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（3）与投标人有经济利益关系，可能影响对投标公正评审的；</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等线" w:hAnsi="等线" w:cs="Calibri"/>
          <w:b/>
          <w:bCs/>
          <w:color w:val="auto"/>
          <w:kern w:val="0"/>
          <w:sz w:val="22"/>
        </w:rPr>
      </w:pPr>
      <w:bookmarkStart w:id="74" w:name="_Toc3460"/>
      <w:r>
        <w:rPr>
          <w:rFonts w:ascii="等线" w:hAnsi="等线" w:cs="Calibri"/>
          <w:b/>
          <w:bCs/>
          <w:color w:val="auto"/>
          <w:kern w:val="0"/>
          <w:sz w:val="22"/>
        </w:rPr>
        <w:t>6.2 评标原则</w:t>
      </w:r>
      <w:bookmarkEnd w:id="74"/>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评标活动遵循公平、公正、科学和择优的原则。</w:t>
      </w:r>
    </w:p>
    <w:p>
      <w:pPr>
        <w:autoSpaceDE w:val="0"/>
        <w:autoSpaceDN w:val="0"/>
        <w:adjustRightInd w:val="0"/>
        <w:snapToGrid w:val="0"/>
        <w:spacing w:line="360" w:lineRule="exact"/>
        <w:rPr>
          <w:rFonts w:ascii="等线" w:hAnsi="等线" w:cs="Calibri"/>
          <w:b/>
          <w:bCs/>
          <w:color w:val="auto"/>
          <w:kern w:val="0"/>
          <w:sz w:val="22"/>
        </w:rPr>
      </w:pPr>
      <w:bookmarkStart w:id="75" w:name="_Toc28178"/>
      <w:r>
        <w:rPr>
          <w:rFonts w:ascii="等线" w:hAnsi="等线" w:cs="Calibri"/>
          <w:b/>
          <w:bCs/>
          <w:color w:val="auto"/>
          <w:kern w:val="0"/>
          <w:sz w:val="22"/>
        </w:rPr>
        <w:t>6.3 评标</w:t>
      </w:r>
      <w:bookmarkEnd w:id="75"/>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评标委员会按照第</w:t>
      </w:r>
      <w:r>
        <w:rPr>
          <w:rFonts w:hint="eastAsia" w:ascii="等线" w:hAnsi="等线" w:cs="Calibri"/>
          <w:color w:val="auto"/>
          <w:kern w:val="0"/>
          <w:sz w:val="22"/>
        </w:rPr>
        <w:t>五</w:t>
      </w:r>
      <w:r>
        <w:rPr>
          <w:rFonts w:ascii="等线" w:hAnsi="等线" w:cs="Calibri"/>
          <w:color w:val="auto"/>
          <w:kern w:val="0"/>
          <w:sz w:val="22"/>
        </w:rPr>
        <w:t>章“评标方法及标准”对投标文件进行评审。第</w:t>
      </w:r>
      <w:r>
        <w:rPr>
          <w:rFonts w:hint="eastAsia" w:ascii="等线" w:hAnsi="等线" w:cs="Calibri"/>
          <w:color w:val="auto"/>
          <w:kern w:val="0"/>
          <w:sz w:val="22"/>
        </w:rPr>
        <w:t>五</w:t>
      </w:r>
      <w:r>
        <w:rPr>
          <w:rFonts w:ascii="等线" w:hAnsi="等线" w:cs="Calibri"/>
          <w:color w:val="auto"/>
          <w:kern w:val="0"/>
          <w:sz w:val="22"/>
        </w:rPr>
        <w:t>章“评标方法及标准”没有规定的方法、评审因素和标准，不作为评标依据。</w:t>
      </w:r>
    </w:p>
    <w:p>
      <w:pPr>
        <w:autoSpaceDE w:val="0"/>
        <w:autoSpaceDN w:val="0"/>
        <w:adjustRightInd w:val="0"/>
        <w:snapToGrid w:val="0"/>
        <w:spacing w:line="360" w:lineRule="exact"/>
        <w:rPr>
          <w:rFonts w:ascii="等线" w:hAnsi="等线" w:cs="Calibri"/>
          <w:b/>
          <w:bCs/>
          <w:color w:val="auto"/>
          <w:kern w:val="0"/>
          <w:sz w:val="22"/>
        </w:rPr>
      </w:pPr>
      <w:bookmarkStart w:id="76" w:name="_Toc24237"/>
      <w:r>
        <w:rPr>
          <w:rFonts w:ascii="等线" w:hAnsi="等线" w:cs="Calibri"/>
          <w:b/>
          <w:bCs/>
          <w:color w:val="auto"/>
          <w:kern w:val="0"/>
          <w:sz w:val="22"/>
        </w:rPr>
        <w:t>7.合同授予</w:t>
      </w:r>
      <w:bookmarkEnd w:id="76"/>
    </w:p>
    <w:p>
      <w:pPr>
        <w:autoSpaceDE w:val="0"/>
        <w:autoSpaceDN w:val="0"/>
        <w:adjustRightInd w:val="0"/>
        <w:snapToGrid w:val="0"/>
        <w:spacing w:line="360" w:lineRule="exact"/>
        <w:rPr>
          <w:rFonts w:ascii="等线" w:hAnsi="等线" w:cs="Calibri"/>
          <w:b/>
          <w:bCs/>
          <w:color w:val="auto"/>
          <w:kern w:val="0"/>
          <w:sz w:val="22"/>
        </w:rPr>
      </w:pPr>
      <w:bookmarkStart w:id="77" w:name="_Toc18809"/>
      <w:r>
        <w:rPr>
          <w:rFonts w:ascii="等线" w:hAnsi="等线" w:cs="Calibri"/>
          <w:b/>
          <w:bCs/>
          <w:color w:val="auto"/>
          <w:kern w:val="0"/>
          <w:sz w:val="22"/>
        </w:rPr>
        <w:t>7.1 定标方式</w:t>
      </w:r>
      <w:bookmarkEnd w:id="77"/>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等线" w:hAnsi="等线" w:cs="Calibri"/>
          <w:b/>
          <w:bCs/>
          <w:color w:val="auto"/>
          <w:kern w:val="0"/>
          <w:sz w:val="22"/>
        </w:rPr>
      </w:pPr>
      <w:bookmarkStart w:id="78" w:name="_Toc14573"/>
      <w:r>
        <w:rPr>
          <w:rFonts w:ascii="等线" w:hAnsi="等线" w:cs="Calibri"/>
          <w:b/>
          <w:bCs/>
          <w:color w:val="auto"/>
          <w:kern w:val="0"/>
          <w:sz w:val="22"/>
        </w:rPr>
        <w:t>7.2 中标通知</w:t>
      </w:r>
      <w:bookmarkEnd w:id="78"/>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等线" w:hAnsi="等线" w:cs="Calibri"/>
          <w:b/>
          <w:bCs/>
          <w:color w:val="auto"/>
          <w:kern w:val="0"/>
          <w:sz w:val="22"/>
        </w:rPr>
      </w:pPr>
      <w:bookmarkStart w:id="79" w:name="_Toc27132"/>
      <w:bookmarkStart w:id="80" w:name="_Toc27581"/>
      <w:r>
        <w:rPr>
          <w:rFonts w:ascii="等线" w:hAnsi="等线" w:cs="Calibri"/>
          <w:b/>
          <w:bCs/>
          <w:color w:val="auto"/>
          <w:kern w:val="0"/>
          <w:sz w:val="22"/>
        </w:rPr>
        <w:t>7.3 履约</w:t>
      </w:r>
      <w:r>
        <w:rPr>
          <w:rFonts w:hint="eastAsia" w:ascii="等线" w:hAnsi="等线" w:cs="Calibri"/>
          <w:b/>
          <w:bCs/>
          <w:color w:val="auto"/>
          <w:kern w:val="0"/>
          <w:sz w:val="22"/>
        </w:rPr>
        <w:t>保证金</w:t>
      </w:r>
      <w:bookmarkEnd w:id="79"/>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7.3.1在签订合同前，中标人应按投标人须知前附表规定的金额</w:t>
      </w:r>
      <w:r>
        <w:rPr>
          <w:rFonts w:hint="eastAsia" w:ascii="等线" w:hAnsi="等线" w:cs="Calibri"/>
          <w:color w:val="auto"/>
          <w:kern w:val="0"/>
          <w:sz w:val="22"/>
        </w:rPr>
        <w:t>和</w:t>
      </w:r>
      <w:r>
        <w:rPr>
          <w:rFonts w:ascii="等线" w:hAnsi="等线" w:cs="Calibri"/>
          <w:color w:val="auto"/>
          <w:kern w:val="0"/>
          <w:sz w:val="22"/>
        </w:rPr>
        <w:t>担保形式向招标人提交履约</w:t>
      </w:r>
      <w:r>
        <w:rPr>
          <w:rFonts w:hint="eastAsia" w:ascii="等线" w:hAnsi="等线" w:cs="Calibri"/>
          <w:color w:val="auto"/>
          <w:kern w:val="0"/>
          <w:sz w:val="22"/>
        </w:rPr>
        <w:t>保证金</w:t>
      </w:r>
      <w:r>
        <w:rPr>
          <w:rFonts w:ascii="等线" w:hAnsi="等线" w:cs="Calibri"/>
          <w:color w:val="auto"/>
          <w:kern w:val="0"/>
          <w:sz w:val="22"/>
        </w:rPr>
        <w:t>。</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7.3.2 中标人不能按本章第7.3.1项要求提交履约</w:t>
      </w:r>
      <w:r>
        <w:rPr>
          <w:rFonts w:hint="eastAsia" w:ascii="等线" w:hAnsi="等线" w:cs="Calibri"/>
          <w:color w:val="auto"/>
          <w:kern w:val="0"/>
          <w:sz w:val="22"/>
        </w:rPr>
        <w:t>保证金</w:t>
      </w:r>
      <w:r>
        <w:rPr>
          <w:rFonts w:ascii="等线" w:hAnsi="等线" w:cs="Calibri"/>
          <w:color w:val="auto"/>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7.4 签订合同</w:t>
      </w:r>
      <w:bookmarkEnd w:id="80"/>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sz w:val="22"/>
        </w:rPr>
        <w:t>7</w:t>
      </w:r>
      <w:bookmarkStart w:id="81" w:name="_Toc11806"/>
      <w:bookmarkStart w:id="82" w:name="_Toc220123241"/>
      <w:bookmarkStart w:id="83" w:name="_Toc219809801"/>
      <w:r>
        <w:rPr>
          <w:rFonts w:ascii="等线" w:hAnsi="等线" w:cs="Calibri"/>
          <w:color w:val="auto"/>
          <w:kern w:val="0"/>
          <w:sz w:val="22"/>
        </w:rPr>
        <w:t>.4.1招标人和中标人应当自中标通知书发出之日起30个工作日内订立书面合同（合同条款按第</w:t>
      </w:r>
      <w:r>
        <w:rPr>
          <w:rFonts w:hint="eastAsia" w:ascii="等线" w:hAnsi="等线" w:cs="Calibri"/>
          <w:color w:val="auto"/>
          <w:kern w:val="0"/>
          <w:sz w:val="22"/>
        </w:rPr>
        <w:t>四</w:t>
      </w:r>
      <w:r>
        <w:rPr>
          <w:rFonts w:ascii="等线" w:hAnsi="等线" w:cs="Calibri"/>
          <w:color w:val="auto"/>
          <w:kern w:val="0"/>
          <w:sz w:val="22"/>
        </w:rPr>
        <w:t>章</w:t>
      </w:r>
      <w:r>
        <w:rPr>
          <w:rFonts w:hint="eastAsia" w:ascii="等线" w:hAnsi="等线" w:cs="Calibri"/>
          <w:color w:val="auto"/>
          <w:kern w:val="0"/>
          <w:sz w:val="22"/>
        </w:rPr>
        <w:t>“</w:t>
      </w:r>
      <w:r>
        <w:rPr>
          <w:rFonts w:ascii="等线" w:hAnsi="等线" w:cs="Calibri"/>
          <w:color w:val="auto"/>
          <w:kern w:val="0"/>
          <w:sz w:val="22"/>
        </w:rPr>
        <w:t>合同条款</w:t>
      </w:r>
      <w:r>
        <w:rPr>
          <w:rFonts w:hint="eastAsia" w:ascii="等线" w:hAnsi="等线" w:cs="Calibri"/>
          <w:color w:val="auto"/>
          <w:kern w:val="0"/>
          <w:sz w:val="22"/>
        </w:rPr>
        <w:t>”</w:t>
      </w:r>
      <w:r>
        <w:rPr>
          <w:rFonts w:ascii="等线" w:hAnsi="等线" w:cs="Calibri"/>
          <w:color w:val="auto"/>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等线" w:hAnsi="等线" w:cs="Calibri"/>
          <w:b/>
          <w:color w:val="auto"/>
          <w:kern w:val="0"/>
          <w:sz w:val="22"/>
        </w:rPr>
      </w:pPr>
      <w:r>
        <w:rPr>
          <w:rFonts w:hint="eastAsia" w:ascii="等线" w:hAnsi="等线" w:cs="Calibri"/>
          <w:color w:val="auto"/>
          <w:kern w:val="0"/>
          <w:sz w:val="22"/>
        </w:rPr>
        <w:t xml:space="preserve">7.4.3 </w:t>
      </w:r>
      <w:r>
        <w:rPr>
          <w:rFonts w:hint="eastAsia" w:ascii="等线" w:hAnsi="等线" w:cs="Calibri"/>
          <w:b/>
          <w:color w:val="auto"/>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等线" w:hAnsi="等线" w:cs="Calibri"/>
          <w:color w:val="auto"/>
          <w:kern w:val="0"/>
          <w:sz w:val="22"/>
        </w:rPr>
      </w:pPr>
      <w:r>
        <w:rPr>
          <w:rFonts w:hint="eastAsia" w:ascii="等线" w:hAnsi="等线" w:cs="Calibri"/>
          <w:color w:val="auto"/>
          <w:kern w:val="0"/>
          <w:sz w:val="22"/>
        </w:rPr>
        <w:t xml:space="preserve">7.4.4 </w:t>
      </w:r>
      <w:r>
        <w:rPr>
          <w:rFonts w:hint="eastAsia" w:ascii="等线" w:hAnsi="等线" w:cs="Calibri"/>
          <w:b/>
          <w:color w:val="auto"/>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等线" w:hAnsi="等线" w:cs="Calibri"/>
          <w:b/>
          <w:bCs/>
          <w:color w:val="auto"/>
          <w:kern w:val="0"/>
          <w:sz w:val="22"/>
        </w:rPr>
      </w:pPr>
      <w:r>
        <w:rPr>
          <w:rFonts w:ascii="等线" w:hAnsi="等线" w:cs="Calibri"/>
          <w:b/>
          <w:bCs/>
          <w:color w:val="auto"/>
          <w:kern w:val="0"/>
          <w:sz w:val="22"/>
        </w:rPr>
        <w:t>8.重新招标和不再招标</w:t>
      </w:r>
      <w:bookmarkEnd w:id="81"/>
      <w:bookmarkEnd w:id="82"/>
      <w:bookmarkEnd w:id="83"/>
    </w:p>
    <w:p>
      <w:pPr>
        <w:autoSpaceDE w:val="0"/>
        <w:autoSpaceDN w:val="0"/>
        <w:adjustRightInd w:val="0"/>
        <w:snapToGrid w:val="0"/>
        <w:spacing w:line="360" w:lineRule="exact"/>
        <w:rPr>
          <w:rFonts w:ascii="等线" w:hAnsi="等线" w:cs="Calibri"/>
          <w:b/>
          <w:bCs/>
          <w:color w:val="auto"/>
          <w:kern w:val="0"/>
          <w:sz w:val="22"/>
        </w:rPr>
      </w:pPr>
      <w:bookmarkStart w:id="84" w:name="_Toc219809802"/>
      <w:bookmarkStart w:id="85" w:name="_Toc220123242"/>
      <w:bookmarkStart w:id="86" w:name="_Toc15553"/>
      <w:r>
        <w:rPr>
          <w:rFonts w:ascii="等线" w:hAnsi="等线" w:cs="Calibri"/>
          <w:b/>
          <w:bCs/>
          <w:color w:val="auto"/>
          <w:kern w:val="0"/>
          <w:sz w:val="22"/>
        </w:rPr>
        <w:t>8.1 重新招标</w:t>
      </w:r>
      <w:bookmarkEnd w:id="84"/>
      <w:bookmarkEnd w:id="85"/>
      <w:bookmarkEnd w:id="8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有下列情形之一的，招标人将重新招标；</w:t>
      </w:r>
    </w:p>
    <w:p>
      <w:pPr>
        <w:adjustRightInd w:val="0"/>
        <w:snapToGrid w:val="0"/>
        <w:spacing w:line="360" w:lineRule="exact"/>
        <w:ind w:firstLine="440" w:firstLineChars="200"/>
        <w:rPr>
          <w:rFonts w:ascii="等线" w:hAnsi="等线" w:cs="Calibri"/>
          <w:color w:val="auto"/>
          <w:kern w:val="0"/>
          <w:sz w:val="22"/>
        </w:rPr>
      </w:pPr>
      <w:r>
        <w:rPr>
          <w:rFonts w:ascii="等线" w:hAnsi="等线" w:cs="Calibri"/>
          <w:color w:val="auto"/>
          <w:kern w:val="0"/>
          <w:sz w:val="22"/>
        </w:rPr>
        <w:t>（1）投标截止时间止，投标人少于3个的；</w:t>
      </w:r>
    </w:p>
    <w:p>
      <w:pPr>
        <w:adjustRightInd w:val="0"/>
        <w:snapToGrid w:val="0"/>
        <w:spacing w:line="360" w:lineRule="exact"/>
        <w:ind w:firstLine="440" w:firstLineChars="200"/>
        <w:rPr>
          <w:rFonts w:ascii="等线" w:hAnsi="等线" w:cs="Calibri"/>
          <w:color w:val="auto"/>
          <w:kern w:val="0"/>
          <w:sz w:val="22"/>
        </w:rPr>
      </w:pPr>
      <w:r>
        <w:rPr>
          <w:rFonts w:hint="eastAsia" w:ascii="等线" w:hAnsi="等线" w:cs="Calibri"/>
          <w:color w:val="auto"/>
          <w:kern w:val="0"/>
          <w:sz w:val="22"/>
        </w:rPr>
        <w:t>（2）</w:t>
      </w:r>
      <w:r>
        <w:rPr>
          <w:rFonts w:hint="eastAsia" w:ascii="等线" w:hAnsi="等线"/>
          <w:b/>
          <w:bCs/>
          <w:color w:val="auto"/>
          <w:sz w:val="22"/>
        </w:rPr>
        <w:t>所有投标人的报价均偏高，招标人无法接受的；</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kern w:val="0"/>
          <w:sz w:val="22"/>
        </w:rPr>
        <w:t>（</w:t>
      </w:r>
      <w:r>
        <w:rPr>
          <w:rFonts w:hint="eastAsia" w:ascii="等线" w:hAnsi="等线" w:cs="Calibri"/>
          <w:color w:val="auto"/>
          <w:kern w:val="0"/>
          <w:sz w:val="22"/>
        </w:rPr>
        <w:t>3</w:t>
      </w:r>
      <w:r>
        <w:rPr>
          <w:rFonts w:ascii="等线" w:hAnsi="等线" w:cs="Calibri"/>
          <w:color w:val="auto"/>
          <w:kern w:val="0"/>
          <w:sz w:val="22"/>
        </w:rPr>
        <w:t>）经评标委员会评审后否决所有投标的。</w:t>
      </w:r>
    </w:p>
    <w:p>
      <w:pPr>
        <w:autoSpaceDE w:val="0"/>
        <w:autoSpaceDN w:val="0"/>
        <w:adjustRightInd w:val="0"/>
        <w:snapToGrid w:val="0"/>
        <w:spacing w:line="360" w:lineRule="exact"/>
        <w:rPr>
          <w:rFonts w:ascii="等线" w:hAnsi="等线" w:cs="Calibri"/>
          <w:b/>
          <w:bCs/>
          <w:color w:val="auto"/>
          <w:kern w:val="0"/>
          <w:sz w:val="22"/>
        </w:rPr>
      </w:pPr>
      <w:bookmarkStart w:id="87" w:name="_Toc18806"/>
      <w:bookmarkStart w:id="88" w:name="_Toc220123243"/>
      <w:bookmarkStart w:id="89" w:name="_Toc219809803"/>
      <w:r>
        <w:rPr>
          <w:rFonts w:ascii="等线" w:hAnsi="等线" w:cs="Calibri"/>
          <w:b/>
          <w:bCs/>
          <w:color w:val="auto"/>
          <w:kern w:val="0"/>
          <w:sz w:val="22"/>
        </w:rPr>
        <w:t>8.2 不再招标</w:t>
      </w:r>
      <w:bookmarkEnd w:id="87"/>
      <w:bookmarkEnd w:id="88"/>
      <w:bookmarkEnd w:id="8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重新招标后投标人仍少于3个或者所有投标被否决的，经批准后不再进行招标。</w:t>
      </w:r>
    </w:p>
    <w:p>
      <w:pPr>
        <w:autoSpaceDE w:val="0"/>
        <w:autoSpaceDN w:val="0"/>
        <w:adjustRightInd w:val="0"/>
        <w:snapToGrid w:val="0"/>
        <w:spacing w:line="360" w:lineRule="exact"/>
        <w:rPr>
          <w:rFonts w:ascii="等线" w:hAnsi="等线" w:cs="Calibri"/>
          <w:b/>
          <w:bCs/>
          <w:color w:val="auto"/>
          <w:kern w:val="0"/>
          <w:sz w:val="22"/>
        </w:rPr>
      </w:pPr>
      <w:bookmarkStart w:id="90" w:name="_Toc215941254"/>
      <w:bookmarkStart w:id="91" w:name="_Toc219809804"/>
      <w:bookmarkStart w:id="92" w:name="_Toc220123244"/>
      <w:bookmarkStart w:id="93" w:name="_Toc2986"/>
      <w:r>
        <w:rPr>
          <w:rFonts w:ascii="等线" w:hAnsi="等线" w:cs="Calibri"/>
          <w:b/>
          <w:bCs/>
          <w:color w:val="auto"/>
          <w:kern w:val="0"/>
          <w:sz w:val="22"/>
        </w:rPr>
        <w:t>9.纪律和监督</w:t>
      </w:r>
      <w:bookmarkEnd w:id="90"/>
      <w:bookmarkEnd w:id="91"/>
      <w:bookmarkEnd w:id="92"/>
      <w:bookmarkEnd w:id="93"/>
    </w:p>
    <w:p>
      <w:pPr>
        <w:autoSpaceDE w:val="0"/>
        <w:autoSpaceDN w:val="0"/>
        <w:adjustRightInd w:val="0"/>
        <w:snapToGrid w:val="0"/>
        <w:spacing w:line="360" w:lineRule="exact"/>
        <w:rPr>
          <w:rFonts w:ascii="等线" w:hAnsi="等线" w:cs="Calibri"/>
          <w:b/>
          <w:bCs/>
          <w:color w:val="auto"/>
          <w:kern w:val="0"/>
          <w:sz w:val="22"/>
        </w:rPr>
      </w:pPr>
      <w:bookmarkStart w:id="94" w:name="_Toc220123245"/>
      <w:bookmarkStart w:id="95" w:name="_Toc5509"/>
      <w:bookmarkStart w:id="96" w:name="_Toc219809805"/>
      <w:r>
        <w:rPr>
          <w:rFonts w:ascii="等线" w:hAnsi="等线" w:cs="Calibri"/>
          <w:b/>
          <w:bCs/>
          <w:color w:val="auto"/>
          <w:kern w:val="0"/>
          <w:sz w:val="22"/>
        </w:rPr>
        <w:t>9.1 对招标人的纪律要求</w:t>
      </w:r>
      <w:bookmarkEnd w:id="94"/>
      <w:bookmarkEnd w:id="95"/>
      <w:bookmarkEnd w:id="96"/>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等线" w:hAnsi="等线" w:cs="Calibri"/>
          <w:b/>
          <w:bCs/>
          <w:color w:val="auto"/>
          <w:kern w:val="0"/>
          <w:sz w:val="22"/>
        </w:rPr>
      </w:pPr>
      <w:bookmarkStart w:id="97" w:name="_Toc10820"/>
      <w:bookmarkStart w:id="98" w:name="_Toc220123246"/>
      <w:bookmarkStart w:id="99" w:name="_Toc219809806"/>
      <w:r>
        <w:rPr>
          <w:rFonts w:ascii="等线" w:hAnsi="等线" w:cs="Calibri"/>
          <w:b/>
          <w:bCs/>
          <w:color w:val="auto"/>
          <w:kern w:val="0"/>
          <w:sz w:val="22"/>
        </w:rPr>
        <w:t>9.2 对投标人的纪律要求</w:t>
      </w:r>
      <w:bookmarkEnd w:id="97"/>
      <w:bookmarkEnd w:id="98"/>
      <w:bookmarkEnd w:id="99"/>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等线" w:hAnsi="等线" w:cs="Calibri"/>
          <w:color w:val="auto"/>
          <w:sz w:val="22"/>
        </w:rPr>
      </w:pPr>
      <w:r>
        <w:rPr>
          <w:rFonts w:hint="eastAsia" w:ascii="宋体" w:hAnsi="宋体" w:cs="Calibri"/>
          <w:b/>
          <w:color w:val="auto"/>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等线" w:hAnsi="等线" w:cs="Calibri"/>
          <w:b/>
          <w:bCs/>
          <w:color w:val="auto"/>
          <w:kern w:val="0"/>
          <w:sz w:val="22"/>
        </w:rPr>
      </w:pPr>
      <w:bookmarkStart w:id="100" w:name="_Toc10756"/>
      <w:bookmarkStart w:id="101" w:name="_Toc220123247"/>
      <w:bookmarkStart w:id="102" w:name="_Toc219809807"/>
      <w:r>
        <w:rPr>
          <w:rFonts w:ascii="等线" w:hAnsi="等线" w:cs="Calibri"/>
          <w:b/>
          <w:bCs/>
          <w:color w:val="auto"/>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等线" w:hAnsi="等线" w:cs="Calibri"/>
          <w:color w:val="auto"/>
          <w:sz w:val="22"/>
        </w:rPr>
        <w:t>五</w:t>
      </w:r>
      <w:r>
        <w:rPr>
          <w:rFonts w:ascii="等线" w:hAnsi="等线" w:cs="Calibri"/>
          <w:color w:val="auto"/>
          <w:sz w:val="22"/>
        </w:rPr>
        <w:t>章“评标办法及标准”没有规定的评审因素和标准进行评标。</w:t>
      </w:r>
    </w:p>
    <w:p>
      <w:pPr>
        <w:autoSpaceDE w:val="0"/>
        <w:autoSpaceDN w:val="0"/>
        <w:adjustRightInd w:val="0"/>
        <w:snapToGrid w:val="0"/>
        <w:spacing w:line="360" w:lineRule="exact"/>
        <w:rPr>
          <w:rFonts w:ascii="等线" w:hAnsi="等线" w:cs="Calibri"/>
          <w:b/>
          <w:bCs/>
          <w:color w:val="auto"/>
          <w:kern w:val="0"/>
          <w:sz w:val="22"/>
        </w:rPr>
      </w:pPr>
      <w:bookmarkStart w:id="103" w:name="_Toc220123248"/>
      <w:bookmarkStart w:id="104" w:name="_Toc12792"/>
      <w:bookmarkStart w:id="105" w:name="_Toc219809808"/>
      <w:r>
        <w:rPr>
          <w:rFonts w:ascii="等线" w:hAnsi="等线" w:cs="Calibri"/>
          <w:b/>
          <w:bCs/>
          <w:color w:val="auto"/>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等线" w:hAnsi="等线" w:cs="Calibri"/>
          <w:b/>
          <w:bCs/>
          <w:color w:val="auto"/>
          <w:kern w:val="0"/>
          <w:sz w:val="22"/>
        </w:rPr>
      </w:pPr>
      <w:bookmarkStart w:id="106" w:name="_Toc239"/>
      <w:bookmarkStart w:id="107" w:name="_Toc220123249"/>
      <w:bookmarkStart w:id="108" w:name="_Toc219809809"/>
      <w:r>
        <w:rPr>
          <w:rFonts w:ascii="等线" w:hAnsi="等线" w:cs="Calibri"/>
          <w:b/>
          <w:bCs/>
          <w:color w:val="auto"/>
          <w:kern w:val="0"/>
          <w:sz w:val="22"/>
        </w:rPr>
        <w:t>9.5 投诉</w:t>
      </w:r>
      <w:bookmarkEnd w:id="106"/>
      <w:bookmarkEnd w:id="107"/>
      <w:bookmarkEnd w:id="108"/>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等线" w:hAnsi="等线" w:cs="Calibri"/>
          <w:b/>
          <w:bCs/>
          <w:color w:val="auto"/>
          <w:kern w:val="0"/>
          <w:sz w:val="22"/>
        </w:rPr>
      </w:pPr>
      <w:bookmarkStart w:id="109" w:name="_Toc10817"/>
      <w:r>
        <w:rPr>
          <w:rFonts w:ascii="等线" w:hAnsi="等线" w:cs="Calibri"/>
          <w:b/>
          <w:bCs/>
          <w:color w:val="auto"/>
          <w:kern w:val="0"/>
          <w:sz w:val="22"/>
        </w:rPr>
        <w:t>10. 需要补充的其他内容</w:t>
      </w:r>
      <w:bookmarkEnd w:id="109"/>
    </w:p>
    <w:p>
      <w:pPr>
        <w:autoSpaceDE w:val="0"/>
        <w:autoSpaceDN w:val="0"/>
        <w:adjustRightInd w:val="0"/>
        <w:snapToGrid w:val="0"/>
        <w:spacing w:line="360" w:lineRule="exact"/>
        <w:ind w:firstLine="440" w:firstLineChars="200"/>
        <w:jc w:val="left"/>
        <w:rPr>
          <w:rFonts w:ascii="等线" w:hAnsi="等线" w:cs="Calibri"/>
          <w:color w:val="auto"/>
          <w:sz w:val="22"/>
        </w:rPr>
      </w:pPr>
      <w:r>
        <w:rPr>
          <w:rFonts w:ascii="等线" w:hAnsi="等线" w:cs="Calibri"/>
          <w:color w:val="auto"/>
          <w:sz w:val="22"/>
        </w:rPr>
        <w:t>需要补充的其他内容：见投标人须知前附表。</w:t>
      </w:r>
    </w:p>
    <w:p>
      <w:pPr>
        <w:pStyle w:val="2"/>
        <w:snapToGrid w:val="0"/>
        <w:spacing w:before="0" w:after="0" w:line="360" w:lineRule="exact"/>
        <w:jc w:val="center"/>
        <w:rPr>
          <w:rFonts w:ascii="等线" w:hAnsi="等线" w:eastAsia="等线"/>
          <w:color w:val="auto"/>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line="440" w:lineRule="exact"/>
        <w:jc w:val="center"/>
        <w:rPr>
          <w:rFonts w:ascii="仿宋_GB2312" w:hAnsi="宋体" w:eastAsia="仿宋_GB2312"/>
          <w:b/>
          <w:color w:val="auto"/>
          <w:sz w:val="28"/>
          <w:szCs w:val="28"/>
        </w:rPr>
      </w:pPr>
      <w:bookmarkStart w:id="110" w:name="_Toc223327527"/>
      <w:bookmarkStart w:id="111" w:name="_Toc213036227"/>
    </w:p>
    <w:bookmarkEnd w:id="110"/>
    <w:bookmarkEnd w:id="111"/>
    <w:p>
      <w:pPr>
        <w:pStyle w:val="2"/>
        <w:spacing w:before="0" w:after="0" w:line="360" w:lineRule="auto"/>
        <w:jc w:val="center"/>
        <w:rPr>
          <w:rFonts w:ascii="Calibri" w:hAnsi="Calibri" w:eastAsia="黑体" w:cs="Calibri"/>
          <w:color w:val="auto"/>
          <w:kern w:val="0"/>
          <w:sz w:val="32"/>
        </w:rPr>
      </w:pPr>
      <w:bookmarkStart w:id="112" w:name="_Toc448002985"/>
      <w:bookmarkStart w:id="113" w:name="_Toc448002986"/>
      <w:r>
        <w:rPr>
          <w:rFonts w:ascii="Calibri" w:hAnsi="Calibri" w:eastAsia="黑体" w:cs="Calibri"/>
          <w:color w:val="auto"/>
          <w:kern w:val="0"/>
          <w:sz w:val="32"/>
        </w:rPr>
        <w:t>第</w:t>
      </w:r>
      <w:r>
        <w:rPr>
          <w:rFonts w:hint="eastAsia" w:ascii="Calibri" w:hAnsi="Calibri" w:eastAsia="黑体" w:cs="Calibri"/>
          <w:color w:val="auto"/>
          <w:kern w:val="0"/>
          <w:sz w:val="32"/>
        </w:rPr>
        <w:t>三</w:t>
      </w:r>
      <w:r>
        <w:rPr>
          <w:rFonts w:ascii="Calibri" w:hAnsi="Calibri" w:eastAsia="黑体" w:cs="Calibri"/>
          <w:color w:val="auto"/>
          <w:kern w:val="0"/>
          <w:sz w:val="32"/>
        </w:rPr>
        <w:t xml:space="preserve">章  </w:t>
      </w:r>
      <w:r>
        <w:rPr>
          <w:rFonts w:hint="eastAsia" w:ascii="Calibri" w:hAnsi="Calibri" w:eastAsia="黑体" w:cs="Calibri"/>
          <w:color w:val="auto"/>
          <w:kern w:val="0"/>
          <w:sz w:val="32"/>
        </w:rPr>
        <w:t>服务技术标准及要求</w:t>
      </w:r>
      <w:bookmarkEnd w:id="112"/>
    </w:p>
    <w:p>
      <w:pPr>
        <w:spacing w:line="360" w:lineRule="auto"/>
        <w:ind w:firstLine="361" w:firstLineChars="150"/>
        <w:rPr>
          <w:rFonts w:ascii="宋体" w:cs="宋体"/>
          <w:b/>
          <w:color w:val="auto"/>
          <w:sz w:val="24"/>
        </w:rPr>
      </w:pPr>
      <w:r>
        <w:rPr>
          <w:rFonts w:hint="eastAsia" w:ascii="宋体" w:hAnsi="宋体" w:cs="宋体"/>
          <w:b/>
          <w:color w:val="auto"/>
          <w:sz w:val="24"/>
        </w:rPr>
        <w:t>（一）编制保养计划</w:t>
      </w:r>
    </w:p>
    <w:p>
      <w:pPr>
        <w:spacing w:line="360" w:lineRule="auto"/>
        <w:ind w:firstLine="480" w:firstLineChars="200"/>
        <w:rPr>
          <w:rFonts w:ascii="宋体"/>
          <w:color w:val="auto"/>
          <w:sz w:val="24"/>
        </w:rPr>
      </w:pPr>
      <w:r>
        <w:rPr>
          <w:rFonts w:ascii="宋体" w:hAnsi="宋体"/>
          <w:color w:val="auto"/>
          <w:sz w:val="24"/>
        </w:rPr>
        <w:t>1</w:t>
      </w:r>
      <w:r>
        <w:rPr>
          <w:rFonts w:hint="eastAsia" w:ascii="宋体" w:hAnsi="宋体"/>
          <w:color w:val="auto"/>
          <w:sz w:val="24"/>
        </w:rPr>
        <w:t>、与招标方协商拟订定期保养日程计划。</w:t>
      </w:r>
    </w:p>
    <w:p>
      <w:pPr>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rPr>
        <w:t>、根据定期保养计划与其它设备供应商协调日程。</w:t>
      </w:r>
    </w:p>
    <w:p>
      <w:pPr>
        <w:spacing w:line="360" w:lineRule="auto"/>
        <w:ind w:firstLine="472" w:firstLineChars="196"/>
        <w:rPr>
          <w:rFonts w:ascii="宋体" w:cs="宋体"/>
          <w:b/>
          <w:color w:val="auto"/>
          <w:sz w:val="24"/>
        </w:rPr>
      </w:pPr>
      <w:r>
        <w:rPr>
          <w:rFonts w:hint="eastAsia" w:ascii="宋体" w:hAnsi="宋体" w:cs="宋体"/>
          <w:b/>
          <w:color w:val="auto"/>
          <w:sz w:val="24"/>
        </w:rPr>
        <w:t>（二）定期维护与管理</w:t>
      </w:r>
    </w:p>
    <w:p>
      <w:pPr>
        <w:spacing w:line="360" w:lineRule="auto"/>
        <w:ind w:left="480"/>
        <w:rPr>
          <w:rFonts w:ascii="宋体" w:hAnsi="宋体"/>
          <w:color w:val="auto"/>
          <w:sz w:val="24"/>
        </w:rPr>
      </w:pPr>
      <w:r>
        <w:rPr>
          <w:rFonts w:hint="eastAsia" w:ascii="宋体" w:hAnsi="宋体"/>
          <w:color w:val="auto"/>
          <w:sz w:val="24"/>
        </w:rPr>
        <w:t>1、每天免费提供设备故障咨询服务；</w:t>
      </w:r>
    </w:p>
    <w:p>
      <w:pPr>
        <w:spacing w:line="360" w:lineRule="auto"/>
        <w:ind w:left="480"/>
        <w:rPr>
          <w:rFonts w:ascii="宋体" w:hAnsi="宋体"/>
          <w:color w:val="auto"/>
          <w:sz w:val="24"/>
        </w:rPr>
      </w:pPr>
      <w:r>
        <w:rPr>
          <w:rFonts w:hint="eastAsia" w:ascii="宋体" w:hAnsi="宋体"/>
          <w:color w:val="auto"/>
          <w:sz w:val="24"/>
        </w:rPr>
        <w:t>2、每三个月一次例行回访；</w:t>
      </w:r>
    </w:p>
    <w:p>
      <w:pPr>
        <w:spacing w:line="360" w:lineRule="auto"/>
        <w:ind w:left="480"/>
        <w:rPr>
          <w:rFonts w:ascii="宋体" w:hAnsi="宋体"/>
          <w:color w:val="auto"/>
          <w:sz w:val="24"/>
        </w:rPr>
      </w:pPr>
      <w:r>
        <w:rPr>
          <w:rFonts w:hint="eastAsia" w:ascii="宋体" w:hAnsi="宋体"/>
          <w:color w:val="auto"/>
          <w:sz w:val="24"/>
        </w:rPr>
        <w:t>3、每三个月用温度计测量泵体及电机轴承温度是否正常；</w:t>
      </w:r>
    </w:p>
    <w:p>
      <w:pPr>
        <w:spacing w:line="360" w:lineRule="auto"/>
        <w:ind w:left="480"/>
        <w:rPr>
          <w:rFonts w:ascii="宋体" w:hAnsi="宋体"/>
          <w:color w:val="auto"/>
          <w:sz w:val="24"/>
        </w:rPr>
      </w:pPr>
      <w:r>
        <w:rPr>
          <w:rFonts w:hint="eastAsia" w:ascii="宋体" w:hAnsi="宋体"/>
          <w:color w:val="auto"/>
          <w:sz w:val="24"/>
        </w:rPr>
        <w:t>4、每年检查泵体电机轴承的润滑油脂是否皂化变质；</w:t>
      </w:r>
    </w:p>
    <w:p>
      <w:pPr>
        <w:spacing w:line="360" w:lineRule="auto"/>
        <w:ind w:left="480"/>
        <w:rPr>
          <w:rFonts w:ascii="宋体" w:hAnsi="宋体"/>
          <w:color w:val="auto"/>
          <w:sz w:val="24"/>
        </w:rPr>
      </w:pPr>
      <w:r>
        <w:rPr>
          <w:rFonts w:hint="eastAsia" w:ascii="宋体" w:hAnsi="宋体"/>
          <w:color w:val="auto"/>
          <w:sz w:val="24"/>
        </w:rPr>
        <w:t>5、每年检查泵轴或轴套是否有划痕；</w:t>
      </w:r>
    </w:p>
    <w:p>
      <w:pPr>
        <w:spacing w:line="360" w:lineRule="auto"/>
        <w:ind w:left="480"/>
        <w:rPr>
          <w:rFonts w:ascii="宋体" w:hAnsi="宋体"/>
          <w:color w:val="auto"/>
          <w:sz w:val="24"/>
        </w:rPr>
      </w:pPr>
      <w:r>
        <w:rPr>
          <w:rFonts w:hint="eastAsia" w:ascii="宋体" w:hAnsi="宋体"/>
          <w:color w:val="auto"/>
          <w:sz w:val="24"/>
        </w:rPr>
        <w:t>6、每年检查并校正联轴器的同心度情况；</w:t>
      </w:r>
    </w:p>
    <w:p>
      <w:pPr>
        <w:spacing w:line="360" w:lineRule="auto"/>
        <w:ind w:left="480"/>
        <w:rPr>
          <w:rFonts w:ascii="宋体" w:hAnsi="宋体"/>
          <w:color w:val="auto"/>
          <w:sz w:val="24"/>
        </w:rPr>
      </w:pPr>
      <w:r>
        <w:rPr>
          <w:rFonts w:hint="eastAsia" w:ascii="宋体" w:hAnsi="宋体"/>
          <w:color w:val="auto"/>
          <w:sz w:val="24"/>
        </w:rPr>
        <w:t>7、每年检查全部地脚螺栓的紧固性；</w:t>
      </w:r>
    </w:p>
    <w:p>
      <w:pPr>
        <w:spacing w:line="360" w:lineRule="auto"/>
        <w:ind w:left="480"/>
        <w:rPr>
          <w:rFonts w:ascii="宋体" w:hAnsi="宋体"/>
          <w:color w:val="auto"/>
          <w:sz w:val="24"/>
        </w:rPr>
      </w:pPr>
      <w:r>
        <w:rPr>
          <w:rFonts w:hint="eastAsia" w:ascii="宋体" w:hAnsi="宋体"/>
          <w:color w:val="auto"/>
          <w:sz w:val="24"/>
        </w:rPr>
        <w:t>8、每年检查泵内旋转部件的磨损程度；</w:t>
      </w:r>
    </w:p>
    <w:p>
      <w:pPr>
        <w:spacing w:line="360" w:lineRule="auto"/>
        <w:ind w:left="480"/>
        <w:rPr>
          <w:rFonts w:ascii="宋体" w:hAnsi="宋体"/>
          <w:color w:val="auto"/>
          <w:sz w:val="24"/>
        </w:rPr>
      </w:pPr>
      <w:r>
        <w:rPr>
          <w:rFonts w:hint="eastAsia" w:ascii="宋体" w:hAnsi="宋体"/>
          <w:color w:val="auto"/>
          <w:sz w:val="24"/>
        </w:rPr>
        <w:t>9、每年保养一次清洁和润滑全部轴承；</w:t>
      </w:r>
    </w:p>
    <w:p>
      <w:pPr>
        <w:spacing w:line="360" w:lineRule="auto"/>
        <w:ind w:left="480"/>
        <w:rPr>
          <w:rFonts w:ascii="宋体" w:hAnsi="宋体"/>
          <w:color w:val="auto"/>
          <w:sz w:val="24"/>
        </w:rPr>
      </w:pPr>
      <w:r>
        <w:rPr>
          <w:rFonts w:hint="eastAsia" w:ascii="宋体" w:hAnsi="宋体"/>
          <w:color w:val="auto"/>
          <w:sz w:val="24"/>
        </w:rPr>
        <w:t>10、开机,并调整水泵运行工作点；</w:t>
      </w:r>
    </w:p>
    <w:p>
      <w:pPr>
        <w:spacing w:line="360" w:lineRule="auto"/>
        <w:ind w:left="480"/>
        <w:rPr>
          <w:rFonts w:ascii="宋体" w:hAnsi="宋体"/>
          <w:color w:val="auto"/>
          <w:sz w:val="24"/>
        </w:rPr>
      </w:pPr>
      <w:r>
        <w:rPr>
          <w:rFonts w:hint="eastAsia" w:ascii="宋体" w:hAnsi="宋体"/>
          <w:color w:val="auto"/>
          <w:sz w:val="24"/>
        </w:rPr>
        <w:t>11、每年外观进行一次威乐油漆；</w:t>
      </w:r>
    </w:p>
    <w:p>
      <w:pPr>
        <w:spacing w:line="360" w:lineRule="auto"/>
        <w:ind w:left="480"/>
        <w:rPr>
          <w:rFonts w:ascii="宋体" w:hAnsi="宋体"/>
          <w:color w:val="auto"/>
          <w:sz w:val="24"/>
        </w:rPr>
      </w:pPr>
      <w:r>
        <w:rPr>
          <w:rFonts w:hint="eastAsia" w:ascii="宋体" w:hAnsi="宋体"/>
          <w:color w:val="auto"/>
          <w:sz w:val="24"/>
        </w:rPr>
        <w:t>12、如零部件磨损则更换，配件费用另行计算，免收人工费。</w:t>
      </w:r>
    </w:p>
    <w:p>
      <w:pPr>
        <w:spacing w:line="360" w:lineRule="auto"/>
        <w:ind w:left="480"/>
        <w:rPr>
          <w:rFonts w:ascii="宋体" w:cs="宋体"/>
          <w:b/>
          <w:color w:val="auto"/>
          <w:sz w:val="24"/>
        </w:rPr>
      </w:pPr>
      <w:r>
        <w:rPr>
          <w:rFonts w:hint="eastAsia" w:ascii="宋体" w:hAnsi="宋体" w:cs="宋体"/>
          <w:b/>
          <w:color w:val="auto"/>
          <w:sz w:val="24"/>
        </w:rPr>
        <w:t>（三）应急处理</w:t>
      </w:r>
    </w:p>
    <w:p>
      <w:pPr>
        <w:spacing w:line="360" w:lineRule="auto"/>
        <w:ind w:left="480" w:firstLine="480" w:firstLineChars="200"/>
        <w:rPr>
          <w:rFonts w:ascii="宋体"/>
          <w:color w:val="auto"/>
          <w:sz w:val="24"/>
        </w:rPr>
      </w:pPr>
      <w:r>
        <w:rPr>
          <w:rFonts w:hint="eastAsia" w:ascii="宋体" w:hAnsi="宋体"/>
          <w:color w:val="auto"/>
          <w:sz w:val="24"/>
        </w:rPr>
        <w:t>投标方在接到招标方</w:t>
      </w:r>
      <w:r>
        <w:rPr>
          <w:rFonts w:hint="eastAsia" w:ascii="宋体" w:hAnsi="宋体"/>
          <w:color w:val="auto"/>
          <w:sz w:val="24"/>
          <w:szCs w:val="24"/>
        </w:rPr>
        <w:t>应急维修要求后，应派遣售后服务工程师与</w:t>
      </w:r>
      <w:r>
        <w:rPr>
          <w:rFonts w:ascii="宋体" w:hAnsi="宋体"/>
          <w:color w:val="auto"/>
          <w:sz w:val="24"/>
          <w:szCs w:val="24"/>
        </w:rPr>
        <w:t>48</w:t>
      </w:r>
      <w:r>
        <w:rPr>
          <w:rFonts w:hint="eastAsia" w:ascii="宋体" w:hAnsi="宋体"/>
          <w:color w:val="auto"/>
          <w:sz w:val="24"/>
          <w:szCs w:val="24"/>
        </w:rPr>
        <w:t>小时内到达现场，对于常规问题投标方保证在到达现场后在</w:t>
      </w:r>
      <w:r>
        <w:rPr>
          <w:rFonts w:ascii="宋体" w:hAnsi="宋体"/>
          <w:color w:val="auto"/>
          <w:sz w:val="24"/>
          <w:szCs w:val="24"/>
        </w:rPr>
        <w:t>48</w:t>
      </w:r>
      <w:r>
        <w:rPr>
          <w:rFonts w:hint="eastAsia" w:ascii="宋体" w:hAnsi="宋体"/>
          <w:color w:val="auto"/>
          <w:sz w:val="24"/>
          <w:szCs w:val="24"/>
        </w:rPr>
        <w:t>小时内处理。</w:t>
      </w:r>
    </w:p>
    <w:p>
      <w:pPr>
        <w:spacing w:line="360" w:lineRule="auto"/>
        <w:ind w:firstLine="472" w:firstLineChars="196"/>
        <w:rPr>
          <w:rFonts w:ascii="宋体" w:cs="宋体"/>
          <w:b/>
          <w:color w:val="auto"/>
          <w:sz w:val="24"/>
        </w:rPr>
      </w:pPr>
      <w:r>
        <w:rPr>
          <w:rFonts w:hint="eastAsia" w:ascii="宋体" w:hAnsi="宋体" w:cs="宋体"/>
          <w:b/>
          <w:color w:val="auto"/>
          <w:sz w:val="24"/>
        </w:rPr>
        <w:t>（四）理论培训</w:t>
      </w:r>
    </w:p>
    <w:p>
      <w:pPr>
        <w:widowControl/>
        <w:ind w:left="479" w:leftChars="228" w:firstLine="480" w:firstLineChars="200"/>
        <w:jc w:val="left"/>
        <w:rPr>
          <w:rFonts w:eastAsia="黑体" w:cs="Calibri"/>
          <w:b/>
          <w:bCs/>
          <w:color w:val="auto"/>
          <w:kern w:val="0"/>
          <w:sz w:val="32"/>
          <w:szCs w:val="44"/>
        </w:rPr>
      </w:pPr>
      <w:r>
        <w:rPr>
          <w:rFonts w:hint="eastAsia" w:ascii="宋体" w:hAnsi="宋体"/>
          <w:color w:val="auto"/>
          <w:sz w:val="24"/>
        </w:rPr>
        <w:t>投标方在提供维护保养的同时，需提供专业技术的培训服务，培训内容包括威乐水泵的维护保养说明和常见问题应急解决方案，培训为一年一次。</w:t>
      </w:r>
    </w:p>
    <w:p>
      <w:pPr>
        <w:widowControl/>
        <w:jc w:val="left"/>
        <w:rPr>
          <w:rFonts w:eastAsia="黑体" w:cs="Calibri"/>
          <w:b/>
          <w:bCs/>
          <w:color w:val="auto"/>
          <w:kern w:val="0"/>
          <w:sz w:val="32"/>
          <w:szCs w:val="44"/>
        </w:rPr>
      </w:pPr>
      <w:r>
        <w:rPr>
          <w:rFonts w:eastAsia="黑体" w:cs="Calibri"/>
          <w:color w:val="auto"/>
          <w:kern w:val="0"/>
          <w:sz w:val="32"/>
        </w:rPr>
        <w:br w:type="page"/>
      </w:r>
    </w:p>
    <w:p>
      <w:pPr>
        <w:pStyle w:val="2"/>
        <w:spacing w:before="0" w:after="0" w:line="360" w:lineRule="auto"/>
        <w:jc w:val="center"/>
        <w:rPr>
          <w:rFonts w:ascii="Calibri" w:hAnsi="Calibri" w:eastAsia="黑体" w:cs="Calibri"/>
          <w:color w:val="auto"/>
          <w:kern w:val="0"/>
          <w:sz w:val="32"/>
        </w:rPr>
      </w:pPr>
      <w:r>
        <w:rPr>
          <w:rFonts w:hint="eastAsia" w:ascii="Calibri" w:hAnsi="Calibri" w:eastAsia="黑体" w:cs="Calibri"/>
          <w:color w:val="auto"/>
          <w:kern w:val="0"/>
          <w:sz w:val="32"/>
        </w:rPr>
        <w:t xml:space="preserve">第四章  </w:t>
      </w:r>
      <w:r>
        <w:rPr>
          <w:rFonts w:ascii="Calibri" w:hAnsi="Calibri" w:eastAsia="黑体" w:cs="Calibri"/>
          <w:color w:val="auto"/>
          <w:kern w:val="0"/>
          <w:sz w:val="32"/>
        </w:rPr>
        <w:t>合同条款</w:t>
      </w:r>
      <w:bookmarkEnd w:id="113"/>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杭州萧山国际机场【T1/T2中央空调系统循环水泵】项目维保合同</w:t>
      </w: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住所地：</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住所地：</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bCs/>
          <w:color w:val="auto"/>
          <w:sz w:val="28"/>
          <w:szCs w:val="28"/>
        </w:rPr>
        <w:t>第一部分  协议书</w:t>
      </w:r>
    </w:p>
    <w:p>
      <w:pPr>
        <w:spacing w:line="560" w:lineRule="exact"/>
        <w:ind w:firstLine="560" w:firstLineChars="20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根据《中华人民共和国合同法》及有关法律规定，遵循平等、自愿、公平和诚实信用的原则，双方就</w:t>
      </w:r>
      <w:r>
        <w:rPr>
          <w:rFonts w:hint="eastAsia" w:ascii="仿宋_GB2312" w:hAnsi="仿宋_GB2312" w:eastAsia="仿宋_GB2312" w:cs="仿宋_GB2312"/>
          <w:color w:val="auto"/>
          <w:sz w:val="28"/>
          <w:szCs w:val="28"/>
          <w:u w:val="single"/>
        </w:rPr>
        <w:t xml:space="preserve"> T1/T2中央空调系统循环水泵维保 </w:t>
      </w:r>
      <w:r>
        <w:rPr>
          <w:rFonts w:hint="eastAsia" w:ascii="仿宋_GB2312" w:hAnsi="仿宋_GB2312" w:eastAsia="仿宋_GB2312" w:cs="仿宋_GB2312"/>
          <w:color w:val="auto"/>
          <w:sz w:val="28"/>
          <w:szCs w:val="28"/>
        </w:rPr>
        <w:t xml:space="preserve">项目及有关事项友好协商一致，共同达成如下协议： </w:t>
      </w:r>
    </w:p>
    <w:p>
      <w:pPr>
        <w:spacing w:line="560" w:lineRule="exact"/>
        <w:jc w:val="left"/>
        <w:rPr>
          <w:rFonts w:ascii="仿宋_GB2312" w:hAnsi="仿宋_GB2312" w:eastAsia="仿宋_GB2312" w:cs="仿宋_GB2312"/>
          <w:b/>
          <w:color w:val="auto"/>
          <w:sz w:val="28"/>
          <w:szCs w:val="28"/>
        </w:rPr>
      </w:pPr>
    </w:p>
    <w:p>
      <w:pPr>
        <w:pStyle w:val="88"/>
        <w:widowControl/>
        <w:numPr>
          <w:ilvl w:val="0"/>
          <w:numId w:val="1"/>
        </w:numPr>
        <w:spacing w:line="560" w:lineRule="exact"/>
        <w:ind w:firstLineChars="0"/>
        <w:jc w:val="left"/>
        <w:rPr>
          <w:rFonts w:ascii="仿宋_GB2312" w:hAnsi="仿宋_GB2312" w:eastAsia="仿宋_GB2312" w:cs="仿宋_GB2312"/>
          <w:b/>
          <w:color w:val="auto"/>
          <w:szCs w:val="28"/>
          <w:u w:val="single"/>
        </w:rPr>
      </w:pPr>
      <w:r>
        <w:rPr>
          <w:rFonts w:hint="eastAsia" w:ascii="仿宋_GB2312" w:hAnsi="仿宋_GB2312" w:eastAsia="仿宋_GB2312" w:cs="仿宋_GB2312"/>
          <w:b/>
          <w:color w:val="auto"/>
          <w:szCs w:val="28"/>
        </w:rPr>
        <w:t>服务概况</w:t>
      </w:r>
    </w:p>
    <w:p>
      <w:pPr>
        <w:pStyle w:val="88"/>
        <w:widowControl/>
        <w:numPr>
          <w:ilvl w:val="0"/>
          <w:numId w:val="2"/>
        </w:numPr>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服务内容： </w:t>
      </w:r>
    </w:p>
    <w:p>
      <w:pPr>
        <w:pStyle w:val="88"/>
        <w:widowControl/>
        <w:spacing w:line="560" w:lineRule="exact"/>
        <w:ind w:left="777"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提供T1/T2航站楼中央空调循环水泵的日常维保服务，主要包括：设备咨询、常规维护保养、大修解体保养和应急抢修等内容，共涉及各类型水泵32台。</w:t>
      </w:r>
    </w:p>
    <w:p>
      <w:pPr>
        <w:pStyle w:val="88"/>
        <w:numPr>
          <w:ilvl w:val="0"/>
          <w:numId w:val="2"/>
        </w:numPr>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服务地点：</w:t>
      </w:r>
    </w:p>
    <w:p>
      <w:pPr>
        <w:pStyle w:val="88"/>
        <w:spacing w:line="560" w:lineRule="exact"/>
        <w:ind w:left="777"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 T1/T2航站楼冷冻机房。</w:t>
      </w:r>
    </w:p>
    <w:p>
      <w:pPr>
        <w:pStyle w:val="88"/>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3.服务形式：</w:t>
      </w:r>
    </w:p>
    <w:p>
      <w:pPr>
        <w:pStyle w:val="88"/>
        <w:spacing w:line="560" w:lineRule="exact"/>
        <w:ind w:firstLine="1400" w:firstLineChars="50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非驻场服务。</w:t>
      </w:r>
    </w:p>
    <w:p>
      <w:pPr>
        <w:pStyle w:val="88"/>
        <w:widowControl/>
        <w:numPr>
          <w:ilvl w:val="0"/>
          <w:numId w:val="1"/>
        </w:numPr>
        <w:spacing w:line="560" w:lineRule="exact"/>
        <w:ind w:firstLineChars="0"/>
        <w:jc w:val="left"/>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服务期限</w:t>
      </w:r>
    </w:p>
    <w:p>
      <w:pPr>
        <w:pStyle w:val="88"/>
        <w:widowControl/>
        <w:spacing w:line="560" w:lineRule="exact"/>
        <w:ind w:left="777" w:firstLine="0" w:firstLineChars="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本项目服务期限采用第</w:t>
      </w:r>
      <w:r>
        <w:rPr>
          <w:rFonts w:hint="eastAsia" w:ascii="仿宋_GB2312" w:hAnsi="仿宋_GB2312" w:eastAsia="仿宋_GB2312" w:cs="仿宋_GB2312"/>
          <w:color w:val="auto"/>
          <w:szCs w:val="28"/>
          <w:u w:val="single"/>
        </w:rPr>
        <w:t xml:space="preserve">   2   </w:t>
      </w:r>
      <w:r>
        <w:rPr>
          <w:rFonts w:hint="eastAsia" w:ascii="仿宋_GB2312" w:hAnsi="仿宋_GB2312" w:eastAsia="仿宋_GB2312" w:cs="仿宋_GB2312"/>
          <w:color w:val="auto"/>
          <w:szCs w:val="28"/>
        </w:rPr>
        <w:t>种方式：</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  1.本合同采用</w:t>
      </w:r>
      <w:r>
        <w:rPr>
          <w:rFonts w:hint="eastAsia" w:ascii="仿宋_GB2312" w:hAnsi="仿宋_GB2312" w:eastAsia="仿宋_GB2312" w:cs="仿宋_GB2312"/>
          <w:color w:val="auto"/>
          <w:szCs w:val="28"/>
          <w:u w:val="single"/>
        </w:rPr>
        <w:t xml:space="preserve">   /  </w:t>
      </w:r>
      <w:r>
        <w:rPr>
          <w:rFonts w:hint="eastAsia" w:ascii="仿宋_GB2312" w:hAnsi="仿宋_GB2312" w:eastAsia="仿宋_GB2312" w:cs="仿宋_GB2312"/>
          <w:color w:val="auto"/>
          <w:szCs w:val="28"/>
        </w:rPr>
        <w:t>模式，第一年为考核期，有效期限为</w:t>
      </w:r>
      <w:r>
        <w:rPr>
          <w:rFonts w:hint="eastAsia" w:ascii="仿宋_GB2312" w:hAnsi="仿宋_GB2312" w:eastAsia="仿宋_GB2312" w:cs="仿宋_GB2312"/>
          <w:color w:val="auto"/>
          <w:szCs w:val="28"/>
          <w:u w:val="single"/>
        </w:rPr>
        <w:t xml:space="preserve">     /      </w:t>
      </w:r>
      <w:r>
        <w:rPr>
          <w:rFonts w:hint="eastAsia" w:ascii="仿宋_GB2312" w:hAnsi="仿宋_GB2312" w:eastAsia="仿宋_GB2312" w:cs="仿宋_GB2312"/>
          <w:color w:val="auto"/>
          <w:szCs w:val="28"/>
        </w:rPr>
        <w:t>，第一年考核期限届满前60日前，由甲方按照附件【】对乙方进行考核，经甲方考核后，乙方考核结果达到【】视为考核合格，则同意乙方续约，合同有效期限自动顺延至【】。</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若经甲方考核后，乙方考核结果未达到【】视为考核不合格，则不同意乙方续约，则本合同有效期限至【】终止。</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考核结果均以甲方确认的结果为准，乙方对此不得提出任何异议，并表示接受考核结果。</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88"/>
        <w:widowControl/>
        <w:spacing w:line="560" w:lineRule="exact"/>
        <w:ind w:firstLine="560"/>
        <w:jc w:val="left"/>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2、本合同有效期限为固定期限，有效期限为</w:t>
      </w:r>
      <w:r>
        <w:rPr>
          <w:rFonts w:hint="eastAsia" w:ascii="仿宋_GB2312" w:hAnsi="仿宋_GB2312" w:eastAsia="仿宋_GB2312" w:cs="仿宋_GB2312"/>
          <w:color w:val="auto"/>
          <w:szCs w:val="28"/>
          <w:u w:val="single"/>
        </w:rPr>
        <w:t xml:space="preserve"> 2020年1月1日至2021年12月31日   </w:t>
      </w:r>
      <w:r>
        <w:rPr>
          <w:rFonts w:hint="eastAsia" w:ascii="仿宋_GB2312" w:hAnsi="仿宋_GB2312" w:eastAsia="仿宋_GB2312" w:cs="仿宋_GB2312"/>
          <w:color w:val="auto"/>
          <w:szCs w:val="28"/>
        </w:rPr>
        <w:t>，合同有效期限届满后自本合同自动终止。</w:t>
      </w:r>
    </w:p>
    <w:p>
      <w:pPr>
        <w:widowControl/>
        <w:spacing w:line="560" w:lineRule="exact"/>
        <w:jc w:val="left"/>
        <w:rPr>
          <w:rFonts w:ascii="仿宋_GB2312" w:hAnsi="仿宋_GB2312" w:eastAsia="仿宋_GB2312" w:cs="仿宋_GB2312"/>
          <w:b/>
          <w:color w:val="auto"/>
          <w:sz w:val="28"/>
          <w:szCs w:val="28"/>
        </w:rPr>
      </w:pPr>
    </w:p>
    <w:p>
      <w:pPr>
        <w:pStyle w:val="88"/>
        <w:widowControl/>
        <w:numPr>
          <w:ilvl w:val="0"/>
          <w:numId w:val="1"/>
        </w:numPr>
        <w:spacing w:line="560" w:lineRule="exact"/>
        <w:ind w:firstLineChars="0"/>
        <w:jc w:val="left"/>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签约合同价与计价方式</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本合同采用下述第</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种计价方式：</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（2）固定单价，预估总价，以实际发生结算</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（3）固定总价+固定单价</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签约合同价为：人民币（大写）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（1）固定总价部分：人民币（大写）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（2）固定单价部分：人民币（大写）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元)；预估总价，人民币（大写）</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元)，以实际发生结算。</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价格清单</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（1）固定总价，其中：</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第一年费用：</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第二年费用：</w:t>
      </w:r>
    </w:p>
    <w:p>
      <w:pPr>
        <w:widowControl/>
        <w:spacing w:line="560" w:lineRule="exact"/>
        <w:ind w:firstLine="48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（2）固定单价</w:t>
      </w:r>
    </w:p>
    <w:tbl>
      <w:tblPr>
        <w:tblStyle w:val="53"/>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2835" w:type="dxa"/>
            <w:vAlign w:val="center"/>
          </w:tcPr>
          <w:p>
            <w:pPr>
              <w:widowControl/>
              <w:spacing w:line="560" w:lineRule="exact"/>
              <w:ind w:firstLine="280" w:firstLineChars="1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型号</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维保单价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（元/年）</w:t>
            </w:r>
          </w:p>
        </w:tc>
        <w:tc>
          <w:tcPr>
            <w:tcW w:w="1215"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w:t>
            </w: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NP125/200v-11/4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NP200/250v-30/4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NP150/400v-75/4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NP65/250v-55/4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NP250/355v-90/4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NP125/315v-37/4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NP100/200v-7.5/4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服务费</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税金</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外包费用总计</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bl>
    <w:p>
      <w:pPr>
        <w:widowControl/>
        <w:spacing w:line="560" w:lineRule="exact"/>
        <w:jc w:val="left"/>
        <w:rPr>
          <w:rFonts w:ascii="仿宋_GB2312" w:hAnsi="仿宋_GB2312" w:eastAsia="仿宋_GB2312" w:cs="仿宋_GB2312"/>
          <w:color w:val="auto"/>
          <w:sz w:val="28"/>
          <w:szCs w:val="28"/>
        </w:rPr>
      </w:pP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4.以上外包费用总计已包含了</w:t>
      </w:r>
      <w:r>
        <w:rPr>
          <w:rFonts w:hint="eastAsia" w:ascii="仿宋_GB2312" w:hAnsi="仿宋_GB2312" w:eastAsia="仿宋_GB2312" w:cs="仿宋_GB2312"/>
          <w:color w:val="auto"/>
          <w:sz w:val="28"/>
          <w:szCs w:val="28"/>
          <w:u w:val="single"/>
        </w:rPr>
        <w:t xml:space="preserve"> 人工费、运输费、管理费、保险费、税费</w:t>
      </w:r>
      <w:r>
        <w:rPr>
          <w:rFonts w:hint="eastAsia" w:ascii="仿宋_GB2312" w:hAnsi="仿宋_GB2312" w:eastAsia="仿宋_GB2312" w:cs="仿宋_GB2312"/>
          <w:color w:val="auto"/>
          <w:sz w:val="28"/>
          <w:szCs w:val="28"/>
        </w:rPr>
        <w:t>等所有费用。</w:t>
      </w:r>
    </w:p>
    <w:p>
      <w:pPr>
        <w:spacing w:line="56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5. 其他约定: </w:t>
      </w:r>
      <w:r>
        <w:rPr>
          <w:rFonts w:hint="eastAsia" w:ascii="仿宋_GB2312" w:hAnsi="仿宋_GB2312" w:eastAsia="仿宋_GB2312" w:cs="仿宋_GB2312"/>
          <w:color w:val="auto"/>
          <w:sz w:val="28"/>
          <w:szCs w:val="28"/>
          <w:u w:val="single"/>
        </w:rPr>
        <w:t xml:space="preserve">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color w:val="auto"/>
          <w:sz w:val="28"/>
          <w:szCs w:val="28"/>
          <w:u w:val="single"/>
        </w:rPr>
      </w:pPr>
    </w:p>
    <w:p>
      <w:pPr>
        <w:widowControl/>
        <w:spacing w:line="560" w:lineRule="exact"/>
        <w:ind w:left="357"/>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四、验收及考核</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1、验收方式，本合同采用下属第</w:t>
      </w:r>
      <w:r>
        <w:rPr>
          <w:rFonts w:hint="eastAsia" w:ascii="仿宋_GB2312" w:hAnsi="仿宋_GB2312" w:eastAsia="仿宋_GB2312" w:cs="仿宋_GB2312"/>
          <w:color w:val="auto"/>
          <w:sz w:val="28"/>
          <w:szCs w:val="28"/>
          <w:u w:val="single"/>
        </w:rPr>
        <w:t xml:space="preserve">    2    </w:t>
      </w:r>
      <w:r>
        <w:rPr>
          <w:rFonts w:hint="eastAsia" w:ascii="仿宋_GB2312" w:hAnsi="仿宋_GB2312" w:eastAsia="仿宋_GB2312" w:cs="仿宋_GB2312"/>
          <w:color w:val="auto"/>
          <w:sz w:val="28"/>
          <w:szCs w:val="28"/>
        </w:rPr>
        <w:t>种验收方式；</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（1）合同履行完毕一次性验收；</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（2）分期验收，每三个月验收一次；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（3）分期验收，每月验收一次；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（4）按实际完成工作节点验收；</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（5）其他：</w:t>
      </w:r>
      <w:r>
        <w:rPr>
          <w:rFonts w:hint="eastAsia" w:ascii="仿宋_GB2312" w:hAnsi="仿宋_GB2312" w:eastAsia="仿宋_GB2312" w:cs="仿宋_GB2312"/>
          <w:color w:val="auto"/>
          <w:sz w:val="28"/>
          <w:szCs w:val="28"/>
          <w:u w:val="single"/>
        </w:rPr>
        <w:t xml:space="preserve">         /              </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2、维保服务考核方式（不包括续约考核），本合同采用下属第</w:t>
      </w:r>
      <w:r>
        <w:rPr>
          <w:rFonts w:hint="eastAsia" w:ascii="仿宋_GB2312" w:hAnsi="仿宋_GB2312" w:eastAsia="仿宋_GB2312" w:cs="仿宋_GB2312"/>
          <w:color w:val="auto"/>
          <w:sz w:val="28"/>
          <w:szCs w:val="28"/>
          <w:u w:val="single"/>
        </w:rPr>
        <w:t xml:space="preserve">   (1)B  </w:t>
      </w:r>
      <w:r>
        <w:rPr>
          <w:rFonts w:hint="eastAsia" w:ascii="仿宋_GB2312" w:hAnsi="仿宋_GB2312" w:eastAsia="仿宋_GB2312" w:cs="仿宋_GB2312"/>
          <w:color w:val="auto"/>
          <w:sz w:val="28"/>
          <w:szCs w:val="28"/>
        </w:rPr>
        <w:t>种维保服务考核方式：</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（1）先服务后付款：</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A.合同履行完毕一次性考核；</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B.分期考核，每三个月考核一次；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C.分期考核，每月考核一次；</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D.按实际完成工作节点考核；</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E.其他：</w:t>
      </w:r>
      <w:r>
        <w:rPr>
          <w:rFonts w:hint="eastAsia" w:ascii="仿宋_GB2312" w:hAnsi="仿宋_GB2312" w:eastAsia="仿宋_GB2312" w:cs="仿宋_GB2312"/>
          <w:color w:val="auto"/>
          <w:sz w:val="28"/>
          <w:szCs w:val="28"/>
          <w:u w:val="single"/>
        </w:rPr>
        <w:t xml:space="preserve">          /             </w:t>
      </w:r>
    </w:p>
    <w:p>
      <w:pPr>
        <w:widowControl/>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（2）先付款后服务：</w:t>
      </w:r>
    </w:p>
    <w:p>
      <w:pPr>
        <w:widowControl/>
        <w:spacing w:line="560" w:lineRule="exact"/>
        <w:ind w:left="357"/>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 xml:space="preserve">                  /                          </w:t>
      </w:r>
    </w:p>
    <w:p>
      <w:pPr>
        <w:widowControl/>
        <w:numPr>
          <w:ilvl w:val="0"/>
          <w:numId w:val="3"/>
        </w:numPr>
        <w:spacing w:line="560" w:lineRule="exact"/>
        <w:ind w:left="357"/>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color w:val="auto"/>
          <w:sz w:val="28"/>
          <w:szCs w:val="28"/>
        </w:rPr>
      </w:pPr>
    </w:p>
    <w:p>
      <w:pPr>
        <w:widowControl/>
        <w:spacing w:line="560" w:lineRule="exact"/>
        <w:ind w:firstLine="422" w:firstLineChars="15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五、结算与支付</w:t>
      </w:r>
    </w:p>
    <w:p>
      <w:pPr>
        <w:pStyle w:val="88"/>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1. 本合同外包服务费采用以下第</w:t>
      </w:r>
      <w:r>
        <w:rPr>
          <w:rFonts w:hint="eastAsia" w:ascii="仿宋_GB2312" w:hAnsi="仿宋_GB2312" w:eastAsia="仿宋_GB2312" w:cs="仿宋_GB2312"/>
          <w:color w:val="auto"/>
          <w:szCs w:val="28"/>
          <w:u w:val="single"/>
        </w:rPr>
        <w:t xml:space="preserve">   3    </w:t>
      </w:r>
      <w:r>
        <w:rPr>
          <w:rFonts w:hint="eastAsia" w:ascii="仿宋_GB2312" w:hAnsi="仿宋_GB2312" w:eastAsia="仿宋_GB2312" w:cs="仿宋_GB2312"/>
          <w:color w:val="auto"/>
          <w:szCs w:val="28"/>
        </w:rPr>
        <w:t>种结算方式：</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（1）服务完成后一次性结算； </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（2）按实际完成服务内容结算：</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（3）按期结算，每期</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月，每期结算金额</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（4）其它结算方式：</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支付比例或金额</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（1）预付款（本项目 </w:t>
      </w:r>
      <w:r>
        <w:rPr>
          <w:rFonts w:hint="eastAsia" w:ascii="仿宋_GB2312" w:hAnsi="仿宋_GB2312" w:eastAsia="仿宋_GB2312" w:cs="仿宋_GB2312"/>
          <w:color w:val="auto"/>
          <w:sz w:val="28"/>
          <w:szCs w:val="28"/>
        </w:rPr>
        <w:sym w:font="Wingdings" w:char="F0A8"/>
      </w:r>
      <w:r>
        <w:rPr>
          <w:rFonts w:hint="eastAsia" w:ascii="仿宋_GB2312" w:hAnsi="仿宋_GB2312" w:eastAsia="仿宋_GB2312" w:cs="仿宋_GB2312"/>
          <w:color w:val="auto"/>
          <w:sz w:val="28"/>
          <w:szCs w:val="28"/>
        </w:rPr>
        <w:t xml:space="preserve"> 适用  </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不适用）</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支付比例或金额：</w:t>
      </w:r>
      <w:r>
        <w:rPr>
          <w:rFonts w:hint="eastAsia" w:ascii="仿宋_GB2312" w:hAnsi="仿宋_GB2312" w:eastAsia="仿宋_GB2312" w:cs="仿宋_GB2312"/>
          <w:color w:val="auto"/>
          <w:sz w:val="28"/>
          <w:szCs w:val="28"/>
          <w:u w:val="single"/>
        </w:rPr>
        <w:t xml:space="preserve">           /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预付款支付期限：合同签订并提交收据后【】工作日内支付</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预付款扣回的方式：</w:t>
      </w:r>
      <w:r>
        <w:rPr>
          <w:rFonts w:hint="eastAsia" w:ascii="仿宋_GB2312" w:hAnsi="仿宋_GB2312" w:eastAsia="仿宋_GB2312" w:cs="仿宋_GB2312"/>
          <w:color w:val="auto"/>
          <w:sz w:val="28"/>
          <w:szCs w:val="28"/>
          <w:u w:val="single"/>
        </w:rPr>
        <w:t xml:space="preserve">           /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（2）合同价款支付</w:t>
      </w:r>
    </w:p>
    <w:p>
      <w:pPr>
        <w:spacing w:line="560" w:lineRule="exact"/>
        <w:ind w:firstLine="405"/>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甲方在支付乙方每期外包服务费时，由甲方根据附件【 5 】考核，且经验收考核后支付</w:t>
      </w:r>
      <w:r>
        <w:rPr>
          <w:rFonts w:hint="eastAsia" w:ascii="仿宋_GB2312" w:hAnsi="仿宋_GB2312" w:eastAsia="仿宋_GB2312" w:cs="仿宋_GB2312"/>
          <w:color w:val="auto"/>
          <w:sz w:val="28"/>
          <w:szCs w:val="28"/>
          <w:u w:val="single"/>
        </w:rPr>
        <w:t xml:space="preserve">         3个月的服务费用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（3）其他 </w:t>
      </w:r>
      <w:r>
        <w:rPr>
          <w:rFonts w:hint="eastAsia" w:ascii="仿宋_GB2312" w:hAnsi="仿宋_GB2312" w:eastAsia="仿宋_GB2312" w:cs="仿宋_GB2312"/>
          <w:color w:val="auto"/>
          <w:sz w:val="28"/>
          <w:szCs w:val="28"/>
          <w:u w:val="single"/>
        </w:rPr>
        <w:t xml:space="preserve">                 /                      </w:t>
      </w:r>
    </w:p>
    <w:p>
      <w:pPr>
        <w:pStyle w:val="88"/>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3. 支付时间及条件</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除另有约定外，甲方在收到乙方提供的下列支付凭证后【 30 】个工作日内支付，支付时扣除质保金（如有）：</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（1）付款申请书（含结算资料）</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（2）乙方开具的</w:t>
      </w:r>
      <w:r>
        <w:rPr>
          <w:rFonts w:hint="eastAsia" w:ascii="仿宋_GB2312" w:hAnsi="仿宋_GB2312" w:eastAsia="仿宋_GB2312" w:cs="仿宋_GB2312"/>
          <w:color w:val="auto"/>
          <w:szCs w:val="28"/>
          <w:u w:val="single"/>
        </w:rPr>
        <w:t xml:space="preserve"> 增值税专用发票（6%）                                       </w:t>
      </w:r>
    </w:p>
    <w:p>
      <w:pPr>
        <w:pStyle w:val="88"/>
        <w:spacing w:line="560" w:lineRule="exact"/>
        <w:ind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 xml:space="preserve">（3）经甲乙双方项目负责人签字确认的《验收单》。 </w:t>
      </w:r>
    </w:p>
    <w:p>
      <w:pPr>
        <w:pStyle w:val="88"/>
        <w:spacing w:line="560" w:lineRule="exact"/>
        <w:ind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（4）其他</w:t>
      </w:r>
      <w:r>
        <w:rPr>
          <w:rFonts w:hint="eastAsia" w:ascii="仿宋_GB2312" w:hAnsi="仿宋_GB2312" w:eastAsia="仿宋_GB2312" w:cs="仿宋_GB2312"/>
          <w:color w:val="auto"/>
          <w:szCs w:val="28"/>
          <w:u w:val="single"/>
        </w:rPr>
        <w:t xml:space="preserve">        /             </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4.乙方的基本账户信息：</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开户行：</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账号：</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纳税人识别号：</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联系方式：</w:t>
      </w:r>
    </w:p>
    <w:p>
      <w:pPr>
        <w:spacing w:line="560" w:lineRule="exact"/>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5.其他约定：</w:t>
      </w:r>
      <w:r>
        <w:rPr>
          <w:rFonts w:hint="eastAsia" w:ascii="仿宋_GB2312" w:hAnsi="仿宋_GB2312" w:eastAsia="仿宋_GB2312" w:cs="仿宋_GB2312"/>
          <w:color w:val="auto"/>
          <w:sz w:val="28"/>
          <w:szCs w:val="28"/>
          <w:u w:val="single"/>
        </w:rPr>
        <w:t xml:space="preserve">                  /                                       </w:t>
      </w:r>
    </w:p>
    <w:p>
      <w:pPr>
        <w:spacing w:line="560" w:lineRule="exact"/>
        <w:jc w:val="left"/>
        <w:rPr>
          <w:rFonts w:ascii="仿宋_GB2312" w:hAnsi="仿宋_GB2312" w:eastAsia="仿宋_GB2312" w:cs="仿宋_GB2312"/>
          <w:color w:val="auto"/>
          <w:sz w:val="28"/>
          <w:szCs w:val="28"/>
          <w:u w:val="single"/>
        </w:rPr>
      </w:pPr>
    </w:p>
    <w:p>
      <w:pPr>
        <w:pStyle w:val="89"/>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六、履约担保</w:t>
      </w:r>
    </w:p>
    <w:p>
      <w:pPr>
        <w:pStyle w:val="89"/>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 xml:space="preserve">本项目是否适用：适用  </w:t>
      </w:r>
      <w:r>
        <w:rPr>
          <w:rFonts w:hint="eastAsia" w:ascii="仿宋_GB2312" w:hAnsi="仿宋_GB2312" w:eastAsia="仿宋_GB2312" w:cs="仿宋_GB2312"/>
          <w:b/>
          <w:color w:val="auto"/>
          <w:szCs w:val="28"/>
        </w:rPr>
        <w:sym w:font="Wingdings" w:char="00FE"/>
      </w:r>
      <w:r>
        <w:rPr>
          <w:rFonts w:hint="eastAsia" w:ascii="仿宋_GB2312" w:hAnsi="仿宋_GB2312" w:eastAsia="仿宋_GB2312" w:cs="仿宋_GB2312"/>
          <w:b/>
          <w:color w:val="auto"/>
          <w:szCs w:val="28"/>
        </w:rPr>
        <w:t xml:space="preserve">   不适用  </w:t>
      </w:r>
      <w:r>
        <w:rPr>
          <w:rFonts w:hint="eastAsia" w:ascii="仿宋_GB2312" w:hAnsi="仿宋_GB2312" w:eastAsia="仿宋_GB2312" w:cs="仿宋_GB2312"/>
          <w:b/>
          <w:color w:val="auto"/>
          <w:szCs w:val="28"/>
        </w:rPr>
        <w:sym w:font="Wingdings" w:char="00A8"/>
      </w:r>
    </w:p>
    <w:p>
      <w:pPr>
        <w:spacing w:line="560" w:lineRule="exact"/>
        <w:ind w:firstLine="315"/>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乙方提交履约担保的形式为：</w:t>
      </w:r>
      <w:r>
        <w:rPr>
          <w:rFonts w:hint="eastAsia" w:ascii="仿宋_GB2312" w:hAnsi="仿宋_GB2312" w:eastAsia="仿宋_GB2312" w:cs="仿宋_GB2312"/>
          <w:snapToGrid w:val="0"/>
          <w:color w:val="auto"/>
          <w:kern w:val="0"/>
          <w:sz w:val="28"/>
          <w:szCs w:val="28"/>
          <w:u w:val="single"/>
        </w:rPr>
        <w:t xml:space="preserve">  </w:t>
      </w:r>
      <w:r>
        <w:rPr>
          <w:rFonts w:hint="eastAsia" w:ascii="仿宋_GB2312" w:hAnsi="仿宋_GB2312" w:eastAsia="仿宋_GB2312" w:cs="仿宋_GB2312"/>
          <w:snapToGrid w:val="0"/>
          <w:color w:val="auto"/>
          <w:kern w:val="0"/>
          <w:sz w:val="28"/>
          <w:szCs w:val="28"/>
          <w:u w:val="single"/>
        </w:rPr>
        <w:tab/>
      </w:r>
      <w:r>
        <w:rPr>
          <w:rFonts w:hint="eastAsia" w:ascii="仿宋_GB2312" w:hAnsi="仿宋_GB2312" w:eastAsia="仿宋_GB2312" w:cs="仿宋_GB2312"/>
          <w:snapToGrid w:val="0"/>
          <w:color w:val="auto"/>
          <w:kern w:val="0"/>
          <w:sz w:val="28"/>
          <w:szCs w:val="28"/>
          <w:u w:val="single"/>
        </w:rPr>
        <w:t xml:space="preserve">履约担保金          </w:t>
      </w:r>
      <w:r>
        <w:rPr>
          <w:rFonts w:hint="eastAsia" w:ascii="仿宋_GB2312" w:hAnsi="仿宋_GB2312" w:eastAsia="仿宋_GB2312" w:cs="仿宋_GB2312"/>
          <w:color w:val="auto"/>
          <w:sz w:val="28"/>
          <w:szCs w:val="28"/>
        </w:rPr>
        <w:t>；</w:t>
      </w:r>
    </w:p>
    <w:p>
      <w:pPr>
        <w:pStyle w:val="89"/>
        <w:spacing w:line="560" w:lineRule="exact"/>
        <w:ind w:left="360" w:firstLine="0" w:firstLineChars="0"/>
        <w:rPr>
          <w:rFonts w:ascii="仿宋_GB2312" w:hAnsi="仿宋_GB2312" w:eastAsia="仿宋_GB2312" w:cs="仿宋_GB2312"/>
          <w:color w:val="auto"/>
          <w:szCs w:val="28"/>
        </w:rPr>
      </w:pPr>
      <w:r>
        <w:rPr>
          <w:rFonts w:hint="eastAsia" w:ascii="仿宋_GB2312" w:hAnsi="仿宋_GB2312" w:eastAsia="仿宋_GB2312" w:cs="仿宋_GB2312"/>
          <w:color w:val="auto"/>
          <w:szCs w:val="28"/>
        </w:rPr>
        <w:t>2. 履约担保金额为：人民币（大写）</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w:t>
      </w:r>
      <w:r>
        <w:rPr>
          <w:rFonts w:hint="eastAsia" w:ascii="仿宋_GB2312" w:hAnsi="仿宋_GB2312" w:eastAsia="仿宋_GB2312" w:cs="仿宋_GB2312"/>
          <w:color w:val="auto"/>
          <w:szCs w:val="28"/>
          <w:u w:val="single"/>
        </w:rPr>
        <w:t xml:space="preserve">       </w:t>
      </w:r>
      <w:r>
        <w:rPr>
          <w:rFonts w:hint="eastAsia" w:ascii="仿宋_GB2312" w:hAnsi="仿宋_GB2312" w:eastAsia="仿宋_GB2312" w:cs="仿宋_GB2312"/>
          <w:color w:val="auto"/>
          <w:szCs w:val="28"/>
        </w:rPr>
        <w:t>元) （合同总价服务费总额的</w:t>
      </w:r>
      <w:r>
        <w:rPr>
          <w:rFonts w:hint="eastAsia" w:ascii="仿宋_GB2312" w:hAnsi="仿宋_GB2312" w:eastAsia="仿宋_GB2312" w:cs="仿宋_GB2312"/>
          <w:color w:val="auto"/>
          <w:szCs w:val="28"/>
          <w:u w:val="single"/>
        </w:rPr>
        <w:t xml:space="preserve"> 10 </w:t>
      </w:r>
      <w:r>
        <w:rPr>
          <w:rFonts w:hint="eastAsia" w:ascii="仿宋_GB2312" w:hAnsi="仿宋_GB2312" w:eastAsia="仿宋_GB2312" w:cs="仿宋_GB2312"/>
          <w:color w:val="auto"/>
          <w:szCs w:val="28"/>
        </w:rPr>
        <w:t>%）；其中廉洁保证金占履约担保的10%。</w:t>
      </w:r>
    </w:p>
    <w:p>
      <w:pPr>
        <w:pStyle w:val="89"/>
        <w:spacing w:line="560" w:lineRule="exact"/>
        <w:ind w:left="360"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3. 担保期限为：待本合同约定的服务内容及服务期限全部履行完毕后6个月。</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88"/>
        <w:spacing w:line="560" w:lineRule="exact"/>
        <w:ind w:left="360" w:firstLine="0" w:firstLineChars="0"/>
        <w:rPr>
          <w:rFonts w:ascii="仿宋_GB2312" w:hAnsi="仿宋_GB2312" w:eastAsia="仿宋_GB2312" w:cs="仿宋_GB2312"/>
          <w:color w:val="auto"/>
          <w:szCs w:val="28"/>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七、保修期</w:t>
      </w:r>
    </w:p>
    <w:p>
      <w:pPr>
        <w:pStyle w:val="88"/>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 xml:space="preserve">本项目是否适用：适用  </w:t>
      </w:r>
      <w:r>
        <w:rPr>
          <w:rFonts w:hint="eastAsia" w:ascii="仿宋_GB2312" w:hAnsi="仿宋_GB2312" w:eastAsia="仿宋_GB2312" w:cs="仿宋_GB2312"/>
          <w:b/>
          <w:color w:val="auto"/>
          <w:szCs w:val="28"/>
        </w:rPr>
        <w:sym w:font="Wingdings" w:char="00A8"/>
      </w:r>
      <w:r>
        <w:rPr>
          <w:rFonts w:hint="eastAsia" w:ascii="仿宋_GB2312" w:hAnsi="仿宋_GB2312" w:eastAsia="仿宋_GB2312" w:cs="仿宋_GB2312"/>
          <w:b/>
          <w:color w:val="auto"/>
          <w:szCs w:val="28"/>
        </w:rPr>
        <w:t xml:space="preserve">    不适用  </w:t>
      </w:r>
      <w:r>
        <w:rPr>
          <w:rFonts w:hint="eastAsia" w:ascii="仿宋_GB2312" w:hAnsi="仿宋_GB2312" w:eastAsia="仿宋_GB2312" w:cs="仿宋_GB2312"/>
          <w:b/>
          <w:color w:val="auto"/>
          <w:szCs w:val="28"/>
        </w:rPr>
        <w:sym w:font="Wingdings" w:char="00FE"/>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1.保修期为正式验收合格之日起</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天；</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2.保修期内，乙方应在接到甲方通知后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小时内到达现场并修复缺陷或损坏。</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3.保修期内发生的维修服务，若修复后经维修的项目的保修期不足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的，则该项目的保修期延长至</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4.具体保修内容以专用条款为准。</w:t>
      </w:r>
    </w:p>
    <w:p>
      <w:pPr>
        <w:spacing w:line="560" w:lineRule="exact"/>
        <w:ind w:firstLine="405"/>
        <w:rPr>
          <w:rFonts w:ascii="仿宋_GB2312" w:hAnsi="仿宋_GB2312" w:eastAsia="仿宋_GB2312" w:cs="仿宋_GB2312"/>
          <w:color w:val="auto"/>
          <w:sz w:val="28"/>
          <w:szCs w:val="28"/>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 xml:space="preserve">八、保险 </w:t>
      </w:r>
    </w:p>
    <w:p>
      <w:pPr>
        <w:spacing w:line="560" w:lineRule="exact"/>
        <w:ind w:firstLine="405"/>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本合同是否适用：适用 </w:t>
      </w:r>
      <w:r>
        <w:rPr>
          <w:rFonts w:hint="eastAsia" w:ascii="仿宋_GB2312" w:hAnsi="仿宋_GB2312" w:eastAsia="仿宋_GB2312" w:cs="仿宋_GB2312"/>
          <w:b/>
          <w:bCs/>
          <w:color w:val="auto"/>
          <w:sz w:val="28"/>
          <w:szCs w:val="28"/>
        </w:rPr>
        <w:sym w:font="Wingdings" w:char="00FE"/>
      </w:r>
      <w:r>
        <w:rPr>
          <w:rFonts w:hint="eastAsia" w:ascii="仿宋_GB2312" w:hAnsi="仿宋_GB2312" w:eastAsia="仿宋_GB2312" w:cs="仿宋_GB2312"/>
          <w:b/>
          <w:bCs/>
          <w:color w:val="auto"/>
          <w:sz w:val="28"/>
          <w:szCs w:val="28"/>
        </w:rPr>
        <w:t xml:space="preserve">    不适用  </w:t>
      </w:r>
      <w:r>
        <w:rPr>
          <w:rFonts w:hint="eastAsia" w:ascii="仿宋_GB2312" w:hAnsi="仿宋_GB2312" w:eastAsia="仿宋_GB2312" w:cs="仿宋_GB2312"/>
          <w:b/>
          <w:bCs/>
          <w:color w:val="auto"/>
          <w:sz w:val="28"/>
          <w:szCs w:val="28"/>
        </w:rPr>
        <w:sym w:font="Wingdings" w:char="00A8"/>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1.乙方应遵循本合同中，合同通用条款 第一部分 第</w:t>
      </w:r>
      <w:r>
        <w:rPr>
          <w:rFonts w:hint="eastAsia" w:ascii="仿宋_GB2312" w:hAnsi="仿宋_GB2312" w:eastAsia="仿宋_GB2312" w:cs="仿宋_GB2312"/>
          <w:color w:val="auto"/>
          <w:sz w:val="28"/>
          <w:szCs w:val="28"/>
          <w:u w:val="single"/>
        </w:rPr>
        <w:t xml:space="preserve">    3   </w:t>
      </w:r>
      <w:r>
        <w:rPr>
          <w:rFonts w:hint="eastAsia" w:ascii="仿宋_GB2312" w:hAnsi="仿宋_GB2312" w:eastAsia="仿宋_GB2312" w:cs="仿宋_GB2312"/>
          <w:color w:val="auto"/>
          <w:sz w:val="28"/>
          <w:szCs w:val="28"/>
        </w:rPr>
        <w:t>条 之约定，办理为完成合同所需之一切保险事务。</w:t>
      </w:r>
    </w:p>
    <w:p>
      <w:pPr>
        <w:pStyle w:val="88"/>
        <w:spacing w:line="560" w:lineRule="exact"/>
        <w:ind w:left="360" w:firstLine="0" w:firstLineChars="0"/>
        <w:rPr>
          <w:rFonts w:ascii="仿宋_GB2312" w:hAnsi="仿宋_GB2312" w:eastAsia="仿宋_GB2312" w:cs="仿宋_GB2312"/>
          <w:color w:val="auto"/>
          <w:szCs w:val="28"/>
          <w:u w:val="single"/>
        </w:rPr>
      </w:pPr>
      <w:r>
        <w:rPr>
          <w:rFonts w:hint="eastAsia" w:ascii="仿宋_GB2312" w:hAnsi="仿宋_GB2312" w:eastAsia="仿宋_GB2312" w:cs="仿宋_GB2312"/>
          <w:color w:val="auto"/>
          <w:szCs w:val="28"/>
        </w:rPr>
        <w:t>2.本合同关于购买保险的具体险种:</w:t>
      </w:r>
      <w:r>
        <w:rPr>
          <w:rFonts w:hint="eastAsia" w:ascii="仿宋_GB2312" w:hAnsi="仿宋_GB2312" w:eastAsia="仿宋_GB2312" w:cs="仿宋_GB2312"/>
          <w:color w:val="auto"/>
          <w:szCs w:val="28"/>
          <w:u w:val="single"/>
        </w:rPr>
        <w:t xml:space="preserve">      由承包商自理                </w:t>
      </w:r>
    </w:p>
    <w:p>
      <w:pPr>
        <w:spacing w:line="560" w:lineRule="exact"/>
        <w:ind w:firstLine="40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3.具体投保内容以专用条款为准。</w:t>
      </w:r>
    </w:p>
    <w:p>
      <w:pPr>
        <w:pStyle w:val="88"/>
        <w:spacing w:line="560" w:lineRule="exact"/>
        <w:ind w:left="360" w:firstLine="0" w:firstLineChars="0"/>
        <w:rPr>
          <w:rFonts w:ascii="仿宋_GB2312" w:hAnsi="仿宋_GB2312" w:eastAsia="仿宋_GB2312" w:cs="仿宋_GB2312"/>
          <w:color w:val="auto"/>
          <w:szCs w:val="28"/>
          <w:u w:val="single"/>
        </w:rPr>
      </w:pPr>
    </w:p>
    <w:p>
      <w:pPr>
        <w:spacing w:line="560" w:lineRule="exact"/>
        <w:ind w:firstLine="405"/>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九、补充约定</w:t>
      </w:r>
    </w:p>
    <w:p>
      <w:pPr>
        <w:spacing w:line="560" w:lineRule="exact"/>
        <w:ind w:firstLine="420" w:firstLineChars="15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w:t>
      </w:r>
    </w:p>
    <w:p>
      <w:pPr>
        <w:spacing w:line="560" w:lineRule="exact"/>
        <w:ind w:firstLine="420" w:firstLineChars="150"/>
        <w:rPr>
          <w:rFonts w:ascii="仿宋_GB2312" w:hAnsi="仿宋_GB2312" w:eastAsia="仿宋_GB2312" w:cs="仿宋_GB2312"/>
          <w:color w:val="auto"/>
          <w:sz w:val="28"/>
          <w:szCs w:val="28"/>
        </w:rPr>
      </w:pPr>
    </w:p>
    <w:p>
      <w:pPr>
        <w:spacing w:line="560" w:lineRule="exact"/>
        <w:ind w:firstLine="422" w:firstLineChars="15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十、文件组成</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本合同所附下列文件是合同构成不可分割的部分：</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1、合同条款</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2、合同附件</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3、招标文件、投标文件及其相应附件</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color w:val="auto"/>
          <w:sz w:val="28"/>
          <w:szCs w:val="28"/>
        </w:rPr>
      </w:pPr>
    </w:p>
    <w:p>
      <w:pPr>
        <w:pStyle w:val="88"/>
        <w:spacing w:line="560" w:lineRule="exact"/>
        <w:ind w:left="360" w:firstLine="0" w:firstLineChars="0"/>
        <w:rPr>
          <w:rFonts w:ascii="仿宋_GB2312" w:hAnsi="仿宋_GB2312" w:eastAsia="仿宋_GB2312" w:cs="仿宋_GB2312"/>
          <w:b/>
          <w:color w:val="auto"/>
          <w:szCs w:val="28"/>
        </w:rPr>
      </w:pPr>
      <w:r>
        <w:rPr>
          <w:rFonts w:hint="eastAsia" w:ascii="仿宋_GB2312" w:hAnsi="仿宋_GB2312" w:eastAsia="仿宋_GB2312" w:cs="仿宋_GB2312"/>
          <w:b/>
          <w:color w:val="auto"/>
          <w:szCs w:val="28"/>
        </w:rPr>
        <w:t>十一、其他</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1、本合同一式</w:t>
      </w:r>
      <w:r>
        <w:rPr>
          <w:rFonts w:hint="eastAsia" w:ascii="仿宋_GB2312" w:hAnsi="仿宋_GB2312" w:eastAsia="仿宋_GB2312" w:cs="仿宋_GB2312"/>
          <w:color w:val="auto"/>
          <w:sz w:val="28"/>
          <w:szCs w:val="28"/>
          <w:u w:val="single"/>
        </w:rPr>
        <w:t xml:space="preserve"> 陆 </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u w:val="single"/>
        </w:rPr>
        <w:t xml:space="preserve"> 肆 </w:t>
      </w:r>
      <w:r>
        <w:rPr>
          <w:rFonts w:hint="eastAsia" w:ascii="仿宋_GB2312" w:hAnsi="仿宋_GB2312" w:eastAsia="仿宋_GB2312" w:cs="仿宋_GB2312"/>
          <w:color w:val="auto"/>
          <w:sz w:val="28"/>
          <w:szCs w:val="28"/>
        </w:rPr>
        <w:t>份，乙方执</w:t>
      </w:r>
      <w:r>
        <w:rPr>
          <w:rFonts w:hint="eastAsia" w:ascii="仿宋_GB2312" w:hAnsi="仿宋_GB2312" w:eastAsia="仿宋_GB2312" w:cs="仿宋_GB2312"/>
          <w:color w:val="auto"/>
          <w:sz w:val="28"/>
          <w:szCs w:val="28"/>
          <w:u w:val="single"/>
        </w:rPr>
        <w:t xml:space="preserve"> 贰 </w:t>
      </w:r>
      <w:r>
        <w:rPr>
          <w:rFonts w:hint="eastAsia" w:ascii="仿宋_GB2312" w:hAnsi="仿宋_GB2312" w:eastAsia="仿宋_GB2312" w:cs="仿宋_GB2312"/>
          <w:color w:val="auto"/>
          <w:sz w:val="28"/>
          <w:szCs w:val="28"/>
        </w:rPr>
        <w:t>份，自双方盖章以及法定代表人或授权代表签字之日起生效。本合同于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日，在杭州萧山国际机场内签订。</w:t>
      </w:r>
    </w:p>
    <w:p>
      <w:pPr>
        <w:spacing w:line="560" w:lineRule="exact"/>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  (公章)                          乙方：  (公章)</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法定代表人或其委托代理人：              法定代表人或其委托代理人：</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（签字）                                 （签字）</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jc w:val="left"/>
        <w:rPr>
          <w:rFonts w:ascii="仿宋_GB2312" w:hAnsi="仿宋_GB2312" w:eastAsia="仿宋_GB2312" w:cs="仿宋_GB2312"/>
          <w:color w:val="auto"/>
          <w:sz w:val="28"/>
          <w:szCs w:val="28"/>
        </w:rPr>
      </w:pPr>
    </w:p>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第二部分 通用条款</w:t>
      </w:r>
    </w:p>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略</w:t>
      </w:r>
    </w:p>
    <w:p>
      <w:pPr>
        <w:adjustRightInd w:val="0"/>
        <w:snapToGrid w:val="0"/>
        <w:spacing w:line="560" w:lineRule="exact"/>
        <w:jc w:val="center"/>
        <w:rPr>
          <w:rFonts w:ascii="仿宋_GB2312" w:hAnsi="仿宋_GB2312" w:eastAsia="仿宋_GB2312" w:cs="仿宋_GB2312"/>
          <w:b/>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widowControl/>
        <w:jc w:val="left"/>
        <w:rPr>
          <w:rFonts w:ascii="仿宋_GB2312" w:hAnsi="仿宋_GB2312" w:eastAsia="仿宋_GB2312" w:cs="仿宋_GB2312"/>
          <w:b/>
          <w:bCs/>
          <w:color w:val="auto"/>
          <w:sz w:val="28"/>
          <w:szCs w:val="28"/>
        </w:rPr>
      </w:pPr>
      <w:r>
        <w:rPr>
          <w:rFonts w:ascii="仿宋_GB2312" w:hAnsi="仿宋_GB2312" w:eastAsia="仿宋_GB2312" w:cs="仿宋_GB2312"/>
          <w:b/>
          <w:bCs/>
          <w:color w:val="auto"/>
          <w:sz w:val="28"/>
          <w:szCs w:val="28"/>
        </w:rPr>
        <w:br w:type="page"/>
      </w:r>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第三部分 专用条款</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1.服务期限及进度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1.2服务进度要求：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每天提供设备故障咨询服务。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每三个月一次例行回访检查维护。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 每年泵体解体保养及全面检查，并外观进行一次威乐油漆。</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2.项目负责人</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2.1项目负责人基本信息：</w:t>
      </w:r>
      <w:r>
        <w:rPr>
          <w:rFonts w:hint="eastAsia" w:ascii="仿宋_GB2312" w:hAnsi="仿宋_GB2312" w:eastAsia="仿宋_GB2312" w:cs="仿宋_GB2312"/>
          <w:color w:val="auto"/>
          <w:sz w:val="28"/>
          <w:szCs w:val="28"/>
          <w:u w:val="single"/>
        </w:rPr>
        <w:t xml:space="preserve">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2.2项目负责人职责：</w:t>
      </w:r>
      <w:r>
        <w:rPr>
          <w:rFonts w:hint="eastAsia" w:ascii="仿宋_GB2312" w:hAnsi="仿宋_GB2312" w:eastAsia="仿宋_GB2312" w:cs="仿宋_GB2312"/>
          <w:color w:val="auto"/>
          <w:sz w:val="28"/>
          <w:szCs w:val="28"/>
          <w:u w:val="single"/>
        </w:rPr>
        <w:t xml:space="preserve">                                       </w:t>
      </w:r>
    </w:p>
    <w:p>
      <w:pPr>
        <w:pStyle w:val="90"/>
        <w:adjustRightInd w:val="0"/>
        <w:snapToGrid w:val="0"/>
        <w:spacing w:line="560" w:lineRule="exact"/>
        <w:ind w:firstLine="0" w:firstLineChars="0"/>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color w:val="auto"/>
          <w:sz w:val="28"/>
          <w:szCs w:val="28"/>
        </w:rPr>
        <w:t>保险</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3.1乙方投保的保险要求与内容：</w:t>
      </w:r>
      <w:r>
        <w:rPr>
          <w:rFonts w:hint="eastAsia" w:ascii="仿宋_GB2312" w:hAnsi="仿宋_GB2312" w:eastAsia="仿宋_GB2312" w:cs="仿宋_GB2312"/>
          <w:color w:val="auto"/>
          <w:sz w:val="28"/>
          <w:szCs w:val="28"/>
          <w:u w:val="single"/>
        </w:rPr>
        <w:t xml:space="preserve">     承包商应依照有关法律规定参加工伤保险，为其履行合同所雇佣的全部人员，缴纳工伤保险费，并要求其分包人也进行此项保险。</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3.2乙方向甲方提交保单凭证的时间：</w:t>
      </w:r>
      <w:r>
        <w:rPr>
          <w:rFonts w:hint="eastAsia" w:ascii="仿宋_GB2312" w:hAnsi="仿宋_GB2312" w:eastAsia="仿宋_GB2312" w:cs="仿宋_GB2312"/>
          <w:color w:val="auto"/>
          <w:sz w:val="28"/>
          <w:szCs w:val="28"/>
          <w:u w:val="single"/>
        </w:rPr>
        <w:t xml:space="preserve">   合同签订后2个月内提交。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3.4其他约定：</w:t>
      </w:r>
      <w:r>
        <w:rPr>
          <w:rFonts w:hint="eastAsia" w:ascii="仿宋_GB2312" w:hAnsi="仿宋_GB2312" w:eastAsia="仿宋_GB2312" w:cs="仿宋_GB2312"/>
          <w:color w:val="auto"/>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4.服务要求</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4.1乙方提供服务的要求：  </w:t>
      </w:r>
      <w:r>
        <w:rPr>
          <w:rFonts w:hint="eastAsia" w:ascii="仿宋_GB2312" w:hAnsi="仿宋_GB2312" w:eastAsia="仿宋_GB2312" w:cs="仿宋_GB2312"/>
          <w:color w:val="auto"/>
          <w:sz w:val="28"/>
          <w:szCs w:val="28"/>
          <w:u w:val="single"/>
        </w:rPr>
        <w:t>提供T1/T2航站楼中央空调循环水泵的日常维保服务，主要包括：设备咨询、常规维护保养、大修解体保养和应急抢修等内容，共涉及各类型水泵32台。</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4.2服务时间要求：  </w:t>
      </w:r>
      <w:r>
        <w:rPr>
          <w:rFonts w:hint="eastAsia" w:ascii="仿宋_GB2312" w:eastAsia="仿宋_GB2312"/>
          <w:color w:val="auto"/>
          <w:spacing w:val="10"/>
          <w:sz w:val="28"/>
          <w:u w:val="single"/>
        </w:rPr>
        <w:t>乙方承诺工作日的服务时间为上午9:00-下午17:30，法定假日除外。乙方每年除按季度提供维保服务外，还需提供一次全面检查并作必要的保养维护服务，具体时间为接到甲方书面传真后10天内。特殊情况下，甲方如需选择在乙方工作时间外提供维保服务的，乙方承诺须无条件接受并按照本合同的约定提供服务，且乙方不另行计费。</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4.3人员管理要求：</w:t>
      </w:r>
      <w:r>
        <w:rPr>
          <w:rFonts w:hint="eastAsia" w:ascii="仿宋_GB2312" w:hAnsi="仿宋_GB2312" w:eastAsia="仿宋_GB2312" w:cs="仿宋_GB2312"/>
          <w:color w:val="auto"/>
          <w:sz w:val="28"/>
          <w:szCs w:val="28"/>
          <w:u w:val="single"/>
        </w:rPr>
        <w:t xml:space="preserve"> 甲方根据《维保服务季度考核标准细则》（详见合同附件【5】）对乙方进行考核评分。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4.4培训要求：   </w:t>
      </w:r>
      <w:r>
        <w:rPr>
          <w:rFonts w:hint="eastAsia" w:ascii="仿宋_GB2312" w:hAnsi="仿宋_GB2312" w:eastAsia="仿宋_GB2312" w:cs="仿宋_GB2312"/>
          <w:color w:val="auto"/>
          <w:sz w:val="28"/>
          <w:szCs w:val="28"/>
          <w:u w:val="single"/>
        </w:rPr>
        <w:t xml:space="preserve">投标方在提供维护保养的同时，需提供专业技术的培训服务，培训内容包括威乐水泵的维护保养说明和常见问题应急解决方案，培训为一年一次。   </w:t>
      </w:r>
      <w:r>
        <w:rPr>
          <w:rFonts w:hint="eastAsia" w:ascii="仿宋_GB2312" w:hAnsi="仿宋_GB2312" w:eastAsia="仿宋_GB2312" w:cs="仿宋_GB2312"/>
          <w:color w:val="auto"/>
          <w:sz w:val="28"/>
          <w:szCs w:val="28"/>
        </w:rPr>
        <w:t xml:space="preserve">                                               </w:t>
      </w:r>
    </w:p>
    <w:p>
      <w:pPr>
        <w:pStyle w:val="91"/>
        <w:spacing w:line="256" w:lineRule="auto"/>
        <w:ind w:left="420" w:right="765" w:firstLine="0" w:firstLineChars="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4.5其他约定：</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按照机场公司业务外包项目合约监管考核指南（试行）执行</w:t>
      </w:r>
      <w:r>
        <w:rPr>
          <w:rFonts w:hint="eastAsia" w:ascii="仿宋_GB2312" w:hAnsi="仿宋_GB2312" w:eastAsia="仿宋_GB2312" w:cs="仿宋_GB2312"/>
          <w:color w:val="auto"/>
          <w:sz w:val="28"/>
          <w:szCs w:val="28"/>
          <w:u w:val="single"/>
        </w:rPr>
        <w:t>，详见附件6。</w:t>
      </w:r>
    </w:p>
    <w:p>
      <w:pPr>
        <w:adjustRightInd w:val="0"/>
        <w:snapToGrid w:val="0"/>
        <w:spacing w:line="560" w:lineRule="exact"/>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5.双方权利和义务</w:t>
      </w: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5.1甲方的权利和义务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除通用条款约定外，其他约定：</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5.1.1设备因长期运行使用引起磨损等而需要更换或修理的零部件，其费用应由甲方承担。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5.1.2凡因甲方使用不当导致设备需要清理维护及更换零部件，其费用应由甲方承担。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5.1.3设备发生任何故障或意外，甲方应立即向乙方提供情况。</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5.1.4负责设备日常管理，对乙方的服务质量和服务项目进行考查和确认。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5.1.5保养时给予乙方合理充分的时间并协助设置乙方提供现场安全警示标志。</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5.1.6更换后的配件产权归甲方所有。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5.1.7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5.1.8甲方</w:t>
      </w:r>
      <w:r>
        <w:rPr>
          <w:rFonts w:hint="eastAsia" w:ascii="仿宋_GB2312" w:hAnsi="仿宋_GB2312" w:eastAsia="仿宋_GB2312" w:cs="仿宋_GB2312"/>
          <w:color w:val="auto"/>
          <w:sz w:val="28"/>
          <w:szCs w:val="28"/>
          <w:lang w:eastAsia="zh-CN"/>
        </w:rPr>
        <w:t>有权</w:t>
      </w:r>
      <w:r>
        <w:rPr>
          <w:rFonts w:hint="eastAsia" w:ascii="仿宋_GB2312" w:hAnsi="仿宋_GB2312" w:eastAsia="仿宋_GB2312" w:cs="仿宋_GB2312"/>
          <w:color w:val="auto"/>
          <w:sz w:val="28"/>
          <w:szCs w:val="28"/>
        </w:rPr>
        <w:t>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r>
        <w:rPr>
          <w:rFonts w:hint="eastAsia" w:ascii="仿宋_GB2312" w:hAnsi="仿宋_GB2312" w:eastAsia="仿宋_GB2312" w:cs="仿宋_GB2312"/>
          <w:color w:val="auto"/>
          <w:sz w:val="28"/>
          <w:szCs w:val="28"/>
          <w:lang w:eastAsia="zh-CN"/>
        </w:rPr>
        <w:t>。</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5.1.9乙方不在约定期限内派人维修保养或维修保养质量验收不合格的，甲方可以委托他人修理，费用由乙方承担，甲方与第三方确认后可直接从维保费中扣除。</w:t>
      </w: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5.2乙方的权利和义务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除通用条款约定外，其他约定：</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 乙方的技术人员将对甲方的设备进行检查、调整、维护、更换部件和加油等维护保养服务，以确保水泵的正常运行。包括但不限于以下项目：</w:t>
      </w:r>
      <w:r>
        <w:rPr>
          <w:rFonts w:hint="eastAsia" w:ascii="仿宋_GB2312" w:hAnsi="仿宋_GB2312" w:eastAsia="仿宋_GB2312" w:cs="仿宋_GB2312"/>
          <w:color w:val="auto"/>
          <w:sz w:val="28"/>
          <w:szCs w:val="28"/>
        </w:rPr>
        <w:tab/>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a)水泵设备的机械及电器装置等设备的全面检查。</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1)每年检查泵体电机轴承的润滑油脂是否皂化变质；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2)每年检查泵轴或轴套是否有划痕；</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3)每年检查并校正联轴器的同心度情况；</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4)每年检查全部地脚螺栓的紧固性；</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5)每年检查泵内旋转部件的磨损程度；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6)每年保养一次清洁和润滑全部轴承；</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7)开机,并调整水泵运行工作点；</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8)每年外观进行一次威乐油漆；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b)乙方将根据全面检查情况，需要加润滑油的地方分别进行加油，并免费提供维护保养用润滑用油。</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c)凡有泄露的部位应更换密封材料，并免费提供密封材料（机械密封除外）。</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d)乙方在取得甲方认可的情况下建议并更换水泵及控制装置的受损零部件（费用由甲方承担），同时乙方需提供一份更换零部件清单及价格表，经甲方确认核实并付款，合同期内不允许变更零部件价格。</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e)每三个月一次例行回访，并用温度计测量泵体及电机轴承温度是否正常；</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f)应急处理：乙方在接到招标方应急维修要求后，应派遣售后服务工程师与48小时内到达现场，对于常规问题乙方保证在到达现场后在48小时内处理。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5.2.2 乙方服务时应严格遵守甲方有关规章制度。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5.2.3 在本合同有效期内，乙方向甲方提供机组维护保养中常用易损易耗零部件，乙方需提供一份易损易耗零部件清单及价格表，经甲方确认核实并付款，在本合同履行期内不允许变更零部件价格。提供的备品全部符合DIN2533标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5.2.4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5.2.5 如甲方在技术上需要改进时，乙方免费提供技术上的咨询建议服务。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5.2.6 乙方将协助甲方参与当地政府有关部门的检查工作，甲方应提前7天通知乙方，以便乙方安排工程师至现场配合工作。</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5.2.7 乙方负责免费培训甲方有关处理事故障碍方面的知识,专业技术的培训服务，培训内容包括水泵的运行原理，基本操作和维护保养说明和常见问题应急解决方案，培训为一年一次。</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5.2.8 当发现或发生非保养责任事故时，应及时书面通知甲方整改，当事故严重影响设备安全运行的，有权通知甲方停止使用该设备。</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5.2.9 如因乙方未及时或保养不当引起设备零部件损坏或不能正常运行，其产生的费用或后果由乙方承担。</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5.2.10如因乙方未能履行合同所列的维护保养服务内容及相关义务或履行义务与本合同规定不符，甲方有权按照考核结果扣除相应的服务费用。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5.2.11 乙方有义务接受甲方对乙方的服务考核。</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6.乙方工作人员的更换及增减</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其他约定：</w:t>
      </w:r>
    </w:p>
    <w:p>
      <w:pPr>
        <w:adjustRightInd w:val="0"/>
        <w:snapToGrid w:val="0"/>
        <w:spacing w:line="560" w:lineRule="exact"/>
        <w:rPr>
          <w:rFonts w:ascii="仿宋_GB2312" w:eastAsia="仿宋_GB2312"/>
          <w:color w:val="auto"/>
          <w:spacing w:val="10"/>
          <w:sz w:val="28"/>
        </w:rPr>
      </w:pPr>
      <w:r>
        <w:rPr>
          <w:rFonts w:ascii="仿宋_GB2312" w:hAnsi="仿宋_GB2312" w:eastAsia="仿宋_GB2312" w:cs="仿宋_GB2312"/>
          <w:color w:val="auto"/>
          <w:sz w:val="28"/>
          <w:szCs w:val="28"/>
        </w:rPr>
        <w:t>6.1</w:t>
      </w:r>
      <w:r>
        <w:rPr>
          <w:rFonts w:hint="eastAsia" w:ascii="仿宋_GB2312" w:eastAsia="仿宋_GB2312"/>
          <w:color w:val="auto"/>
          <w:spacing w:val="10"/>
          <w:sz w:val="28"/>
        </w:rPr>
        <w:t>乙方需指定不少于2名专业维护人员专门负责合同规定的维护工作，并配备1名专业工程师，对本项目予以技术支持，以上人员需能够通过机场公安分局的背景审核，涉及到办理隔离区通行证的人员，无特殊情况，不得随意更换、减少人员。</w:t>
      </w:r>
    </w:p>
    <w:p>
      <w:pPr>
        <w:adjustRightInd w:val="0"/>
        <w:snapToGrid w:val="0"/>
        <w:spacing w:line="560" w:lineRule="exact"/>
        <w:rPr>
          <w:rFonts w:ascii="仿宋_GB2312" w:hAnsi="仿宋_GB2312" w:eastAsia="仿宋_GB2312" w:cs="仿宋_GB2312"/>
          <w:color w:val="auto"/>
          <w:sz w:val="28"/>
          <w:szCs w:val="28"/>
        </w:rPr>
      </w:pPr>
      <w:r>
        <w:rPr>
          <w:rFonts w:ascii="仿宋_GB2312" w:eastAsia="仿宋_GB2312"/>
          <w:color w:val="auto"/>
          <w:spacing w:val="10"/>
          <w:sz w:val="28"/>
        </w:rPr>
        <w:t>6.2</w:t>
      </w:r>
      <w:r>
        <w:rPr>
          <w:rFonts w:hint="eastAsia" w:ascii="仿宋_GB2312" w:eastAsia="仿宋_GB2312"/>
          <w:color w:val="auto"/>
          <w:spacing w:val="10"/>
          <w:sz w:val="28"/>
        </w:rPr>
        <w:t>通用条款内的“</w:t>
      </w:r>
      <w:r>
        <w:rPr>
          <w:rFonts w:ascii="仿宋_GB2312" w:hAnsi="仿宋_GB2312" w:eastAsia="仿宋_GB2312" w:cs="仿宋_GB2312"/>
          <w:color w:val="auto"/>
          <w:sz w:val="28"/>
          <w:szCs w:val="28"/>
        </w:rPr>
        <w:t>6.3甲方根据机场运营需要，要求乙方增加或减少人员，乙方应予以接受。增加或减少人员的，合同价格根据单价调整。</w:t>
      </w:r>
      <w:r>
        <w:rPr>
          <w:rFonts w:hint="eastAsia" w:ascii="仿宋_GB2312" w:hAnsi="仿宋_GB2312" w:eastAsia="仿宋_GB2312" w:cs="仿宋_GB2312"/>
          <w:color w:val="auto"/>
          <w:sz w:val="28"/>
          <w:szCs w:val="28"/>
        </w:rPr>
        <w:t>”不适用本项目。</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7、服务质量验收</w:t>
      </w: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7.1甲方对乙方服务进行监督、检查的方式及要求：</w:t>
      </w:r>
      <w:r>
        <w:rPr>
          <w:rFonts w:hint="eastAsia" w:ascii="仿宋_GB2312" w:hAnsi="仿宋_GB2312" w:eastAsia="仿宋_GB2312" w:cs="仿宋_GB2312"/>
          <w:color w:val="auto"/>
          <w:sz w:val="28"/>
          <w:szCs w:val="28"/>
          <w:u w:val="single"/>
        </w:rPr>
        <w:t xml:space="preserve">  甲方根据《维保服务季度考核标准细则》（详见合同附件【5】）对乙方进行考核评分。</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7.2扣除不达指标的外包服务费或要求乙方承担违约金的标准：</w:t>
      </w:r>
      <w:r>
        <w:rPr>
          <w:rFonts w:hint="eastAsia" w:ascii="仿宋_GB2312" w:hAnsi="仿宋_GB2312" w:eastAsia="仿宋_GB2312" w:cs="仿宋_GB2312"/>
          <w:color w:val="auto"/>
          <w:sz w:val="28"/>
          <w:szCs w:val="28"/>
          <w:u w:val="single"/>
        </w:rPr>
        <w:t xml:space="preserve"> 参考《维保服务季度考核标准细则》（详见合同附件【5】）。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7.3验收标准：根据设备维保服务报告进行双方签字验收。</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7.3.1设备验收标准：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7.3.2维保服务考核标准：如因乙方未能履行合同所列的维护保养服务内容及相关义务或履行义务与本合同规定不符，甲方有权按照考核结果扣除相应的服务费用。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7.4其他约定：</w:t>
      </w:r>
      <w:r>
        <w:rPr>
          <w:rFonts w:hint="eastAsia" w:ascii="仿宋_GB2312" w:hAnsi="仿宋_GB2312" w:eastAsia="仿宋_GB2312" w:cs="仿宋_GB2312"/>
          <w:color w:val="auto"/>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8.合同变更、终止与解除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除通用条款约定的情形外，补充约定下列内容：</w:t>
      </w:r>
    </w:p>
    <w:p>
      <w:pPr>
        <w:numPr>
          <w:ilvl w:val="0"/>
          <w:numId w:val="4"/>
        </w:num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9.结算</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9.1乙方应根据</w:t>
      </w:r>
      <w:r>
        <w:rPr>
          <w:rFonts w:hint="eastAsia" w:ascii="仿宋_GB2312" w:hAnsi="仿宋_GB2312" w:eastAsia="仿宋_GB2312" w:cs="仿宋_GB2312"/>
          <w:color w:val="auto"/>
          <w:sz w:val="28"/>
          <w:szCs w:val="28"/>
          <w:u w:val="single"/>
        </w:rPr>
        <w:t xml:space="preserve">   甲方考核结果后按照考核结果确定的服务费用金额提供增值税专用发票  </w:t>
      </w:r>
      <w:r>
        <w:rPr>
          <w:rFonts w:hint="eastAsia" w:ascii="仿宋_GB2312" w:hAnsi="仿宋_GB2312" w:eastAsia="仿宋_GB2312" w:cs="仿宋_GB2312"/>
          <w:color w:val="auto"/>
          <w:sz w:val="28"/>
          <w:szCs w:val="28"/>
        </w:rPr>
        <w:t>向甲方提出结算请求。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9.2双方确定违约责任及赔偿金额重新结算的时间要求：</w:t>
      </w:r>
      <w:r>
        <w:rPr>
          <w:rFonts w:hint="eastAsia" w:ascii="仿宋_GB2312" w:hAnsi="仿宋_GB2312" w:eastAsia="仿宋_GB2312" w:cs="仿宋_GB2312"/>
          <w:color w:val="auto"/>
          <w:sz w:val="28"/>
          <w:szCs w:val="28"/>
          <w:u w:val="single"/>
        </w:rPr>
        <w:t xml:space="preserve"> 支付服务费用前一个星期确定最终付款及赔偿金额。</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9.3其他约定： 无</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10.支付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10.1甲方完成结算且收到乙方提供的发票后</w:t>
      </w:r>
      <w:r>
        <w:rPr>
          <w:rFonts w:hint="eastAsia" w:ascii="仿宋_GB2312" w:hAnsi="仿宋_GB2312" w:eastAsia="仿宋_GB2312" w:cs="仿宋_GB2312"/>
          <w:color w:val="auto"/>
          <w:sz w:val="28"/>
          <w:szCs w:val="28"/>
          <w:u w:val="single"/>
        </w:rPr>
        <w:t xml:space="preserve">   30日内         </w:t>
      </w:r>
      <w:r>
        <w:rPr>
          <w:rFonts w:hint="eastAsia" w:ascii="仿宋_GB2312" w:hAnsi="仿宋_GB2312" w:eastAsia="仿宋_GB2312" w:cs="仿宋_GB2312"/>
          <w:color w:val="auto"/>
          <w:sz w:val="28"/>
          <w:szCs w:val="28"/>
        </w:rPr>
        <w:t>向乙方支付</w:t>
      </w:r>
      <w:r>
        <w:rPr>
          <w:rFonts w:hint="eastAsia" w:ascii="仿宋_GB2312" w:hAnsi="仿宋_GB2312" w:eastAsia="仿宋_GB2312" w:cs="仿宋_GB2312"/>
          <w:color w:val="auto"/>
          <w:sz w:val="28"/>
          <w:szCs w:val="28"/>
          <w:u w:val="single"/>
        </w:rPr>
        <w:t xml:space="preserve">    至乙方账号     </w:t>
      </w:r>
      <w:r>
        <w:rPr>
          <w:rFonts w:hint="eastAsia" w:ascii="仿宋_GB2312" w:hAnsi="仿宋_GB2312" w:eastAsia="仿宋_GB2312" w:cs="仿宋_GB2312"/>
          <w:color w:val="auto"/>
          <w:sz w:val="28"/>
          <w:szCs w:val="28"/>
        </w:rPr>
        <w:t>。</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10.2乙方付款申请填写错误或相关材料缺失的，应在</w:t>
      </w:r>
      <w:r>
        <w:rPr>
          <w:rFonts w:hint="eastAsia" w:ascii="仿宋_GB2312" w:hAnsi="仿宋_GB2312" w:eastAsia="仿宋_GB2312" w:cs="仿宋_GB2312"/>
          <w:color w:val="auto"/>
          <w:sz w:val="28"/>
          <w:szCs w:val="28"/>
          <w:u w:val="single"/>
        </w:rPr>
        <w:t xml:space="preserve">   7日内      内</w:t>
      </w:r>
      <w:r>
        <w:rPr>
          <w:rFonts w:hint="eastAsia" w:ascii="仿宋_GB2312" w:hAnsi="仿宋_GB2312" w:eastAsia="仿宋_GB2312" w:cs="仿宋_GB2312"/>
          <w:color w:val="auto"/>
          <w:sz w:val="28"/>
          <w:szCs w:val="28"/>
        </w:rPr>
        <w:t>修正或补充材料后重新提交。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10.3其他约定：无</w:t>
      </w: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11.退场和移交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11.1乙方退场和移交的时间：   合同解除日期即为乙方退场和移交日期。</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11.2乙方退场时与甲方办理移交手续的要求：</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11.2.1提供一份合同期内详细的维护以及应急维修工作报告以及水泵使用性能评估报告。</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11.2.2 对已开展的维修工作需要继续无条件完成后方可退场。</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11.3若乙方未按照本合同约定退场和移交手续，乙方应向甲方承担违约责任：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11.4其他约定：</w:t>
      </w:r>
      <w:r>
        <w:rPr>
          <w:rFonts w:hint="eastAsia" w:ascii="仿宋_GB2312" w:hAnsi="仿宋_GB2312" w:eastAsia="仿宋_GB2312" w:cs="仿宋_GB2312"/>
          <w:color w:val="auto"/>
          <w:sz w:val="28"/>
          <w:szCs w:val="28"/>
          <w:u w:val="single"/>
        </w:rPr>
        <w:t xml:space="preserve">            /           </w:t>
      </w:r>
      <w:r>
        <w:rPr>
          <w:rFonts w:hint="eastAsia" w:ascii="仿宋_GB2312" w:hAnsi="仿宋_GB2312" w:eastAsia="仿宋_GB2312" w:cs="仿宋_GB2312"/>
          <w:color w:val="auto"/>
          <w:sz w:val="28"/>
          <w:szCs w:val="28"/>
        </w:rPr>
        <w:t xml:space="preserve">                           </w:t>
      </w:r>
    </w:p>
    <w:p>
      <w:pPr>
        <w:adjustRightInd w:val="0"/>
        <w:snapToGrid w:val="0"/>
        <w:spacing w:line="560" w:lineRule="exact"/>
        <w:rPr>
          <w:rFonts w:ascii="仿宋_GB2312" w:hAnsi="仿宋_GB2312" w:eastAsia="仿宋_GB2312" w:cs="仿宋_GB2312"/>
          <w:color w:val="auto"/>
          <w:sz w:val="28"/>
          <w:szCs w:val="28"/>
          <w:u w:val="single"/>
        </w:rPr>
      </w:pPr>
    </w:p>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bCs/>
          <w:color w:val="auto"/>
          <w:sz w:val="28"/>
          <w:szCs w:val="28"/>
        </w:rPr>
        <w:t>12.</w:t>
      </w:r>
      <w:r>
        <w:rPr>
          <w:rFonts w:hint="eastAsia" w:ascii="仿宋_GB2312" w:hAnsi="仿宋_GB2312" w:eastAsia="仿宋_GB2312" w:cs="仿宋_GB2312"/>
          <w:b/>
          <w:color w:val="auto"/>
          <w:sz w:val="28"/>
          <w:szCs w:val="28"/>
        </w:rPr>
        <w:t>违约责任</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12.4 其他约定：</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p>
    <w:p>
      <w:pPr>
        <w:pStyle w:val="90"/>
        <w:adjustRightInd w:val="0"/>
        <w:snapToGrid w:val="0"/>
        <w:spacing w:line="560" w:lineRule="exact"/>
        <w:ind w:firstLine="0" w:firstLineChars="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13.合同终止与解除</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13.2</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 xml:space="preserve">              /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13.3</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r>
        <w:rPr>
          <w:rFonts w:hint="eastAsia" w:ascii="仿宋_GB2312" w:hAnsi="仿宋_GB2312" w:eastAsia="仿宋_GB2312" w:cs="仿宋_GB2312"/>
          <w:color w:val="auto"/>
          <w:sz w:val="28"/>
          <w:szCs w:val="28"/>
          <w:u w:val="single"/>
        </w:rPr>
        <w:t xml:space="preserve">              /            </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13.5 其他约定：/</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13.6 补充约定：/</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1、保养水泵清单</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2、水泵配件单价清单</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3、廉洁自律承诺书</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4、保密承诺书</w:t>
      </w: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5、维保服务季度考核标准细则</w:t>
      </w:r>
    </w:p>
    <w:p>
      <w:pPr>
        <w:spacing w:line="560" w:lineRule="exact"/>
        <w:jc w:val="left"/>
        <w:rPr>
          <w:rFonts w:ascii="仿宋_GB2312" w:hAnsi="仿宋_GB2312" w:eastAsia="仿宋_GB2312" w:cs="仿宋_GB2312"/>
          <w:color w:val="FF0000"/>
          <w:sz w:val="28"/>
          <w:szCs w:val="28"/>
        </w:rPr>
      </w:pPr>
      <w:r>
        <w:rPr>
          <w:rFonts w:hint="eastAsia" w:ascii="仿宋_GB2312" w:hAnsi="仿宋_GB2312" w:eastAsia="仿宋_GB2312" w:cs="仿宋_GB2312"/>
          <w:color w:val="auto"/>
          <w:sz w:val="28"/>
          <w:szCs w:val="28"/>
        </w:rPr>
        <w:t>6、机场公司业务外包项目合约监管考核指南</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上述附件均是合同的组成部分，与合同具有同等法律效力。</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附件1：保养水泵清单</w:t>
      </w: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tbl>
      <w:tblPr>
        <w:tblStyle w:val="53"/>
        <w:tblW w:w="8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730"/>
        <w:gridCol w:w="896"/>
        <w:gridCol w:w="3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序 号</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型   号</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数 量</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1</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NP125/200v-11/4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2</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NP200/250v-30/4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10台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NP150/400v-75/4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6台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4</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NP65/250v-55/4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2台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5</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NP250/355v-90/4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冷却水泵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6</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NP125/315v-37/4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冷却水泵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7</w:t>
            </w:r>
          </w:p>
        </w:tc>
        <w:tc>
          <w:tcPr>
            <w:tcW w:w="273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NP100/200v-7.5/4</w:t>
            </w:r>
          </w:p>
        </w:tc>
        <w:tc>
          <w:tcPr>
            <w:tcW w:w="89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5台</w:t>
            </w:r>
          </w:p>
        </w:tc>
        <w:tc>
          <w:tcPr>
            <w:tcW w:w="35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热水泵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59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合 计</w:t>
            </w:r>
          </w:p>
        </w:tc>
        <w:tc>
          <w:tcPr>
            <w:tcW w:w="7218"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32台</w:t>
            </w:r>
          </w:p>
        </w:tc>
      </w:tr>
    </w:tbl>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附件2 ：水泵配件单价清单</w:t>
      </w:r>
      <w:r>
        <w:rPr>
          <w:rFonts w:hint="eastAsia" w:ascii="仿宋_GB2312" w:eastAsia="仿宋_GB2312"/>
          <w:b/>
          <w:color w:val="auto"/>
          <w:spacing w:val="10"/>
          <w:sz w:val="28"/>
        </w:rPr>
        <w:t>（更换的配件按实计算，不计入总价）</w:t>
      </w:r>
    </w:p>
    <w:p>
      <w:pPr>
        <w:spacing w:line="560" w:lineRule="exact"/>
        <w:rPr>
          <w:rFonts w:ascii="仿宋_GB2312" w:hAnsi="仿宋_GB2312" w:eastAsia="仿宋_GB2312" w:cs="仿宋_GB2312"/>
          <w:color w:val="auto"/>
          <w:sz w:val="28"/>
          <w:szCs w:val="28"/>
        </w:rPr>
      </w:pPr>
    </w:p>
    <w:tbl>
      <w:tblPr>
        <w:tblStyle w:val="53"/>
        <w:tblW w:w="776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791"/>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29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水泵型号</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配件名称</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sz w:val="28"/>
                <w:szCs w:val="28"/>
              </w:rPr>
            </w:pPr>
            <w:r>
              <w:rPr>
                <w:rFonts w:hint="eastAsia" w:ascii="仿宋_GB2312" w:hAnsi="宋体" w:eastAsia="仿宋_GB2312"/>
                <w:b/>
                <w:color w:val="auto"/>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NP125/200v-11/4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NP200/250v-30/4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NP150/400v-75/4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NP65/250v-55/4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NP250/355v-90/4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NP125/315v-37/4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restar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sz w:val="28"/>
                <w:szCs w:val="28"/>
              </w:rPr>
            </w:pPr>
            <w:r>
              <w:rPr>
                <w:rFonts w:hint="eastAsia" w:ascii="仿宋_GB2312" w:hAnsi="宋体" w:eastAsia="仿宋_GB2312"/>
                <w:color w:val="auto"/>
                <w:sz w:val="28"/>
                <w:szCs w:val="28"/>
              </w:rPr>
              <w:t>NP100/200v-7.5/4</w:t>
            </w: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水泵轴承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电机轴承</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机械密封</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2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auto"/>
                <w:sz w:val="28"/>
                <w:szCs w:val="28"/>
              </w:rPr>
            </w:pPr>
          </w:p>
        </w:tc>
        <w:tc>
          <w:tcPr>
            <w:tcW w:w="279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r>
              <w:rPr>
                <w:rFonts w:hint="eastAsia" w:ascii="仿宋_GB2312" w:hAnsi="宋体" w:eastAsia="仿宋_GB2312"/>
                <w:color w:val="auto"/>
                <w:sz w:val="28"/>
                <w:szCs w:val="28"/>
              </w:rPr>
              <w:t>弹性胶块</w:t>
            </w:r>
          </w:p>
        </w:tc>
        <w:tc>
          <w:tcPr>
            <w:tcW w:w="20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sz w:val="28"/>
                <w:szCs w:val="28"/>
              </w:rPr>
            </w:pPr>
          </w:p>
        </w:tc>
      </w:tr>
    </w:tbl>
    <w:p>
      <w:pPr>
        <w:pStyle w:val="80"/>
        <w:spacing w:line="560" w:lineRule="exact"/>
        <w:ind w:firstLine="0" w:firstLineChars="0"/>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p>
    <w:p>
      <w:pPr>
        <w:pStyle w:val="80"/>
        <w:spacing w:line="56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附件3 ： 杭州萧山国际机场有限公司廉洁自律承诺书</w:t>
      </w: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81"/>
        <w:adjustRightInd w:val="0"/>
        <w:snapToGrid w:val="0"/>
        <w:spacing w:line="560" w:lineRule="exact"/>
        <w:ind w:firstLine="562"/>
        <w:jc w:val="left"/>
        <w:rPr>
          <w:rFonts w:ascii="仿宋_GB2312" w:hAnsi="仿宋_GB2312" w:eastAsia="仿宋_GB2312" w:cs="仿宋_GB2312"/>
          <w:b/>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二、不以任何名义为贵公司有关人员或项目第三方人员报销应由贵公司或个人支付的费用；</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三、不向贵公司有关人员或项目第三方人员提供宴请、旅游、和健身娱乐等活动；</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四、不为贵公司有关人员或项目第三方人员出国（境）、旅游等提供方便；</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五、不为贵公司有关人员或项目第三方人员个人装修住房、婚丧嫁娶、配偶子女工作安排等提供好处或便利条件；</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六、严格遵守国家招标投标法、合同法等法律规定，诚实守信，合法经营，坚决杜绝各种违法违纪行为。</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八、为约束廉洁自律行为从法律上提供保障措施，我方同意向贵公司缴纳的履约保证金中的10%作为廉洁自律担保金。</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如违反上述廉洁自律承诺，贵公司有权：</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立即取消我单位投标、中标或在建项目的实施资格；</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廉洁自律担保金不予退还我单位；</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拒绝我单位在一定时期内进入贵公司进行项目建设或其它经营活动；</w:t>
      </w:r>
    </w:p>
    <w:p>
      <w:pPr>
        <w:pStyle w:val="81"/>
        <w:numPr>
          <w:ilvl w:val="0"/>
          <w:numId w:val="5"/>
        </w:numPr>
        <w:adjustRightInd w:val="0"/>
        <w:snapToGrid w:val="0"/>
        <w:spacing w:line="560" w:lineRule="exact"/>
        <w:ind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由此引起的相应损失均由我单位承担。</w:t>
      </w: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0" w:firstLineChars="0"/>
        <w:jc w:val="left"/>
        <w:rPr>
          <w:rFonts w:ascii="仿宋_GB2312" w:hAnsi="仿宋_GB2312" w:eastAsia="仿宋_GB2312" w:cs="仿宋_GB2312"/>
          <w:color w:val="auto"/>
          <w:sz w:val="28"/>
          <w:szCs w:val="28"/>
        </w:rPr>
      </w:pP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承诺人单位名称（盖章）：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或                            </w:t>
      </w:r>
    </w:p>
    <w:p>
      <w:pPr>
        <w:pStyle w:val="81"/>
        <w:adjustRightInd w:val="0"/>
        <w:snapToGrid w:val="0"/>
        <w:spacing w:line="560" w:lineRule="exact"/>
        <w:ind w:firstLine="56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委托代理人：                   </w:t>
      </w:r>
    </w:p>
    <w:p>
      <w:pPr>
        <w:pStyle w:val="81"/>
        <w:adjustRightInd w:val="0"/>
        <w:snapToGrid w:val="0"/>
        <w:spacing w:line="560" w:lineRule="exact"/>
        <w:ind w:firstLine="562"/>
        <w:jc w:val="left"/>
        <w:rPr>
          <w:rFonts w:ascii="仿宋_GB2312" w:hAnsi="仿宋_GB2312" w:eastAsia="仿宋_GB2312" w:cs="仿宋_GB2312"/>
          <w:b/>
          <w:color w:val="auto"/>
          <w:sz w:val="28"/>
          <w:szCs w:val="28"/>
        </w:rPr>
      </w:pPr>
    </w:p>
    <w:p>
      <w:pPr>
        <w:pStyle w:val="45"/>
        <w:spacing w:before="0" w:after="0" w:line="560" w:lineRule="exact"/>
        <w:rPr>
          <w:rFonts w:ascii="仿宋_GB2312" w:hAnsi="仿宋_GB2312" w:eastAsia="仿宋_GB2312" w:cs="仿宋_GB2312"/>
          <w:b w:val="0"/>
          <w:color w:val="auto"/>
          <w:sz w:val="28"/>
          <w:szCs w:val="28"/>
        </w:rPr>
      </w:pPr>
      <w:bookmarkStart w:id="114" w:name="_Toc321925455"/>
      <w:bookmarkStart w:id="115" w:name="_Toc422638522"/>
      <w:r>
        <w:rPr>
          <w:rFonts w:hint="eastAsia" w:ascii="仿宋_GB2312" w:hAnsi="仿宋_GB2312" w:eastAsia="仿宋_GB2312" w:cs="仿宋_GB2312"/>
          <w:b w:val="0"/>
          <w:color w:val="auto"/>
          <w:sz w:val="28"/>
          <w:szCs w:val="28"/>
        </w:rPr>
        <w:t xml:space="preserve">                           年     月     日</w:t>
      </w:r>
      <w:bookmarkEnd w:id="114"/>
      <w:bookmarkEnd w:id="115"/>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widowControl/>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br w:type="page"/>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附件4：保密承诺书</w:t>
      </w:r>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保密承诺书</w:t>
      </w:r>
    </w:p>
    <w:p>
      <w:pPr>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1.4、以下资料不属于本承诺所指的商业秘密：</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（2）已经公开或已成为常识性的资料，且该等公开并非因违反本承诺所致。</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color w:val="auto"/>
          <w:sz w:val="28"/>
          <w:szCs w:val="28"/>
        </w:rPr>
      </w:pP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8、违约责任</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供应商(盖章):</w:t>
      </w:r>
    </w:p>
    <w:p>
      <w:pPr>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w:t>
      </w: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电话/传真：</w:t>
      </w:r>
    </w:p>
    <w:p>
      <w:pPr>
        <w:spacing w:line="560" w:lineRule="exact"/>
        <w:jc w:val="center"/>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地址：</w:t>
      </w:r>
    </w:p>
    <w:p>
      <w:pPr>
        <w:spacing w:line="560" w:lineRule="exac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p>
    <w:p>
      <w:pPr>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年   月   日</w:t>
      </w: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pStyle w:val="21"/>
        <w:spacing w:line="560" w:lineRule="exact"/>
        <w:ind w:firstLine="420"/>
        <w:jc w:val="left"/>
        <w:rPr>
          <w:rFonts w:ascii="Calibri" w:hAnsi="Calibri" w:cs="Calibri"/>
          <w:bCs/>
          <w:color w:val="auto"/>
          <w:szCs w:val="32"/>
        </w:rPr>
      </w:pPr>
    </w:p>
    <w:p>
      <w:pPr>
        <w:widowControl/>
        <w:jc w:val="left"/>
        <w:rPr>
          <w:rFonts w:ascii="Calibri" w:hAnsi="Calibri" w:eastAsia="宋体" w:cs="Calibri"/>
          <w:bCs/>
          <w:color w:val="auto"/>
          <w:kern w:val="0"/>
          <w:sz w:val="20"/>
          <w:szCs w:val="32"/>
        </w:rPr>
      </w:pPr>
      <w:r>
        <w:rPr>
          <w:rFonts w:ascii="Calibri" w:hAnsi="Calibri" w:cs="Calibri"/>
          <w:bCs/>
          <w:color w:val="auto"/>
          <w:szCs w:val="32"/>
        </w:rPr>
        <w:br w:type="page"/>
      </w:r>
    </w:p>
    <w:p>
      <w:pPr>
        <w:pStyle w:val="21"/>
        <w:spacing w:line="560" w:lineRule="exact"/>
        <w:ind w:firstLine="420"/>
        <w:jc w:val="left"/>
        <w:rPr>
          <w:rFonts w:ascii="Calibri" w:hAnsi="Calibri" w:cs="Calibri"/>
          <w:bCs/>
          <w:color w:val="auto"/>
          <w:szCs w:val="32"/>
        </w:rPr>
      </w:pPr>
    </w:p>
    <w:p>
      <w:pPr>
        <w:spacing w:line="56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附件5 ： 维保服务季度考核标准细则</w:t>
      </w:r>
    </w:p>
    <w:p>
      <w:pPr>
        <w:spacing w:line="560" w:lineRule="exact"/>
        <w:jc w:val="left"/>
        <w:rPr>
          <w:rFonts w:ascii="仿宋_GB2312" w:hAnsi="仿宋_GB2312" w:eastAsia="仿宋_GB2312" w:cs="仿宋_GB2312"/>
          <w:color w:val="auto"/>
          <w:sz w:val="28"/>
          <w:szCs w:val="28"/>
        </w:rPr>
      </w:pP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r>
        <w:rPr>
          <w:rFonts w:hint="eastAsia" w:ascii="仿宋_GB2312" w:hAnsi="仿宋_GB2312" w:eastAsia="仿宋_GB2312" w:cs="仿宋_GB2312"/>
          <w:color w:val="auto"/>
          <w:sz w:val="28"/>
          <w:szCs w:val="28"/>
          <w:lang w:eastAsia="zh-CN"/>
        </w:rPr>
        <w:t>。</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2.甲方监管人员必须严格按照维保的评分标准进行打分，评分结果报单位主管领导签字确认，并通知乙方。</w:t>
      </w:r>
    </w:p>
    <w:p>
      <w:pPr>
        <w:spacing w:line="5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3.考核细则：</w:t>
      </w:r>
    </w:p>
    <w:p>
      <w:pPr>
        <w:spacing w:line="560" w:lineRule="exact"/>
        <w:ind w:firstLine="560" w:firstLineChars="200"/>
        <w:jc w:val="left"/>
        <w:rPr>
          <w:rFonts w:ascii="仿宋_GB2312" w:hAnsi="仿宋_GB2312" w:eastAsia="仿宋_GB2312" w:cs="仿宋_GB2312"/>
          <w:color w:val="auto"/>
          <w:sz w:val="28"/>
          <w:szCs w:val="28"/>
        </w:rPr>
      </w:pPr>
    </w:p>
    <w:p>
      <w:pPr>
        <w:jc w:val="center"/>
        <w:rPr>
          <w:rFonts w:ascii="宋体" w:hAnsi="宋体"/>
          <w:b/>
          <w:color w:val="auto"/>
          <w:sz w:val="28"/>
          <w:szCs w:val="28"/>
        </w:rPr>
      </w:pPr>
      <w:r>
        <w:rPr>
          <w:rFonts w:hint="eastAsia" w:ascii="宋体" w:hAnsi="宋体" w:eastAsia="宋体"/>
          <w:b/>
          <w:color w:val="auto"/>
          <w:sz w:val="28"/>
          <w:szCs w:val="28"/>
        </w:rPr>
        <w:t xml:space="preserve">  </w:t>
      </w:r>
      <w:r>
        <w:rPr>
          <w:rFonts w:hint="eastAsia" w:ascii="宋体" w:hAnsi="宋体"/>
          <w:b/>
          <w:color w:val="auto"/>
          <w:sz w:val="28"/>
          <w:szCs w:val="28"/>
        </w:rPr>
        <w:t xml:space="preserve">年度第 </w:t>
      </w:r>
      <w:r>
        <w:rPr>
          <w:rFonts w:hint="eastAsia" w:ascii="宋体" w:hAnsi="宋体" w:eastAsia="宋体"/>
          <w:b/>
          <w:color w:val="auto"/>
          <w:sz w:val="28"/>
          <w:szCs w:val="28"/>
        </w:rPr>
        <w:t xml:space="preserve"> </w:t>
      </w:r>
      <w:r>
        <w:rPr>
          <w:rFonts w:hint="eastAsia" w:ascii="宋体" w:hAnsi="宋体"/>
          <w:b/>
          <w:color w:val="auto"/>
          <w:sz w:val="28"/>
          <w:szCs w:val="28"/>
        </w:rPr>
        <w:t xml:space="preserve"> 季度</w:t>
      </w:r>
    </w:p>
    <w:p>
      <w:pPr>
        <w:jc w:val="center"/>
        <w:rPr>
          <w:rFonts w:ascii="宋体" w:hAnsi="宋体"/>
          <w:b/>
          <w:color w:val="auto"/>
          <w:sz w:val="28"/>
          <w:szCs w:val="28"/>
        </w:rPr>
      </w:pPr>
    </w:p>
    <w:p>
      <w:pPr>
        <w:rPr>
          <w:rFonts w:ascii="宋体" w:hAnsi="宋体"/>
          <w:b/>
          <w:color w:val="auto"/>
          <w:sz w:val="24"/>
        </w:rPr>
      </w:pPr>
      <w:r>
        <w:rPr>
          <w:rFonts w:hint="eastAsia" w:ascii="宋体" w:hAnsi="宋体"/>
          <w:b/>
          <w:color w:val="auto"/>
          <w:sz w:val="24"/>
        </w:rPr>
        <w:t>项目名称：杭州萧山国际机场T1、T2航站楼水泵维保</w:t>
      </w:r>
    </w:p>
    <w:p>
      <w:pPr>
        <w:rPr>
          <w:rFonts w:ascii="宋体" w:hAnsi="宋体"/>
          <w:b/>
          <w:color w:val="auto"/>
          <w:sz w:val="24"/>
        </w:rPr>
      </w:pPr>
      <w:r>
        <w:rPr>
          <w:rFonts w:hint="eastAsia" w:ascii="宋体" w:hAnsi="宋体"/>
          <w:b/>
          <w:color w:val="auto"/>
          <w:sz w:val="24"/>
        </w:rPr>
        <w:t>考核单位：杭州萧山国际机场动力机电与能源管理部暖通室</w:t>
      </w:r>
    </w:p>
    <w:p>
      <w:pPr>
        <w:pStyle w:val="91"/>
        <w:spacing w:line="259" w:lineRule="auto"/>
        <w:ind w:right="765" w:firstLine="0" w:firstLineChars="0"/>
        <w:rPr>
          <w:rFonts w:ascii="宋体" w:hAnsi="宋体" w:cs="微软雅黑"/>
          <w:b/>
          <w:color w:val="auto"/>
          <w:sz w:val="40"/>
        </w:rPr>
      </w:pPr>
      <w:r>
        <w:rPr>
          <w:rFonts w:hint="eastAsia" w:ascii="宋体" w:hAnsi="宋体"/>
          <w:b/>
          <w:color w:val="auto"/>
        </w:rPr>
        <w:t xml:space="preserve">被考核单位： </w:t>
      </w:r>
    </w:p>
    <w:p>
      <w:pPr>
        <w:pStyle w:val="91"/>
        <w:spacing w:line="259" w:lineRule="auto"/>
        <w:ind w:right="765" w:firstLine="0" w:firstLineChars="0"/>
        <w:rPr>
          <w:rFonts w:ascii="宋体" w:hAnsi="宋体"/>
          <w:b/>
          <w:color w:val="auto"/>
        </w:rPr>
      </w:pPr>
    </w:p>
    <w:tbl>
      <w:tblPr>
        <w:tblStyle w:val="53"/>
        <w:tblW w:w="9533" w:type="dxa"/>
        <w:jc w:val="center"/>
        <w:tblInd w:w="352"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vAlign w:val="top"/>
          </w:tcPr>
          <w:p>
            <w:pPr>
              <w:spacing w:line="259" w:lineRule="auto"/>
              <w:ind w:left="2"/>
              <w:jc w:val="center"/>
              <w:rPr>
                <w:rFonts w:ascii="宋体" w:hAnsi="宋体"/>
                <w:b/>
                <w:color w:val="auto"/>
              </w:rPr>
            </w:pPr>
            <w:r>
              <w:rPr>
                <w:rFonts w:hint="eastAsia" w:ascii="宋体" w:hAnsi="宋体"/>
                <w:b/>
                <w:color w:val="auto"/>
              </w:rPr>
              <w:t>章 节</w:t>
            </w:r>
          </w:p>
        </w:tc>
        <w:tc>
          <w:tcPr>
            <w:tcW w:w="2670" w:type="dxa"/>
            <w:shd w:val="clear" w:color="auto" w:fill="B4C6E7"/>
            <w:vAlign w:val="top"/>
          </w:tcPr>
          <w:p>
            <w:pPr>
              <w:spacing w:line="259" w:lineRule="auto"/>
              <w:jc w:val="center"/>
              <w:rPr>
                <w:rFonts w:ascii="宋体" w:hAnsi="宋体"/>
                <w:b/>
                <w:color w:val="auto"/>
              </w:rPr>
            </w:pPr>
            <w:r>
              <w:rPr>
                <w:rFonts w:hint="eastAsia" w:ascii="宋体" w:hAnsi="宋体" w:cs="微软雅黑"/>
                <w:b/>
                <w:color w:val="auto"/>
              </w:rPr>
              <w:t>性能方面</w:t>
            </w:r>
          </w:p>
        </w:tc>
        <w:tc>
          <w:tcPr>
            <w:tcW w:w="5655" w:type="dxa"/>
            <w:gridSpan w:val="4"/>
            <w:shd w:val="clear" w:color="auto" w:fill="B4C6E7"/>
            <w:vAlign w:val="top"/>
          </w:tcPr>
          <w:p>
            <w:pPr>
              <w:spacing w:line="259" w:lineRule="auto"/>
              <w:ind w:right="45"/>
              <w:jc w:val="center"/>
              <w:rPr>
                <w:rFonts w:ascii="宋体" w:hAnsi="宋体" w:cs="微软雅黑"/>
                <w:b/>
                <w:color w:val="auto"/>
              </w:rPr>
            </w:pPr>
            <w:r>
              <w:rPr>
                <w:rFonts w:hint="eastAsia" w:ascii="宋体" w:hAnsi="宋体" w:cs="微软雅黑"/>
                <w:b/>
                <w:color w:val="auto"/>
              </w:rPr>
              <w:t>考核</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1</w:t>
            </w:r>
            <w:r>
              <w:rPr>
                <w:rFonts w:hint="eastAsia" w:ascii="宋体" w:hAnsi="宋体" w:cs="微软雅黑"/>
                <w:b/>
                <w:color w:val="auto"/>
              </w:rPr>
              <w:t>节</w:t>
            </w:r>
          </w:p>
        </w:tc>
        <w:tc>
          <w:tcPr>
            <w:tcW w:w="2670" w:type="dxa"/>
            <w:shd w:val="clear" w:color="auto" w:fill="D9E2F3"/>
            <w:vAlign w:val="top"/>
          </w:tcPr>
          <w:p>
            <w:pPr>
              <w:spacing w:line="259" w:lineRule="auto"/>
              <w:ind w:right="30"/>
              <w:jc w:val="center"/>
              <w:rPr>
                <w:rFonts w:ascii="宋体" w:hAnsi="宋体" w:cs="微软雅黑"/>
                <w:b/>
                <w:color w:val="auto"/>
              </w:rPr>
            </w:pPr>
            <w:r>
              <w:rPr>
                <w:rFonts w:hint="eastAsia" w:ascii="宋体" w:hAnsi="宋体" w:cs="微软雅黑"/>
                <w:b/>
                <w:color w:val="auto"/>
              </w:rPr>
              <w:t>否定指标</w:t>
            </w:r>
          </w:p>
        </w:tc>
        <w:tc>
          <w:tcPr>
            <w:tcW w:w="212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“有发生”打“√”</w:t>
            </w:r>
          </w:p>
        </w:tc>
        <w:tc>
          <w:tcPr>
            <w:tcW w:w="3529" w:type="dxa"/>
            <w:gridSpan w:val="2"/>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vAlign w:val="top"/>
          </w:tcPr>
          <w:p>
            <w:pPr>
              <w:spacing w:after="1" w:line="252" w:lineRule="auto"/>
              <w:jc w:val="center"/>
              <w:rPr>
                <w:rFonts w:ascii="宋体" w:hAnsi="宋体"/>
                <w:color w:val="auto"/>
              </w:rPr>
            </w:pPr>
            <w:r>
              <w:rPr>
                <w:rFonts w:ascii="宋体" w:hAnsi="宋体"/>
                <w:color w:val="auto"/>
              </w:rPr>
              <w:t>1.1</w:t>
            </w:r>
          </w:p>
        </w:tc>
        <w:tc>
          <w:tcPr>
            <w:tcW w:w="2670" w:type="dxa"/>
            <w:vAlign w:val="top"/>
          </w:tcPr>
          <w:p>
            <w:pPr>
              <w:spacing w:line="259" w:lineRule="auto"/>
              <w:jc w:val="left"/>
              <w:rPr>
                <w:rFonts w:ascii="宋体" w:hAnsi="宋体"/>
                <w:color w:val="auto"/>
              </w:rPr>
            </w:pPr>
            <w:r>
              <w:rPr>
                <w:rFonts w:hint="eastAsia" w:ascii="宋体" w:hAnsi="宋体"/>
                <w:color w:val="auto"/>
              </w:rPr>
              <w:t>恐怖事件</w:t>
            </w:r>
          </w:p>
        </w:tc>
        <w:tc>
          <w:tcPr>
            <w:tcW w:w="2126" w:type="dxa"/>
            <w:gridSpan w:val="2"/>
            <w:vAlign w:val="top"/>
          </w:tcPr>
          <w:p>
            <w:pPr>
              <w:spacing w:line="259" w:lineRule="auto"/>
              <w:ind w:left="2"/>
              <w:rPr>
                <w:rFonts w:ascii="宋体" w:hAnsi="宋体"/>
                <w:color w:val="auto"/>
              </w:rPr>
            </w:pPr>
            <w:r>
              <w:rPr>
                <w:rFonts w:ascii="宋体" w:hAnsi="宋体"/>
                <w:color w:val="auto"/>
              </w:rPr>
              <w:t xml:space="preserve"> </w:t>
            </w:r>
          </w:p>
        </w:tc>
        <w:tc>
          <w:tcPr>
            <w:tcW w:w="3529" w:type="dxa"/>
            <w:gridSpan w:val="2"/>
            <w:vMerge w:val="restart"/>
            <w:vAlign w:val="top"/>
          </w:tcPr>
          <w:p>
            <w:pPr>
              <w:spacing w:line="259" w:lineRule="auto"/>
              <w:ind w:left="2"/>
              <w:rPr>
                <w:rFonts w:ascii="宋体" w:hAnsi="宋体"/>
                <w:color w:val="auto"/>
              </w:rPr>
            </w:pPr>
            <w:r>
              <w:rPr>
                <w:rFonts w:ascii="宋体" w:hAnsi="宋体"/>
                <w:color w:val="auto"/>
              </w:rPr>
              <w:t xml:space="preserve"> </w:t>
            </w:r>
          </w:p>
          <w:p>
            <w:pPr>
              <w:spacing w:line="259" w:lineRule="auto"/>
              <w:ind w:right="45"/>
              <w:jc w:val="center"/>
              <w:rPr>
                <w:rFonts w:ascii="宋体" w:hAnsi="宋体" w:cs="微软雅黑"/>
                <w:b/>
                <w:color w:val="auto"/>
              </w:rPr>
            </w:pPr>
            <w:r>
              <w:rPr>
                <w:rFonts w:hint="eastAsia" w:ascii="宋体" w:hAnsi="宋体" w:cs="微软雅黑"/>
                <w:b/>
                <w:color w:val="auto"/>
              </w:rPr>
              <w:t>解除合同</w:t>
            </w:r>
          </w:p>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1.2</w:t>
            </w:r>
          </w:p>
        </w:tc>
        <w:tc>
          <w:tcPr>
            <w:tcW w:w="2670" w:type="dxa"/>
            <w:vAlign w:val="top"/>
          </w:tcPr>
          <w:p>
            <w:pPr>
              <w:spacing w:line="259" w:lineRule="auto"/>
              <w:jc w:val="left"/>
              <w:rPr>
                <w:rFonts w:ascii="宋体" w:hAnsi="宋体"/>
                <w:color w:val="auto"/>
              </w:rPr>
            </w:pPr>
            <w:r>
              <w:rPr>
                <w:rFonts w:hint="eastAsia" w:ascii="宋体" w:hAnsi="宋体"/>
                <w:color w:val="auto"/>
              </w:rPr>
              <w:t>特大事故、损失</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1.3</w:t>
            </w:r>
          </w:p>
        </w:tc>
        <w:tc>
          <w:tcPr>
            <w:tcW w:w="2670" w:type="dxa"/>
            <w:vAlign w:val="top"/>
          </w:tcPr>
          <w:p>
            <w:pPr>
              <w:spacing w:line="259" w:lineRule="auto"/>
              <w:jc w:val="left"/>
              <w:rPr>
                <w:rFonts w:ascii="宋体" w:hAnsi="宋体"/>
                <w:color w:val="auto"/>
              </w:rPr>
            </w:pPr>
            <w:r>
              <w:rPr>
                <w:rFonts w:hint="eastAsia" w:ascii="宋体" w:hAnsi="宋体"/>
                <w:color w:val="auto"/>
              </w:rPr>
              <w:t>恶劣事件</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vAlign w:val="top"/>
          </w:tcPr>
          <w:p>
            <w:pPr>
              <w:spacing w:line="252" w:lineRule="auto"/>
              <w:ind w:left="970" w:hanging="970"/>
              <w:jc w:val="center"/>
              <w:rPr>
                <w:rFonts w:ascii="宋体" w:hAnsi="宋体"/>
                <w:color w:val="auto"/>
              </w:rPr>
            </w:pPr>
            <w:r>
              <w:rPr>
                <w:rFonts w:ascii="宋体" w:hAnsi="宋体"/>
                <w:color w:val="auto"/>
              </w:rPr>
              <w:t>1.4</w:t>
            </w:r>
          </w:p>
        </w:tc>
        <w:tc>
          <w:tcPr>
            <w:tcW w:w="2670" w:type="dxa"/>
            <w:vAlign w:val="top"/>
          </w:tcPr>
          <w:p>
            <w:pPr>
              <w:spacing w:line="259" w:lineRule="auto"/>
              <w:jc w:val="left"/>
              <w:rPr>
                <w:rFonts w:ascii="宋体" w:hAnsi="宋体"/>
                <w:color w:val="auto"/>
              </w:rPr>
            </w:pPr>
            <w:r>
              <w:rPr>
                <w:rFonts w:hint="eastAsia" w:ascii="宋体" w:hAnsi="宋体"/>
                <w:color w:val="auto"/>
              </w:rPr>
              <w:t>遵纪守法</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vAlign w:val="top"/>
          </w:tcPr>
          <w:p>
            <w:pPr>
              <w:spacing w:line="259" w:lineRule="auto"/>
              <w:jc w:val="left"/>
              <w:rPr>
                <w:rFonts w:ascii="宋体" w:hAnsi="宋体"/>
                <w:color w:val="auto"/>
              </w:rPr>
            </w:pPr>
            <w:r>
              <w:rPr>
                <w:rFonts w:ascii="宋体" w:hAnsi="宋体" w:cs="微软雅黑"/>
                <w:b/>
                <w:color w:val="auto"/>
              </w:rPr>
              <w:t xml:space="preserve"> </w:t>
            </w:r>
            <w:r>
              <w:rPr>
                <w:rFonts w:hint="eastAsia" w:ascii="宋体" w:hAnsi="宋体" w:cs="微软雅黑"/>
                <w:b/>
                <w:color w:val="auto"/>
              </w:rPr>
              <w:t xml:space="preserve">结论：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第2节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人</w:t>
            </w:r>
            <w:r>
              <w:rPr>
                <w:rFonts w:hint="eastAsia" w:ascii="宋体" w:hAnsi="宋体" w:cs="微软雅黑"/>
                <w:color w:val="auto"/>
              </w:rPr>
              <w:t>（24）</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2</w:t>
            </w:r>
            <w:r>
              <w:rPr>
                <w:rFonts w:ascii="宋体" w:hAnsi="宋体"/>
                <w:color w:val="auto"/>
              </w:rPr>
              <w:t>.1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技术能力与资质</w:t>
            </w:r>
            <w:r>
              <w:rPr>
                <w:rFonts w:hint="eastAsia" w:ascii="宋体" w:hAnsi="宋体" w:cs="微软雅黑"/>
                <w:color w:val="auto"/>
              </w:rPr>
              <w:t>（4）</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ind w:left="2"/>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auto"/>
              </w:rPr>
            </w:pPr>
            <w:r>
              <w:rPr>
                <w:rFonts w:ascii="宋体" w:hAnsi="宋体"/>
                <w:color w:val="auto"/>
              </w:rPr>
              <w:t>2.2</w:t>
            </w:r>
          </w:p>
        </w:tc>
        <w:tc>
          <w:tcPr>
            <w:tcW w:w="4087" w:type="dxa"/>
            <w:gridSpan w:val="2"/>
            <w:vAlign w:val="center"/>
          </w:tcPr>
          <w:p>
            <w:pPr>
              <w:widowControl/>
              <w:spacing w:line="276" w:lineRule="auto"/>
              <w:jc w:val="left"/>
              <w:rPr>
                <w:rFonts w:ascii="宋体" w:hAnsi="宋体"/>
                <w:color w:val="auto"/>
              </w:rPr>
            </w:pPr>
            <w:r>
              <w:rPr>
                <w:rFonts w:hint="eastAsia" w:ascii="宋体" w:hAnsi="宋体"/>
                <w:color w:val="auto"/>
              </w:rPr>
              <w:t>工作态度与礼节</w:t>
            </w:r>
            <w:r>
              <w:rPr>
                <w:rFonts w:hint="eastAsia" w:ascii="宋体" w:hAnsi="宋体" w:cs="微软雅黑"/>
                <w:color w:val="auto"/>
              </w:rPr>
              <w:t>（4）</w:t>
            </w:r>
          </w:p>
        </w:tc>
        <w:tc>
          <w:tcPr>
            <w:tcW w:w="709" w:type="dxa"/>
            <w:vAlign w:val="center"/>
          </w:tcPr>
          <w:p>
            <w:pPr>
              <w:spacing w:line="276" w:lineRule="auto"/>
              <w:jc w:val="left"/>
              <w:rPr>
                <w:rFonts w:ascii="宋体" w:hAnsi="宋体"/>
                <w:color w:val="auto"/>
              </w:rPr>
            </w:pPr>
          </w:p>
        </w:tc>
        <w:tc>
          <w:tcPr>
            <w:tcW w:w="3499" w:type="dxa"/>
            <w:vAlign w:val="center"/>
          </w:tcPr>
          <w:p>
            <w:pPr>
              <w:spacing w:line="276" w:lineRule="auto"/>
              <w:jc w:val="left"/>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2.3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人员劳务关系</w:t>
            </w:r>
            <w:r>
              <w:rPr>
                <w:rFonts w:hint="eastAsia" w:ascii="宋体" w:hAnsi="宋体" w:cs="微软雅黑"/>
                <w:color w:val="auto"/>
              </w:rPr>
              <w:t>（4）</w:t>
            </w:r>
          </w:p>
        </w:tc>
        <w:tc>
          <w:tcPr>
            <w:tcW w:w="709" w:type="dxa"/>
            <w:vAlign w:val="top"/>
          </w:tcPr>
          <w:p>
            <w:pPr>
              <w:spacing w:line="252" w:lineRule="auto"/>
              <w:rPr>
                <w:rFonts w:ascii="宋体" w:hAnsi="宋体"/>
                <w:color w:val="auto"/>
              </w:rPr>
            </w:pPr>
            <w:r>
              <w:rPr>
                <w:rFonts w:ascii="宋体" w:hAnsi="宋体"/>
                <w:color w:val="auto"/>
              </w:rPr>
              <w:t xml:space="preserve"> </w:t>
            </w:r>
          </w:p>
        </w:tc>
        <w:tc>
          <w:tcPr>
            <w:tcW w:w="3499" w:type="dxa"/>
            <w:vAlign w:val="top"/>
          </w:tcPr>
          <w:p>
            <w:pPr>
              <w:spacing w:line="252"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2.4</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协调，控制和监管的回应</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员工的伦理和纪律</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企业文化和其他要求的认同</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第3节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质量</w:t>
            </w:r>
            <w:r>
              <w:rPr>
                <w:rFonts w:hint="eastAsia" w:ascii="宋体" w:hAnsi="宋体" w:cs="微软雅黑"/>
                <w:color w:val="auto"/>
              </w:rPr>
              <w:t>（30）</w:t>
            </w:r>
          </w:p>
        </w:tc>
        <w:tc>
          <w:tcPr>
            <w:tcW w:w="709" w:type="dxa"/>
            <w:shd w:val="clear" w:color="auto" w:fill="D9E2F3"/>
            <w:vAlign w:val="top"/>
          </w:tcPr>
          <w:p>
            <w:pPr>
              <w:spacing w:after="84"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after="10" w:line="252" w:lineRule="auto"/>
              <w:jc w:val="center"/>
              <w:rPr>
                <w:rFonts w:ascii="宋体" w:hAnsi="宋体"/>
                <w:color w:val="auto"/>
              </w:rPr>
            </w:pPr>
            <w:r>
              <w:rPr>
                <w:rFonts w:ascii="宋体" w:hAnsi="宋体"/>
                <w:color w:val="auto"/>
              </w:rPr>
              <w:t>3.1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台账、资料管理质量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人员管理质量（5）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3.4</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设备故障率（5）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人员培训质量</w:t>
            </w:r>
            <w:r>
              <w:rPr>
                <w:rFonts w:hint="eastAsia" w:ascii="宋体" w:hAnsi="宋体" w:cs="微软雅黑"/>
                <w:color w:val="auto"/>
              </w:rPr>
              <w:t>（5）</w:t>
            </w:r>
          </w:p>
        </w:tc>
        <w:tc>
          <w:tcPr>
            <w:tcW w:w="709" w:type="dxa"/>
            <w:vAlign w:val="top"/>
          </w:tcPr>
          <w:p>
            <w:pPr>
              <w:spacing w:line="259" w:lineRule="auto"/>
              <w:ind w:right="45"/>
              <w:jc w:val="left"/>
              <w:rPr>
                <w:rFonts w:ascii="宋体" w:hAnsi="宋体" w:cs="微软雅黑"/>
                <w:b/>
                <w:color w:val="auto"/>
              </w:rPr>
            </w:pPr>
          </w:p>
        </w:tc>
        <w:tc>
          <w:tcPr>
            <w:tcW w:w="3499" w:type="dxa"/>
            <w:vAlign w:val="top"/>
          </w:tcPr>
          <w:p>
            <w:pPr>
              <w:spacing w:line="259" w:lineRule="auto"/>
              <w:ind w:right="45"/>
              <w:rPr>
                <w:rFonts w:ascii="宋体" w:hAnsi="宋体" w:cs="微软雅黑"/>
                <w:b/>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vAlign w:val="top"/>
          </w:tcPr>
          <w:p>
            <w:pPr>
              <w:spacing w:line="259" w:lineRule="auto"/>
              <w:ind w:right="44"/>
              <w:jc w:val="center"/>
              <w:rPr>
                <w:rFonts w:ascii="宋体" w:hAnsi="宋体"/>
                <w:color w:val="auto"/>
              </w:rPr>
            </w:pPr>
            <w:r>
              <w:rPr>
                <w:rFonts w:ascii="宋体" w:hAnsi="宋体"/>
                <w:color w:val="auto"/>
              </w:rPr>
              <w:t>3.6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应急事件处理质量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第4节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安全</w:t>
            </w:r>
            <w:r>
              <w:rPr>
                <w:rFonts w:hint="eastAsia" w:ascii="宋体" w:hAnsi="宋体" w:cs="微软雅黑"/>
                <w:color w:val="auto"/>
              </w:rPr>
              <w:t>（12）</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总体安全意识的表现</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提供和维护安全的工作环境</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4.3</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安全措施/制度/体系的实施或整改</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第5节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过程</w:t>
            </w:r>
            <w:r>
              <w:rPr>
                <w:rFonts w:hint="eastAsia" w:ascii="宋体" w:hAnsi="宋体" w:cs="微软雅黑"/>
                <w:color w:val="auto"/>
              </w:rPr>
              <w:t>（16）</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5.1</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工作计划方案的充分性和质量（4）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方案执行情况（4）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让雇主了解工作进展情况（4）</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5.4</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减轻损失/追赶计划所采取的措施（4）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第6节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资源</w:t>
            </w:r>
            <w:r>
              <w:rPr>
                <w:rFonts w:hint="eastAsia" w:ascii="宋体" w:hAnsi="宋体" w:cs="微软雅黑"/>
                <w:color w:val="auto"/>
              </w:rPr>
              <w:t>（12）</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6.1</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劳动力资源的充分性（4）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6.2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工具、消耗品等资源的充分性（4）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6.3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资源的开源节流（4）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第7节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其他</w:t>
            </w:r>
            <w:r>
              <w:rPr>
                <w:rFonts w:hint="eastAsia" w:ascii="宋体" w:hAnsi="宋体" w:cs="微软雅黑"/>
                <w:color w:val="auto"/>
              </w:rPr>
              <w:t>（6）</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vAlign w:val="top"/>
          </w:tcPr>
          <w:p>
            <w:pPr>
              <w:spacing w:line="253" w:lineRule="auto"/>
              <w:jc w:val="center"/>
              <w:rPr>
                <w:rFonts w:ascii="宋体" w:hAnsi="宋体"/>
                <w:color w:val="auto"/>
              </w:rPr>
            </w:pPr>
            <w:r>
              <w:rPr>
                <w:rFonts w:ascii="宋体" w:hAnsi="宋体"/>
                <w:color w:val="auto"/>
              </w:rPr>
              <w:t>7.1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用户满意度</w:t>
            </w:r>
            <w:r>
              <w:rPr>
                <w:rFonts w:hint="eastAsia" w:ascii="宋体" w:hAnsi="宋体" w:cs="微软雅黑"/>
                <w:color w:val="auto"/>
              </w:rPr>
              <w:t>（6）</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61" w:hRule="atLeast"/>
          <w:jc w:val="center"/>
        </w:trPr>
        <w:tc>
          <w:tcPr>
            <w:tcW w:w="9503" w:type="dxa"/>
            <w:gridSpan w:val="5"/>
            <w:shd w:val="clear" w:color="auto" w:fill="FFFFFF"/>
            <w:vAlign w:val="top"/>
          </w:tcPr>
          <w:p>
            <w:pPr>
              <w:spacing w:line="259" w:lineRule="auto"/>
              <w:jc w:val="left"/>
              <w:rPr>
                <w:rFonts w:ascii="宋体" w:hAnsi="宋体" w:cs="微软雅黑"/>
                <w:b/>
                <w:color w:val="auto"/>
              </w:rPr>
            </w:pPr>
            <w:r>
              <w:rPr>
                <w:rFonts w:hint="eastAsia" w:ascii="宋体" w:hAnsi="宋体" w:cs="微软雅黑"/>
                <w:b/>
                <w:color w:val="auto"/>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第8节</w:t>
            </w:r>
          </w:p>
        </w:tc>
        <w:tc>
          <w:tcPr>
            <w:tcW w:w="4087" w:type="dxa"/>
            <w:gridSpan w:val="2"/>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加分项</w:t>
            </w:r>
            <w:r>
              <w:rPr>
                <w:rFonts w:hint="eastAsia" w:ascii="宋体" w:hAnsi="宋体" w:cs="微软雅黑"/>
                <w:color w:val="auto"/>
              </w:rPr>
              <w:t>（10）</w:t>
            </w:r>
          </w:p>
        </w:tc>
        <w:tc>
          <w:tcPr>
            <w:tcW w:w="709"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EEAF6"/>
            <w:vAlign w:val="top"/>
          </w:tcPr>
          <w:p>
            <w:pPr>
              <w:spacing w:line="259" w:lineRule="auto"/>
              <w:ind w:right="3"/>
              <w:jc w:val="center"/>
              <w:rPr>
                <w:rFonts w:ascii="宋体" w:hAnsi="宋体" w:cs="微软雅黑"/>
                <w:b/>
                <w:color w:val="auto"/>
              </w:rPr>
            </w:pPr>
            <w:r>
              <w:rPr>
                <w:rFonts w:hint="eastAsia" w:ascii="宋体" w:hAnsi="宋体" w:eastAsia="宋体" w:cs="微软雅黑"/>
                <w:b/>
                <w:color w:val="auto"/>
              </w:rPr>
              <w:t>加</w:t>
            </w:r>
            <w:r>
              <w:rPr>
                <w:rFonts w:hint="eastAsia" w:ascii="宋体" w:hAnsi="宋体" w:cs="微软雅黑"/>
                <w:b/>
                <w:color w:val="auto"/>
              </w:rPr>
              <w:t>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8.1</w:t>
            </w:r>
          </w:p>
        </w:tc>
        <w:tc>
          <w:tcPr>
            <w:tcW w:w="4087" w:type="dxa"/>
            <w:gridSpan w:val="2"/>
            <w:tcBorders>
              <w:bottom w:val="single" w:color="auto" w:sz="4" w:space="0"/>
            </w:tcBorders>
            <w:vAlign w:val="top"/>
          </w:tcPr>
          <w:p>
            <w:pPr>
              <w:spacing w:line="252" w:lineRule="auto"/>
              <w:rPr>
                <w:rFonts w:ascii="宋体" w:hAnsi="宋体"/>
                <w:color w:val="auto"/>
              </w:rPr>
            </w:pPr>
            <w:r>
              <w:rPr>
                <w:rFonts w:hint="eastAsia" w:ascii="宋体" w:hAnsi="宋体"/>
                <w:color w:val="auto"/>
              </w:rPr>
              <w:t>好人好事及表扬</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hint="eastAsia" w:ascii="宋体" w:hAnsi="宋体"/>
                <w:color w:val="auto"/>
              </w:rPr>
              <w:t>8.2</w:t>
            </w:r>
          </w:p>
        </w:tc>
        <w:tc>
          <w:tcPr>
            <w:tcW w:w="4087" w:type="dxa"/>
            <w:gridSpan w:val="2"/>
            <w:tcBorders>
              <w:top w:val="single" w:color="auto" w:sz="4" w:space="0"/>
            </w:tcBorders>
            <w:vAlign w:val="top"/>
          </w:tcPr>
          <w:p>
            <w:pPr>
              <w:spacing w:line="252" w:lineRule="auto"/>
              <w:rPr>
                <w:rFonts w:ascii="宋体" w:hAnsi="宋体"/>
                <w:color w:val="auto"/>
              </w:rPr>
            </w:pPr>
            <w:r>
              <w:rPr>
                <w:rFonts w:hint="eastAsia" w:ascii="宋体" w:hAnsi="宋体"/>
                <w:color w:val="auto"/>
              </w:rPr>
              <w:t>超额超水平完成</w:t>
            </w:r>
            <w:r>
              <w:rPr>
                <w:rFonts w:hint="eastAsia" w:ascii="宋体" w:hAnsi="宋体" w:cs="微软雅黑"/>
                <w:color w:val="auto"/>
              </w:rPr>
              <w:t>（2）</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8.3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建议及方案</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 xml:space="preserve">最终分值：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结论：</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乙方负责人签字：                            监管人员签字：</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 xml:space="preserve">                                            三级领导签字：</w:t>
            </w:r>
          </w:p>
        </w:tc>
      </w:tr>
    </w:tbl>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ind w:firstLine="402" w:firstLineChars="100"/>
        <w:jc w:val="center"/>
        <w:rPr>
          <w:rFonts w:ascii="宋体" w:hAnsi="宋体" w:cs="微软雅黑"/>
          <w:b/>
          <w:color w:val="auto"/>
          <w:sz w:val="40"/>
        </w:rPr>
      </w:pPr>
      <w:r>
        <w:rPr>
          <w:rFonts w:hint="eastAsia" w:ascii="宋体" w:hAnsi="宋体" w:cs="微软雅黑"/>
          <w:b/>
          <w:color w:val="auto"/>
          <w:sz w:val="40"/>
        </w:rPr>
        <w:t>考核标准</w:t>
      </w:r>
    </w:p>
    <w:tbl>
      <w:tblPr>
        <w:tblStyle w:val="53"/>
        <w:tblW w:w="9376" w:type="dxa"/>
        <w:jc w:val="center"/>
        <w:tblInd w:w="-545"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B4C6E7"/>
            <w:vAlign w:val="top"/>
          </w:tcPr>
          <w:p>
            <w:pPr>
              <w:spacing w:line="259" w:lineRule="auto"/>
              <w:rPr>
                <w:rFonts w:ascii="宋体" w:hAnsi="宋体"/>
                <w:b/>
                <w:color w:val="auto"/>
              </w:rPr>
            </w:pPr>
            <w:r>
              <w:rPr>
                <w:rFonts w:hint="eastAsia" w:ascii="宋体" w:hAnsi="宋体"/>
                <w:b/>
                <w:color w:val="auto"/>
              </w:rPr>
              <w:t>考核内容</w:t>
            </w:r>
          </w:p>
        </w:tc>
        <w:tc>
          <w:tcPr>
            <w:tcW w:w="5889" w:type="dxa"/>
            <w:shd w:val="clear" w:color="auto" w:fill="B4C6E7"/>
            <w:vAlign w:val="top"/>
          </w:tcPr>
          <w:p>
            <w:pPr>
              <w:spacing w:line="259" w:lineRule="auto"/>
              <w:ind w:right="45"/>
              <w:rPr>
                <w:rFonts w:ascii="宋体" w:hAnsi="宋体" w:cs="微软雅黑"/>
                <w:b/>
                <w:color w:val="auto"/>
              </w:rPr>
            </w:pPr>
            <w:r>
              <w:rPr>
                <w:rFonts w:hint="eastAsia" w:ascii="宋体" w:hAnsi="宋体" w:cs="微软雅黑"/>
                <w:b/>
                <w:color w:val="auto"/>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D9E2F3"/>
            <w:vAlign w:val="top"/>
          </w:tcPr>
          <w:p>
            <w:pPr>
              <w:spacing w:line="259" w:lineRule="auto"/>
              <w:ind w:right="30"/>
              <w:rPr>
                <w:rFonts w:ascii="宋体" w:hAnsi="宋体" w:cs="微软雅黑"/>
                <w:b/>
                <w:color w:val="auto"/>
              </w:rPr>
            </w:pPr>
            <w:r>
              <w:rPr>
                <w:rFonts w:hint="eastAsia" w:ascii="宋体" w:hAnsi="宋体" w:cs="微软雅黑"/>
                <w:b/>
                <w:color w:val="auto"/>
              </w:rPr>
              <w:t>否定指标</w:t>
            </w:r>
          </w:p>
        </w:tc>
        <w:tc>
          <w:tcPr>
            <w:tcW w:w="5889" w:type="dxa"/>
            <w:vMerge w:val="restart"/>
            <w:vAlign w:val="top"/>
          </w:tcPr>
          <w:p>
            <w:pPr>
              <w:spacing w:line="259" w:lineRule="auto"/>
              <w:rPr>
                <w:rFonts w:ascii="宋体" w:hAnsi="宋体"/>
                <w:color w:val="auto"/>
              </w:rPr>
            </w:pPr>
            <w:r>
              <w:rPr>
                <w:rFonts w:hint="eastAsia" w:ascii="宋体" w:hAnsi="宋体"/>
                <w:color w:val="auto"/>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恐怖事件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特大事故、损失</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恶劣事件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遵纪守法</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技术能力与资质（4）</w:t>
            </w:r>
          </w:p>
        </w:tc>
        <w:tc>
          <w:tcPr>
            <w:tcW w:w="5889" w:type="dxa"/>
            <w:vAlign w:val="top"/>
          </w:tcPr>
          <w:p>
            <w:pPr>
              <w:spacing w:line="259" w:lineRule="auto"/>
              <w:ind w:left="2"/>
              <w:rPr>
                <w:rFonts w:ascii="宋体" w:hAnsi="宋体"/>
                <w:color w:val="auto"/>
              </w:rPr>
            </w:pPr>
            <w:r>
              <w:rPr>
                <w:rFonts w:hint="eastAsia" w:ascii="宋体" w:hAnsi="宋体"/>
                <w:color w:val="auto"/>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487" w:type="dxa"/>
            <w:vAlign w:val="top"/>
          </w:tcPr>
          <w:p>
            <w:pPr>
              <w:spacing w:line="259" w:lineRule="auto"/>
              <w:rPr>
                <w:rFonts w:ascii="宋体" w:hAnsi="宋体"/>
                <w:color w:val="auto"/>
              </w:rPr>
            </w:pPr>
            <w:r>
              <w:rPr>
                <w:rFonts w:hint="eastAsia" w:ascii="宋体" w:hAnsi="宋体"/>
                <w:color w:val="auto"/>
              </w:rPr>
              <w:t>工作态度与礼节</w:t>
            </w:r>
            <w:r>
              <w:rPr>
                <w:rFonts w:hint="eastAsia" w:ascii="宋体" w:hAnsi="宋体" w:cs="微软雅黑"/>
                <w:color w:val="auto"/>
              </w:rPr>
              <w:t>（</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人员劳务关系(</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工作人员必须与外包商签订劳动合同，履行国家相关法律法规的义务，经检查发现不符合要求的扣4分，并要求乙方立即整改。</w:t>
            </w: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协调，控制和监管的回应（4）</w:t>
            </w:r>
          </w:p>
        </w:tc>
        <w:tc>
          <w:tcPr>
            <w:tcW w:w="5889" w:type="dxa"/>
            <w:vAlign w:val="top"/>
          </w:tcPr>
          <w:p>
            <w:pPr>
              <w:spacing w:line="259" w:lineRule="auto"/>
              <w:rPr>
                <w:rFonts w:ascii="宋体" w:hAnsi="宋体"/>
                <w:color w:val="auto"/>
              </w:rPr>
            </w:pPr>
            <w:r>
              <w:rPr>
                <w:rFonts w:hint="eastAsia" w:ascii="宋体" w:hAnsi="宋体"/>
                <w:color w:val="auto"/>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员工的伦理和纪律（4）</w:t>
            </w:r>
          </w:p>
        </w:tc>
        <w:tc>
          <w:tcPr>
            <w:tcW w:w="5889" w:type="dxa"/>
            <w:vAlign w:val="top"/>
          </w:tcPr>
          <w:p>
            <w:pPr>
              <w:spacing w:line="259" w:lineRule="auto"/>
              <w:rPr>
                <w:rFonts w:ascii="宋体" w:hAnsi="宋体"/>
                <w:color w:val="auto"/>
              </w:rPr>
            </w:pPr>
            <w:r>
              <w:rPr>
                <w:rFonts w:hint="eastAsia" w:ascii="宋体" w:hAnsi="宋体"/>
                <w:color w:val="auto"/>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企业文化和其他要求的认同（4）</w:t>
            </w:r>
          </w:p>
        </w:tc>
        <w:tc>
          <w:tcPr>
            <w:tcW w:w="5889" w:type="dxa"/>
            <w:vAlign w:val="top"/>
          </w:tcPr>
          <w:p>
            <w:pPr>
              <w:spacing w:line="259" w:lineRule="auto"/>
              <w:rPr>
                <w:rFonts w:ascii="宋体" w:hAnsi="宋体"/>
                <w:color w:val="auto"/>
              </w:rPr>
            </w:pPr>
            <w:r>
              <w:rPr>
                <w:rFonts w:hint="eastAsia" w:ascii="宋体" w:hAnsi="宋体"/>
                <w:color w:val="auto"/>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质量(30</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台账、资料管理质量(5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5889" w:type="dxa"/>
            <w:vAlign w:val="top"/>
          </w:tcPr>
          <w:p>
            <w:pPr>
              <w:spacing w:line="259" w:lineRule="auto"/>
              <w:rPr>
                <w:rFonts w:ascii="宋体" w:hAnsi="宋体"/>
                <w:color w:val="auto"/>
              </w:rPr>
            </w:pPr>
            <w:r>
              <w:rPr>
                <w:rFonts w:hint="eastAsia" w:ascii="宋体" w:hAnsi="宋体"/>
                <w:color w:val="auto"/>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人员管理质量(5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设备故障率（5）</w:t>
            </w:r>
          </w:p>
        </w:tc>
        <w:tc>
          <w:tcPr>
            <w:tcW w:w="5889" w:type="dxa"/>
            <w:vAlign w:val="top"/>
          </w:tcPr>
          <w:p>
            <w:pPr>
              <w:spacing w:line="259" w:lineRule="auto"/>
              <w:rPr>
                <w:rFonts w:ascii="宋体" w:hAnsi="宋体"/>
                <w:color w:val="auto"/>
              </w:rPr>
            </w:pPr>
            <w:r>
              <w:rPr>
                <w:rFonts w:hint="eastAsia" w:ascii="宋体" w:hAnsi="宋体"/>
                <w:color w:val="auto"/>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487" w:type="dxa"/>
            <w:vAlign w:val="top"/>
          </w:tcPr>
          <w:p>
            <w:pPr>
              <w:spacing w:line="259" w:lineRule="auto"/>
              <w:rPr>
                <w:rFonts w:ascii="宋体" w:hAnsi="宋体"/>
                <w:color w:val="auto"/>
              </w:rPr>
            </w:pPr>
            <w:r>
              <w:rPr>
                <w:rFonts w:hint="eastAsia" w:ascii="宋体" w:hAnsi="宋体"/>
                <w:color w:val="auto"/>
              </w:rPr>
              <w:t>人员培训质量(5</w:t>
            </w:r>
            <w:r>
              <w:rPr>
                <w:rFonts w:ascii="宋体" w:hAnsi="宋体"/>
                <w:color w:val="auto"/>
              </w:rPr>
              <w:t>)</w:t>
            </w:r>
          </w:p>
        </w:tc>
        <w:tc>
          <w:tcPr>
            <w:tcW w:w="5889" w:type="dxa"/>
            <w:vAlign w:val="top"/>
          </w:tcPr>
          <w:p>
            <w:pPr>
              <w:spacing w:line="259" w:lineRule="auto"/>
              <w:ind w:right="45"/>
              <w:rPr>
                <w:rFonts w:ascii="宋体" w:hAnsi="宋体" w:cs="微软雅黑"/>
                <w:color w:val="auto"/>
              </w:rPr>
            </w:pPr>
            <w:r>
              <w:rPr>
                <w:rFonts w:hint="eastAsia" w:ascii="宋体" w:hAnsi="宋体"/>
                <w:color w:val="auto"/>
              </w:rPr>
              <w:t>经检查发现</w:t>
            </w:r>
            <w:r>
              <w:rPr>
                <w:rFonts w:hint="eastAsia" w:ascii="宋体" w:hAnsi="宋体" w:cs="微软雅黑"/>
                <w:color w:val="auto"/>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487" w:type="dxa"/>
            <w:vAlign w:val="top"/>
          </w:tcPr>
          <w:p>
            <w:pPr>
              <w:spacing w:line="259" w:lineRule="auto"/>
              <w:rPr>
                <w:rFonts w:ascii="宋体" w:hAnsi="宋体"/>
                <w:color w:val="auto"/>
              </w:rPr>
            </w:pPr>
            <w:r>
              <w:rPr>
                <w:rFonts w:hint="eastAsia" w:ascii="宋体" w:hAnsi="宋体"/>
                <w:color w:val="auto"/>
              </w:rPr>
              <w:t>应急事件处理质量(5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安全(12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总体安全意识的表现 （4）</w:t>
            </w:r>
          </w:p>
        </w:tc>
        <w:tc>
          <w:tcPr>
            <w:tcW w:w="5889" w:type="dxa"/>
            <w:vAlign w:val="top"/>
          </w:tcPr>
          <w:p>
            <w:pPr>
              <w:spacing w:line="259" w:lineRule="auto"/>
              <w:ind w:left="2"/>
              <w:rPr>
                <w:rFonts w:ascii="宋体" w:hAnsi="宋体"/>
                <w:color w:val="auto"/>
              </w:rPr>
            </w:pPr>
            <w:r>
              <w:rPr>
                <w:rFonts w:hint="eastAsia" w:ascii="宋体" w:hAnsi="宋体"/>
                <w:color w:val="auto"/>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提供和维护安全的工作环境 （4）</w:t>
            </w:r>
          </w:p>
        </w:tc>
        <w:tc>
          <w:tcPr>
            <w:tcW w:w="5889" w:type="dxa"/>
            <w:vAlign w:val="top"/>
          </w:tcPr>
          <w:p>
            <w:pPr>
              <w:spacing w:line="259" w:lineRule="auto"/>
              <w:ind w:left="2"/>
              <w:rPr>
                <w:rFonts w:ascii="宋体" w:hAnsi="宋体"/>
                <w:color w:val="auto"/>
              </w:rPr>
            </w:pPr>
            <w:r>
              <w:rPr>
                <w:rFonts w:hint="eastAsia" w:ascii="宋体" w:hAnsi="宋体"/>
                <w:color w:val="auto"/>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安全措施/制度/体系的实施或整改（4）</w:t>
            </w:r>
          </w:p>
        </w:tc>
        <w:tc>
          <w:tcPr>
            <w:tcW w:w="5889" w:type="dxa"/>
            <w:vAlign w:val="top"/>
          </w:tcPr>
          <w:p>
            <w:pPr>
              <w:spacing w:line="259" w:lineRule="auto"/>
              <w:ind w:left="2"/>
              <w:rPr>
                <w:rFonts w:ascii="宋体" w:hAnsi="宋体"/>
                <w:color w:val="auto"/>
              </w:rPr>
            </w:pPr>
            <w:r>
              <w:rPr>
                <w:rFonts w:hint="eastAsia" w:ascii="宋体" w:hAnsi="宋体"/>
                <w:color w:val="auto"/>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过程(16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工作计划方案的充分性和质量（4）</w:t>
            </w:r>
          </w:p>
        </w:tc>
        <w:tc>
          <w:tcPr>
            <w:tcW w:w="5889" w:type="dxa"/>
            <w:vAlign w:val="top"/>
          </w:tcPr>
          <w:p>
            <w:pPr>
              <w:spacing w:line="259" w:lineRule="auto"/>
              <w:ind w:left="2"/>
              <w:rPr>
                <w:rFonts w:ascii="宋体" w:hAnsi="宋体"/>
                <w:color w:val="auto"/>
              </w:rPr>
            </w:pPr>
            <w:r>
              <w:rPr>
                <w:rFonts w:hint="eastAsia" w:ascii="宋体" w:hAnsi="宋体"/>
                <w:color w:val="auto"/>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olor w:val="auto"/>
              </w:rPr>
            </w:pPr>
            <w:r>
              <w:rPr>
                <w:rFonts w:hint="eastAsia" w:ascii="宋体" w:hAnsi="宋体"/>
                <w:color w:val="auto"/>
              </w:rPr>
              <w:t>方案执行情况（4）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olor w:val="auto"/>
              </w:rPr>
            </w:pPr>
            <w:r>
              <w:rPr>
                <w:rFonts w:hint="eastAsia" w:ascii="宋体" w:hAnsi="宋体"/>
                <w:color w:val="auto"/>
              </w:rPr>
              <w:t>让甲方了解工作进展情况 （4）</w:t>
            </w:r>
          </w:p>
        </w:tc>
        <w:tc>
          <w:tcPr>
            <w:tcW w:w="5889" w:type="dxa"/>
            <w:vAlign w:val="top"/>
          </w:tcPr>
          <w:p>
            <w:pPr>
              <w:spacing w:line="259" w:lineRule="auto"/>
              <w:rPr>
                <w:rFonts w:ascii="宋体" w:hAnsi="宋体"/>
                <w:color w:val="auto"/>
              </w:rPr>
            </w:pPr>
            <w:r>
              <w:rPr>
                <w:rFonts w:hint="eastAsia" w:ascii="宋体" w:hAnsi="宋体"/>
                <w:color w:val="auto"/>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减轻损失/追赶计划所采取的措施（4）</w:t>
            </w:r>
          </w:p>
        </w:tc>
        <w:tc>
          <w:tcPr>
            <w:tcW w:w="5889" w:type="dxa"/>
            <w:vAlign w:val="top"/>
          </w:tcPr>
          <w:p>
            <w:pPr>
              <w:spacing w:line="259" w:lineRule="auto"/>
              <w:rPr>
                <w:rFonts w:ascii="宋体" w:hAnsi="宋体"/>
                <w:color w:val="auto"/>
              </w:rPr>
            </w:pPr>
            <w:r>
              <w:rPr>
                <w:rFonts w:hint="eastAsia" w:ascii="宋体" w:hAnsi="宋体"/>
                <w:color w:val="auto"/>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资源(</w:t>
            </w:r>
            <w:r>
              <w:rPr>
                <w:rFonts w:ascii="宋体" w:hAnsi="宋体" w:cs="微软雅黑"/>
                <w:b/>
                <w:color w:val="auto"/>
              </w:rPr>
              <w:t>1</w:t>
            </w:r>
            <w:r>
              <w:rPr>
                <w:rFonts w:hint="eastAsia" w:ascii="宋体" w:hAnsi="宋体" w:cs="微软雅黑"/>
                <w:b/>
                <w:color w:val="auto"/>
              </w:rPr>
              <w:t>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劳动力资源的充分性(</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日常用具、消耗品、器材资源的充分性(</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经检查发现乙方对</w:t>
            </w:r>
            <w:r>
              <w:rPr>
                <w:rFonts w:hint="eastAsia" w:ascii="宋体" w:hAnsi="宋体" w:cs="微软雅黑"/>
                <w:color w:val="auto"/>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资源利用的合理性(</w:t>
            </w:r>
            <w:r>
              <w:rPr>
                <w:rFonts w:ascii="宋体" w:hAnsi="宋体" w:cs="微软雅黑"/>
                <w:color w:val="auto"/>
              </w:rPr>
              <w:t>4)</w:t>
            </w:r>
          </w:p>
        </w:tc>
        <w:tc>
          <w:tcPr>
            <w:tcW w:w="5889" w:type="dxa"/>
            <w:vAlign w:val="top"/>
          </w:tcPr>
          <w:p>
            <w:pPr>
              <w:spacing w:line="259" w:lineRule="auto"/>
              <w:ind w:right="3"/>
              <w:rPr>
                <w:rFonts w:ascii="宋体" w:hAnsi="宋体"/>
                <w:color w:val="auto"/>
              </w:rPr>
            </w:pPr>
            <w:r>
              <w:rPr>
                <w:rFonts w:hint="eastAsia" w:ascii="宋体" w:hAnsi="宋体"/>
                <w:color w:val="auto"/>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其他(6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满意度</w:t>
            </w:r>
            <w:r>
              <w:rPr>
                <w:rFonts w:ascii="宋体" w:hAnsi="宋体" w:cs="微软雅黑"/>
                <w:color w:val="auto"/>
              </w:rPr>
              <w:t>(6)</w:t>
            </w:r>
          </w:p>
        </w:tc>
        <w:tc>
          <w:tcPr>
            <w:tcW w:w="5889" w:type="dxa"/>
            <w:vAlign w:val="top"/>
          </w:tcPr>
          <w:p>
            <w:pPr>
              <w:spacing w:line="259" w:lineRule="auto"/>
              <w:rPr>
                <w:rFonts w:ascii="宋体" w:hAnsi="宋体"/>
                <w:color w:val="auto"/>
              </w:rPr>
            </w:pPr>
            <w:r>
              <w:rPr>
                <w:rFonts w:hint="eastAsia" w:ascii="宋体" w:hAnsi="宋体"/>
                <w:color w:val="auto"/>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76" w:type="dxa"/>
            <w:gridSpan w:val="2"/>
            <w:vAlign w:val="top"/>
          </w:tcPr>
          <w:p>
            <w:pPr>
              <w:spacing w:line="259" w:lineRule="auto"/>
              <w:rPr>
                <w:rFonts w:ascii="宋体" w:hAnsi="宋体"/>
                <w:color w:val="auto"/>
              </w:rPr>
            </w:pPr>
            <w:r>
              <w:rPr>
                <w:rFonts w:hint="eastAsia" w:ascii="宋体" w:hAnsi="宋体" w:cs="微软雅黑"/>
                <w:b/>
                <w:color w:val="auto"/>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好人好事及表扬（4）</w:t>
            </w:r>
          </w:p>
        </w:tc>
        <w:tc>
          <w:tcPr>
            <w:tcW w:w="5889" w:type="dxa"/>
            <w:vAlign w:val="top"/>
          </w:tcPr>
          <w:p>
            <w:pPr>
              <w:spacing w:line="259" w:lineRule="auto"/>
              <w:rPr>
                <w:rFonts w:ascii="宋体" w:hAnsi="宋体"/>
                <w:color w:val="auto"/>
              </w:rPr>
            </w:pPr>
            <w:r>
              <w:rPr>
                <w:rFonts w:hint="eastAsia" w:ascii="宋体" w:hAnsi="宋体"/>
                <w:color w:val="auto"/>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超额超水平完成（2）</w:t>
            </w:r>
          </w:p>
        </w:tc>
        <w:tc>
          <w:tcPr>
            <w:tcW w:w="5889" w:type="dxa"/>
            <w:vAlign w:val="top"/>
          </w:tcPr>
          <w:p>
            <w:pPr>
              <w:spacing w:line="259" w:lineRule="auto"/>
              <w:rPr>
                <w:rFonts w:ascii="宋体" w:hAnsi="宋体"/>
                <w:color w:val="auto"/>
              </w:rPr>
            </w:pPr>
            <w:r>
              <w:rPr>
                <w:rFonts w:hint="eastAsia" w:ascii="宋体" w:hAnsi="宋体"/>
                <w:color w:val="auto"/>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建议及方案（4）</w:t>
            </w:r>
          </w:p>
        </w:tc>
        <w:tc>
          <w:tcPr>
            <w:tcW w:w="5889" w:type="dxa"/>
            <w:vAlign w:val="top"/>
          </w:tcPr>
          <w:p>
            <w:pPr>
              <w:spacing w:line="259" w:lineRule="auto"/>
              <w:rPr>
                <w:rFonts w:ascii="宋体" w:hAnsi="宋体"/>
                <w:color w:val="auto"/>
              </w:rPr>
            </w:pPr>
            <w:r>
              <w:rPr>
                <w:rFonts w:hint="eastAsia" w:ascii="宋体" w:hAnsi="宋体"/>
                <w:color w:val="auto"/>
              </w:rPr>
              <w:t>经甲方认可，由乙方提出建议和意见已经实施的，每条加2分。</w:t>
            </w:r>
          </w:p>
        </w:tc>
      </w:tr>
    </w:tbl>
    <w:p>
      <w:pPr>
        <w:widowControl/>
        <w:jc w:val="left"/>
        <w:rPr>
          <w:rFonts w:ascii="Calibri" w:hAnsi="Calibri" w:eastAsia="宋体" w:cs="Calibri"/>
          <w:bCs/>
          <w:color w:val="auto"/>
          <w:kern w:val="0"/>
          <w:sz w:val="20"/>
          <w:szCs w:val="32"/>
        </w:rPr>
      </w:pPr>
    </w:p>
    <w:p>
      <w:pPr>
        <w:pStyle w:val="21"/>
        <w:spacing w:line="560" w:lineRule="exact"/>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附件6：机场公司业务外包项目合约监管考核指南（试行）</w:t>
      </w:r>
    </w:p>
    <w:p>
      <w:pPr>
        <w:pStyle w:val="21"/>
        <w:spacing w:line="560" w:lineRule="exact"/>
        <w:ind w:firstLine="420"/>
        <w:jc w:val="left"/>
        <w:rPr>
          <w:rFonts w:hint="eastAsia" w:ascii="仿宋_GB2312" w:hAnsi="仿宋_GB2312" w:eastAsia="仿宋_GB2312" w:cs="仿宋_GB2312"/>
          <w:color w:val="FF0000"/>
          <w:sz w:val="28"/>
          <w:szCs w:val="28"/>
        </w:rPr>
      </w:pP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机场公司业务外包项目合约监管</w:t>
      </w: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考核指南</w:t>
      </w:r>
    </w:p>
    <w:p>
      <w:pPr>
        <w:pStyle w:val="91"/>
        <w:spacing w:line="256" w:lineRule="auto"/>
        <w:ind w:left="420" w:right="765" w:firstLine="0" w:firstLineChars="0"/>
        <w:jc w:val="center"/>
        <w:rPr>
          <w:rFonts w:ascii="仿宋_GB2312" w:eastAsia="仿宋_GB2312"/>
          <w:sz w:val="32"/>
          <w:szCs w:val="32"/>
        </w:rPr>
      </w:pPr>
      <w:r>
        <w:rPr>
          <w:rFonts w:hint="eastAsia" w:ascii="黑体" w:hAnsi="黑体" w:eastAsia="黑体"/>
          <w:b/>
          <w:sz w:val="30"/>
          <w:szCs w:val="30"/>
        </w:rPr>
        <w:t>（试行）</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643" w:firstLineChars="200"/>
        <w:rPr>
          <w:rFonts w:ascii="黑体" w:hAnsi="黑体" w:eastAsia="黑体"/>
          <w:b/>
          <w:sz w:val="28"/>
          <w:szCs w:val="28"/>
        </w:rPr>
      </w:pPr>
      <w:r>
        <w:rPr>
          <w:rFonts w:hint="eastAsia" w:ascii="黑体" w:hAnsi="黑体" w:eastAsia="黑体"/>
          <w:b/>
          <w:sz w:val="28"/>
          <w:szCs w:val="28"/>
        </w:rPr>
        <w:t>一、日常考核</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承包商在收到机场公司的整改通知书之日起10日内完成相关整改工作，并将整改情况反馈机场公司监管单位。</w:t>
      </w:r>
    </w:p>
    <w:p>
      <w:pPr>
        <w:adjustRightInd w:val="0"/>
        <w:snapToGrid w:val="0"/>
        <w:spacing w:line="500" w:lineRule="exact"/>
        <w:ind w:firstLine="643" w:firstLineChars="200"/>
        <w:rPr>
          <w:rFonts w:ascii="黑体" w:hAnsi="黑体" w:eastAsia="黑体"/>
          <w:b/>
          <w:sz w:val="28"/>
          <w:szCs w:val="28"/>
        </w:rPr>
      </w:pPr>
      <w:r>
        <w:rPr>
          <w:rFonts w:hint="eastAsia" w:ascii="黑体" w:hAnsi="黑体" w:eastAsia="黑体"/>
          <w:b/>
          <w:sz w:val="28"/>
          <w:szCs w:val="28"/>
        </w:rPr>
        <w:t>二、月（季）度考核</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643" w:firstLineChars="200"/>
        <w:rPr>
          <w:rFonts w:ascii="仿宋_GB2312" w:eastAsia="仿宋_GB2312"/>
          <w:sz w:val="28"/>
          <w:szCs w:val="28"/>
        </w:rPr>
      </w:pPr>
      <w:r>
        <w:rPr>
          <w:rFonts w:hint="eastAsia" w:ascii="仿宋_GB2312" w:eastAsia="仿宋_GB2312"/>
          <w:b/>
          <w:sz w:val="28"/>
          <w:szCs w:val="28"/>
        </w:rPr>
        <w:t>1．按月支付的项目，按月度进行考核。</w:t>
      </w:r>
      <w:r>
        <w:rPr>
          <w:rFonts w:hint="eastAsia" w:ascii="仿宋_GB2312" w:eastAsia="仿宋_GB2312"/>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643" w:firstLineChars="200"/>
        <w:rPr>
          <w:rFonts w:ascii="仿宋_GB2312" w:eastAsia="仿宋_GB2312"/>
          <w:sz w:val="28"/>
          <w:szCs w:val="28"/>
        </w:rPr>
      </w:pPr>
      <w:r>
        <w:rPr>
          <w:rFonts w:hint="eastAsia" w:ascii="仿宋_GB2312" w:eastAsia="仿宋_GB2312"/>
          <w:b/>
          <w:sz w:val="28"/>
          <w:szCs w:val="28"/>
        </w:rPr>
        <w:t>2．按季或年支付的项目，按季度进行考核。</w:t>
      </w:r>
      <w:r>
        <w:rPr>
          <w:rFonts w:hint="eastAsia" w:ascii="仿宋_GB2312" w:eastAsia="仿宋_GB2312"/>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643" w:firstLineChars="200"/>
        <w:rPr>
          <w:rFonts w:ascii="黑体" w:hAnsi="黑体" w:eastAsia="黑体"/>
          <w:b/>
          <w:sz w:val="28"/>
          <w:szCs w:val="28"/>
        </w:rPr>
      </w:pPr>
      <w:r>
        <w:rPr>
          <w:rFonts w:hint="eastAsia" w:ascii="黑体" w:hAnsi="黑体" w:eastAsia="黑体"/>
          <w:b/>
          <w:sz w:val="28"/>
          <w:szCs w:val="28"/>
        </w:rPr>
        <w:t>三、合约中止</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在考核过程中，下列情况之一的，机场公司有权提前中止合约，并要求承包商承担由此给机场公司造成的实际损失:</w:t>
      </w:r>
    </w:p>
    <w:p>
      <w:pPr>
        <w:adjustRightInd w:val="0"/>
        <w:snapToGrid w:val="0"/>
        <w:spacing w:line="500" w:lineRule="exact"/>
        <w:ind w:firstLine="640" w:firstLineChars="200"/>
        <w:rPr>
          <w:rFonts w:ascii="仿宋_GB2312" w:eastAsia="仿宋_GB2312"/>
          <w:sz w:val="28"/>
          <w:szCs w:val="28"/>
        </w:rPr>
      </w:pPr>
      <w:r>
        <w:rPr>
          <w:rFonts w:hint="eastAsia" w:ascii="仿宋_GB2312" w:eastAsia="仿宋_GB2312"/>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640" w:firstLineChars="200"/>
        <w:rPr>
          <w:rFonts w:ascii="黑体" w:hAnsi="黑体" w:eastAsia="黑体"/>
          <w:sz w:val="28"/>
          <w:szCs w:val="28"/>
        </w:rPr>
      </w:pPr>
      <w:r>
        <w:rPr>
          <w:rFonts w:hint="eastAsia" w:ascii="仿宋_GB2312" w:eastAsia="仿宋_GB2312"/>
          <w:sz w:val="28"/>
          <w:szCs w:val="28"/>
        </w:rPr>
        <w:t>2.发生因承包商责任原因造成的各类治安群体性事件、空防不安全事件、消防及其他不安全事件，事故症候，事故和严重影响航班正常性造成航班业务等情况的，实行一票否决。</w:t>
      </w:r>
    </w:p>
    <w:p>
      <w:pPr>
        <w:pStyle w:val="21"/>
        <w:spacing w:line="560" w:lineRule="exact"/>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pStyle w:val="21"/>
        <w:spacing w:line="560" w:lineRule="exact"/>
        <w:jc w:val="left"/>
        <w:rPr>
          <w:rFonts w:ascii="Calibri" w:hAnsi="Calibri" w:cs="Calibri"/>
          <w:bCs/>
          <w:color w:val="auto"/>
          <w:szCs w:val="32"/>
        </w:rPr>
      </w:pPr>
    </w:p>
    <w:p>
      <w:pPr>
        <w:pStyle w:val="2"/>
        <w:spacing w:before="0" w:after="0" w:line="360" w:lineRule="auto"/>
        <w:jc w:val="center"/>
        <w:rPr>
          <w:rFonts w:ascii="Calibri" w:hAnsi="Calibri" w:eastAsia="黑体" w:cs="Calibri"/>
          <w:color w:val="auto"/>
          <w:kern w:val="0"/>
          <w:sz w:val="32"/>
        </w:rPr>
      </w:pPr>
      <w:bookmarkStart w:id="116" w:name="_Toc448002987"/>
      <w:r>
        <w:rPr>
          <w:rFonts w:ascii="Calibri" w:hAnsi="Calibri" w:eastAsia="黑体" w:cs="Calibri"/>
          <w:color w:val="auto"/>
          <w:kern w:val="0"/>
          <w:sz w:val="32"/>
        </w:rPr>
        <w:t>第</w:t>
      </w:r>
      <w:r>
        <w:rPr>
          <w:rFonts w:hint="eastAsia" w:ascii="Calibri" w:hAnsi="Calibri" w:eastAsia="黑体" w:cs="Calibri"/>
          <w:color w:val="auto"/>
          <w:kern w:val="0"/>
          <w:sz w:val="32"/>
        </w:rPr>
        <w:t>五</w:t>
      </w:r>
      <w:r>
        <w:rPr>
          <w:rFonts w:ascii="Calibri" w:hAnsi="Calibri" w:eastAsia="黑体" w:cs="Calibri"/>
          <w:color w:val="auto"/>
          <w:kern w:val="0"/>
          <w:sz w:val="32"/>
        </w:rPr>
        <w:t>章  评标方法及标准</w:t>
      </w:r>
      <w:bookmarkEnd w:id="116"/>
    </w:p>
    <w:p>
      <w:pPr>
        <w:pStyle w:val="21"/>
        <w:spacing w:line="360" w:lineRule="exact"/>
        <w:ind w:firstLine="420"/>
        <w:rPr>
          <w:rFonts w:hAnsi="宋体" w:cs="Calibri"/>
          <w:bCs/>
          <w:color w:val="auto"/>
          <w:sz w:val="22"/>
          <w:szCs w:val="22"/>
        </w:rPr>
      </w:pPr>
      <w:bookmarkStart w:id="117" w:name="_Toc29892"/>
      <w:r>
        <w:rPr>
          <w:rFonts w:hAnsi="宋体" w:cs="Calibri"/>
          <w:bCs/>
          <w:color w:val="auto"/>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color w:val="auto"/>
          <w:sz w:val="22"/>
          <w:szCs w:val="22"/>
        </w:rPr>
      </w:pPr>
      <w:r>
        <w:rPr>
          <w:rFonts w:hAnsi="宋体" w:cs="Calibri"/>
          <w:b/>
          <w:bCs/>
          <w:color w:val="auto"/>
          <w:sz w:val="22"/>
          <w:szCs w:val="22"/>
        </w:rPr>
        <w:t>一、评标原则</w:t>
      </w:r>
    </w:p>
    <w:p>
      <w:pPr>
        <w:pStyle w:val="21"/>
        <w:spacing w:line="360" w:lineRule="exact"/>
        <w:ind w:firstLine="420"/>
        <w:rPr>
          <w:rFonts w:hAnsi="宋体" w:cs="Calibri"/>
          <w:color w:val="auto"/>
          <w:sz w:val="22"/>
          <w:szCs w:val="22"/>
        </w:rPr>
      </w:pPr>
      <w:r>
        <w:rPr>
          <w:rFonts w:hAnsi="宋体" w:cs="Calibri"/>
          <w:bCs/>
          <w:color w:val="auto"/>
          <w:sz w:val="22"/>
          <w:szCs w:val="22"/>
        </w:rPr>
        <w:t>评标应遵循公平、公正、科学、择优的原则。</w:t>
      </w:r>
    </w:p>
    <w:p>
      <w:pPr>
        <w:pStyle w:val="21"/>
        <w:spacing w:line="360" w:lineRule="exact"/>
        <w:rPr>
          <w:rFonts w:hAnsi="宋体" w:cs="Calibri"/>
          <w:b/>
          <w:bCs/>
          <w:color w:val="auto"/>
          <w:sz w:val="22"/>
          <w:szCs w:val="22"/>
        </w:rPr>
      </w:pPr>
      <w:r>
        <w:rPr>
          <w:rFonts w:hAnsi="宋体" w:cs="Calibri"/>
          <w:b/>
          <w:bCs/>
          <w:color w:val="auto"/>
          <w:sz w:val="22"/>
          <w:szCs w:val="22"/>
        </w:rPr>
        <w:t>二、评标组织</w:t>
      </w:r>
    </w:p>
    <w:p>
      <w:pPr>
        <w:pStyle w:val="21"/>
        <w:spacing w:line="360" w:lineRule="exact"/>
        <w:ind w:firstLine="420"/>
        <w:rPr>
          <w:rFonts w:hAnsi="宋体" w:cs="Calibri"/>
          <w:color w:val="auto"/>
          <w:sz w:val="22"/>
          <w:szCs w:val="22"/>
        </w:rPr>
      </w:pPr>
      <w:r>
        <w:rPr>
          <w:rFonts w:hAnsi="宋体" w:cs="Calibri"/>
          <w:color w:val="auto"/>
          <w:sz w:val="22"/>
          <w:szCs w:val="22"/>
        </w:rPr>
        <w:t>评标工作由招标人依法组建的评标委员会（小组）负责。评标委员会成员为</w:t>
      </w:r>
      <w:r>
        <w:rPr>
          <w:rFonts w:hint="eastAsia" w:hAnsi="宋体" w:cs="Calibri"/>
          <w:color w:val="auto"/>
          <w:sz w:val="22"/>
          <w:szCs w:val="22"/>
        </w:rPr>
        <w:t>3</w:t>
      </w:r>
      <w:r>
        <w:rPr>
          <w:rFonts w:hAnsi="宋体" w:cs="Calibri"/>
          <w:color w:val="auto"/>
          <w:sz w:val="22"/>
          <w:szCs w:val="22"/>
        </w:rPr>
        <w:t>人及以上单数，</w:t>
      </w:r>
      <w:r>
        <w:rPr>
          <w:rFonts w:hint="eastAsia" w:hAnsi="宋体"/>
          <w:color w:val="auto"/>
          <w:sz w:val="22"/>
          <w:szCs w:val="22"/>
        </w:rPr>
        <w:t>评标委员会由招标人自行组建。</w:t>
      </w:r>
    </w:p>
    <w:p>
      <w:pPr>
        <w:pStyle w:val="21"/>
        <w:spacing w:line="360" w:lineRule="exact"/>
        <w:rPr>
          <w:rFonts w:hAnsi="宋体" w:cs="Calibri"/>
          <w:b/>
          <w:bCs/>
          <w:color w:val="auto"/>
          <w:sz w:val="22"/>
          <w:szCs w:val="22"/>
        </w:rPr>
      </w:pPr>
      <w:r>
        <w:rPr>
          <w:rFonts w:hAnsi="宋体" w:cs="Calibri"/>
          <w:b/>
          <w:bCs/>
          <w:color w:val="auto"/>
          <w:sz w:val="22"/>
          <w:szCs w:val="22"/>
        </w:rPr>
        <w:t>三、投标文件的评审</w:t>
      </w:r>
    </w:p>
    <w:p>
      <w:pPr>
        <w:pStyle w:val="21"/>
        <w:spacing w:line="360" w:lineRule="exact"/>
        <w:ind w:firstLine="442" w:firstLineChars="200"/>
        <w:rPr>
          <w:rFonts w:hAnsi="宋体" w:cs="Calibri"/>
          <w:b/>
          <w:color w:val="auto"/>
          <w:sz w:val="22"/>
          <w:szCs w:val="22"/>
        </w:rPr>
      </w:pPr>
      <w:r>
        <w:rPr>
          <w:rFonts w:hAnsi="宋体" w:cs="Calibri"/>
          <w:b/>
          <w:color w:val="auto"/>
          <w:sz w:val="22"/>
          <w:szCs w:val="22"/>
        </w:rPr>
        <w:t>3.1 符合性评审</w:t>
      </w:r>
    </w:p>
    <w:p>
      <w:pPr>
        <w:widowControl/>
        <w:tabs>
          <w:tab w:val="left" w:pos="709"/>
        </w:tabs>
        <w:snapToGrid w:val="0"/>
        <w:spacing w:line="360" w:lineRule="exact"/>
        <w:ind w:firstLine="444" w:firstLineChars="202"/>
        <w:rPr>
          <w:rFonts w:ascii="宋体" w:hAnsi="宋体" w:cs="Calibri"/>
          <w:bCs/>
          <w:color w:val="auto"/>
          <w:kern w:val="0"/>
          <w:sz w:val="22"/>
        </w:rPr>
      </w:pPr>
      <w:r>
        <w:rPr>
          <w:rFonts w:ascii="宋体" w:hAnsi="宋体" w:cs="Calibri"/>
          <w:bCs/>
          <w:color w:val="auto"/>
          <w:kern w:val="0"/>
          <w:sz w:val="22"/>
        </w:rPr>
        <w:t>3.1.1评标委员会应依照招标文件的要求和规定首先对投标人的投标资格和投标文件进行符合性审查，</w:t>
      </w:r>
      <w:r>
        <w:rPr>
          <w:rFonts w:ascii="宋体" w:hAnsi="宋体" w:cs="Calibri"/>
          <w:b/>
          <w:color w:val="auto"/>
          <w:kern w:val="0"/>
          <w:sz w:val="22"/>
        </w:rPr>
        <w:t>审查过程中评标委员会可以要求投标人提交下列审查项所需的有关证明和证件的原件，以便核验。</w:t>
      </w:r>
      <w:r>
        <w:rPr>
          <w:rFonts w:ascii="宋体" w:hAnsi="宋体" w:cs="Calibri"/>
          <w:bCs/>
          <w:color w:val="auto"/>
          <w:kern w:val="0"/>
          <w:sz w:val="22"/>
        </w:rPr>
        <w:t>投标文件如存在以下情况之一的，经评标委员会三分之二以上的成员认定，符合性审查不予通过，</w:t>
      </w:r>
      <w:r>
        <w:rPr>
          <w:rFonts w:ascii="宋体" w:hAnsi="宋体" w:cs="Calibri"/>
          <w:b/>
          <w:bCs/>
          <w:color w:val="auto"/>
          <w:kern w:val="0"/>
          <w:sz w:val="22"/>
        </w:rPr>
        <w:t>作</w:t>
      </w:r>
      <w:r>
        <w:rPr>
          <w:rFonts w:hint="eastAsia" w:ascii="宋体" w:hAnsi="宋体" w:cs="Calibri"/>
          <w:b/>
          <w:bCs/>
          <w:color w:val="auto"/>
          <w:kern w:val="0"/>
          <w:sz w:val="22"/>
        </w:rPr>
        <w:t>否决投标</w:t>
      </w:r>
      <w:r>
        <w:rPr>
          <w:rFonts w:ascii="宋体" w:hAnsi="宋体" w:cs="Calibri"/>
          <w:b/>
          <w:bCs/>
          <w:color w:val="auto"/>
          <w:kern w:val="0"/>
          <w:sz w:val="22"/>
        </w:rPr>
        <w:t>处理，</w:t>
      </w:r>
      <w:r>
        <w:rPr>
          <w:rFonts w:ascii="宋体" w:hAnsi="宋体" w:cs="Calibri"/>
          <w:bCs/>
          <w:color w:val="auto"/>
          <w:kern w:val="0"/>
          <w:sz w:val="22"/>
        </w:rPr>
        <w:t>不再进行详细评审：</w:t>
      </w:r>
    </w:p>
    <w:p>
      <w:pPr>
        <w:spacing w:line="360" w:lineRule="exact"/>
        <w:ind w:firstLine="471" w:firstLineChars="214"/>
        <w:rPr>
          <w:rFonts w:ascii="宋体" w:hAnsi="宋体" w:cs="Calibri"/>
          <w:color w:val="auto"/>
          <w:sz w:val="22"/>
        </w:rPr>
      </w:pPr>
      <w:r>
        <w:rPr>
          <w:rFonts w:ascii="宋体" w:hAnsi="宋体" w:cs="Calibri"/>
          <w:color w:val="auto"/>
          <w:sz w:val="22"/>
        </w:rPr>
        <w:t>1、</w:t>
      </w:r>
      <w:r>
        <w:rPr>
          <w:rFonts w:ascii="宋体" w:hAnsi="宋体" w:cs="Calibri"/>
          <w:bCs/>
          <w:color w:val="auto"/>
          <w:kern w:val="0"/>
          <w:sz w:val="22"/>
        </w:rPr>
        <w:t>投标人的投标资格不满足国家有关规定或招标文件载明的投标资格条件的；</w:t>
      </w:r>
    </w:p>
    <w:p>
      <w:pPr>
        <w:spacing w:line="360" w:lineRule="exact"/>
        <w:ind w:firstLine="471" w:firstLineChars="214"/>
        <w:rPr>
          <w:rFonts w:ascii="宋体" w:hAnsi="宋体" w:cs="Calibri"/>
          <w:color w:val="auto"/>
          <w:sz w:val="22"/>
        </w:rPr>
      </w:pPr>
      <w:r>
        <w:rPr>
          <w:rFonts w:ascii="宋体" w:hAnsi="宋体" w:cs="Calibri"/>
          <w:color w:val="auto"/>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color w:val="auto"/>
          <w:sz w:val="22"/>
        </w:rPr>
      </w:pPr>
      <w:r>
        <w:rPr>
          <w:rFonts w:ascii="宋体" w:hAnsi="宋体" w:cs="Calibri"/>
          <w:color w:val="auto"/>
          <w:sz w:val="22"/>
        </w:rPr>
        <w:t>3、投标文件未按规定的格式填写，内容不全或关键字迹模糊、无法辨认的；</w:t>
      </w:r>
    </w:p>
    <w:p>
      <w:pPr>
        <w:spacing w:line="360" w:lineRule="exact"/>
        <w:ind w:firstLine="471" w:firstLineChars="214"/>
        <w:rPr>
          <w:rFonts w:ascii="宋体" w:hAnsi="宋体" w:cs="Calibri"/>
          <w:color w:val="auto"/>
          <w:sz w:val="22"/>
        </w:rPr>
      </w:pPr>
      <w:r>
        <w:rPr>
          <w:rFonts w:ascii="宋体" w:hAnsi="宋体" w:cs="Calibri"/>
          <w:color w:val="auto"/>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color w:val="auto"/>
          <w:sz w:val="22"/>
        </w:rPr>
      </w:pPr>
      <w:r>
        <w:rPr>
          <w:rFonts w:ascii="宋体" w:hAnsi="宋体" w:cs="Calibri"/>
          <w:color w:val="auto"/>
          <w:sz w:val="22"/>
        </w:rPr>
        <w:t>5、</w:t>
      </w:r>
      <w:r>
        <w:rPr>
          <w:rFonts w:hint="eastAsia" w:ascii="宋体" w:hAnsi="宋体" w:cs="Calibri"/>
          <w:color w:val="auto"/>
          <w:sz w:val="22"/>
        </w:rPr>
        <w:t>服务</w:t>
      </w:r>
      <w:r>
        <w:rPr>
          <w:rFonts w:ascii="宋体" w:hAnsi="宋体" w:cs="Calibri"/>
          <w:color w:val="auto"/>
          <w:sz w:val="22"/>
        </w:rPr>
        <w:t>期不满足招标文件要求的；</w:t>
      </w:r>
    </w:p>
    <w:p>
      <w:pPr>
        <w:spacing w:line="360" w:lineRule="exact"/>
        <w:ind w:firstLine="471" w:firstLineChars="214"/>
        <w:rPr>
          <w:rFonts w:ascii="宋体" w:hAnsi="宋体" w:cs="Calibri"/>
          <w:color w:val="auto"/>
          <w:sz w:val="22"/>
        </w:rPr>
      </w:pPr>
      <w:r>
        <w:rPr>
          <w:rFonts w:ascii="宋体" w:hAnsi="宋体" w:cs="Calibri"/>
          <w:color w:val="auto"/>
          <w:sz w:val="22"/>
        </w:rPr>
        <w:t>6、不</w:t>
      </w:r>
      <w:r>
        <w:rPr>
          <w:rFonts w:ascii="宋体" w:hAnsi="宋体" w:cs="Calibri"/>
          <w:color w:val="auto"/>
          <w:kern w:val="0"/>
          <w:sz w:val="22"/>
        </w:rPr>
        <w:t>响应招标文件规定的实质性要求（包括具体条文前用“★”标示的）</w:t>
      </w:r>
    </w:p>
    <w:p>
      <w:pPr>
        <w:spacing w:line="360" w:lineRule="exact"/>
        <w:ind w:firstLine="471" w:firstLineChars="214"/>
        <w:rPr>
          <w:rFonts w:ascii="宋体" w:hAnsi="宋体" w:cs="Calibri"/>
          <w:color w:val="auto"/>
          <w:sz w:val="22"/>
        </w:rPr>
      </w:pPr>
      <w:r>
        <w:rPr>
          <w:rFonts w:ascii="宋体" w:hAnsi="宋体" w:cs="Calibri"/>
          <w:color w:val="auto"/>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color w:val="auto"/>
          <w:sz w:val="22"/>
        </w:rPr>
      </w:pPr>
      <w:r>
        <w:rPr>
          <w:rFonts w:ascii="宋体" w:hAnsi="宋体" w:cs="Calibri"/>
          <w:color w:val="auto"/>
          <w:sz w:val="22"/>
        </w:rPr>
        <w:t>8、投标人以他人名义投标、或与他人串通投标、或以行贿手段谋取中标，或弄虚作假的；</w:t>
      </w:r>
    </w:p>
    <w:p>
      <w:pPr>
        <w:spacing w:line="360" w:lineRule="exact"/>
        <w:ind w:firstLine="471" w:firstLineChars="214"/>
        <w:rPr>
          <w:rFonts w:ascii="宋体" w:hAnsi="宋体" w:cs="Calibri"/>
          <w:color w:val="auto"/>
          <w:sz w:val="22"/>
        </w:rPr>
      </w:pPr>
      <w:r>
        <w:rPr>
          <w:rFonts w:hint="eastAsia" w:ascii="宋体" w:hAnsi="宋体" w:cs="Calibri"/>
          <w:color w:val="auto"/>
          <w:sz w:val="22"/>
        </w:rPr>
        <w:t>9</w:t>
      </w:r>
      <w:r>
        <w:rPr>
          <w:rFonts w:ascii="宋体" w:hAnsi="宋体" w:cs="Calibri"/>
          <w:color w:val="auto"/>
          <w:sz w:val="22"/>
        </w:rPr>
        <w:t>、存在法律、法规、规章规定的其它无效投标情况的</w:t>
      </w:r>
      <w:r>
        <w:rPr>
          <w:rFonts w:hint="eastAsia" w:ascii="宋体" w:hAnsi="宋体" w:cs="Calibri"/>
          <w:color w:val="auto"/>
          <w:sz w:val="22"/>
        </w:rPr>
        <w:t>。</w:t>
      </w:r>
    </w:p>
    <w:p>
      <w:pPr>
        <w:widowControl/>
        <w:tabs>
          <w:tab w:val="left" w:pos="709"/>
        </w:tabs>
        <w:snapToGrid w:val="0"/>
        <w:spacing w:line="360" w:lineRule="exact"/>
        <w:ind w:firstLine="446" w:firstLineChars="202"/>
        <w:rPr>
          <w:rFonts w:ascii="宋体" w:hAnsi="宋体" w:cs="Calibri"/>
          <w:b/>
          <w:color w:val="auto"/>
          <w:sz w:val="22"/>
        </w:rPr>
      </w:pPr>
      <w:r>
        <w:rPr>
          <w:rFonts w:ascii="宋体" w:hAnsi="宋体" w:cs="Calibri"/>
          <w:b/>
          <w:color w:val="auto"/>
          <w:sz w:val="22"/>
        </w:rPr>
        <w:t>3.1.2 报价算术性修正</w:t>
      </w:r>
    </w:p>
    <w:p>
      <w:pPr>
        <w:pStyle w:val="21"/>
        <w:spacing w:line="360" w:lineRule="exact"/>
        <w:ind w:firstLine="440" w:firstLineChars="200"/>
        <w:rPr>
          <w:rFonts w:hAnsi="宋体" w:cs="Calibri"/>
          <w:color w:val="auto"/>
          <w:sz w:val="22"/>
          <w:szCs w:val="22"/>
        </w:rPr>
      </w:pPr>
      <w:r>
        <w:rPr>
          <w:rFonts w:hAnsi="宋体" w:cs="Calibri"/>
          <w:color w:val="auto"/>
          <w:sz w:val="22"/>
          <w:szCs w:val="22"/>
        </w:rPr>
        <w:t>评标委员会按以下原则对通过符合性审查的投标文件报价进行算术性修正：</w:t>
      </w:r>
    </w:p>
    <w:p>
      <w:pPr>
        <w:pStyle w:val="21"/>
        <w:numPr>
          <w:ilvl w:val="0"/>
          <w:numId w:val="6"/>
        </w:numPr>
        <w:adjustRightInd w:val="0"/>
        <w:spacing w:line="360" w:lineRule="exact"/>
        <w:ind w:left="0" w:firstLine="440" w:firstLineChars="200"/>
        <w:rPr>
          <w:rFonts w:hAnsi="宋体" w:cs="Calibri"/>
          <w:color w:val="auto"/>
          <w:sz w:val="22"/>
          <w:szCs w:val="22"/>
        </w:rPr>
      </w:pPr>
      <w:r>
        <w:rPr>
          <w:rFonts w:hAnsi="宋体" w:cs="Calibri"/>
          <w:color w:val="auto"/>
          <w:sz w:val="22"/>
          <w:szCs w:val="22"/>
        </w:rPr>
        <w:t>投标文件中的大写金额与小写金额不一致的，以大写金额为准；</w:t>
      </w:r>
    </w:p>
    <w:p>
      <w:pPr>
        <w:pStyle w:val="21"/>
        <w:numPr>
          <w:ilvl w:val="0"/>
          <w:numId w:val="6"/>
        </w:numPr>
        <w:adjustRightInd w:val="0"/>
        <w:spacing w:line="360" w:lineRule="exact"/>
        <w:ind w:left="0" w:firstLine="440" w:firstLineChars="200"/>
        <w:rPr>
          <w:rFonts w:hAnsi="宋体" w:cs="Calibri"/>
          <w:color w:val="auto"/>
          <w:sz w:val="22"/>
          <w:szCs w:val="22"/>
        </w:rPr>
      </w:pPr>
      <w:r>
        <w:rPr>
          <w:rFonts w:hAnsi="宋体" w:cs="Calibri"/>
          <w:color w:val="auto"/>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auto"/>
          <w:sz w:val="22"/>
          <w:szCs w:val="22"/>
        </w:rPr>
      </w:pPr>
      <w:r>
        <w:rPr>
          <w:rFonts w:hAnsi="宋体" w:cs="Calibri"/>
          <w:color w:val="auto"/>
          <w:sz w:val="22"/>
          <w:szCs w:val="22"/>
        </w:rPr>
        <w:t>★修正的价格经投标人书面确认后具有约束力。投标人不接受修正价格的，或修正后的最终投标价与原报价相比偏差在0.5%（不含）以上的，其投标作</w:t>
      </w:r>
      <w:r>
        <w:rPr>
          <w:rFonts w:hAnsi="宋体" w:cs="Calibri"/>
          <w:b/>
          <w:color w:val="auto"/>
          <w:sz w:val="22"/>
          <w:szCs w:val="22"/>
        </w:rPr>
        <w:t>废标处理</w:t>
      </w:r>
      <w:r>
        <w:rPr>
          <w:rFonts w:hAnsi="宋体" w:cs="Calibri"/>
          <w:color w:val="auto"/>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color w:val="auto"/>
          <w:sz w:val="22"/>
          <w:szCs w:val="22"/>
        </w:rPr>
      </w:pPr>
      <w:r>
        <w:rPr>
          <w:rFonts w:hAnsi="宋体" w:cs="Calibri"/>
          <w:color w:val="auto"/>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auto"/>
          <w:sz w:val="22"/>
          <w:szCs w:val="22"/>
        </w:rPr>
      </w:pPr>
      <w:r>
        <w:rPr>
          <w:rFonts w:hAnsi="宋体" w:cs="Calibri"/>
          <w:b/>
          <w:color w:val="auto"/>
          <w:sz w:val="22"/>
          <w:szCs w:val="22"/>
        </w:rPr>
        <w:t>3.2 投标文件的澄清和补正</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auto"/>
          <w:sz w:val="22"/>
        </w:rPr>
      </w:pPr>
      <w:r>
        <w:rPr>
          <w:rFonts w:ascii="宋体" w:hAnsi="宋体" w:cs="Calibri"/>
          <w:b/>
          <w:color w:val="auto"/>
          <w:sz w:val="22"/>
        </w:rPr>
        <w:t>3.3</w:t>
      </w:r>
      <w:r>
        <w:rPr>
          <w:rFonts w:hint="eastAsia" w:ascii="宋体" w:hAnsi="宋体"/>
          <w:b/>
          <w:color w:val="auto"/>
          <w:sz w:val="22"/>
        </w:rPr>
        <w:t>评标细则</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auto"/>
          <w:sz w:val="22"/>
          <w:szCs w:val="22"/>
        </w:rPr>
      </w:pPr>
      <w:r>
        <w:rPr>
          <w:rFonts w:hint="eastAsia" w:hAnsi="宋体"/>
          <w:b/>
          <w:color w:val="auto"/>
          <w:sz w:val="22"/>
          <w:szCs w:val="22"/>
        </w:rPr>
        <w:t>每个投标人最终得分=商务报价分+资信及技术分</w:t>
      </w:r>
    </w:p>
    <w:p>
      <w:pPr>
        <w:pStyle w:val="21"/>
        <w:adjustRightInd w:val="0"/>
        <w:snapToGrid w:val="0"/>
        <w:spacing w:line="360" w:lineRule="exact"/>
        <w:ind w:firstLine="440" w:firstLineChars="200"/>
        <w:rPr>
          <w:rFonts w:hAnsi="宋体" w:cs="Arial"/>
          <w:b/>
          <w:color w:val="auto"/>
          <w:sz w:val="22"/>
          <w:szCs w:val="22"/>
        </w:rPr>
      </w:pPr>
      <w:r>
        <w:rPr>
          <w:rFonts w:hint="eastAsia" w:hAnsi="宋体" w:cs="Calibri"/>
          <w:color w:val="auto"/>
          <w:sz w:val="22"/>
          <w:szCs w:val="22"/>
        </w:rPr>
        <w:t>3.3.1商务报价分70分</w:t>
      </w:r>
    </w:p>
    <w:p>
      <w:pPr>
        <w:pStyle w:val="21"/>
        <w:adjustRightInd w:val="0"/>
        <w:snapToGrid w:val="0"/>
        <w:spacing w:line="360" w:lineRule="exact"/>
        <w:ind w:firstLine="440" w:firstLineChars="200"/>
        <w:rPr>
          <w:rFonts w:hAnsi="宋体" w:cs="Calibri"/>
          <w:color w:val="auto"/>
          <w:sz w:val="22"/>
          <w:szCs w:val="22"/>
        </w:rPr>
      </w:pPr>
      <w:r>
        <w:rPr>
          <w:rFonts w:hint="eastAsia" w:hAnsi="宋体"/>
          <w:color w:val="auto"/>
          <w:sz w:val="22"/>
          <w:szCs w:val="22"/>
        </w:rPr>
        <w:t>报价评分应在投标报价响应招标文件要求的基础上，取所有有效投标报价的次低价作为评标基准价。</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投标人的投标价等于评标基准价的得70分，每高于评标基准价</w:t>
      </w:r>
      <w:r>
        <w:rPr>
          <w:rFonts w:hAnsi="宋体" w:cs="Calibri"/>
          <w:color w:val="auto"/>
          <w:sz w:val="22"/>
          <w:szCs w:val="22"/>
        </w:rPr>
        <w:t>1%</w:t>
      </w:r>
      <w:r>
        <w:rPr>
          <w:rFonts w:hint="eastAsia" w:hAnsi="宋体" w:cs="Calibri"/>
          <w:color w:val="auto"/>
          <w:sz w:val="22"/>
          <w:szCs w:val="22"/>
        </w:rPr>
        <w:t>的扣</w:t>
      </w:r>
      <w:r>
        <w:rPr>
          <w:rFonts w:hAnsi="宋体" w:cs="Calibri"/>
          <w:color w:val="auto"/>
          <w:sz w:val="22"/>
          <w:szCs w:val="22"/>
        </w:rPr>
        <w:t>1</w:t>
      </w:r>
      <w:r>
        <w:rPr>
          <w:rFonts w:hint="eastAsia" w:hAnsi="宋体" w:cs="Calibri"/>
          <w:color w:val="auto"/>
          <w:sz w:val="22"/>
          <w:szCs w:val="22"/>
        </w:rPr>
        <w:t>分，每低于评标基准价</w:t>
      </w:r>
      <w:r>
        <w:rPr>
          <w:rFonts w:hAnsi="宋体" w:cs="Calibri"/>
          <w:color w:val="auto"/>
          <w:sz w:val="22"/>
          <w:szCs w:val="22"/>
        </w:rPr>
        <w:t>1%</w:t>
      </w:r>
      <w:r>
        <w:rPr>
          <w:rFonts w:hint="eastAsia" w:hAnsi="宋体" w:cs="Calibri"/>
          <w:color w:val="auto"/>
          <w:sz w:val="22"/>
          <w:szCs w:val="22"/>
        </w:rPr>
        <w:t>的扣</w:t>
      </w:r>
      <w:r>
        <w:rPr>
          <w:rFonts w:hAnsi="宋体" w:cs="Calibri"/>
          <w:color w:val="auto"/>
          <w:sz w:val="22"/>
          <w:szCs w:val="22"/>
        </w:rPr>
        <w:t>0.5</w:t>
      </w:r>
      <w:r>
        <w:rPr>
          <w:rFonts w:hint="eastAsia" w:hAnsi="宋体" w:cs="Calibri"/>
          <w:color w:val="auto"/>
          <w:sz w:val="22"/>
          <w:szCs w:val="22"/>
        </w:rPr>
        <w:t>分（不足</w:t>
      </w:r>
      <w:r>
        <w:rPr>
          <w:rFonts w:hAnsi="宋体" w:cs="Calibri"/>
          <w:color w:val="auto"/>
          <w:sz w:val="22"/>
          <w:szCs w:val="22"/>
        </w:rPr>
        <w:t>1</w:t>
      </w:r>
      <w:r>
        <w:rPr>
          <w:rFonts w:hint="eastAsia" w:hAnsi="宋体" w:cs="Calibri"/>
          <w:color w:val="auto"/>
          <w:sz w:val="22"/>
          <w:szCs w:val="22"/>
        </w:rPr>
        <w:t>个百分点按插值法计算，小数点后保留二位，四舍五入，商务分最低得分为</w:t>
      </w:r>
      <w:r>
        <w:rPr>
          <w:rFonts w:hAnsi="宋体" w:cs="Calibri"/>
          <w:color w:val="auto"/>
          <w:sz w:val="22"/>
          <w:szCs w:val="22"/>
        </w:rPr>
        <w:t>30</w:t>
      </w:r>
      <w:r>
        <w:rPr>
          <w:rFonts w:hint="eastAsia" w:hAnsi="宋体" w:cs="Calibri"/>
          <w:color w:val="auto"/>
          <w:sz w:val="22"/>
          <w:szCs w:val="22"/>
        </w:rPr>
        <w:t>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此项由评标委员会集体核实后统一打分。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2、资信及技术评分   0-30分</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该评分分值由评标委员会成员独立打分（具体分值设定详见下表），小数点后保留</w:t>
      </w:r>
      <w:r>
        <w:rPr>
          <w:rFonts w:hAnsi="宋体" w:cs="Calibri"/>
          <w:color w:val="auto"/>
          <w:sz w:val="22"/>
          <w:szCs w:val="22"/>
        </w:rPr>
        <w:t>1</w:t>
      </w:r>
      <w:r>
        <w:rPr>
          <w:rFonts w:hint="eastAsia" w:hAnsi="宋体" w:cs="Calibri"/>
          <w:color w:val="auto"/>
          <w:sz w:val="22"/>
          <w:szCs w:val="22"/>
        </w:rPr>
        <w:t>位小数。每个投标人的最终资信及技术得分为评标委员会打分的算术平均值（小数点后保留</w:t>
      </w:r>
      <w:r>
        <w:rPr>
          <w:rFonts w:hAnsi="宋体" w:cs="Calibri"/>
          <w:color w:val="auto"/>
          <w:sz w:val="22"/>
          <w:szCs w:val="22"/>
        </w:rPr>
        <w:t>2</w:t>
      </w:r>
      <w:r>
        <w:rPr>
          <w:rFonts w:hint="eastAsia" w:hAnsi="宋体" w:cs="Calibri"/>
          <w:color w:val="auto"/>
          <w:sz w:val="22"/>
          <w:szCs w:val="22"/>
        </w:rPr>
        <w:t>位，第三位四舍五入）。</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资信及技术评分分值设定标准</w:t>
      </w:r>
    </w:p>
    <w:tbl>
      <w:tblPr>
        <w:tblStyle w:val="53"/>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top"/>
          </w:tcPr>
          <w:p>
            <w:pPr>
              <w:pStyle w:val="21"/>
              <w:adjustRightInd w:val="0"/>
              <w:snapToGrid w:val="0"/>
              <w:spacing w:line="360" w:lineRule="exact"/>
              <w:jc w:val="center"/>
              <w:rPr>
                <w:rFonts w:hAnsi="宋体" w:cs="Courier New"/>
                <w:color w:val="auto"/>
                <w:kern w:val="2"/>
                <w:sz w:val="21"/>
              </w:rPr>
            </w:pPr>
            <w:r>
              <w:rPr>
                <w:rFonts w:hAnsi="宋体" w:cs="Courier New"/>
                <w:color w:val="auto"/>
                <w:kern w:val="2"/>
                <w:sz w:val="21"/>
              </w:rPr>
              <w:t>评定项目</w:t>
            </w:r>
          </w:p>
        </w:tc>
        <w:tc>
          <w:tcPr>
            <w:tcW w:w="1418" w:type="dxa"/>
            <w:vAlign w:val="top"/>
          </w:tcPr>
          <w:p>
            <w:pPr>
              <w:pStyle w:val="21"/>
              <w:adjustRightInd w:val="0"/>
              <w:snapToGrid w:val="0"/>
              <w:spacing w:line="360" w:lineRule="exact"/>
              <w:jc w:val="center"/>
              <w:rPr>
                <w:rFonts w:hAnsi="宋体" w:cs="Courier New"/>
                <w:color w:val="auto"/>
                <w:kern w:val="2"/>
                <w:sz w:val="21"/>
              </w:rPr>
            </w:pPr>
            <w:r>
              <w:rPr>
                <w:rFonts w:hAnsi="宋体" w:cs="Courier New"/>
                <w:color w:val="auto"/>
                <w:kern w:val="2"/>
                <w:sz w:val="21"/>
              </w:rPr>
              <w:t>分值范围</w:t>
            </w:r>
          </w:p>
        </w:tc>
        <w:tc>
          <w:tcPr>
            <w:tcW w:w="2820" w:type="dxa"/>
            <w:vAlign w:val="top"/>
          </w:tcPr>
          <w:p>
            <w:pPr>
              <w:pStyle w:val="21"/>
              <w:adjustRightInd w:val="0"/>
              <w:snapToGrid w:val="0"/>
              <w:spacing w:line="360" w:lineRule="exact"/>
              <w:jc w:val="center"/>
              <w:rPr>
                <w:rFonts w:hAnsi="宋体" w:cs="Courier New"/>
                <w:color w:val="auto"/>
                <w:kern w:val="2"/>
                <w:sz w:val="21"/>
              </w:rPr>
            </w:pPr>
            <w:r>
              <w:rPr>
                <w:rFonts w:hint="eastAsia" w:hAnsi="宋体" w:cs="Courier New"/>
                <w:color w:val="auto"/>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auto"/>
                <w:szCs w:val="21"/>
              </w:rPr>
            </w:pPr>
            <w:r>
              <w:rPr>
                <w:rFonts w:hint="eastAsia" w:ascii="宋体" w:hAnsi="宋体" w:cs="宋体"/>
                <w:color w:val="auto"/>
                <w:kern w:val="0"/>
                <w:szCs w:val="21"/>
              </w:rPr>
              <w:t>投标人企业规模、授权要求</w:t>
            </w:r>
          </w:p>
        </w:tc>
        <w:tc>
          <w:tcPr>
            <w:tcW w:w="1418" w:type="dxa"/>
            <w:vAlign w:val="center"/>
          </w:tcPr>
          <w:p>
            <w:pPr>
              <w:widowControl/>
              <w:snapToGrid w:val="0"/>
              <w:spacing w:line="360" w:lineRule="exact"/>
              <w:jc w:val="center"/>
              <w:rPr>
                <w:rFonts w:ascii="宋体" w:hAnsi="宋体"/>
                <w:color w:val="auto"/>
                <w:szCs w:val="21"/>
              </w:rPr>
            </w:pPr>
            <w:r>
              <w:rPr>
                <w:rFonts w:hint="eastAsia" w:ascii="宋体" w:hAnsi="宋体" w:cs="宋体"/>
                <w:color w:val="auto"/>
                <w:kern w:val="0"/>
                <w:szCs w:val="21"/>
              </w:rPr>
              <w:t>0-4</w:t>
            </w:r>
          </w:p>
        </w:tc>
        <w:tc>
          <w:tcPr>
            <w:tcW w:w="2820" w:type="dxa"/>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企业注册资金50万到100万不得分，100万（含）到200万（含）人民币得1分， 200万以上得2分，企业是原厂或有原厂（威乐）授权委托书得2分，不是原厂（威乐）授权委托书得0分。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宋体" w:hAnsi="宋体"/>
                <w:color w:val="auto"/>
                <w:szCs w:val="21"/>
              </w:rPr>
            </w:pPr>
            <w:r>
              <w:rPr>
                <w:rFonts w:hint="eastAsia" w:ascii="宋体" w:hAnsi="宋体" w:cs="Calibri"/>
                <w:color w:val="auto"/>
                <w:szCs w:val="21"/>
              </w:rPr>
              <w:t>201</w:t>
            </w:r>
            <w:r>
              <w:rPr>
                <w:rFonts w:hint="eastAsia" w:ascii="宋体" w:hAnsi="宋体" w:eastAsia="宋体" w:cs="Calibri"/>
                <w:color w:val="auto"/>
                <w:szCs w:val="21"/>
              </w:rPr>
              <w:t>6</w:t>
            </w:r>
            <w:r>
              <w:rPr>
                <w:rFonts w:hint="eastAsia" w:ascii="宋体" w:hAnsi="宋体" w:cs="Calibri"/>
                <w:color w:val="auto"/>
                <w:szCs w:val="21"/>
              </w:rPr>
              <w:t>年1月1日至投标截止日有</w:t>
            </w:r>
            <w:r>
              <w:rPr>
                <w:rFonts w:hint="eastAsia" w:ascii="宋体" w:hAnsi="宋体" w:cs="宋体"/>
                <w:color w:val="auto"/>
                <w:kern w:val="0"/>
                <w:szCs w:val="21"/>
              </w:rPr>
              <w:t>水泵维保项目业绩，一个业绩不得分，每增加一个业绩加2分，最多得6分（</w:t>
            </w:r>
            <w:r>
              <w:rPr>
                <w:rFonts w:hint="eastAsia" w:ascii="宋体" w:hAnsi="宋体" w:cs="Arial"/>
                <w:color w:val="auto"/>
                <w:kern w:val="0"/>
                <w:sz w:val="22"/>
              </w:rPr>
              <w:t>须提供合同复印件并加盖公章作为证明材料，否则不予认可，原件备查</w:t>
            </w:r>
            <w:r>
              <w:rPr>
                <w:rFonts w:hint="eastAsia" w:ascii="宋体" w:hAnsi="宋体" w:cs="宋体"/>
                <w:color w:val="auto"/>
                <w:kern w:val="0"/>
                <w:szCs w:val="21"/>
              </w:rPr>
              <w:t>）</w:t>
            </w:r>
          </w:p>
        </w:tc>
        <w:tc>
          <w:tcPr>
            <w:tcW w:w="1418" w:type="dxa"/>
            <w:vAlign w:val="center"/>
          </w:tcPr>
          <w:p>
            <w:pPr>
              <w:widowControl/>
              <w:snapToGrid w:val="0"/>
              <w:spacing w:line="360" w:lineRule="exact"/>
              <w:jc w:val="center"/>
              <w:rPr>
                <w:rFonts w:ascii="宋体" w:hAnsi="宋体"/>
                <w:color w:val="auto"/>
                <w:szCs w:val="21"/>
              </w:rPr>
            </w:pPr>
            <w:r>
              <w:rPr>
                <w:rFonts w:hint="eastAsia" w:ascii="宋体" w:hAnsi="宋体" w:cs="宋体"/>
                <w:color w:val="auto"/>
                <w:kern w:val="0"/>
                <w:szCs w:val="21"/>
              </w:rPr>
              <w:t>0-6</w:t>
            </w:r>
          </w:p>
        </w:tc>
        <w:tc>
          <w:tcPr>
            <w:tcW w:w="2820" w:type="dxa"/>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拟派项目负责人和</w:t>
            </w:r>
            <w:r>
              <w:rPr>
                <w:rFonts w:ascii="等线" w:hAnsi="等线" w:cs="Calibri"/>
                <w:color w:val="auto"/>
                <w:sz w:val="22"/>
              </w:rPr>
              <w:t>主要参与</w:t>
            </w:r>
            <w:r>
              <w:rPr>
                <w:rFonts w:hint="eastAsia" w:ascii="等线" w:hAnsi="等线" w:cs="Calibri"/>
                <w:color w:val="auto"/>
                <w:sz w:val="22"/>
              </w:rPr>
              <w:t>服务</w:t>
            </w:r>
            <w:r>
              <w:rPr>
                <w:rFonts w:ascii="等线" w:hAnsi="等线" w:cs="Calibri"/>
                <w:color w:val="auto"/>
                <w:sz w:val="22"/>
              </w:rPr>
              <w:t>人员</w:t>
            </w:r>
            <w:r>
              <w:rPr>
                <w:rFonts w:hint="eastAsia" w:ascii="宋体" w:hAnsi="宋体" w:cs="宋体"/>
                <w:color w:val="auto"/>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ascii="宋体" w:hAnsi="宋体" w:cs="Calibri"/>
                <w:color w:val="auto"/>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hAnsi="仿宋_GB2312" w:cs="仿宋_GB2312"/>
                <w:color w:val="auto"/>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宋体"/>
                <w:color w:val="auto"/>
                <w:kern w:val="0"/>
                <w:szCs w:val="21"/>
              </w:rPr>
              <w:t>提供的</w:t>
            </w:r>
            <w:r>
              <w:rPr>
                <w:rFonts w:hint="eastAsia" w:ascii="宋体" w:hAnsi="宋体" w:cs="Calibri"/>
                <w:color w:val="auto"/>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kern w:val="0"/>
                <w:szCs w:val="21"/>
              </w:rPr>
            </w:pPr>
            <w:r>
              <w:rPr>
                <w:rFonts w:hint="eastAsia" w:ascii="宋体" w:hAnsi="宋体" w:cs="宋体"/>
                <w:color w:val="auto"/>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auto"/>
                <w:kern w:val="0"/>
                <w:szCs w:val="21"/>
              </w:rPr>
            </w:pPr>
            <w:r>
              <w:rPr>
                <w:rFonts w:hint="eastAsia" w:ascii="宋体" w:hAnsi="宋体" w:cs="Calibri"/>
                <w:color w:val="auto"/>
                <w:kern w:val="0"/>
                <w:sz w:val="22"/>
                <w:lang w:val="zh-CN"/>
              </w:rPr>
              <w:t>符合要求的耗材配件清单报价，进行横向比较，综合评分。</w:t>
            </w:r>
          </w:p>
        </w:tc>
      </w:tr>
    </w:tbl>
    <w:p>
      <w:pPr>
        <w:pStyle w:val="21"/>
        <w:spacing w:line="360" w:lineRule="exact"/>
        <w:rPr>
          <w:rFonts w:hAnsi="宋体" w:cs="Calibri"/>
          <w:b/>
          <w:color w:val="auto"/>
          <w:sz w:val="22"/>
          <w:szCs w:val="22"/>
        </w:rPr>
      </w:pPr>
      <w:r>
        <w:rPr>
          <w:rFonts w:hAnsi="宋体" w:cs="Calibri"/>
          <w:b/>
          <w:color w:val="auto"/>
          <w:sz w:val="22"/>
          <w:szCs w:val="22"/>
        </w:rPr>
        <w:t>3.4推荐中标候选人</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3.3.1当有效投标文件大于等于二名时，评标委员会</w:t>
      </w:r>
      <w:r>
        <w:rPr>
          <w:rFonts w:hint="eastAsia" w:hAnsi="宋体" w:cs="Calibri"/>
          <w:color w:val="auto"/>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3.3.3当有效投标文件只有一名时，则由评标委员会确定是否推荐为中标候选人。</w:t>
      </w:r>
    </w:p>
    <w:p>
      <w:pPr>
        <w:pStyle w:val="21"/>
        <w:spacing w:line="360" w:lineRule="exact"/>
        <w:rPr>
          <w:rFonts w:hAnsi="宋体" w:cs="Calibri"/>
          <w:b/>
          <w:color w:val="auto"/>
          <w:sz w:val="22"/>
          <w:szCs w:val="22"/>
        </w:rPr>
      </w:pPr>
      <w:r>
        <w:rPr>
          <w:rFonts w:hAnsi="宋体" w:cs="Calibri"/>
          <w:b/>
          <w:color w:val="auto"/>
          <w:sz w:val="22"/>
          <w:szCs w:val="22"/>
        </w:rPr>
        <w:t>3.</w:t>
      </w:r>
      <w:r>
        <w:rPr>
          <w:rFonts w:hint="eastAsia" w:hAnsi="宋体" w:cs="Calibri"/>
          <w:b/>
          <w:color w:val="auto"/>
          <w:sz w:val="22"/>
          <w:szCs w:val="22"/>
        </w:rPr>
        <w:t>5</w:t>
      </w:r>
      <w:r>
        <w:rPr>
          <w:rFonts w:hAnsi="宋体" w:cs="Calibri"/>
          <w:b/>
          <w:color w:val="auto"/>
          <w:sz w:val="22"/>
          <w:szCs w:val="22"/>
        </w:rPr>
        <w:t>评标报告</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auto"/>
          <w:sz w:val="22"/>
          <w:szCs w:val="22"/>
        </w:rPr>
      </w:pPr>
      <w:r>
        <w:rPr>
          <w:rFonts w:hAnsi="宋体" w:cs="Calibri"/>
          <w:b/>
          <w:color w:val="auto"/>
          <w:sz w:val="22"/>
          <w:szCs w:val="22"/>
        </w:rPr>
        <w:t>四、</w:t>
      </w:r>
      <w:r>
        <w:rPr>
          <w:rFonts w:hint="eastAsia" w:hAnsi="宋体" w:cs="Calibri"/>
          <w:b/>
          <w:color w:val="auto"/>
          <w:sz w:val="22"/>
          <w:szCs w:val="22"/>
        </w:rPr>
        <w:t>定</w:t>
      </w:r>
      <w:r>
        <w:rPr>
          <w:rFonts w:hAnsi="宋体" w:cs="Calibri"/>
          <w:b/>
          <w:color w:val="auto"/>
          <w:sz w:val="22"/>
          <w:szCs w:val="22"/>
        </w:rPr>
        <w:t>标</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4.</w:t>
      </w:r>
      <w:r>
        <w:rPr>
          <w:rFonts w:hint="eastAsia" w:hAnsi="宋体" w:cs="Calibri"/>
          <w:color w:val="auto"/>
          <w:sz w:val="22"/>
          <w:szCs w:val="22"/>
        </w:rPr>
        <w:t>1</w:t>
      </w:r>
      <w:r>
        <w:rPr>
          <w:rFonts w:hAnsi="宋体" w:cs="Calibri"/>
          <w:color w:val="auto"/>
          <w:sz w:val="22"/>
          <w:szCs w:val="22"/>
        </w:rPr>
        <w:t>招标人将确定评标委员会推荐的</w:t>
      </w:r>
      <w:r>
        <w:rPr>
          <w:rFonts w:hint="eastAsia" w:hAnsi="宋体" w:cs="Calibri"/>
          <w:color w:val="auto"/>
          <w:sz w:val="22"/>
          <w:szCs w:val="22"/>
        </w:rPr>
        <w:t>第一</w:t>
      </w:r>
      <w:r>
        <w:rPr>
          <w:rFonts w:hAnsi="宋体" w:cs="Calibri"/>
          <w:color w:val="auto"/>
          <w:sz w:val="22"/>
          <w:szCs w:val="22"/>
        </w:rPr>
        <w:t>中标候选人为中标人。</w:t>
      </w:r>
      <w:r>
        <w:rPr>
          <w:rFonts w:hint="eastAsia" w:hAnsi="宋体" w:cs="Calibri"/>
          <w:color w:val="auto"/>
          <w:sz w:val="22"/>
          <w:szCs w:val="22"/>
        </w:rPr>
        <w:t>第一</w:t>
      </w:r>
      <w:r>
        <w:rPr>
          <w:rFonts w:hAnsi="宋体" w:cs="Calibri"/>
          <w:color w:val="auto"/>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auto"/>
          <w:sz w:val="22"/>
          <w:szCs w:val="22"/>
        </w:rPr>
        <w:t>或</w:t>
      </w:r>
      <w:r>
        <w:rPr>
          <w:rFonts w:hAnsi="宋体" w:cs="Calibri"/>
          <w:color w:val="auto"/>
          <w:sz w:val="22"/>
          <w:szCs w:val="22"/>
        </w:rPr>
        <w:t>重新招标。</w:t>
      </w:r>
    </w:p>
    <w:p>
      <w:pPr>
        <w:pStyle w:val="21"/>
        <w:adjustRightInd w:val="0"/>
        <w:snapToGrid w:val="0"/>
        <w:spacing w:line="360" w:lineRule="exact"/>
        <w:ind w:firstLine="440" w:firstLineChars="200"/>
        <w:rPr>
          <w:rFonts w:hAnsi="宋体" w:cs="Calibri"/>
          <w:color w:val="auto"/>
          <w:sz w:val="22"/>
          <w:szCs w:val="22"/>
        </w:rPr>
      </w:pPr>
      <w:r>
        <w:rPr>
          <w:rFonts w:hint="eastAsia" w:hAnsi="宋体" w:cs="Calibri"/>
          <w:color w:val="auto"/>
          <w:sz w:val="22"/>
          <w:szCs w:val="22"/>
        </w:rPr>
        <w:t>4.2</w:t>
      </w:r>
      <w:r>
        <w:rPr>
          <w:rFonts w:hAnsi="宋体" w:cs="Calibri"/>
          <w:color w:val="auto"/>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auto"/>
          <w:sz w:val="22"/>
          <w:szCs w:val="22"/>
        </w:rPr>
      </w:pPr>
      <w:r>
        <w:rPr>
          <w:rFonts w:hAnsi="宋体" w:cs="Calibri"/>
          <w:color w:val="auto"/>
          <w:sz w:val="22"/>
          <w:szCs w:val="22"/>
        </w:rPr>
        <w:t>4.</w:t>
      </w:r>
      <w:r>
        <w:rPr>
          <w:rFonts w:hint="eastAsia" w:hAnsi="宋体" w:cs="Calibri"/>
          <w:color w:val="auto"/>
          <w:sz w:val="22"/>
          <w:szCs w:val="22"/>
        </w:rPr>
        <w:t>3</w:t>
      </w:r>
      <w:r>
        <w:rPr>
          <w:rFonts w:hAnsi="宋体" w:cs="Calibri"/>
          <w:color w:val="auto"/>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auto"/>
          <w:sz w:val="22"/>
          <w:szCs w:val="22"/>
        </w:rPr>
        <w:t>或</w:t>
      </w:r>
      <w:r>
        <w:rPr>
          <w:rFonts w:hAnsi="宋体" w:cs="Calibri"/>
          <w:color w:val="auto"/>
          <w:sz w:val="22"/>
          <w:szCs w:val="22"/>
        </w:rPr>
        <w:t>重新招标。</w:t>
      </w:r>
    </w:p>
    <w:p>
      <w:pPr>
        <w:pStyle w:val="21"/>
        <w:adjustRightInd w:val="0"/>
        <w:snapToGrid w:val="0"/>
        <w:spacing w:line="360" w:lineRule="exact"/>
        <w:ind w:firstLine="442" w:firstLineChars="200"/>
        <w:rPr>
          <w:rFonts w:hAnsi="宋体" w:cs="Calibri"/>
          <w:b/>
          <w:color w:val="auto"/>
          <w:sz w:val="22"/>
          <w:szCs w:val="22"/>
        </w:rPr>
      </w:pPr>
      <w:r>
        <w:rPr>
          <w:rFonts w:hint="eastAsia" w:hAnsi="宋体" w:cs="Calibri"/>
          <w:b/>
          <w:color w:val="auto"/>
          <w:sz w:val="22"/>
          <w:szCs w:val="22"/>
        </w:rPr>
        <w:t>4.4</w:t>
      </w:r>
      <w:r>
        <w:rPr>
          <w:rFonts w:hint="eastAsia" w:ascii="等线" w:hAnsi="等线" w:eastAsia="等线" w:cs="Calibri"/>
          <w:b/>
          <w:color w:val="auto"/>
          <w:sz w:val="22"/>
        </w:rPr>
        <w:t>招标人对评标、定标结果不负责解释。</w:t>
      </w:r>
    </w:p>
    <w:bookmarkEnd w:id="117"/>
    <w:p>
      <w:pPr>
        <w:spacing w:line="360" w:lineRule="exact"/>
        <w:rPr>
          <w:rFonts w:ascii="宋体" w:hAnsi="宋体"/>
          <w:color w:val="auto"/>
          <w:szCs w:val="21"/>
        </w:rPr>
      </w:pPr>
    </w:p>
    <w:p>
      <w:pPr>
        <w:pStyle w:val="2"/>
        <w:spacing w:before="0" w:after="0" w:line="360" w:lineRule="auto"/>
        <w:jc w:val="center"/>
        <w:rPr>
          <w:rFonts w:ascii="Calibri" w:hAnsi="Calibri" w:eastAsia="黑体" w:cs="Calibri"/>
          <w:color w:val="auto"/>
          <w:kern w:val="0"/>
          <w:sz w:val="32"/>
        </w:rPr>
      </w:pPr>
      <w:r>
        <w:rPr>
          <w:color w:val="auto"/>
        </w:rPr>
        <w:br w:type="page"/>
      </w:r>
      <w:bookmarkStart w:id="118" w:name="_Toc448002988"/>
      <w:r>
        <w:rPr>
          <w:rFonts w:ascii="Calibri" w:hAnsi="Calibri" w:eastAsia="黑体" w:cs="Calibri"/>
          <w:color w:val="auto"/>
          <w:kern w:val="0"/>
          <w:sz w:val="32"/>
        </w:rPr>
        <w:t>第</w:t>
      </w:r>
      <w:r>
        <w:rPr>
          <w:rFonts w:hint="eastAsia" w:ascii="Calibri" w:hAnsi="Calibri" w:eastAsia="黑体" w:cs="Calibri"/>
          <w:color w:val="auto"/>
          <w:kern w:val="0"/>
          <w:sz w:val="32"/>
        </w:rPr>
        <w:t>五</w:t>
      </w:r>
      <w:r>
        <w:rPr>
          <w:rFonts w:ascii="Calibri" w:hAnsi="Calibri" w:eastAsia="黑体" w:cs="Calibri"/>
          <w:color w:val="auto"/>
          <w:kern w:val="0"/>
          <w:sz w:val="32"/>
        </w:rPr>
        <w:t>章  投标文件格式</w:t>
      </w:r>
      <w:bookmarkEnd w:id="118"/>
    </w:p>
    <w:p>
      <w:pPr>
        <w:spacing w:line="440" w:lineRule="exact"/>
        <w:rPr>
          <w:rFonts w:cs="Calibri"/>
          <w:color w:val="auto"/>
          <w:sz w:val="24"/>
        </w:rPr>
      </w:pPr>
    </w:p>
    <w:p>
      <w:pPr>
        <w:spacing w:line="440" w:lineRule="exact"/>
        <w:jc w:val="center"/>
        <w:rPr>
          <w:rFonts w:cs="Calibri"/>
          <w:b/>
          <w:color w:val="auto"/>
          <w:sz w:val="28"/>
          <w:szCs w:val="28"/>
        </w:rPr>
      </w:pPr>
      <w:r>
        <w:rPr>
          <w:rFonts w:cs="Calibri"/>
          <w:b/>
          <w:color w:val="auto"/>
          <w:sz w:val="28"/>
          <w:szCs w:val="28"/>
        </w:rPr>
        <w:t>目   录</w:t>
      </w:r>
    </w:p>
    <w:p>
      <w:pPr>
        <w:spacing w:line="440" w:lineRule="exact"/>
        <w:ind w:firstLine="440" w:firstLineChars="200"/>
        <w:rPr>
          <w:rFonts w:ascii="宋体" w:hAnsi="宋体" w:cs="Calibri"/>
          <w:color w:val="auto"/>
          <w:sz w:val="22"/>
        </w:rPr>
      </w:pPr>
      <w:r>
        <w:rPr>
          <w:rFonts w:ascii="宋体" w:hAnsi="宋体" w:cs="Calibri"/>
          <w:color w:val="auto"/>
          <w:sz w:val="22"/>
        </w:rPr>
        <w:t>封面</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一、</w:t>
      </w:r>
      <w:r>
        <w:rPr>
          <w:rFonts w:ascii="等线" w:hAnsi="等线" w:cs="Calibri"/>
          <w:color w:val="auto"/>
          <w:sz w:val="22"/>
        </w:rPr>
        <w:t>投标函；</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二、</w:t>
      </w:r>
      <w:r>
        <w:rPr>
          <w:rFonts w:ascii="等线" w:hAnsi="等线" w:cs="Calibri"/>
          <w:color w:val="auto"/>
          <w:sz w:val="22"/>
        </w:rPr>
        <w:t>投标报价表；</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三、</w:t>
      </w:r>
      <w:r>
        <w:rPr>
          <w:rFonts w:ascii="等线" w:hAnsi="等线" w:cs="Calibri"/>
          <w:color w:val="auto"/>
          <w:sz w:val="22"/>
        </w:rPr>
        <w:t>法定代表人资格证明书；</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四、</w:t>
      </w:r>
      <w:r>
        <w:rPr>
          <w:rFonts w:ascii="等线" w:hAnsi="等线" w:cs="Calibri"/>
          <w:color w:val="auto"/>
          <w:sz w:val="22"/>
        </w:rPr>
        <w:t>授权委托书；</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五、</w:t>
      </w:r>
      <w:r>
        <w:rPr>
          <w:rFonts w:ascii="等线" w:hAnsi="等线" w:cs="Calibri"/>
          <w:color w:val="auto"/>
          <w:sz w:val="22"/>
        </w:rPr>
        <w:t>投标人资格证明文件：</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（1）投标人一般情况</w:t>
      </w:r>
      <w:r>
        <w:rPr>
          <w:rFonts w:hint="eastAsia" w:ascii="等线" w:hAnsi="等线" w:cs="Calibri"/>
          <w:color w:val="auto"/>
          <w:sz w:val="22"/>
        </w:rPr>
        <w:t>及</w:t>
      </w:r>
      <w:r>
        <w:rPr>
          <w:rFonts w:ascii="等线" w:hAnsi="等线" w:cs="Calibri"/>
          <w:color w:val="auto"/>
          <w:sz w:val="22"/>
        </w:rPr>
        <w:t>有关证明投标人法律地位的文件（包括营业执照</w:t>
      </w:r>
      <w:r>
        <w:rPr>
          <w:rFonts w:hint="eastAsia" w:ascii="等线" w:hAnsi="等线" w:cs="Calibri"/>
          <w:color w:val="auto"/>
          <w:sz w:val="22"/>
        </w:rPr>
        <w:t>、</w:t>
      </w:r>
      <w:r>
        <w:rPr>
          <w:rFonts w:hint="eastAsia" w:ascii="宋体" w:hAnsi="宋体" w:cs="Calibri"/>
          <w:color w:val="auto"/>
          <w:sz w:val="22"/>
        </w:rPr>
        <w:t>税务登记证、</w:t>
      </w:r>
      <w:r>
        <w:rPr>
          <w:rFonts w:ascii="宋体" w:hAnsi="宋体" w:cs="Calibri"/>
          <w:color w:val="auto"/>
          <w:sz w:val="22"/>
        </w:rPr>
        <w:t>一般纳税人证明材料</w:t>
      </w:r>
      <w:r>
        <w:rPr>
          <w:rFonts w:hint="eastAsia" w:ascii="宋体" w:hAnsi="宋体" w:cs="Calibri"/>
          <w:color w:val="auto"/>
          <w:sz w:val="22"/>
        </w:rPr>
        <w:t>、</w:t>
      </w:r>
      <w:r>
        <w:rPr>
          <w:rFonts w:ascii="等线" w:hAnsi="等线" w:cs="Calibri"/>
          <w:color w:val="auto"/>
          <w:sz w:val="22"/>
        </w:rPr>
        <w:t>资质</w:t>
      </w:r>
      <w:r>
        <w:rPr>
          <w:rFonts w:hint="eastAsia" w:ascii="等线" w:hAnsi="等线" w:cs="Calibri"/>
          <w:color w:val="auto"/>
          <w:sz w:val="22"/>
        </w:rPr>
        <w:t>证书</w:t>
      </w:r>
      <w:r>
        <w:rPr>
          <w:rFonts w:ascii="等线" w:hAnsi="等线" w:cs="Calibri"/>
          <w:color w:val="auto"/>
          <w:sz w:val="22"/>
        </w:rPr>
        <w:t>等），说明投标人的注册地点和主要经营范围；</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（2）有关证明投标人的企业信誉及获得各种奖励等资料；</w:t>
      </w:r>
    </w:p>
    <w:p>
      <w:pPr>
        <w:adjustRightInd w:val="0"/>
        <w:snapToGrid w:val="0"/>
        <w:spacing w:line="400" w:lineRule="exact"/>
        <w:ind w:firstLine="440" w:firstLineChars="200"/>
        <w:rPr>
          <w:rFonts w:ascii="等线" w:hAnsi="等线" w:cs="Calibri"/>
          <w:color w:val="auto"/>
          <w:sz w:val="22"/>
        </w:rPr>
      </w:pPr>
      <w:r>
        <w:rPr>
          <w:rFonts w:ascii="等线" w:hAnsi="等线" w:cs="Calibri"/>
          <w:color w:val="auto"/>
          <w:sz w:val="22"/>
        </w:rPr>
        <w:t>（3）投标人经济实力：包括企业注册资金、财务报告与报表中反映的财务状况</w:t>
      </w:r>
      <w:r>
        <w:rPr>
          <w:rFonts w:hint="eastAsia" w:ascii="等线" w:hAnsi="等线" w:cs="Calibri"/>
          <w:color w:val="auto"/>
          <w:sz w:val="22"/>
        </w:rPr>
        <w:t>；</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（4）</w:t>
      </w:r>
      <w:r>
        <w:rPr>
          <w:rFonts w:ascii="等线" w:hAnsi="等线" w:cs="Calibri"/>
          <w:color w:val="auto"/>
          <w:sz w:val="22"/>
        </w:rPr>
        <w:t>近三年完成类似项目业绩情况</w:t>
      </w:r>
      <w:r>
        <w:rPr>
          <w:rFonts w:hint="eastAsia" w:ascii="等线" w:hAnsi="等线" w:cs="Calibri"/>
          <w:color w:val="auto"/>
          <w:sz w:val="22"/>
        </w:rPr>
        <w:t>；</w:t>
      </w:r>
    </w:p>
    <w:p>
      <w:pPr>
        <w:adjustRightInd w:val="0"/>
        <w:snapToGrid w:val="0"/>
        <w:spacing w:line="400" w:lineRule="exact"/>
        <w:ind w:firstLine="440" w:firstLineChars="200"/>
        <w:rPr>
          <w:rFonts w:ascii="等线" w:hAnsi="等线" w:cs="Calibri"/>
          <w:color w:val="auto"/>
          <w:sz w:val="22"/>
        </w:rPr>
      </w:pPr>
      <w:r>
        <w:rPr>
          <w:rFonts w:hint="eastAsia" w:ascii="等线" w:hAnsi="等线" w:cs="Calibri"/>
          <w:color w:val="auto"/>
          <w:sz w:val="22"/>
        </w:rPr>
        <w:t>（5）招标文件投标人资格要求中提供的相关材料。</w:t>
      </w:r>
    </w:p>
    <w:p>
      <w:pPr>
        <w:adjustRightInd w:val="0"/>
        <w:snapToGrid w:val="0"/>
        <w:spacing w:line="400" w:lineRule="exact"/>
        <w:ind w:firstLine="440" w:firstLineChars="200"/>
        <w:rPr>
          <w:rFonts w:ascii="宋体" w:hAnsi="宋体" w:cs="Calibri"/>
          <w:color w:val="auto"/>
          <w:sz w:val="22"/>
        </w:rPr>
      </w:pPr>
      <w:r>
        <w:rPr>
          <w:rFonts w:hint="eastAsia" w:ascii="等线" w:hAnsi="等线" w:cs="Calibri"/>
          <w:color w:val="auto"/>
          <w:sz w:val="22"/>
        </w:rPr>
        <w:t>六、</w:t>
      </w:r>
      <w:r>
        <w:rPr>
          <w:rFonts w:ascii="宋体" w:hAnsi="宋体" w:cs="Calibri"/>
          <w:color w:val="auto"/>
          <w:sz w:val="22"/>
        </w:rPr>
        <w:t>服务大纲</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（1）本项目概况；</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（2）工作内容和依据；</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（3）</w:t>
      </w:r>
      <w:r>
        <w:rPr>
          <w:rFonts w:hint="eastAsia" w:ascii="等线" w:hAnsi="等线" w:cs="Calibri"/>
          <w:color w:val="auto"/>
          <w:sz w:val="22"/>
        </w:rPr>
        <w:t>现场机构、人力、物资设备配置</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（4）服务人员的作业安排和进场计划；</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（5）</w:t>
      </w:r>
      <w:r>
        <w:rPr>
          <w:rFonts w:hint="eastAsia" w:ascii="等线" w:hAnsi="等线" w:cs="Calibri"/>
          <w:color w:val="auto"/>
          <w:sz w:val="22"/>
        </w:rPr>
        <w:t>运行、安全、服务等相关管理方案</w:t>
      </w:r>
      <w:r>
        <w:rPr>
          <w:rFonts w:ascii="等线" w:hAnsi="等线" w:cs="Calibri"/>
          <w:color w:val="auto"/>
          <w:sz w:val="22"/>
        </w:rPr>
        <w:t>；</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（6）对本项目的实施意见及重点</w:t>
      </w:r>
      <w:r>
        <w:rPr>
          <w:rFonts w:hint="eastAsia" w:ascii="等线" w:hAnsi="等线" w:cs="Calibri"/>
          <w:color w:val="auto"/>
          <w:sz w:val="22"/>
        </w:rPr>
        <w:t>、</w:t>
      </w:r>
      <w:r>
        <w:rPr>
          <w:rFonts w:ascii="等线" w:hAnsi="等线" w:cs="Calibri"/>
          <w:color w:val="auto"/>
          <w:sz w:val="22"/>
        </w:rPr>
        <w:t>难点控制；</w:t>
      </w:r>
    </w:p>
    <w:p>
      <w:pPr>
        <w:adjustRightInd w:val="0"/>
        <w:snapToGrid w:val="0"/>
        <w:spacing w:line="360" w:lineRule="exact"/>
        <w:ind w:firstLine="440" w:firstLineChars="200"/>
        <w:rPr>
          <w:rFonts w:ascii="等线" w:hAnsi="等线" w:cs="Calibri"/>
          <w:color w:val="auto"/>
          <w:sz w:val="22"/>
        </w:rPr>
      </w:pPr>
      <w:r>
        <w:rPr>
          <w:rFonts w:hint="eastAsia" w:ascii="等线" w:hAnsi="等线" w:cs="Calibri"/>
          <w:color w:val="auto"/>
          <w:sz w:val="22"/>
        </w:rPr>
        <w:t>（7）对特殊情况的承诺以及灾害性、突发事件的应急预案；</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8</w:t>
      </w:r>
      <w:r>
        <w:rPr>
          <w:rFonts w:ascii="等线" w:hAnsi="等线" w:cs="Calibri"/>
          <w:color w:val="auto"/>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等线" w:hAnsi="等线" w:cs="Calibri"/>
          <w:color w:val="auto"/>
          <w:sz w:val="22"/>
        </w:rPr>
      </w:pPr>
      <w:r>
        <w:rPr>
          <w:rFonts w:ascii="等线" w:hAnsi="等线" w:cs="Calibri"/>
          <w:color w:val="auto"/>
          <w:sz w:val="22"/>
        </w:rPr>
        <w:t>（</w:t>
      </w:r>
      <w:r>
        <w:rPr>
          <w:rFonts w:hint="eastAsia" w:ascii="等线" w:hAnsi="等线" w:cs="Calibri"/>
          <w:color w:val="auto"/>
          <w:sz w:val="22"/>
        </w:rPr>
        <w:t>9</w:t>
      </w:r>
      <w:r>
        <w:rPr>
          <w:rFonts w:ascii="等线" w:hAnsi="等线" w:cs="Calibri"/>
          <w:color w:val="auto"/>
          <w:sz w:val="22"/>
        </w:rPr>
        <w:t>）投入本项目服务的仪器、仪表、设备及交通工具汇总表</w:t>
      </w:r>
      <w:r>
        <w:rPr>
          <w:rFonts w:hint="eastAsia" w:ascii="等线" w:hAnsi="等线"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等线" w:hAnsi="等线" w:cs="Calibri"/>
          <w:color w:val="auto"/>
          <w:sz w:val="22"/>
        </w:rPr>
        <w:t>七、</w:t>
      </w:r>
      <w:r>
        <w:rPr>
          <w:rFonts w:hint="eastAsia" w:ascii="等线" w:hAnsi="等线" w:cs="Arial"/>
          <w:color w:val="auto"/>
          <w:sz w:val="22"/>
        </w:rPr>
        <w:t>投标人认为</w:t>
      </w:r>
      <w:r>
        <w:rPr>
          <w:rFonts w:ascii="等线" w:hAnsi="等线" w:cs="Arial"/>
          <w:color w:val="auto"/>
          <w:sz w:val="22"/>
        </w:rPr>
        <w:t>应该提供的其他材料</w:t>
      </w:r>
      <w:r>
        <w:rPr>
          <w:rFonts w:hint="eastAsia" w:ascii="等线" w:hAnsi="等线" w:cs="Arial"/>
          <w:color w:val="auto"/>
          <w:sz w:val="22"/>
        </w:rPr>
        <w:t>。</w:t>
      </w:r>
    </w:p>
    <w:p>
      <w:pPr>
        <w:rPr>
          <w:rFonts w:ascii="宋体" w:hAnsi="宋体" w:cs="Calibri"/>
          <w:color w:val="auto"/>
          <w:sz w:val="22"/>
        </w:rPr>
      </w:pPr>
    </w:p>
    <w:p>
      <w:pPr>
        <w:spacing w:line="440" w:lineRule="exact"/>
        <w:rPr>
          <w:rFonts w:ascii="宋体" w:hAnsi="宋体" w:cs="Calibri"/>
          <w:color w:val="auto"/>
          <w:sz w:val="22"/>
        </w:rPr>
      </w:pPr>
    </w:p>
    <w:p>
      <w:pPr>
        <w:spacing w:line="440" w:lineRule="exact"/>
        <w:ind w:right="420"/>
        <w:rPr>
          <w:rFonts w:ascii="宋体" w:hAnsi="宋体" w:cs="Calibri"/>
          <w:color w:val="auto"/>
          <w:sz w:val="22"/>
        </w:rPr>
      </w:pPr>
      <w:r>
        <w:rPr>
          <w:rFonts w:hint="eastAsia" w:ascii="宋体" w:hAnsi="宋体" w:cs="Calibri"/>
          <w:color w:val="auto"/>
          <w:sz w:val="22"/>
        </w:rPr>
        <w:t>注：未提供格式的由投标人自行拟定格式。</w:t>
      </w:r>
    </w:p>
    <w:p>
      <w:pPr>
        <w:spacing w:line="440" w:lineRule="exact"/>
        <w:ind w:right="420"/>
        <w:rPr>
          <w:rFonts w:ascii="宋体" w:hAnsi="宋体" w:cs="Calibri"/>
          <w:color w:val="auto"/>
        </w:rPr>
      </w:pPr>
    </w:p>
    <w:p>
      <w:pPr>
        <w:spacing w:line="440" w:lineRule="exact"/>
        <w:ind w:right="420"/>
        <w:rPr>
          <w:rFonts w:cs="Calibri"/>
          <w:color w:val="auto"/>
        </w:rPr>
      </w:pPr>
    </w:p>
    <w:p>
      <w:pPr>
        <w:spacing w:line="440" w:lineRule="exact"/>
        <w:ind w:right="420"/>
        <w:jc w:val="right"/>
        <w:rPr>
          <w:rFonts w:cs="Calibri"/>
          <w:color w:val="auto"/>
        </w:rPr>
      </w:pPr>
      <w:r>
        <w:rPr>
          <w:rFonts w:cs="Calibri"/>
          <w:color w:val="auto"/>
        </w:rPr>
        <w:br w:type="page"/>
      </w:r>
      <w:r>
        <w:rPr>
          <w:rFonts w:cs="Calibri"/>
          <w:color w:val="auto"/>
        </w:rPr>
        <w:t>正本（或副本）</w:t>
      </w:r>
    </w:p>
    <w:p>
      <w:pPr>
        <w:spacing w:line="440" w:lineRule="exact"/>
        <w:rPr>
          <w:rFonts w:cs="Calibri"/>
          <w:color w:val="auto"/>
          <w:sz w:val="24"/>
          <w:u w:val="single"/>
        </w:rPr>
      </w:pPr>
      <w:bookmarkStart w:id="119" w:name="_Toc171421958"/>
      <w:r>
        <w:rPr>
          <w:rFonts w:cs="Calibri"/>
          <w:color w:val="auto"/>
        </w:rPr>
        <w:t>封面</w:t>
      </w:r>
      <w:bookmarkEnd w:id="119"/>
    </w:p>
    <w:p>
      <w:pPr>
        <w:autoSpaceDE w:val="0"/>
        <w:autoSpaceDN w:val="0"/>
        <w:adjustRightInd w:val="0"/>
        <w:jc w:val="center"/>
        <w:rPr>
          <w:rFonts w:cs="Calibri"/>
          <w:b/>
          <w:color w:val="auto"/>
          <w:spacing w:val="20"/>
          <w:kern w:val="0"/>
          <w:sz w:val="48"/>
          <w:szCs w:val="48"/>
        </w:rPr>
      </w:pPr>
    </w:p>
    <w:p>
      <w:pPr>
        <w:autoSpaceDE w:val="0"/>
        <w:autoSpaceDN w:val="0"/>
        <w:adjustRightInd w:val="0"/>
        <w:jc w:val="center"/>
        <w:rPr>
          <w:rFonts w:eastAsia="黑体" w:cs="Calibri"/>
          <w:b/>
          <w:color w:val="auto"/>
          <w:sz w:val="44"/>
          <w:szCs w:val="44"/>
        </w:rPr>
      </w:pPr>
      <w:r>
        <w:rPr>
          <w:rFonts w:hint="eastAsia" w:eastAsia="黑体" w:cs="Calibri"/>
          <w:b/>
          <w:color w:val="auto"/>
          <w:sz w:val="44"/>
          <w:szCs w:val="44"/>
        </w:rPr>
        <w:t>杭州萧山国际机场</w:t>
      </w:r>
      <w:r>
        <w:rPr>
          <w:rFonts w:hint="eastAsia" w:eastAsia="黑体" w:cs="Calibri"/>
          <w:b/>
          <w:color w:val="auto"/>
          <w:sz w:val="44"/>
          <w:szCs w:val="44"/>
          <w:u w:val="single"/>
        </w:rPr>
        <w:t xml:space="preserve">         </w:t>
      </w:r>
      <w:r>
        <w:rPr>
          <w:rFonts w:eastAsia="黑体" w:cs="Calibri"/>
          <w:b/>
          <w:color w:val="auto"/>
          <w:sz w:val="44"/>
          <w:szCs w:val="44"/>
        </w:rPr>
        <w:t>项目</w:t>
      </w:r>
    </w:p>
    <w:p>
      <w:pPr>
        <w:spacing w:line="440" w:lineRule="exact"/>
        <w:rPr>
          <w:rFonts w:cs="Calibri"/>
          <w:color w:val="auto"/>
          <w:sz w:val="36"/>
          <w:szCs w:val="36"/>
        </w:rPr>
      </w:pPr>
    </w:p>
    <w:p>
      <w:pPr>
        <w:spacing w:line="440" w:lineRule="exact"/>
        <w:ind w:firstLine="480" w:firstLineChars="200"/>
        <w:jc w:val="center"/>
        <w:rPr>
          <w:rFonts w:cs="Calibri"/>
          <w:color w:val="auto"/>
          <w:sz w:val="24"/>
        </w:rPr>
      </w:pPr>
    </w:p>
    <w:p>
      <w:pPr>
        <w:spacing w:line="440" w:lineRule="exact"/>
        <w:rPr>
          <w:rFonts w:cs="Calibri"/>
          <w:color w:val="auto"/>
          <w:sz w:val="44"/>
          <w:szCs w:val="44"/>
        </w:rPr>
      </w:pPr>
    </w:p>
    <w:p>
      <w:pPr>
        <w:spacing w:before="480" w:beforeLines="200" w:after="480" w:afterLines="200" w:line="440" w:lineRule="exact"/>
        <w:jc w:val="center"/>
        <w:rPr>
          <w:rFonts w:cs="Calibri"/>
          <w:b/>
          <w:bCs/>
          <w:color w:val="auto"/>
          <w:sz w:val="84"/>
          <w:szCs w:val="84"/>
        </w:rPr>
      </w:pPr>
      <w:r>
        <w:rPr>
          <w:rFonts w:cs="Calibri"/>
          <w:b/>
          <w:bCs/>
          <w:color w:val="auto"/>
          <w:sz w:val="84"/>
          <w:szCs w:val="84"/>
        </w:rPr>
        <w:t>投标文件</w:t>
      </w:r>
    </w:p>
    <w:p>
      <w:pPr>
        <w:spacing w:line="440" w:lineRule="exact"/>
        <w:ind w:firstLine="480" w:firstLineChars="200"/>
        <w:jc w:val="center"/>
        <w:rPr>
          <w:rFonts w:cs="Calibri"/>
          <w:color w:val="auto"/>
          <w:sz w:val="24"/>
        </w:rPr>
      </w:pPr>
    </w:p>
    <w:p>
      <w:pPr>
        <w:spacing w:line="440" w:lineRule="exact"/>
        <w:ind w:firstLine="480" w:firstLineChars="200"/>
        <w:rPr>
          <w:rFonts w:cs="Calibri"/>
          <w:color w:val="auto"/>
          <w:sz w:val="24"/>
        </w:rPr>
      </w:pPr>
      <w:r>
        <w:rPr>
          <w:rFonts w:cs="Calibri"/>
          <w:color w:val="auto"/>
          <w:sz w:val="24"/>
        </w:rPr>
        <w:t xml:space="preserve">                  </w:t>
      </w: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440" w:lineRule="exact"/>
        <w:ind w:firstLine="480" w:firstLineChars="200"/>
        <w:jc w:val="center"/>
        <w:rPr>
          <w:rFonts w:cs="Calibri"/>
          <w:color w:val="auto"/>
          <w:sz w:val="24"/>
        </w:rPr>
      </w:pPr>
    </w:p>
    <w:p>
      <w:pPr>
        <w:spacing w:line="360" w:lineRule="auto"/>
        <w:ind w:firstLine="1400" w:firstLineChars="500"/>
        <w:rPr>
          <w:rFonts w:cs="Calibri"/>
          <w:color w:val="auto"/>
          <w:sz w:val="28"/>
          <w:szCs w:val="28"/>
          <w:u w:val="single"/>
        </w:rPr>
      </w:pPr>
      <w:r>
        <w:rPr>
          <w:rFonts w:cs="Calibri"/>
          <w:color w:val="auto"/>
          <w:sz w:val="28"/>
          <w:szCs w:val="28"/>
        </w:rPr>
        <w:t>投标人：</w:t>
      </w:r>
      <w:r>
        <w:rPr>
          <w:rFonts w:cs="Calibri"/>
          <w:color w:val="auto"/>
          <w:sz w:val="28"/>
          <w:szCs w:val="28"/>
          <w:u w:val="single"/>
        </w:rPr>
        <w:t xml:space="preserve">                （盖单位章）           </w:t>
      </w:r>
    </w:p>
    <w:p>
      <w:pPr>
        <w:spacing w:line="360" w:lineRule="auto"/>
        <w:ind w:firstLine="1400" w:firstLineChars="500"/>
        <w:rPr>
          <w:rFonts w:cs="Calibri"/>
          <w:color w:val="auto"/>
          <w:sz w:val="28"/>
          <w:szCs w:val="28"/>
        </w:rPr>
      </w:pPr>
      <w:r>
        <w:rPr>
          <w:rFonts w:cs="Calibri"/>
          <w:color w:val="auto"/>
          <w:sz w:val="28"/>
          <w:szCs w:val="28"/>
        </w:rPr>
        <w:t>法定代表人或其委托代理人：</w:t>
      </w:r>
      <w:r>
        <w:rPr>
          <w:rFonts w:cs="Calibri"/>
          <w:color w:val="auto"/>
          <w:sz w:val="28"/>
          <w:szCs w:val="28"/>
          <w:u w:val="single"/>
        </w:rPr>
        <w:t xml:space="preserve">   （签字或盖章）   </w:t>
      </w:r>
    </w:p>
    <w:p>
      <w:pPr>
        <w:spacing w:line="360" w:lineRule="auto"/>
        <w:ind w:firstLine="1400" w:firstLineChars="500"/>
        <w:rPr>
          <w:rFonts w:cs="Calibri"/>
          <w:color w:val="auto"/>
          <w:sz w:val="28"/>
          <w:szCs w:val="28"/>
        </w:rPr>
      </w:pPr>
      <w:r>
        <w:rPr>
          <w:rFonts w:cs="Calibri"/>
          <w:color w:val="auto"/>
          <w:sz w:val="28"/>
          <w:szCs w:val="28"/>
        </w:rPr>
        <w:t>日  期：</w:t>
      </w:r>
      <w:r>
        <w:rPr>
          <w:rFonts w:cs="Calibri"/>
          <w:color w:val="auto"/>
          <w:sz w:val="28"/>
          <w:szCs w:val="28"/>
          <w:u w:val="single"/>
        </w:rPr>
        <w:t xml:space="preserve">        </w:t>
      </w:r>
      <w:r>
        <w:rPr>
          <w:rFonts w:cs="Calibri"/>
          <w:color w:val="auto"/>
          <w:sz w:val="28"/>
          <w:szCs w:val="28"/>
        </w:rPr>
        <w:t>年</w:t>
      </w:r>
      <w:r>
        <w:rPr>
          <w:rFonts w:cs="Calibri"/>
          <w:color w:val="auto"/>
          <w:sz w:val="28"/>
          <w:szCs w:val="28"/>
          <w:u w:val="single"/>
        </w:rPr>
        <w:t xml:space="preserve">         </w:t>
      </w:r>
      <w:r>
        <w:rPr>
          <w:rFonts w:cs="Calibri"/>
          <w:color w:val="auto"/>
          <w:sz w:val="28"/>
          <w:szCs w:val="28"/>
        </w:rPr>
        <w:t>月</w:t>
      </w:r>
      <w:r>
        <w:rPr>
          <w:rFonts w:cs="Calibri"/>
          <w:color w:val="auto"/>
          <w:sz w:val="28"/>
          <w:szCs w:val="28"/>
          <w:u w:val="single"/>
        </w:rPr>
        <w:t xml:space="preserve">        </w:t>
      </w:r>
      <w:r>
        <w:rPr>
          <w:rFonts w:cs="Calibri"/>
          <w:color w:val="auto"/>
          <w:sz w:val="28"/>
          <w:szCs w:val="28"/>
        </w:rPr>
        <w:t>日</w:t>
      </w:r>
    </w:p>
    <w:p>
      <w:pPr>
        <w:spacing w:line="360" w:lineRule="auto"/>
        <w:ind w:firstLine="1400" w:firstLineChars="500"/>
        <w:rPr>
          <w:rFonts w:cs="Calibri"/>
          <w:color w:val="auto"/>
          <w:sz w:val="28"/>
          <w:szCs w:val="28"/>
        </w:rPr>
      </w:pPr>
    </w:p>
    <w:p>
      <w:pPr>
        <w:spacing w:line="360" w:lineRule="auto"/>
        <w:jc w:val="center"/>
        <w:rPr>
          <w:rFonts w:eastAsia="黑体" w:cs="Calibri"/>
          <w:bCs/>
          <w:color w:val="auto"/>
          <w:sz w:val="32"/>
          <w:szCs w:val="32"/>
        </w:rPr>
      </w:pPr>
      <w:r>
        <w:rPr>
          <w:rFonts w:cs="Calibri"/>
          <w:color w:val="auto"/>
          <w:sz w:val="24"/>
        </w:rPr>
        <w:br w:type="page"/>
      </w:r>
      <w:r>
        <w:rPr>
          <w:rFonts w:eastAsia="黑体" w:cs="Calibri"/>
          <w:bCs/>
          <w:color w:val="auto"/>
          <w:sz w:val="32"/>
          <w:szCs w:val="32"/>
        </w:rPr>
        <w:t>一、投 标 函</w:t>
      </w:r>
    </w:p>
    <w:p>
      <w:pPr>
        <w:spacing w:line="440" w:lineRule="exact"/>
        <w:jc w:val="center"/>
        <w:rPr>
          <w:rFonts w:cs="Calibri"/>
          <w:b/>
          <w:bCs/>
          <w:color w:val="auto"/>
          <w:sz w:val="28"/>
          <w:szCs w:val="28"/>
        </w:rPr>
      </w:pPr>
    </w:p>
    <w:p>
      <w:pPr>
        <w:snapToGrid w:val="0"/>
        <w:spacing w:line="360" w:lineRule="auto"/>
        <w:rPr>
          <w:rFonts w:ascii="等线" w:hAnsi="等线" w:cs="Calibri"/>
          <w:b/>
          <w:bCs/>
          <w:color w:val="auto"/>
          <w:sz w:val="24"/>
          <w:szCs w:val="24"/>
        </w:rPr>
      </w:pPr>
      <w:r>
        <w:rPr>
          <w:rFonts w:ascii="宋体" w:hAnsi="宋体"/>
          <w:color w:val="auto"/>
          <w:sz w:val="24"/>
          <w:szCs w:val="24"/>
        </w:rPr>
        <w:t>致：</w:t>
      </w:r>
      <w:r>
        <w:rPr>
          <w:rFonts w:hint="eastAsia" w:ascii="宋体" w:hAnsi="宋体"/>
          <w:color w:val="auto"/>
          <w:sz w:val="24"/>
          <w:szCs w:val="24"/>
        </w:rPr>
        <w:t>杭州萧山国际机场</w:t>
      </w:r>
      <w:r>
        <w:rPr>
          <w:rFonts w:ascii="宋体" w:hAnsi="宋体"/>
          <w:color w:val="auto"/>
          <w:sz w:val="24"/>
          <w:szCs w:val="24"/>
        </w:rPr>
        <w:t>有限公司</w:t>
      </w:r>
    </w:p>
    <w:p>
      <w:pPr>
        <w:snapToGrid w:val="0"/>
        <w:spacing w:line="360" w:lineRule="auto"/>
        <w:ind w:firstLine="600" w:firstLineChars="250"/>
        <w:rPr>
          <w:rFonts w:ascii="等线" w:hAnsi="等线" w:cs="Calibri"/>
          <w:color w:val="auto"/>
          <w:sz w:val="24"/>
        </w:rPr>
      </w:pPr>
      <w:r>
        <w:rPr>
          <w:rFonts w:ascii="等线" w:hAnsi="等线" w:cs="Calibri"/>
          <w:color w:val="auto"/>
          <w:sz w:val="24"/>
        </w:rPr>
        <w:t>1、根据已收到的</w:t>
      </w:r>
      <w:r>
        <w:rPr>
          <w:rFonts w:ascii="等线" w:hAnsi="等线" w:cs="Calibri"/>
          <w:color w:val="auto"/>
          <w:sz w:val="24"/>
          <w:u w:val="single"/>
        </w:rPr>
        <w:t xml:space="preserve">                           </w:t>
      </w:r>
      <w:r>
        <w:rPr>
          <w:rFonts w:ascii="等线" w:hAnsi="等线" w:cs="Calibri"/>
          <w:color w:val="auto"/>
          <w:sz w:val="24"/>
        </w:rPr>
        <w:t>招标文件，遵照《中华人民共和国招标投标法》等有关规定，经考察现场和研究上述招标文件后，我方愿以投标总价</w:t>
      </w:r>
      <w:r>
        <w:rPr>
          <w:rFonts w:hint="eastAsia" w:ascii="等线" w:hAnsi="等线" w:cs="Calibri"/>
          <w:color w:val="auto"/>
          <w:sz w:val="24"/>
        </w:rPr>
        <w:t>为</w:t>
      </w:r>
      <w:r>
        <w:rPr>
          <w:rFonts w:ascii="等线" w:hAnsi="等线" w:cs="Calibri"/>
          <w:color w:val="auto"/>
          <w:sz w:val="24"/>
        </w:rPr>
        <w:t>人民币 (大写)：</w:t>
      </w:r>
      <w:r>
        <w:rPr>
          <w:rFonts w:ascii="等线" w:hAnsi="等线" w:cs="Calibri"/>
          <w:color w:val="auto"/>
          <w:sz w:val="24"/>
          <w:u w:val="single"/>
        </w:rPr>
        <w:t xml:space="preserve">               </w:t>
      </w:r>
      <w:r>
        <w:rPr>
          <w:rFonts w:ascii="等线" w:hAnsi="等线" w:cs="Calibri"/>
          <w:color w:val="auto"/>
          <w:sz w:val="24"/>
        </w:rPr>
        <w:t>元（RMB</w:t>
      </w:r>
      <w:r>
        <w:rPr>
          <w:rFonts w:ascii="等线" w:hAnsi="等线" w:cs="Calibri"/>
          <w:color w:val="auto"/>
          <w:sz w:val="24"/>
          <w:u w:val="single"/>
        </w:rPr>
        <w:t xml:space="preserve">         </w:t>
      </w:r>
      <w:r>
        <w:rPr>
          <w:rFonts w:ascii="等线" w:hAnsi="等线" w:cs="Calibri"/>
          <w:color w:val="auto"/>
          <w:sz w:val="24"/>
        </w:rPr>
        <w:t>元）报价并按上述招标文件要求承揽上述项目</w:t>
      </w:r>
      <w:r>
        <w:rPr>
          <w:rFonts w:hint="eastAsia" w:ascii="等线" w:hAnsi="等线" w:cs="Calibri"/>
          <w:bCs/>
          <w:color w:val="auto"/>
          <w:sz w:val="24"/>
        </w:rPr>
        <w:t>所有</w:t>
      </w:r>
      <w:r>
        <w:rPr>
          <w:rFonts w:ascii="等线" w:hAnsi="等线" w:cs="Calibri"/>
          <w:bCs/>
          <w:color w:val="auto"/>
          <w:sz w:val="24"/>
        </w:rPr>
        <w:t>等工作</w:t>
      </w:r>
      <w:r>
        <w:rPr>
          <w:rFonts w:ascii="等线" w:hAnsi="等线" w:cs="Calibri"/>
          <w:color w:val="auto"/>
          <w:sz w:val="24"/>
          <w:szCs w:val="21"/>
        </w:rPr>
        <w:t>。</w:t>
      </w:r>
      <w:r>
        <w:rPr>
          <w:rFonts w:ascii="等线" w:hAnsi="等线" w:cs="Calibri"/>
          <w:color w:val="auto"/>
          <w:sz w:val="24"/>
        </w:rPr>
        <w:t xml:space="preserve"> </w:t>
      </w:r>
    </w:p>
    <w:p>
      <w:pPr>
        <w:snapToGrid w:val="0"/>
        <w:spacing w:line="360" w:lineRule="auto"/>
        <w:ind w:firstLine="600" w:firstLineChars="250"/>
        <w:rPr>
          <w:rFonts w:ascii="等线" w:hAnsi="等线" w:cs="Calibri"/>
          <w:b/>
          <w:color w:val="auto"/>
          <w:sz w:val="24"/>
        </w:rPr>
      </w:pPr>
      <w:r>
        <w:rPr>
          <w:rFonts w:ascii="等线" w:hAnsi="等线" w:cs="Calibri"/>
          <w:color w:val="auto"/>
          <w:sz w:val="24"/>
        </w:rPr>
        <w:t>2、一旦我方中标，我方保证在</w:t>
      </w:r>
      <w:r>
        <w:rPr>
          <w:rFonts w:hint="eastAsia" w:ascii="等线" w:hAnsi="等线" w:cs="Calibri"/>
          <w:color w:val="auto"/>
          <w:sz w:val="24"/>
        </w:rPr>
        <w:t>服务期</w:t>
      </w:r>
      <w:r>
        <w:rPr>
          <w:rFonts w:ascii="等线" w:hAnsi="等线" w:cs="Calibri"/>
          <w:color w:val="auto"/>
          <w:sz w:val="24"/>
        </w:rPr>
        <w:t>内完成</w:t>
      </w:r>
      <w:r>
        <w:rPr>
          <w:rFonts w:hint="eastAsia" w:ascii="等线" w:hAnsi="等线" w:cs="Calibri"/>
          <w:color w:val="auto"/>
          <w:sz w:val="24"/>
        </w:rPr>
        <w:t>全部</w:t>
      </w:r>
      <w:r>
        <w:rPr>
          <w:rFonts w:ascii="等线" w:hAnsi="等线" w:cs="Calibri"/>
          <w:bCs/>
          <w:color w:val="auto"/>
          <w:sz w:val="24"/>
        </w:rPr>
        <w:t>工作</w:t>
      </w:r>
      <w:r>
        <w:rPr>
          <w:rFonts w:ascii="等线" w:hAnsi="等线" w:cs="Calibri"/>
          <w:color w:val="auto"/>
          <w:sz w:val="24"/>
        </w:rPr>
        <w:t>。</w:t>
      </w:r>
    </w:p>
    <w:p>
      <w:pPr>
        <w:snapToGrid w:val="0"/>
        <w:spacing w:line="360" w:lineRule="auto"/>
        <w:rPr>
          <w:rFonts w:ascii="等线" w:hAnsi="等线" w:cs="Calibri"/>
          <w:color w:val="auto"/>
          <w:sz w:val="24"/>
          <w:szCs w:val="20"/>
        </w:rPr>
      </w:pPr>
      <w:r>
        <w:rPr>
          <w:rFonts w:ascii="等线" w:hAnsi="等线" w:cs="Calibri"/>
          <w:color w:val="auto"/>
          <w:sz w:val="24"/>
        </w:rPr>
        <w:t>　　 3、我方同意所递交的投标文件在“前附表”规定的投标有效期内有效，在此期间内我方的投标有可能中标，我方将受此约束。</w:t>
      </w:r>
    </w:p>
    <w:p>
      <w:pPr>
        <w:snapToGrid w:val="0"/>
        <w:spacing w:line="360" w:lineRule="auto"/>
        <w:rPr>
          <w:rFonts w:ascii="等线" w:hAnsi="等线" w:cs="Calibri"/>
          <w:color w:val="auto"/>
          <w:sz w:val="24"/>
          <w:szCs w:val="20"/>
        </w:rPr>
      </w:pPr>
      <w:r>
        <w:rPr>
          <w:rFonts w:ascii="等线" w:hAnsi="等线" w:cs="Calibri"/>
          <w:color w:val="auto"/>
          <w:sz w:val="24"/>
        </w:rPr>
        <w:t xml:space="preserve">     4、除非另外达成协议并生效，你方的中标通知书和本投标文件将构成约束我们双方的合同。</w:t>
      </w:r>
    </w:p>
    <w:p>
      <w:pPr>
        <w:snapToGrid w:val="0"/>
        <w:spacing w:line="360" w:lineRule="auto"/>
        <w:ind w:firstLine="600" w:firstLineChars="250"/>
        <w:rPr>
          <w:rFonts w:ascii="等线" w:hAnsi="等线" w:cs="Calibri"/>
          <w:color w:val="auto"/>
          <w:sz w:val="24"/>
        </w:rPr>
      </w:pPr>
      <w:r>
        <w:rPr>
          <w:rFonts w:ascii="等线" w:hAnsi="等线" w:cs="Calibri"/>
          <w:color w:val="auto"/>
          <w:sz w:val="24"/>
        </w:rPr>
        <w:t>5、一旦我方中标，我方保证按照招标文件的要求，按时签订</w:t>
      </w:r>
      <w:r>
        <w:rPr>
          <w:rFonts w:hint="eastAsia" w:ascii="等线" w:hAnsi="等线" w:cs="Calibri"/>
          <w:color w:val="auto"/>
          <w:sz w:val="24"/>
        </w:rPr>
        <w:t>服务</w:t>
      </w:r>
      <w:r>
        <w:rPr>
          <w:rFonts w:ascii="等线" w:hAnsi="等线" w:cs="Calibri"/>
          <w:color w:val="auto"/>
          <w:sz w:val="24"/>
        </w:rPr>
        <w:t>合同</w:t>
      </w:r>
      <w:r>
        <w:rPr>
          <w:rFonts w:hint="eastAsia" w:ascii="等线" w:hAnsi="等线" w:cs="Calibri"/>
          <w:color w:val="auto"/>
          <w:sz w:val="24"/>
        </w:rPr>
        <w:t>，并</w:t>
      </w:r>
      <w:r>
        <w:rPr>
          <w:rFonts w:ascii="等线" w:hAnsi="等线" w:cs="Calibri"/>
          <w:color w:val="auto"/>
          <w:sz w:val="24"/>
        </w:rPr>
        <w:t>全面履行</w:t>
      </w:r>
      <w:r>
        <w:rPr>
          <w:rFonts w:hint="eastAsia" w:ascii="等线" w:hAnsi="等线" w:cs="Calibri"/>
          <w:color w:val="auto"/>
          <w:sz w:val="24"/>
        </w:rPr>
        <w:t>服务</w:t>
      </w:r>
      <w:r>
        <w:rPr>
          <w:rFonts w:ascii="等线" w:hAnsi="等线" w:cs="Calibri"/>
          <w:color w:val="auto"/>
          <w:sz w:val="24"/>
        </w:rPr>
        <w:t>合同。</w:t>
      </w:r>
    </w:p>
    <w:p>
      <w:pPr>
        <w:snapToGrid w:val="0"/>
        <w:spacing w:line="360" w:lineRule="auto"/>
        <w:ind w:firstLine="600" w:firstLineChars="250"/>
        <w:rPr>
          <w:rFonts w:ascii="等线" w:hAnsi="等线" w:cs="Calibri"/>
          <w:color w:val="auto"/>
          <w:sz w:val="24"/>
        </w:rPr>
      </w:pPr>
      <w:r>
        <w:rPr>
          <w:rFonts w:hint="eastAsia" w:ascii="等线" w:hAnsi="等线" w:cs="Calibri"/>
          <w:color w:val="auto"/>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等线" w:hAnsi="等线" w:cs="Calibri"/>
          <w:color w:val="auto"/>
          <w:sz w:val="24"/>
        </w:rPr>
      </w:pPr>
      <w:r>
        <w:rPr>
          <w:rFonts w:hint="eastAsia" w:ascii="等线" w:hAnsi="等线" w:cs="Calibri"/>
          <w:color w:val="auto"/>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等线" w:hAnsi="等线" w:cs="Calibri"/>
          <w:color w:val="auto"/>
          <w:szCs w:val="21"/>
        </w:rPr>
      </w:pPr>
    </w:p>
    <w:p>
      <w:pPr>
        <w:snapToGrid w:val="0"/>
        <w:spacing w:line="440" w:lineRule="exact"/>
        <w:rPr>
          <w:rFonts w:ascii="等线" w:hAnsi="等线" w:cs="Calibri"/>
          <w:color w:val="auto"/>
          <w:szCs w:val="21"/>
        </w:rPr>
      </w:pPr>
    </w:p>
    <w:p>
      <w:pPr>
        <w:snapToGrid w:val="0"/>
        <w:spacing w:line="440" w:lineRule="exact"/>
        <w:rPr>
          <w:rFonts w:ascii="等线" w:hAnsi="等线" w:cs="Calibri"/>
          <w:color w:val="auto"/>
          <w:szCs w:val="21"/>
        </w:rPr>
      </w:pPr>
    </w:p>
    <w:p>
      <w:pPr>
        <w:snapToGrid w:val="0"/>
        <w:spacing w:line="440" w:lineRule="exact"/>
        <w:ind w:firstLine="3600" w:firstLineChars="1500"/>
        <w:rPr>
          <w:rFonts w:ascii="等线" w:hAnsi="等线" w:cs="Calibri"/>
          <w:color w:val="auto"/>
          <w:sz w:val="24"/>
        </w:rPr>
      </w:pPr>
      <w:r>
        <w:rPr>
          <w:rFonts w:ascii="等线" w:hAnsi="等线" w:cs="Calibri"/>
          <w:color w:val="auto"/>
          <w:sz w:val="24"/>
        </w:rPr>
        <w:t>投标人：（盖单位章）</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法定代表人或其委托代理人：（签字或盖章）</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地    址：</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邮政编码：</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电    话：</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传    真：</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开户银行：</w:t>
      </w:r>
    </w:p>
    <w:p>
      <w:pPr>
        <w:snapToGrid w:val="0"/>
        <w:spacing w:line="440" w:lineRule="exact"/>
        <w:ind w:firstLine="3600" w:firstLineChars="1500"/>
        <w:rPr>
          <w:rFonts w:ascii="等线" w:hAnsi="等线" w:cs="Calibri"/>
          <w:color w:val="auto"/>
          <w:sz w:val="24"/>
        </w:rPr>
      </w:pPr>
      <w:r>
        <w:rPr>
          <w:rFonts w:ascii="等线" w:hAnsi="等线" w:cs="Calibri"/>
          <w:color w:val="auto"/>
          <w:sz w:val="24"/>
        </w:rPr>
        <w:t>账    号：</w:t>
      </w:r>
    </w:p>
    <w:p>
      <w:pPr>
        <w:snapToGrid w:val="0"/>
        <w:spacing w:line="440" w:lineRule="exact"/>
        <w:ind w:firstLine="3600" w:firstLineChars="1500"/>
        <w:rPr>
          <w:rFonts w:eastAsia="黑体" w:cs="Calibri"/>
          <w:color w:val="auto"/>
          <w:sz w:val="32"/>
          <w:szCs w:val="32"/>
        </w:rPr>
      </w:pPr>
      <w:r>
        <w:rPr>
          <w:rFonts w:ascii="等线" w:hAnsi="等线" w:cs="Calibri"/>
          <w:color w:val="auto"/>
          <w:sz w:val="24"/>
        </w:rPr>
        <w:t>日    期：    年     月     日</w:t>
      </w:r>
      <w:r>
        <w:rPr>
          <w:rFonts w:eastAsia="黑体" w:cs="Calibri"/>
          <w:color w:val="auto"/>
          <w:sz w:val="32"/>
          <w:szCs w:val="32"/>
        </w:rPr>
        <w:br w:type="page"/>
      </w:r>
    </w:p>
    <w:p>
      <w:pPr>
        <w:adjustRightInd w:val="0"/>
        <w:snapToGrid w:val="0"/>
        <w:jc w:val="center"/>
        <w:rPr>
          <w:rFonts w:eastAsia="黑体" w:cs="Calibri"/>
          <w:color w:val="auto"/>
          <w:sz w:val="32"/>
          <w:szCs w:val="32"/>
        </w:rPr>
      </w:pPr>
      <w:r>
        <w:rPr>
          <w:rFonts w:hint="eastAsia" w:eastAsia="黑体" w:cs="Calibri"/>
          <w:color w:val="auto"/>
          <w:sz w:val="32"/>
          <w:szCs w:val="32"/>
        </w:rPr>
        <w:t>二</w:t>
      </w:r>
      <w:r>
        <w:rPr>
          <w:rFonts w:eastAsia="黑体" w:cs="Calibri"/>
          <w:color w:val="auto"/>
          <w:sz w:val="32"/>
          <w:szCs w:val="32"/>
        </w:rPr>
        <w:t>、法定代表人身份证明</w:t>
      </w:r>
    </w:p>
    <w:p>
      <w:pPr>
        <w:spacing w:after="120" w:afterLines="50" w:line="440" w:lineRule="exact"/>
        <w:rPr>
          <w:rFonts w:cs="Calibri"/>
          <w:color w:val="auto"/>
          <w:sz w:val="24"/>
        </w:rPr>
      </w:pPr>
    </w:p>
    <w:p>
      <w:pPr>
        <w:spacing w:after="120" w:afterLines="50" w:line="440" w:lineRule="exact"/>
        <w:rPr>
          <w:rFonts w:cs="Calibri"/>
          <w:color w:val="auto"/>
          <w:szCs w:val="21"/>
          <w:u w:val="single"/>
        </w:rPr>
      </w:pPr>
      <w:r>
        <w:rPr>
          <w:rFonts w:cs="Calibri"/>
          <w:color w:val="auto"/>
          <w:szCs w:val="21"/>
        </w:rPr>
        <w:t>投标人名称：</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单位性质：</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地址：</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成立时间：</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pacing w:after="120" w:afterLines="50" w:line="440" w:lineRule="exact"/>
        <w:rPr>
          <w:rFonts w:cs="Calibri"/>
          <w:color w:val="auto"/>
          <w:szCs w:val="21"/>
          <w:u w:val="single"/>
        </w:rPr>
      </w:pPr>
      <w:r>
        <w:rPr>
          <w:rFonts w:cs="Calibri"/>
          <w:color w:val="auto"/>
          <w:szCs w:val="21"/>
        </w:rPr>
        <w:t>经营期限：</w:t>
      </w:r>
      <w:r>
        <w:rPr>
          <w:rFonts w:cs="Calibri"/>
          <w:color w:val="auto"/>
          <w:szCs w:val="21"/>
          <w:u w:val="single"/>
        </w:rPr>
        <w:t xml:space="preserve">                                     </w:t>
      </w:r>
    </w:p>
    <w:p>
      <w:pPr>
        <w:spacing w:after="120" w:afterLines="50" w:line="440" w:lineRule="exact"/>
        <w:rPr>
          <w:rFonts w:cs="Calibri"/>
          <w:color w:val="auto"/>
          <w:szCs w:val="21"/>
          <w:u w:val="single"/>
        </w:rPr>
      </w:pPr>
      <w:r>
        <w:rPr>
          <w:rFonts w:cs="Calibri"/>
          <w:color w:val="auto"/>
          <w:szCs w:val="21"/>
        </w:rPr>
        <w:t>姓名：</w:t>
      </w:r>
      <w:r>
        <w:rPr>
          <w:rFonts w:cs="Calibri"/>
          <w:color w:val="auto"/>
          <w:szCs w:val="21"/>
          <w:u w:val="single"/>
        </w:rPr>
        <w:t xml:space="preserve">         </w:t>
      </w:r>
      <w:r>
        <w:rPr>
          <w:rFonts w:cs="Calibri"/>
          <w:color w:val="auto"/>
          <w:szCs w:val="21"/>
        </w:rPr>
        <w:t xml:space="preserve">  性别：</w:t>
      </w:r>
      <w:r>
        <w:rPr>
          <w:rFonts w:cs="Calibri"/>
          <w:color w:val="auto"/>
          <w:szCs w:val="21"/>
          <w:u w:val="single"/>
        </w:rPr>
        <w:t xml:space="preserve">         </w:t>
      </w:r>
      <w:r>
        <w:rPr>
          <w:rFonts w:cs="Calibri"/>
          <w:color w:val="auto"/>
          <w:szCs w:val="21"/>
        </w:rPr>
        <w:t xml:space="preserve">  年龄：</w:t>
      </w:r>
      <w:r>
        <w:rPr>
          <w:rFonts w:cs="Calibri"/>
          <w:color w:val="auto"/>
          <w:szCs w:val="21"/>
          <w:u w:val="single"/>
        </w:rPr>
        <w:t xml:space="preserve">         </w:t>
      </w:r>
      <w:r>
        <w:rPr>
          <w:rFonts w:cs="Calibri"/>
          <w:color w:val="auto"/>
          <w:szCs w:val="21"/>
        </w:rPr>
        <w:t xml:space="preserve">  职务：</w:t>
      </w:r>
      <w:r>
        <w:rPr>
          <w:rFonts w:cs="Calibri"/>
          <w:color w:val="auto"/>
          <w:szCs w:val="21"/>
          <w:u w:val="single"/>
        </w:rPr>
        <w:t xml:space="preserve">         </w:t>
      </w:r>
      <w:r>
        <w:rPr>
          <w:rFonts w:cs="Calibri"/>
          <w:color w:val="auto"/>
          <w:szCs w:val="21"/>
        </w:rPr>
        <w:t xml:space="preserve">  </w:t>
      </w:r>
    </w:p>
    <w:p>
      <w:pPr>
        <w:spacing w:after="120" w:afterLines="50" w:line="440" w:lineRule="exact"/>
        <w:rPr>
          <w:rFonts w:cs="Calibri"/>
          <w:color w:val="auto"/>
          <w:szCs w:val="21"/>
          <w:u w:val="single"/>
        </w:rPr>
      </w:pPr>
      <w:r>
        <w:rPr>
          <w:rFonts w:cs="Calibri"/>
          <w:color w:val="auto"/>
          <w:szCs w:val="21"/>
        </w:rPr>
        <w:t>身份证号码：</w:t>
      </w:r>
      <w:r>
        <w:rPr>
          <w:rFonts w:cs="Calibri"/>
          <w:color w:val="auto"/>
          <w:szCs w:val="21"/>
          <w:u w:val="single"/>
        </w:rPr>
        <w:t xml:space="preserve">                           </w:t>
      </w:r>
    </w:p>
    <w:p>
      <w:pPr>
        <w:spacing w:line="440" w:lineRule="exact"/>
        <w:ind w:firstLine="560"/>
        <w:rPr>
          <w:rFonts w:cs="Calibri"/>
          <w:color w:val="auto"/>
          <w:szCs w:val="21"/>
        </w:rPr>
      </w:pPr>
    </w:p>
    <w:p>
      <w:pPr>
        <w:spacing w:line="440" w:lineRule="exact"/>
        <w:rPr>
          <w:rFonts w:cs="Calibri"/>
          <w:color w:val="auto"/>
          <w:szCs w:val="21"/>
        </w:rPr>
      </w:pPr>
      <w:r>
        <w:rPr>
          <w:rFonts w:cs="Calibri"/>
          <w:color w:val="auto"/>
          <w:szCs w:val="21"/>
        </w:rPr>
        <w:t xml:space="preserve">    系</w:t>
      </w:r>
      <w:r>
        <w:rPr>
          <w:rFonts w:cs="Calibri"/>
          <w:color w:val="auto"/>
          <w:szCs w:val="21"/>
          <w:u w:val="single"/>
        </w:rPr>
        <w:t xml:space="preserve">                          </w:t>
      </w:r>
      <w:r>
        <w:rPr>
          <w:rFonts w:cs="Calibri"/>
          <w:color w:val="auto"/>
          <w:szCs w:val="21"/>
        </w:rPr>
        <w:t>（投标人名称）的法定代表人。</w:t>
      </w:r>
    </w:p>
    <w:p>
      <w:pPr>
        <w:spacing w:line="440" w:lineRule="exact"/>
        <w:ind w:firstLine="560"/>
        <w:rPr>
          <w:rFonts w:cs="Calibri"/>
          <w:color w:val="auto"/>
          <w:szCs w:val="21"/>
        </w:rPr>
      </w:pPr>
    </w:p>
    <w:p>
      <w:pPr>
        <w:spacing w:line="440" w:lineRule="exact"/>
        <w:rPr>
          <w:rFonts w:cs="Calibri"/>
          <w:color w:val="auto"/>
          <w:szCs w:val="21"/>
        </w:rPr>
      </w:pPr>
      <w:r>
        <w:rPr>
          <w:rFonts w:cs="Calibri"/>
          <w:color w:val="auto"/>
          <w:szCs w:val="21"/>
        </w:rPr>
        <w:t>特此证明。</w:t>
      </w:r>
    </w:p>
    <w:p>
      <w:pPr>
        <w:spacing w:line="440" w:lineRule="exact"/>
        <w:rPr>
          <w:rFonts w:cs="Calibri"/>
          <w:color w:val="auto"/>
          <w:szCs w:val="21"/>
        </w:rPr>
      </w:pPr>
      <w:r>
        <w:rPr>
          <w:rFonts w:cs="Calibri"/>
          <w:color w:val="auto"/>
          <w:szCs w:val="21"/>
        </w:rPr>
        <w:t>附：法定代表人身份证复印件</w:t>
      </w:r>
    </w:p>
    <w:p>
      <w:pPr>
        <w:spacing w:line="440" w:lineRule="exact"/>
        <w:rPr>
          <w:rFonts w:cs="Calibri"/>
          <w:color w:val="auto"/>
          <w:szCs w:val="21"/>
        </w:rPr>
      </w:pPr>
      <w:r>
        <w:rPr>
          <w:rFonts w:cs="Calibri"/>
          <w:color w:val="auto"/>
          <w:szCs w:val="21"/>
        </w:rPr>
        <w:t xml:space="preserve">投标人：（盖单位章） </w:t>
      </w:r>
    </w:p>
    <w:p>
      <w:pPr>
        <w:spacing w:line="440" w:lineRule="exact"/>
        <w:ind w:firstLine="6240" w:firstLineChars="2960"/>
        <w:rPr>
          <w:rFonts w:cs="Calibri"/>
          <w:b/>
          <w:color w:val="auto"/>
          <w:szCs w:val="21"/>
        </w:rPr>
      </w:pPr>
      <w:r>
        <w:rPr>
          <w:rFonts w:ascii="等线" w:hAnsi="等线" w:eastAsia="等线" w:cs="Calibri"/>
          <w:b/>
          <w:color w:val="auto"/>
          <w:kern w:val="2"/>
          <w:sz w:val="21"/>
          <w:szCs w:val="21"/>
          <w:lang w:val="en-US" w:eastAsia="zh-CN" w:bidi="ar-SA"/>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auto"/>
          <w:szCs w:val="21"/>
        </w:rPr>
        <w:t>日期：   年    月    日</w:t>
      </w:r>
    </w:p>
    <w:p>
      <w:pPr>
        <w:spacing w:line="440" w:lineRule="exact"/>
        <w:jc w:val="center"/>
        <w:rPr>
          <w:rFonts w:eastAsia="黑体" w:cs="Calibri"/>
          <w:color w:val="auto"/>
          <w:sz w:val="28"/>
          <w:szCs w:val="28"/>
        </w:rPr>
      </w:pPr>
      <w:r>
        <w:rPr>
          <w:rFonts w:cs="Calibri"/>
          <w:color w:val="auto"/>
          <w:szCs w:val="21"/>
        </w:rPr>
        <w:br w:type="page"/>
      </w:r>
      <w:r>
        <w:rPr>
          <w:rFonts w:hint="eastAsia" w:eastAsia="黑体" w:cs="Calibri"/>
          <w:color w:val="auto"/>
          <w:sz w:val="32"/>
          <w:szCs w:val="32"/>
        </w:rPr>
        <w:t>三</w:t>
      </w:r>
      <w:r>
        <w:rPr>
          <w:rFonts w:eastAsia="黑体" w:cs="Calibri"/>
          <w:color w:val="auto"/>
          <w:sz w:val="32"/>
          <w:szCs w:val="32"/>
        </w:rPr>
        <w:t>、授权委托书</w:t>
      </w:r>
    </w:p>
    <w:p>
      <w:pPr>
        <w:spacing w:line="440" w:lineRule="exact"/>
        <w:ind w:firstLine="420" w:firstLineChars="200"/>
        <w:rPr>
          <w:rFonts w:cs="Calibri"/>
          <w:color w:val="auto"/>
          <w:szCs w:val="21"/>
        </w:rPr>
      </w:pPr>
    </w:p>
    <w:p>
      <w:pPr>
        <w:spacing w:line="440" w:lineRule="exact"/>
        <w:ind w:firstLine="420" w:firstLineChars="200"/>
        <w:rPr>
          <w:rFonts w:cs="Calibri"/>
          <w:color w:val="auto"/>
          <w:szCs w:val="21"/>
        </w:rPr>
      </w:pPr>
      <w:r>
        <w:rPr>
          <w:rFonts w:cs="Calibri"/>
          <w:color w:val="auto"/>
          <w:szCs w:val="21"/>
        </w:rPr>
        <w:t>本人</w:t>
      </w:r>
      <w:r>
        <w:rPr>
          <w:rFonts w:cs="Calibri"/>
          <w:color w:val="auto"/>
          <w:szCs w:val="21"/>
          <w:u w:val="single"/>
        </w:rPr>
        <w:t xml:space="preserve">        </w:t>
      </w:r>
      <w:r>
        <w:rPr>
          <w:rFonts w:cs="Calibri"/>
          <w:color w:val="auto"/>
          <w:szCs w:val="21"/>
        </w:rPr>
        <w:t>（姓名）系</w:t>
      </w:r>
      <w:r>
        <w:rPr>
          <w:rFonts w:cs="Calibri"/>
          <w:color w:val="auto"/>
          <w:szCs w:val="21"/>
          <w:u w:val="single"/>
        </w:rPr>
        <w:t xml:space="preserve">                </w:t>
      </w:r>
      <w:r>
        <w:rPr>
          <w:rFonts w:cs="Calibri"/>
          <w:color w:val="auto"/>
          <w:szCs w:val="21"/>
        </w:rPr>
        <w:t>（投标人名称）的法定代表人，现委托</w:t>
      </w:r>
      <w:r>
        <w:rPr>
          <w:rFonts w:cs="Calibri"/>
          <w:color w:val="auto"/>
          <w:szCs w:val="21"/>
          <w:u w:val="single"/>
        </w:rPr>
        <w:t xml:space="preserve">      </w:t>
      </w:r>
      <w:r>
        <w:rPr>
          <w:rFonts w:cs="Calibri"/>
          <w:color w:val="auto"/>
          <w:szCs w:val="21"/>
        </w:rPr>
        <w:t>（姓名）为我方代理人。代理人根据授权，以我方名义签署、澄清、说明、补正、递交、撤回、修改</w:t>
      </w:r>
      <w:r>
        <w:rPr>
          <w:rFonts w:cs="Calibri"/>
          <w:color w:val="auto"/>
          <w:szCs w:val="21"/>
          <w:u w:val="single"/>
        </w:rPr>
        <w:t xml:space="preserve">              </w:t>
      </w:r>
      <w:r>
        <w:rPr>
          <w:rFonts w:cs="Calibri"/>
          <w:color w:val="auto"/>
          <w:szCs w:val="21"/>
        </w:rPr>
        <w:t>（项目名称）投标文件、签订合同和处理有关事宜，其法律后果由我方承担。</w:t>
      </w:r>
    </w:p>
    <w:p>
      <w:pPr>
        <w:spacing w:line="440" w:lineRule="exact"/>
        <w:ind w:firstLine="420" w:firstLineChars="200"/>
        <w:rPr>
          <w:rFonts w:cs="Calibri"/>
          <w:color w:val="auto"/>
          <w:szCs w:val="21"/>
        </w:rPr>
      </w:pPr>
      <w:r>
        <w:rPr>
          <w:rFonts w:cs="Calibri"/>
          <w:color w:val="auto"/>
          <w:szCs w:val="21"/>
        </w:rPr>
        <w:t>代理人无转委托权。</w:t>
      </w:r>
    </w:p>
    <w:p>
      <w:pPr>
        <w:spacing w:line="440" w:lineRule="exact"/>
        <w:ind w:firstLine="420" w:firstLineChars="200"/>
        <w:rPr>
          <w:rFonts w:cs="Calibri"/>
          <w:color w:val="auto"/>
          <w:szCs w:val="21"/>
        </w:rPr>
      </w:pPr>
      <w:r>
        <w:rPr>
          <w:rFonts w:cs="Calibri"/>
          <w:color w:val="auto"/>
          <w:szCs w:val="21"/>
        </w:rPr>
        <w:t>附：委托代理人身份证复印件</w:t>
      </w:r>
    </w:p>
    <w:p>
      <w:pPr>
        <w:spacing w:line="440" w:lineRule="exact"/>
        <w:rPr>
          <w:rFonts w:cs="Calibri"/>
          <w:color w:val="auto"/>
          <w:szCs w:val="21"/>
        </w:rPr>
      </w:pPr>
    </w:p>
    <w:p>
      <w:pPr>
        <w:spacing w:line="440" w:lineRule="exact"/>
        <w:rPr>
          <w:rFonts w:cs="Calibri"/>
          <w:color w:val="auto"/>
          <w:szCs w:val="21"/>
        </w:rPr>
      </w:pPr>
      <w:r>
        <w:rPr>
          <w:rFonts w:cs="Calibri"/>
          <w:color w:val="auto"/>
          <w:szCs w:val="21"/>
        </w:rPr>
        <w:t>投标人：（盖单位章）</w:t>
      </w:r>
    </w:p>
    <w:p>
      <w:pPr>
        <w:spacing w:line="440" w:lineRule="exact"/>
        <w:rPr>
          <w:rFonts w:cs="Calibri"/>
          <w:color w:val="auto"/>
          <w:szCs w:val="21"/>
        </w:rPr>
      </w:pPr>
      <w:r>
        <w:rPr>
          <w:rFonts w:cs="Calibri"/>
          <w:color w:val="auto"/>
          <w:szCs w:val="21"/>
        </w:rPr>
        <w:t>法定代表人：（签字或盖章）</w:t>
      </w:r>
    </w:p>
    <w:p>
      <w:pPr>
        <w:spacing w:line="440" w:lineRule="exact"/>
        <w:rPr>
          <w:rFonts w:cs="Calibri"/>
          <w:color w:val="auto"/>
          <w:szCs w:val="21"/>
        </w:rPr>
      </w:pPr>
      <w:r>
        <w:rPr>
          <w:rFonts w:cs="Calibri"/>
          <w:color w:val="auto"/>
          <w:szCs w:val="21"/>
        </w:rPr>
        <w:t>身份证号码：</w:t>
      </w:r>
    </w:p>
    <w:p>
      <w:pPr>
        <w:spacing w:line="440" w:lineRule="exact"/>
        <w:rPr>
          <w:rFonts w:cs="Calibri"/>
          <w:color w:val="auto"/>
          <w:szCs w:val="21"/>
        </w:rPr>
      </w:pPr>
    </w:p>
    <w:p>
      <w:pPr>
        <w:spacing w:line="440" w:lineRule="exact"/>
        <w:rPr>
          <w:rFonts w:cs="Calibri"/>
          <w:color w:val="auto"/>
          <w:szCs w:val="21"/>
        </w:rPr>
      </w:pPr>
      <w:r>
        <w:rPr>
          <w:rFonts w:cs="Calibri"/>
          <w:color w:val="auto"/>
          <w:szCs w:val="21"/>
        </w:rPr>
        <w:t>委托的代理人：（签字或盖章）</w:t>
      </w:r>
    </w:p>
    <w:p>
      <w:pPr>
        <w:spacing w:line="440" w:lineRule="exact"/>
        <w:rPr>
          <w:rFonts w:cs="Calibri"/>
          <w:color w:val="auto"/>
          <w:szCs w:val="21"/>
        </w:rPr>
      </w:pPr>
      <w:r>
        <w:rPr>
          <w:rFonts w:cs="Calibri"/>
          <w:color w:val="auto"/>
          <w:szCs w:val="21"/>
        </w:rPr>
        <w:t>身份证号码：</w:t>
      </w:r>
    </w:p>
    <w:p>
      <w:pPr>
        <w:spacing w:line="440" w:lineRule="exact"/>
        <w:ind w:firstLine="4515" w:firstLineChars="2150"/>
        <w:rPr>
          <w:rFonts w:cs="Calibri"/>
          <w:color w:val="auto"/>
          <w:szCs w:val="21"/>
        </w:rPr>
      </w:pPr>
      <w:r>
        <w:rPr>
          <w:rFonts w:cs="Calibri"/>
          <w:color w:val="auto"/>
          <w:szCs w:val="21"/>
        </w:rPr>
        <w:t>日期：</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napToGrid w:val="0"/>
        <w:spacing w:line="440" w:lineRule="exact"/>
        <w:rPr>
          <w:rFonts w:cs="Calibri"/>
          <w:color w:val="auto"/>
          <w:szCs w:val="21"/>
        </w:rPr>
      </w:pPr>
      <w:r>
        <w:rPr>
          <w:rFonts w:ascii="等线" w:hAnsi="等线" w:eastAsia="等线" w:cs="Calibri"/>
          <w:b/>
          <w:color w:val="auto"/>
          <w:kern w:val="2"/>
          <w:sz w:val="21"/>
          <w:szCs w:val="21"/>
          <w:lang w:val="en-US" w:eastAsia="zh-CN" w:bidi="ar-SA"/>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auto"/>
          <w:szCs w:val="21"/>
        </w:rPr>
        <w:t xml:space="preserve">                                  </w:t>
      </w:r>
    </w:p>
    <w:p>
      <w:pPr>
        <w:spacing w:line="440" w:lineRule="exact"/>
        <w:rPr>
          <w:rFonts w:cs="Calibri"/>
          <w:b/>
          <w:bCs/>
          <w:color w:val="auto"/>
          <w:szCs w:val="21"/>
        </w:rPr>
      </w:pPr>
      <w:r>
        <w:rPr>
          <w:rFonts w:cs="Calibri"/>
          <w:b/>
          <w:bCs/>
          <w:color w:val="auto"/>
          <w:szCs w:val="21"/>
        </w:rPr>
        <w:t xml:space="preserve">  </w:t>
      </w:r>
    </w:p>
    <w:p>
      <w:pPr>
        <w:spacing w:line="440" w:lineRule="exact"/>
        <w:rPr>
          <w:rFonts w:cs="Calibri"/>
          <w:b/>
          <w:bCs/>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color w:val="auto"/>
          <w:szCs w:val="21"/>
        </w:rPr>
      </w:pPr>
    </w:p>
    <w:p>
      <w:pPr>
        <w:spacing w:line="440" w:lineRule="exact"/>
        <w:rPr>
          <w:rFonts w:cs="Calibri"/>
          <w:b/>
          <w:bCs/>
          <w:color w:val="auto"/>
          <w:szCs w:val="21"/>
        </w:rPr>
      </w:pPr>
      <w:r>
        <w:rPr>
          <w:rFonts w:cs="Calibri"/>
          <w:color w:val="auto"/>
          <w:szCs w:val="21"/>
        </w:rPr>
        <w:t>注：如投标文件由委托代理人签字或盖章的，投标文件必须附此授权委托书。</w:t>
      </w:r>
      <w:r>
        <w:rPr>
          <w:rFonts w:cs="Calibri"/>
          <w:b/>
          <w:bCs/>
          <w:color w:val="auto"/>
          <w:szCs w:val="21"/>
        </w:rPr>
        <w:t xml:space="preserve">     </w:t>
      </w:r>
    </w:p>
    <w:p>
      <w:pPr>
        <w:spacing w:line="440" w:lineRule="exact"/>
        <w:rPr>
          <w:rFonts w:cs="Calibri"/>
          <w:b/>
          <w:bCs/>
          <w:color w:val="auto"/>
          <w:szCs w:val="21"/>
        </w:rPr>
      </w:pPr>
    </w:p>
    <w:p>
      <w:pPr>
        <w:spacing w:line="440" w:lineRule="exact"/>
        <w:rPr>
          <w:rFonts w:cs="Calibri"/>
          <w:b/>
          <w:bCs/>
          <w:color w:val="auto"/>
          <w:sz w:val="32"/>
        </w:rPr>
      </w:pPr>
    </w:p>
    <w:p>
      <w:pPr>
        <w:widowControl/>
        <w:jc w:val="left"/>
        <w:rPr>
          <w:rFonts w:cs="Calibri"/>
          <w:b/>
          <w:bCs/>
          <w:color w:val="auto"/>
          <w:sz w:val="32"/>
        </w:rPr>
      </w:pPr>
      <w:r>
        <w:rPr>
          <w:rFonts w:cs="Calibri"/>
          <w:b/>
          <w:bCs/>
          <w:color w:val="auto"/>
          <w:sz w:val="32"/>
        </w:rPr>
        <w:br w:type="page"/>
      </w:r>
    </w:p>
    <w:p>
      <w:pPr>
        <w:spacing w:line="440" w:lineRule="exact"/>
        <w:jc w:val="center"/>
        <w:rPr>
          <w:rFonts w:eastAsia="黑体" w:cs="Calibri"/>
          <w:color w:val="auto"/>
          <w:sz w:val="32"/>
          <w:szCs w:val="32"/>
        </w:rPr>
      </w:pPr>
      <w:r>
        <w:rPr>
          <w:rFonts w:hint="eastAsia" w:eastAsia="黑体" w:cs="Calibri"/>
          <w:color w:val="auto"/>
          <w:sz w:val="32"/>
          <w:szCs w:val="32"/>
        </w:rPr>
        <w:t>四</w:t>
      </w:r>
      <w:r>
        <w:rPr>
          <w:rFonts w:eastAsia="黑体" w:cs="Calibri"/>
          <w:color w:val="auto"/>
          <w:sz w:val="32"/>
          <w:szCs w:val="32"/>
        </w:rPr>
        <w:t>、投标报价表</w:t>
      </w:r>
    </w:p>
    <w:p>
      <w:pPr>
        <w:rPr>
          <w:rFonts w:cs="Calibri"/>
          <w:color w:val="auto"/>
          <w:sz w:val="24"/>
        </w:rPr>
      </w:pPr>
    </w:p>
    <w:p>
      <w:pPr>
        <w:jc w:val="right"/>
        <w:rPr>
          <w:rFonts w:cs="Calibri"/>
          <w:bCs/>
          <w:color w:val="auto"/>
          <w:sz w:val="24"/>
        </w:rPr>
      </w:pPr>
      <w:r>
        <w:rPr>
          <w:rFonts w:hint="eastAsia" w:cs="Calibri"/>
          <w:bCs/>
          <w:color w:val="auto"/>
          <w:sz w:val="24"/>
        </w:rPr>
        <w:t>单位：元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color w:val="auto"/>
                <w:szCs w:val="21"/>
              </w:rPr>
            </w:pPr>
            <w:r>
              <w:rPr>
                <w:rFonts w:cs="Calibri"/>
                <w:color w:val="auto"/>
                <w:szCs w:val="21"/>
              </w:rPr>
              <w:t>序号</w:t>
            </w:r>
          </w:p>
        </w:tc>
        <w:tc>
          <w:tcPr>
            <w:tcW w:w="3155" w:type="dxa"/>
            <w:vAlign w:val="center"/>
          </w:tcPr>
          <w:p>
            <w:pPr>
              <w:jc w:val="center"/>
              <w:rPr>
                <w:rFonts w:cs="Calibri"/>
                <w:color w:val="auto"/>
                <w:szCs w:val="21"/>
              </w:rPr>
            </w:pPr>
            <w:r>
              <w:rPr>
                <w:rFonts w:cs="Calibri"/>
                <w:color w:val="auto"/>
                <w:szCs w:val="21"/>
              </w:rPr>
              <w:t>费用名称</w:t>
            </w:r>
          </w:p>
        </w:tc>
        <w:tc>
          <w:tcPr>
            <w:tcW w:w="4536" w:type="dxa"/>
            <w:tcBorders>
              <w:left w:val="single" w:color="auto" w:sz="4" w:space="0"/>
            </w:tcBorders>
            <w:vAlign w:val="center"/>
          </w:tcPr>
          <w:p>
            <w:pPr>
              <w:jc w:val="center"/>
              <w:rPr>
                <w:rFonts w:cs="Calibri"/>
                <w:color w:val="auto"/>
                <w:szCs w:val="21"/>
              </w:rPr>
            </w:pPr>
            <w:r>
              <w:rPr>
                <w:rFonts w:cs="Calibri"/>
                <w:color w:val="auto"/>
                <w:szCs w:val="21"/>
              </w:rPr>
              <w:t>投标</w:t>
            </w:r>
            <w:r>
              <w:rPr>
                <w:rFonts w:hint="eastAsia" w:cs="Calibri"/>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color w:val="auto"/>
                <w:szCs w:val="21"/>
              </w:rPr>
            </w:pPr>
            <w:r>
              <w:rPr>
                <w:rFonts w:cs="Calibri"/>
                <w:bCs/>
                <w:color w:val="auto"/>
                <w:szCs w:val="21"/>
              </w:rPr>
              <w:t>1</w:t>
            </w:r>
          </w:p>
        </w:tc>
        <w:tc>
          <w:tcPr>
            <w:tcW w:w="3155" w:type="dxa"/>
            <w:vAlign w:val="center"/>
          </w:tcPr>
          <w:p>
            <w:pPr>
              <w:jc w:val="center"/>
              <w:rPr>
                <w:rFonts w:cs="Calibri"/>
                <w:color w:val="auto"/>
                <w:szCs w:val="21"/>
              </w:rPr>
            </w:pPr>
            <w:r>
              <w:rPr>
                <w:rFonts w:hint="eastAsia" w:cs="Calibri"/>
                <w:color w:val="auto"/>
                <w:szCs w:val="21"/>
              </w:rPr>
              <w:t>第一年</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r>
              <w:rPr>
                <w:rFonts w:hint="eastAsia" w:cs="Calibri"/>
                <w:bCs/>
                <w:color w:val="auto"/>
                <w:szCs w:val="21"/>
              </w:rPr>
              <w:t>2</w:t>
            </w:r>
          </w:p>
        </w:tc>
        <w:tc>
          <w:tcPr>
            <w:tcW w:w="3155" w:type="dxa"/>
            <w:vAlign w:val="center"/>
          </w:tcPr>
          <w:p>
            <w:pPr>
              <w:jc w:val="center"/>
              <w:rPr>
                <w:rFonts w:cs="Calibri"/>
                <w:color w:val="auto"/>
                <w:szCs w:val="21"/>
              </w:rPr>
            </w:pPr>
            <w:r>
              <w:rPr>
                <w:rFonts w:hint="eastAsia" w:cs="Calibri"/>
                <w:color w:val="auto"/>
                <w:szCs w:val="21"/>
              </w:rPr>
              <w:t>第二年</w:t>
            </w: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p>
        </w:tc>
        <w:tc>
          <w:tcPr>
            <w:tcW w:w="4536" w:type="dxa"/>
            <w:tcBorders>
              <w:left w:val="single" w:color="auto" w:sz="4" w:space="0"/>
            </w:tcBorders>
            <w:vAlign w:val="center"/>
          </w:tcPr>
          <w:p>
            <w:pPr>
              <w:jc w:val="right"/>
              <w:rPr>
                <w:rFonts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color w:val="auto"/>
                <w:szCs w:val="21"/>
              </w:rPr>
            </w:pPr>
          </w:p>
        </w:tc>
        <w:tc>
          <w:tcPr>
            <w:tcW w:w="3155" w:type="dxa"/>
            <w:vAlign w:val="center"/>
          </w:tcPr>
          <w:p>
            <w:pPr>
              <w:jc w:val="center"/>
              <w:rPr>
                <w:rFonts w:cs="Calibri"/>
                <w:color w:val="auto"/>
                <w:szCs w:val="21"/>
              </w:rPr>
            </w:pPr>
            <w:r>
              <w:rPr>
                <w:rFonts w:hint="eastAsia" w:cs="Calibri"/>
                <w:color w:val="auto"/>
                <w:szCs w:val="21"/>
              </w:rPr>
              <w:t>合  计</w:t>
            </w:r>
          </w:p>
        </w:tc>
        <w:tc>
          <w:tcPr>
            <w:tcW w:w="4536" w:type="dxa"/>
            <w:tcBorders>
              <w:left w:val="single" w:color="auto" w:sz="4" w:space="0"/>
            </w:tcBorders>
            <w:vAlign w:val="center"/>
          </w:tcPr>
          <w:p>
            <w:pPr>
              <w:jc w:val="right"/>
              <w:rPr>
                <w:rFonts w:cs="Calibri"/>
                <w:bCs/>
                <w:color w:val="auto"/>
                <w:szCs w:val="21"/>
              </w:rPr>
            </w:pPr>
          </w:p>
        </w:tc>
      </w:tr>
    </w:tbl>
    <w:p>
      <w:pPr>
        <w:adjustRightInd w:val="0"/>
        <w:snapToGrid w:val="0"/>
        <w:jc w:val="left"/>
        <w:rPr>
          <w:rFonts w:cs="Calibri"/>
          <w:b/>
          <w:color w:val="auto"/>
          <w:szCs w:val="21"/>
        </w:rPr>
      </w:pPr>
    </w:p>
    <w:p>
      <w:pPr>
        <w:adjustRightInd w:val="0"/>
        <w:snapToGrid w:val="0"/>
        <w:jc w:val="left"/>
        <w:rPr>
          <w:rFonts w:ascii="仿宋_GB2312" w:hAnsi="仿宋_GB2312" w:eastAsia="仿宋_GB2312" w:cs="仿宋_GB2312"/>
          <w:color w:val="auto"/>
          <w:sz w:val="28"/>
          <w:szCs w:val="28"/>
        </w:rPr>
      </w:pPr>
    </w:p>
    <w:p>
      <w:pPr>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4.1设备维护费分项报价表</w:t>
      </w:r>
    </w:p>
    <w:p>
      <w:pPr>
        <w:jc w:val="left"/>
        <w:rPr>
          <w:rFonts w:ascii="仿宋_GB2312" w:hAnsi="仿宋_GB2312" w:eastAsia="仿宋_GB2312" w:cs="仿宋_GB2312"/>
          <w:color w:val="auto"/>
          <w:sz w:val="28"/>
          <w:szCs w:val="28"/>
        </w:rPr>
      </w:pPr>
    </w:p>
    <w:tbl>
      <w:tblPr>
        <w:tblStyle w:val="53"/>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名称</w:t>
            </w:r>
          </w:p>
        </w:tc>
        <w:tc>
          <w:tcPr>
            <w:tcW w:w="2835" w:type="dxa"/>
            <w:vAlign w:val="center"/>
          </w:tcPr>
          <w:p>
            <w:pPr>
              <w:widowControl/>
              <w:spacing w:line="560" w:lineRule="exact"/>
              <w:ind w:firstLine="280" w:firstLineChars="10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型号</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数量</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维保单价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（元/年）</w:t>
            </w:r>
          </w:p>
        </w:tc>
        <w:tc>
          <w:tcPr>
            <w:tcW w:w="1215"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w:t>
            </w:r>
          </w:p>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w:t>
            </w: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NP125/200v-11/4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NP200/250v-30/4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NP150/400v-75/4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NP65/250v-55/4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NP250/355v-90/4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NP125/315v-37/4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1559"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威乐水泵</w:t>
            </w:r>
          </w:p>
        </w:tc>
        <w:tc>
          <w:tcPr>
            <w:tcW w:w="2835" w:type="dxa"/>
            <w:vAlign w:val="center"/>
          </w:tcPr>
          <w:p>
            <w:pPr>
              <w:jc w:val="center"/>
              <w:rPr>
                <w:rFonts w:ascii="仿宋_GB2312" w:hAnsi="仿宋_GB2312" w:eastAsia="仿宋_GB2312" w:cs="仿宋_GB2312"/>
                <w:color w:val="auto"/>
                <w:sz w:val="28"/>
                <w:szCs w:val="28"/>
              </w:rPr>
            </w:pPr>
            <w:r>
              <w:rPr>
                <w:rFonts w:hint="eastAsia" w:ascii="仿宋_GB2312" w:hAnsi="宋体" w:eastAsia="仿宋_GB2312"/>
                <w:color w:val="auto"/>
                <w:sz w:val="28"/>
                <w:szCs w:val="28"/>
              </w:rPr>
              <w:t>NP100/200v-7.5/4</w:t>
            </w:r>
          </w:p>
        </w:tc>
        <w:tc>
          <w:tcPr>
            <w:tcW w:w="56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1550" w:type="dxa"/>
            <w:vAlign w:val="center"/>
          </w:tcPr>
          <w:p>
            <w:pPr>
              <w:widowControl/>
              <w:spacing w:line="560" w:lineRule="exact"/>
              <w:jc w:val="center"/>
              <w:rPr>
                <w:rFonts w:ascii="仿宋_GB2312" w:hAnsi="仿宋_GB2312" w:eastAsia="仿宋_GB2312" w:cs="仿宋_GB2312"/>
                <w:color w:val="auto"/>
                <w:sz w:val="28"/>
                <w:szCs w:val="28"/>
              </w:rPr>
            </w:pPr>
          </w:p>
        </w:tc>
        <w:tc>
          <w:tcPr>
            <w:tcW w:w="1215" w:type="dxa"/>
            <w:vAlign w:val="center"/>
          </w:tcPr>
          <w:p>
            <w:pPr>
              <w:widowControl/>
              <w:spacing w:line="560" w:lineRule="exact"/>
              <w:jc w:val="center"/>
              <w:rPr>
                <w:rFonts w:ascii="仿宋_GB2312" w:hAnsi="仿宋_GB2312" w:eastAsia="仿宋_GB2312" w:cs="仿宋_GB2312"/>
                <w:color w:val="auto"/>
                <w:sz w:val="28"/>
                <w:szCs w:val="28"/>
              </w:rPr>
            </w:pPr>
          </w:p>
        </w:tc>
        <w:tc>
          <w:tcPr>
            <w:tcW w:w="1487" w:type="dxa"/>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服务费</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税金</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外包费用总计</w:t>
            </w:r>
          </w:p>
        </w:tc>
        <w:tc>
          <w:tcPr>
            <w:tcW w:w="7654" w:type="dxa"/>
            <w:gridSpan w:val="5"/>
            <w:vAlign w:val="center"/>
          </w:tcPr>
          <w:p>
            <w:pPr>
              <w:widowControl/>
              <w:spacing w:line="560" w:lineRule="exact"/>
              <w:jc w:val="center"/>
              <w:rPr>
                <w:rFonts w:ascii="仿宋_GB2312" w:hAnsi="仿宋_GB2312" w:eastAsia="仿宋_GB2312" w:cs="仿宋_GB2312"/>
                <w:color w:val="auto"/>
                <w:sz w:val="28"/>
                <w:szCs w:val="28"/>
              </w:rPr>
            </w:pPr>
          </w:p>
        </w:tc>
      </w:tr>
    </w:tbl>
    <w:p>
      <w:pPr>
        <w:jc w:val="left"/>
        <w:rPr>
          <w:rFonts w:cs="Calibri"/>
          <w:color w:val="auto"/>
          <w:szCs w:val="21"/>
        </w:rPr>
      </w:pPr>
    </w:p>
    <w:p>
      <w:pPr>
        <w:jc w:val="left"/>
        <w:rPr>
          <w:rFonts w:cs="Calibri"/>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9" w:firstLineChars="1890"/>
        <w:rPr>
          <w:rFonts w:cs="Calibri"/>
          <w:color w:val="auto"/>
          <w:szCs w:val="21"/>
        </w:rPr>
      </w:pPr>
      <w:r>
        <w:rPr>
          <w:rFonts w:cs="Calibri"/>
          <w:color w:val="auto"/>
          <w:szCs w:val="21"/>
        </w:rPr>
        <w:t>投标人：（盖单位章）</w:t>
      </w:r>
    </w:p>
    <w:p>
      <w:pPr>
        <w:snapToGrid w:val="0"/>
        <w:spacing w:line="440" w:lineRule="exact"/>
        <w:ind w:firstLine="3969"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9" w:firstLineChars="1890"/>
        <w:rPr>
          <w:rFonts w:cs="Calibri"/>
          <w:color w:val="auto"/>
          <w:szCs w:val="21"/>
        </w:rPr>
      </w:pPr>
      <w:r>
        <w:rPr>
          <w:rFonts w:cs="Calibri"/>
          <w:color w:val="auto"/>
          <w:szCs w:val="21"/>
        </w:rPr>
        <w:t>日期：    年     月     日</w:t>
      </w:r>
    </w:p>
    <w:p>
      <w:pPr>
        <w:adjustRightInd w:val="0"/>
        <w:snapToGrid w:val="0"/>
        <w:jc w:val="left"/>
        <w:rPr>
          <w:rFonts w:cs="Calibri"/>
          <w:b/>
          <w:color w:val="auto"/>
          <w:szCs w:val="21"/>
        </w:rPr>
      </w:pPr>
    </w:p>
    <w:p>
      <w:pPr>
        <w:spacing w:line="440" w:lineRule="exact"/>
        <w:rPr>
          <w:rFonts w:cs="Calibri"/>
          <w:b/>
          <w:bCs/>
          <w:color w:val="auto"/>
          <w:sz w:val="32"/>
        </w:rPr>
      </w:pPr>
      <w:r>
        <w:rPr>
          <w:rFonts w:eastAsia="黑体" w:cs="Calibri"/>
          <w:bCs/>
          <w:color w:val="auto"/>
          <w:szCs w:val="21"/>
        </w:rPr>
        <w:br w:type="page"/>
      </w:r>
    </w:p>
    <w:p>
      <w:pPr>
        <w:spacing w:line="440" w:lineRule="exact"/>
        <w:jc w:val="center"/>
        <w:rPr>
          <w:rFonts w:eastAsia="黑体" w:cs="Calibri"/>
          <w:color w:val="auto"/>
          <w:sz w:val="32"/>
          <w:szCs w:val="32"/>
        </w:rPr>
      </w:pPr>
      <w:r>
        <w:rPr>
          <w:rFonts w:eastAsia="黑体" w:cs="Calibri"/>
          <w:color w:val="auto"/>
          <w:sz w:val="32"/>
          <w:szCs w:val="32"/>
        </w:rPr>
        <w:t>五、投标人资格证明文件</w:t>
      </w:r>
    </w:p>
    <w:p>
      <w:pPr>
        <w:spacing w:line="440" w:lineRule="exact"/>
        <w:jc w:val="center"/>
        <w:rPr>
          <w:rFonts w:eastAsia="黑体" w:cs="Calibri"/>
          <w:color w:val="auto"/>
          <w:sz w:val="32"/>
          <w:szCs w:val="32"/>
        </w:rPr>
      </w:pPr>
    </w:p>
    <w:p>
      <w:pPr>
        <w:spacing w:line="440" w:lineRule="exact"/>
        <w:jc w:val="center"/>
        <w:rPr>
          <w:rFonts w:eastAsia="黑体" w:cs="Calibri"/>
          <w:color w:val="auto"/>
          <w:sz w:val="32"/>
          <w:szCs w:val="32"/>
        </w:rPr>
      </w:pPr>
      <w:r>
        <w:rPr>
          <w:rFonts w:eastAsia="黑体" w:cs="Calibri"/>
          <w:color w:val="auto"/>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企业技术</w:t>
            </w:r>
          </w:p>
          <w:p>
            <w:pPr>
              <w:snapToGrid w:val="0"/>
              <w:jc w:val="center"/>
              <w:rPr>
                <w:rFonts w:cs="Calibri"/>
                <w:color w:val="auto"/>
                <w:szCs w:val="21"/>
              </w:rPr>
            </w:pPr>
            <w:r>
              <w:rPr>
                <w:rFonts w:cs="Calibri"/>
                <w:color w:val="auto"/>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p>
            <w:pPr>
              <w:snapToGrid w:val="0"/>
              <w:ind w:firstLine="210" w:firstLineChars="100"/>
              <w:jc w:val="center"/>
              <w:rPr>
                <w:rFonts w:cs="Calibri"/>
                <w:color w:val="auto"/>
                <w:szCs w:val="21"/>
              </w:rPr>
            </w:pPr>
            <w:r>
              <w:rPr>
                <w:rFonts w:cs="Calibri"/>
                <w:color w:val="auto"/>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p>
            <w:pPr>
              <w:snapToGrid w:val="0"/>
              <w:ind w:firstLine="210" w:firstLineChars="100"/>
              <w:jc w:val="center"/>
              <w:rPr>
                <w:rFonts w:cs="Calibri"/>
                <w:color w:val="auto"/>
                <w:szCs w:val="21"/>
              </w:rPr>
            </w:pPr>
            <w:r>
              <w:rPr>
                <w:rFonts w:cs="Calibri"/>
                <w:color w:val="auto"/>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cs="Calibri"/>
                <w:color w:val="auto"/>
                <w:szCs w:val="21"/>
              </w:rPr>
            </w:pPr>
            <w:r>
              <w:rPr>
                <w:rFonts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联系人姓名</w:t>
            </w:r>
          </w:p>
          <w:p>
            <w:pPr>
              <w:snapToGrid w:val="0"/>
              <w:jc w:val="center"/>
              <w:rPr>
                <w:rFonts w:cs="Calibri"/>
                <w:color w:val="auto"/>
                <w:szCs w:val="21"/>
              </w:rPr>
            </w:pPr>
            <w:r>
              <w:rPr>
                <w:rFonts w:cs="Calibri"/>
                <w:color w:val="auto"/>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过去3年完成</w:t>
            </w:r>
          </w:p>
          <w:p>
            <w:pPr>
              <w:snapToGrid w:val="0"/>
              <w:jc w:val="center"/>
              <w:rPr>
                <w:rFonts w:cs="Calibri"/>
                <w:color w:val="auto"/>
                <w:szCs w:val="21"/>
              </w:rPr>
            </w:pPr>
            <w:r>
              <w:rPr>
                <w:rFonts w:cs="Calibri"/>
                <w:color w:val="auto"/>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auto"/>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r>
              <w:rPr>
                <w:rFonts w:cs="Calibri"/>
                <w:color w:val="auto"/>
                <w:szCs w:val="21"/>
              </w:rPr>
              <w:t xml:space="preserve">        </w:t>
            </w:r>
          </w:p>
        </w:tc>
      </w:tr>
    </w:tbl>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widowControl/>
        <w:jc w:val="left"/>
        <w:rPr>
          <w:rFonts w:cs="Calibri"/>
          <w:b/>
          <w:color w:val="auto"/>
          <w:sz w:val="36"/>
          <w:szCs w:val="36"/>
        </w:rPr>
      </w:pPr>
      <w:r>
        <w:rPr>
          <w:rFonts w:cs="Calibri"/>
          <w:b/>
          <w:color w:val="auto"/>
          <w:sz w:val="36"/>
          <w:szCs w:val="36"/>
        </w:rPr>
        <w:br w:type="page"/>
      </w:r>
    </w:p>
    <w:p>
      <w:pPr>
        <w:spacing w:line="440" w:lineRule="exact"/>
        <w:jc w:val="center"/>
        <w:rPr>
          <w:rFonts w:eastAsia="黑体" w:cs="Calibri"/>
          <w:color w:val="auto"/>
          <w:sz w:val="32"/>
          <w:szCs w:val="32"/>
        </w:rPr>
      </w:pPr>
      <w:r>
        <w:rPr>
          <w:rFonts w:eastAsia="黑体" w:cs="Calibri"/>
          <w:color w:val="auto"/>
          <w:sz w:val="32"/>
          <w:szCs w:val="32"/>
        </w:rPr>
        <w:t>（二）近三年完成类似</w:t>
      </w:r>
      <w:r>
        <w:rPr>
          <w:rFonts w:hint="eastAsia" w:eastAsia="黑体" w:cs="Calibri"/>
          <w:color w:val="auto"/>
          <w:sz w:val="32"/>
          <w:szCs w:val="32"/>
        </w:rPr>
        <w:t>项目业绩</w:t>
      </w:r>
      <w:r>
        <w:rPr>
          <w:rFonts w:eastAsia="黑体" w:cs="Calibri"/>
          <w:color w:val="auto"/>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p>
            <w:pPr>
              <w:snapToGrid w:val="0"/>
              <w:jc w:val="center"/>
              <w:rPr>
                <w:rFonts w:cs="Calibri"/>
                <w:color w:val="auto"/>
                <w:szCs w:val="21"/>
              </w:rPr>
            </w:pPr>
            <w:r>
              <w:rPr>
                <w:rFonts w:cs="Calibri"/>
                <w:color w:val="auto"/>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质量达到</w:t>
            </w:r>
          </w:p>
          <w:p>
            <w:pPr>
              <w:snapToGrid w:val="0"/>
              <w:jc w:val="center"/>
              <w:rPr>
                <w:rFonts w:cs="Calibri"/>
                <w:color w:val="auto"/>
                <w:szCs w:val="21"/>
              </w:rPr>
            </w:pPr>
            <w:r>
              <w:rPr>
                <w:rFonts w:cs="Calibri"/>
                <w:color w:val="auto"/>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24"/>
              <w:spacing w:line="360" w:lineRule="auto"/>
              <w:ind w:left="5250"/>
              <w:rPr>
                <w:rFonts w:ascii="Calibri" w:hAnsi="Calibri" w:cs="Calibri"/>
                <w:color w:val="auto"/>
                <w:kern w:val="2"/>
                <w:sz w:val="21"/>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cs="Calibri"/>
                <w:color w:val="auto"/>
                <w:szCs w:val="21"/>
              </w:rPr>
            </w:pPr>
          </w:p>
        </w:tc>
      </w:tr>
    </w:tbl>
    <w:p>
      <w:pPr>
        <w:spacing w:line="360" w:lineRule="auto"/>
        <w:jc w:val="left"/>
        <w:rPr>
          <w:rFonts w:cs="Calibri"/>
          <w:b/>
          <w:color w:val="auto"/>
          <w:sz w:val="36"/>
          <w:szCs w:val="36"/>
        </w:rPr>
      </w:pPr>
      <w:r>
        <w:rPr>
          <w:rFonts w:cs="Calibri"/>
          <w:color w:val="auto"/>
          <w:szCs w:val="21"/>
        </w:rPr>
        <w:t>注：附</w:t>
      </w:r>
      <w:r>
        <w:rPr>
          <w:rFonts w:hint="eastAsia" w:cs="Calibri"/>
          <w:color w:val="auto"/>
          <w:szCs w:val="21"/>
        </w:rPr>
        <w:t>服务</w:t>
      </w:r>
      <w:r>
        <w:rPr>
          <w:rFonts w:cs="Calibri"/>
          <w:color w:val="auto"/>
          <w:szCs w:val="21"/>
        </w:rPr>
        <w:t>合同等相应证明文件</w:t>
      </w:r>
    </w:p>
    <w:p>
      <w:pPr>
        <w:spacing w:line="440" w:lineRule="exact"/>
        <w:jc w:val="center"/>
        <w:rPr>
          <w:rFonts w:eastAsia="黑体" w:cs="Calibri"/>
          <w:color w:val="auto"/>
          <w:sz w:val="32"/>
          <w:szCs w:val="32"/>
        </w:rPr>
      </w:pPr>
    </w:p>
    <w:p>
      <w:pPr>
        <w:spacing w:line="440" w:lineRule="exact"/>
        <w:jc w:val="center"/>
        <w:rPr>
          <w:rFonts w:eastAsia="黑体" w:cs="Calibri"/>
          <w:color w:val="auto"/>
          <w:sz w:val="32"/>
          <w:szCs w:val="32"/>
        </w:rPr>
      </w:pPr>
    </w:p>
    <w:p>
      <w:pPr>
        <w:widowControl/>
        <w:jc w:val="left"/>
        <w:rPr>
          <w:rFonts w:eastAsia="黑体" w:cs="Calibri"/>
          <w:color w:val="auto"/>
          <w:sz w:val="32"/>
          <w:szCs w:val="32"/>
        </w:rPr>
      </w:pPr>
      <w:r>
        <w:rPr>
          <w:rFonts w:eastAsia="黑体" w:cs="Calibri"/>
          <w:color w:val="auto"/>
          <w:sz w:val="32"/>
          <w:szCs w:val="32"/>
        </w:rPr>
        <w:br w:type="page"/>
      </w:r>
    </w:p>
    <w:p>
      <w:pPr>
        <w:spacing w:line="440" w:lineRule="exact"/>
        <w:jc w:val="center"/>
        <w:rPr>
          <w:rFonts w:eastAsia="黑体" w:cs="Calibri"/>
          <w:color w:val="auto"/>
          <w:sz w:val="32"/>
          <w:szCs w:val="32"/>
        </w:rPr>
      </w:pPr>
      <w:r>
        <w:rPr>
          <w:rFonts w:eastAsia="黑体" w:cs="Calibri"/>
          <w:color w:val="auto"/>
          <w:sz w:val="32"/>
          <w:szCs w:val="32"/>
        </w:rPr>
        <w:t>六、</w:t>
      </w:r>
      <w:r>
        <w:rPr>
          <w:rFonts w:hint="eastAsia" w:eastAsia="黑体" w:cs="Calibri"/>
          <w:color w:val="auto"/>
          <w:sz w:val="32"/>
          <w:szCs w:val="32"/>
        </w:rPr>
        <w:t>服务大纲</w:t>
      </w:r>
    </w:p>
    <w:p>
      <w:pPr>
        <w:spacing w:line="440" w:lineRule="exact"/>
        <w:jc w:val="center"/>
        <w:rPr>
          <w:rFonts w:eastAsia="黑体" w:cs="Calibri"/>
          <w:color w:val="auto"/>
          <w:sz w:val="32"/>
          <w:szCs w:val="32"/>
        </w:rPr>
      </w:pPr>
      <w:r>
        <w:rPr>
          <w:rFonts w:eastAsia="黑体" w:cs="Calibri"/>
          <w:color w:val="auto"/>
          <w:sz w:val="32"/>
          <w:szCs w:val="32"/>
        </w:rPr>
        <w:t>（</w:t>
      </w:r>
      <w:r>
        <w:rPr>
          <w:rFonts w:hint="eastAsia" w:eastAsia="黑体" w:cs="Calibri"/>
          <w:color w:val="auto"/>
          <w:sz w:val="32"/>
          <w:szCs w:val="32"/>
        </w:rPr>
        <w:t>一</w:t>
      </w:r>
      <w:r>
        <w:rPr>
          <w:rFonts w:eastAsia="黑体" w:cs="Calibri"/>
          <w:color w:val="auto"/>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cs="Calibri"/>
                <w:color w:val="auto"/>
                <w:szCs w:val="21"/>
              </w:rPr>
              <w:t>本</w:t>
            </w:r>
            <w:r>
              <w:rPr>
                <w:rFonts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 xml:space="preserve">  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cs="Calibri"/>
                <w:color w:val="auto"/>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color w:val="auto"/>
                <w:kern w:val="2"/>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24"/>
              <w:snapToGrid w:val="0"/>
              <w:ind w:left="5250"/>
              <w:rPr>
                <w:rFonts w:ascii="Calibri" w:hAnsi="Calibri" w:cs="Calibri"/>
                <w:color w:val="auto"/>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spacing w:line="360" w:lineRule="auto"/>
        <w:rPr>
          <w:rFonts w:cs="Calibri"/>
          <w:color w:val="auto"/>
          <w:sz w:val="24"/>
        </w:rPr>
      </w:pPr>
    </w:p>
    <w:p>
      <w:pPr>
        <w:spacing w:line="360" w:lineRule="auto"/>
        <w:rPr>
          <w:rFonts w:cs="Calibri"/>
          <w:color w:val="auto"/>
          <w:sz w:val="24"/>
        </w:rPr>
      </w:pPr>
    </w:p>
    <w:p>
      <w:pPr>
        <w:spacing w:line="440" w:lineRule="exact"/>
        <w:jc w:val="center"/>
        <w:rPr>
          <w:rFonts w:eastAsia="黑体" w:cs="Calibri"/>
          <w:color w:val="auto"/>
          <w:sz w:val="32"/>
          <w:szCs w:val="32"/>
        </w:rPr>
      </w:pPr>
      <w:r>
        <w:rPr>
          <w:rFonts w:eastAsia="黑体" w:cs="Calibri"/>
          <w:color w:val="auto"/>
          <w:sz w:val="32"/>
          <w:szCs w:val="32"/>
        </w:rPr>
        <w:t>（五）主要参与</w:t>
      </w:r>
      <w:r>
        <w:rPr>
          <w:rFonts w:hint="eastAsia" w:eastAsia="黑体" w:cs="Calibri"/>
          <w:color w:val="auto"/>
          <w:sz w:val="32"/>
          <w:szCs w:val="32"/>
        </w:rPr>
        <w:t>服务</w:t>
      </w:r>
      <w:r>
        <w:rPr>
          <w:rFonts w:eastAsia="黑体" w:cs="Calibri"/>
          <w:color w:val="auto"/>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岗位名称</w:t>
            </w:r>
          </w:p>
        </w:tc>
        <w:tc>
          <w:tcPr>
            <w:tcW w:w="154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姓名</w:t>
            </w:r>
          </w:p>
        </w:tc>
        <w:tc>
          <w:tcPr>
            <w:tcW w:w="1520" w:type="dxa"/>
            <w:vAlign w:val="center"/>
          </w:tcPr>
          <w:p>
            <w:pPr>
              <w:pStyle w:val="13"/>
              <w:snapToGrid w:val="0"/>
              <w:ind w:firstLine="241"/>
              <w:jc w:val="center"/>
              <w:rPr>
                <w:rFonts w:ascii="Calibri" w:hAnsi="Calibri" w:cs="Calibri"/>
                <w:bCs/>
                <w:color w:val="auto"/>
                <w:sz w:val="21"/>
                <w:szCs w:val="21"/>
              </w:rPr>
            </w:pPr>
            <w:r>
              <w:rPr>
                <w:rFonts w:ascii="Calibri" w:hAnsi="Calibri" w:cs="Calibri"/>
                <w:bCs/>
                <w:color w:val="auto"/>
                <w:sz w:val="21"/>
                <w:szCs w:val="21"/>
              </w:rPr>
              <w:t>执业资格/职称</w:t>
            </w:r>
          </w:p>
        </w:tc>
        <w:tc>
          <w:tcPr>
            <w:tcW w:w="1620" w:type="dxa"/>
            <w:vAlign w:val="center"/>
          </w:tcPr>
          <w:p>
            <w:pPr>
              <w:snapToGrid w:val="0"/>
              <w:jc w:val="center"/>
              <w:rPr>
                <w:rFonts w:cs="Calibri"/>
                <w:bCs/>
                <w:color w:val="auto"/>
                <w:szCs w:val="21"/>
              </w:rPr>
            </w:pPr>
            <w:r>
              <w:rPr>
                <w:rFonts w:cs="Calibri"/>
                <w:bCs/>
                <w:color w:val="auto"/>
                <w:szCs w:val="21"/>
              </w:rPr>
              <w:t>本项目</w:t>
            </w:r>
          </w:p>
          <w:p>
            <w:pPr>
              <w:snapToGrid w:val="0"/>
              <w:jc w:val="center"/>
              <w:rPr>
                <w:rFonts w:cs="Calibri"/>
                <w:bCs/>
                <w:color w:val="auto"/>
                <w:szCs w:val="21"/>
              </w:rPr>
            </w:pPr>
            <w:r>
              <w:rPr>
                <w:rFonts w:cs="Calibri"/>
                <w:bCs/>
                <w:color w:val="auto"/>
                <w:szCs w:val="21"/>
              </w:rPr>
              <w:t>拟任职务</w:t>
            </w:r>
          </w:p>
        </w:tc>
        <w:tc>
          <w:tcPr>
            <w:tcW w:w="2880" w:type="dxa"/>
            <w:vAlign w:val="center"/>
          </w:tcPr>
          <w:p>
            <w:pPr>
              <w:snapToGrid w:val="0"/>
              <w:jc w:val="center"/>
              <w:rPr>
                <w:rFonts w:cs="Calibri"/>
                <w:bCs/>
                <w:color w:val="auto"/>
                <w:szCs w:val="21"/>
              </w:rPr>
            </w:pPr>
            <w:r>
              <w:rPr>
                <w:rFonts w:cs="Calibri"/>
                <w:bCs/>
                <w:color w:val="auto"/>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241"/>
              <w:jc w:val="center"/>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13"/>
              <w:snapToGrid w:val="0"/>
              <w:ind w:firstLine="0"/>
              <w:rPr>
                <w:rFonts w:ascii="Calibri" w:hAnsi="Calibri" w:cs="Calibri"/>
                <w:color w:val="auto"/>
                <w:sz w:val="21"/>
                <w:szCs w:val="21"/>
              </w:rPr>
            </w:pPr>
          </w:p>
        </w:tc>
        <w:tc>
          <w:tcPr>
            <w:tcW w:w="1540" w:type="dxa"/>
            <w:vAlign w:val="top"/>
          </w:tcPr>
          <w:p>
            <w:pPr>
              <w:pStyle w:val="13"/>
              <w:snapToGrid w:val="0"/>
              <w:ind w:firstLine="241"/>
              <w:jc w:val="center"/>
              <w:rPr>
                <w:rFonts w:ascii="Calibri" w:hAnsi="Calibri" w:cs="Calibri"/>
                <w:color w:val="auto"/>
                <w:sz w:val="21"/>
                <w:szCs w:val="21"/>
              </w:rPr>
            </w:pPr>
          </w:p>
        </w:tc>
        <w:tc>
          <w:tcPr>
            <w:tcW w:w="1520" w:type="dxa"/>
            <w:vAlign w:val="top"/>
          </w:tcPr>
          <w:p>
            <w:pPr>
              <w:pStyle w:val="13"/>
              <w:snapToGrid w:val="0"/>
              <w:ind w:firstLine="241"/>
              <w:jc w:val="center"/>
              <w:rPr>
                <w:rFonts w:ascii="Calibri" w:hAnsi="Calibri" w:cs="Calibri"/>
                <w:color w:val="auto"/>
                <w:sz w:val="21"/>
                <w:szCs w:val="21"/>
              </w:rPr>
            </w:pPr>
          </w:p>
        </w:tc>
        <w:tc>
          <w:tcPr>
            <w:tcW w:w="1620" w:type="dxa"/>
            <w:vAlign w:val="top"/>
          </w:tcPr>
          <w:p>
            <w:pPr>
              <w:pStyle w:val="13"/>
              <w:snapToGrid w:val="0"/>
              <w:ind w:firstLine="241"/>
              <w:jc w:val="center"/>
              <w:rPr>
                <w:rFonts w:ascii="Calibri" w:hAnsi="Calibri" w:cs="Calibri"/>
                <w:color w:val="auto"/>
                <w:sz w:val="21"/>
                <w:szCs w:val="21"/>
              </w:rPr>
            </w:pPr>
          </w:p>
        </w:tc>
        <w:tc>
          <w:tcPr>
            <w:tcW w:w="2880" w:type="dxa"/>
            <w:vAlign w:val="top"/>
          </w:tcPr>
          <w:p>
            <w:pPr>
              <w:pStyle w:val="13"/>
              <w:snapToGrid w:val="0"/>
              <w:ind w:firstLine="241"/>
              <w:jc w:val="center"/>
              <w:rPr>
                <w:rFonts w:ascii="Calibri" w:hAnsi="Calibri" w:cs="Calibri"/>
                <w:color w:val="auto"/>
                <w:sz w:val="21"/>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440" w:lineRule="exact"/>
        <w:jc w:val="center"/>
        <w:rPr>
          <w:rFonts w:eastAsia="黑体" w:cs="Calibri"/>
          <w:color w:val="auto"/>
          <w:sz w:val="32"/>
          <w:szCs w:val="32"/>
        </w:rPr>
      </w:pPr>
      <w:r>
        <w:rPr>
          <w:rFonts w:eastAsia="黑体" w:cs="Calibri"/>
          <w:color w:val="auto"/>
          <w:sz w:val="32"/>
          <w:szCs w:val="32"/>
        </w:rPr>
        <w:t>七、</w:t>
      </w:r>
      <w:r>
        <w:rPr>
          <w:rFonts w:hint="eastAsia" w:eastAsia="黑体" w:cs="Calibri"/>
          <w:color w:val="auto"/>
          <w:sz w:val="32"/>
          <w:szCs w:val="32"/>
        </w:rPr>
        <w:t>投标人认为</w:t>
      </w:r>
      <w:r>
        <w:rPr>
          <w:rFonts w:eastAsia="黑体" w:cs="Calibri"/>
          <w:color w:val="auto"/>
          <w:sz w:val="32"/>
          <w:szCs w:val="32"/>
        </w:rPr>
        <w:t>应该提供的其他材料</w:t>
      </w: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360" w:lineRule="auto"/>
        <w:jc w:val="center"/>
        <w:rPr>
          <w:rFonts w:cs="Calibri"/>
          <w:b/>
          <w:color w:val="auto"/>
          <w:sz w:val="36"/>
          <w:szCs w:val="36"/>
        </w:rPr>
      </w:pPr>
    </w:p>
    <w:p>
      <w:pPr>
        <w:spacing w:line="440" w:lineRule="exact"/>
        <w:jc w:val="center"/>
        <w:rPr>
          <w:rFonts w:eastAsia="黑体" w:cs="Calibri"/>
          <w:color w:val="auto"/>
          <w:sz w:val="32"/>
          <w:szCs w:val="32"/>
        </w:rPr>
      </w:pPr>
    </w:p>
    <w:p>
      <w:pPr>
        <w:rPr>
          <w:color w:val="auto"/>
        </w:rPr>
      </w:pPr>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S?o｡ﾀ?">
    <w:altName w:val="MS PGothic"/>
    <w:panose1 w:val="00000000000000000000"/>
    <w:charset w:val="80"/>
    <w:family w:val="auto"/>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8CF3C52" w:usb2="00000016" w:usb3="00000000" w:csb0="0004001F"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18 -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杭州萧山国际机场T1/T2中央空调系统循环水泵维保</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40AB4"/>
    <w:multiLevelType w:val="singleLevel"/>
    <w:tmpl w:val="C8A40AB4"/>
    <w:lvl w:ilvl="0" w:tentative="0">
      <w:start w:val="1"/>
      <w:numFmt w:val="decimal"/>
      <w:suff w:val="space"/>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C77EB36"/>
    <w:multiLevelType w:val="singleLevel"/>
    <w:tmpl w:val="5C77EB36"/>
    <w:lvl w:ilvl="0" w:tentative="0">
      <w:start w:val="2"/>
      <w:numFmt w:val="decimal"/>
      <w:suff w:val="nothing"/>
      <w:lvlText w:val="%1、"/>
      <w:lvlJc w:val="left"/>
    </w:lvl>
  </w:abstractNum>
  <w:abstractNum w:abstractNumId="5">
    <w:nsid w:val="6FA74E86"/>
    <w:multiLevelType w:val="singleLevel"/>
    <w:tmpl w:val="6FA74E86"/>
    <w:lvl w:ilvl="0" w:tentative="0">
      <w:start w:val="1"/>
      <w:numFmt w:val="decimal"/>
      <w:lvlText w:val="%1."/>
      <w:lvlJc w:val="left"/>
      <w:pPr>
        <w:tabs>
          <w:tab w:val="left" w:pos="312"/>
        </w:tabs>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4F16FA"/>
    <w:rsid w:val="00020325"/>
    <w:rsid w:val="000D321B"/>
    <w:rsid w:val="00102FE2"/>
    <w:rsid w:val="00315178"/>
    <w:rsid w:val="004C2450"/>
    <w:rsid w:val="004C409F"/>
    <w:rsid w:val="004C70CF"/>
    <w:rsid w:val="004F16FA"/>
    <w:rsid w:val="005557D7"/>
    <w:rsid w:val="006911C6"/>
    <w:rsid w:val="007024C0"/>
    <w:rsid w:val="0075655C"/>
    <w:rsid w:val="007B0294"/>
    <w:rsid w:val="007C7831"/>
    <w:rsid w:val="0086447B"/>
    <w:rsid w:val="008838F1"/>
    <w:rsid w:val="009A57B3"/>
    <w:rsid w:val="00A41A4D"/>
    <w:rsid w:val="00AA6702"/>
    <w:rsid w:val="00B311FB"/>
    <w:rsid w:val="00B60E62"/>
    <w:rsid w:val="00C17DC2"/>
    <w:rsid w:val="00C80B29"/>
    <w:rsid w:val="00CC70C5"/>
    <w:rsid w:val="00D10CFC"/>
    <w:rsid w:val="00DE1D35"/>
    <w:rsid w:val="00E45F6D"/>
    <w:rsid w:val="00E948FB"/>
    <w:rsid w:val="00F064A8"/>
    <w:rsid w:val="00F41EE1"/>
    <w:rsid w:val="01725327"/>
    <w:rsid w:val="0823125B"/>
    <w:rsid w:val="0A7469C2"/>
    <w:rsid w:val="0E511BB9"/>
    <w:rsid w:val="11166D46"/>
    <w:rsid w:val="143A6396"/>
    <w:rsid w:val="176016C1"/>
    <w:rsid w:val="18E457E9"/>
    <w:rsid w:val="1B1F68BE"/>
    <w:rsid w:val="1F5E0DD8"/>
    <w:rsid w:val="2018578C"/>
    <w:rsid w:val="223D6C7D"/>
    <w:rsid w:val="24D4235D"/>
    <w:rsid w:val="256445C3"/>
    <w:rsid w:val="261B20E1"/>
    <w:rsid w:val="29804C91"/>
    <w:rsid w:val="2C1D260B"/>
    <w:rsid w:val="2CD274C2"/>
    <w:rsid w:val="2E113746"/>
    <w:rsid w:val="36AD3FAB"/>
    <w:rsid w:val="36CD0055"/>
    <w:rsid w:val="39733F37"/>
    <w:rsid w:val="3FA62BC4"/>
    <w:rsid w:val="43073846"/>
    <w:rsid w:val="442F18F8"/>
    <w:rsid w:val="4AC32B8E"/>
    <w:rsid w:val="52461CC1"/>
    <w:rsid w:val="56E62BCE"/>
    <w:rsid w:val="57AB308E"/>
    <w:rsid w:val="59353C59"/>
    <w:rsid w:val="60350C8E"/>
    <w:rsid w:val="63766D41"/>
    <w:rsid w:val="64890150"/>
    <w:rsid w:val="67C538A0"/>
    <w:rsid w:val="68333F01"/>
    <w:rsid w:val="6923035E"/>
    <w:rsid w:val="6B466856"/>
    <w:rsid w:val="6BA82CB6"/>
    <w:rsid w:val="725A3C81"/>
    <w:rsid w:val="76434945"/>
    <w:rsid w:val="77A80978"/>
    <w:rsid w:val="7FB36888"/>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9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4"/>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95"/>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96"/>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03"/>
    <w:semiHidden/>
    <w:qFormat/>
    <w:uiPriority w:val="0"/>
    <w:rPr>
      <w:rFonts w:ascii="Times New Roman" w:hAnsi="Times New Roman" w:eastAsia="宋体" w:cs="Times New Roman"/>
      <w:b/>
      <w:bCs/>
      <w:kern w:val="0"/>
      <w:sz w:val="20"/>
      <w:szCs w:val="24"/>
    </w:rPr>
  </w:style>
  <w:style w:type="paragraph" w:styleId="9">
    <w:name w:val="annotation text"/>
    <w:basedOn w:val="1"/>
    <w:link w:val="102"/>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05"/>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104"/>
    <w:unhideWhenUsed/>
    <w:qFormat/>
    <w:uiPriority w:val="0"/>
    <w:pPr>
      <w:spacing w:after="120"/>
    </w:pPr>
  </w:style>
  <w:style w:type="paragraph" w:styleId="13">
    <w:name w:val="Normal Indent"/>
    <w:basedOn w:val="1"/>
    <w:link w:val="106"/>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07"/>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09"/>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1"/>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13"/>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15"/>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qFormat/>
    <w:uiPriority w:val="0"/>
    <w:rPr>
      <w:rFonts w:ascii="Times New Roman" w:hAnsi="Times New Roman" w:eastAsia="宋体" w:cs="Times New Roman"/>
      <w:kern w:val="0"/>
      <w:sz w:val="18"/>
      <w:szCs w:val="18"/>
    </w:rPr>
  </w:style>
  <w:style w:type="paragraph" w:styleId="27">
    <w:name w:val="footer"/>
    <w:basedOn w:val="1"/>
    <w:link w:val="11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21"/>
    <w:qFormat/>
    <w:uiPriority w:val="0"/>
    <w:pPr>
      <w:ind w:firstLine="420" w:firstLineChars="200"/>
    </w:pPr>
    <w:rPr>
      <w:rFonts w:ascii="Times New Roman" w:hAnsi="Times New Roman"/>
      <w:szCs w:val="24"/>
    </w:rPr>
  </w:style>
  <w:style w:type="paragraph" w:styleId="29">
    <w:name w:val="header"/>
    <w:basedOn w:val="1"/>
    <w:link w:val="1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24"/>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126"/>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8"/>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next w:val="1"/>
    <w:link w:val="130"/>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qFormat/>
    <w:uiPriority w:val="0"/>
  </w:style>
  <w:style w:type="character" w:styleId="48">
    <w:name w:val="FollowedHyperlink"/>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paragraph" w:customStyle="1" w:styleId="54">
    <w:name w:val="样式2"/>
    <w:basedOn w:val="36"/>
    <w:qFormat/>
    <w:uiPriority w:val="0"/>
    <w:pPr>
      <w:ind w:firstLine="2720"/>
    </w:pPr>
    <w:rPr>
      <w:bCs/>
    </w:rPr>
  </w:style>
  <w:style w:type="paragraph" w:customStyle="1" w:styleId="55">
    <w:name w:val="0"/>
    <w:basedOn w:val="1"/>
    <w:qFormat/>
    <w:uiPriority w:val="0"/>
    <w:pPr>
      <w:widowControl/>
    </w:pPr>
    <w:rPr>
      <w:rFonts w:ascii="Times New Roman" w:hAnsi="Times New Roman" w:eastAsia="宋体" w:cs="Times New Roman"/>
      <w:kern w:val="0"/>
      <w:szCs w:val="20"/>
    </w:rPr>
  </w:style>
  <w:style w:type="paragraph" w:customStyle="1" w:styleId="56">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9">
    <w:name w:val="Char"/>
    <w:basedOn w:val="1"/>
    <w:qFormat/>
    <w:uiPriority w:val="0"/>
    <w:pPr>
      <w:spacing w:line="360" w:lineRule="auto"/>
    </w:pPr>
    <w:rPr>
      <w:rFonts w:ascii="黑体" w:hAnsi="黑体" w:eastAsia="宋体" w:cs="Times New Roman"/>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z-窗体顶端1"/>
    <w:basedOn w:val="1"/>
    <w:next w:val="1"/>
    <w:link w:val="133"/>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2">
    <w:name w:val="_Style 10"/>
    <w:basedOn w:val="1"/>
    <w:next w:val="1"/>
    <w:qFormat/>
    <w:uiPriority w:val="0"/>
    <w:rPr>
      <w:rFonts w:ascii="Times New Roman" w:hAnsi="Times New Roman" w:eastAsia="宋体" w:cs="Times New Roman"/>
      <w:szCs w:val="24"/>
    </w:rPr>
  </w:style>
  <w:style w:type="paragraph" w:customStyle="1" w:styleId="63">
    <w:name w:val="Char Char"/>
    <w:basedOn w:val="1"/>
    <w:qFormat/>
    <w:uiPriority w:val="0"/>
    <w:rPr>
      <w:rFonts w:ascii="Tahoma" w:hAnsi="Tahoma" w:eastAsia="宋体" w:cs="Times New Roman"/>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5">
    <w:name w:val="Char Char Char Char"/>
    <w:basedOn w:val="1"/>
    <w:qFormat/>
    <w:uiPriority w:val="0"/>
    <w:rPr>
      <w:rFonts w:ascii="仿宋_GB2312" w:hAnsi="Times New Roman" w:eastAsia="仿宋_GB2312" w:cs="Times New Roman"/>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样式1"/>
    <w:basedOn w:val="1"/>
    <w:qFormat/>
    <w:uiPriority w:val="0"/>
    <w:pPr>
      <w:spacing w:line="360" w:lineRule="auto"/>
      <w:jc w:val="center"/>
    </w:pPr>
    <w:rPr>
      <w:rFonts w:ascii="宋体" w:hAnsi="宋体" w:eastAsia="宋体" w:cs="Times New Roman"/>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0">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2">
    <w:name w:val="样式 一号 加粗 居中"/>
    <w:basedOn w:val="1"/>
    <w:qFormat/>
    <w:uiPriority w:val="0"/>
    <w:pPr>
      <w:jc w:val="center"/>
    </w:pPr>
    <w:rPr>
      <w:rFonts w:ascii="Times New Roman" w:hAnsi="Times New Roman" w:eastAsia="宋体" w:cs="宋体"/>
      <w:bCs/>
      <w:sz w:val="52"/>
      <w:szCs w:val="20"/>
    </w:rPr>
  </w:style>
  <w:style w:type="paragraph" w:customStyle="1" w:styleId="7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4">
    <w:name w:val="z-窗体底端1"/>
    <w:basedOn w:val="1"/>
    <w:next w:val="1"/>
    <w:link w:val="134"/>
    <w:qFormat/>
    <w:uiPriority w:val="0"/>
    <w:pPr>
      <w:pBdr>
        <w:top w:val="single" w:color="auto" w:sz="6" w:space="1"/>
      </w:pBdr>
      <w:jc w:val="center"/>
    </w:pPr>
    <w:rPr>
      <w:rFonts w:ascii="Arial" w:hAnsi="Arial" w:eastAsia="宋体" w:cs="Times New Roman"/>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6">
    <w:name w:val="样式3"/>
    <w:basedOn w:val="4"/>
    <w:qFormat/>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78">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样式 样式1 + 首行缩进:  2 字符"/>
    <w:basedOn w:val="67"/>
    <w:link w:val="136"/>
    <w:qFormat/>
    <w:uiPriority w:val="0"/>
    <w:pPr>
      <w:spacing w:line="360" w:lineRule="exact"/>
      <w:ind w:firstLine="420" w:firstLineChars="200"/>
      <w:jc w:val="both"/>
    </w:pPr>
    <w:rPr>
      <w:rFonts w:ascii="Arial" w:hAnsi="Arial" w:eastAsia="等线" w:cs="黑体"/>
      <w:sz w:val="24"/>
      <w:szCs w:val="22"/>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1"/>
    <w:basedOn w:val="1"/>
    <w:qFormat/>
    <w:uiPriority w:val="0"/>
    <w:pPr>
      <w:ind w:firstLine="420" w:firstLineChars="200"/>
    </w:pPr>
    <w:rPr>
      <w:rFonts w:ascii="Calibri" w:hAnsi="Calibri" w:eastAsia="宋体" w:cs="Times New Roman"/>
    </w:rPr>
  </w:style>
  <w:style w:type="paragraph" w:customStyle="1" w:styleId="84">
    <w:name w:val="_Style 5"/>
    <w:basedOn w:val="1"/>
    <w:next w:val="1"/>
    <w:qFormat/>
    <w:uiPriority w:val="0"/>
    <w:rPr>
      <w:rFonts w:ascii="Times New Roman" w:hAnsi="Times New Roman" w:eastAsia="宋体" w:cs="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7">
    <w:name w:val="正文 New"/>
    <w:qFormat/>
    <w:uiPriority w:val="0"/>
    <w:pPr>
      <w:widowControl w:val="0"/>
      <w:jc w:val="both"/>
    </w:pPr>
    <w:rPr>
      <w:rFonts w:ascii="Times New Roman" w:hAnsi="Times New Roman" w:eastAsia="宋体" w:cs="Times New Roman"/>
      <w:lang w:val="en-US" w:eastAsia="zh-CN" w:bidi="ar-SA"/>
    </w:rPr>
  </w:style>
  <w:style w:type="paragraph" w:customStyle="1" w:styleId="8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8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90">
    <w:name w:val="彩色列表 - 强调文字颜色 13"/>
    <w:basedOn w:val="1"/>
    <w:qFormat/>
    <w:uiPriority w:val="34"/>
    <w:pPr>
      <w:ind w:firstLine="420" w:firstLineChars="200"/>
    </w:pPr>
    <w:rPr>
      <w:rFonts w:ascii="Calibri" w:hAnsi="Calibri" w:eastAsia="宋体" w:cs="Times New Roman"/>
    </w:rPr>
  </w:style>
  <w:style w:type="paragraph" w:customStyle="1" w:styleId="91">
    <w:name w:val="List Paragraph"/>
    <w:basedOn w:val="1"/>
    <w:qFormat/>
    <w:uiPriority w:val="34"/>
    <w:pPr>
      <w:ind w:firstLine="420" w:firstLineChars="200"/>
    </w:pPr>
    <w:rPr>
      <w:sz w:val="24"/>
    </w:rPr>
  </w:style>
  <w:style w:type="character" w:customStyle="1" w:styleId="92">
    <w:name w:val="标题 1 Char"/>
    <w:link w:val="2"/>
    <w:qFormat/>
    <w:uiPriority w:val="0"/>
    <w:rPr>
      <w:rFonts w:ascii="Times New Roman" w:hAnsi="Times New Roman" w:eastAsia="宋体" w:cs="Times New Roman"/>
      <w:b/>
      <w:bCs/>
      <w:kern w:val="44"/>
      <w:sz w:val="44"/>
      <w:szCs w:val="44"/>
    </w:rPr>
  </w:style>
  <w:style w:type="character" w:customStyle="1" w:styleId="93">
    <w:name w:val="标题 2 Char"/>
    <w:link w:val="3"/>
    <w:uiPriority w:val="0"/>
    <w:rPr>
      <w:rFonts w:ascii="Arial" w:hAnsi="Arial" w:eastAsia="黑体" w:cs="Times New Roman"/>
      <w:b/>
      <w:bCs/>
      <w:kern w:val="0"/>
      <w:sz w:val="32"/>
      <w:szCs w:val="32"/>
    </w:rPr>
  </w:style>
  <w:style w:type="character" w:customStyle="1" w:styleId="94">
    <w:name w:val="标题 3 Char"/>
    <w:link w:val="4"/>
    <w:qFormat/>
    <w:uiPriority w:val="0"/>
    <w:rPr>
      <w:rFonts w:ascii="Times New Roman" w:hAnsi="Times New Roman" w:eastAsia="楷体_GB2312" w:cs="Times New Roman"/>
      <w:kern w:val="0"/>
      <w:sz w:val="28"/>
      <w:szCs w:val="20"/>
    </w:rPr>
  </w:style>
  <w:style w:type="character" w:customStyle="1" w:styleId="95">
    <w:name w:val="标题 4 Char"/>
    <w:link w:val="5"/>
    <w:qFormat/>
    <w:uiPriority w:val="0"/>
    <w:rPr>
      <w:rFonts w:ascii="Arial" w:hAnsi="Arial" w:eastAsia="黑体" w:cs="Times New Roman"/>
      <w:b/>
      <w:bCs/>
      <w:kern w:val="0"/>
      <w:sz w:val="28"/>
      <w:szCs w:val="28"/>
    </w:rPr>
  </w:style>
  <w:style w:type="character" w:customStyle="1" w:styleId="96">
    <w:name w:val="标题 5 Char"/>
    <w:link w:val="6"/>
    <w:qFormat/>
    <w:uiPriority w:val="0"/>
    <w:rPr>
      <w:rFonts w:ascii="Times New Roman" w:hAnsi="Times New Roman" w:eastAsia="宋体" w:cs="Times New Roman"/>
      <w:b/>
      <w:bCs/>
      <w:kern w:val="0"/>
      <w:sz w:val="28"/>
      <w:szCs w:val="28"/>
    </w:rPr>
  </w:style>
  <w:style w:type="character" w:customStyle="1" w:styleId="97">
    <w:name w:val="标题 1 字符"/>
    <w:basedOn w:val="46"/>
    <w:qFormat/>
    <w:uiPriority w:val="9"/>
    <w:rPr>
      <w:b/>
      <w:bCs/>
      <w:kern w:val="44"/>
      <w:sz w:val="44"/>
      <w:szCs w:val="44"/>
    </w:rPr>
  </w:style>
  <w:style w:type="character" w:customStyle="1" w:styleId="98">
    <w:name w:val="标题 2 字符"/>
    <w:basedOn w:val="46"/>
    <w:semiHidden/>
    <w:qFormat/>
    <w:uiPriority w:val="9"/>
    <w:rPr>
      <w:rFonts w:ascii="等线 Light" w:hAnsi="等线 Light" w:eastAsia="等线 Light" w:cs="黑体"/>
      <w:b/>
      <w:bCs/>
      <w:sz w:val="32"/>
      <w:szCs w:val="32"/>
    </w:rPr>
  </w:style>
  <w:style w:type="character" w:customStyle="1" w:styleId="99">
    <w:name w:val="标题 3 字符"/>
    <w:basedOn w:val="46"/>
    <w:semiHidden/>
    <w:qFormat/>
    <w:uiPriority w:val="9"/>
    <w:rPr>
      <w:b/>
      <w:bCs/>
      <w:sz w:val="32"/>
      <w:szCs w:val="32"/>
    </w:rPr>
  </w:style>
  <w:style w:type="character" w:customStyle="1" w:styleId="100">
    <w:name w:val="标题 4 字符"/>
    <w:basedOn w:val="46"/>
    <w:semiHidden/>
    <w:qFormat/>
    <w:uiPriority w:val="9"/>
    <w:rPr>
      <w:rFonts w:ascii="等线 Light" w:hAnsi="等线 Light" w:eastAsia="等线 Light" w:cs="黑体"/>
      <w:b/>
      <w:bCs/>
      <w:sz w:val="28"/>
      <w:szCs w:val="28"/>
    </w:rPr>
  </w:style>
  <w:style w:type="character" w:customStyle="1" w:styleId="101">
    <w:name w:val="标题 5 字符"/>
    <w:basedOn w:val="46"/>
    <w:semiHidden/>
    <w:qFormat/>
    <w:uiPriority w:val="9"/>
    <w:rPr>
      <w:b/>
      <w:bCs/>
      <w:sz w:val="28"/>
      <w:szCs w:val="28"/>
    </w:rPr>
  </w:style>
  <w:style w:type="character" w:customStyle="1" w:styleId="102">
    <w:name w:val="批注文字 Char"/>
    <w:basedOn w:val="46"/>
    <w:link w:val="9"/>
    <w:semiHidden/>
    <w:qFormat/>
    <w:uiPriority w:val="99"/>
  </w:style>
  <w:style w:type="character" w:customStyle="1" w:styleId="103">
    <w:name w:val="批注主题 Char"/>
    <w:basedOn w:val="102"/>
    <w:link w:val="8"/>
    <w:semiHidden/>
    <w:qFormat/>
    <w:uiPriority w:val="0"/>
    <w:rPr>
      <w:rFonts w:ascii="Times New Roman" w:hAnsi="Times New Roman" w:eastAsia="宋体" w:cs="Times New Roman"/>
      <w:b/>
      <w:bCs/>
      <w:kern w:val="0"/>
      <w:sz w:val="20"/>
      <w:szCs w:val="24"/>
    </w:rPr>
  </w:style>
  <w:style w:type="character" w:customStyle="1" w:styleId="104">
    <w:name w:val="正文文本 Char"/>
    <w:basedOn w:val="46"/>
    <w:link w:val="12"/>
    <w:semiHidden/>
    <w:qFormat/>
    <w:uiPriority w:val="99"/>
  </w:style>
  <w:style w:type="character" w:customStyle="1" w:styleId="105">
    <w:name w:val="正文首行缩进 Char"/>
    <w:basedOn w:val="104"/>
    <w:link w:val="11"/>
    <w:qFormat/>
    <w:uiPriority w:val="0"/>
    <w:rPr>
      <w:rFonts w:ascii="Times New Roman" w:hAnsi="Times New Roman" w:eastAsia="宋体" w:cs="Times New Roman"/>
      <w:kern w:val="0"/>
      <w:sz w:val="20"/>
      <w:szCs w:val="24"/>
    </w:rPr>
  </w:style>
  <w:style w:type="character" w:customStyle="1" w:styleId="106">
    <w:name w:val="正文缩进 Char"/>
    <w:link w:val="13"/>
    <w:qFormat/>
    <w:uiPriority w:val="0"/>
    <w:rPr>
      <w:rFonts w:ascii="宋体" w:hAnsi="Times New Roman" w:eastAsia="宋体" w:cs="Times New Roman"/>
      <w:kern w:val="0"/>
      <w:sz w:val="34"/>
      <w:szCs w:val="20"/>
    </w:rPr>
  </w:style>
  <w:style w:type="character" w:customStyle="1" w:styleId="107">
    <w:name w:val="文档结构图 Char"/>
    <w:link w:val="15"/>
    <w:qFormat/>
    <w:uiPriority w:val="0"/>
    <w:rPr>
      <w:rFonts w:ascii="Times New Roman" w:hAnsi="Times New Roman" w:eastAsia="宋体" w:cs="Times New Roman"/>
      <w:kern w:val="0"/>
      <w:sz w:val="20"/>
      <w:szCs w:val="24"/>
      <w:shd w:val="clear" w:color="auto" w:fill="000080"/>
    </w:rPr>
  </w:style>
  <w:style w:type="character" w:customStyle="1" w:styleId="108">
    <w:name w:val="文档结构图 字符"/>
    <w:basedOn w:val="46"/>
    <w:semiHidden/>
    <w:qFormat/>
    <w:uiPriority w:val="99"/>
    <w:rPr>
      <w:rFonts w:ascii="Microsoft YaHei UI" w:eastAsia="Microsoft YaHei UI"/>
      <w:sz w:val="18"/>
      <w:szCs w:val="18"/>
    </w:rPr>
  </w:style>
  <w:style w:type="character" w:customStyle="1" w:styleId="109">
    <w:name w:val="正文文本缩进 Char"/>
    <w:link w:val="17"/>
    <w:qFormat/>
    <w:uiPriority w:val="0"/>
    <w:rPr>
      <w:rFonts w:ascii="Calibri" w:hAnsi="Calibri" w:eastAsia="宋体" w:cs="Times New Roman"/>
      <w:kern w:val="0"/>
      <w:sz w:val="20"/>
      <w:szCs w:val="20"/>
    </w:rPr>
  </w:style>
  <w:style w:type="character" w:customStyle="1" w:styleId="110">
    <w:name w:val="正文文本缩进 字符"/>
    <w:basedOn w:val="46"/>
    <w:semiHidden/>
    <w:qFormat/>
    <w:uiPriority w:val="99"/>
  </w:style>
  <w:style w:type="character" w:customStyle="1" w:styleId="111">
    <w:name w:val="纯文本 Char"/>
    <w:link w:val="21"/>
    <w:qFormat/>
    <w:uiPriority w:val="0"/>
    <w:rPr>
      <w:rFonts w:ascii="宋体" w:hAnsi="Courier New" w:eastAsia="宋体" w:cs="Times New Roman"/>
      <w:kern w:val="0"/>
      <w:sz w:val="20"/>
      <w:szCs w:val="21"/>
    </w:rPr>
  </w:style>
  <w:style w:type="character" w:customStyle="1" w:styleId="112">
    <w:name w:val="纯文本 字符"/>
    <w:basedOn w:val="46"/>
    <w:semiHidden/>
    <w:qFormat/>
    <w:uiPriority w:val="99"/>
    <w:rPr>
      <w:rFonts w:ascii="等线" w:hAnsi="Courier New" w:cs="Courier New"/>
    </w:rPr>
  </w:style>
  <w:style w:type="character" w:customStyle="1" w:styleId="113">
    <w:name w:val="日期 Char"/>
    <w:link w:val="24"/>
    <w:qFormat/>
    <w:uiPriority w:val="0"/>
    <w:rPr>
      <w:rFonts w:ascii="Times New Roman" w:hAnsi="Times New Roman" w:eastAsia="宋体" w:cs="Times New Roman"/>
      <w:b/>
      <w:bCs/>
      <w:kern w:val="0"/>
      <w:sz w:val="36"/>
      <w:szCs w:val="24"/>
    </w:rPr>
  </w:style>
  <w:style w:type="character" w:customStyle="1" w:styleId="114">
    <w:name w:val="日期 字符"/>
    <w:basedOn w:val="46"/>
    <w:semiHidden/>
    <w:qFormat/>
    <w:uiPriority w:val="99"/>
  </w:style>
  <w:style w:type="character" w:customStyle="1" w:styleId="115">
    <w:name w:val="正文文本缩进 2 Char"/>
    <w:link w:val="25"/>
    <w:qFormat/>
    <w:uiPriority w:val="0"/>
    <w:rPr>
      <w:rFonts w:ascii="Times New Roman" w:hAnsi="Times New Roman" w:eastAsia="宋体" w:cs="Times New Roman"/>
      <w:kern w:val="0"/>
      <w:sz w:val="20"/>
      <w:szCs w:val="24"/>
    </w:rPr>
  </w:style>
  <w:style w:type="character" w:customStyle="1" w:styleId="116">
    <w:name w:val="正文文本缩进 2 字符"/>
    <w:basedOn w:val="46"/>
    <w:semiHidden/>
    <w:qFormat/>
    <w:uiPriority w:val="99"/>
  </w:style>
  <w:style w:type="character" w:customStyle="1" w:styleId="117">
    <w:name w:val="批注框文本 Char"/>
    <w:link w:val="26"/>
    <w:qFormat/>
    <w:uiPriority w:val="0"/>
    <w:rPr>
      <w:rFonts w:ascii="Times New Roman" w:hAnsi="Times New Roman" w:eastAsia="宋体" w:cs="Times New Roman"/>
      <w:kern w:val="0"/>
      <w:sz w:val="18"/>
      <w:szCs w:val="18"/>
    </w:rPr>
  </w:style>
  <w:style w:type="character" w:customStyle="1" w:styleId="118">
    <w:name w:val="批注框文本 字符"/>
    <w:basedOn w:val="46"/>
    <w:semiHidden/>
    <w:qFormat/>
    <w:uiPriority w:val="99"/>
    <w:rPr>
      <w:sz w:val="18"/>
      <w:szCs w:val="18"/>
    </w:rPr>
  </w:style>
  <w:style w:type="character" w:customStyle="1" w:styleId="119">
    <w:name w:val="页脚 Char"/>
    <w:link w:val="27"/>
    <w:qFormat/>
    <w:uiPriority w:val="99"/>
    <w:rPr>
      <w:rFonts w:ascii="Times New Roman" w:hAnsi="Times New Roman" w:eastAsia="宋体" w:cs="Times New Roman"/>
      <w:kern w:val="0"/>
      <w:sz w:val="18"/>
      <w:szCs w:val="18"/>
    </w:rPr>
  </w:style>
  <w:style w:type="character" w:customStyle="1" w:styleId="120">
    <w:name w:val="页脚 字符"/>
    <w:basedOn w:val="46"/>
    <w:semiHidden/>
    <w:qFormat/>
    <w:uiPriority w:val="99"/>
    <w:rPr>
      <w:sz w:val="18"/>
      <w:szCs w:val="18"/>
    </w:rPr>
  </w:style>
  <w:style w:type="character" w:customStyle="1" w:styleId="121">
    <w:name w:val="正文首行缩进 2 Char"/>
    <w:basedOn w:val="110"/>
    <w:link w:val="28"/>
    <w:qFormat/>
    <w:uiPriority w:val="0"/>
    <w:rPr>
      <w:rFonts w:ascii="Times New Roman" w:hAnsi="Times New Roman" w:eastAsia="宋体" w:cs="Times New Roman"/>
      <w:kern w:val="0"/>
      <w:sz w:val="20"/>
      <w:szCs w:val="24"/>
    </w:rPr>
  </w:style>
  <w:style w:type="character" w:customStyle="1" w:styleId="122">
    <w:name w:val="页眉 Char"/>
    <w:link w:val="29"/>
    <w:qFormat/>
    <w:uiPriority w:val="99"/>
    <w:rPr>
      <w:rFonts w:ascii="Times New Roman" w:hAnsi="Times New Roman" w:eastAsia="宋体" w:cs="Times New Roman"/>
      <w:kern w:val="0"/>
      <w:sz w:val="18"/>
      <w:szCs w:val="18"/>
    </w:rPr>
  </w:style>
  <w:style w:type="character" w:customStyle="1" w:styleId="123">
    <w:name w:val="页眉 字符"/>
    <w:basedOn w:val="46"/>
    <w:semiHidden/>
    <w:qFormat/>
    <w:uiPriority w:val="99"/>
    <w:rPr>
      <w:sz w:val="18"/>
      <w:szCs w:val="18"/>
    </w:rPr>
  </w:style>
  <w:style w:type="character" w:customStyle="1" w:styleId="124">
    <w:name w:val="脚注文本 Char"/>
    <w:link w:val="33"/>
    <w:qFormat/>
    <w:uiPriority w:val="0"/>
    <w:rPr>
      <w:rFonts w:ascii="Times New Roman" w:hAnsi="Times New Roman" w:eastAsia="宋体" w:cs="Times New Roman"/>
      <w:kern w:val="0"/>
      <w:sz w:val="18"/>
      <w:szCs w:val="18"/>
    </w:rPr>
  </w:style>
  <w:style w:type="character" w:customStyle="1" w:styleId="125">
    <w:name w:val="脚注文本 字符"/>
    <w:basedOn w:val="46"/>
    <w:semiHidden/>
    <w:qFormat/>
    <w:uiPriority w:val="99"/>
    <w:rPr>
      <w:sz w:val="18"/>
      <w:szCs w:val="18"/>
    </w:rPr>
  </w:style>
  <w:style w:type="character" w:customStyle="1" w:styleId="126">
    <w:name w:val="正文文本缩进 3 Char"/>
    <w:link w:val="35"/>
    <w:qFormat/>
    <w:uiPriority w:val="0"/>
    <w:rPr>
      <w:rFonts w:ascii="Times New Roman" w:hAnsi="Times New Roman" w:eastAsia="宋体" w:cs="Times New Roman"/>
      <w:kern w:val="0"/>
      <w:sz w:val="24"/>
      <w:szCs w:val="24"/>
    </w:rPr>
  </w:style>
  <w:style w:type="character" w:customStyle="1" w:styleId="127">
    <w:name w:val="正文文本缩进 3 字符"/>
    <w:basedOn w:val="46"/>
    <w:semiHidden/>
    <w:qFormat/>
    <w:uiPriority w:val="99"/>
    <w:rPr>
      <w:sz w:val="16"/>
      <w:szCs w:val="16"/>
    </w:rPr>
  </w:style>
  <w:style w:type="character" w:customStyle="1" w:styleId="128">
    <w:name w:val="正文文本 2 Char"/>
    <w:link w:val="39"/>
    <w:qFormat/>
    <w:uiPriority w:val="0"/>
    <w:rPr>
      <w:rFonts w:ascii="Times New Roman" w:hAnsi="Times New Roman" w:eastAsia="宋体" w:cs="Times New Roman"/>
      <w:kern w:val="0"/>
      <w:sz w:val="20"/>
      <w:szCs w:val="24"/>
    </w:rPr>
  </w:style>
  <w:style w:type="character" w:customStyle="1" w:styleId="129">
    <w:name w:val="正文文本 2 字符"/>
    <w:basedOn w:val="46"/>
    <w:semiHidden/>
    <w:qFormat/>
    <w:uiPriority w:val="99"/>
  </w:style>
  <w:style w:type="character" w:customStyle="1" w:styleId="130">
    <w:name w:val="标题 Char"/>
    <w:link w:val="45"/>
    <w:qFormat/>
    <w:uiPriority w:val="0"/>
    <w:rPr>
      <w:rFonts w:ascii="Arial" w:hAnsi="Arial" w:eastAsia="宋体" w:cs="Times New Roman"/>
      <w:b/>
      <w:bCs/>
      <w:kern w:val="0"/>
      <w:sz w:val="32"/>
      <w:szCs w:val="32"/>
    </w:rPr>
  </w:style>
  <w:style w:type="character" w:customStyle="1" w:styleId="131">
    <w:name w:val="标题 字符"/>
    <w:basedOn w:val="46"/>
    <w:qFormat/>
    <w:uiPriority w:val="10"/>
    <w:rPr>
      <w:rFonts w:ascii="等线 Light" w:hAnsi="等线 Light" w:eastAsia="等线 Light" w:cs="黑体"/>
      <w:b/>
      <w:bCs/>
      <w:sz w:val="32"/>
      <w:szCs w:val="32"/>
    </w:rPr>
  </w:style>
  <w:style w:type="character" w:customStyle="1" w:styleId="132">
    <w:name w:val="zbggmain style9"/>
    <w:qFormat/>
    <w:uiPriority w:val="0"/>
  </w:style>
  <w:style w:type="character" w:customStyle="1" w:styleId="133">
    <w:name w:val="z-窗体顶端 Char"/>
    <w:link w:val="61"/>
    <w:qFormat/>
    <w:uiPriority w:val="0"/>
    <w:rPr>
      <w:rFonts w:ascii="Arial" w:hAnsi="Arial" w:eastAsia="宋体" w:cs="Times New Roman"/>
      <w:vanish/>
      <w:kern w:val="0"/>
      <w:sz w:val="16"/>
      <w:szCs w:val="16"/>
    </w:rPr>
  </w:style>
  <w:style w:type="character" w:customStyle="1" w:styleId="134">
    <w:name w:val="z-窗体底端 Char"/>
    <w:link w:val="74"/>
    <w:qFormat/>
    <w:uiPriority w:val="0"/>
    <w:rPr>
      <w:rFonts w:ascii="Arial" w:hAnsi="Arial" w:eastAsia="宋体" w:cs="Times New Roman"/>
      <w:vanish/>
      <w:kern w:val="0"/>
      <w:sz w:val="16"/>
      <w:szCs w:val="16"/>
    </w:rPr>
  </w:style>
  <w:style w:type="character" w:customStyle="1" w:styleId="135">
    <w:name w:val="正文文本 字符1"/>
    <w:qFormat/>
    <w:uiPriority w:val="0"/>
    <w:rPr>
      <w:rFonts w:ascii="Calibri" w:hAnsi="Calibri" w:eastAsia="宋体" w:cs="Times New Roman"/>
    </w:rPr>
  </w:style>
  <w:style w:type="character" w:customStyle="1" w:styleId="136">
    <w:name w:val="样式 样式1 + 首行缩进:  2 字符 Char"/>
    <w:link w:val="81"/>
    <w:qFormat/>
    <w:uiPriority w:val="0"/>
    <w:rPr>
      <w:rFonts w:ascii="Arial" w:hAnsi="Arial"/>
      <w:sz w:val="24"/>
    </w:rPr>
  </w:style>
  <w:style w:type="character" w:customStyle="1" w:styleId="137">
    <w:name w:val="Char Char14"/>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6072</Words>
  <Characters>34611</Characters>
  <Lines>288</Lines>
  <Paragraphs>81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2018-09-25T04:52:00Z</dcterms:created>
  <dc:creator>张治</dc:creator>
  <cp:lastModifiedBy>贾思勰</cp:lastModifiedBy>
  <dcterms:modified xsi:type="dcterms:W3CDTF">2019-07-11T08:59:48Z</dcterms:modified>
  <dc:title>杭州萧山国际机场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