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jc w:val="center"/>
        <w:rPr>
          <w:rFonts w:eastAsia="黑体" w:cs="Calibri"/>
          <w:b/>
          <w:sz w:val="44"/>
          <w:szCs w:val="44"/>
        </w:rPr>
      </w:pPr>
      <w:r>
        <w:rPr>
          <w:rFonts w:hint="eastAsia" w:ascii="方正小标宋简体" w:hAnsi="宋体" w:eastAsia="方正小标宋简体"/>
          <w:b/>
          <w:sz w:val="44"/>
          <w:szCs w:val="44"/>
        </w:rPr>
        <w:t>跑道摩擦系数车专用测试轮</w:t>
      </w:r>
      <w:r>
        <w:rPr>
          <w:rFonts w:hint="eastAsia" w:ascii="方正小标宋简体" w:eastAsia="方正小标宋简体" w:cs="Calibri"/>
          <w:b/>
          <w:sz w:val="44"/>
          <w:szCs w:val="44"/>
        </w:rPr>
        <w:t>采购项</w:t>
      </w:r>
      <w:r>
        <w:rPr>
          <w:rFonts w:hint="eastAsia" w:eastAsia="黑体" w:cs="Calibri"/>
          <w:b/>
          <w:sz w:val="44"/>
          <w:szCs w:val="44"/>
        </w:rPr>
        <w:t>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3"/>
        <w:spacing w:line="480" w:lineRule="auto"/>
        <w:jc w:val="center"/>
        <w:rPr>
          <w:rFonts w:ascii="Calibri" w:hAnsi="Calibri" w:eastAsia="黑体" w:cs="Calibri"/>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七</w:t>
      </w:r>
      <w:r>
        <w:rPr>
          <w:rFonts w:hint="eastAsia" w:ascii="Calibri" w:hAnsi="Calibri" w:eastAsia="黑体" w:cs="Calibri"/>
          <w:sz w:val="32"/>
          <w:szCs w:val="32"/>
        </w:rPr>
        <w:t>月</w:t>
      </w:r>
    </w:p>
    <w:p>
      <w:pPr>
        <w:pStyle w:val="23"/>
        <w:spacing w:line="480" w:lineRule="auto"/>
        <w:jc w:val="center"/>
        <w:rPr>
          <w:rFonts w:ascii="Calibri" w:hAnsi="Calibri" w:eastAsia="黑体" w:cs="Calibri"/>
          <w:sz w:val="32"/>
          <w:szCs w:val="32"/>
        </w:rPr>
      </w:pPr>
    </w:p>
    <w:p>
      <w:pPr>
        <w:pStyle w:val="32"/>
        <w:rPr>
          <w:rFonts w:ascii="Calibri" w:hAnsi="Calibri" w:cs="Calibri"/>
          <w:b/>
          <w:color w:val="000000"/>
          <w:sz w:val="44"/>
        </w:rPr>
      </w:pPr>
      <w:bookmarkStart w:id="3" w:name="_Toc444174976"/>
      <w:bookmarkStart w:id="4" w:name="_Toc448002981"/>
      <w:bookmarkStart w:id="5" w:name="_Toc400369182"/>
      <w:bookmarkStart w:id="6" w:name="_Toc444173456"/>
      <w:bookmarkStart w:id="7" w:name="_Toc349007685"/>
      <w:bookmarkStart w:id="8" w:name="_Toc386363314"/>
      <w:bookmarkStart w:id="9" w:name="_Toc444811406"/>
      <w:bookmarkStart w:id="10" w:name="_Toc349011855"/>
      <w:bookmarkStart w:id="11" w:name="_Toc386359390"/>
      <w:r>
        <w:rPr>
          <w:rFonts w:hint="eastAsia" w:ascii="Calibri" w:cs="Calibri"/>
          <w:b/>
          <w:color w:val="000000"/>
          <w:sz w:val="44"/>
        </w:rPr>
        <w:t>目录</w:t>
      </w:r>
      <w:bookmarkEnd w:id="3"/>
      <w:bookmarkEnd w:id="4"/>
      <w:bookmarkEnd w:id="5"/>
      <w:bookmarkEnd w:id="6"/>
      <w:bookmarkEnd w:id="7"/>
      <w:bookmarkEnd w:id="8"/>
      <w:bookmarkEnd w:id="9"/>
      <w:bookmarkEnd w:id="10"/>
      <w:bookmarkEnd w:id="11"/>
    </w:p>
    <w:p>
      <w:pPr>
        <w:pStyle w:val="32"/>
        <w:spacing w:line="480" w:lineRule="auto"/>
        <w:rPr>
          <w:rFonts w:ascii="黑体" w:hAnsi="黑体" w:eastAsia="黑体"/>
          <w:bCs/>
          <w:kern w:val="2"/>
          <w:sz w:val="22"/>
          <w:szCs w:val="22"/>
        </w:rPr>
      </w:pPr>
      <w:r>
        <w:rPr>
          <w:rFonts w:ascii="黑体" w:hAnsi="黑体" w:eastAsia="黑体" w:cs="Calibri"/>
          <w:color w:val="000000"/>
          <w:sz w:val="22"/>
          <w:szCs w:val="22"/>
        </w:rPr>
        <w:fldChar w:fldCharType="begin"/>
      </w:r>
      <w:r>
        <w:rPr>
          <w:rFonts w:ascii="黑体" w:hAnsi="黑体" w:eastAsia="黑体" w:cs="Calibri"/>
          <w:color w:val="000000"/>
          <w:sz w:val="22"/>
          <w:szCs w:val="22"/>
        </w:rPr>
        <w:instrText xml:space="preserve"> TOC \o "1-3" \h \z \u </w:instrText>
      </w:r>
      <w:r>
        <w:rPr>
          <w:rFonts w:ascii="黑体" w:hAnsi="黑体" w:eastAsia="黑体" w:cs="Calibri"/>
          <w:color w:val="000000"/>
          <w:sz w:val="22"/>
          <w:szCs w:val="22"/>
        </w:rPr>
        <w:fldChar w:fldCharType="separate"/>
      </w:r>
    </w:p>
    <w:p>
      <w:pPr>
        <w:pStyle w:val="32"/>
        <w:spacing w:line="480" w:lineRule="auto"/>
        <w:rPr>
          <w:rFonts w:ascii="黑体" w:hAnsi="黑体" w:eastAsia="黑体"/>
          <w:bCs/>
          <w:kern w:val="2"/>
          <w:sz w:val="22"/>
          <w:szCs w:val="22"/>
        </w:rPr>
      </w:pPr>
      <w:r>
        <w:fldChar w:fldCharType="begin"/>
      </w:r>
      <w:r>
        <w:instrText xml:space="preserve"> HYPERLINK \l "_Toc448002982" </w:instrText>
      </w:r>
      <w:r>
        <w:fldChar w:fldCharType="separate"/>
      </w:r>
      <w:r>
        <w:rPr>
          <w:rStyle w:val="53"/>
          <w:rFonts w:hint="eastAsia" w:ascii="黑体" w:hAnsi="黑体" w:eastAsia="黑体" w:cs="Calibri"/>
          <w:kern w:val="0"/>
          <w:sz w:val="22"/>
          <w:szCs w:val="22"/>
        </w:rPr>
        <w:t>第一章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"_Toc448002983" </w:instrText>
      </w:r>
      <w:r>
        <w:fldChar w:fldCharType="separate"/>
      </w:r>
      <w:r>
        <w:rPr>
          <w:rStyle w:val="53"/>
          <w:rFonts w:hint="eastAsia" w:ascii="黑体" w:hAnsi="黑体" w:eastAsia="黑体" w:cs="Calibri"/>
          <w:kern w:val="0"/>
          <w:sz w:val="22"/>
          <w:szCs w:val="22"/>
        </w:rPr>
        <w:t>第二章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- 4 -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ind w:firstLine="420" w:firstLineChars="200"/>
        <w:jc w:val="left"/>
        <w:rPr>
          <w:rFonts w:ascii="黑体" w:hAnsi="黑体" w:eastAsia="黑体"/>
          <w:bCs/>
          <w:kern w:val="2"/>
          <w:sz w:val="22"/>
          <w:szCs w:val="22"/>
        </w:rPr>
      </w:pPr>
      <w:r>
        <w:fldChar w:fldCharType="begin"/>
      </w:r>
      <w:r>
        <w:instrText xml:space="preserve"> HYPERLINK \l "_Toc448002985" </w:instrText>
      </w:r>
      <w:r>
        <w:fldChar w:fldCharType="separate"/>
      </w:r>
      <w:r>
        <w:rPr>
          <w:rStyle w:val="53"/>
          <w:rFonts w:hint="eastAsia" w:ascii="黑体" w:hAnsi="黑体" w:eastAsia="黑体" w:cs="Calibri"/>
          <w:kern w:val="0"/>
          <w:sz w:val="22"/>
          <w:szCs w:val="22"/>
        </w:rPr>
        <w:t>第三章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服务技术标准及要求...</w:t>
      </w:r>
      <w:r>
        <w:rPr>
          <w:rStyle w:val="53"/>
          <w:rFonts w:ascii="黑体" w:hAnsi="黑体" w:eastAsia="黑体" w:cs="Calibri"/>
          <w:kern w:val="0"/>
          <w:sz w:val="22"/>
          <w:szCs w:val="22"/>
        </w:rPr>
        <w:tab/>
      </w:r>
      <w:r>
        <w:rPr>
          <w:rStyle w:val="53"/>
          <w:rFonts w:hint="eastAsia" w:ascii="黑体" w:hAnsi="黑体" w:eastAsia="黑体" w:cs="Calibri"/>
          <w:kern w:val="0"/>
          <w:sz w:val="22"/>
          <w:szCs w:val="22"/>
        </w:rPr>
        <w:t>.</w:t>
      </w:r>
      <w:r>
        <w:rPr>
          <w:rFonts w:ascii="黑体" w:hAnsi="黑体" w:eastAsia="黑体"/>
          <w:sz w:val="22"/>
          <w:szCs w:val="22"/>
        </w:rPr>
        <w:fldChar w:fldCharType="begin"/>
      </w:r>
      <w:r>
        <w:rPr>
          <w:rFonts w:ascii="黑体" w:hAnsi="黑体" w:eastAsia="黑体"/>
          <w:sz w:val="22"/>
          <w:szCs w:val="22"/>
        </w:rPr>
        <w:instrText xml:space="preserve"> PAGEREF _Toc448002985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"_Toc448002986" </w:instrText>
      </w:r>
      <w:r>
        <w:fldChar w:fldCharType="separate"/>
      </w:r>
      <w:r>
        <w:rPr>
          <w:rStyle w:val="53"/>
          <w:rFonts w:hint="eastAsia" w:ascii="黑体" w:hAnsi="黑体" w:eastAsia="黑体" w:cs="Calibri"/>
          <w:kern w:val="0"/>
          <w:sz w:val="22"/>
          <w:szCs w:val="22"/>
        </w:rPr>
        <w:t>第四章</w:t>
      </w:r>
      <w:r>
        <w:rPr>
          <w:rStyle w:val="53"/>
          <w:rFonts w:ascii="黑体" w:hAnsi="黑体" w:eastAsia="黑体" w:cs="Calibri"/>
          <w:kern w:val="0"/>
          <w:sz w:val="22"/>
          <w:szCs w:val="22"/>
        </w:rPr>
        <w:t xml:space="preserve">  </w:t>
      </w:r>
      <w:r>
        <w:rPr>
          <w:rStyle w:val="53"/>
          <w:rFonts w:ascii="黑体" w:hAnsi="黑体" w:eastAsia="黑体" w:cs="Calibri"/>
          <w:kern w:val="0"/>
          <w:sz w:val="22"/>
          <w:szCs w:val="22"/>
        </w:rPr>
        <w:fldChar w:fldCharType="end"/>
      </w:r>
      <w:r>
        <w:fldChar w:fldCharType="begin"/>
      </w:r>
      <w:r>
        <w:instrText xml:space="preserve"> HYPERLINK \l "_Toc448002987" </w:instrText>
      </w:r>
      <w:r>
        <w:fldChar w:fldCharType="separate"/>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_Toc448002987 \h </w:instrText>
      </w:r>
      <w:r>
        <w:rPr>
          <w:rFonts w:ascii="黑体" w:hAnsi="黑体" w:eastAsia="黑体"/>
          <w:sz w:val="22"/>
          <w:szCs w:val="22"/>
        </w:rPr>
        <w:fldChar w:fldCharType="separate"/>
      </w:r>
      <w:r>
        <w:rPr>
          <w:rFonts w:ascii="黑体" w:hAnsi="黑体" w:eastAsia="黑体"/>
          <w:sz w:val="22"/>
          <w:szCs w:val="22"/>
        </w:rPr>
        <w:t>- 14 -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"_Toc448002988" </w:instrText>
      </w:r>
      <w:r>
        <w:fldChar w:fldCharType="separate"/>
      </w:r>
      <w:r>
        <w:rPr>
          <w:rStyle w:val="53"/>
          <w:rFonts w:hint="eastAsia" w:ascii="黑体" w:hAnsi="黑体" w:eastAsia="黑体" w:cs="Calibri"/>
          <w:kern w:val="0"/>
          <w:sz w:val="22"/>
          <w:szCs w:val="22"/>
        </w:rPr>
        <w:t>第五章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_Toc448002988 \h </w:instrText>
      </w:r>
      <w:r>
        <w:rPr>
          <w:rFonts w:ascii="黑体" w:hAnsi="黑体" w:eastAsia="黑体"/>
          <w:sz w:val="22"/>
          <w:szCs w:val="22"/>
        </w:rPr>
        <w:fldChar w:fldCharType="separate"/>
      </w:r>
      <w:r>
        <w:rPr>
          <w:rFonts w:ascii="黑体" w:hAnsi="黑体" w:eastAsia="黑体"/>
          <w:sz w:val="22"/>
          <w:szCs w:val="22"/>
        </w:rPr>
        <w:t>- 17 -</w:t>
      </w:r>
      <w:r>
        <w:rPr>
          <w:rFonts w:ascii="黑体" w:hAnsi="黑体" w:eastAsia="黑体"/>
          <w:sz w:val="22"/>
          <w:szCs w:val="22"/>
        </w:rPr>
        <w:fldChar w:fldCharType="end"/>
      </w:r>
      <w:r>
        <w:rPr>
          <w:rFonts w:ascii="黑体" w:hAnsi="黑体" w:eastAsia="黑体"/>
          <w:sz w:val="22"/>
          <w:szCs w:val="22"/>
        </w:rPr>
        <w:fldChar w:fldCharType="end"/>
      </w:r>
    </w:p>
    <w:p>
      <w:pPr>
        <w:pStyle w:val="2"/>
        <w:spacing w:before="0" w:after="0" w:line="360" w:lineRule="auto"/>
        <w:jc w:val="center"/>
        <w:rPr>
          <w:rFonts w:ascii="黑体" w:hAnsi="黑体" w:eastAsia="黑体" w:cs="Calibri"/>
          <w:color w:val="000000"/>
          <w:sz w:val="22"/>
        </w:rPr>
      </w:pPr>
      <w:r>
        <w:rPr>
          <w:rFonts w:ascii="黑体" w:hAnsi="黑体" w:eastAsia="黑体" w:cs="Calibri"/>
          <w:color w:val="000000"/>
          <w:sz w:val="22"/>
        </w:rPr>
        <w:fldChar w:fldCharType="end"/>
      </w:r>
    </w:p>
    <w:p>
      <w:pPr>
        <w:jc w:val="left"/>
      </w:pPr>
      <w:r>
        <w:br w:type="page"/>
      </w:r>
    </w:p>
    <w:p>
      <w:pPr>
        <w:pStyle w:val="2"/>
        <w:spacing w:before="0" w:after="0" w:line="360" w:lineRule="auto"/>
        <w:jc w:val="center"/>
        <w:rPr>
          <w:rFonts w:ascii="Calibri" w:eastAsia="黑体" w:cs="Calibri"/>
          <w:kern w:val="0"/>
          <w:sz w:val="32"/>
        </w:rPr>
      </w:pPr>
      <w:r>
        <w:rPr>
          <w:rFonts w:hint="eastAsia" w:eastAsia="黑体" w:cs="Calibri"/>
          <w:kern w:val="0"/>
          <w:sz w:val="32"/>
        </w:rPr>
        <w:t>第一章招标公告</w:t>
      </w:r>
      <w:bookmarkStart w:id="12" w:name="_Toc249322950"/>
      <w:bookmarkStart w:id="13" w:name="_Toc24876663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w:t>
      </w:r>
      <w:r>
        <w:rPr>
          <w:rFonts w:hint="eastAsia" w:ascii="宋体" w:hAnsi="宋体"/>
          <w:sz w:val="22"/>
        </w:rPr>
        <w:t>跑道摩擦系数车专用测试轮</w:t>
      </w:r>
      <w:r>
        <w:rPr>
          <w:rFonts w:hint="eastAsia" w:ascii="宋体" w:hAnsi="宋体" w:cs="Arial"/>
          <w:kern w:val="0"/>
          <w:sz w:val="22"/>
        </w:rPr>
        <w:t>采购项目已批准，项目业主为杭州萧山国际机场有限公司，资金来源为自筹。项目已具备招标条件，现对本项目进行公开招标。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本项目位于杭州萧山国际机场内，具体要求详见第三章“服务技术标准及要求”。</w:t>
      </w:r>
    </w:p>
    <w:p>
      <w:pPr>
        <w:widowControl/>
        <w:tabs>
          <w:tab w:val="center" w:pos="4926"/>
        </w:tabs>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w:t>
      </w:r>
    </w:p>
    <w:p>
      <w:pPr>
        <w:widowControl/>
        <w:adjustRightInd w:val="0"/>
        <w:snapToGrid w:val="0"/>
        <w:spacing w:line="340" w:lineRule="exact"/>
        <w:ind w:firstLine="440" w:firstLineChars="200"/>
        <w:rPr>
          <w:rFonts w:ascii="宋体" w:hAnsi="宋体"/>
          <w:sz w:val="22"/>
        </w:rPr>
      </w:pPr>
      <w:r>
        <w:rPr>
          <w:rFonts w:hint="eastAsia" w:ascii="宋体" w:hAnsi="宋体"/>
          <w:sz w:val="22"/>
        </w:rPr>
        <w:t>跑道摩擦系数车专用测试轮若干</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）交货时间：</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自甲方通知之日起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ind w:firstLine="442" w:firstLineChars="200"/>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w:t>
      </w:r>
      <w:r>
        <w:rPr>
          <w:rFonts w:hint="eastAsia" w:ascii="宋体" w:hAnsi="宋体" w:cs="宋体"/>
          <w:sz w:val="22"/>
        </w:rPr>
        <w:t>要求为具有独立法人资格的设备制造商或代理商，代理商需提供设备制造商的授权。</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）能独立承担民事责任和履行合同能力，具有良好的商业信誉和健全的财务会计管理制度，有依法缴纳税收和社会保障资金的良好记录，</w:t>
      </w:r>
      <w:r>
        <w:rPr>
          <w:rFonts w:ascii="宋体" w:hAnsi="宋体" w:cs="Arial"/>
          <w:kern w:val="0"/>
          <w:sz w:val="22"/>
        </w:rPr>
        <w:t>201</w:t>
      </w:r>
      <w:r>
        <w:rPr>
          <w:rFonts w:hint="eastAsia" w:ascii="宋体" w:hAnsi="宋体" w:cs="Arial"/>
          <w:kern w:val="0"/>
          <w:sz w:val="22"/>
        </w:rPr>
        <w:t>6年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日的经营活动中没有重大违法记录和不良记录；需提供承诺书，格式自拟。</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）投标人具有一般纳税人资格，可提供税率为</w:t>
      </w:r>
      <w:r>
        <w:rPr>
          <w:rFonts w:ascii="宋体" w:hAnsi="宋体" w:cs="Arial"/>
          <w:kern w:val="0"/>
          <w:sz w:val="22"/>
        </w:rPr>
        <w:t>13%</w:t>
      </w:r>
      <w:r>
        <w:rPr>
          <w:rFonts w:hint="eastAsia" w:ascii="宋体" w:hAnsi="宋体" w:cs="Arial"/>
          <w:kern w:val="0"/>
          <w:sz w:val="22"/>
        </w:rPr>
        <w:t>的增值税专用发票；</w:t>
      </w:r>
    </w:p>
    <w:p>
      <w:pPr>
        <w:widowControl/>
        <w:adjustRightInd w:val="0"/>
        <w:snapToGrid w:val="0"/>
        <w:spacing w:line="340" w:lineRule="exact"/>
        <w:ind w:firstLine="440" w:firstLineChars="200"/>
        <w:rPr>
          <w:rFonts w:ascii="宋体" w:cs="宋体"/>
          <w:color w:val="000000"/>
          <w:kern w:val="0"/>
          <w:sz w:val="22"/>
          <w:shd w:val="clear" w:color="auto" w:fill="FFFFFF"/>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）投标人须具备企业法人资质，并在人员、设备、资金等方面具有相应的能力；</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分（北京时间）。投标文件在封口处加盖公章，并派专人于</w:t>
      </w: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分（北京时间）前送至杭州萧山国际机场翔越路综合服务楼园区招标中心，逾期无效；若采用投递方式的，</w:t>
      </w: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分（北京时间）前投递至杭州萧山国际机场AOC楼813室，逾期无效。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技术联系人：田斌           联系电话： 0571-86662382</w:t>
      </w:r>
    </w:p>
    <w:p>
      <w:pPr>
        <w:pStyle w:val="2"/>
        <w:spacing w:before="0" w:after="0" w:line="360" w:lineRule="auto"/>
        <w:rPr>
          <w:rFonts w:ascii="Calibri" w:eastAsia="黑体" w:cs="Calibri"/>
          <w:b w:val="0"/>
          <w:kern w:val="0"/>
          <w:sz w:val="22"/>
          <w:szCs w:val="22"/>
        </w:rPr>
      </w:pPr>
      <w:r>
        <w:rPr>
          <w:rFonts w:hint="eastAsia" w:ascii="宋体" w:hAnsi="宋体"/>
          <w:b w:val="0"/>
          <w:sz w:val="22"/>
          <w:szCs w:val="22"/>
        </w:rPr>
        <w:t xml:space="preserve">    招标监督人：邓飞           联系电话： 0571-83837891</w:t>
      </w:r>
      <w:bookmarkStart w:id="14" w:name="_Toc448002983"/>
    </w:p>
    <w:p/>
    <w:p>
      <w:pPr>
        <w:pStyle w:val="2"/>
        <w:spacing w:before="0" w:after="0" w:line="360" w:lineRule="auto"/>
        <w:jc w:val="center"/>
        <w:rPr>
          <w:rFonts w:ascii="Calibri" w:hAnsi="Calibri" w:eastAsia="黑体" w:cs="Calibri"/>
          <w:kern w:val="0"/>
          <w:sz w:val="32"/>
        </w:rPr>
      </w:pPr>
      <w:r>
        <w:rPr>
          <w:rFonts w:hint="eastAsia" w:ascii="Calibri" w:eastAsia="黑体" w:cs="Calibri"/>
          <w:kern w:val="0"/>
          <w:sz w:val="32"/>
        </w:rPr>
        <w:t>第二章投标人须知</w:t>
      </w:r>
      <w:bookmarkEnd w:id="0"/>
      <w:bookmarkEnd w:id="12"/>
      <w:bookmarkEnd w:id="13"/>
      <w:bookmarkEnd w:id="14"/>
      <w:bookmarkStart w:id="15" w:name="_Toc143421654"/>
    </w:p>
    <w:p>
      <w:pPr>
        <w:pStyle w:val="118"/>
        <w:jc w:val="center"/>
        <w:rPr>
          <w:rFonts w:ascii="Calibri" w:hAnsi="Calibri" w:eastAsia="黑体" w:cs="Calibri"/>
          <w:kern w:val="2"/>
          <w:sz w:val="28"/>
          <w:szCs w:val="32"/>
        </w:rPr>
      </w:pPr>
      <w:bookmarkStart w:id="16" w:name="_Toc386363317"/>
      <w:bookmarkStart w:id="17" w:name="_Toc386359393"/>
      <w:bookmarkStart w:id="18" w:name="_Toc444174979"/>
      <w:bookmarkStart w:id="19" w:name="_Toc349007688"/>
      <w:bookmarkStart w:id="20" w:name="_Toc11881"/>
      <w:bookmarkStart w:id="21" w:name="_Toc444811409"/>
      <w:bookmarkStart w:id="22" w:name="_Toc400369185"/>
      <w:bookmarkStart w:id="23" w:name="_Toc444173459"/>
      <w:bookmarkStart w:id="24" w:name="_Toc349011858"/>
      <w:bookmarkStart w:id="25" w:name="_Toc448002984"/>
      <w:r>
        <w:rPr>
          <w:rFonts w:hint="eastAsia" w:ascii="Calibri" w:hAnsi="Arial" w:eastAsia="黑体" w:cs="Calibri"/>
          <w:kern w:val="2"/>
          <w:sz w:val="28"/>
          <w:szCs w:val="32"/>
        </w:rPr>
        <w:t>投标人须知前附表</w:t>
      </w:r>
      <w:bookmarkEnd w:id="15"/>
      <w:bookmarkEnd w:id="16"/>
      <w:bookmarkEnd w:id="17"/>
      <w:bookmarkEnd w:id="18"/>
      <w:bookmarkEnd w:id="19"/>
      <w:bookmarkEnd w:id="20"/>
      <w:bookmarkEnd w:id="21"/>
      <w:bookmarkEnd w:id="22"/>
      <w:bookmarkEnd w:id="23"/>
      <w:bookmarkEnd w:id="24"/>
      <w:bookmarkEnd w:id="25"/>
    </w:p>
    <w:tbl>
      <w:tblPr>
        <w:tblStyle w:val="5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w:t>
            </w:r>
            <w:r>
              <w:rPr>
                <w:rFonts w:hint="eastAsia" w:ascii="宋体" w:hAnsi="宋体"/>
                <w:sz w:val="22"/>
              </w:rPr>
              <w:t>跑道摩擦系数车专用测试轮</w:t>
            </w:r>
            <w:r>
              <w:rPr>
                <w:rFonts w:hint="eastAsia" w:ascii="宋体" w:hAnsi="宋体" w:cs="Calibri"/>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8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widowControl/>
              <w:adjustRightInd w:val="0"/>
              <w:snapToGrid w:val="0"/>
              <w:spacing w:line="340" w:lineRule="exact"/>
              <w:rPr>
                <w:rFonts w:ascii="宋体" w:cs="Calibri"/>
                <w:sz w:val="22"/>
              </w:rPr>
            </w:pPr>
            <w:r>
              <w:rPr>
                <w:rFonts w:ascii="宋体" w:hAnsi="宋体" w:cs="Calibri"/>
                <w:sz w:val="22"/>
              </w:rPr>
              <w:t>90</w:t>
            </w:r>
            <w:r>
              <w:rPr>
                <w:rFonts w:hint="eastAsia" w:ascii="宋体" w:hAnsi="宋体" w:cs="Calibri"/>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w:t>
            </w:r>
            <w:r>
              <w:rPr>
                <w:rFonts w:hint="eastAsia" w:ascii="宋体" w:hAnsi="宋体"/>
                <w:sz w:val="22"/>
              </w:rPr>
              <w:t>合国家现行标准及行业技术标准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r>
              <w:rPr>
                <w:rFonts w:ascii="宋体" w:hAnsi="宋体" w:cs="Calibri"/>
                <w:kern w:val="0"/>
                <w:sz w:val="22"/>
              </w:rPr>
              <w:t>2019</w:t>
            </w:r>
            <w:r>
              <w:rPr>
                <w:rFonts w:hint="eastAsia" w:ascii="宋体" w:hAnsi="宋体" w:cs="Calibri"/>
                <w:kern w:val="0"/>
                <w:sz w:val="22"/>
              </w:rPr>
              <w:t>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日上午</w:t>
            </w:r>
            <w:r>
              <w:rPr>
                <w:rFonts w:ascii="宋体" w:hAnsi="宋体" w:cs="Calibri"/>
                <w:kern w:val="0"/>
                <w:sz w:val="22"/>
              </w:rPr>
              <w:t>9:00</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19</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w:t>
            </w:r>
            <w:r>
              <w:rPr>
                <w:rFonts w:ascii="宋体" w:hAnsi="宋体" w:cs="Calibri"/>
                <w:kern w:val="0"/>
                <w:sz w:val="22"/>
              </w:rPr>
              <w:t>E-mail</w:t>
            </w:r>
            <w:r>
              <w:rPr>
                <w:rFonts w:hint="eastAsia" w:ascii="宋体" w:hAnsi="宋体" w:cs="Calibri"/>
                <w:kern w:val="0"/>
                <w:sz w:val="22"/>
              </w:rPr>
              <w:t>或传真提交给招标人</w:t>
            </w:r>
            <w:r>
              <w:rPr>
                <w:rFonts w:hint="eastAsia" w:ascii="宋体" w:hAnsi="宋体" w:cs="Calibri"/>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bookmarkStart w:id="118" w:name="_GoBack"/>
            <w:bookmarkEnd w:id="11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color w:val="FF0000"/>
                <w:kern w:val="0"/>
                <w:sz w:val="22"/>
              </w:rPr>
            </w:pPr>
            <w:r>
              <w:rPr>
                <w:rFonts w:ascii="宋体" w:hAnsi="宋体" w:cs="Arial"/>
                <w:kern w:val="0"/>
                <w:sz w:val="22"/>
              </w:rPr>
              <w:t>2019</w:t>
            </w:r>
            <w:r>
              <w:rPr>
                <w:rFonts w:hint="eastAsia" w:ascii="宋体" w:hAnsi="宋体" w:cs="Arial"/>
                <w:kern w:val="0"/>
                <w:sz w:val="22"/>
              </w:rPr>
              <w:t>年</w:t>
            </w:r>
            <w:r>
              <w:rPr>
                <w:rFonts w:ascii="宋体" w:hAnsi="宋体" w:cs="Arial"/>
                <w:kern w:val="0"/>
                <w:sz w:val="22"/>
              </w:rPr>
              <w:t xml:space="preserve"> </w:t>
            </w:r>
            <w:r>
              <w:rPr>
                <w:rFonts w:hint="eastAsia" w:ascii="宋体" w:hAnsi="宋体" w:cs="Arial"/>
                <w:kern w:val="0"/>
                <w:sz w:val="22"/>
                <w:lang w:val="en-US" w:eastAsia="zh-CN"/>
              </w:rPr>
              <w:t>7</w:t>
            </w:r>
            <w:r>
              <w:rPr>
                <w:rFonts w:ascii="宋体" w:hAnsi="宋体" w:cs="Arial"/>
                <w:kern w:val="0"/>
                <w:sz w:val="22"/>
              </w:rPr>
              <w:t xml:space="preserve">  </w:t>
            </w:r>
            <w:r>
              <w:rPr>
                <w:rFonts w:hint="eastAsia" w:ascii="宋体" w:hAnsi="宋体" w:cs="Arial"/>
                <w:kern w:val="0"/>
                <w:sz w:val="22"/>
              </w:rPr>
              <w:t>月</w:t>
            </w:r>
            <w:r>
              <w:rPr>
                <w:rFonts w:ascii="宋体" w:hAnsi="宋体" w:cs="Arial"/>
                <w:kern w:val="0"/>
                <w:sz w:val="22"/>
              </w:rPr>
              <w:t xml:space="preserve"> </w:t>
            </w:r>
            <w:r>
              <w:rPr>
                <w:rFonts w:hint="eastAsia" w:ascii="宋体" w:hAnsi="宋体" w:cs="Arial"/>
                <w:kern w:val="0"/>
                <w:sz w:val="22"/>
                <w:lang w:val="en-US" w:eastAsia="zh-CN"/>
              </w:rPr>
              <w:t>26</w:t>
            </w:r>
            <w:r>
              <w:rPr>
                <w:rFonts w:ascii="宋体" w:hAnsi="宋体" w:cs="Arial"/>
                <w:kern w:val="0"/>
                <w:sz w:val="22"/>
              </w:rPr>
              <w:t xml:space="preserve"> </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sz w:val="22"/>
              </w:rPr>
              <w:t>跑道摩擦系数车专用测试轮</w:t>
            </w:r>
            <w:r>
              <w:rPr>
                <w:rFonts w:hint="eastAsia" w:ascii="宋体" w:hAnsi="宋体" w:cs="Calibri"/>
                <w:kern w:val="0"/>
                <w:sz w:val="22"/>
                <w:u w:val="single"/>
              </w:rPr>
              <w:t>采购项目</w:t>
            </w:r>
            <w:r>
              <w:rPr>
                <w:rFonts w:hint="eastAsia" w:ascii="宋体" w:hAnsi="宋体" w:cs="宋体"/>
                <w:sz w:val="22"/>
              </w:rPr>
              <w:t>投标文件</w:t>
            </w:r>
          </w:p>
          <w:p>
            <w:pPr>
              <w:autoSpaceDE w:val="0"/>
              <w:autoSpaceDN w:val="0"/>
              <w:adjustRightInd w:val="0"/>
              <w:snapToGrid w:val="0"/>
              <w:rPr>
                <w:rFonts w:ascii="宋体" w:cs="Calibri"/>
                <w:color w:val="000000"/>
                <w:kern w:val="0"/>
                <w:sz w:val="22"/>
              </w:rPr>
            </w:pPr>
            <w:r>
              <w:rPr>
                <w:rFonts w:hint="eastAsia" w:ascii="宋体" w:hAnsi="宋体" w:cs="Calibri"/>
                <w:color w:val="000000"/>
                <w:kern w:val="0"/>
                <w:sz w:val="22"/>
                <w:shd w:val="clear" w:color="auto" w:fill="FFFFFF"/>
              </w:rPr>
              <w:t>在</w:t>
            </w:r>
            <w:r>
              <w:rPr>
                <w:rFonts w:ascii="宋体" w:hAnsi="宋体" w:cs="Calibri"/>
                <w:color w:val="000000"/>
                <w:kern w:val="0"/>
                <w:sz w:val="22"/>
                <w:shd w:val="clear" w:color="auto" w:fill="FFFFFF"/>
              </w:rPr>
              <w:t>201</w:t>
            </w:r>
            <w:r>
              <w:rPr>
                <w:rFonts w:hint="eastAsia" w:ascii="宋体" w:hAnsi="宋体" w:cs="Calibri"/>
                <w:color w:val="000000"/>
                <w:kern w:val="0"/>
                <w:sz w:val="22"/>
                <w:shd w:val="clear" w:color="auto" w:fill="FFFFFF"/>
              </w:rPr>
              <w:t>9年</w:t>
            </w:r>
            <w:r>
              <w:rPr>
                <w:rFonts w:hint="eastAsia" w:ascii="宋体" w:hAnsi="宋体" w:cs="Calibri"/>
                <w:color w:val="000000"/>
                <w:kern w:val="0"/>
                <w:sz w:val="22"/>
                <w:shd w:val="clear" w:color="auto" w:fill="FFFFFF"/>
                <w:lang w:val="en-US" w:eastAsia="zh-CN"/>
              </w:rPr>
              <w:t>7</w:t>
            </w:r>
            <w:r>
              <w:rPr>
                <w:rFonts w:hint="eastAsia" w:ascii="宋体" w:hAnsi="宋体" w:cs="Calibri"/>
                <w:color w:val="000000"/>
                <w:kern w:val="0"/>
                <w:sz w:val="22"/>
                <w:shd w:val="clear" w:color="auto" w:fill="FFFFFF"/>
              </w:rPr>
              <w:t>月</w:t>
            </w:r>
            <w:r>
              <w:rPr>
                <w:rFonts w:hint="eastAsia" w:ascii="宋体" w:hAnsi="宋体" w:cs="Calibri"/>
                <w:color w:val="000000"/>
                <w:kern w:val="0"/>
                <w:sz w:val="22"/>
                <w:shd w:val="clear" w:color="auto" w:fill="FFFFFF"/>
                <w:lang w:val="en-US" w:eastAsia="zh-CN"/>
              </w:rPr>
              <w:t>26</w:t>
            </w:r>
            <w:r>
              <w:rPr>
                <w:rFonts w:hint="eastAsia" w:ascii="宋体" w:hAnsi="宋体" w:cs="Calibri"/>
                <w:color w:val="000000"/>
                <w:kern w:val="0"/>
                <w:sz w:val="22"/>
                <w:shd w:val="clear" w:color="auto" w:fill="FFFFFF"/>
              </w:rPr>
              <w:t>日（即开标时间）前不得开启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10.2</w:t>
            </w:r>
          </w:p>
        </w:tc>
        <w:tc>
          <w:tcPr>
            <w:tcW w:w="2004" w:type="dxa"/>
            <w:vAlign w:val="center"/>
          </w:tcPr>
          <w:p>
            <w:pPr>
              <w:pStyle w:val="45"/>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45"/>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26" w:name="_Toc143421656"/>
      <w:bookmarkStart w:id="27" w:name="_Toc11067"/>
    </w:p>
    <w:bookmarkEnd w:id="26"/>
    <w:bookmarkEnd w:id="27"/>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bookmarkStart w:id="28" w:name="_Toc26216"/>
      <w:r>
        <w:rPr>
          <w:rFonts w:ascii="宋体" w:hAnsi="宋体" w:cs="Calibri"/>
          <w:b/>
          <w:bCs/>
          <w:kern w:val="0"/>
          <w:sz w:val="22"/>
        </w:rPr>
        <w:t xml:space="preserve">1.1 </w:t>
      </w:r>
      <w:r>
        <w:rPr>
          <w:rFonts w:hint="eastAsia" w:ascii="宋体" w:hAnsi="宋体" w:cs="Calibri"/>
          <w:b/>
          <w:bCs/>
          <w:kern w:val="0"/>
          <w:sz w:val="22"/>
        </w:rPr>
        <w:t>项目</w:t>
      </w:r>
      <w:bookmarkEnd w:id="28"/>
      <w:r>
        <w:rPr>
          <w:rFonts w:hint="eastAsia" w:ascii="宋体" w:hAnsi="宋体" w:cs="Calibri"/>
          <w:b/>
          <w:bCs/>
          <w:kern w:val="0"/>
          <w:sz w:val="22"/>
        </w:rPr>
        <w:t>概况</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项目实施地点见投标人须知前附表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29" w:name="_Toc9136"/>
      <w:r>
        <w:rPr>
          <w:rFonts w:ascii="宋体" w:hAnsi="宋体" w:cs="Calibri"/>
          <w:b/>
          <w:bCs/>
          <w:kern w:val="0"/>
          <w:sz w:val="22"/>
        </w:rPr>
        <w:t xml:space="preserve">1.2 </w:t>
      </w:r>
      <w:r>
        <w:rPr>
          <w:rFonts w:hint="eastAsia" w:ascii="宋体" w:hAnsi="宋体" w:cs="Calibri"/>
          <w:b/>
          <w:bCs/>
          <w:kern w:val="0"/>
          <w:sz w:val="22"/>
        </w:rPr>
        <w:t>资金来源</w:t>
      </w:r>
      <w:bookmarkEnd w:id="29"/>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0" w:name="_Toc10673"/>
      <w:r>
        <w:rPr>
          <w:rFonts w:ascii="宋体" w:hAnsi="宋体" w:cs="Calibri"/>
          <w:b/>
          <w:bCs/>
          <w:kern w:val="0"/>
          <w:sz w:val="22"/>
        </w:rPr>
        <w:t xml:space="preserve">1.3 </w:t>
      </w:r>
      <w:r>
        <w:rPr>
          <w:rFonts w:hint="eastAsia" w:ascii="宋体" w:hAnsi="宋体" w:cs="Calibri"/>
          <w:b/>
          <w:bCs/>
          <w:kern w:val="0"/>
          <w:sz w:val="22"/>
        </w:rPr>
        <w:t>招标</w:t>
      </w:r>
      <w:bookmarkEnd w:id="30"/>
      <w:r>
        <w:rPr>
          <w:rFonts w:hint="eastAsia" w:ascii="宋体" w:hAnsi="宋体" w:cs="Calibri"/>
          <w:b/>
          <w:bCs/>
          <w:kern w:val="0"/>
          <w:sz w:val="22"/>
        </w:rPr>
        <w:t>内容</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1" w:name="_Toc718"/>
      <w:r>
        <w:rPr>
          <w:rFonts w:ascii="宋体" w:hAnsi="宋体" w:cs="Calibri"/>
          <w:b/>
          <w:bCs/>
          <w:kern w:val="0"/>
          <w:sz w:val="22"/>
        </w:rPr>
        <w:t xml:space="preserve">1.4 </w:t>
      </w:r>
      <w:r>
        <w:rPr>
          <w:rFonts w:hint="eastAsia" w:ascii="宋体" w:hAnsi="宋体" w:cs="Calibri"/>
          <w:b/>
          <w:bCs/>
          <w:kern w:val="0"/>
          <w:sz w:val="22"/>
        </w:rPr>
        <w:t>招标方式</w:t>
      </w:r>
      <w:bookmarkEnd w:id="31"/>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2" w:name="_Toc9161"/>
      <w:r>
        <w:rPr>
          <w:rFonts w:ascii="宋体" w:hAnsi="宋体" w:cs="Calibri"/>
          <w:b/>
          <w:bCs/>
          <w:kern w:val="0"/>
          <w:sz w:val="22"/>
        </w:rPr>
        <w:t xml:space="preserve">1.5 </w:t>
      </w:r>
      <w:r>
        <w:rPr>
          <w:rFonts w:hint="eastAsia" w:ascii="宋体" w:hAnsi="宋体" w:cs="Calibri"/>
          <w:b/>
          <w:bCs/>
          <w:kern w:val="0"/>
          <w:sz w:val="22"/>
        </w:rPr>
        <w:t>资格审查</w:t>
      </w:r>
      <w:bookmarkEnd w:id="32"/>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3"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3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4" w:name="_Toc2796"/>
      <w:r>
        <w:rPr>
          <w:rFonts w:ascii="宋体" w:hAnsi="宋体" w:cs="Calibri"/>
          <w:b/>
          <w:bCs/>
          <w:kern w:val="0"/>
          <w:sz w:val="22"/>
        </w:rPr>
        <w:t>1.7</w:t>
      </w:r>
      <w:r>
        <w:rPr>
          <w:rFonts w:hint="eastAsia" w:ascii="宋体" w:hAnsi="宋体" w:cs="Calibri"/>
          <w:b/>
          <w:bCs/>
          <w:kern w:val="0"/>
          <w:sz w:val="22"/>
        </w:rPr>
        <w:t>服务期</w:t>
      </w:r>
      <w:bookmarkEnd w:id="3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color w:val="000000"/>
          <w:sz w:val="22"/>
        </w:rPr>
      </w:pPr>
      <w:bookmarkStart w:id="35"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35"/>
    </w:p>
    <w:p>
      <w:pPr>
        <w:adjustRightInd w:val="0"/>
        <w:snapToGrid w:val="0"/>
        <w:spacing w:line="360" w:lineRule="exact"/>
        <w:ind w:firstLine="440" w:firstLineChars="20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招标人向投标人提供的有关现场的数据和资料，仅供投标人在编制投标文件时参考，招标人不对投标人据此做出的判断和决策负责。</w:t>
      </w:r>
    </w:p>
    <w:p>
      <w:pPr>
        <w:autoSpaceDE w:val="0"/>
        <w:autoSpaceDN w:val="0"/>
        <w:adjustRightInd w:val="0"/>
        <w:snapToGrid w:val="0"/>
        <w:spacing w:line="360" w:lineRule="exact"/>
        <w:rPr>
          <w:rFonts w:ascii="宋体" w:cs="Calibri"/>
          <w:b/>
          <w:bCs/>
          <w:kern w:val="0"/>
          <w:sz w:val="22"/>
        </w:rPr>
      </w:pPr>
      <w:bookmarkStart w:id="36" w:name="_Toc4199"/>
      <w:r>
        <w:rPr>
          <w:rFonts w:ascii="宋体" w:hAnsi="宋体" w:cs="Calibri"/>
          <w:b/>
          <w:bCs/>
          <w:kern w:val="0"/>
          <w:sz w:val="22"/>
        </w:rPr>
        <w:t xml:space="preserve">1.10 </w:t>
      </w:r>
      <w:r>
        <w:rPr>
          <w:rFonts w:hint="eastAsia" w:ascii="宋体" w:hAnsi="宋体" w:cs="Calibri"/>
          <w:b/>
          <w:bCs/>
          <w:kern w:val="0"/>
          <w:sz w:val="22"/>
        </w:rPr>
        <w:t>投标预备会</w:t>
      </w:r>
      <w:bookmarkEnd w:id="3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7" w:name="_Toc4584"/>
      <w:r>
        <w:rPr>
          <w:rFonts w:ascii="宋体" w:hAnsi="宋体" w:cs="Calibri"/>
          <w:b/>
          <w:bCs/>
          <w:kern w:val="0"/>
          <w:sz w:val="22"/>
        </w:rPr>
        <w:t xml:space="preserve">1.11 </w:t>
      </w:r>
      <w:r>
        <w:rPr>
          <w:rFonts w:hint="eastAsia" w:ascii="宋体" w:hAnsi="宋体" w:cs="Calibri"/>
          <w:b/>
          <w:bCs/>
          <w:kern w:val="0"/>
          <w:sz w:val="22"/>
        </w:rPr>
        <w:t>分包</w:t>
      </w:r>
      <w:bookmarkEnd w:id="37"/>
    </w:p>
    <w:p>
      <w:pPr>
        <w:adjustRightInd w:val="0"/>
        <w:snapToGrid w:val="0"/>
        <w:spacing w:line="360" w:lineRule="exact"/>
        <w:ind w:firstLine="440" w:firstLineChars="200"/>
        <w:rPr>
          <w:rFonts w:asci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cs="Calibri"/>
          <w:b/>
          <w:bCs/>
          <w:kern w:val="0"/>
          <w:sz w:val="22"/>
        </w:rPr>
      </w:pPr>
      <w:bookmarkStart w:id="38" w:name="_Toc3996"/>
      <w:r>
        <w:rPr>
          <w:rFonts w:ascii="宋体" w:hAnsi="宋体" w:cs="Calibri"/>
          <w:b/>
          <w:bCs/>
          <w:kern w:val="0"/>
          <w:sz w:val="22"/>
        </w:rPr>
        <w:t xml:space="preserve">1.12 </w:t>
      </w:r>
      <w:r>
        <w:rPr>
          <w:rFonts w:hint="eastAsia" w:ascii="宋体" w:hAnsi="宋体" w:cs="Calibri"/>
          <w:b/>
          <w:bCs/>
          <w:kern w:val="0"/>
          <w:sz w:val="22"/>
        </w:rPr>
        <w:t>投标费用</w:t>
      </w:r>
      <w:bookmarkEnd w:id="38"/>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39" w:name="_Toc143421657"/>
      <w:bookmarkStart w:id="40" w:name="_Toc15241"/>
      <w:r>
        <w:rPr>
          <w:rFonts w:ascii="宋体" w:hAnsi="宋体" w:cs="Calibri"/>
          <w:b/>
          <w:bCs/>
          <w:kern w:val="0"/>
          <w:sz w:val="22"/>
        </w:rPr>
        <w:t>2.</w:t>
      </w:r>
      <w:r>
        <w:rPr>
          <w:rFonts w:hint="eastAsia" w:ascii="宋体" w:hAnsi="宋体" w:cs="Calibri"/>
          <w:b/>
          <w:bCs/>
          <w:kern w:val="0"/>
          <w:sz w:val="22"/>
        </w:rPr>
        <w:t>招标文件</w:t>
      </w:r>
      <w:bookmarkEnd w:id="39"/>
      <w:bookmarkEnd w:id="40"/>
    </w:p>
    <w:p>
      <w:pPr>
        <w:autoSpaceDE w:val="0"/>
        <w:autoSpaceDN w:val="0"/>
        <w:adjustRightInd w:val="0"/>
        <w:snapToGrid w:val="0"/>
        <w:spacing w:line="360" w:lineRule="exact"/>
        <w:rPr>
          <w:rFonts w:ascii="宋体" w:cs="Calibri"/>
          <w:b/>
          <w:bCs/>
          <w:kern w:val="0"/>
          <w:sz w:val="22"/>
        </w:rPr>
      </w:pPr>
      <w:bookmarkStart w:id="41"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41"/>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）合同条款</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）评标办法及标准</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42"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42"/>
    </w:p>
    <w:p>
      <w:pPr>
        <w:adjustRightInd w:val="0"/>
        <w:snapToGrid w:val="0"/>
        <w:spacing w:line="360" w:lineRule="exact"/>
        <w:ind w:firstLine="440"/>
        <w:rPr>
          <w:rFonts w:ascii="宋体" w:cs="Calibri"/>
          <w:color w:val="000000"/>
          <w:sz w:val="22"/>
        </w:rPr>
      </w:pPr>
      <w:bookmarkStart w:id="43" w:name="_Toc18303"/>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43"/>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44" w:name="_Toc143421658"/>
      <w:bookmarkStart w:id="45" w:name="_Toc18870"/>
      <w:r>
        <w:rPr>
          <w:rFonts w:ascii="宋体" w:hAnsi="宋体" w:cs="Calibri"/>
          <w:b/>
          <w:bCs/>
          <w:kern w:val="0"/>
          <w:sz w:val="22"/>
        </w:rPr>
        <w:t>3.</w:t>
      </w:r>
      <w:r>
        <w:rPr>
          <w:rFonts w:hint="eastAsia" w:ascii="宋体" w:hAnsi="宋体" w:cs="Calibri"/>
          <w:b/>
          <w:bCs/>
          <w:kern w:val="0"/>
          <w:sz w:val="22"/>
        </w:rPr>
        <w:t>投标文件</w:t>
      </w:r>
      <w:bookmarkEnd w:id="44"/>
      <w:bookmarkEnd w:id="45"/>
    </w:p>
    <w:p>
      <w:pPr>
        <w:autoSpaceDE w:val="0"/>
        <w:autoSpaceDN w:val="0"/>
        <w:adjustRightInd w:val="0"/>
        <w:snapToGrid w:val="0"/>
        <w:spacing w:line="360" w:lineRule="exact"/>
        <w:rPr>
          <w:rFonts w:ascii="宋体" w:cs="Calibri"/>
          <w:b/>
          <w:bCs/>
          <w:kern w:val="0"/>
          <w:sz w:val="22"/>
        </w:rPr>
      </w:pPr>
      <w:bookmarkStart w:id="46"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4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“服务合同”。</w:t>
      </w:r>
    </w:p>
    <w:p>
      <w:pPr>
        <w:autoSpaceDE w:val="0"/>
        <w:autoSpaceDN w:val="0"/>
        <w:adjustRightInd w:val="0"/>
        <w:snapToGrid w:val="0"/>
        <w:spacing w:line="360" w:lineRule="exact"/>
        <w:rPr>
          <w:rFonts w:ascii="宋体" w:cs="Calibri"/>
          <w:b/>
          <w:bCs/>
          <w:kern w:val="0"/>
          <w:sz w:val="22"/>
        </w:rPr>
      </w:pPr>
      <w:bookmarkStart w:id="47"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47"/>
    </w:p>
    <w:p>
      <w:pPr>
        <w:adjustRightInd w:val="0"/>
        <w:snapToGrid w:val="0"/>
        <w:spacing w:line="360" w:lineRule="exact"/>
        <w:ind w:firstLine="440" w:firstLineChars="200"/>
        <w:rPr>
          <w:rFonts w:ascii="宋体" w:cs="Calibri"/>
          <w:color w:val="000000"/>
          <w:sz w:val="22"/>
        </w:rPr>
      </w:pPr>
      <w:bookmarkStart w:id="48"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投标人资格证明文件：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）有关证明投标人的企业信誉及获得各种奖励等资料；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）投标人经济实力：包括企业注册资金、财务报告与报表中反映的财务状况；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）近三年完成类似项目业绩情况。</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3.2.6</w:t>
      </w:r>
      <w:r>
        <w:rPr>
          <w:rFonts w:hint="eastAsia" w:ascii="宋体" w:hAnsi="宋体" w:cs="Calibri"/>
          <w:color w:val="000000"/>
          <w:sz w:val="22"/>
        </w:rPr>
        <w:t>服务大纲</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）工作内容和依据；</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）服务管理班子的组织结构形式；</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）服务人员的作业安排和进场计划；</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）服务人员工作守则；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）对本项目的实施意见及重点、难点控制；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7</w:t>
      </w:r>
      <w:r>
        <w:rPr>
          <w:rFonts w:hint="eastAsia"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8</w:t>
      </w:r>
      <w:r>
        <w:rPr>
          <w:rFonts w:hint="eastAsia" w:ascii="宋体" w:hAnsi="宋体" w:cs="Calibri"/>
          <w:color w:val="000000"/>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color w:val="000000"/>
          <w:sz w:val="22"/>
        </w:rPr>
        <w:t>3.2.7</w:t>
      </w:r>
      <w:r>
        <w:rPr>
          <w:rFonts w:hint="eastAsia" w:ascii="宋体" w:hAnsi="宋体" w:cs="Arial"/>
          <w:color w:val="000000"/>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48"/>
    </w:p>
    <w:p>
      <w:pPr>
        <w:adjustRightInd w:val="0"/>
        <w:snapToGrid w:val="0"/>
        <w:spacing w:line="360" w:lineRule="exact"/>
        <w:ind w:firstLine="440"/>
        <w:rPr>
          <w:rFonts w:ascii="宋体" w:cs="Calibri"/>
          <w:sz w:val="22"/>
        </w:rPr>
      </w:pPr>
      <w:bookmarkStart w:id="49"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b/>
          <w:color w:val="000000"/>
          <w:kern w:val="0"/>
          <w:sz w:val="22"/>
          <w:u w:val="single"/>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4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50" w:name="_Toc30464"/>
      <w:r>
        <w:rPr>
          <w:rFonts w:ascii="宋体" w:hAnsi="宋体" w:cs="Calibri"/>
          <w:b/>
          <w:bCs/>
          <w:kern w:val="0"/>
          <w:sz w:val="22"/>
        </w:rPr>
        <w:t xml:space="preserve">3.5 </w:t>
      </w:r>
      <w:r>
        <w:rPr>
          <w:rFonts w:hint="eastAsia" w:ascii="宋体" w:hAnsi="宋体" w:cs="Calibri"/>
          <w:b/>
          <w:bCs/>
          <w:kern w:val="0"/>
          <w:sz w:val="22"/>
        </w:rPr>
        <w:t>投标保证金</w:t>
      </w:r>
      <w:bookmarkEnd w:id="50"/>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51"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10</w:t>
      </w:r>
      <w:r>
        <w:rPr>
          <w:rFonts w:hint="eastAsia" w:ascii="宋体" w:hAnsi="宋体" w:cs="Calibri"/>
          <w:kern w:val="0"/>
          <w:sz w:val="22"/>
        </w:rPr>
        <w:t>个工作日内无息退还（以银行转账方式）；未中标的投标保证金，将在中标公示结束后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51"/>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款规定的内容和第六章“投标文件格式”进行编写，如有必要，可以增加附页，作为投标文件的组成部分，“投标文件格式”中没有规定的可自行编制格式。其中，</w:t>
      </w:r>
      <w:r>
        <w:rPr>
          <w:rFonts w:hint="eastAsia" w:ascii="宋体" w:hAnsi="宋体" w:cs="Calibri"/>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52" w:name="_Toc143421659"/>
    </w:p>
    <w:p>
      <w:pPr>
        <w:autoSpaceDE w:val="0"/>
        <w:autoSpaceDN w:val="0"/>
        <w:adjustRightInd w:val="0"/>
        <w:snapToGrid w:val="0"/>
        <w:spacing w:line="360" w:lineRule="exact"/>
        <w:rPr>
          <w:rFonts w:ascii="宋体" w:cs="Calibri"/>
          <w:b/>
          <w:bCs/>
          <w:kern w:val="0"/>
          <w:sz w:val="22"/>
        </w:rPr>
      </w:pPr>
      <w:bookmarkStart w:id="53" w:name="_Toc32652"/>
      <w:r>
        <w:rPr>
          <w:rFonts w:ascii="宋体" w:hAnsi="宋体" w:cs="Calibri"/>
          <w:b/>
          <w:bCs/>
          <w:kern w:val="0"/>
          <w:sz w:val="22"/>
        </w:rPr>
        <w:t>4.</w:t>
      </w:r>
      <w:r>
        <w:rPr>
          <w:rFonts w:hint="eastAsia" w:ascii="宋体" w:hAnsi="宋体" w:cs="Calibri"/>
          <w:b/>
          <w:bCs/>
          <w:kern w:val="0"/>
          <w:sz w:val="22"/>
        </w:rPr>
        <w:t>投标</w:t>
      </w:r>
      <w:bookmarkEnd w:id="52"/>
      <w:bookmarkEnd w:id="53"/>
    </w:p>
    <w:p>
      <w:pPr>
        <w:autoSpaceDE w:val="0"/>
        <w:autoSpaceDN w:val="0"/>
        <w:adjustRightInd w:val="0"/>
        <w:snapToGrid w:val="0"/>
        <w:spacing w:line="360" w:lineRule="exact"/>
        <w:rPr>
          <w:rFonts w:ascii="宋体" w:cs="Calibri"/>
          <w:b/>
          <w:bCs/>
          <w:kern w:val="0"/>
          <w:sz w:val="22"/>
        </w:rPr>
      </w:pPr>
      <w:bookmarkStart w:id="54"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54"/>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55"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55"/>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56"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5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cs="Calibri"/>
          <w:b/>
          <w:bCs/>
          <w:kern w:val="0"/>
          <w:sz w:val="22"/>
        </w:rPr>
      </w:pPr>
      <w:bookmarkStart w:id="57" w:name="_Toc29641"/>
      <w:r>
        <w:rPr>
          <w:rFonts w:ascii="宋体" w:hAnsi="宋体" w:cs="Calibri"/>
          <w:b/>
          <w:bCs/>
          <w:kern w:val="0"/>
          <w:sz w:val="22"/>
        </w:rPr>
        <w:t>5.</w:t>
      </w:r>
      <w:r>
        <w:rPr>
          <w:rFonts w:hint="eastAsia" w:ascii="宋体" w:hAnsi="宋体" w:cs="Calibri"/>
          <w:b/>
          <w:bCs/>
          <w:kern w:val="0"/>
          <w:sz w:val="22"/>
        </w:rPr>
        <w:t>开标</w:t>
      </w:r>
      <w:bookmarkEnd w:id="57"/>
    </w:p>
    <w:p>
      <w:pPr>
        <w:autoSpaceDE w:val="0"/>
        <w:autoSpaceDN w:val="0"/>
        <w:adjustRightInd w:val="0"/>
        <w:snapToGrid w:val="0"/>
        <w:spacing w:line="360" w:lineRule="exact"/>
        <w:rPr>
          <w:rFonts w:ascii="宋体" w:cs="Calibri"/>
          <w:b/>
          <w:bCs/>
          <w:kern w:val="0"/>
          <w:sz w:val="22"/>
        </w:rPr>
      </w:pPr>
      <w:bookmarkStart w:id="58"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58"/>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59"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59"/>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cs="Calibri"/>
          <w:b/>
          <w:bCs/>
          <w:kern w:val="0"/>
          <w:sz w:val="22"/>
        </w:rPr>
      </w:pPr>
      <w:bookmarkStart w:id="60" w:name="_Toc31578"/>
      <w:r>
        <w:rPr>
          <w:rFonts w:ascii="宋体" w:hAnsi="宋体" w:cs="Calibri"/>
          <w:b/>
          <w:bCs/>
          <w:kern w:val="0"/>
          <w:sz w:val="22"/>
        </w:rPr>
        <w:t>6.</w:t>
      </w:r>
      <w:r>
        <w:rPr>
          <w:rFonts w:hint="eastAsia" w:ascii="宋体" w:hAnsi="宋体" w:cs="Calibri"/>
          <w:b/>
          <w:bCs/>
          <w:kern w:val="0"/>
          <w:sz w:val="22"/>
        </w:rPr>
        <w:t>评标</w:t>
      </w:r>
      <w:bookmarkEnd w:id="60"/>
    </w:p>
    <w:p>
      <w:pPr>
        <w:autoSpaceDE w:val="0"/>
        <w:autoSpaceDN w:val="0"/>
        <w:adjustRightInd w:val="0"/>
        <w:snapToGrid w:val="0"/>
        <w:spacing w:line="360" w:lineRule="exact"/>
        <w:rPr>
          <w:rFonts w:ascii="宋体" w:cs="Calibri"/>
          <w:b/>
          <w:bCs/>
          <w:kern w:val="0"/>
          <w:sz w:val="22"/>
        </w:rPr>
      </w:pPr>
      <w:bookmarkStart w:id="61" w:name="_Toc10279"/>
      <w:r>
        <w:rPr>
          <w:rFonts w:ascii="宋体" w:hAnsi="宋体" w:cs="Calibri"/>
          <w:b/>
          <w:bCs/>
          <w:kern w:val="0"/>
          <w:sz w:val="22"/>
        </w:rPr>
        <w:t xml:space="preserve">6.1 </w:t>
      </w:r>
      <w:r>
        <w:rPr>
          <w:rFonts w:hint="eastAsia" w:ascii="宋体" w:hAnsi="宋体" w:cs="Calibri"/>
          <w:b/>
          <w:bCs/>
          <w:kern w:val="0"/>
          <w:sz w:val="22"/>
        </w:rPr>
        <w:t>评标委员会</w:t>
      </w:r>
      <w:bookmarkEnd w:id="61"/>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62" w:name="_Toc3460"/>
      <w:r>
        <w:rPr>
          <w:rFonts w:ascii="宋体" w:hAnsi="宋体" w:cs="Calibri"/>
          <w:b/>
          <w:bCs/>
          <w:kern w:val="0"/>
          <w:sz w:val="22"/>
        </w:rPr>
        <w:t xml:space="preserve">6.2 </w:t>
      </w:r>
      <w:r>
        <w:rPr>
          <w:rFonts w:hint="eastAsia" w:ascii="宋体" w:hAnsi="宋体" w:cs="Calibri"/>
          <w:b/>
          <w:bCs/>
          <w:kern w:val="0"/>
          <w:sz w:val="22"/>
        </w:rPr>
        <w:t>评标原则</w:t>
      </w:r>
      <w:bookmarkEnd w:id="62"/>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63" w:name="_Toc28178"/>
      <w:r>
        <w:rPr>
          <w:rFonts w:ascii="宋体" w:hAnsi="宋体" w:cs="Calibri"/>
          <w:b/>
          <w:bCs/>
          <w:kern w:val="0"/>
          <w:sz w:val="22"/>
        </w:rPr>
        <w:t xml:space="preserve">6.3 </w:t>
      </w:r>
      <w:r>
        <w:rPr>
          <w:rFonts w:hint="eastAsia" w:ascii="宋体" w:hAnsi="宋体" w:cs="Calibri"/>
          <w:b/>
          <w:bCs/>
          <w:kern w:val="0"/>
          <w:sz w:val="22"/>
        </w:rPr>
        <w:t>评标</w:t>
      </w:r>
      <w:bookmarkEnd w:id="63"/>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64" w:name="_Toc24237"/>
      <w:r>
        <w:rPr>
          <w:rFonts w:ascii="宋体" w:hAnsi="宋体" w:cs="Calibri"/>
          <w:b/>
          <w:bCs/>
          <w:kern w:val="0"/>
          <w:sz w:val="22"/>
        </w:rPr>
        <w:t>7.</w:t>
      </w:r>
      <w:r>
        <w:rPr>
          <w:rFonts w:hint="eastAsia" w:ascii="宋体" w:hAnsi="宋体" w:cs="Calibri"/>
          <w:b/>
          <w:bCs/>
          <w:kern w:val="0"/>
          <w:sz w:val="22"/>
        </w:rPr>
        <w:t>合同授予</w:t>
      </w:r>
      <w:bookmarkEnd w:id="64"/>
    </w:p>
    <w:p>
      <w:pPr>
        <w:autoSpaceDE w:val="0"/>
        <w:autoSpaceDN w:val="0"/>
        <w:adjustRightInd w:val="0"/>
        <w:snapToGrid w:val="0"/>
        <w:spacing w:line="360" w:lineRule="exact"/>
        <w:rPr>
          <w:rFonts w:ascii="宋体" w:cs="Calibri"/>
          <w:b/>
          <w:bCs/>
          <w:kern w:val="0"/>
          <w:sz w:val="22"/>
        </w:rPr>
      </w:pPr>
      <w:bookmarkStart w:id="65" w:name="_Toc18809"/>
      <w:r>
        <w:rPr>
          <w:rFonts w:ascii="宋体" w:hAnsi="宋体" w:cs="Calibri"/>
          <w:b/>
          <w:bCs/>
          <w:kern w:val="0"/>
          <w:sz w:val="22"/>
        </w:rPr>
        <w:t xml:space="preserve">7.1 </w:t>
      </w:r>
      <w:r>
        <w:rPr>
          <w:rFonts w:hint="eastAsia" w:ascii="宋体" w:hAnsi="宋体" w:cs="Calibri"/>
          <w:b/>
          <w:bCs/>
          <w:kern w:val="0"/>
          <w:sz w:val="22"/>
        </w:rPr>
        <w:t>定标方式</w:t>
      </w:r>
      <w:bookmarkEnd w:id="65"/>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66" w:name="_Toc14573"/>
      <w:r>
        <w:rPr>
          <w:rFonts w:ascii="宋体" w:hAnsi="宋体" w:cs="Calibri"/>
          <w:b/>
          <w:bCs/>
          <w:kern w:val="0"/>
          <w:sz w:val="22"/>
        </w:rPr>
        <w:t xml:space="preserve">7.2 </w:t>
      </w:r>
      <w:r>
        <w:rPr>
          <w:rFonts w:hint="eastAsia" w:ascii="宋体" w:hAnsi="宋体" w:cs="Calibri"/>
          <w:b/>
          <w:bCs/>
          <w:kern w:val="0"/>
          <w:sz w:val="22"/>
        </w:rPr>
        <w:t>中标通知</w:t>
      </w:r>
      <w:bookmarkEnd w:id="66"/>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67" w:name="_Toc27132"/>
      <w:bookmarkStart w:id="68" w:name="_Toc27581"/>
      <w:r>
        <w:rPr>
          <w:rFonts w:ascii="宋体" w:hAnsi="宋体" w:cs="Calibri"/>
          <w:b/>
          <w:bCs/>
          <w:kern w:val="0"/>
          <w:sz w:val="22"/>
        </w:rPr>
        <w:t xml:space="preserve">7.3 </w:t>
      </w:r>
      <w:r>
        <w:rPr>
          <w:rFonts w:hint="eastAsia" w:ascii="宋体" w:hAnsi="宋体" w:cs="Calibri"/>
          <w:b/>
          <w:bCs/>
          <w:kern w:val="0"/>
          <w:sz w:val="22"/>
        </w:rPr>
        <w:t>履约保证金</w:t>
      </w:r>
      <w:bookmarkEnd w:id="67"/>
      <w:r>
        <w:rPr>
          <w:rFonts w:hint="eastAsia" w:ascii="宋体" w:hAnsi="宋体" w:cs="Calibri"/>
          <w:b/>
          <w:bCs/>
          <w:kern w:val="0"/>
          <w:sz w:val="22"/>
        </w:rPr>
        <w:t>（如有）</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在签订合同前，如有履约保证金，中标人应按投标人须知前附表规定的金额和担保形式向招标人提交履约保证金。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68"/>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7</w:t>
      </w:r>
      <w:bookmarkStart w:id="69" w:name="_Toc11806"/>
      <w:bookmarkStart w:id="70" w:name="_Toc220123241"/>
      <w:bookmarkStart w:id="71" w:name="_Toc219809801"/>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个工作日内订立书面合同（合同条款按第四章</w:t>
      </w:r>
      <w:r>
        <w:rPr>
          <w:rFonts w:hint="eastAsia" w:ascii="宋体" w:hAnsi="宋体" w:cs="Calibri"/>
          <w:kern w:val="0"/>
          <w:sz w:val="22"/>
        </w:rPr>
        <w:t>“合同条款”</w:t>
      </w:r>
      <w:r>
        <w:rPr>
          <w:rFonts w:hint="eastAsia"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69"/>
      <w:bookmarkEnd w:id="70"/>
      <w:bookmarkEnd w:id="71"/>
    </w:p>
    <w:p>
      <w:pPr>
        <w:autoSpaceDE w:val="0"/>
        <w:autoSpaceDN w:val="0"/>
        <w:adjustRightInd w:val="0"/>
        <w:snapToGrid w:val="0"/>
        <w:spacing w:line="360" w:lineRule="exact"/>
        <w:rPr>
          <w:rFonts w:ascii="宋体" w:cs="Calibri"/>
          <w:b/>
          <w:bCs/>
          <w:kern w:val="0"/>
          <w:sz w:val="22"/>
        </w:rPr>
      </w:pPr>
      <w:bookmarkStart w:id="72" w:name="_Toc15553"/>
      <w:bookmarkStart w:id="73" w:name="_Toc220123242"/>
      <w:bookmarkStart w:id="74" w:name="_Toc219809802"/>
      <w:r>
        <w:rPr>
          <w:rFonts w:ascii="宋体" w:hAnsi="宋体" w:cs="Calibri"/>
          <w:b/>
          <w:bCs/>
          <w:kern w:val="0"/>
          <w:sz w:val="22"/>
        </w:rPr>
        <w:t xml:space="preserve">8.1 </w:t>
      </w:r>
      <w:r>
        <w:rPr>
          <w:rFonts w:hint="eastAsia" w:ascii="宋体" w:hAnsi="宋体" w:cs="Calibri"/>
          <w:b/>
          <w:bCs/>
          <w:kern w:val="0"/>
          <w:sz w:val="22"/>
        </w:rPr>
        <w:t>重新招标</w:t>
      </w:r>
      <w:bookmarkEnd w:id="72"/>
      <w:bookmarkEnd w:id="73"/>
      <w:bookmarkEnd w:id="7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w:t>
      </w:r>
      <w:r>
        <w:rPr>
          <w:rFonts w:hint="eastAsia" w:ascii="宋体" w:hAnsi="宋体"/>
          <w:bCs/>
          <w:sz w:val="22"/>
        </w:rPr>
        <w:t>所有投标人的报价均偏高，招标人无法接受的；</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75" w:name="_Toc220123243"/>
      <w:bookmarkStart w:id="76" w:name="_Toc18806"/>
      <w:bookmarkStart w:id="77" w:name="_Toc219809803"/>
      <w:r>
        <w:rPr>
          <w:rFonts w:ascii="宋体" w:hAnsi="宋体" w:cs="Calibri"/>
          <w:b/>
          <w:bCs/>
          <w:kern w:val="0"/>
          <w:sz w:val="22"/>
        </w:rPr>
        <w:t xml:space="preserve">8.2 </w:t>
      </w:r>
      <w:r>
        <w:rPr>
          <w:rFonts w:hint="eastAsia" w:ascii="宋体" w:hAnsi="宋体" w:cs="Calibri"/>
          <w:b/>
          <w:bCs/>
          <w:kern w:val="0"/>
          <w:sz w:val="22"/>
        </w:rPr>
        <w:t>不再招标</w:t>
      </w:r>
      <w:bookmarkEnd w:id="75"/>
      <w:bookmarkEnd w:id="76"/>
      <w:bookmarkEnd w:id="7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78" w:name="_Toc215941254"/>
      <w:bookmarkStart w:id="79" w:name="_Toc220123244"/>
      <w:bookmarkStart w:id="80" w:name="_Toc219809804"/>
      <w:bookmarkStart w:id="81" w:name="_Toc2986"/>
      <w:r>
        <w:rPr>
          <w:rFonts w:ascii="宋体" w:hAnsi="宋体" w:cs="Calibri"/>
          <w:b/>
          <w:bCs/>
          <w:kern w:val="0"/>
          <w:sz w:val="22"/>
        </w:rPr>
        <w:t>9.</w:t>
      </w:r>
      <w:r>
        <w:rPr>
          <w:rFonts w:hint="eastAsia" w:ascii="宋体" w:hAnsi="宋体" w:cs="Calibri"/>
          <w:b/>
          <w:bCs/>
          <w:kern w:val="0"/>
          <w:sz w:val="22"/>
        </w:rPr>
        <w:t>纪律和监督</w:t>
      </w:r>
      <w:bookmarkEnd w:id="78"/>
      <w:bookmarkEnd w:id="79"/>
      <w:bookmarkEnd w:id="80"/>
      <w:bookmarkEnd w:id="81"/>
    </w:p>
    <w:p>
      <w:pPr>
        <w:autoSpaceDE w:val="0"/>
        <w:autoSpaceDN w:val="0"/>
        <w:adjustRightInd w:val="0"/>
        <w:snapToGrid w:val="0"/>
        <w:spacing w:line="360" w:lineRule="exact"/>
        <w:rPr>
          <w:rFonts w:ascii="宋体" w:cs="Calibri"/>
          <w:b/>
          <w:bCs/>
          <w:kern w:val="0"/>
          <w:sz w:val="22"/>
        </w:rPr>
      </w:pPr>
      <w:bookmarkStart w:id="82" w:name="_Toc219809805"/>
      <w:bookmarkStart w:id="83" w:name="_Toc5509"/>
      <w:bookmarkStart w:id="84" w:name="_Toc220123245"/>
      <w:r>
        <w:rPr>
          <w:rFonts w:ascii="宋体" w:hAnsi="宋体" w:cs="Calibri"/>
          <w:b/>
          <w:bCs/>
          <w:kern w:val="0"/>
          <w:sz w:val="22"/>
        </w:rPr>
        <w:t xml:space="preserve">9.1 </w:t>
      </w:r>
      <w:r>
        <w:rPr>
          <w:rFonts w:hint="eastAsia" w:ascii="宋体" w:hAnsi="宋体" w:cs="Calibri"/>
          <w:b/>
          <w:bCs/>
          <w:kern w:val="0"/>
          <w:sz w:val="22"/>
        </w:rPr>
        <w:t>对招标人的纪律要求</w:t>
      </w:r>
      <w:bookmarkEnd w:id="82"/>
      <w:bookmarkEnd w:id="83"/>
      <w:bookmarkEnd w:id="8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85" w:name="_Toc219809806"/>
      <w:bookmarkStart w:id="86" w:name="_Toc220123246"/>
      <w:bookmarkStart w:id="87" w:name="_Toc10820"/>
      <w:r>
        <w:rPr>
          <w:rFonts w:ascii="宋体" w:hAnsi="宋体" w:cs="Calibri"/>
          <w:b/>
          <w:bCs/>
          <w:kern w:val="0"/>
          <w:sz w:val="22"/>
        </w:rPr>
        <w:t xml:space="preserve">9.2 </w:t>
      </w:r>
      <w:r>
        <w:rPr>
          <w:rFonts w:hint="eastAsia" w:ascii="宋体" w:hAnsi="宋体" w:cs="Calibri"/>
          <w:b/>
          <w:bCs/>
          <w:kern w:val="0"/>
          <w:sz w:val="22"/>
        </w:rPr>
        <w:t>对投标人的纪律要求</w:t>
      </w:r>
      <w:bookmarkEnd w:id="85"/>
      <w:bookmarkEnd w:id="86"/>
      <w:bookmarkEnd w:id="8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cs="Calibri"/>
          <w:b/>
          <w:bCs/>
          <w:kern w:val="0"/>
          <w:sz w:val="22"/>
        </w:rPr>
      </w:pPr>
      <w:bookmarkStart w:id="88" w:name="_Toc219809807"/>
      <w:bookmarkStart w:id="89" w:name="_Toc220123247"/>
      <w:bookmarkStart w:id="90" w:name="_Toc10756"/>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88"/>
      <w:bookmarkEnd w:id="89"/>
      <w:bookmarkEnd w:id="90"/>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cs="Calibri"/>
          <w:b/>
          <w:bCs/>
          <w:kern w:val="0"/>
          <w:sz w:val="22"/>
        </w:rPr>
      </w:pPr>
      <w:bookmarkStart w:id="91" w:name="_Toc219809808"/>
      <w:bookmarkStart w:id="92" w:name="_Toc12792"/>
      <w:bookmarkStart w:id="93" w:name="_Toc220123248"/>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91"/>
      <w:bookmarkEnd w:id="92"/>
      <w:bookmarkEnd w:id="9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94" w:name="_Toc239"/>
      <w:bookmarkStart w:id="95" w:name="_Toc220123249"/>
      <w:bookmarkStart w:id="96" w:name="_Toc219809809"/>
      <w:r>
        <w:rPr>
          <w:rFonts w:ascii="宋体" w:hAnsi="宋体" w:cs="Calibri"/>
          <w:b/>
          <w:bCs/>
          <w:kern w:val="0"/>
          <w:sz w:val="22"/>
        </w:rPr>
        <w:t xml:space="preserve">9.5 </w:t>
      </w:r>
      <w:r>
        <w:rPr>
          <w:rFonts w:hint="eastAsia" w:ascii="宋体" w:hAnsi="宋体" w:cs="Calibri"/>
          <w:b/>
          <w:bCs/>
          <w:kern w:val="0"/>
          <w:sz w:val="22"/>
        </w:rPr>
        <w:t>投诉</w:t>
      </w:r>
      <w:bookmarkEnd w:id="94"/>
      <w:bookmarkEnd w:id="95"/>
      <w:bookmarkEnd w:id="96"/>
    </w:p>
    <w:p>
      <w:pPr>
        <w:adjustRightInd w:val="0"/>
        <w:snapToGrid w:val="0"/>
        <w:spacing w:line="360" w:lineRule="exact"/>
        <w:ind w:firstLine="440" w:firstLineChars="200"/>
        <w:rPr>
          <w:rFonts w:ascii="宋体"/>
          <w:color w:val="000000"/>
          <w:sz w:val="22"/>
        </w:rPr>
      </w:pPr>
      <w:r>
        <w:rPr>
          <w:rFonts w:hint="eastAsia" w:ascii="宋体" w:hAnsi="宋体" w:cs="Calibri"/>
          <w:color w:val="000000"/>
          <w:sz w:val="22"/>
        </w:rPr>
        <w:t>投标人和</w:t>
      </w:r>
      <w:r>
        <w:rPr>
          <w:rFonts w:hint="eastAsia" w:ascii="宋体" w:hAnsi="宋体"/>
          <w:color w:val="000000"/>
          <w:sz w:val="22"/>
        </w:rPr>
        <w:t>其他利害关系人认为本次招标活动违反法律、法规和规章规定的，有权向有关行政监督部门投诉。</w:t>
      </w:r>
    </w:p>
    <w:p>
      <w:bookmarkStart w:id="97"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97"/>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需要补充的其他内容：见投标人须知前附表。</w:t>
      </w:r>
      <w:bookmarkStart w:id="98" w:name="_Toc223327527"/>
      <w:bookmarkStart w:id="99" w:name="_Toc213036227"/>
      <w:bookmarkStart w:id="100" w:name="_Toc448002985"/>
    </w:p>
    <w:p>
      <w:pPr>
        <w:rPr>
          <w:kern w:val="0"/>
        </w:rPr>
      </w:pPr>
      <w:r>
        <w:br w:type="page"/>
      </w:r>
    </w:p>
    <w:p>
      <w:pPr>
        <w:jc w:val="center"/>
        <w:rPr>
          <w:rFonts w:ascii="黑体" w:hAnsi="黑体" w:eastAsia="黑体"/>
          <w:kern w:val="0"/>
          <w:sz w:val="32"/>
          <w:szCs w:val="32"/>
        </w:rPr>
      </w:pPr>
      <w:r>
        <w:rPr>
          <w:rFonts w:hint="eastAsia" w:ascii="黑体" w:hAnsi="黑体" w:eastAsia="黑体"/>
          <w:kern w:val="0"/>
          <w:sz w:val="32"/>
          <w:szCs w:val="32"/>
        </w:rPr>
        <w:t xml:space="preserve">第三章  </w:t>
      </w:r>
      <w:bookmarkEnd w:id="98"/>
      <w:bookmarkEnd w:id="99"/>
      <w:r>
        <w:rPr>
          <w:rFonts w:hint="eastAsia" w:ascii="黑体" w:hAnsi="黑体" w:eastAsia="黑体"/>
          <w:kern w:val="0"/>
          <w:sz w:val="32"/>
          <w:szCs w:val="32"/>
        </w:rPr>
        <w:t>服务技术标准及要求</w:t>
      </w:r>
      <w:bookmarkEnd w:id="100"/>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一、项目概况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杭州萧山国际机场（以下简称招标人）</w:t>
      </w:r>
      <w:r>
        <w:rPr>
          <w:rFonts w:hint="eastAsia" w:ascii="宋体" w:hAnsi="宋体"/>
          <w:sz w:val="22"/>
        </w:rPr>
        <w:t>跑道摩擦系数车专用测试轮</w:t>
      </w:r>
      <w:r>
        <w:rPr>
          <w:rFonts w:hint="eastAsia" w:ascii="宋体" w:hAnsi="宋体" w:cs="Calibri"/>
          <w:color w:val="000000"/>
          <w:sz w:val="22"/>
        </w:rPr>
        <w:t>采购项目，实施公开招标，详情请见招标文件。</w:t>
      </w:r>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二、货物需求一览表</w:t>
      </w:r>
    </w:p>
    <w:p>
      <w:pPr>
        <w:adjustRightInd w:val="0"/>
        <w:snapToGrid w:val="0"/>
        <w:spacing w:line="360" w:lineRule="exact"/>
        <w:ind w:firstLine="440" w:firstLineChars="200"/>
        <w:rPr>
          <w:rFonts w:ascii="宋体" w:cs="Calibri"/>
          <w:sz w:val="22"/>
        </w:rPr>
      </w:pPr>
    </w:p>
    <w:tbl>
      <w:tblPr>
        <w:tblStyle w:val="56"/>
        <w:tblpPr w:leftFromText="180" w:rightFromText="180" w:vertAnchor="text" w:horzAnchor="margin" w:tblpXSpec="center" w:tblpY="-81"/>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867"/>
        <w:gridCol w:w="1434"/>
        <w:gridCol w:w="1003"/>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26" w:type="dxa"/>
            <w:vAlign w:val="center"/>
          </w:tcPr>
          <w:p>
            <w:pPr>
              <w:jc w:val="center"/>
              <w:rPr>
                <w:rFonts w:ascii="宋体" w:hAnsi="宋体"/>
                <w:sz w:val="22"/>
              </w:rPr>
            </w:pPr>
            <w:r>
              <w:rPr>
                <w:rFonts w:hint="eastAsia" w:ascii="宋体" w:hAnsi="宋体"/>
                <w:bCs/>
                <w:kern w:val="0"/>
                <w:sz w:val="22"/>
              </w:rPr>
              <w:t>序号</w:t>
            </w:r>
          </w:p>
        </w:tc>
        <w:tc>
          <w:tcPr>
            <w:tcW w:w="2867" w:type="dxa"/>
            <w:vAlign w:val="center"/>
          </w:tcPr>
          <w:p>
            <w:pPr>
              <w:jc w:val="center"/>
              <w:rPr>
                <w:rFonts w:ascii="宋体" w:hAnsi="宋体"/>
                <w:sz w:val="22"/>
              </w:rPr>
            </w:pPr>
            <w:r>
              <w:rPr>
                <w:rFonts w:hint="eastAsia" w:ascii="宋体" w:hAnsi="宋体"/>
                <w:bCs/>
                <w:kern w:val="0"/>
                <w:sz w:val="22"/>
              </w:rPr>
              <w:t>项目名称</w:t>
            </w:r>
          </w:p>
        </w:tc>
        <w:tc>
          <w:tcPr>
            <w:tcW w:w="1434" w:type="dxa"/>
            <w:vAlign w:val="center"/>
          </w:tcPr>
          <w:p>
            <w:pPr>
              <w:jc w:val="center"/>
              <w:rPr>
                <w:rFonts w:ascii="宋体" w:hAnsi="宋体"/>
                <w:sz w:val="22"/>
              </w:rPr>
            </w:pPr>
            <w:r>
              <w:rPr>
                <w:rFonts w:hint="eastAsia" w:ascii="宋体" w:hAnsi="宋体"/>
                <w:bCs/>
                <w:kern w:val="0"/>
                <w:sz w:val="22"/>
              </w:rPr>
              <w:t>型号配置</w:t>
            </w:r>
          </w:p>
        </w:tc>
        <w:tc>
          <w:tcPr>
            <w:tcW w:w="1003" w:type="dxa"/>
            <w:vAlign w:val="center"/>
          </w:tcPr>
          <w:p>
            <w:pPr>
              <w:jc w:val="center"/>
              <w:rPr>
                <w:rFonts w:ascii="宋体" w:hAnsi="宋体"/>
                <w:sz w:val="22"/>
              </w:rPr>
            </w:pPr>
            <w:r>
              <w:rPr>
                <w:rFonts w:hint="eastAsia" w:ascii="宋体" w:hAnsi="宋体"/>
                <w:bCs/>
                <w:kern w:val="0"/>
                <w:sz w:val="22"/>
              </w:rPr>
              <w:t>数量</w:t>
            </w:r>
          </w:p>
        </w:tc>
        <w:tc>
          <w:tcPr>
            <w:tcW w:w="2006" w:type="dxa"/>
            <w:vAlign w:val="center"/>
          </w:tcPr>
          <w:p>
            <w:pPr>
              <w:jc w:val="center"/>
              <w:rPr>
                <w:rFonts w:ascii="宋体" w:hAnsi="宋体"/>
                <w:sz w:val="22"/>
              </w:rPr>
            </w:pPr>
            <w:r>
              <w:rPr>
                <w:rFonts w:hint="eastAsia" w:ascii="宋体" w:hAnsi="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26" w:type="dxa"/>
            <w:vAlign w:val="center"/>
          </w:tcPr>
          <w:p>
            <w:pPr>
              <w:jc w:val="center"/>
              <w:rPr>
                <w:rFonts w:ascii="宋体" w:hAnsi="宋体"/>
                <w:sz w:val="22"/>
              </w:rPr>
            </w:pPr>
            <w:r>
              <w:rPr>
                <w:rFonts w:ascii="宋体" w:hAnsi="宋体"/>
                <w:sz w:val="22"/>
              </w:rPr>
              <w:t>1</w:t>
            </w:r>
          </w:p>
        </w:tc>
        <w:tc>
          <w:tcPr>
            <w:tcW w:w="2867" w:type="dxa"/>
            <w:vAlign w:val="center"/>
          </w:tcPr>
          <w:p>
            <w:pPr>
              <w:jc w:val="center"/>
              <w:rPr>
                <w:rFonts w:ascii="宋体" w:hAnsi="宋体"/>
                <w:sz w:val="22"/>
              </w:rPr>
            </w:pPr>
            <w:r>
              <w:rPr>
                <w:rFonts w:hint="eastAsia" w:ascii="宋体" w:hAnsi="宋体"/>
                <w:sz w:val="22"/>
              </w:rPr>
              <w:t>摩擦系数测试轮外胎</w:t>
            </w:r>
          </w:p>
        </w:tc>
        <w:tc>
          <w:tcPr>
            <w:tcW w:w="1434" w:type="dxa"/>
            <w:vAlign w:val="center"/>
          </w:tcPr>
          <w:p>
            <w:pPr>
              <w:jc w:val="center"/>
              <w:rPr>
                <w:rFonts w:ascii="宋体" w:hAnsi="宋体"/>
                <w:sz w:val="22"/>
              </w:rPr>
            </w:pPr>
            <w:r>
              <w:rPr>
                <w:rFonts w:ascii="宋体" w:hAnsi="宋体"/>
                <w:sz w:val="22"/>
              </w:rPr>
              <w:t>4.0-8 6P.R</w:t>
            </w:r>
          </w:p>
        </w:tc>
        <w:tc>
          <w:tcPr>
            <w:tcW w:w="1003" w:type="dxa"/>
            <w:vAlign w:val="center"/>
          </w:tcPr>
          <w:p>
            <w:pPr>
              <w:ind w:firstLine="110" w:firstLineChars="50"/>
              <w:jc w:val="center"/>
              <w:rPr>
                <w:rFonts w:ascii="宋体" w:hAnsi="宋体"/>
                <w:sz w:val="22"/>
              </w:rPr>
            </w:pPr>
            <w:r>
              <w:rPr>
                <w:rFonts w:ascii="宋体" w:hAnsi="宋体"/>
                <w:sz w:val="22"/>
              </w:rPr>
              <w:t>8</w:t>
            </w:r>
          </w:p>
        </w:tc>
        <w:tc>
          <w:tcPr>
            <w:tcW w:w="2006" w:type="dxa"/>
            <w:vMerge w:val="restart"/>
            <w:vAlign w:val="center"/>
          </w:tcPr>
          <w:p>
            <w:pPr>
              <w:jc w:val="center"/>
              <w:rPr>
                <w:rFonts w:ascii="宋体" w:hAnsi="宋体"/>
                <w:sz w:val="22"/>
              </w:rPr>
            </w:pPr>
            <w:r>
              <w:rPr>
                <w:rFonts w:hint="eastAsia" w:ascii="宋体" w:hAnsi="宋体"/>
                <w:sz w:val="22"/>
              </w:rPr>
              <w:t>采用经评审的最低价法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26" w:type="dxa"/>
            <w:vAlign w:val="center"/>
          </w:tcPr>
          <w:p>
            <w:pPr>
              <w:jc w:val="center"/>
              <w:rPr>
                <w:rFonts w:ascii="宋体" w:hAnsi="宋体"/>
                <w:sz w:val="22"/>
              </w:rPr>
            </w:pPr>
            <w:r>
              <w:rPr>
                <w:rFonts w:ascii="宋体" w:hAnsi="宋体"/>
                <w:sz w:val="22"/>
              </w:rPr>
              <w:t>2</w:t>
            </w:r>
          </w:p>
        </w:tc>
        <w:tc>
          <w:tcPr>
            <w:tcW w:w="2867" w:type="dxa"/>
            <w:vAlign w:val="center"/>
          </w:tcPr>
          <w:p>
            <w:pPr>
              <w:jc w:val="center"/>
              <w:rPr>
                <w:rFonts w:ascii="宋体" w:hAnsi="宋体"/>
                <w:sz w:val="22"/>
              </w:rPr>
            </w:pPr>
            <w:r>
              <w:rPr>
                <w:rFonts w:hint="eastAsia" w:ascii="宋体" w:hAnsi="宋体"/>
                <w:sz w:val="22"/>
              </w:rPr>
              <w:t>摩擦系数测试轮内胎</w:t>
            </w:r>
          </w:p>
        </w:tc>
        <w:tc>
          <w:tcPr>
            <w:tcW w:w="1434" w:type="dxa"/>
            <w:vAlign w:val="center"/>
          </w:tcPr>
          <w:p>
            <w:pPr>
              <w:jc w:val="center"/>
              <w:rPr>
                <w:rFonts w:ascii="宋体" w:hAnsi="宋体"/>
                <w:sz w:val="22"/>
              </w:rPr>
            </w:pPr>
          </w:p>
        </w:tc>
        <w:tc>
          <w:tcPr>
            <w:tcW w:w="1003" w:type="dxa"/>
            <w:vAlign w:val="center"/>
          </w:tcPr>
          <w:p>
            <w:pPr>
              <w:ind w:firstLine="110" w:firstLineChars="50"/>
              <w:jc w:val="center"/>
              <w:rPr>
                <w:rFonts w:ascii="宋体" w:hAnsi="宋体"/>
                <w:sz w:val="22"/>
              </w:rPr>
            </w:pPr>
            <w:r>
              <w:rPr>
                <w:rFonts w:ascii="宋体" w:hAnsi="宋体"/>
                <w:sz w:val="22"/>
              </w:rPr>
              <w:t>5</w:t>
            </w:r>
          </w:p>
        </w:tc>
        <w:tc>
          <w:tcPr>
            <w:tcW w:w="2006" w:type="dxa"/>
            <w:vMerge w:val="continue"/>
            <w:vAlign w:val="center"/>
          </w:tcPr>
          <w:p>
            <w:pPr>
              <w:jc w:val="center"/>
              <w:rPr>
                <w:rFonts w:ascii="宋体" w:hAnsi="宋体"/>
                <w:sz w:val="22"/>
              </w:rPr>
            </w:pPr>
          </w:p>
        </w:tc>
      </w:tr>
    </w:tbl>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sz w:val="22"/>
        </w:rPr>
      </w:pPr>
      <w:r>
        <w:rPr>
          <w:rFonts w:hint="eastAsia" w:ascii="宋体" w:hAnsi="宋体" w:cs="Calibri"/>
          <w:b/>
          <w:color w:val="000000"/>
          <w:sz w:val="22"/>
        </w:rPr>
        <w:t>三、技术标准及要求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、主要性能：</w:t>
      </w:r>
      <w:r>
        <w:rPr>
          <w:rFonts w:ascii="宋体" w:hAnsi="宋体" w:cs="Calibri"/>
          <w:color w:val="000000"/>
          <w:sz w:val="22"/>
        </w:rPr>
        <w:t xml:space="preserve"> </w:t>
      </w:r>
      <w:r>
        <w:rPr>
          <w:rFonts w:hint="eastAsia" w:ascii="宋体" w:hAnsi="宋体" w:cs="Calibri"/>
          <w:color w:val="000000"/>
          <w:sz w:val="22"/>
        </w:rPr>
        <w:t>满足</w:t>
      </w:r>
      <w:r>
        <w:rPr>
          <w:rFonts w:ascii="宋体" w:hAnsi="宋体" w:cs="Calibri"/>
          <w:color w:val="000000"/>
          <w:sz w:val="22"/>
        </w:rPr>
        <w:t>ASFT/SFT</w:t>
      </w:r>
      <w:r>
        <w:rPr>
          <w:rFonts w:hint="eastAsia" w:ascii="宋体" w:hAnsi="宋体" w:cs="Calibri"/>
          <w:color w:val="000000"/>
          <w:sz w:val="22"/>
        </w:rPr>
        <w:t>跑道摩擦系数测试车在雨雪等各类天气条件下的测试要求。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、技术指标参数：瑞典</w:t>
      </w:r>
      <w:r>
        <w:rPr>
          <w:rFonts w:ascii="宋体" w:hAnsi="宋体" w:cs="Calibri"/>
          <w:color w:val="000000"/>
          <w:sz w:val="22"/>
        </w:rPr>
        <w:t>TRELLEBORG</w:t>
      </w:r>
      <w:r>
        <w:rPr>
          <w:rFonts w:hint="eastAsia" w:ascii="宋体" w:hAnsi="宋体" w:cs="Calibri"/>
          <w:color w:val="000000"/>
          <w:sz w:val="22"/>
        </w:rPr>
        <w:t>牌跑道摩擦系数车专用测试轮，尺寸为</w:t>
      </w:r>
      <w:r>
        <w:rPr>
          <w:rFonts w:ascii="宋体" w:hAnsi="宋体" w:cs="Calibri"/>
          <w:color w:val="000000"/>
          <w:sz w:val="22"/>
        </w:rPr>
        <w:t>4.0-8 6P.R</w:t>
      </w:r>
      <w:r>
        <w:rPr>
          <w:rFonts w:hint="eastAsia" w:ascii="宋体" w:hAnsi="宋体" w:cs="Calibri"/>
          <w:color w:val="000000"/>
          <w:sz w:val="22"/>
        </w:rPr>
        <w:t>，胎面宽度</w:t>
      </w:r>
      <w:r>
        <w:rPr>
          <w:rFonts w:ascii="宋体" w:hAnsi="宋体" w:cs="Calibri"/>
          <w:color w:val="000000"/>
          <w:sz w:val="22"/>
        </w:rPr>
        <w:t>4</w:t>
      </w:r>
      <w:r>
        <w:rPr>
          <w:rFonts w:hint="eastAsia" w:ascii="宋体" w:hAnsi="宋体" w:cs="Calibri"/>
          <w:color w:val="000000"/>
          <w:sz w:val="22"/>
        </w:rPr>
        <w:t>英寸，钢圈直径</w:t>
      </w:r>
      <w:r>
        <w:rPr>
          <w:rFonts w:ascii="宋体" w:hAnsi="宋体" w:cs="Calibri"/>
          <w:color w:val="000000"/>
          <w:sz w:val="22"/>
        </w:rPr>
        <w:t>8</w:t>
      </w:r>
      <w:r>
        <w:rPr>
          <w:rFonts w:hint="eastAsia" w:ascii="宋体" w:hAnsi="宋体" w:cs="Calibri"/>
          <w:color w:val="000000"/>
          <w:sz w:val="22"/>
        </w:rPr>
        <w:t>英寸，充气压力</w:t>
      </w:r>
      <w:r>
        <w:rPr>
          <w:rFonts w:ascii="宋体" w:hAnsi="宋体" w:cs="Calibri"/>
          <w:color w:val="000000"/>
          <w:sz w:val="22"/>
        </w:rPr>
        <w:t>7</w:t>
      </w:r>
      <w:r>
        <w:rPr>
          <w:rFonts w:hint="eastAsia" w:ascii="宋体" w:hAnsi="宋体" w:cs="Calibri"/>
          <w:color w:val="000000"/>
          <w:sz w:val="22"/>
        </w:rPr>
        <w:t>公斤。</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、材质：天然橡胶。</w:t>
      </w:r>
    </w:p>
    <w:p>
      <w:pPr>
        <w:spacing w:line="360" w:lineRule="auto"/>
        <w:ind w:firstLine="433" w:firstLineChars="196"/>
        <w:rPr>
          <w:rFonts w:ascii="宋体"/>
          <w:b/>
          <w:sz w:val="24"/>
        </w:rPr>
      </w:pPr>
      <w:bookmarkStart w:id="101" w:name="_Toc141030424"/>
      <w:bookmarkStart w:id="102" w:name="_Toc141083018"/>
      <w:r>
        <w:rPr>
          <w:rFonts w:hint="eastAsia" w:ascii="宋体" w:hAnsi="宋体" w:cs="Calibri"/>
          <w:b/>
          <w:color w:val="000000"/>
          <w:sz w:val="22"/>
        </w:rPr>
        <w:t>四、</w:t>
      </w:r>
      <w:r>
        <w:rPr>
          <w:rFonts w:hint="eastAsia" w:ascii="宋体" w:hAnsi="宋体"/>
          <w:b/>
          <w:sz w:val="24"/>
        </w:rPr>
        <w:t>资料要求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、产品说明书、质量检验证明书、随配附件一并附于货物内。</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、参与投标产品的外形图片或外形技术图纸。</w:t>
      </w:r>
    </w:p>
    <w:bookmarkEnd w:id="101"/>
    <w:bookmarkEnd w:id="102"/>
    <w:p>
      <w:pPr>
        <w:adjustRightInd w:val="0"/>
        <w:snapToGrid w:val="0"/>
        <w:spacing w:line="360" w:lineRule="auto"/>
        <w:ind w:firstLine="442" w:firstLineChars="200"/>
        <w:rPr>
          <w:rFonts w:ascii="宋体" w:hAnsi="宋体" w:cs="Calibri"/>
          <w:b/>
          <w:color w:val="000000"/>
          <w:sz w:val="22"/>
        </w:rPr>
      </w:pPr>
      <w:bookmarkStart w:id="103" w:name="_Toc122780471"/>
      <w:bookmarkStart w:id="104" w:name="_Toc104571229"/>
      <w:bookmarkStart w:id="105" w:name="_Toc89572619"/>
      <w:bookmarkStart w:id="106" w:name="_Toc141030414"/>
      <w:bookmarkStart w:id="107" w:name="_Toc141083008"/>
      <w:bookmarkStart w:id="108" w:name="_Toc106102209"/>
      <w:bookmarkStart w:id="109" w:name="_Toc106101433"/>
      <w:bookmarkStart w:id="110" w:name="_Toc104541547"/>
      <w:bookmarkStart w:id="111" w:name="_Toc123748294"/>
      <w:r>
        <w:rPr>
          <w:rFonts w:hint="eastAsia" w:ascii="宋体" w:hAnsi="宋体" w:cs="Calibri"/>
          <w:b/>
          <w:color w:val="000000"/>
          <w:sz w:val="22"/>
        </w:rPr>
        <w:t>五、运输、包装</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、投标人所提供设备的包装应适合运输和装卸，一切由于包装和运输过程中而引起的任何破损和毁坏均由投标人负责。</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、备件和检测维修设备及工具应与设备分开包装。这些包装箱盒应适合储存，储存年限应在包装上予以说明。所有备件和检测维修设备及工具应有中文标示。</w:t>
      </w:r>
    </w:p>
    <w:bookmarkEnd w:id="103"/>
    <w:bookmarkEnd w:id="104"/>
    <w:bookmarkEnd w:id="105"/>
    <w:bookmarkEnd w:id="106"/>
    <w:bookmarkEnd w:id="107"/>
    <w:bookmarkEnd w:id="108"/>
    <w:bookmarkEnd w:id="109"/>
    <w:bookmarkEnd w:id="110"/>
    <w:bookmarkEnd w:id="111"/>
    <w:p>
      <w:pPr>
        <w:adjustRightInd w:val="0"/>
        <w:snapToGrid w:val="0"/>
        <w:spacing w:line="360" w:lineRule="auto"/>
        <w:ind w:firstLine="442" w:firstLineChars="200"/>
        <w:rPr>
          <w:rFonts w:ascii="宋体"/>
          <w:b/>
          <w:sz w:val="24"/>
        </w:rPr>
      </w:pPr>
      <w:bookmarkStart w:id="112" w:name="_Toc141030416"/>
      <w:bookmarkStart w:id="113" w:name="_Toc141083010"/>
      <w:r>
        <w:rPr>
          <w:rFonts w:hint="eastAsia" w:ascii="宋体" w:hAnsi="宋体" w:cs="Calibri"/>
          <w:b/>
          <w:color w:val="000000"/>
          <w:sz w:val="22"/>
        </w:rPr>
        <w:t>六、</w:t>
      </w:r>
      <w:r>
        <w:rPr>
          <w:rFonts w:hint="eastAsia" w:ascii="宋体" w:hAnsi="宋体"/>
          <w:b/>
          <w:sz w:val="24"/>
        </w:rPr>
        <w:t>验收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验收标准：现场验收。验收将现场进行测量，如不能满足规格要求的，招标人有权拒绝收货。</w:t>
      </w:r>
    </w:p>
    <w:bookmarkEnd w:id="112"/>
    <w:bookmarkEnd w:id="113"/>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七、产品质量</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1、项目所有产品均为</w:t>
      </w:r>
      <w:r>
        <w:rPr>
          <w:rFonts w:hint="eastAsia" w:ascii="宋体" w:hAnsi="宋体"/>
          <w:sz w:val="22"/>
        </w:rPr>
        <w:t>瑞典</w:t>
      </w:r>
      <w:r>
        <w:rPr>
          <w:rFonts w:ascii="宋体" w:hAnsi="宋体"/>
          <w:sz w:val="22"/>
        </w:rPr>
        <w:t>TRELLEBORG</w:t>
      </w:r>
      <w:r>
        <w:rPr>
          <w:rFonts w:hint="eastAsia" w:ascii="宋体" w:hAnsi="宋体" w:cs="Calibri"/>
          <w:color w:val="000000"/>
          <w:sz w:val="22"/>
        </w:rPr>
        <w:t>生产。</w:t>
      </w:r>
    </w:p>
    <w:p>
      <w:pPr>
        <w:adjustRightInd w:val="0"/>
        <w:snapToGrid w:val="0"/>
        <w:spacing w:line="360" w:lineRule="auto"/>
        <w:ind w:firstLine="440" w:firstLineChars="200"/>
        <w:rPr>
          <w:rFonts w:eastAsia="黑体" w:cs="Calibri"/>
          <w:b/>
          <w:bCs/>
          <w:kern w:val="0"/>
          <w:sz w:val="32"/>
          <w:szCs w:val="44"/>
        </w:rPr>
      </w:pPr>
      <w:r>
        <w:rPr>
          <w:rFonts w:hint="eastAsia" w:ascii="宋体" w:hAnsi="宋体" w:cs="Calibri"/>
          <w:vanish/>
          <w:color w:val="000000"/>
          <w:sz w:val="22"/>
        </w:rPr>
        <w:cr/>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color w:val="000000"/>
          <w:sz w:val="22"/>
        </w:rPr>
        <w:t>2、质保期：产品最终验收合格后，乙方对所有产品提供</w:t>
      </w:r>
      <w:r>
        <w:rPr>
          <w:rFonts w:hint="eastAsia" w:ascii="宋体" w:hAnsi="宋体" w:cs="Calibri"/>
          <w:sz w:val="22"/>
        </w:rPr>
        <w:t>为期</w:t>
      </w:r>
      <w:r>
        <w:rPr>
          <w:rFonts w:hint="eastAsia" w:ascii="宋体" w:hAnsi="宋体"/>
          <w:sz w:val="22"/>
        </w:rPr>
        <w:t>【壹】年的</w:t>
      </w:r>
      <w:r>
        <w:rPr>
          <w:rFonts w:hint="eastAsia" w:ascii="宋体" w:hAnsi="宋体" w:cs="Calibri"/>
          <w:color w:val="000000"/>
          <w:sz w:val="22"/>
        </w:rPr>
        <w:t>免费质保期，质保期内，正常使用维护保养条件下出现的任何故障，乙方负责免费维修服务。</w:t>
      </w:r>
    </w:p>
    <w:p>
      <w:pPr>
        <w:widowControl/>
        <w:adjustRightInd w:val="0"/>
        <w:snapToGrid w:val="0"/>
        <w:spacing w:after="160" w:line="360" w:lineRule="exact"/>
        <w:ind w:firstLine="442" w:firstLineChars="200"/>
        <w:rPr>
          <w:rFonts w:ascii="微软雅黑" w:hAnsi="微软雅黑" w:eastAsia="微软雅黑" w:cs="宋体"/>
          <w:b/>
          <w:sz w:val="22"/>
        </w:rPr>
      </w:pPr>
      <w:r>
        <w:rPr>
          <w:rFonts w:hint="eastAsia" w:ascii="宋体" w:hAnsi="宋体"/>
          <w:b/>
          <w:sz w:val="22"/>
        </w:rPr>
        <w:t>八、</w:t>
      </w:r>
      <w:r>
        <w:rPr>
          <w:rFonts w:hint="eastAsia" w:ascii="微软雅黑" w:hAnsi="微软雅黑" w:eastAsia="微软雅黑" w:cs="宋体"/>
          <w:b/>
          <w:sz w:val="22"/>
        </w:rPr>
        <w:t>货款支付</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货到货物并经安装、验收合格，且收到乙方开具的税率为</w:t>
      </w:r>
      <w:r>
        <w:rPr>
          <w:rFonts w:ascii="宋体" w:hAnsi="宋体" w:cs="Calibri"/>
          <w:color w:val="000000"/>
          <w:sz w:val="22"/>
        </w:rPr>
        <w:t>13%</w:t>
      </w:r>
      <w:r>
        <w:rPr>
          <w:rFonts w:hint="eastAsia" w:ascii="宋体" w:hAnsi="宋体" w:cs="Calibri"/>
          <w:color w:val="000000"/>
          <w:sz w:val="22"/>
        </w:rPr>
        <w:t>的增值税专用发票后，甲方在</w:t>
      </w:r>
      <w:r>
        <w:rPr>
          <w:rFonts w:ascii="宋体" w:hAnsi="宋体" w:cs="Calibri"/>
          <w:color w:val="000000"/>
          <w:sz w:val="22"/>
        </w:rPr>
        <w:t>20</w:t>
      </w:r>
      <w:r>
        <w:rPr>
          <w:rFonts w:hint="eastAsia" w:ascii="宋体" w:hAnsi="宋体" w:cs="Calibri"/>
          <w:color w:val="000000"/>
          <w:sz w:val="22"/>
        </w:rPr>
        <w:t>个工作日内支付费用。</w:t>
      </w:r>
    </w:p>
    <w:p>
      <w:pPr>
        <w:adjustRightInd w:val="0"/>
        <w:snapToGrid w:val="0"/>
        <w:spacing w:line="360" w:lineRule="auto"/>
        <w:ind w:firstLine="331" w:firstLineChars="150"/>
        <w:rPr>
          <w:rFonts w:ascii="宋体"/>
          <w:b/>
          <w:sz w:val="22"/>
        </w:rPr>
      </w:pPr>
      <w:r>
        <w:rPr>
          <w:rFonts w:hint="eastAsia" w:ascii="宋体" w:hAnsi="宋体"/>
          <w:b/>
          <w:sz w:val="22"/>
        </w:rPr>
        <w:t>九、税费</w:t>
      </w:r>
    </w:p>
    <w:p>
      <w:pPr>
        <w:adjustRightInd w:val="0"/>
        <w:snapToGrid w:val="0"/>
        <w:spacing w:line="360" w:lineRule="auto"/>
        <w:ind w:firstLine="440" w:firstLineChars="200"/>
        <w:rPr>
          <w:rFonts w:ascii="宋体" w:hAnsi="宋体"/>
          <w:sz w:val="22"/>
        </w:rPr>
      </w:pPr>
      <w:r>
        <w:rPr>
          <w:rFonts w:hint="eastAsia" w:ascii="宋体" w:hAnsi="宋体"/>
          <w:sz w:val="22"/>
        </w:rPr>
        <w:t>本项目执行中相关的一切税费均由乙方负担。</w:t>
      </w: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pStyle w:val="23"/>
        <w:spacing w:line="360" w:lineRule="exact"/>
        <w:ind w:firstLine="440"/>
        <w:jc w:val="center"/>
        <w:rPr>
          <w:rFonts w:ascii="黑体" w:hAnsi="黑体" w:eastAsia="黑体"/>
          <w:sz w:val="32"/>
          <w:szCs w:val="32"/>
        </w:rPr>
      </w:pPr>
      <w:bookmarkStart w:id="114" w:name="_Toc448002987"/>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评标方法及标准</w:t>
      </w:r>
      <w:bookmarkEnd w:id="114"/>
      <w:bookmarkStart w:id="115" w:name="_Toc29892"/>
    </w:p>
    <w:p>
      <w:pPr>
        <w:pStyle w:val="23"/>
        <w:spacing w:line="360" w:lineRule="exact"/>
        <w:ind w:firstLine="440"/>
        <w:jc w:val="left"/>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3"/>
        <w:spacing w:line="360" w:lineRule="exact"/>
        <w:rPr>
          <w:rFonts w:hAnsi="宋体" w:cs="Calibri"/>
          <w:b/>
          <w:bCs/>
          <w:sz w:val="22"/>
          <w:szCs w:val="22"/>
        </w:rPr>
      </w:pPr>
      <w:r>
        <w:rPr>
          <w:rFonts w:hint="eastAsia" w:hAnsi="宋体" w:cs="Calibri"/>
          <w:b/>
          <w:bCs/>
          <w:sz w:val="22"/>
          <w:szCs w:val="22"/>
        </w:rPr>
        <w:t>一、评标原则</w:t>
      </w:r>
    </w:p>
    <w:p>
      <w:pPr>
        <w:pStyle w:val="23"/>
        <w:spacing w:line="360" w:lineRule="exact"/>
        <w:ind w:firstLine="420"/>
        <w:rPr>
          <w:rFonts w:hAnsi="宋体" w:cs="Calibri"/>
          <w:sz w:val="22"/>
          <w:szCs w:val="22"/>
        </w:rPr>
      </w:pPr>
      <w:r>
        <w:rPr>
          <w:rFonts w:hint="eastAsia" w:hAnsi="宋体" w:cs="Calibri"/>
          <w:bCs/>
          <w:sz w:val="22"/>
          <w:szCs w:val="22"/>
        </w:rPr>
        <w:t>本次评标采用经评审的最低投标价法执行，评标应遵循公平、公正、科学、择优的原则。</w:t>
      </w:r>
    </w:p>
    <w:p>
      <w:pPr>
        <w:pStyle w:val="23"/>
        <w:spacing w:line="360" w:lineRule="exact"/>
        <w:rPr>
          <w:rFonts w:hAnsi="宋体" w:cs="Calibri"/>
          <w:b/>
          <w:bCs/>
          <w:sz w:val="22"/>
          <w:szCs w:val="22"/>
        </w:rPr>
      </w:pPr>
      <w:r>
        <w:rPr>
          <w:rFonts w:hint="eastAsia" w:hAnsi="宋体" w:cs="Calibri"/>
          <w:b/>
          <w:bCs/>
          <w:sz w:val="22"/>
          <w:szCs w:val="22"/>
        </w:rPr>
        <w:t>二、评标组织</w:t>
      </w:r>
    </w:p>
    <w:p>
      <w:pPr>
        <w:pStyle w:val="23"/>
        <w:spacing w:line="360" w:lineRule="exact"/>
        <w:rPr>
          <w:rFonts w:hAnsi="宋体"/>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3"/>
        <w:spacing w:line="360" w:lineRule="exact"/>
        <w:rPr>
          <w:rFonts w:hAnsi="宋体" w:cs="Calibri"/>
          <w:b/>
          <w:bCs/>
          <w:sz w:val="22"/>
          <w:szCs w:val="22"/>
        </w:rPr>
      </w:pPr>
      <w:r>
        <w:rPr>
          <w:rFonts w:hint="eastAsia" w:hAnsi="宋体" w:cs="Calibri"/>
          <w:b/>
          <w:bCs/>
          <w:sz w:val="22"/>
          <w:szCs w:val="22"/>
        </w:rPr>
        <w:t>三、投标文件的评审</w:t>
      </w:r>
    </w:p>
    <w:p>
      <w:pPr>
        <w:spacing w:line="360" w:lineRule="auto"/>
        <w:ind w:firstLine="550" w:firstLineChars="250"/>
        <w:rPr>
          <w:rFonts w:ascii="宋体" w:hAnsi="宋体" w:cs="Calibri"/>
          <w:kern w:val="0"/>
          <w:sz w:val="22"/>
        </w:rPr>
      </w:pPr>
      <w:r>
        <w:rPr>
          <w:rFonts w:ascii="宋体" w:hAnsi="宋体" w:cs="Calibri"/>
          <w:kern w:val="0"/>
          <w:sz w:val="22"/>
        </w:rPr>
        <w:t>3.1评标的一般程序为</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1）熟悉招标文件和评标办法；</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2）投标文件的符合性审查；</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3）投标文件的技术、资信评审；</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4）投标文件的商务评审；</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5）必要时对投标文件中的问题进行询标；</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6）根据评标办法对投标文件进行评分；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7）完成评标报告，推荐中标候选人。</w:t>
      </w:r>
    </w:p>
    <w:p>
      <w:pPr>
        <w:spacing w:line="360" w:lineRule="auto"/>
        <w:ind w:firstLine="550" w:firstLineChars="250"/>
        <w:rPr>
          <w:rFonts w:ascii="宋体" w:hAnsi="宋体" w:cs="Calibri"/>
          <w:kern w:val="0"/>
          <w:sz w:val="22"/>
        </w:rPr>
      </w:pPr>
      <w:r>
        <w:rPr>
          <w:rFonts w:ascii="宋体" w:hAnsi="宋体" w:cs="Calibri"/>
          <w:kern w:val="0"/>
          <w:sz w:val="22"/>
        </w:rPr>
        <w:t>3.2投标文件的符合性审查</w:t>
      </w:r>
    </w:p>
    <w:p>
      <w:pPr>
        <w:spacing w:line="360" w:lineRule="auto"/>
        <w:ind w:firstLine="550" w:firstLineChars="250"/>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符合性审查应包括三个方面内容：投标人资格审查、投标文件实质性格式要求响应性审查、投标文件实质性内容要求响应性审查。</w:t>
      </w:r>
    </w:p>
    <w:p>
      <w:pPr>
        <w:spacing w:line="360" w:lineRule="auto"/>
        <w:ind w:firstLine="550" w:firstLineChars="250"/>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spacing w:line="360" w:lineRule="auto"/>
        <w:ind w:firstLine="550" w:firstLineChars="250"/>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投标文件如存在以下情况之一的，经评标委员会审核认定，作为符合性审查未通过予以废除，不再进行商务标和技术标的评审：</w:t>
      </w:r>
    </w:p>
    <w:p>
      <w:pPr>
        <w:spacing w:line="360" w:lineRule="auto"/>
        <w:ind w:firstLine="550" w:firstLineChars="250"/>
        <w:rPr>
          <w:rFonts w:ascii="宋体" w:hAnsi="宋体" w:cs="Calibri"/>
          <w:kern w:val="0"/>
          <w:sz w:val="22"/>
        </w:rPr>
      </w:pPr>
      <w:r>
        <w:rPr>
          <w:rFonts w:ascii="宋体" w:hAnsi="宋体" w:cs="Calibri"/>
          <w:kern w:val="0"/>
          <w:sz w:val="22"/>
        </w:rPr>
        <w:t>1.</w:t>
      </w:r>
      <w:r>
        <w:rPr>
          <w:rFonts w:ascii="宋体" w:hAnsi="宋体" w:cs="Calibri"/>
          <w:kern w:val="0"/>
          <w:sz w:val="22"/>
        </w:rPr>
        <w:tab/>
      </w:r>
      <w:r>
        <w:rPr>
          <w:rFonts w:ascii="宋体" w:hAnsi="宋体" w:cs="Calibri"/>
          <w:kern w:val="0"/>
          <w:sz w:val="22"/>
        </w:rPr>
        <w:t>投标人的投标资格条件不满足招标公告载明的强制性要求的；</w:t>
      </w:r>
    </w:p>
    <w:p>
      <w:pPr>
        <w:spacing w:line="360" w:lineRule="auto"/>
        <w:ind w:firstLine="550" w:firstLineChars="250"/>
        <w:rPr>
          <w:rFonts w:ascii="宋体" w:hAnsi="宋体" w:cs="Calibri"/>
          <w:kern w:val="0"/>
          <w:sz w:val="22"/>
        </w:rPr>
      </w:pPr>
      <w:r>
        <w:rPr>
          <w:rFonts w:ascii="宋体" w:hAnsi="宋体" w:cs="Calibri"/>
          <w:kern w:val="0"/>
          <w:sz w:val="22"/>
        </w:rPr>
        <w:t>2.</w:t>
      </w:r>
      <w:r>
        <w:rPr>
          <w:rFonts w:ascii="宋体" w:hAnsi="宋体" w:cs="Calibri"/>
          <w:kern w:val="0"/>
          <w:sz w:val="22"/>
        </w:rPr>
        <w:tab/>
      </w:r>
      <w:r>
        <w:rPr>
          <w:rFonts w:ascii="宋体" w:hAnsi="宋体" w:cs="Calibri"/>
          <w:kern w:val="0"/>
          <w:sz w:val="22"/>
        </w:rPr>
        <w:t>未按招标文件的要求签署和盖章的（仅限于单位印章和法定代表人或其委托代理人签字或盖章）；</w:t>
      </w:r>
    </w:p>
    <w:p>
      <w:pPr>
        <w:spacing w:line="360" w:lineRule="auto"/>
        <w:ind w:firstLine="550" w:firstLineChars="250"/>
        <w:rPr>
          <w:rFonts w:ascii="宋体" w:hAnsi="宋体" w:cs="Calibri"/>
          <w:kern w:val="0"/>
          <w:sz w:val="22"/>
        </w:rPr>
      </w:pPr>
      <w:r>
        <w:rPr>
          <w:rFonts w:ascii="宋体" w:hAnsi="宋体" w:cs="Calibri"/>
          <w:kern w:val="0"/>
          <w:sz w:val="22"/>
        </w:rPr>
        <w:t>3.</w:t>
      </w:r>
      <w:r>
        <w:rPr>
          <w:rFonts w:ascii="宋体" w:hAnsi="宋体" w:cs="Calibri"/>
          <w:kern w:val="0"/>
          <w:sz w:val="22"/>
        </w:rPr>
        <w:tab/>
      </w:r>
      <w:r>
        <w:rPr>
          <w:rFonts w:ascii="宋体" w:hAnsi="宋体" w:cs="Calibri"/>
          <w:kern w:val="0"/>
          <w:sz w:val="22"/>
        </w:rPr>
        <w:t>投标人提交两份或多份内容不同的投标文件，或在一份投标文件中对同一招标货物报有两个或多个报价，且未声明哪一个为最终报价的；</w:t>
      </w:r>
    </w:p>
    <w:p>
      <w:pPr>
        <w:spacing w:line="360" w:lineRule="auto"/>
        <w:ind w:firstLine="550" w:firstLineChars="250"/>
        <w:rPr>
          <w:rFonts w:ascii="宋体" w:hAnsi="宋体" w:cs="Calibri"/>
          <w:kern w:val="0"/>
          <w:sz w:val="22"/>
        </w:rPr>
      </w:pPr>
      <w:r>
        <w:rPr>
          <w:rFonts w:ascii="宋体" w:hAnsi="宋体" w:cs="Calibri"/>
          <w:kern w:val="0"/>
          <w:sz w:val="22"/>
        </w:rPr>
        <w:t>4.</w:t>
      </w:r>
      <w:r>
        <w:rPr>
          <w:rFonts w:ascii="宋体" w:hAnsi="宋体" w:cs="Calibri"/>
          <w:kern w:val="0"/>
          <w:sz w:val="22"/>
        </w:rPr>
        <w:tab/>
      </w:r>
      <w:r>
        <w:rPr>
          <w:rFonts w:ascii="宋体" w:hAnsi="宋体" w:cs="Calibri"/>
          <w:kern w:val="0"/>
          <w:sz w:val="22"/>
        </w:rPr>
        <w:t>不响应服务期的；</w:t>
      </w:r>
    </w:p>
    <w:p>
      <w:pPr>
        <w:spacing w:line="360" w:lineRule="auto"/>
        <w:ind w:firstLine="550" w:firstLineChars="250"/>
        <w:rPr>
          <w:rFonts w:ascii="宋体" w:hAnsi="宋体" w:cs="Calibri"/>
          <w:kern w:val="0"/>
          <w:sz w:val="22"/>
        </w:rPr>
      </w:pPr>
      <w:r>
        <w:rPr>
          <w:rFonts w:ascii="宋体" w:hAnsi="宋体" w:cs="Calibri"/>
          <w:kern w:val="0"/>
          <w:sz w:val="22"/>
        </w:rPr>
        <w:t>5.</w:t>
      </w:r>
      <w:r>
        <w:rPr>
          <w:rFonts w:ascii="宋体" w:hAnsi="宋体" w:cs="Calibri"/>
          <w:kern w:val="0"/>
          <w:sz w:val="22"/>
        </w:rPr>
        <w:tab/>
      </w:r>
      <w:r>
        <w:rPr>
          <w:rFonts w:ascii="宋体" w:hAnsi="宋体" w:cs="Calibri"/>
          <w:kern w:val="0"/>
          <w:sz w:val="22"/>
        </w:rPr>
        <w:t>投标人不以自己的名义或未按招标文件要求提供投标保证金或提供的投标保证金有缺陷而不能接受的；</w:t>
      </w:r>
    </w:p>
    <w:p>
      <w:pPr>
        <w:spacing w:line="360" w:lineRule="auto"/>
        <w:ind w:firstLine="550" w:firstLineChars="250"/>
        <w:rPr>
          <w:rFonts w:ascii="宋体" w:hAnsi="宋体" w:cs="Calibri"/>
          <w:kern w:val="0"/>
          <w:sz w:val="22"/>
        </w:rPr>
      </w:pPr>
      <w:r>
        <w:rPr>
          <w:rFonts w:ascii="宋体" w:hAnsi="宋体" w:cs="Calibri"/>
          <w:kern w:val="0"/>
          <w:sz w:val="22"/>
        </w:rPr>
        <w:t>6.</w:t>
      </w:r>
      <w:r>
        <w:rPr>
          <w:rFonts w:ascii="宋体" w:hAnsi="宋体" w:cs="Calibri"/>
          <w:kern w:val="0"/>
          <w:sz w:val="22"/>
        </w:rPr>
        <w:tab/>
      </w:r>
      <w:r>
        <w:rPr>
          <w:rFonts w:ascii="宋体" w:hAnsi="宋体" w:cs="Calibri"/>
          <w:kern w:val="0"/>
          <w:sz w:val="22"/>
        </w:rPr>
        <w:t>投标人名称或组织机构与购买招标文件时不一致且未提供有效证明的；</w:t>
      </w:r>
    </w:p>
    <w:p>
      <w:pPr>
        <w:spacing w:line="360" w:lineRule="auto"/>
        <w:ind w:firstLine="550" w:firstLineChars="250"/>
        <w:rPr>
          <w:rFonts w:ascii="宋体" w:hAnsi="宋体" w:cs="Calibri"/>
          <w:kern w:val="0"/>
          <w:sz w:val="22"/>
        </w:rPr>
      </w:pPr>
      <w:r>
        <w:rPr>
          <w:rFonts w:ascii="宋体" w:hAnsi="宋体" w:cs="Calibri"/>
          <w:kern w:val="0"/>
          <w:sz w:val="22"/>
        </w:rPr>
        <w:t>7.</w:t>
      </w:r>
      <w:r>
        <w:rPr>
          <w:rFonts w:ascii="宋体" w:hAnsi="宋体" w:cs="Calibri"/>
          <w:kern w:val="0"/>
          <w:sz w:val="22"/>
        </w:rPr>
        <w:tab/>
      </w:r>
      <w:r>
        <w:rPr>
          <w:rFonts w:ascii="宋体" w:hAnsi="宋体" w:cs="Calibri"/>
          <w:kern w:val="0"/>
          <w:sz w:val="22"/>
        </w:rPr>
        <w:t>投标有效期不满足招标文件要求的；</w:t>
      </w:r>
    </w:p>
    <w:p>
      <w:pPr>
        <w:spacing w:line="360" w:lineRule="auto"/>
        <w:ind w:firstLine="550" w:firstLineChars="250"/>
        <w:rPr>
          <w:rFonts w:ascii="宋体" w:hAnsi="宋体" w:cs="Calibri"/>
          <w:kern w:val="0"/>
          <w:sz w:val="22"/>
        </w:rPr>
      </w:pPr>
      <w:r>
        <w:rPr>
          <w:rFonts w:ascii="宋体" w:hAnsi="宋体" w:cs="Calibri"/>
          <w:kern w:val="0"/>
          <w:sz w:val="22"/>
        </w:rPr>
        <w:t>8.</w:t>
      </w:r>
      <w:r>
        <w:rPr>
          <w:rFonts w:ascii="宋体" w:hAnsi="宋体" w:cs="Calibri"/>
          <w:kern w:val="0"/>
          <w:sz w:val="22"/>
        </w:rPr>
        <w:tab/>
      </w:r>
      <w:r>
        <w:rPr>
          <w:rFonts w:ascii="宋体" w:hAnsi="宋体" w:cs="Calibri"/>
          <w:kern w:val="0"/>
          <w:sz w:val="22"/>
        </w:rPr>
        <w:t>与招标文件中打“★”号的内容要求有偏离的；</w:t>
      </w:r>
    </w:p>
    <w:p>
      <w:pPr>
        <w:spacing w:line="360" w:lineRule="auto"/>
        <w:ind w:firstLine="550" w:firstLineChars="250"/>
        <w:rPr>
          <w:rFonts w:ascii="宋体" w:hAnsi="宋体" w:cs="Calibri"/>
          <w:kern w:val="0"/>
          <w:sz w:val="22"/>
        </w:rPr>
      </w:pPr>
      <w:r>
        <w:rPr>
          <w:rFonts w:ascii="宋体" w:hAnsi="宋体" w:cs="Calibri"/>
          <w:kern w:val="0"/>
          <w:sz w:val="22"/>
        </w:rPr>
        <w:t>9.</w:t>
      </w:r>
      <w:r>
        <w:rPr>
          <w:rFonts w:ascii="宋体" w:hAnsi="宋体" w:cs="Calibri"/>
          <w:kern w:val="0"/>
          <w:sz w:val="22"/>
        </w:rPr>
        <w:tab/>
      </w:r>
      <w:r>
        <w:rPr>
          <w:rFonts w:ascii="宋体" w:hAnsi="宋体" w:cs="Calibri"/>
          <w:kern w:val="0"/>
          <w:sz w:val="22"/>
        </w:rPr>
        <w:t>有欺诈行为进行投标的；</w:t>
      </w:r>
    </w:p>
    <w:p>
      <w:pPr>
        <w:spacing w:line="360" w:lineRule="auto"/>
        <w:ind w:firstLine="550" w:firstLineChars="250"/>
        <w:rPr>
          <w:rFonts w:ascii="宋体" w:hAnsi="宋体" w:cs="Calibri"/>
          <w:kern w:val="0"/>
          <w:sz w:val="22"/>
        </w:rPr>
      </w:pPr>
      <w:r>
        <w:rPr>
          <w:rFonts w:ascii="宋体" w:hAnsi="宋体" w:cs="Calibri"/>
          <w:kern w:val="0"/>
          <w:sz w:val="22"/>
        </w:rPr>
        <w:t>10.投标文件附有招标人不能接受的条件；</w:t>
      </w:r>
    </w:p>
    <w:p>
      <w:pPr>
        <w:spacing w:line="360" w:lineRule="auto"/>
        <w:ind w:firstLine="550" w:firstLineChars="250"/>
        <w:rPr>
          <w:rFonts w:ascii="宋体" w:hAnsi="宋体" w:cs="Calibri"/>
          <w:kern w:val="0"/>
          <w:sz w:val="22"/>
        </w:rPr>
      </w:pPr>
      <w:r>
        <w:rPr>
          <w:rFonts w:ascii="宋体" w:hAnsi="宋体" w:cs="Calibri"/>
          <w:kern w:val="0"/>
          <w:sz w:val="22"/>
        </w:rPr>
        <w:t>11.招标文件中或法律、法规、规章规定的其它无效投标情况的。</w:t>
      </w:r>
    </w:p>
    <w:p>
      <w:pPr>
        <w:spacing w:line="360" w:lineRule="auto"/>
        <w:ind w:firstLine="550" w:firstLineChars="250"/>
        <w:rPr>
          <w:rFonts w:ascii="宋体" w:hAnsi="宋体" w:cs="Calibri"/>
          <w:kern w:val="0"/>
          <w:sz w:val="22"/>
        </w:rPr>
      </w:pPr>
      <w:r>
        <w:rPr>
          <w:rFonts w:ascii="宋体" w:hAnsi="宋体" w:cs="Calibri"/>
          <w:kern w:val="0"/>
          <w:sz w:val="22"/>
        </w:rPr>
        <w:t>3.4评标委员会对通过符合性检查且技术标评审合格的投标文件进行商务评审。评标委员会应对商务报价的范围、数量、费用组成和总价等进行全面审阅和对比分析，找出报价差异的原因及存在的问题。报价评审应以报价口径范围一致的评标价为依据。评标价应在最终报价的基础上，按照下列约定的因素和方法进行计算（投标人如拒绝下述修正的，则属重大偏差，按废标处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1）如果数字表示的金额和用文字表示的金额不一致时，应以文字表示的金额为准；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2）当单价与数量的乘积与合价不一致时，以合价为准，并调整单价（按比例）；</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3）当合价与投标总价不一致时，以投标总价为准，调整相关合价（按比例）；</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4）当有缺项、漏项(含报价为零的项)时，经投标人澄清视为该内容已纳入投标价，如投标人拒绝纳入投标价，则该投标视为未实质性响应而作废标处理；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5）按上述修正错误的原则及方法调整投标文件的评标价，调整后的评标价将作为评标依据；</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6）评标期间，评标委员会不接受任何投标人主动提出的对投标报价及单价、合价的调整；</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7）投标报价的口径应与招标文件要求一致。由于招标人原因造成投标人的报价口径不一致者，应在评标价中统一；</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8）评标时调整的评标价仅作为评标依据，如中标仍以其投标价作为中标合同价。</w:t>
      </w:r>
    </w:p>
    <w:p>
      <w:pPr>
        <w:spacing w:line="360" w:lineRule="auto"/>
        <w:ind w:firstLine="550" w:firstLineChars="250"/>
        <w:rPr>
          <w:rFonts w:ascii="宋体" w:hAnsi="宋体" w:cs="Calibri"/>
          <w:kern w:val="0"/>
          <w:sz w:val="22"/>
        </w:rPr>
      </w:pPr>
      <w:r>
        <w:rPr>
          <w:rFonts w:hint="eastAsia" w:ascii="宋体" w:hAnsi="宋体" w:cs="Calibri"/>
          <w:kern w:val="0"/>
          <w:sz w:val="22"/>
        </w:rPr>
        <w:t>凡属招标文件的原因造成报价口径范围不一致的，应调整投标人报价，但因投标人自身失误造成多算、少算、漏算的，不得调整。</w:t>
      </w:r>
    </w:p>
    <w:p>
      <w:pPr>
        <w:spacing w:line="360" w:lineRule="auto"/>
        <w:ind w:firstLine="550" w:firstLineChars="250"/>
        <w:rPr>
          <w:rFonts w:ascii="宋体" w:hAnsi="宋体" w:cs="Calibri"/>
          <w:kern w:val="0"/>
          <w:sz w:val="22"/>
        </w:rPr>
      </w:pPr>
      <w:r>
        <w:rPr>
          <w:rFonts w:hint="eastAsia" w:ascii="宋体" w:hAnsi="宋体" w:cs="Calibri"/>
          <w:kern w:val="0"/>
          <w:sz w:val="22"/>
        </w:rPr>
        <w:t>如商务报价中有以下情况之一的，按商务标评审不合格处理：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1）投标人未按招标文件实质性规定要求进行报价，拒绝修正不平衡报价，拒绝提供报价分析说明和证明材料的；</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2）评标委员会认定属投标人自身原因有重大漏项的（漏项内容应参照全部投标人中对应内容最高报价计算，其金额合价达到其自身投标总价≥5%时，可判定为重大偏离）。</w:t>
      </w:r>
    </w:p>
    <w:p>
      <w:pPr>
        <w:spacing w:line="360" w:lineRule="auto"/>
        <w:ind w:firstLine="550" w:firstLineChars="250"/>
        <w:rPr>
          <w:rFonts w:ascii="宋体" w:hAnsi="宋体" w:cs="Calibri"/>
          <w:kern w:val="0"/>
          <w:sz w:val="22"/>
        </w:rPr>
      </w:pPr>
      <w:r>
        <w:rPr>
          <w:rFonts w:ascii="宋体" w:hAnsi="宋体" w:cs="Calibri"/>
          <w:kern w:val="0"/>
          <w:sz w:val="22"/>
        </w:rPr>
        <w:t>3.5评标委员会对通过符合性审查且技术、商务评审合格的投标人按照报价由低至高的顺序推荐前2名投标人作为中标候选人，报价相同时，由评标委员会通过记名投票表决的方式排序。当有效标不足三家时，由评标委员会认定投标是否具有竞争性，如认定具有竞争性，则继续评标并根据得分推荐剩余家数为中标候选人。同时评标委员会在评标报告中，记述招标过程，投标人的优劣分析，评标结论及存在的不同意见，经评标委员会全体成员签字确认后，报送招标领导小组决标。</w:t>
      </w:r>
    </w:p>
    <w:p>
      <w:pPr>
        <w:spacing w:line="360" w:lineRule="auto"/>
        <w:ind w:firstLine="550" w:firstLineChars="250"/>
        <w:rPr>
          <w:rFonts w:ascii="宋体" w:hAnsi="宋体" w:cs="Calibri"/>
          <w:kern w:val="0"/>
          <w:sz w:val="22"/>
        </w:rPr>
      </w:pPr>
      <w:r>
        <w:rPr>
          <w:rFonts w:hint="eastAsia" w:ascii="宋体" w:hAnsi="宋体" w:cs="Calibri"/>
          <w:kern w:val="0"/>
          <w:sz w:val="22"/>
        </w:rPr>
        <w:t>四、决标</w:t>
      </w:r>
    </w:p>
    <w:p>
      <w:pPr>
        <w:spacing w:line="360" w:lineRule="auto"/>
        <w:ind w:firstLine="550" w:firstLineChars="250"/>
        <w:rPr>
          <w:rFonts w:ascii="宋体" w:hAnsi="宋体" w:cs="Calibri"/>
          <w:kern w:val="0"/>
          <w:sz w:val="22"/>
        </w:rPr>
      </w:pPr>
      <w:r>
        <w:rPr>
          <w:rFonts w:hint="eastAsia" w:ascii="宋体" w:hAnsi="宋体" w:cs="Calibri"/>
          <w:kern w:val="0"/>
          <w:sz w:val="22"/>
        </w:rPr>
        <w:t>决标按照国家七部委令和招标文件的有关规定确定中标人。中标候选人因不可抗力之外的原因放弃中标权的，需赔偿招标人由此而造成的经济损失。在招投标过程中，投标人对招标人施加影响的任何行为，都将导致取消投标或中标资格。招标人对决标结果不负责解释，也不保证最低报价者中标。</w:t>
      </w:r>
    </w:p>
    <w:p>
      <w:pPr>
        <w:spacing w:line="360" w:lineRule="auto"/>
        <w:ind w:firstLine="550" w:firstLineChars="250"/>
        <w:rPr>
          <w:rFonts w:ascii="宋体" w:hAnsi="宋体" w:cs="Calibri"/>
          <w:kern w:val="0"/>
          <w:sz w:val="22"/>
        </w:rPr>
      </w:pPr>
      <w:r>
        <w:rPr>
          <w:rFonts w:hint="eastAsia" w:ascii="宋体" w:hAnsi="宋体" w:cs="Calibri"/>
          <w:kern w:val="0"/>
          <w:sz w:val="22"/>
        </w:rPr>
        <w:t>五、其他</w:t>
      </w:r>
    </w:p>
    <w:p>
      <w:pPr>
        <w:spacing w:line="360" w:lineRule="auto"/>
        <w:ind w:firstLine="550" w:firstLineChars="250"/>
        <w:rPr>
          <w:rFonts w:ascii="宋体" w:hAnsi="宋体" w:cs="Calibri"/>
          <w:kern w:val="0"/>
          <w:sz w:val="22"/>
        </w:rPr>
      </w:pPr>
      <w:r>
        <w:rPr>
          <w:rFonts w:hint="eastAsia" w:ascii="宋体" w:hAnsi="宋体" w:cs="Calibri"/>
          <w:kern w:val="0"/>
          <w:sz w:val="22"/>
        </w:rPr>
        <w:t>为维护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及按无效标处理的结果。</w:t>
      </w:r>
    </w:p>
    <w:p>
      <w:pPr>
        <w:widowControl/>
        <w:jc w:val="left"/>
        <w:rPr>
          <w:rFonts w:ascii="宋体" w:hAnsi="宋体" w:cs="Calibri"/>
          <w:kern w:val="0"/>
          <w:sz w:val="22"/>
        </w:rPr>
      </w:pPr>
      <w:r>
        <w:rPr>
          <w:rFonts w:ascii="宋体" w:hAnsi="宋体" w:cs="Calibri"/>
          <w:kern w:val="0"/>
          <w:sz w:val="22"/>
        </w:rPr>
        <w:br w:type="page"/>
      </w:r>
    </w:p>
    <w:bookmarkEnd w:id="115"/>
    <w:p>
      <w:pPr>
        <w:spacing w:line="360" w:lineRule="auto"/>
        <w:ind w:firstLine="800" w:firstLineChars="250"/>
        <w:jc w:val="center"/>
        <w:rPr>
          <w:rFonts w:eastAsia="黑体" w:cs="Calibri"/>
          <w:kern w:val="0"/>
          <w:sz w:val="32"/>
        </w:rPr>
      </w:pPr>
      <w:bookmarkStart w:id="116" w:name="_Toc448002988"/>
      <w:r>
        <w:rPr>
          <w:rFonts w:hint="eastAsia" w:eastAsia="黑体" w:cs="Calibri"/>
          <w:kern w:val="0"/>
          <w:sz w:val="32"/>
        </w:rPr>
        <w:t>第五章</w:t>
      </w:r>
      <w:r>
        <w:rPr>
          <w:rFonts w:eastAsia="黑体" w:cs="Calibri"/>
          <w:kern w:val="0"/>
          <w:sz w:val="32"/>
        </w:rPr>
        <w:t xml:space="preserve">  </w:t>
      </w:r>
      <w:r>
        <w:rPr>
          <w:rFonts w:hint="eastAsia" w:eastAsia="黑体" w:cs="Calibri"/>
          <w:kern w:val="0"/>
          <w:sz w:val="32"/>
        </w:rPr>
        <w:t>投标文件格式</w:t>
      </w:r>
      <w:bookmarkEnd w:id="116"/>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二、法定代表人身份证明</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spacing w:line="440" w:lineRule="exact"/>
        <w:ind w:firstLine="440" w:firstLineChars="200"/>
        <w:jc w:val="left"/>
        <w:rPr>
          <w:rFonts w:asci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五、投标人资格证明文件：</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w:t>
      </w:r>
      <w:r>
        <w:rPr>
          <w:rFonts w:hint="eastAsia" w:ascii="宋体" w:hAnsi="宋体" w:cs="宋体"/>
          <w:sz w:val="22"/>
        </w:rPr>
        <w:t>投标产品自</w:t>
      </w:r>
      <w:r>
        <w:rPr>
          <w:rFonts w:ascii="宋体" w:hAnsi="宋体" w:cs="宋体"/>
          <w:sz w:val="22"/>
        </w:rPr>
        <w:t>201</w:t>
      </w:r>
      <w:r>
        <w:rPr>
          <w:rFonts w:hint="eastAsia" w:ascii="宋体" w:hAnsi="宋体" w:cs="宋体"/>
          <w:sz w:val="22"/>
        </w:rPr>
        <w:t>6年</w:t>
      </w:r>
      <w:r>
        <w:rPr>
          <w:rFonts w:ascii="宋体" w:hAnsi="宋体" w:cs="宋体"/>
          <w:sz w:val="22"/>
        </w:rPr>
        <w:t>1</w:t>
      </w:r>
      <w:r>
        <w:rPr>
          <w:rFonts w:hint="eastAsia" w:ascii="宋体" w:hAnsi="宋体" w:cs="宋体"/>
          <w:sz w:val="22"/>
        </w:rPr>
        <w:t>月</w:t>
      </w:r>
      <w:r>
        <w:rPr>
          <w:rFonts w:ascii="宋体" w:hAnsi="宋体" w:cs="宋体"/>
          <w:sz w:val="22"/>
        </w:rPr>
        <w:t>1</w:t>
      </w:r>
      <w:r>
        <w:rPr>
          <w:rFonts w:hint="eastAsia" w:ascii="宋体" w:hAnsi="宋体" w:cs="宋体"/>
          <w:sz w:val="22"/>
        </w:rPr>
        <w:t>日以来的销售业绩一览表</w:t>
      </w:r>
      <w:r>
        <w:rPr>
          <w:rFonts w:hint="eastAsia" w:ascii="宋体" w:hAnsi="宋体" w:cs="Calibri"/>
          <w:color w:val="000000"/>
          <w:sz w:val="22"/>
        </w:rPr>
        <w:t>。</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宋体"/>
          <w:sz w:val="22"/>
        </w:rPr>
        <w:t>商务条款响应偏离表；</w:t>
      </w:r>
    </w:p>
    <w:p>
      <w:pPr>
        <w:adjustRightInd w:val="0"/>
        <w:snapToGrid w:val="0"/>
        <w:spacing w:line="400" w:lineRule="exact"/>
        <w:ind w:firstLine="440" w:firstLineChars="200"/>
        <w:rPr>
          <w:rFonts w:ascii="宋体" w:cs="Calibri"/>
          <w:color w:val="000000"/>
          <w:sz w:val="22"/>
        </w:rPr>
      </w:pPr>
      <w:r>
        <w:rPr>
          <w:rFonts w:hint="eastAsia" w:ascii="宋体" w:hAnsi="宋体" w:cs="Arial"/>
          <w:color w:val="000000"/>
          <w:sz w:val="22"/>
        </w:rPr>
        <w:t>八、投标人认为应该提供的其他材料。</w:t>
      </w:r>
    </w:p>
    <w:p>
      <w:pPr>
        <w:rPr>
          <w:rFonts w:ascii="宋体" w:cs="Calibri"/>
          <w:sz w:val="22"/>
        </w:rPr>
      </w:pPr>
    </w:p>
    <w:p>
      <w:pPr>
        <w:spacing w:line="440" w:lineRule="exact"/>
        <w:rPr>
          <w:rFonts w:ascii="宋体" w:cs="Calibri"/>
          <w:color w:val="000000"/>
          <w:sz w:val="22"/>
        </w:rPr>
      </w:pPr>
    </w:p>
    <w:p>
      <w:pPr>
        <w:spacing w:line="440" w:lineRule="exact"/>
        <w:ind w:right="420"/>
        <w:rPr>
          <w:rFonts w:asci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cs="Calibri"/>
          <w:color w:val="000000"/>
        </w:rPr>
      </w:pPr>
    </w:p>
    <w:p>
      <w:pPr>
        <w:spacing w:line="440" w:lineRule="exact"/>
        <w:ind w:right="420"/>
        <w:rPr>
          <w:rFonts w:cs="Calibri"/>
          <w:color w:val="000000"/>
        </w:rPr>
      </w:pPr>
    </w:p>
    <w:p>
      <w:pPr>
        <w:spacing w:line="440" w:lineRule="exact"/>
        <w:rPr>
          <w:rFonts w:cs="Calibri"/>
          <w:color w:val="000000"/>
        </w:rPr>
      </w:pPr>
      <w:r>
        <w:rPr>
          <w:rFonts w:cs="Calibri"/>
          <w:color w:val="000000"/>
        </w:rPr>
        <w:br w:type="page"/>
      </w:r>
      <w:bookmarkStart w:id="117" w:name="_Toc171421958"/>
      <w:r>
        <w:rPr>
          <w:rFonts w:hint="eastAsia" w:cs="Calibri"/>
          <w:color w:val="000000"/>
        </w:rPr>
        <w:t>封面</w:t>
      </w:r>
      <w:bookmarkEnd w:id="117"/>
      <w:r>
        <w:rPr>
          <w:rFonts w:hint="eastAsia" w:cs="Calibri"/>
          <w:color w:val="000000"/>
        </w:rPr>
        <w:t>正本（或副本）</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ascii="方正小标宋简体" w:hAnsi="宋体" w:eastAsia="方正小标宋简体"/>
          <w:b/>
          <w:sz w:val="44"/>
          <w:szCs w:val="44"/>
        </w:rPr>
        <w:t>跑道摩擦系数车专用测试轮</w:t>
      </w:r>
      <w:r>
        <w:rPr>
          <w:rFonts w:hint="eastAsia" w:eastAsia="黑体" w:cs="Calibri"/>
          <w:b/>
          <w:sz w:val="44"/>
          <w:szCs w:val="44"/>
        </w:rPr>
        <w:t>采购项目</w:t>
      </w:r>
    </w:p>
    <w:p>
      <w:pPr>
        <w:autoSpaceDE w:val="0"/>
        <w:autoSpaceDN w:val="0"/>
        <w:adjustRightInd w:val="0"/>
        <w:jc w:val="center"/>
        <w:rPr>
          <w:rFonts w:ascii="黑体" w:hAnsi="黑体" w:eastAsia="黑体" w:cs="Calibri"/>
          <w:b/>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hint="eastAsia" w:eastAsia="黑体" w:cs="Calibri"/>
          <w:bCs/>
          <w:color w:val="000000"/>
          <w:sz w:val="32"/>
          <w:szCs w:val="32"/>
        </w:rPr>
        <w:t>一、投</w:t>
      </w:r>
      <w:r>
        <w:rPr>
          <w:rFonts w:eastAsia="黑体" w:cs="Calibri"/>
          <w:bCs/>
          <w:color w:val="000000"/>
          <w:sz w:val="32"/>
          <w:szCs w:val="32"/>
        </w:rPr>
        <w:t xml:space="preserve"> </w:t>
      </w:r>
      <w:r>
        <w:rPr>
          <w:rFonts w:hint="eastAsia" w:eastAsia="黑体" w:cs="Calibri"/>
          <w:bCs/>
          <w:color w:val="000000"/>
          <w:sz w:val="32"/>
          <w:szCs w:val="32"/>
        </w:rPr>
        <w:t>标</w:t>
      </w:r>
      <w:r>
        <w:rPr>
          <w:rFonts w:eastAsia="黑体" w:cs="Calibri"/>
          <w:bCs/>
          <w:color w:val="000000"/>
          <w:sz w:val="32"/>
          <w:szCs w:val="32"/>
        </w:rPr>
        <w:t xml:space="preserve"> </w:t>
      </w:r>
      <w:r>
        <w:rPr>
          <w:rFonts w:hint="eastAsia" w:eastAsia="黑体" w:cs="Calibri"/>
          <w:bCs/>
          <w:color w:val="000000"/>
          <w:sz w:val="32"/>
          <w:szCs w:val="32"/>
        </w:rPr>
        <w:t>函</w:t>
      </w:r>
    </w:p>
    <w:p>
      <w:pPr>
        <w:spacing w:line="440" w:lineRule="exact"/>
        <w:jc w:val="center"/>
        <w:rPr>
          <w:rFonts w:cs="Calibri"/>
          <w:b/>
          <w:bCs/>
          <w:color w:val="000000"/>
          <w:sz w:val="28"/>
          <w:szCs w:val="28"/>
        </w:rPr>
      </w:pPr>
    </w:p>
    <w:p>
      <w:pPr>
        <w:spacing w:line="440" w:lineRule="exact"/>
        <w:rPr>
          <w:rFonts w:ascii="宋体" w:hAnsi="宋体" w:cs="宋体"/>
          <w:sz w:val="22"/>
        </w:rPr>
      </w:pPr>
      <w:r>
        <w:rPr>
          <w:rFonts w:hint="eastAsia" w:ascii="宋体" w:hAnsi="宋体" w:cs="宋体"/>
          <w:sz w:val="22"/>
          <w:lang w:bidi="ar"/>
        </w:rPr>
        <w:t>致：杭州萧山国际机场有限公司</w:t>
      </w:r>
    </w:p>
    <w:p>
      <w:pPr>
        <w:overflowPunct w:val="0"/>
        <w:autoSpaceDE w:val="0"/>
        <w:autoSpaceDN w:val="0"/>
        <w:spacing w:line="440" w:lineRule="exact"/>
        <w:ind w:firstLine="440" w:firstLineChars="200"/>
        <w:rPr>
          <w:rFonts w:ascii="宋体" w:hAnsi="宋体" w:cs="宋体"/>
          <w:sz w:val="22"/>
        </w:rPr>
      </w:pPr>
      <w:r>
        <w:rPr>
          <w:rFonts w:hint="eastAsia" w:ascii="宋体" w:hAnsi="宋体" w:cs="宋体"/>
          <w:sz w:val="22"/>
          <w:lang w:bidi="ar"/>
        </w:rPr>
        <w:t>根据贵方杭州萧山国际机场</w:t>
      </w:r>
      <w:r>
        <w:rPr>
          <w:rFonts w:hint="eastAsia" w:ascii="宋体" w:hAnsi="宋体" w:cs="宋体"/>
          <w:sz w:val="22"/>
          <w:u w:val="single"/>
          <w:lang w:bidi="ar"/>
        </w:rPr>
        <w:t xml:space="preserve">             </w:t>
      </w:r>
      <w:r>
        <w:rPr>
          <w:rFonts w:hint="eastAsia" w:ascii="宋体" w:hAnsi="宋体" w:cs="宋体"/>
          <w:sz w:val="22"/>
          <w:lang w:bidi="ar"/>
        </w:rPr>
        <w:t>采购项目的招标文件，授权代表</w:t>
      </w:r>
      <w:r>
        <w:rPr>
          <w:rFonts w:hint="eastAsia" w:ascii="宋体" w:hAnsi="宋体" w:cs="Arial"/>
          <w:sz w:val="22"/>
          <w:u w:val="single"/>
          <w:lang w:bidi="ar"/>
        </w:rPr>
        <w:t xml:space="preserve">        </w:t>
      </w:r>
      <w:r>
        <w:rPr>
          <w:rFonts w:hint="eastAsia" w:ascii="宋体" w:hAnsi="宋体" w:cs="宋体"/>
          <w:sz w:val="22"/>
          <w:lang w:bidi="ar"/>
        </w:rPr>
        <w:t>(全名、职务)经正式授权，代表投标人</w:t>
      </w:r>
      <w:r>
        <w:rPr>
          <w:rFonts w:hint="eastAsia" w:ascii="宋体" w:hAnsi="宋体" w:cs="Arial"/>
          <w:sz w:val="22"/>
          <w:u w:val="single"/>
          <w:lang w:bidi="ar"/>
        </w:rPr>
        <w:t xml:space="preserve">                    </w:t>
      </w:r>
      <w:r>
        <w:rPr>
          <w:rFonts w:hint="eastAsia" w:ascii="宋体" w:hAnsi="宋体" w:cs="宋体"/>
          <w:sz w:val="22"/>
          <w:lang w:bidi="ar"/>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lang w:bidi="ar"/>
        </w:rPr>
        <w:t>据此函，本授权代表宣布同意如下：</w:t>
      </w:r>
    </w:p>
    <w:p>
      <w:pPr>
        <w:numPr>
          <w:ilvl w:val="0"/>
          <w:numId w:val="1"/>
        </w:numPr>
        <w:tabs>
          <w:tab w:val="left" w:pos="840"/>
        </w:tabs>
        <w:overflowPunct w:val="0"/>
        <w:autoSpaceDE w:val="0"/>
        <w:autoSpaceDN w:val="0"/>
        <w:spacing w:line="440" w:lineRule="exact"/>
        <w:rPr>
          <w:rFonts w:ascii="宋体" w:hAnsi="宋体"/>
          <w:sz w:val="22"/>
        </w:rPr>
      </w:pPr>
      <w:r>
        <w:rPr>
          <w:rFonts w:hint="eastAsia" w:ascii="宋体" w:hAnsi="宋体" w:cs="宋体"/>
          <w:sz w:val="22"/>
          <w:lang w:bidi="ar"/>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s="宋体"/>
          <w:sz w:val="22"/>
        </w:rPr>
      </w:pPr>
      <w:r>
        <w:rPr>
          <w:rFonts w:hint="eastAsia" w:ascii="宋体" w:hAnsi="宋体" w:cs="宋体"/>
          <w:sz w:val="22"/>
          <w:lang w:bidi="ar"/>
        </w:rPr>
        <w:t>(大写)</w:t>
      </w:r>
      <w:r>
        <w:rPr>
          <w:rFonts w:hint="eastAsia" w:ascii="宋体" w:hAnsi="宋体" w:cs="宋体"/>
          <w:sz w:val="22"/>
          <w:u w:val="single"/>
          <w:lang w:bidi="ar"/>
        </w:rPr>
        <w:t xml:space="preserve">                   </w:t>
      </w:r>
      <w:r>
        <w:rPr>
          <w:rFonts w:hint="eastAsia" w:ascii="宋体" w:hAnsi="宋体" w:cs="宋体"/>
          <w:sz w:val="22"/>
          <w:lang w:bidi="ar"/>
        </w:rPr>
        <w:t>(小写)</w:t>
      </w:r>
      <w:r>
        <w:rPr>
          <w:rFonts w:hint="eastAsia" w:ascii="宋体" w:hAnsi="宋体" w:cs="宋体"/>
          <w:sz w:val="22"/>
          <w:u w:val="single"/>
          <w:lang w:bidi="ar"/>
        </w:rPr>
        <w:t xml:space="preserve">             </w:t>
      </w:r>
      <w:r>
        <w:rPr>
          <w:rFonts w:hint="eastAsia" w:ascii="宋体" w:hAnsi="宋体" w:cs="宋体"/>
          <w:sz w:val="22"/>
          <w:lang w:bidi="ar"/>
        </w:rPr>
        <w:t>。</w:t>
      </w:r>
    </w:p>
    <w:p>
      <w:pPr>
        <w:overflowPunct w:val="0"/>
        <w:autoSpaceDE w:val="0"/>
        <w:autoSpaceDN w:val="0"/>
        <w:spacing w:line="440" w:lineRule="exact"/>
        <w:ind w:left="416" w:leftChars="198" w:firstLine="440" w:firstLineChars="200"/>
        <w:rPr>
          <w:rFonts w:ascii="宋体" w:hAnsi="宋体" w:cs="宋体"/>
          <w:sz w:val="22"/>
        </w:rPr>
      </w:pPr>
      <w:r>
        <w:rPr>
          <w:rFonts w:hint="eastAsia" w:ascii="宋体" w:hAnsi="宋体" w:cs="宋体"/>
          <w:sz w:val="22"/>
          <w:lang w:bidi="ar"/>
        </w:rPr>
        <w:t>供货期：合同签订后</w:t>
      </w:r>
      <w:r>
        <w:rPr>
          <w:rFonts w:hint="eastAsia" w:ascii="宋体" w:hAnsi="宋体" w:cs="宋体"/>
          <w:sz w:val="22"/>
          <w:u w:val="single"/>
          <w:lang w:bidi="ar"/>
        </w:rPr>
        <w:t xml:space="preserve">      </w:t>
      </w:r>
      <w:r>
        <w:rPr>
          <w:rFonts w:hint="eastAsia" w:ascii="宋体" w:hAnsi="宋体" w:cs="宋体"/>
          <w:sz w:val="22"/>
          <w:lang w:bidi="ar"/>
        </w:rPr>
        <w:t>日历天、投标品牌：</w:t>
      </w:r>
      <w:r>
        <w:rPr>
          <w:rFonts w:hint="eastAsia" w:ascii="宋体" w:hAnsi="宋体" w:cs="宋体"/>
          <w:sz w:val="22"/>
          <w:u w:val="single"/>
          <w:lang w:bidi="ar"/>
        </w:rPr>
        <w:t xml:space="preserve">        </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投标人将按投标文件的规定履行合同责任和义务。</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投标人已详细审查全部招标文件包括澄清函和修改文件(如果有)、所有已提供的资料以及有关附件，</w:t>
      </w:r>
      <w:r>
        <w:rPr>
          <w:rFonts w:hint="eastAsia" w:cs="宋体"/>
          <w:sz w:val="22"/>
          <w:lang w:bidi="ar"/>
        </w:rPr>
        <w:t>投标人已完全理解上述文件的全部内容，并放弃提出任何误解或不明作为抗辩的权利</w:t>
      </w:r>
      <w:r>
        <w:rPr>
          <w:rFonts w:hint="eastAsia" w:ascii="宋体" w:hAnsi="宋体" w:cs="宋体"/>
          <w:sz w:val="22"/>
          <w:lang w:bidi="ar"/>
        </w:rPr>
        <w:t>。</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本投标的投标有效期为自投标截止之日起120日内。</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投标人完全清楚并理解在投标有效期期满之前撤回投标，招标人有权不予退还投标人的投标保证金及银行同期存款利息。</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s="宋体"/>
          <w:sz w:val="22"/>
        </w:rPr>
      </w:pPr>
    </w:p>
    <w:p>
      <w:pPr>
        <w:snapToGrid w:val="0"/>
        <w:spacing w:line="440" w:lineRule="exact"/>
        <w:ind w:firstLine="3300" w:firstLineChars="1500"/>
        <w:rPr>
          <w:rFonts w:ascii="宋体" w:hAnsi="宋体" w:cs="宋体"/>
          <w:sz w:val="22"/>
        </w:rPr>
      </w:pP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投标人：（盖单位章）</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法定代表人或其委托代理人：（签字或盖章）</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地    址：</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邮政编码：</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电    话：</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传    真：</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开户银行：</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账    号：</w:t>
      </w:r>
    </w:p>
    <w:p>
      <w:pPr>
        <w:widowControl/>
        <w:spacing w:line="440" w:lineRule="exact"/>
      </w:pPr>
      <w:r>
        <w:rPr>
          <w:rFonts w:hint="eastAsia" w:ascii="宋体" w:hAnsi="宋体" w:cs="Calibri"/>
          <w:color w:val="000000"/>
          <w:sz w:val="22"/>
          <w:lang w:bidi="ar"/>
        </w:rPr>
        <w:t xml:space="preserve">                              日    期：    年     月     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p>
    <w:p>
      <w:pPr>
        <w:adjustRightInd w:val="0"/>
        <w:snapToGrid w:val="0"/>
        <w:jc w:val="center"/>
        <w:rPr>
          <w:rFonts w:eastAsia="黑体" w:cs="Calibri"/>
          <w:color w:val="000000"/>
          <w:sz w:val="32"/>
          <w:szCs w:val="32"/>
        </w:rPr>
      </w:pPr>
      <w:r>
        <w:rPr>
          <w:rFonts w:hint="eastAsia" w:eastAsia="黑体" w:cs="Calibri"/>
          <w:color w:val="000000"/>
          <w:sz w:val="32"/>
          <w:szCs w:val="32"/>
        </w:rPr>
        <w:t>二、法定代表人身份证明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hint="eastAsia" w:cs="Calibri"/>
          <w:color w:val="000000"/>
          <w:szCs w:val="21"/>
        </w:rPr>
        <w:t>投标人名称：</w:t>
      </w:r>
    </w:p>
    <w:p>
      <w:pPr>
        <w:spacing w:after="120" w:afterLines="50" w:line="440" w:lineRule="exact"/>
        <w:rPr>
          <w:rFonts w:cs="Calibri"/>
          <w:color w:val="000000"/>
          <w:szCs w:val="21"/>
          <w:u w:val="single"/>
        </w:rPr>
      </w:pPr>
      <w:r>
        <w:rPr>
          <w:rFonts w:hint="eastAsia" w:cs="Calibri"/>
          <w:color w:val="000000"/>
          <w:szCs w:val="21"/>
        </w:rPr>
        <w:t>单位性质：</w:t>
      </w:r>
    </w:p>
    <w:p>
      <w:pPr>
        <w:spacing w:after="120" w:afterLines="50" w:line="440" w:lineRule="exact"/>
        <w:rPr>
          <w:rFonts w:cs="Calibri"/>
          <w:color w:val="000000"/>
          <w:szCs w:val="21"/>
          <w:u w:val="single"/>
        </w:rPr>
      </w:pPr>
      <w:r>
        <w:rPr>
          <w:rFonts w:hint="eastAsia" w:cs="Calibri"/>
          <w:color w:val="000000"/>
          <w:szCs w:val="21"/>
        </w:rPr>
        <w:t>地址：</w:t>
      </w:r>
    </w:p>
    <w:p>
      <w:pPr>
        <w:spacing w:after="120" w:afterLines="50" w:line="440" w:lineRule="exact"/>
        <w:rPr>
          <w:rFonts w:cs="Calibri"/>
          <w:color w:val="000000"/>
          <w:szCs w:val="21"/>
          <w:u w:val="single"/>
        </w:rPr>
      </w:pPr>
      <w:r>
        <w:rPr>
          <w:rFonts w:hint="eastAsia" w:cs="Calibri"/>
          <w:color w:val="000000"/>
          <w:szCs w:val="21"/>
        </w:rPr>
        <w:t>成立时间：年月日</w:t>
      </w:r>
    </w:p>
    <w:p>
      <w:pPr>
        <w:spacing w:after="120" w:afterLines="50" w:line="440" w:lineRule="exact"/>
        <w:rPr>
          <w:rFonts w:cs="Calibri"/>
          <w:color w:val="000000"/>
          <w:szCs w:val="21"/>
          <w:u w:val="single"/>
        </w:rPr>
      </w:pPr>
      <w:r>
        <w:rPr>
          <w:rFonts w:hint="eastAsia" w:cs="Calibri"/>
          <w:color w:val="000000"/>
          <w:szCs w:val="21"/>
        </w:rPr>
        <w:t>经营期限：</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rPr>
        <w:t xml:space="preserve">  </w:t>
      </w:r>
      <w:r>
        <w:rPr>
          <w:rFonts w:hint="eastAsia" w:cs="Calibri"/>
          <w:color w:val="000000"/>
          <w:szCs w:val="21"/>
        </w:rPr>
        <w:t>性别：</w:t>
      </w:r>
      <w:r>
        <w:rPr>
          <w:rFonts w:cs="Calibri"/>
          <w:color w:val="000000"/>
          <w:szCs w:val="21"/>
        </w:rPr>
        <w:t xml:space="preserve">  </w:t>
      </w:r>
      <w:r>
        <w:rPr>
          <w:rFonts w:hint="eastAsia" w:cs="Calibri"/>
          <w:color w:val="000000"/>
          <w:szCs w:val="21"/>
        </w:rPr>
        <w:t>年龄：</w:t>
      </w:r>
      <w:r>
        <w:rPr>
          <w:rFonts w:cs="Calibri"/>
          <w:color w:val="000000"/>
          <w:szCs w:val="21"/>
        </w:rPr>
        <w:t xml:space="preserve">  </w:t>
      </w:r>
      <w:r>
        <w:rPr>
          <w:rFonts w:hint="eastAsia" w:cs="Calibri"/>
          <w:color w:val="000000"/>
          <w:szCs w:val="21"/>
        </w:rPr>
        <w:t>职务：</w:t>
      </w:r>
    </w:p>
    <w:p>
      <w:pPr>
        <w:spacing w:after="120" w:afterLines="50" w:line="440" w:lineRule="exact"/>
        <w:rPr>
          <w:rFonts w:cs="Calibri"/>
          <w:color w:val="000000"/>
          <w:szCs w:val="21"/>
          <w:u w:val="single"/>
        </w:rPr>
      </w:pPr>
      <w:r>
        <w:rPr>
          <w:rFonts w:hint="eastAsia"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w:pict>
          <v:shape id="Text Box 6" o:spid="_x0000_s1026" o:spt="202" type="#_x0000_t202" style="position:absolute;left:0pt;margin-left:0pt;margin-top:31.2pt;height:171.6pt;width:423pt;mso-wrap-distance-bottom:0pt;mso-wrap-distance-left:9pt;mso-wrap-distance-right:9pt;mso-wrap-distance-top:0pt;z-index:251660288;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hint="eastAsia"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委托的代理人：（签字或盖章）</w:t>
      </w:r>
    </w:p>
    <w:p>
      <w:pPr>
        <w:spacing w:line="440" w:lineRule="exact"/>
        <w:rPr>
          <w:rFonts w:cs="Calibri"/>
          <w:color w:val="000000"/>
          <w:szCs w:val="21"/>
        </w:rPr>
      </w:pPr>
      <w:r>
        <w:rPr>
          <w:rFonts w:hint="eastAsia" w:cs="Calibri"/>
          <w:color w:val="000000"/>
          <w:szCs w:val="21"/>
        </w:rPr>
        <w:t>身份证号码：</w:t>
      </w:r>
    </w:p>
    <w:p>
      <w:pPr>
        <w:spacing w:line="440" w:lineRule="exact"/>
        <w:ind w:firstLine="4515" w:firstLineChars="2150"/>
        <w:rPr>
          <w:rFonts w:cs="Calibri"/>
          <w:color w:val="000000"/>
          <w:szCs w:val="21"/>
        </w:rPr>
      </w:pPr>
      <w:r>
        <w:rPr>
          <w:rFonts w:hint="eastAsia" w:cs="Calibri"/>
          <w:color w:val="000000"/>
          <w:szCs w:val="21"/>
        </w:rPr>
        <w:t>日期：年月日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hint="eastAsia"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line="440" w:lineRule="exact"/>
        <w:jc w:val="center"/>
        <w:rPr>
          <w:rFonts w:eastAsia="黑体" w:cs="Calibri"/>
          <w:color w:val="000000"/>
          <w:sz w:val="32"/>
          <w:szCs w:val="32"/>
        </w:rPr>
      </w:pPr>
    </w:p>
    <w:p>
      <w:pPr>
        <w:pStyle w:val="23"/>
        <w:numPr>
          <w:ilvl w:val="1"/>
          <w:numId w:val="2"/>
        </w:numPr>
        <w:snapToGrid w:val="0"/>
        <w:spacing w:before="120" w:beforeLines="50" w:line="360" w:lineRule="exact"/>
        <w:rPr>
          <w:rFonts w:hAnsi="宋体" w:cs="宋体"/>
          <w:sz w:val="22"/>
          <w:szCs w:val="22"/>
        </w:rPr>
      </w:pPr>
      <w:r>
        <w:rPr>
          <w:rFonts w:hint="eastAsia" w:hAnsi="宋体" w:cs="宋体"/>
          <w:sz w:val="22"/>
          <w:szCs w:val="22"/>
        </w:rPr>
        <w:t>总则</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3"/>
        <w:numPr>
          <w:ilvl w:val="1"/>
          <w:numId w:val="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sz w:val="22"/>
        </w:rPr>
      </w:pPr>
    </w:p>
    <w:tbl>
      <w:tblPr>
        <w:tblStyle w:val="56"/>
        <w:tblpPr w:leftFromText="180" w:rightFromText="180" w:vertAnchor="text" w:horzAnchor="margin" w:tblpXSpec="center" w:tblpYSpec="center"/>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463"/>
        <w:gridCol w:w="1463"/>
        <w:gridCol w:w="1463"/>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r>
              <w:rPr>
                <w:rFonts w:hint="eastAsia" w:ascii="宋体" w:hAnsi="宋体"/>
                <w:sz w:val="22"/>
              </w:rPr>
              <w:t>项目</w:t>
            </w:r>
          </w:p>
        </w:tc>
        <w:tc>
          <w:tcPr>
            <w:tcW w:w="1463" w:type="dxa"/>
          </w:tcPr>
          <w:p>
            <w:pPr>
              <w:spacing w:line="340" w:lineRule="exact"/>
              <w:jc w:val="center"/>
              <w:rPr>
                <w:rFonts w:ascii="宋体"/>
                <w:sz w:val="22"/>
              </w:rPr>
            </w:pPr>
            <w:r>
              <w:rPr>
                <w:rFonts w:hint="eastAsia" w:ascii="宋体" w:hAnsi="宋体"/>
                <w:sz w:val="22"/>
              </w:rPr>
              <w:t>数量</w:t>
            </w:r>
          </w:p>
        </w:tc>
        <w:tc>
          <w:tcPr>
            <w:tcW w:w="1463" w:type="dxa"/>
          </w:tcPr>
          <w:p>
            <w:pPr>
              <w:spacing w:line="340" w:lineRule="exact"/>
              <w:jc w:val="center"/>
              <w:rPr>
                <w:rFonts w:ascii="宋体"/>
                <w:sz w:val="22"/>
              </w:rPr>
            </w:pPr>
            <w:r>
              <w:rPr>
                <w:rFonts w:hint="eastAsia" w:ascii="宋体" w:hAnsi="宋体"/>
                <w:sz w:val="22"/>
              </w:rPr>
              <w:t>不含税单价（元）</w:t>
            </w:r>
          </w:p>
        </w:tc>
        <w:tc>
          <w:tcPr>
            <w:tcW w:w="1463" w:type="dxa"/>
          </w:tcPr>
          <w:p>
            <w:pPr>
              <w:spacing w:line="340" w:lineRule="exact"/>
              <w:jc w:val="center"/>
              <w:rPr>
                <w:rFonts w:ascii="宋体"/>
                <w:sz w:val="22"/>
              </w:rPr>
            </w:pPr>
            <w:r>
              <w:rPr>
                <w:rFonts w:hint="eastAsia" w:ascii="宋体" w:hAnsi="宋体"/>
                <w:sz w:val="22"/>
              </w:rPr>
              <w:t>不含税总价（元）</w:t>
            </w:r>
          </w:p>
        </w:tc>
        <w:tc>
          <w:tcPr>
            <w:tcW w:w="1463" w:type="dxa"/>
          </w:tcPr>
          <w:p>
            <w:pPr>
              <w:spacing w:line="340" w:lineRule="exact"/>
              <w:jc w:val="center"/>
              <w:rPr>
                <w:rFonts w:ascii="宋体"/>
                <w:sz w:val="22"/>
              </w:rPr>
            </w:pPr>
            <w:r>
              <w:rPr>
                <w:rFonts w:hint="eastAsia" w:ascii="宋体"/>
                <w:sz w:val="22"/>
              </w:rPr>
              <w:t>税率</w:t>
            </w:r>
          </w:p>
        </w:tc>
        <w:tc>
          <w:tcPr>
            <w:tcW w:w="1463" w:type="dxa"/>
          </w:tcPr>
          <w:p>
            <w:pPr>
              <w:spacing w:line="340" w:lineRule="exact"/>
              <w:jc w:val="center"/>
              <w:rPr>
                <w:rFonts w:ascii="宋体"/>
                <w:sz w:val="22"/>
              </w:rPr>
            </w:pPr>
            <w:r>
              <w:rPr>
                <w:rFonts w:hint="eastAsia" w:ascii="宋体"/>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bl>
    <w:p>
      <w:pPr>
        <w:spacing w:line="360" w:lineRule="auto"/>
        <w:rPr>
          <w:rFonts w:ascii="宋体" w:cs="宋体"/>
          <w:sz w:val="22"/>
        </w:rPr>
      </w:pPr>
      <w:r>
        <w:rPr>
          <w:rFonts w:hint="eastAsia" w:ascii="宋体" w:hAnsi="宋体" w:cs="宋体"/>
          <w:sz w:val="22"/>
        </w:rPr>
        <w:t>注：</w:t>
      </w:r>
    </w:p>
    <w:p>
      <w:pPr>
        <w:spacing w:line="360" w:lineRule="auto"/>
        <w:rPr>
          <w:rFonts w:ascii="宋体" w:cs="宋体"/>
          <w:sz w:val="22"/>
        </w:rPr>
      </w:pPr>
      <w:r>
        <w:rPr>
          <w:rFonts w:ascii="宋体" w:hAnsi="宋体" w:cs="宋体"/>
          <w:sz w:val="22"/>
        </w:rPr>
        <w:t>1</w:t>
      </w:r>
      <w:r>
        <w:rPr>
          <w:rFonts w:hint="eastAsia" w:ascii="宋体" w:hAnsi="宋体" w:cs="宋体"/>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宋体" w:cs="宋体"/>
          <w:sz w:val="22"/>
        </w:rPr>
      </w:pPr>
      <w:r>
        <w:rPr>
          <w:rFonts w:ascii="宋体" w:hAnsi="宋体" w:cs="宋体"/>
          <w:sz w:val="22"/>
        </w:rPr>
        <w:t>2</w:t>
      </w:r>
      <w:r>
        <w:rPr>
          <w:rFonts w:hint="eastAsia" w:ascii="宋体" w:hAnsi="宋体" w:cs="宋体"/>
          <w:sz w:val="22"/>
        </w:rPr>
        <w:t>、此表为表</w:t>
      </w:r>
      <w:r>
        <w:rPr>
          <w:rFonts w:ascii="宋体" w:hAnsi="宋体" w:cs="宋体"/>
          <w:sz w:val="22"/>
        </w:rPr>
        <w:t>4.2</w:t>
      </w:r>
      <w:r>
        <w:rPr>
          <w:rFonts w:hint="eastAsia" w:ascii="宋体" w:hAnsi="宋体" w:cs="宋体"/>
          <w:sz w:val="22"/>
        </w:rPr>
        <w:t>的汇总表。</w:t>
      </w:r>
    </w:p>
    <w:p>
      <w:pPr>
        <w:snapToGrid w:val="0"/>
        <w:spacing w:line="360" w:lineRule="auto"/>
        <w:rPr>
          <w:rFonts w:ascii="宋体" w:cs="宋体"/>
          <w:sz w:val="22"/>
        </w:rPr>
      </w:pPr>
    </w:p>
    <w:p>
      <w:pPr>
        <w:snapToGrid w:val="0"/>
        <w:spacing w:before="120" w:beforeLines="50" w:line="360" w:lineRule="exact"/>
        <w:ind w:left="1134"/>
        <w:rPr>
          <w:rFonts w:ascii="宋体" w:cs="宋体"/>
          <w:sz w:val="2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ascii="宋体" w:cs="宋体"/>
          <w:sz w:val="22"/>
        </w:rPr>
      </w:pPr>
      <w:r>
        <w:rPr>
          <w:rFonts w:ascii="宋体" w:cs="宋体"/>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（一）投标人一般情况</w:t>
      </w:r>
    </w:p>
    <w:tbl>
      <w:tblPr>
        <w:tblStyle w:val="5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
        <w:gridCol w:w="1455"/>
        <w:gridCol w:w="380"/>
        <w:gridCol w:w="648"/>
        <w:gridCol w:w="382"/>
        <w:gridCol w:w="143"/>
        <w:gridCol w:w="72"/>
        <w:gridCol w:w="115"/>
        <w:gridCol w:w="863"/>
        <w:gridCol w:w="33"/>
        <w:gridCol w:w="360"/>
        <w:gridCol w:w="169"/>
        <w:gridCol w:w="278"/>
        <w:gridCol w:w="262"/>
        <w:gridCol w:w="95"/>
        <w:gridCol w:w="620"/>
        <w:gridCol w:w="215"/>
        <w:gridCol w:w="248"/>
        <w:gridCol w:w="30"/>
        <w:gridCol w:w="493"/>
        <w:gridCol w:w="126"/>
        <w:gridCol w:w="116"/>
        <w:gridCol w:w="892"/>
        <w:gridCol w:w="30"/>
        <w:gridCol w:w="1073"/>
        <w:gridCol w:w="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0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010"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11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2228"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25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125" w:type="dxa"/>
            <w:gridSpan w:val="9"/>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228"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228"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tcPr>
          <w:p>
            <w:pPr>
              <w:snapToGrid w:val="0"/>
              <w:ind w:firstLine="220" w:firstLineChars="10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vAlign w:val="center"/>
          </w:tcPr>
          <w:p>
            <w:pPr>
              <w:snapToGrid w:val="0"/>
              <w:ind w:firstLine="220" w:firstLineChars="10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tcPr>
          <w:p>
            <w:pPr>
              <w:snapToGrid w:val="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256"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35"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gridSpan w:val="2"/>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7"/>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10"/>
            <w:vAlign w:val="center"/>
          </w:tcPr>
          <w:p>
            <w:pPr>
              <w:snapToGrid w:val="0"/>
              <w:spacing w:line="400" w:lineRule="exact"/>
              <w:ind w:left="-170" w:right="-170"/>
              <w:jc w:val="center"/>
              <w:rPr>
                <w:rFonts w:ascii="宋体" w:hAnsi="宋体" w:cs="宋体"/>
                <w:sz w:val="22"/>
              </w:rPr>
            </w:pPr>
          </w:p>
        </w:tc>
        <w:tc>
          <w:tcPr>
            <w:tcW w:w="1748"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6"/>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10"/>
            <w:vAlign w:val="center"/>
          </w:tcPr>
          <w:p>
            <w:pPr>
              <w:snapToGrid w:val="0"/>
              <w:spacing w:line="400" w:lineRule="exact"/>
              <w:ind w:left="-170" w:right="-170"/>
              <w:jc w:val="center"/>
              <w:rPr>
                <w:rFonts w:ascii="宋体" w:hAnsi="宋体" w:cs="宋体"/>
                <w:sz w:val="22"/>
              </w:rPr>
            </w:pPr>
          </w:p>
        </w:tc>
        <w:tc>
          <w:tcPr>
            <w:tcW w:w="1748"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6"/>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23"/>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23"/>
            <w:vAlign w:val="center"/>
          </w:tcPr>
          <w:p>
            <w:pPr>
              <w:pStyle w:val="32"/>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6"/>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9"/>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6"/>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9"/>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5"/>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4"/>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continue"/>
            <w:vAlign w:val="center"/>
          </w:tcPr>
          <w:p>
            <w:pPr>
              <w:snapToGrid w:val="0"/>
              <w:spacing w:line="400" w:lineRule="exact"/>
              <w:ind w:left="-170" w:right="-170"/>
              <w:jc w:val="center"/>
              <w:rPr>
                <w:rFonts w:ascii="宋体" w:hAnsi="宋体" w:cs="宋体"/>
                <w:sz w:val="22"/>
              </w:rPr>
            </w:pPr>
          </w:p>
        </w:tc>
        <w:tc>
          <w:tcPr>
            <w:tcW w:w="1575" w:type="dxa"/>
            <w:gridSpan w:val="5"/>
            <w:vMerge w:val="continue"/>
            <w:vAlign w:val="center"/>
          </w:tcPr>
          <w:p>
            <w:pPr>
              <w:snapToGrid w:val="0"/>
              <w:spacing w:line="400" w:lineRule="exact"/>
              <w:ind w:left="-170" w:right="-170"/>
              <w:jc w:val="center"/>
              <w:rPr>
                <w:rFonts w:ascii="宋体" w:hAnsi="宋体" w:cs="宋体"/>
                <w:sz w:val="22"/>
              </w:rPr>
            </w:pPr>
          </w:p>
        </w:tc>
        <w:tc>
          <w:tcPr>
            <w:tcW w:w="840" w:type="dxa"/>
            <w:gridSpan w:val="4"/>
            <w:vMerge w:val="continue"/>
            <w:vAlign w:val="center"/>
          </w:tcPr>
          <w:p>
            <w:pPr>
              <w:snapToGrid w:val="0"/>
              <w:spacing w:line="400" w:lineRule="exact"/>
              <w:ind w:left="-170" w:right="-170"/>
              <w:jc w:val="center"/>
              <w:rPr>
                <w:rFonts w:ascii="宋体" w:hAnsi="宋体" w:cs="宋体"/>
                <w:sz w:val="22"/>
              </w:rPr>
            </w:pP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5"/>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4"/>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continue"/>
            <w:vAlign w:val="center"/>
          </w:tcPr>
          <w:p>
            <w:pPr>
              <w:snapToGrid w:val="0"/>
              <w:spacing w:line="400" w:lineRule="exact"/>
              <w:ind w:left="-170" w:right="-170"/>
              <w:jc w:val="center"/>
              <w:rPr>
                <w:rFonts w:ascii="宋体" w:hAnsi="宋体" w:cs="宋体"/>
                <w:sz w:val="22"/>
              </w:rPr>
            </w:pPr>
          </w:p>
        </w:tc>
        <w:tc>
          <w:tcPr>
            <w:tcW w:w="1575" w:type="dxa"/>
            <w:gridSpan w:val="5"/>
            <w:vMerge w:val="continue"/>
            <w:vAlign w:val="center"/>
          </w:tcPr>
          <w:p>
            <w:pPr>
              <w:snapToGrid w:val="0"/>
              <w:spacing w:line="400" w:lineRule="exact"/>
              <w:ind w:left="-170" w:right="-170"/>
              <w:jc w:val="center"/>
              <w:rPr>
                <w:rFonts w:ascii="宋体" w:hAnsi="宋体" w:cs="宋体"/>
                <w:sz w:val="22"/>
              </w:rPr>
            </w:pPr>
          </w:p>
        </w:tc>
        <w:tc>
          <w:tcPr>
            <w:tcW w:w="840" w:type="dxa"/>
            <w:gridSpan w:val="4"/>
            <w:vMerge w:val="continue"/>
            <w:vAlign w:val="center"/>
          </w:tcPr>
          <w:p>
            <w:pPr>
              <w:snapToGrid w:val="0"/>
              <w:spacing w:line="400" w:lineRule="exact"/>
              <w:ind w:left="-170" w:right="-170"/>
              <w:jc w:val="center"/>
              <w:rPr>
                <w:rFonts w:ascii="宋体" w:hAnsi="宋体" w:cs="宋体"/>
                <w:sz w:val="22"/>
              </w:rPr>
            </w:pP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163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23"/>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4"/>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19"/>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4"/>
            <w:vAlign w:val="center"/>
          </w:tcPr>
          <w:p>
            <w:pPr>
              <w:snapToGrid w:val="0"/>
              <w:spacing w:line="400" w:lineRule="exact"/>
              <w:ind w:left="-170" w:right="-170"/>
              <w:jc w:val="center"/>
              <w:rPr>
                <w:rFonts w:ascii="宋体" w:hAnsi="宋体" w:cs="宋体"/>
                <w:sz w:val="22"/>
              </w:rPr>
            </w:pPr>
          </w:p>
        </w:tc>
        <w:tc>
          <w:tcPr>
            <w:tcW w:w="6090" w:type="dxa"/>
            <w:gridSpan w:val="19"/>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4"/>
            <w:vAlign w:val="center"/>
          </w:tcPr>
          <w:p>
            <w:pPr>
              <w:snapToGrid w:val="0"/>
              <w:spacing w:line="400" w:lineRule="exact"/>
              <w:ind w:left="-170" w:right="-170"/>
              <w:jc w:val="center"/>
              <w:rPr>
                <w:rFonts w:ascii="宋体" w:hAnsi="宋体" w:cs="宋体"/>
                <w:sz w:val="22"/>
              </w:rPr>
            </w:pPr>
          </w:p>
        </w:tc>
        <w:tc>
          <w:tcPr>
            <w:tcW w:w="6090" w:type="dxa"/>
            <w:gridSpan w:val="19"/>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4"/>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19"/>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spacing w:line="360" w:lineRule="auto"/>
        <w:jc w:val="center"/>
        <w:rPr>
          <w:rFonts w:cs="Calibri"/>
          <w:b/>
          <w:sz w:val="36"/>
          <w:szCs w:val="36"/>
        </w:rPr>
      </w:pPr>
    </w:p>
    <w:p>
      <w:pPr>
        <w:spacing w:line="360" w:lineRule="auto"/>
        <w:jc w:val="center"/>
        <w:rPr>
          <w:rFonts w:ascii="宋体" w:cs="宋体"/>
          <w:b/>
          <w:sz w:val="32"/>
          <w:szCs w:val="32"/>
        </w:rPr>
      </w:pPr>
      <w:r>
        <w:rPr>
          <w:rFonts w:hint="eastAsia" w:ascii="宋体" w:hAnsi="宋体" w:cs="宋体"/>
          <w:b/>
          <w:sz w:val="32"/>
          <w:szCs w:val="32"/>
        </w:rPr>
        <w:t>（二）投标产品的销售业绩一览表</w:t>
      </w:r>
    </w:p>
    <w:tbl>
      <w:tblPr>
        <w:tblStyle w:val="5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 w:val="22"/>
              </w:rPr>
            </w:pPr>
            <w:r>
              <w:rPr>
                <w:rFonts w:hint="eastAsia" w:ascii="??" w:hAnsi="??" w:cs="宋体"/>
                <w:bCs/>
                <w:kern w:val="0"/>
                <w:sz w:val="22"/>
              </w:rPr>
              <w:t>业绩名称</w:t>
            </w:r>
          </w:p>
        </w:tc>
        <w:tc>
          <w:tcPr>
            <w:tcW w:w="1275" w:type="dxa"/>
            <w:vAlign w:val="center"/>
          </w:tcPr>
          <w:p>
            <w:pPr>
              <w:jc w:val="center"/>
              <w:rPr>
                <w:rFonts w:ascii="??" w:hAnsi="??" w:cs="宋体"/>
                <w:kern w:val="0"/>
                <w:sz w:val="22"/>
              </w:rPr>
            </w:pPr>
            <w:r>
              <w:rPr>
                <w:rFonts w:ascii="??" w:hAnsi="??" w:cs="宋体"/>
                <w:bCs/>
                <w:kern w:val="0"/>
                <w:sz w:val="22"/>
              </w:rPr>
              <w:t xml:space="preserve"> </w:t>
            </w:r>
            <w:r>
              <w:rPr>
                <w:rFonts w:hint="eastAsia" w:ascii="??" w:hAnsi="??" w:cs="宋体"/>
                <w:bCs/>
                <w:kern w:val="0"/>
                <w:sz w:val="22"/>
              </w:rPr>
              <w:t>项目业主</w:t>
            </w:r>
          </w:p>
        </w:tc>
        <w:tc>
          <w:tcPr>
            <w:tcW w:w="1419" w:type="dxa"/>
            <w:vAlign w:val="center"/>
          </w:tcPr>
          <w:p>
            <w:pPr>
              <w:jc w:val="center"/>
              <w:rPr>
                <w:rFonts w:ascii="??" w:hAnsi="??" w:cs="宋体"/>
                <w:kern w:val="0"/>
                <w:sz w:val="22"/>
              </w:rPr>
            </w:pPr>
            <w:r>
              <w:rPr>
                <w:rFonts w:hint="eastAsia" w:ascii="??" w:hAnsi="??" w:cs="宋体"/>
                <w:kern w:val="0"/>
                <w:sz w:val="22"/>
              </w:rPr>
              <w:t>货物数量</w:t>
            </w:r>
          </w:p>
        </w:tc>
        <w:tc>
          <w:tcPr>
            <w:tcW w:w="1701" w:type="dxa"/>
            <w:vAlign w:val="center"/>
          </w:tcPr>
          <w:p>
            <w:pPr>
              <w:jc w:val="center"/>
              <w:rPr>
                <w:rFonts w:ascii="??" w:hAnsi="??" w:cs="宋体"/>
                <w:kern w:val="0"/>
                <w:sz w:val="22"/>
              </w:rPr>
            </w:pPr>
            <w:r>
              <w:rPr>
                <w:rFonts w:hint="eastAsia" w:ascii="??" w:hAnsi="??" w:cs="宋体"/>
                <w:bCs/>
                <w:kern w:val="0"/>
                <w:sz w:val="22"/>
              </w:rPr>
              <w:t>合同签订日期</w:t>
            </w:r>
          </w:p>
        </w:tc>
        <w:tc>
          <w:tcPr>
            <w:tcW w:w="1107" w:type="dxa"/>
            <w:vAlign w:val="center"/>
          </w:tcPr>
          <w:p>
            <w:pPr>
              <w:jc w:val="center"/>
              <w:rPr>
                <w:rFonts w:ascii="??" w:hAnsi="??" w:cs="宋体"/>
                <w:bCs/>
                <w:kern w:val="0"/>
                <w:sz w:val="22"/>
              </w:rPr>
            </w:pPr>
            <w:r>
              <w:rPr>
                <w:rFonts w:hint="eastAsia" w:ascii="宋体" w:hAnsi="宋体" w:cs="宋体"/>
                <w:sz w:val="22"/>
              </w:rPr>
              <w:t>合同价</w:t>
            </w:r>
          </w:p>
        </w:tc>
        <w:tc>
          <w:tcPr>
            <w:tcW w:w="1559" w:type="dxa"/>
            <w:vAlign w:val="center"/>
          </w:tcPr>
          <w:p>
            <w:pPr>
              <w:jc w:val="center"/>
              <w:rPr>
                <w:rFonts w:ascii="??" w:hAnsi="??" w:cs="宋体"/>
                <w:bCs/>
                <w:kern w:val="0"/>
                <w:sz w:val="22"/>
              </w:rPr>
            </w:pPr>
            <w:r>
              <w:rPr>
                <w:rFonts w:hint="eastAsia" w:ascii="??" w:hAnsi="??" w:cs="宋体"/>
                <w:bCs/>
                <w:kern w:val="0"/>
                <w:sz w:val="22"/>
              </w:rPr>
              <w:t>业主联系方式</w:t>
            </w:r>
          </w:p>
        </w:tc>
        <w:tc>
          <w:tcPr>
            <w:tcW w:w="1276" w:type="dxa"/>
            <w:vAlign w:val="center"/>
          </w:tcPr>
          <w:p>
            <w:pPr>
              <w:jc w:val="center"/>
              <w:rPr>
                <w:rFonts w:ascii="??" w:hAnsi="??" w:cs="宋体"/>
                <w:bCs/>
                <w:kern w:val="0"/>
                <w:sz w:val="22"/>
              </w:rPr>
            </w:pPr>
            <w:r>
              <w:rPr>
                <w:rFonts w:hint="eastAsia" w:ascii="??" w:hAnsi="??" w:cs="宋体"/>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bl>
    <w:p>
      <w:pPr>
        <w:spacing w:line="360" w:lineRule="auto"/>
        <w:jc w:val="left"/>
        <w:rPr>
          <w:rFonts w:ascii="??" w:hAnsi="??" w:cs="宋体"/>
          <w:kern w:val="0"/>
          <w:sz w:val="22"/>
        </w:rPr>
      </w:pPr>
      <w:r>
        <w:rPr>
          <w:rFonts w:hint="eastAsia" w:ascii="??" w:hAnsi="??" w:cs="宋体"/>
          <w:kern w:val="0"/>
          <w:sz w:val="22"/>
        </w:rPr>
        <w:t>注：</w:t>
      </w:r>
      <w:r>
        <w:rPr>
          <w:rFonts w:hint="eastAsia" w:ascii="宋体" w:hAnsi="宋体" w:cs="宋体"/>
          <w:sz w:val="22"/>
        </w:rPr>
        <w:t>本表只需填写符合“招标公告”资格条件和“评标办法”业绩评审标准的业绩。</w:t>
      </w:r>
      <w:r>
        <w:rPr>
          <w:rFonts w:hint="eastAsia" w:ascii="??" w:hAnsi="??" w:cs="宋体"/>
          <w:kern w:val="0"/>
          <w:sz w:val="22"/>
        </w:rPr>
        <w:t>附业绩的销售合同。</w:t>
      </w:r>
    </w:p>
    <w:p>
      <w:pPr>
        <w:spacing w:line="360" w:lineRule="auto"/>
        <w:jc w:val="left"/>
        <w:rPr>
          <w:rFonts w:ascii="??" w:hAnsi="??" w:cs="宋体"/>
          <w:kern w:val="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440" w:lineRule="exact"/>
        <w:jc w:val="center"/>
        <w:rPr>
          <w:rFonts w:ascii="宋体"/>
        </w:rPr>
      </w:pPr>
    </w:p>
    <w:tbl>
      <w:tblPr>
        <w:tblStyle w:val="5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 w:val="22"/>
              </w:rPr>
            </w:pPr>
            <w:r>
              <w:rPr>
                <w:rFonts w:hint="eastAsia" w:ascii="宋体" w:hAnsi="宋体"/>
                <w:sz w:val="22"/>
              </w:rPr>
              <w:t>序号</w:t>
            </w:r>
          </w:p>
        </w:tc>
        <w:tc>
          <w:tcPr>
            <w:tcW w:w="1365" w:type="dxa"/>
            <w:vAlign w:val="center"/>
          </w:tcPr>
          <w:p>
            <w:pPr>
              <w:jc w:val="center"/>
              <w:rPr>
                <w:rFonts w:ascii="宋体"/>
                <w:sz w:val="22"/>
              </w:rPr>
            </w:pPr>
            <w:r>
              <w:rPr>
                <w:rFonts w:hint="eastAsia" w:ascii="宋体" w:hAnsi="宋体"/>
                <w:sz w:val="22"/>
              </w:rPr>
              <w:t>货物名称</w:t>
            </w:r>
          </w:p>
        </w:tc>
        <w:tc>
          <w:tcPr>
            <w:tcW w:w="1260" w:type="dxa"/>
            <w:vAlign w:val="center"/>
          </w:tcPr>
          <w:p>
            <w:pPr>
              <w:jc w:val="center"/>
              <w:rPr>
                <w:rFonts w:ascii="宋体"/>
                <w:sz w:val="22"/>
              </w:rPr>
            </w:pPr>
            <w:r>
              <w:rPr>
                <w:rFonts w:hint="eastAsia" w:ascii="宋体" w:hAnsi="宋体"/>
                <w:sz w:val="22"/>
              </w:rPr>
              <w:t>招标文件条目号</w:t>
            </w:r>
          </w:p>
        </w:tc>
        <w:tc>
          <w:tcPr>
            <w:tcW w:w="1361" w:type="dxa"/>
            <w:vAlign w:val="center"/>
          </w:tcPr>
          <w:p>
            <w:pPr>
              <w:jc w:val="center"/>
              <w:rPr>
                <w:rFonts w:ascii="宋体"/>
                <w:sz w:val="22"/>
              </w:rPr>
            </w:pPr>
            <w:r>
              <w:rPr>
                <w:rFonts w:hint="eastAsia" w:ascii="宋体" w:hAnsi="宋体"/>
                <w:sz w:val="22"/>
              </w:rPr>
              <w:t>招标规格</w:t>
            </w:r>
          </w:p>
        </w:tc>
        <w:tc>
          <w:tcPr>
            <w:tcW w:w="1236" w:type="dxa"/>
            <w:vAlign w:val="center"/>
          </w:tcPr>
          <w:p>
            <w:pPr>
              <w:jc w:val="center"/>
              <w:rPr>
                <w:rFonts w:ascii="宋体"/>
                <w:sz w:val="22"/>
              </w:rPr>
            </w:pPr>
            <w:r>
              <w:rPr>
                <w:rFonts w:hint="eastAsia" w:ascii="宋体" w:hAnsi="宋体"/>
                <w:sz w:val="22"/>
              </w:rPr>
              <w:t>投标规格</w:t>
            </w:r>
          </w:p>
        </w:tc>
        <w:tc>
          <w:tcPr>
            <w:tcW w:w="1890" w:type="dxa"/>
            <w:vAlign w:val="center"/>
          </w:tcPr>
          <w:p>
            <w:pPr>
              <w:jc w:val="center"/>
              <w:rPr>
                <w:rFonts w:ascii="宋体"/>
                <w:sz w:val="22"/>
              </w:rPr>
            </w:pPr>
            <w:r>
              <w:rPr>
                <w:rFonts w:hint="eastAsia" w:ascii="宋体" w:hAnsi="宋体"/>
                <w:sz w:val="22"/>
              </w:rPr>
              <w:t>偏离</w:t>
            </w:r>
          </w:p>
        </w:tc>
        <w:tc>
          <w:tcPr>
            <w:tcW w:w="1470" w:type="dxa"/>
            <w:vAlign w:val="center"/>
          </w:tcPr>
          <w:p>
            <w:pPr>
              <w:jc w:val="center"/>
              <w:rPr>
                <w:rFonts w:asci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bl>
    <w:p>
      <w:pPr>
        <w:spacing w:line="560" w:lineRule="exact"/>
        <w:rPr>
          <w:rFonts w:hAnsi="宋体"/>
          <w:bCs/>
          <w:sz w:val="22"/>
        </w:rPr>
      </w:pPr>
      <w:r>
        <w:rPr>
          <w:rFonts w:hint="eastAsia" w:hAnsi="宋体"/>
          <w:bCs/>
          <w:sz w:val="22"/>
        </w:rPr>
        <w:t>注：如不填写，则视为完全响应招标文件的技术要求。</w:t>
      </w:r>
    </w:p>
    <w:p>
      <w:pPr>
        <w:spacing w:line="560" w:lineRule="exact"/>
        <w:rPr>
          <w:rFonts w:ascii="宋体"/>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七、商务条款响应偏离表</w:t>
      </w:r>
    </w:p>
    <w:tbl>
      <w:tblPr>
        <w:tblStyle w:val="5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r>
              <w:rPr>
                <w:rFonts w:hint="eastAsia" w:hAnsi="宋体"/>
                <w:kern w:val="2"/>
                <w:sz w:val="22"/>
                <w:szCs w:val="22"/>
              </w:rPr>
              <w:t>序号</w:t>
            </w:r>
          </w:p>
        </w:tc>
        <w:tc>
          <w:tcPr>
            <w:tcW w:w="900" w:type="dxa"/>
            <w:vAlign w:val="center"/>
          </w:tcPr>
          <w:p>
            <w:pPr>
              <w:pStyle w:val="23"/>
              <w:adjustRightInd w:val="0"/>
              <w:snapToGrid w:val="0"/>
              <w:jc w:val="center"/>
              <w:rPr>
                <w:rFonts w:hAnsi="宋体"/>
                <w:kern w:val="2"/>
                <w:sz w:val="22"/>
                <w:szCs w:val="22"/>
              </w:rPr>
            </w:pPr>
            <w:r>
              <w:rPr>
                <w:rFonts w:hint="eastAsia" w:hAnsi="宋体"/>
                <w:kern w:val="2"/>
                <w:sz w:val="22"/>
                <w:szCs w:val="22"/>
              </w:rPr>
              <w:t>内容</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招标文件要求</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投标文件对应内容</w:t>
            </w:r>
          </w:p>
        </w:tc>
        <w:tc>
          <w:tcPr>
            <w:tcW w:w="827" w:type="dxa"/>
            <w:vAlign w:val="center"/>
          </w:tcPr>
          <w:p>
            <w:pPr>
              <w:pStyle w:val="23"/>
              <w:adjustRightInd w:val="0"/>
              <w:snapToGrid w:val="0"/>
              <w:jc w:val="center"/>
              <w:rPr>
                <w:rFonts w:hAnsi="宋体"/>
                <w:kern w:val="2"/>
                <w:sz w:val="22"/>
                <w:szCs w:val="22"/>
              </w:rPr>
            </w:pPr>
            <w:r>
              <w:rPr>
                <w:rFonts w:hint="eastAsia"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bl>
    <w:p>
      <w:pPr>
        <w:pStyle w:val="23"/>
        <w:adjustRightInd w:val="0"/>
        <w:snapToGrid w:val="0"/>
        <w:spacing w:line="560" w:lineRule="exact"/>
        <w:rPr>
          <w:rFonts w:hAnsi="宋体"/>
          <w:bCs/>
          <w:sz w:val="22"/>
          <w:szCs w:val="22"/>
        </w:rPr>
      </w:pPr>
    </w:p>
    <w:p>
      <w:pPr>
        <w:pStyle w:val="23"/>
        <w:adjustRightInd w:val="0"/>
        <w:snapToGrid w:val="0"/>
        <w:spacing w:line="560" w:lineRule="exact"/>
        <w:rPr>
          <w:rFonts w:hAnsi="宋体"/>
          <w:bCs/>
          <w:sz w:val="22"/>
          <w:szCs w:val="22"/>
        </w:rPr>
      </w:pPr>
      <w:r>
        <w:rPr>
          <w:rFonts w:hint="eastAsia" w:hAnsi="宋体"/>
          <w:bCs/>
          <w:sz w:val="22"/>
          <w:szCs w:val="22"/>
        </w:rPr>
        <w:t>注：如不填写，则视为完全响应招标文件的商务要求。</w:t>
      </w:r>
    </w:p>
    <w:p>
      <w:pPr>
        <w:pStyle w:val="23"/>
        <w:adjustRightInd w:val="0"/>
        <w:snapToGrid w:val="0"/>
        <w:spacing w:line="560" w:lineRule="exact"/>
        <w:rPr>
          <w:rFonts w:hAnsi="宋体"/>
          <w:bCs/>
          <w:sz w:val="24"/>
          <w:szCs w:val="24"/>
        </w:rPr>
      </w:pPr>
    </w:p>
    <w:p>
      <w:pPr>
        <w:widowControl/>
        <w:jc w:val="left"/>
        <w:rPr>
          <w:rFonts w:eastAsia="黑体" w:cs="Calibri"/>
          <w:color w:val="000000"/>
          <w:sz w:val="32"/>
          <w:szCs w:val="32"/>
        </w:rPr>
      </w:pPr>
    </w:p>
    <w:p>
      <w:pPr>
        <w:spacing w:line="440" w:lineRule="exact"/>
        <w:jc w:val="center"/>
      </w:pPr>
      <w:r>
        <w:rPr>
          <w:rFonts w:hint="eastAsia" w:eastAsia="黑体" w:cs="Calibri"/>
          <w:color w:val="000000"/>
          <w:sz w:val="32"/>
          <w:szCs w:val="32"/>
        </w:rPr>
        <w:t>八、投标人认为应该提供的其他材料</w:t>
      </w:r>
    </w:p>
    <w:p/>
    <w:p/>
    <w:sectPr>
      <w:footerReference r:id="rId3"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50"/>
      </w:rPr>
    </w:pPr>
    <w:r>
      <w:rPr>
        <w:rStyle w:val="50"/>
      </w:rPr>
      <w:fldChar w:fldCharType="begin"/>
    </w:r>
    <w:r>
      <w:rPr>
        <w:rStyle w:val="50"/>
      </w:rPr>
      <w:instrText xml:space="preserve">PAGE  </w:instrText>
    </w:r>
    <w:r>
      <w:rPr>
        <w:rStyle w:val="50"/>
      </w:rPr>
      <w:fldChar w:fldCharType="separate"/>
    </w:r>
    <w:r>
      <w:rPr>
        <w:rStyle w:val="50"/>
      </w:rPr>
      <w:t>0</w:t>
    </w:r>
    <w:r>
      <w:rPr>
        <w:rStyle w:val="50"/>
      </w:rPr>
      <w:fldChar w:fldCharType="end"/>
    </w:r>
  </w:p>
  <w:p>
    <w:pPr>
      <w:pStyle w:val="2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5D22DDEE"/>
    <w:multiLevelType w:val="multilevel"/>
    <w:tmpl w:val="5D22DDEE"/>
    <w:lvl w:ilvl="0" w:tentative="0">
      <w:start w:val="1"/>
      <w:numFmt w:val="decimal"/>
      <w:lvlText w:val="(%1)"/>
      <w:lvlJc w:val="left"/>
      <w:pPr>
        <w:tabs>
          <w:tab w:val="left" w:pos="907"/>
        </w:tabs>
        <w:ind w:left="907" w:hanging="482"/>
      </w:pPr>
      <w:rPr>
        <w:b w:val="0"/>
        <w:strike w:val="0"/>
        <w:dstrike w:val="0"/>
        <w:u w:val="no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D7ADF"/>
    <w:rsid w:val="000D79DB"/>
    <w:rsid w:val="002810E6"/>
    <w:rsid w:val="002E5F35"/>
    <w:rsid w:val="003154B5"/>
    <w:rsid w:val="004B4FF6"/>
    <w:rsid w:val="00626380"/>
    <w:rsid w:val="00695913"/>
    <w:rsid w:val="00695E3B"/>
    <w:rsid w:val="006D7ADF"/>
    <w:rsid w:val="006F66CD"/>
    <w:rsid w:val="007018A4"/>
    <w:rsid w:val="007F4F4D"/>
    <w:rsid w:val="008242E5"/>
    <w:rsid w:val="008978A6"/>
    <w:rsid w:val="00906501"/>
    <w:rsid w:val="00907B31"/>
    <w:rsid w:val="00970F85"/>
    <w:rsid w:val="00A529F7"/>
    <w:rsid w:val="00AC0335"/>
    <w:rsid w:val="00AF21A6"/>
    <w:rsid w:val="00B268A0"/>
    <w:rsid w:val="00BC7893"/>
    <w:rsid w:val="00C65BE3"/>
    <w:rsid w:val="00CD1A21"/>
    <w:rsid w:val="00D1514C"/>
    <w:rsid w:val="00D55BEA"/>
    <w:rsid w:val="00D72B53"/>
    <w:rsid w:val="00DD3AB7"/>
    <w:rsid w:val="00E14825"/>
    <w:rsid w:val="00F051C8"/>
    <w:rsid w:val="00F357CC"/>
    <w:rsid w:val="00F529A8"/>
    <w:rsid w:val="07F510EE"/>
    <w:rsid w:val="2A2829A6"/>
    <w:rsid w:val="56606361"/>
    <w:rsid w:val="669734BA"/>
    <w:rsid w:val="70D61E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9"/>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0"/>
    <w:qFormat/>
    <w:uiPriority w:val="0"/>
    <w:pPr>
      <w:spacing w:line="440" w:lineRule="atLeast"/>
      <w:outlineLvl w:val="2"/>
    </w:pPr>
    <w:rPr>
      <w:rFonts w:ascii="Times New Roman" w:hAnsi="Times New Roman" w:eastAsia="楷体_GB2312"/>
      <w:kern w:val="0"/>
      <w:sz w:val="20"/>
      <w:szCs w:val="20"/>
    </w:rPr>
  </w:style>
  <w:style w:type="paragraph" w:styleId="5">
    <w:name w:val="heading 4"/>
    <w:basedOn w:val="1"/>
    <w:next w:val="1"/>
    <w:link w:val="6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link w:val="62"/>
    <w:qFormat/>
    <w:uiPriority w:val="0"/>
    <w:pPr>
      <w:keepNext/>
      <w:keepLines/>
      <w:spacing w:before="280" w:after="290" w:line="372" w:lineRule="auto"/>
      <w:outlineLvl w:val="4"/>
    </w:pPr>
    <w:rPr>
      <w:rFonts w:ascii="Times New Roman" w:hAnsi="Times New Roman"/>
      <w:b/>
      <w:kern w:val="0"/>
      <w:sz w:val="28"/>
      <w:szCs w:val="20"/>
    </w:rPr>
  </w:style>
  <w:style w:type="paragraph" w:styleId="7">
    <w:name w:val="heading 6"/>
    <w:basedOn w:val="1"/>
    <w:next w:val="1"/>
    <w:link w:val="63"/>
    <w:unhideWhenUsed/>
    <w:qFormat/>
    <w:uiPriority w:val="0"/>
    <w:pPr>
      <w:keepNext/>
      <w:keepLines/>
      <w:spacing w:before="240" w:after="64" w:line="320" w:lineRule="auto"/>
      <w:outlineLvl w:val="5"/>
    </w:pPr>
    <w:rPr>
      <w:rFonts w:ascii="Cambria" w:hAnsi="Cambria"/>
      <w:b/>
      <w:bCs/>
      <w:sz w:val="24"/>
      <w:szCs w:val="24"/>
    </w:rPr>
  </w:style>
  <w:style w:type="paragraph" w:styleId="8">
    <w:name w:val="heading 7"/>
    <w:basedOn w:val="1"/>
    <w:next w:val="1"/>
    <w:link w:val="64"/>
    <w:unhideWhenUsed/>
    <w:qFormat/>
    <w:uiPriority w:val="0"/>
    <w:pPr>
      <w:keepNext/>
      <w:keepLines/>
      <w:spacing w:before="240" w:after="64" w:line="320" w:lineRule="auto"/>
      <w:outlineLvl w:val="6"/>
    </w:pPr>
    <w:rPr>
      <w:b/>
      <w:bCs/>
      <w:sz w:val="24"/>
      <w:szCs w:val="24"/>
    </w:rPr>
  </w:style>
  <w:style w:type="character" w:default="1" w:styleId="48">
    <w:name w:val="Default Paragraph Font"/>
    <w:unhideWhenUsed/>
    <w:uiPriority w:val="1"/>
  </w:style>
  <w:style w:type="table" w:default="1" w:styleId="56">
    <w:name w:val="Normal Table"/>
    <w:unhideWhenUsed/>
    <w:qFormat/>
    <w:uiPriority w:val="99"/>
    <w:tblPr>
      <w:tblLayout w:type="fixed"/>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annotation subject"/>
    <w:basedOn w:val="11"/>
    <w:next w:val="11"/>
    <w:link w:val="82"/>
    <w:semiHidden/>
    <w:qFormat/>
    <w:uiPriority w:val="0"/>
  </w:style>
  <w:style w:type="paragraph" w:styleId="11">
    <w:name w:val="annotation text"/>
    <w:basedOn w:val="1"/>
    <w:link w:val="65"/>
    <w:qFormat/>
    <w:uiPriority w:val="0"/>
    <w:pPr>
      <w:jc w:val="left"/>
    </w:pPr>
    <w:rPr>
      <w:kern w:val="0"/>
      <w:sz w:val="20"/>
      <w:szCs w:val="20"/>
    </w:rPr>
  </w:style>
  <w:style w:type="paragraph" w:styleId="12">
    <w:name w:val="toc 7"/>
    <w:basedOn w:val="1"/>
    <w:next w:val="1"/>
    <w:qFormat/>
    <w:uiPriority w:val="0"/>
    <w:pPr>
      <w:ind w:left="2520"/>
    </w:pPr>
    <w:rPr>
      <w:rFonts w:ascii="Times New Roman" w:hAnsi="Times New Roman"/>
      <w:szCs w:val="24"/>
    </w:rPr>
  </w:style>
  <w:style w:type="paragraph" w:styleId="13">
    <w:name w:val="Body Text First Indent"/>
    <w:basedOn w:val="14"/>
    <w:link w:val="68"/>
    <w:qFormat/>
    <w:uiPriority w:val="0"/>
    <w:pPr>
      <w:ind w:firstLine="420" w:firstLineChars="100"/>
    </w:pPr>
    <w:rPr>
      <w:rFonts w:ascii="Times New Roman" w:hAnsi="Times New Roman"/>
      <w:sz w:val="24"/>
    </w:rPr>
  </w:style>
  <w:style w:type="paragraph" w:styleId="14">
    <w:name w:val="Body Text"/>
    <w:basedOn w:val="1"/>
    <w:link w:val="67"/>
    <w:qFormat/>
    <w:uiPriority w:val="0"/>
    <w:pPr>
      <w:spacing w:after="120"/>
    </w:pPr>
    <w:rPr>
      <w:kern w:val="0"/>
      <w:sz w:val="20"/>
      <w:szCs w:val="20"/>
    </w:rPr>
  </w:style>
  <w:style w:type="paragraph" w:styleId="15">
    <w:name w:val="Normal Indent"/>
    <w:basedOn w:val="1"/>
    <w:link w:val="109"/>
    <w:qFormat/>
    <w:uiPriority w:val="0"/>
    <w:pPr>
      <w:autoSpaceDE w:val="0"/>
      <w:autoSpaceDN w:val="0"/>
      <w:adjustRightInd w:val="0"/>
      <w:ind w:firstLine="420"/>
      <w:jc w:val="left"/>
    </w:pPr>
    <w:rPr>
      <w:rFonts w:ascii="宋体" w:hAnsi="Times New Roman"/>
      <w:kern w:val="0"/>
      <w:sz w:val="20"/>
      <w:szCs w:val="20"/>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69"/>
    <w:qFormat/>
    <w:uiPriority w:val="0"/>
    <w:pPr>
      <w:shd w:val="clear" w:color="auto" w:fill="000080"/>
    </w:pPr>
    <w:rPr>
      <w:rFonts w:ascii="Times New Roman" w:hAnsi="Times New Roman"/>
      <w:kern w:val="0"/>
      <w:sz w:val="24"/>
      <w:szCs w:val="20"/>
    </w:rPr>
  </w:style>
  <w:style w:type="paragraph" w:styleId="18">
    <w:name w:val="toa heading"/>
    <w:basedOn w:val="1"/>
    <w:next w:val="1"/>
    <w:qFormat/>
    <w:uiPriority w:val="0"/>
    <w:pPr>
      <w:spacing w:before="120"/>
    </w:pPr>
    <w:rPr>
      <w:rFonts w:ascii="Arial" w:hAnsi="Arial" w:cs="Arial"/>
      <w:sz w:val="24"/>
      <w:szCs w:val="24"/>
    </w:rPr>
  </w:style>
  <w:style w:type="paragraph" w:styleId="19">
    <w:name w:val="Body Text Indent"/>
    <w:basedOn w:val="1"/>
    <w:link w:val="70"/>
    <w:qFormat/>
    <w:uiPriority w:val="0"/>
    <w:pPr>
      <w:spacing w:after="120"/>
      <w:ind w:left="420" w:leftChars="200"/>
    </w:pPr>
    <w:rPr>
      <w:kern w:val="0"/>
      <w:sz w:val="20"/>
      <w:szCs w:val="20"/>
    </w:rPr>
  </w:style>
  <w:style w:type="paragraph" w:styleId="20">
    <w:name w:val="List 2"/>
    <w:basedOn w:val="1"/>
    <w:qFormat/>
    <w:uiPriority w:val="0"/>
    <w:pPr>
      <w:ind w:left="100" w:leftChars="200" w:hanging="200" w:hangingChars="200"/>
    </w:pPr>
    <w:rPr>
      <w:rFonts w:ascii="Times New Roman" w:hAnsi="Times New Roman"/>
      <w:szCs w:val="24"/>
    </w:rPr>
  </w:style>
  <w:style w:type="paragraph" w:styleId="21">
    <w:name w:val="toc 5"/>
    <w:basedOn w:val="1"/>
    <w:next w:val="1"/>
    <w:qFormat/>
    <w:uiPriority w:val="0"/>
    <w:pPr>
      <w:ind w:left="1680"/>
    </w:pPr>
    <w:rPr>
      <w:rFonts w:ascii="Times New Roman" w:hAnsi="Times New Roman"/>
      <w:szCs w:val="24"/>
    </w:rPr>
  </w:style>
  <w:style w:type="paragraph" w:styleId="22">
    <w:name w:val="toc 3"/>
    <w:basedOn w:val="1"/>
    <w:next w:val="1"/>
    <w:qFormat/>
    <w:uiPriority w:val="0"/>
    <w:pPr>
      <w:spacing w:line="360" w:lineRule="auto"/>
      <w:ind w:left="400" w:leftChars="400"/>
    </w:pPr>
    <w:rPr>
      <w:rFonts w:ascii="Times New Roman" w:hAnsi="Times New Roman"/>
      <w:szCs w:val="24"/>
    </w:rPr>
  </w:style>
  <w:style w:type="paragraph" w:styleId="23">
    <w:name w:val="Plain Text"/>
    <w:basedOn w:val="1"/>
    <w:link w:val="71"/>
    <w:qFormat/>
    <w:uiPriority w:val="0"/>
    <w:rPr>
      <w:rFonts w:ascii="宋体" w:hAnsi="Courier New"/>
      <w:kern w:val="0"/>
      <w:szCs w:val="20"/>
    </w:rPr>
  </w:style>
  <w:style w:type="paragraph" w:styleId="24">
    <w:name w:val="toc 8"/>
    <w:basedOn w:val="1"/>
    <w:next w:val="1"/>
    <w:qFormat/>
    <w:uiPriority w:val="0"/>
    <w:pPr>
      <w:ind w:left="2940"/>
    </w:pPr>
    <w:rPr>
      <w:rFonts w:ascii="Times New Roman" w:hAnsi="Times New Roman"/>
      <w:szCs w:val="24"/>
    </w:rPr>
  </w:style>
  <w:style w:type="paragraph" w:styleId="25">
    <w:name w:val="index 3"/>
    <w:basedOn w:val="1"/>
    <w:next w:val="1"/>
    <w:qFormat/>
    <w:uiPriority w:val="0"/>
    <w:pPr>
      <w:ind w:left="400" w:leftChars="400"/>
    </w:pPr>
    <w:rPr>
      <w:rFonts w:ascii="Times New Roman" w:hAnsi="Times New Roman"/>
      <w:szCs w:val="24"/>
    </w:rPr>
  </w:style>
  <w:style w:type="paragraph" w:styleId="26">
    <w:name w:val="Date"/>
    <w:basedOn w:val="1"/>
    <w:next w:val="1"/>
    <w:link w:val="72"/>
    <w:qFormat/>
    <w:uiPriority w:val="0"/>
    <w:pPr>
      <w:ind w:left="100" w:leftChars="2500"/>
    </w:pPr>
    <w:rPr>
      <w:rFonts w:ascii="Times New Roman" w:hAnsi="Times New Roman"/>
      <w:b/>
      <w:kern w:val="0"/>
      <w:sz w:val="24"/>
      <w:szCs w:val="20"/>
    </w:rPr>
  </w:style>
  <w:style w:type="paragraph" w:styleId="27">
    <w:name w:val="Body Text Indent 2"/>
    <w:basedOn w:val="1"/>
    <w:link w:val="73"/>
    <w:qFormat/>
    <w:uiPriority w:val="0"/>
    <w:pPr>
      <w:spacing w:after="120" w:line="480" w:lineRule="auto"/>
      <w:ind w:left="420" w:leftChars="200"/>
    </w:pPr>
    <w:rPr>
      <w:rFonts w:ascii="Times New Roman" w:hAnsi="Times New Roman"/>
      <w:kern w:val="0"/>
      <w:sz w:val="24"/>
      <w:szCs w:val="20"/>
    </w:rPr>
  </w:style>
  <w:style w:type="paragraph" w:styleId="28">
    <w:name w:val="Balloon Text"/>
    <w:basedOn w:val="1"/>
    <w:link w:val="74"/>
    <w:qFormat/>
    <w:uiPriority w:val="0"/>
    <w:rPr>
      <w:rFonts w:ascii="Times New Roman" w:hAnsi="Times New Roman"/>
      <w:kern w:val="0"/>
      <w:sz w:val="18"/>
      <w:szCs w:val="20"/>
    </w:rPr>
  </w:style>
  <w:style w:type="paragraph" w:styleId="29">
    <w:name w:val="footer"/>
    <w:basedOn w:val="1"/>
    <w:link w:val="75"/>
    <w:qFormat/>
    <w:uiPriority w:val="0"/>
    <w:pPr>
      <w:tabs>
        <w:tab w:val="center" w:pos="4153"/>
        <w:tab w:val="right" w:pos="8306"/>
      </w:tabs>
      <w:snapToGrid w:val="0"/>
      <w:jc w:val="left"/>
    </w:pPr>
    <w:rPr>
      <w:rFonts w:ascii="Times New Roman" w:hAnsi="Times New Roman"/>
      <w:kern w:val="0"/>
      <w:sz w:val="18"/>
      <w:szCs w:val="20"/>
    </w:rPr>
  </w:style>
  <w:style w:type="paragraph" w:styleId="30">
    <w:name w:val="Body Text First Indent 2"/>
    <w:basedOn w:val="19"/>
    <w:link w:val="76"/>
    <w:qFormat/>
    <w:uiPriority w:val="0"/>
    <w:pPr>
      <w:ind w:firstLine="420" w:firstLineChars="200"/>
    </w:pPr>
    <w:rPr>
      <w:rFonts w:ascii="Times New Roman" w:hAnsi="Times New Roman"/>
      <w:sz w:val="24"/>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2">
    <w:name w:val="toc 1"/>
    <w:basedOn w:val="2"/>
    <w:next w:val="1"/>
    <w:qFormat/>
    <w:uiPriority w:val="0"/>
    <w:pPr>
      <w:tabs>
        <w:tab w:val="right" w:leader="dot" w:pos="8659"/>
      </w:tabs>
      <w:spacing w:before="0" w:after="0" w:line="240" w:lineRule="auto"/>
      <w:jc w:val="center"/>
    </w:pPr>
    <w:rPr>
      <w:b w:val="0"/>
      <w:sz w:val="21"/>
    </w:rPr>
  </w:style>
  <w:style w:type="paragraph" w:styleId="33">
    <w:name w:val="toc 4"/>
    <w:basedOn w:val="1"/>
    <w:next w:val="1"/>
    <w:qFormat/>
    <w:uiPriority w:val="0"/>
    <w:pPr>
      <w:ind w:left="1260"/>
    </w:pPr>
    <w:rPr>
      <w:rFonts w:ascii="Times New Roman" w:hAnsi="Times New Roman"/>
      <w:szCs w:val="24"/>
    </w:rPr>
  </w:style>
  <w:style w:type="paragraph" w:styleId="34">
    <w:name w:val="List"/>
    <w:basedOn w:val="1"/>
    <w:qFormat/>
    <w:uiPriority w:val="0"/>
    <w:pPr>
      <w:ind w:left="200" w:hanging="200" w:hangingChars="200"/>
    </w:pPr>
    <w:rPr>
      <w:rFonts w:ascii="Times New Roman" w:hAnsi="Times New Roman"/>
      <w:szCs w:val="24"/>
    </w:rPr>
  </w:style>
  <w:style w:type="paragraph" w:styleId="35">
    <w:name w:val="footnote text"/>
    <w:basedOn w:val="1"/>
    <w:link w:val="78"/>
    <w:qFormat/>
    <w:uiPriority w:val="0"/>
    <w:pPr>
      <w:snapToGrid w:val="0"/>
      <w:jc w:val="left"/>
    </w:pPr>
    <w:rPr>
      <w:rFonts w:ascii="Times New Roman" w:hAnsi="Times New Roman"/>
      <w:kern w:val="0"/>
      <w:sz w:val="18"/>
      <w:szCs w:val="20"/>
    </w:rPr>
  </w:style>
  <w:style w:type="paragraph" w:styleId="36">
    <w:name w:val="toc 6"/>
    <w:basedOn w:val="1"/>
    <w:next w:val="1"/>
    <w:qFormat/>
    <w:uiPriority w:val="0"/>
    <w:pPr>
      <w:ind w:left="2100"/>
    </w:pPr>
    <w:rPr>
      <w:rFonts w:ascii="Times New Roman" w:hAnsi="Times New Roman"/>
      <w:szCs w:val="24"/>
    </w:rPr>
  </w:style>
  <w:style w:type="paragraph" w:styleId="37">
    <w:name w:val="Body Text Indent 3"/>
    <w:basedOn w:val="1"/>
    <w:link w:val="79"/>
    <w:qFormat/>
    <w:uiPriority w:val="0"/>
    <w:pPr>
      <w:spacing w:line="540" w:lineRule="atLeast"/>
      <w:ind w:firstLine="480" w:firstLineChars="200"/>
    </w:pPr>
    <w:rPr>
      <w:rFonts w:ascii="Times New Roman" w:hAnsi="Times New Roman"/>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szCs w:val="24"/>
    </w:rPr>
  </w:style>
  <w:style w:type="paragraph" w:styleId="39">
    <w:name w:val="toc 2"/>
    <w:basedOn w:val="1"/>
    <w:next w:val="1"/>
    <w:qFormat/>
    <w:uiPriority w:val="0"/>
    <w:pPr>
      <w:spacing w:line="360" w:lineRule="auto"/>
      <w:ind w:left="200" w:leftChars="200"/>
    </w:pPr>
    <w:rPr>
      <w:rFonts w:ascii="Times New Roman" w:hAnsi="Times New Roman"/>
      <w:szCs w:val="24"/>
    </w:rPr>
  </w:style>
  <w:style w:type="paragraph" w:styleId="40">
    <w:name w:val="toc 9"/>
    <w:basedOn w:val="1"/>
    <w:next w:val="1"/>
    <w:qFormat/>
    <w:uiPriority w:val="0"/>
    <w:pPr>
      <w:ind w:left="3360"/>
    </w:pPr>
    <w:rPr>
      <w:rFonts w:ascii="Times New Roman" w:hAnsi="Times New Roman"/>
      <w:szCs w:val="24"/>
    </w:rPr>
  </w:style>
  <w:style w:type="paragraph" w:styleId="41">
    <w:name w:val="Body Text 2"/>
    <w:basedOn w:val="1"/>
    <w:link w:val="80"/>
    <w:qFormat/>
    <w:uiPriority w:val="0"/>
    <w:pPr>
      <w:spacing w:after="120" w:line="480" w:lineRule="auto"/>
    </w:pPr>
    <w:rPr>
      <w:rFonts w:ascii="Times New Roman" w:hAnsi="Times New Roman"/>
      <w:kern w:val="0"/>
      <w:sz w:val="24"/>
      <w:szCs w:val="20"/>
    </w:rPr>
  </w:style>
  <w:style w:type="paragraph" w:styleId="42">
    <w:name w:val="List 4"/>
    <w:basedOn w:val="1"/>
    <w:qFormat/>
    <w:uiPriority w:val="0"/>
    <w:pPr>
      <w:ind w:left="100" w:leftChars="600" w:hanging="200" w:hangingChars="200"/>
    </w:pPr>
    <w:rPr>
      <w:rFonts w:ascii="Times New Roman" w:hAnsi="Times New Roman"/>
      <w:szCs w:val="24"/>
    </w:rPr>
  </w:style>
  <w:style w:type="paragraph" w:styleId="43">
    <w:name w:val="List Continue 2"/>
    <w:basedOn w:val="1"/>
    <w:qFormat/>
    <w:uiPriority w:val="0"/>
    <w:pPr>
      <w:spacing w:after="120"/>
      <w:ind w:left="840" w:leftChars="400"/>
    </w:pPr>
    <w:rPr>
      <w:rFonts w:ascii="Times New Roman" w:hAnsi="Times New Roman"/>
      <w:szCs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qFormat/>
    <w:uiPriority w:val="0"/>
    <w:pPr>
      <w:spacing w:line="320" w:lineRule="exact"/>
    </w:pPr>
    <w:rPr>
      <w:rFonts w:ascii="Times New Roman" w:hAnsi="Times New Roman"/>
      <w:color w:val="FF6600"/>
      <w:kern w:val="0"/>
      <w:sz w:val="18"/>
      <w:szCs w:val="21"/>
    </w:rPr>
  </w:style>
  <w:style w:type="paragraph" w:styleId="46">
    <w:name w:val="index 2"/>
    <w:basedOn w:val="1"/>
    <w:next w:val="1"/>
    <w:qFormat/>
    <w:uiPriority w:val="0"/>
    <w:pPr>
      <w:ind w:left="200" w:leftChars="200"/>
    </w:pPr>
    <w:rPr>
      <w:rFonts w:ascii="Times New Roman" w:hAnsi="Times New Roman"/>
      <w:szCs w:val="24"/>
    </w:rPr>
  </w:style>
  <w:style w:type="paragraph" w:styleId="47">
    <w:name w:val="Title"/>
    <w:basedOn w:val="1"/>
    <w:link w:val="81"/>
    <w:qFormat/>
    <w:uiPriority w:val="0"/>
    <w:pPr>
      <w:spacing w:before="240" w:after="60"/>
      <w:jc w:val="center"/>
      <w:outlineLvl w:val="0"/>
    </w:pPr>
    <w:rPr>
      <w:rFonts w:ascii="Arial" w:hAnsi="Arial"/>
      <w:b/>
      <w:kern w:val="0"/>
      <w:sz w:val="32"/>
      <w:szCs w:val="20"/>
    </w:rPr>
  </w:style>
  <w:style w:type="character" w:styleId="49">
    <w:name w:val="Strong"/>
    <w:basedOn w:val="48"/>
    <w:qFormat/>
    <w:uiPriority w:val="0"/>
    <w:rPr>
      <w:b/>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rPr>
      <w:i/>
    </w:rPr>
  </w:style>
  <w:style w:type="character" w:styleId="53">
    <w:name w:val="Hyperlink"/>
    <w:basedOn w:val="48"/>
    <w:qFormat/>
    <w:uiPriority w:val="0"/>
    <w:rPr>
      <w:color w:val="0000FF"/>
      <w:u w:val="single"/>
    </w:rPr>
  </w:style>
  <w:style w:type="character" w:styleId="54">
    <w:name w:val="annotation reference"/>
    <w:basedOn w:val="48"/>
    <w:qFormat/>
    <w:uiPriority w:val="0"/>
    <w:rPr>
      <w:sz w:val="21"/>
    </w:rPr>
  </w:style>
  <w:style w:type="character" w:styleId="55">
    <w:name w:val="footnote reference"/>
    <w:basedOn w:val="48"/>
    <w:qFormat/>
    <w:uiPriority w:val="0"/>
    <w:rPr>
      <w:vertAlign w:val="superscript"/>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
    <w:name w:val="标题 1 Char"/>
    <w:basedOn w:val="48"/>
    <w:link w:val="2"/>
    <w:qFormat/>
    <w:uiPriority w:val="0"/>
    <w:rPr>
      <w:rFonts w:ascii="Times New Roman" w:hAnsi="Times New Roman" w:eastAsia="宋体" w:cs="Times New Roman"/>
      <w:b/>
      <w:kern w:val="44"/>
      <w:sz w:val="44"/>
      <w:szCs w:val="20"/>
    </w:rPr>
  </w:style>
  <w:style w:type="character" w:customStyle="1" w:styleId="59">
    <w:name w:val="标题 2 Char"/>
    <w:basedOn w:val="48"/>
    <w:link w:val="3"/>
    <w:qFormat/>
    <w:uiPriority w:val="0"/>
    <w:rPr>
      <w:rFonts w:ascii="Arial" w:hAnsi="Arial" w:eastAsia="黑体" w:cs="Times New Roman"/>
      <w:b/>
      <w:kern w:val="0"/>
      <w:sz w:val="32"/>
      <w:szCs w:val="20"/>
    </w:rPr>
  </w:style>
  <w:style w:type="character" w:customStyle="1" w:styleId="60">
    <w:name w:val="标题 3 Char"/>
    <w:basedOn w:val="48"/>
    <w:link w:val="4"/>
    <w:qFormat/>
    <w:uiPriority w:val="0"/>
    <w:rPr>
      <w:rFonts w:ascii="Times New Roman" w:hAnsi="Times New Roman" w:eastAsia="楷体_GB2312" w:cs="Times New Roman"/>
      <w:kern w:val="0"/>
      <w:sz w:val="20"/>
      <w:szCs w:val="20"/>
    </w:rPr>
  </w:style>
  <w:style w:type="character" w:customStyle="1" w:styleId="61">
    <w:name w:val="标题 4 Char"/>
    <w:basedOn w:val="48"/>
    <w:link w:val="5"/>
    <w:qFormat/>
    <w:uiPriority w:val="0"/>
    <w:rPr>
      <w:rFonts w:ascii="Arial" w:hAnsi="Arial" w:eastAsia="黑体" w:cs="Times New Roman"/>
      <w:b/>
      <w:kern w:val="0"/>
      <w:sz w:val="28"/>
      <w:szCs w:val="20"/>
    </w:rPr>
  </w:style>
  <w:style w:type="character" w:customStyle="1" w:styleId="62">
    <w:name w:val="标题 5 Char"/>
    <w:basedOn w:val="48"/>
    <w:link w:val="6"/>
    <w:qFormat/>
    <w:uiPriority w:val="0"/>
    <w:rPr>
      <w:rFonts w:ascii="Times New Roman" w:hAnsi="Times New Roman" w:eastAsia="宋体" w:cs="Times New Roman"/>
      <w:b/>
      <w:kern w:val="0"/>
      <w:sz w:val="28"/>
      <w:szCs w:val="20"/>
    </w:rPr>
  </w:style>
  <w:style w:type="character" w:customStyle="1" w:styleId="63">
    <w:name w:val="标题 6 Char"/>
    <w:basedOn w:val="48"/>
    <w:link w:val="7"/>
    <w:qFormat/>
    <w:uiPriority w:val="0"/>
    <w:rPr>
      <w:rFonts w:ascii="Cambria" w:hAnsi="Cambria" w:eastAsia="宋体" w:cs="Times New Roman"/>
      <w:b/>
      <w:bCs/>
      <w:sz w:val="24"/>
      <w:szCs w:val="24"/>
    </w:rPr>
  </w:style>
  <w:style w:type="character" w:customStyle="1" w:styleId="64">
    <w:name w:val="标题 7 Char"/>
    <w:basedOn w:val="48"/>
    <w:link w:val="8"/>
    <w:qFormat/>
    <w:uiPriority w:val="0"/>
    <w:rPr>
      <w:rFonts w:ascii="Calibri" w:hAnsi="Calibri" w:eastAsia="宋体" w:cs="Times New Roman"/>
      <w:b/>
      <w:bCs/>
      <w:sz w:val="24"/>
      <w:szCs w:val="24"/>
    </w:rPr>
  </w:style>
  <w:style w:type="character" w:customStyle="1" w:styleId="65">
    <w:name w:val="批注文字 Char"/>
    <w:basedOn w:val="48"/>
    <w:link w:val="11"/>
    <w:qFormat/>
    <w:uiPriority w:val="0"/>
    <w:rPr>
      <w:rFonts w:ascii="Calibri" w:hAnsi="Calibri" w:eastAsia="宋体" w:cs="Times New Roman"/>
      <w:kern w:val="0"/>
      <w:sz w:val="20"/>
      <w:szCs w:val="20"/>
    </w:rPr>
  </w:style>
  <w:style w:type="character" w:customStyle="1" w:styleId="66">
    <w:name w:val="批注主题 Char"/>
    <w:basedOn w:val="65"/>
    <w:semiHidden/>
    <w:qFormat/>
    <w:uiPriority w:val="0"/>
    <w:rPr>
      <w:rFonts w:ascii="Calibri" w:hAnsi="Calibri" w:eastAsia="宋体" w:cs="Times New Roman"/>
      <w:b/>
      <w:bCs/>
      <w:kern w:val="0"/>
      <w:sz w:val="20"/>
      <w:szCs w:val="20"/>
    </w:rPr>
  </w:style>
  <w:style w:type="character" w:customStyle="1" w:styleId="67">
    <w:name w:val="正文文本 Char"/>
    <w:basedOn w:val="48"/>
    <w:link w:val="14"/>
    <w:qFormat/>
    <w:uiPriority w:val="0"/>
    <w:rPr>
      <w:rFonts w:ascii="Calibri" w:hAnsi="Calibri" w:eastAsia="宋体" w:cs="Times New Roman"/>
      <w:kern w:val="0"/>
      <w:sz w:val="20"/>
      <w:szCs w:val="20"/>
    </w:rPr>
  </w:style>
  <w:style w:type="character" w:customStyle="1" w:styleId="68">
    <w:name w:val="正文首行缩进 Char"/>
    <w:basedOn w:val="67"/>
    <w:link w:val="13"/>
    <w:qFormat/>
    <w:uiPriority w:val="0"/>
    <w:rPr>
      <w:rFonts w:ascii="Times New Roman" w:hAnsi="Times New Roman" w:eastAsia="宋体" w:cs="Times New Roman"/>
      <w:kern w:val="0"/>
      <w:sz w:val="24"/>
      <w:szCs w:val="20"/>
    </w:rPr>
  </w:style>
  <w:style w:type="character" w:customStyle="1" w:styleId="69">
    <w:name w:val="文档结构图 Char"/>
    <w:basedOn w:val="48"/>
    <w:link w:val="17"/>
    <w:qFormat/>
    <w:uiPriority w:val="0"/>
    <w:rPr>
      <w:rFonts w:ascii="Times New Roman" w:hAnsi="Times New Roman" w:eastAsia="宋体" w:cs="Times New Roman"/>
      <w:kern w:val="0"/>
      <w:sz w:val="24"/>
      <w:szCs w:val="20"/>
      <w:shd w:val="clear" w:color="auto" w:fill="000080"/>
    </w:rPr>
  </w:style>
  <w:style w:type="character" w:customStyle="1" w:styleId="70">
    <w:name w:val="正文文本缩进 Char"/>
    <w:basedOn w:val="48"/>
    <w:link w:val="19"/>
    <w:qFormat/>
    <w:uiPriority w:val="0"/>
    <w:rPr>
      <w:rFonts w:ascii="Calibri" w:hAnsi="Calibri" w:eastAsia="宋体" w:cs="Times New Roman"/>
      <w:kern w:val="0"/>
      <w:sz w:val="20"/>
      <w:szCs w:val="20"/>
    </w:rPr>
  </w:style>
  <w:style w:type="character" w:customStyle="1" w:styleId="71">
    <w:name w:val="纯文本 Char"/>
    <w:basedOn w:val="48"/>
    <w:link w:val="23"/>
    <w:qFormat/>
    <w:uiPriority w:val="0"/>
    <w:rPr>
      <w:rFonts w:ascii="宋体" w:hAnsi="Courier New" w:eastAsia="宋体" w:cs="Times New Roman"/>
      <w:kern w:val="0"/>
      <w:szCs w:val="20"/>
    </w:rPr>
  </w:style>
  <w:style w:type="character" w:customStyle="1" w:styleId="72">
    <w:name w:val="日期 Char"/>
    <w:basedOn w:val="48"/>
    <w:link w:val="26"/>
    <w:qFormat/>
    <w:uiPriority w:val="0"/>
    <w:rPr>
      <w:rFonts w:ascii="Times New Roman" w:hAnsi="Times New Roman" w:eastAsia="宋体" w:cs="Times New Roman"/>
      <w:b/>
      <w:kern w:val="0"/>
      <w:sz w:val="24"/>
      <w:szCs w:val="20"/>
    </w:rPr>
  </w:style>
  <w:style w:type="character" w:customStyle="1" w:styleId="73">
    <w:name w:val="正文文本缩进 2 Char"/>
    <w:basedOn w:val="48"/>
    <w:link w:val="27"/>
    <w:qFormat/>
    <w:uiPriority w:val="0"/>
    <w:rPr>
      <w:rFonts w:ascii="Times New Roman" w:hAnsi="Times New Roman" w:eastAsia="宋体" w:cs="Times New Roman"/>
      <w:kern w:val="0"/>
      <w:sz w:val="24"/>
      <w:szCs w:val="20"/>
    </w:rPr>
  </w:style>
  <w:style w:type="character" w:customStyle="1" w:styleId="74">
    <w:name w:val="批注框文本 Char"/>
    <w:basedOn w:val="48"/>
    <w:link w:val="28"/>
    <w:qFormat/>
    <w:uiPriority w:val="0"/>
    <w:rPr>
      <w:rFonts w:ascii="Times New Roman" w:hAnsi="Times New Roman" w:eastAsia="宋体" w:cs="Times New Roman"/>
      <w:kern w:val="0"/>
      <w:sz w:val="18"/>
      <w:szCs w:val="20"/>
    </w:rPr>
  </w:style>
  <w:style w:type="character" w:customStyle="1" w:styleId="75">
    <w:name w:val="页脚 Char"/>
    <w:basedOn w:val="48"/>
    <w:link w:val="29"/>
    <w:qFormat/>
    <w:uiPriority w:val="0"/>
    <w:rPr>
      <w:rFonts w:ascii="Times New Roman" w:hAnsi="Times New Roman" w:eastAsia="宋体" w:cs="Times New Roman"/>
      <w:kern w:val="0"/>
      <w:sz w:val="18"/>
      <w:szCs w:val="20"/>
    </w:rPr>
  </w:style>
  <w:style w:type="character" w:customStyle="1" w:styleId="76">
    <w:name w:val="正文首行缩进 2 Char"/>
    <w:basedOn w:val="70"/>
    <w:link w:val="30"/>
    <w:qFormat/>
    <w:uiPriority w:val="0"/>
    <w:rPr>
      <w:rFonts w:ascii="Times New Roman" w:hAnsi="Times New Roman" w:eastAsia="宋体" w:cs="Times New Roman"/>
      <w:kern w:val="0"/>
      <w:sz w:val="24"/>
      <w:szCs w:val="20"/>
    </w:rPr>
  </w:style>
  <w:style w:type="character" w:customStyle="1" w:styleId="77">
    <w:name w:val="页眉 Char"/>
    <w:basedOn w:val="48"/>
    <w:link w:val="31"/>
    <w:qFormat/>
    <w:uiPriority w:val="0"/>
    <w:rPr>
      <w:rFonts w:ascii="Times New Roman" w:hAnsi="Times New Roman" w:eastAsia="宋体" w:cs="Times New Roman"/>
      <w:kern w:val="0"/>
      <w:sz w:val="18"/>
      <w:szCs w:val="20"/>
    </w:rPr>
  </w:style>
  <w:style w:type="character" w:customStyle="1" w:styleId="78">
    <w:name w:val="脚注文本 Char"/>
    <w:basedOn w:val="48"/>
    <w:link w:val="35"/>
    <w:qFormat/>
    <w:uiPriority w:val="0"/>
    <w:rPr>
      <w:rFonts w:ascii="Times New Roman" w:hAnsi="Times New Roman" w:eastAsia="宋体" w:cs="Times New Roman"/>
      <w:kern w:val="0"/>
      <w:sz w:val="18"/>
      <w:szCs w:val="20"/>
    </w:rPr>
  </w:style>
  <w:style w:type="character" w:customStyle="1" w:styleId="79">
    <w:name w:val="正文文本缩进 3 Char"/>
    <w:basedOn w:val="48"/>
    <w:link w:val="37"/>
    <w:uiPriority w:val="0"/>
    <w:rPr>
      <w:rFonts w:ascii="Times New Roman" w:hAnsi="Times New Roman" w:eastAsia="宋体" w:cs="Times New Roman"/>
      <w:kern w:val="0"/>
      <w:sz w:val="24"/>
      <w:szCs w:val="20"/>
    </w:rPr>
  </w:style>
  <w:style w:type="character" w:customStyle="1" w:styleId="80">
    <w:name w:val="正文文本 2 Char"/>
    <w:basedOn w:val="48"/>
    <w:link w:val="41"/>
    <w:uiPriority w:val="0"/>
    <w:rPr>
      <w:rFonts w:ascii="Times New Roman" w:hAnsi="Times New Roman" w:eastAsia="宋体" w:cs="Times New Roman"/>
      <w:kern w:val="0"/>
      <w:sz w:val="24"/>
      <w:szCs w:val="20"/>
    </w:rPr>
  </w:style>
  <w:style w:type="character" w:customStyle="1" w:styleId="81">
    <w:name w:val="标题 Char"/>
    <w:basedOn w:val="48"/>
    <w:link w:val="47"/>
    <w:qFormat/>
    <w:uiPriority w:val="0"/>
    <w:rPr>
      <w:rFonts w:ascii="Arial" w:hAnsi="Arial" w:eastAsia="宋体" w:cs="Times New Roman"/>
      <w:b/>
      <w:kern w:val="0"/>
      <w:sz w:val="32"/>
      <w:szCs w:val="20"/>
    </w:rPr>
  </w:style>
  <w:style w:type="character" w:customStyle="1" w:styleId="82">
    <w:name w:val="批注主题 Char1"/>
    <w:link w:val="10"/>
    <w:semiHidden/>
    <w:qFormat/>
    <w:locked/>
    <w:uiPriority w:val="0"/>
    <w:rPr>
      <w:rFonts w:ascii="Calibri" w:hAnsi="Calibri" w:eastAsia="宋体" w:cs="Times New Roman"/>
      <w:kern w:val="0"/>
      <w:sz w:val="20"/>
      <w:szCs w:val="20"/>
    </w:rPr>
  </w:style>
  <w:style w:type="character" w:customStyle="1" w:styleId="83">
    <w:name w:val="标题 1 字符"/>
    <w:qFormat/>
    <w:uiPriority w:val="0"/>
    <w:rPr>
      <w:b/>
      <w:kern w:val="44"/>
      <w:sz w:val="44"/>
    </w:rPr>
  </w:style>
  <w:style w:type="character" w:customStyle="1" w:styleId="84">
    <w:name w:val="zbggmain style9"/>
    <w:uiPriority w:val="0"/>
  </w:style>
  <w:style w:type="character" w:customStyle="1" w:styleId="85">
    <w:name w:val="标题 字符"/>
    <w:qFormat/>
    <w:uiPriority w:val="0"/>
    <w:rPr>
      <w:rFonts w:ascii="Calibri Light" w:hAnsi="Calibri Light" w:eastAsia="宋体"/>
      <w:b/>
      <w:sz w:val="32"/>
    </w:rPr>
  </w:style>
  <w:style w:type="paragraph" w:customStyle="1" w:styleId="86">
    <w:name w:val="样式2"/>
    <w:basedOn w:val="38"/>
    <w:qFormat/>
    <w:uiPriority w:val="0"/>
    <w:pPr>
      <w:ind w:firstLine="2720"/>
    </w:pPr>
    <w:rPr>
      <w:bCs/>
    </w:rPr>
  </w:style>
  <w:style w:type="paragraph" w:customStyle="1" w:styleId="87">
    <w:name w:val="0"/>
    <w:basedOn w:val="1"/>
    <w:qFormat/>
    <w:uiPriority w:val="0"/>
    <w:pPr>
      <w:widowControl/>
    </w:pPr>
    <w:rPr>
      <w:rFonts w:ascii="Times New Roman" w:hAnsi="Times New Roman"/>
      <w:kern w:val="0"/>
      <w:szCs w:val="20"/>
    </w:rPr>
  </w:style>
  <w:style w:type="paragraph" w:customStyle="1" w:styleId="88">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Char"/>
    <w:basedOn w:val="1"/>
    <w:uiPriority w:val="0"/>
    <w:pPr>
      <w:spacing w:line="360" w:lineRule="auto"/>
    </w:pPr>
    <w:rPr>
      <w:rFonts w:ascii="黑体" w:hAnsi="黑体"/>
      <w:sz w:val="24"/>
      <w:szCs w:val="24"/>
      <w:lang w:val="zh-CN"/>
    </w:rPr>
  </w:style>
  <w:style w:type="paragraph" w:customStyle="1" w:styleId="92">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93">
    <w:name w:val="z-窗体顶端1"/>
    <w:basedOn w:val="1"/>
    <w:next w:val="1"/>
    <w:link w:val="94"/>
    <w:qFormat/>
    <w:uiPriority w:val="0"/>
    <w:pPr>
      <w:pBdr>
        <w:bottom w:val="single" w:color="auto" w:sz="6" w:space="1"/>
      </w:pBdr>
      <w:jc w:val="center"/>
    </w:pPr>
    <w:rPr>
      <w:rFonts w:ascii="Arial" w:hAnsi="Arial"/>
      <w:vanish/>
      <w:kern w:val="0"/>
      <w:sz w:val="16"/>
      <w:szCs w:val="20"/>
    </w:rPr>
  </w:style>
  <w:style w:type="character" w:customStyle="1" w:styleId="94">
    <w:name w:val="z-窗体顶端 Char"/>
    <w:link w:val="93"/>
    <w:qFormat/>
    <w:locked/>
    <w:uiPriority w:val="0"/>
    <w:rPr>
      <w:rFonts w:ascii="Arial" w:hAnsi="Arial" w:eastAsia="宋体" w:cs="Times New Roman"/>
      <w:vanish/>
      <w:kern w:val="0"/>
      <w:sz w:val="16"/>
      <w:szCs w:val="20"/>
    </w:rPr>
  </w:style>
  <w:style w:type="paragraph" w:customStyle="1" w:styleId="95">
    <w:name w:val="_Style 10"/>
    <w:basedOn w:val="1"/>
    <w:next w:val="1"/>
    <w:qFormat/>
    <w:uiPriority w:val="0"/>
    <w:rPr>
      <w:rFonts w:ascii="Times New Roman" w:hAnsi="Times New Roman"/>
      <w:szCs w:val="24"/>
    </w:rPr>
  </w:style>
  <w:style w:type="paragraph" w:customStyle="1" w:styleId="96">
    <w:name w:val="Char Char"/>
    <w:basedOn w:val="1"/>
    <w:qFormat/>
    <w:uiPriority w:val="0"/>
    <w:rPr>
      <w:rFonts w:ascii="Tahoma" w:hAnsi="Tahoma"/>
      <w:sz w:val="24"/>
      <w:szCs w:val="20"/>
    </w:rPr>
  </w:style>
  <w:style w:type="paragraph" w:customStyle="1" w:styleId="97">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8">
    <w:name w:val="Char Char Char Char"/>
    <w:basedOn w:val="1"/>
    <w:qFormat/>
    <w:uiPriority w:val="0"/>
    <w:rPr>
      <w:rFonts w:ascii="仿宋_GB2312" w:hAnsi="Times New Roman" w:eastAsia="仿宋_GB2312"/>
      <w:b/>
      <w:sz w:val="32"/>
      <w:szCs w:val="32"/>
    </w:rPr>
  </w:style>
  <w:style w:type="paragraph" w:customStyle="1" w:styleId="99">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100">
    <w:name w:val="样式1"/>
    <w:basedOn w:val="1"/>
    <w:qFormat/>
    <w:uiPriority w:val="0"/>
    <w:pPr>
      <w:spacing w:line="360" w:lineRule="auto"/>
      <w:jc w:val="center"/>
    </w:pPr>
    <w:rPr>
      <w:rFonts w:ascii="宋体" w:hAnsi="宋体"/>
      <w:sz w:val="32"/>
      <w:szCs w:val="30"/>
    </w:rPr>
  </w:style>
  <w:style w:type="paragraph" w:customStyle="1" w:styleId="101">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03">
    <w:name w:val="正文段"/>
    <w:basedOn w:val="1"/>
    <w:qFormat/>
    <w:uiPriority w:val="0"/>
    <w:pPr>
      <w:spacing w:line="360" w:lineRule="auto"/>
      <w:ind w:firstLine="420"/>
    </w:pPr>
    <w:rPr>
      <w:rFonts w:ascii="宋体" w:hAnsi="Times New Roman"/>
      <w:sz w:val="24"/>
      <w:szCs w:val="24"/>
    </w:rPr>
  </w:style>
  <w:style w:type="paragraph" w:customStyle="1" w:styleId="104">
    <w:name w:val="表格一"/>
    <w:basedOn w:val="1"/>
    <w:qFormat/>
    <w:uiPriority w:val="0"/>
    <w:pPr>
      <w:spacing w:line="240" w:lineRule="exact"/>
      <w:ind w:left="105" w:leftChars="50"/>
    </w:pPr>
    <w:rPr>
      <w:rFonts w:ascii="Times New Roman" w:hAnsi="Times New Roman"/>
      <w:sz w:val="18"/>
      <w:szCs w:val="21"/>
    </w:rPr>
  </w:style>
  <w:style w:type="paragraph" w:customStyle="1" w:styleId="105">
    <w:name w:val="样式 一号 加粗 居中"/>
    <w:basedOn w:val="1"/>
    <w:uiPriority w:val="0"/>
    <w:pPr>
      <w:jc w:val="center"/>
    </w:pPr>
    <w:rPr>
      <w:rFonts w:ascii="Times New Roman" w:hAnsi="Times New Roman" w:cs="宋体"/>
      <w:bCs/>
      <w:sz w:val="52"/>
      <w:szCs w:val="20"/>
    </w:rPr>
  </w:style>
  <w:style w:type="paragraph" w:customStyle="1" w:styleId="106">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7">
    <w:name w:val="z-窗体底端1"/>
    <w:basedOn w:val="1"/>
    <w:next w:val="1"/>
    <w:link w:val="108"/>
    <w:qFormat/>
    <w:uiPriority w:val="0"/>
    <w:pPr>
      <w:pBdr>
        <w:top w:val="single" w:color="auto" w:sz="6" w:space="1"/>
      </w:pBdr>
      <w:jc w:val="center"/>
    </w:pPr>
    <w:rPr>
      <w:rFonts w:ascii="Arial" w:hAnsi="Arial"/>
      <w:vanish/>
      <w:kern w:val="0"/>
      <w:sz w:val="16"/>
      <w:szCs w:val="20"/>
    </w:rPr>
  </w:style>
  <w:style w:type="character" w:customStyle="1" w:styleId="108">
    <w:name w:val="z-窗体底端 Char"/>
    <w:link w:val="107"/>
    <w:qFormat/>
    <w:locked/>
    <w:uiPriority w:val="0"/>
    <w:rPr>
      <w:rFonts w:ascii="Arial" w:hAnsi="Arial" w:eastAsia="宋体" w:cs="Times New Roman"/>
      <w:vanish/>
      <w:kern w:val="0"/>
      <w:sz w:val="16"/>
      <w:szCs w:val="20"/>
    </w:rPr>
  </w:style>
  <w:style w:type="character" w:customStyle="1" w:styleId="109">
    <w:name w:val="正文缩进 Char"/>
    <w:link w:val="15"/>
    <w:locked/>
    <w:uiPriority w:val="0"/>
    <w:rPr>
      <w:rFonts w:ascii="宋体" w:hAnsi="Times New Roman" w:eastAsia="宋体" w:cs="Times New Roman"/>
      <w:kern w:val="0"/>
      <w:sz w:val="20"/>
      <w:szCs w:val="20"/>
    </w:rPr>
  </w:style>
  <w:style w:type="paragraph" w:customStyle="1" w:styleId="11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1">
    <w:name w:val="样式3"/>
    <w:basedOn w:val="4"/>
    <w:uiPriority w:val="0"/>
    <w:pPr>
      <w:keepNext/>
      <w:keepLines/>
      <w:spacing w:before="120" w:after="120" w:line="360" w:lineRule="auto"/>
    </w:pPr>
    <w:rPr>
      <w:rFonts w:eastAsia="宋体"/>
      <w:sz w:val="24"/>
      <w:szCs w:val="24"/>
    </w:rPr>
  </w:style>
  <w:style w:type="paragraph" w:customStyle="1" w:styleId="112">
    <w:name w:val="表"/>
    <w:basedOn w:val="1"/>
    <w:uiPriority w:val="0"/>
    <w:pPr>
      <w:spacing w:line="360" w:lineRule="auto"/>
      <w:jc w:val="center"/>
    </w:pPr>
    <w:rPr>
      <w:rFonts w:ascii="Times New Roman" w:hAnsi="Times New Roman"/>
      <w:color w:val="000000"/>
      <w:szCs w:val="21"/>
    </w:rPr>
  </w:style>
  <w:style w:type="paragraph" w:customStyle="1" w:styleId="113">
    <w:name w:val="列出段落1"/>
    <w:basedOn w:val="1"/>
    <w:qFormat/>
    <w:uiPriority w:val="0"/>
    <w:pPr>
      <w:spacing w:before="100" w:beforeAutospacing="1" w:after="100" w:afterAutospacing="1" w:line="300" w:lineRule="auto"/>
      <w:ind w:firstLine="420" w:firstLineChars="200"/>
    </w:pPr>
  </w:style>
  <w:style w:type="paragraph" w:customStyle="1" w:styleId="1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16">
    <w:name w:val="样式 样式1 + 首行缩进:  2 字符 Char"/>
    <w:link w:val="117"/>
    <w:locked/>
    <w:uiPriority w:val="0"/>
    <w:rPr>
      <w:rFonts w:ascii="Arial" w:hAnsi="Arial"/>
      <w:sz w:val="24"/>
    </w:rPr>
  </w:style>
  <w:style w:type="paragraph" w:customStyle="1" w:styleId="117">
    <w:name w:val="样式 样式1 + 首行缩进:  2 字符"/>
    <w:basedOn w:val="100"/>
    <w:link w:val="11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18">
    <w:name w:val="样式 标题 1 + (符号) Arial 三号"/>
    <w:basedOn w:val="2"/>
    <w:uiPriority w:val="0"/>
    <w:pPr>
      <w:snapToGrid w:val="0"/>
      <w:spacing w:before="0" w:after="0" w:line="360" w:lineRule="auto"/>
    </w:pPr>
    <w:rPr>
      <w:sz w:val="32"/>
    </w:rPr>
  </w:style>
  <w:style w:type="paragraph" w:customStyle="1" w:styleId="119">
    <w:name w:val="列出段落11"/>
    <w:basedOn w:val="1"/>
    <w:uiPriority w:val="0"/>
    <w:pPr>
      <w:ind w:firstLine="420" w:firstLineChars="200"/>
    </w:pPr>
  </w:style>
  <w:style w:type="character" w:customStyle="1" w:styleId="120">
    <w:name w:val="Char Char14"/>
    <w:qFormat/>
    <w:uiPriority w:val="0"/>
    <w:rPr>
      <w:rFonts w:ascii="宋体" w:hAnsi="Courier New" w:eastAsia="宋体"/>
      <w:kern w:val="2"/>
      <w:sz w:val="21"/>
      <w:lang w:val="en-US" w:eastAsia="zh-CN"/>
    </w:rPr>
  </w:style>
  <w:style w:type="paragraph" w:customStyle="1" w:styleId="121">
    <w:name w:val="_Style 5"/>
    <w:basedOn w:val="1"/>
    <w:next w:val="1"/>
    <w:qFormat/>
    <w:uiPriority w:val="0"/>
    <w:rPr>
      <w:rFonts w:ascii="Times New Roman" w:hAnsi="Times New Roman"/>
      <w:szCs w:val="20"/>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机场正文"/>
    <w:basedOn w:val="1"/>
    <w:uiPriority w:val="0"/>
    <w:pPr>
      <w:spacing w:line="560" w:lineRule="exact"/>
      <w:ind w:firstLine="200" w:firstLineChars="200"/>
    </w:pPr>
    <w:rPr>
      <w:rFonts w:ascii="仿宋_GB2312" w:hAnsi="仿宋_GB2312" w:eastAsia="仿宋_GB2312"/>
      <w:sz w:val="32"/>
    </w:rPr>
  </w:style>
  <w:style w:type="paragraph" w:customStyle="1" w:styleId="124">
    <w:name w:val="Char Char2"/>
    <w:basedOn w:val="17"/>
    <w:qFormat/>
    <w:uiPriority w:val="0"/>
    <w:rPr>
      <w:kern w:val="2"/>
      <w:sz w:val="21"/>
    </w:rPr>
  </w:style>
  <w:style w:type="paragraph" w:customStyle="1" w:styleId="1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1"/>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7">
    <w:name w:val="Char Char1"/>
    <w:qFormat/>
    <w:uiPriority w:val="0"/>
    <w:rPr>
      <w:rFonts w:ascii="Cambria" w:hAnsi="Cambria" w:eastAsia="黑体"/>
      <w:b/>
      <w:sz w:val="32"/>
    </w:rPr>
  </w:style>
  <w:style w:type="paragraph" w:customStyle="1" w:styleId="12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2270</Words>
  <Characters>12939</Characters>
  <Lines>107</Lines>
  <Paragraphs>30</Paragraphs>
  <ScaleCrop>false</ScaleCrop>
  <LinksUpToDate>false</LinksUpToDate>
  <CharactersWithSpaces>15179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2019-06-11T02:15:00Z</dcterms:created>
  <dc:creator>DELL</dc:creator>
  <cp:lastModifiedBy>贾思勰</cp:lastModifiedBy>
  <dcterms:modified xsi:type="dcterms:W3CDTF">2019-07-12T08:35:13Z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