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hint="eastAsia" w:cs="Calibri"/>
          <w:kern w:val="0"/>
          <w:sz w:val="24"/>
          <w:szCs w:val="52"/>
        </w:rPr>
      </w:pPr>
      <w:bookmarkStart w:id="0" w:name="_Toc143421653"/>
      <w:bookmarkStart w:id="1" w:name="_Toc128451845"/>
      <w:bookmarkStart w:id="2" w:name="_Toc140045840"/>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eastAsia="黑体" w:cs="Calibri"/>
          <w:b/>
          <w:sz w:val="44"/>
          <w:szCs w:val="44"/>
        </w:rPr>
      </w:pPr>
      <w:r>
        <w:rPr>
          <w:rFonts w:hint="eastAsia" w:eastAsia="黑体" w:cs="Calibri"/>
          <w:b/>
          <w:sz w:val="44"/>
          <w:szCs w:val="44"/>
        </w:rPr>
        <w:t>杭州萧山国际机场</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eastAsia="黑体" w:cs="Calibri"/>
          <w:b/>
          <w:sz w:val="44"/>
          <w:szCs w:val="44"/>
        </w:rPr>
      </w:pPr>
      <w:r>
        <w:rPr>
          <w:rFonts w:hint="eastAsia" w:eastAsia="黑体" w:cs="Calibri"/>
          <w:b/>
          <w:sz w:val="44"/>
          <w:szCs w:val="44"/>
          <w:u w:val="single"/>
        </w:rPr>
        <w:t>中央空调系统变频器维修</w:t>
      </w:r>
      <w:r>
        <w:rPr>
          <w:rFonts w:hint="eastAsia" w:eastAsia="黑体" w:cs="Calibri"/>
          <w:b/>
          <w:sz w:val="44"/>
          <w:szCs w:val="44"/>
        </w:rPr>
        <w:t>项目</w:t>
      </w:r>
    </w:p>
    <w:p>
      <w:pPr>
        <w:keepNext w:val="0"/>
        <w:keepLines w:val="0"/>
        <w:pageBreakBefore w:val="0"/>
        <w:widowControl w:val="0"/>
        <w:kinsoku/>
        <w:wordWrap/>
        <w:overflowPunct/>
        <w:topLinePunct w:val="0"/>
        <w:autoSpaceDE w:val="0"/>
        <w:autoSpaceDN w:val="0"/>
        <w:bidi w:val="0"/>
        <w:adjustRightInd w:val="0"/>
        <w:snapToGrid/>
        <w:spacing w:line="240" w:lineRule="auto"/>
        <w:ind w:left="0" w:leftChars="0" w:right="0" w:rightChars="0" w:firstLine="0" w:firstLineChars="0"/>
        <w:jc w:val="center"/>
        <w:textAlignment w:val="auto"/>
        <w:outlineLvl w:val="9"/>
        <w:rPr>
          <w:rFonts w:hint="eastAsia" w:eastAsia="黑体" w:cs="Calibri"/>
          <w:b/>
          <w:sz w:val="44"/>
          <w:szCs w:val="44"/>
          <w:lang w:eastAsia="zh-CN"/>
        </w:rPr>
      </w:pPr>
      <w:r>
        <w:rPr>
          <w:rFonts w:hint="eastAsia" w:eastAsia="黑体" w:cs="Calibri"/>
          <w:b/>
          <w:sz w:val="44"/>
          <w:szCs w:val="44"/>
          <w:lang w:eastAsia="zh-CN"/>
        </w:rPr>
        <w:t>（重新招标）</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8"/>
        <w:spacing w:line="480" w:lineRule="auto"/>
        <w:jc w:val="center"/>
        <w:rPr>
          <w:rFonts w:ascii="Calibri" w:hAnsi="Calibri" w:eastAsia="隶书" w:cs="Calibri"/>
          <w:sz w:val="32"/>
        </w:rPr>
      </w:pPr>
    </w:p>
    <w:p>
      <w:pPr>
        <w:pStyle w:val="18"/>
        <w:spacing w:line="480" w:lineRule="auto"/>
        <w:jc w:val="center"/>
        <w:rPr>
          <w:rFonts w:ascii="Calibri" w:hAnsi="Calibri" w:eastAsia="隶书" w:cs="Calibri"/>
          <w:sz w:val="32"/>
        </w:rPr>
      </w:pPr>
    </w:p>
    <w:p>
      <w:pPr>
        <w:pStyle w:val="18"/>
        <w:spacing w:line="480" w:lineRule="auto"/>
        <w:rPr>
          <w:rFonts w:ascii="Calibri" w:hAnsi="Calibri" w:eastAsia="隶书" w:cs="Calibri"/>
          <w:sz w:val="32"/>
        </w:rPr>
      </w:pPr>
    </w:p>
    <w:p>
      <w:pPr>
        <w:pStyle w:val="18"/>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七</w:t>
      </w:r>
      <w:r>
        <w:rPr>
          <w:rFonts w:ascii="Calibri" w:hAnsi="Calibri" w:eastAsia="黑体" w:cs="Calibri"/>
          <w:sz w:val="32"/>
          <w:szCs w:val="32"/>
        </w:rPr>
        <w:t>月</w:t>
      </w:r>
    </w:p>
    <w:p>
      <w:pPr>
        <w:snapToGrid w:val="0"/>
        <w:spacing w:line="360" w:lineRule="auto"/>
        <w:jc w:val="center"/>
        <w:rPr>
          <w:rFonts w:cs="Calibri"/>
          <w:sz w:val="32"/>
          <w:szCs w:val="32"/>
        </w:rPr>
      </w:pPr>
    </w:p>
    <w:p>
      <w:pPr>
        <w:pStyle w:val="51"/>
        <w:ind w:firstLine="883"/>
        <w:rPr>
          <w:rFonts w:ascii="Calibri" w:cs="Calibri"/>
          <w:b/>
          <w:sz w:val="44"/>
        </w:rPr>
      </w:pPr>
      <w:bookmarkStart w:id="3" w:name="_Toc386359390"/>
      <w:bookmarkStart w:id="4" w:name="_Toc386363314"/>
      <w:bookmarkStart w:id="5" w:name="_Toc349007685"/>
      <w:bookmarkStart w:id="6" w:name="_Toc349011855"/>
      <w:r>
        <w:rPr>
          <w:rFonts w:hint="eastAsia" w:ascii="Calibri" w:cs="Calibri"/>
          <w:b/>
          <w:sz w:val="44"/>
        </w:rPr>
        <w:t xml:space="preserve"> </w:t>
      </w:r>
    </w:p>
    <w:p>
      <w:pPr>
        <w:pStyle w:val="51"/>
        <w:ind w:firstLine="883"/>
        <w:rPr>
          <w:rFonts w:ascii="Calibri" w:hAnsi="Calibri" w:cs="Calibri"/>
          <w:b/>
          <w:sz w:val="44"/>
        </w:rPr>
      </w:pPr>
      <w:bookmarkStart w:id="7" w:name="_Toc444173456"/>
      <w:bookmarkStart w:id="8" w:name="_Toc448002981"/>
      <w:bookmarkStart w:id="9" w:name="_Toc400369182"/>
      <w:bookmarkStart w:id="10" w:name="_Toc444174976"/>
      <w:bookmarkStart w:id="11" w:name="_Toc444811406"/>
      <w:r>
        <w:rPr>
          <w:rFonts w:ascii="Calibri" w:cs="Calibri"/>
          <w:b/>
          <w:sz w:val="44"/>
        </w:rPr>
        <w:t>目</w:t>
      </w:r>
      <w:r>
        <w:rPr>
          <w:rFonts w:ascii="Calibri" w:hAnsi="Calibri" w:cs="Calibri"/>
          <w:b/>
          <w:sz w:val="44"/>
        </w:rPr>
        <w:t xml:space="preserve">  </w:t>
      </w:r>
      <w:r>
        <w:rPr>
          <w:rFonts w:ascii="Calibri" w:cs="Calibri"/>
          <w:b/>
          <w:sz w:val="44"/>
        </w:rPr>
        <w:t>录</w:t>
      </w:r>
      <w:bookmarkEnd w:id="3"/>
      <w:bookmarkEnd w:id="4"/>
      <w:bookmarkEnd w:id="5"/>
      <w:bookmarkEnd w:id="6"/>
      <w:bookmarkEnd w:id="7"/>
      <w:bookmarkEnd w:id="8"/>
      <w:bookmarkEnd w:id="9"/>
      <w:bookmarkEnd w:id="10"/>
      <w:bookmarkEnd w:id="11"/>
    </w:p>
    <w:p>
      <w:pPr>
        <w:pStyle w:val="51"/>
        <w:spacing w:line="480" w:lineRule="auto"/>
        <w:rPr>
          <w:rFonts w:ascii="黑体" w:hAnsi="黑体" w:eastAsia="黑体"/>
          <w:bCs w:val="0"/>
          <w:kern w:val="2"/>
          <w:sz w:val="22"/>
          <w:szCs w:val="22"/>
        </w:rPr>
      </w:pP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TOC \o "1-3" \h \z \u </w:instrText>
      </w:r>
      <w:r>
        <w:rPr>
          <w:rFonts w:hint="eastAsia" w:ascii="黑体" w:hAnsi="黑体" w:eastAsia="黑体"/>
          <w:bCs w:val="0"/>
          <w:kern w:val="2"/>
          <w:sz w:val="22"/>
          <w:szCs w:val="22"/>
        </w:rPr>
        <w:fldChar w:fldCharType="separate"/>
      </w:r>
    </w:p>
    <w:p>
      <w:pPr>
        <w:pStyle w:val="51"/>
        <w:spacing w:line="480" w:lineRule="auto"/>
        <w:rPr>
          <w:rFonts w:ascii="黑体" w:hAnsi="黑体" w:eastAsia="黑体"/>
          <w:bCs w:val="0"/>
          <w:kern w:val="2"/>
          <w:sz w:val="22"/>
          <w:szCs w:val="22"/>
        </w:rPr>
      </w:pPr>
      <w:r>
        <w:fldChar w:fldCharType="begin"/>
      </w:r>
      <w:r>
        <w:instrText xml:space="preserve"> HYPERLINK \l "_Toc448002982" </w:instrText>
      </w:r>
      <w:r>
        <w:fldChar w:fldCharType="separate"/>
      </w:r>
      <w:r>
        <w:rPr>
          <w:rFonts w:hint="eastAsia"/>
          <w:bCs w:val="0"/>
          <w:kern w:val="2"/>
        </w:rPr>
        <w:t>第一章  招标公告</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_Toc448002982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- 2 -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ascii="黑体" w:hAnsi="黑体" w:eastAsia="黑体"/>
          <w:bCs w:val="0"/>
          <w:kern w:val="2"/>
          <w:sz w:val="22"/>
          <w:szCs w:val="22"/>
        </w:rPr>
      </w:pPr>
      <w:r>
        <w:fldChar w:fldCharType="begin"/>
      </w:r>
      <w:r>
        <w:instrText xml:space="preserve"> HYPERLINK \l "_Toc448002983" </w:instrText>
      </w:r>
      <w:r>
        <w:fldChar w:fldCharType="separate"/>
      </w:r>
      <w:r>
        <w:rPr>
          <w:rFonts w:hint="eastAsia"/>
          <w:bCs w:val="0"/>
          <w:kern w:val="2"/>
        </w:rPr>
        <w:t>第二章  投标人须知</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_Toc448002983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- 3 -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ascii="黑体" w:hAnsi="黑体" w:eastAsia="黑体"/>
          <w:bCs w:val="0"/>
          <w:kern w:val="2"/>
          <w:sz w:val="22"/>
          <w:szCs w:val="22"/>
        </w:rPr>
      </w:pPr>
      <w:r>
        <w:fldChar w:fldCharType="begin"/>
      </w:r>
      <w:r>
        <w:instrText xml:space="preserve"> HYPERLINK \l "_Toc448002985" </w:instrText>
      </w:r>
      <w:r>
        <w:fldChar w:fldCharType="separate"/>
      </w:r>
      <w:r>
        <w:rPr>
          <w:rFonts w:hint="eastAsia"/>
          <w:bCs w:val="0"/>
          <w:kern w:val="2"/>
        </w:rPr>
        <w:t>第三章  服务技术标准及要求</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_Toc448002985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- 11 -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ascii="黑体" w:hAnsi="黑体" w:eastAsia="黑体"/>
          <w:bCs w:val="0"/>
          <w:kern w:val="2"/>
          <w:sz w:val="22"/>
          <w:szCs w:val="22"/>
        </w:rPr>
      </w:pPr>
      <w:r>
        <w:fldChar w:fldCharType="begin"/>
      </w:r>
      <w:r>
        <w:instrText xml:space="preserve"> HYPERLINK \l "_Toc448002986" </w:instrText>
      </w:r>
      <w:r>
        <w:fldChar w:fldCharType="separate"/>
      </w:r>
      <w:r>
        <w:rPr>
          <w:rFonts w:hint="eastAsia"/>
          <w:bCs w:val="0"/>
          <w:kern w:val="2"/>
        </w:rPr>
        <w:t>第四章  合同条款</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_Toc448002986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- 12 -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ascii="黑体" w:hAnsi="黑体" w:eastAsia="黑体"/>
          <w:bCs w:val="0"/>
          <w:kern w:val="2"/>
          <w:sz w:val="22"/>
          <w:szCs w:val="22"/>
        </w:rPr>
      </w:pPr>
      <w:r>
        <w:fldChar w:fldCharType="begin"/>
      </w:r>
      <w:r>
        <w:instrText xml:space="preserve"> HYPERLINK \l "_Toc448002987" </w:instrText>
      </w:r>
      <w:r>
        <w:fldChar w:fldCharType="separate"/>
      </w:r>
      <w:r>
        <w:rPr>
          <w:rFonts w:hint="eastAsia"/>
          <w:bCs w:val="0"/>
          <w:kern w:val="2"/>
        </w:rPr>
        <w:t>第五章  评标方法及标准</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_Toc448002987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- 13 -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ascii="黑体" w:hAnsi="黑体" w:eastAsia="黑体"/>
          <w:bCs w:val="0"/>
          <w:kern w:val="2"/>
          <w:sz w:val="22"/>
          <w:szCs w:val="22"/>
        </w:rPr>
      </w:pPr>
      <w:r>
        <w:fldChar w:fldCharType="begin"/>
      </w:r>
      <w:r>
        <w:instrText xml:space="preserve"> HYPERLINK \l "_Toc448002988" </w:instrText>
      </w:r>
      <w:r>
        <w:fldChar w:fldCharType="separate"/>
      </w:r>
      <w:r>
        <w:rPr>
          <w:rFonts w:hint="eastAsia"/>
          <w:bCs w:val="0"/>
          <w:kern w:val="2"/>
        </w:rPr>
        <w:t>第六章  投标文件格式</w:t>
      </w:r>
      <w:r>
        <w:rPr>
          <w:rFonts w:hint="eastAsia" w:ascii="黑体" w:hAnsi="黑体" w:eastAsia="黑体"/>
          <w:bCs w:val="0"/>
          <w:kern w:val="2"/>
          <w:sz w:val="22"/>
          <w:szCs w:val="22"/>
        </w:rPr>
        <w:tab/>
      </w:r>
      <w:r>
        <w:rPr>
          <w:rFonts w:hint="eastAsia" w:ascii="黑体" w:hAnsi="黑体" w:eastAsia="黑体"/>
          <w:bCs w:val="0"/>
          <w:kern w:val="2"/>
          <w:sz w:val="22"/>
          <w:szCs w:val="22"/>
        </w:rPr>
        <w:fldChar w:fldCharType="begin"/>
      </w:r>
      <w:r>
        <w:rPr>
          <w:rFonts w:hint="eastAsia" w:ascii="黑体" w:hAnsi="黑体" w:eastAsia="黑体"/>
          <w:bCs w:val="0"/>
          <w:kern w:val="2"/>
          <w:sz w:val="22"/>
          <w:szCs w:val="22"/>
        </w:rPr>
        <w:instrText xml:space="preserve"> PAGEREF _Toc448002988 \h </w:instrText>
      </w:r>
      <w:r>
        <w:rPr>
          <w:rFonts w:hint="eastAsia" w:ascii="黑体" w:hAnsi="黑体" w:eastAsia="黑体"/>
          <w:bCs w:val="0"/>
          <w:kern w:val="2"/>
          <w:sz w:val="22"/>
          <w:szCs w:val="22"/>
        </w:rPr>
        <w:fldChar w:fldCharType="separate"/>
      </w:r>
      <w:r>
        <w:rPr>
          <w:rFonts w:ascii="黑体" w:hAnsi="黑体" w:eastAsia="黑体"/>
          <w:bCs w:val="0"/>
          <w:kern w:val="2"/>
          <w:sz w:val="22"/>
          <w:szCs w:val="22"/>
        </w:rPr>
        <w:t>- 16 -</w:t>
      </w:r>
      <w:r>
        <w:rPr>
          <w:rFonts w:hint="eastAsia" w:ascii="黑体" w:hAnsi="黑体" w:eastAsia="黑体"/>
          <w:bCs w:val="0"/>
          <w:kern w:val="2"/>
          <w:sz w:val="22"/>
          <w:szCs w:val="22"/>
        </w:rPr>
        <w:fldChar w:fldCharType="end"/>
      </w:r>
      <w:r>
        <w:rPr>
          <w:rFonts w:hint="eastAsia" w:ascii="黑体" w:hAnsi="黑体" w:eastAsia="黑体"/>
          <w:bCs w:val="0"/>
          <w:kern w:val="2"/>
          <w:sz w:val="22"/>
          <w:szCs w:val="22"/>
        </w:rPr>
        <w:fldChar w:fldCharType="end"/>
      </w:r>
    </w:p>
    <w:p>
      <w:pPr>
        <w:pStyle w:val="51"/>
        <w:spacing w:line="480" w:lineRule="auto"/>
        <w:rPr>
          <w:rFonts w:cs="Calibri"/>
          <w:sz w:val="24"/>
        </w:rPr>
      </w:pPr>
      <w:r>
        <w:rPr>
          <w:rFonts w:hint="eastAsia" w:ascii="黑体" w:hAnsi="黑体" w:eastAsia="黑体"/>
          <w:bCs w:val="0"/>
          <w:kern w:val="2"/>
          <w:sz w:val="22"/>
          <w:szCs w:val="22"/>
        </w:rPr>
        <w:fldChar w:fldCharType="end"/>
      </w:r>
    </w:p>
    <w:p>
      <w:pPr>
        <w:spacing w:line="440" w:lineRule="exact"/>
        <w:ind w:right="480"/>
        <w:rPr>
          <w:rFonts w:cs="Calibri"/>
          <w:sz w:val="24"/>
        </w:rPr>
      </w:pPr>
    </w:p>
    <w:p>
      <w:pPr>
        <w:pStyle w:val="2"/>
        <w:spacing w:before="0" w:after="0" w:line="360" w:lineRule="auto"/>
        <w:jc w:val="center"/>
        <w:rPr>
          <w:rFonts w:ascii="Calibri" w:eastAsia="黑体" w:cs="Calibri"/>
          <w:kern w:val="0"/>
          <w:sz w:val="32"/>
        </w:rPr>
      </w:pPr>
      <w:r>
        <w:rPr>
          <w:rFonts w:ascii="Calibri" w:hAnsi="Calibri" w:cs="Calibri"/>
        </w:rPr>
        <w:br w:type="page"/>
      </w:r>
      <w:bookmarkStart w:id="12" w:name="_Toc6832"/>
      <w:bookmarkStart w:id="13" w:name="_Toc6581"/>
      <w:bookmarkStart w:id="14" w:name="_Toc14628"/>
      <w:bookmarkStart w:id="15" w:name="_Toc24784"/>
      <w:bookmarkStart w:id="16" w:name="_Toc18642"/>
      <w:bookmarkStart w:id="17" w:name="_Toc22293"/>
      <w:bookmarkStart w:id="18" w:name="_Toc24932"/>
      <w:bookmarkStart w:id="19" w:name="_Toc8110"/>
      <w:bookmarkStart w:id="20" w:name="_Toc7641"/>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bookmarkStart w:id="119" w:name="_GoBack"/>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rPr>
        <w:t xml:space="preserve">  中央空调系统变频器维修</w:t>
      </w:r>
      <w:r>
        <w:rPr>
          <w:rFonts w:ascii="宋体" w:hAnsi="宋体" w:cs="Arial"/>
          <w:kern w:val="0"/>
          <w:sz w:val="22"/>
        </w:rPr>
        <w:t>项目</w:t>
      </w:r>
      <w:r>
        <w:rPr>
          <w:rFonts w:hint="eastAsia" w:ascii="宋体" w:hAnsi="宋体" w:cs="Arial"/>
          <w:kern w:val="0"/>
          <w:sz w:val="22"/>
        </w:rPr>
        <w:t>已批准建设，项目业主为杭州萧山国际机场有限公司，建设资金来源为自筹。项目已具备招标条件，现对本项目</w:t>
      </w:r>
      <w:r>
        <w:rPr>
          <w:rFonts w:hint="eastAsia" w:ascii="宋体" w:hAnsi="宋体" w:cs="Arial"/>
          <w:kern w:val="0"/>
          <w:sz w:val="22"/>
          <w:u w:val="single"/>
        </w:rPr>
        <w:t xml:space="preserve"> 中央空调系统变频器维修项目  </w:t>
      </w:r>
      <w:r>
        <w:rPr>
          <w:rFonts w:hint="eastAsia" w:ascii="宋体" w:hAnsi="宋体" w:cs="Arial"/>
          <w:kern w:val="0"/>
          <w:sz w:val="22"/>
        </w:rPr>
        <w:t>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T3航站楼中央空调系统用变频器2013年投入使用已有6年,经维保检测后，发现部分电源板腐蚀和老化较严重,部分变频器散热风扇存在不同程度故障，故需进行预防性更换维修，保证设备正常运行。</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维修清单:</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263"/>
        <w:gridCol w:w="1696"/>
        <w:gridCol w:w="1501"/>
        <w:gridCol w:w="3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序号</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维修部件</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变频器型号</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数量</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1</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电源板</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HD90N4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4</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2</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电源板</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HD75N4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4</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3</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 xml:space="preserve">散热风机 </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HD90N4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6</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4</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散热风机</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HD75N4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12</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5</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散热风机</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HD30N4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9</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9" w:type="dxa"/>
          </w:tcPr>
          <w:p>
            <w:pPr>
              <w:spacing w:line="360" w:lineRule="auto"/>
              <w:rPr>
                <w:rFonts w:ascii="宋体" w:hAnsi="宋体" w:eastAsia="宋体" w:cs="Times New Roman"/>
                <w:sz w:val="24"/>
              </w:rPr>
            </w:pPr>
            <w:r>
              <w:rPr>
                <w:rFonts w:hint="eastAsia" w:ascii="宋体" w:hAnsi="宋体" w:eastAsia="宋体" w:cs="Times New Roman"/>
                <w:sz w:val="24"/>
              </w:rPr>
              <w:t>6</w:t>
            </w:r>
          </w:p>
        </w:tc>
        <w:tc>
          <w:tcPr>
            <w:tcW w:w="1263" w:type="dxa"/>
          </w:tcPr>
          <w:p>
            <w:pPr>
              <w:spacing w:line="360" w:lineRule="auto"/>
              <w:rPr>
                <w:rFonts w:ascii="宋体" w:hAnsi="宋体" w:eastAsia="宋体" w:cs="Times New Roman"/>
                <w:sz w:val="24"/>
              </w:rPr>
            </w:pPr>
            <w:r>
              <w:rPr>
                <w:rFonts w:hint="eastAsia" w:ascii="宋体" w:hAnsi="宋体" w:eastAsia="宋体" w:cs="Times New Roman"/>
                <w:sz w:val="24"/>
              </w:rPr>
              <w:t>散热风机</w:t>
            </w:r>
          </w:p>
        </w:tc>
        <w:tc>
          <w:tcPr>
            <w:tcW w:w="1696" w:type="dxa"/>
          </w:tcPr>
          <w:p>
            <w:pPr>
              <w:spacing w:line="360" w:lineRule="auto"/>
              <w:rPr>
                <w:rFonts w:ascii="宋体" w:hAnsi="宋体" w:eastAsia="宋体" w:cs="Times New Roman"/>
                <w:sz w:val="24"/>
              </w:rPr>
            </w:pPr>
            <w:r>
              <w:rPr>
                <w:rFonts w:hint="eastAsia" w:ascii="宋体" w:hAnsi="宋体" w:eastAsia="宋体" w:cs="Times New Roman"/>
                <w:sz w:val="24"/>
              </w:rPr>
              <w:t>ATV 61 HD45N4</w:t>
            </w:r>
          </w:p>
        </w:tc>
        <w:tc>
          <w:tcPr>
            <w:tcW w:w="1501" w:type="dxa"/>
          </w:tcPr>
          <w:p>
            <w:pPr>
              <w:spacing w:line="360" w:lineRule="auto"/>
              <w:rPr>
                <w:rFonts w:ascii="宋体" w:hAnsi="宋体" w:eastAsia="宋体" w:cs="Times New Roman"/>
                <w:sz w:val="24"/>
              </w:rPr>
            </w:pPr>
            <w:r>
              <w:rPr>
                <w:rFonts w:hint="eastAsia" w:ascii="宋体" w:hAnsi="宋体" w:eastAsia="宋体" w:cs="Times New Roman"/>
                <w:sz w:val="24"/>
              </w:rPr>
              <w:t>4</w:t>
            </w:r>
          </w:p>
        </w:tc>
        <w:tc>
          <w:tcPr>
            <w:tcW w:w="3303" w:type="dxa"/>
          </w:tcPr>
          <w:p>
            <w:pPr>
              <w:spacing w:line="360" w:lineRule="auto"/>
              <w:rPr>
                <w:rFonts w:ascii="宋体" w:hAnsi="宋体" w:eastAsia="宋体" w:cs="Times New Roman"/>
                <w:sz w:val="24"/>
              </w:rPr>
            </w:pPr>
            <w:r>
              <w:rPr>
                <w:rFonts w:hint="eastAsia" w:ascii="宋体" w:hAnsi="宋体" w:eastAsia="宋体" w:cs="Times New Roman"/>
                <w:sz w:val="24"/>
              </w:rPr>
              <w:t>更换</w:t>
            </w:r>
          </w:p>
        </w:tc>
      </w:tr>
    </w:tbl>
    <w:p>
      <w:pPr>
        <w:widowControl/>
        <w:adjustRightInd w:val="0"/>
        <w:snapToGrid w:val="0"/>
        <w:spacing w:line="340" w:lineRule="exact"/>
        <w:rPr>
          <w:rFonts w:ascii="宋体" w:hAnsi="宋体" w:cs="Arial"/>
          <w:kern w:val="0"/>
          <w:sz w:val="22"/>
        </w:rPr>
      </w:pP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w:t>
      </w:r>
      <w:r>
        <w:rPr>
          <w:rFonts w:ascii="宋体" w:hAnsi="宋体" w:cs="Arial"/>
          <w:kern w:val="0"/>
          <w:sz w:val="22"/>
        </w:rPr>
        <w:t>项目位于</w:t>
      </w:r>
      <w:r>
        <w:rPr>
          <w:rFonts w:hint="eastAsia" w:ascii="宋体" w:hAnsi="宋体" w:cs="Arial"/>
          <w:kern w:val="0"/>
          <w:sz w:val="22"/>
          <w:u w:val="single"/>
        </w:rPr>
        <w:t xml:space="preserve">  T3航站楼内    </w:t>
      </w:r>
      <w:r>
        <w:rPr>
          <w:rFonts w:ascii="宋体" w:hAnsi="宋体" w:cs="Arial"/>
          <w:kern w:val="0"/>
          <w:sz w:val="22"/>
        </w:rPr>
        <w:t>，</w:t>
      </w:r>
      <w:r>
        <w:rPr>
          <w:rFonts w:hint="eastAsia" w:ascii="宋体" w:hAnsi="宋体" w:cs="Arial"/>
          <w:kern w:val="0"/>
          <w:sz w:val="22"/>
        </w:rPr>
        <w:t>具体要求详见第三章“服务技术标准及要求”。</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ascii="宋体" w:hAnsi="宋体" w:cs="Arial"/>
          <w:kern w:val="0"/>
          <w:sz w:val="22"/>
        </w:rPr>
      </w:pPr>
      <w:r>
        <w:rPr>
          <w:rFonts w:hint="eastAsia" w:ascii="宋体" w:hAnsi="宋体" w:cs="Arial"/>
          <w:kern w:val="0"/>
          <w:sz w:val="22"/>
          <w:lang w:eastAsia="zh-CN"/>
        </w:rPr>
        <w:t>（</w:t>
      </w:r>
      <w:r>
        <w:rPr>
          <w:rFonts w:hint="eastAsia" w:ascii="宋体" w:hAnsi="宋体" w:cs="Arial"/>
          <w:kern w:val="0"/>
          <w:sz w:val="22"/>
          <w:lang w:val="en-US" w:eastAsia="zh-CN"/>
        </w:rPr>
        <w:t>3</w:t>
      </w:r>
      <w:r>
        <w:rPr>
          <w:rFonts w:hint="eastAsia" w:ascii="宋体" w:hAnsi="宋体" w:cs="Arial"/>
          <w:kern w:val="0"/>
          <w:sz w:val="22"/>
          <w:lang w:eastAsia="zh-CN"/>
        </w:rPr>
        <w:t>）</w:t>
      </w:r>
      <w:r>
        <w:rPr>
          <w:rFonts w:hint="eastAsia" w:ascii="宋体" w:hAnsi="宋体" w:cs="Arial"/>
          <w:kern w:val="0"/>
          <w:sz w:val="22"/>
        </w:rPr>
        <w:t>招标内容：</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ascii="宋体" w:hAnsi="宋体" w:cs="Arial"/>
          <w:kern w:val="0"/>
          <w:sz w:val="22"/>
        </w:rPr>
      </w:pPr>
      <w:r>
        <w:rPr>
          <w:rFonts w:hint="eastAsia" w:ascii="宋体" w:hAnsi="宋体" w:cs="Arial"/>
          <w:kern w:val="0"/>
          <w:sz w:val="22"/>
          <w:lang w:val="en-US" w:eastAsia="zh-CN"/>
        </w:rPr>
        <w:t>1.</w:t>
      </w:r>
      <w:r>
        <w:rPr>
          <w:rFonts w:hint="eastAsia" w:ascii="宋体" w:hAnsi="宋体" w:cs="Arial"/>
          <w:kern w:val="0"/>
          <w:sz w:val="22"/>
        </w:rPr>
        <w:t>制定和编制维修计划</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ascii="宋体" w:hAnsi="宋体" w:cs="Arial"/>
          <w:kern w:val="0"/>
          <w:sz w:val="22"/>
        </w:rPr>
      </w:pPr>
      <w:r>
        <w:rPr>
          <w:rFonts w:hint="eastAsia" w:ascii="宋体" w:hAnsi="宋体" w:cs="Arial"/>
          <w:kern w:val="0"/>
          <w:sz w:val="22"/>
          <w:lang w:val="en-US" w:eastAsia="zh-CN"/>
        </w:rPr>
        <w:t>2.</w:t>
      </w:r>
      <w:r>
        <w:rPr>
          <w:rFonts w:hint="eastAsia" w:ascii="宋体" w:hAnsi="宋体" w:cs="Arial"/>
          <w:kern w:val="0"/>
          <w:sz w:val="22"/>
        </w:rPr>
        <w:t>对招标文件规定的变频器进行专业维修及售后服务</w:t>
      </w:r>
    </w:p>
    <w:p>
      <w:pPr>
        <w:keepNext w:val="0"/>
        <w:keepLines w:val="0"/>
        <w:pageBreakBefore w:val="0"/>
        <w:widowControl/>
        <w:numPr>
          <w:numId w:val="0"/>
        </w:numPr>
        <w:kinsoku/>
        <w:wordWrap/>
        <w:overflowPunct/>
        <w:topLinePunct w:val="0"/>
        <w:autoSpaceDE/>
        <w:autoSpaceDN/>
        <w:bidi w:val="0"/>
        <w:adjustRightInd w:val="0"/>
        <w:snapToGrid w:val="0"/>
        <w:spacing w:line="340" w:lineRule="exact"/>
        <w:ind w:left="0" w:leftChars="0" w:right="0" w:rightChars="0" w:firstLine="440" w:firstLineChars="200"/>
        <w:jc w:val="both"/>
        <w:textAlignment w:val="auto"/>
        <w:outlineLvl w:val="9"/>
        <w:rPr>
          <w:rFonts w:ascii="宋体" w:hAnsi="宋体" w:cs="Arial"/>
          <w:kern w:val="0"/>
          <w:sz w:val="22"/>
        </w:rPr>
      </w:pPr>
      <w:r>
        <w:rPr>
          <w:rFonts w:hint="eastAsia" w:ascii="宋体" w:hAnsi="宋体" w:cs="Arial"/>
          <w:kern w:val="0"/>
          <w:sz w:val="22"/>
          <w:lang w:val="en-US" w:eastAsia="zh-CN"/>
        </w:rPr>
        <w:t>3.</w:t>
      </w:r>
      <w:r>
        <w:rPr>
          <w:rFonts w:hint="eastAsia" w:ascii="宋体" w:hAnsi="宋体" w:cs="Arial"/>
          <w:kern w:val="0"/>
          <w:sz w:val="22"/>
        </w:rPr>
        <w:t>做好对招标人理论培训和咨询工作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（4）服务期：2019年10月1日—201</w:t>
      </w:r>
      <w:r>
        <w:rPr>
          <w:rFonts w:hint="eastAsia" w:ascii="宋体" w:hAnsi="宋体" w:eastAsia="宋体" w:cs="Arial"/>
          <w:kern w:val="0"/>
          <w:sz w:val="22"/>
        </w:rPr>
        <w:t>9</w:t>
      </w:r>
      <w:r>
        <w:rPr>
          <w:rFonts w:hint="eastAsia" w:ascii="宋体" w:hAnsi="宋体" w:cs="Arial"/>
          <w:kern w:val="0"/>
          <w:sz w:val="22"/>
        </w:rPr>
        <w:t>年10月31日</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（1）企业注册资金50万人民币及以上，</w:t>
      </w:r>
      <w:r>
        <w:rPr>
          <w:rFonts w:ascii="宋体" w:hAnsi="宋体" w:cs="Arial"/>
          <w:kern w:val="0"/>
          <w:sz w:val="22"/>
        </w:rPr>
        <w:t>具有独立法人资格，持有有效营业执照；</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须提供证明材料，否则不予认可，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，可提供税率为</w:t>
      </w:r>
      <w:r>
        <w:rPr>
          <w:rFonts w:hint="eastAsia" w:ascii="宋体" w:hAnsi="宋体" w:cs="Arial"/>
          <w:kern w:val="0"/>
          <w:sz w:val="22"/>
        </w:rPr>
        <w:t>13</w:t>
      </w:r>
      <w:r>
        <w:rPr>
          <w:rFonts w:ascii="宋体" w:hAnsi="宋体" w:cs="Arial"/>
          <w:kern w:val="0"/>
          <w:sz w:val="22"/>
        </w:rPr>
        <w:t>%的增值税专用发票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（4）近三年（2016年至投标截止日）</w:t>
      </w:r>
      <w:r>
        <w:rPr>
          <w:rFonts w:hint="eastAsia" w:ascii="宋体" w:hAnsi="宋体" w:cs="Arial"/>
          <w:b/>
          <w:kern w:val="0"/>
          <w:sz w:val="22"/>
        </w:rPr>
        <w:t>有1个以上（含）变频器维修项目合同金额≥5万的业绩</w:t>
      </w:r>
      <w:r>
        <w:rPr>
          <w:rFonts w:hint="eastAsia" w:ascii="宋体" w:hAnsi="宋体" w:cs="Arial"/>
          <w:kern w:val="0"/>
          <w:sz w:val="22"/>
        </w:rPr>
        <w:t xml:space="preserve">（须提供合同复印件并加盖公章作为证明材料，原件备查）；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（5）投标人须具备变频器维修维护能力，并在人员、设备、资金等方面具有相应的能力，维修人员必须持有低压电工作业证（提供有效期内的证件复印件并加盖公章，原件备查）。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kern w:val="0"/>
          <w:sz w:val="22"/>
          <w:lang w:eastAsia="zh-CN"/>
        </w:rPr>
        <w:t>2019年7月22日上午9时30分</w:t>
      </w:r>
      <w:r>
        <w:rPr>
          <w:rFonts w:hint="eastAsia" w:ascii="宋体" w:hAnsi="宋体" w:cs="Arial"/>
          <w:kern w:val="0"/>
          <w:sz w:val="22"/>
        </w:rPr>
        <w:t>（北京时间）。投标文件在封口处加盖公章，并派专人于</w:t>
      </w:r>
      <w:r>
        <w:rPr>
          <w:rFonts w:hint="eastAsia" w:ascii="宋体" w:hAnsi="宋体" w:cs="Arial"/>
          <w:kern w:val="0"/>
          <w:sz w:val="22"/>
          <w:lang w:eastAsia="zh-CN"/>
        </w:rPr>
        <w:t>2019年7月22日上午9时30分</w:t>
      </w:r>
      <w:r>
        <w:rPr>
          <w:rFonts w:hint="eastAsia" w:ascii="宋体" w:hAnsi="宋体" w:cs="Arial"/>
          <w:kern w:val="0"/>
          <w:sz w:val="22"/>
        </w:rPr>
        <w:t>（北京时间）前送至杭州萧山国际机场翔越路综合服务楼园区招标中心，逾期无效；若采用投递方式的，请于</w:t>
      </w:r>
      <w:r>
        <w:rPr>
          <w:rFonts w:hint="eastAsia" w:ascii="宋体" w:hAnsi="宋体" w:cs="Arial"/>
          <w:kern w:val="0"/>
          <w:sz w:val="22"/>
          <w:lang w:eastAsia="zh-CN"/>
        </w:rPr>
        <w:t>2019年7月22日上午9时30分</w:t>
      </w:r>
      <w:r>
        <w:rPr>
          <w:rFonts w:hint="eastAsia" w:ascii="宋体" w:hAnsi="宋体" w:cs="Arial"/>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 xml:space="preserve">投标联系人：褚建国   联系电话：0571-83833144 </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 xml:space="preserve">技术联系人：褚建国   联系电话：0571-83833144  </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招标监督人：冯卫光   联系电话：0571-86662336</w:t>
      </w:r>
    </w:p>
    <w:p>
      <w:pPr>
        <w:widowControl/>
        <w:adjustRightInd w:val="0"/>
        <w:snapToGrid w:val="0"/>
        <w:spacing w:line="340" w:lineRule="exact"/>
        <w:ind w:firstLine="440" w:firstLineChars="200"/>
        <w:rPr>
          <w:rFonts w:ascii="宋体" w:hAnsi="宋体"/>
          <w:sz w:val="22"/>
        </w:rPr>
      </w:pPr>
    </w:p>
    <w:bookmarkEnd w:id="119"/>
    <w:p>
      <w:pPr>
        <w:pStyle w:val="2"/>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7"/>
        <w:jc w:val="center"/>
        <w:rPr>
          <w:rFonts w:ascii="Calibri" w:hAnsi="Calibri" w:eastAsia="黑体" w:cs="Calibri"/>
          <w:kern w:val="2"/>
          <w:sz w:val="28"/>
          <w:szCs w:val="32"/>
        </w:rPr>
      </w:pPr>
      <w:bookmarkStart w:id="26" w:name="_Toc444811409"/>
      <w:bookmarkStart w:id="27" w:name="_Toc448002984"/>
      <w:bookmarkStart w:id="28" w:name="_Toc444174979"/>
      <w:bookmarkStart w:id="29" w:name="_Toc386359393"/>
      <w:bookmarkStart w:id="30" w:name="_Toc386363317"/>
      <w:bookmarkStart w:id="31" w:name="_Toc400369185"/>
      <w:bookmarkStart w:id="32" w:name="_Toc11881"/>
      <w:bookmarkStart w:id="33" w:name="_Toc349007688"/>
      <w:bookmarkStart w:id="34" w:name="_Toc349011858"/>
      <w:bookmarkStart w:id="35" w:name="_Toc444173459"/>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4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Arial"/>
                <w:kern w:val="0"/>
                <w:sz w:val="22"/>
              </w:rPr>
              <w:t>杭州萧山国际机场</w:t>
            </w:r>
            <w:r>
              <w:rPr>
                <w:rFonts w:hint="eastAsia"/>
              </w:rPr>
              <w:t>中央空调系统变频器维修项目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00"/>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u w:val="single"/>
              </w:rPr>
              <w:t>31</w:t>
            </w:r>
            <w:r>
              <w:rPr>
                <w:rFonts w:hint="eastAsia" w:ascii="宋体" w:hAnsi="宋体"/>
                <w:sz w:val="22"/>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w:t>
            </w:r>
            <w:r>
              <w:rPr>
                <w:rFonts w:hint="eastAsia" w:ascii="宋体" w:hAnsi="宋体"/>
                <w:sz w:val="22"/>
              </w:rPr>
              <w:t>合国家现行标准（详见第三章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r>
              <w:rPr>
                <w:rFonts w:hint="eastAsia" w:ascii="宋体" w:hAnsi="宋体" w:cs="Calibri"/>
                <w:kern w:val="0"/>
                <w:sz w:val="22"/>
              </w:rPr>
              <w:t>2019年  月  日9</w:t>
            </w:r>
            <w:r>
              <w:rPr>
                <w:rFonts w:ascii="宋体" w:hAnsi="宋体" w:cs="Calibri"/>
                <w:kern w:val="0"/>
                <w:sz w:val="22"/>
              </w:rPr>
              <w:t>:00</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 年</w:t>
            </w:r>
            <w:r>
              <w:rPr>
                <w:rFonts w:hint="eastAsia" w:ascii="宋体" w:hAnsi="宋体" w:cs="Calibri"/>
                <w:kern w:val="0"/>
                <w:sz w:val="22"/>
                <w:lang w:val="en-US" w:eastAsia="zh-CN"/>
              </w:rPr>
              <w:t>7</w:t>
            </w:r>
            <w:r>
              <w:rPr>
                <w:rFonts w:hint="eastAsia" w:ascii="宋体" w:hAnsi="宋体" w:cs="Calibri"/>
                <w:kern w:val="0"/>
                <w:sz w:val="22"/>
              </w:rPr>
              <w:t>月</w:t>
            </w:r>
            <w:r>
              <w:rPr>
                <w:rFonts w:hint="eastAsia" w:ascii="宋体" w:hAnsi="宋体" w:cs="Calibri"/>
                <w:kern w:val="0"/>
                <w:sz w:val="22"/>
                <w:lang w:val="en-US" w:eastAsia="zh-CN"/>
              </w:rPr>
              <w:t>18</w:t>
            </w:r>
            <w:r>
              <w:rPr>
                <w:rFonts w:hint="eastAsia" w:ascii="宋体" w:hAnsi="宋体" w:cs="Calibri"/>
                <w:kern w:val="0"/>
                <w:sz w:val="22"/>
              </w:rPr>
              <w:t>日11：30前，以书面加盖公章的形式通过E-mail或传真提交给招标人（投标联系人:褚建国，电话0571-83833144；传真：</w:t>
            </w:r>
            <w:r>
              <w:rPr>
                <w:rFonts w:ascii="宋体" w:hAnsi="宋体" w:cs="Calibri"/>
                <w:kern w:val="0"/>
                <w:sz w:val="22"/>
              </w:rPr>
              <w:t>0571-</w:t>
            </w:r>
            <w:r>
              <w:rPr>
                <w:rFonts w:hint="eastAsia" w:ascii="宋体" w:hAnsi="宋体" w:cs="Calibri"/>
                <w:kern w:val="0"/>
                <w:sz w:val="22"/>
              </w:rPr>
              <w:t>86661149；电子邮箱：406498787@qq.com）投标人必须在规定时间前提出对招标文件的疑问，否则招标人有权拒绝接收和拒绝回答未在截止时间前提出的疑问。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lang w:eastAsia="zh-CN"/>
              </w:rPr>
              <w:t>2019年7月22日上午9时30分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36586447"/>
            <w:bookmarkStart w:id="37" w:name="_Toc22617528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lang w:val="zh-CN"/>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杭州萧山国际机场中央空调系统变频器维修</w:t>
            </w:r>
            <w:r>
              <w:rPr>
                <w:rFonts w:ascii="宋体" w:hAnsi="宋体" w:cs="Calibri"/>
                <w:kern w:val="0"/>
                <w:sz w:val="22"/>
                <w:u w:val="single"/>
              </w:rPr>
              <w:t>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Calibri"/>
                <w:kern w:val="0"/>
                <w:sz w:val="22"/>
                <w:u w:val="single"/>
                <w:lang w:eastAsia="zh-CN"/>
              </w:rPr>
              <w:t>2019年7月22日上午9时30分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评标专家确定方式：评标委员会成员招标人自行组建。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w:t>
            </w:r>
            <w:r>
              <w:rPr>
                <w:rFonts w:ascii="宋体" w:hAnsi="宋体"/>
                <w:sz w:val="22"/>
              </w:rPr>
              <w:t>10</w:t>
            </w:r>
            <w:r>
              <w:rPr>
                <w:rFonts w:hint="eastAsia" w:ascii="宋体" w:hAnsi="宋体"/>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vAlign w:val="center"/>
          </w:tcPr>
          <w:p>
            <w:pPr>
              <w:pStyle w:val="34"/>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ascii="宋体" w:hAnsi="宋体" w:cs="Calibri"/>
                <w:snapToGrid w:val="0"/>
                <w:kern w:val="0"/>
                <w:sz w:val="22"/>
              </w:rPr>
              <w:t>异议</w:t>
            </w:r>
            <w:r>
              <w:rPr>
                <w:rFonts w:ascii="宋体" w:hAnsi="宋体" w:cs="Calibri"/>
                <w:snapToGrid w:val="0"/>
                <w:kern w:val="0"/>
                <w:sz w:val="22"/>
              </w:rPr>
              <w:t>。</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34"/>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7"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48"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0"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5241"/>
      <w:bookmarkStart w:id="52" w:name="_Toc143421657"/>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sz w:val="22"/>
        </w:rPr>
      </w:pPr>
      <w:bookmarkStart w:id="55"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8870"/>
      <w:bookmarkStart w:id="57" w:name="_Toc143421658"/>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firstLineChars="200"/>
        <w:rPr>
          <w:rFonts w:ascii="宋体" w:hAnsi="宋体" w:cs="Calibri"/>
          <w:kern w:val="0"/>
          <w:sz w:val="22"/>
        </w:rPr>
      </w:pPr>
      <w:bookmarkStart w:id="61" w:name="_Toc13307"/>
      <w:r>
        <w:rPr>
          <w:rFonts w:ascii="宋体" w:hAnsi="宋体" w:cs="Calibri"/>
          <w:kern w:val="0"/>
          <w:sz w:val="22"/>
        </w:rPr>
        <w:t>3.2.1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3.2.4投标报价的其他要求</w:t>
      </w:r>
      <w:r>
        <w:rPr>
          <w:rFonts w:hint="eastAsia" w:ascii="宋体" w:hAnsi="宋体" w:cs="Calibri"/>
          <w:kern w:val="0"/>
          <w:sz w:val="22"/>
        </w:rPr>
        <w:t>：</w:t>
      </w:r>
      <w:r>
        <w:rPr>
          <w:rFonts w:hint="eastAsia" w:ascii="宋体" w:hAnsi="宋体" w:cs="Calibri"/>
          <w:b/>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b/>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10个工作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1" w:name="_Toc219809801"/>
      <w:bookmarkStart w:id="82" w:name="_Toc220123241"/>
      <w:bookmarkStart w:id="83"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b/>
          <w:kern w:val="0"/>
          <w:sz w:val="22"/>
        </w:rPr>
      </w:pPr>
      <w:r>
        <w:rPr>
          <w:rFonts w:hint="eastAsia" w:ascii="宋体" w:hAnsi="宋体" w:cs="Calibri"/>
          <w:kern w:val="0"/>
          <w:sz w:val="22"/>
        </w:rPr>
        <w:t xml:space="preserve">7.4.3 </w:t>
      </w:r>
      <w:r>
        <w:rPr>
          <w:rFonts w:hint="eastAsia" w:ascii="宋体" w:hAnsi="宋体" w:cs="Calibri"/>
          <w:b/>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 xml:space="preserve">7.4.4 </w:t>
      </w:r>
      <w:r>
        <w:rPr>
          <w:rFonts w:hint="eastAsia" w:ascii="宋体" w:hAnsi="宋体" w:cs="Calibri"/>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19809802"/>
      <w:bookmarkStart w:id="85" w:name="_Toc15553"/>
      <w:bookmarkStart w:id="86" w:name="_Toc220123242"/>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20123243"/>
      <w:bookmarkStart w:id="88" w:name="_Toc219809803"/>
      <w:bookmarkStart w:id="89" w:name="_Toc18806"/>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15941254"/>
      <w:bookmarkStart w:id="91" w:name="_Toc2986"/>
      <w:bookmarkStart w:id="92" w:name="_Toc220123244"/>
      <w:bookmarkStart w:id="93" w:name="_Toc219809804"/>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5509"/>
      <w:bookmarkStart w:id="96" w:name="_Toc220123245"/>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10820"/>
      <w:bookmarkStart w:id="99" w:name="_Toc220123246"/>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220123247"/>
      <w:bookmarkStart w:id="101" w:name="_Toc10756"/>
      <w:bookmarkStart w:id="102" w:name="_Toc219809807"/>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219809808"/>
      <w:bookmarkStart w:id="104" w:name="_Toc12792"/>
      <w:bookmarkStart w:id="105" w:name="_Toc220123248"/>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19809809"/>
      <w:bookmarkStart w:id="107" w:name="_Toc239"/>
      <w:bookmarkStart w:id="108" w:name="_Toc22012324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sz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ascii="宋体" w:hAnsi="宋体" w:cs="Calibri"/>
          <w:sz w:val="22"/>
        </w:rPr>
        <w:t>需要补充的其他内容：见投标人须知前附表。</w:t>
      </w:r>
    </w:p>
    <w:p>
      <w:pPr>
        <w:pStyle w:val="2"/>
        <w:spacing w:before="0" w:after="0" w:line="360" w:lineRule="auto"/>
        <w:jc w:val="center"/>
        <w:rPr>
          <w:rFonts w:ascii="Calibri" w:hAnsi="Calibri" w:eastAsia="黑体" w:cs="Calibri"/>
          <w:kern w:val="0"/>
          <w:sz w:val="32"/>
        </w:rPr>
      </w:pPr>
      <w:bookmarkStart w:id="110" w:name="_Toc213036227"/>
      <w:bookmarkStart w:id="111" w:name="_Toc2233275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spacing w:line="360" w:lineRule="auto"/>
        <w:ind w:firstLine="361" w:firstLineChars="150"/>
        <w:rPr>
          <w:rFonts w:ascii="宋体" w:cs="宋体"/>
          <w:b/>
          <w:sz w:val="24"/>
        </w:rPr>
      </w:pPr>
      <w:r>
        <w:rPr>
          <w:rFonts w:hint="eastAsia" w:ascii="宋体" w:hAnsi="宋体" w:cs="宋体"/>
          <w:b/>
          <w:sz w:val="24"/>
        </w:rPr>
        <w:t>（一）编制维修计划</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rPr>
        <w:t>、编制维修方案。</w:t>
      </w:r>
    </w:p>
    <w:p>
      <w:pPr>
        <w:spacing w:line="360" w:lineRule="auto"/>
        <w:ind w:firstLine="480" w:firstLineChars="200"/>
        <w:rPr>
          <w:rFonts w:ascii="宋体" w:hAnsi="宋体"/>
          <w:sz w:val="24"/>
        </w:rPr>
      </w:pPr>
      <w:r>
        <w:rPr>
          <w:rFonts w:hint="eastAsia" w:ascii="宋体" w:hAnsi="宋体"/>
          <w:sz w:val="24"/>
        </w:rPr>
        <w:t>2、与招标方协商拟订维修日程计划。</w:t>
      </w:r>
    </w:p>
    <w:p>
      <w:pPr>
        <w:spacing w:line="360" w:lineRule="auto"/>
        <w:ind w:firstLine="361" w:firstLineChars="150"/>
        <w:rPr>
          <w:rFonts w:ascii="宋体" w:hAnsi="宋体" w:cs="宋体"/>
          <w:b/>
          <w:sz w:val="24"/>
        </w:rPr>
      </w:pPr>
      <w:r>
        <w:rPr>
          <w:rFonts w:hint="eastAsia" w:ascii="宋体" w:hAnsi="宋体" w:cs="宋体"/>
          <w:b/>
          <w:sz w:val="24"/>
        </w:rPr>
        <w:t>（二）维修要求</w:t>
      </w:r>
    </w:p>
    <w:p>
      <w:pPr>
        <w:spacing w:line="360" w:lineRule="auto"/>
        <w:ind w:firstLine="480" w:firstLineChars="200"/>
        <w:rPr>
          <w:rFonts w:ascii="宋体" w:hAnsi="宋体"/>
          <w:sz w:val="24"/>
        </w:rPr>
      </w:pPr>
      <w:r>
        <w:rPr>
          <w:rFonts w:hint="eastAsia" w:ascii="宋体" w:hAnsi="宋体"/>
          <w:sz w:val="24"/>
        </w:rPr>
        <w:t>1、维修内容</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1842"/>
        <w:gridCol w:w="1701"/>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序号</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维修部件</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变频器型号</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数量</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2</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3</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6</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12</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5</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HD30N4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9</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6</w:t>
            </w:r>
          </w:p>
        </w:tc>
        <w:tc>
          <w:tcPr>
            <w:tcW w:w="141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184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HD45N4</w:t>
            </w:r>
          </w:p>
        </w:tc>
        <w:tc>
          <w:tcPr>
            <w:tcW w:w="170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w:t>
            </w:r>
          </w:p>
        </w:tc>
        <w:tc>
          <w:tcPr>
            <w:tcW w:w="3850"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bl>
    <w:p>
      <w:pPr>
        <w:spacing w:line="360" w:lineRule="auto"/>
        <w:rPr>
          <w:rFonts w:ascii="宋体" w:hAnsi="宋体"/>
          <w:sz w:val="24"/>
        </w:rPr>
      </w:pPr>
    </w:p>
    <w:p>
      <w:pPr>
        <w:spacing w:line="360" w:lineRule="auto"/>
        <w:ind w:firstLine="480" w:firstLineChars="200"/>
        <w:rPr>
          <w:rFonts w:ascii="宋体" w:hAnsi="宋体"/>
          <w:sz w:val="24"/>
        </w:rPr>
      </w:pPr>
      <w:r>
        <w:rPr>
          <w:rFonts w:hint="eastAsia" w:ascii="宋体" w:hAnsi="宋体"/>
          <w:sz w:val="24"/>
        </w:rPr>
        <w:t>2、维修要求</w:t>
      </w:r>
    </w:p>
    <w:p>
      <w:pPr>
        <w:pStyle w:val="147"/>
        <w:numPr>
          <w:ilvl w:val="0"/>
          <w:numId w:val="1"/>
        </w:numPr>
        <w:spacing w:line="360" w:lineRule="auto"/>
        <w:ind w:firstLineChars="0"/>
        <w:rPr>
          <w:rFonts w:ascii="宋体" w:hAnsi="宋体"/>
          <w:sz w:val="24"/>
        </w:rPr>
      </w:pPr>
      <w:r>
        <w:rPr>
          <w:rFonts w:hint="eastAsia" w:ascii="宋体" w:hAnsi="宋体"/>
          <w:sz w:val="24"/>
        </w:rPr>
        <w:t>根据招标要求，维修技术人员现场更换变频器型号配套的电源板和散热风机，</w:t>
      </w:r>
      <w:r>
        <w:rPr>
          <w:rFonts w:hint="eastAsia" w:ascii="宋体" w:hAnsi="宋体" w:cs="Arial"/>
          <w:kern w:val="0"/>
          <w:sz w:val="22"/>
        </w:rPr>
        <w:t>维修人员必须持有低压电工作业证，严格按照相关规程开展维修工作并服从招标人的管理和安排</w:t>
      </w:r>
      <w:r>
        <w:rPr>
          <w:rFonts w:hint="eastAsia" w:ascii="宋体" w:hAnsi="宋体"/>
          <w:sz w:val="24"/>
        </w:rPr>
        <w:t>。</w:t>
      </w:r>
    </w:p>
    <w:p>
      <w:pPr>
        <w:pStyle w:val="147"/>
        <w:numPr>
          <w:ilvl w:val="0"/>
          <w:numId w:val="1"/>
        </w:numPr>
        <w:spacing w:line="360" w:lineRule="auto"/>
        <w:ind w:firstLineChars="0"/>
        <w:rPr>
          <w:rFonts w:ascii="宋体" w:hAnsi="宋体" w:cs="Arial"/>
          <w:kern w:val="0"/>
          <w:sz w:val="22"/>
        </w:rPr>
      </w:pPr>
      <w:r>
        <w:rPr>
          <w:rFonts w:hint="eastAsia" w:ascii="宋体" w:hAnsi="宋体" w:cs="Arial"/>
          <w:kern w:val="0"/>
          <w:sz w:val="22"/>
        </w:rPr>
        <w:t>部分维修涉及机场运行隔离区，投标方服务时应严格遵守招标方有关规章制度及管理规定, 在项目实施期间，必须严格执行民航总局第191号令《民用机场运行安全管理规定》、《机坪运行管理规定》和《机坪车辆行驶管理手册》，做好机坪外来物防范措施，由投标方造成的一切人身安全责任事故、影响机场飞行、空防安全及机场设施、设备损坏事故，均由投标方负责。</w:t>
      </w:r>
    </w:p>
    <w:p>
      <w:pPr>
        <w:pStyle w:val="147"/>
        <w:numPr>
          <w:ilvl w:val="0"/>
          <w:numId w:val="1"/>
        </w:numPr>
        <w:spacing w:line="360" w:lineRule="auto"/>
        <w:ind w:firstLineChars="0"/>
        <w:rPr>
          <w:rFonts w:ascii="宋体" w:hAnsi="宋体"/>
          <w:sz w:val="24"/>
        </w:rPr>
      </w:pPr>
      <w:r>
        <w:rPr>
          <w:rFonts w:hint="eastAsia" w:ascii="宋体" w:hAnsi="宋体"/>
          <w:sz w:val="24"/>
        </w:rPr>
        <w:t>每台设备维修后进行一次运行测试：</w:t>
      </w:r>
    </w:p>
    <w:p>
      <w:pPr>
        <w:widowControl/>
        <w:numPr>
          <w:ilvl w:val="0"/>
          <w:numId w:val="2"/>
        </w:numPr>
        <w:spacing w:line="360" w:lineRule="auto"/>
        <w:ind w:right="23"/>
        <w:jc w:val="left"/>
        <w:rPr>
          <w:rFonts w:ascii="宋体" w:hAnsi="宋体"/>
          <w:sz w:val="24"/>
        </w:rPr>
      </w:pPr>
      <w:r>
        <w:rPr>
          <w:rFonts w:hint="eastAsia" w:ascii="宋体" w:hAnsi="宋体"/>
          <w:sz w:val="24"/>
        </w:rPr>
        <w:t>进行一次变频器硬件测试：</w:t>
      </w:r>
    </w:p>
    <w:p>
      <w:pPr>
        <w:widowControl/>
        <w:numPr>
          <w:ilvl w:val="0"/>
          <w:numId w:val="3"/>
        </w:numPr>
        <w:spacing w:line="360" w:lineRule="auto"/>
        <w:ind w:right="23"/>
        <w:jc w:val="left"/>
        <w:rPr>
          <w:rFonts w:ascii="宋体" w:hAnsi="宋体"/>
          <w:sz w:val="24"/>
        </w:rPr>
      </w:pPr>
      <w:r>
        <w:rPr>
          <w:rFonts w:hint="eastAsia" w:ascii="宋体" w:hAnsi="宋体"/>
          <w:sz w:val="24"/>
        </w:rPr>
        <w:t>整流模块测试</w:t>
      </w:r>
    </w:p>
    <w:p>
      <w:pPr>
        <w:widowControl/>
        <w:numPr>
          <w:ilvl w:val="0"/>
          <w:numId w:val="3"/>
        </w:numPr>
        <w:spacing w:line="360" w:lineRule="auto"/>
        <w:ind w:right="23"/>
        <w:jc w:val="left"/>
        <w:rPr>
          <w:rFonts w:ascii="宋体" w:hAnsi="宋体"/>
          <w:sz w:val="24"/>
        </w:rPr>
      </w:pPr>
      <w:r>
        <w:rPr>
          <w:rFonts w:hint="eastAsia" w:ascii="宋体" w:hAnsi="宋体"/>
          <w:sz w:val="24"/>
        </w:rPr>
        <w:t>逆变模块测试</w:t>
      </w:r>
    </w:p>
    <w:p>
      <w:pPr>
        <w:widowControl/>
        <w:numPr>
          <w:ilvl w:val="0"/>
          <w:numId w:val="3"/>
        </w:numPr>
        <w:spacing w:line="360" w:lineRule="auto"/>
        <w:ind w:right="23"/>
        <w:jc w:val="left"/>
        <w:rPr>
          <w:rFonts w:ascii="宋体" w:hAnsi="宋体"/>
          <w:sz w:val="24"/>
        </w:rPr>
      </w:pPr>
      <w:r>
        <w:rPr>
          <w:rFonts w:hint="eastAsia" w:ascii="宋体" w:hAnsi="宋体"/>
          <w:sz w:val="24"/>
        </w:rPr>
        <w:t>绝缘测试</w:t>
      </w:r>
    </w:p>
    <w:p>
      <w:pPr>
        <w:widowControl/>
        <w:numPr>
          <w:ilvl w:val="0"/>
          <w:numId w:val="2"/>
        </w:numPr>
        <w:spacing w:line="360" w:lineRule="auto"/>
        <w:ind w:right="23"/>
        <w:jc w:val="left"/>
        <w:rPr>
          <w:rFonts w:ascii="宋体" w:hAnsi="宋体"/>
          <w:sz w:val="24"/>
        </w:rPr>
      </w:pPr>
      <w:r>
        <w:rPr>
          <w:rFonts w:hint="eastAsia" w:ascii="宋体" w:hAnsi="宋体"/>
          <w:sz w:val="24"/>
        </w:rPr>
        <w:t>进行一次变频器运行观察：</w:t>
      </w:r>
    </w:p>
    <w:p>
      <w:pPr>
        <w:widowControl/>
        <w:numPr>
          <w:ilvl w:val="0"/>
          <w:numId w:val="4"/>
        </w:numPr>
        <w:spacing w:line="360" w:lineRule="auto"/>
        <w:ind w:right="23"/>
        <w:jc w:val="left"/>
        <w:rPr>
          <w:rFonts w:ascii="宋体" w:hAnsi="宋体"/>
          <w:sz w:val="24"/>
        </w:rPr>
      </w:pPr>
      <w:r>
        <w:rPr>
          <w:rFonts w:hint="eastAsia" w:ascii="宋体" w:hAnsi="宋体"/>
          <w:sz w:val="24"/>
        </w:rPr>
        <w:t>输出电压情况</w:t>
      </w:r>
    </w:p>
    <w:p>
      <w:pPr>
        <w:widowControl/>
        <w:numPr>
          <w:ilvl w:val="0"/>
          <w:numId w:val="4"/>
        </w:numPr>
        <w:spacing w:line="360" w:lineRule="auto"/>
        <w:ind w:right="23"/>
        <w:jc w:val="left"/>
        <w:rPr>
          <w:rFonts w:ascii="宋体" w:hAnsi="宋体"/>
          <w:sz w:val="24"/>
        </w:rPr>
      </w:pPr>
      <w:r>
        <w:rPr>
          <w:rFonts w:hint="eastAsia" w:ascii="宋体" w:hAnsi="宋体"/>
          <w:sz w:val="24"/>
        </w:rPr>
        <w:t>电源电压情况</w:t>
      </w:r>
    </w:p>
    <w:p>
      <w:pPr>
        <w:widowControl/>
        <w:numPr>
          <w:ilvl w:val="0"/>
          <w:numId w:val="4"/>
        </w:numPr>
        <w:spacing w:line="360" w:lineRule="auto"/>
        <w:ind w:right="23"/>
        <w:jc w:val="left"/>
        <w:rPr>
          <w:rFonts w:ascii="宋体" w:hAnsi="宋体"/>
          <w:sz w:val="24"/>
        </w:rPr>
      </w:pPr>
      <w:r>
        <w:rPr>
          <w:rFonts w:hint="eastAsia" w:ascii="宋体" w:hAnsi="宋体"/>
          <w:sz w:val="24"/>
        </w:rPr>
        <w:t>输出电流情况</w:t>
      </w:r>
    </w:p>
    <w:p>
      <w:pPr>
        <w:widowControl/>
        <w:numPr>
          <w:ilvl w:val="0"/>
          <w:numId w:val="4"/>
        </w:numPr>
        <w:spacing w:line="360" w:lineRule="auto"/>
        <w:ind w:right="23"/>
        <w:jc w:val="left"/>
        <w:rPr>
          <w:rFonts w:ascii="宋体" w:hAnsi="宋体"/>
          <w:sz w:val="24"/>
        </w:rPr>
      </w:pPr>
      <w:r>
        <w:rPr>
          <w:rFonts w:hint="eastAsia" w:ascii="宋体" w:hAnsi="宋体"/>
          <w:sz w:val="24"/>
        </w:rPr>
        <w:t>进线电流情况</w:t>
      </w:r>
    </w:p>
    <w:p>
      <w:pPr>
        <w:pStyle w:val="147"/>
        <w:numPr>
          <w:ilvl w:val="0"/>
          <w:numId w:val="5"/>
        </w:numPr>
        <w:spacing w:line="360" w:lineRule="auto"/>
        <w:ind w:firstLineChars="0"/>
        <w:rPr>
          <w:rFonts w:ascii="宋体" w:hAnsi="宋体"/>
          <w:sz w:val="24"/>
        </w:rPr>
      </w:pPr>
      <w:r>
        <w:rPr>
          <w:rFonts w:hint="eastAsia" w:ascii="宋体" w:hAnsi="宋体"/>
          <w:sz w:val="24"/>
        </w:rPr>
        <w:t>维修项目完成后，投标人须对维修硬件进行参数设置和数据评估，形成维修报告交由招标人。</w:t>
      </w:r>
    </w:p>
    <w:p>
      <w:pPr>
        <w:ind w:firstLine="480" w:firstLineChars="200"/>
        <w:rPr>
          <w:rFonts w:ascii="宋体" w:hAnsi="宋体"/>
          <w:sz w:val="24"/>
        </w:rPr>
      </w:pPr>
      <w:r>
        <w:rPr>
          <w:rFonts w:hint="eastAsia" w:ascii="宋体" w:hAnsi="宋体"/>
          <w:sz w:val="24"/>
        </w:rPr>
        <w:t>3、维修部件要求</w:t>
      </w:r>
    </w:p>
    <w:p>
      <w:pPr>
        <w:tabs>
          <w:tab w:val="left" w:pos="720"/>
        </w:tabs>
        <w:autoSpaceDE w:val="0"/>
        <w:autoSpaceDN w:val="0"/>
        <w:adjustRightInd w:val="0"/>
        <w:ind w:firstLine="420" w:firstLineChars="200"/>
        <w:jc w:val="left"/>
        <w:rPr>
          <w:rFonts w:ascii="宋体" w:hAnsi="宋体"/>
          <w:sz w:val="24"/>
        </w:rPr>
      </w:pPr>
      <w:r>
        <w:rPr>
          <w:rFonts w:hint="eastAsia" w:ascii="宋体" w:hAnsi="宋体"/>
        </w:rPr>
        <w:t>★</w:t>
      </w:r>
      <w:r>
        <w:rPr>
          <w:rFonts w:hint="eastAsia" w:ascii="宋体" w:hAnsi="宋体"/>
          <w:sz w:val="24"/>
        </w:rPr>
        <w:t>投标人提供的维修零部件必须是施耐德的原厂配套部件或原厂指定使用品牌，要求投标人提供有关产品是否为原厂部件或原厂指定使用品牌的证明文件（货源渠道证明或施奈德维修授权证明）。</w:t>
      </w:r>
    </w:p>
    <w:p>
      <w:pPr>
        <w:spacing w:line="360" w:lineRule="auto"/>
        <w:ind w:left="480"/>
        <w:rPr>
          <w:rFonts w:ascii="宋体" w:cs="宋体"/>
          <w:b/>
          <w:sz w:val="24"/>
        </w:rPr>
      </w:pPr>
      <w:r>
        <w:rPr>
          <w:rFonts w:hint="eastAsia" w:ascii="宋体" w:hAnsi="宋体" w:cs="宋体"/>
          <w:b/>
          <w:sz w:val="24"/>
        </w:rPr>
        <w:t>（三）保修期故障处理</w:t>
      </w:r>
    </w:p>
    <w:p>
      <w:pPr>
        <w:widowControl/>
        <w:ind w:left="239" w:leftChars="114" w:firstLine="480" w:firstLineChars="200"/>
        <w:jc w:val="left"/>
        <w:rPr>
          <w:rFonts w:ascii="宋体" w:hAnsi="宋体"/>
          <w:sz w:val="24"/>
        </w:rPr>
      </w:pPr>
      <w:r>
        <w:rPr>
          <w:rFonts w:hint="eastAsia" w:ascii="宋体" w:hAnsi="宋体"/>
          <w:sz w:val="24"/>
        </w:rPr>
        <w:t>更换的零部件,在免费保修期内，投标方需提供7*24小时响应服务，电话应及时响应，投标方在接到招标方要求后，应派遣售后服务工程师于4小时内到达现场，对于常规问题投标方保证在到达现场后在24小时内处理。在免费保修期结束时，须由中标方专业工程师对所提供的设备单独进行一次全面测试和检查，任何缺陷必须由中标方免费修理，并得到业主认可,免费保修期为1年。</w:t>
      </w:r>
    </w:p>
    <w:p>
      <w:pPr>
        <w:widowControl/>
        <w:ind w:left="239" w:leftChars="114" w:firstLine="480" w:firstLineChars="200"/>
        <w:jc w:val="left"/>
        <w:rPr>
          <w:rFonts w:ascii="宋体" w:hAnsi="宋体"/>
          <w:sz w:val="24"/>
        </w:rPr>
      </w:pPr>
    </w:p>
    <w:p>
      <w:pPr>
        <w:spacing w:line="360" w:lineRule="auto"/>
        <w:ind w:firstLine="472" w:firstLineChars="196"/>
        <w:rPr>
          <w:rFonts w:ascii="宋体" w:cs="宋体"/>
          <w:b/>
          <w:sz w:val="24"/>
        </w:rPr>
      </w:pPr>
      <w:r>
        <w:rPr>
          <w:rFonts w:hint="eastAsia" w:ascii="宋体" w:hAnsi="宋体" w:cs="宋体"/>
          <w:b/>
          <w:sz w:val="24"/>
        </w:rPr>
        <w:t>（四）理论培训与咨询服务</w:t>
      </w:r>
    </w:p>
    <w:p>
      <w:pPr>
        <w:widowControl/>
        <w:ind w:left="239" w:leftChars="114" w:firstLine="480" w:firstLineChars="200"/>
        <w:jc w:val="left"/>
        <w:rPr>
          <w:rFonts w:eastAsia="黑体" w:cs="Calibri"/>
          <w:b/>
          <w:bCs/>
          <w:kern w:val="0"/>
          <w:sz w:val="32"/>
          <w:szCs w:val="44"/>
        </w:rPr>
      </w:pPr>
      <w:r>
        <w:rPr>
          <w:rFonts w:hint="eastAsia" w:ascii="宋体" w:hAnsi="宋体"/>
          <w:sz w:val="24"/>
        </w:rPr>
        <w:t>投标方在提供维修的同时，需提供专业技术的培训咨询服务，咨询包括不限于以下内容：变频器的运行原理，基本操作和维护保养说明和常见问题应急解决。</w:t>
      </w:r>
    </w:p>
    <w:p>
      <w:pPr>
        <w:jc w:val="left"/>
      </w:pPr>
      <w:r>
        <w:br w:type="page"/>
      </w:r>
    </w:p>
    <w:p>
      <w:pPr>
        <w:pStyle w:val="2"/>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杭州萧山国际机场【中央空调系统变频器维修】项目合同</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甲方：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乙方：</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住所地：</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第一部分  协议书</w:t>
      </w:r>
    </w:p>
    <w:p>
      <w:pPr>
        <w:spacing w:line="560" w:lineRule="exact"/>
        <w:ind w:firstLine="560" w:firstLineChars="20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根据《中华人民共和国合同法》及有关法律规定，遵循平等、自愿、公平和诚实信用的原则，双方就</w:t>
      </w:r>
      <w:r>
        <w:rPr>
          <w:rFonts w:hint="eastAsia" w:ascii="仿宋_GB2312" w:hAnsi="仿宋_GB2312" w:eastAsia="仿宋_GB2312" w:cs="仿宋_GB2312"/>
          <w:sz w:val="28"/>
          <w:szCs w:val="28"/>
          <w:u w:val="single"/>
        </w:rPr>
        <w:t xml:space="preserve">  杭州萧山国际机场中央空调系统变频器维修  </w:t>
      </w:r>
      <w:r>
        <w:rPr>
          <w:rFonts w:hint="eastAsia" w:ascii="仿宋_GB2312" w:hAnsi="仿宋_GB2312" w:eastAsia="仿宋_GB2312" w:cs="仿宋_GB2312"/>
          <w:sz w:val="28"/>
          <w:szCs w:val="28"/>
        </w:rPr>
        <w:t>项目及有关事项友好协商一致，共同达成如下协议：</w:t>
      </w:r>
      <w:r>
        <w:rPr>
          <w:rFonts w:hint="eastAsia" w:ascii="仿宋_GB2312" w:hAnsi="仿宋_GB2312" w:eastAsia="仿宋_GB2312" w:cs="仿宋_GB2312"/>
          <w:color w:val="000000"/>
          <w:sz w:val="28"/>
          <w:szCs w:val="28"/>
        </w:rPr>
        <w:t xml:space="preserve"> </w:t>
      </w:r>
    </w:p>
    <w:p>
      <w:pPr>
        <w:spacing w:line="560" w:lineRule="exact"/>
        <w:jc w:val="left"/>
        <w:rPr>
          <w:rFonts w:ascii="仿宋_GB2312" w:hAnsi="仿宋_GB2312" w:eastAsia="仿宋_GB2312" w:cs="仿宋_GB2312"/>
          <w:b/>
          <w:sz w:val="28"/>
          <w:szCs w:val="28"/>
        </w:rPr>
      </w:pPr>
    </w:p>
    <w:p>
      <w:pPr>
        <w:pStyle w:val="148"/>
        <w:widowControl/>
        <w:numPr>
          <w:ilvl w:val="0"/>
          <w:numId w:val="6"/>
        </w:numPr>
        <w:spacing w:line="560" w:lineRule="exact"/>
        <w:ind w:firstLineChars="0"/>
        <w:jc w:val="left"/>
        <w:rPr>
          <w:rFonts w:ascii="仿宋_GB2312" w:hAnsi="仿宋_GB2312" w:eastAsia="仿宋_GB2312" w:cs="仿宋_GB2312"/>
          <w:b/>
          <w:szCs w:val="28"/>
          <w:u w:val="single"/>
        </w:rPr>
      </w:pPr>
      <w:r>
        <w:rPr>
          <w:rFonts w:hint="eastAsia" w:ascii="仿宋_GB2312" w:hAnsi="仿宋_GB2312" w:eastAsia="仿宋_GB2312" w:cs="仿宋_GB2312"/>
          <w:b/>
          <w:szCs w:val="28"/>
        </w:rPr>
        <w:t>服务概况</w:t>
      </w:r>
    </w:p>
    <w:p>
      <w:pPr>
        <w:pStyle w:val="148"/>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 xml:space="preserve">1.服务内容： </w:t>
      </w:r>
    </w:p>
    <w:tbl>
      <w:tblPr>
        <w:tblStyle w:val="4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2976"/>
        <w:gridCol w:w="1843"/>
        <w:gridCol w:w="2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序号</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维修部件</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变频器型号</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数量</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电源板</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HD90N4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电源板</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HD75N4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散热风机</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HD90N4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散热风机</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HD75N4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12</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散热风机</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HD30N4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1418"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散热风机</w:t>
            </w:r>
          </w:p>
        </w:tc>
        <w:tc>
          <w:tcPr>
            <w:tcW w:w="2976"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ATV 61 HD45N4</w:t>
            </w:r>
          </w:p>
        </w:tc>
        <w:tc>
          <w:tcPr>
            <w:tcW w:w="1843"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2574" w:type="dxa"/>
            <w:vAlign w:val="center"/>
          </w:tcPr>
          <w:p>
            <w:pPr>
              <w:spacing w:line="360" w:lineRule="auto"/>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更换</w:t>
            </w:r>
          </w:p>
        </w:tc>
      </w:tr>
    </w:tbl>
    <w:p>
      <w:pPr>
        <w:spacing w:line="360" w:lineRule="auto"/>
        <w:rPr>
          <w:rFonts w:ascii="仿宋_GB2312" w:hAnsi="仿宋_GB2312" w:eastAsia="仿宋_GB2312" w:cs="仿宋_GB2312"/>
          <w:bCs/>
          <w:sz w:val="28"/>
          <w:szCs w:val="28"/>
        </w:rPr>
      </w:pPr>
    </w:p>
    <w:p>
      <w:pPr>
        <w:pStyle w:val="147"/>
        <w:numPr>
          <w:ilvl w:val="0"/>
          <w:numId w:val="1"/>
        </w:numPr>
        <w:spacing w:line="360" w:lineRule="auto"/>
        <w:ind w:firstLineChars="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每台设备维修后进行一次运行测试：</w:t>
      </w:r>
    </w:p>
    <w:p>
      <w:pPr>
        <w:widowControl/>
        <w:numPr>
          <w:ilvl w:val="0"/>
          <w:numId w:val="7"/>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进行一次变频器硬件测试：</w:t>
      </w:r>
    </w:p>
    <w:p>
      <w:pPr>
        <w:widowControl/>
        <w:numPr>
          <w:ilvl w:val="0"/>
          <w:numId w:val="8"/>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整流模块测试</w:t>
      </w:r>
    </w:p>
    <w:p>
      <w:pPr>
        <w:widowControl/>
        <w:numPr>
          <w:ilvl w:val="0"/>
          <w:numId w:val="8"/>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逆变模块测试</w:t>
      </w:r>
    </w:p>
    <w:p>
      <w:pPr>
        <w:widowControl/>
        <w:numPr>
          <w:ilvl w:val="0"/>
          <w:numId w:val="8"/>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绝缘测试</w:t>
      </w:r>
    </w:p>
    <w:p>
      <w:pPr>
        <w:widowControl/>
        <w:numPr>
          <w:ilvl w:val="0"/>
          <w:numId w:val="7"/>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进行一次变频器运行观察：</w:t>
      </w:r>
    </w:p>
    <w:p>
      <w:pPr>
        <w:widowControl/>
        <w:numPr>
          <w:ilvl w:val="0"/>
          <w:numId w:val="4"/>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输出电压情况</w:t>
      </w:r>
    </w:p>
    <w:p>
      <w:pPr>
        <w:widowControl/>
        <w:numPr>
          <w:ilvl w:val="0"/>
          <w:numId w:val="4"/>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电源电压情况</w:t>
      </w:r>
    </w:p>
    <w:p>
      <w:pPr>
        <w:widowControl/>
        <w:numPr>
          <w:ilvl w:val="0"/>
          <w:numId w:val="4"/>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输出电流情况</w:t>
      </w:r>
    </w:p>
    <w:p>
      <w:pPr>
        <w:widowControl/>
        <w:numPr>
          <w:ilvl w:val="0"/>
          <w:numId w:val="4"/>
        </w:numPr>
        <w:spacing w:line="360" w:lineRule="auto"/>
        <w:ind w:right="23"/>
        <w:jc w:val="lef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进线电流情况</w:t>
      </w:r>
    </w:p>
    <w:p>
      <w:pPr>
        <w:pStyle w:val="148"/>
        <w:widowControl/>
        <w:spacing w:line="560" w:lineRule="exact"/>
        <w:ind w:left="777" w:firstLine="0" w:firstLineChars="0"/>
        <w:jc w:val="left"/>
        <w:rPr>
          <w:rFonts w:ascii="仿宋_GB2312" w:hAnsi="仿宋_GB2312" w:eastAsia="仿宋_GB2312" w:cs="仿宋_GB2312"/>
          <w:szCs w:val="28"/>
        </w:rPr>
      </w:pPr>
    </w:p>
    <w:p>
      <w:pPr>
        <w:pStyle w:val="148"/>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2.服务地点： T3航站楼空调机房</w:t>
      </w:r>
    </w:p>
    <w:p>
      <w:pPr>
        <w:pStyle w:val="148"/>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3.服务形式：维修服务</w:t>
      </w:r>
    </w:p>
    <w:p>
      <w:pPr>
        <w:pStyle w:val="148"/>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服务期限</w:t>
      </w:r>
    </w:p>
    <w:p>
      <w:pPr>
        <w:pStyle w:val="148"/>
        <w:widowControl/>
        <w:spacing w:line="560" w:lineRule="exact"/>
        <w:ind w:left="777" w:firstLine="0" w:firstLineChars="0"/>
        <w:jc w:val="left"/>
        <w:rPr>
          <w:rFonts w:ascii="仿宋_GB2312" w:hAnsi="仿宋_GB2312" w:eastAsia="仿宋_GB2312" w:cs="仿宋_GB2312"/>
          <w:szCs w:val="28"/>
        </w:rPr>
      </w:pPr>
      <w:r>
        <w:rPr>
          <w:rFonts w:hint="eastAsia" w:ascii="仿宋_GB2312" w:hAnsi="仿宋_GB2312" w:eastAsia="仿宋_GB2312" w:cs="仿宋_GB2312"/>
          <w:szCs w:val="28"/>
        </w:rPr>
        <w:t>本项目服务期限采用第</w:t>
      </w:r>
      <w:r>
        <w:rPr>
          <w:rFonts w:hint="eastAsia" w:ascii="仿宋_GB2312" w:hAnsi="仿宋_GB2312" w:eastAsia="仿宋_GB2312" w:cs="仿宋_GB2312"/>
          <w:szCs w:val="28"/>
          <w:u w:val="single"/>
        </w:rPr>
        <w:t xml:space="preserve">   2   </w:t>
      </w:r>
      <w:r>
        <w:rPr>
          <w:rFonts w:hint="eastAsia" w:ascii="仿宋_GB2312" w:hAnsi="仿宋_GB2312" w:eastAsia="仿宋_GB2312" w:cs="仿宋_GB2312"/>
          <w:szCs w:val="28"/>
        </w:rPr>
        <w:t>种方式：</w:t>
      </w:r>
    </w:p>
    <w:p>
      <w:pPr>
        <w:pStyle w:val="14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 xml:space="preserve">  1.本合同采用</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模式，第一年为考核期，有效期限为</w:t>
      </w:r>
      <w:r>
        <w:rPr>
          <w:rFonts w:hint="eastAsia" w:ascii="仿宋_GB2312" w:hAnsi="仿宋_GB2312" w:eastAsia="仿宋_GB2312" w:cs="仿宋_GB2312"/>
          <w:szCs w:val="28"/>
          <w:u w:val="single"/>
        </w:rPr>
        <w:t xml:space="preserve">      /      </w:t>
      </w:r>
      <w:r>
        <w:rPr>
          <w:rFonts w:hint="eastAsia" w:ascii="仿宋_GB2312" w:hAnsi="仿宋_GB2312" w:eastAsia="仿宋_GB2312" w:cs="仿宋_GB2312"/>
          <w:szCs w:val="28"/>
        </w:rPr>
        <w:t>，第一年考核期限届满前60日前，由甲方按照附件【/】对乙方进行考核，经甲方考核后，乙方考核结果达到【/】视为考核合格，则同意乙方续约，合同有效期限自动顺延至【/】。</w:t>
      </w:r>
    </w:p>
    <w:p>
      <w:pPr>
        <w:pStyle w:val="14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若经甲方考核后，乙方考核结果未达到【/】视为考核不合格，则不同意乙方续约，则本合同有效期限至【/】终止。</w:t>
      </w:r>
    </w:p>
    <w:p>
      <w:pPr>
        <w:pStyle w:val="14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考核结果均以甲方确认的结果为准，乙方对此不得提出任何异议，并表示接受考核结果。</w:t>
      </w:r>
    </w:p>
    <w:p>
      <w:pPr>
        <w:pStyle w:val="14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若经甲方考核合格后同意乙方续约，乙方未能在甲方通知乙方可以续约之日起【 /】日内提出书面不续约的申请，则视为乙方违约，甲方有权要求乙方承担         /          违约责任。若在考核合格后，合同自动顺延期间，乙方提出书面不续约申请的，则按照本合同专用条款约定执行。并将乙方列入供应商黑名单。</w:t>
      </w:r>
    </w:p>
    <w:p>
      <w:pPr>
        <w:pStyle w:val="148"/>
        <w:widowControl/>
        <w:spacing w:line="560" w:lineRule="exact"/>
        <w:ind w:firstLine="560"/>
        <w:jc w:val="left"/>
        <w:rPr>
          <w:rFonts w:ascii="仿宋_GB2312" w:hAnsi="仿宋_GB2312" w:eastAsia="仿宋_GB2312" w:cs="仿宋_GB2312"/>
          <w:szCs w:val="28"/>
        </w:rPr>
      </w:pPr>
      <w:r>
        <w:rPr>
          <w:rFonts w:hint="eastAsia" w:ascii="仿宋_GB2312" w:hAnsi="仿宋_GB2312" w:eastAsia="仿宋_GB2312" w:cs="仿宋_GB2312"/>
          <w:szCs w:val="28"/>
        </w:rPr>
        <w:t>2、本合同有效期限为固定期限，有效期限为</w:t>
      </w:r>
      <w:r>
        <w:rPr>
          <w:rFonts w:hint="eastAsia" w:ascii="仿宋_GB2312" w:hAnsi="仿宋_GB2312" w:eastAsia="仿宋_GB2312" w:cs="仿宋_GB2312"/>
          <w:szCs w:val="28"/>
          <w:u w:val="single"/>
        </w:rPr>
        <w:t xml:space="preserve">  </w:t>
      </w:r>
      <w:r>
        <w:rPr>
          <w:rFonts w:ascii="仿宋_GB2312" w:hAnsi="微软雅黑" w:eastAsia="仿宋_GB2312"/>
          <w:color w:val="000000" w:themeColor="text1"/>
          <w:szCs w:val="28"/>
          <w:u w:val="single"/>
        </w:rPr>
        <w:t>2019</w:t>
      </w:r>
      <w:r>
        <w:rPr>
          <w:rFonts w:hint="eastAsia" w:ascii="仿宋_GB2312" w:hAnsi="微软雅黑" w:eastAsia="仿宋_GB2312"/>
          <w:color w:val="000000" w:themeColor="text1"/>
          <w:szCs w:val="28"/>
        </w:rPr>
        <w:t>年</w:t>
      </w:r>
      <w:r>
        <w:rPr>
          <w:rFonts w:ascii="仿宋_GB2312" w:hAnsi="微软雅黑" w:eastAsia="仿宋_GB2312"/>
          <w:color w:val="000000" w:themeColor="text1"/>
          <w:szCs w:val="28"/>
          <w:u w:val="single"/>
        </w:rPr>
        <w:t xml:space="preserve">  </w:t>
      </w:r>
      <w:r>
        <w:rPr>
          <w:rFonts w:hint="eastAsia" w:ascii="仿宋_GB2312" w:hAnsi="微软雅黑" w:eastAsia="仿宋_GB2312"/>
          <w:color w:val="000000" w:themeColor="text1"/>
          <w:szCs w:val="28"/>
        </w:rPr>
        <w:t>月</w:t>
      </w:r>
      <w:r>
        <w:rPr>
          <w:rFonts w:ascii="仿宋_GB2312" w:hAnsi="微软雅黑" w:eastAsia="仿宋_GB2312"/>
          <w:color w:val="000000" w:themeColor="text1"/>
          <w:szCs w:val="28"/>
          <w:u w:val="single"/>
        </w:rPr>
        <w:t xml:space="preserve">   </w:t>
      </w:r>
      <w:r>
        <w:rPr>
          <w:rFonts w:hint="eastAsia" w:ascii="仿宋_GB2312" w:hAnsi="微软雅黑" w:eastAsia="仿宋_GB2312"/>
          <w:color w:val="000000" w:themeColor="text1"/>
          <w:szCs w:val="28"/>
        </w:rPr>
        <w:t>日起至</w:t>
      </w:r>
      <w:r>
        <w:rPr>
          <w:rFonts w:ascii="仿宋_GB2312" w:hAnsi="微软雅黑" w:eastAsia="仿宋_GB2312"/>
          <w:color w:val="000000" w:themeColor="text1"/>
          <w:szCs w:val="28"/>
          <w:u w:val="single"/>
        </w:rPr>
        <w:t>20</w:t>
      </w:r>
      <w:r>
        <w:rPr>
          <w:rFonts w:hint="eastAsia" w:ascii="仿宋_GB2312" w:hAnsi="微软雅黑" w:eastAsia="仿宋_GB2312"/>
          <w:color w:val="000000" w:themeColor="text1"/>
          <w:szCs w:val="28"/>
          <w:u w:val="single"/>
        </w:rPr>
        <w:t>19</w:t>
      </w:r>
      <w:r>
        <w:rPr>
          <w:rFonts w:hint="eastAsia" w:ascii="仿宋_GB2312" w:hAnsi="微软雅黑" w:eastAsia="仿宋_GB2312"/>
          <w:color w:val="000000" w:themeColor="text1"/>
          <w:szCs w:val="28"/>
        </w:rPr>
        <w:t>年</w:t>
      </w:r>
      <w:r>
        <w:rPr>
          <w:rFonts w:ascii="仿宋_GB2312" w:hAnsi="微软雅黑" w:eastAsia="仿宋_GB2312"/>
          <w:color w:val="000000" w:themeColor="text1"/>
          <w:szCs w:val="28"/>
          <w:u w:val="single"/>
        </w:rPr>
        <w:t xml:space="preserve">   </w:t>
      </w:r>
      <w:r>
        <w:rPr>
          <w:rFonts w:hint="eastAsia" w:ascii="仿宋_GB2312" w:hAnsi="微软雅黑" w:eastAsia="仿宋_GB2312"/>
          <w:color w:val="000000" w:themeColor="text1"/>
          <w:szCs w:val="28"/>
        </w:rPr>
        <w:t>月</w:t>
      </w:r>
      <w:r>
        <w:rPr>
          <w:rFonts w:ascii="仿宋_GB2312" w:hAnsi="微软雅黑" w:eastAsia="仿宋_GB2312"/>
          <w:color w:val="000000" w:themeColor="text1"/>
          <w:szCs w:val="28"/>
          <w:u w:val="single"/>
        </w:rPr>
        <w:t xml:space="preserve">    </w:t>
      </w:r>
      <w:r>
        <w:rPr>
          <w:rFonts w:hint="eastAsia" w:ascii="仿宋_GB2312" w:hAnsi="微软雅黑" w:eastAsia="仿宋_GB2312"/>
          <w:color w:val="000000" w:themeColor="text1"/>
          <w:szCs w:val="28"/>
        </w:rPr>
        <w:t>日止</w:t>
      </w:r>
      <w:r>
        <w:rPr>
          <w:rFonts w:hint="eastAsia" w:ascii="仿宋_GB2312" w:hAnsi="仿宋_GB2312" w:eastAsia="仿宋_GB2312" w:cs="仿宋_GB2312"/>
          <w:szCs w:val="28"/>
        </w:rPr>
        <w:t>，合同有效期限届满后自本合同自动终止。</w:t>
      </w:r>
    </w:p>
    <w:p>
      <w:pPr>
        <w:widowControl/>
        <w:spacing w:line="560" w:lineRule="exact"/>
        <w:jc w:val="left"/>
        <w:rPr>
          <w:rFonts w:ascii="仿宋_GB2312" w:hAnsi="仿宋_GB2312" w:eastAsia="仿宋_GB2312" w:cs="仿宋_GB2312"/>
          <w:b/>
          <w:sz w:val="28"/>
          <w:szCs w:val="28"/>
        </w:rPr>
      </w:pPr>
    </w:p>
    <w:p>
      <w:pPr>
        <w:pStyle w:val="148"/>
        <w:widowControl/>
        <w:numPr>
          <w:ilvl w:val="0"/>
          <w:numId w:val="6"/>
        </w:numPr>
        <w:spacing w:line="560" w:lineRule="exact"/>
        <w:ind w:firstLineChars="0"/>
        <w:jc w:val="left"/>
        <w:rPr>
          <w:rFonts w:ascii="仿宋_GB2312" w:hAnsi="仿宋_GB2312" w:eastAsia="仿宋_GB2312" w:cs="仿宋_GB2312"/>
          <w:b/>
          <w:szCs w:val="28"/>
        </w:rPr>
      </w:pPr>
      <w:r>
        <w:rPr>
          <w:rFonts w:hint="eastAsia" w:ascii="仿宋_GB2312" w:hAnsi="仿宋_GB2312" w:eastAsia="仿宋_GB2312" w:cs="仿宋_GB2312"/>
          <w:b/>
          <w:szCs w:val="28"/>
        </w:rPr>
        <w:t>签约合同价与计价方式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本合同采用下述第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种计价方式：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（2）固定单价，预估总价，以实际发生结算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（3）固定总价+固定单价</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签约合同价为：人民币（大写）</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（1）固定总价部分：人民币（大写）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（2）固定单价部分：人民币（大写）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元)；预估总价，人民币（大写）</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元)，以实际发生结算。</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价格清单</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（1）固定总价，其中：</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第一年费用：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第二年费用：</w:t>
      </w:r>
    </w:p>
    <w:p>
      <w:pPr>
        <w:widowControl/>
        <w:spacing w:line="560" w:lineRule="exact"/>
        <w:ind w:firstLine="48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（2）固定单价</w:t>
      </w:r>
    </w:p>
    <w:tbl>
      <w:tblPr>
        <w:tblStyle w:val="44"/>
        <w:tblW w:w="813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名称</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品牌、型号</w:t>
            </w:r>
          </w:p>
        </w:tc>
        <w:tc>
          <w:tcPr>
            <w:tcW w:w="1420"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预估数量</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维保单价</w:t>
            </w:r>
          </w:p>
        </w:tc>
        <w:tc>
          <w:tcPr>
            <w:tcW w:w="1421"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预估总价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28"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0"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c>
          <w:tcPr>
            <w:tcW w:w="1421" w:type="dxa"/>
            <w:shd w:val="clear" w:color="auto" w:fill="auto"/>
          </w:tcPr>
          <w:p>
            <w:pPr>
              <w:widowControl/>
              <w:spacing w:line="56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28" w:type="dxa"/>
            <w:shd w:val="clear" w:color="auto" w:fill="auto"/>
          </w:tcPr>
          <w:p>
            <w:pPr>
              <w:widowControl/>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合计</w:t>
            </w:r>
          </w:p>
        </w:tc>
        <w:tc>
          <w:tcPr>
            <w:tcW w:w="7102" w:type="dxa"/>
            <w:gridSpan w:val="5"/>
            <w:shd w:val="clear" w:color="auto" w:fill="auto"/>
          </w:tcPr>
          <w:p>
            <w:pPr>
              <w:widowControl/>
              <w:spacing w:line="560" w:lineRule="exact"/>
              <w:jc w:val="left"/>
              <w:rPr>
                <w:rFonts w:ascii="仿宋_GB2312" w:hAnsi="仿宋_GB2312" w:eastAsia="仿宋_GB2312" w:cs="仿宋_GB2312"/>
                <w:sz w:val="28"/>
                <w:szCs w:val="28"/>
              </w:rPr>
            </w:pPr>
          </w:p>
        </w:tc>
      </w:tr>
    </w:tbl>
    <w:p>
      <w:pPr>
        <w:widowControl/>
        <w:spacing w:line="560" w:lineRule="exact"/>
        <w:jc w:val="lef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4.以上外包费用已包含了</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themeColor="text1"/>
          <w:sz w:val="28"/>
          <w:szCs w:val="28"/>
          <w:u w:val="single"/>
        </w:rPr>
        <w:t>税费、维保费、运输费、办证费、人力费</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等所有费用。</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5. 其他约定: </w:t>
      </w:r>
      <w:r>
        <w:rPr>
          <w:rFonts w:hint="eastAsia" w:ascii="仿宋_GB2312" w:hAnsi="仿宋_GB2312" w:eastAsia="仿宋_GB2312" w:cs="仿宋_GB2312"/>
          <w:sz w:val="28"/>
          <w:szCs w:val="28"/>
          <w:u w:val="single"/>
        </w:rPr>
        <w:t xml:space="preserve">       无              </w:t>
      </w:r>
    </w:p>
    <w:p>
      <w:pPr>
        <w:spacing w:line="560" w:lineRule="exact"/>
        <w:ind w:firstLine="560" w:firstLineChars="200"/>
        <w:rPr>
          <w:rFonts w:ascii="仿宋_GB2312" w:hAnsi="仿宋_GB2312" w:eastAsia="仿宋_GB2312" w:cs="仿宋_GB2312"/>
          <w:sz w:val="28"/>
          <w:szCs w:val="28"/>
          <w:u w:val="single"/>
        </w:rPr>
      </w:pPr>
    </w:p>
    <w:p>
      <w:pPr>
        <w:widowControl/>
        <w:spacing w:line="560" w:lineRule="exact"/>
        <w:ind w:left="357"/>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四、验收及考核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1、验收方式，本合同采用下属第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种验收方式；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（1）合同履行完毕一次性验收；</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（2）分期验收，每三个月验收一次；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（3）分期验收，每月验收一次；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（4）按实际完成工作节点验收；</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（5）其他：</w:t>
      </w:r>
      <w:r>
        <w:rPr>
          <w:rFonts w:hint="eastAsia" w:ascii="仿宋_GB2312" w:hAnsi="仿宋_GB2312" w:eastAsia="仿宋_GB2312" w:cs="仿宋_GB2312"/>
          <w:sz w:val="28"/>
          <w:szCs w:val="28"/>
          <w:u w:val="single"/>
        </w:rPr>
        <w:t xml:space="preserve">      无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2、维保服务考核方式（不包括续约考核），本合同采用下属第</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种维保服务考核方式：</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（1）先服务后付款：</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A.合同履行完毕一次性考核；</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B.分期考核，每三个月考核一次；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C.分期考核，每月考核一次；</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D.按实际完成工作节点考核；</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E.其他：</w:t>
      </w:r>
      <w:r>
        <w:rPr>
          <w:rFonts w:hint="eastAsia" w:ascii="仿宋_GB2312" w:hAnsi="仿宋_GB2312" w:eastAsia="仿宋_GB2312" w:cs="仿宋_GB2312"/>
          <w:sz w:val="28"/>
          <w:szCs w:val="28"/>
          <w:u w:val="single"/>
        </w:rPr>
        <w:t xml:space="preserve">        /               </w:t>
      </w:r>
    </w:p>
    <w:p>
      <w:pPr>
        <w:widowControl/>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（2）先付款后服务：</w:t>
      </w:r>
    </w:p>
    <w:p>
      <w:pPr>
        <w:widowControl/>
        <w:spacing w:line="560" w:lineRule="exact"/>
        <w:ind w:left="357"/>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 xml:space="preserve">               /                             </w:t>
      </w:r>
    </w:p>
    <w:p>
      <w:pPr>
        <w:widowControl/>
        <w:numPr>
          <w:ilvl w:val="0"/>
          <w:numId w:val="9"/>
        </w:numPr>
        <w:spacing w:line="560" w:lineRule="exact"/>
        <w:ind w:left="357"/>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验收标准分为设备验收与维保服务考核，具体标准详见本合同专用条款。</w:t>
      </w:r>
    </w:p>
    <w:p>
      <w:pPr>
        <w:widowControl/>
        <w:spacing w:line="560" w:lineRule="exact"/>
        <w:jc w:val="left"/>
        <w:rPr>
          <w:rFonts w:ascii="仿宋_GB2312" w:hAnsi="仿宋_GB2312" w:eastAsia="仿宋_GB2312" w:cs="仿宋_GB2312"/>
          <w:sz w:val="28"/>
          <w:szCs w:val="28"/>
        </w:rPr>
      </w:pPr>
    </w:p>
    <w:p>
      <w:pPr>
        <w:widowControl/>
        <w:spacing w:line="560" w:lineRule="exact"/>
        <w:ind w:firstLine="422" w:firstLineChars="15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五、结算与支付</w:t>
      </w:r>
    </w:p>
    <w:p>
      <w:pPr>
        <w:pStyle w:val="148"/>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1. 本合同外包服务费采用以下第</w:t>
      </w:r>
      <w:r>
        <w:rPr>
          <w:rFonts w:hint="eastAsia" w:ascii="仿宋_GB2312" w:hAnsi="仿宋_GB2312" w:eastAsia="仿宋_GB2312" w:cs="仿宋_GB2312"/>
          <w:szCs w:val="28"/>
          <w:u w:val="single"/>
        </w:rPr>
        <w:t xml:space="preserve">     1  </w:t>
      </w:r>
      <w:r>
        <w:rPr>
          <w:rFonts w:hint="eastAsia" w:ascii="仿宋_GB2312" w:hAnsi="仿宋_GB2312" w:eastAsia="仿宋_GB2312" w:cs="仿宋_GB2312"/>
          <w:szCs w:val="28"/>
        </w:rPr>
        <w:t>种结算方式：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（1）服务完成后一次性结算； </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（2）按实际完成服务内容结算：</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（3）按期结算，每期</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月，每期结算金额</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（4）其它结算方式：</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 支付比例或金额</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（1）预付款（本项目 </w:t>
      </w:r>
      <w:r>
        <w:rPr>
          <w:rFonts w:hint="eastAsia" w:ascii="仿宋_GB2312" w:hAnsi="仿宋_GB2312" w:eastAsia="仿宋_GB2312" w:cs="仿宋_GB2312"/>
          <w:sz w:val="28"/>
          <w:szCs w:val="28"/>
        </w:rPr>
        <w:sym w:font="Wingdings" w:char="F0A8"/>
      </w:r>
      <w:r>
        <w:rPr>
          <w:rFonts w:hint="eastAsia" w:ascii="仿宋_GB2312" w:hAnsi="仿宋_GB2312" w:eastAsia="仿宋_GB2312" w:cs="仿宋_GB2312"/>
          <w:sz w:val="28"/>
          <w:szCs w:val="28"/>
        </w:rPr>
        <w:t xml:space="preserve"> 适用  </w:t>
      </w:r>
      <w:r>
        <w:rPr>
          <w:rFonts w:ascii="仿宋_GB2312" w:hAnsi="仿宋_GB2312" w:eastAsia="仿宋_GB2312" w:cs="仿宋_GB2312"/>
          <w:color w:val="000000" w:themeColor="text1"/>
          <w:sz w:val="28"/>
          <w:szCs w:val="28"/>
        </w:rPr>
        <w:sym w:font="Wingdings" w:char="00FE"/>
      </w:r>
      <w:r>
        <w:rPr>
          <w:rFonts w:hint="eastAsia" w:ascii="仿宋_GB2312" w:hAnsi="仿宋_GB2312" w:eastAsia="仿宋_GB2312" w:cs="仿宋_GB2312"/>
          <w:sz w:val="28"/>
          <w:szCs w:val="28"/>
        </w:rPr>
        <w:t>不适用）</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支付比例或金额：</w:t>
      </w:r>
      <w:r>
        <w:rPr>
          <w:rFonts w:hint="eastAsia" w:ascii="仿宋_GB2312" w:hAnsi="仿宋_GB2312" w:eastAsia="仿宋_GB2312" w:cs="仿宋_GB2312"/>
          <w:sz w:val="28"/>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预付款支付期限：合同签订并提交收据后【/】工作日内支付</w:t>
      </w:r>
    </w:p>
    <w:p>
      <w:pPr>
        <w:spacing w:line="560" w:lineRule="exact"/>
        <w:ind w:firstLine="405"/>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预付款扣回的方式：</w:t>
      </w:r>
      <w:r>
        <w:rPr>
          <w:rFonts w:hint="eastAsia" w:ascii="仿宋_GB2312" w:hAnsi="仿宋_GB2312" w:eastAsia="仿宋_GB2312" w:cs="仿宋_GB2312"/>
          <w:sz w:val="28"/>
          <w:szCs w:val="28"/>
          <w:u w:val="single"/>
        </w:rPr>
        <w:t xml:space="preserve">          /             </w:t>
      </w:r>
    </w:p>
    <w:p>
      <w:pPr>
        <w:spacing w:line="560" w:lineRule="exact"/>
        <w:ind w:firstLine="405"/>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（2）合同价款支付</w:t>
      </w:r>
    </w:p>
    <w:p>
      <w:pPr>
        <w:spacing w:line="560" w:lineRule="exact"/>
        <w:ind w:firstLine="405"/>
        <w:rPr>
          <w:rFonts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变频器维修项目完工后经甲方验收合格后且收到乙方开具的正规发票后【15】日内支付项目95%的费用,即大写：      元 小写：¥     元，剩余合同总额5%作为质保金，于甲方验收合格后满一年无息支付。</w:t>
      </w:r>
    </w:p>
    <w:p>
      <w:pPr>
        <w:spacing w:line="560" w:lineRule="exact"/>
        <w:ind w:firstLine="405"/>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 xml:space="preserve">（3）其他 </w:t>
      </w:r>
      <w:r>
        <w:rPr>
          <w:rFonts w:hint="eastAsia" w:ascii="仿宋_GB2312" w:hAnsi="仿宋_GB2312" w:eastAsia="仿宋_GB2312" w:cs="仿宋_GB2312"/>
          <w:color w:val="FF0000"/>
          <w:sz w:val="28"/>
          <w:szCs w:val="28"/>
          <w:u w:val="single"/>
        </w:rPr>
        <w:t xml:space="preserve">                 /                      </w:t>
      </w:r>
    </w:p>
    <w:p>
      <w:pPr>
        <w:pStyle w:val="148"/>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3. 支付时间及条件</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除另有约定外，</w:t>
      </w:r>
      <w:r>
        <w:rPr>
          <w:rFonts w:hint="eastAsia" w:ascii="仿宋_GB2312" w:hAnsi="仿宋_GB2312" w:eastAsia="仿宋_GB2312" w:cs="仿宋_GB2312"/>
          <w:color w:val="000000"/>
          <w:sz w:val="28"/>
          <w:szCs w:val="28"/>
        </w:rPr>
        <w:t>甲方在收到乙方提供的下列支付凭证后【15】个工作日内支付</w:t>
      </w:r>
      <w:r>
        <w:rPr>
          <w:rFonts w:hint="eastAsia" w:ascii="仿宋_GB2312" w:hAnsi="仿宋_GB2312" w:eastAsia="仿宋_GB2312" w:cs="仿宋_GB2312"/>
          <w:sz w:val="28"/>
          <w:szCs w:val="28"/>
        </w:rPr>
        <w:t>，支付时扣除质保金</w:t>
      </w:r>
      <w:r>
        <w:rPr>
          <w:rFonts w:hint="eastAsia" w:ascii="仿宋_GB2312" w:hAnsi="仿宋_GB2312" w:eastAsia="仿宋_GB2312" w:cs="仿宋_GB2312"/>
          <w:color w:val="000000"/>
          <w:sz w:val="28"/>
          <w:szCs w:val="28"/>
        </w:rPr>
        <w:t>：</w:t>
      </w:r>
    </w:p>
    <w:p>
      <w:pPr>
        <w:pStyle w:val="14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（1）付款申请书（含结算资料）</w:t>
      </w:r>
    </w:p>
    <w:p>
      <w:pPr>
        <w:pStyle w:val="14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（2）乙方开具的</w:t>
      </w:r>
      <w:r>
        <w:rPr>
          <w:rFonts w:hint="eastAsia" w:ascii="仿宋_GB2312" w:hAnsi="仿宋_GB2312" w:eastAsia="仿宋_GB2312" w:cs="仿宋_GB2312"/>
          <w:szCs w:val="28"/>
          <w:u w:val="single"/>
        </w:rPr>
        <w:t xml:space="preserve">  </w:t>
      </w:r>
      <w:r>
        <w:rPr>
          <w:rFonts w:ascii="仿宋_GB2312" w:hAnsi="仿宋_GB2312" w:eastAsia="仿宋_GB2312" w:cs="仿宋_GB2312"/>
          <w:color w:val="000000" w:themeColor="text1"/>
          <w:szCs w:val="28"/>
          <w:u w:val="single"/>
        </w:rPr>
        <w:t xml:space="preserve">增值税专用发票 </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p>
    <w:p>
      <w:pPr>
        <w:pStyle w:val="148"/>
        <w:spacing w:line="560" w:lineRule="exact"/>
        <w:ind w:firstLine="0" w:firstLineChars="0"/>
        <w:rPr>
          <w:rFonts w:ascii="仿宋_GB2312" w:hAnsi="仿宋_GB2312" w:eastAsia="仿宋_GB2312" w:cs="仿宋_GB2312"/>
          <w:szCs w:val="28"/>
        </w:rPr>
      </w:pPr>
      <w:r>
        <w:rPr>
          <w:rFonts w:hint="eastAsia" w:ascii="仿宋_GB2312" w:hAnsi="仿宋_GB2312" w:eastAsia="仿宋_GB2312" w:cs="仿宋_GB2312"/>
          <w:szCs w:val="28"/>
        </w:rPr>
        <w:t xml:space="preserve">（3）经甲乙双方项目负责人签字确认的《验收单》。 </w:t>
      </w:r>
    </w:p>
    <w:p>
      <w:pPr>
        <w:pStyle w:val="148"/>
        <w:spacing w:line="560" w:lineRule="exact"/>
        <w:ind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（4）其他</w:t>
      </w:r>
      <w:r>
        <w:rPr>
          <w:rFonts w:hint="eastAsia" w:ascii="仿宋_GB2312" w:hAnsi="仿宋_GB2312" w:eastAsia="仿宋_GB2312" w:cs="仿宋_GB2312"/>
          <w:szCs w:val="28"/>
          <w:u w:val="single"/>
        </w:rPr>
        <w:t xml:space="preserve">                     </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4.乙方的基本账户信息：</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账号：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纳税人识别号：</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联系人：</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p>
      <w:pPr>
        <w:spacing w:line="56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5.其他约定：</w:t>
      </w:r>
      <w:r>
        <w:rPr>
          <w:rFonts w:hint="eastAsia" w:ascii="仿宋_GB2312" w:hAnsi="仿宋_GB2312" w:eastAsia="仿宋_GB2312" w:cs="仿宋_GB2312"/>
          <w:sz w:val="28"/>
          <w:szCs w:val="28"/>
          <w:u w:val="single"/>
        </w:rPr>
        <w:t xml:space="preserve">                                                         </w:t>
      </w:r>
    </w:p>
    <w:p>
      <w:pPr>
        <w:spacing w:line="560" w:lineRule="exact"/>
        <w:jc w:val="left"/>
        <w:rPr>
          <w:rFonts w:ascii="仿宋_GB2312" w:hAnsi="仿宋_GB2312" w:eastAsia="仿宋_GB2312" w:cs="仿宋_GB2312"/>
          <w:sz w:val="28"/>
          <w:szCs w:val="28"/>
          <w:u w:val="single"/>
        </w:rPr>
      </w:pPr>
    </w:p>
    <w:p>
      <w:pPr>
        <w:pStyle w:val="14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六、履约担保</w:t>
      </w:r>
    </w:p>
    <w:p>
      <w:pPr>
        <w:pStyle w:val="149"/>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ascii="仿宋_GB2312" w:hAnsi="仿宋_GB2312" w:eastAsia="仿宋_GB2312" w:cs="仿宋_GB2312"/>
          <w:b/>
          <w:color w:val="000000" w:themeColor="text1"/>
          <w:szCs w:val="28"/>
        </w:rPr>
        <w:sym w:font="Wingdings" w:char="00FE"/>
      </w:r>
      <w:r>
        <w:rPr>
          <w:rFonts w:ascii="仿宋_GB2312" w:hAnsi="仿宋_GB2312" w:eastAsia="仿宋_GB2312" w:cs="仿宋_GB2312"/>
          <w:b/>
          <w:color w:val="000000" w:themeColor="text1"/>
          <w:szCs w:val="28"/>
        </w:rPr>
        <w:t xml:space="preserve"> </w:t>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F0A8"/>
      </w:r>
    </w:p>
    <w:p>
      <w:pPr>
        <w:spacing w:line="560" w:lineRule="exact"/>
        <w:ind w:firstLine="315"/>
        <w:rPr>
          <w:rFonts w:ascii="仿宋_GB2312" w:hAnsi="仿宋_GB2312" w:eastAsia="仿宋_GB2312" w:cs="仿宋_GB2312"/>
          <w:sz w:val="28"/>
          <w:szCs w:val="28"/>
        </w:rPr>
      </w:pPr>
      <w:r>
        <w:rPr>
          <w:rFonts w:hint="eastAsia" w:ascii="仿宋_GB2312" w:hAnsi="仿宋_GB2312" w:eastAsia="仿宋_GB2312" w:cs="仿宋_GB2312"/>
          <w:sz w:val="28"/>
          <w:szCs w:val="28"/>
        </w:rPr>
        <w:t>1. 乙方提交履约担保的形式为：</w:t>
      </w:r>
      <w:r>
        <w:rPr>
          <w:rFonts w:ascii="仿宋_GB2312" w:hAnsi="仿宋_GB2312" w:eastAsia="仿宋_GB2312" w:cs="仿宋_GB2312"/>
          <w:snapToGrid w:val="0"/>
          <w:color w:val="000000" w:themeColor="text1"/>
          <w:kern w:val="0"/>
          <w:sz w:val="28"/>
          <w:szCs w:val="28"/>
          <w:u w:val="single"/>
        </w:rPr>
        <w:t xml:space="preserve">履约担保金 </w:t>
      </w:r>
      <w:r>
        <w:rPr>
          <w:rFonts w:hint="eastAsia" w:ascii="仿宋_GB2312" w:hAnsi="仿宋_GB2312" w:eastAsia="仿宋_GB2312" w:cs="仿宋_GB2312"/>
          <w:snapToGrid w:val="0"/>
          <w:color w:val="000000"/>
          <w:kern w:val="0"/>
          <w:sz w:val="28"/>
          <w:szCs w:val="28"/>
          <w:u w:val="single"/>
        </w:rPr>
        <w:t xml:space="preserve">     </w:t>
      </w:r>
      <w:r>
        <w:rPr>
          <w:rFonts w:hint="eastAsia" w:ascii="仿宋_GB2312" w:hAnsi="仿宋_GB2312" w:eastAsia="仿宋_GB2312" w:cs="仿宋_GB2312"/>
          <w:sz w:val="28"/>
          <w:szCs w:val="28"/>
        </w:rPr>
        <w:t>；</w:t>
      </w:r>
    </w:p>
    <w:p>
      <w:pPr>
        <w:pStyle w:val="149"/>
        <w:spacing w:line="560" w:lineRule="exact"/>
        <w:ind w:left="360" w:firstLine="0" w:firstLineChars="0"/>
        <w:rPr>
          <w:rFonts w:ascii="仿宋_GB2312" w:hAnsi="仿宋_GB2312" w:eastAsia="仿宋_GB2312" w:cs="仿宋_GB2312"/>
          <w:szCs w:val="28"/>
        </w:rPr>
      </w:pPr>
      <w:r>
        <w:rPr>
          <w:rFonts w:hint="eastAsia" w:ascii="仿宋_GB2312" w:hAnsi="仿宋_GB2312" w:eastAsia="仿宋_GB2312" w:cs="仿宋_GB2312"/>
          <w:szCs w:val="28"/>
        </w:rPr>
        <w:t>2. 履约担保金额为：人民币（大写）</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w:t>
      </w:r>
      <w:r>
        <w:rPr>
          <w:rFonts w:hint="eastAsia" w:ascii="仿宋_GB2312" w:hAnsi="仿宋_GB2312" w:eastAsia="仿宋_GB2312" w:cs="仿宋_GB2312"/>
          <w:szCs w:val="28"/>
          <w:u w:val="single"/>
        </w:rPr>
        <w:t xml:space="preserve">       </w:t>
      </w:r>
      <w:r>
        <w:rPr>
          <w:rFonts w:hint="eastAsia" w:ascii="仿宋_GB2312" w:hAnsi="仿宋_GB2312" w:eastAsia="仿宋_GB2312" w:cs="仿宋_GB2312"/>
          <w:szCs w:val="28"/>
        </w:rPr>
        <w:t>元) （合同总价或者首年外包服务费总额（二选一）的</w:t>
      </w:r>
      <w:r>
        <w:rPr>
          <w:rFonts w:hint="eastAsia" w:ascii="仿宋_GB2312" w:hAnsi="仿宋_GB2312" w:eastAsia="仿宋_GB2312" w:cs="仿宋_GB2312"/>
          <w:szCs w:val="28"/>
          <w:u w:val="single"/>
        </w:rPr>
        <w:t xml:space="preserve"> 10 </w:t>
      </w:r>
      <w:r>
        <w:rPr>
          <w:rFonts w:hint="eastAsia" w:ascii="仿宋_GB2312" w:hAnsi="仿宋_GB2312" w:eastAsia="仿宋_GB2312" w:cs="仿宋_GB2312"/>
          <w:szCs w:val="28"/>
        </w:rPr>
        <w:t>%）；其中廉洁保证金占履约担保的10%。</w:t>
      </w:r>
    </w:p>
    <w:p>
      <w:pPr>
        <w:pStyle w:val="149"/>
        <w:spacing w:line="560" w:lineRule="exact"/>
        <w:ind w:left="360" w:firstLine="0" w:firstLineChars="0"/>
        <w:rPr>
          <w:rFonts w:ascii="仿宋_GB2312" w:hAnsi="仿宋_GB2312" w:eastAsia="仿宋_GB2312" w:cs="仿宋_GB2312"/>
          <w:szCs w:val="28"/>
          <w:u w:val="single"/>
        </w:rPr>
      </w:pPr>
      <w:r>
        <w:rPr>
          <w:rFonts w:hint="eastAsia" w:ascii="仿宋_GB2312" w:hAnsi="仿宋_GB2312" w:eastAsia="仿宋_GB2312" w:cs="仿宋_GB2312"/>
          <w:szCs w:val="28"/>
        </w:rPr>
        <w:t>3. 担保期限为：待本合同约定的服务内容及服务期限全部履行完毕后6个月。</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148"/>
        <w:spacing w:line="560" w:lineRule="exact"/>
        <w:ind w:left="360" w:firstLine="0" w:firstLineChars="0"/>
        <w:rPr>
          <w:rFonts w:ascii="仿宋_GB2312" w:hAnsi="仿宋_GB2312" w:eastAsia="仿宋_GB2312" w:cs="仿宋_GB2312"/>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七、保修期</w:t>
      </w:r>
    </w:p>
    <w:p>
      <w:pPr>
        <w:pStyle w:val="148"/>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 xml:space="preserve">本项目是否适用：适用  </w:t>
      </w:r>
      <w:r>
        <w:rPr>
          <w:rFonts w:ascii="仿宋_GB2312" w:hAnsi="仿宋_GB2312" w:eastAsia="仿宋_GB2312" w:cs="仿宋_GB2312"/>
          <w:b/>
          <w:color w:val="000000" w:themeColor="text1"/>
          <w:szCs w:val="28"/>
        </w:rPr>
        <w:sym w:font="Wingdings" w:char="00FE"/>
      </w:r>
      <w:r>
        <w:rPr>
          <w:rFonts w:hint="eastAsia" w:ascii="仿宋_GB2312" w:hAnsi="仿宋_GB2312" w:eastAsia="仿宋_GB2312" w:cs="仿宋_GB2312"/>
          <w:b/>
          <w:szCs w:val="28"/>
        </w:rPr>
        <w:t xml:space="preserve">   不适用  </w:t>
      </w:r>
      <w:r>
        <w:rPr>
          <w:rFonts w:hint="eastAsia" w:ascii="仿宋_GB2312" w:hAnsi="仿宋_GB2312" w:eastAsia="仿宋_GB2312" w:cs="仿宋_GB2312"/>
          <w:b/>
          <w:szCs w:val="28"/>
        </w:rPr>
        <w:sym w:font="Wingdings" w:char="F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1.保修期为正式验收合格之日起</w:t>
      </w:r>
      <w:r>
        <w:rPr>
          <w:rFonts w:hint="eastAsia" w:ascii="仿宋_GB2312" w:hAnsi="仿宋_GB2312" w:eastAsia="仿宋_GB2312" w:cs="仿宋_GB2312"/>
          <w:sz w:val="28"/>
          <w:szCs w:val="28"/>
          <w:u w:val="single"/>
        </w:rPr>
        <w:t xml:space="preserve">       365        </w:t>
      </w:r>
      <w:r>
        <w:rPr>
          <w:rFonts w:hint="eastAsia" w:ascii="仿宋_GB2312" w:hAnsi="仿宋_GB2312" w:eastAsia="仿宋_GB2312" w:cs="仿宋_GB2312"/>
          <w:sz w:val="28"/>
          <w:szCs w:val="28"/>
        </w:rPr>
        <w:t>天；</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2.保修期内，乙方应在接到甲方通知后</w:t>
      </w:r>
      <w:r>
        <w:rPr>
          <w:rFonts w:hint="eastAsia" w:ascii="仿宋_GB2312" w:hAnsi="仿宋_GB2312" w:eastAsia="仿宋_GB2312" w:cs="仿宋_GB2312"/>
          <w:sz w:val="28"/>
          <w:szCs w:val="28"/>
          <w:u w:val="single"/>
        </w:rPr>
        <w:t xml:space="preserve">     4    </w:t>
      </w:r>
      <w:r>
        <w:rPr>
          <w:rFonts w:hint="eastAsia" w:ascii="仿宋_GB2312" w:hAnsi="仿宋_GB2312" w:eastAsia="仿宋_GB2312" w:cs="仿宋_GB2312"/>
          <w:sz w:val="28"/>
          <w:szCs w:val="28"/>
        </w:rPr>
        <w:t>小时内到达现场并修复缺陷或损坏。</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3.保修期内发生的维修服务，若修复后经维修的项目的保修期不足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的，则该项目的保修期延长至</w:t>
      </w:r>
      <w:r>
        <w:rPr>
          <w:rFonts w:hint="eastAsia" w:ascii="仿宋_GB2312" w:hAnsi="仿宋_GB2312" w:eastAsia="仿宋_GB2312" w:cs="仿宋_GB2312"/>
          <w:sz w:val="28"/>
          <w:szCs w:val="28"/>
          <w:u w:val="single"/>
        </w:rPr>
        <w:t xml:space="preserve">    1年          </w:t>
      </w:r>
      <w:r>
        <w:rPr>
          <w:rFonts w:hint="eastAsia" w:ascii="仿宋_GB2312" w:hAnsi="仿宋_GB2312" w:eastAsia="仿宋_GB2312" w:cs="仿宋_GB2312"/>
          <w:sz w:val="28"/>
          <w:szCs w:val="28"/>
        </w:rPr>
        <w:t>。</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4.具体保修内容以专用条款为准。</w:t>
      </w:r>
    </w:p>
    <w:p>
      <w:pPr>
        <w:spacing w:line="560" w:lineRule="exact"/>
        <w:ind w:firstLine="405"/>
        <w:rPr>
          <w:rFonts w:ascii="仿宋_GB2312" w:hAnsi="仿宋_GB2312" w:eastAsia="仿宋_GB2312" w:cs="仿宋_GB2312"/>
          <w:sz w:val="28"/>
          <w:szCs w:val="28"/>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 xml:space="preserve">八、保险 </w:t>
      </w:r>
    </w:p>
    <w:p>
      <w:pPr>
        <w:spacing w:line="560" w:lineRule="exact"/>
        <w:ind w:firstLine="405"/>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本合同是否适用：适用 </w:t>
      </w:r>
      <w:r>
        <w:rPr>
          <w:rFonts w:ascii="仿宋_GB2312" w:hAnsi="仿宋_GB2312" w:eastAsia="仿宋_GB2312" w:cs="仿宋_GB2312"/>
          <w:b/>
          <w:bCs/>
          <w:color w:val="000000" w:themeColor="text1"/>
          <w:sz w:val="28"/>
          <w:szCs w:val="28"/>
        </w:rPr>
        <w:sym w:font="Wingdings" w:char="00FE"/>
      </w:r>
      <w:r>
        <w:rPr>
          <w:rFonts w:hint="eastAsia" w:ascii="仿宋_GB2312" w:hAnsi="仿宋_GB2312" w:eastAsia="仿宋_GB2312" w:cs="仿宋_GB2312"/>
          <w:b/>
          <w:bCs/>
          <w:sz w:val="28"/>
          <w:szCs w:val="28"/>
        </w:rPr>
        <w:t xml:space="preserve">    不适用  </w:t>
      </w:r>
      <w:r>
        <w:rPr>
          <w:rFonts w:hint="eastAsia" w:ascii="仿宋_GB2312" w:hAnsi="仿宋_GB2312" w:eastAsia="仿宋_GB2312" w:cs="仿宋_GB2312"/>
          <w:b/>
          <w:bCs/>
          <w:sz w:val="28"/>
          <w:szCs w:val="28"/>
        </w:rPr>
        <w:sym w:font="Wingdings" w:char="F0A8"/>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1.乙方应遵循本合同中，合同通用条款 第一部分 第</w:t>
      </w:r>
      <w:r>
        <w:rPr>
          <w:rFonts w:hint="eastAsia" w:ascii="仿宋_GB2312" w:hAnsi="仿宋_GB2312" w:eastAsia="仿宋_GB2312" w:cs="仿宋_GB2312"/>
          <w:sz w:val="28"/>
          <w:szCs w:val="28"/>
          <w:u w:val="single"/>
        </w:rPr>
        <w:t xml:space="preserve">   3    </w:t>
      </w:r>
      <w:r>
        <w:rPr>
          <w:rFonts w:hint="eastAsia" w:ascii="仿宋_GB2312" w:hAnsi="仿宋_GB2312" w:eastAsia="仿宋_GB2312" w:cs="仿宋_GB2312"/>
          <w:sz w:val="28"/>
          <w:szCs w:val="28"/>
        </w:rPr>
        <w:t>条 之约定，办理为完成合同所需之一切保险事务。</w:t>
      </w:r>
    </w:p>
    <w:p>
      <w:pPr>
        <w:pStyle w:val="148"/>
        <w:spacing w:line="560" w:lineRule="exact"/>
        <w:ind w:left="360" w:firstLine="0" w:firstLineChars="0"/>
        <w:rPr>
          <w:rFonts w:ascii="仿宋_GB2312" w:hAnsi="仿宋_GB2312" w:eastAsia="仿宋_GB2312" w:cs="仿宋_GB2312"/>
          <w:color w:val="000000"/>
          <w:szCs w:val="28"/>
          <w:u w:val="single"/>
        </w:rPr>
      </w:pPr>
      <w:r>
        <w:rPr>
          <w:rFonts w:hint="eastAsia" w:ascii="仿宋_GB2312" w:hAnsi="仿宋_GB2312" w:eastAsia="仿宋_GB2312" w:cs="仿宋_GB2312"/>
          <w:color w:val="000000"/>
          <w:szCs w:val="28"/>
        </w:rPr>
        <w:t>2.本合同关于购买保险的具体险种:</w:t>
      </w:r>
      <w:r>
        <w:rPr>
          <w:rFonts w:hint="eastAsia" w:ascii="仿宋_GB2312" w:hAnsi="仿宋_GB2312" w:eastAsia="仿宋_GB2312" w:cs="仿宋_GB2312"/>
          <w:color w:val="000000"/>
          <w:szCs w:val="28"/>
          <w:u w:val="single"/>
        </w:rPr>
        <w:t xml:space="preserve">                     </w:t>
      </w:r>
    </w:p>
    <w:p>
      <w:pPr>
        <w:spacing w:line="560" w:lineRule="exact"/>
        <w:ind w:firstLine="405"/>
        <w:rPr>
          <w:rFonts w:ascii="仿宋_GB2312" w:hAnsi="仿宋_GB2312" w:eastAsia="仿宋_GB2312" w:cs="仿宋_GB2312"/>
          <w:sz w:val="28"/>
          <w:szCs w:val="28"/>
        </w:rPr>
      </w:pPr>
      <w:r>
        <w:rPr>
          <w:rFonts w:hint="eastAsia" w:ascii="仿宋_GB2312" w:hAnsi="仿宋_GB2312" w:eastAsia="仿宋_GB2312" w:cs="仿宋_GB2312"/>
          <w:sz w:val="28"/>
          <w:szCs w:val="28"/>
        </w:rPr>
        <w:t>3.具体投保内容以专用条款为准。</w:t>
      </w:r>
    </w:p>
    <w:p>
      <w:pPr>
        <w:pStyle w:val="148"/>
        <w:spacing w:line="560" w:lineRule="exact"/>
        <w:ind w:left="360" w:firstLine="0" w:firstLineChars="0"/>
        <w:rPr>
          <w:rFonts w:ascii="仿宋_GB2312" w:hAnsi="仿宋_GB2312" w:eastAsia="仿宋_GB2312" w:cs="仿宋_GB2312"/>
          <w:color w:val="000000"/>
          <w:szCs w:val="28"/>
          <w:u w:val="single"/>
        </w:rPr>
      </w:pPr>
    </w:p>
    <w:p>
      <w:pPr>
        <w:spacing w:line="560" w:lineRule="exact"/>
        <w:ind w:firstLine="405"/>
        <w:rPr>
          <w:rFonts w:ascii="仿宋_GB2312" w:hAnsi="仿宋_GB2312" w:eastAsia="仿宋_GB2312" w:cs="仿宋_GB2312"/>
          <w:b/>
          <w:sz w:val="28"/>
          <w:szCs w:val="28"/>
        </w:rPr>
      </w:pPr>
      <w:r>
        <w:rPr>
          <w:rFonts w:hint="eastAsia" w:ascii="仿宋_GB2312" w:hAnsi="仿宋_GB2312" w:eastAsia="仿宋_GB2312" w:cs="仿宋_GB2312"/>
          <w:b/>
          <w:sz w:val="28"/>
          <w:szCs w:val="28"/>
        </w:rPr>
        <w:t>九、补充约定</w:t>
      </w:r>
    </w:p>
    <w:p>
      <w:pPr>
        <w:spacing w:line="560" w:lineRule="exact"/>
        <w:ind w:firstLine="420" w:firstLineChars="15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3.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560" w:lineRule="exact"/>
        <w:ind w:firstLine="420" w:firstLineChars="150"/>
        <w:rPr>
          <w:rFonts w:ascii="仿宋_GB2312" w:hAnsi="仿宋_GB2312" w:eastAsia="仿宋_GB2312" w:cs="仿宋_GB2312"/>
          <w:sz w:val="28"/>
          <w:szCs w:val="28"/>
        </w:rPr>
      </w:pPr>
    </w:p>
    <w:p>
      <w:pPr>
        <w:spacing w:line="560" w:lineRule="exact"/>
        <w:ind w:firstLine="422" w:firstLineChars="15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十、文件组成</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本合同所附下列文件是合同构成不可分割的部分：</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1、合同条款</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2、合同附件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3、招标文件、投标文件及其相应附件</w:t>
      </w:r>
    </w:p>
    <w:p>
      <w:pPr>
        <w:spacing w:line="56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如合同条款与上述文件表述不一，则按照上述文件优先顺序进行解释。</w:t>
      </w:r>
    </w:p>
    <w:p>
      <w:pPr>
        <w:spacing w:line="560" w:lineRule="exact"/>
        <w:ind w:firstLine="420" w:firstLineChars="150"/>
        <w:rPr>
          <w:rFonts w:ascii="仿宋_GB2312" w:hAnsi="仿宋_GB2312" w:eastAsia="仿宋_GB2312" w:cs="仿宋_GB2312"/>
          <w:sz w:val="28"/>
          <w:szCs w:val="28"/>
        </w:rPr>
      </w:pPr>
    </w:p>
    <w:p>
      <w:pPr>
        <w:pStyle w:val="148"/>
        <w:spacing w:line="560" w:lineRule="exact"/>
        <w:ind w:left="360" w:firstLine="0" w:firstLineChars="0"/>
        <w:rPr>
          <w:rFonts w:ascii="仿宋_GB2312" w:hAnsi="仿宋_GB2312" w:eastAsia="仿宋_GB2312" w:cs="仿宋_GB2312"/>
          <w:b/>
          <w:szCs w:val="28"/>
        </w:rPr>
      </w:pPr>
      <w:r>
        <w:rPr>
          <w:rFonts w:hint="eastAsia" w:ascii="仿宋_GB2312" w:hAnsi="仿宋_GB2312" w:eastAsia="仿宋_GB2312" w:cs="仿宋_GB2312"/>
          <w:b/>
          <w:szCs w:val="28"/>
        </w:rPr>
        <w:t>十一、其他</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1、本合同一式</w:t>
      </w:r>
      <w:r>
        <w:rPr>
          <w:rFonts w:hint="eastAsia" w:ascii="仿宋_GB2312" w:hAnsi="仿宋_GB2312" w:eastAsia="仿宋_GB2312" w:cs="仿宋_GB2312"/>
          <w:color w:val="000000"/>
          <w:sz w:val="28"/>
          <w:szCs w:val="28"/>
          <w:u w:val="single"/>
        </w:rPr>
        <w:t xml:space="preserve"> 陆 </w:t>
      </w:r>
      <w:r>
        <w:rPr>
          <w:rFonts w:hint="eastAsia" w:ascii="仿宋_GB2312" w:hAnsi="仿宋_GB2312" w:eastAsia="仿宋_GB2312" w:cs="仿宋_GB2312"/>
          <w:color w:val="000000"/>
          <w:sz w:val="28"/>
          <w:szCs w:val="28"/>
        </w:rPr>
        <w:t>份，甲方执</w:t>
      </w:r>
      <w:r>
        <w:rPr>
          <w:rFonts w:hint="eastAsia" w:ascii="仿宋_GB2312" w:hAnsi="仿宋_GB2312" w:eastAsia="仿宋_GB2312" w:cs="仿宋_GB2312"/>
          <w:color w:val="000000"/>
          <w:sz w:val="28"/>
          <w:szCs w:val="28"/>
          <w:u w:val="single"/>
        </w:rPr>
        <w:t xml:space="preserve"> 肆 </w:t>
      </w:r>
      <w:r>
        <w:rPr>
          <w:rFonts w:hint="eastAsia" w:ascii="仿宋_GB2312" w:hAnsi="仿宋_GB2312" w:eastAsia="仿宋_GB2312" w:cs="仿宋_GB2312"/>
          <w:color w:val="000000"/>
          <w:sz w:val="28"/>
          <w:szCs w:val="28"/>
        </w:rPr>
        <w:t>份，乙方执</w:t>
      </w:r>
      <w:r>
        <w:rPr>
          <w:rFonts w:hint="eastAsia" w:ascii="仿宋_GB2312" w:hAnsi="仿宋_GB2312" w:eastAsia="仿宋_GB2312" w:cs="仿宋_GB2312"/>
          <w:color w:val="000000"/>
          <w:sz w:val="28"/>
          <w:szCs w:val="28"/>
          <w:u w:val="single"/>
        </w:rPr>
        <w:t xml:space="preserve"> 贰 </w:t>
      </w:r>
      <w:r>
        <w:rPr>
          <w:rFonts w:hint="eastAsia" w:ascii="仿宋_GB2312" w:hAnsi="仿宋_GB2312" w:eastAsia="仿宋_GB2312" w:cs="仿宋_GB2312"/>
          <w:color w:val="000000"/>
          <w:sz w:val="28"/>
          <w:szCs w:val="28"/>
        </w:rPr>
        <w:t>份，自双方盖章以及法定代表人或授权代表签字之日起生效。本合同于</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日，在杭州萧山国际机场内签订。</w:t>
      </w:r>
    </w:p>
    <w:p>
      <w:pPr>
        <w:spacing w:line="560" w:lineRule="exact"/>
        <w:ind w:firstLine="420" w:firstLineChars="1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2、若双方在本合同有效期间内发生争议，则协商解决。若无法协商一致，则任何一方均有权向甲方所在的人民法院起诉。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  (公章)                          乙方：  (公章)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法定代表人或其委托代理人：              法定代表人或其委托代理人：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（签字）                                 （签字）</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widowControl/>
        <w:jc w:val="left"/>
        <w:rPr>
          <w:rFonts w:ascii="仿宋_GB2312" w:hAnsi="仿宋_GB2312" w:eastAsia="仿宋_GB2312" w:cs="仿宋_GB2312"/>
          <w:sz w:val="28"/>
          <w:szCs w:val="28"/>
        </w:rPr>
      </w:pPr>
    </w:p>
    <w:p>
      <w:pPr>
        <w:adjustRightInd w:val="0"/>
        <w:snapToGrid w:val="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第二部分 通用条款</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b/>
          <w:sz w:val="28"/>
          <w:szCs w:val="28"/>
        </w:rPr>
        <w:t>（略）</w:t>
      </w:r>
    </w:p>
    <w:p>
      <w:pPr>
        <w:widowControl/>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br w:type="page"/>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第三部分 专用条款</w:t>
      </w: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1.服务期限及进度</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1.2服务进度要求：</w:t>
      </w:r>
      <w:r>
        <w:rPr>
          <w:rFonts w:hint="eastAsia" w:ascii="仿宋_GB2312" w:hAnsi="仿宋_GB2312" w:eastAsia="仿宋_GB2312" w:cs="仿宋_GB2312"/>
          <w:sz w:val="28"/>
          <w:szCs w:val="28"/>
          <w:u w:val="single"/>
        </w:rPr>
        <w:t xml:space="preserve">  乙方须在本合同规定的期限内完成维修工程。 </w:t>
      </w:r>
    </w:p>
    <w:p>
      <w:pPr>
        <w:adjustRightInd w:val="0"/>
        <w:snapToGrid w:val="0"/>
        <w:spacing w:line="560" w:lineRule="exact"/>
        <w:rPr>
          <w:rFonts w:ascii="仿宋_GB2312" w:hAnsi="仿宋_GB2312" w:eastAsia="仿宋_GB2312" w:cs="仿宋_GB2312"/>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2.项目负责人</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2.1项目负责人基本信息：</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2.2项目负责人职责：</w:t>
      </w:r>
      <w:r>
        <w:rPr>
          <w:rFonts w:hint="eastAsia" w:ascii="仿宋_GB2312" w:hAnsi="仿宋_GB2312" w:eastAsia="仿宋_GB2312" w:cs="仿宋_GB2312"/>
          <w:sz w:val="28"/>
          <w:szCs w:val="28"/>
          <w:u w:val="single"/>
        </w:rPr>
        <w:t xml:space="preserve">                                       </w:t>
      </w:r>
    </w:p>
    <w:p>
      <w:pPr>
        <w:pStyle w:val="150"/>
        <w:adjustRightInd w:val="0"/>
        <w:snapToGrid w:val="0"/>
        <w:spacing w:line="560" w:lineRule="exact"/>
        <w:ind w:firstLine="0" w:firstLineChars="0"/>
        <w:rPr>
          <w:rFonts w:ascii="仿宋_GB2312" w:hAnsi="仿宋_GB2312" w:eastAsia="仿宋_GB2312" w:cs="仿宋_GB2312"/>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
          <w:sz w:val="28"/>
          <w:szCs w:val="28"/>
        </w:rPr>
        <w:t>保险</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3.1乙方投保的保险要求与内容：</w:t>
      </w:r>
      <w:r>
        <w:rPr>
          <w:rFonts w:hint="eastAsia" w:ascii="仿宋_GB2312" w:hAnsi="仿宋_GB2312" w:eastAsia="仿宋_GB2312" w:cs="仿宋_GB2312"/>
          <w:sz w:val="28"/>
          <w:szCs w:val="28"/>
          <w:u w:val="single"/>
        </w:rPr>
        <w:t>承包人应依照有关法律规定参加工伤保险，为其履行合同所雇佣的全部人员，缴纳工伤保险费，并要求其分包人也进行此项保险</w:t>
      </w:r>
      <w:r>
        <w:rPr>
          <w:rFonts w:hint="eastAsia" w:ascii="仿宋_GB2312" w:eastAsia="仿宋_GB2312"/>
          <w:color w:val="000000" w:themeColor="text1"/>
          <w:spacing w:val="10"/>
          <w:sz w:val="28"/>
        </w:rPr>
        <w:t>。</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3.2乙方向甲方提交保单凭证的时间：</w:t>
      </w:r>
      <w:r>
        <w:rPr>
          <w:rFonts w:hint="eastAsia" w:ascii="仿宋_GB2312" w:hAnsi="仿宋_GB2312" w:eastAsia="仿宋_GB2312" w:cs="仿宋_GB2312"/>
          <w:sz w:val="28"/>
          <w:szCs w:val="28"/>
          <w:u w:val="single"/>
        </w:rPr>
        <w:t xml:space="preserve">      合同签订后1个月内提交                       </w:t>
      </w:r>
      <w:r>
        <w:rPr>
          <w:rFonts w:hint="eastAsia" w:ascii="仿宋_GB2312" w:hAnsi="仿宋_GB2312" w:eastAsia="仿宋_GB2312" w:cs="仿宋_GB2312"/>
          <w:sz w:val="28"/>
          <w:szCs w:val="28"/>
        </w:rPr>
        <w:t xml:space="preserve">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3.4其他约定：</w:t>
      </w:r>
      <w:r>
        <w:rPr>
          <w:rFonts w:hint="eastAsia" w:ascii="仿宋_GB2312" w:hAnsi="仿宋_GB2312" w:eastAsia="仿宋_GB2312" w:cs="仿宋_GB2312"/>
          <w:sz w:val="28"/>
          <w:szCs w:val="28"/>
          <w:u w:val="single"/>
        </w:rPr>
        <w:t xml:space="preserve">       /                                         </w:t>
      </w: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4.服务要求</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4.1乙方提供服务的要求：</w:t>
      </w:r>
      <w:r>
        <w:rPr>
          <w:rFonts w:hint="eastAsia" w:ascii="仿宋_GB2312" w:hAnsi="仿宋_GB2312" w:eastAsia="仿宋_GB2312" w:cs="仿宋_GB2312"/>
          <w:sz w:val="28"/>
          <w:szCs w:val="28"/>
          <w:u w:val="single"/>
        </w:rPr>
        <w:t xml:space="preserve"> 乙方维修技术人员现场更换变频器型号配套的电源板和散热风机，维修人员必须持有低压电工作业证，严格按照相关质量及安全、卫生操作规程开展维修工作并服从甲方的管理和安排 。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4.2服务时间要求：</w:t>
      </w:r>
      <w:r>
        <w:rPr>
          <w:rFonts w:hint="eastAsia" w:ascii="仿宋_GB2312" w:hAnsi="仿宋_GB2312" w:eastAsia="仿宋_GB2312" w:cs="仿宋_GB2312"/>
          <w:sz w:val="28"/>
          <w:szCs w:val="28"/>
          <w:u w:val="single"/>
        </w:rPr>
        <w:t xml:space="preserve">   </w:t>
      </w:r>
      <w:r>
        <w:rPr>
          <w:rFonts w:hint="eastAsia" w:ascii="仿宋_GB2312" w:eastAsia="仿宋_GB2312"/>
          <w:color w:val="000000" w:themeColor="text1"/>
          <w:spacing w:val="10"/>
          <w:sz w:val="28"/>
          <w:u w:val="single"/>
        </w:rPr>
        <w:t>在合同期限内，乙方完成维修服务。</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4.3人员管理要求：</w:t>
      </w:r>
      <w:r>
        <w:rPr>
          <w:rFonts w:hint="eastAsia" w:ascii="仿宋_GB2312" w:hAnsi="仿宋_GB2312" w:eastAsia="仿宋_GB2312" w:cs="仿宋_GB2312"/>
          <w:sz w:val="28"/>
          <w:szCs w:val="28"/>
          <w:u w:val="single"/>
        </w:rPr>
        <w:t xml:space="preserve">  乙方有专人负责项目实施，遵守甲方运营相关的规章制度。部分维修涉及机场运行隔离区，投标方服务时应严格遵守招标方有关规章制度及管理规定, 在项目实施期间，必须严格执行民航总局第191号令《民用机场运行安全管理规定》、《机坪运行管理规定》和《机坪车辆行驶管理手册》，做好机坪外来物防范措施，由投标方造成的一切人身安全责任事故、影响机场飞行、空防安全及机场设施、设备损坏事故，均由乙方负责  。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4.4培训要求：</w:t>
      </w:r>
      <w:r>
        <w:rPr>
          <w:rFonts w:hint="eastAsia" w:ascii="仿宋_GB2312" w:hAnsi="仿宋_GB2312" w:eastAsia="仿宋_GB2312" w:cs="仿宋_GB2312"/>
          <w:sz w:val="28"/>
          <w:szCs w:val="28"/>
          <w:u w:val="single"/>
        </w:rPr>
        <w:t xml:space="preserve">乙方在提供维修的同时，需提供专业技术的培训咨询服务，咨询包括不限于以下内容：变频器的运行原理，基本操作和维护保养说明和常见问题应急解决。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4.5其他约定：</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5.双方权利和义务</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5.1甲方的权利和义务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5.2乙方的权利和义务</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除通用条款约定外，其他约定：</w:t>
      </w:r>
      <w:r>
        <w:rPr>
          <w:rFonts w:hint="eastAsia" w:ascii="仿宋_GB2312" w:hAnsi="仿宋_GB2312" w:eastAsia="仿宋_GB2312" w:cs="仿宋_GB2312"/>
          <w:sz w:val="28"/>
          <w:szCs w:val="28"/>
          <w:u w:val="single"/>
        </w:rPr>
        <w:t xml:space="preserve">                   /                                     </w:t>
      </w: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6.乙方工作人员的更换及增减</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其他约定：</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7、服务质量验收</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7.1甲方对乙方服务进行监督、检查的方式及要求：</w:t>
      </w:r>
      <w:r>
        <w:rPr>
          <w:rFonts w:hint="eastAsia" w:ascii="仿宋_GB2312" w:hAnsi="仿宋_GB2312" w:eastAsia="仿宋_GB2312" w:cs="仿宋_GB2312"/>
          <w:sz w:val="28"/>
          <w:szCs w:val="28"/>
          <w:u w:val="single"/>
        </w:rPr>
        <w:t xml:space="preserve">  甲方对乙方的维修服务进行全程监管，对每项维修乙方应出具维修报告并双方签字确认 。</w:t>
      </w:r>
      <w:r>
        <w:rPr>
          <w:rFonts w:hint="eastAsia" w:ascii="仿宋_GB2312" w:hAnsi="仿宋_GB2312" w:eastAsia="仿宋_GB2312" w:cs="仿宋_GB2312"/>
          <w:color w:val="FF0000"/>
          <w:sz w:val="28"/>
          <w:szCs w:val="28"/>
          <w:u w:val="single"/>
        </w:rPr>
        <w:t>甲方确认验收合格后对乙方服务填写《验收单》（具体详见附件【2】）。</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7.2扣除不达指标的外包服务费或要求乙方承担违约金的标准：</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7.3验收标准：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7.3.1设备验收标准：</w:t>
      </w: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维修项目完成后，乙方须对维修硬件进行参数设置和数据评估，形成维修报告交由甲方确认，报告内容包括硬件更换信息，硬件测试情况和变频器运行情况。</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7.3.2维保服务考核标准：</w:t>
      </w:r>
      <w:r>
        <w:rPr>
          <w:rFonts w:hint="eastAsia" w:ascii="仿宋_GB2312" w:hAnsi="仿宋_GB2312" w:eastAsia="仿宋_GB2312" w:cs="仿宋_GB2312"/>
          <w:sz w:val="28"/>
          <w:szCs w:val="28"/>
          <w:u w:val="single"/>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7.4其他约定：</w:t>
      </w:r>
      <w:r>
        <w:rPr>
          <w:rFonts w:hint="eastAsia" w:ascii="仿宋_GB2312" w:hAnsi="仿宋_GB2312" w:eastAsia="仿宋_GB2312" w:cs="仿宋_GB2312"/>
          <w:sz w:val="28"/>
          <w:szCs w:val="28"/>
          <w:u w:val="single"/>
        </w:rPr>
        <w:t xml:space="preserve">          /                       </w:t>
      </w: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8.合同变更、终止与解除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除通用条款约定的情形外，补充约定下列内容：</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9.结算</w:t>
      </w:r>
    </w:p>
    <w:p>
      <w:pPr>
        <w:adjustRightInd w:val="0"/>
        <w:snapToGrid w:val="0"/>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9.1乙方应根据</w:t>
      </w:r>
      <w:r>
        <w:rPr>
          <w:rFonts w:hint="eastAsia" w:ascii="仿宋_GB2312" w:hAnsi="仿宋_GB2312" w:eastAsia="仿宋_GB2312" w:cs="仿宋_GB2312"/>
          <w:sz w:val="28"/>
          <w:szCs w:val="28"/>
          <w:u w:val="single"/>
        </w:rPr>
        <w:t xml:space="preserve">  经甲方验收合格后提供增值税专用发票  </w:t>
      </w:r>
      <w:r>
        <w:rPr>
          <w:rFonts w:hint="eastAsia" w:ascii="仿宋_GB2312" w:hAnsi="仿宋_GB2312" w:eastAsia="仿宋_GB2312" w:cs="仿宋_GB2312"/>
          <w:sz w:val="28"/>
          <w:szCs w:val="28"/>
        </w:rPr>
        <w:t>向甲方提出结算请求。</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9.2双方确定违约责任及赔偿金额重新结算的时间要求：</w:t>
      </w:r>
      <w:r>
        <w:rPr>
          <w:rFonts w:hint="eastAsia" w:ascii="仿宋_GB2312" w:hAnsi="仿宋_GB2312" w:eastAsia="仿宋_GB2312" w:cs="仿宋_GB2312"/>
          <w:sz w:val="28"/>
          <w:szCs w:val="28"/>
          <w:u w:val="single"/>
        </w:rPr>
        <w:t xml:space="preserve">支付维修费用前7日确定最终付款及赔偿金额。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9.3其他约定：</w:t>
      </w:r>
      <w:r>
        <w:rPr>
          <w:rFonts w:hint="eastAsia" w:ascii="仿宋_GB2312" w:hAnsi="仿宋_GB2312" w:eastAsia="仿宋_GB2312" w:cs="仿宋_GB2312"/>
          <w:sz w:val="28"/>
          <w:szCs w:val="28"/>
          <w:u w:val="single"/>
        </w:rPr>
        <w:t>/</w:t>
      </w:r>
    </w:p>
    <w:p>
      <w:pPr>
        <w:adjustRightInd w:val="0"/>
        <w:snapToGrid w:val="0"/>
        <w:spacing w:line="560" w:lineRule="exact"/>
        <w:rPr>
          <w:rFonts w:ascii="仿宋_GB2312" w:hAnsi="仿宋_GB2312" w:eastAsia="仿宋_GB2312" w:cs="仿宋_GB2312"/>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10.支付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10.1甲方完成结算且收到乙方提供的发票后</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color w:val="000000" w:themeColor="text1"/>
          <w:sz w:val="28"/>
          <w:szCs w:val="28"/>
          <w:u w:val="single"/>
        </w:rPr>
        <w:t>15</w:t>
      </w:r>
      <w:r>
        <w:rPr>
          <w:rFonts w:hint="eastAsia" w:ascii="仿宋_GB2312" w:hAnsi="仿宋_GB2312" w:eastAsia="仿宋_GB2312" w:cs="仿宋_GB2312"/>
          <w:color w:val="000000" w:themeColor="text1"/>
          <w:sz w:val="28"/>
          <w:szCs w:val="28"/>
          <w:u w:val="single"/>
        </w:rPr>
        <w:t>日内</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向乙方支</w:t>
      </w:r>
      <w:r>
        <w:rPr>
          <w:rFonts w:hint="eastAsia" w:ascii="仿宋_GB2312" w:hAnsi="仿宋_GB2312" w:eastAsia="仿宋_GB2312" w:cs="仿宋_GB2312"/>
          <w:sz w:val="28"/>
          <w:szCs w:val="28"/>
          <w:u w:val="single"/>
        </w:rPr>
        <w:t>付合同总额的95%；合同总额的5%作为维修方质保金，如在质保期届满后，经甲方确认乙方在本合同项下未发生任何赔偿或违约责任，则甲方于质保期届满后一个月内无息付清余款。</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10.2乙方付款申请填写错误或相关材料缺失的，应在</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color w:val="000000" w:themeColor="text1"/>
          <w:sz w:val="28"/>
          <w:szCs w:val="28"/>
          <w:u w:val="single"/>
        </w:rPr>
        <w:t>7</w:t>
      </w:r>
      <w:r>
        <w:rPr>
          <w:rFonts w:hint="eastAsia" w:ascii="仿宋_GB2312" w:hAnsi="仿宋_GB2312" w:eastAsia="仿宋_GB2312" w:cs="仿宋_GB2312"/>
          <w:color w:val="000000" w:themeColor="text1"/>
          <w:sz w:val="28"/>
          <w:szCs w:val="28"/>
          <w:u w:val="single"/>
        </w:rPr>
        <w:t xml:space="preserve">日内 </w:t>
      </w:r>
      <w:r>
        <w:rPr>
          <w:rFonts w:hint="eastAsia" w:ascii="仿宋_GB2312" w:hAnsi="仿宋_GB2312" w:eastAsia="仿宋_GB2312" w:cs="仿宋_GB2312"/>
          <w:sz w:val="28"/>
          <w:szCs w:val="28"/>
          <w:u w:val="single"/>
        </w:rPr>
        <w:t xml:space="preserve">   日内</w:t>
      </w:r>
      <w:r>
        <w:rPr>
          <w:rFonts w:hint="eastAsia" w:ascii="仿宋_GB2312" w:hAnsi="仿宋_GB2312" w:eastAsia="仿宋_GB2312" w:cs="仿宋_GB2312"/>
          <w:sz w:val="28"/>
          <w:szCs w:val="28"/>
        </w:rPr>
        <w:t>修正或补充材料后重新提交。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10.3其他约定：/</w:t>
      </w: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11.退场和移交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11.1乙方退场和移交的时间：</w:t>
      </w:r>
      <w:r>
        <w:rPr>
          <w:rFonts w:hint="eastAsia" w:ascii="仿宋_GB2312" w:hAnsi="仿宋_GB2312" w:eastAsia="仿宋_GB2312" w:cs="仿宋_GB2312"/>
          <w:sz w:val="28"/>
          <w:szCs w:val="28"/>
          <w:u w:val="single"/>
        </w:rPr>
        <w:t xml:space="preserve">   </w:t>
      </w:r>
      <w:r>
        <w:rPr>
          <w:rFonts w:ascii="仿宋_GB2312" w:hAnsi="仿宋_GB2312" w:eastAsia="仿宋_GB2312" w:cs="仿宋_GB2312"/>
          <w:color w:val="000000" w:themeColor="text1"/>
          <w:sz w:val="28"/>
          <w:szCs w:val="28"/>
          <w:u w:val="single"/>
        </w:rPr>
        <w:t>合同解除日期即为乙方退场和移交日期</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11.2乙方退场时与甲方办理移交手续的要求：</w:t>
      </w:r>
      <w:r>
        <w:rPr>
          <w:rFonts w:hint="eastAsia" w:ascii="仿宋_GB2312" w:hAnsi="仿宋_GB2312" w:eastAsia="仿宋_GB2312" w:cs="仿宋_GB2312"/>
          <w:sz w:val="28"/>
          <w:szCs w:val="28"/>
          <w:u w:val="single"/>
        </w:rPr>
        <w:t xml:space="preserve">  乙方确保设备正常运作，将维修报告提交给甲方并双方签字确认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11.3若乙方未按照本合同约定退场和移交手续，乙方应向甲方承担违约责任：</w:t>
      </w:r>
      <w:r>
        <w:rPr>
          <w:rFonts w:hint="eastAsia" w:ascii="仿宋_GB2312" w:hAnsi="仿宋_GB2312" w:eastAsia="仿宋_GB2312" w:cs="仿宋_GB2312"/>
          <w:sz w:val="28"/>
          <w:szCs w:val="28"/>
          <w:u w:val="single"/>
        </w:rPr>
        <w:t>甲方向乙方发出整改通知，要求其在指定的期限内整改。在甲方发出整改通知后，乙方在指定的期限内仍不整改到位的视为违约，应向甲方支付合同总金额</w:t>
      </w:r>
      <w:r>
        <w:rPr>
          <w:rFonts w:ascii="仿宋_GB2312" w:hAnsi="仿宋_GB2312" w:eastAsia="仿宋_GB2312" w:cs="仿宋_GB2312"/>
          <w:sz w:val="28"/>
          <w:szCs w:val="28"/>
          <w:u w:val="single"/>
        </w:rPr>
        <w:t>10%的违约金，违约金不足以弥补甲方损失的，乙方应当全额赔偿甲方损失，乙方缴纳的履约保证金（若有）不予以退还。</w:t>
      </w:r>
      <w:r>
        <w:rPr>
          <w:rFonts w:hint="eastAsia" w:ascii="仿宋_GB2312" w:hAnsi="仿宋_GB2312" w:eastAsia="仿宋_GB2312" w:cs="仿宋_GB2312"/>
          <w:sz w:val="28"/>
          <w:szCs w:val="28"/>
          <w:u w:val="single"/>
        </w:rPr>
        <w:t xml:space="preserve"> </w:t>
      </w:r>
    </w:p>
    <w:p>
      <w:pPr>
        <w:adjustRightInd w:val="0"/>
        <w:snapToGrid w:val="0"/>
        <w:spacing w:line="560" w:lineRule="exac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11.4其他约定：</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u w:val="single"/>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bCs/>
          <w:sz w:val="28"/>
          <w:szCs w:val="28"/>
        </w:rPr>
        <w:t>12.</w:t>
      </w:r>
      <w:r>
        <w:rPr>
          <w:rFonts w:hint="eastAsia" w:ascii="仿宋_GB2312" w:hAnsi="仿宋_GB2312" w:eastAsia="仿宋_GB2312" w:cs="仿宋_GB2312"/>
          <w:b/>
          <w:sz w:val="28"/>
          <w:szCs w:val="28"/>
        </w:rPr>
        <w:t>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12.1发生除通用条款约定之外的情形时，视为乙方违约：</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12.4 其他约定：/</w:t>
      </w:r>
    </w:p>
    <w:p>
      <w:pPr>
        <w:adjustRightInd w:val="0"/>
        <w:snapToGrid w:val="0"/>
        <w:spacing w:line="560" w:lineRule="exact"/>
        <w:rPr>
          <w:rFonts w:ascii="仿宋_GB2312" w:hAnsi="仿宋_GB2312" w:eastAsia="仿宋_GB2312" w:cs="仿宋_GB2312"/>
          <w:sz w:val="28"/>
          <w:szCs w:val="28"/>
        </w:rPr>
      </w:pPr>
    </w:p>
    <w:p>
      <w:pPr>
        <w:pStyle w:val="150"/>
        <w:adjustRightInd w:val="0"/>
        <w:snapToGrid w:val="0"/>
        <w:spacing w:line="560" w:lineRule="exact"/>
        <w:ind w:firstLine="0" w:firstLineChars="0"/>
        <w:rPr>
          <w:rFonts w:ascii="仿宋_GB2312" w:hAnsi="仿宋_GB2312" w:eastAsia="仿宋_GB2312" w:cs="仿宋_GB2312"/>
          <w:b/>
          <w:sz w:val="28"/>
          <w:szCs w:val="28"/>
        </w:rPr>
      </w:pPr>
      <w:r>
        <w:rPr>
          <w:rFonts w:hint="eastAsia" w:ascii="仿宋_GB2312" w:hAnsi="仿宋_GB2312" w:eastAsia="仿宋_GB2312" w:cs="仿宋_GB2312"/>
          <w:b/>
          <w:sz w:val="28"/>
          <w:szCs w:val="28"/>
        </w:rPr>
        <w:t>13.合同终止与解除</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u w:val="single"/>
        </w:rPr>
        <w:t xml:space="preserve">           /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13.3</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13.5 其他约定：/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13.6 补充约定：/</w:t>
      </w: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w:t>
      </w:r>
    </w:p>
    <w:p>
      <w:pPr>
        <w:numPr>
          <w:ilvl w:val="0"/>
          <w:numId w:val="10"/>
        </w:num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维修详细清单</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2、维修验收单</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3、廉洁自律承诺书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4、保密承诺书</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5、项目实施安全文明协议书</w:t>
      </w:r>
    </w:p>
    <w:p>
      <w:pPr>
        <w:spacing w:line="560" w:lineRule="exact"/>
        <w:jc w:val="left"/>
        <w:rPr>
          <w:rFonts w:ascii="仿宋_GB2312" w:hAnsi="仿宋_GB2312" w:eastAsia="仿宋_GB2312" w:cs="仿宋_GB2312"/>
          <w:b/>
          <w:bCs/>
          <w:color w:val="0000FF"/>
          <w:sz w:val="28"/>
          <w:szCs w:val="28"/>
        </w:rPr>
      </w:pPr>
      <w:r>
        <w:rPr>
          <w:rFonts w:hint="eastAsia" w:ascii="仿宋_GB2312" w:hAnsi="仿宋_GB2312" w:eastAsia="仿宋_GB2312" w:cs="仿宋_GB2312"/>
          <w:b/>
          <w:bCs/>
          <w:color w:val="0000FF"/>
          <w:sz w:val="28"/>
          <w:szCs w:val="28"/>
        </w:rPr>
        <w:t>6、消防安全责任书</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上述附件均是合同的组成部分，与合同具有同等法律效力。</w:t>
      </w: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spacing w:line="560" w:lineRule="exact"/>
        <w:jc w:val="lef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附件1：维修详细清单</w:t>
      </w:r>
    </w:p>
    <w:p>
      <w:pPr>
        <w:spacing w:line="560" w:lineRule="exact"/>
        <w:jc w:val="left"/>
        <w:rPr>
          <w:rFonts w:ascii="仿宋_GB2312" w:hAnsi="仿宋_GB2312" w:eastAsia="仿宋_GB2312" w:cs="仿宋_GB2312"/>
          <w:sz w:val="28"/>
          <w:szCs w:val="28"/>
        </w:rPr>
      </w:pPr>
    </w:p>
    <w:tbl>
      <w:tblPr>
        <w:tblStyle w:val="45"/>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366"/>
        <w:gridCol w:w="2858"/>
        <w:gridCol w:w="1751"/>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序号</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维修部件</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变频器型号</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位置</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1#冷却泵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2</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2#冷却泵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3</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4#冷却泵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5#冷却泵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5</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2#二次泵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6</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4#二次泵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7</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5#二次泵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2"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8</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电源板</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2#三次泵</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0"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9</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HD90N4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1#—6#冷却泵，共6台</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9"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10</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HD75N4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1#—7#二次泵，1#—5#主楼三次泵；共12台</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4"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11</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HD30N4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1#—6#热水泵，中指廊1#-3#三次泵；共9台</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5" w:hRule="atLeast"/>
        </w:trPr>
        <w:tc>
          <w:tcPr>
            <w:tcW w:w="762"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12</w:t>
            </w:r>
          </w:p>
        </w:tc>
        <w:tc>
          <w:tcPr>
            <w:tcW w:w="2366"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散热风机</w:t>
            </w:r>
          </w:p>
        </w:tc>
        <w:tc>
          <w:tcPr>
            <w:tcW w:w="2858"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ATV 61 HD45N4</w:t>
            </w:r>
          </w:p>
        </w:tc>
        <w:tc>
          <w:tcPr>
            <w:tcW w:w="1751"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北指廊1#-4#三次泵；共4台</w:t>
            </w:r>
          </w:p>
        </w:tc>
        <w:tc>
          <w:tcPr>
            <w:tcW w:w="1043" w:type="dxa"/>
            <w:vAlign w:val="center"/>
          </w:tcPr>
          <w:p>
            <w:pPr>
              <w:spacing w:line="360" w:lineRule="auto"/>
              <w:jc w:val="center"/>
              <w:rPr>
                <w:rFonts w:ascii="宋体" w:hAnsi="宋体" w:eastAsia="宋体" w:cs="Times New Roman"/>
                <w:sz w:val="24"/>
              </w:rPr>
            </w:pPr>
            <w:r>
              <w:rPr>
                <w:rFonts w:hint="eastAsia" w:ascii="宋体" w:hAnsi="宋体" w:eastAsia="宋体" w:cs="Times New Roman"/>
                <w:sz w:val="24"/>
              </w:rPr>
              <w:t>更换</w:t>
            </w:r>
          </w:p>
        </w:tc>
      </w:tr>
    </w:tbl>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widowControl/>
        <w:jc w:val="left"/>
        <w:rPr>
          <w:rFonts w:ascii="仿宋_GB2312" w:hAnsi="仿宋_GB2312" w:eastAsia="仿宋_GB2312" w:cs="仿宋_GB2312"/>
          <w:sz w:val="28"/>
          <w:szCs w:val="28"/>
        </w:rPr>
      </w:pPr>
      <w:r>
        <w:rPr>
          <w:rFonts w:ascii="仿宋_GB2312" w:hAnsi="仿宋_GB2312" w:eastAsia="仿宋_GB2312" w:cs="仿宋_GB2312"/>
          <w:sz w:val="28"/>
          <w:szCs w:val="28"/>
        </w:rPr>
        <w:br w:type="page"/>
      </w:r>
    </w:p>
    <w:p>
      <w:pPr>
        <w:spacing w:line="560" w:lineRule="exact"/>
        <w:jc w:val="left"/>
        <w:rPr>
          <w:rFonts w:ascii="仿宋_GB2312" w:hAnsi="仿宋_GB2312" w:eastAsia="仿宋_GB2312" w:cs="仿宋_GB2312"/>
          <w:sz w:val="28"/>
          <w:szCs w:val="28"/>
        </w:rPr>
      </w:pPr>
    </w:p>
    <w:p>
      <w:pPr>
        <w:spacing w:line="560" w:lineRule="exact"/>
        <w:jc w:val="left"/>
        <w:rPr>
          <w:rFonts w:ascii="宋体" w:hAnsi="宋体" w:eastAsia="宋体" w:cs="宋体"/>
          <w:color w:val="000000"/>
          <w:kern w:val="0"/>
          <w:sz w:val="36"/>
          <w:szCs w:val="36"/>
          <w:lang w:bidi="ar"/>
        </w:rPr>
      </w:pPr>
      <w:r>
        <w:rPr>
          <w:rFonts w:hint="eastAsia" w:ascii="仿宋_GB2312" w:hAnsi="仿宋_GB2312" w:eastAsia="仿宋_GB2312" w:cs="仿宋_GB2312"/>
          <w:sz w:val="28"/>
          <w:szCs w:val="28"/>
        </w:rPr>
        <w:t>附件2：维修验收单</w:t>
      </w:r>
    </w:p>
    <w:tbl>
      <w:tblPr>
        <w:tblStyle w:val="44"/>
        <w:tblW w:w="9180" w:type="dxa"/>
        <w:tblInd w:w="0" w:type="dxa"/>
        <w:tblLayout w:type="fixed"/>
        <w:tblCellMar>
          <w:top w:w="15" w:type="dxa"/>
          <w:left w:w="15" w:type="dxa"/>
          <w:bottom w:w="15" w:type="dxa"/>
          <w:right w:w="15" w:type="dxa"/>
        </w:tblCellMar>
      </w:tblPr>
      <w:tblGrid>
        <w:gridCol w:w="1758"/>
        <w:gridCol w:w="2832"/>
        <w:gridCol w:w="173"/>
        <w:gridCol w:w="1175"/>
        <w:gridCol w:w="3242"/>
      </w:tblGrid>
      <w:tr>
        <w:tblPrEx>
          <w:tblLayout w:type="fixed"/>
          <w:tblCellMar>
            <w:top w:w="15" w:type="dxa"/>
            <w:left w:w="15" w:type="dxa"/>
            <w:bottom w:w="15" w:type="dxa"/>
            <w:right w:w="15" w:type="dxa"/>
          </w:tblCellMar>
        </w:tblPrEx>
        <w:trPr>
          <w:trHeight w:val="389" w:hRule="atLeast"/>
        </w:trPr>
        <w:tc>
          <w:tcPr>
            <w:tcW w:w="9180" w:type="dxa"/>
            <w:gridSpan w:val="5"/>
            <w:tcBorders>
              <w:top w:val="nil"/>
              <w:left w:val="nil"/>
              <w:bottom w:val="single" w:color="000000" w:sz="4" w:space="0"/>
              <w:right w:val="nil"/>
            </w:tcBorders>
            <w:shd w:val="clear" w:color="auto" w:fill="auto"/>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kern w:val="0"/>
                <w:sz w:val="32"/>
                <w:szCs w:val="32"/>
                <w:lang w:bidi="ar"/>
              </w:rPr>
              <w:t>变频器维修验收单</w:t>
            </w:r>
          </w:p>
        </w:tc>
      </w:tr>
      <w:tr>
        <w:tblPrEx>
          <w:tblLayout w:type="fixed"/>
          <w:tblCellMar>
            <w:top w:w="15" w:type="dxa"/>
            <w:left w:w="15" w:type="dxa"/>
            <w:bottom w:w="15" w:type="dxa"/>
            <w:right w:w="15" w:type="dxa"/>
          </w:tblCellMar>
        </w:tblPrEx>
        <w:trPr>
          <w:trHeight w:val="389"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7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仿宋_GB2312" w:cs="宋体"/>
                <w:color w:val="000000"/>
                <w:sz w:val="24"/>
                <w:szCs w:val="24"/>
              </w:rPr>
            </w:pPr>
            <w:r>
              <w:rPr>
                <w:rFonts w:hint="eastAsia" w:ascii="宋体" w:hAnsi="宋体" w:eastAsia="宋体" w:cs="宋体"/>
                <w:color w:val="000000"/>
                <w:kern w:val="0"/>
                <w:sz w:val="24"/>
                <w:szCs w:val="24"/>
                <w:lang w:bidi="ar"/>
              </w:rPr>
              <w:t>杭州萧山国际机场中央空调系统变频器维修项目</w:t>
            </w:r>
          </w:p>
        </w:tc>
      </w:tr>
      <w:tr>
        <w:tblPrEx>
          <w:tblLayout w:type="fixed"/>
          <w:tblCellMar>
            <w:top w:w="15" w:type="dxa"/>
            <w:left w:w="15" w:type="dxa"/>
            <w:bottom w:w="15" w:type="dxa"/>
            <w:right w:w="15" w:type="dxa"/>
          </w:tblCellMar>
        </w:tblPrEx>
        <w:trPr>
          <w:trHeight w:val="389"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维修单位</w:t>
            </w:r>
          </w:p>
        </w:tc>
        <w:tc>
          <w:tcPr>
            <w:tcW w:w="7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lang w:bidi="ar"/>
              </w:rPr>
            </w:pPr>
          </w:p>
        </w:tc>
      </w:tr>
      <w:tr>
        <w:tblPrEx>
          <w:tblLayout w:type="fixed"/>
          <w:tblCellMar>
            <w:top w:w="15" w:type="dxa"/>
            <w:left w:w="15" w:type="dxa"/>
            <w:bottom w:w="15" w:type="dxa"/>
            <w:right w:w="15" w:type="dxa"/>
          </w:tblCellMar>
        </w:tblPrEx>
        <w:trPr>
          <w:trHeight w:val="389"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设备台数</w:t>
            </w:r>
          </w:p>
        </w:tc>
        <w:tc>
          <w:tcPr>
            <w:tcW w:w="30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31台</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位置</w:t>
            </w:r>
          </w:p>
        </w:tc>
        <w:tc>
          <w:tcPr>
            <w:tcW w:w="32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T3航站楼空调机房</w:t>
            </w:r>
          </w:p>
        </w:tc>
      </w:tr>
      <w:tr>
        <w:tblPrEx>
          <w:tblLayout w:type="fixed"/>
          <w:tblCellMar>
            <w:top w:w="15" w:type="dxa"/>
            <w:left w:w="15" w:type="dxa"/>
            <w:bottom w:w="15" w:type="dxa"/>
            <w:right w:w="15" w:type="dxa"/>
          </w:tblCellMar>
        </w:tblPrEx>
        <w:trPr>
          <w:trHeight w:val="389"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维修部件</w:t>
            </w:r>
          </w:p>
        </w:tc>
        <w:tc>
          <w:tcPr>
            <w:tcW w:w="7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电源板、散热风机</w:t>
            </w:r>
          </w:p>
        </w:tc>
      </w:tr>
      <w:tr>
        <w:tblPrEx>
          <w:tblLayout w:type="fixed"/>
          <w:tblCellMar>
            <w:top w:w="15" w:type="dxa"/>
            <w:left w:w="15" w:type="dxa"/>
            <w:bottom w:w="15" w:type="dxa"/>
            <w:right w:w="15" w:type="dxa"/>
          </w:tblCellMar>
        </w:tblPrEx>
        <w:trPr>
          <w:trHeight w:val="389" w:hRule="atLeast"/>
        </w:trPr>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服务日期</w:t>
            </w:r>
          </w:p>
        </w:tc>
        <w:tc>
          <w:tcPr>
            <w:tcW w:w="74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至</w:t>
            </w:r>
          </w:p>
        </w:tc>
      </w:tr>
      <w:tr>
        <w:tblPrEx>
          <w:tblLayout w:type="fixed"/>
          <w:tblCellMar>
            <w:top w:w="15" w:type="dxa"/>
            <w:left w:w="15" w:type="dxa"/>
            <w:bottom w:w="15" w:type="dxa"/>
            <w:right w:w="15" w:type="dxa"/>
          </w:tblCellMar>
        </w:tblPrEx>
        <w:trPr>
          <w:trHeight w:val="389"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验收内容</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1.整流模块测试</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2.逆变模块测试</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3.绝缘测试</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4.输出电压情况</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5.电源电压情况</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6.输出电流情况</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7.进线电流情况</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4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8.其他情况</w:t>
            </w:r>
          </w:p>
        </w:tc>
        <w:tc>
          <w:tcPr>
            <w:tcW w:w="45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□正常   □异常</w:t>
            </w:r>
          </w:p>
        </w:tc>
      </w:tr>
      <w:tr>
        <w:tblPrEx>
          <w:tblLayout w:type="fixed"/>
          <w:tblCellMar>
            <w:top w:w="15" w:type="dxa"/>
            <w:left w:w="15" w:type="dxa"/>
            <w:bottom w:w="15" w:type="dxa"/>
            <w:right w:w="15" w:type="dxa"/>
          </w:tblCellMar>
        </w:tblPrEx>
        <w:trPr>
          <w:trHeight w:val="389"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信息备注</w:t>
            </w:r>
          </w:p>
        </w:tc>
      </w:tr>
      <w:tr>
        <w:tblPrEx>
          <w:tblLayout w:type="fixed"/>
          <w:tblCellMar>
            <w:top w:w="15" w:type="dxa"/>
            <w:left w:w="15" w:type="dxa"/>
            <w:bottom w:w="15" w:type="dxa"/>
            <w:right w:w="15" w:type="dxa"/>
          </w:tblCellMar>
        </w:tblPrEx>
        <w:trPr>
          <w:trHeight w:val="1471"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4"/>
                <w:szCs w:val="24"/>
                <w:lang w:bidi="ar"/>
              </w:rPr>
            </w:pPr>
          </w:p>
          <w:p>
            <w:pPr>
              <w:widowControl/>
              <w:textAlignment w:val="center"/>
              <w:rPr>
                <w:rFonts w:ascii="宋体" w:hAnsi="宋体" w:eastAsia="宋体" w:cs="宋体"/>
                <w:color w:val="000000"/>
                <w:kern w:val="0"/>
                <w:sz w:val="24"/>
                <w:szCs w:val="24"/>
                <w:lang w:bidi="ar"/>
              </w:rPr>
            </w:pPr>
          </w:p>
          <w:p>
            <w:pPr>
              <w:widowControl/>
              <w:textAlignment w:val="center"/>
              <w:rPr>
                <w:rFonts w:ascii="宋体" w:hAnsi="宋体" w:eastAsia="宋体" w:cs="宋体"/>
                <w:color w:val="000000"/>
                <w:kern w:val="0"/>
                <w:sz w:val="24"/>
                <w:szCs w:val="24"/>
                <w:lang w:bidi="ar"/>
              </w:rPr>
            </w:pPr>
          </w:p>
          <w:p>
            <w:pPr>
              <w:widowControl/>
              <w:textAlignment w:val="center"/>
              <w:rPr>
                <w:rFonts w:ascii="宋体" w:hAnsi="宋体" w:eastAsia="宋体" w:cs="宋体"/>
                <w:color w:val="000000"/>
                <w:kern w:val="0"/>
                <w:sz w:val="24"/>
                <w:szCs w:val="24"/>
                <w:lang w:bidi="ar"/>
              </w:rPr>
            </w:pPr>
          </w:p>
          <w:p>
            <w:pPr>
              <w:widowControl/>
              <w:textAlignment w:val="center"/>
              <w:rPr>
                <w:rFonts w:ascii="宋体" w:hAnsi="宋体" w:eastAsia="宋体" w:cs="宋体"/>
                <w:color w:val="000000"/>
                <w:kern w:val="0"/>
                <w:sz w:val="24"/>
                <w:szCs w:val="24"/>
                <w:lang w:bidi="ar"/>
              </w:rPr>
            </w:pPr>
          </w:p>
        </w:tc>
      </w:tr>
      <w:tr>
        <w:tblPrEx>
          <w:tblLayout w:type="fixed"/>
          <w:tblCellMar>
            <w:top w:w="15" w:type="dxa"/>
            <w:left w:w="15" w:type="dxa"/>
            <w:bottom w:w="15" w:type="dxa"/>
            <w:right w:w="15" w:type="dxa"/>
          </w:tblCellMar>
        </w:tblPrEx>
        <w:trPr>
          <w:trHeight w:val="401"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验收结果</w:t>
            </w:r>
          </w:p>
        </w:tc>
      </w:tr>
      <w:tr>
        <w:tblPrEx>
          <w:tblLayout w:type="fixed"/>
          <w:tblCellMar>
            <w:top w:w="15" w:type="dxa"/>
            <w:left w:w="15" w:type="dxa"/>
            <w:bottom w:w="15" w:type="dxa"/>
            <w:right w:w="15" w:type="dxa"/>
          </w:tblCellMar>
        </w:tblPrEx>
        <w:trPr>
          <w:trHeight w:val="1722"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lang w:bidi="ar"/>
              </w:rPr>
            </w:pPr>
          </w:p>
          <w:p>
            <w:pPr>
              <w:widowControl/>
              <w:jc w:val="center"/>
              <w:textAlignment w:val="center"/>
              <w:rPr>
                <w:rFonts w:ascii="宋体" w:hAnsi="宋体" w:eastAsia="宋体" w:cs="宋体"/>
                <w:color w:val="000000"/>
                <w:kern w:val="0"/>
                <w:sz w:val="24"/>
                <w:szCs w:val="24"/>
                <w:lang w:bidi="ar"/>
              </w:rPr>
            </w:pPr>
          </w:p>
          <w:p>
            <w:pPr>
              <w:widowControl/>
              <w:textAlignment w:val="center"/>
              <w:rPr>
                <w:rFonts w:ascii="宋体" w:hAnsi="宋体" w:eastAsia="宋体" w:cs="宋体"/>
                <w:color w:val="000000"/>
                <w:kern w:val="0"/>
                <w:sz w:val="24"/>
                <w:szCs w:val="24"/>
                <w:lang w:bidi="ar"/>
              </w:rPr>
            </w:pPr>
          </w:p>
          <w:p>
            <w:pPr>
              <w:widowControl/>
              <w:jc w:val="center"/>
              <w:textAlignment w:val="center"/>
              <w:rPr>
                <w:rFonts w:ascii="宋体" w:hAnsi="宋体" w:eastAsia="宋体" w:cs="宋体"/>
                <w:color w:val="000000"/>
                <w:kern w:val="0"/>
                <w:sz w:val="24"/>
                <w:szCs w:val="24"/>
                <w:lang w:bidi="ar"/>
              </w:rPr>
            </w:pPr>
          </w:p>
        </w:tc>
      </w:tr>
      <w:tr>
        <w:tblPrEx>
          <w:tblLayout w:type="fixed"/>
          <w:tblCellMar>
            <w:top w:w="15" w:type="dxa"/>
            <w:left w:w="15" w:type="dxa"/>
            <w:bottom w:w="15" w:type="dxa"/>
            <w:right w:w="15" w:type="dxa"/>
          </w:tblCellMar>
        </w:tblPrEx>
        <w:trPr>
          <w:trHeight w:val="1215" w:hRule="atLeast"/>
        </w:trPr>
        <w:tc>
          <w:tcPr>
            <w:tcW w:w="91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甲方签字：                                  乙方签字：</w:t>
            </w:r>
          </w:p>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验收日期:</w:t>
            </w:r>
          </w:p>
        </w:tc>
      </w:tr>
    </w:tbl>
    <w:p>
      <w:pPr>
        <w:widowControl/>
        <w:jc w:val="left"/>
        <w:rPr>
          <w:rFonts w:ascii="仿宋_GB2312" w:hAnsi="仿宋_GB2312" w:eastAsia="仿宋_GB2312" w:cs="仿宋_GB2312"/>
          <w:color w:val="000000"/>
          <w:sz w:val="28"/>
          <w:szCs w:val="28"/>
        </w:rPr>
      </w:pPr>
    </w:p>
    <w:p>
      <w:pPr>
        <w:pStyle w:val="131"/>
        <w:spacing w:line="560" w:lineRule="exact"/>
        <w:ind w:firstLine="0" w:firstLineChars="0"/>
        <w:rPr>
          <w:rFonts w:ascii="仿宋_GB2312" w:hAnsi="仿宋_GB2312" w:eastAsia="仿宋_GB2312" w:cs="仿宋_GB2312"/>
          <w:sz w:val="28"/>
          <w:szCs w:val="28"/>
        </w:rPr>
      </w:pPr>
      <w:r>
        <w:rPr>
          <w:rFonts w:hint="eastAsia" w:ascii="仿宋_GB2312" w:hAnsi="仿宋_GB2312" w:eastAsia="仿宋_GB2312" w:cs="仿宋_GB2312"/>
          <w:sz w:val="28"/>
          <w:szCs w:val="28"/>
        </w:rPr>
        <w:t>附件3 ： 杭州萧山国际机场有限公司廉洁自律承诺书</w:t>
      </w:r>
    </w:p>
    <w:p>
      <w:pPr>
        <w:pStyle w:val="131"/>
        <w:spacing w:line="560" w:lineRule="exact"/>
        <w:ind w:firstLine="562"/>
        <w:rPr>
          <w:rFonts w:ascii="仿宋_GB2312" w:hAnsi="仿宋_GB2312" w:eastAsia="仿宋_GB2312" w:cs="仿宋_GB2312"/>
          <w:b/>
          <w:color w:val="auto"/>
          <w:sz w:val="28"/>
          <w:szCs w:val="28"/>
        </w:rPr>
      </w:pPr>
    </w:p>
    <w:p>
      <w:pPr>
        <w:pStyle w:val="131"/>
        <w:spacing w:line="560" w:lineRule="exact"/>
        <w:ind w:firstLine="562"/>
        <w:rPr>
          <w:rFonts w:ascii="仿宋_GB2312" w:hAnsi="仿宋_GB2312" w:eastAsia="仿宋_GB2312" w:cs="仿宋_GB2312"/>
          <w:b/>
          <w:color w:val="auto"/>
          <w:sz w:val="28"/>
          <w:szCs w:val="28"/>
        </w:rPr>
      </w:pPr>
    </w:p>
    <w:p>
      <w:pPr>
        <w:pStyle w:val="131"/>
        <w:spacing w:line="560" w:lineRule="exact"/>
        <w:ind w:firstLine="562"/>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杭州萧山国际机场有限公司廉洁自律承诺书</w:t>
      </w:r>
    </w:p>
    <w:p>
      <w:pPr>
        <w:pStyle w:val="82"/>
        <w:adjustRightInd w:val="0"/>
        <w:snapToGrid w:val="0"/>
        <w:spacing w:line="560" w:lineRule="exact"/>
        <w:ind w:firstLine="562"/>
        <w:jc w:val="left"/>
        <w:rPr>
          <w:rFonts w:ascii="仿宋_GB2312" w:hAnsi="仿宋_GB2312" w:eastAsia="仿宋_GB2312" w:cs="仿宋_GB2312"/>
          <w:b/>
          <w:sz w:val="28"/>
          <w:szCs w:val="28"/>
        </w:rPr>
      </w:pPr>
    </w:p>
    <w:p>
      <w:pPr>
        <w:pStyle w:val="82"/>
        <w:adjustRightInd w:val="0"/>
        <w:snapToGrid w:val="0"/>
        <w:spacing w:line="560" w:lineRule="exact"/>
        <w:ind w:firstLine="0" w:firstLineChars="0"/>
        <w:jc w:val="lef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八、为约束廉洁自律行为从法律上提供保障措施，我方同意向贵公司缴纳的履约保证金中的10%作为廉洁自律担保金。</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如违反上述廉洁自律承诺，贵公司有权：</w:t>
      </w:r>
    </w:p>
    <w:p>
      <w:pPr>
        <w:pStyle w:val="82"/>
        <w:numPr>
          <w:ilvl w:val="0"/>
          <w:numId w:val="11"/>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82"/>
        <w:numPr>
          <w:ilvl w:val="0"/>
          <w:numId w:val="11"/>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廉洁自律担保金不予退还我单位；</w:t>
      </w:r>
    </w:p>
    <w:p>
      <w:pPr>
        <w:pStyle w:val="82"/>
        <w:numPr>
          <w:ilvl w:val="0"/>
          <w:numId w:val="11"/>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82"/>
        <w:numPr>
          <w:ilvl w:val="0"/>
          <w:numId w:val="11"/>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82"/>
        <w:adjustRightInd w:val="0"/>
        <w:snapToGrid w:val="0"/>
        <w:spacing w:line="560" w:lineRule="exact"/>
        <w:ind w:firstLine="0" w:firstLineChars="0"/>
        <w:jc w:val="left"/>
        <w:rPr>
          <w:rFonts w:ascii="仿宋_GB2312" w:hAnsi="仿宋_GB2312" w:eastAsia="仿宋_GB2312" w:cs="仿宋_GB2312"/>
          <w:sz w:val="28"/>
          <w:szCs w:val="28"/>
        </w:rPr>
      </w:pPr>
    </w:p>
    <w:p>
      <w:pPr>
        <w:pStyle w:val="82"/>
        <w:adjustRightInd w:val="0"/>
        <w:snapToGrid w:val="0"/>
        <w:spacing w:line="560" w:lineRule="exact"/>
        <w:ind w:firstLine="0" w:firstLineChars="0"/>
        <w:jc w:val="left"/>
        <w:rPr>
          <w:rFonts w:ascii="仿宋_GB2312" w:hAnsi="仿宋_GB2312" w:eastAsia="仿宋_GB2312" w:cs="仿宋_GB2312"/>
          <w:sz w:val="28"/>
          <w:szCs w:val="28"/>
        </w:rPr>
      </w:pPr>
    </w:p>
    <w:p>
      <w:pPr>
        <w:pStyle w:val="82"/>
        <w:adjustRightInd w:val="0"/>
        <w:snapToGrid w:val="0"/>
        <w:spacing w:line="560" w:lineRule="exact"/>
        <w:ind w:firstLine="0" w:firstLineChars="0"/>
        <w:jc w:val="left"/>
        <w:rPr>
          <w:rFonts w:ascii="仿宋_GB2312" w:hAnsi="仿宋_GB2312" w:eastAsia="仿宋_GB2312" w:cs="仿宋_GB2312"/>
          <w:sz w:val="28"/>
          <w:szCs w:val="28"/>
        </w:rPr>
      </w:pPr>
    </w:p>
    <w:p>
      <w:pPr>
        <w:pStyle w:val="82"/>
        <w:adjustRightInd w:val="0"/>
        <w:snapToGrid w:val="0"/>
        <w:spacing w:line="560" w:lineRule="exact"/>
        <w:ind w:firstLine="0" w:firstLineChars="0"/>
        <w:jc w:val="left"/>
        <w:rPr>
          <w:rFonts w:ascii="仿宋_GB2312" w:hAnsi="仿宋_GB2312" w:eastAsia="仿宋_GB2312" w:cs="仿宋_GB2312"/>
          <w:sz w:val="28"/>
          <w:szCs w:val="28"/>
        </w:rPr>
      </w:pP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pStyle w:val="8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pStyle w:val="82"/>
        <w:adjustRightInd w:val="0"/>
        <w:snapToGrid w:val="0"/>
        <w:spacing w:line="560" w:lineRule="exact"/>
        <w:ind w:firstLine="562"/>
        <w:jc w:val="left"/>
        <w:rPr>
          <w:rFonts w:ascii="仿宋_GB2312" w:hAnsi="仿宋_GB2312" w:eastAsia="仿宋_GB2312" w:cs="仿宋_GB2312"/>
          <w:b/>
          <w:sz w:val="28"/>
          <w:szCs w:val="28"/>
        </w:rPr>
      </w:pPr>
    </w:p>
    <w:p>
      <w:pPr>
        <w:pStyle w:val="36"/>
        <w:spacing w:before="0" w:after="0" w:line="560" w:lineRule="exact"/>
        <w:rPr>
          <w:rFonts w:ascii="仿宋_GB2312" w:hAnsi="仿宋_GB2312" w:eastAsia="仿宋_GB2312" w:cs="仿宋_GB2312"/>
          <w:b w:val="0"/>
          <w:sz w:val="28"/>
          <w:szCs w:val="28"/>
        </w:rPr>
      </w:pPr>
      <w:bookmarkStart w:id="114" w:name="_Toc422638522"/>
      <w:bookmarkStart w:id="115" w:name="_Toc321925455"/>
      <w:r>
        <w:rPr>
          <w:rFonts w:hint="eastAsia" w:ascii="仿宋_GB2312" w:hAnsi="仿宋_GB2312" w:eastAsia="仿宋_GB2312" w:cs="仿宋_GB2312"/>
          <w:b w:val="0"/>
          <w:sz w:val="28"/>
          <w:szCs w:val="28"/>
        </w:rPr>
        <w:t xml:space="preserve">                           年     月     日</w:t>
      </w:r>
      <w:bookmarkEnd w:id="114"/>
      <w:bookmarkEnd w:id="115"/>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附件4：保密承诺书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日期：     年   月   日</w:t>
      </w:r>
    </w:p>
    <w:p>
      <w:pPr>
        <w:pStyle w:val="18"/>
        <w:spacing w:line="560" w:lineRule="exact"/>
        <w:ind w:firstLine="420"/>
        <w:jc w:val="left"/>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rPr>
          <w:rFonts w:ascii="Calibri" w:hAnsi="Calibri" w:cs="Calibri"/>
          <w:bCs/>
          <w:szCs w:val="32"/>
        </w:rPr>
      </w:pPr>
      <w:r>
        <w:rPr>
          <w:rFonts w:hint="eastAsia" w:ascii="仿宋_GB2312" w:hAnsi="仿宋_GB2312" w:eastAsia="仿宋_GB2312" w:cs="仿宋_GB2312"/>
          <w:sz w:val="28"/>
          <w:szCs w:val="28"/>
        </w:rPr>
        <w:t>附件5：项目实施安全文明协议书</w:t>
      </w:r>
    </w:p>
    <w:p>
      <w:pPr>
        <w:pStyle w:val="18"/>
        <w:spacing w:line="360" w:lineRule="exact"/>
        <w:ind w:firstLine="420"/>
        <w:rPr>
          <w:rFonts w:ascii="Calibri" w:hAnsi="Calibri" w:cs="Calibri"/>
          <w:bCs/>
          <w:szCs w:val="32"/>
        </w:rPr>
      </w:pPr>
    </w:p>
    <w:p>
      <w:pPr>
        <w:pStyle w:val="131"/>
        <w:ind w:firstLine="0" w:firstLineChars="0"/>
        <w:jc w:val="center"/>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杭州萧山国际机场项目工程建设</w:t>
      </w:r>
    </w:p>
    <w:p>
      <w:pPr>
        <w:pStyle w:val="131"/>
        <w:ind w:firstLine="0" w:firstLineChars="0"/>
        <w:jc w:val="center"/>
        <w:rPr>
          <w:rFonts w:ascii="仿宋_GB2312" w:hAnsi="宋体" w:eastAsia="仿宋_GB2312" w:cs="宋体"/>
          <w:b/>
          <w:color w:val="auto"/>
          <w:sz w:val="24"/>
          <w:szCs w:val="24"/>
        </w:rPr>
      </w:pPr>
      <w:r>
        <w:rPr>
          <w:rFonts w:hint="eastAsia" w:ascii="仿宋_GB2312" w:hAnsi="宋体" w:eastAsia="仿宋_GB2312" w:cs="宋体"/>
          <w:b/>
          <w:color w:val="auto"/>
          <w:sz w:val="24"/>
          <w:szCs w:val="24"/>
        </w:rPr>
        <w:t>安全文明施工协议书</w:t>
      </w:r>
    </w:p>
    <w:p>
      <w:pPr>
        <w:pStyle w:val="131"/>
        <w:ind w:firstLine="0" w:firstLineChars="0"/>
        <w:jc w:val="center"/>
        <w:rPr>
          <w:rFonts w:ascii="仿宋_GB2312" w:hAnsi="宋体" w:eastAsia="仿宋_GB2312" w:cs="宋体"/>
          <w:b/>
          <w:color w:val="auto"/>
          <w:sz w:val="24"/>
          <w:szCs w:val="24"/>
        </w:rPr>
      </w:pPr>
    </w:p>
    <w:p>
      <w:pPr>
        <w:pStyle w:val="82"/>
        <w:adjustRightInd w:val="0"/>
        <w:snapToGrid w:val="0"/>
        <w:ind w:firstLine="0" w:firstLineChars="0"/>
        <w:rPr>
          <w:rFonts w:ascii="仿宋_GB2312" w:hAnsi="宋体" w:eastAsia="仿宋_GB2312" w:cs="宋体"/>
          <w:szCs w:val="24"/>
        </w:rPr>
      </w:pPr>
      <w:r>
        <w:rPr>
          <w:rFonts w:hint="eastAsia" w:ascii="仿宋_GB2312" w:hAnsi="宋体" w:eastAsia="仿宋_GB2312" w:cs="宋体"/>
          <w:szCs w:val="24"/>
        </w:rPr>
        <w:t>发包人：杭州萧山国际机场有限公司</w:t>
      </w:r>
    </w:p>
    <w:p>
      <w:pPr>
        <w:rPr>
          <w:rFonts w:eastAsia="仿宋_GB2312"/>
        </w:rPr>
      </w:pPr>
      <w:r>
        <w:rPr>
          <w:rFonts w:hint="eastAsia" w:ascii="仿宋_GB2312" w:hAnsi="宋体" w:eastAsia="仿宋_GB2312" w:cs="宋体"/>
          <w:sz w:val="24"/>
          <w:szCs w:val="24"/>
        </w:rPr>
        <w:t>承包人：</w:t>
      </w:r>
    </w:p>
    <w:p>
      <w:pPr>
        <w:pStyle w:val="82"/>
        <w:adjustRightInd w:val="0"/>
        <w:snapToGrid w:val="0"/>
        <w:ind w:firstLine="0" w:firstLineChars="0"/>
        <w:rPr>
          <w:rFonts w:ascii="仿宋_GB2312" w:hAnsi="宋体" w:eastAsia="仿宋_GB2312" w:cs="宋体"/>
          <w:szCs w:val="24"/>
        </w:rPr>
      </w:pPr>
      <w:r>
        <w:rPr>
          <w:rFonts w:hint="eastAsia" w:ascii="仿宋_GB2312" w:hAnsi="宋体" w:eastAsia="仿宋_GB2312" w:cs="宋体"/>
          <w:szCs w:val="24"/>
        </w:rPr>
        <w:t>为了保护公民人身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安全文明施工协议书》。</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一、发包人对承包人实行安全目标管理，安全目标的具体内容是：</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1、无责任死亡事故和群伤事件。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2、无重大经济责任事故。</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3、无空防安全事故。</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4、无影响机场运行的不安全事件。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5、无七类重大刑事案件（杀人、绑架、强奸、放火、爆炸、劫持、故意伤害致死）及其它严重、恶性案件。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6、无因未足额、及时发放工资发生劳资纠纷。</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7、无集体食物中毒事件。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8、无计划外生育。</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9、无因上述原因引发无序维权事件。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上述情况的认定按国家和行业的有关规定和标准执行。</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二、发包人的权利和义务</w:t>
      </w:r>
    </w:p>
    <w:p>
      <w:pPr>
        <w:pStyle w:val="82"/>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1、发包人有权对承包人执行国家和行业法律、法规、规章和技术标准以及履行工程合同和本协议书情况进行监督、检查和考核，有权监督承包人消除不安全隐患，承包人懈怠或拒绝本协议条款组织安全文明施工的，经发包人书面通知未按时限和要求整改的，发包人有权对违反协议行为进行经济处罚或责令承包人停工整改直至终止合同。</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2、发包人联系和协调机场公安机关，督促施工单位按有关规定申报暂住登记和申领《居住证》，并协助承包人联系机场公安局商定有关工地安全保卫事宜。</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3、发包人利用施工例会等定期分析和掌握工程的治安情况，通报当前治安形势，交流工作经验，协助处理相关问题。</w:t>
      </w:r>
    </w:p>
    <w:p>
      <w:pPr>
        <w:pStyle w:val="82"/>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4、承包人未按要求配备安全设施、设备、器材，未在限定期限内整改的，发包人有权直接购置并配足，另增加20%的管理费，费用由承包人承担。</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依据民航行业和标化工地要求，工地及临舍实施封闭管理，进出工地的人员和车辆实行通行证管理制度，发包人协助承包人及时办理相关人员和车辆的施工通行证件。发包人组织承包人项目部管理人员、班组长参加专门的安全教育培训和考试（主要是机场运行、空防、不停航施工等方面安全知识），承包人应按行业规范对施工人员进行安全教育培训，承包人不履行安全教育培训的，发包人可强制组织有偿培训及其它强制措施。</w:t>
      </w:r>
    </w:p>
    <w:p>
      <w:pPr>
        <w:pStyle w:val="82"/>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6、发包人建立由监理、施工、设计单位为成员的安全管理网络，组织、协调安全管理工作，审核承包人及相关管理人员、特种作业人员的资质，督查承包人开展安全风险识别和评估，视情审查相应的安全技术措施。</w:t>
      </w:r>
    </w:p>
    <w:p>
      <w:pPr>
        <w:pStyle w:val="82"/>
        <w:adjustRightInd w:val="0"/>
        <w:snapToGrid w:val="0"/>
        <w:ind w:firstLineChars="0"/>
        <w:rPr>
          <w:rFonts w:ascii="仿宋_GB2312" w:hAnsi="宋体" w:eastAsia="仿宋_GB2312" w:cs="宋体"/>
          <w:szCs w:val="24"/>
        </w:rPr>
      </w:pPr>
      <w:r>
        <w:rPr>
          <w:rFonts w:hint="eastAsia" w:ascii="仿宋_GB2312" w:hAnsi="宋体" w:eastAsia="仿宋_GB2312" w:cs="宋体"/>
          <w:szCs w:val="24"/>
        </w:rPr>
        <w:t>7、发包人对承包人的临时设施（包括临时宿舍）进行统一规划和监管，完成后临时设施场地应按发包人要求恢复原状。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8、发包人应当向承包人提供施工现场及毗邻区域内供水、排水、供电、供热、通信、广播电视等地下管线资料，气象和水文观测资料，相邻建筑物和构筑物、地下工程的有关资料，并保证资料的真实、准确、完整。承包人因建设工程需要，向发包人查询前款规定的资料时，发包人应当及时提供。</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9、发包人不得对承包人提出不符合建设工程安全生产法律、法规和强制性标准的要求，不得要求承包人购买、租赁、使用不符合安全施工要求的安全防护用具、机械设备、施工机具及配件、消防设施和器材等，不得随意压缩合同约定的工期。</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10、发包人应按合同约定如期支付承包人工程款。</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三、承包人的安全、文明权利和义务</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遵守《中华人民共和国安全生产法》、《中华人民共和国建筑法》、《建设工程安全管理条例》、《浙江省建筑业管理条例》、《建筑施工安全检查标准》、《浙江省建筑安全文明施工标准化工地管理办法》和《杭州市建设工地职工宿舍安全使用与管理》以及其他安全文明的法律、法规，遵守机场有关安全管理的规章制度。</w:t>
      </w:r>
    </w:p>
    <w:p>
      <w:pPr>
        <w:pStyle w:val="82"/>
        <w:adjustRightInd w:val="0"/>
        <w:snapToGrid w:val="0"/>
        <w:ind w:firstLine="360" w:firstLineChars="150"/>
        <w:rPr>
          <w:rFonts w:ascii="仿宋_GB2312" w:hAnsi="宋体" w:eastAsia="仿宋_GB2312" w:cs="宋体"/>
          <w:szCs w:val="24"/>
        </w:rPr>
      </w:pPr>
      <w:r>
        <w:rPr>
          <w:rFonts w:hint="eastAsia" w:ascii="仿宋_GB2312" w:hAnsi="宋体" w:eastAsia="仿宋_GB2312" w:cs="宋体"/>
          <w:szCs w:val="24"/>
        </w:rPr>
        <w:t>（一）安全文明施工管理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1、落实施工安全责任，所涉工程依法实行总分包制的，总包单位应对施工安全负总责，以安全责任书的方式确定各分包单位的安全责任，承包人应层层签订安全责任书。</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2、承包人应开展风险管理，结合风险评估结果有针对性地制定和落实施工安全技术措施。</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承包人安全管理规章制度、操作规程、安全技术措施和专项施工方案以及项目经理、专职安全员、特种行业作业人员及其资格资质须向发包人备案，并持证上岗。对下列危险性较大的部分分项工程应当制定专项施工方案，按国家法律法规进行专家验证，且须经承包人技术负责人、总监理工程师审核签字后方可实施，并由专职安全生产管理人员进行现场监督：</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3.1 基坑与降水工程；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3.2 土方开挖工程；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3.3 模板工程；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3.4 起重吊装工程；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3.5 脚手架工程；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3.6 焊接、切割、爆破、拆除作业工程；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3.7国务院建设行政主管部门或其它有关部门规定的其它危险性较大的工程。</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4、承包人不得在机场和机场净空保护区范围内施放烟花、爆竹、气球等升空物体；建筑生活垃圾定点集中堆放，及时清运，不得随意焚烧垃圾等物品制造烟雾；不得饲养动物；不得随意丢弃飘浮物。</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4、承包人必须按照发包人的规划要求搭设临时设施，并经发包人验收合格方准使用。但发包人的验收并不免除承包人对其搭设的临时设施的安全承担全部责任。</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6、施工现场实行封闭式管理，沿工地四周连续设置围档，大门应设专职保安实施不间断的监管，并设监控设施。围档材料要求坚固、稳定、统一、整洁、美观，宜采用硬质材料。围挡设置高度不低于2米，施工区域与机场控制区间设置的硬质围档，高度应不低于2.5米，并加装防攀爬设施。</w:t>
      </w:r>
    </w:p>
    <w:p>
      <w:pPr>
        <w:pStyle w:val="82"/>
        <w:adjustRightInd w:val="0"/>
        <w:snapToGrid w:val="0"/>
        <w:spacing w:line="400" w:lineRule="exact"/>
        <w:ind w:firstLine="480"/>
        <w:rPr>
          <w:rFonts w:ascii="仿宋_GB2312" w:hAnsi="宋体" w:eastAsia="仿宋_GB2312" w:cs="宋体"/>
          <w:szCs w:val="24"/>
        </w:rPr>
      </w:pPr>
      <w:r>
        <w:rPr>
          <w:rFonts w:hint="eastAsia" w:ascii="仿宋_GB2312" w:hAnsi="宋体" w:eastAsia="仿宋_GB2312" w:cs="宋体"/>
          <w:szCs w:val="24"/>
        </w:rPr>
        <w:t>7、承包人应做好装修施工阶段成品保护工作，按照“谁主管、谁负责；谁使用、谁负责；谁管理、谁负责”的原则，制定成品保护管理办法，层层签订成品保护责任书，真正落实成品保护现场管理的各项措施。</w:t>
      </w:r>
    </w:p>
    <w:p>
      <w:pPr>
        <w:pStyle w:val="82"/>
        <w:adjustRightInd w:val="0"/>
        <w:snapToGrid w:val="0"/>
        <w:ind w:firstLine="360" w:firstLineChars="150"/>
        <w:rPr>
          <w:rFonts w:ascii="仿宋_GB2312" w:hAnsi="宋体" w:eastAsia="仿宋_GB2312" w:cs="宋体"/>
          <w:szCs w:val="24"/>
        </w:rPr>
      </w:pPr>
      <w:r>
        <w:rPr>
          <w:rFonts w:hint="eastAsia" w:ascii="仿宋_GB2312" w:hAnsi="宋体" w:eastAsia="仿宋_GB2312" w:cs="宋体"/>
          <w:szCs w:val="24"/>
        </w:rPr>
        <w:t>8、为保障民工合法权益，承包人还应承担以下义务：</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8.1承包人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8.2承包人应当监管下属劳务单位在招录民工时必须与民工班组签订详细书面合同（无下属劳务单位的，承包人直接与下属施工班组签订），就具体的工种、工价、工作量、出勤、签工、质量控制、工期、验收、结算方式、何时支付工资、付款方式等要素进行约定，并且与每位民工签订书面劳动合同。</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8.3承包人与下属劳务单位（或施工班组）双方就单价、工程量、造价、质量控制、结算方式、工期、验收、何时付款、付款方式等事项进行约定，临时增加的工程量必须以承包人出具的施工联系单作为依据，双方及时签字确认。</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8.4承包人要按合同约定如期支付下属劳务单位（或施工班组）工程进度款，优先支付民工工资款，承包人与下属劳务单位（或施工班组）双方就民工工资款专设监管账户，未经承包人同意下属劳务单位（或施工班组）无法出账，做到专款专用。承包人对下属劳务单位（或施工班组）发放民工工资应当派员进行指导、监督，确保及时足额发放。</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8.5承包人支付下属劳务单位（或施工班组）进度款之前，有义务查阅下属劳务单位（或施工班组）前期民工工资足额发放的书面材料。</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8.6承包人应制定相关约束性制度，落实措施，预防、杜绝下属劳务单位（或施工班组）无序维权事件发生。</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8.7若民工或下属劳务单位（或施工班组）维权，承包人应负相应举证义务。</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8.8一旦发生民工无序维权，承包人主要领导应当及时到场，督促下属劳务单位（或施工班组）负责人劝离民工，并积极配合发包人相关部门协调处置。</w:t>
      </w:r>
    </w:p>
    <w:p>
      <w:pPr>
        <w:pStyle w:val="151"/>
        <w:snapToGrid w:val="0"/>
        <w:spacing w:line="360" w:lineRule="exact"/>
        <w:ind w:firstLine="360" w:firstLineChars="150"/>
        <w:rPr>
          <w:rFonts w:ascii="仿宋_GB2312" w:hAnsi="宋体" w:eastAsia="仿宋_GB2312" w:cs="宋体"/>
          <w:sz w:val="24"/>
          <w:szCs w:val="24"/>
        </w:rPr>
      </w:pPr>
      <w:r>
        <w:rPr>
          <w:rFonts w:hint="eastAsia" w:ascii="仿宋_GB2312" w:hAnsi="宋体" w:eastAsia="仿宋_GB2312" w:cs="宋体"/>
          <w:sz w:val="24"/>
          <w:szCs w:val="24"/>
        </w:rPr>
        <w:t>发包人对承包人的上述工作有随时监督检查的权利，承包人应积极配合发包人的检查。</w:t>
      </w:r>
    </w:p>
    <w:p>
      <w:pPr>
        <w:pStyle w:val="82"/>
        <w:adjustRightInd w:val="0"/>
        <w:snapToGrid w:val="0"/>
        <w:ind w:firstLine="360" w:firstLineChars="150"/>
        <w:rPr>
          <w:rFonts w:ascii="仿宋_GB2312" w:hAnsi="宋体" w:eastAsia="仿宋_GB2312" w:cs="宋体"/>
          <w:szCs w:val="24"/>
        </w:rPr>
      </w:pPr>
      <w:r>
        <w:rPr>
          <w:rFonts w:hint="eastAsia" w:ascii="仿宋_GB2312" w:hAnsi="宋体" w:eastAsia="仿宋_GB2312" w:cs="宋体"/>
          <w:szCs w:val="24"/>
        </w:rPr>
        <w:t>（二）空防安全管理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1、必须严格遵守民用航空安全、空防管理的法律、法规和机场安全管理的各项规章制度。属于机场不停航施工项目或需进入机场控制区施工的项目，其人员和车辆实行机场控制区通行证管理制度。</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承包人提出申请，报发包人备案，办证费用由承包人自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3、进入机场控制区施工的人员和车辆需由发包人派员负责引领并主动接受机场管理人员的安全检查，服从机场相关职能部门的监管，无通行证者一律不得进入。</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应当加强通行证的管理，建立管理台帐。通行证仅限持证本人、本车使用，严禁转借、涂改和冒用；持证人员发生调离、辞退、开除等情况的，应及时收回通行证交由发包人报机场公安机关注销；如发生人员和车辆通行证遗失的，应在第一时间向发包人报告；持证车辆重新调配或报废的，应及时将通行证交由发包人申报注销。上述环节因承包人管理不力发生问题的，承包人应承担由此引发的一切后果和责任。</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（三）不停航施工安全管理（仅指进入控制区从事不停航施工项目）</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不停航施工是指在机场不关闭并按照航班计划接受和放行航空器的情况下，在飞行区、部分航站区内实施工程作业。不停航施工的项目单位，必须严格遵守《民用机场运行安全管理规定》（191号令），严格按照发包人制定的有关《不停航施工组织管理方案》进行施工，主要包括但不限于以下内容：</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1.1、在机场有飞行任务期间，禁止在跑道端之外300米以内、跑道中心线两侧60米以内的区域进行任何施工作业。如承包人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1.2、实行不停航施工的区域，开挖的明沟和施工材料堆放处，必须根据发包人要求用桔黄色小旗标识以示警告；在低能见度的白天和夜间，应当按照发包人要求加设红色恒定灯光；材料和临时堆放的施工垃圾应当采取防止被风或飞机尾流吹散的措施。</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1.3、施工机具须停放在指定安全区域内。机场开放运行期间，必须严格控制施工机械的活动范围，杜绝出现机具、车辆侵入飞行活动区或超越机场净空限制面等情况。</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（四）社会治安管理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遵守国家治安管理法律法规和发包人制定的各项社会治安综合治理管理规定，建立社会治安综合治理网络并纳入发包人社会治安综合治理网络体系，配备专职（兼职）综治联络员，负责治安、交通、消防、帮教、计生等综合治理工作，建立和健全群防群治力量及各项治安保卫制度，治安联络员名单和有关制度要报发包人和机场公安机关治安管理部门备案。</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2、进出口大门应设立门卫，人员和车辆凭发包人制发的施工通行证进出，并接受发包人安保人员或机场公安管理人员查验。</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3、做好内部的治安防范工作，对重要部位和物资、设备，要落实人防、物防和技防的措施，积极配合公安机关组织的治安联防活动。</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4、加强对施工人员的遵纪守法教育，预防“黄、毒、赌”、斗殴、偷窃等违法违纪行为的发生，主动接受发包人和机场公安机关的指导、检查、监督、考核。</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5、认真排查、调处各类矛盾，及时消除不稳定因素，杜绝各类社会矛盾引发的群体性事件的发生。</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6、制定包括重大安全生产事故、重大道路交通事故、重大消防安全事故、重大刑事案件以及群体性事件等突发性事件在内的应急处置预案，一旦发生，及时报告发包人和上级主管部门并做好处置工作。</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7、员工宿舍必须定人定位，不得男女混住，不准留宿身份不明的人员，留客住宿必须经项目部负责人同意，并登记备查，保证生产、生活区的安全。</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8、加强对施工人员的管理，外来人员拟居住30天以下的，应及时到机场公安机关申报暂住登记；拟居住30天以上的年满16周岁人员，应在10天内到机场公安机关申领《居住证》。</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9、负责工程建设期间施工队伍中的计划生育工作，做好孕情监测，确保无计划外生育的情况发生。</w:t>
      </w:r>
    </w:p>
    <w:p>
      <w:pPr>
        <w:pStyle w:val="82"/>
        <w:adjustRightInd w:val="0"/>
        <w:snapToGrid w:val="0"/>
        <w:ind w:firstLine="360" w:firstLineChars="150"/>
        <w:rPr>
          <w:rFonts w:ascii="仿宋_GB2312" w:hAnsi="宋体" w:eastAsia="仿宋_GB2312" w:cs="宋体"/>
          <w:szCs w:val="24"/>
        </w:rPr>
      </w:pPr>
      <w:r>
        <w:rPr>
          <w:rFonts w:hint="eastAsia" w:ascii="仿宋_GB2312" w:hAnsi="宋体" w:eastAsia="仿宋_GB2312" w:cs="宋体"/>
          <w:szCs w:val="24"/>
        </w:rPr>
        <w:t>（五）消防安全管理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1、遵守国家消防法律法规，建立和健全消防管理规章制度，明确消防安全责任人，健全消防安全网络（配备专职或兼职消防员），建立消防应急队伍，并报发包人和机场公安局消防部门备案。</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2、制定用火、用电、使用易燃易爆及危险化学物品等各项消防安全操作规程，设置消防通道、消防水源、配备必须的消防设备和灭火器材，并在重点场所重点部位设置消防警示标志。</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3、施工中使用明火，使用电、气进行焊接和切割作业，须经机场公安消防管理部门审查批准，并在施工现场设置专门的防火监护人、接火盆、配足有效的灭火器材、清理附近的可燃物等。</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4、对施工人员进行消防安全教育，使其熟悉本岗位防火措施、遇险报警、初期扑救及自救逃生的知识和技能。</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5、自行搭建临时用房应符合防火设计规范，建立、健全员工宿舍消防安全管理规章制度，加强员工宿舍消防安全、用电安全管理，严禁不按规定用火和私拉乱接电线、严禁使用大功率电器。</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（六）交通安全管理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1、加强对下属员工、驾驶人员、承运单位的道路交通安全法律法规宣传教育，车辆进出机场和施工场地均应服从交警及其他交通管理人员的指挥和管理。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2、与承运单位或驾驶员签订《交通安全责任书》，并实行交通安全检查考核制度，配备交通安全联络员，对运输车辆驾驶员和施工人员进行交通安全教育并做好教育台帐，减少或控制交通违法行为的发生。</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3、确保各类运输车辆技术状况良好，不得使用假牌、假证、无号牌、无行驶证、无保险和带故障、检验不合格的运输车辆。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4、所有运输车辆均应办理施工通行证并按指定路线和限定速度行驶，不得违反车辆装载规定，严禁沿路抛洒装载物。进入控制区施工车辆应安装并开启黄色警示灯。</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5、在施工现场内及进、出口处设置必要的交通标志，预防交通事故的发生。</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6、占用、挖掘道路，跨越道路架设、铺设管线以及大型机械进出机场须提前与发包人协商，征得发包人和机场公安局交警队同意，并采取防护措施和设置明显警示标志方可实施。</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四、违约责任</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1、本《安全文明施工协议书》是工程施工合同的重要组成部分，协议双方必须严格遵守和履行，如有违反，发包人可以追究承包人责任；承包人违约情况严重，或是社会影响恶劣，又或是造成发包人或第三方重大损失，发包人可解除施工合同且不须向承包人承担任何补偿、赔偿的责任。</w:t>
      </w:r>
    </w:p>
    <w:p>
      <w:pPr>
        <w:pStyle w:val="82"/>
        <w:spacing w:line="400" w:lineRule="exact"/>
        <w:ind w:firstLine="480"/>
        <w:rPr>
          <w:rFonts w:ascii="仿宋_GB2312" w:hAnsi="宋体" w:eastAsia="仿宋_GB2312" w:cs="宋体"/>
          <w:szCs w:val="24"/>
        </w:rPr>
      </w:pPr>
      <w:r>
        <w:rPr>
          <w:rFonts w:hint="eastAsia" w:ascii="仿宋_GB2312" w:hAnsi="宋体" w:eastAsia="仿宋_GB2312" w:cs="宋体"/>
          <w:szCs w:val="24"/>
        </w:rPr>
        <w:t>2、根据合同规定，承包人的履约保证金中20%为履行本协议的保证金。承包人在生产施工中一旦发生责任事故造成发包人或第三方损害，无正当理由未予赔偿的，发包人有权直接从履约保证金中扣除或支付赔偿费用，如发包人的损失超过该部分保证金的，发包人有权扣除全部履约保证金，并向承包人追偿实际损失。承包人未实现本协议安全管理目标的，视违反的程度以及实际损失情况扣除本协议部分或全部履约保证金；违反上述安全文明施工管理、空防安全管理、不停航施工安全管理、社会治安管理、消防安全管理或交通安全管理条款的，发包人将严格按照相关规定进行扣分和处罚。</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3、承包人未尽本协议第27条应尽义务，致使民工或下属劳务单位（或施工班组）无序维权事件发生的，发包人可按争议金额暂扣承包人部分工程款，作为该事件的应急使用款。最终根据该争议仲裁、判决或协商结果，从承包人工程款中直接扣除。</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承包人未尽本协议第27条应尽义务，致使民工采取堵路、封门、冲关、静坐、上访、私贴标语、殴打他人、损毁财物、扰乱秩序、绝食、自焚、自杀等方式维权的，承包人应当承担全部经济损失及赔偿责任，给发包人造成损失的，除赔偿发包人的全部损失外，承包人应对发包人承担违约金：每发生事件一次支付违约金人民币一万元，在事件中每受伤一人支付违约金人民币五至十万元，每死亡一人支付违约金人民币一百万元，该笔款项由发包人从工程款中直接扣除。承包人构成本项违约的事实，以公安部门的接处警记录或实际损害结果的发生为准。</w:t>
      </w: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4、本协议所述的扣罚所涉款项属惩罚性违约金性质，承包人确认该等扣罚标准合理，承包人同意受发包人依据本协议书所制定的具体扣罚标准的约束，承包人确认其已明白无误的了解该等具体的扣罚标准，承包人承担了该等违约金并不免除其应按合同约定予以全面履行的义务和责任。</w:t>
      </w:r>
    </w:p>
    <w:p>
      <w:pPr>
        <w:ind w:firstLine="480" w:firstLineChars="200"/>
      </w:pPr>
      <w:r>
        <w:rPr>
          <w:rFonts w:hint="eastAsia" w:ascii="仿宋_GB2312" w:hAnsi="宋体" w:eastAsia="仿宋_GB2312" w:cs="宋体"/>
          <w:sz w:val="24"/>
          <w:szCs w:val="24"/>
        </w:rPr>
        <w:t>五、本协议书附于《</w:t>
      </w:r>
      <w:r>
        <w:rPr>
          <w:rFonts w:hint="eastAsia" w:ascii="仿宋_GB2312" w:hAnsi="宋体" w:eastAsia="仿宋_GB2312" w:cs="宋体"/>
          <w:sz w:val="24"/>
          <w:szCs w:val="24"/>
          <w:u w:val="single"/>
        </w:rPr>
        <w:t>中央空调系统变频器维修项目</w:t>
      </w:r>
      <w:r>
        <w:rPr>
          <w:rFonts w:hint="eastAsia" w:ascii="仿宋_GB2312" w:hAnsi="宋体" w:eastAsia="仿宋_GB2312" w:cs="宋体"/>
          <w:sz w:val="24"/>
          <w:szCs w:val="24"/>
        </w:rPr>
        <w:t>》正副本后，本协议书自发包人、承包人共同签字或盖章后生效。</w:t>
      </w:r>
    </w:p>
    <w:p>
      <w:pPr>
        <w:pStyle w:val="82"/>
        <w:adjustRightInd w:val="0"/>
        <w:snapToGrid w:val="0"/>
        <w:ind w:firstLine="0" w:firstLineChars="0"/>
        <w:rPr>
          <w:rFonts w:ascii="仿宋_GB2312" w:hAnsi="宋体" w:eastAsia="仿宋_GB2312" w:cs="宋体"/>
          <w:szCs w:val="24"/>
        </w:rPr>
      </w:pPr>
    </w:p>
    <w:p>
      <w:pPr>
        <w:pStyle w:val="82"/>
        <w:adjustRightInd w:val="0"/>
        <w:snapToGrid w:val="0"/>
        <w:ind w:firstLine="0" w:firstLineChars="0"/>
        <w:rPr>
          <w:rFonts w:ascii="仿宋_GB2312" w:hAnsi="宋体" w:eastAsia="仿宋_GB2312" w:cs="宋体"/>
          <w:szCs w:val="24"/>
        </w:rPr>
      </w:pPr>
    </w:p>
    <w:p>
      <w:pPr>
        <w:pStyle w:val="82"/>
        <w:adjustRightInd w:val="0"/>
        <w:snapToGrid w:val="0"/>
        <w:ind w:firstLine="0" w:firstLineChars="0"/>
        <w:rPr>
          <w:rFonts w:ascii="仿宋_GB2312" w:hAnsi="宋体" w:eastAsia="仿宋_GB2312" w:cs="宋体"/>
          <w:szCs w:val="24"/>
        </w:rPr>
      </w:pPr>
    </w:p>
    <w:p>
      <w:pPr>
        <w:pStyle w:val="82"/>
        <w:adjustRightInd w:val="0"/>
        <w:snapToGrid w:val="0"/>
        <w:ind w:firstLine="480"/>
        <w:rPr>
          <w:rFonts w:ascii="仿宋_GB2312" w:hAnsi="宋体" w:eastAsia="仿宋_GB2312" w:cs="宋体"/>
          <w:szCs w:val="24"/>
        </w:rPr>
      </w:pPr>
      <w:r>
        <w:rPr>
          <w:rFonts w:hint="eastAsia" w:ascii="仿宋_GB2312" w:hAnsi="宋体" w:eastAsia="仿宋_GB2312" w:cs="宋体"/>
          <w:szCs w:val="24"/>
        </w:rPr>
        <w:t>发包人：                                     承包人：</w:t>
      </w: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pPr>
    </w:p>
    <w:p>
      <w:pPr>
        <w:pStyle w:val="18"/>
        <w:spacing w:line="360" w:lineRule="exact"/>
        <w:ind w:firstLine="420"/>
        <w:rPr>
          <w:rFonts w:ascii="Calibri" w:hAnsi="Calibri" w:cs="Calibri"/>
          <w:bCs/>
          <w:szCs w:val="32"/>
        </w:rPr>
        <w:sectPr>
          <w:headerReference r:id="rId7" w:type="first"/>
          <w:pgSz w:w="11906" w:h="16838"/>
          <w:pgMar w:top="1134" w:right="1247" w:bottom="1134" w:left="1247" w:header="851" w:footer="1134" w:gutter="0"/>
          <w:pgNumType w:fmt="numberInDash"/>
          <w:cols w:space="720" w:num="1"/>
          <w:docGrid w:linePitch="312" w:charSpace="0"/>
        </w:sectPr>
      </w:pPr>
    </w:p>
    <w:p>
      <w:pPr>
        <w:pStyle w:val="2"/>
        <w:spacing w:before="0" w:after="0" w:line="360" w:lineRule="auto"/>
        <w:jc w:val="center"/>
        <w:rPr>
          <w:rFonts w:ascii="Calibri" w:hAnsi="Calibri" w:eastAsia="黑体" w:cs="Calibri"/>
          <w:kern w:val="0"/>
          <w:sz w:val="32"/>
        </w:rPr>
      </w:pPr>
      <w:bookmarkStart w:id="116"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6"/>
    </w:p>
    <w:p>
      <w:pPr>
        <w:snapToGrid w:val="0"/>
        <w:ind w:firstLine="420" w:firstLineChars="200"/>
        <w:rPr>
          <w:rFonts w:ascii="宋体" w:hAnsi="宋体"/>
          <w:kern w:val="0"/>
        </w:rPr>
      </w:pPr>
      <w:r>
        <w:rPr>
          <w:rFonts w:ascii="宋体" w:hAnsi="宋体"/>
        </w:rPr>
        <w:t>根据《中华人民共和国招标投标法》、《中华人民共和国招标投标法实施条例》、《浙江省招标投标条例》、《评标委员会和评标办法暂行规定》（国家发展计划委员会第12号）、《浙江省综合性评标专家库管理办法实施细则》、《浙江省人民政府关于进一步严格规范工程建设项目招标投标活动的意见》(浙政发〔2014〕39号)等有关规定，制定本办法。</w:t>
      </w:r>
    </w:p>
    <w:p>
      <w:pPr>
        <w:snapToGrid w:val="0"/>
        <w:ind w:firstLine="413" w:firstLineChars="196"/>
        <w:rPr>
          <w:rFonts w:ascii="宋体" w:hAnsi="宋体"/>
          <w:b/>
          <w:kern w:val="0"/>
        </w:rPr>
      </w:pPr>
      <w:r>
        <w:rPr>
          <w:rFonts w:ascii="宋体" w:hAnsi="宋体"/>
          <w:b/>
          <w:kern w:val="0"/>
        </w:rPr>
        <w:t>一、评标原则</w:t>
      </w:r>
    </w:p>
    <w:p>
      <w:pPr>
        <w:snapToGrid w:val="0"/>
        <w:ind w:firstLine="473" w:firstLineChars="225"/>
        <w:rPr>
          <w:rFonts w:ascii="宋体" w:hAnsi="宋体"/>
          <w:kern w:val="0"/>
        </w:rPr>
      </w:pPr>
      <w:r>
        <w:rPr>
          <w:rFonts w:hint="eastAsia" w:ascii="宋体" w:hAnsi="宋体"/>
          <w:kern w:val="0"/>
        </w:rPr>
        <w:t>本次评标采用</w:t>
      </w:r>
      <w:r>
        <w:rPr>
          <w:rFonts w:hint="eastAsia" w:ascii="宋体" w:hAnsi="宋体"/>
          <w:b/>
          <w:kern w:val="0"/>
        </w:rPr>
        <w:t>经评审的最低投标价法</w:t>
      </w:r>
      <w:r>
        <w:rPr>
          <w:rFonts w:hint="eastAsia" w:ascii="宋体" w:hAnsi="宋体"/>
          <w:kern w:val="0"/>
        </w:rPr>
        <w:t>，</w:t>
      </w:r>
      <w:r>
        <w:rPr>
          <w:rFonts w:ascii="宋体" w:hAnsi="宋体"/>
          <w:kern w:val="0"/>
        </w:rPr>
        <w:t>评标应遵循公平、公正、科学、择优的原则。</w:t>
      </w:r>
    </w:p>
    <w:p>
      <w:pPr>
        <w:snapToGrid w:val="0"/>
        <w:ind w:firstLine="413" w:firstLineChars="196"/>
        <w:rPr>
          <w:rFonts w:ascii="宋体" w:hAnsi="宋体"/>
          <w:b/>
          <w:kern w:val="0"/>
        </w:rPr>
      </w:pPr>
      <w:r>
        <w:rPr>
          <w:rFonts w:ascii="宋体" w:hAnsi="宋体"/>
          <w:b/>
          <w:kern w:val="0"/>
        </w:rPr>
        <w:t>二、评标组织</w:t>
      </w:r>
    </w:p>
    <w:p>
      <w:pPr>
        <w:adjustRightInd w:val="0"/>
        <w:snapToGrid w:val="0"/>
        <w:ind w:firstLine="420" w:firstLineChars="200"/>
        <w:rPr>
          <w:rFonts w:ascii="宋体" w:hAnsi="宋体"/>
        </w:rPr>
      </w:pPr>
      <w:r>
        <w:rPr>
          <w:rFonts w:hint="eastAsia" w:ascii="宋体" w:hAnsi="宋体"/>
        </w:rPr>
        <w:t>评标工作由招标人依法组建的评标委员会负责。评标委员会成员为3人及以上单数，评标委员会由招标人自行组建。</w:t>
      </w:r>
    </w:p>
    <w:p>
      <w:pPr>
        <w:adjustRightInd w:val="0"/>
        <w:snapToGrid w:val="0"/>
        <w:ind w:firstLine="420" w:firstLineChars="200"/>
        <w:rPr>
          <w:rFonts w:ascii="宋体" w:hAnsi="宋体"/>
        </w:rPr>
      </w:pPr>
      <w:r>
        <w:rPr>
          <w:rFonts w:ascii="宋体" w:hAnsi="宋体"/>
        </w:rPr>
        <w:t>评标委员会应推举产生评标委员会负责人，评标委员会负责人负责组织评标、掌握评标进程、主持询标、编写评标报告等工作，评标委员会负责人与其他成员具有同等的权利。评标委员会成员对所提出的评审意见承担个人责任。</w:t>
      </w:r>
    </w:p>
    <w:p>
      <w:pPr>
        <w:adjustRightInd w:val="0"/>
        <w:snapToGrid w:val="0"/>
        <w:ind w:firstLine="420" w:firstLineChars="200"/>
        <w:rPr>
          <w:rFonts w:ascii="宋体" w:hAnsi="宋体"/>
        </w:rPr>
      </w:pPr>
      <w:r>
        <w:rPr>
          <w:rFonts w:ascii="宋体" w:hAnsi="宋体"/>
        </w:rPr>
        <w:t>评标委员会应当按照招标文件确定的评标标准和方法，客观、公正对投标文件进行评审和比较，招标文件没有规定的评标标准和方法不得作为评标的依据。</w:t>
      </w:r>
    </w:p>
    <w:p>
      <w:pPr>
        <w:adjustRightInd w:val="0"/>
        <w:snapToGrid w:val="0"/>
        <w:ind w:firstLine="420" w:firstLineChars="200"/>
        <w:rPr>
          <w:rFonts w:ascii="宋体" w:hAnsi="宋体"/>
        </w:rPr>
      </w:pPr>
      <w:r>
        <w:rPr>
          <w:rFonts w:ascii="宋体" w:hAnsi="宋体"/>
        </w:rPr>
        <w:t>评标委员会对投标文件作出的评审结论，应当符合有关法律、法规、规章和招标文件的规定。</w:t>
      </w:r>
    </w:p>
    <w:p>
      <w:pPr>
        <w:snapToGrid w:val="0"/>
        <w:ind w:firstLine="489" w:firstLineChars="232"/>
        <w:rPr>
          <w:rFonts w:ascii="宋体" w:hAnsi="宋体"/>
          <w:b/>
          <w:kern w:val="0"/>
        </w:rPr>
      </w:pPr>
      <w:r>
        <w:rPr>
          <w:rFonts w:ascii="宋体" w:hAnsi="宋体"/>
          <w:b/>
          <w:kern w:val="0"/>
        </w:rPr>
        <w:t>三、评标程序和内容</w:t>
      </w:r>
    </w:p>
    <w:p>
      <w:pPr>
        <w:adjustRightInd w:val="0"/>
        <w:snapToGrid w:val="0"/>
        <w:ind w:firstLine="420" w:firstLineChars="200"/>
        <w:rPr>
          <w:rFonts w:ascii="宋体" w:hAnsi="宋体"/>
        </w:rPr>
      </w:pPr>
      <w:r>
        <w:rPr>
          <w:rFonts w:ascii="宋体" w:hAnsi="宋体"/>
        </w:rPr>
        <w:t>（一）熟悉招标文件和评标办法；</w:t>
      </w:r>
    </w:p>
    <w:p>
      <w:pPr>
        <w:adjustRightInd w:val="0"/>
        <w:snapToGrid w:val="0"/>
        <w:ind w:firstLine="420" w:firstLineChars="200"/>
        <w:rPr>
          <w:rFonts w:ascii="宋体" w:hAnsi="宋体"/>
        </w:rPr>
      </w:pPr>
      <w:r>
        <w:rPr>
          <w:rFonts w:ascii="宋体" w:hAnsi="宋体"/>
        </w:rPr>
        <w:t>（二）投标文件的符合性评审；</w:t>
      </w:r>
    </w:p>
    <w:p>
      <w:pPr>
        <w:adjustRightInd w:val="0"/>
        <w:snapToGrid w:val="0"/>
        <w:ind w:firstLine="420" w:firstLineChars="200"/>
        <w:rPr>
          <w:rFonts w:ascii="宋体" w:hAnsi="宋体"/>
        </w:rPr>
      </w:pPr>
      <w:r>
        <w:rPr>
          <w:rFonts w:ascii="宋体" w:hAnsi="宋体"/>
        </w:rPr>
        <w:t>（三）投标文件的资信、业绩评审；</w:t>
      </w:r>
    </w:p>
    <w:p>
      <w:pPr>
        <w:adjustRightInd w:val="0"/>
        <w:snapToGrid w:val="0"/>
        <w:ind w:firstLine="420" w:firstLineChars="200"/>
        <w:rPr>
          <w:rFonts w:ascii="宋体" w:hAnsi="宋体"/>
        </w:rPr>
      </w:pPr>
      <w:r>
        <w:rPr>
          <w:rFonts w:ascii="宋体" w:hAnsi="宋体"/>
        </w:rPr>
        <w:t>（四）投标文件的</w:t>
      </w:r>
      <w:r>
        <w:rPr>
          <w:rFonts w:hint="eastAsia" w:ascii="宋体" w:hAnsi="宋体"/>
        </w:rPr>
        <w:t>技术标</w:t>
      </w:r>
      <w:r>
        <w:rPr>
          <w:rFonts w:ascii="宋体" w:hAnsi="宋体"/>
        </w:rPr>
        <w:t>评审；</w:t>
      </w:r>
    </w:p>
    <w:p>
      <w:pPr>
        <w:adjustRightInd w:val="0"/>
        <w:snapToGrid w:val="0"/>
        <w:ind w:firstLine="420" w:firstLineChars="200"/>
        <w:rPr>
          <w:rFonts w:ascii="宋体" w:hAnsi="宋体"/>
        </w:rPr>
      </w:pPr>
      <w:r>
        <w:rPr>
          <w:rFonts w:ascii="宋体" w:hAnsi="宋体"/>
        </w:rPr>
        <w:t>（五）投标文件的</w:t>
      </w:r>
      <w:r>
        <w:rPr>
          <w:rFonts w:hint="eastAsia" w:ascii="宋体" w:hAnsi="宋体"/>
        </w:rPr>
        <w:t>商务标</w:t>
      </w:r>
      <w:r>
        <w:rPr>
          <w:rFonts w:ascii="宋体" w:hAnsi="宋体"/>
        </w:rPr>
        <w:t>评审；</w:t>
      </w:r>
    </w:p>
    <w:p>
      <w:pPr>
        <w:adjustRightInd w:val="0"/>
        <w:snapToGrid w:val="0"/>
        <w:ind w:firstLine="420" w:firstLineChars="200"/>
        <w:rPr>
          <w:rFonts w:ascii="宋体" w:hAnsi="宋体"/>
        </w:rPr>
      </w:pPr>
      <w:r>
        <w:rPr>
          <w:rFonts w:ascii="宋体" w:hAnsi="宋体"/>
        </w:rPr>
        <w:t>（六）必要时对投标文件中的问题进行询标，包括拟作出否决投标决定前对相关投标人进行的询问核实；</w:t>
      </w:r>
    </w:p>
    <w:p>
      <w:pPr>
        <w:adjustRightInd w:val="0"/>
        <w:snapToGrid w:val="0"/>
        <w:ind w:firstLine="420" w:firstLineChars="200"/>
        <w:rPr>
          <w:rFonts w:ascii="宋体" w:hAnsi="宋体"/>
        </w:rPr>
      </w:pPr>
      <w:r>
        <w:rPr>
          <w:rFonts w:ascii="宋体" w:hAnsi="宋体"/>
        </w:rPr>
        <w:t>（七）根据评标办法和标准对投标文件进行综合评分、排序；</w:t>
      </w:r>
    </w:p>
    <w:p>
      <w:pPr>
        <w:adjustRightInd w:val="0"/>
        <w:snapToGrid w:val="0"/>
        <w:ind w:firstLine="420" w:firstLineChars="200"/>
        <w:rPr>
          <w:rFonts w:ascii="宋体" w:hAnsi="宋体"/>
        </w:rPr>
      </w:pPr>
      <w:r>
        <w:rPr>
          <w:rFonts w:ascii="宋体" w:hAnsi="宋体"/>
        </w:rPr>
        <w:t>（八）完成评标报告，推荐中标候选人。</w:t>
      </w:r>
    </w:p>
    <w:p>
      <w:pPr>
        <w:adjustRightInd w:val="0"/>
        <w:snapToGrid w:val="0"/>
        <w:ind w:firstLine="422" w:firstLineChars="200"/>
        <w:rPr>
          <w:rFonts w:ascii="宋体" w:hAnsi="宋体"/>
          <w:b/>
        </w:rPr>
      </w:pPr>
      <w:r>
        <w:rPr>
          <w:rFonts w:ascii="宋体" w:hAnsi="宋体"/>
          <w:b/>
        </w:rPr>
        <w:t>四、评审细则</w:t>
      </w:r>
    </w:p>
    <w:p>
      <w:pPr>
        <w:adjustRightInd w:val="0"/>
        <w:snapToGrid w:val="0"/>
        <w:ind w:firstLine="422" w:firstLineChars="200"/>
        <w:rPr>
          <w:rFonts w:ascii="宋体" w:hAnsi="宋体"/>
          <w:b/>
        </w:rPr>
      </w:pPr>
      <w:r>
        <w:rPr>
          <w:rFonts w:ascii="宋体" w:hAnsi="宋体"/>
          <w:b/>
        </w:rPr>
        <w:t>（一）符合性评审</w:t>
      </w:r>
    </w:p>
    <w:p>
      <w:pPr>
        <w:adjustRightInd w:val="0"/>
        <w:snapToGrid w:val="0"/>
        <w:ind w:firstLine="420" w:firstLineChars="200"/>
        <w:rPr>
          <w:rFonts w:ascii="宋体" w:hAnsi="宋体"/>
        </w:rPr>
      </w:pPr>
      <w:r>
        <w:rPr>
          <w:rFonts w:hint="eastAsia" w:ascii="宋体" w:hAnsi="宋体"/>
        </w:rPr>
        <w:t>评标委员会应依照招标文件的要求和规定首先对投标人的投标资格和投标文件进行符合性评审，</w:t>
      </w:r>
      <w:r>
        <w:rPr>
          <w:rFonts w:hint="eastAsia" w:ascii="宋体" w:hAnsi="宋体"/>
          <w:b/>
        </w:rPr>
        <w:t>审查过程中评标委员会可以要求投标人提交下列审查项所需的有关证明和证件的原件，以便核验。</w:t>
      </w:r>
      <w:r>
        <w:rPr>
          <w:rFonts w:hint="eastAsia" w:ascii="宋体" w:hAnsi="宋体"/>
        </w:rPr>
        <w:t>投标文件如存在以下情况之一的，经评标委员会三分之二以上的成员认定，符合性审查不予通过，</w:t>
      </w:r>
      <w:r>
        <w:rPr>
          <w:rFonts w:hint="eastAsia" w:ascii="宋体" w:hAnsi="宋体"/>
          <w:b/>
        </w:rPr>
        <w:t>作否决投标处理，</w:t>
      </w:r>
      <w:r>
        <w:rPr>
          <w:rFonts w:hint="eastAsia" w:ascii="宋体" w:hAnsi="宋体"/>
        </w:rPr>
        <w:t>不再进行详细评审：</w:t>
      </w:r>
    </w:p>
    <w:p>
      <w:pPr>
        <w:adjustRightInd w:val="0"/>
        <w:snapToGrid w:val="0"/>
        <w:ind w:firstLine="420" w:firstLineChars="200"/>
        <w:rPr>
          <w:rFonts w:ascii="宋体" w:hAnsi="宋体"/>
        </w:rPr>
      </w:pPr>
      <w:r>
        <w:rPr>
          <w:rFonts w:hint="eastAsia" w:ascii="宋体" w:hAnsi="宋体"/>
        </w:rPr>
        <w:t>（1）投标人的投标资格不满足国家有关规定或招标文件载明的投标资格条件的；</w:t>
      </w:r>
    </w:p>
    <w:p>
      <w:pPr>
        <w:adjustRightInd w:val="0"/>
        <w:snapToGrid w:val="0"/>
        <w:ind w:firstLine="420" w:firstLineChars="200"/>
        <w:rPr>
          <w:rFonts w:ascii="宋体" w:hAnsi="宋体"/>
        </w:rPr>
      </w:pPr>
      <w:r>
        <w:rPr>
          <w:rFonts w:hint="eastAsia" w:ascii="宋体" w:hAnsi="宋体"/>
        </w:rPr>
        <w:t>（2）投标文件未按招标文件的要求签署和盖章的（仅限于单位印章和法定代表人或其委托代理人签字或盖章）；</w:t>
      </w:r>
    </w:p>
    <w:p>
      <w:pPr>
        <w:adjustRightInd w:val="0"/>
        <w:snapToGrid w:val="0"/>
        <w:ind w:firstLine="420" w:firstLineChars="200"/>
        <w:rPr>
          <w:rFonts w:ascii="宋体" w:hAnsi="宋体"/>
        </w:rPr>
      </w:pPr>
      <w:r>
        <w:rPr>
          <w:rFonts w:hint="eastAsia" w:ascii="宋体" w:hAnsi="宋体"/>
        </w:rPr>
        <w:t>（3）投标文件未按规定的格式填写，内容不全或关键字迹模糊、无法辨认的；</w:t>
      </w:r>
    </w:p>
    <w:p>
      <w:pPr>
        <w:adjustRightInd w:val="0"/>
        <w:snapToGrid w:val="0"/>
        <w:ind w:firstLine="420" w:firstLineChars="200"/>
        <w:rPr>
          <w:rFonts w:ascii="宋体" w:hAnsi="宋体"/>
        </w:rPr>
      </w:pPr>
      <w:r>
        <w:rPr>
          <w:rFonts w:hint="eastAsia" w:ascii="宋体" w:hAnsi="宋体"/>
        </w:rPr>
        <w:t>（4）投标人递交两份或多份内容不同的投标文件，或在一份投标文件中对同一招标项目报有两个或多个报价，且未声明哪一个有效；</w:t>
      </w:r>
    </w:p>
    <w:p>
      <w:pPr>
        <w:adjustRightInd w:val="0"/>
        <w:snapToGrid w:val="0"/>
        <w:ind w:firstLine="420" w:firstLineChars="200"/>
        <w:rPr>
          <w:rFonts w:ascii="宋体" w:hAnsi="宋体"/>
        </w:rPr>
      </w:pPr>
      <w:r>
        <w:rPr>
          <w:rFonts w:hint="eastAsia" w:ascii="宋体" w:hAnsi="宋体"/>
        </w:rPr>
        <w:t>（5）供货期不满足招标文件要求的；</w:t>
      </w:r>
    </w:p>
    <w:p>
      <w:pPr>
        <w:adjustRightInd w:val="0"/>
        <w:snapToGrid w:val="0"/>
        <w:ind w:firstLine="420" w:firstLineChars="200"/>
        <w:rPr>
          <w:rFonts w:ascii="宋体" w:hAnsi="宋体"/>
        </w:rPr>
      </w:pPr>
      <w:r>
        <w:rPr>
          <w:rFonts w:hint="eastAsia" w:ascii="宋体" w:hAnsi="宋体"/>
        </w:rPr>
        <w:t>（6）不响应招标文件规定的实质性要求（包括具体条文前用“★”标示的）</w:t>
      </w:r>
    </w:p>
    <w:p>
      <w:pPr>
        <w:adjustRightInd w:val="0"/>
        <w:snapToGrid w:val="0"/>
        <w:ind w:firstLine="420" w:firstLineChars="200"/>
        <w:rPr>
          <w:rFonts w:ascii="宋体" w:hAnsi="宋体"/>
        </w:rPr>
      </w:pPr>
      <w:r>
        <w:rPr>
          <w:rFonts w:hint="eastAsia" w:ascii="宋体" w:hAnsi="宋体"/>
        </w:rPr>
        <w:t>（7）投标人不以自己的名义或未按招标文件的要求提供投标保证金或提供的保证金有缺陷而不能接受的；</w:t>
      </w:r>
    </w:p>
    <w:p>
      <w:pPr>
        <w:adjustRightInd w:val="0"/>
        <w:snapToGrid w:val="0"/>
        <w:ind w:firstLine="420" w:firstLineChars="200"/>
        <w:rPr>
          <w:rFonts w:ascii="宋体" w:hAnsi="宋体"/>
        </w:rPr>
      </w:pPr>
      <w:r>
        <w:rPr>
          <w:rFonts w:hint="eastAsia" w:ascii="宋体" w:hAnsi="宋体"/>
        </w:rPr>
        <w:t>（8）投标人以他人名义投标、或与他人串通投标、或以行贿手段谋取中标，或弄虚作假的；</w:t>
      </w:r>
    </w:p>
    <w:p>
      <w:pPr>
        <w:adjustRightInd w:val="0"/>
        <w:snapToGrid w:val="0"/>
        <w:ind w:firstLine="420" w:firstLineChars="200"/>
        <w:rPr>
          <w:rFonts w:ascii="宋体" w:hAnsi="宋体"/>
        </w:rPr>
      </w:pPr>
      <w:r>
        <w:rPr>
          <w:rFonts w:hint="eastAsia" w:ascii="宋体" w:hAnsi="宋体"/>
        </w:rPr>
        <w:t>（9）存在法律、法规、规章规定的其它无效投标情况的。</w:t>
      </w:r>
    </w:p>
    <w:p>
      <w:pPr>
        <w:adjustRightInd w:val="0"/>
        <w:snapToGrid w:val="0"/>
        <w:ind w:firstLine="422" w:firstLineChars="200"/>
        <w:rPr>
          <w:rFonts w:ascii="宋体" w:hAnsi="宋体"/>
          <w:b/>
        </w:rPr>
      </w:pPr>
      <w:r>
        <w:rPr>
          <w:rFonts w:hint="eastAsia" w:ascii="宋体" w:hAnsi="宋体"/>
          <w:b/>
        </w:rPr>
        <w:t>（二）</w:t>
      </w:r>
      <w:r>
        <w:rPr>
          <w:rFonts w:ascii="宋体" w:hAnsi="宋体"/>
          <w:b/>
        </w:rPr>
        <w:t>询标</w:t>
      </w:r>
    </w:p>
    <w:p>
      <w:pPr>
        <w:adjustRightInd w:val="0"/>
        <w:snapToGrid w:val="0"/>
        <w:ind w:firstLine="420" w:firstLineChars="200"/>
        <w:rPr>
          <w:rFonts w:ascii="宋体" w:hAnsi="宋体"/>
        </w:rPr>
      </w:pPr>
      <w:r>
        <w:rPr>
          <w:rFonts w:ascii="宋体" w:hAnsi="宋体"/>
        </w:rPr>
        <w:t>（1）投标文件中有含义不明确的内容、明显文字或计算错误，评标委员会认为需要投标人作出必要澄清、说明的，应当组织询标。</w:t>
      </w:r>
    </w:p>
    <w:p>
      <w:pPr>
        <w:adjustRightInd w:val="0"/>
        <w:snapToGrid w:val="0"/>
        <w:ind w:firstLine="420" w:firstLineChars="200"/>
        <w:rPr>
          <w:rFonts w:ascii="宋体" w:hAnsi="宋体"/>
        </w:rPr>
      </w:pPr>
      <w:r>
        <w:rPr>
          <w:rFonts w:ascii="宋体" w:hAnsi="宋体"/>
        </w:rPr>
        <w:t>（</w:t>
      </w:r>
      <w:r>
        <w:rPr>
          <w:rFonts w:hint="eastAsia" w:ascii="宋体" w:hAnsi="宋体"/>
        </w:rPr>
        <w:t>2</w:t>
      </w:r>
      <w:r>
        <w:rPr>
          <w:rFonts w:ascii="宋体" w:hAnsi="宋体"/>
        </w:rPr>
        <w:t>）</w:t>
      </w:r>
      <w:r>
        <w:rPr>
          <w:rFonts w:hint="eastAsia" w:ascii="宋体" w:hAnsi="宋体"/>
        </w:rPr>
        <w:t>询标问题及投标人的澄清、说明不得超出投标文件的范围或者改变投标文件的实质性内容</w:t>
      </w:r>
      <w:r>
        <w:rPr>
          <w:rFonts w:ascii="宋体" w:hAnsi="宋体"/>
        </w:rPr>
        <w:t>。</w:t>
      </w:r>
    </w:p>
    <w:p>
      <w:pPr>
        <w:adjustRightInd w:val="0"/>
        <w:snapToGrid w:val="0"/>
        <w:ind w:firstLine="420" w:firstLineChars="200"/>
        <w:rPr>
          <w:rFonts w:ascii="宋体" w:hAnsi="宋体"/>
        </w:rPr>
      </w:pPr>
      <w:r>
        <w:rPr>
          <w:rFonts w:ascii="宋体" w:hAnsi="宋体"/>
        </w:rPr>
        <w:t>（</w:t>
      </w:r>
      <w:r>
        <w:rPr>
          <w:rFonts w:hint="eastAsia" w:ascii="宋体" w:hAnsi="宋体"/>
        </w:rPr>
        <w:t>3</w:t>
      </w:r>
      <w:r>
        <w:rPr>
          <w:rFonts w:ascii="宋体" w:hAnsi="宋体"/>
        </w:rPr>
        <w:t>）评标委员会不得暗示或者诱导投标人作出澄清、说明，不得接受投标人主动提出的澄清、说明。</w:t>
      </w:r>
    </w:p>
    <w:p>
      <w:pPr>
        <w:adjustRightInd w:val="0"/>
        <w:snapToGrid w:val="0"/>
        <w:ind w:firstLine="420" w:firstLineChars="200"/>
        <w:rPr>
          <w:rFonts w:ascii="宋体" w:hAnsi="宋体"/>
        </w:rPr>
      </w:pPr>
      <w:r>
        <w:rPr>
          <w:rFonts w:ascii="宋体" w:hAnsi="宋体"/>
        </w:rPr>
        <w:t>（</w:t>
      </w:r>
      <w:r>
        <w:rPr>
          <w:rFonts w:hint="eastAsia" w:ascii="宋体" w:hAnsi="宋体"/>
        </w:rPr>
        <w:t>4</w:t>
      </w:r>
      <w:r>
        <w:rPr>
          <w:rFonts w:ascii="宋体" w:hAnsi="宋体"/>
        </w:rPr>
        <w:t>）投标人不得通过补充、修改或撤消投标文件中的内容使其成为实质性响应的投标，投标人在投标截止时间以后不得提交任何资料作为评标依据。</w:t>
      </w:r>
    </w:p>
    <w:p>
      <w:pPr>
        <w:adjustRightInd w:val="0"/>
        <w:snapToGrid w:val="0"/>
        <w:ind w:firstLine="420" w:firstLineChars="200"/>
        <w:rPr>
          <w:rFonts w:ascii="宋体" w:hAnsi="宋体"/>
        </w:rPr>
      </w:pPr>
      <w:r>
        <w:rPr>
          <w:rFonts w:hint="eastAsia" w:ascii="宋体" w:hAnsi="宋体"/>
        </w:rPr>
        <w:t>（5）评标委员会对投标人提交的澄清、说明或补正有疑问的，可以要求投标人进一步澄清、说明或补正，直至满足评标委员会的要求。</w:t>
      </w:r>
    </w:p>
    <w:p>
      <w:pPr>
        <w:adjustRightInd w:val="0"/>
        <w:snapToGrid w:val="0"/>
        <w:ind w:firstLine="422" w:firstLineChars="200"/>
        <w:rPr>
          <w:rFonts w:ascii="宋体" w:hAnsi="宋体"/>
          <w:b/>
        </w:rPr>
      </w:pPr>
      <w:r>
        <w:rPr>
          <w:rFonts w:hint="eastAsia" w:ascii="宋体" w:hAnsi="宋体"/>
          <w:b/>
        </w:rPr>
        <w:t>（三） 报价算术性修正</w:t>
      </w:r>
    </w:p>
    <w:p>
      <w:pPr>
        <w:adjustRightInd w:val="0"/>
        <w:snapToGrid w:val="0"/>
        <w:ind w:firstLine="420" w:firstLineChars="200"/>
        <w:rPr>
          <w:rFonts w:ascii="宋体" w:hAnsi="宋体"/>
        </w:rPr>
      </w:pPr>
      <w:r>
        <w:rPr>
          <w:rFonts w:hint="eastAsia" w:ascii="宋体" w:hAnsi="宋体"/>
        </w:rPr>
        <w:t>评标委员会按以下原则对通过符合性审查的投标文件报价进行算术性修正：</w:t>
      </w:r>
    </w:p>
    <w:p>
      <w:pPr>
        <w:adjustRightInd w:val="0"/>
        <w:snapToGrid w:val="0"/>
        <w:ind w:firstLine="420" w:firstLineChars="200"/>
        <w:rPr>
          <w:rFonts w:ascii="宋体" w:hAnsi="宋体"/>
        </w:rPr>
      </w:pPr>
      <w:r>
        <w:rPr>
          <w:rFonts w:hint="eastAsia" w:ascii="宋体" w:hAnsi="宋体"/>
        </w:rPr>
        <w:t>(1）投标文件中的大写金额与小写金额不一致的，以大写金额为准；</w:t>
      </w:r>
    </w:p>
    <w:p>
      <w:pPr>
        <w:adjustRightInd w:val="0"/>
        <w:snapToGrid w:val="0"/>
        <w:ind w:firstLine="420" w:firstLineChars="200"/>
        <w:rPr>
          <w:rFonts w:ascii="宋体" w:hAnsi="宋体"/>
        </w:rPr>
      </w:pPr>
      <w:r>
        <w:rPr>
          <w:rFonts w:hint="eastAsia" w:ascii="宋体" w:hAnsi="宋体"/>
        </w:rPr>
        <w:t>(2）总价金额与依据单价（或各分项合计）计算出的结果不一致的，以单价金额（或各分项合计）为准修正总价，但单价金额小数点有明显错误的除外。</w:t>
      </w:r>
    </w:p>
    <w:p>
      <w:pPr>
        <w:adjustRightInd w:val="0"/>
        <w:snapToGrid w:val="0"/>
        <w:ind w:firstLine="420" w:firstLineChars="200"/>
        <w:rPr>
          <w:rFonts w:ascii="宋体" w:hAnsi="宋体"/>
        </w:rPr>
      </w:pPr>
      <w:r>
        <w:rPr>
          <w:rFonts w:hint="eastAsia" w:ascii="宋体" w:hAnsi="宋体"/>
        </w:rPr>
        <w:t>★修正的价格经投标人书面确认后具有约束力。投标人不接受修正价格的，其投标作废标处理。</w:t>
      </w:r>
    </w:p>
    <w:p>
      <w:pPr>
        <w:adjustRightInd w:val="0"/>
        <w:snapToGrid w:val="0"/>
        <w:ind w:firstLine="420" w:firstLineChars="200"/>
        <w:rPr>
          <w:rFonts w:ascii="宋体" w:hAnsi="宋体"/>
        </w:rPr>
      </w:pPr>
      <w:r>
        <w:rPr>
          <w:rFonts w:hint="eastAsia" w:ascii="宋体" w:hAnsi="宋体"/>
        </w:rPr>
        <w:t>当通过符合性评审的单位少于三家时（不包括三家），应由评标委员会确认是否具有竞争性，如果有竞争性，则评标继续进行。</w:t>
      </w:r>
    </w:p>
    <w:p>
      <w:pPr>
        <w:adjustRightInd w:val="0"/>
        <w:snapToGrid w:val="0"/>
        <w:ind w:firstLine="422" w:firstLineChars="200"/>
        <w:rPr>
          <w:rFonts w:ascii="宋体" w:hAnsi="宋体"/>
        </w:rPr>
      </w:pPr>
      <w:r>
        <w:rPr>
          <w:rFonts w:ascii="宋体" w:hAnsi="宋体"/>
          <w:b/>
        </w:rPr>
        <w:t>（</w:t>
      </w:r>
      <w:r>
        <w:rPr>
          <w:rFonts w:hint="eastAsia" w:ascii="宋体" w:hAnsi="宋体"/>
          <w:b/>
        </w:rPr>
        <w:t>四</w:t>
      </w:r>
      <w:r>
        <w:rPr>
          <w:rFonts w:ascii="宋体" w:hAnsi="宋体"/>
          <w:b/>
        </w:rPr>
        <w:t>）对投标人进行排序，推荐中标候选人</w:t>
      </w:r>
    </w:p>
    <w:p>
      <w:pPr>
        <w:adjustRightInd w:val="0"/>
        <w:snapToGrid w:val="0"/>
        <w:ind w:firstLine="420" w:firstLineChars="200"/>
        <w:rPr>
          <w:rFonts w:ascii="宋体" w:hAnsi="宋体"/>
        </w:rPr>
      </w:pPr>
      <w:r>
        <w:rPr>
          <w:rFonts w:hint="eastAsia" w:ascii="宋体" w:hAnsi="宋体"/>
        </w:rPr>
        <w:t>1、评标委员会按照经评审的价格由低到高的顺序推荐中标候选人，本项目推荐2名中标候选人。</w:t>
      </w:r>
    </w:p>
    <w:p>
      <w:pPr>
        <w:adjustRightInd w:val="0"/>
        <w:snapToGrid w:val="0"/>
        <w:ind w:firstLine="420" w:firstLineChars="200"/>
        <w:rPr>
          <w:rFonts w:ascii="宋体" w:hAnsi="宋体"/>
        </w:rPr>
      </w:pPr>
      <w:r>
        <w:rPr>
          <w:rFonts w:hint="eastAsia" w:ascii="宋体" w:hAnsi="宋体"/>
        </w:rPr>
        <w:t>2、当有效投标文件只有一名时，则由评标委员会确定是否推荐为中标候选人。</w:t>
      </w:r>
    </w:p>
    <w:p>
      <w:pPr>
        <w:adjustRightInd w:val="0"/>
        <w:snapToGrid w:val="0"/>
        <w:ind w:firstLine="420" w:firstLineChars="200"/>
        <w:rPr>
          <w:rFonts w:ascii="宋体" w:hAnsi="宋体"/>
        </w:rPr>
      </w:pPr>
      <w:r>
        <w:rPr>
          <w:rFonts w:ascii="宋体" w:hAnsi="宋体"/>
        </w:rPr>
        <w:t>3、评标委员会根据投标人须知前附表7.1规定，确定中标人或推荐中标候选人。</w:t>
      </w:r>
    </w:p>
    <w:p>
      <w:pPr>
        <w:adjustRightInd w:val="0"/>
        <w:snapToGrid w:val="0"/>
        <w:ind w:firstLine="422" w:firstLineChars="200"/>
        <w:rPr>
          <w:rFonts w:ascii="宋体" w:hAnsi="宋体"/>
          <w:b/>
        </w:rPr>
      </w:pPr>
      <w:r>
        <w:rPr>
          <w:rFonts w:ascii="宋体" w:hAnsi="宋体"/>
          <w:b/>
        </w:rPr>
        <w:t>五、完成评标报告</w:t>
      </w:r>
    </w:p>
    <w:p>
      <w:pPr>
        <w:adjustRightInd w:val="0"/>
        <w:snapToGrid w:val="0"/>
        <w:ind w:firstLine="422" w:firstLineChars="200"/>
        <w:rPr>
          <w:rFonts w:ascii="宋体" w:hAnsi="宋体"/>
        </w:rPr>
      </w:pPr>
      <w:r>
        <w:rPr>
          <w:rFonts w:ascii="宋体" w:hAnsi="宋体"/>
          <w:b/>
        </w:rPr>
        <w:t>（一）评标委员会应当向招标人提交书面评标报告。</w:t>
      </w:r>
      <w:r>
        <w:rPr>
          <w:rFonts w:ascii="宋体" w:hAnsi="宋体"/>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rPr>
          <w:rFonts w:ascii="宋体" w:hAnsi="宋体"/>
          <w:b/>
        </w:rPr>
      </w:pPr>
      <w:r>
        <w:rPr>
          <w:rFonts w:hint="eastAsia" w:ascii="宋体" w:hAnsi="宋体"/>
          <w:b/>
        </w:rPr>
        <w:t xml:space="preserve">   </w:t>
      </w:r>
      <w:r>
        <w:rPr>
          <w:rFonts w:ascii="宋体" w:hAnsi="宋体"/>
          <w:b/>
        </w:rPr>
        <w:t>（二）评标报告应包括以下内容：</w:t>
      </w:r>
    </w:p>
    <w:p>
      <w:pPr>
        <w:adjustRightInd w:val="0"/>
        <w:snapToGrid w:val="0"/>
        <w:ind w:firstLine="420" w:firstLineChars="200"/>
        <w:rPr>
          <w:rFonts w:ascii="宋体" w:hAnsi="宋体"/>
        </w:rPr>
      </w:pPr>
      <w:r>
        <w:rPr>
          <w:rFonts w:ascii="宋体" w:hAnsi="宋体"/>
        </w:rPr>
        <w:t>1、开标记录；</w:t>
      </w:r>
    </w:p>
    <w:p>
      <w:pPr>
        <w:adjustRightInd w:val="0"/>
        <w:snapToGrid w:val="0"/>
        <w:ind w:firstLine="420" w:firstLineChars="200"/>
        <w:rPr>
          <w:rFonts w:ascii="宋体" w:hAnsi="宋体"/>
        </w:rPr>
      </w:pPr>
      <w:r>
        <w:rPr>
          <w:rFonts w:ascii="宋体" w:hAnsi="宋体"/>
        </w:rPr>
        <w:t>2、评标内容、过程和结果；</w:t>
      </w:r>
    </w:p>
    <w:p>
      <w:pPr>
        <w:adjustRightInd w:val="0"/>
        <w:snapToGrid w:val="0"/>
        <w:ind w:firstLine="420" w:firstLineChars="200"/>
        <w:rPr>
          <w:rFonts w:ascii="宋体" w:hAnsi="宋体"/>
        </w:rPr>
      </w:pPr>
      <w:r>
        <w:rPr>
          <w:rFonts w:ascii="宋体" w:hAnsi="宋体"/>
        </w:rPr>
        <w:t>3、询标澄清纪要；</w:t>
      </w:r>
    </w:p>
    <w:p>
      <w:pPr>
        <w:adjustRightInd w:val="0"/>
        <w:snapToGrid w:val="0"/>
        <w:ind w:firstLine="420" w:firstLineChars="200"/>
        <w:rPr>
          <w:rFonts w:ascii="宋体" w:hAnsi="宋体"/>
        </w:rPr>
      </w:pPr>
      <w:r>
        <w:rPr>
          <w:rFonts w:ascii="宋体" w:hAnsi="宋体"/>
        </w:rPr>
        <w:t>4、否决投标情况说明及依据；</w:t>
      </w:r>
    </w:p>
    <w:p>
      <w:pPr>
        <w:adjustRightInd w:val="0"/>
        <w:snapToGrid w:val="0"/>
        <w:ind w:firstLine="420" w:firstLineChars="200"/>
        <w:rPr>
          <w:rFonts w:ascii="宋体" w:hAnsi="宋体"/>
        </w:rPr>
      </w:pPr>
      <w:r>
        <w:rPr>
          <w:rFonts w:ascii="宋体" w:hAnsi="宋体"/>
        </w:rPr>
        <w:t>5、推荐中标候选人；</w:t>
      </w:r>
    </w:p>
    <w:p>
      <w:pPr>
        <w:adjustRightInd w:val="0"/>
        <w:snapToGrid w:val="0"/>
        <w:ind w:firstLine="420" w:firstLineChars="200"/>
        <w:rPr>
          <w:rFonts w:ascii="宋体" w:hAnsi="宋体"/>
        </w:rPr>
      </w:pPr>
      <w:r>
        <w:rPr>
          <w:rFonts w:ascii="宋体" w:hAnsi="宋体"/>
        </w:rPr>
        <w:t>6、中标候选人投标资格条件业绩和评分业绩</w:t>
      </w:r>
      <w:r>
        <w:rPr>
          <w:rFonts w:hint="eastAsia" w:ascii="宋体" w:hAnsi="宋体"/>
          <w:i/>
          <w:kern w:val="0"/>
        </w:rPr>
        <w:t>（招标文件对投标资格或评分有业绩要求的）</w:t>
      </w:r>
      <w:r>
        <w:rPr>
          <w:rFonts w:ascii="宋体" w:hAnsi="宋体"/>
        </w:rPr>
        <w:t>；</w:t>
      </w:r>
    </w:p>
    <w:p>
      <w:pPr>
        <w:adjustRightInd w:val="0"/>
        <w:snapToGrid w:val="0"/>
        <w:ind w:firstLine="420" w:firstLineChars="200"/>
        <w:rPr>
          <w:rFonts w:ascii="宋体" w:hAnsi="宋体"/>
        </w:rPr>
      </w:pPr>
      <w:r>
        <w:rPr>
          <w:rFonts w:ascii="宋体" w:hAnsi="宋体"/>
        </w:rPr>
        <w:t>7、其他建议。</w:t>
      </w:r>
    </w:p>
    <w:p>
      <w:pPr>
        <w:adjustRightInd w:val="0"/>
        <w:snapToGrid w:val="0"/>
        <w:ind w:firstLine="422" w:firstLineChars="200"/>
        <w:rPr>
          <w:rFonts w:ascii="宋体" w:hAnsi="宋体"/>
          <w:b/>
        </w:rPr>
      </w:pPr>
      <w:r>
        <w:rPr>
          <w:rFonts w:hint="eastAsia" w:ascii="宋体" w:hAnsi="宋体"/>
          <w:b/>
        </w:rPr>
        <w:t>六</w:t>
      </w:r>
      <w:r>
        <w:rPr>
          <w:rFonts w:ascii="宋体" w:hAnsi="宋体"/>
          <w:b/>
        </w:rPr>
        <w:t>、</w:t>
      </w:r>
      <w:r>
        <w:rPr>
          <w:rFonts w:hint="eastAsia" w:ascii="宋体" w:hAnsi="宋体"/>
          <w:b/>
        </w:rPr>
        <w:t>定</w:t>
      </w:r>
      <w:r>
        <w:rPr>
          <w:rFonts w:ascii="宋体" w:hAnsi="宋体"/>
          <w:b/>
        </w:rPr>
        <w:t>标</w:t>
      </w:r>
    </w:p>
    <w:p>
      <w:pPr>
        <w:adjustRightInd w:val="0"/>
        <w:snapToGrid w:val="0"/>
        <w:ind w:firstLine="420" w:firstLineChars="200"/>
        <w:rPr>
          <w:rFonts w:ascii="宋体" w:hAnsi="宋体"/>
        </w:rPr>
      </w:pPr>
      <w:r>
        <w:rPr>
          <w:rFonts w:hint="eastAsia" w:ascii="宋体" w:hAnsi="宋体"/>
        </w:rPr>
        <w:t>1、</w:t>
      </w:r>
      <w:r>
        <w:rPr>
          <w:rFonts w:ascii="宋体" w:hAnsi="宋体"/>
        </w:rPr>
        <w:t>招标人将确定评标委员会推荐的</w:t>
      </w:r>
      <w:r>
        <w:rPr>
          <w:rFonts w:hint="eastAsia" w:ascii="宋体" w:hAnsi="宋体"/>
        </w:rPr>
        <w:t>第一</w:t>
      </w:r>
      <w:r>
        <w:rPr>
          <w:rFonts w:ascii="宋体" w:hAnsi="宋体"/>
        </w:rPr>
        <w:t>中标候选人为中标人。</w:t>
      </w:r>
      <w:r>
        <w:rPr>
          <w:rFonts w:hint="eastAsia" w:ascii="宋体" w:hAnsi="宋体"/>
        </w:rPr>
        <w:t>第一</w:t>
      </w:r>
      <w:r>
        <w:rPr>
          <w:rFonts w:ascii="宋体" w:hAnsi="宋体"/>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ascii="宋体" w:hAnsi="宋体"/>
        </w:rPr>
        <w:t>或</w:t>
      </w:r>
      <w:r>
        <w:rPr>
          <w:rFonts w:ascii="宋体" w:hAnsi="宋体"/>
        </w:rPr>
        <w:t>重新招标。</w:t>
      </w:r>
    </w:p>
    <w:p>
      <w:pPr>
        <w:adjustRightInd w:val="0"/>
        <w:snapToGrid w:val="0"/>
        <w:ind w:firstLine="420" w:firstLineChars="200"/>
        <w:rPr>
          <w:rFonts w:ascii="宋体" w:hAnsi="宋体"/>
        </w:rPr>
      </w:pPr>
      <w:r>
        <w:rPr>
          <w:rFonts w:hint="eastAsia" w:ascii="宋体" w:hAnsi="宋体"/>
        </w:rPr>
        <w:t>2、</w:t>
      </w:r>
      <w:r>
        <w:rPr>
          <w:rFonts w:ascii="宋体" w:hAnsi="宋体"/>
        </w:rPr>
        <w:t>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ind w:firstLine="420" w:firstLineChars="200"/>
        <w:rPr>
          <w:rFonts w:ascii="宋体" w:hAnsi="宋体"/>
        </w:rPr>
      </w:pPr>
      <w:r>
        <w:rPr>
          <w:rFonts w:hint="eastAsia" w:ascii="宋体" w:hAnsi="宋体"/>
        </w:rPr>
        <w:t>3、</w:t>
      </w:r>
      <w:r>
        <w:rPr>
          <w:rFonts w:ascii="宋体" w:hAnsi="宋体"/>
        </w:rPr>
        <w:t>如发生投诉争议等情况时，经查实中标候选人存在违法、违规行为，不符合中标条件，且该行为在评标时是无法发现和确认的，招标人可以在其他中标候选人中按照推荐的排序确定中标人</w:t>
      </w:r>
      <w:r>
        <w:rPr>
          <w:rFonts w:hint="eastAsia" w:ascii="宋体" w:hAnsi="宋体"/>
        </w:rPr>
        <w:t>或</w:t>
      </w:r>
      <w:r>
        <w:rPr>
          <w:rFonts w:ascii="宋体" w:hAnsi="宋体"/>
        </w:rPr>
        <w:t>重新招标。</w:t>
      </w:r>
    </w:p>
    <w:p>
      <w:pPr>
        <w:ind w:firstLine="422" w:firstLineChars="200"/>
        <w:rPr>
          <w:rFonts w:ascii="宋体" w:hAnsi="宋体"/>
          <w:b/>
        </w:rPr>
      </w:pPr>
      <w:r>
        <w:rPr>
          <w:rFonts w:hint="eastAsia" w:ascii="宋体" w:hAnsi="宋体"/>
          <w:b/>
        </w:rPr>
        <w:t>4、招标人对评标、定标结果不负责解释。</w:t>
      </w:r>
    </w:p>
    <w:p>
      <w:pPr>
        <w:spacing w:line="360" w:lineRule="exact"/>
        <w:rPr>
          <w:rFonts w:ascii="宋体" w:hAnsi="宋体"/>
          <w:szCs w:val="21"/>
        </w:rPr>
      </w:pPr>
    </w:p>
    <w:p>
      <w:pPr>
        <w:pStyle w:val="2"/>
        <w:spacing w:before="0" w:after="0" w:line="360" w:lineRule="auto"/>
        <w:jc w:val="center"/>
        <w:rPr>
          <w:rFonts w:ascii="Calibri" w:hAnsi="Calibri" w:eastAsia="黑体" w:cs="Calibri"/>
          <w:kern w:val="0"/>
          <w:sz w:val="32"/>
        </w:rPr>
      </w:pPr>
      <w:r>
        <w:br w:type="page"/>
      </w:r>
      <w:bookmarkStart w:id="117" w:name="_Toc448002988"/>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投标文件格式</w:t>
      </w:r>
      <w:bookmarkEnd w:id="117"/>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ascii="宋体" w:hAnsi="宋体" w:cs="Calibri"/>
          <w:sz w:val="22"/>
        </w:rPr>
        <w:t>（2）有关证明投标人的企业信誉及获得各种奖励等资料；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（3）投标人经济实力：包括企业注册资金、财务报告与报表中反映的财务状况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（4）</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（5）招标文件投标人资格要求中提供的相关材料。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（7）对特殊情况的承诺以及灾害性、突发事件的应急预案；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18" w:name="_Toc171421958"/>
      <w:r>
        <w:rPr>
          <w:rFonts w:cs="Calibri"/>
        </w:rPr>
        <w:t>封面</w:t>
      </w:r>
      <w:bookmarkEnd w:id="118"/>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napToGrid w:val="0"/>
        <w:spacing w:line="360" w:lineRule="auto"/>
        <w:rPr>
          <w:rFonts w:ascii="宋体" w:hAnsi="宋体" w:cs="Calibri"/>
          <w:b/>
          <w:bCs/>
          <w:sz w:val="24"/>
          <w:szCs w:val="24"/>
        </w:rPr>
      </w:pPr>
      <w:r>
        <w:rPr>
          <w:rFonts w:ascii="宋体" w:hAnsi="宋体"/>
          <w:sz w:val="24"/>
          <w:szCs w:val="24"/>
        </w:rPr>
        <w:t>致：</w:t>
      </w:r>
      <w:r>
        <w:rPr>
          <w:rFonts w:hint="eastAsia" w:ascii="宋体" w:hAnsi="宋体"/>
          <w:sz w:val="24"/>
          <w:szCs w:val="24"/>
        </w:rPr>
        <w:t>杭州萧山国际机场</w:t>
      </w:r>
      <w:r>
        <w:rPr>
          <w:rFonts w:ascii="宋体" w:hAnsi="宋体"/>
          <w:sz w:val="24"/>
          <w:szCs w:val="24"/>
        </w:rPr>
        <w:t>有限公司</w:t>
      </w:r>
    </w:p>
    <w:p>
      <w:pPr>
        <w:snapToGrid w:val="0"/>
        <w:spacing w:line="360" w:lineRule="auto"/>
        <w:ind w:firstLine="600" w:firstLineChars="250"/>
        <w:rPr>
          <w:rFonts w:ascii="宋体" w:hAnsi="宋体" w:cs="Calibri"/>
          <w:sz w:val="24"/>
        </w:rPr>
      </w:pPr>
      <w:r>
        <w:rPr>
          <w:rFonts w:ascii="宋体" w:hAnsi="宋体" w:cs="Calibri"/>
          <w:sz w:val="24"/>
        </w:rPr>
        <w:t>1、根据已收到的</w:t>
      </w:r>
      <w:r>
        <w:rPr>
          <w:rFonts w:ascii="宋体" w:hAnsi="宋体" w:cs="Calibri"/>
          <w:sz w:val="24"/>
          <w:u w:val="single"/>
        </w:rPr>
        <w:t xml:space="preserve">                           </w:t>
      </w:r>
      <w:r>
        <w:rPr>
          <w:rFonts w:ascii="宋体" w:hAnsi="宋体" w:cs="Calibri"/>
          <w:sz w:val="24"/>
        </w:rPr>
        <w:t>招标文件，遵照《中华人民共和国招标投标法》等有关规定，经考察现场和研究上述招标文件后，我方愿以投标总价</w:t>
      </w:r>
      <w:r>
        <w:rPr>
          <w:rFonts w:hint="eastAsia" w:ascii="宋体" w:hAnsi="宋体" w:cs="Calibri"/>
          <w:sz w:val="24"/>
        </w:rPr>
        <w:t>为</w:t>
      </w:r>
      <w:r>
        <w:rPr>
          <w:rFonts w:ascii="宋体" w:hAnsi="宋体" w:cs="Calibri"/>
          <w:sz w:val="24"/>
        </w:rPr>
        <w:t>人民币 (大写)：</w:t>
      </w:r>
      <w:r>
        <w:rPr>
          <w:rFonts w:ascii="宋体" w:hAnsi="宋体" w:cs="Calibri"/>
          <w:sz w:val="24"/>
          <w:u w:val="single"/>
        </w:rPr>
        <w:t xml:space="preserve">               </w:t>
      </w:r>
      <w:r>
        <w:rPr>
          <w:rFonts w:ascii="宋体" w:hAnsi="宋体" w:cs="Calibri"/>
          <w:sz w:val="24"/>
        </w:rPr>
        <w:t>元（RMB</w:t>
      </w:r>
      <w:r>
        <w:rPr>
          <w:rFonts w:ascii="宋体" w:hAnsi="宋体" w:cs="Calibri"/>
          <w:sz w:val="24"/>
          <w:u w:val="single"/>
        </w:rPr>
        <w:t xml:space="preserve">         </w:t>
      </w:r>
      <w:r>
        <w:rPr>
          <w:rFonts w:ascii="宋体" w:hAnsi="宋体" w:cs="Calibri"/>
          <w:sz w:val="24"/>
        </w:rPr>
        <w:t>元）报价并按上述招标文件要求承揽上述项目</w:t>
      </w:r>
      <w:r>
        <w:rPr>
          <w:rFonts w:hint="eastAsia" w:ascii="宋体" w:hAnsi="宋体" w:cs="Calibri"/>
          <w:bCs/>
          <w:sz w:val="24"/>
        </w:rPr>
        <w:t>所有</w:t>
      </w:r>
      <w:r>
        <w:rPr>
          <w:rFonts w:ascii="宋体" w:hAnsi="宋体" w:cs="Calibri"/>
          <w:bCs/>
          <w:sz w:val="24"/>
        </w:rPr>
        <w:t>等工作</w:t>
      </w:r>
      <w:r>
        <w:rPr>
          <w:rFonts w:ascii="宋体" w:hAnsi="宋体" w:cs="Calibri"/>
          <w:sz w:val="24"/>
          <w:szCs w:val="21"/>
        </w:rPr>
        <w:t>。</w:t>
      </w:r>
      <w:r>
        <w:rPr>
          <w:rFonts w:ascii="宋体" w:hAnsi="宋体" w:cs="Calibri"/>
          <w:sz w:val="24"/>
        </w:rPr>
        <w:t xml:space="preserve"> </w:t>
      </w:r>
    </w:p>
    <w:p>
      <w:pPr>
        <w:snapToGrid w:val="0"/>
        <w:spacing w:line="360" w:lineRule="auto"/>
        <w:ind w:firstLine="600" w:firstLineChars="250"/>
        <w:rPr>
          <w:rFonts w:ascii="宋体" w:hAnsi="宋体" w:cs="Calibri"/>
          <w:b/>
          <w:sz w:val="24"/>
        </w:rPr>
      </w:pPr>
      <w:r>
        <w:rPr>
          <w:rFonts w:ascii="宋体" w:hAnsi="宋体" w:cs="Calibri"/>
          <w:sz w:val="24"/>
        </w:rPr>
        <w:t>2、一旦我方中标，我方保证在</w:t>
      </w:r>
      <w:r>
        <w:rPr>
          <w:rFonts w:hint="eastAsia" w:ascii="宋体" w:hAnsi="宋体" w:cs="Calibri"/>
          <w:sz w:val="24"/>
        </w:rPr>
        <w:t>服务期</w:t>
      </w:r>
      <w:r>
        <w:rPr>
          <w:rFonts w:ascii="宋体" w:hAnsi="宋体" w:cs="Calibri"/>
          <w:sz w:val="24"/>
        </w:rPr>
        <w:t>内完成</w:t>
      </w:r>
      <w:r>
        <w:rPr>
          <w:rFonts w:hint="eastAsia" w:ascii="宋体" w:hAnsi="宋体" w:cs="Calibri"/>
          <w:sz w:val="24"/>
        </w:rPr>
        <w:t>全部</w:t>
      </w:r>
      <w:r>
        <w:rPr>
          <w:rFonts w:ascii="宋体" w:hAnsi="宋体" w:cs="Calibri"/>
          <w:bCs/>
          <w:sz w:val="24"/>
        </w:rPr>
        <w:t>工作</w:t>
      </w:r>
      <w:r>
        <w:rPr>
          <w:rFonts w:ascii="宋体" w:hAnsi="宋体" w:cs="Calibri"/>
          <w:sz w:val="24"/>
        </w:rPr>
        <w:t>。</w:t>
      </w:r>
    </w:p>
    <w:p>
      <w:pPr>
        <w:snapToGrid w:val="0"/>
        <w:spacing w:line="360" w:lineRule="auto"/>
        <w:rPr>
          <w:rFonts w:ascii="宋体" w:hAnsi="宋体" w:cs="Calibri"/>
          <w:sz w:val="24"/>
          <w:szCs w:val="20"/>
        </w:rPr>
      </w:pPr>
      <w:r>
        <w:rPr>
          <w:rFonts w:ascii="宋体" w:hAnsi="宋体" w:cs="Calibri"/>
          <w:sz w:val="24"/>
        </w:rPr>
        <w:t>　　 3、我方同意所递交的投标文件在“前附表”规定的投标有效期内有效，在此期间内我方的投标有可能中标，我方将受此约束。</w:t>
      </w:r>
    </w:p>
    <w:p>
      <w:pPr>
        <w:snapToGrid w:val="0"/>
        <w:spacing w:line="360" w:lineRule="auto"/>
        <w:rPr>
          <w:rFonts w:ascii="宋体" w:hAnsi="宋体" w:cs="Calibri"/>
          <w:sz w:val="24"/>
          <w:szCs w:val="20"/>
        </w:rPr>
      </w:pPr>
      <w:r>
        <w:rPr>
          <w:rFonts w:ascii="宋体" w:hAnsi="宋体" w:cs="Calibri"/>
          <w:sz w:val="24"/>
        </w:rPr>
        <w:t xml:space="preserve">     4、除非另外达成协议并生效，你方的中标通知书和本投标文件将构成约束我们双方的合同。</w:t>
      </w:r>
    </w:p>
    <w:p>
      <w:pPr>
        <w:snapToGrid w:val="0"/>
        <w:spacing w:line="360" w:lineRule="auto"/>
        <w:ind w:firstLine="600" w:firstLineChars="250"/>
        <w:rPr>
          <w:rFonts w:ascii="宋体" w:hAnsi="宋体" w:cs="Calibri"/>
          <w:sz w:val="24"/>
        </w:rPr>
      </w:pPr>
      <w:r>
        <w:rPr>
          <w:rFonts w:ascii="宋体" w:hAnsi="宋体" w:cs="Calibri"/>
          <w:sz w:val="24"/>
        </w:rPr>
        <w:t>5、一旦我方中标，我方保证按照招标文件的要求，按时签订</w:t>
      </w:r>
      <w:r>
        <w:rPr>
          <w:rFonts w:hint="eastAsia" w:ascii="宋体" w:hAnsi="宋体" w:cs="Calibri"/>
          <w:sz w:val="24"/>
        </w:rPr>
        <w:t>服务</w:t>
      </w:r>
      <w:r>
        <w:rPr>
          <w:rFonts w:ascii="宋体" w:hAnsi="宋体" w:cs="Calibri"/>
          <w:sz w:val="24"/>
        </w:rPr>
        <w:t>合同</w:t>
      </w:r>
      <w:r>
        <w:rPr>
          <w:rFonts w:hint="eastAsia" w:ascii="宋体" w:hAnsi="宋体" w:cs="Calibri"/>
          <w:sz w:val="24"/>
        </w:rPr>
        <w:t>，并</w:t>
      </w:r>
      <w:r>
        <w:rPr>
          <w:rFonts w:ascii="宋体" w:hAnsi="宋体" w:cs="Calibri"/>
          <w:sz w:val="24"/>
        </w:rPr>
        <w:t>全面履行</w:t>
      </w:r>
      <w:r>
        <w:rPr>
          <w:rFonts w:hint="eastAsia" w:ascii="宋体" w:hAnsi="宋体" w:cs="Calibri"/>
          <w:sz w:val="24"/>
        </w:rPr>
        <w:t>服务</w:t>
      </w:r>
      <w:r>
        <w:rPr>
          <w:rFonts w:ascii="宋体" w:hAnsi="宋体" w:cs="Calibri"/>
          <w:sz w:val="24"/>
        </w:rPr>
        <w:t>合同。</w:t>
      </w:r>
    </w:p>
    <w:p>
      <w:pPr>
        <w:snapToGrid w:val="0"/>
        <w:spacing w:line="360" w:lineRule="auto"/>
        <w:ind w:firstLine="600" w:firstLineChars="250"/>
        <w:rPr>
          <w:rFonts w:ascii="宋体" w:hAnsi="宋体" w:cs="Calibri"/>
          <w:sz w:val="24"/>
        </w:rPr>
      </w:pPr>
      <w:r>
        <w:rPr>
          <w:rFonts w:hint="eastAsia" w:ascii="宋体" w:hAnsi="宋体" w:cs="Calibri"/>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宋体" w:hAnsi="宋体" w:cs="Calibri"/>
          <w:sz w:val="24"/>
        </w:rPr>
      </w:pPr>
      <w:r>
        <w:rPr>
          <w:rFonts w:hint="eastAsia" w:ascii="宋体" w:hAnsi="宋体" w:cs="Calibri"/>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eastAsia="黑体" w:cs="Calibri"/>
          <w:sz w:val="32"/>
          <w:szCs w:val="32"/>
        </w:rPr>
      </w:pPr>
      <w:r>
        <w:rPr>
          <w:rFonts w:ascii="宋体" w:hAnsi="宋体" w:cs="Calibri"/>
          <w:sz w:val="24"/>
        </w:rPr>
        <w:t>日    期：    年     月     日</w:t>
      </w: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4"/>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附：法定代表人身份证复印件</w:t>
      </w:r>
    </w:p>
    <w:p>
      <w:pPr>
        <w:spacing w:line="440" w:lineRule="exact"/>
        <w:rPr>
          <w:rFonts w:cs="Calibri"/>
          <w:szCs w:val="21"/>
        </w:rPr>
      </w:pPr>
      <w:r>
        <w:rPr>
          <w:rFonts w:cs="Calibri"/>
          <w:szCs w:val="21"/>
        </w:rPr>
        <w:t xml:space="preserve">投标人：（盖单位章） </w:t>
      </w:r>
    </w:p>
    <w:p>
      <w:pPr>
        <w:spacing w:line="440" w:lineRule="exact"/>
        <w:ind w:firstLine="6240" w:firstLineChars="2960"/>
        <w:rPr>
          <w:rFonts w:cs="Calibri"/>
          <w:b/>
          <w:szCs w:val="21"/>
        </w:rPr>
      </w:pPr>
      <w:r>
        <w:rPr>
          <w:rFonts w:cs="Calibri"/>
          <w:b/>
          <w:szCs w:val="21"/>
        </w:rPr>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Cs w:val="21"/>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附：委托代理人身份证复印件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spacing w:line="440" w:lineRule="exact"/>
        <w:rPr>
          <w:rFonts w:cs="Calibri"/>
          <w:szCs w:val="21"/>
        </w:rPr>
      </w:pPr>
      <w:r>
        <w:rPr>
          <w:rFonts w:cs="Calibri"/>
          <w:szCs w:val="21"/>
        </w:rPr>
        <w:t>委托的代理人：（签字或盖章）</w:t>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b/>
          <w:szCs w:val="21"/>
        </w:rPr>
        <w:pict>
          <v:shape id="Text Box 7" o:spid="_x0000_s1027" o:spt="202" type="#_x0000_t202" style="position:absolute;left:0pt;margin-left:9.15pt;margin-top:20.8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rPr>
          <w:rFonts w:cs="Calibri"/>
          <w:sz w:val="24"/>
        </w:rPr>
      </w:pPr>
    </w:p>
    <w:p>
      <w:pPr>
        <w:numPr>
          <w:ilvl w:val="0"/>
          <w:numId w:val="12"/>
        </w:numPr>
        <w:spacing w:line="360" w:lineRule="auto"/>
        <w:rPr>
          <w:sz w:val="24"/>
        </w:rPr>
      </w:pPr>
      <w:r>
        <w:rPr>
          <w:rFonts w:hint="eastAsia"/>
          <w:b/>
          <w:sz w:val="24"/>
        </w:rPr>
        <w:t>维修设备名称、规格型号、数量及价款</w:t>
      </w:r>
      <w:r>
        <w:rPr>
          <w:rFonts w:hint="eastAsia"/>
          <w:sz w:val="24"/>
        </w:rPr>
        <w:t>：</w:t>
      </w:r>
    </w:p>
    <w:tbl>
      <w:tblPr>
        <w:tblStyle w:val="44"/>
        <w:tblW w:w="8650" w:type="dxa"/>
        <w:jc w:val="center"/>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701"/>
        <w:gridCol w:w="1559"/>
        <w:gridCol w:w="1701"/>
        <w:gridCol w:w="850"/>
        <w:gridCol w:w="607"/>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612" w:type="dxa"/>
            <w:vAlign w:val="center"/>
          </w:tcPr>
          <w:p>
            <w:pPr>
              <w:spacing w:line="360" w:lineRule="auto"/>
              <w:jc w:val="center"/>
              <w:rPr>
                <w:rFonts w:ascii="宋体" w:hAnsi="宋体"/>
                <w:b/>
                <w:sz w:val="24"/>
              </w:rPr>
            </w:pPr>
            <w:r>
              <w:rPr>
                <w:rFonts w:hint="eastAsia" w:ascii="宋体" w:hAnsi="宋体"/>
                <w:b/>
                <w:sz w:val="24"/>
              </w:rPr>
              <w:t>序号</w:t>
            </w:r>
          </w:p>
        </w:tc>
        <w:tc>
          <w:tcPr>
            <w:tcW w:w="1701" w:type="dxa"/>
            <w:vAlign w:val="center"/>
          </w:tcPr>
          <w:p>
            <w:pPr>
              <w:spacing w:line="360" w:lineRule="auto"/>
              <w:jc w:val="center"/>
              <w:rPr>
                <w:rFonts w:ascii="宋体" w:hAnsi="宋体"/>
                <w:b/>
                <w:sz w:val="24"/>
              </w:rPr>
            </w:pPr>
            <w:r>
              <w:rPr>
                <w:rFonts w:hint="eastAsia" w:ascii="宋体" w:hAnsi="宋体"/>
                <w:b/>
                <w:sz w:val="24"/>
              </w:rPr>
              <w:t>项目</w:t>
            </w:r>
          </w:p>
        </w:tc>
        <w:tc>
          <w:tcPr>
            <w:tcW w:w="1559" w:type="dxa"/>
            <w:vAlign w:val="center"/>
          </w:tcPr>
          <w:p>
            <w:pPr>
              <w:spacing w:line="360" w:lineRule="auto"/>
              <w:jc w:val="center"/>
              <w:rPr>
                <w:rFonts w:ascii="宋体" w:hAnsi="宋体"/>
                <w:b/>
                <w:sz w:val="24"/>
              </w:rPr>
            </w:pPr>
            <w:r>
              <w:rPr>
                <w:rFonts w:hint="eastAsia" w:ascii="宋体" w:hAnsi="宋体"/>
                <w:b/>
                <w:sz w:val="24"/>
              </w:rPr>
              <w:t>品牌/生产商</w:t>
            </w:r>
          </w:p>
        </w:tc>
        <w:tc>
          <w:tcPr>
            <w:tcW w:w="1701" w:type="dxa"/>
            <w:vAlign w:val="center"/>
          </w:tcPr>
          <w:p>
            <w:pPr>
              <w:spacing w:line="360" w:lineRule="auto"/>
              <w:jc w:val="center"/>
              <w:rPr>
                <w:rFonts w:ascii="宋体" w:hAnsi="宋体"/>
                <w:b/>
                <w:sz w:val="24"/>
              </w:rPr>
            </w:pPr>
            <w:r>
              <w:rPr>
                <w:rFonts w:hint="eastAsia" w:ascii="宋体" w:hAnsi="宋体"/>
                <w:b/>
                <w:sz w:val="24"/>
              </w:rPr>
              <w:t>变频器型号</w:t>
            </w:r>
          </w:p>
        </w:tc>
        <w:tc>
          <w:tcPr>
            <w:tcW w:w="850" w:type="dxa"/>
            <w:vAlign w:val="center"/>
          </w:tcPr>
          <w:p>
            <w:pPr>
              <w:spacing w:line="360" w:lineRule="auto"/>
              <w:jc w:val="center"/>
              <w:rPr>
                <w:rFonts w:ascii="宋体" w:hAnsi="宋体"/>
                <w:b/>
                <w:sz w:val="24"/>
              </w:rPr>
            </w:pPr>
            <w:r>
              <w:rPr>
                <w:rFonts w:hint="eastAsia" w:ascii="宋体" w:hAnsi="宋体"/>
                <w:b/>
                <w:sz w:val="24"/>
              </w:rPr>
              <w:t>计量</w:t>
            </w:r>
          </w:p>
          <w:p>
            <w:pPr>
              <w:spacing w:line="360" w:lineRule="auto"/>
              <w:jc w:val="center"/>
              <w:rPr>
                <w:rFonts w:ascii="宋体" w:hAnsi="宋体"/>
                <w:b/>
                <w:sz w:val="24"/>
              </w:rPr>
            </w:pPr>
            <w:r>
              <w:rPr>
                <w:rFonts w:hint="eastAsia" w:ascii="宋体" w:hAnsi="宋体"/>
                <w:b/>
                <w:sz w:val="24"/>
              </w:rPr>
              <w:t>单位</w:t>
            </w:r>
          </w:p>
        </w:tc>
        <w:tc>
          <w:tcPr>
            <w:tcW w:w="607" w:type="dxa"/>
            <w:vAlign w:val="center"/>
          </w:tcPr>
          <w:p>
            <w:pPr>
              <w:spacing w:line="360" w:lineRule="auto"/>
              <w:ind w:left="45"/>
              <w:jc w:val="center"/>
              <w:rPr>
                <w:rFonts w:ascii="宋体" w:hAnsi="宋体"/>
                <w:b/>
                <w:sz w:val="24"/>
              </w:rPr>
            </w:pPr>
            <w:r>
              <w:rPr>
                <w:rFonts w:hint="eastAsia" w:ascii="宋体" w:hAnsi="宋体"/>
                <w:b/>
                <w:sz w:val="24"/>
              </w:rPr>
              <w:t>数量</w:t>
            </w:r>
          </w:p>
        </w:tc>
        <w:tc>
          <w:tcPr>
            <w:tcW w:w="1620" w:type="dxa"/>
            <w:vAlign w:val="center"/>
          </w:tcPr>
          <w:p>
            <w:pPr>
              <w:spacing w:line="360" w:lineRule="auto"/>
              <w:jc w:val="center"/>
              <w:rPr>
                <w:rFonts w:ascii="宋体" w:hAnsi="宋体"/>
                <w:b/>
                <w:sz w:val="24"/>
              </w:rPr>
            </w:pPr>
            <w:r>
              <w:rPr>
                <w:rFonts w:hint="eastAsia" w:ascii="宋体" w:hAnsi="宋体"/>
                <w:b/>
                <w:sz w:val="24"/>
              </w:rPr>
              <w:t>总价（元）</w:t>
            </w:r>
          </w:p>
          <w:p>
            <w:pPr>
              <w:spacing w:line="360" w:lineRule="auto"/>
              <w:ind w:firstLine="39" w:firstLineChars="30"/>
              <w:jc w:val="center"/>
              <w:rPr>
                <w:rFonts w:ascii="宋体" w:hAnsi="宋体"/>
                <w:b/>
                <w:sz w:val="13"/>
                <w:szCs w:val="13"/>
              </w:rPr>
            </w:pPr>
            <w:r>
              <w:rPr>
                <w:rFonts w:hint="eastAsia" w:ascii="宋体" w:hAnsi="宋体"/>
                <w:b/>
                <w:sz w:val="13"/>
                <w:szCs w:val="13"/>
              </w:rPr>
              <w:t>（含运费、保险费等一切费用）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1</w:t>
            </w:r>
          </w:p>
        </w:tc>
        <w:tc>
          <w:tcPr>
            <w:tcW w:w="1701" w:type="dxa"/>
            <w:vAlign w:val="center"/>
          </w:tcPr>
          <w:p>
            <w:pPr>
              <w:jc w:val="center"/>
              <w:rPr>
                <w:rFonts w:ascii="宋体" w:hAnsi="宋体" w:cs="宋体"/>
                <w:sz w:val="24"/>
                <w:szCs w:val="24"/>
              </w:rPr>
            </w:pPr>
            <w:r>
              <w:rPr>
                <w:rFonts w:hint="eastAsia" w:ascii="宋体" w:hAnsi="宋体"/>
                <w:sz w:val="24"/>
              </w:rPr>
              <w:t>电源板更换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HD90N4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4</w:t>
            </w:r>
          </w:p>
        </w:tc>
        <w:tc>
          <w:tcPr>
            <w:tcW w:w="1620" w:type="dxa"/>
            <w:vAlign w:val="center"/>
          </w:tcPr>
          <w:p>
            <w:pPr>
              <w:spacing w:line="360" w:lineRule="auto"/>
              <w:ind w:left="-468" w:leftChars="-223" w:firstLine="470" w:firstLineChars="195"/>
              <w:jc w:val="center"/>
              <w:rPr>
                <w:rFonts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2</w:t>
            </w:r>
          </w:p>
        </w:tc>
        <w:tc>
          <w:tcPr>
            <w:tcW w:w="1701" w:type="dxa"/>
            <w:vAlign w:val="center"/>
          </w:tcPr>
          <w:p>
            <w:pPr>
              <w:jc w:val="center"/>
              <w:rPr>
                <w:rFonts w:ascii="宋体" w:hAnsi="宋体" w:cs="宋体"/>
                <w:sz w:val="24"/>
                <w:szCs w:val="24"/>
              </w:rPr>
            </w:pPr>
            <w:r>
              <w:rPr>
                <w:rFonts w:hint="eastAsia" w:ascii="宋体" w:hAnsi="宋体"/>
                <w:sz w:val="24"/>
              </w:rPr>
              <w:t>电源板更换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HD75N4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4</w:t>
            </w:r>
          </w:p>
        </w:tc>
        <w:tc>
          <w:tcPr>
            <w:tcW w:w="1620" w:type="dxa"/>
            <w:vAlign w:val="center"/>
          </w:tcPr>
          <w:p>
            <w:pPr>
              <w:spacing w:line="360" w:lineRule="auto"/>
              <w:ind w:left="-468" w:leftChars="-223" w:firstLine="470" w:firstLineChars="195"/>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3</w:t>
            </w:r>
          </w:p>
        </w:tc>
        <w:tc>
          <w:tcPr>
            <w:tcW w:w="1701" w:type="dxa"/>
            <w:vAlign w:val="center"/>
          </w:tcPr>
          <w:p>
            <w:pPr>
              <w:jc w:val="center"/>
              <w:rPr>
                <w:rFonts w:ascii="宋体" w:hAnsi="宋体" w:cs="宋体"/>
                <w:sz w:val="24"/>
                <w:szCs w:val="24"/>
              </w:rPr>
            </w:pPr>
            <w:r>
              <w:rPr>
                <w:rFonts w:hint="eastAsia" w:ascii="宋体" w:hAnsi="宋体"/>
                <w:sz w:val="24"/>
              </w:rPr>
              <w:t>散热风机更换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HD90N4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6</w:t>
            </w:r>
          </w:p>
        </w:tc>
        <w:tc>
          <w:tcPr>
            <w:tcW w:w="1620" w:type="dxa"/>
            <w:vAlign w:val="center"/>
          </w:tcPr>
          <w:p>
            <w:pPr>
              <w:spacing w:line="360" w:lineRule="auto"/>
              <w:ind w:left="-468" w:leftChars="-223" w:firstLine="470" w:firstLineChars="195"/>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4</w:t>
            </w:r>
          </w:p>
        </w:tc>
        <w:tc>
          <w:tcPr>
            <w:tcW w:w="1701" w:type="dxa"/>
            <w:vAlign w:val="center"/>
          </w:tcPr>
          <w:p>
            <w:pPr>
              <w:jc w:val="center"/>
              <w:rPr>
                <w:rFonts w:ascii="宋体" w:hAnsi="宋体" w:cs="宋体"/>
                <w:sz w:val="24"/>
                <w:szCs w:val="24"/>
              </w:rPr>
            </w:pPr>
            <w:r>
              <w:rPr>
                <w:rFonts w:hint="eastAsia" w:ascii="宋体" w:hAnsi="宋体"/>
                <w:sz w:val="24"/>
              </w:rPr>
              <w:t>散热风机更换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HD75N4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12</w:t>
            </w:r>
          </w:p>
        </w:tc>
        <w:tc>
          <w:tcPr>
            <w:tcW w:w="1620" w:type="dxa"/>
            <w:vAlign w:val="center"/>
          </w:tcPr>
          <w:p>
            <w:pPr>
              <w:spacing w:line="360" w:lineRule="auto"/>
              <w:ind w:left="-468" w:leftChars="-223" w:firstLine="470" w:firstLineChars="195"/>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5</w:t>
            </w:r>
          </w:p>
        </w:tc>
        <w:tc>
          <w:tcPr>
            <w:tcW w:w="1701" w:type="dxa"/>
            <w:vAlign w:val="center"/>
          </w:tcPr>
          <w:p>
            <w:pPr>
              <w:jc w:val="center"/>
              <w:rPr>
                <w:rFonts w:ascii="宋体" w:hAnsi="宋体" w:cs="宋体"/>
                <w:sz w:val="24"/>
                <w:szCs w:val="24"/>
              </w:rPr>
            </w:pPr>
            <w:r>
              <w:rPr>
                <w:rFonts w:hint="eastAsia" w:ascii="宋体" w:hAnsi="宋体"/>
                <w:sz w:val="24"/>
              </w:rPr>
              <w:t>散热风机更换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HD30N4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9</w:t>
            </w:r>
          </w:p>
        </w:tc>
        <w:tc>
          <w:tcPr>
            <w:tcW w:w="1620" w:type="dxa"/>
            <w:vAlign w:val="center"/>
          </w:tcPr>
          <w:p>
            <w:pPr>
              <w:spacing w:line="360" w:lineRule="auto"/>
              <w:ind w:left="-468" w:leftChars="-223" w:firstLine="470" w:firstLineChars="195"/>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612" w:type="dxa"/>
            <w:vAlign w:val="center"/>
          </w:tcPr>
          <w:p>
            <w:pPr>
              <w:spacing w:line="360" w:lineRule="auto"/>
              <w:jc w:val="center"/>
              <w:rPr>
                <w:rFonts w:ascii="宋体" w:hAnsi="宋体"/>
                <w:b/>
                <w:sz w:val="24"/>
              </w:rPr>
            </w:pPr>
            <w:r>
              <w:rPr>
                <w:rFonts w:hint="eastAsia" w:ascii="宋体" w:hAnsi="宋体"/>
                <w:b/>
                <w:sz w:val="24"/>
              </w:rPr>
              <w:t>6</w:t>
            </w:r>
          </w:p>
        </w:tc>
        <w:tc>
          <w:tcPr>
            <w:tcW w:w="1701" w:type="dxa"/>
            <w:vAlign w:val="center"/>
          </w:tcPr>
          <w:p>
            <w:pPr>
              <w:jc w:val="center"/>
              <w:rPr>
                <w:rFonts w:ascii="宋体" w:hAnsi="宋体" w:cs="宋体"/>
                <w:sz w:val="24"/>
                <w:szCs w:val="24"/>
              </w:rPr>
            </w:pPr>
            <w:r>
              <w:rPr>
                <w:rFonts w:hint="eastAsia" w:ascii="宋体" w:hAnsi="宋体"/>
                <w:sz w:val="24"/>
              </w:rPr>
              <w:t>散热风机更换</w:t>
            </w:r>
          </w:p>
        </w:tc>
        <w:tc>
          <w:tcPr>
            <w:tcW w:w="1559" w:type="dxa"/>
            <w:vAlign w:val="center"/>
          </w:tcPr>
          <w:p>
            <w:pPr>
              <w:spacing w:line="360" w:lineRule="auto"/>
              <w:jc w:val="center"/>
              <w:rPr>
                <w:rFonts w:ascii="宋体" w:hAnsi="宋体"/>
                <w:b/>
                <w:sz w:val="24"/>
              </w:rPr>
            </w:pPr>
          </w:p>
        </w:tc>
        <w:tc>
          <w:tcPr>
            <w:tcW w:w="1701" w:type="dxa"/>
            <w:vAlign w:val="center"/>
          </w:tcPr>
          <w:p>
            <w:pPr>
              <w:jc w:val="center"/>
              <w:rPr>
                <w:rFonts w:ascii="宋体" w:hAnsi="宋体" w:cs="宋体"/>
                <w:sz w:val="24"/>
                <w:szCs w:val="24"/>
              </w:rPr>
            </w:pPr>
            <w:r>
              <w:rPr>
                <w:rFonts w:hint="eastAsia" w:ascii="宋体" w:hAnsi="宋体"/>
                <w:sz w:val="24"/>
              </w:rPr>
              <w:t>ATV 61 HD45N4</w:t>
            </w:r>
          </w:p>
        </w:tc>
        <w:tc>
          <w:tcPr>
            <w:tcW w:w="850" w:type="dxa"/>
            <w:vAlign w:val="center"/>
          </w:tcPr>
          <w:p>
            <w:pPr>
              <w:spacing w:line="360" w:lineRule="auto"/>
              <w:jc w:val="center"/>
              <w:rPr>
                <w:rFonts w:ascii="宋体" w:hAnsi="宋体"/>
                <w:b/>
                <w:sz w:val="24"/>
              </w:rPr>
            </w:pPr>
            <w:r>
              <w:rPr>
                <w:rFonts w:hint="eastAsia" w:ascii="宋体" w:hAnsi="宋体"/>
                <w:b/>
                <w:sz w:val="24"/>
              </w:rPr>
              <w:t>件</w:t>
            </w:r>
          </w:p>
        </w:tc>
        <w:tc>
          <w:tcPr>
            <w:tcW w:w="607" w:type="dxa"/>
          </w:tcPr>
          <w:p>
            <w:pPr>
              <w:jc w:val="center"/>
              <w:rPr>
                <w:rFonts w:ascii="宋体" w:hAnsi="宋体" w:cs="宋体"/>
                <w:sz w:val="24"/>
                <w:szCs w:val="24"/>
              </w:rPr>
            </w:pPr>
            <w:r>
              <w:rPr>
                <w:rFonts w:hint="eastAsia" w:ascii="宋体" w:hAnsi="宋体"/>
                <w:sz w:val="24"/>
              </w:rPr>
              <w:t>4</w:t>
            </w:r>
          </w:p>
        </w:tc>
        <w:tc>
          <w:tcPr>
            <w:tcW w:w="1620" w:type="dxa"/>
            <w:vAlign w:val="center"/>
          </w:tcPr>
          <w:p>
            <w:pPr>
              <w:spacing w:line="360" w:lineRule="auto"/>
              <w:ind w:left="-468" w:leftChars="-223" w:firstLine="470" w:firstLineChars="195"/>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0" w:hRule="atLeast"/>
          <w:jc w:val="center"/>
        </w:trPr>
        <w:tc>
          <w:tcPr>
            <w:tcW w:w="8650" w:type="dxa"/>
            <w:gridSpan w:val="7"/>
            <w:vAlign w:val="center"/>
          </w:tcPr>
          <w:p>
            <w:pPr>
              <w:spacing w:line="360" w:lineRule="auto"/>
              <w:ind w:left="-468" w:leftChars="-223" w:firstLine="470" w:firstLineChars="195"/>
              <w:rPr>
                <w:b/>
                <w:sz w:val="24"/>
              </w:rPr>
            </w:pPr>
            <w:r>
              <w:rPr>
                <w:rFonts w:hint="eastAsia"/>
                <w:b/>
                <w:sz w:val="24"/>
              </w:rPr>
              <w:t>总计（人民币大写）：</w:t>
            </w:r>
          </w:p>
        </w:tc>
      </w:tr>
    </w:tbl>
    <w:p>
      <w:pPr>
        <w:adjustRightInd w:val="0"/>
        <w:snapToGrid w:val="0"/>
        <w:jc w:val="left"/>
        <w:rPr>
          <w:rFonts w:cs="Calibri"/>
          <w:b/>
          <w:szCs w:val="21"/>
        </w:rPr>
      </w:pPr>
    </w:p>
    <w:p>
      <w:pPr>
        <w:snapToGrid w:val="0"/>
        <w:spacing w:line="440" w:lineRule="exact"/>
        <w:ind w:firstLine="3969" w:firstLineChars="1890"/>
        <w:rPr>
          <w:rFonts w:cs="Calibri"/>
          <w:szCs w:val="21"/>
        </w:rPr>
      </w:pPr>
      <w:r>
        <w:rPr>
          <w:rFonts w:cs="Calibri"/>
          <w:szCs w:val="21"/>
        </w:rPr>
        <w:t>投标人：（盖单位章）</w:t>
      </w:r>
    </w:p>
    <w:p>
      <w:pPr>
        <w:snapToGrid w:val="0"/>
        <w:spacing w:line="440" w:lineRule="exact"/>
        <w:ind w:firstLine="3969" w:firstLineChars="1890"/>
        <w:rPr>
          <w:rFonts w:cs="Calibri"/>
          <w:szCs w:val="21"/>
        </w:rPr>
      </w:pPr>
      <w:r>
        <w:rPr>
          <w:rFonts w:cs="Calibri"/>
          <w:szCs w:val="21"/>
        </w:rPr>
        <w:t>法定代表人或其委托代理人：（签字或盖章）</w:t>
      </w:r>
    </w:p>
    <w:p>
      <w:pPr>
        <w:snapToGrid w:val="0"/>
        <w:spacing w:line="440" w:lineRule="exact"/>
        <w:ind w:firstLine="3969" w:firstLineChars="1890"/>
        <w:rPr>
          <w:rFonts w:cs="Calibri"/>
          <w:szCs w:val="21"/>
        </w:rPr>
      </w:pPr>
      <w:r>
        <w:rPr>
          <w:rFonts w:cs="Calibri"/>
          <w:szCs w:val="21"/>
        </w:rPr>
        <w:t>日期：    年     月     日</w:t>
      </w:r>
    </w:p>
    <w:p>
      <w:pPr>
        <w:adjustRightInd w:val="0"/>
        <w:snapToGrid w:val="0"/>
        <w:jc w:val="left"/>
        <w:rPr>
          <w:rFonts w:cs="Calibri"/>
          <w:b/>
          <w:szCs w:val="21"/>
        </w:rPr>
      </w:pPr>
    </w:p>
    <w:p>
      <w:pPr>
        <w:spacing w:line="440" w:lineRule="exact"/>
        <w:rPr>
          <w:rFonts w:cs="Calibri"/>
          <w:b/>
          <w:bCs/>
          <w:sz w:val="32"/>
        </w:rPr>
      </w:pPr>
      <w:r>
        <w:rPr>
          <w:rFonts w:eastAsia="黑体" w:cs="Calibri"/>
          <w:bCs/>
          <w:szCs w:val="21"/>
        </w:rPr>
        <w:br w:type="page"/>
      </w:r>
    </w:p>
    <w:p>
      <w:pPr>
        <w:spacing w:line="440" w:lineRule="exact"/>
        <w:jc w:val="center"/>
        <w:rPr>
          <w:rFonts w:eastAsia="黑体" w:cs="Calibri"/>
          <w:sz w:val="32"/>
          <w:szCs w:val="32"/>
        </w:rPr>
      </w:pPr>
      <w:r>
        <w:rPr>
          <w:rFonts w:eastAsia="黑体" w:cs="Calibri"/>
          <w:sz w:val="32"/>
          <w:szCs w:val="32"/>
        </w:rPr>
        <w:t>五、投标人资格证明文件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eastAsia="黑体" w:cs="Calibri"/>
          <w:sz w:val="32"/>
          <w:szCs w:val="32"/>
        </w:rPr>
        <w:t>（一）投标人一般情况</w:t>
      </w:r>
    </w:p>
    <w:tbl>
      <w:tblPr>
        <w:tblStyle w:val="4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widowControl/>
        <w:jc w:val="left"/>
        <w:rPr>
          <w:rFonts w:cs="Calibri"/>
          <w:b/>
          <w:sz w:val="36"/>
          <w:szCs w:val="36"/>
        </w:rPr>
      </w:pPr>
    </w:p>
    <w:p>
      <w:pPr>
        <w:widowControl/>
        <w:jc w:val="left"/>
        <w:rPr>
          <w:rFonts w:cs="Calibri"/>
          <w:b/>
          <w:sz w:val="36"/>
          <w:szCs w:val="36"/>
        </w:rPr>
      </w:pPr>
    </w:p>
    <w:p>
      <w:pPr>
        <w:widowControl/>
        <w:jc w:val="left"/>
        <w:rPr>
          <w:rFonts w:cs="Calibri"/>
          <w:b/>
          <w:sz w:val="36"/>
          <w:szCs w:val="36"/>
        </w:rPr>
      </w:pPr>
    </w:p>
    <w:p>
      <w:pPr>
        <w:spacing w:line="440" w:lineRule="exact"/>
        <w:jc w:val="center"/>
        <w:rPr>
          <w:rFonts w:eastAsia="黑体" w:cs="Calibri"/>
          <w:sz w:val="32"/>
          <w:szCs w:val="32"/>
        </w:rPr>
      </w:pPr>
      <w:r>
        <w:rPr>
          <w:rFonts w:eastAsia="黑体" w:cs="Calibri"/>
          <w:sz w:val="32"/>
          <w:szCs w:val="32"/>
        </w:rPr>
        <w:t>（二）近三年完成类似</w:t>
      </w:r>
      <w:r>
        <w:rPr>
          <w:rFonts w:hint="eastAsia" w:eastAsia="黑体" w:cs="Calibri"/>
          <w:sz w:val="32"/>
          <w:szCs w:val="32"/>
        </w:rPr>
        <w:t>项目业绩</w:t>
      </w:r>
      <w:r>
        <w:rPr>
          <w:rFonts w:eastAsia="黑体" w:cs="Calibri"/>
          <w:sz w:val="32"/>
          <w:szCs w:val="32"/>
        </w:rPr>
        <w:t>情况</w:t>
      </w:r>
    </w:p>
    <w:tbl>
      <w:tblPr>
        <w:tblStyle w:val="4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0"/>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widowControl/>
        <w:jc w:val="left"/>
        <w:rPr>
          <w:rFonts w:eastAsia="黑体" w:cs="Calibri"/>
          <w:sz w:val="32"/>
          <w:szCs w:val="32"/>
        </w:rPr>
      </w:pPr>
      <w:r>
        <w:rPr>
          <w:rFonts w:eastAsia="黑体" w:cs="Calibri"/>
          <w:sz w:val="32"/>
          <w:szCs w:val="32"/>
        </w:rPr>
        <w:br w:type="page"/>
      </w:r>
    </w:p>
    <w:p>
      <w:pPr>
        <w:spacing w:line="440" w:lineRule="exact"/>
        <w:jc w:val="center"/>
        <w:rPr>
          <w:rFonts w:eastAsia="黑体" w:cs="Calibri"/>
          <w:sz w:val="32"/>
          <w:szCs w:val="32"/>
        </w:rPr>
      </w:pPr>
      <w:r>
        <w:rPr>
          <w:rFonts w:eastAsia="黑体" w:cs="Calibri"/>
          <w:sz w:val="32"/>
          <w:szCs w:val="32"/>
        </w:rPr>
        <w:t>六、</w:t>
      </w:r>
      <w:r>
        <w:rPr>
          <w:rFonts w:hint="eastAsia" w:eastAsia="黑体" w:cs="Calibri"/>
          <w:sz w:val="32"/>
          <w:szCs w:val="32"/>
        </w:rPr>
        <w:t>服务大纲</w:t>
      </w:r>
    </w:p>
    <w:p>
      <w:pPr>
        <w:spacing w:line="440" w:lineRule="exact"/>
        <w:jc w:val="center"/>
        <w:rPr>
          <w:rFonts w:eastAsia="黑体" w:cs="Calibri"/>
          <w:sz w:val="32"/>
          <w:szCs w:val="32"/>
        </w:rPr>
      </w:pPr>
      <w:r>
        <w:rPr>
          <w:rFonts w:eastAsia="黑体" w:cs="Calibri"/>
          <w:sz w:val="32"/>
          <w:szCs w:val="32"/>
        </w:rPr>
        <w:t>（</w:t>
      </w:r>
      <w:r>
        <w:rPr>
          <w:rFonts w:hint="eastAsia" w:eastAsia="黑体" w:cs="Calibri"/>
          <w:sz w:val="32"/>
          <w:szCs w:val="32"/>
        </w:rPr>
        <w:t>一</w:t>
      </w:r>
      <w:r>
        <w:rPr>
          <w:rFonts w:eastAsia="黑体" w:cs="Calibri"/>
          <w:sz w:val="32"/>
          <w:szCs w:val="32"/>
        </w:rPr>
        <w:t>）项目负责人简介</w:t>
      </w:r>
    </w:p>
    <w:tbl>
      <w:tblPr>
        <w:tblStyle w:val="4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0"/>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0"/>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sz w:val="32"/>
          <w:szCs w:val="32"/>
        </w:rPr>
      </w:pPr>
      <w:r>
        <w:rPr>
          <w:rFonts w:eastAsia="黑体" w:cs="Calibri"/>
          <w:sz w:val="32"/>
          <w:szCs w:val="32"/>
        </w:rPr>
        <w:t>（五）主要参与</w:t>
      </w:r>
      <w:r>
        <w:rPr>
          <w:rFonts w:hint="eastAsia" w:eastAsia="黑体" w:cs="Calibri"/>
          <w:sz w:val="32"/>
          <w:szCs w:val="32"/>
        </w:rPr>
        <w:t>服务</w:t>
      </w:r>
      <w:r>
        <w:rPr>
          <w:rFonts w:eastAsia="黑体" w:cs="Calibri"/>
          <w:sz w:val="32"/>
          <w:szCs w:val="32"/>
        </w:rPr>
        <w:t>人员简介</w:t>
      </w:r>
    </w:p>
    <w:tbl>
      <w:tblPr>
        <w:tblStyle w:val="4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2"/>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2"/>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2"/>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241"/>
              <w:jc w:val="center"/>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2"/>
              <w:snapToGrid w:val="0"/>
              <w:ind w:firstLine="0"/>
              <w:rPr>
                <w:rFonts w:ascii="Calibri" w:hAnsi="Calibri" w:cs="Calibri"/>
                <w:sz w:val="21"/>
                <w:szCs w:val="21"/>
              </w:rPr>
            </w:pPr>
          </w:p>
        </w:tc>
        <w:tc>
          <w:tcPr>
            <w:tcW w:w="1540" w:type="dxa"/>
          </w:tcPr>
          <w:p>
            <w:pPr>
              <w:pStyle w:val="12"/>
              <w:snapToGrid w:val="0"/>
              <w:ind w:firstLine="241"/>
              <w:jc w:val="center"/>
              <w:rPr>
                <w:rFonts w:ascii="Calibri" w:hAnsi="Calibri" w:cs="Calibri"/>
                <w:sz w:val="21"/>
                <w:szCs w:val="21"/>
              </w:rPr>
            </w:pPr>
          </w:p>
        </w:tc>
        <w:tc>
          <w:tcPr>
            <w:tcW w:w="1520" w:type="dxa"/>
          </w:tcPr>
          <w:p>
            <w:pPr>
              <w:pStyle w:val="12"/>
              <w:snapToGrid w:val="0"/>
              <w:ind w:firstLine="241"/>
              <w:jc w:val="center"/>
              <w:rPr>
                <w:rFonts w:ascii="Calibri" w:hAnsi="Calibri" w:cs="Calibri"/>
                <w:sz w:val="21"/>
                <w:szCs w:val="21"/>
              </w:rPr>
            </w:pPr>
          </w:p>
        </w:tc>
        <w:tc>
          <w:tcPr>
            <w:tcW w:w="1620" w:type="dxa"/>
          </w:tcPr>
          <w:p>
            <w:pPr>
              <w:pStyle w:val="12"/>
              <w:snapToGrid w:val="0"/>
              <w:ind w:firstLine="241"/>
              <w:jc w:val="center"/>
              <w:rPr>
                <w:rFonts w:ascii="Calibri" w:hAnsi="Calibri" w:cs="Calibri"/>
                <w:sz w:val="21"/>
                <w:szCs w:val="21"/>
              </w:rPr>
            </w:pPr>
          </w:p>
        </w:tc>
        <w:tc>
          <w:tcPr>
            <w:tcW w:w="2880" w:type="dxa"/>
          </w:tcPr>
          <w:p>
            <w:pPr>
              <w:pStyle w:val="12"/>
              <w:snapToGrid w:val="0"/>
              <w:ind w:firstLine="241"/>
              <w:jc w:val="center"/>
              <w:rPr>
                <w:rFonts w:ascii="Calibri" w:hAnsi="Calibri" w:cs="Calibri"/>
                <w:sz w:val="21"/>
                <w:szCs w:val="21"/>
              </w:rPr>
            </w:pPr>
          </w:p>
        </w:tc>
      </w:tr>
    </w:tbl>
    <w:p>
      <w:pPr>
        <w:spacing w:line="360" w:lineRule="auto"/>
        <w:rPr>
          <w:rFonts w:cs="Calibri"/>
          <w:b/>
          <w:sz w:val="36"/>
          <w:szCs w:val="36"/>
        </w:rPr>
      </w:pPr>
      <w:r>
        <w:rPr>
          <w:rFonts w:cs="Calibri"/>
          <w:szCs w:val="21"/>
        </w:rPr>
        <w:t>注：附职称证、身份证、资格证</w:t>
      </w:r>
      <w:r>
        <w:rPr>
          <w:rFonts w:hint="eastAsia" w:cs="Calibri"/>
          <w:szCs w:val="21"/>
        </w:rPr>
        <w:t>、业绩</w:t>
      </w:r>
      <w:r>
        <w:rPr>
          <w:rFonts w:cs="Calibri"/>
          <w:szCs w:val="21"/>
        </w:rPr>
        <w:t>合同等相应证明文件</w:t>
      </w:r>
    </w:p>
    <w:p>
      <w:pPr>
        <w:spacing w:line="440" w:lineRule="exact"/>
        <w:jc w:val="center"/>
        <w:rPr>
          <w:rFonts w:eastAsia="黑体" w:cs="Calibri"/>
          <w:sz w:val="32"/>
          <w:szCs w:val="32"/>
        </w:rPr>
      </w:pPr>
      <w:r>
        <w:rPr>
          <w:rFonts w:eastAsia="黑体" w:cs="Calibri"/>
          <w:sz w:val="32"/>
          <w:szCs w:val="32"/>
        </w:rPr>
        <w:t>七、</w:t>
      </w:r>
      <w:r>
        <w:rPr>
          <w:rFonts w:hint="eastAsia" w:eastAsia="黑体" w:cs="Calibri"/>
          <w:sz w:val="32"/>
          <w:szCs w:val="32"/>
        </w:rPr>
        <w:t>投标人认为</w:t>
      </w:r>
      <w:r>
        <w:rPr>
          <w:rFonts w:eastAsia="黑体" w:cs="Calibri"/>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sz w:val="32"/>
          <w:szCs w:val="32"/>
        </w:rPr>
      </w:pPr>
    </w:p>
    <w:p/>
    <w:sectPr>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w:t>
    </w:r>
    <w:r>
      <w:t xml:space="preserve"> 60 -</w:t>
    </w:r>
    <w:r>
      <w:fldChar w:fldCharType="end"/>
    </w:r>
  </w:p>
  <w:p>
    <w:pPr>
      <w:pStyle w:val="23"/>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8"/>
      </w:rPr>
    </w:pPr>
    <w:r>
      <w:fldChar w:fldCharType="begin"/>
    </w:r>
    <w:r>
      <w:rPr>
        <w:rStyle w:val="38"/>
      </w:rPr>
      <w:instrText xml:space="preserve">PAGE  </w:instrText>
    </w:r>
    <w:r>
      <w:fldChar w:fldCharType="separate"/>
    </w:r>
    <w:r>
      <w:rPr>
        <w:rStyle w:val="38"/>
      </w:rPr>
      <w:t>0</w: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8"/>
      </w:rPr>
    </w:pPr>
    <w:r>
      <w:fldChar w:fldCharType="begin"/>
    </w:r>
    <w:r>
      <w:rPr>
        <w:rStyle w:val="38"/>
      </w:rPr>
      <w:instrText xml:space="preserve">PAGE  </w:instrText>
    </w:r>
    <w:r>
      <w:fldChar w:fldCharType="separate"/>
    </w:r>
    <w:r>
      <w:rPr>
        <w:rStyle w:val="38"/>
      </w:rPr>
      <w:t>0</w:t>
    </w:r>
    <w:r>
      <w:fldChar w:fldCharType="end"/>
    </w:r>
  </w:p>
  <w:p>
    <w:pPr>
      <w:pStyle w:val="2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left"/>
    </w:pPr>
    <w:r>
      <w:rPr>
        <w:rFonts w:hint="eastAsia"/>
      </w:rPr>
      <w:t>杭州萧山国际机场中央空调系统变频器维修项目招标文件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A8317"/>
    <w:multiLevelType w:val="singleLevel"/>
    <w:tmpl w:val="03DA8317"/>
    <w:lvl w:ilvl="0" w:tentative="0">
      <w:start w:val="1"/>
      <w:numFmt w:val="decimal"/>
      <w:suff w:val="nothing"/>
      <w:lvlText w:val="%1、"/>
      <w:lvlJc w:val="left"/>
    </w:lvl>
  </w:abstractNum>
  <w:abstractNum w:abstractNumId="1">
    <w:nsid w:val="0ECE3963"/>
    <w:multiLevelType w:val="multilevel"/>
    <w:tmpl w:val="0ECE396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11E9465A"/>
    <w:multiLevelType w:val="singleLevel"/>
    <w:tmpl w:val="11E9465A"/>
    <w:lvl w:ilvl="0" w:tentative="0">
      <w:start w:val="1"/>
      <w:numFmt w:val="chineseCounting"/>
      <w:suff w:val="nothing"/>
      <w:lvlText w:val="%1、"/>
      <w:lvlJc w:val="left"/>
      <w:rPr>
        <w:rFonts w:hint="eastAsia"/>
      </w:rPr>
    </w:lvl>
  </w:abstractNum>
  <w:abstractNum w:abstractNumId="3">
    <w:nsid w:val="1F2E696B"/>
    <w:multiLevelType w:val="multilevel"/>
    <w:tmpl w:val="1F2E696B"/>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1487009"/>
    <w:multiLevelType w:val="multilevel"/>
    <w:tmpl w:val="21487009"/>
    <w:lvl w:ilvl="0" w:tentative="0">
      <w:start w:val="1"/>
      <w:numFmt w:val="decimal"/>
      <w:lvlText w:val="%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3BA4BD8"/>
    <w:multiLevelType w:val="multilevel"/>
    <w:tmpl w:val="23BA4BD8"/>
    <w:lvl w:ilvl="0" w:tentative="0">
      <w:start w:val="1"/>
      <w:numFmt w:val="decimal"/>
      <w:lvlText w:val="（%1）"/>
      <w:lvlJc w:val="right"/>
      <w:pPr>
        <w:ind w:left="1413" w:hanging="420"/>
      </w:pPr>
      <w:rPr>
        <w:rFonts w:hint="eastAsia" w:ascii="Times New Roman" w:hAnsi="Times New Roman" w:eastAsia="宋体"/>
        <w:spacing w:val="0"/>
        <w:position w:val="0"/>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7">
    <w:nsid w:val="4C31367D"/>
    <w:multiLevelType w:val="multilevel"/>
    <w:tmpl w:val="4C31367D"/>
    <w:lvl w:ilvl="0" w:tentative="0">
      <w:start w:val="1"/>
      <w:numFmt w:val="decimal"/>
      <w:lvlText w:val="（%1）"/>
      <w:lvlJc w:val="right"/>
      <w:pPr>
        <w:ind w:left="1413" w:hanging="420"/>
      </w:pPr>
      <w:rPr>
        <w:rFonts w:hint="eastAsia" w:ascii="Times New Roman" w:hAnsi="Times New Roman" w:eastAsia="宋体"/>
        <w:spacing w:val="0"/>
        <w:position w:val="0"/>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5C77EB36"/>
    <w:multiLevelType w:val="singleLevel"/>
    <w:tmpl w:val="5C77EB36"/>
    <w:lvl w:ilvl="0" w:tentative="0">
      <w:start w:val="2"/>
      <w:numFmt w:val="decimal"/>
      <w:suff w:val="nothing"/>
      <w:lvlText w:val="%1、"/>
      <w:lvlJc w:val="left"/>
    </w:lvl>
  </w:abstractNum>
  <w:abstractNum w:abstractNumId="10">
    <w:nsid w:val="659D07D2"/>
    <w:multiLevelType w:val="multilevel"/>
    <w:tmpl w:val="659D07D2"/>
    <w:lvl w:ilvl="0" w:tentative="0">
      <w:start w:val="1"/>
      <w:numFmt w:val="decimal"/>
      <w:lvlText w:val="（%1）"/>
      <w:lvlJc w:val="right"/>
      <w:pPr>
        <w:ind w:left="1413" w:hanging="420"/>
      </w:pPr>
      <w:rPr>
        <w:rFonts w:hint="eastAsia" w:ascii="Times New Roman" w:hAnsi="Times New Roman" w:eastAsia="宋体"/>
        <w:spacing w:val="0"/>
        <w:position w:val="0"/>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1">
    <w:nsid w:val="6B821C3E"/>
    <w:multiLevelType w:val="multilevel"/>
    <w:tmpl w:val="6B821C3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4"/>
  </w:num>
  <w:num w:numId="8">
    <w:abstractNumId w:val="7"/>
  </w:num>
  <w:num w:numId="9">
    <w:abstractNumId w:val="9"/>
  </w:num>
  <w:num w:numId="10">
    <w:abstractNumId w:val="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4687"/>
    <w:rsid w:val="000254EE"/>
    <w:rsid w:val="00061419"/>
    <w:rsid w:val="00084531"/>
    <w:rsid w:val="000A56B9"/>
    <w:rsid w:val="000D0D32"/>
    <w:rsid w:val="000D321B"/>
    <w:rsid w:val="000D77E9"/>
    <w:rsid w:val="000E342D"/>
    <w:rsid w:val="001159DF"/>
    <w:rsid w:val="00130D67"/>
    <w:rsid w:val="001702F0"/>
    <w:rsid w:val="00194982"/>
    <w:rsid w:val="001A3E10"/>
    <w:rsid w:val="00220E4C"/>
    <w:rsid w:val="00224100"/>
    <w:rsid w:val="002347B7"/>
    <w:rsid w:val="00244C83"/>
    <w:rsid w:val="00250786"/>
    <w:rsid w:val="00261C05"/>
    <w:rsid w:val="0032793A"/>
    <w:rsid w:val="003424C1"/>
    <w:rsid w:val="00356009"/>
    <w:rsid w:val="0038088F"/>
    <w:rsid w:val="00396CCD"/>
    <w:rsid w:val="003A797A"/>
    <w:rsid w:val="003C3666"/>
    <w:rsid w:val="003E5FFB"/>
    <w:rsid w:val="003F57D0"/>
    <w:rsid w:val="004230F8"/>
    <w:rsid w:val="00423D29"/>
    <w:rsid w:val="00432979"/>
    <w:rsid w:val="004D33BF"/>
    <w:rsid w:val="004D3C5C"/>
    <w:rsid w:val="005012C4"/>
    <w:rsid w:val="005207F5"/>
    <w:rsid w:val="005448E4"/>
    <w:rsid w:val="00592881"/>
    <w:rsid w:val="005A32DE"/>
    <w:rsid w:val="005C50BA"/>
    <w:rsid w:val="005D7162"/>
    <w:rsid w:val="00634EA4"/>
    <w:rsid w:val="00663176"/>
    <w:rsid w:val="006B073D"/>
    <w:rsid w:val="006B12E9"/>
    <w:rsid w:val="006C50B9"/>
    <w:rsid w:val="006E3EDF"/>
    <w:rsid w:val="006E6D91"/>
    <w:rsid w:val="00724ADB"/>
    <w:rsid w:val="00790D01"/>
    <w:rsid w:val="00795AB6"/>
    <w:rsid w:val="00795C54"/>
    <w:rsid w:val="007A2654"/>
    <w:rsid w:val="007A5AF0"/>
    <w:rsid w:val="007B3688"/>
    <w:rsid w:val="007D5C8F"/>
    <w:rsid w:val="00804C04"/>
    <w:rsid w:val="00804DD1"/>
    <w:rsid w:val="00844377"/>
    <w:rsid w:val="00885A09"/>
    <w:rsid w:val="008D2677"/>
    <w:rsid w:val="00911575"/>
    <w:rsid w:val="0096631C"/>
    <w:rsid w:val="009A03C0"/>
    <w:rsid w:val="009A4553"/>
    <w:rsid w:val="009F5B60"/>
    <w:rsid w:val="00A10A32"/>
    <w:rsid w:val="00A2626F"/>
    <w:rsid w:val="00A32C9C"/>
    <w:rsid w:val="00A54547"/>
    <w:rsid w:val="00A92B81"/>
    <w:rsid w:val="00AA2B6B"/>
    <w:rsid w:val="00AD0AC9"/>
    <w:rsid w:val="00B23CF9"/>
    <w:rsid w:val="00B6318D"/>
    <w:rsid w:val="00B64687"/>
    <w:rsid w:val="00BC40C7"/>
    <w:rsid w:val="00BF00CF"/>
    <w:rsid w:val="00C027A2"/>
    <w:rsid w:val="00C14905"/>
    <w:rsid w:val="00C54750"/>
    <w:rsid w:val="00C7787E"/>
    <w:rsid w:val="00C9731A"/>
    <w:rsid w:val="00CB3AD7"/>
    <w:rsid w:val="00CD708B"/>
    <w:rsid w:val="00D13509"/>
    <w:rsid w:val="00D23542"/>
    <w:rsid w:val="00D65BB2"/>
    <w:rsid w:val="00DB2042"/>
    <w:rsid w:val="00DD38C0"/>
    <w:rsid w:val="00DE6936"/>
    <w:rsid w:val="00E20ACB"/>
    <w:rsid w:val="00E2579D"/>
    <w:rsid w:val="00E7109A"/>
    <w:rsid w:val="00E95D5F"/>
    <w:rsid w:val="00ED51A3"/>
    <w:rsid w:val="00EE0305"/>
    <w:rsid w:val="00EE5C94"/>
    <w:rsid w:val="00F559F7"/>
    <w:rsid w:val="00F81C88"/>
    <w:rsid w:val="00F94D95"/>
    <w:rsid w:val="00FB0EF2"/>
    <w:rsid w:val="00FB67A4"/>
    <w:rsid w:val="00FD137E"/>
    <w:rsid w:val="0E7C6D59"/>
    <w:rsid w:val="0EBF4F13"/>
    <w:rsid w:val="111B399F"/>
    <w:rsid w:val="20411E56"/>
    <w:rsid w:val="31792363"/>
    <w:rsid w:val="326B46F0"/>
    <w:rsid w:val="3A685EA1"/>
    <w:rsid w:val="404D3D4C"/>
    <w:rsid w:val="42AA5DAD"/>
    <w:rsid w:val="471E6E8F"/>
    <w:rsid w:val="5E007F7A"/>
    <w:rsid w:val="67197DB5"/>
    <w:rsid w:val="70F11083"/>
    <w:rsid w:val="793F1AF0"/>
    <w:rsid w:val="7ABF39F2"/>
    <w:rsid w:val="7DCA7A6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nhideWhenUsed="0" w:uiPriority="0" w:semiHidden="0" w:name="toa heading"/>
    <w:lsdException w:qFormat="1" w:unhideWhenUsed="0" w:uiPriority="0" w:semiHidden="0" w:name="List"/>
    <w:lsdException w:uiPriority="99" w:name="List Bullet"/>
    <w:lsdException w:uiPriority="99" w:name="List Number"/>
    <w:lsdException w:unhideWhenUsed="0" w:uiPriority="0" w:semiHidden="0" w:name="List 2"/>
    <w:lsdException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7"/>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9"/>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66"/>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69"/>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37">
    <w:name w:val="Default Paragraph Font"/>
    <w:unhideWhenUsed/>
    <w:uiPriority w:val="1"/>
  </w:style>
  <w:style w:type="table" w:default="1" w:styleId="44">
    <w:name w:val="Normal Table"/>
    <w:unhideWhenUsed/>
    <w:uiPriority w:val="99"/>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84"/>
    <w:semiHidden/>
    <w:uiPriority w:val="0"/>
    <w:rPr>
      <w:rFonts w:ascii="Times New Roman" w:hAnsi="Times New Roman"/>
      <w:b/>
      <w:bCs/>
      <w:szCs w:val="24"/>
    </w:rPr>
  </w:style>
  <w:style w:type="paragraph" w:styleId="9">
    <w:name w:val="annotation text"/>
    <w:basedOn w:val="1"/>
    <w:link w:val="96"/>
    <w:unhideWhenUsed/>
    <w:uiPriority w:val="99"/>
    <w:pPr>
      <w:jc w:val="left"/>
    </w:pPr>
  </w:style>
  <w:style w:type="paragraph" w:styleId="10">
    <w:name w:val="Body Text First Indent"/>
    <w:basedOn w:val="11"/>
    <w:link w:val="95"/>
    <w:unhideWhenUsed/>
    <w:uiPriority w:val="0"/>
    <w:pPr>
      <w:ind w:firstLine="420" w:firstLineChars="100"/>
    </w:pPr>
    <w:rPr>
      <w:rFonts w:ascii="Times New Roman" w:hAnsi="Times New Roman"/>
      <w:kern w:val="0"/>
      <w:sz w:val="20"/>
      <w:szCs w:val="24"/>
    </w:rPr>
  </w:style>
  <w:style w:type="paragraph" w:styleId="11">
    <w:name w:val="Body Text"/>
    <w:basedOn w:val="1"/>
    <w:link w:val="73"/>
    <w:unhideWhenUsed/>
    <w:qFormat/>
    <w:uiPriority w:val="0"/>
    <w:pPr>
      <w:spacing w:after="120"/>
    </w:pPr>
    <w:rPr>
      <w:rFonts w:ascii="Calibri" w:hAnsi="Calibri" w:eastAsia="宋体" w:cs="Times New Roman"/>
    </w:rPr>
  </w:style>
  <w:style w:type="paragraph" w:styleId="12">
    <w:name w:val="Normal Indent"/>
    <w:basedOn w:val="1"/>
    <w:link w:val="78"/>
    <w:qFormat/>
    <w:uiPriority w:val="0"/>
    <w:pPr>
      <w:autoSpaceDE w:val="0"/>
      <w:autoSpaceDN w:val="0"/>
      <w:adjustRightInd w:val="0"/>
      <w:ind w:firstLine="420"/>
      <w:jc w:val="left"/>
    </w:pPr>
    <w:rPr>
      <w:rFonts w:ascii="宋体" w:hAnsi="Times New Roman"/>
      <w:sz w:val="34"/>
    </w:rPr>
  </w:style>
  <w:style w:type="paragraph" w:styleId="13">
    <w:name w:val="caption"/>
    <w:basedOn w:val="1"/>
    <w:next w:val="1"/>
    <w:qFormat/>
    <w:uiPriority w:val="0"/>
    <w:rPr>
      <w:rFonts w:ascii="Arial" w:hAnsi="Arial" w:eastAsia="黑体" w:cs="Arial"/>
      <w:sz w:val="20"/>
      <w:szCs w:val="20"/>
    </w:rPr>
  </w:style>
  <w:style w:type="paragraph" w:styleId="14">
    <w:name w:val="Document Map"/>
    <w:basedOn w:val="1"/>
    <w:link w:val="63"/>
    <w:qFormat/>
    <w:uiPriority w:val="0"/>
    <w:pPr>
      <w:shd w:val="clear" w:color="auto" w:fill="000080"/>
    </w:pPr>
    <w:rPr>
      <w:rFonts w:ascii="Times New Roman" w:hAnsi="Times New Roman" w:eastAsia="宋体" w:cs="Times New Roman"/>
      <w:kern w:val="0"/>
      <w:sz w:val="20"/>
      <w:szCs w:val="24"/>
    </w:rPr>
  </w:style>
  <w:style w:type="paragraph" w:styleId="15">
    <w:name w:val="toa heading"/>
    <w:basedOn w:val="1"/>
    <w:next w:val="1"/>
    <w:uiPriority w:val="0"/>
    <w:pPr>
      <w:spacing w:before="120"/>
    </w:pPr>
    <w:rPr>
      <w:rFonts w:ascii="Arial" w:hAnsi="Arial" w:eastAsia="宋体" w:cs="Arial"/>
      <w:sz w:val="24"/>
      <w:szCs w:val="24"/>
    </w:rPr>
  </w:style>
  <w:style w:type="paragraph" w:styleId="16">
    <w:name w:val="Body Text Indent"/>
    <w:basedOn w:val="1"/>
    <w:link w:val="77"/>
    <w:unhideWhenUsed/>
    <w:uiPriority w:val="0"/>
    <w:pPr>
      <w:spacing w:after="120"/>
      <w:ind w:left="420" w:leftChars="200"/>
    </w:pPr>
    <w:rPr>
      <w:rFonts w:ascii="Calibri" w:hAnsi="Calibri" w:eastAsia="宋体" w:cs="Times New Roman"/>
    </w:rPr>
  </w:style>
  <w:style w:type="paragraph" w:styleId="17">
    <w:name w:val="List 2"/>
    <w:basedOn w:val="1"/>
    <w:uiPriority w:val="0"/>
    <w:pPr>
      <w:ind w:left="100" w:leftChars="200" w:hanging="200" w:hangingChars="200"/>
    </w:pPr>
    <w:rPr>
      <w:rFonts w:ascii="Times New Roman" w:hAnsi="Times New Roman" w:eastAsia="宋体" w:cs="Times New Roman"/>
      <w:szCs w:val="24"/>
    </w:rPr>
  </w:style>
  <w:style w:type="paragraph" w:styleId="18">
    <w:name w:val="Plain Text"/>
    <w:basedOn w:val="1"/>
    <w:link w:val="79"/>
    <w:uiPriority w:val="0"/>
    <w:rPr>
      <w:rFonts w:ascii="宋体" w:hAnsi="Courier New" w:eastAsia="宋体" w:cs="Times New Roman"/>
      <w:kern w:val="0"/>
      <w:sz w:val="20"/>
      <w:szCs w:val="21"/>
    </w:rPr>
  </w:style>
  <w:style w:type="paragraph" w:styleId="19">
    <w:name w:val="index 3"/>
    <w:basedOn w:val="1"/>
    <w:next w:val="1"/>
    <w:uiPriority w:val="0"/>
    <w:pPr>
      <w:ind w:left="400" w:leftChars="400"/>
    </w:pPr>
    <w:rPr>
      <w:rFonts w:ascii="Times New Roman" w:hAnsi="Times New Roman" w:eastAsia="宋体" w:cs="Times New Roman"/>
      <w:szCs w:val="24"/>
    </w:rPr>
  </w:style>
  <w:style w:type="paragraph" w:styleId="20">
    <w:name w:val="Date"/>
    <w:basedOn w:val="1"/>
    <w:next w:val="1"/>
    <w:link w:val="86"/>
    <w:qFormat/>
    <w:uiPriority w:val="0"/>
    <w:pPr>
      <w:ind w:left="100" w:leftChars="2500"/>
    </w:pPr>
    <w:rPr>
      <w:rFonts w:ascii="Times New Roman" w:hAnsi="Times New Roman" w:eastAsia="宋体" w:cs="Times New Roman"/>
      <w:b/>
      <w:bCs/>
      <w:kern w:val="0"/>
      <w:sz w:val="36"/>
      <w:szCs w:val="24"/>
    </w:rPr>
  </w:style>
  <w:style w:type="paragraph" w:styleId="21">
    <w:name w:val="Body Text Indent 2"/>
    <w:basedOn w:val="1"/>
    <w:link w:val="88"/>
    <w:qFormat/>
    <w:uiPriority w:val="0"/>
    <w:pPr>
      <w:spacing w:after="120" w:line="480" w:lineRule="auto"/>
      <w:ind w:left="420" w:leftChars="200"/>
    </w:pPr>
    <w:rPr>
      <w:rFonts w:ascii="Times New Roman" w:hAnsi="Times New Roman" w:eastAsia="宋体" w:cs="Times New Roman"/>
      <w:kern w:val="0"/>
      <w:sz w:val="20"/>
      <w:szCs w:val="24"/>
    </w:rPr>
  </w:style>
  <w:style w:type="paragraph" w:styleId="22">
    <w:name w:val="Balloon Text"/>
    <w:basedOn w:val="1"/>
    <w:link w:val="58"/>
    <w:qFormat/>
    <w:uiPriority w:val="0"/>
    <w:rPr>
      <w:rFonts w:ascii="Times New Roman" w:hAnsi="Times New Roman" w:eastAsia="宋体" w:cs="Times New Roman"/>
      <w:kern w:val="0"/>
      <w:sz w:val="18"/>
      <w:szCs w:val="18"/>
    </w:rPr>
  </w:style>
  <w:style w:type="paragraph" w:styleId="23">
    <w:name w:val="footer"/>
    <w:basedOn w:val="1"/>
    <w:link w:val="10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4">
    <w:name w:val="Body Text First Indent 2"/>
    <w:basedOn w:val="16"/>
    <w:link w:val="93"/>
    <w:unhideWhenUsed/>
    <w:qFormat/>
    <w:uiPriority w:val="0"/>
    <w:pPr>
      <w:ind w:firstLine="420" w:firstLineChars="200"/>
    </w:pPr>
    <w:rPr>
      <w:rFonts w:ascii="Times New Roman" w:hAnsi="Times New Roman"/>
      <w:kern w:val="0"/>
      <w:sz w:val="20"/>
      <w:szCs w:val="24"/>
    </w:rPr>
  </w:style>
  <w:style w:type="paragraph" w:styleId="25">
    <w:name w:val="header"/>
    <w:basedOn w:val="1"/>
    <w:link w:val="68"/>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6">
    <w:name w:val="List"/>
    <w:basedOn w:val="1"/>
    <w:qFormat/>
    <w:uiPriority w:val="0"/>
    <w:pPr>
      <w:ind w:left="200" w:hanging="200" w:hangingChars="200"/>
    </w:pPr>
    <w:rPr>
      <w:rFonts w:ascii="Times New Roman" w:hAnsi="Times New Roman" w:eastAsia="宋体" w:cs="Times New Roman"/>
      <w:szCs w:val="24"/>
    </w:rPr>
  </w:style>
  <w:style w:type="paragraph" w:styleId="27">
    <w:name w:val="footnote text"/>
    <w:basedOn w:val="1"/>
    <w:link w:val="87"/>
    <w:qFormat/>
    <w:uiPriority w:val="0"/>
    <w:pPr>
      <w:snapToGrid w:val="0"/>
      <w:jc w:val="left"/>
    </w:pPr>
    <w:rPr>
      <w:rFonts w:ascii="Times New Roman" w:hAnsi="Times New Roman" w:eastAsia="宋体" w:cs="Times New Roman"/>
      <w:kern w:val="0"/>
      <w:sz w:val="18"/>
      <w:szCs w:val="18"/>
    </w:rPr>
  </w:style>
  <w:style w:type="paragraph" w:styleId="28">
    <w:name w:val="Body Text Indent 3"/>
    <w:basedOn w:val="1"/>
    <w:link w:val="64"/>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29">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0">
    <w:name w:val="Body Text 2"/>
    <w:basedOn w:val="1"/>
    <w:link w:val="71"/>
    <w:qFormat/>
    <w:uiPriority w:val="0"/>
    <w:pPr>
      <w:spacing w:after="120" w:line="480" w:lineRule="auto"/>
    </w:pPr>
    <w:rPr>
      <w:rFonts w:ascii="Times New Roman" w:hAnsi="Times New Roman" w:eastAsia="宋体" w:cs="Times New Roman"/>
      <w:kern w:val="0"/>
      <w:sz w:val="20"/>
      <w:szCs w:val="24"/>
    </w:rPr>
  </w:style>
  <w:style w:type="paragraph" w:styleId="31">
    <w:name w:val="List 4"/>
    <w:basedOn w:val="1"/>
    <w:qFormat/>
    <w:uiPriority w:val="0"/>
    <w:pPr>
      <w:ind w:left="100" w:leftChars="600" w:hanging="200" w:hangingChars="200"/>
    </w:pPr>
    <w:rPr>
      <w:rFonts w:ascii="Times New Roman" w:hAnsi="Times New Roman" w:eastAsia="宋体" w:cs="Times New Roman"/>
      <w:szCs w:val="24"/>
    </w:rPr>
  </w:style>
  <w:style w:type="paragraph" w:styleId="32">
    <w:name w:val="List Continue 2"/>
    <w:basedOn w:val="1"/>
    <w:qFormat/>
    <w:uiPriority w:val="0"/>
    <w:pPr>
      <w:spacing w:after="120"/>
      <w:ind w:left="840" w:leftChars="400"/>
    </w:pPr>
    <w:rPr>
      <w:rFonts w:ascii="Times New Roman" w:hAnsi="Times New Roman" w:eastAsia="宋体" w:cs="Times New Roman"/>
      <w:szCs w:val="24"/>
    </w:rPr>
  </w:style>
  <w:style w:type="paragraph" w:styleId="33">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35">
    <w:name w:val="index 2"/>
    <w:basedOn w:val="1"/>
    <w:next w:val="1"/>
    <w:qFormat/>
    <w:uiPriority w:val="0"/>
    <w:pPr>
      <w:ind w:left="200" w:leftChars="200"/>
    </w:pPr>
    <w:rPr>
      <w:rFonts w:ascii="Times New Roman" w:hAnsi="Times New Roman" w:eastAsia="宋体" w:cs="Times New Roman"/>
      <w:szCs w:val="24"/>
    </w:rPr>
  </w:style>
  <w:style w:type="paragraph" w:styleId="36">
    <w:name w:val="Title"/>
    <w:basedOn w:val="1"/>
    <w:next w:val="1"/>
    <w:link w:val="98"/>
    <w:qFormat/>
    <w:uiPriority w:val="10"/>
    <w:pPr>
      <w:spacing w:before="240" w:after="60"/>
      <w:jc w:val="center"/>
      <w:outlineLvl w:val="0"/>
    </w:pPr>
    <w:rPr>
      <w:rFonts w:ascii="Arial" w:hAnsi="Arial" w:eastAsia="宋体" w:cs="Times New Roman"/>
      <w:b/>
      <w:bCs/>
      <w:kern w:val="0"/>
      <w:sz w:val="32"/>
      <w:szCs w:val="32"/>
    </w:rPr>
  </w:style>
  <w:style w:type="character" w:styleId="38">
    <w:name w:val="page number"/>
    <w:qFormat/>
    <w:uiPriority w:val="0"/>
  </w:style>
  <w:style w:type="character" w:styleId="39">
    <w:name w:val="FollowedHyperlink"/>
    <w:basedOn w:val="37"/>
    <w:unhideWhenUsed/>
    <w:qFormat/>
    <w:uiPriority w:val="99"/>
    <w:rPr>
      <w:color w:val="954F72" w:themeColor="followedHyperlink"/>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uiPriority w:val="0"/>
    <w:rPr>
      <w:vertAlign w:val="superscript"/>
    </w:rPr>
  </w:style>
  <w:style w:type="table" w:styleId="45">
    <w:name w:val="Table Grid"/>
    <w:basedOn w:val="44"/>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6">
    <w:name w:val="标题 1 字符"/>
    <w:basedOn w:val="37"/>
    <w:qFormat/>
    <w:uiPriority w:val="9"/>
    <w:rPr>
      <w:b/>
      <w:bCs/>
      <w:kern w:val="44"/>
      <w:sz w:val="44"/>
      <w:szCs w:val="44"/>
    </w:rPr>
  </w:style>
  <w:style w:type="character" w:customStyle="1" w:styleId="47">
    <w:name w:val="标题 2 字符"/>
    <w:basedOn w:val="37"/>
    <w:semiHidden/>
    <w:qFormat/>
    <w:uiPriority w:val="9"/>
    <w:rPr>
      <w:rFonts w:asciiTheme="majorHAnsi" w:hAnsiTheme="majorHAnsi" w:eastAsiaTheme="majorEastAsia" w:cstheme="majorBidi"/>
      <w:b/>
      <w:bCs/>
      <w:sz w:val="32"/>
      <w:szCs w:val="32"/>
    </w:rPr>
  </w:style>
  <w:style w:type="character" w:customStyle="1" w:styleId="48">
    <w:name w:val="标题 3 字符"/>
    <w:basedOn w:val="37"/>
    <w:semiHidden/>
    <w:qFormat/>
    <w:uiPriority w:val="9"/>
    <w:rPr>
      <w:b/>
      <w:bCs/>
      <w:sz w:val="32"/>
      <w:szCs w:val="32"/>
    </w:rPr>
  </w:style>
  <w:style w:type="character" w:customStyle="1" w:styleId="49">
    <w:name w:val="标题 4 字符"/>
    <w:basedOn w:val="37"/>
    <w:semiHidden/>
    <w:qFormat/>
    <w:uiPriority w:val="9"/>
    <w:rPr>
      <w:rFonts w:asciiTheme="majorHAnsi" w:hAnsiTheme="majorHAnsi" w:eastAsiaTheme="majorEastAsia" w:cstheme="majorBidi"/>
      <w:b/>
      <w:bCs/>
      <w:sz w:val="28"/>
      <w:szCs w:val="28"/>
    </w:rPr>
  </w:style>
  <w:style w:type="character" w:customStyle="1" w:styleId="50">
    <w:name w:val="标题 5 字符"/>
    <w:basedOn w:val="37"/>
    <w:semiHidden/>
    <w:qFormat/>
    <w:uiPriority w:val="9"/>
    <w:rPr>
      <w:b/>
      <w:bCs/>
      <w:sz w:val="28"/>
      <w:szCs w:val="28"/>
    </w:rPr>
  </w:style>
  <w:style w:type="paragraph" w:customStyle="1" w:styleId="51">
    <w:name w:val="_Style 13"/>
    <w:basedOn w:val="2"/>
    <w:next w:val="1"/>
    <w:qFormat/>
    <w:uiPriority w:val="39"/>
    <w:pPr>
      <w:tabs>
        <w:tab w:val="right" w:leader="dot" w:pos="8659"/>
      </w:tabs>
      <w:spacing w:before="0" w:after="0" w:line="240" w:lineRule="auto"/>
      <w:jc w:val="center"/>
    </w:pPr>
    <w:rPr>
      <w:b w:val="0"/>
      <w:sz w:val="21"/>
    </w:rPr>
  </w:style>
  <w:style w:type="character" w:customStyle="1" w:styleId="52">
    <w:name w:val="标题 字符"/>
    <w:qFormat/>
    <w:uiPriority w:val="10"/>
    <w:rPr>
      <w:rFonts w:ascii="Calibri Light" w:hAnsi="Calibri Light" w:eastAsia="宋体" w:cs="Times New Roman"/>
      <w:b/>
      <w:bCs/>
      <w:sz w:val="32"/>
      <w:szCs w:val="32"/>
    </w:rPr>
  </w:style>
  <w:style w:type="character" w:customStyle="1" w:styleId="53">
    <w:name w:val="批注框文本 字符"/>
    <w:semiHidden/>
    <w:qFormat/>
    <w:uiPriority w:val="99"/>
    <w:rPr>
      <w:sz w:val="18"/>
      <w:szCs w:val="18"/>
    </w:rPr>
  </w:style>
  <w:style w:type="character" w:customStyle="1" w:styleId="54">
    <w:name w:val="正文文本缩进 3 字符"/>
    <w:semiHidden/>
    <w:qFormat/>
    <w:uiPriority w:val="99"/>
    <w:rPr>
      <w:sz w:val="16"/>
      <w:szCs w:val="16"/>
    </w:rPr>
  </w:style>
  <w:style w:type="character" w:customStyle="1" w:styleId="55">
    <w:name w:val="z-窗体顶端 字符"/>
    <w:semiHidden/>
    <w:uiPriority w:val="99"/>
    <w:rPr>
      <w:rFonts w:ascii="Arial" w:hAnsi="Arial" w:cs="Arial"/>
      <w:vanish/>
      <w:sz w:val="16"/>
      <w:szCs w:val="16"/>
    </w:rPr>
  </w:style>
  <w:style w:type="character" w:customStyle="1" w:styleId="56">
    <w:name w:val="Char Char14"/>
    <w:qFormat/>
    <w:uiPriority w:val="0"/>
    <w:rPr>
      <w:rFonts w:ascii="宋体" w:hAnsi="Courier New" w:eastAsia="宋体" w:cs="Courier New"/>
      <w:kern w:val="2"/>
      <w:sz w:val="21"/>
      <w:szCs w:val="21"/>
      <w:lang w:val="en-US" w:eastAsia="zh-CN" w:bidi="ar-SA"/>
    </w:rPr>
  </w:style>
  <w:style w:type="character" w:customStyle="1" w:styleId="57">
    <w:name w:val="页眉 字符"/>
    <w:semiHidden/>
    <w:qFormat/>
    <w:uiPriority w:val="99"/>
    <w:rPr>
      <w:sz w:val="18"/>
      <w:szCs w:val="18"/>
    </w:rPr>
  </w:style>
  <w:style w:type="character" w:customStyle="1" w:styleId="58">
    <w:name w:val="批注框文本 Char"/>
    <w:link w:val="22"/>
    <w:qFormat/>
    <w:uiPriority w:val="0"/>
    <w:rPr>
      <w:rFonts w:ascii="Times New Roman" w:hAnsi="Times New Roman" w:eastAsia="宋体" w:cs="Times New Roman"/>
      <w:kern w:val="0"/>
      <w:sz w:val="18"/>
      <w:szCs w:val="18"/>
    </w:rPr>
  </w:style>
  <w:style w:type="character" w:customStyle="1" w:styleId="59">
    <w:name w:val="页脚 字符"/>
    <w:semiHidden/>
    <w:qFormat/>
    <w:uiPriority w:val="99"/>
    <w:rPr>
      <w:sz w:val="18"/>
      <w:szCs w:val="18"/>
    </w:rPr>
  </w:style>
  <w:style w:type="character" w:customStyle="1" w:styleId="60">
    <w:name w:val="正文首行缩进 字符"/>
    <w:basedOn w:val="61"/>
    <w:semiHidden/>
    <w:qFormat/>
    <w:uiPriority w:val="99"/>
  </w:style>
  <w:style w:type="character" w:customStyle="1" w:styleId="61">
    <w:name w:val="正文文本 字符"/>
    <w:basedOn w:val="37"/>
    <w:semiHidden/>
    <w:qFormat/>
    <w:uiPriority w:val="99"/>
  </w:style>
  <w:style w:type="character" w:customStyle="1" w:styleId="62">
    <w:name w:val="z-窗体底端 字符"/>
    <w:semiHidden/>
    <w:uiPriority w:val="99"/>
    <w:rPr>
      <w:rFonts w:ascii="Arial" w:hAnsi="Arial" w:cs="Arial"/>
      <w:vanish/>
      <w:sz w:val="16"/>
      <w:szCs w:val="16"/>
    </w:rPr>
  </w:style>
  <w:style w:type="character" w:customStyle="1" w:styleId="63">
    <w:name w:val="文档结构图 Char"/>
    <w:link w:val="14"/>
    <w:uiPriority w:val="0"/>
    <w:rPr>
      <w:rFonts w:ascii="Times New Roman" w:hAnsi="Times New Roman" w:eastAsia="宋体" w:cs="Times New Roman"/>
      <w:kern w:val="0"/>
      <w:sz w:val="20"/>
      <w:szCs w:val="24"/>
      <w:shd w:val="clear" w:color="auto" w:fill="000080"/>
    </w:rPr>
  </w:style>
  <w:style w:type="character" w:customStyle="1" w:styleId="64">
    <w:name w:val="正文文本缩进 3 Char"/>
    <w:link w:val="28"/>
    <w:qFormat/>
    <w:uiPriority w:val="0"/>
    <w:rPr>
      <w:rFonts w:ascii="Times New Roman" w:hAnsi="Times New Roman" w:eastAsia="宋体" w:cs="Times New Roman"/>
      <w:kern w:val="0"/>
      <w:sz w:val="24"/>
      <w:szCs w:val="24"/>
    </w:rPr>
  </w:style>
  <w:style w:type="character" w:customStyle="1" w:styleId="65">
    <w:name w:val="文档结构图 字符"/>
    <w:semiHidden/>
    <w:qFormat/>
    <w:uiPriority w:val="99"/>
    <w:rPr>
      <w:rFonts w:ascii="Microsoft YaHei UI" w:eastAsia="Microsoft YaHei UI"/>
      <w:sz w:val="18"/>
      <w:szCs w:val="18"/>
    </w:rPr>
  </w:style>
  <w:style w:type="character" w:customStyle="1" w:styleId="66">
    <w:name w:val="标题 4 Char"/>
    <w:link w:val="5"/>
    <w:qFormat/>
    <w:uiPriority w:val="0"/>
    <w:rPr>
      <w:rFonts w:ascii="Arial" w:hAnsi="Arial" w:eastAsia="黑体" w:cs="Times New Roman"/>
      <w:b/>
      <w:bCs/>
      <w:kern w:val="0"/>
      <w:sz w:val="28"/>
      <w:szCs w:val="28"/>
    </w:rPr>
  </w:style>
  <w:style w:type="character" w:customStyle="1" w:styleId="67">
    <w:name w:val="批注主题 Char1"/>
    <w:semiHidden/>
    <w:qFormat/>
    <w:uiPriority w:val="99"/>
    <w:rPr>
      <w:b/>
      <w:bCs/>
      <w:kern w:val="2"/>
      <w:sz w:val="21"/>
      <w:szCs w:val="22"/>
    </w:rPr>
  </w:style>
  <w:style w:type="character" w:customStyle="1" w:styleId="68">
    <w:name w:val="页眉 Char"/>
    <w:link w:val="25"/>
    <w:qFormat/>
    <w:uiPriority w:val="99"/>
    <w:rPr>
      <w:rFonts w:ascii="Times New Roman" w:hAnsi="Times New Roman" w:eastAsia="宋体" w:cs="Times New Roman"/>
      <w:kern w:val="0"/>
      <w:sz w:val="18"/>
      <w:szCs w:val="18"/>
    </w:rPr>
  </w:style>
  <w:style w:type="character" w:customStyle="1" w:styleId="69">
    <w:name w:val="标题 5 Char"/>
    <w:link w:val="6"/>
    <w:qFormat/>
    <w:uiPriority w:val="0"/>
    <w:rPr>
      <w:rFonts w:ascii="Times New Roman" w:hAnsi="Times New Roman" w:eastAsia="宋体" w:cs="Times New Roman"/>
      <w:b/>
      <w:bCs/>
      <w:kern w:val="0"/>
      <w:sz w:val="28"/>
      <w:szCs w:val="28"/>
    </w:rPr>
  </w:style>
  <w:style w:type="character" w:customStyle="1" w:styleId="70">
    <w:name w:val="正文文本缩进 字符"/>
    <w:basedOn w:val="37"/>
    <w:semiHidden/>
    <w:qFormat/>
    <w:uiPriority w:val="99"/>
  </w:style>
  <w:style w:type="character" w:customStyle="1" w:styleId="71">
    <w:name w:val="正文文本 2 Char"/>
    <w:link w:val="30"/>
    <w:qFormat/>
    <w:uiPriority w:val="0"/>
    <w:rPr>
      <w:rFonts w:ascii="Times New Roman" w:hAnsi="Times New Roman" w:eastAsia="宋体" w:cs="Times New Roman"/>
      <w:kern w:val="0"/>
      <w:sz w:val="20"/>
      <w:szCs w:val="24"/>
    </w:rPr>
  </w:style>
  <w:style w:type="character" w:customStyle="1" w:styleId="72">
    <w:name w:val="标题 2 Char"/>
    <w:link w:val="3"/>
    <w:qFormat/>
    <w:uiPriority w:val="0"/>
    <w:rPr>
      <w:rFonts w:ascii="Arial" w:hAnsi="Arial" w:eastAsia="黑体" w:cs="Times New Roman"/>
      <w:b/>
      <w:bCs/>
      <w:kern w:val="0"/>
      <w:sz w:val="32"/>
      <w:szCs w:val="32"/>
    </w:rPr>
  </w:style>
  <w:style w:type="character" w:customStyle="1" w:styleId="73">
    <w:name w:val="正文文本 Char"/>
    <w:link w:val="11"/>
    <w:qFormat/>
    <w:uiPriority w:val="0"/>
    <w:rPr>
      <w:rFonts w:ascii="Calibri" w:hAnsi="Calibri" w:eastAsia="宋体" w:cs="Times New Roman"/>
    </w:rPr>
  </w:style>
  <w:style w:type="character" w:customStyle="1" w:styleId="74">
    <w:name w:val="z-窗体顶端 Char"/>
    <w:link w:val="75"/>
    <w:qFormat/>
    <w:uiPriority w:val="0"/>
    <w:rPr>
      <w:rFonts w:ascii="Arial" w:hAnsi="Arial" w:eastAsia="宋体" w:cs="Times New Roman"/>
      <w:vanish/>
      <w:kern w:val="0"/>
      <w:sz w:val="16"/>
      <w:szCs w:val="16"/>
    </w:rPr>
  </w:style>
  <w:style w:type="paragraph" w:customStyle="1" w:styleId="75">
    <w:name w:val="z-窗体顶端1"/>
    <w:basedOn w:val="1"/>
    <w:next w:val="1"/>
    <w:link w:val="74"/>
    <w:qFormat/>
    <w:uiPriority w:val="0"/>
    <w:pPr>
      <w:pBdr>
        <w:bottom w:val="single" w:color="auto" w:sz="6" w:space="1"/>
      </w:pBdr>
      <w:jc w:val="center"/>
    </w:pPr>
    <w:rPr>
      <w:rFonts w:ascii="Arial" w:hAnsi="Arial" w:eastAsia="宋体" w:cs="Times New Roman"/>
      <w:vanish/>
      <w:kern w:val="0"/>
      <w:sz w:val="16"/>
      <w:szCs w:val="16"/>
    </w:rPr>
  </w:style>
  <w:style w:type="character" w:customStyle="1" w:styleId="76">
    <w:name w:val="日期 字符"/>
    <w:basedOn w:val="37"/>
    <w:semiHidden/>
    <w:uiPriority w:val="99"/>
  </w:style>
  <w:style w:type="character" w:customStyle="1" w:styleId="77">
    <w:name w:val="正文文本缩进 Char"/>
    <w:link w:val="16"/>
    <w:qFormat/>
    <w:uiPriority w:val="0"/>
    <w:rPr>
      <w:rFonts w:ascii="Calibri" w:hAnsi="Calibri" w:eastAsia="宋体" w:cs="Times New Roman"/>
    </w:rPr>
  </w:style>
  <w:style w:type="character" w:customStyle="1" w:styleId="78">
    <w:name w:val="正文缩进 Char"/>
    <w:link w:val="12"/>
    <w:qFormat/>
    <w:uiPriority w:val="0"/>
    <w:rPr>
      <w:rFonts w:ascii="宋体" w:hAnsi="Times New Roman"/>
      <w:sz w:val="34"/>
    </w:rPr>
  </w:style>
  <w:style w:type="character" w:customStyle="1" w:styleId="79">
    <w:name w:val="纯文本 Char"/>
    <w:link w:val="18"/>
    <w:qFormat/>
    <w:uiPriority w:val="0"/>
    <w:rPr>
      <w:rFonts w:ascii="宋体" w:hAnsi="Courier New" w:eastAsia="宋体" w:cs="Times New Roman"/>
      <w:kern w:val="0"/>
      <w:sz w:val="20"/>
      <w:szCs w:val="21"/>
    </w:rPr>
  </w:style>
  <w:style w:type="character" w:customStyle="1" w:styleId="80">
    <w:name w:val="正文文本缩进 2 字符"/>
    <w:basedOn w:val="37"/>
    <w:semiHidden/>
    <w:qFormat/>
    <w:uiPriority w:val="99"/>
  </w:style>
  <w:style w:type="character" w:customStyle="1" w:styleId="81">
    <w:name w:val="样式 样式1 + 首行缩进:  2 字符 Char"/>
    <w:link w:val="82"/>
    <w:qFormat/>
    <w:uiPriority w:val="0"/>
    <w:rPr>
      <w:rFonts w:ascii="Arial" w:hAnsi="Arial"/>
      <w:sz w:val="24"/>
    </w:rPr>
  </w:style>
  <w:style w:type="paragraph" w:customStyle="1" w:styleId="82">
    <w:name w:val="样式 样式1 + 首行缩进:  2 字符"/>
    <w:basedOn w:val="83"/>
    <w:link w:val="81"/>
    <w:qFormat/>
    <w:uiPriority w:val="0"/>
    <w:pPr>
      <w:spacing w:line="360" w:lineRule="exact"/>
      <w:ind w:firstLine="420" w:firstLineChars="200"/>
      <w:jc w:val="both"/>
    </w:pPr>
    <w:rPr>
      <w:rFonts w:ascii="Arial" w:hAnsi="Arial" w:eastAsiaTheme="minorEastAsia" w:cstheme="minorBidi"/>
      <w:sz w:val="24"/>
      <w:szCs w:val="22"/>
    </w:rPr>
  </w:style>
  <w:style w:type="paragraph" w:customStyle="1" w:styleId="83">
    <w:name w:val="样式1"/>
    <w:basedOn w:val="1"/>
    <w:qFormat/>
    <w:uiPriority w:val="0"/>
    <w:pPr>
      <w:spacing w:line="360" w:lineRule="auto"/>
      <w:jc w:val="center"/>
    </w:pPr>
    <w:rPr>
      <w:rFonts w:ascii="宋体" w:hAnsi="宋体" w:eastAsia="宋体" w:cs="Times New Roman"/>
      <w:sz w:val="32"/>
      <w:szCs w:val="30"/>
    </w:rPr>
  </w:style>
  <w:style w:type="character" w:customStyle="1" w:styleId="84">
    <w:name w:val="批注主题 Char"/>
    <w:link w:val="8"/>
    <w:semiHidden/>
    <w:qFormat/>
    <w:uiPriority w:val="0"/>
    <w:rPr>
      <w:rFonts w:ascii="Times New Roman" w:hAnsi="Times New Roman"/>
      <w:b/>
      <w:bCs/>
      <w:szCs w:val="24"/>
    </w:rPr>
  </w:style>
  <w:style w:type="character" w:customStyle="1" w:styleId="85">
    <w:name w:val="正文首行缩进 2 字符"/>
    <w:basedOn w:val="70"/>
    <w:semiHidden/>
    <w:qFormat/>
    <w:uiPriority w:val="99"/>
  </w:style>
  <w:style w:type="character" w:customStyle="1" w:styleId="86">
    <w:name w:val="日期 Char"/>
    <w:link w:val="20"/>
    <w:qFormat/>
    <w:uiPriority w:val="0"/>
    <w:rPr>
      <w:rFonts w:ascii="Times New Roman" w:hAnsi="Times New Roman" w:eastAsia="宋体" w:cs="Times New Roman"/>
      <w:b/>
      <w:bCs/>
      <w:kern w:val="0"/>
      <w:sz w:val="36"/>
      <w:szCs w:val="24"/>
    </w:rPr>
  </w:style>
  <w:style w:type="character" w:customStyle="1" w:styleId="87">
    <w:name w:val="脚注文本 Char"/>
    <w:link w:val="27"/>
    <w:qFormat/>
    <w:uiPriority w:val="0"/>
    <w:rPr>
      <w:rFonts w:ascii="Times New Roman" w:hAnsi="Times New Roman" w:eastAsia="宋体" w:cs="Times New Roman"/>
      <w:kern w:val="0"/>
      <w:sz w:val="18"/>
      <w:szCs w:val="18"/>
    </w:rPr>
  </w:style>
  <w:style w:type="character" w:customStyle="1" w:styleId="88">
    <w:name w:val="正文文本缩进 2 Char"/>
    <w:link w:val="21"/>
    <w:qFormat/>
    <w:uiPriority w:val="0"/>
    <w:rPr>
      <w:rFonts w:ascii="Times New Roman" w:hAnsi="Times New Roman" w:eastAsia="宋体" w:cs="Times New Roman"/>
      <w:kern w:val="0"/>
      <w:sz w:val="20"/>
      <w:szCs w:val="24"/>
    </w:rPr>
  </w:style>
  <w:style w:type="character" w:customStyle="1" w:styleId="89">
    <w:name w:val="正文文本 2 字符"/>
    <w:basedOn w:val="37"/>
    <w:semiHidden/>
    <w:qFormat/>
    <w:uiPriority w:val="99"/>
  </w:style>
  <w:style w:type="character" w:customStyle="1" w:styleId="90">
    <w:name w:val="z-窗体底端 Char"/>
    <w:link w:val="91"/>
    <w:qFormat/>
    <w:uiPriority w:val="0"/>
    <w:rPr>
      <w:rFonts w:ascii="Arial" w:hAnsi="Arial" w:eastAsia="宋体" w:cs="Times New Roman"/>
      <w:vanish/>
      <w:kern w:val="0"/>
      <w:sz w:val="16"/>
      <w:szCs w:val="16"/>
    </w:rPr>
  </w:style>
  <w:style w:type="paragraph" w:customStyle="1" w:styleId="91">
    <w:name w:val="z-窗体底端1"/>
    <w:basedOn w:val="1"/>
    <w:next w:val="1"/>
    <w:link w:val="90"/>
    <w:qFormat/>
    <w:uiPriority w:val="0"/>
    <w:pPr>
      <w:pBdr>
        <w:top w:val="single" w:color="auto" w:sz="6" w:space="1"/>
      </w:pBdr>
      <w:jc w:val="center"/>
    </w:pPr>
    <w:rPr>
      <w:rFonts w:ascii="Arial" w:hAnsi="Arial" w:eastAsia="宋体" w:cs="Times New Roman"/>
      <w:vanish/>
      <w:kern w:val="0"/>
      <w:sz w:val="16"/>
      <w:szCs w:val="16"/>
    </w:rPr>
  </w:style>
  <w:style w:type="character" w:customStyle="1" w:styleId="92">
    <w:name w:val="纯文本 字符"/>
    <w:semiHidden/>
    <w:qFormat/>
    <w:uiPriority w:val="99"/>
    <w:rPr>
      <w:rFonts w:ascii="宋体" w:hAnsi="Courier New" w:cs="Courier New"/>
    </w:rPr>
  </w:style>
  <w:style w:type="character" w:customStyle="1" w:styleId="93">
    <w:name w:val="正文首行缩进 2 Char"/>
    <w:link w:val="24"/>
    <w:qFormat/>
    <w:uiPriority w:val="0"/>
    <w:rPr>
      <w:rFonts w:ascii="Times New Roman" w:hAnsi="Times New Roman" w:eastAsia="宋体" w:cs="Times New Roman"/>
      <w:kern w:val="0"/>
      <w:sz w:val="20"/>
      <w:szCs w:val="24"/>
    </w:rPr>
  </w:style>
  <w:style w:type="character" w:customStyle="1" w:styleId="94">
    <w:name w:val="脚注文本 字符"/>
    <w:semiHidden/>
    <w:qFormat/>
    <w:uiPriority w:val="99"/>
    <w:rPr>
      <w:sz w:val="18"/>
      <w:szCs w:val="18"/>
    </w:rPr>
  </w:style>
  <w:style w:type="character" w:customStyle="1" w:styleId="95">
    <w:name w:val="正文首行缩进 Char"/>
    <w:link w:val="10"/>
    <w:qFormat/>
    <w:uiPriority w:val="0"/>
    <w:rPr>
      <w:rFonts w:ascii="Times New Roman" w:hAnsi="Times New Roman" w:eastAsia="宋体" w:cs="Times New Roman"/>
      <w:kern w:val="0"/>
      <w:sz w:val="20"/>
      <w:szCs w:val="24"/>
    </w:rPr>
  </w:style>
  <w:style w:type="character" w:customStyle="1" w:styleId="96">
    <w:name w:val="批注文字 Char"/>
    <w:link w:val="9"/>
    <w:qFormat/>
    <w:uiPriority w:val="99"/>
  </w:style>
  <w:style w:type="character" w:customStyle="1" w:styleId="97">
    <w:name w:val="标题 1 Char"/>
    <w:link w:val="2"/>
    <w:qFormat/>
    <w:uiPriority w:val="0"/>
    <w:rPr>
      <w:rFonts w:ascii="Times New Roman" w:hAnsi="Times New Roman" w:eastAsia="宋体" w:cs="Times New Roman"/>
      <w:b/>
      <w:bCs/>
      <w:kern w:val="44"/>
      <w:sz w:val="44"/>
      <w:szCs w:val="44"/>
    </w:rPr>
  </w:style>
  <w:style w:type="character" w:customStyle="1" w:styleId="98">
    <w:name w:val="标题 Char"/>
    <w:link w:val="36"/>
    <w:qFormat/>
    <w:uiPriority w:val="0"/>
    <w:rPr>
      <w:rFonts w:ascii="Arial" w:hAnsi="Arial" w:eastAsia="宋体" w:cs="Times New Roman"/>
      <w:b/>
      <w:bCs/>
      <w:kern w:val="0"/>
      <w:sz w:val="32"/>
      <w:szCs w:val="32"/>
    </w:rPr>
  </w:style>
  <w:style w:type="character" w:customStyle="1" w:styleId="99">
    <w:name w:val="标题 3 Char"/>
    <w:link w:val="4"/>
    <w:qFormat/>
    <w:uiPriority w:val="0"/>
    <w:rPr>
      <w:rFonts w:ascii="Times New Roman" w:hAnsi="Times New Roman" w:eastAsia="楷体_GB2312" w:cs="Times New Roman"/>
      <w:kern w:val="0"/>
      <w:sz w:val="28"/>
      <w:szCs w:val="20"/>
    </w:rPr>
  </w:style>
  <w:style w:type="character" w:customStyle="1" w:styleId="100">
    <w:name w:val="zbggmain style9"/>
    <w:qFormat/>
    <w:uiPriority w:val="0"/>
  </w:style>
  <w:style w:type="character" w:customStyle="1" w:styleId="101">
    <w:name w:val="页脚 Char"/>
    <w:link w:val="23"/>
    <w:qFormat/>
    <w:uiPriority w:val="99"/>
    <w:rPr>
      <w:rFonts w:ascii="Times New Roman" w:hAnsi="Times New Roman" w:eastAsia="宋体" w:cs="Times New Roman"/>
      <w:kern w:val="0"/>
      <w:sz w:val="18"/>
      <w:szCs w:val="18"/>
    </w:rPr>
  </w:style>
  <w:style w:type="character" w:customStyle="1" w:styleId="102">
    <w:name w:val="正文文本 2 字符1"/>
    <w:basedOn w:val="37"/>
    <w:semiHidden/>
    <w:qFormat/>
    <w:uiPriority w:val="99"/>
  </w:style>
  <w:style w:type="character" w:customStyle="1" w:styleId="103">
    <w:name w:val="批注文字 字符"/>
    <w:basedOn w:val="37"/>
    <w:semiHidden/>
    <w:qFormat/>
    <w:uiPriority w:val="99"/>
  </w:style>
  <w:style w:type="character" w:customStyle="1" w:styleId="104">
    <w:name w:val="批注主题 字符"/>
    <w:basedOn w:val="103"/>
    <w:semiHidden/>
    <w:qFormat/>
    <w:uiPriority w:val="99"/>
    <w:rPr>
      <w:b/>
      <w:bCs/>
    </w:rPr>
  </w:style>
  <w:style w:type="character" w:customStyle="1" w:styleId="105">
    <w:name w:val="正文文本缩进 3 字符1"/>
    <w:basedOn w:val="37"/>
    <w:semiHidden/>
    <w:qFormat/>
    <w:uiPriority w:val="99"/>
    <w:rPr>
      <w:sz w:val="16"/>
      <w:szCs w:val="16"/>
    </w:rPr>
  </w:style>
  <w:style w:type="character" w:customStyle="1" w:styleId="106">
    <w:name w:val="正文文本 字符1"/>
    <w:basedOn w:val="37"/>
    <w:semiHidden/>
    <w:qFormat/>
    <w:uiPriority w:val="99"/>
  </w:style>
  <w:style w:type="character" w:customStyle="1" w:styleId="107">
    <w:name w:val="文档结构图 字符1"/>
    <w:basedOn w:val="37"/>
    <w:semiHidden/>
    <w:uiPriority w:val="99"/>
    <w:rPr>
      <w:rFonts w:ascii="Microsoft YaHei UI" w:eastAsia="Microsoft YaHei UI"/>
      <w:sz w:val="18"/>
      <w:szCs w:val="18"/>
    </w:rPr>
  </w:style>
  <w:style w:type="character" w:customStyle="1" w:styleId="108">
    <w:name w:val="页眉 字符1"/>
    <w:basedOn w:val="37"/>
    <w:semiHidden/>
    <w:qFormat/>
    <w:uiPriority w:val="99"/>
    <w:rPr>
      <w:sz w:val="18"/>
      <w:szCs w:val="18"/>
    </w:rPr>
  </w:style>
  <w:style w:type="character" w:customStyle="1" w:styleId="109">
    <w:name w:val="批注框文本 字符1"/>
    <w:basedOn w:val="37"/>
    <w:semiHidden/>
    <w:qFormat/>
    <w:uiPriority w:val="99"/>
    <w:rPr>
      <w:sz w:val="18"/>
      <w:szCs w:val="18"/>
    </w:rPr>
  </w:style>
  <w:style w:type="character" w:customStyle="1" w:styleId="110">
    <w:name w:val="日期 字符1"/>
    <w:basedOn w:val="37"/>
    <w:semiHidden/>
    <w:qFormat/>
    <w:uiPriority w:val="99"/>
  </w:style>
  <w:style w:type="character" w:customStyle="1" w:styleId="111">
    <w:name w:val="正文文本缩进 字符1"/>
    <w:basedOn w:val="37"/>
    <w:semiHidden/>
    <w:qFormat/>
    <w:uiPriority w:val="99"/>
  </w:style>
  <w:style w:type="character" w:customStyle="1" w:styleId="112">
    <w:name w:val="脚注文本 字符1"/>
    <w:basedOn w:val="37"/>
    <w:semiHidden/>
    <w:qFormat/>
    <w:uiPriority w:val="99"/>
    <w:rPr>
      <w:sz w:val="18"/>
      <w:szCs w:val="18"/>
    </w:rPr>
  </w:style>
  <w:style w:type="character" w:customStyle="1" w:styleId="113">
    <w:name w:val="页脚 字符1"/>
    <w:basedOn w:val="37"/>
    <w:semiHidden/>
    <w:qFormat/>
    <w:uiPriority w:val="99"/>
    <w:rPr>
      <w:sz w:val="18"/>
      <w:szCs w:val="18"/>
    </w:rPr>
  </w:style>
  <w:style w:type="character" w:customStyle="1" w:styleId="114">
    <w:name w:val="正文文本缩进 2 字符1"/>
    <w:basedOn w:val="37"/>
    <w:semiHidden/>
    <w:qFormat/>
    <w:uiPriority w:val="99"/>
  </w:style>
  <w:style w:type="character" w:customStyle="1" w:styleId="115">
    <w:name w:val="纯文本 字符1"/>
    <w:basedOn w:val="37"/>
    <w:semiHidden/>
    <w:qFormat/>
    <w:uiPriority w:val="99"/>
    <w:rPr>
      <w:rFonts w:hAnsi="Courier New" w:cs="Courier New" w:asciiTheme="minorEastAsia"/>
    </w:rPr>
  </w:style>
  <w:style w:type="character" w:customStyle="1" w:styleId="116">
    <w:name w:val="标题 字符1"/>
    <w:basedOn w:val="37"/>
    <w:qFormat/>
    <w:uiPriority w:val="10"/>
    <w:rPr>
      <w:rFonts w:asciiTheme="majorHAnsi" w:hAnsiTheme="majorHAnsi" w:eastAsiaTheme="majorEastAsia" w:cstheme="majorBidi"/>
      <w:b/>
      <w:bCs/>
      <w:sz w:val="32"/>
      <w:szCs w:val="32"/>
    </w:rPr>
  </w:style>
  <w:style w:type="paragraph" w:customStyle="1" w:styleId="117">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119">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120">
    <w:name w:val="样式 一号 加粗 居中"/>
    <w:basedOn w:val="1"/>
    <w:qFormat/>
    <w:uiPriority w:val="0"/>
    <w:pPr>
      <w:jc w:val="center"/>
    </w:pPr>
    <w:rPr>
      <w:rFonts w:ascii="Times New Roman" w:hAnsi="Times New Roman" w:eastAsia="宋体" w:cs="宋体"/>
      <w:bCs/>
      <w:sz w:val="52"/>
      <w:szCs w:val="20"/>
    </w:rPr>
  </w:style>
  <w:style w:type="paragraph" w:customStyle="1" w:styleId="121">
    <w:name w:val="样式2"/>
    <w:basedOn w:val="29"/>
    <w:qFormat/>
    <w:uiPriority w:val="0"/>
    <w:pPr>
      <w:ind w:firstLine="2720"/>
    </w:pPr>
    <w:rPr>
      <w:bCs/>
    </w:rPr>
  </w:style>
  <w:style w:type="paragraph" w:customStyle="1" w:styleId="122">
    <w:name w:val="Char"/>
    <w:basedOn w:val="1"/>
    <w:qFormat/>
    <w:uiPriority w:val="0"/>
    <w:pPr>
      <w:spacing w:line="360" w:lineRule="auto"/>
    </w:pPr>
    <w:rPr>
      <w:rFonts w:ascii="黑体" w:hAnsi="黑体" w:eastAsia="宋体" w:cs="Times New Roman"/>
      <w:sz w:val="24"/>
      <w:szCs w:val="24"/>
      <w:lang w:val="zh-CN"/>
    </w:rPr>
  </w:style>
  <w:style w:type="paragraph" w:customStyle="1" w:styleId="123">
    <w:name w:val="_Style 10"/>
    <w:basedOn w:val="1"/>
    <w:next w:val="1"/>
    <w:qFormat/>
    <w:uiPriority w:val="0"/>
    <w:rPr>
      <w:rFonts w:ascii="Times New Roman" w:hAnsi="Times New Roman" w:eastAsia="宋体" w:cs="Times New Roman"/>
      <w:szCs w:val="24"/>
    </w:rPr>
  </w:style>
  <w:style w:type="paragraph" w:customStyle="1" w:styleId="124">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125">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126">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127">
    <w:name w:val="样式 标题 1 + (符号) Arial 三号"/>
    <w:basedOn w:val="2"/>
    <w:qFormat/>
    <w:uiPriority w:val="0"/>
    <w:pPr>
      <w:snapToGrid w:val="0"/>
      <w:spacing w:before="0" w:after="0" w:line="360" w:lineRule="auto"/>
    </w:pPr>
    <w:rPr>
      <w:sz w:val="32"/>
    </w:rPr>
  </w:style>
  <w:style w:type="paragraph" w:customStyle="1" w:styleId="128">
    <w:name w:val="列出段落1"/>
    <w:basedOn w:val="1"/>
    <w:qFormat/>
    <w:uiPriority w:val="0"/>
    <w:pPr>
      <w:ind w:firstLine="420" w:firstLineChars="200"/>
    </w:pPr>
    <w:rPr>
      <w:rFonts w:ascii="Calibri" w:hAnsi="Calibri" w:eastAsia="宋体" w:cs="Times New Roman"/>
    </w:rPr>
  </w:style>
  <w:style w:type="paragraph" w:customStyle="1" w:styleId="12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130">
    <w:name w:val="Char Char"/>
    <w:basedOn w:val="1"/>
    <w:qFormat/>
    <w:uiPriority w:val="0"/>
    <w:rPr>
      <w:rFonts w:ascii="Tahoma" w:hAnsi="Tahoma" w:eastAsia="宋体" w:cs="Times New Roman"/>
      <w:sz w:val="24"/>
      <w:szCs w:val="20"/>
    </w:rPr>
  </w:style>
  <w:style w:type="paragraph" w:customStyle="1" w:styleId="1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132">
    <w:name w:val="_Style 5"/>
    <w:basedOn w:val="1"/>
    <w:next w:val="1"/>
    <w:qFormat/>
    <w:uiPriority w:val="0"/>
    <w:rPr>
      <w:rFonts w:ascii="Times New Roman" w:hAnsi="Times New Roman" w:eastAsia="宋体" w:cs="Times New Roman"/>
      <w:szCs w:val="20"/>
    </w:rPr>
  </w:style>
  <w:style w:type="paragraph" w:customStyle="1" w:styleId="133">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34">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13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3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37">
    <w:name w:val="0"/>
    <w:basedOn w:val="1"/>
    <w:qFormat/>
    <w:uiPriority w:val="0"/>
    <w:pPr>
      <w:widowControl/>
    </w:pPr>
    <w:rPr>
      <w:rFonts w:ascii="Times New Roman" w:hAnsi="Times New Roman" w:eastAsia="宋体" w:cs="Times New Roman"/>
      <w:kern w:val="0"/>
      <w:szCs w:val="20"/>
    </w:rPr>
  </w:style>
  <w:style w:type="paragraph" w:customStyle="1" w:styleId="138">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39">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140">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41">
    <w:name w:val="Char Char Char Char"/>
    <w:basedOn w:val="1"/>
    <w:qFormat/>
    <w:uiPriority w:val="0"/>
    <w:rPr>
      <w:rFonts w:ascii="仿宋_GB2312" w:hAnsi="Times New Roman" w:eastAsia="仿宋_GB2312" w:cs="Times New Roman"/>
      <w:b/>
      <w:sz w:val="32"/>
      <w:szCs w:val="32"/>
    </w:rPr>
  </w:style>
  <w:style w:type="paragraph" w:customStyle="1" w:styleId="142">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143">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144">
    <w:name w:val="样式3"/>
    <w:basedOn w:val="4"/>
    <w:qFormat/>
    <w:uiPriority w:val="0"/>
    <w:pPr>
      <w:keepNext/>
      <w:keepLines/>
      <w:spacing w:before="120" w:after="120" w:line="360" w:lineRule="auto"/>
    </w:pPr>
    <w:rPr>
      <w:rFonts w:eastAsia="宋体"/>
      <w:sz w:val="24"/>
      <w:szCs w:val="24"/>
    </w:rPr>
  </w:style>
  <w:style w:type="character" w:customStyle="1" w:styleId="145">
    <w:name w:val="正文文本首行缩进 2 字符"/>
    <w:basedOn w:val="111"/>
    <w:semiHidden/>
    <w:qFormat/>
    <w:uiPriority w:val="99"/>
  </w:style>
  <w:style w:type="character" w:customStyle="1" w:styleId="146">
    <w:name w:val="正文文本首行缩进 字符"/>
    <w:basedOn w:val="106"/>
    <w:semiHidden/>
    <w:uiPriority w:val="99"/>
  </w:style>
  <w:style w:type="paragraph" w:customStyle="1" w:styleId="147">
    <w:name w:val="List Paragraph"/>
    <w:basedOn w:val="1"/>
    <w:qFormat/>
    <w:uiPriority w:val="34"/>
    <w:pPr>
      <w:ind w:firstLine="420" w:firstLineChars="200"/>
    </w:pPr>
  </w:style>
  <w:style w:type="paragraph" w:customStyle="1" w:styleId="14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14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150">
    <w:name w:val="彩色列表 - 强调文字颜色 13"/>
    <w:basedOn w:val="1"/>
    <w:qFormat/>
    <w:uiPriority w:val="34"/>
    <w:pPr>
      <w:ind w:firstLine="420" w:firstLineChars="200"/>
    </w:pPr>
    <w:rPr>
      <w:rFonts w:ascii="Calibri" w:hAnsi="Calibri" w:eastAsia="宋体" w:cs="Times New Roman"/>
    </w:rPr>
  </w:style>
  <w:style w:type="paragraph" w:customStyle="1" w:styleId="151">
    <w:name w:val="Char Char80"/>
    <w:basedOn w:val="1"/>
    <w:qFormat/>
    <w:uiPriority w:val="0"/>
    <w:pPr>
      <w:adjustRightInd w:val="0"/>
      <w:spacing w:line="360" w:lineRule="auto"/>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60</Pages>
  <Words>5091</Words>
  <Characters>29023</Characters>
  <Lines>241</Lines>
  <Paragraphs>68</Paragraphs>
  <ScaleCrop>false</ScaleCrop>
  <LinksUpToDate>false</LinksUpToDate>
  <CharactersWithSpaces>34046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2018-08-13T05:37:00Z</dcterms:created>
  <dc:creator>张治</dc:creator>
  <cp:lastModifiedBy>贾思勰</cp:lastModifiedBy>
  <dcterms:modified xsi:type="dcterms:W3CDTF">2019-07-15T03:20:45Z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