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r>
        <w:rPr>
          <w:rFonts w:hint="eastAsia" w:ascii="黑体" w:hAnsi="黑体" w:eastAsia="黑体"/>
          <w:b/>
          <w:sz w:val="44"/>
          <w:szCs w:val="44"/>
          <w:highlight w:val="none"/>
        </w:rPr>
        <w:t>杭州萧山国际机场</w:t>
      </w:r>
    </w:p>
    <w:p>
      <w:pPr>
        <w:widowControl/>
        <w:autoSpaceDE w:val="0"/>
        <w:autoSpaceDN w:val="0"/>
        <w:jc w:val="center"/>
        <w:textAlignment w:val="bottom"/>
        <w:rPr>
          <w:rFonts w:ascii="黑体" w:hAnsi="黑体" w:eastAsia="黑体"/>
          <w:b/>
          <w:sz w:val="44"/>
          <w:szCs w:val="44"/>
          <w:highlight w:val="none"/>
        </w:rPr>
      </w:pPr>
      <w:r>
        <w:rPr>
          <w:rFonts w:hint="eastAsia" w:eastAsia="黑体" w:cs="Calibri"/>
          <w:b/>
          <w:sz w:val="44"/>
          <w:szCs w:val="44"/>
          <w:highlight w:val="none"/>
          <w:u w:val="single"/>
        </w:rPr>
        <w:t xml:space="preserve">台式爆炸物、毒品探测设备 </w:t>
      </w:r>
      <w:r>
        <w:rPr>
          <w:rFonts w:hint="eastAsia" w:eastAsia="黑体" w:cs="Calibri"/>
          <w:b/>
          <w:sz w:val="44"/>
          <w:szCs w:val="44"/>
          <w:highlight w:val="none"/>
        </w:rPr>
        <w:t>采购项目</w:t>
      </w: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b/>
          <w:sz w:val="44"/>
          <w:szCs w:val="44"/>
          <w:highlight w:val="none"/>
        </w:rPr>
      </w:pPr>
    </w:p>
    <w:p>
      <w:pPr>
        <w:widowControl/>
        <w:autoSpaceDE w:val="0"/>
        <w:autoSpaceDN w:val="0"/>
        <w:jc w:val="center"/>
        <w:textAlignment w:val="bottom"/>
        <w:rPr>
          <w:rFonts w:ascii="黑体" w:hAnsi="黑体" w:eastAsia="黑体"/>
          <w:sz w:val="84"/>
          <w:szCs w:val="84"/>
          <w:highlight w:val="none"/>
        </w:rPr>
      </w:pPr>
      <w:r>
        <w:rPr>
          <w:rFonts w:ascii="黑体" w:hAnsi="黑体" w:eastAsia="黑体"/>
          <w:b/>
          <w:sz w:val="84"/>
          <w:szCs w:val="84"/>
          <w:highlight w:val="none"/>
        </w:rPr>
        <w:t>招 标 文 件</w:t>
      </w:r>
    </w:p>
    <w:p>
      <w:pPr>
        <w:widowControl/>
        <w:autoSpaceDE w:val="0"/>
        <w:autoSpaceDN w:val="0"/>
        <w:snapToGrid w:val="0"/>
        <w:spacing w:line="560" w:lineRule="exact"/>
        <w:jc w:val="center"/>
        <w:textAlignment w:val="bottom"/>
        <w:rPr>
          <w:rFonts w:ascii="宋体" w:hAnsi="宋体"/>
          <w:b/>
          <w:sz w:val="32"/>
          <w:szCs w:val="32"/>
          <w:highlight w:val="none"/>
        </w:rPr>
      </w:pPr>
    </w:p>
    <w:p>
      <w:pPr>
        <w:widowControl/>
        <w:autoSpaceDE w:val="0"/>
        <w:autoSpaceDN w:val="0"/>
        <w:snapToGrid w:val="0"/>
        <w:spacing w:line="560" w:lineRule="exact"/>
        <w:jc w:val="center"/>
        <w:textAlignment w:val="bottom"/>
        <w:rPr>
          <w:rFonts w:ascii="宋体" w:hAnsi="宋体"/>
          <w:b/>
          <w:sz w:val="32"/>
          <w:szCs w:val="32"/>
          <w:highlight w:val="none"/>
        </w:rPr>
      </w:pPr>
    </w:p>
    <w:p>
      <w:pPr>
        <w:widowControl/>
        <w:autoSpaceDE w:val="0"/>
        <w:autoSpaceDN w:val="0"/>
        <w:snapToGrid w:val="0"/>
        <w:spacing w:line="560" w:lineRule="exact"/>
        <w:textAlignment w:val="bottom"/>
        <w:rPr>
          <w:rFonts w:ascii="宋体" w:hAnsi="宋体"/>
          <w:bCs/>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 xml:space="preserve">                </w:t>
      </w:r>
      <w:r>
        <w:rPr>
          <w:rFonts w:ascii="宋体" w:hAnsi="宋体"/>
          <w:b/>
          <w:sz w:val="32"/>
          <w:szCs w:val="32"/>
          <w:highlight w:val="none"/>
        </w:rPr>
        <w:t xml:space="preserve">      </w:t>
      </w:r>
      <w:r>
        <w:rPr>
          <w:rFonts w:hint="eastAsia" w:ascii="宋体" w:hAnsi="宋体"/>
          <w:b/>
          <w:sz w:val="32"/>
          <w:szCs w:val="32"/>
          <w:highlight w:val="none"/>
        </w:rPr>
        <w:t xml:space="preserve">    </w:t>
      </w:r>
    </w:p>
    <w:p>
      <w:pPr>
        <w:widowControl/>
        <w:autoSpaceDE w:val="0"/>
        <w:autoSpaceDN w:val="0"/>
        <w:snapToGrid w:val="0"/>
        <w:spacing w:line="560" w:lineRule="exact"/>
        <w:textAlignment w:val="bottom"/>
        <w:rPr>
          <w:rFonts w:ascii="宋体" w:hAnsi="宋体"/>
          <w:b/>
          <w:sz w:val="32"/>
          <w:szCs w:val="32"/>
          <w:highlight w:val="none"/>
        </w:rPr>
      </w:pPr>
      <w:r>
        <w:rPr>
          <w:rFonts w:ascii="宋体" w:hAnsi="宋体"/>
          <w:bCs/>
          <w:sz w:val="32"/>
          <w:szCs w:val="32"/>
          <w:highlight w:val="none"/>
        </w:rPr>
        <w:t xml:space="preserve">                 </w:t>
      </w:r>
      <w:r>
        <w:rPr>
          <w:rFonts w:hint="eastAsia" w:ascii="宋体" w:hAnsi="宋体"/>
          <w:bCs/>
          <w:sz w:val="32"/>
          <w:szCs w:val="32"/>
          <w:highlight w:val="none"/>
        </w:rPr>
        <w:t xml:space="preserve">            </w:t>
      </w: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snapToGrid w:val="0"/>
        <w:jc w:val="center"/>
        <w:rPr>
          <w:rFonts w:eastAsia="黑体" w:cs="Calibri"/>
          <w:sz w:val="32"/>
          <w:szCs w:val="32"/>
          <w:highlight w:val="none"/>
        </w:rPr>
      </w:pPr>
      <w:r>
        <w:rPr>
          <w:rFonts w:eastAsia="黑体" w:cs="Calibri"/>
          <w:sz w:val="32"/>
          <w:szCs w:val="32"/>
          <w:highlight w:val="none"/>
        </w:rPr>
        <w:t>杭州萧山国际机场有限公司</w:t>
      </w:r>
    </w:p>
    <w:p>
      <w:pPr>
        <w:rPr>
          <w:rFonts w:eastAsia="黑体" w:cs="Calibri"/>
          <w:sz w:val="32"/>
          <w:szCs w:val="32"/>
          <w:highlight w:val="none"/>
        </w:rPr>
      </w:pPr>
    </w:p>
    <w:p>
      <w:pPr>
        <w:pStyle w:val="31"/>
        <w:spacing w:line="480" w:lineRule="auto"/>
        <w:jc w:val="center"/>
        <w:rPr>
          <w:rFonts w:ascii="Calibri" w:hAnsi="Calibri" w:eastAsia="楷体_GB2312" w:cs="Calibri"/>
          <w:sz w:val="24"/>
          <w:szCs w:val="24"/>
          <w:highlight w:val="none"/>
          <w:u w:val="single"/>
        </w:rPr>
      </w:pPr>
      <w:r>
        <w:rPr>
          <w:rFonts w:hint="eastAsia" w:ascii="Calibri" w:hAnsi="Calibri" w:eastAsia="黑体" w:cs="Calibri"/>
          <w:sz w:val="32"/>
          <w:szCs w:val="32"/>
          <w:highlight w:val="none"/>
        </w:rPr>
        <w:t>二</w:t>
      </w:r>
      <w:r>
        <w:rPr>
          <w:rFonts w:hint="eastAsia" w:ascii="黑体" w:hAnsi="黑体" w:eastAsia="黑体" w:cs="Calibri"/>
          <w:sz w:val="32"/>
          <w:szCs w:val="32"/>
          <w:highlight w:val="none"/>
        </w:rPr>
        <w:t>Ο</w:t>
      </w:r>
      <w:r>
        <w:rPr>
          <w:rFonts w:hint="eastAsia" w:ascii="Calibri" w:hAnsi="Calibri" w:eastAsia="黑体" w:cs="Calibri"/>
          <w:sz w:val="32"/>
          <w:szCs w:val="32"/>
          <w:highlight w:val="none"/>
        </w:rPr>
        <w:t>一九年</w:t>
      </w:r>
      <w:r>
        <w:rPr>
          <w:rFonts w:hint="eastAsia" w:ascii="Calibri" w:hAnsi="Calibri" w:eastAsia="黑体" w:cs="Calibri"/>
          <w:sz w:val="32"/>
          <w:szCs w:val="32"/>
          <w:highlight w:val="none"/>
          <w:u w:val="single"/>
        </w:rPr>
        <w:t xml:space="preserve"> 四 </w:t>
      </w:r>
      <w:r>
        <w:rPr>
          <w:rFonts w:ascii="Calibri" w:hAnsi="Calibri" w:eastAsia="黑体" w:cs="Calibri"/>
          <w:sz w:val="32"/>
          <w:szCs w:val="32"/>
          <w:highlight w:val="none"/>
        </w:rPr>
        <w:t>月</w:t>
      </w:r>
    </w:p>
    <w:p>
      <w:pPr>
        <w:snapToGrid w:val="0"/>
        <w:spacing w:line="560" w:lineRule="exact"/>
        <w:jc w:val="center"/>
        <w:rPr>
          <w:rFonts w:ascii="宋体" w:hAnsi="宋体"/>
          <w:b/>
          <w:bCs/>
          <w:sz w:val="32"/>
          <w:szCs w:val="32"/>
          <w:highlight w:val="none"/>
        </w:rPr>
      </w:pPr>
    </w:p>
    <w:p>
      <w:pPr>
        <w:spacing w:line="560" w:lineRule="exact"/>
        <w:jc w:val="center"/>
        <w:rPr>
          <w:b/>
          <w:highlight w:val="none"/>
        </w:rPr>
      </w:pPr>
    </w:p>
    <w:p>
      <w:pPr>
        <w:spacing w:line="560" w:lineRule="exact"/>
        <w:jc w:val="center"/>
        <w:rPr>
          <w:b/>
          <w:bCs/>
          <w:sz w:val="44"/>
          <w:szCs w:val="44"/>
          <w:highlight w:val="none"/>
        </w:rPr>
      </w:pPr>
      <w:r>
        <w:rPr>
          <w:b/>
          <w:bCs/>
          <w:sz w:val="44"/>
          <w:szCs w:val="44"/>
          <w:highlight w:val="none"/>
        </w:rPr>
        <w:br w:type="page"/>
      </w:r>
      <w:r>
        <w:rPr>
          <w:rFonts w:hint="eastAsia"/>
          <w:b/>
          <w:bCs/>
          <w:sz w:val="44"/>
          <w:szCs w:val="44"/>
          <w:highlight w:val="none"/>
        </w:rPr>
        <w:t>目  录</w:t>
      </w:r>
    </w:p>
    <w:p>
      <w:pPr>
        <w:spacing w:line="560" w:lineRule="exact"/>
        <w:jc w:val="center"/>
        <w:rPr>
          <w:b/>
          <w:bCs/>
          <w:sz w:val="44"/>
          <w:szCs w:val="44"/>
          <w:highlight w:val="none"/>
        </w:rPr>
      </w:pPr>
    </w:p>
    <w:p>
      <w:pPr>
        <w:spacing w:line="560" w:lineRule="exact"/>
        <w:jc w:val="center"/>
        <w:rPr>
          <w:b/>
          <w:sz w:val="44"/>
          <w:szCs w:val="44"/>
          <w:highlight w:val="none"/>
        </w:rPr>
      </w:pP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b/>
          <w:sz w:val="22"/>
          <w:szCs w:val="22"/>
          <w:highlight w:val="none"/>
        </w:rPr>
        <w:fldChar w:fldCharType="begin"/>
      </w:r>
      <w:r>
        <w:rPr>
          <w:rFonts w:hint="eastAsia" w:ascii="黑体" w:hAnsi="黑体" w:eastAsia="黑体"/>
          <w:b/>
          <w:sz w:val="22"/>
          <w:szCs w:val="22"/>
          <w:highlight w:val="none"/>
        </w:rPr>
        <w:instrText xml:space="preserve"> TOC \o "1-1" \h \z \u </w:instrText>
      </w:r>
      <w:r>
        <w:rPr>
          <w:rFonts w:hint="eastAsia" w:ascii="黑体" w:hAnsi="黑体" w:eastAsia="黑体"/>
          <w:b/>
          <w:sz w:val="22"/>
          <w:szCs w:val="22"/>
          <w:highlight w:val="none"/>
        </w:rPr>
        <w:fldChar w:fldCharType="separate"/>
      </w:r>
      <w:r>
        <w:rPr>
          <w:rFonts w:hint="eastAsia" w:ascii="黑体" w:hAnsi="黑体" w:eastAsia="黑体"/>
          <w:sz w:val="22"/>
          <w:szCs w:val="22"/>
          <w:highlight w:val="none"/>
        </w:rPr>
        <w:t>第一章  招标公告</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_Toc321925451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- 2 -</w:t>
      </w:r>
      <w:r>
        <w:rPr>
          <w:rFonts w:hint="eastAsia" w:ascii="黑体" w:hAnsi="黑体" w:eastAsia="黑体"/>
          <w:sz w:val="22"/>
          <w:szCs w:val="22"/>
          <w:highlight w:val="none"/>
        </w:rPr>
        <w:fldChar w:fldCharType="end"/>
      </w: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第二章  投标人须知</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_Toc321925452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- 3 -</w:t>
      </w:r>
      <w:r>
        <w:rPr>
          <w:rFonts w:hint="eastAsia" w:ascii="黑体" w:hAnsi="黑体" w:eastAsia="黑体"/>
          <w:sz w:val="22"/>
          <w:szCs w:val="22"/>
          <w:highlight w:val="none"/>
        </w:rPr>
        <w:fldChar w:fldCharType="end"/>
      </w: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第三章  货物需求一览表及技术规格</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_Toc321925453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- 12 -</w:t>
      </w:r>
      <w:r>
        <w:rPr>
          <w:rFonts w:hint="eastAsia" w:ascii="黑体" w:hAnsi="黑体" w:eastAsia="黑体"/>
          <w:sz w:val="22"/>
          <w:szCs w:val="22"/>
          <w:highlight w:val="none"/>
        </w:rPr>
        <w:fldChar w:fldCharType="end"/>
      </w: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 xml:space="preserve">第四章  </w:t>
      </w:r>
      <w:r>
        <w:rPr>
          <w:rFonts w:ascii="黑体" w:hAnsi="黑体" w:eastAsia="黑体"/>
          <w:sz w:val="22"/>
          <w:szCs w:val="22"/>
          <w:highlight w:val="none"/>
        </w:rPr>
        <w:t>合同条款</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_Toc321925454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- 23 -</w:t>
      </w:r>
      <w:r>
        <w:rPr>
          <w:rFonts w:hint="eastAsia" w:ascii="黑体" w:hAnsi="黑体" w:eastAsia="黑体"/>
          <w:sz w:val="22"/>
          <w:szCs w:val="22"/>
          <w:highlight w:val="none"/>
        </w:rPr>
        <w:fldChar w:fldCharType="end"/>
      </w: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cs="Calibri"/>
          <w:kern w:val="0"/>
          <w:sz w:val="22"/>
          <w:szCs w:val="22"/>
          <w:highlight w:val="none"/>
        </w:rPr>
        <w:t>第五章  评标方法及标准</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_Toc321925456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- 29 -</w:t>
      </w:r>
      <w:r>
        <w:rPr>
          <w:rFonts w:hint="eastAsia" w:ascii="黑体" w:hAnsi="黑体" w:eastAsia="黑体"/>
          <w:sz w:val="22"/>
          <w:szCs w:val="22"/>
          <w:highlight w:val="none"/>
        </w:rPr>
        <w:fldChar w:fldCharType="end"/>
      </w:r>
    </w:p>
    <w:p>
      <w:pPr>
        <w:pStyle w:val="39"/>
        <w:tabs>
          <w:tab w:val="right" w:leader="dot" w:pos="8290"/>
        </w:tabs>
        <w:spacing w:line="480" w:lineRule="auto"/>
        <w:rPr>
          <w:rFonts w:ascii="黑体" w:hAnsi="黑体" w:eastAsia="黑体" w:cstheme="minorBidi"/>
          <w:sz w:val="22"/>
          <w:szCs w:val="22"/>
          <w:highlight w:val="none"/>
        </w:rPr>
      </w:pPr>
      <w:r>
        <w:rPr>
          <w:rFonts w:hint="eastAsia" w:ascii="黑体" w:hAnsi="黑体" w:eastAsia="黑体"/>
          <w:sz w:val="22"/>
          <w:szCs w:val="22"/>
          <w:highlight w:val="none"/>
        </w:rPr>
        <w:t>第六章  投标文件格式</w:t>
      </w:r>
      <w:r>
        <w:rPr>
          <w:rFonts w:hint="eastAsia" w:ascii="黑体" w:hAnsi="黑体" w:eastAsia="黑体"/>
          <w:sz w:val="22"/>
          <w:szCs w:val="22"/>
          <w:highlight w:val="none"/>
        </w:rPr>
        <w:tab/>
      </w:r>
      <w:r>
        <w:rPr>
          <w:rFonts w:hint="eastAsia" w:ascii="黑体" w:hAnsi="黑体" w:eastAsia="黑体"/>
          <w:sz w:val="22"/>
          <w:szCs w:val="22"/>
          <w:highlight w:val="none"/>
        </w:rPr>
        <w:fldChar w:fldCharType="begin"/>
      </w:r>
      <w:r>
        <w:rPr>
          <w:rFonts w:hint="eastAsia" w:ascii="黑体" w:hAnsi="黑体" w:eastAsia="黑体"/>
          <w:sz w:val="22"/>
          <w:szCs w:val="22"/>
          <w:highlight w:val="none"/>
        </w:rPr>
        <w:instrText xml:space="preserve"> PAGEREF _Toc321925457 \h </w:instrText>
      </w:r>
      <w:r>
        <w:rPr>
          <w:rFonts w:hint="eastAsia" w:ascii="黑体" w:hAnsi="黑体" w:eastAsia="黑体"/>
          <w:sz w:val="22"/>
          <w:szCs w:val="22"/>
          <w:highlight w:val="none"/>
        </w:rPr>
        <w:fldChar w:fldCharType="separate"/>
      </w:r>
      <w:r>
        <w:rPr>
          <w:rFonts w:ascii="黑体" w:hAnsi="黑体" w:eastAsia="黑体"/>
          <w:sz w:val="22"/>
          <w:szCs w:val="22"/>
          <w:highlight w:val="none"/>
        </w:rPr>
        <w:t>- 32 -</w:t>
      </w:r>
      <w:r>
        <w:rPr>
          <w:rFonts w:hint="eastAsia" w:ascii="黑体" w:hAnsi="黑体" w:eastAsia="黑体"/>
          <w:sz w:val="22"/>
          <w:szCs w:val="22"/>
          <w:highlight w:val="none"/>
        </w:rPr>
        <w:fldChar w:fldCharType="end"/>
      </w:r>
    </w:p>
    <w:p>
      <w:pPr>
        <w:tabs>
          <w:tab w:val="right" w:leader="dot" w:pos="8364"/>
        </w:tabs>
        <w:spacing w:line="480" w:lineRule="auto"/>
        <w:rPr>
          <w:b/>
          <w:highlight w:val="none"/>
        </w:rPr>
      </w:pPr>
      <w:r>
        <w:rPr>
          <w:rFonts w:hint="eastAsia" w:ascii="黑体" w:hAnsi="黑体" w:eastAsia="黑体"/>
          <w:b/>
          <w:sz w:val="22"/>
          <w:szCs w:val="22"/>
          <w:highlight w:val="none"/>
        </w:rPr>
        <w:fldChar w:fldCharType="end"/>
      </w:r>
    </w:p>
    <w:p>
      <w:pPr>
        <w:spacing w:line="560" w:lineRule="exact"/>
        <w:rPr>
          <w:b/>
          <w:highlight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highlight w:val="none"/>
        </w:rPr>
        <w:t xml:space="preserve">                                                          </w:t>
      </w:r>
    </w:p>
    <w:p>
      <w:pPr>
        <w:pStyle w:val="51"/>
        <w:rPr>
          <w:highlight w:val="none"/>
        </w:rPr>
      </w:pPr>
      <w:bookmarkStart w:id="0" w:name="_Toc321925451"/>
      <w:r>
        <w:rPr>
          <w:rFonts w:hint="eastAsia"/>
          <w:highlight w:val="none"/>
        </w:rPr>
        <w:t>第一章 招标公告</w:t>
      </w:r>
      <w:bookmarkEnd w:id="0"/>
    </w:p>
    <w:p>
      <w:pPr>
        <w:widowControl/>
        <w:snapToGrid w:val="0"/>
        <w:spacing w:line="360" w:lineRule="exact"/>
        <w:jc w:val="left"/>
        <w:rPr>
          <w:rFonts w:cs="Arial" w:asciiTheme="minorEastAsia" w:hAnsiTheme="minorEastAsia"/>
          <w:kern w:val="0"/>
          <w:sz w:val="22"/>
          <w:szCs w:val="22"/>
          <w:highlight w:val="none"/>
        </w:rPr>
      </w:pPr>
      <w:r>
        <w:rPr>
          <w:rFonts w:hint="eastAsia" w:cs="Arial" w:asciiTheme="minorEastAsia" w:hAnsiTheme="minorEastAsia"/>
          <w:b/>
          <w:bCs/>
          <w:kern w:val="0"/>
          <w:sz w:val="22"/>
          <w:szCs w:val="22"/>
          <w:highlight w:val="none"/>
        </w:rPr>
        <w:t>一、招标内容</w:t>
      </w:r>
    </w:p>
    <w:p>
      <w:pPr>
        <w:widowControl/>
        <w:adjustRightInd w:val="0"/>
        <w:snapToGrid w:val="0"/>
        <w:spacing w:line="36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杭州萧山国际机场有限公司就</w:t>
      </w:r>
      <w:r>
        <w:rPr>
          <w:rFonts w:cs="Arial" w:asciiTheme="minorEastAsia" w:hAnsiTheme="minorEastAsia"/>
          <w:kern w:val="0"/>
          <w:sz w:val="22"/>
          <w:szCs w:val="22"/>
          <w:highlight w:val="none"/>
        </w:rPr>
        <w:t>杭州萧山国际机场</w:t>
      </w:r>
      <w:r>
        <w:rPr>
          <w:rFonts w:hint="eastAsia" w:cs="Arial" w:asciiTheme="minorEastAsia" w:hAnsiTheme="minorEastAsia"/>
          <w:kern w:val="0"/>
          <w:sz w:val="22"/>
          <w:szCs w:val="22"/>
          <w:highlight w:val="none"/>
        </w:rPr>
        <w:t>台式爆炸物、毒品探测设备</w:t>
      </w:r>
      <w:r>
        <w:rPr>
          <w:rFonts w:cs="Arial" w:asciiTheme="minorEastAsia" w:hAnsiTheme="minorEastAsia"/>
          <w:kern w:val="0"/>
          <w:sz w:val="22"/>
          <w:szCs w:val="22"/>
          <w:highlight w:val="none"/>
        </w:rPr>
        <w:t>采购项</w:t>
      </w:r>
      <w:r>
        <w:rPr>
          <w:rFonts w:hint="eastAsia" w:cs="Arial" w:asciiTheme="minorEastAsia" w:hAnsiTheme="minorEastAsia"/>
          <w:kern w:val="0"/>
          <w:sz w:val="22"/>
          <w:szCs w:val="22"/>
          <w:highlight w:val="none"/>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货物名称</w:t>
            </w:r>
          </w:p>
        </w:tc>
        <w:tc>
          <w:tcPr>
            <w:tcW w:w="992"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数 量</w:t>
            </w:r>
          </w:p>
        </w:tc>
        <w:tc>
          <w:tcPr>
            <w:tcW w:w="2078"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主要技术规格</w:t>
            </w:r>
          </w:p>
        </w:tc>
        <w:tc>
          <w:tcPr>
            <w:tcW w:w="2442"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供货期</w:t>
            </w:r>
          </w:p>
        </w:tc>
        <w:tc>
          <w:tcPr>
            <w:tcW w:w="1340" w:type="dxa"/>
            <w:vAlign w:val="center"/>
          </w:tcPr>
          <w:p>
            <w:pPr>
              <w:adjustRightInd w:val="0"/>
              <w:snapToGrid w:val="0"/>
              <w:jc w:val="center"/>
              <w:rPr>
                <w:rFonts w:asciiTheme="minorEastAsia" w:hAnsiTheme="minorEastAsia"/>
                <w:caps/>
                <w:sz w:val="22"/>
                <w:szCs w:val="22"/>
                <w:highlight w:val="none"/>
              </w:rPr>
            </w:pPr>
            <w:r>
              <w:rPr>
                <w:rFonts w:asciiTheme="minorEastAsia" w:hAnsiTheme="minorEastAsia"/>
                <w:caps/>
                <w:sz w:val="22"/>
                <w:szCs w:val="22"/>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台式爆炸物、</w:t>
            </w:r>
          </w:p>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毒品探测设备</w:t>
            </w:r>
          </w:p>
        </w:tc>
        <w:tc>
          <w:tcPr>
            <w:tcW w:w="992" w:type="dxa"/>
            <w:vAlign w:val="center"/>
          </w:tcPr>
          <w:p>
            <w:pPr>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6</w:t>
            </w:r>
          </w:p>
        </w:tc>
        <w:tc>
          <w:tcPr>
            <w:tcW w:w="2078" w:type="dxa"/>
            <w:vAlign w:val="center"/>
          </w:tcPr>
          <w:p>
            <w:pPr>
              <w:pStyle w:val="13"/>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详见第三章</w:t>
            </w:r>
          </w:p>
        </w:tc>
        <w:tc>
          <w:tcPr>
            <w:tcW w:w="2442" w:type="dxa"/>
            <w:vAlign w:val="center"/>
          </w:tcPr>
          <w:p>
            <w:pPr>
              <w:adjustRightInd w:val="0"/>
              <w:snapToGrid w:val="0"/>
              <w:jc w:val="center"/>
              <w:rPr>
                <w:rFonts w:asciiTheme="minorEastAsia" w:hAnsiTheme="minorEastAsia"/>
                <w:sz w:val="22"/>
                <w:szCs w:val="22"/>
                <w:highlight w:val="none"/>
              </w:rPr>
            </w:pPr>
            <w:r>
              <w:rPr>
                <w:rFonts w:hint="eastAsia" w:asciiTheme="minorEastAsia" w:hAnsiTheme="minorEastAsia"/>
                <w:sz w:val="22"/>
                <w:szCs w:val="22"/>
                <w:highlight w:val="none"/>
              </w:rPr>
              <w:t>合同签订后</w:t>
            </w:r>
            <w:r>
              <w:rPr>
                <w:rFonts w:hint="eastAsia" w:asciiTheme="minorEastAsia" w:hAnsiTheme="minorEastAsia"/>
                <w:sz w:val="22"/>
                <w:szCs w:val="22"/>
                <w:highlight w:val="none"/>
                <w:u w:val="single"/>
              </w:rPr>
              <w:t>30日历</w:t>
            </w:r>
            <w:r>
              <w:rPr>
                <w:rFonts w:hint="eastAsia" w:asciiTheme="minorEastAsia" w:hAnsiTheme="minorEastAsia"/>
                <w:sz w:val="22"/>
                <w:szCs w:val="22"/>
                <w:highlight w:val="none"/>
              </w:rPr>
              <w:t>天</w:t>
            </w:r>
          </w:p>
        </w:tc>
        <w:tc>
          <w:tcPr>
            <w:tcW w:w="1340" w:type="dxa"/>
            <w:vAlign w:val="center"/>
          </w:tcPr>
          <w:p>
            <w:pPr>
              <w:adjustRightInd w:val="0"/>
              <w:snapToGrid w:val="0"/>
              <w:jc w:val="center"/>
              <w:rPr>
                <w:rFonts w:asciiTheme="minorEastAsia" w:hAnsiTheme="minorEastAsia"/>
                <w:sz w:val="22"/>
                <w:szCs w:val="22"/>
                <w:highlight w:val="none"/>
              </w:rPr>
            </w:pPr>
            <w:r>
              <w:rPr>
                <w:rFonts w:asciiTheme="minorEastAsia" w:hAnsiTheme="minorEastAsia"/>
                <w:sz w:val="22"/>
                <w:szCs w:val="22"/>
                <w:highlight w:val="none"/>
              </w:rPr>
              <w:t>杭州萧山国际机场</w:t>
            </w:r>
          </w:p>
        </w:tc>
      </w:tr>
    </w:tbl>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二、投标人资格要求</w:t>
      </w:r>
      <w:r>
        <w:rPr>
          <w:rFonts w:cs="Arial" w:asciiTheme="minorEastAsia" w:hAnsiTheme="minorEastAsia"/>
          <w:b/>
          <w:bCs/>
          <w:kern w:val="0"/>
          <w:sz w:val="22"/>
          <w:szCs w:val="22"/>
          <w:highlight w:val="none"/>
        </w:rPr>
        <w:t> </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1、具有独立法人资格的制造商或代理商，注册资金不少于人民币500万元或等值外币(按投标截止日中国人民银行公布的汇率中间价换算)，需提供营业执照复印件并加盖投标人公章作为证明材料，原件备查。</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tabs>
          <w:tab w:val="left" w:pos="4110"/>
        </w:tabs>
        <w:adjustRightInd w:val="0"/>
        <w:snapToGrid w:val="0"/>
        <w:ind w:firstLine="480" w:firstLineChars="200"/>
        <w:rPr>
          <w:rFonts w:ascii="宋体" w:hAnsi="宋体" w:cs="宋体"/>
          <w:kern w:val="0"/>
          <w:highlight w:val="none"/>
        </w:rPr>
      </w:pPr>
      <w:r>
        <w:rPr>
          <w:rFonts w:hint="eastAsia" w:ascii="宋体" w:hAnsi="宋体" w:cs="宋体"/>
          <w:kern w:val="0"/>
          <w:highlight w:val="none"/>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80" w:firstLineChars="200"/>
        <w:rPr>
          <w:rFonts w:cs="Arial" w:asciiTheme="minorEastAsia" w:hAnsiTheme="minorEastAsia"/>
          <w:kern w:val="0"/>
          <w:sz w:val="22"/>
          <w:szCs w:val="22"/>
          <w:highlight w:val="none"/>
        </w:rPr>
      </w:pPr>
      <w:r>
        <w:rPr>
          <w:rFonts w:hint="eastAsia" w:ascii="宋体" w:hAnsi="宋体" w:cs="宋体"/>
          <w:kern w:val="0"/>
          <w:highlight w:val="none"/>
        </w:rPr>
        <w:t>4、具有一般纳税人资格，可提供税率为13%的增值税专用发票（需提供税务机关出具的一般纳税人资格认定相关证明材料复印件并加盖投标人公章作为证明材料，原件备查）。</w:t>
      </w:r>
    </w:p>
    <w:p>
      <w:pPr>
        <w:tabs>
          <w:tab w:val="left" w:pos="4110"/>
        </w:tabs>
        <w:adjustRightInd w:val="0"/>
        <w:snapToGrid w:val="0"/>
        <w:ind w:firstLine="480" w:firstLineChars="200"/>
        <w:rPr>
          <w:rFonts w:ascii="宋体" w:hAnsi="宋体" w:cs="宋体"/>
          <w:kern w:val="0"/>
          <w:highlight w:val="none"/>
        </w:rPr>
      </w:pPr>
      <w:r>
        <w:rPr>
          <w:rFonts w:ascii="宋体" w:hAnsi="宋体" w:cs="宋体"/>
          <w:kern w:val="0"/>
          <w:highlight w:val="none"/>
        </w:rPr>
        <w:t>5、</w:t>
      </w:r>
      <w:r>
        <w:rPr>
          <w:rFonts w:hint="eastAsia" w:ascii="宋体" w:hAnsi="宋体" w:cs="宋体"/>
          <w:kern w:val="0"/>
          <w:highlight w:val="none"/>
        </w:rPr>
        <w:t>投标人提供的设备应取得中国民用航空局颁发的使用许可证且在有效期内。需提供使用许可证明材料复印件并加盖投标人公章作为证明材料</w:t>
      </w:r>
    </w:p>
    <w:p>
      <w:pPr>
        <w:widowControl/>
        <w:adjustRightInd w:val="0"/>
        <w:snapToGrid w:val="0"/>
        <w:spacing w:line="340" w:lineRule="exact"/>
        <w:ind w:firstLine="480" w:firstLineChars="200"/>
        <w:rPr>
          <w:rFonts w:cs="Arial" w:asciiTheme="minorEastAsia" w:hAnsiTheme="minorEastAsia"/>
          <w:kern w:val="0"/>
          <w:sz w:val="22"/>
          <w:szCs w:val="22"/>
          <w:highlight w:val="none"/>
        </w:rPr>
      </w:pPr>
      <w:r>
        <w:rPr>
          <w:rFonts w:ascii="宋体" w:hAnsi="宋体" w:cs="宋体"/>
          <w:kern w:val="0"/>
          <w:highlight w:val="none"/>
        </w:rPr>
        <w:t>6、本项目不接受联合</w:t>
      </w:r>
      <w:r>
        <w:rPr>
          <w:rFonts w:hint="eastAsia" w:ascii="宋体" w:hAnsi="宋体" w:cs="宋体"/>
          <w:kern w:val="0"/>
          <w:highlight w:val="none"/>
        </w:rPr>
        <w:t>体</w:t>
      </w:r>
      <w:r>
        <w:rPr>
          <w:rFonts w:ascii="宋体" w:hAnsi="宋体" w:cs="宋体"/>
          <w:kern w:val="0"/>
          <w:highlight w:val="none"/>
        </w:rPr>
        <w:t>投标</w:t>
      </w:r>
      <w:r>
        <w:rPr>
          <w:rFonts w:hint="eastAsia" w:cs="Arial" w:asciiTheme="minorEastAsia" w:hAnsiTheme="minorEastAsia"/>
          <w:kern w:val="0"/>
          <w:sz w:val="22"/>
          <w:szCs w:val="22"/>
          <w:highlight w:val="none"/>
        </w:rPr>
        <w:t>。</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凡符合资格条件并有投标意向的潜在投标人，请通过杭州萧山机场有限公司主页</w:t>
      </w:r>
      <w:r>
        <w:rPr>
          <w:highlight w:val="none"/>
        </w:rPr>
        <w:fldChar w:fldCharType="begin"/>
      </w:r>
      <w:r>
        <w:rPr>
          <w:highlight w:val="none"/>
        </w:rPr>
        <w:instrText xml:space="preserve"> HYPERLINK "http://www.hzairport.com/zbxx.aspx" </w:instrText>
      </w:r>
      <w:r>
        <w:rPr>
          <w:highlight w:val="none"/>
        </w:rPr>
        <w:fldChar w:fldCharType="separate"/>
      </w:r>
      <w:r>
        <w:rPr>
          <w:rFonts w:cs="Arial" w:asciiTheme="minorEastAsia" w:hAnsiTheme="minorEastAsia"/>
          <w:kern w:val="0"/>
          <w:sz w:val="22"/>
          <w:szCs w:val="22"/>
          <w:highlight w:val="none"/>
        </w:rPr>
        <w:t>http://www.hzairport.com/zbxx.aspx</w:t>
      </w:r>
      <w:r>
        <w:rPr>
          <w:rFonts w:cs="Arial" w:asciiTheme="minorEastAsia" w:hAnsiTheme="minorEastAsia"/>
          <w:kern w:val="0"/>
          <w:sz w:val="22"/>
          <w:szCs w:val="22"/>
          <w:highlight w:val="none"/>
        </w:rPr>
        <w:fldChar w:fldCharType="end"/>
      </w:r>
      <w:r>
        <w:rPr>
          <w:rFonts w:hint="eastAsia" w:cs="Arial" w:asciiTheme="minorEastAsia" w:hAnsiTheme="minorEastAsia"/>
          <w:kern w:val="0"/>
          <w:sz w:val="22"/>
          <w:szCs w:val="22"/>
          <w:highlight w:val="none"/>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招标文件下载</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（1）</w:t>
      </w:r>
      <w:r>
        <w:rPr>
          <w:rFonts w:hint="eastAsia" w:ascii="宋体" w:hAnsi="宋体" w:cs="Arial"/>
          <w:kern w:val="0"/>
          <w:sz w:val="22"/>
          <w:highlight w:val="none"/>
        </w:rPr>
        <w:t>投标文件递交截止时间</w:t>
      </w:r>
      <w:r>
        <w:rPr>
          <w:rFonts w:hint="eastAsia" w:ascii="宋体" w:hAnsi="宋体" w:cs="Arial"/>
          <w:kern w:val="0"/>
          <w:sz w:val="22"/>
          <w:highlight w:val="none"/>
          <w:lang w:eastAsia="zh-CN"/>
        </w:rPr>
        <w:t>：</w:t>
      </w:r>
      <w:r>
        <w:rPr>
          <w:rFonts w:hint="eastAsia" w:ascii="宋体" w:hAnsi="宋体" w:cs="Arial"/>
          <w:kern w:val="0"/>
          <w:sz w:val="22"/>
          <w:highlight w:val="none"/>
          <w:lang w:val="en-US" w:eastAsia="zh-CN"/>
        </w:rPr>
        <w:t>2019</w:t>
      </w:r>
      <w:r>
        <w:rPr>
          <w:rFonts w:hint="eastAsia" w:ascii="宋体" w:hAnsi="宋体" w:cs="Arial"/>
          <w:kern w:val="0"/>
          <w:sz w:val="22"/>
          <w:highlight w:val="none"/>
        </w:rPr>
        <w:t>年</w:t>
      </w:r>
      <w:r>
        <w:rPr>
          <w:rFonts w:hint="eastAsia" w:ascii="宋体" w:hAnsi="宋体" w:cs="Arial"/>
          <w:kern w:val="0"/>
          <w:sz w:val="22"/>
          <w:highlight w:val="none"/>
          <w:lang w:val="en-US" w:eastAsia="zh-CN"/>
        </w:rPr>
        <w:t>8</w:t>
      </w:r>
      <w:r>
        <w:rPr>
          <w:rFonts w:hint="eastAsia" w:ascii="宋体" w:hAnsi="宋体" w:cs="Arial"/>
          <w:kern w:val="0"/>
          <w:sz w:val="22"/>
          <w:highlight w:val="none"/>
        </w:rPr>
        <w:t>月</w:t>
      </w:r>
      <w:r>
        <w:rPr>
          <w:rFonts w:hint="eastAsia" w:ascii="宋体" w:hAnsi="宋体" w:cs="Arial"/>
          <w:kern w:val="0"/>
          <w:sz w:val="22"/>
          <w:highlight w:val="none"/>
          <w:lang w:val="en-US" w:eastAsia="zh-CN"/>
        </w:rPr>
        <w:t>6</w:t>
      </w:r>
      <w:r>
        <w:rPr>
          <w:rFonts w:hint="eastAsia" w:ascii="宋体" w:hAnsi="宋体" w:cs="Arial"/>
          <w:kern w:val="0"/>
          <w:sz w:val="22"/>
          <w:highlight w:val="none"/>
        </w:rPr>
        <w:t>日</w:t>
      </w:r>
      <w:r>
        <w:rPr>
          <w:rFonts w:hint="eastAsia" w:ascii="宋体" w:hAnsi="宋体" w:cs="Arial"/>
          <w:kern w:val="0"/>
          <w:sz w:val="22"/>
          <w:highlight w:val="none"/>
          <w:lang w:eastAsia="zh-CN"/>
        </w:rPr>
        <w:t>下午</w:t>
      </w:r>
      <w:r>
        <w:rPr>
          <w:rFonts w:hint="eastAsia" w:ascii="宋体" w:hAnsi="宋体" w:cs="Arial"/>
          <w:kern w:val="0"/>
          <w:sz w:val="22"/>
          <w:highlight w:val="none"/>
          <w:lang w:val="en-US" w:eastAsia="zh-CN"/>
        </w:rPr>
        <w:t>14</w:t>
      </w:r>
      <w:r>
        <w:rPr>
          <w:rFonts w:hint="eastAsia" w:ascii="宋体" w:hAnsi="宋体" w:cs="Arial"/>
          <w:kern w:val="0"/>
          <w:sz w:val="22"/>
          <w:highlight w:val="none"/>
        </w:rPr>
        <w:t>时00分（北京时间）。投标文件在封口处加盖公章，并派专人于</w:t>
      </w:r>
      <w:r>
        <w:rPr>
          <w:rFonts w:hint="eastAsia" w:ascii="宋体" w:hAnsi="宋体" w:cs="Arial"/>
          <w:kern w:val="0"/>
          <w:sz w:val="22"/>
          <w:highlight w:val="none"/>
          <w:lang w:val="en-US" w:eastAsia="zh-CN"/>
        </w:rPr>
        <w:t>2019</w:t>
      </w:r>
      <w:r>
        <w:rPr>
          <w:rFonts w:hint="eastAsia" w:ascii="宋体" w:hAnsi="宋体" w:cs="Arial"/>
          <w:kern w:val="0"/>
          <w:sz w:val="22"/>
          <w:highlight w:val="none"/>
        </w:rPr>
        <w:t>年</w:t>
      </w:r>
      <w:r>
        <w:rPr>
          <w:rFonts w:hint="eastAsia" w:ascii="宋体" w:hAnsi="宋体" w:cs="Arial"/>
          <w:kern w:val="0"/>
          <w:sz w:val="22"/>
          <w:highlight w:val="none"/>
          <w:lang w:val="en-US" w:eastAsia="zh-CN"/>
        </w:rPr>
        <w:t>8</w:t>
      </w:r>
      <w:r>
        <w:rPr>
          <w:rFonts w:hint="eastAsia" w:ascii="宋体" w:hAnsi="宋体" w:cs="Arial"/>
          <w:kern w:val="0"/>
          <w:sz w:val="22"/>
          <w:highlight w:val="none"/>
        </w:rPr>
        <w:t>月</w:t>
      </w:r>
      <w:r>
        <w:rPr>
          <w:rFonts w:hint="eastAsia" w:ascii="宋体" w:hAnsi="宋体" w:cs="Arial"/>
          <w:kern w:val="0"/>
          <w:sz w:val="22"/>
          <w:highlight w:val="none"/>
          <w:lang w:val="en-US" w:eastAsia="zh-CN"/>
        </w:rPr>
        <w:t>6</w:t>
      </w:r>
      <w:r>
        <w:rPr>
          <w:rFonts w:hint="eastAsia" w:ascii="宋体" w:hAnsi="宋体" w:cs="Arial"/>
          <w:kern w:val="0"/>
          <w:sz w:val="22"/>
          <w:highlight w:val="none"/>
        </w:rPr>
        <w:t>日</w:t>
      </w:r>
      <w:r>
        <w:rPr>
          <w:rFonts w:hint="eastAsia" w:ascii="宋体" w:hAnsi="宋体" w:cs="Arial"/>
          <w:kern w:val="0"/>
          <w:sz w:val="22"/>
          <w:highlight w:val="none"/>
          <w:lang w:eastAsia="zh-CN"/>
        </w:rPr>
        <w:t>下午</w:t>
      </w:r>
      <w:r>
        <w:rPr>
          <w:rFonts w:hint="eastAsia" w:ascii="宋体" w:hAnsi="宋体" w:cs="Arial"/>
          <w:kern w:val="0"/>
          <w:sz w:val="22"/>
          <w:highlight w:val="none"/>
          <w:lang w:val="en-US" w:eastAsia="zh-CN"/>
        </w:rPr>
        <w:t>14</w:t>
      </w:r>
      <w:r>
        <w:rPr>
          <w:rFonts w:hint="eastAsia" w:ascii="宋体" w:hAnsi="宋体" w:cs="Arial"/>
          <w:kern w:val="0"/>
          <w:sz w:val="22"/>
          <w:highlight w:val="none"/>
        </w:rPr>
        <w:t>时00分（北京时间）</w:t>
      </w:r>
      <w:r>
        <w:rPr>
          <w:rFonts w:hint="eastAsia" w:ascii="宋体" w:hAnsi="宋体" w:cs="Arial"/>
          <w:kern w:val="0"/>
          <w:sz w:val="22"/>
          <w:highlight w:val="none"/>
        </w:rPr>
        <w:t>前送至杭州萧山国际机场翔越路综合服务楼园区招标中心，逾期无效；若采用投递方式的，请于</w:t>
      </w:r>
      <w:r>
        <w:rPr>
          <w:rFonts w:hint="eastAsia" w:ascii="宋体" w:hAnsi="宋体" w:cs="Arial"/>
          <w:kern w:val="0"/>
          <w:sz w:val="22"/>
          <w:highlight w:val="none"/>
          <w:lang w:val="en-US" w:eastAsia="zh-CN"/>
        </w:rPr>
        <w:t>2019</w:t>
      </w:r>
      <w:r>
        <w:rPr>
          <w:rFonts w:hint="eastAsia" w:ascii="宋体" w:hAnsi="宋体" w:cs="Arial"/>
          <w:kern w:val="0"/>
          <w:sz w:val="22"/>
          <w:highlight w:val="none"/>
        </w:rPr>
        <w:t>年</w:t>
      </w:r>
      <w:r>
        <w:rPr>
          <w:rFonts w:hint="eastAsia" w:ascii="宋体" w:hAnsi="宋体" w:cs="Arial"/>
          <w:kern w:val="0"/>
          <w:sz w:val="22"/>
          <w:highlight w:val="none"/>
          <w:lang w:val="en-US" w:eastAsia="zh-CN"/>
        </w:rPr>
        <w:t>8</w:t>
      </w:r>
      <w:r>
        <w:rPr>
          <w:rFonts w:hint="eastAsia" w:ascii="宋体" w:hAnsi="宋体" w:cs="Arial"/>
          <w:kern w:val="0"/>
          <w:sz w:val="22"/>
          <w:highlight w:val="none"/>
        </w:rPr>
        <w:t>月</w:t>
      </w:r>
      <w:r>
        <w:rPr>
          <w:rFonts w:hint="eastAsia" w:ascii="宋体" w:hAnsi="宋体" w:cs="Arial"/>
          <w:kern w:val="0"/>
          <w:sz w:val="22"/>
          <w:highlight w:val="none"/>
          <w:lang w:val="en-US" w:eastAsia="zh-CN"/>
        </w:rPr>
        <w:t>6</w:t>
      </w:r>
      <w:r>
        <w:rPr>
          <w:rFonts w:hint="eastAsia" w:ascii="宋体" w:hAnsi="宋体" w:cs="Arial"/>
          <w:kern w:val="0"/>
          <w:sz w:val="22"/>
          <w:highlight w:val="none"/>
        </w:rPr>
        <w:t>日</w:t>
      </w:r>
      <w:r>
        <w:rPr>
          <w:rFonts w:hint="eastAsia" w:ascii="宋体" w:hAnsi="宋体" w:cs="Arial"/>
          <w:kern w:val="0"/>
          <w:sz w:val="22"/>
          <w:highlight w:val="none"/>
          <w:lang w:eastAsia="zh-CN"/>
        </w:rPr>
        <w:t>下午</w:t>
      </w:r>
      <w:r>
        <w:rPr>
          <w:rFonts w:hint="eastAsia" w:ascii="宋体" w:hAnsi="宋体" w:cs="Arial"/>
          <w:kern w:val="0"/>
          <w:sz w:val="22"/>
          <w:highlight w:val="none"/>
          <w:lang w:val="en-US" w:eastAsia="zh-CN"/>
        </w:rPr>
        <w:t>14</w:t>
      </w:r>
      <w:r>
        <w:rPr>
          <w:rFonts w:hint="eastAsia" w:ascii="宋体" w:hAnsi="宋体" w:cs="Arial"/>
          <w:kern w:val="0"/>
          <w:sz w:val="22"/>
          <w:highlight w:val="none"/>
        </w:rPr>
        <w:t>时00分（北京时间）</w:t>
      </w:r>
      <w:r>
        <w:rPr>
          <w:rFonts w:hint="eastAsia" w:ascii="宋体" w:hAnsi="宋体" w:cs="Arial"/>
          <w:kern w:val="0"/>
          <w:sz w:val="22"/>
          <w:highlight w:val="none"/>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（2）</w:t>
      </w:r>
      <w:r>
        <w:rPr>
          <w:rFonts w:hint="eastAsia" w:asciiTheme="minorEastAsia" w:hAnsiTheme="minorEastAsia"/>
          <w:sz w:val="22"/>
          <w:szCs w:val="22"/>
          <w:highlight w:val="none"/>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本次招标公告在</w:t>
      </w:r>
      <w:r>
        <w:rPr>
          <w:rFonts w:hint="eastAsia" w:cs="Arial" w:asciiTheme="minorEastAsia" w:hAnsiTheme="minorEastAsia"/>
          <w:b/>
          <w:kern w:val="0"/>
          <w:sz w:val="22"/>
          <w:szCs w:val="22"/>
          <w:highlight w:val="none"/>
        </w:rPr>
        <w:t>中国采购与招标网和杭州萧山机场有限公司</w:t>
      </w:r>
      <w:r>
        <w:rPr>
          <w:rFonts w:hint="eastAsia" w:cs="Arial" w:asciiTheme="minorEastAsia" w:hAnsiTheme="minorEastAsia"/>
          <w:kern w:val="0"/>
          <w:sz w:val="22"/>
          <w:szCs w:val="22"/>
          <w:highlight w:val="none"/>
        </w:rPr>
        <w:t>主页上发布</w:t>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asciiTheme="minorEastAsia" w:hAnsiTheme="minorEastAsia"/>
          <w:sz w:val="22"/>
          <w:szCs w:val="22"/>
          <w:highlight w:val="none"/>
        </w:rPr>
        <w:t>中国采购与招标网</w:t>
      </w:r>
      <w:r>
        <w:rPr>
          <w:rFonts w:asciiTheme="minorEastAsia" w:hAnsiTheme="minorEastAsia"/>
          <w:sz w:val="22"/>
          <w:szCs w:val="22"/>
          <w:highlight w:val="none"/>
        </w:rPr>
        <w:t xml:space="preserve">  </w:t>
      </w:r>
      <w:r>
        <w:rPr>
          <w:highlight w:val="none"/>
        </w:rPr>
        <w:fldChar w:fldCharType="begin"/>
      </w:r>
      <w:r>
        <w:rPr>
          <w:highlight w:val="none"/>
        </w:rPr>
        <w:instrText xml:space="preserve"> HYPERLINK "http://www.chinabidding.com.cn" </w:instrText>
      </w:r>
      <w:r>
        <w:rPr>
          <w:highlight w:val="none"/>
        </w:rPr>
        <w:fldChar w:fldCharType="separate"/>
      </w:r>
      <w:r>
        <w:rPr>
          <w:rFonts w:asciiTheme="minorEastAsia" w:hAnsiTheme="minorEastAsia"/>
          <w:sz w:val="22"/>
          <w:szCs w:val="22"/>
          <w:highlight w:val="none"/>
        </w:rPr>
        <w:t>http://www.chinabidding.com.cn</w:t>
      </w:r>
      <w:r>
        <w:rPr>
          <w:rFonts w:asciiTheme="minorEastAsia" w:hAnsiTheme="minorEastAsia"/>
          <w:sz w:val="22"/>
          <w:szCs w:val="22"/>
          <w:highlight w:val="none"/>
        </w:rPr>
        <w:fldChar w:fldCharType="end"/>
      </w:r>
    </w:p>
    <w:p>
      <w:pPr>
        <w:widowControl/>
        <w:adjustRightInd w:val="0"/>
        <w:snapToGrid w:val="0"/>
        <w:spacing w:line="340" w:lineRule="exact"/>
        <w:ind w:firstLine="440" w:firstLineChars="200"/>
        <w:rPr>
          <w:rFonts w:cs="Arial" w:asciiTheme="minorEastAsia" w:hAnsiTheme="minorEastAsia"/>
          <w:kern w:val="0"/>
          <w:sz w:val="22"/>
          <w:szCs w:val="22"/>
          <w:highlight w:val="none"/>
        </w:rPr>
      </w:pPr>
      <w:r>
        <w:rPr>
          <w:rFonts w:hint="eastAsia" w:cs="Arial" w:asciiTheme="minorEastAsia" w:hAnsiTheme="minorEastAsia"/>
          <w:kern w:val="0"/>
          <w:sz w:val="22"/>
          <w:szCs w:val="22"/>
          <w:highlight w:val="none"/>
        </w:rPr>
        <w:t>杭州萧山机场有限公司主页http://www.hzairport.com</w:t>
      </w:r>
    </w:p>
    <w:p>
      <w:pPr>
        <w:widowControl/>
        <w:snapToGrid w:val="0"/>
        <w:spacing w:line="340" w:lineRule="exact"/>
        <w:jc w:val="left"/>
        <w:rPr>
          <w:rFonts w:cs="Arial" w:asciiTheme="minorEastAsia" w:hAnsiTheme="minorEastAsia"/>
          <w:b/>
          <w:bCs/>
          <w:kern w:val="0"/>
          <w:sz w:val="22"/>
          <w:szCs w:val="22"/>
          <w:highlight w:val="none"/>
        </w:rPr>
      </w:pPr>
      <w:r>
        <w:rPr>
          <w:rFonts w:hint="eastAsia" w:cs="Arial" w:asciiTheme="minorEastAsia" w:hAnsiTheme="minorEastAsia"/>
          <w:b/>
          <w:bCs/>
          <w:kern w:val="0"/>
          <w:sz w:val="22"/>
          <w:szCs w:val="22"/>
          <w:highlight w:val="none"/>
        </w:rPr>
        <w:t>六、联系方式</w:t>
      </w:r>
    </w:p>
    <w:p>
      <w:pPr>
        <w:widowControl/>
        <w:adjustRightInd w:val="0"/>
        <w:snapToGrid w:val="0"/>
        <w:spacing w:line="340" w:lineRule="exact"/>
        <w:ind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投标联系人：</w:t>
      </w:r>
      <w:r>
        <w:rPr>
          <w:rFonts w:hint="eastAsia" w:ascii="宋体" w:hAnsi="宋体"/>
          <w:sz w:val="22"/>
          <w:szCs w:val="22"/>
          <w:highlight w:val="none"/>
        </w:rPr>
        <w:t>贾思勰</w:t>
      </w:r>
      <w:r>
        <w:rPr>
          <w:rFonts w:hint="eastAsia" w:asciiTheme="minorEastAsia" w:hAnsiTheme="minorEastAsia"/>
          <w:sz w:val="22"/>
          <w:szCs w:val="22"/>
          <w:highlight w:val="none"/>
        </w:rPr>
        <w:t xml:space="preserve">        联系电话：0571-</w:t>
      </w:r>
      <w:r>
        <w:rPr>
          <w:rFonts w:asciiTheme="minorEastAsia" w:hAnsiTheme="minorEastAsia"/>
          <w:sz w:val="22"/>
          <w:szCs w:val="22"/>
          <w:highlight w:val="none"/>
        </w:rPr>
        <w:t>83837612</w:t>
      </w:r>
    </w:p>
    <w:p>
      <w:pPr>
        <w:widowControl/>
        <w:adjustRightInd w:val="0"/>
        <w:snapToGrid w:val="0"/>
        <w:spacing w:line="340" w:lineRule="exact"/>
        <w:ind w:firstLine="440" w:firstLineChars="200"/>
        <w:rPr>
          <w:rFonts w:asciiTheme="minorEastAsia" w:hAnsiTheme="minorEastAsia"/>
          <w:bCs/>
          <w:sz w:val="22"/>
          <w:szCs w:val="22"/>
          <w:highlight w:val="none"/>
        </w:rPr>
      </w:pPr>
      <w:r>
        <w:rPr>
          <w:rFonts w:hint="eastAsia" w:asciiTheme="minorEastAsia" w:hAnsiTheme="minorEastAsia"/>
          <w:bCs/>
          <w:sz w:val="22"/>
          <w:szCs w:val="22"/>
          <w:highlight w:val="none"/>
        </w:rPr>
        <w:t>招标监督人：</w:t>
      </w:r>
      <w:r>
        <w:rPr>
          <w:rFonts w:hint="eastAsia" w:ascii="宋体" w:hAnsi="宋体"/>
          <w:bCs/>
          <w:sz w:val="22"/>
          <w:szCs w:val="22"/>
          <w:highlight w:val="none"/>
        </w:rPr>
        <w:t>王莺</w:t>
      </w:r>
      <w:r>
        <w:rPr>
          <w:rFonts w:hint="eastAsia" w:asciiTheme="minorEastAsia" w:hAnsiTheme="minorEastAsia"/>
          <w:bCs/>
          <w:sz w:val="22"/>
          <w:szCs w:val="22"/>
          <w:highlight w:val="none"/>
        </w:rPr>
        <w:t xml:space="preserve">         联系电话：</w:t>
      </w:r>
      <w:r>
        <w:rPr>
          <w:rFonts w:hint="eastAsia" w:ascii="宋体" w:hAnsi="宋体"/>
          <w:bCs/>
          <w:sz w:val="22"/>
          <w:szCs w:val="22"/>
          <w:highlight w:val="none"/>
        </w:rPr>
        <w:t>0</w:t>
      </w:r>
      <w:r>
        <w:rPr>
          <w:rFonts w:ascii="宋体" w:hAnsi="宋体"/>
          <w:bCs/>
          <w:sz w:val="22"/>
          <w:szCs w:val="22"/>
          <w:highlight w:val="none"/>
        </w:rPr>
        <w:t>571-86662723</w:t>
      </w:r>
    </w:p>
    <w:p>
      <w:pPr>
        <w:pStyle w:val="51"/>
        <w:rPr>
          <w:highlight w:val="none"/>
        </w:rPr>
      </w:pPr>
      <w:r>
        <w:rPr>
          <w:rFonts w:hint="eastAsia" w:asciiTheme="minorEastAsia" w:hAnsiTheme="minorEastAsia"/>
          <w:bCs w:val="0"/>
          <w:sz w:val="22"/>
          <w:szCs w:val="22"/>
          <w:highlight w:val="none"/>
        </w:rPr>
        <w:t xml:space="preserve"> </w:t>
      </w:r>
      <w:r>
        <w:rPr>
          <w:rFonts w:asciiTheme="minorEastAsia" w:hAnsiTheme="minorEastAsia"/>
          <w:bCs w:val="0"/>
          <w:sz w:val="22"/>
          <w:szCs w:val="22"/>
          <w:highlight w:val="none"/>
        </w:rPr>
        <w:br w:type="page"/>
      </w:r>
      <w:bookmarkStart w:id="1" w:name="_Toc321925452"/>
      <w:r>
        <w:rPr>
          <w:highlight w:val="none"/>
        </w:rPr>
        <w:t>第</w:t>
      </w:r>
      <w:r>
        <w:rPr>
          <w:rFonts w:hint="eastAsia"/>
          <w:highlight w:val="none"/>
        </w:rPr>
        <w:t>二</w:t>
      </w:r>
      <w:r>
        <w:rPr>
          <w:highlight w:val="none"/>
        </w:rPr>
        <w:t>章  投标</w:t>
      </w:r>
      <w:r>
        <w:rPr>
          <w:rFonts w:hint="eastAsia"/>
          <w:highlight w:val="none"/>
        </w:rPr>
        <w:t>人须知</w:t>
      </w:r>
      <w:bookmarkEnd w:id="1"/>
    </w:p>
    <w:p>
      <w:pPr>
        <w:pStyle w:val="34"/>
        <w:spacing w:line="240" w:lineRule="auto"/>
        <w:ind w:left="480"/>
        <w:jc w:val="center"/>
        <w:rPr>
          <w:b/>
          <w:sz w:val="28"/>
          <w:szCs w:val="28"/>
          <w:highlight w:val="none"/>
        </w:rPr>
      </w:pPr>
      <w:r>
        <w:rPr>
          <w:rFonts w:hint="eastAsia"/>
          <w:b/>
          <w:sz w:val="28"/>
          <w:szCs w:val="28"/>
          <w:highlight w:val="none"/>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sz w:val="22"/>
                <w:highlight w:val="none"/>
              </w:rPr>
              <w:t>1.1</w:t>
            </w:r>
            <w:r>
              <w:rPr>
                <w:rFonts w:hint="eastAsia" w:ascii="宋体" w:hAnsi="宋体" w:cs="Calibri"/>
                <w:sz w:val="22"/>
                <w:highlight w:val="none"/>
              </w:rPr>
              <w:t>.1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项目名称</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Arial"/>
                <w:kern w:val="0"/>
                <w:sz w:val="22"/>
                <w:highlight w:val="none"/>
              </w:rPr>
              <w:t>杭州萧山国际机场</w:t>
            </w:r>
            <w:r>
              <w:rPr>
                <w:rFonts w:hint="eastAsia" w:ascii="宋体" w:hAnsi="宋体" w:cs="Arial"/>
                <w:kern w:val="0"/>
                <w:sz w:val="22"/>
                <w:highlight w:val="none"/>
              </w:rPr>
              <w:t>台式爆炸物、毒品探测设备</w:t>
            </w:r>
            <w:r>
              <w:rPr>
                <w:rFonts w:ascii="宋体" w:hAnsi="宋体" w:cs="Arial"/>
                <w:kern w:val="0"/>
                <w:sz w:val="22"/>
                <w:highlight w:val="none"/>
              </w:rPr>
              <w:t>采购项</w:t>
            </w:r>
            <w:r>
              <w:rPr>
                <w:rFonts w:hint="eastAsia" w:ascii="宋体" w:hAnsi="宋体" w:cs="Arial"/>
                <w:kern w:val="0"/>
                <w:sz w:val="22"/>
                <w:highlight w:val="none"/>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highlight w:val="none"/>
              </w:rPr>
            </w:pPr>
            <w:r>
              <w:rPr>
                <w:rFonts w:ascii="宋体" w:hAnsi="宋体" w:cs="Calibri"/>
                <w:sz w:val="22"/>
                <w:highlight w:val="none"/>
              </w:rPr>
              <w:t>1.1.2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交货</w:t>
            </w:r>
            <w:r>
              <w:rPr>
                <w:rFonts w:ascii="宋体" w:hAnsi="宋体" w:cs="Calibri"/>
                <w:kern w:val="0"/>
                <w:sz w:val="22"/>
                <w:highlight w:val="none"/>
              </w:rPr>
              <w:t>地点</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杭州萧山国际机场</w:t>
            </w:r>
            <w:r>
              <w:rPr>
                <w:rFonts w:ascii="宋体" w:hAnsi="宋体" w:cs="Calibri"/>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highlight w:val="none"/>
              </w:rPr>
            </w:pPr>
            <w:r>
              <w:rPr>
                <w:rFonts w:ascii="宋体" w:hAnsi="宋体" w:cs="Calibri"/>
                <w:sz w:val="22"/>
                <w:highlight w:val="none"/>
              </w:rPr>
              <w:t>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资金来源</w:t>
            </w:r>
          </w:p>
        </w:tc>
        <w:tc>
          <w:tcPr>
            <w:tcW w:w="6487" w:type="dxa"/>
            <w:vAlign w:val="center"/>
          </w:tcPr>
          <w:p>
            <w:pPr>
              <w:autoSpaceDE w:val="0"/>
              <w:autoSpaceDN w:val="0"/>
              <w:adjustRightInd w:val="0"/>
              <w:snapToGrid w:val="0"/>
              <w:rPr>
                <w:rFonts w:ascii="宋体" w:hAnsi="宋体" w:cs="Calibri"/>
                <w:kern w:val="0"/>
                <w:sz w:val="22"/>
                <w:highlight w:val="none"/>
              </w:rPr>
            </w:pPr>
            <w:r>
              <w:rPr>
                <w:rStyle w:val="82"/>
                <w:rFonts w:hint="eastAsia" w:ascii="宋体" w:hAnsi="宋体" w:cs="Calibri"/>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招标</w:t>
            </w:r>
            <w:r>
              <w:rPr>
                <w:rFonts w:hint="eastAsia" w:ascii="宋体" w:hAnsi="宋体" w:cs="Calibri"/>
                <w:kern w:val="0"/>
                <w:sz w:val="22"/>
                <w:highlight w:val="none"/>
              </w:rPr>
              <w:t>内容</w:t>
            </w:r>
          </w:p>
        </w:tc>
        <w:tc>
          <w:tcPr>
            <w:tcW w:w="6487" w:type="dxa"/>
            <w:vAlign w:val="center"/>
          </w:tcPr>
          <w:p>
            <w:pPr>
              <w:autoSpaceDE w:val="0"/>
              <w:autoSpaceDN w:val="0"/>
              <w:adjustRightInd w:val="0"/>
              <w:snapToGrid w:val="0"/>
              <w:rPr>
                <w:rFonts w:ascii="宋体" w:hAnsi="宋体" w:cs="Calibri"/>
                <w:kern w:val="0"/>
                <w:sz w:val="22"/>
                <w:highlight w:val="none"/>
              </w:rPr>
            </w:pPr>
            <w:r>
              <w:rPr>
                <w:rFonts w:cs="Calibri" w:asciiTheme="minorEastAsia" w:hAnsiTheme="minorEastAsia"/>
                <w:kern w:val="0"/>
                <w:sz w:val="22"/>
                <w:highlight w:val="none"/>
              </w:rPr>
              <w:t>见招标公告，具体要求详见</w:t>
            </w:r>
            <w:r>
              <w:rPr>
                <w:rFonts w:ascii="宋体" w:hAnsi="宋体" w:cs="Calibri"/>
                <w:kern w:val="0"/>
                <w:sz w:val="22"/>
                <w:highlight w:val="none"/>
              </w:rPr>
              <w:t>第</w:t>
            </w:r>
            <w:r>
              <w:rPr>
                <w:rFonts w:hint="eastAsia" w:ascii="宋体" w:hAnsi="宋体" w:cs="Calibri"/>
                <w:kern w:val="0"/>
                <w:sz w:val="22"/>
                <w:highlight w:val="none"/>
              </w:rPr>
              <w:t>三</w:t>
            </w:r>
            <w:r>
              <w:rPr>
                <w:rFonts w:ascii="宋体" w:hAnsi="宋体" w:cs="Calibri"/>
                <w:kern w:val="0"/>
                <w:sz w:val="22"/>
                <w:highlight w:val="none"/>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1.4</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招标方式</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1.5</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资格审查</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1.6</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投标人资质条件、能力和信誉</w:t>
            </w:r>
          </w:p>
        </w:tc>
        <w:tc>
          <w:tcPr>
            <w:tcW w:w="6487" w:type="dxa"/>
            <w:vAlign w:val="center"/>
          </w:tcPr>
          <w:p>
            <w:pPr>
              <w:autoSpaceDE w:val="0"/>
              <w:autoSpaceDN w:val="0"/>
              <w:adjustRightInd w:val="0"/>
              <w:snapToGrid w:val="0"/>
              <w:rPr>
                <w:rFonts w:ascii="宋体" w:hAnsi="宋体" w:cs="Calibri"/>
                <w:kern w:val="0"/>
                <w:sz w:val="22"/>
                <w:highlight w:val="none"/>
              </w:rPr>
            </w:pPr>
            <w:r>
              <w:rPr>
                <w:rFonts w:cs="Calibri" w:asciiTheme="minorEastAsia" w:hAnsiTheme="minorEastAsia"/>
                <w:kern w:val="0"/>
                <w:sz w:val="22"/>
                <w:highlight w:val="none"/>
              </w:rPr>
              <w:t>详见招标公告</w:t>
            </w:r>
            <w:r>
              <w:rPr>
                <w:rFonts w:hint="eastAsia" w:cs="Calibri" w:asciiTheme="minorEastAsia" w:hAnsiTheme="minorEastAsia"/>
                <w:kern w:val="0"/>
                <w:sz w:val="22"/>
                <w:highlight w:val="none"/>
              </w:rPr>
              <w:t>“</w:t>
            </w:r>
            <w:r>
              <w:rPr>
                <w:rFonts w:hint="eastAsia" w:cs="黑体" w:asciiTheme="minorEastAsia" w:hAnsiTheme="minorEastAsia"/>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1.7</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供货期</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合同签订后</w:t>
            </w:r>
            <w:r>
              <w:rPr>
                <w:rFonts w:hint="eastAsia" w:ascii="宋体" w:hAnsi="宋体"/>
                <w:sz w:val="22"/>
                <w:highlight w:val="none"/>
                <w:u w:val="single"/>
              </w:rPr>
              <w:t>30</w:t>
            </w:r>
            <w:r>
              <w:rPr>
                <w:rFonts w:hint="eastAsia" w:ascii="宋体" w:hAnsi="宋体"/>
                <w:sz w:val="22"/>
                <w:highlight w:val="none"/>
              </w:rPr>
              <w:t>日历天内,</w:t>
            </w:r>
            <w:r>
              <w:rPr>
                <w:rFonts w:hint="eastAsia"/>
                <w:highlight w:val="none"/>
              </w:rPr>
              <w:t xml:space="preserve"> </w:t>
            </w:r>
            <w:r>
              <w:rPr>
                <w:rFonts w:hint="eastAsia" w:ascii="宋体" w:hAnsi="宋体"/>
                <w:sz w:val="22"/>
                <w:highlight w:val="none"/>
              </w:rPr>
              <w:t>中标人必须在2019年10月31日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投标人须在投标文件中提供最快交货时间和详细的供货计划。投标人可根据自身经验、技术水平及管理能力自报竞争性</w:t>
            </w:r>
            <w:r>
              <w:rPr>
                <w:rFonts w:ascii="宋体" w:hAnsi="宋体" w:cs="Calibri"/>
                <w:kern w:val="0"/>
                <w:sz w:val="22"/>
                <w:highlight w:val="none"/>
              </w:rPr>
              <w:t>供货期</w:t>
            </w:r>
            <w:r>
              <w:rPr>
                <w:rFonts w:hint="eastAsia" w:ascii="宋体" w:hAnsi="宋体" w:cs="Calibri"/>
                <w:kern w:val="0"/>
                <w:sz w:val="22"/>
                <w:highlight w:val="none"/>
              </w:rPr>
              <w:t>，但不得超过招标人明确的计划</w:t>
            </w:r>
            <w:r>
              <w:rPr>
                <w:rFonts w:ascii="宋体" w:hAnsi="宋体" w:cs="Calibri"/>
                <w:kern w:val="0"/>
                <w:sz w:val="22"/>
                <w:highlight w:val="none"/>
              </w:rPr>
              <w:t>供货期</w:t>
            </w:r>
            <w:r>
              <w:rPr>
                <w:rFonts w:hint="eastAsia" w:ascii="宋体" w:hAnsi="宋体" w:cs="Calibri"/>
                <w:kern w:val="0"/>
                <w:sz w:val="22"/>
                <w:highlight w:val="none"/>
              </w:rPr>
              <w:t>。一旦中标，该</w:t>
            </w:r>
            <w:r>
              <w:rPr>
                <w:rFonts w:ascii="宋体" w:hAnsi="宋体" w:cs="Calibri"/>
                <w:kern w:val="0"/>
                <w:sz w:val="22"/>
                <w:highlight w:val="none"/>
              </w:rPr>
              <w:t>供货期</w:t>
            </w:r>
            <w:r>
              <w:rPr>
                <w:rFonts w:hint="eastAsia" w:ascii="宋体" w:hAnsi="宋体" w:cs="Calibri"/>
                <w:kern w:val="0"/>
                <w:sz w:val="22"/>
                <w:highlight w:val="none"/>
              </w:rPr>
              <w:t>即为合同</w:t>
            </w:r>
            <w:r>
              <w:rPr>
                <w:rFonts w:ascii="宋体" w:hAnsi="宋体" w:cs="Calibri"/>
                <w:kern w:val="0"/>
                <w:sz w:val="22"/>
                <w:highlight w:val="none"/>
              </w:rPr>
              <w:t>供货期</w:t>
            </w:r>
            <w:r>
              <w:rPr>
                <w:rFonts w:hint="eastAsia" w:ascii="宋体" w:hAnsi="宋体" w:cs="Calibri"/>
                <w:kern w:val="0"/>
                <w:sz w:val="22"/>
                <w:highlight w:val="none"/>
              </w:rPr>
              <w:t>。整个项目</w:t>
            </w:r>
            <w:r>
              <w:rPr>
                <w:rFonts w:ascii="宋体" w:hAnsi="宋体" w:cs="Calibri"/>
                <w:kern w:val="0"/>
                <w:sz w:val="22"/>
                <w:highlight w:val="none"/>
              </w:rPr>
              <w:t>供货期</w:t>
            </w:r>
            <w:r>
              <w:rPr>
                <w:rFonts w:hint="eastAsia" w:ascii="宋体" w:hAnsi="宋体" w:cs="Calibri"/>
                <w:kern w:val="0"/>
                <w:sz w:val="22"/>
                <w:highlight w:val="none"/>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1.8</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hint="eastAsia" w:cs="Calibri" w:asciiTheme="minorEastAsia" w:hAnsiTheme="minorEastAsia"/>
                <w:kern w:val="0"/>
                <w:sz w:val="22"/>
                <w:highlight w:val="none"/>
              </w:rPr>
              <w:t>质量要求</w:t>
            </w:r>
          </w:p>
        </w:tc>
        <w:tc>
          <w:tcPr>
            <w:tcW w:w="6487" w:type="dxa"/>
            <w:vAlign w:val="center"/>
          </w:tcPr>
          <w:p>
            <w:pPr>
              <w:rPr>
                <w:rFonts w:asciiTheme="minorEastAsia" w:hAnsiTheme="minorEastAsia"/>
                <w:color w:val="000000"/>
                <w:sz w:val="22"/>
                <w:highlight w:val="none"/>
              </w:rPr>
            </w:pPr>
            <w:r>
              <w:rPr>
                <w:rFonts w:hint="eastAsia" w:asciiTheme="minorEastAsia" w:hAnsiTheme="minorEastAsia"/>
                <w:iCs/>
                <w:sz w:val="22"/>
                <w:highlight w:val="none"/>
              </w:rPr>
              <w:t>符</w:t>
            </w:r>
            <w:r>
              <w:rPr>
                <w:rFonts w:hint="eastAsia" w:asciiTheme="minorEastAsia" w:hAnsiTheme="minorEastAsia"/>
                <w:sz w:val="22"/>
                <w:highlight w:val="none"/>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1.</w:t>
            </w:r>
            <w:r>
              <w:rPr>
                <w:rFonts w:hint="eastAsia" w:cs="Calibri" w:asciiTheme="minorEastAsia" w:hAnsiTheme="minorEastAsia"/>
                <w:kern w:val="0"/>
                <w:sz w:val="22"/>
                <w:highlight w:val="none"/>
              </w:rPr>
              <w:t>9</w:t>
            </w:r>
            <w:r>
              <w:rPr>
                <w:rFonts w:cs="Calibri" w:asciiTheme="minorEastAsia" w:hAnsiTheme="minorEastAsia"/>
                <w:kern w:val="0"/>
                <w:sz w:val="22"/>
                <w:highlight w:val="none"/>
              </w:rPr>
              <w:t>.1</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踏勘现场</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sym w:font="Wingdings" w:char="F0FE"/>
            </w:r>
            <w:r>
              <w:rPr>
                <w:rFonts w:cs="Calibri" w:asciiTheme="minorEastAsia" w:hAnsiTheme="minorEastAsia"/>
                <w:kern w:val="0"/>
                <w:sz w:val="22"/>
                <w:highlight w:val="none"/>
              </w:rPr>
              <w:t>不组织</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□组织，踏勘时间：</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1.</w:t>
            </w:r>
            <w:r>
              <w:rPr>
                <w:rFonts w:hint="eastAsia" w:cs="Calibri" w:asciiTheme="minorEastAsia" w:hAnsiTheme="minorEastAsia"/>
                <w:kern w:val="0"/>
                <w:sz w:val="22"/>
                <w:highlight w:val="none"/>
              </w:rPr>
              <w:t>10</w:t>
            </w:r>
          </w:p>
        </w:tc>
        <w:tc>
          <w:tcPr>
            <w:tcW w:w="2004" w:type="dxa"/>
            <w:vAlign w:val="center"/>
          </w:tcPr>
          <w:p>
            <w:pPr>
              <w:autoSpaceDE w:val="0"/>
              <w:autoSpaceDN w:val="0"/>
              <w:adjustRightInd w:val="0"/>
              <w:snapToGrid w:val="0"/>
              <w:jc w:val="center"/>
              <w:rPr>
                <w:rFonts w:cs="Calibri" w:asciiTheme="minorEastAsia" w:hAnsiTheme="minorEastAsia"/>
                <w:kern w:val="0"/>
                <w:sz w:val="22"/>
                <w:highlight w:val="none"/>
              </w:rPr>
            </w:pPr>
            <w:r>
              <w:rPr>
                <w:rFonts w:cs="Calibri" w:asciiTheme="minorEastAsia" w:hAnsiTheme="minorEastAsia"/>
                <w:kern w:val="0"/>
                <w:sz w:val="22"/>
                <w:highlight w:val="none"/>
              </w:rPr>
              <w:t>投标预备会</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sym w:font="Wingdings" w:char="F0FE"/>
            </w:r>
            <w:r>
              <w:rPr>
                <w:rFonts w:cs="Calibri" w:asciiTheme="minorEastAsia" w:hAnsiTheme="minorEastAsia"/>
                <w:kern w:val="0"/>
                <w:sz w:val="22"/>
                <w:highlight w:val="none"/>
              </w:rPr>
              <w:t>不召开</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□召开，召开时间：</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hint="eastAsia" w:cs="Calibri" w:asciiTheme="minorEastAsia" w:hAnsiTheme="minorEastAsia"/>
                <w:kern w:val="0"/>
                <w:sz w:val="22"/>
                <w:highlight w:val="none"/>
                <w:lang w:val="en-US" w:eastAsia="zh-CN"/>
              </w:rPr>
              <w:t>2019</w:t>
            </w:r>
            <w:r>
              <w:rPr>
                <w:rFonts w:cs="Calibri" w:asciiTheme="minorEastAsia" w:hAnsiTheme="minorEastAsia"/>
                <w:kern w:val="0"/>
                <w:sz w:val="22"/>
                <w:highlight w:val="none"/>
              </w:rPr>
              <w:t>年</w:t>
            </w:r>
            <w:r>
              <w:rPr>
                <w:rFonts w:hint="eastAsia" w:cs="Calibri" w:asciiTheme="minorEastAsia" w:hAnsiTheme="minorEastAsia"/>
                <w:kern w:val="0"/>
                <w:sz w:val="22"/>
                <w:highlight w:val="none"/>
                <w:lang w:val="en-US" w:eastAsia="zh-CN"/>
              </w:rPr>
              <w:t>7</w:t>
            </w:r>
            <w:r>
              <w:rPr>
                <w:rFonts w:cs="Calibri" w:asciiTheme="minorEastAsia" w:hAnsiTheme="minorEastAsia"/>
                <w:kern w:val="0"/>
                <w:sz w:val="22"/>
                <w:highlight w:val="none"/>
              </w:rPr>
              <w:t>月</w:t>
            </w:r>
            <w:r>
              <w:rPr>
                <w:rFonts w:hint="eastAsia" w:cs="Calibri" w:asciiTheme="minorEastAsia" w:hAnsiTheme="minorEastAsia"/>
                <w:kern w:val="0"/>
                <w:sz w:val="22"/>
                <w:highlight w:val="none"/>
                <w:lang w:val="en-US" w:eastAsia="zh-CN"/>
              </w:rPr>
              <w:t>28</w:t>
            </w:r>
            <w:r>
              <w:rPr>
                <w:rFonts w:cs="Calibri" w:asciiTheme="minorEastAsia" w:hAnsiTheme="minorEastAsia"/>
                <w:kern w:val="0"/>
                <w:sz w:val="22"/>
                <w:highlight w:val="none"/>
              </w:rPr>
              <w:t>日11：3</w:t>
            </w:r>
            <w:bookmarkStart w:id="401" w:name="_GoBack"/>
            <w:r>
              <w:rPr>
                <w:rFonts w:cs="Calibri" w:asciiTheme="minorEastAsia" w:hAnsiTheme="minorEastAsia"/>
                <w:kern w:val="0"/>
                <w:sz w:val="22"/>
                <w:highlight w:val="none"/>
              </w:rPr>
              <w:t>0前，</w:t>
            </w:r>
            <w:r>
              <w:rPr>
                <w:rFonts w:hint="eastAsia" w:ascii="宋体" w:hAnsi="宋体" w:cs="Calibri"/>
                <w:kern w:val="0"/>
                <w:sz w:val="22"/>
                <w:highlight w:val="none"/>
              </w:rPr>
              <w:t>以书面加盖公章的形式通过E-mail或传真提交给招标人（投标联系人:贾工，电话0571-</w:t>
            </w:r>
            <w:r>
              <w:rPr>
                <w:rFonts w:asciiTheme="minorEastAsia" w:hAnsiTheme="minorEastAsia"/>
                <w:sz w:val="22"/>
                <w:szCs w:val="22"/>
                <w:highlight w:val="none"/>
              </w:rPr>
              <w:t>83837612</w:t>
            </w:r>
            <w:r>
              <w:rPr>
                <w:rFonts w:hint="eastAsia" w:ascii="宋体" w:hAnsi="宋体" w:cs="Calibri"/>
                <w:kern w:val="0"/>
                <w:sz w:val="22"/>
                <w:highlight w:val="none"/>
              </w:rPr>
              <w:t>；传真：0571-</w:t>
            </w:r>
            <w:r>
              <w:rPr>
                <w:rFonts w:asciiTheme="minorEastAsia" w:hAnsiTheme="minorEastAsia"/>
                <w:sz w:val="22"/>
                <w:szCs w:val="22"/>
                <w:highlight w:val="none"/>
              </w:rPr>
              <w:t>83837612</w:t>
            </w:r>
            <w:r>
              <w:rPr>
                <w:rFonts w:hint="eastAsia" w:ascii="宋体" w:hAnsi="宋体" w:cs="Calibri"/>
                <w:kern w:val="0"/>
                <w:sz w:val="22"/>
                <w:highlight w:val="none"/>
              </w:rPr>
              <w:t>；电子邮箱：zbzx@hzairport.com）投标人必须在规定时间前提出对招标文件的疑问，否则招标人有权拒绝接收和拒绝回答未在截止时间前</w:t>
            </w:r>
            <w:bookmarkEnd w:id="401"/>
            <w:r>
              <w:rPr>
                <w:rFonts w:hint="eastAsia" w:ascii="宋体" w:hAnsi="宋体" w:cs="Calibri"/>
                <w:kern w:val="0"/>
                <w:sz w:val="22"/>
                <w:highlight w:val="none"/>
              </w:rPr>
              <w:t>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highlight w:val="none"/>
              </w:rPr>
            </w:pPr>
            <w:r>
              <w:rPr>
                <w:rFonts w:hint="eastAsia" w:cs="Calibri" w:asciiTheme="minorEastAsia" w:hAnsiTheme="minorEastAsia"/>
                <w:b/>
                <w:kern w:val="0"/>
                <w:sz w:val="22"/>
                <w:highlight w:val="none"/>
                <w:lang w:val="en-US" w:eastAsia="zh-CN"/>
              </w:rPr>
              <w:t>2019</w:t>
            </w:r>
            <w:r>
              <w:rPr>
                <w:rFonts w:hint="eastAsia" w:cs="Calibri" w:asciiTheme="minorEastAsia" w:hAnsiTheme="minorEastAsia"/>
                <w:b/>
                <w:kern w:val="0"/>
                <w:sz w:val="22"/>
                <w:highlight w:val="none"/>
              </w:rPr>
              <w:t>年</w:t>
            </w:r>
            <w:r>
              <w:rPr>
                <w:rFonts w:hint="eastAsia" w:cs="Calibri" w:asciiTheme="minorEastAsia" w:hAnsiTheme="minorEastAsia"/>
                <w:b/>
                <w:kern w:val="0"/>
                <w:sz w:val="22"/>
                <w:highlight w:val="none"/>
                <w:lang w:val="en-US" w:eastAsia="zh-CN"/>
              </w:rPr>
              <w:t>8</w:t>
            </w:r>
            <w:r>
              <w:rPr>
                <w:rFonts w:hint="eastAsia" w:cs="Calibri" w:asciiTheme="minorEastAsia" w:hAnsiTheme="minorEastAsia"/>
                <w:b/>
                <w:kern w:val="0"/>
                <w:sz w:val="22"/>
                <w:highlight w:val="none"/>
              </w:rPr>
              <w:t>月</w:t>
            </w:r>
            <w:r>
              <w:rPr>
                <w:rFonts w:hint="eastAsia" w:cs="Calibri" w:asciiTheme="minorEastAsia" w:hAnsiTheme="minorEastAsia"/>
                <w:b/>
                <w:kern w:val="0"/>
                <w:sz w:val="22"/>
                <w:highlight w:val="none"/>
                <w:lang w:val="en-US" w:eastAsia="zh-CN"/>
              </w:rPr>
              <w:t>6</w:t>
            </w:r>
            <w:r>
              <w:rPr>
                <w:rFonts w:hint="eastAsia" w:cs="Calibri" w:asciiTheme="minorEastAsia" w:hAnsiTheme="minorEastAsia"/>
                <w:b/>
                <w:kern w:val="0"/>
                <w:sz w:val="22"/>
                <w:highlight w:val="none"/>
              </w:rPr>
              <w:t>日</w:t>
            </w:r>
            <w:r>
              <w:rPr>
                <w:rFonts w:hint="eastAsia" w:cs="Calibri" w:asciiTheme="minorEastAsia" w:hAnsiTheme="minorEastAsia"/>
                <w:b/>
                <w:kern w:val="0"/>
                <w:sz w:val="22"/>
                <w:highlight w:val="none"/>
                <w:lang w:eastAsia="zh-CN"/>
              </w:rPr>
              <w:t>下午</w:t>
            </w:r>
            <w:r>
              <w:rPr>
                <w:rFonts w:hint="eastAsia" w:cs="Calibri" w:asciiTheme="minorEastAsia" w:hAnsiTheme="minorEastAsia"/>
                <w:b/>
                <w:kern w:val="0"/>
                <w:sz w:val="22"/>
                <w:highlight w:val="none"/>
                <w:lang w:val="en-US" w:eastAsia="zh-CN"/>
              </w:rPr>
              <w:t>14</w:t>
            </w:r>
            <w:r>
              <w:rPr>
                <w:rFonts w:hint="eastAsia" w:cs="Calibri" w:asciiTheme="minorEastAsia" w:hAnsiTheme="minorEastAsia"/>
                <w:b/>
                <w:kern w:val="0"/>
                <w:sz w:val="22"/>
                <w:highlight w:val="none"/>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2.2.3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2.3.2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3.4.1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投标有效期</w:t>
            </w:r>
          </w:p>
        </w:tc>
        <w:tc>
          <w:tcPr>
            <w:tcW w:w="6487" w:type="dxa"/>
            <w:vAlign w:val="center"/>
          </w:tcPr>
          <w:p>
            <w:pPr>
              <w:autoSpaceDE w:val="0"/>
              <w:autoSpaceDN w:val="0"/>
              <w:adjustRightInd w:val="0"/>
              <w:snapToGrid w:val="0"/>
              <w:ind w:firstLine="330" w:firstLineChars="150"/>
              <w:rPr>
                <w:rFonts w:ascii="宋体" w:hAnsi="宋体" w:cs="Calibri"/>
                <w:kern w:val="0"/>
                <w:sz w:val="22"/>
                <w:highlight w:val="none"/>
              </w:rPr>
            </w:pPr>
            <w:r>
              <w:rPr>
                <w:rFonts w:hint="eastAsia" w:ascii="宋体" w:hAnsi="宋体" w:cs="Calibri"/>
                <w:kern w:val="0"/>
                <w:sz w:val="22"/>
                <w:highlight w:val="none"/>
              </w:rPr>
              <w:t>日历天</w:t>
            </w:r>
            <w:r>
              <w:rPr>
                <w:rFonts w:ascii="宋体" w:hAnsi="宋体" w:cs="Calibri"/>
                <w:kern w:val="0"/>
                <w:sz w:val="22"/>
                <w:highlight w:val="none"/>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3.5.1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投标保证金</w:t>
            </w:r>
          </w:p>
        </w:tc>
        <w:tc>
          <w:tcPr>
            <w:tcW w:w="6487" w:type="dxa"/>
            <w:vAlign w:val="center"/>
          </w:tcPr>
          <w:p>
            <w:pPr>
              <w:snapToGrid w:val="0"/>
              <w:rPr>
                <w:rFonts w:ascii="宋体" w:hAnsi="宋体"/>
                <w:sz w:val="22"/>
                <w:highlight w:val="none"/>
              </w:rPr>
            </w:pPr>
            <w:r>
              <w:rPr>
                <w:rFonts w:hint="eastAsia" w:ascii="宋体" w:hAnsi="宋体"/>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b/>
                <w:kern w:val="0"/>
                <w:sz w:val="22"/>
                <w:highlight w:val="none"/>
              </w:rPr>
              <w:t>投标文件封面（或扉页）、投标函以及各类报价表</w:t>
            </w:r>
            <w:r>
              <w:rPr>
                <w:rFonts w:cs="Calibri" w:asciiTheme="minorEastAsia" w:hAnsiTheme="minorEastAsia"/>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3.6.4</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投标文件份数</w:t>
            </w:r>
          </w:p>
        </w:tc>
        <w:tc>
          <w:tcPr>
            <w:tcW w:w="6487" w:type="dxa"/>
            <w:vAlign w:val="center"/>
          </w:tcPr>
          <w:p>
            <w:pPr>
              <w:autoSpaceDE w:val="0"/>
              <w:autoSpaceDN w:val="0"/>
              <w:adjustRightInd w:val="0"/>
              <w:snapToGrid w:val="0"/>
              <w:rPr>
                <w:rFonts w:ascii="宋体" w:hAnsi="宋体" w:cs="Calibri"/>
                <w:kern w:val="0"/>
                <w:sz w:val="22"/>
                <w:highlight w:val="none"/>
              </w:rPr>
            </w:pPr>
            <w:r>
              <w:rPr>
                <w:rFonts w:hint="eastAsia" w:ascii="宋体" w:hAnsi="宋体" w:cs="Calibri"/>
                <w:kern w:val="0"/>
                <w:sz w:val="22"/>
                <w:highlight w:val="none"/>
              </w:rPr>
              <w:t>正本一份，</w:t>
            </w:r>
            <w:r>
              <w:rPr>
                <w:rFonts w:ascii="宋体" w:hAnsi="宋体" w:cs="Calibri"/>
                <w:kern w:val="0"/>
                <w:sz w:val="22"/>
                <w:highlight w:val="none"/>
              </w:rPr>
              <w:t>副本</w:t>
            </w:r>
            <w:r>
              <w:rPr>
                <w:rFonts w:hint="eastAsia" w:ascii="宋体" w:hAnsi="宋体" w:cs="Calibri"/>
                <w:kern w:val="0"/>
                <w:sz w:val="22"/>
                <w:highlight w:val="none"/>
              </w:rPr>
              <w:t>二</w:t>
            </w:r>
            <w:r>
              <w:rPr>
                <w:rFonts w:ascii="宋体" w:hAnsi="宋体" w:cs="Calibri"/>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3.6.5</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装订要求</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按照投标人须知3.2项约定的投标文件组成内容，投标文件应按以下要求装订：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不分册装订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□分册装订</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每册采用</w:t>
            </w:r>
            <w:r>
              <w:rPr>
                <w:rFonts w:ascii="宋体" w:hAnsi="宋体" w:cs="Calibri"/>
                <w:kern w:val="0"/>
                <w:sz w:val="22"/>
                <w:highlight w:val="none"/>
                <w:u w:val="single"/>
              </w:rPr>
              <w:t xml:space="preserve"> 胶装 </w:t>
            </w:r>
            <w:r>
              <w:rPr>
                <w:rFonts w:ascii="宋体" w:hAnsi="宋体" w:cs="Calibri"/>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4.1.2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封套上写明</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招标人的地址：</w:t>
            </w:r>
            <w:r>
              <w:rPr>
                <w:rFonts w:hint="eastAsia" w:asciiTheme="minorEastAsia" w:hAnsiTheme="minorEastAsia"/>
                <w:sz w:val="22"/>
                <w:highlight w:val="none"/>
                <w:u w:val="single"/>
              </w:rPr>
              <w:t>杭州萧山国际机场内</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招标人名称：</w:t>
            </w:r>
            <w:r>
              <w:rPr>
                <w:rFonts w:cs="Calibri" w:asciiTheme="minorEastAsia" w:hAnsiTheme="minorEastAsia"/>
                <w:kern w:val="0"/>
                <w:sz w:val="22"/>
                <w:highlight w:val="none"/>
                <w:u w:val="single"/>
              </w:rPr>
              <w:t>杭州萧山国际机场有限公司</w:t>
            </w:r>
          </w:p>
          <w:p>
            <w:pPr>
              <w:autoSpaceDE w:val="0"/>
              <w:autoSpaceDN w:val="0"/>
              <w:adjustRightInd w:val="0"/>
              <w:snapToGrid w:val="0"/>
              <w:rPr>
                <w:rFonts w:cs="Calibri" w:asciiTheme="minorEastAsia" w:hAnsiTheme="minorEastAsia"/>
                <w:kern w:val="0"/>
                <w:sz w:val="22"/>
                <w:highlight w:val="none"/>
              </w:rPr>
            </w:pPr>
            <w:r>
              <w:rPr>
                <w:rFonts w:hint="eastAsia" w:cs="宋体" w:asciiTheme="minorEastAsia" w:hAnsiTheme="minorEastAsia"/>
                <w:sz w:val="22"/>
                <w:highlight w:val="none"/>
              </w:rPr>
              <w:t>项目名称：</w:t>
            </w:r>
            <w:r>
              <w:rPr>
                <w:rFonts w:hint="eastAsia" w:cs="Calibri" w:asciiTheme="minorEastAsia" w:hAnsiTheme="minorEastAsia"/>
                <w:kern w:val="0"/>
                <w:sz w:val="22"/>
                <w:highlight w:val="none"/>
                <w:u w:val="single"/>
              </w:rPr>
              <w:t>杭州萧山国际机场台式爆炸物、毒品探测设备采购</w:t>
            </w:r>
            <w:r>
              <w:rPr>
                <w:rFonts w:cs="Calibri" w:asciiTheme="minorEastAsia" w:hAnsiTheme="minorEastAsia"/>
                <w:kern w:val="0"/>
                <w:sz w:val="22"/>
                <w:highlight w:val="none"/>
                <w:u w:val="single"/>
              </w:rPr>
              <w:t>项目</w:t>
            </w:r>
            <w:r>
              <w:rPr>
                <w:rFonts w:hint="eastAsia" w:cs="宋体" w:asciiTheme="minorEastAsia" w:hAnsiTheme="minorEastAsia"/>
                <w:sz w:val="22"/>
                <w:highlight w:val="none"/>
              </w:rPr>
              <w:t>投标文件</w:t>
            </w:r>
          </w:p>
          <w:p>
            <w:pPr>
              <w:autoSpaceDE w:val="0"/>
              <w:autoSpaceDN w:val="0"/>
              <w:adjustRightInd w:val="0"/>
              <w:snapToGrid w:val="0"/>
              <w:rPr>
                <w:rFonts w:cs="Calibri" w:asciiTheme="minorEastAsia" w:hAnsiTheme="minorEastAsia"/>
                <w:kern w:val="0"/>
                <w:sz w:val="22"/>
                <w:highlight w:val="none"/>
              </w:rPr>
            </w:pPr>
            <w:r>
              <w:rPr>
                <w:rFonts w:cs="Calibri" w:asciiTheme="minorEastAsia" w:hAnsiTheme="minorEastAsia"/>
                <w:kern w:val="0"/>
                <w:sz w:val="22"/>
                <w:highlight w:val="none"/>
              </w:rPr>
              <w:t>在</w:t>
            </w:r>
            <w:r>
              <w:rPr>
                <w:rFonts w:cs="Calibri" w:asciiTheme="minorEastAsia" w:hAnsiTheme="minorEastAsia"/>
                <w:kern w:val="0"/>
                <w:sz w:val="22"/>
                <w:highlight w:val="none"/>
                <w:u w:val="single"/>
              </w:rPr>
              <w:t xml:space="preserve"> </w:t>
            </w:r>
            <w:r>
              <w:rPr>
                <w:rFonts w:hint="eastAsia" w:cs="Calibri" w:asciiTheme="minorEastAsia" w:hAnsiTheme="minorEastAsia"/>
                <w:kern w:val="0"/>
                <w:sz w:val="22"/>
                <w:highlight w:val="none"/>
                <w:u w:val="single"/>
                <w:lang w:val="en-US" w:eastAsia="zh-CN"/>
              </w:rPr>
              <w:t>2019</w:t>
            </w:r>
            <w:r>
              <w:rPr>
                <w:rFonts w:hint="eastAsia" w:cs="Calibri" w:asciiTheme="minorEastAsia" w:hAnsiTheme="minorEastAsia"/>
                <w:kern w:val="0"/>
                <w:sz w:val="22"/>
                <w:highlight w:val="none"/>
                <w:u w:val="single"/>
              </w:rPr>
              <w:t>年</w:t>
            </w:r>
            <w:r>
              <w:rPr>
                <w:rFonts w:hint="eastAsia" w:cs="Calibri" w:asciiTheme="minorEastAsia" w:hAnsiTheme="minorEastAsia"/>
                <w:kern w:val="0"/>
                <w:sz w:val="22"/>
                <w:highlight w:val="none"/>
                <w:u w:val="single"/>
                <w:lang w:val="en-US" w:eastAsia="zh-CN"/>
              </w:rPr>
              <w:t>8</w:t>
            </w:r>
            <w:r>
              <w:rPr>
                <w:rFonts w:hint="eastAsia" w:cs="Calibri" w:asciiTheme="minorEastAsia" w:hAnsiTheme="minorEastAsia"/>
                <w:kern w:val="0"/>
                <w:sz w:val="22"/>
                <w:highlight w:val="none"/>
                <w:u w:val="single"/>
              </w:rPr>
              <w:t>月</w:t>
            </w:r>
            <w:r>
              <w:rPr>
                <w:rFonts w:hint="eastAsia" w:cs="Calibri" w:asciiTheme="minorEastAsia" w:hAnsiTheme="minorEastAsia"/>
                <w:kern w:val="0"/>
                <w:sz w:val="22"/>
                <w:highlight w:val="none"/>
                <w:u w:val="single"/>
                <w:lang w:val="en-US" w:eastAsia="zh-CN"/>
              </w:rPr>
              <w:t>6</w:t>
            </w:r>
            <w:r>
              <w:rPr>
                <w:rFonts w:hint="eastAsia" w:cs="Calibri" w:asciiTheme="minorEastAsia" w:hAnsiTheme="minorEastAsia"/>
                <w:kern w:val="0"/>
                <w:sz w:val="22"/>
                <w:highlight w:val="none"/>
                <w:u w:val="single"/>
              </w:rPr>
              <w:t>日</w:t>
            </w:r>
            <w:r>
              <w:rPr>
                <w:rFonts w:hint="eastAsia" w:cs="Calibri" w:asciiTheme="minorEastAsia" w:hAnsiTheme="minorEastAsia"/>
                <w:kern w:val="0"/>
                <w:sz w:val="22"/>
                <w:highlight w:val="none"/>
                <w:u w:val="single"/>
                <w:lang w:eastAsia="zh-CN"/>
              </w:rPr>
              <w:t>下午</w:t>
            </w:r>
            <w:r>
              <w:rPr>
                <w:rFonts w:hint="eastAsia" w:cs="Calibri" w:asciiTheme="minorEastAsia" w:hAnsiTheme="minorEastAsia"/>
                <w:kern w:val="0"/>
                <w:sz w:val="22"/>
                <w:highlight w:val="none"/>
                <w:u w:val="single"/>
                <w:lang w:val="en-US" w:eastAsia="zh-CN"/>
              </w:rPr>
              <w:t>14</w:t>
            </w:r>
            <w:r>
              <w:rPr>
                <w:rFonts w:hint="eastAsia" w:cs="Calibri" w:asciiTheme="minorEastAsia" w:hAnsiTheme="minorEastAsia"/>
                <w:kern w:val="0"/>
                <w:sz w:val="22"/>
                <w:highlight w:val="none"/>
                <w:u w:val="single"/>
              </w:rPr>
              <w:t>时00分</w:t>
            </w:r>
            <w:r>
              <w:rPr>
                <w:rFonts w:cs="Calibri" w:asciiTheme="minorEastAsia" w:hAnsiTheme="minorEastAsia"/>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4.2.2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highlight w:val="none"/>
              </w:rPr>
            </w:pPr>
            <w:r>
              <w:rPr>
                <w:rFonts w:hint="eastAsia" w:ascii="宋体" w:hAnsi="宋体"/>
                <w:b/>
                <w:bCs/>
                <w:szCs w:val="21"/>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4.2.3</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是否退还投标文件</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否</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5.1.1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开标时间和地点</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开标时间：同投标截止时间</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5.2</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开标程序</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（4）密封情况检查：由投标人或者其集体推选的代表检查投标文件的密封情况。</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6.1.1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评标委员会的组建</w:t>
            </w:r>
          </w:p>
        </w:tc>
        <w:tc>
          <w:tcPr>
            <w:tcW w:w="6487" w:type="dxa"/>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：3</w:t>
            </w:r>
            <w:r>
              <w:rPr>
                <w:rFonts w:hint="eastAsia" w:asciiTheme="minorEastAsia" w:hAnsiTheme="minorEastAsia"/>
                <w:sz w:val="22"/>
                <w:highlight w:val="none"/>
              </w:rPr>
              <w:t>人及以上单数</w:t>
            </w:r>
          </w:p>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7.1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是否授权评标委员会确定中标人</w:t>
            </w:r>
          </w:p>
        </w:tc>
        <w:tc>
          <w:tcPr>
            <w:tcW w:w="6487" w:type="dxa"/>
            <w:vAlign w:val="center"/>
          </w:tcPr>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t>□是</w:t>
            </w:r>
          </w:p>
          <w:p>
            <w:pPr>
              <w:autoSpaceDE w:val="0"/>
              <w:autoSpaceDN w:val="0"/>
              <w:adjustRightInd w:val="0"/>
              <w:snapToGrid w:val="0"/>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7.3.1</w:t>
            </w:r>
          </w:p>
        </w:tc>
        <w:tc>
          <w:tcPr>
            <w:tcW w:w="2004"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履约</w:t>
            </w:r>
            <w:r>
              <w:rPr>
                <w:rFonts w:hint="eastAsia" w:ascii="宋体" w:hAnsi="宋体" w:cs="Calibri"/>
                <w:kern w:val="0"/>
                <w:sz w:val="22"/>
                <w:highlight w:val="none"/>
              </w:rPr>
              <w:t>保证金</w:t>
            </w:r>
          </w:p>
        </w:tc>
        <w:tc>
          <w:tcPr>
            <w:tcW w:w="6487" w:type="dxa"/>
            <w:vAlign w:val="center"/>
          </w:tcPr>
          <w:p>
            <w:pPr>
              <w:autoSpaceDE w:val="0"/>
              <w:autoSpaceDN w:val="0"/>
              <w:adjustRightInd w:val="0"/>
              <w:snapToGrid w:val="0"/>
              <w:jc w:val="left"/>
              <w:rPr>
                <w:rFonts w:ascii="宋体" w:hAnsi="宋体"/>
                <w:sz w:val="22"/>
                <w:highlight w:val="none"/>
              </w:rPr>
            </w:pPr>
            <w:r>
              <w:rPr>
                <w:rFonts w:ascii="宋体" w:hAnsi="宋体"/>
                <w:sz w:val="22"/>
                <w:highlight w:val="none"/>
              </w:rPr>
              <w:t>履约</w:t>
            </w:r>
            <w:r>
              <w:rPr>
                <w:rFonts w:hint="eastAsia" w:ascii="宋体" w:hAnsi="宋体"/>
                <w:sz w:val="22"/>
                <w:highlight w:val="none"/>
              </w:rPr>
              <w:t>保证金</w:t>
            </w:r>
            <w:r>
              <w:rPr>
                <w:rFonts w:ascii="宋体" w:hAnsi="宋体"/>
                <w:sz w:val="22"/>
                <w:highlight w:val="none"/>
              </w:rPr>
              <w:t>的形式：</w:t>
            </w:r>
            <w:r>
              <w:rPr>
                <w:rFonts w:hint="eastAsia" w:ascii="宋体" w:hAnsi="宋体"/>
                <w:sz w:val="22"/>
                <w:highlight w:val="none"/>
              </w:rPr>
              <w:t>银行转账</w:t>
            </w:r>
          </w:p>
          <w:p>
            <w:pPr>
              <w:autoSpaceDE w:val="0"/>
              <w:autoSpaceDN w:val="0"/>
              <w:adjustRightInd w:val="0"/>
              <w:snapToGrid w:val="0"/>
              <w:jc w:val="left"/>
              <w:rPr>
                <w:rFonts w:ascii="宋体" w:hAnsi="宋体"/>
                <w:sz w:val="22"/>
                <w:highlight w:val="none"/>
              </w:rPr>
            </w:pPr>
            <w:r>
              <w:rPr>
                <w:rFonts w:ascii="宋体" w:hAnsi="宋体"/>
                <w:sz w:val="22"/>
                <w:highlight w:val="none"/>
              </w:rPr>
              <w:t>履约</w:t>
            </w:r>
            <w:r>
              <w:rPr>
                <w:rFonts w:hint="eastAsia" w:ascii="宋体" w:hAnsi="宋体"/>
                <w:sz w:val="22"/>
                <w:highlight w:val="none"/>
              </w:rPr>
              <w:t>保证金</w:t>
            </w:r>
            <w:r>
              <w:rPr>
                <w:rFonts w:ascii="宋体" w:hAnsi="宋体"/>
                <w:sz w:val="22"/>
                <w:highlight w:val="none"/>
              </w:rPr>
              <w:t>的金额：</w:t>
            </w:r>
            <w:r>
              <w:rPr>
                <w:rFonts w:hint="eastAsia" w:ascii="宋体" w:hAnsi="宋体"/>
                <w:sz w:val="22"/>
                <w:highlight w:val="none"/>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highlight w:val="none"/>
              </w:rPr>
            </w:pPr>
            <w:r>
              <w:rPr>
                <w:rFonts w:ascii="宋体" w:hAnsi="宋体" w:cs="Calibri"/>
                <w:kern w:val="0"/>
                <w:sz w:val="22"/>
                <w:highlight w:val="none"/>
              </w:rPr>
              <w:t>10</w:t>
            </w:r>
          </w:p>
        </w:tc>
        <w:tc>
          <w:tcPr>
            <w:tcW w:w="8491" w:type="dxa"/>
            <w:gridSpan w:val="2"/>
            <w:vAlign w:val="center"/>
          </w:tcPr>
          <w:p>
            <w:pPr>
              <w:autoSpaceDE w:val="0"/>
              <w:autoSpaceDN w:val="0"/>
              <w:adjustRightInd w:val="0"/>
              <w:snapToGrid w:val="0"/>
              <w:jc w:val="center"/>
              <w:rPr>
                <w:rFonts w:ascii="宋体" w:hAnsi="宋体" w:cs="Calibri"/>
                <w:snapToGrid w:val="0"/>
                <w:sz w:val="22"/>
                <w:highlight w:val="none"/>
              </w:rPr>
            </w:pPr>
            <w:r>
              <w:rPr>
                <w:rFonts w:ascii="宋体" w:hAnsi="宋体" w:cs="Calibri"/>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10.2</w:t>
            </w:r>
          </w:p>
        </w:tc>
        <w:tc>
          <w:tcPr>
            <w:tcW w:w="2004" w:type="dxa"/>
            <w:shd w:val="clear" w:color="auto" w:fill="auto"/>
            <w:vAlign w:val="center"/>
          </w:tcPr>
          <w:p>
            <w:pPr>
              <w:pStyle w:val="50"/>
              <w:rPr>
                <w:rFonts w:cs="Calibri" w:asciiTheme="minorEastAsia" w:hAnsiTheme="minorEastAsia" w:eastAsiaTheme="minorEastAsia"/>
                <w:sz w:val="22"/>
                <w:szCs w:val="22"/>
                <w:highlight w:val="none"/>
              </w:rPr>
            </w:pPr>
            <w:r>
              <w:rPr>
                <w:rFonts w:cs="Calibri" w:asciiTheme="minorEastAsia" w:hAnsiTheme="minorEastAsia" w:eastAsiaTheme="minorEastAsia"/>
                <w:sz w:val="22"/>
                <w:szCs w:val="22"/>
                <w:highlight w:val="none"/>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highlight w:val="none"/>
              </w:rPr>
            </w:pPr>
            <w:r>
              <w:rPr>
                <w:rFonts w:cs="Calibri" w:asciiTheme="minorEastAsia" w:hAnsiTheme="minorEastAsia"/>
                <w:snapToGrid w:val="0"/>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highlight w:val="none"/>
              </w:rPr>
            </w:pPr>
            <w:r>
              <w:rPr>
                <w:rFonts w:cs="Calibri" w:asciiTheme="minorEastAsia" w:hAnsiTheme="minorEastAsia"/>
                <w:snapToGrid w:val="0"/>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highlight w:val="none"/>
              </w:rPr>
            </w:pPr>
            <w:r>
              <w:rPr>
                <w:rFonts w:hint="eastAsia" w:ascii="宋体" w:hAnsi="宋体" w:cs="Calibri"/>
                <w:kern w:val="0"/>
                <w:sz w:val="22"/>
                <w:highlight w:val="none"/>
              </w:rPr>
              <w:t>10.3</w:t>
            </w:r>
          </w:p>
        </w:tc>
        <w:tc>
          <w:tcPr>
            <w:tcW w:w="2004" w:type="dxa"/>
            <w:shd w:val="clear" w:color="auto" w:fill="auto"/>
            <w:vAlign w:val="center"/>
          </w:tcPr>
          <w:p>
            <w:pPr>
              <w:pStyle w:val="50"/>
              <w:rPr>
                <w:highlight w:val="none"/>
              </w:rPr>
            </w:pPr>
            <w:r>
              <w:rPr>
                <w:rFonts w:hint="eastAsia"/>
                <w:highlight w:val="none"/>
              </w:rPr>
              <w:t>备注</w:t>
            </w:r>
          </w:p>
        </w:tc>
        <w:tc>
          <w:tcPr>
            <w:tcW w:w="6487" w:type="dxa"/>
            <w:shd w:val="clear" w:color="auto" w:fill="FFFFFF"/>
            <w:vAlign w:val="center"/>
          </w:tcPr>
          <w:p>
            <w:pPr>
              <w:adjustRightInd w:val="0"/>
              <w:snapToGrid w:val="0"/>
              <w:rPr>
                <w:rFonts w:ascii="宋体" w:hAnsi="宋体" w:cs="Calibri"/>
                <w:snapToGrid w:val="0"/>
                <w:kern w:val="0"/>
                <w:sz w:val="22"/>
                <w:highlight w:val="none"/>
              </w:rPr>
            </w:pPr>
            <w:r>
              <w:rPr>
                <w:rFonts w:ascii="宋体" w:hAnsi="宋体" w:cs="Calibri"/>
                <w:snapToGrid w:val="0"/>
                <w:kern w:val="0"/>
                <w:sz w:val="22"/>
                <w:highlight w:val="none"/>
              </w:rPr>
              <w:t>本前附表内容与招标文件其他内容不一致之处，以本前附表为准。</w:t>
            </w:r>
          </w:p>
        </w:tc>
      </w:tr>
    </w:tbl>
    <w:p>
      <w:pPr>
        <w:autoSpaceDE w:val="0"/>
        <w:autoSpaceDN w:val="0"/>
        <w:adjustRightInd w:val="0"/>
        <w:snapToGrid w:val="0"/>
        <w:spacing w:line="400" w:lineRule="exact"/>
        <w:rPr>
          <w:b/>
          <w:highlight w:val="none"/>
        </w:rPr>
      </w:pPr>
      <w:bookmarkStart w:id="2" w:name="_Toc26216"/>
    </w:p>
    <w:p>
      <w:pPr>
        <w:autoSpaceDE w:val="0"/>
        <w:autoSpaceDN w:val="0"/>
        <w:adjustRightInd w:val="0"/>
        <w:snapToGrid w:val="0"/>
        <w:spacing w:line="360" w:lineRule="exact"/>
        <w:rPr>
          <w:rFonts w:cs="Calibri" w:asciiTheme="minorEastAsia" w:hAnsiTheme="minorEastAsia"/>
          <w:b/>
          <w:bCs/>
          <w:kern w:val="0"/>
          <w:sz w:val="22"/>
          <w:highlight w:val="none"/>
        </w:rPr>
      </w:pPr>
      <w:r>
        <w:rPr>
          <w:b/>
          <w:highlight w:val="none"/>
        </w:rPr>
        <w:br w:type="page"/>
      </w:r>
      <w:bookmarkEnd w:id="2"/>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 xml:space="preserve"> </w:t>
      </w:r>
      <w:r>
        <w:rPr>
          <w:rFonts w:cs="Calibri" w:asciiTheme="minorEastAsia" w:hAnsiTheme="minorEastAsia"/>
          <w:b/>
          <w:bCs/>
          <w:kern w:val="0"/>
          <w:sz w:val="22"/>
          <w:highlight w:val="none"/>
        </w:rPr>
        <w:t>总则</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cs="Calibri" w:asciiTheme="minorEastAsia" w:hAnsiTheme="minorEastAsia"/>
          <w:b/>
          <w:bCs/>
          <w:kern w:val="0"/>
          <w:sz w:val="22"/>
          <w:highlight w:val="none"/>
        </w:rPr>
        <w:t>1.1 项目概况</w:t>
      </w:r>
    </w:p>
    <w:p>
      <w:pPr>
        <w:adjustRightInd w:val="0"/>
        <w:snapToGrid w:val="0"/>
        <w:spacing w:line="360" w:lineRule="exact"/>
        <w:ind w:firstLine="440"/>
        <w:rPr>
          <w:rFonts w:cs="Calibri" w:asciiTheme="minorEastAsia" w:hAnsiTheme="minorEastAsia"/>
          <w:color w:val="000000"/>
          <w:kern w:val="0"/>
          <w:sz w:val="22"/>
          <w:highlight w:val="none"/>
        </w:rPr>
      </w:pPr>
      <w:r>
        <w:rPr>
          <w:rFonts w:cs="Calibri" w:asciiTheme="minorEastAsia" w:hAnsiTheme="minorEastAsia"/>
          <w:color w:val="000000"/>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1.1.2项目</w:t>
      </w:r>
      <w:r>
        <w:rPr>
          <w:rFonts w:hint="eastAsia" w:cs="Calibri" w:asciiTheme="minorEastAsia" w:hAnsiTheme="minorEastAsia"/>
          <w:color w:val="000000"/>
          <w:kern w:val="0"/>
          <w:sz w:val="22"/>
          <w:highlight w:val="none"/>
        </w:rPr>
        <w:t>交货</w:t>
      </w:r>
      <w:r>
        <w:rPr>
          <w:rFonts w:cs="Calibri" w:asciiTheme="minorEastAsia" w:hAnsiTheme="minorEastAsia"/>
          <w:color w:val="000000"/>
          <w:kern w:val="0"/>
          <w:sz w:val="22"/>
          <w:highlight w:val="none"/>
        </w:rPr>
        <w:t>地点见投标人须知前附表</w:t>
      </w:r>
      <w:r>
        <w:rPr>
          <w:rFonts w:cs="Calibri" w:asciiTheme="minorEastAsia" w:hAnsiTheme="minorEastAsia"/>
          <w:color w:val="000000"/>
          <w:sz w:val="22"/>
          <w:highlight w:val="none"/>
        </w:rPr>
        <w:t>。</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3" w:name="_Toc9136"/>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2</w:t>
      </w:r>
      <w:r>
        <w:rPr>
          <w:rFonts w:cs="Calibri" w:asciiTheme="minorEastAsia" w:hAnsiTheme="minorEastAsia"/>
          <w:b/>
          <w:bCs/>
          <w:kern w:val="0"/>
          <w:sz w:val="22"/>
          <w:highlight w:val="none"/>
        </w:rPr>
        <w:t xml:space="preserve"> 资金来源</w:t>
      </w:r>
      <w:bookmarkEnd w:id="3"/>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4" w:name="_Toc10673"/>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3</w:t>
      </w:r>
      <w:r>
        <w:rPr>
          <w:rFonts w:cs="Calibri" w:asciiTheme="minorEastAsia" w:hAnsiTheme="minorEastAsia"/>
          <w:b/>
          <w:bCs/>
          <w:kern w:val="0"/>
          <w:sz w:val="22"/>
          <w:highlight w:val="none"/>
        </w:rPr>
        <w:t xml:space="preserve"> 招标</w:t>
      </w:r>
      <w:bookmarkEnd w:id="4"/>
      <w:r>
        <w:rPr>
          <w:rFonts w:hint="eastAsia" w:cs="Calibri" w:asciiTheme="minorEastAsia" w:hAnsiTheme="minorEastAsia"/>
          <w:b/>
          <w:bCs/>
          <w:kern w:val="0"/>
          <w:sz w:val="22"/>
          <w:highlight w:val="none"/>
        </w:rPr>
        <w:t>内容</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5" w:name="_Toc718"/>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4</w:t>
      </w:r>
      <w:r>
        <w:rPr>
          <w:rFonts w:cs="Calibri" w:asciiTheme="minorEastAsia" w:hAnsiTheme="minorEastAsia"/>
          <w:b/>
          <w:bCs/>
          <w:kern w:val="0"/>
          <w:sz w:val="22"/>
          <w:highlight w:val="none"/>
        </w:rPr>
        <w:t xml:space="preserve"> 招标方式</w:t>
      </w:r>
      <w:bookmarkEnd w:id="5"/>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6" w:name="_Toc9161"/>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 xml:space="preserve">5 </w:t>
      </w:r>
      <w:r>
        <w:rPr>
          <w:rFonts w:cs="Calibri" w:asciiTheme="minorEastAsia" w:hAnsiTheme="minorEastAsia"/>
          <w:b/>
          <w:bCs/>
          <w:kern w:val="0"/>
          <w:sz w:val="22"/>
          <w:highlight w:val="none"/>
        </w:rPr>
        <w:t>资格审查</w:t>
      </w:r>
      <w:bookmarkEnd w:id="6"/>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7" w:name="_Toc13012"/>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6</w:t>
      </w:r>
      <w:r>
        <w:rPr>
          <w:rFonts w:cs="Calibri" w:asciiTheme="minorEastAsia" w:hAnsiTheme="minorEastAsia"/>
          <w:b/>
          <w:bCs/>
          <w:kern w:val="0"/>
          <w:sz w:val="22"/>
          <w:highlight w:val="none"/>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8" w:name="_Toc2796"/>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7</w:t>
      </w:r>
      <w:r>
        <w:rPr>
          <w:rFonts w:cs="Calibri" w:asciiTheme="minorEastAsia" w:hAnsiTheme="minorEastAsia"/>
          <w:b/>
          <w:bCs/>
          <w:kern w:val="0"/>
          <w:sz w:val="22"/>
          <w:highlight w:val="none"/>
        </w:rPr>
        <w:t xml:space="preserve"> </w:t>
      </w:r>
      <w:r>
        <w:rPr>
          <w:rFonts w:hint="eastAsia" w:cs="Calibri" w:asciiTheme="minorEastAsia" w:hAnsiTheme="minorEastAsia"/>
          <w:b/>
          <w:bCs/>
          <w:kern w:val="0"/>
          <w:sz w:val="22"/>
          <w:highlight w:val="none"/>
        </w:rPr>
        <w:t>供货</w:t>
      </w:r>
      <w:r>
        <w:rPr>
          <w:rFonts w:cs="Calibri" w:asciiTheme="minorEastAsia" w:hAnsiTheme="minorEastAsia"/>
          <w:b/>
          <w:bCs/>
          <w:kern w:val="0"/>
          <w:sz w:val="22"/>
          <w:highlight w:val="none"/>
        </w:rPr>
        <w:t>期</w:t>
      </w:r>
      <w:bookmarkEnd w:id="8"/>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hint="eastAsia" w:cs="Calibri" w:asciiTheme="minorEastAsia" w:hAnsiTheme="minorEastAsia"/>
          <w:b/>
          <w:bCs/>
          <w:kern w:val="0"/>
          <w:sz w:val="22"/>
          <w:highlight w:val="none"/>
        </w:rPr>
        <w:t>1.8 质量要求</w:t>
      </w:r>
    </w:p>
    <w:p>
      <w:pPr>
        <w:adjustRightInd w:val="0"/>
        <w:snapToGrid w:val="0"/>
        <w:spacing w:line="360" w:lineRule="exact"/>
        <w:ind w:firstLine="440"/>
        <w:rPr>
          <w:rFonts w:cs="Calibri" w:asciiTheme="minorEastAsia" w:hAnsiTheme="minorEastAsia"/>
          <w:color w:val="000000"/>
          <w:sz w:val="22"/>
          <w:highlight w:val="none"/>
        </w:rPr>
      </w:pPr>
      <w:bookmarkStart w:id="9" w:name="_Toc13907"/>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9</w:t>
      </w:r>
      <w:r>
        <w:rPr>
          <w:rFonts w:cs="Calibri" w:asciiTheme="minorEastAsia" w:hAnsiTheme="minorEastAsia"/>
          <w:b/>
          <w:bCs/>
          <w:kern w:val="0"/>
          <w:sz w:val="22"/>
          <w:highlight w:val="none"/>
        </w:rPr>
        <w:t xml:space="preserve"> 踏勘现场</w:t>
      </w:r>
      <w:bookmarkEnd w:id="9"/>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sz w:val="22"/>
          <w:highlight w:val="none"/>
        </w:rPr>
        <w:t>1.</w:t>
      </w:r>
      <w:r>
        <w:rPr>
          <w:rFonts w:hint="eastAsia" w:cs="Calibri" w:asciiTheme="minorEastAsia" w:hAnsiTheme="minorEastAsia"/>
          <w:sz w:val="22"/>
          <w:highlight w:val="none"/>
        </w:rPr>
        <w:t>9</w:t>
      </w:r>
      <w:r>
        <w:rPr>
          <w:rFonts w:cs="Calibri" w:asciiTheme="minorEastAsia" w:hAnsiTheme="minorEastAsia"/>
          <w:sz w:val="22"/>
          <w:highlight w:val="none"/>
        </w:rPr>
        <w:t>.1</w:t>
      </w:r>
      <w:r>
        <w:rPr>
          <w:rFonts w:cs="Calibri" w:asciiTheme="minorEastAsia" w:hAnsiTheme="minorEastAsia"/>
          <w:color w:val="000000"/>
          <w:sz w:val="22"/>
          <w:highlight w:val="none"/>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.2 投标人踏勘现场发生的费用自理。</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1.</w:t>
      </w:r>
      <w:r>
        <w:rPr>
          <w:rFonts w:hint="eastAsia" w:cs="Calibri" w:asciiTheme="minorEastAsia" w:hAnsiTheme="minorEastAsia"/>
          <w:color w:val="000000"/>
          <w:sz w:val="22"/>
          <w:highlight w:val="none"/>
        </w:rPr>
        <w:t>9</w:t>
      </w:r>
      <w:r>
        <w:rPr>
          <w:rFonts w:cs="Calibri" w:asciiTheme="minorEastAsia" w:hAnsiTheme="minorEastAsia"/>
          <w:color w:val="000000"/>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0" w:name="_Toc4199"/>
      <w:r>
        <w:rPr>
          <w:rFonts w:cs="Calibri" w:asciiTheme="minorEastAsia" w:hAnsiTheme="minorEastAsia"/>
          <w:b/>
          <w:bCs/>
          <w:kern w:val="0"/>
          <w:sz w:val="22"/>
          <w:highlight w:val="none"/>
        </w:rPr>
        <w:t>1.</w:t>
      </w:r>
      <w:r>
        <w:rPr>
          <w:rFonts w:hint="eastAsia" w:cs="Calibri" w:asciiTheme="minorEastAsia" w:hAnsiTheme="minorEastAsia"/>
          <w:b/>
          <w:bCs/>
          <w:kern w:val="0"/>
          <w:sz w:val="22"/>
          <w:highlight w:val="none"/>
        </w:rPr>
        <w:t>10</w:t>
      </w:r>
      <w:r>
        <w:rPr>
          <w:rFonts w:cs="Calibri" w:asciiTheme="minorEastAsia" w:hAnsiTheme="minorEastAsia"/>
          <w:b/>
          <w:bCs/>
          <w:kern w:val="0"/>
          <w:sz w:val="22"/>
          <w:highlight w:val="none"/>
        </w:rPr>
        <w:t xml:space="preserve"> 投标预备会</w:t>
      </w:r>
      <w:bookmarkEnd w:id="10"/>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见投标人须知前附表。</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1" w:name="_Toc4584"/>
      <w:r>
        <w:rPr>
          <w:rFonts w:cs="Calibri" w:asciiTheme="minorEastAsia" w:hAnsiTheme="minorEastAsia"/>
          <w:b/>
          <w:bCs/>
          <w:kern w:val="0"/>
          <w:sz w:val="22"/>
          <w:highlight w:val="none"/>
        </w:rPr>
        <w:t>1.1</w:t>
      </w:r>
      <w:r>
        <w:rPr>
          <w:rFonts w:hint="eastAsia" w:cs="Calibri" w:asciiTheme="minorEastAsia" w:hAnsiTheme="minorEastAsia"/>
          <w:b/>
          <w:bCs/>
          <w:kern w:val="0"/>
          <w:sz w:val="22"/>
          <w:highlight w:val="none"/>
        </w:rPr>
        <w:t>1</w:t>
      </w:r>
      <w:r>
        <w:rPr>
          <w:rFonts w:cs="Calibri" w:asciiTheme="minorEastAsia" w:hAnsiTheme="minorEastAsia"/>
          <w:b/>
          <w:bCs/>
          <w:kern w:val="0"/>
          <w:sz w:val="22"/>
          <w:highlight w:val="none"/>
        </w:rPr>
        <w:t xml:space="preserve"> 分包</w:t>
      </w:r>
      <w:bookmarkEnd w:id="11"/>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本项目</w:t>
      </w:r>
      <w:r>
        <w:rPr>
          <w:rFonts w:hint="eastAsia" w:cs="Calibri" w:asciiTheme="minorEastAsia" w:hAnsiTheme="minorEastAsia"/>
          <w:color w:val="000000"/>
          <w:sz w:val="22"/>
          <w:highlight w:val="none"/>
        </w:rPr>
        <w:t>涉及到其它专业的部分分项工作</w:t>
      </w:r>
      <w:r>
        <w:rPr>
          <w:rFonts w:cs="Calibri" w:asciiTheme="minorEastAsia" w:hAnsiTheme="minorEastAsia"/>
          <w:color w:val="000000"/>
          <w:sz w:val="22"/>
          <w:highlight w:val="none"/>
        </w:rPr>
        <w:t>允许分包。</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2" w:name="_Toc3996"/>
      <w:r>
        <w:rPr>
          <w:rFonts w:cs="Calibri" w:asciiTheme="minorEastAsia" w:hAnsiTheme="minorEastAsia"/>
          <w:b/>
          <w:bCs/>
          <w:kern w:val="0"/>
          <w:sz w:val="22"/>
          <w:highlight w:val="none"/>
        </w:rPr>
        <w:t>1.1</w:t>
      </w:r>
      <w:r>
        <w:rPr>
          <w:rFonts w:hint="eastAsia" w:cs="Calibri" w:asciiTheme="minorEastAsia" w:hAnsiTheme="minorEastAsia"/>
          <w:b/>
          <w:bCs/>
          <w:kern w:val="0"/>
          <w:sz w:val="22"/>
          <w:highlight w:val="none"/>
        </w:rPr>
        <w:t>2</w:t>
      </w:r>
      <w:r>
        <w:rPr>
          <w:rFonts w:cs="Calibri" w:asciiTheme="minorEastAsia" w:hAnsiTheme="minorEastAsia"/>
          <w:b/>
          <w:bCs/>
          <w:kern w:val="0"/>
          <w:sz w:val="22"/>
          <w:highlight w:val="none"/>
        </w:rPr>
        <w:t xml:space="preserve"> 投标费用</w:t>
      </w:r>
      <w:bookmarkEnd w:id="12"/>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3" w:name="_Toc143421657"/>
      <w:bookmarkStart w:id="14" w:name="_Toc15241"/>
      <w:r>
        <w:rPr>
          <w:rFonts w:cs="Calibri" w:asciiTheme="minorEastAsia" w:hAnsiTheme="minorEastAsia"/>
          <w:b/>
          <w:bCs/>
          <w:kern w:val="0"/>
          <w:sz w:val="22"/>
          <w:highlight w:val="none"/>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highlight w:val="none"/>
        </w:rPr>
      </w:pPr>
      <w:bookmarkStart w:id="15" w:name="_Toc1426"/>
      <w:r>
        <w:rPr>
          <w:rFonts w:cs="Calibri" w:asciiTheme="minorEastAsia" w:hAnsiTheme="minorEastAsia"/>
          <w:b/>
          <w:bCs/>
          <w:kern w:val="0"/>
          <w:sz w:val="22"/>
          <w:highlight w:val="none"/>
        </w:rPr>
        <w:t>2.1 招标文件的组成</w:t>
      </w:r>
      <w:bookmarkEnd w:id="15"/>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本招标文件包括：</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（1）招标公告</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（2）投标人须知</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（3）货物需求一览表及技术规格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（4）合同条款</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（5）评标办法</w:t>
      </w:r>
      <w:r>
        <w:rPr>
          <w:rFonts w:hint="eastAsia" w:ascii="宋体" w:hAnsi="宋体" w:cs="Calibri"/>
          <w:kern w:val="0"/>
          <w:sz w:val="22"/>
          <w:highlight w:val="none"/>
        </w:rPr>
        <w:t>及标准</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（6）投标文件格式</w:t>
      </w:r>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6" w:name="_Toc18230"/>
      <w:r>
        <w:rPr>
          <w:rFonts w:cs="Calibri" w:asciiTheme="minorEastAsia" w:hAnsiTheme="minorEastAsia"/>
          <w:b/>
          <w:bCs/>
          <w:kern w:val="0"/>
          <w:sz w:val="22"/>
          <w:highlight w:val="none"/>
        </w:rPr>
        <w:t>2.2 招标文件的澄清</w:t>
      </w:r>
      <w:bookmarkEnd w:id="16"/>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2.2.2</w:t>
      </w:r>
      <w:r>
        <w:rPr>
          <w:rFonts w:hint="eastAsia" w:ascii="Calibri" w:hAnsi="Calibri" w:cs="Calibri"/>
          <w:color w:val="000000"/>
          <w:sz w:val="21"/>
          <w:szCs w:val="21"/>
          <w:highlight w:val="none"/>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highlight w:val="none"/>
        </w:rPr>
      </w:pPr>
      <w:bookmarkStart w:id="17" w:name="_Toc18303"/>
      <w:r>
        <w:rPr>
          <w:rFonts w:cs="Calibri" w:asciiTheme="minorEastAsia" w:hAnsiTheme="minorEastAsia"/>
          <w:b/>
          <w:bCs/>
          <w:kern w:val="0"/>
          <w:sz w:val="22"/>
          <w:highlight w:val="none"/>
        </w:rPr>
        <w:t>2.3 招标文件的修改</w:t>
      </w:r>
      <w:bookmarkEnd w:id="1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kern w:val="0"/>
          <w:sz w:val="22"/>
          <w:highlight w:val="none"/>
        </w:rPr>
        <w:t>2.3.1</w:t>
      </w:r>
      <w:r>
        <w:rPr>
          <w:rFonts w:hint="eastAsia" w:cs="Calibri" w:asciiTheme="minorEastAsia" w:hAnsiTheme="minorEastAsia"/>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highlight w:val="none"/>
        </w:rPr>
      </w:pPr>
      <w:bookmarkStart w:id="18" w:name="_Toc143421658"/>
      <w:bookmarkStart w:id="19" w:name="_Toc18870"/>
      <w:r>
        <w:rPr>
          <w:rFonts w:ascii="宋体" w:hAnsi="宋体" w:cs="Calibri"/>
          <w:b/>
          <w:bCs/>
          <w:kern w:val="0"/>
          <w:sz w:val="22"/>
          <w:highlight w:val="none"/>
        </w:rPr>
        <w:t>3.投标文件</w:t>
      </w:r>
      <w:bookmarkEnd w:id="18"/>
      <w:bookmarkEnd w:id="19"/>
    </w:p>
    <w:p>
      <w:pPr>
        <w:autoSpaceDE w:val="0"/>
        <w:autoSpaceDN w:val="0"/>
        <w:adjustRightInd w:val="0"/>
        <w:snapToGrid w:val="0"/>
        <w:spacing w:line="360" w:lineRule="exact"/>
        <w:rPr>
          <w:rFonts w:ascii="宋体" w:hAnsi="宋体" w:cs="Calibri"/>
          <w:b/>
          <w:bCs/>
          <w:kern w:val="0"/>
          <w:sz w:val="22"/>
          <w:highlight w:val="none"/>
        </w:rPr>
      </w:pPr>
      <w:bookmarkStart w:id="20" w:name="_Toc461"/>
      <w:r>
        <w:rPr>
          <w:rFonts w:ascii="宋体" w:hAnsi="宋体" w:cs="Calibri"/>
          <w:b/>
          <w:bCs/>
          <w:kern w:val="0"/>
          <w:sz w:val="22"/>
          <w:highlight w:val="none"/>
        </w:rPr>
        <w:t>3.1 投标文件的语言和计量单位</w:t>
      </w:r>
      <w:bookmarkEnd w:id="20"/>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3.1.1投标文件与投标有关的所有文件均应使用中文。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3.1.3招标文件中的“天”除特别说明外，均为日历天。</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3.1.4招标文件中所指的“合同”除特别说明外，指 “销售</w:t>
      </w:r>
      <w:r>
        <w:rPr>
          <w:rFonts w:hint="eastAsia" w:ascii="宋体" w:hAnsi="宋体" w:cs="Calibri"/>
          <w:kern w:val="0"/>
          <w:sz w:val="22"/>
          <w:highlight w:val="none"/>
        </w:rPr>
        <w:t>（供货）</w:t>
      </w:r>
      <w:r>
        <w:rPr>
          <w:rFonts w:ascii="宋体" w:hAnsi="宋体" w:cs="Calibri"/>
          <w:kern w:val="0"/>
          <w:sz w:val="22"/>
          <w:highlight w:val="none"/>
        </w:rPr>
        <w:t>合同”。</w:t>
      </w:r>
    </w:p>
    <w:p>
      <w:pPr>
        <w:autoSpaceDE w:val="0"/>
        <w:autoSpaceDN w:val="0"/>
        <w:adjustRightInd w:val="0"/>
        <w:snapToGrid w:val="0"/>
        <w:spacing w:line="360" w:lineRule="exact"/>
        <w:rPr>
          <w:rFonts w:ascii="宋体" w:hAnsi="宋体" w:cs="Calibri"/>
          <w:b/>
          <w:bCs/>
          <w:kern w:val="0"/>
          <w:sz w:val="22"/>
          <w:highlight w:val="none"/>
        </w:rPr>
      </w:pPr>
      <w:bookmarkStart w:id="21" w:name="_Toc1411"/>
      <w:r>
        <w:rPr>
          <w:rFonts w:ascii="宋体" w:hAnsi="宋体" w:cs="Calibri"/>
          <w:b/>
          <w:bCs/>
          <w:kern w:val="0"/>
          <w:sz w:val="22"/>
          <w:highlight w:val="none"/>
        </w:rPr>
        <w:t>3.2 投标文件的组成</w:t>
      </w:r>
      <w:bookmarkEnd w:id="21"/>
    </w:p>
    <w:p>
      <w:pPr>
        <w:adjustRightInd w:val="0"/>
        <w:snapToGrid w:val="0"/>
        <w:spacing w:line="360" w:lineRule="exact"/>
        <w:ind w:firstLine="440"/>
        <w:rPr>
          <w:rFonts w:ascii="宋体" w:hAnsi="宋体" w:cs="Calibri"/>
          <w:sz w:val="22"/>
          <w:highlight w:val="none"/>
        </w:rPr>
      </w:pPr>
      <w:bookmarkStart w:id="22" w:name="_Toc32225"/>
      <w:r>
        <w:rPr>
          <w:rFonts w:ascii="宋体" w:hAnsi="宋体" w:cs="Calibri"/>
          <w:sz w:val="22"/>
          <w:highlight w:val="none"/>
        </w:rPr>
        <w:t>3.2.1投标函；</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2</w:t>
      </w:r>
      <w:r>
        <w:rPr>
          <w:rFonts w:cs="Calibri" w:asciiTheme="minorEastAsia" w:hAnsiTheme="minorEastAsia"/>
          <w:color w:val="000000"/>
          <w:sz w:val="22"/>
          <w:highlight w:val="none"/>
        </w:rPr>
        <w:t>法定代表人资格证明书；</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3</w:t>
      </w:r>
      <w:r>
        <w:rPr>
          <w:rFonts w:cs="Calibri" w:asciiTheme="minorEastAsia" w:hAnsiTheme="minorEastAsia"/>
          <w:color w:val="000000"/>
          <w:sz w:val="22"/>
          <w:highlight w:val="none"/>
        </w:rPr>
        <w:t>授权委托书；</w:t>
      </w:r>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3.2.</w:t>
      </w:r>
      <w:r>
        <w:rPr>
          <w:rFonts w:hint="eastAsia" w:cs="Calibri" w:asciiTheme="minorEastAsia" w:hAnsiTheme="minorEastAsia"/>
          <w:color w:val="000000"/>
          <w:sz w:val="22"/>
          <w:highlight w:val="none"/>
        </w:rPr>
        <w:t>4</w:t>
      </w:r>
      <w:r>
        <w:rPr>
          <w:rFonts w:cs="Calibri" w:asciiTheme="minorEastAsia" w:hAnsiTheme="minorEastAsia"/>
          <w:color w:val="000000"/>
          <w:sz w:val="22"/>
          <w:highlight w:val="none"/>
        </w:rPr>
        <w:t xml:space="preserve"> 投标报价表；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3.2.5投标人资格证明文件：</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3.2.6投标设备每年耗材价格（采样试纸），</w:t>
      </w:r>
      <w:r>
        <w:rPr>
          <w:rFonts w:hint="eastAsia" w:ascii="宋体" w:hAnsi="宋体" w:cs="宋体"/>
          <w:kern w:val="0"/>
          <w:sz w:val="22"/>
          <w:szCs w:val="22"/>
          <w:highlight w:val="none"/>
        </w:rPr>
        <w:t>设备按每年10万次检测计算</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（1）</w:t>
      </w:r>
      <w:r>
        <w:rPr>
          <w:rFonts w:cs="Calibri" w:asciiTheme="minorEastAsia" w:hAnsiTheme="minorEastAsia"/>
          <w:color w:val="000000"/>
          <w:sz w:val="22"/>
          <w:highlight w:val="none"/>
        </w:rPr>
        <w:t>投标人一般情况</w:t>
      </w:r>
      <w:r>
        <w:rPr>
          <w:rFonts w:hint="eastAsia" w:cs="Calibri" w:asciiTheme="minorEastAsia" w:hAnsiTheme="minorEastAsia"/>
          <w:color w:val="000000"/>
          <w:sz w:val="22"/>
          <w:highlight w:val="none"/>
        </w:rPr>
        <w:t>及</w:t>
      </w:r>
      <w:r>
        <w:rPr>
          <w:rFonts w:cs="Calibri" w:asciiTheme="minorEastAsia" w:hAnsiTheme="minorEastAsia"/>
          <w:color w:val="000000"/>
          <w:sz w:val="22"/>
          <w:highlight w:val="none"/>
        </w:rPr>
        <w:t>有关证明投标人法律地位的文件</w:t>
      </w: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djustRightInd w:val="0"/>
        <w:snapToGrid w:val="0"/>
        <w:spacing w:line="360" w:lineRule="exact"/>
        <w:ind w:firstLine="440"/>
        <w:rPr>
          <w:rFonts w:ascii="宋体" w:hAnsi="宋体" w:cs="Arial"/>
          <w:kern w:val="0"/>
          <w:sz w:val="22"/>
          <w:highlight w:val="none"/>
        </w:rPr>
      </w:pPr>
      <w:r>
        <w:rPr>
          <w:rFonts w:hint="eastAsia" w:ascii="宋体" w:hAnsi="宋体" w:cs="Calibri"/>
          <w:sz w:val="22"/>
          <w:highlight w:val="none"/>
        </w:rPr>
        <w:t>（2）</w:t>
      </w:r>
      <w:r>
        <w:rPr>
          <w:rFonts w:hint="eastAsia" w:ascii="宋体" w:hAnsi="宋体" w:cs="宋体"/>
          <w:sz w:val="22"/>
          <w:highlight w:val="none"/>
        </w:rPr>
        <w:t>制造商资格声明</w:t>
      </w:r>
      <w:r>
        <w:rPr>
          <w:rFonts w:hint="eastAsia" w:ascii="宋体" w:hAnsi="宋体" w:cs="Arial"/>
          <w:kern w:val="0"/>
          <w:sz w:val="22"/>
          <w:highlight w:val="none"/>
        </w:rPr>
        <w:t>。</w:t>
      </w:r>
    </w:p>
    <w:p>
      <w:pPr>
        <w:adjustRightInd w:val="0"/>
        <w:snapToGrid w:val="0"/>
        <w:spacing w:line="360" w:lineRule="exact"/>
        <w:ind w:firstLine="440"/>
        <w:rPr>
          <w:rFonts w:ascii="宋体" w:hAnsi="宋体" w:cs="Arial"/>
          <w:kern w:val="0"/>
          <w:sz w:val="22"/>
          <w:highlight w:val="none"/>
        </w:rPr>
      </w:pPr>
      <w:r>
        <w:rPr>
          <w:rFonts w:hint="eastAsia" w:ascii="宋体" w:hAnsi="宋体" w:cs="Arial"/>
          <w:kern w:val="0"/>
          <w:sz w:val="22"/>
          <w:highlight w:val="none"/>
        </w:rPr>
        <w:t>（3）</w:t>
      </w:r>
      <w:r>
        <w:rPr>
          <w:rFonts w:ascii="宋体" w:hAnsi="宋体" w:cs="Calibri"/>
          <w:color w:val="000000"/>
          <w:sz w:val="22"/>
          <w:szCs w:val="22"/>
          <w:highlight w:val="none"/>
        </w:rPr>
        <w:t>设备制造商的授权书</w:t>
      </w:r>
      <w:r>
        <w:rPr>
          <w:rFonts w:hint="eastAsia" w:ascii="宋体" w:hAnsi="宋体" w:cs="Calibri"/>
          <w:color w:val="000000"/>
          <w:sz w:val="22"/>
          <w:szCs w:val="22"/>
          <w:highlight w:val="none"/>
        </w:rPr>
        <w:t>（代理商投标时提供）</w:t>
      </w:r>
    </w:p>
    <w:p>
      <w:pPr>
        <w:adjustRightInd w:val="0"/>
        <w:snapToGrid w:val="0"/>
        <w:spacing w:line="360" w:lineRule="exact"/>
        <w:ind w:firstLine="440"/>
        <w:rPr>
          <w:rFonts w:ascii="宋体" w:hAnsi="宋体" w:cs="Calibri"/>
          <w:sz w:val="22"/>
          <w:highlight w:val="none"/>
        </w:rPr>
      </w:pPr>
      <w:r>
        <w:rPr>
          <w:rFonts w:hint="eastAsia" w:ascii="宋体" w:hAnsi="宋体" w:cs="Arial"/>
          <w:kern w:val="0"/>
          <w:sz w:val="22"/>
          <w:highlight w:val="none"/>
        </w:rPr>
        <w:t>（4）</w:t>
      </w:r>
      <w:r>
        <w:rPr>
          <w:rFonts w:hint="eastAsia" w:ascii="宋体" w:hAnsi="宋体" w:cs="Calibri"/>
          <w:sz w:val="22"/>
          <w:highlight w:val="none"/>
        </w:rPr>
        <w:t>投标产品近三年的销售业绩一览表（附业绩的合同）。</w:t>
      </w:r>
    </w:p>
    <w:p>
      <w:pPr>
        <w:adjustRightInd w:val="0"/>
        <w:snapToGrid w:val="0"/>
        <w:spacing w:line="360" w:lineRule="exact"/>
        <w:ind w:firstLine="440"/>
        <w:rPr>
          <w:rFonts w:ascii="宋体" w:hAnsi="宋体" w:cs="宋体"/>
          <w:sz w:val="22"/>
          <w:highlight w:val="none"/>
        </w:rPr>
      </w:pPr>
      <w:r>
        <w:rPr>
          <w:rFonts w:ascii="宋体" w:hAnsi="宋体" w:cs="Calibri"/>
          <w:sz w:val="22"/>
          <w:highlight w:val="none"/>
        </w:rPr>
        <w:t>3.2.6</w:t>
      </w:r>
      <w:r>
        <w:rPr>
          <w:rFonts w:hint="eastAsia" w:ascii="宋体" w:hAnsi="宋体" w:cs="宋体"/>
          <w:sz w:val="22"/>
          <w:highlight w:val="none"/>
        </w:rPr>
        <w:t>技术规格偏离表；</w:t>
      </w:r>
    </w:p>
    <w:p>
      <w:pPr>
        <w:adjustRightInd w:val="0"/>
        <w:snapToGrid w:val="0"/>
        <w:spacing w:line="360" w:lineRule="exact"/>
        <w:ind w:firstLine="440"/>
        <w:rPr>
          <w:rFonts w:ascii="宋体" w:hAnsi="宋体" w:cs="Calibri"/>
          <w:sz w:val="22"/>
          <w:highlight w:val="none"/>
        </w:rPr>
      </w:pPr>
      <w:r>
        <w:rPr>
          <w:rFonts w:hint="eastAsia" w:ascii="宋体" w:hAnsi="宋体" w:cs="宋体"/>
          <w:sz w:val="22"/>
          <w:highlight w:val="none"/>
        </w:rPr>
        <w:t>3.2.7 商务条款响应偏离表；</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3.2.9技术参数、结构及性能特点等产品技术规格书；</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3.2.10主要原材料及部件性能和生产厂家；</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3.2.11产品制造、安装、验收标准和验收方法；</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3.2.12现场指导、调试；</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3.2.13</w:t>
      </w:r>
      <w:r>
        <w:rPr>
          <w:rFonts w:ascii="宋体" w:hAnsi="宋体" w:cs="宋体"/>
          <w:sz w:val="22"/>
          <w:highlight w:val="none"/>
        </w:rPr>
        <w:t>产品的技术服务和售后服务的内容、措施、承诺</w:t>
      </w:r>
      <w:r>
        <w:rPr>
          <w:rFonts w:hint="eastAsia" w:ascii="宋体" w:hAnsi="宋体" w:cs="宋体"/>
          <w:sz w:val="22"/>
          <w:highlight w:val="none"/>
        </w:rPr>
        <w:t>；</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3.2.14提供详细的培训计划，包括培训内容、培训时间、培训人数等；</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3.2.15关于质量保证期的说明；</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highlight w:val="none"/>
        </w:rPr>
      </w:pPr>
      <w:r>
        <w:rPr>
          <w:rFonts w:hint="eastAsia" w:ascii="宋体" w:hAnsi="宋体" w:cs="宋体"/>
          <w:sz w:val="22"/>
          <w:highlight w:val="none"/>
        </w:rPr>
        <w:t>3.2.17</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3.3 投标报价</w:t>
      </w:r>
      <w:bookmarkEnd w:id="22"/>
    </w:p>
    <w:p>
      <w:pPr>
        <w:adjustRightInd w:val="0"/>
        <w:snapToGrid w:val="0"/>
        <w:spacing w:line="360" w:lineRule="exact"/>
        <w:ind w:firstLine="440"/>
        <w:rPr>
          <w:rFonts w:ascii="宋体" w:hAnsi="宋体" w:cs="Calibri"/>
          <w:sz w:val="22"/>
          <w:highlight w:val="none"/>
        </w:rPr>
      </w:pPr>
      <w:bookmarkStart w:id="23" w:name="_Toc13307"/>
      <w:r>
        <w:rPr>
          <w:rFonts w:ascii="宋体" w:hAnsi="宋体" w:cs="Calibri"/>
          <w:sz w:val="22"/>
          <w:highlight w:val="none"/>
        </w:rPr>
        <w:t>3.3.1</w:t>
      </w:r>
      <w:r>
        <w:rPr>
          <w:rFonts w:hint="eastAsia" w:ascii="宋体" w:hAnsi="宋体" w:cs="宋体"/>
          <w:sz w:val="22"/>
          <w:highlight w:val="none"/>
        </w:rPr>
        <w:t>投标人递交的投标函及投标报价表中的投标总价必须一致。</w:t>
      </w:r>
      <w:r>
        <w:rPr>
          <w:rFonts w:ascii="宋体" w:hAnsi="宋体" w:cs="Calibri"/>
          <w:sz w:val="22"/>
          <w:highlight w:val="none"/>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highlight w:val="none"/>
        </w:rPr>
      </w:pPr>
      <w:r>
        <w:rPr>
          <w:rFonts w:ascii="宋体" w:hAnsi="宋体" w:cs="Calibri"/>
          <w:sz w:val="22"/>
          <w:highlight w:val="none"/>
        </w:rPr>
        <w:t>3.3.</w:t>
      </w:r>
      <w:r>
        <w:rPr>
          <w:rFonts w:hint="eastAsia" w:ascii="宋体" w:hAnsi="宋体" w:cs="Calibri"/>
          <w:sz w:val="22"/>
          <w:highlight w:val="none"/>
        </w:rPr>
        <w:t>2</w:t>
      </w:r>
      <w:r>
        <w:rPr>
          <w:rFonts w:hint="eastAsia" w:ascii="宋体" w:hAnsi="宋体" w:cs="宋体"/>
          <w:sz w:val="22"/>
          <w:highlight w:val="none"/>
        </w:rPr>
        <w:t>投标人所报投标总价应为投标人为完成本项目所发生的一切费用（包含并不限于货物</w:t>
      </w:r>
      <w:r>
        <w:rPr>
          <w:rFonts w:ascii="宋体" w:hAnsi="宋体" w:cs="宋体"/>
          <w:sz w:val="22"/>
          <w:highlight w:val="none"/>
        </w:rPr>
        <w:t>的</w:t>
      </w:r>
      <w:r>
        <w:rPr>
          <w:rFonts w:hint="eastAsia" w:ascii="宋体" w:hAnsi="宋体" w:cs="宋体"/>
          <w:sz w:val="22"/>
          <w:highlight w:val="none"/>
        </w:rPr>
        <w:t>供货、运输（包括送至招标人指定地点卸车）、包装费、保险费、税费、验收、技术培训及售后服务等）</w:t>
      </w:r>
      <w:r>
        <w:rPr>
          <w:rFonts w:ascii="宋体" w:hAnsi="宋体" w:cs="宋体"/>
          <w:sz w:val="22"/>
          <w:highlight w:val="none"/>
        </w:rPr>
        <w:t>，包括</w:t>
      </w:r>
      <w:r>
        <w:rPr>
          <w:rFonts w:hint="eastAsia" w:ascii="宋体" w:hAnsi="宋体" w:cs="宋体"/>
          <w:sz w:val="22"/>
          <w:highlight w:val="none"/>
        </w:rPr>
        <w:t>货物供货</w:t>
      </w:r>
      <w:r>
        <w:rPr>
          <w:rFonts w:ascii="宋体" w:hAnsi="宋体" w:cs="宋体"/>
          <w:sz w:val="22"/>
          <w:highlight w:val="none"/>
        </w:rPr>
        <w:t>及相关服务等全过程产生的所有成本和费用以及一切税费</w:t>
      </w:r>
      <w:r>
        <w:rPr>
          <w:rFonts w:ascii="宋体" w:hAnsi="宋体" w:cs="Calibri"/>
          <w:sz w:val="22"/>
          <w:highlight w:val="none"/>
        </w:rPr>
        <w:t>；</w:t>
      </w:r>
      <w:r>
        <w:rPr>
          <w:rFonts w:ascii="宋体" w:hAnsi="宋体" w:cs="宋体"/>
          <w:bCs/>
          <w:sz w:val="22"/>
          <w:highlight w:val="none"/>
        </w:rPr>
        <w:t xml:space="preserve"> </w:t>
      </w:r>
    </w:p>
    <w:p>
      <w:pPr>
        <w:adjustRightInd w:val="0"/>
        <w:snapToGrid w:val="0"/>
        <w:spacing w:line="360" w:lineRule="exact"/>
        <w:ind w:firstLine="440"/>
        <w:rPr>
          <w:rFonts w:ascii="宋体" w:hAnsi="宋体" w:cs="宋体"/>
          <w:sz w:val="22"/>
          <w:highlight w:val="none"/>
        </w:rPr>
      </w:pPr>
      <w:r>
        <w:rPr>
          <w:rFonts w:ascii="宋体" w:hAnsi="宋体" w:cs="Calibri"/>
          <w:sz w:val="22"/>
          <w:highlight w:val="none"/>
        </w:rPr>
        <w:t>3.3.</w:t>
      </w:r>
      <w:r>
        <w:rPr>
          <w:rFonts w:hint="eastAsia" w:ascii="宋体" w:hAnsi="宋体" w:cs="Calibri"/>
          <w:sz w:val="22"/>
          <w:highlight w:val="none"/>
        </w:rPr>
        <w:t>3</w:t>
      </w:r>
      <w:r>
        <w:rPr>
          <w:rFonts w:hint="eastAsia" w:ascii="宋体" w:hAnsi="宋体" w:cs="宋体"/>
          <w:sz w:val="22"/>
          <w:highlight w:val="none"/>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4</w:t>
      </w:r>
      <w:r>
        <w:rPr>
          <w:rFonts w:hint="eastAsia" w:ascii="宋体" w:hAnsi="宋体" w:cs="宋体"/>
          <w:sz w:val="22"/>
          <w:highlight w:val="none"/>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5投标人(如中标)在投标文件中提供的货物清单和报价将是签订合同的唯一依据，其报价在本次投标有效期内不能发生改变（</w:t>
      </w:r>
      <w:r>
        <w:rPr>
          <w:rFonts w:hint="eastAsia" w:ascii="宋体" w:hAnsi="宋体" w:cs="宋体"/>
          <w:sz w:val="22"/>
          <w:highlight w:val="none"/>
        </w:rPr>
        <w:t>招标人变更除外）</w:t>
      </w:r>
      <w:r>
        <w:rPr>
          <w:rFonts w:hint="eastAsia" w:ascii="宋体" w:hAnsi="宋体" w:cs="Calibri"/>
          <w:sz w:val="22"/>
          <w:highlight w:val="none"/>
        </w:rPr>
        <w:t>。如有改变，招标人将拒绝与其签订合同。</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6投标人对每种货物只允许有一个报价。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7招标人不接受任何折扣优惠报价，不接受任何赠送和选择性报价。</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3.3.</w:t>
      </w:r>
      <w:r>
        <w:rPr>
          <w:rFonts w:hint="eastAsia" w:ascii="宋体" w:hAnsi="宋体" w:cs="Calibri"/>
          <w:sz w:val="22"/>
          <w:highlight w:val="none"/>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3.3.9其它须在报价中考虑的因素：</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（2）交付验收前产品的保护费由投标人自行考虑并计入总价。</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highlight w:val="none"/>
        </w:rPr>
      </w:pPr>
      <w:r>
        <w:rPr>
          <w:rFonts w:hint="eastAsia" w:ascii="宋体" w:hAnsi="宋体" w:cs="Calibri"/>
          <w:sz w:val="22"/>
          <w:highlight w:val="none"/>
        </w:rPr>
        <w:t>3.3.10</w:t>
      </w:r>
      <w:r>
        <w:rPr>
          <w:rFonts w:hint="eastAsia" w:cs="Calibri" w:asciiTheme="minorEastAsia" w:hAnsiTheme="minorEastAsia"/>
          <w:b/>
          <w:color w:val="000000"/>
          <w:kern w:val="0"/>
          <w:sz w:val="22"/>
          <w:highlight w:val="none"/>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highlight w:val="none"/>
        </w:rPr>
        <w:t>。</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3.4 投标有效期</w:t>
      </w:r>
      <w:bookmarkEnd w:id="23"/>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highlight w:val="none"/>
        </w:rPr>
      </w:pPr>
      <w:bookmarkStart w:id="24" w:name="_Toc30464"/>
      <w:r>
        <w:rPr>
          <w:rFonts w:ascii="宋体" w:hAnsi="宋体" w:cs="Calibri"/>
          <w:b/>
          <w:bCs/>
          <w:kern w:val="0"/>
          <w:sz w:val="22"/>
          <w:highlight w:val="none"/>
        </w:rPr>
        <w:t>3.5 投标保证金</w:t>
      </w:r>
      <w:bookmarkEnd w:id="24"/>
      <w:r>
        <w:rPr>
          <w:rFonts w:hint="eastAsia" w:ascii="宋体" w:hAnsi="宋体" w:cs="Calibri"/>
          <w:b/>
          <w:bCs/>
          <w:kern w:val="0"/>
          <w:sz w:val="22"/>
          <w:highlight w:val="none"/>
        </w:rPr>
        <w:t>（如有）</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3.5.1投标人在递交投标文件的同时，应按投标人须知前附表规定的金额、担保形式和第</w:t>
      </w:r>
      <w:r>
        <w:rPr>
          <w:rFonts w:hint="eastAsia" w:ascii="宋体" w:hAnsi="宋体" w:cs="Calibri"/>
          <w:kern w:val="0"/>
          <w:sz w:val="22"/>
          <w:highlight w:val="none"/>
        </w:rPr>
        <w:t>六</w:t>
      </w:r>
      <w:r>
        <w:rPr>
          <w:rFonts w:ascii="宋体" w:hAnsi="宋体" w:cs="Calibri"/>
          <w:kern w:val="0"/>
          <w:sz w:val="22"/>
          <w:highlight w:val="none"/>
        </w:rPr>
        <w:t>章</w:t>
      </w:r>
      <w:r>
        <w:rPr>
          <w:rFonts w:ascii="宋体" w:hAnsi="宋体" w:cs="Calibri"/>
          <w:sz w:val="22"/>
          <w:highlight w:val="none"/>
        </w:rPr>
        <w:t>“投标文件格式”</w:t>
      </w:r>
      <w:r>
        <w:rPr>
          <w:rFonts w:ascii="宋体" w:hAnsi="宋体" w:cs="Calibri"/>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3.5.2招标人与中标人签订合同书后5日内，应当向未中标的投标人和中标人</w:t>
      </w:r>
      <w:r>
        <w:rPr>
          <w:rFonts w:hint="eastAsia" w:ascii="宋体" w:hAnsi="宋体" w:cs="Calibri"/>
          <w:kern w:val="0"/>
          <w:sz w:val="22"/>
          <w:highlight w:val="none"/>
        </w:rPr>
        <w:t>无息</w:t>
      </w:r>
      <w:r>
        <w:rPr>
          <w:rFonts w:ascii="宋体" w:hAnsi="宋体" w:cs="Calibri"/>
          <w:kern w:val="0"/>
          <w:sz w:val="22"/>
          <w:highlight w:val="none"/>
        </w:rPr>
        <w:t>退还投标保证金。</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（2）</w:t>
      </w:r>
      <w:r>
        <w:rPr>
          <w:rFonts w:cs="Calibri" w:asciiTheme="minorEastAsia" w:hAnsiTheme="minorEastAsia"/>
          <w:color w:val="000000"/>
          <w:kern w:val="0"/>
          <w:sz w:val="22"/>
          <w:highlight w:val="none"/>
        </w:rPr>
        <w:t>中标人在收到中标通知书后，</w:t>
      </w:r>
      <w:r>
        <w:rPr>
          <w:rFonts w:cs="Calibri" w:asciiTheme="minorEastAsia" w:hAnsiTheme="minorEastAsia"/>
          <w:color w:val="000000"/>
          <w:sz w:val="22"/>
          <w:highlight w:val="none"/>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highlight w:val="none"/>
        </w:rPr>
      </w:pPr>
      <w:bookmarkStart w:id="25" w:name="_Toc29989"/>
      <w:r>
        <w:rPr>
          <w:rFonts w:ascii="宋体" w:hAnsi="宋体" w:cs="Calibri"/>
          <w:b/>
          <w:bCs/>
          <w:kern w:val="0"/>
          <w:sz w:val="22"/>
          <w:highlight w:val="none"/>
        </w:rPr>
        <w:t>3.6 投标文件的编制</w:t>
      </w:r>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3.6.1 投标文件应按本须知第3.2款规定的内容和第</w:t>
      </w:r>
      <w:r>
        <w:rPr>
          <w:rFonts w:hint="eastAsia" w:ascii="宋体" w:hAnsi="宋体" w:cs="Calibri"/>
          <w:sz w:val="22"/>
          <w:highlight w:val="none"/>
        </w:rPr>
        <w:t>六</w:t>
      </w:r>
      <w:r>
        <w:rPr>
          <w:rFonts w:ascii="宋体" w:hAnsi="宋体" w:cs="Calibri"/>
          <w:sz w:val="22"/>
          <w:highlight w:val="none"/>
        </w:rPr>
        <w:t>章“投标文件格式”进行编写，如有必要，可以增加附页，作为投标文件的组成部分，“投标文件格式”中没有规定的可自行编制格式。其中，</w:t>
      </w:r>
      <w:r>
        <w:rPr>
          <w:rFonts w:hint="eastAsia" w:ascii="宋体" w:hAnsi="宋体" w:cs="Calibri"/>
          <w:sz w:val="22"/>
          <w:highlight w:val="none"/>
        </w:rPr>
        <w:t>供货期</w:t>
      </w:r>
      <w:r>
        <w:rPr>
          <w:rFonts w:ascii="宋体" w:hAnsi="宋体" w:cs="Calibri"/>
          <w:sz w:val="22"/>
          <w:highlight w:val="none"/>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 xml:space="preserve">3.6.2 </w:t>
      </w:r>
      <w:r>
        <w:rPr>
          <w:rFonts w:ascii="宋体" w:hAnsi="宋体" w:cs="Calibri"/>
          <w:kern w:val="0"/>
          <w:sz w:val="22"/>
          <w:highlight w:val="none"/>
        </w:rPr>
        <w:t>投标文件应对招标文件有关</w:t>
      </w:r>
      <w:r>
        <w:rPr>
          <w:rFonts w:hint="eastAsia" w:ascii="宋体" w:hAnsi="宋体" w:cs="Calibri"/>
          <w:kern w:val="0"/>
          <w:sz w:val="22"/>
          <w:highlight w:val="none"/>
        </w:rPr>
        <w:t>供货期</w:t>
      </w:r>
      <w:r>
        <w:rPr>
          <w:rFonts w:ascii="宋体" w:hAnsi="宋体" w:cs="Calibri"/>
          <w:kern w:val="0"/>
          <w:sz w:val="22"/>
          <w:highlight w:val="none"/>
        </w:rPr>
        <w:t>、投标有效期、招标</w:t>
      </w:r>
      <w:r>
        <w:rPr>
          <w:rFonts w:hint="eastAsia" w:ascii="宋体" w:hAnsi="宋体" w:cs="Calibri"/>
          <w:kern w:val="0"/>
          <w:sz w:val="22"/>
          <w:highlight w:val="none"/>
        </w:rPr>
        <w:t>内容</w:t>
      </w:r>
      <w:r>
        <w:rPr>
          <w:rFonts w:ascii="宋体" w:hAnsi="宋体" w:cs="Calibri"/>
          <w:kern w:val="0"/>
          <w:sz w:val="22"/>
          <w:highlight w:val="none"/>
        </w:rPr>
        <w:t>等实质性内容作出响应。</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highlight w:val="none"/>
        </w:rPr>
        <w:t>签字或盖章的具体要求见投标人须知前附表。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3.6.4投标文件正本一份， 副本份数见投标人须知前附表。正本、副本的封面上应清楚地标记</w:t>
      </w:r>
      <w:r>
        <w:rPr>
          <w:rFonts w:ascii="宋体" w:hAnsi="宋体" w:cs="Calibri"/>
          <w:b/>
          <w:bCs/>
          <w:sz w:val="22"/>
          <w:highlight w:val="none"/>
        </w:rPr>
        <w:t>“正本</w:t>
      </w:r>
      <w:r>
        <w:rPr>
          <w:rFonts w:ascii="宋体" w:hAnsi="宋体" w:cs="Calibri"/>
          <w:sz w:val="22"/>
          <w:highlight w:val="none"/>
        </w:rPr>
        <w:t>”或“</w:t>
      </w:r>
      <w:r>
        <w:rPr>
          <w:rFonts w:ascii="宋体" w:hAnsi="宋体" w:cs="Calibri"/>
          <w:b/>
          <w:bCs/>
          <w:sz w:val="22"/>
          <w:highlight w:val="none"/>
        </w:rPr>
        <w:t>副本</w:t>
      </w:r>
      <w:r>
        <w:rPr>
          <w:rFonts w:ascii="宋体" w:hAnsi="宋体" w:cs="Calibri"/>
          <w:sz w:val="22"/>
          <w:highlight w:val="none"/>
        </w:rPr>
        <w:t>”的字样。当副本和正本不一致时，以正本为准。</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highlight w:val="none"/>
        </w:rPr>
      </w:pPr>
      <w:bookmarkStart w:id="27" w:name="_Toc32652"/>
      <w:r>
        <w:rPr>
          <w:rFonts w:ascii="宋体" w:hAnsi="宋体" w:cs="Calibri"/>
          <w:b/>
          <w:bCs/>
          <w:kern w:val="0"/>
          <w:sz w:val="22"/>
          <w:highlight w:val="none"/>
        </w:rPr>
        <w:t>4.投标</w:t>
      </w:r>
      <w:bookmarkEnd w:id="26"/>
      <w:bookmarkEnd w:id="27"/>
    </w:p>
    <w:p>
      <w:pPr>
        <w:autoSpaceDE w:val="0"/>
        <w:autoSpaceDN w:val="0"/>
        <w:adjustRightInd w:val="0"/>
        <w:snapToGrid w:val="0"/>
        <w:spacing w:line="360" w:lineRule="exact"/>
        <w:rPr>
          <w:rFonts w:ascii="宋体" w:hAnsi="宋体" w:cs="Calibri"/>
          <w:b/>
          <w:bCs/>
          <w:kern w:val="0"/>
          <w:sz w:val="22"/>
          <w:highlight w:val="none"/>
        </w:rPr>
      </w:pPr>
      <w:bookmarkStart w:id="28" w:name="_Toc649"/>
      <w:r>
        <w:rPr>
          <w:rFonts w:ascii="宋体" w:hAnsi="宋体" w:cs="Calibri"/>
          <w:b/>
          <w:bCs/>
          <w:kern w:val="0"/>
          <w:sz w:val="22"/>
          <w:highlight w:val="none"/>
        </w:rPr>
        <w:t>4.1 投标文件的密封和标识</w:t>
      </w:r>
      <w:bookmarkEnd w:id="28"/>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4.1.1</w:t>
      </w:r>
      <w:r>
        <w:rPr>
          <w:rFonts w:ascii="宋体" w:hAnsi="宋体" w:cs="Calibri"/>
          <w:kern w:val="0"/>
          <w:sz w:val="22"/>
          <w:highlight w:val="none"/>
        </w:rPr>
        <w:t>投标文件的正本、副本及电子文档可一同</w:t>
      </w:r>
      <w:r>
        <w:rPr>
          <w:rFonts w:hint="eastAsia" w:ascii="宋体" w:hAnsi="宋体" w:cs="Calibri"/>
          <w:kern w:val="0"/>
          <w:sz w:val="22"/>
          <w:highlight w:val="none"/>
        </w:rPr>
        <w:t>密封</w:t>
      </w:r>
      <w:r>
        <w:rPr>
          <w:rFonts w:ascii="宋体" w:hAnsi="宋体" w:cs="Calibri"/>
          <w:kern w:val="0"/>
          <w:sz w:val="22"/>
          <w:highlight w:val="none"/>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4.1.</w:t>
      </w:r>
      <w:r>
        <w:rPr>
          <w:rFonts w:hint="eastAsia" w:ascii="宋体" w:hAnsi="宋体" w:cs="Calibri"/>
          <w:kern w:val="0"/>
          <w:sz w:val="22"/>
          <w:highlight w:val="none"/>
        </w:rPr>
        <w:t>4</w:t>
      </w:r>
      <w:r>
        <w:rPr>
          <w:rFonts w:ascii="宋体" w:hAnsi="宋体" w:cs="Calibri"/>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highlight w:val="none"/>
        </w:rPr>
      </w:pPr>
      <w:bookmarkStart w:id="29" w:name="_Toc16616"/>
      <w:r>
        <w:rPr>
          <w:rFonts w:ascii="宋体" w:hAnsi="宋体" w:cs="Calibri"/>
          <w:b/>
          <w:bCs/>
          <w:kern w:val="0"/>
          <w:sz w:val="22"/>
          <w:highlight w:val="none"/>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highlight w:val="none"/>
        </w:rPr>
      </w:pPr>
      <w:r>
        <w:rPr>
          <w:rFonts w:ascii="宋体" w:hAnsi="宋体" w:cs="Calibri"/>
          <w:b/>
          <w:bCs/>
          <w:kern w:val="0"/>
          <w:sz w:val="22"/>
          <w:highlight w:val="none"/>
        </w:rPr>
        <w:t>4.2.1投标人应在本须知前附表规定的投标截止时间前递交投标文件。</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4.2.2投标人送达投标文件的地点：见投标人须知前附表。</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4.2.3除投标人须知前附表另有规定外，投标人所递交的投标文件不予退还。</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4.2.</w:t>
      </w:r>
      <w:r>
        <w:rPr>
          <w:rFonts w:hint="eastAsia" w:ascii="宋体" w:hAnsi="宋体" w:cs="Calibri"/>
          <w:sz w:val="22"/>
          <w:highlight w:val="none"/>
        </w:rPr>
        <w:t>4</w:t>
      </w:r>
      <w:r>
        <w:rPr>
          <w:rFonts w:ascii="宋体" w:hAnsi="宋体" w:cs="Calibri"/>
          <w:sz w:val="22"/>
          <w:highlight w:val="none"/>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highlight w:val="none"/>
        </w:rPr>
      </w:pPr>
      <w:bookmarkStart w:id="30" w:name="_Toc26099"/>
      <w:r>
        <w:rPr>
          <w:rFonts w:ascii="宋体" w:hAnsi="宋体" w:cs="Calibri"/>
          <w:b/>
          <w:bCs/>
          <w:kern w:val="0"/>
          <w:sz w:val="22"/>
          <w:highlight w:val="none"/>
        </w:rPr>
        <w:t>4.3 投标文件的修改和撤回</w:t>
      </w:r>
      <w:bookmarkEnd w:id="30"/>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highlight w:val="none"/>
        </w:rPr>
      </w:pPr>
      <w:bookmarkStart w:id="31" w:name="_Toc29641"/>
      <w:r>
        <w:rPr>
          <w:rFonts w:ascii="宋体" w:hAnsi="宋体" w:cs="Calibri"/>
          <w:b/>
          <w:bCs/>
          <w:kern w:val="0"/>
          <w:sz w:val="22"/>
          <w:highlight w:val="none"/>
        </w:rPr>
        <w:t>5.开标</w:t>
      </w:r>
      <w:bookmarkEnd w:id="31"/>
    </w:p>
    <w:p>
      <w:pPr>
        <w:autoSpaceDE w:val="0"/>
        <w:autoSpaceDN w:val="0"/>
        <w:adjustRightInd w:val="0"/>
        <w:snapToGrid w:val="0"/>
        <w:spacing w:line="360" w:lineRule="exact"/>
        <w:rPr>
          <w:rFonts w:ascii="宋体" w:hAnsi="宋体" w:cs="Calibri"/>
          <w:b/>
          <w:bCs/>
          <w:kern w:val="0"/>
          <w:sz w:val="22"/>
          <w:highlight w:val="none"/>
        </w:rPr>
      </w:pPr>
      <w:bookmarkStart w:id="32" w:name="_Toc15123"/>
      <w:r>
        <w:rPr>
          <w:rFonts w:ascii="宋体" w:hAnsi="宋体" w:cs="Calibri"/>
          <w:b/>
          <w:bCs/>
          <w:kern w:val="0"/>
          <w:sz w:val="22"/>
          <w:highlight w:val="none"/>
        </w:rPr>
        <w:t>5.1 开标时间和地点</w:t>
      </w:r>
      <w:bookmarkEnd w:id="32"/>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5.1.1</w:t>
      </w:r>
      <w:r>
        <w:rPr>
          <w:rFonts w:hint="eastAsia" w:ascii="宋体" w:hAnsi="宋体" w:cs="Calibri"/>
          <w:sz w:val="22"/>
          <w:highlight w:val="none"/>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5.1.2投标人在投标时应随身携带下列资料提交招标</w:t>
      </w:r>
      <w:r>
        <w:rPr>
          <w:rFonts w:hint="eastAsia" w:ascii="宋体" w:hAnsi="宋体" w:cs="Calibri"/>
          <w:sz w:val="22"/>
          <w:highlight w:val="none"/>
        </w:rPr>
        <w:t>人</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（1）委托代理人的身份证、法定代表人授权委托书</w:t>
      </w:r>
      <w:r>
        <w:rPr>
          <w:rFonts w:hint="eastAsia" w:ascii="宋体" w:hAnsi="宋体" w:cs="Calibri"/>
          <w:sz w:val="22"/>
          <w:highlight w:val="none"/>
        </w:rPr>
        <w:t>（装订在投标文件内亦可）</w:t>
      </w:r>
      <w:r>
        <w:rPr>
          <w:rFonts w:ascii="宋体" w:hAnsi="宋体" w:cs="Calibri"/>
          <w:sz w:val="22"/>
          <w:highlight w:val="none"/>
        </w:rPr>
        <w:t>；</w:t>
      </w:r>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（2）投标保证金收执证明或汇款凭证或银行回单</w:t>
      </w:r>
      <w:r>
        <w:rPr>
          <w:rFonts w:hint="eastAsia" w:ascii="宋体" w:hAnsi="宋体" w:cs="Calibri"/>
          <w:sz w:val="22"/>
          <w:highlight w:val="none"/>
        </w:rPr>
        <w:t>（装订在投标文件内亦可）</w:t>
      </w:r>
      <w:r>
        <w:rPr>
          <w:rFonts w:ascii="宋体" w:hAnsi="宋体" w:cs="Calibri"/>
          <w:sz w:val="22"/>
          <w:highlight w:val="none"/>
        </w:rPr>
        <w:t>。</w:t>
      </w:r>
    </w:p>
    <w:p>
      <w:pPr>
        <w:autoSpaceDE w:val="0"/>
        <w:autoSpaceDN w:val="0"/>
        <w:adjustRightInd w:val="0"/>
        <w:snapToGrid w:val="0"/>
        <w:spacing w:line="360" w:lineRule="exact"/>
        <w:rPr>
          <w:rFonts w:ascii="宋体" w:hAnsi="宋体" w:cs="Calibri"/>
          <w:b/>
          <w:bCs/>
          <w:kern w:val="0"/>
          <w:sz w:val="22"/>
          <w:highlight w:val="none"/>
        </w:rPr>
      </w:pPr>
      <w:bookmarkStart w:id="33" w:name="_Toc7101"/>
      <w:r>
        <w:rPr>
          <w:rFonts w:ascii="宋体" w:hAnsi="宋体" w:cs="Calibri"/>
          <w:b/>
          <w:bCs/>
          <w:kern w:val="0"/>
          <w:sz w:val="22"/>
          <w:highlight w:val="none"/>
        </w:rPr>
        <w:t>5.2 开标程序</w:t>
      </w:r>
      <w:bookmarkEnd w:id="33"/>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主持人按下列程序进行开标：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（1）宣布开标纪律；</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（3）宣布开标人、唱标人、记录人、监标人等有关人员姓名；</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（4）按照投标人须知前附表规定检查投标文件的密封情况；</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（5）按照投标人须知前附表的规定确定并宣布投标文件开标顺序；</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w:t>
      </w:r>
      <w:r>
        <w:rPr>
          <w:rFonts w:ascii="宋体" w:hAnsi="宋体" w:cs="Calibri"/>
          <w:sz w:val="22"/>
          <w:highlight w:val="none"/>
        </w:rPr>
        <w:t>按照宣布的开标顺序当众开标，公布投标人名称、投标保证金的递交情况、投标报价、</w:t>
      </w:r>
      <w:r>
        <w:rPr>
          <w:rFonts w:hint="eastAsia" w:ascii="宋体" w:hAnsi="宋体" w:cs="Calibri"/>
          <w:sz w:val="22"/>
          <w:highlight w:val="none"/>
        </w:rPr>
        <w:t>供货期</w:t>
      </w:r>
      <w:r>
        <w:rPr>
          <w:rFonts w:ascii="宋体" w:hAnsi="宋体" w:cs="Calibri"/>
          <w:sz w:val="22"/>
          <w:highlight w:val="none"/>
        </w:rPr>
        <w:t>及其他内容，并记录在案；</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（8）开标结束。</w:t>
      </w:r>
    </w:p>
    <w:p>
      <w:pPr>
        <w:autoSpaceDE w:val="0"/>
        <w:autoSpaceDN w:val="0"/>
        <w:adjustRightInd w:val="0"/>
        <w:snapToGrid w:val="0"/>
        <w:spacing w:line="360" w:lineRule="exact"/>
        <w:rPr>
          <w:rFonts w:ascii="宋体" w:hAnsi="宋体" w:cs="Calibri"/>
          <w:b/>
          <w:bCs/>
          <w:kern w:val="0"/>
          <w:sz w:val="22"/>
          <w:highlight w:val="none"/>
        </w:rPr>
      </w:pPr>
      <w:bookmarkStart w:id="34" w:name="_Toc31578"/>
      <w:r>
        <w:rPr>
          <w:rFonts w:ascii="宋体" w:hAnsi="宋体" w:cs="Calibri"/>
          <w:b/>
          <w:bCs/>
          <w:kern w:val="0"/>
          <w:sz w:val="22"/>
          <w:highlight w:val="none"/>
        </w:rPr>
        <w:t>6.评标</w:t>
      </w:r>
      <w:bookmarkEnd w:id="34"/>
    </w:p>
    <w:p>
      <w:pPr>
        <w:autoSpaceDE w:val="0"/>
        <w:autoSpaceDN w:val="0"/>
        <w:adjustRightInd w:val="0"/>
        <w:snapToGrid w:val="0"/>
        <w:spacing w:line="360" w:lineRule="exact"/>
        <w:rPr>
          <w:rFonts w:ascii="宋体" w:hAnsi="宋体" w:cs="Calibri"/>
          <w:b/>
          <w:bCs/>
          <w:kern w:val="0"/>
          <w:sz w:val="22"/>
          <w:highlight w:val="none"/>
        </w:rPr>
      </w:pPr>
      <w:bookmarkStart w:id="35" w:name="_Toc10279"/>
      <w:r>
        <w:rPr>
          <w:rFonts w:ascii="宋体" w:hAnsi="宋体" w:cs="Calibri"/>
          <w:b/>
          <w:bCs/>
          <w:kern w:val="0"/>
          <w:sz w:val="22"/>
          <w:highlight w:val="none"/>
        </w:rPr>
        <w:t>6.1 评标委员会</w:t>
      </w:r>
      <w:bookmarkEnd w:id="35"/>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6.1.2评标委员会成员有下列情形之一的，应当回避：</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（1）招标人或投标人的主要负责人的近亲属；</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（2）项目主管部门或者行政监督部门的人员；</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（3）与投标人有经济利益关系，可能影响对投标公正评审的；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highlight w:val="none"/>
        </w:rPr>
      </w:pPr>
      <w:bookmarkStart w:id="36" w:name="_Toc3460"/>
      <w:r>
        <w:rPr>
          <w:rFonts w:ascii="宋体" w:hAnsi="宋体" w:cs="Calibri"/>
          <w:b/>
          <w:bCs/>
          <w:kern w:val="0"/>
          <w:sz w:val="22"/>
          <w:highlight w:val="none"/>
        </w:rPr>
        <w:t>6.2 评标原则</w:t>
      </w:r>
      <w:bookmarkEnd w:id="36"/>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评标活动遵循公平、公正、科学和择优的原则。</w:t>
      </w:r>
    </w:p>
    <w:p>
      <w:pPr>
        <w:autoSpaceDE w:val="0"/>
        <w:autoSpaceDN w:val="0"/>
        <w:adjustRightInd w:val="0"/>
        <w:snapToGrid w:val="0"/>
        <w:spacing w:line="360" w:lineRule="exact"/>
        <w:rPr>
          <w:rFonts w:ascii="宋体" w:hAnsi="宋体" w:cs="Calibri"/>
          <w:b/>
          <w:bCs/>
          <w:kern w:val="0"/>
          <w:sz w:val="22"/>
          <w:highlight w:val="none"/>
        </w:rPr>
      </w:pPr>
      <w:bookmarkStart w:id="37" w:name="_Toc28178"/>
      <w:r>
        <w:rPr>
          <w:rFonts w:ascii="宋体" w:hAnsi="宋体" w:cs="Calibri"/>
          <w:b/>
          <w:bCs/>
          <w:kern w:val="0"/>
          <w:sz w:val="22"/>
          <w:highlight w:val="none"/>
        </w:rPr>
        <w:t>6.3 评标</w:t>
      </w:r>
      <w:bookmarkEnd w:id="37"/>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评标委员会按照第</w:t>
      </w:r>
      <w:r>
        <w:rPr>
          <w:rFonts w:hint="eastAsia" w:ascii="宋体" w:hAnsi="宋体" w:cs="Calibri"/>
          <w:kern w:val="0"/>
          <w:sz w:val="22"/>
          <w:highlight w:val="none"/>
        </w:rPr>
        <w:t>五</w:t>
      </w:r>
      <w:r>
        <w:rPr>
          <w:rFonts w:ascii="宋体" w:hAnsi="宋体" w:cs="Calibri"/>
          <w:kern w:val="0"/>
          <w:sz w:val="22"/>
          <w:highlight w:val="none"/>
        </w:rPr>
        <w:t>章“</w:t>
      </w:r>
      <w:r>
        <w:rPr>
          <w:rFonts w:cs="Calibri" w:asciiTheme="minorEastAsia" w:hAnsiTheme="minorEastAsia"/>
          <w:color w:val="000000"/>
          <w:kern w:val="0"/>
          <w:sz w:val="22"/>
          <w:highlight w:val="none"/>
        </w:rPr>
        <w:t>评标方法及标准</w:t>
      </w:r>
      <w:r>
        <w:rPr>
          <w:rFonts w:ascii="宋体" w:hAnsi="宋体" w:cs="Calibri"/>
          <w:kern w:val="0"/>
          <w:sz w:val="22"/>
          <w:highlight w:val="none"/>
        </w:rPr>
        <w:t>”对投标文件进行评审。第</w:t>
      </w:r>
      <w:r>
        <w:rPr>
          <w:rFonts w:hint="eastAsia" w:ascii="宋体" w:hAnsi="宋体" w:cs="Calibri"/>
          <w:kern w:val="0"/>
          <w:sz w:val="22"/>
          <w:highlight w:val="none"/>
        </w:rPr>
        <w:t>五</w:t>
      </w:r>
      <w:r>
        <w:rPr>
          <w:rFonts w:ascii="宋体" w:hAnsi="宋体" w:cs="Calibri"/>
          <w:kern w:val="0"/>
          <w:sz w:val="22"/>
          <w:highlight w:val="none"/>
        </w:rPr>
        <w:t>章“</w:t>
      </w:r>
      <w:r>
        <w:rPr>
          <w:rFonts w:cs="Calibri" w:asciiTheme="minorEastAsia" w:hAnsiTheme="minorEastAsia"/>
          <w:color w:val="000000"/>
          <w:kern w:val="0"/>
          <w:sz w:val="22"/>
          <w:highlight w:val="none"/>
        </w:rPr>
        <w:t>评标方法及标准</w:t>
      </w:r>
      <w:r>
        <w:rPr>
          <w:rFonts w:ascii="宋体" w:hAnsi="宋体" w:cs="Calibri"/>
          <w:kern w:val="0"/>
          <w:sz w:val="22"/>
          <w:highlight w:val="none"/>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highlight w:val="none"/>
        </w:rPr>
      </w:pPr>
      <w:bookmarkStart w:id="38" w:name="_Toc24237"/>
      <w:r>
        <w:rPr>
          <w:rFonts w:ascii="宋体" w:hAnsi="宋体" w:cs="Calibri"/>
          <w:b/>
          <w:bCs/>
          <w:kern w:val="0"/>
          <w:sz w:val="22"/>
          <w:highlight w:val="none"/>
        </w:rPr>
        <w:t>7.合同授予</w:t>
      </w:r>
      <w:bookmarkEnd w:id="38"/>
    </w:p>
    <w:p>
      <w:pPr>
        <w:autoSpaceDE w:val="0"/>
        <w:autoSpaceDN w:val="0"/>
        <w:adjustRightInd w:val="0"/>
        <w:snapToGrid w:val="0"/>
        <w:spacing w:line="360" w:lineRule="exact"/>
        <w:rPr>
          <w:rFonts w:ascii="宋体" w:hAnsi="宋体" w:cs="Calibri"/>
          <w:b/>
          <w:bCs/>
          <w:kern w:val="0"/>
          <w:sz w:val="22"/>
          <w:highlight w:val="none"/>
        </w:rPr>
      </w:pPr>
      <w:bookmarkStart w:id="39" w:name="_Toc18809"/>
      <w:r>
        <w:rPr>
          <w:rFonts w:ascii="宋体" w:hAnsi="宋体" w:cs="Calibri"/>
          <w:b/>
          <w:bCs/>
          <w:kern w:val="0"/>
          <w:sz w:val="22"/>
          <w:highlight w:val="none"/>
        </w:rPr>
        <w:t>7.1 定标方式</w:t>
      </w:r>
      <w:bookmarkEnd w:id="39"/>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highlight w:val="none"/>
        </w:rPr>
      </w:pPr>
      <w:bookmarkStart w:id="40" w:name="_Toc14573"/>
      <w:r>
        <w:rPr>
          <w:rFonts w:ascii="宋体" w:hAnsi="宋体" w:cs="Calibri"/>
          <w:b/>
          <w:bCs/>
          <w:kern w:val="0"/>
          <w:sz w:val="22"/>
          <w:highlight w:val="none"/>
        </w:rPr>
        <w:t>7.2 中标通知</w:t>
      </w:r>
      <w:bookmarkEnd w:id="40"/>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highlight w:val="none"/>
        </w:rPr>
      </w:pPr>
      <w:bookmarkStart w:id="41" w:name="_Toc27132"/>
      <w:r>
        <w:rPr>
          <w:rFonts w:ascii="宋体" w:hAnsi="宋体" w:cs="Calibri"/>
          <w:b/>
          <w:bCs/>
          <w:kern w:val="0"/>
          <w:sz w:val="22"/>
          <w:highlight w:val="none"/>
        </w:rPr>
        <w:t>7.3 履约</w:t>
      </w:r>
      <w:r>
        <w:rPr>
          <w:rFonts w:hint="eastAsia" w:ascii="宋体" w:hAnsi="宋体" w:cs="Calibri"/>
          <w:b/>
          <w:bCs/>
          <w:kern w:val="0"/>
          <w:sz w:val="22"/>
          <w:highlight w:val="none"/>
        </w:rPr>
        <w:t>保证金</w:t>
      </w:r>
      <w:bookmarkEnd w:id="41"/>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7.3.1在签订合同前，中标人应按投标人须知前附表规定的金额</w:t>
      </w:r>
      <w:r>
        <w:rPr>
          <w:rFonts w:hint="eastAsia" w:ascii="宋体" w:hAnsi="宋体" w:cs="Calibri"/>
          <w:kern w:val="0"/>
          <w:sz w:val="22"/>
          <w:highlight w:val="none"/>
        </w:rPr>
        <w:t>和</w:t>
      </w:r>
      <w:r>
        <w:rPr>
          <w:rFonts w:ascii="宋体" w:hAnsi="宋体" w:cs="Calibri"/>
          <w:kern w:val="0"/>
          <w:sz w:val="22"/>
          <w:highlight w:val="none"/>
        </w:rPr>
        <w:t>担保形式向招标人提交履约</w:t>
      </w:r>
      <w:r>
        <w:rPr>
          <w:rFonts w:hint="eastAsia" w:ascii="宋体" w:hAnsi="宋体" w:cs="Calibri"/>
          <w:kern w:val="0"/>
          <w:sz w:val="22"/>
          <w:highlight w:val="none"/>
        </w:rPr>
        <w:t>保证金</w:t>
      </w:r>
      <w:r>
        <w:rPr>
          <w:rFonts w:ascii="宋体" w:hAnsi="宋体" w:cs="Calibri"/>
          <w:kern w:val="0"/>
          <w:sz w:val="22"/>
          <w:highlight w:val="none"/>
        </w:rPr>
        <w:t>。</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7.3.2 中标人不能按本章第7.3.1项要求提交履约</w:t>
      </w:r>
      <w:r>
        <w:rPr>
          <w:rFonts w:hint="eastAsia" w:ascii="宋体" w:hAnsi="宋体" w:cs="Calibri"/>
          <w:kern w:val="0"/>
          <w:sz w:val="22"/>
          <w:highlight w:val="none"/>
        </w:rPr>
        <w:t>保证金</w:t>
      </w:r>
      <w:r>
        <w:rPr>
          <w:rFonts w:ascii="宋体" w:hAnsi="宋体" w:cs="Calibri"/>
          <w:kern w:val="0"/>
          <w:sz w:val="22"/>
          <w:highlight w:val="none"/>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highlight w:val="none"/>
        </w:rPr>
      </w:pPr>
      <w:bookmarkStart w:id="42" w:name="_Toc27581"/>
      <w:r>
        <w:rPr>
          <w:rFonts w:ascii="宋体" w:hAnsi="宋体" w:cs="Calibri"/>
          <w:b/>
          <w:bCs/>
          <w:kern w:val="0"/>
          <w:sz w:val="22"/>
          <w:highlight w:val="none"/>
        </w:rPr>
        <w:t>7.4 签订合同</w:t>
      </w:r>
      <w:bookmarkEnd w:id="42"/>
    </w:p>
    <w:p>
      <w:pPr>
        <w:adjustRightInd w:val="0"/>
        <w:snapToGrid w:val="0"/>
        <w:spacing w:line="360" w:lineRule="exact"/>
        <w:ind w:firstLine="440"/>
        <w:rPr>
          <w:rFonts w:ascii="宋体" w:hAnsi="宋体" w:cs="Calibri"/>
          <w:kern w:val="0"/>
          <w:sz w:val="22"/>
          <w:highlight w:val="none"/>
        </w:rPr>
      </w:pPr>
      <w:r>
        <w:rPr>
          <w:rFonts w:ascii="宋体" w:hAnsi="宋体" w:cs="Calibri"/>
          <w:sz w:val="22"/>
          <w:highlight w:val="none"/>
        </w:rPr>
        <w:t>7</w:t>
      </w:r>
      <w:bookmarkStart w:id="43" w:name="_Toc11806"/>
      <w:bookmarkStart w:id="44" w:name="_Toc220123241"/>
      <w:bookmarkStart w:id="45" w:name="_Toc219809801"/>
      <w:r>
        <w:rPr>
          <w:rFonts w:ascii="宋体" w:hAnsi="宋体" w:cs="Calibri"/>
          <w:kern w:val="0"/>
          <w:sz w:val="22"/>
          <w:highlight w:val="none"/>
        </w:rPr>
        <w:t>.4.1招标人和中标人应当自中标通知书发出之日起30个工作日内订立书面</w:t>
      </w:r>
      <w:r>
        <w:rPr>
          <w:rFonts w:hint="eastAsia" w:ascii="宋体" w:hAnsi="宋体" w:cs="Calibri"/>
          <w:kern w:val="0"/>
          <w:sz w:val="22"/>
          <w:highlight w:val="none"/>
        </w:rPr>
        <w:t>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）。中标人无正当理由拒签</w:t>
      </w:r>
      <w:r>
        <w:rPr>
          <w:rFonts w:hint="eastAsia" w:ascii="宋体" w:hAnsi="宋体" w:cs="Calibri"/>
          <w:kern w:val="0"/>
          <w:sz w:val="22"/>
          <w:highlight w:val="none"/>
        </w:rPr>
        <w:t>合同</w:t>
      </w:r>
      <w:r>
        <w:rPr>
          <w:rFonts w:ascii="宋体" w:hAnsi="宋体" w:cs="Calibri"/>
          <w:kern w:val="0"/>
          <w:sz w:val="22"/>
          <w:highlight w:val="none"/>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highlight w:val="none"/>
        </w:rPr>
      </w:pPr>
      <w:r>
        <w:rPr>
          <w:rFonts w:hint="eastAsia" w:cs="Calibri" w:asciiTheme="minorEastAsia" w:hAnsiTheme="minorEastAsia"/>
          <w:color w:val="000000"/>
          <w:kern w:val="0"/>
          <w:sz w:val="22"/>
          <w:highlight w:val="none"/>
        </w:rPr>
        <w:t xml:space="preserve">7.4.3 </w:t>
      </w:r>
      <w:r>
        <w:rPr>
          <w:rFonts w:hint="eastAsia" w:cs="Calibri" w:asciiTheme="minorEastAsia" w:hAnsiTheme="minorEastAsia"/>
          <w:b/>
          <w:color w:val="000000"/>
          <w:kern w:val="0"/>
          <w:sz w:val="22"/>
          <w:highlight w:val="none"/>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highlight w:val="none"/>
        </w:rPr>
      </w:pPr>
      <w:r>
        <w:rPr>
          <w:rFonts w:hint="eastAsia" w:cs="Calibri" w:asciiTheme="minorEastAsia" w:hAnsiTheme="minorEastAsia"/>
          <w:color w:val="000000"/>
          <w:kern w:val="0"/>
          <w:sz w:val="22"/>
          <w:highlight w:val="none"/>
        </w:rPr>
        <w:t xml:space="preserve">7.4.4 </w:t>
      </w:r>
      <w:r>
        <w:rPr>
          <w:rFonts w:hint="eastAsia" w:cs="Calibri" w:asciiTheme="minorEastAsia" w:hAnsiTheme="minorEastAsia"/>
          <w:b/>
          <w:color w:val="000000"/>
          <w:kern w:val="0"/>
          <w:sz w:val="22"/>
          <w:highlight w:val="none"/>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highlight w:val="none"/>
        </w:rPr>
      </w:pPr>
      <w:r>
        <w:rPr>
          <w:rFonts w:ascii="宋体" w:hAnsi="宋体" w:cs="Calibri"/>
          <w:b/>
          <w:bCs/>
          <w:kern w:val="0"/>
          <w:sz w:val="22"/>
          <w:highlight w:val="none"/>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highlight w:val="none"/>
        </w:rPr>
      </w:pPr>
      <w:bookmarkStart w:id="46" w:name="_Toc219809802"/>
      <w:bookmarkStart w:id="47" w:name="_Toc220123242"/>
      <w:bookmarkStart w:id="48" w:name="_Toc15553"/>
      <w:r>
        <w:rPr>
          <w:rFonts w:ascii="宋体" w:hAnsi="宋体" w:cs="Calibri"/>
          <w:b/>
          <w:bCs/>
          <w:kern w:val="0"/>
          <w:sz w:val="22"/>
          <w:highlight w:val="none"/>
        </w:rPr>
        <w:t>8.1 重新招标</w:t>
      </w:r>
      <w:bookmarkEnd w:id="46"/>
      <w:bookmarkEnd w:id="47"/>
      <w:bookmarkEnd w:id="48"/>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utoSpaceDE w:val="0"/>
        <w:autoSpaceDN w:val="0"/>
        <w:adjustRightInd w:val="0"/>
        <w:snapToGrid w:val="0"/>
        <w:spacing w:line="360" w:lineRule="exact"/>
        <w:rPr>
          <w:rFonts w:ascii="宋体" w:hAnsi="宋体" w:cs="Calibri"/>
          <w:b/>
          <w:bCs/>
          <w:kern w:val="0"/>
          <w:sz w:val="22"/>
          <w:highlight w:val="none"/>
        </w:rPr>
      </w:pPr>
      <w:bookmarkStart w:id="49" w:name="_Toc219809803"/>
      <w:bookmarkStart w:id="50" w:name="_Toc220123243"/>
      <w:bookmarkStart w:id="51" w:name="_Toc18806"/>
      <w:r>
        <w:rPr>
          <w:rFonts w:ascii="宋体" w:hAnsi="宋体" w:cs="Calibri"/>
          <w:b/>
          <w:bCs/>
          <w:kern w:val="0"/>
          <w:sz w:val="22"/>
          <w:highlight w:val="none"/>
        </w:rPr>
        <w:t>8.2 不再招标</w:t>
      </w:r>
      <w:bookmarkEnd w:id="49"/>
      <w:bookmarkEnd w:id="50"/>
      <w:bookmarkEnd w:id="51"/>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highlight w:val="none"/>
        </w:rPr>
      </w:pPr>
      <w:bookmarkStart w:id="52" w:name="_Toc215941254"/>
      <w:bookmarkStart w:id="53" w:name="_Toc219809804"/>
      <w:bookmarkStart w:id="54" w:name="_Toc220123244"/>
      <w:bookmarkStart w:id="55" w:name="_Toc2986"/>
      <w:r>
        <w:rPr>
          <w:rFonts w:ascii="宋体" w:hAnsi="宋体" w:cs="Calibri"/>
          <w:b/>
          <w:bCs/>
          <w:kern w:val="0"/>
          <w:sz w:val="22"/>
          <w:highlight w:val="none"/>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highlight w:val="none"/>
        </w:rPr>
      </w:pPr>
      <w:bookmarkStart w:id="56" w:name="_Toc219809805"/>
      <w:bookmarkStart w:id="57" w:name="_Toc220123245"/>
      <w:bookmarkStart w:id="58" w:name="_Toc5509"/>
      <w:r>
        <w:rPr>
          <w:rFonts w:ascii="宋体" w:hAnsi="宋体" w:cs="Calibri"/>
          <w:b/>
          <w:bCs/>
          <w:kern w:val="0"/>
          <w:sz w:val="22"/>
          <w:highlight w:val="none"/>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highlight w:val="none"/>
        </w:rPr>
      </w:pPr>
      <w:bookmarkStart w:id="59" w:name="_Toc219809806"/>
      <w:bookmarkStart w:id="60" w:name="_Toc220123246"/>
      <w:bookmarkStart w:id="61" w:name="_Toc10820"/>
      <w:r>
        <w:rPr>
          <w:rFonts w:ascii="宋体" w:hAnsi="宋体" w:cs="Calibri"/>
          <w:b/>
          <w:bCs/>
          <w:kern w:val="0"/>
          <w:sz w:val="22"/>
          <w:highlight w:val="none"/>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highlight w:val="none"/>
        </w:rPr>
      </w:pPr>
      <w:r>
        <w:rPr>
          <w:rFonts w:hint="eastAsia" w:cs="Calibri" w:asciiTheme="minorEastAsia" w:hAnsiTheme="minorEastAsia"/>
          <w:b/>
          <w:color w:val="00000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highlight w:val="none"/>
        </w:rPr>
      </w:pPr>
      <w:bookmarkStart w:id="62" w:name="_Toc219809807"/>
      <w:bookmarkStart w:id="63" w:name="_Toc220123247"/>
      <w:bookmarkStart w:id="64" w:name="_Toc10756"/>
      <w:r>
        <w:rPr>
          <w:rFonts w:ascii="宋体" w:hAnsi="宋体" w:cs="Calibri"/>
          <w:b/>
          <w:bCs/>
          <w:kern w:val="0"/>
          <w:sz w:val="22"/>
          <w:highlight w:val="none"/>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highlight w:val="none"/>
        </w:rPr>
        <w:t>五</w:t>
      </w:r>
      <w:r>
        <w:rPr>
          <w:rFonts w:cs="Calibri" w:asciiTheme="minorEastAsia" w:hAnsiTheme="minorEastAsia"/>
          <w:color w:val="000000"/>
          <w:sz w:val="22"/>
          <w:highlight w:val="none"/>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highlight w:val="none"/>
        </w:rPr>
      </w:pPr>
      <w:bookmarkStart w:id="65" w:name="_Toc219809808"/>
      <w:bookmarkStart w:id="66" w:name="_Toc220123248"/>
      <w:bookmarkStart w:id="67" w:name="_Toc12792"/>
      <w:r>
        <w:rPr>
          <w:rFonts w:ascii="宋体" w:hAnsi="宋体" w:cs="Calibri"/>
          <w:b/>
          <w:bCs/>
          <w:kern w:val="0"/>
          <w:sz w:val="22"/>
          <w:highlight w:val="none"/>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highlight w:val="none"/>
        </w:rPr>
      </w:pPr>
      <w:bookmarkStart w:id="68" w:name="_Toc219809809"/>
      <w:bookmarkStart w:id="69" w:name="_Toc220123249"/>
      <w:bookmarkStart w:id="70" w:name="_Toc239"/>
      <w:r>
        <w:rPr>
          <w:rFonts w:ascii="宋体" w:hAnsi="宋体" w:cs="Calibri"/>
          <w:b/>
          <w:bCs/>
          <w:kern w:val="0"/>
          <w:sz w:val="22"/>
          <w:highlight w:val="none"/>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highlight w:val="none"/>
        </w:rPr>
      </w:pPr>
      <w:r>
        <w:rPr>
          <w:rFonts w:cs="Calibri" w:asciiTheme="minorEastAsia" w:hAnsiTheme="minorEastAsia"/>
          <w:color w:val="000000"/>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highlight w:val="none"/>
        </w:rPr>
      </w:pPr>
      <w:bookmarkStart w:id="71" w:name="_Toc10817"/>
      <w:r>
        <w:rPr>
          <w:rFonts w:ascii="宋体" w:hAnsi="宋体" w:cs="Calibri"/>
          <w:b/>
          <w:bCs/>
          <w:kern w:val="0"/>
          <w:sz w:val="22"/>
          <w:highlight w:val="none"/>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highlight w:val="none"/>
        </w:rPr>
      </w:pPr>
      <w:r>
        <w:rPr>
          <w:rFonts w:cs="Calibri" w:asciiTheme="minorEastAsia" w:hAnsiTheme="minorEastAsia"/>
          <w:color w:val="000000"/>
          <w:sz w:val="22"/>
          <w:highlight w:val="none"/>
        </w:rPr>
        <w:t>需要补充的其他内容：见投标人须知前附表。</w:t>
      </w:r>
    </w:p>
    <w:p>
      <w:pPr>
        <w:spacing w:line="560" w:lineRule="exact"/>
        <w:rPr>
          <w:highlight w:val="none"/>
        </w:rPr>
      </w:pPr>
    </w:p>
    <w:p>
      <w:pPr>
        <w:spacing w:line="560" w:lineRule="exact"/>
        <w:jc w:val="center"/>
        <w:rPr>
          <w:highlight w:val="none"/>
        </w:rPr>
      </w:pPr>
    </w:p>
    <w:p>
      <w:pPr>
        <w:snapToGrid w:val="0"/>
        <w:spacing w:line="560" w:lineRule="exact"/>
        <w:rPr>
          <w:highlight w:val="none"/>
        </w:rPr>
      </w:pPr>
    </w:p>
    <w:p>
      <w:pPr>
        <w:pStyle w:val="51"/>
        <w:rPr>
          <w:highlight w:val="none"/>
        </w:rPr>
      </w:pPr>
      <w:r>
        <w:rPr>
          <w:sz w:val="24"/>
          <w:highlight w:val="none"/>
        </w:rPr>
        <w:br w:type="page"/>
      </w:r>
      <w:bookmarkStart w:id="72" w:name="_Toc321925453"/>
      <w:r>
        <w:rPr>
          <w:highlight w:val="none"/>
        </w:rPr>
        <w:t>第</w:t>
      </w:r>
      <w:r>
        <w:rPr>
          <w:rFonts w:hint="eastAsia"/>
          <w:highlight w:val="none"/>
        </w:rPr>
        <w:t>三</w:t>
      </w:r>
      <w:r>
        <w:rPr>
          <w:highlight w:val="none"/>
        </w:rPr>
        <w:t>章  货物需求一览表及技术规格</w:t>
      </w:r>
      <w:bookmarkEnd w:id="72"/>
      <w:bookmarkStart w:id="73" w:name="_Toc287363812"/>
      <w:r>
        <w:rPr>
          <w:rFonts w:ascii="仿宋" w:hAnsi="仿宋" w:eastAsia="仿宋"/>
          <w:highlight w:val="none"/>
        </w:rPr>
        <w:t xml:space="preserve"> </w:t>
      </w:r>
    </w:p>
    <w:bookmarkEnd w:id="73"/>
    <w:p>
      <w:pPr>
        <w:pStyle w:val="3"/>
        <w:snapToGrid w:val="0"/>
        <w:spacing w:before="0" w:after="0"/>
        <w:rPr>
          <w:rFonts w:ascii="仿宋" w:hAnsi="仿宋" w:eastAsia="仿宋"/>
          <w:highlight w:val="none"/>
        </w:rPr>
      </w:pPr>
      <w:bookmarkStart w:id="74" w:name="workpage"/>
      <w:bookmarkEnd w:id="74"/>
      <w:bookmarkStart w:id="75" w:name="_Toc6026284"/>
      <w:bookmarkEnd w:id="75"/>
      <w:bookmarkStart w:id="76" w:name="_Toc6028362"/>
      <w:bookmarkEnd w:id="76"/>
      <w:bookmarkStart w:id="77" w:name="_Toc6028452"/>
      <w:bookmarkEnd w:id="77"/>
      <w:bookmarkStart w:id="78" w:name="_Toc6109324"/>
      <w:bookmarkEnd w:id="78"/>
      <w:bookmarkStart w:id="79" w:name="_Toc14611482"/>
      <w:bookmarkEnd w:id="79"/>
      <w:bookmarkStart w:id="80" w:name="_Toc6026285"/>
      <w:bookmarkEnd w:id="80"/>
      <w:bookmarkStart w:id="81" w:name="_Toc6028363"/>
      <w:bookmarkEnd w:id="81"/>
      <w:bookmarkStart w:id="82" w:name="_Toc6028453"/>
      <w:bookmarkEnd w:id="82"/>
      <w:bookmarkStart w:id="83" w:name="_Toc6109325"/>
      <w:bookmarkEnd w:id="83"/>
      <w:bookmarkStart w:id="84" w:name="_Toc14611483"/>
      <w:bookmarkEnd w:id="84"/>
      <w:bookmarkStart w:id="85" w:name="_Toc507820962"/>
      <w:bookmarkStart w:id="86" w:name="_Toc6026273"/>
      <w:bookmarkStart w:id="87" w:name="_Toc6028351"/>
      <w:bookmarkStart w:id="88" w:name="_Toc6028441"/>
      <w:bookmarkStart w:id="89" w:name="_Toc6109313"/>
      <w:bookmarkStart w:id="90" w:name="_Toc416254176"/>
      <w:r>
        <w:rPr>
          <w:rFonts w:hint="eastAsia" w:ascii="仿宋" w:hAnsi="仿宋" w:eastAsia="仿宋"/>
          <w:highlight w:val="none"/>
        </w:rPr>
        <w:t>一</w:t>
      </w:r>
      <w:r>
        <w:rPr>
          <w:rFonts w:ascii="仿宋" w:hAnsi="仿宋" w:eastAsia="仿宋"/>
          <w:highlight w:val="none"/>
        </w:rPr>
        <w:t>、</w:t>
      </w:r>
      <w:r>
        <w:rPr>
          <w:rFonts w:hint="eastAsia" w:ascii="仿宋" w:hAnsi="仿宋" w:eastAsia="仿宋"/>
          <w:highlight w:val="none"/>
        </w:rPr>
        <w:t>总</w:t>
      </w:r>
      <w:bookmarkStart w:id="91" w:name="_Ref497571437"/>
      <w:bookmarkEnd w:id="91"/>
      <w:r>
        <w:rPr>
          <w:rFonts w:hint="eastAsia" w:ascii="仿宋" w:hAnsi="仿宋" w:eastAsia="仿宋"/>
          <w:highlight w:val="none"/>
        </w:rPr>
        <w:t>说明</w:t>
      </w:r>
      <w:bookmarkEnd w:id="85"/>
      <w:bookmarkEnd w:id="86"/>
      <w:bookmarkEnd w:id="87"/>
      <w:bookmarkEnd w:id="88"/>
      <w:bookmarkEnd w:id="89"/>
      <w:bookmarkEnd w:id="90"/>
    </w:p>
    <w:p>
      <w:pPr>
        <w:snapToGrid w:val="0"/>
        <w:spacing w:line="360" w:lineRule="auto"/>
        <w:ind w:firstLine="480" w:firstLineChars="200"/>
        <w:rPr>
          <w:rFonts w:ascii="仿宋" w:hAnsi="仿宋" w:eastAsia="仿宋" w:cs="宋体"/>
          <w:szCs w:val="21"/>
          <w:highlight w:val="none"/>
        </w:rPr>
      </w:pPr>
      <w:r>
        <w:rPr>
          <w:rFonts w:hint="eastAsia" w:ascii="仿宋" w:hAnsi="仿宋" w:eastAsia="仿宋" w:cs="宋体"/>
          <w:szCs w:val="21"/>
          <w:highlight w:val="none"/>
        </w:rPr>
        <w:t>本货物需求及技术规格书（以下</w:t>
      </w:r>
      <w:r>
        <w:rPr>
          <w:rFonts w:ascii="仿宋" w:hAnsi="仿宋" w:eastAsia="仿宋" w:cs="宋体"/>
          <w:szCs w:val="21"/>
          <w:highlight w:val="none"/>
        </w:rPr>
        <w:t>简称为</w:t>
      </w:r>
      <w:r>
        <w:rPr>
          <w:rFonts w:hint="eastAsia" w:ascii="仿宋" w:hAnsi="仿宋" w:eastAsia="仿宋" w:cs="宋体"/>
          <w:szCs w:val="21"/>
          <w:highlight w:val="none"/>
        </w:rPr>
        <w:t>“技术标</w:t>
      </w:r>
      <w:r>
        <w:rPr>
          <w:rFonts w:ascii="仿宋" w:hAnsi="仿宋" w:eastAsia="仿宋" w:cs="宋体"/>
          <w:szCs w:val="21"/>
          <w:highlight w:val="none"/>
        </w:rPr>
        <w:t>书</w:t>
      </w:r>
      <w:r>
        <w:rPr>
          <w:rFonts w:hint="eastAsia" w:ascii="仿宋" w:hAnsi="仿宋" w:eastAsia="仿宋" w:cs="宋体"/>
          <w:szCs w:val="21"/>
          <w:highlight w:val="none"/>
        </w:rPr>
        <w:t>”</w:t>
      </w:r>
      <w:r>
        <w:rPr>
          <w:rFonts w:ascii="仿宋" w:hAnsi="仿宋" w:eastAsia="仿宋" w:cs="宋体"/>
          <w:szCs w:val="21"/>
          <w:highlight w:val="none"/>
        </w:rPr>
        <w:t>）</w:t>
      </w:r>
      <w:r>
        <w:rPr>
          <w:rFonts w:hint="eastAsia" w:ascii="仿宋" w:hAnsi="仿宋" w:eastAsia="仿宋" w:cs="宋体"/>
          <w:szCs w:val="21"/>
          <w:highlight w:val="none"/>
        </w:rPr>
        <w:t>是招标文件的组成部分，内容包括采购设备的详细规格、条款、资料及有关文件。</w:t>
      </w:r>
    </w:p>
    <w:p>
      <w:pPr>
        <w:snapToGrid w:val="0"/>
        <w:spacing w:line="360" w:lineRule="auto"/>
        <w:ind w:firstLine="480" w:firstLineChars="200"/>
        <w:rPr>
          <w:rFonts w:ascii="仿宋" w:hAnsi="仿宋" w:eastAsia="仿宋" w:cs="宋体"/>
          <w:szCs w:val="21"/>
          <w:highlight w:val="none"/>
        </w:rPr>
      </w:pPr>
      <w:r>
        <w:rPr>
          <w:rFonts w:hint="eastAsia" w:ascii="仿宋" w:hAnsi="仿宋" w:eastAsia="仿宋" w:cs="宋体"/>
          <w:szCs w:val="21"/>
          <w:highlight w:val="none"/>
        </w:rPr>
        <w:t>本技术规格书各条款的编写采用了多层项目编号，任何被标注“（*）”且加注下划线的内容或条款表明为重要强制性条款，其中1条不满足将导致投标</w:t>
      </w:r>
      <w:r>
        <w:rPr>
          <w:rFonts w:ascii="仿宋" w:hAnsi="仿宋" w:eastAsia="仿宋" w:cs="宋体"/>
          <w:szCs w:val="21"/>
          <w:highlight w:val="none"/>
        </w:rPr>
        <w:t>无效</w:t>
      </w:r>
      <w:r>
        <w:rPr>
          <w:rFonts w:hint="eastAsia" w:ascii="仿宋" w:hAnsi="仿宋" w:eastAsia="仿宋" w:cs="宋体"/>
          <w:szCs w:val="21"/>
          <w:highlight w:val="none"/>
        </w:rPr>
        <w:t>,其它本技术标</w:t>
      </w:r>
      <w:r>
        <w:rPr>
          <w:rFonts w:ascii="仿宋" w:hAnsi="仿宋" w:eastAsia="仿宋" w:cs="宋体"/>
          <w:szCs w:val="21"/>
          <w:highlight w:val="none"/>
        </w:rPr>
        <w:t>书</w:t>
      </w:r>
      <w:r>
        <w:rPr>
          <w:rFonts w:hint="eastAsia" w:ascii="仿宋" w:hAnsi="仿宋" w:eastAsia="仿宋" w:cs="宋体"/>
          <w:szCs w:val="21"/>
          <w:highlight w:val="none"/>
        </w:rPr>
        <w:t>中的一般条款如超出5项不满足（以“技术规格偏离表”为准，内容重复的条款按1条计），将被认为不满足招标要求并承担不经澄清就被判定为无效标的风险。</w:t>
      </w:r>
    </w:p>
    <w:p>
      <w:pPr>
        <w:pStyle w:val="34"/>
        <w:tabs>
          <w:tab w:val="left" w:pos="360"/>
        </w:tabs>
        <w:snapToGrid w:val="0"/>
        <w:spacing w:after="0" w:line="360" w:lineRule="auto"/>
        <w:ind w:left="0" w:leftChars="0" w:firstLine="400" w:firstLineChars="200"/>
        <w:rPr>
          <w:rFonts w:ascii="仿宋" w:hAnsi="仿宋" w:eastAsia="仿宋"/>
          <w:szCs w:val="21"/>
          <w:highlight w:val="none"/>
          <w:u w:val="single"/>
        </w:rPr>
      </w:pPr>
      <w:r>
        <w:rPr>
          <w:rFonts w:hint="eastAsia" w:ascii="仿宋" w:hAnsi="仿宋" w:eastAsia="仿宋"/>
          <w:szCs w:val="21"/>
          <w:highlight w:val="none"/>
          <w:u w:val="single"/>
        </w:rPr>
        <w:t>投标人必须对本技术标书各项要求，按顺序逐项做出实质性回答，主要性能指标必须在投标</w:t>
      </w:r>
      <w:r>
        <w:rPr>
          <w:rFonts w:ascii="仿宋" w:hAnsi="仿宋" w:eastAsia="仿宋"/>
          <w:szCs w:val="21"/>
          <w:highlight w:val="none"/>
          <w:u w:val="single"/>
        </w:rPr>
        <w:t>产品技术规格书</w:t>
      </w:r>
      <w:r>
        <w:rPr>
          <w:rFonts w:hint="eastAsia" w:ascii="仿宋" w:hAnsi="仿宋" w:eastAsia="仿宋"/>
          <w:szCs w:val="21"/>
          <w:highlight w:val="none"/>
          <w:u w:val="single"/>
        </w:rPr>
        <w:t>中</w:t>
      </w:r>
      <w:r>
        <w:rPr>
          <w:rFonts w:ascii="仿宋" w:hAnsi="仿宋" w:eastAsia="仿宋"/>
          <w:szCs w:val="21"/>
          <w:highlight w:val="none"/>
          <w:u w:val="single"/>
        </w:rPr>
        <w:t>体现</w:t>
      </w:r>
      <w:r>
        <w:rPr>
          <w:rFonts w:hint="eastAsia" w:ascii="仿宋" w:hAnsi="仿宋" w:eastAsia="仿宋"/>
          <w:szCs w:val="21"/>
          <w:highlight w:val="none"/>
          <w:u w:val="single"/>
        </w:rPr>
        <w:t>，否则评标委员会有权作否决投标处理。</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92" w:name="_Toc498227176"/>
      <w:bookmarkStart w:id="93" w:name="_Toc498227703"/>
      <w:bookmarkStart w:id="94" w:name="_Toc498228778"/>
      <w:bookmarkStart w:id="95" w:name="_Toc507820963"/>
      <w:bookmarkStart w:id="96" w:name="_Toc6026274"/>
      <w:bookmarkStart w:id="97" w:name="_Toc6028352"/>
      <w:bookmarkStart w:id="98" w:name="_Toc6028442"/>
      <w:bookmarkStart w:id="99" w:name="_Toc6109314"/>
      <w:bookmarkStart w:id="100" w:name="_Toc416254177"/>
      <w:r>
        <w:rPr>
          <w:rFonts w:hint="eastAsia" w:ascii="仿宋" w:hAnsi="仿宋" w:eastAsia="仿宋"/>
          <w:sz w:val="21"/>
          <w:szCs w:val="21"/>
          <w:highlight w:val="none"/>
        </w:rPr>
        <w:t>招标要求</w:t>
      </w:r>
      <w:bookmarkEnd w:id="92"/>
      <w:bookmarkEnd w:id="93"/>
      <w:bookmarkEnd w:id="94"/>
      <w:bookmarkEnd w:id="95"/>
      <w:bookmarkEnd w:id="96"/>
      <w:bookmarkEnd w:id="97"/>
      <w:bookmarkEnd w:id="98"/>
      <w:bookmarkEnd w:id="99"/>
      <w:bookmarkEnd w:id="100"/>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w:t>
      </w:r>
      <w:r>
        <w:rPr>
          <w:rFonts w:ascii="仿宋" w:hAnsi="仿宋" w:eastAsia="仿宋"/>
          <w:sz w:val="21"/>
          <w:szCs w:val="21"/>
          <w:highlight w:val="none"/>
        </w:rPr>
        <w:t>(</w:t>
      </w:r>
      <w:r>
        <w:rPr>
          <w:rFonts w:hint="eastAsia" w:ascii="仿宋" w:hAnsi="仿宋" w:eastAsia="仿宋"/>
          <w:sz w:val="21"/>
          <w:szCs w:val="21"/>
          <w:highlight w:val="none"/>
        </w:rPr>
        <w:t>与投标方为同一含义</w:t>
      </w:r>
      <w:r>
        <w:rPr>
          <w:rFonts w:ascii="仿宋" w:hAnsi="仿宋" w:eastAsia="仿宋"/>
          <w:sz w:val="21"/>
          <w:szCs w:val="21"/>
          <w:highlight w:val="none"/>
        </w:rPr>
        <w:t>)</w:t>
      </w:r>
      <w:r>
        <w:rPr>
          <w:rFonts w:hint="eastAsia" w:ascii="仿宋" w:hAnsi="仿宋" w:eastAsia="仿宋"/>
          <w:sz w:val="21"/>
          <w:szCs w:val="21"/>
          <w:highlight w:val="none"/>
        </w:rPr>
        <w:t>必须提供但不限于本技术标</w:t>
      </w:r>
      <w:r>
        <w:rPr>
          <w:rFonts w:ascii="仿宋" w:hAnsi="仿宋" w:eastAsia="仿宋"/>
          <w:sz w:val="21"/>
          <w:szCs w:val="21"/>
          <w:highlight w:val="none"/>
        </w:rPr>
        <w:t>书</w:t>
      </w:r>
      <w:r>
        <w:rPr>
          <w:rFonts w:hint="eastAsia" w:ascii="仿宋" w:hAnsi="仿宋" w:eastAsia="仿宋"/>
          <w:sz w:val="21"/>
          <w:szCs w:val="21"/>
          <w:highlight w:val="none"/>
        </w:rPr>
        <w:t>中，所有设备的设计、制造、装配、运输、仓储、安装、调试、试运行和售后服务，以及上述设备所需的附件、工具、配备件的提供等。</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w:t>
      </w:r>
      <w:r>
        <w:rPr>
          <w:rFonts w:ascii="仿宋" w:hAnsi="仿宋" w:eastAsia="仿宋"/>
          <w:sz w:val="21"/>
          <w:szCs w:val="21"/>
          <w:highlight w:val="none"/>
        </w:rPr>
        <w:t>书</w:t>
      </w:r>
      <w:r>
        <w:rPr>
          <w:rFonts w:hint="eastAsia" w:ascii="仿宋" w:hAnsi="仿宋" w:eastAsia="仿宋"/>
          <w:sz w:val="21"/>
          <w:szCs w:val="21"/>
          <w:highlight w:val="none"/>
        </w:rPr>
        <w:t>仅指主要要求，不应作为完整的详细要求，投标人应负责向招标人移交各子项系统，并保证符合技术标书的要求。同时</w:t>
      </w:r>
      <w:r>
        <w:rPr>
          <w:rFonts w:ascii="仿宋" w:hAnsi="仿宋" w:eastAsia="仿宋"/>
          <w:sz w:val="21"/>
          <w:szCs w:val="21"/>
          <w:highlight w:val="none"/>
        </w:rPr>
        <w:t>,</w:t>
      </w:r>
      <w:r>
        <w:rPr>
          <w:rFonts w:hint="eastAsia" w:ascii="仿宋" w:hAnsi="仿宋" w:eastAsia="仿宋"/>
          <w:sz w:val="21"/>
          <w:szCs w:val="21"/>
          <w:highlight w:val="none"/>
        </w:rPr>
        <w:t>投标人应满足本技术标书中未描述的、为保证设备能正常有效运行所需要的其它要求。投标人只有在得到招标人的书面验收证明后，才能算完成。</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对所提供产品的一切专利费、执照费和软件用户许可证及其它由此引起的费用承担责任，并负责保护招标人的利益不受任何损害。一切由于文字、商标和技术专利侵权引起的法律裁决、诉讼和费用均与招标人无关。所涉及的有关专利费、执照费和其它这方面的费用纳入总报价。</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招标人和中标人在签订合同时，在不改变招标文件实质性要求，不改变招标设备单价的前提下，招标人有对所购设备数量调整的权利。</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投标书中必须有整套设备和主要部件的生产产地（生产国、生产厂家）的详细说明。</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对进口设备，投标人需协助招标人申报海关及商检手续，并办理招标人有关人员境外验收的有关事宜。</w:t>
      </w:r>
    </w:p>
    <w:p>
      <w:pPr>
        <w:pStyle w:val="97"/>
        <w:keepNext w:val="0"/>
        <w:keepLines w:val="0"/>
        <w:numPr>
          <w:ilvl w:val="0"/>
          <w:numId w:val="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投标人需按照标书要求提供中英文投标书的文件、图纸及相应光盘，如拟投产品为进口产品需提供中英文投标书的文件、图纸及相应光盘。</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01" w:name="_Toc416254178"/>
      <w:bookmarkStart w:id="102" w:name="_Toc498227704"/>
      <w:bookmarkStart w:id="103" w:name="_Toc498228779"/>
      <w:bookmarkStart w:id="104" w:name="_Toc498227177"/>
      <w:r>
        <w:rPr>
          <w:rFonts w:hint="eastAsia" w:ascii="仿宋" w:hAnsi="仿宋" w:eastAsia="仿宋"/>
          <w:sz w:val="21"/>
          <w:szCs w:val="21"/>
          <w:highlight w:val="none"/>
        </w:rPr>
        <w:t>招标范围</w:t>
      </w:r>
      <w:bookmarkEnd w:id="101"/>
    </w:p>
    <w:tbl>
      <w:tblPr>
        <w:tblStyle w:val="58"/>
        <w:tblW w:w="9251" w:type="dxa"/>
        <w:tblInd w:w="93" w:type="dxa"/>
        <w:tblLayout w:type="fixed"/>
        <w:tblCellMar>
          <w:top w:w="0" w:type="dxa"/>
          <w:left w:w="108" w:type="dxa"/>
          <w:bottom w:w="0" w:type="dxa"/>
          <w:right w:w="108" w:type="dxa"/>
        </w:tblCellMar>
      </w:tblPr>
      <w:tblGrid>
        <w:gridCol w:w="1060"/>
        <w:gridCol w:w="1685"/>
        <w:gridCol w:w="1098"/>
        <w:gridCol w:w="3409"/>
        <w:gridCol w:w="1999"/>
      </w:tblGrid>
      <w:tr>
        <w:tblPrEx>
          <w:tblLayout w:type="fixed"/>
          <w:tblCellMar>
            <w:top w:w="0" w:type="dxa"/>
            <w:left w:w="108" w:type="dxa"/>
            <w:bottom w:w="0" w:type="dxa"/>
            <w:right w:w="108" w:type="dxa"/>
          </w:tblCellMar>
        </w:tblPrEx>
        <w:trPr>
          <w:trHeight w:val="750" w:hRule="atLeast"/>
        </w:trPr>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序号</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设备名称</w:t>
            </w:r>
          </w:p>
        </w:tc>
        <w:tc>
          <w:tcPr>
            <w:tcW w:w="109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数量(台)</w:t>
            </w:r>
          </w:p>
        </w:tc>
        <w:tc>
          <w:tcPr>
            <w:tcW w:w="340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任务</w:t>
            </w:r>
          </w:p>
        </w:tc>
        <w:tc>
          <w:tcPr>
            <w:tcW w:w="1999"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备注</w:t>
            </w:r>
          </w:p>
        </w:tc>
      </w:tr>
      <w:tr>
        <w:tblPrEx>
          <w:tblLayout w:type="fixed"/>
          <w:tblCellMar>
            <w:top w:w="0" w:type="dxa"/>
            <w:left w:w="108" w:type="dxa"/>
            <w:bottom w:w="0" w:type="dxa"/>
            <w:right w:w="108" w:type="dxa"/>
          </w:tblCellMar>
        </w:tblPrEx>
        <w:trPr>
          <w:trHeight w:val="1125" w:hRule="atLeast"/>
        </w:trPr>
        <w:tc>
          <w:tcPr>
            <w:tcW w:w="1060" w:type="dxa"/>
            <w:tcBorders>
              <w:top w:val="nil"/>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highlight w:val="none"/>
              </w:rPr>
            </w:pPr>
            <w:r>
              <w:rPr>
                <w:rFonts w:hint="eastAsia" w:ascii="仿宋" w:hAnsi="仿宋" w:eastAsia="仿宋"/>
                <w:highlight w:val="none"/>
              </w:rPr>
              <w:t>1</w:t>
            </w:r>
          </w:p>
        </w:tc>
        <w:tc>
          <w:tcPr>
            <w:tcW w:w="1685"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台式爆炸物/毒品探测设备</w:t>
            </w:r>
          </w:p>
        </w:tc>
        <w:tc>
          <w:tcPr>
            <w:tcW w:w="1098" w:type="dxa"/>
            <w:tcBorders>
              <w:top w:val="nil"/>
              <w:left w:val="nil"/>
              <w:bottom w:val="single" w:color="auto" w:sz="4" w:space="0"/>
              <w:right w:val="single" w:color="auto" w:sz="4" w:space="0"/>
            </w:tcBorders>
            <w:vAlign w:val="center"/>
          </w:tcPr>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6</w:t>
            </w:r>
          </w:p>
        </w:tc>
        <w:tc>
          <w:tcPr>
            <w:tcW w:w="3409"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对进入航站楼的旅客进行爆炸物品等的安全检查</w:t>
            </w:r>
          </w:p>
        </w:tc>
        <w:tc>
          <w:tcPr>
            <w:tcW w:w="1999" w:type="dxa"/>
            <w:tcBorders>
              <w:top w:val="nil"/>
              <w:left w:val="nil"/>
              <w:bottom w:val="single" w:color="auto" w:sz="4" w:space="0"/>
              <w:right w:val="single" w:color="auto" w:sz="4" w:space="0"/>
            </w:tcBorders>
            <w:vAlign w:val="center"/>
          </w:tcPr>
          <w:p>
            <w:pPr>
              <w:adjustRightInd w:val="0"/>
              <w:snapToGrid w:val="0"/>
              <w:spacing w:line="440" w:lineRule="exact"/>
              <w:rPr>
                <w:rFonts w:ascii="仿宋" w:hAnsi="仿宋" w:eastAsia="仿宋"/>
                <w:highlight w:val="none"/>
              </w:rPr>
            </w:pPr>
            <w:r>
              <w:rPr>
                <w:rFonts w:hint="eastAsia" w:ascii="仿宋" w:hAnsi="仿宋" w:eastAsia="仿宋"/>
                <w:highlight w:val="none"/>
              </w:rPr>
              <w:t>设备操作柜</w:t>
            </w:r>
          </w:p>
        </w:tc>
      </w:tr>
    </w:tbl>
    <w:p>
      <w:pPr>
        <w:pStyle w:val="140"/>
        <w:autoSpaceDE w:val="0"/>
        <w:autoSpaceDN w:val="0"/>
        <w:snapToGrid w:val="0"/>
        <w:spacing w:line="360" w:lineRule="auto"/>
        <w:ind w:left="900" w:right="-468" w:rightChars="-195" w:hanging="420"/>
        <w:textAlignment w:val="bottom"/>
        <w:rPr>
          <w:rFonts w:ascii="仿宋" w:hAnsi="仿宋" w:eastAsia="仿宋"/>
          <w:sz w:val="21"/>
          <w:szCs w:val="21"/>
          <w:highlight w:val="none"/>
        </w:rPr>
      </w:pPr>
      <w:r>
        <w:rPr>
          <w:rFonts w:hint="eastAsia" w:ascii="仿宋" w:hAnsi="仿宋" w:eastAsia="仿宋"/>
          <w:b/>
          <w:sz w:val="21"/>
          <w:szCs w:val="21"/>
          <w:highlight w:val="none"/>
        </w:rPr>
        <w:t>注：买方保留在签约时对货物规格及数量作适当调整的权利。</w:t>
      </w:r>
    </w:p>
    <w:bookmarkEnd w:id="102"/>
    <w:bookmarkEnd w:id="103"/>
    <w:bookmarkEnd w:id="104"/>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05" w:name="_Toc507820966"/>
      <w:bookmarkStart w:id="106" w:name="_Toc6026277"/>
      <w:bookmarkStart w:id="107" w:name="_Toc6028355"/>
      <w:bookmarkStart w:id="108" w:name="_Toc6028445"/>
      <w:bookmarkStart w:id="109" w:name="_Toc6109317"/>
      <w:bookmarkStart w:id="110" w:name="_Toc416254180"/>
      <w:r>
        <w:rPr>
          <w:rFonts w:hint="eastAsia" w:ascii="仿宋" w:hAnsi="仿宋" w:eastAsia="仿宋"/>
          <w:sz w:val="21"/>
          <w:szCs w:val="21"/>
          <w:highlight w:val="none"/>
        </w:rPr>
        <w:t>完成期限</w:t>
      </w:r>
      <w:bookmarkEnd w:id="105"/>
      <w:bookmarkEnd w:id="106"/>
      <w:bookmarkEnd w:id="107"/>
      <w:bookmarkEnd w:id="108"/>
      <w:bookmarkEnd w:id="109"/>
      <w:bookmarkEnd w:id="110"/>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等线" w:hAnsi="等线" w:eastAsia="等线"/>
          <w:sz w:val="22"/>
          <w:szCs w:val="22"/>
          <w:highlight w:val="none"/>
        </w:rPr>
      </w:pPr>
      <w:r>
        <w:rPr>
          <w:rFonts w:hint="eastAsia" w:ascii="等线" w:hAnsi="等线" w:eastAsia="等线"/>
          <w:sz w:val="22"/>
          <w:szCs w:val="22"/>
          <w:highlight w:val="none"/>
        </w:rPr>
        <w:t>交货地点：进口、国产设备均运至杭州萧山国际机场内指定地点交货。</w:t>
      </w:r>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等线" w:hAnsi="等线" w:eastAsia="等线"/>
          <w:sz w:val="22"/>
          <w:szCs w:val="22"/>
          <w:highlight w:val="none"/>
        </w:rPr>
        <w:t>交货期：合同签订之日起30日历天内。中标人必须在</w:t>
      </w:r>
      <w:r>
        <w:rPr>
          <w:rFonts w:ascii="等线" w:hAnsi="等线" w:eastAsia="等线"/>
          <w:color w:val="FF0000"/>
          <w:sz w:val="22"/>
          <w:szCs w:val="22"/>
          <w:highlight w:val="none"/>
        </w:rPr>
        <w:t>2019</w:t>
      </w:r>
      <w:r>
        <w:rPr>
          <w:rFonts w:hint="eastAsia" w:ascii="等线" w:hAnsi="等线" w:eastAsia="等线"/>
          <w:color w:val="FF0000"/>
          <w:sz w:val="22"/>
          <w:szCs w:val="22"/>
          <w:highlight w:val="none"/>
        </w:rPr>
        <w:t>年10月</w:t>
      </w:r>
      <w:r>
        <w:rPr>
          <w:rFonts w:ascii="等线" w:hAnsi="等线" w:eastAsia="等线"/>
          <w:color w:val="FF0000"/>
          <w:sz w:val="22"/>
          <w:szCs w:val="22"/>
          <w:highlight w:val="none"/>
        </w:rPr>
        <w:t>31</w:t>
      </w:r>
      <w:r>
        <w:rPr>
          <w:rFonts w:hint="eastAsia" w:ascii="等线" w:hAnsi="等线" w:eastAsia="等线"/>
          <w:color w:val="FF0000"/>
          <w:sz w:val="22"/>
          <w:szCs w:val="22"/>
          <w:highlight w:val="none"/>
        </w:rPr>
        <w:t>日</w:t>
      </w:r>
      <w:r>
        <w:rPr>
          <w:rFonts w:hint="eastAsia" w:ascii="等线" w:hAnsi="等线" w:eastAsia="等线"/>
          <w:sz w:val="22"/>
          <w:szCs w:val="22"/>
          <w:highlight w:val="none"/>
        </w:rPr>
        <w:t>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pStyle w:val="97"/>
        <w:keepNext w:val="0"/>
        <w:keepLines w:val="0"/>
        <w:numPr>
          <w:ilvl w:val="0"/>
          <w:numId w:val="6"/>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招标范围内的设备在交货前须取得民航局颁发的使用验收检测合格证。所需费用由中标方承担。</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11" w:name="_Toc498227180"/>
      <w:bookmarkStart w:id="112" w:name="_Toc498227707"/>
      <w:bookmarkStart w:id="113" w:name="_Toc498228782"/>
      <w:bookmarkStart w:id="114" w:name="_Toc507820967"/>
      <w:bookmarkStart w:id="115" w:name="_Toc6026278"/>
      <w:bookmarkStart w:id="116" w:name="_Toc6028356"/>
      <w:bookmarkStart w:id="117" w:name="_Toc6028446"/>
      <w:bookmarkStart w:id="118" w:name="_Toc6109318"/>
      <w:bookmarkStart w:id="119" w:name="_Toc416254181"/>
      <w:r>
        <w:rPr>
          <w:rFonts w:hint="eastAsia" w:ascii="仿宋" w:hAnsi="仿宋" w:eastAsia="仿宋"/>
          <w:sz w:val="21"/>
          <w:szCs w:val="21"/>
          <w:highlight w:val="none"/>
        </w:rPr>
        <w:t>偏离申明与建议</w:t>
      </w:r>
      <w:bookmarkEnd w:id="111"/>
      <w:bookmarkEnd w:id="112"/>
      <w:bookmarkEnd w:id="113"/>
      <w:bookmarkEnd w:id="114"/>
      <w:bookmarkEnd w:id="115"/>
      <w:bookmarkEnd w:id="116"/>
      <w:bookmarkEnd w:id="117"/>
      <w:bookmarkEnd w:id="118"/>
      <w:bookmarkEnd w:id="119"/>
    </w:p>
    <w:p>
      <w:pPr>
        <w:pStyle w:val="5"/>
        <w:snapToGrid w:val="0"/>
        <w:spacing w:before="0" w:after="0" w:line="360" w:lineRule="auto"/>
        <w:rPr>
          <w:rFonts w:ascii="仿宋" w:hAnsi="仿宋" w:eastAsia="仿宋"/>
          <w:sz w:val="21"/>
          <w:szCs w:val="21"/>
          <w:highlight w:val="none"/>
        </w:rPr>
      </w:pPr>
      <w:bookmarkStart w:id="120" w:name="_Toc6028357"/>
      <w:bookmarkStart w:id="121" w:name="_Toc6109319"/>
      <w:bookmarkStart w:id="122" w:name="_Toc6028447"/>
      <w:bookmarkStart w:id="123" w:name="_Toc6026279"/>
      <w:bookmarkStart w:id="124" w:name="_Toc507820968"/>
      <w:bookmarkStart w:id="125" w:name="_Toc498228783"/>
      <w:bookmarkStart w:id="126" w:name="_Toc498227181"/>
      <w:r>
        <w:rPr>
          <w:rFonts w:ascii="仿宋" w:hAnsi="仿宋" w:eastAsia="仿宋"/>
          <w:sz w:val="21"/>
          <w:szCs w:val="21"/>
          <w:highlight w:val="none"/>
        </w:rPr>
        <w:t>4.1</w:t>
      </w:r>
      <w:r>
        <w:rPr>
          <w:rFonts w:hint="eastAsia" w:ascii="仿宋" w:hAnsi="仿宋" w:eastAsia="仿宋"/>
          <w:sz w:val="21"/>
          <w:szCs w:val="21"/>
          <w:highlight w:val="none"/>
        </w:rPr>
        <w:t>偏离申明</w:t>
      </w:r>
      <w:bookmarkEnd w:id="120"/>
      <w:bookmarkEnd w:id="121"/>
      <w:bookmarkEnd w:id="122"/>
      <w:bookmarkEnd w:id="123"/>
      <w:bookmarkEnd w:id="124"/>
      <w:bookmarkEnd w:id="125"/>
      <w:bookmarkEnd w:id="126"/>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投标人所提供的设备参数，必须满足本技术标书中各章所提出的各项技术数据和技术要求，并在规定的时间内完成各项工作。任何偏差都必须列入“</w:t>
      </w:r>
      <w:r>
        <w:rPr>
          <w:rFonts w:hint="eastAsia" w:ascii="仿宋" w:hAnsi="仿宋" w:eastAsia="仿宋" w:cs="宋体"/>
          <w:szCs w:val="21"/>
          <w:highlight w:val="none"/>
        </w:rPr>
        <w:t>技术规格偏离表</w:t>
      </w:r>
      <w:r>
        <w:rPr>
          <w:rFonts w:hint="eastAsia" w:ascii="仿宋" w:hAnsi="仿宋" w:eastAsia="仿宋"/>
          <w:szCs w:val="21"/>
          <w:highlight w:val="none"/>
        </w:rPr>
        <w:t>”中，中标后，投标人在合同谈判中的任何偏差都不得超越已被招标人确认的条款。</w:t>
      </w:r>
    </w:p>
    <w:p>
      <w:pPr>
        <w:pStyle w:val="5"/>
        <w:snapToGrid w:val="0"/>
        <w:spacing w:before="0" w:after="0" w:line="360" w:lineRule="auto"/>
        <w:rPr>
          <w:rFonts w:ascii="仿宋" w:hAnsi="仿宋" w:eastAsia="仿宋"/>
          <w:sz w:val="21"/>
          <w:szCs w:val="21"/>
          <w:highlight w:val="none"/>
        </w:rPr>
      </w:pPr>
      <w:bookmarkStart w:id="127" w:name="_Toc498227182"/>
      <w:bookmarkStart w:id="128" w:name="_Toc498228784"/>
      <w:bookmarkStart w:id="129" w:name="_Toc507820969"/>
      <w:bookmarkStart w:id="130" w:name="_Toc6026280"/>
      <w:bookmarkStart w:id="131" w:name="_Toc6028358"/>
      <w:bookmarkStart w:id="132" w:name="_Toc6028448"/>
      <w:bookmarkStart w:id="133" w:name="_Toc6109320"/>
      <w:r>
        <w:rPr>
          <w:rFonts w:ascii="仿宋" w:hAnsi="仿宋" w:eastAsia="仿宋"/>
          <w:sz w:val="21"/>
          <w:szCs w:val="21"/>
          <w:highlight w:val="none"/>
        </w:rPr>
        <w:t>4.2</w:t>
      </w:r>
      <w:r>
        <w:rPr>
          <w:rFonts w:hint="eastAsia" w:ascii="仿宋" w:hAnsi="仿宋" w:eastAsia="仿宋"/>
          <w:sz w:val="21"/>
          <w:szCs w:val="21"/>
          <w:highlight w:val="none"/>
        </w:rPr>
        <w:t>建议</w:t>
      </w:r>
      <w:bookmarkEnd w:id="127"/>
      <w:bookmarkEnd w:id="128"/>
      <w:bookmarkEnd w:id="129"/>
      <w:bookmarkEnd w:id="130"/>
      <w:bookmarkEnd w:id="131"/>
      <w:bookmarkEnd w:id="132"/>
      <w:bookmarkEnd w:id="133"/>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投标人若对系统布置或设备选用有新的建议，可在投标书中提出，评标按本标书的要求进行</w:t>
      </w:r>
      <w:r>
        <w:rPr>
          <w:rFonts w:ascii="仿宋" w:hAnsi="仿宋" w:eastAsia="仿宋"/>
          <w:szCs w:val="21"/>
          <w:highlight w:val="none"/>
        </w:rPr>
        <w:t>,</w:t>
      </w:r>
      <w:r>
        <w:rPr>
          <w:rFonts w:hint="eastAsia" w:ascii="仿宋" w:hAnsi="仿宋" w:eastAsia="仿宋"/>
          <w:szCs w:val="21"/>
          <w:highlight w:val="none"/>
        </w:rPr>
        <w:t xml:space="preserve"> 投标人的建议方案不作为评标时的评判依据。若中标后，招标人有权选择投标人的建议方案，但功能和技术要求必须优于原方案，且建议方案的总报价必须小于或等于原方案的总报价。</w:t>
      </w:r>
    </w:p>
    <w:p>
      <w:pPr>
        <w:pStyle w:val="3"/>
        <w:snapToGrid w:val="0"/>
        <w:spacing w:before="0" w:after="0"/>
        <w:rPr>
          <w:rFonts w:ascii="仿宋" w:hAnsi="仿宋" w:eastAsia="仿宋"/>
          <w:highlight w:val="none"/>
        </w:rPr>
      </w:pPr>
      <w:bookmarkStart w:id="134" w:name="_Toc416254182"/>
      <w:bookmarkStart w:id="135" w:name="_Toc507820970"/>
      <w:bookmarkStart w:id="136" w:name="_Toc498228785"/>
      <w:bookmarkStart w:id="137" w:name="_Toc498227708"/>
      <w:bookmarkStart w:id="138" w:name="_Toc498227183"/>
      <w:bookmarkStart w:id="139" w:name="_Toc6109321"/>
      <w:bookmarkStart w:id="140" w:name="_Toc6028449"/>
      <w:bookmarkStart w:id="141" w:name="_Toc6028359"/>
      <w:bookmarkStart w:id="142" w:name="_Toc6026281"/>
      <w:r>
        <w:rPr>
          <w:rFonts w:hint="eastAsia" w:ascii="仿宋" w:hAnsi="仿宋" w:eastAsia="仿宋"/>
          <w:highlight w:val="none"/>
        </w:rPr>
        <w:t>二</w:t>
      </w:r>
      <w:r>
        <w:rPr>
          <w:rFonts w:ascii="仿宋" w:hAnsi="仿宋" w:eastAsia="仿宋"/>
          <w:highlight w:val="none"/>
        </w:rPr>
        <w:t>、</w:t>
      </w:r>
      <w:r>
        <w:rPr>
          <w:rFonts w:hint="eastAsia" w:ascii="仿宋" w:hAnsi="仿宋" w:eastAsia="仿宋"/>
          <w:highlight w:val="none"/>
        </w:rPr>
        <w:t>总则</w:t>
      </w:r>
      <w:bookmarkEnd w:id="134"/>
      <w:bookmarkEnd w:id="135"/>
      <w:bookmarkEnd w:id="136"/>
      <w:bookmarkEnd w:id="137"/>
      <w:bookmarkEnd w:id="138"/>
      <w:bookmarkEnd w:id="139"/>
      <w:bookmarkEnd w:id="140"/>
      <w:bookmarkEnd w:id="141"/>
      <w:bookmarkEnd w:id="142"/>
    </w:p>
    <w:p>
      <w:pPr>
        <w:pStyle w:val="4"/>
        <w:numPr>
          <w:ilvl w:val="0"/>
          <w:numId w:val="7"/>
        </w:numPr>
        <w:tabs>
          <w:tab w:val="left" w:pos="284"/>
          <w:tab w:val="clear" w:pos="1275"/>
        </w:tabs>
        <w:snapToGrid w:val="0"/>
        <w:spacing w:line="360" w:lineRule="auto"/>
        <w:ind w:hanging="1275"/>
        <w:rPr>
          <w:rFonts w:ascii="仿宋" w:hAnsi="仿宋" w:eastAsia="仿宋"/>
          <w:sz w:val="21"/>
          <w:szCs w:val="21"/>
          <w:highlight w:val="none"/>
        </w:rPr>
      </w:pPr>
      <w:bookmarkStart w:id="143" w:name="_Toc498228790"/>
      <w:bookmarkStart w:id="144" w:name="_Toc507820975"/>
      <w:bookmarkStart w:id="145" w:name="_Toc6026287"/>
      <w:bookmarkStart w:id="146" w:name="_Toc6028365"/>
      <w:bookmarkStart w:id="147" w:name="_Toc6028455"/>
      <w:bookmarkStart w:id="148" w:name="_Toc6109327"/>
      <w:bookmarkStart w:id="149" w:name="_Toc416254183"/>
      <w:bookmarkStart w:id="150" w:name="_Toc498227188"/>
      <w:r>
        <w:rPr>
          <w:rFonts w:hint="eastAsia" w:ascii="仿宋" w:hAnsi="仿宋" w:eastAsia="仿宋"/>
          <w:sz w:val="21"/>
          <w:szCs w:val="21"/>
          <w:highlight w:val="none"/>
        </w:rPr>
        <w:t>安装位置</w:t>
      </w:r>
      <w:bookmarkEnd w:id="143"/>
      <w:bookmarkEnd w:id="144"/>
      <w:bookmarkEnd w:id="145"/>
      <w:bookmarkEnd w:id="146"/>
      <w:bookmarkEnd w:id="147"/>
      <w:bookmarkEnd w:id="148"/>
      <w:bookmarkEnd w:id="149"/>
      <w:bookmarkEnd w:id="150"/>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标书中所含设备均安装在杭州萧山机场内。</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51" w:name="_Toc498227189"/>
      <w:bookmarkStart w:id="152" w:name="_Toc498228791"/>
      <w:bookmarkStart w:id="153" w:name="_Toc507820976"/>
      <w:bookmarkStart w:id="154" w:name="_Toc6026288"/>
      <w:bookmarkStart w:id="155" w:name="_Toc6028366"/>
      <w:bookmarkStart w:id="156" w:name="_Toc6028456"/>
      <w:bookmarkStart w:id="157" w:name="_Toc6109328"/>
      <w:bookmarkStart w:id="158" w:name="_Toc416254184"/>
      <w:r>
        <w:rPr>
          <w:rFonts w:hint="eastAsia" w:ascii="仿宋" w:hAnsi="仿宋" w:eastAsia="仿宋"/>
          <w:sz w:val="21"/>
          <w:szCs w:val="21"/>
          <w:highlight w:val="none"/>
        </w:rPr>
        <w:t>气候条件</w:t>
      </w:r>
      <w:bookmarkEnd w:id="151"/>
      <w:bookmarkEnd w:id="152"/>
      <w:bookmarkEnd w:id="153"/>
      <w:bookmarkEnd w:id="154"/>
      <w:bookmarkEnd w:id="155"/>
      <w:bookmarkEnd w:id="156"/>
      <w:bookmarkEnd w:id="157"/>
      <w:bookmarkEnd w:id="158"/>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室内温度：夏季18℃</w:t>
      </w:r>
      <w:r>
        <w:rPr>
          <w:rFonts w:ascii="仿宋" w:hAnsi="仿宋" w:eastAsia="仿宋"/>
          <w:sz w:val="21"/>
          <w:szCs w:val="21"/>
          <w:highlight w:val="none"/>
        </w:rPr>
        <w:t xml:space="preserve"> ---</w:t>
      </w:r>
      <w:r>
        <w:rPr>
          <w:rFonts w:hint="eastAsia" w:ascii="仿宋" w:hAnsi="仿宋" w:eastAsia="仿宋"/>
          <w:sz w:val="21"/>
          <w:szCs w:val="21"/>
          <w:highlight w:val="none"/>
        </w:rPr>
        <w:t>35℃</w:t>
      </w:r>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室内温度：冬季  5℃</w:t>
      </w:r>
      <w:r>
        <w:rPr>
          <w:rFonts w:ascii="仿宋" w:hAnsi="仿宋" w:eastAsia="仿宋"/>
          <w:sz w:val="21"/>
          <w:szCs w:val="21"/>
          <w:highlight w:val="none"/>
        </w:rPr>
        <w:t xml:space="preserve"> ---2</w:t>
      </w:r>
      <w:r>
        <w:rPr>
          <w:rFonts w:hint="eastAsia" w:ascii="仿宋" w:hAnsi="仿宋" w:eastAsia="仿宋"/>
          <w:sz w:val="21"/>
          <w:szCs w:val="21"/>
          <w:highlight w:val="none"/>
        </w:rPr>
        <w:t>0℃</w:t>
      </w:r>
    </w:p>
    <w:p>
      <w:pPr>
        <w:pStyle w:val="97"/>
        <w:keepNext w:val="0"/>
        <w:keepLines w:val="0"/>
        <w:numPr>
          <w:ilvl w:val="0"/>
          <w:numId w:val="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相对湿度：</w:t>
      </w:r>
      <w:r>
        <w:rPr>
          <w:rFonts w:ascii="仿宋" w:hAnsi="仿宋" w:eastAsia="仿宋"/>
          <w:sz w:val="21"/>
          <w:szCs w:val="21"/>
          <w:highlight w:val="none"/>
        </w:rPr>
        <w:t>40</w:t>
      </w:r>
      <w:r>
        <w:rPr>
          <w:rFonts w:hint="eastAsia" w:ascii="仿宋" w:hAnsi="仿宋" w:eastAsia="仿宋"/>
          <w:sz w:val="21"/>
          <w:szCs w:val="21"/>
          <w:highlight w:val="none"/>
        </w:rPr>
        <w:t xml:space="preserve"> ％</w:t>
      </w:r>
      <w:r>
        <w:rPr>
          <w:rFonts w:ascii="仿宋" w:hAnsi="仿宋" w:eastAsia="仿宋"/>
          <w:sz w:val="21"/>
          <w:szCs w:val="21"/>
          <w:highlight w:val="none"/>
        </w:rPr>
        <w:t>—</w:t>
      </w:r>
      <w:r>
        <w:rPr>
          <w:rFonts w:hint="eastAsia" w:ascii="仿宋" w:hAnsi="仿宋" w:eastAsia="仿宋"/>
          <w:sz w:val="21"/>
          <w:szCs w:val="21"/>
          <w:highlight w:val="none"/>
        </w:rPr>
        <w:t xml:space="preserve">70 </w:t>
      </w:r>
      <w:r>
        <w:rPr>
          <w:rFonts w:ascii="仿宋" w:hAnsi="仿宋" w:eastAsia="仿宋"/>
          <w:sz w:val="21"/>
          <w:szCs w:val="21"/>
          <w:highlight w:val="none"/>
        </w:rPr>
        <w:t>%</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59" w:name="_Toc498227190"/>
      <w:bookmarkStart w:id="160" w:name="_Toc498228792"/>
      <w:bookmarkStart w:id="161" w:name="_Toc507820977"/>
      <w:bookmarkStart w:id="162" w:name="_Toc6026289"/>
      <w:bookmarkStart w:id="163" w:name="_Toc6028367"/>
      <w:bookmarkStart w:id="164" w:name="_Toc6028457"/>
      <w:bookmarkStart w:id="165" w:name="_Toc6109329"/>
      <w:bookmarkStart w:id="166" w:name="_Toc416254185"/>
      <w:r>
        <w:rPr>
          <w:rFonts w:hint="eastAsia" w:ascii="仿宋" w:hAnsi="仿宋" w:eastAsia="仿宋"/>
          <w:sz w:val="21"/>
          <w:szCs w:val="21"/>
          <w:highlight w:val="none"/>
        </w:rPr>
        <w:t>供电参数</w:t>
      </w:r>
      <w:bookmarkEnd w:id="159"/>
      <w:bookmarkEnd w:id="160"/>
      <w:bookmarkEnd w:id="161"/>
      <w:bookmarkEnd w:id="162"/>
      <w:bookmarkEnd w:id="163"/>
      <w:bookmarkEnd w:id="164"/>
      <w:bookmarkEnd w:id="165"/>
      <w:bookmarkEnd w:id="166"/>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 xml:space="preserve">电源 </w:t>
      </w:r>
      <w:r>
        <w:rPr>
          <w:rFonts w:ascii="仿宋" w:hAnsi="仿宋" w:eastAsia="仿宋"/>
          <w:sz w:val="21"/>
          <w:szCs w:val="21"/>
          <w:highlight w:val="none"/>
        </w:rPr>
        <w:t>AC 220V 50H</w:t>
      </w:r>
      <w:r>
        <w:rPr>
          <w:rFonts w:ascii="仿宋" w:hAnsi="仿宋" w:eastAsia="仿宋"/>
          <w:sz w:val="21"/>
          <w:szCs w:val="21"/>
          <w:highlight w:val="none"/>
          <w:vertAlign w:val="subscript"/>
        </w:rPr>
        <w:t xml:space="preserve">Z </w:t>
      </w:r>
      <w:r>
        <w:rPr>
          <w:rFonts w:hint="eastAsia" w:ascii="仿宋" w:hAnsi="仿宋" w:eastAsia="仿宋"/>
          <w:sz w:val="21"/>
          <w:szCs w:val="21"/>
          <w:highlight w:val="none"/>
        </w:rPr>
        <w:t>单相三线制、AC380V 50Hz 三相五线制</w:t>
      </w:r>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电压变化：±</w:t>
      </w:r>
      <w:r>
        <w:rPr>
          <w:rFonts w:ascii="仿宋" w:hAnsi="仿宋" w:eastAsia="仿宋"/>
          <w:sz w:val="21"/>
          <w:szCs w:val="21"/>
          <w:highlight w:val="none"/>
        </w:rPr>
        <w:t xml:space="preserve"> 10% </w:t>
      </w:r>
    </w:p>
    <w:p>
      <w:pPr>
        <w:pStyle w:val="97"/>
        <w:keepNext w:val="0"/>
        <w:keepLines w:val="0"/>
        <w:numPr>
          <w:ilvl w:val="0"/>
          <w:numId w:val="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频率变化：± 2%</w:t>
      </w:r>
      <w:bookmarkStart w:id="167" w:name="_Toc498228793"/>
      <w:bookmarkStart w:id="168" w:name="_Toc498227191"/>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69" w:name="_Toc507820978"/>
      <w:bookmarkStart w:id="170" w:name="_Toc6026290"/>
      <w:bookmarkStart w:id="171" w:name="_Toc6028368"/>
      <w:bookmarkStart w:id="172" w:name="_Toc6028458"/>
      <w:bookmarkStart w:id="173" w:name="_Toc6109330"/>
      <w:bookmarkStart w:id="174" w:name="_Toc416254186"/>
      <w:r>
        <w:rPr>
          <w:rFonts w:hint="eastAsia" w:ascii="仿宋" w:hAnsi="仿宋" w:eastAsia="仿宋"/>
          <w:sz w:val="21"/>
          <w:szCs w:val="21"/>
          <w:highlight w:val="none"/>
        </w:rPr>
        <w:t>工作制度</w:t>
      </w:r>
      <w:bookmarkEnd w:id="167"/>
      <w:bookmarkEnd w:id="168"/>
      <w:bookmarkEnd w:id="169"/>
      <w:bookmarkEnd w:id="170"/>
      <w:bookmarkEnd w:id="171"/>
      <w:bookmarkEnd w:id="172"/>
      <w:bookmarkEnd w:id="173"/>
      <w:bookmarkEnd w:id="174"/>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全年</w:t>
      </w:r>
      <w:r>
        <w:rPr>
          <w:rFonts w:ascii="仿宋" w:hAnsi="仿宋" w:eastAsia="仿宋"/>
          <w:szCs w:val="21"/>
          <w:highlight w:val="none"/>
        </w:rPr>
        <w:t>365</w:t>
      </w:r>
      <w:r>
        <w:rPr>
          <w:rFonts w:hint="eastAsia" w:ascii="仿宋" w:hAnsi="仿宋" w:eastAsia="仿宋"/>
          <w:szCs w:val="21"/>
          <w:highlight w:val="none"/>
        </w:rPr>
        <w:t>天，每天</w:t>
      </w:r>
      <w:r>
        <w:rPr>
          <w:rFonts w:ascii="仿宋" w:hAnsi="仿宋" w:eastAsia="仿宋"/>
          <w:szCs w:val="21"/>
          <w:highlight w:val="none"/>
        </w:rPr>
        <w:t>24</w:t>
      </w:r>
      <w:r>
        <w:rPr>
          <w:rFonts w:hint="eastAsia" w:ascii="仿宋" w:hAnsi="仿宋" w:eastAsia="仿宋"/>
          <w:szCs w:val="21"/>
          <w:highlight w:val="none"/>
        </w:rPr>
        <w:t>小时运营作业。</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75" w:name="_Toc498227193"/>
      <w:bookmarkStart w:id="176" w:name="_Toc498227711"/>
      <w:bookmarkStart w:id="177" w:name="_Toc498228795"/>
      <w:bookmarkStart w:id="178" w:name="_Toc507820979"/>
      <w:bookmarkStart w:id="179" w:name="_Toc6026291"/>
      <w:bookmarkStart w:id="180" w:name="_Toc6028369"/>
      <w:bookmarkStart w:id="181" w:name="_Toc6028459"/>
      <w:bookmarkStart w:id="182" w:name="_Toc6109331"/>
      <w:bookmarkStart w:id="183" w:name="_Toc416254187"/>
      <w:r>
        <w:rPr>
          <w:rFonts w:hint="eastAsia" w:ascii="仿宋" w:hAnsi="仿宋" w:eastAsia="仿宋"/>
          <w:sz w:val="21"/>
          <w:szCs w:val="21"/>
          <w:highlight w:val="none"/>
        </w:rPr>
        <w:t>设计标准</w:t>
      </w:r>
      <w:bookmarkEnd w:id="175"/>
      <w:bookmarkEnd w:id="176"/>
      <w:bookmarkEnd w:id="177"/>
      <w:bookmarkEnd w:id="178"/>
      <w:bookmarkEnd w:id="179"/>
      <w:bookmarkEnd w:id="180"/>
      <w:bookmarkEnd w:id="181"/>
      <w:bookmarkEnd w:id="182"/>
      <w:bookmarkEnd w:id="183"/>
    </w:p>
    <w:p>
      <w:pPr>
        <w:pStyle w:val="5"/>
        <w:snapToGrid w:val="0"/>
        <w:spacing w:before="0" w:after="0" w:line="360" w:lineRule="auto"/>
        <w:rPr>
          <w:rFonts w:ascii="仿宋" w:hAnsi="仿宋" w:eastAsia="仿宋"/>
          <w:sz w:val="21"/>
          <w:szCs w:val="21"/>
          <w:highlight w:val="none"/>
        </w:rPr>
      </w:pPr>
      <w:bookmarkStart w:id="184" w:name="_Toc498227194"/>
      <w:bookmarkStart w:id="185" w:name="_Toc498228796"/>
      <w:bookmarkStart w:id="186" w:name="_Toc507820980"/>
      <w:bookmarkStart w:id="187" w:name="_Toc6026292"/>
      <w:bookmarkStart w:id="188" w:name="_Toc6028370"/>
      <w:bookmarkStart w:id="189" w:name="_Toc6028460"/>
      <w:bookmarkStart w:id="190" w:name="_Toc6109332"/>
      <w:r>
        <w:rPr>
          <w:rFonts w:hint="eastAsia" w:ascii="仿宋" w:hAnsi="仿宋" w:eastAsia="仿宋"/>
          <w:sz w:val="21"/>
          <w:szCs w:val="21"/>
          <w:highlight w:val="none"/>
        </w:rPr>
        <w:t>5</w:t>
      </w:r>
      <w:r>
        <w:rPr>
          <w:rFonts w:ascii="仿宋" w:hAnsi="仿宋" w:eastAsia="仿宋"/>
          <w:sz w:val="21"/>
          <w:szCs w:val="21"/>
          <w:highlight w:val="none"/>
        </w:rPr>
        <w:t>.1</w:t>
      </w:r>
      <w:r>
        <w:rPr>
          <w:rFonts w:hint="eastAsia" w:ascii="仿宋" w:hAnsi="仿宋" w:eastAsia="仿宋"/>
          <w:sz w:val="21"/>
          <w:szCs w:val="21"/>
          <w:highlight w:val="none"/>
        </w:rPr>
        <w:t>可用的标准</w:t>
      </w:r>
      <w:bookmarkEnd w:id="184"/>
      <w:bookmarkEnd w:id="185"/>
      <w:r>
        <w:rPr>
          <w:rFonts w:hint="eastAsia" w:ascii="仿宋" w:hAnsi="仿宋" w:eastAsia="仿宋"/>
          <w:sz w:val="21"/>
          <w:szCs w:val="21"/>
          <w:highlight w:val="none"/>
        </w:rPr>
        <w:t>和规范</w:t>
      </w:r>
      <w:bookmarkEnd w:id="186"/>
      <w:bookmarkEnd w:id="187"/>
      <w:bookmarkEnd w:id="188"/>
      <w:bookmarkEnd w:id="189"/>
      <w:bookmarkEnd w:id="190"/>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投标人必须依据现行国际安全标准和设计标准进行设备生产制造，除特殊规定外，所有机械及电气设备，在设计、制造、安装和检验上均要符合以下标准和规范的最新且已实施的版本。</w:t>
      </w:r>
    </w:p>
    <w:p>
      <w:pPr>
        <w:pStyle w:val="97"/>
        <w:numPr>
          <w:ilvl w:val="0"/>
          <w:numId w:val="10"/>
        </w:numPr>
        <w:tabs>
          <w:tab w:val="left" w:pos="624"/>
          <w:tab w:val="left" w:pos="1021"/>
        </w:tabs>
        <w:adjustRightInd w:val="0"/>
        <w:snapToGrid w:val="0"/>
        <w:spacing w:before="0" w:after="0"/>
        <w:jc w:val="left"/>
        <w:textAlignment w:val="baseline"/>
        <w:rPr>
          <w:rFonts w:ascii="仿宋" w:hAnsi="仿宋" w:eastAsia="仿宋"/>
          <w:sz w:val="21"/>
          <w:szCs w:val="21"/>
          <w:highlight w:val="none"/>
        </w:rPr>
      </w:pPr>
      <w:r>
        <w:rPr>
          <w:rFonts w:hint="eastAsia" w:ascii="仿宋" w:hAnsi="仿宋" w:eastAsia="仿宋"/>
          <w:sz w:val="21"/>
          <w:szCs w:val="21"/>
          <w:highlight w:val="none"/>
        </w:rPr>
        <w:t>MD-SB-2011-003 《民用航空痕量爆炸物安全检查设备鉴定内控标准》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MD-SB-2011-005 《民用航空痕量爆炸物安全检查设备爆炸物探测能力测试程序》</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ascii="仿宋" w:hAnsi="仿宋" w:eastAsia="仿宋"/>
          <w:sz w:val="21"/>
          <w:szCs w:val="21"/>
          <w:highlight w:val="none"/>
        </w:rPr>
        <w:t>MH7003-</w:t>
      </w:r>
      <w:r>
        <w:rPr>
          <w:rFonts w:hint="eastAsia" w:ascii="仿宋" w:hAnsi="仿宋" w:eastAsia="仿宋"/>
          <w:sz w:val="21"/>
          <w:szCs w:val="21"/>
          <w:highlight w:val="none"/>
        </w:rPr>
        <w:t>2017</w:t>
      </w:r>
      <w:r>
        <w:rPr>
          <w:rFonts w:ascii="仿宋" w:hAnsi="仿宋" w:eastAsia="仿宋"/>
          <w:sz w:val="21"/>
          <w:szCs w:val="21"/>
          <w:highlight w:val="none"/>
        </w:rPr>
        <w:t xml:space="preserve">    </w:t>
      </w:r>
      <w:r>
        <w:rPr>
          <w:rFonts w:hint="eastAsia" w:ascii="仿宋" w:hAnsi="仿宋" w:eastAsia="仿宋"/>
          <w:sz w:val="21"/>
          <w:szCs w:val="21"/>
          <w:highlight w:val="none"/>
        </w:rPr>
        <w:t xml:space="preserve"> 民用航空运输机场保卫设施建设标准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中国民用航空旅客、行李国内运输规则</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 xml:space="preserve">ECAC  </w:t>
      </w:r>
      <w:r>
        <w:rPr>
          <w:rFonts w:ascii="仿宋" w:hAnsi="仿宋" w:eastAsia="仿宋"/>
          <w:sz w:val="21"/>
          <w:szCs w:val="21"/>
          <w:highlight w:val="none"/>
        </w:rPr>
        <w:t xml:space="preserve"> </w:t>
      </w:r>
      <w:r>
        <w:rPr>
          <w:rFonts w:hint="eastAsia" w:ascii="仿宋" w:hAnsi="仿宋" w:eastAsia="仿宋"/>
          <w:sz w:val="21"/>
          <w:szCs w:val="21"/>
          <w:highlight w:val="none"/>
        </w:rPr>
        <w:t>欧洲民用航空协会</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ISO    国际标准化组织标准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IEC    国际电工委员会标准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IATA   国际航空运输协会标准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EN     欧洲标准</w:t>
      </w:r>
    </w:p>
    <w:p>
      <w:pPr>
        <w:pStyle w:val="97"/>
        <w:keepNext w:val="0"/>
        <w:keepLines w:val="0"/>
        <w:numPr>
          <w:ilvl w:val="0"/>
          <w:numId w:val="1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使用的标准如果在本技术标书中没有规定，就必须对所用的标准进行说明。当推荐的标准和实施规则等效于或优于技术标书的要求时，该标准才可能为招标人接受。投标人必须清楚地说明用于替代的标准或实际使用的规范，并在投标时提交推荐标准或实施规范的对照文本，明显的差异点要说明。</w:t>
      </w:r>
    </w:p>
    <w:p>
      <w:pPr>
        <w:pStyle w:val="5"/>
        <w:snapToGrid w:val="0"/>
        <w:spacing w:before="0" w:after="0" w:line="360" w:lineRule="auto"/>
        <w:rPr>
          <w:rFonts w:ascii="仿宋" w:hAnsi="仿宋" w:eastAsia="仿宋"/>
          <w:sz w:val="21"/>
          <w:szCs w:val="21"/>
          <w:highlight w:val="none"/>
        </w:rPr>
      </w:pPr>
      <w:bookmarkStart w:id="191" w:name="_Toc498227195"/>
      <w:bookmarkStart w:id="192" w:name="_Toc498228797"/>
      <w:bookmarkStart w:id="193" w:name="_Toc507820981"/>
      <w:bookmarkStart w:id="194" w:name="_Toc6026293"/>
      <w:bookmarkStart w:id="195" w:name="_Toc6028371"/>
      <w:bookmarkStart w:id="196" w:name="_Toc6028461"/>
      <w:bookmarkStart w:id="197" w:name="_Toc6109333"/>
      <w:r>
        <w:rPr>
          <w:rFonts w:hint="eastAsia" w:ascii="仿宋" w:hAnsi="仿宋" w:eastAsia="仿宋"/>
          <w:sz w:val="21"/>
          <w:szCs w:val="21"/>
          <w:highlight w:val="none"/>
        </w:rPr>
        <w:t>5</w:t>
      </w:r>
      <w:r>
        <w:rPr>
          <w:rFonts w:ascii="仿宋" w:hAnsi="仿宋" w:eastAsia="仿宋"/>
          <w:sz w:val="21"/>
          <w:szCs w:val="21"/>
          <w:highlight w:val="none"/>
        </w:rPr>
        <w:t>.2</w:t>
      </w:r>
      <w:r>
        <w:rPr>
          <w:rFonts w:hint="eastAsia" w:ascii="仿宋" w:hAnsi="仿宋" w:eastAsia="仿宋"/>
          <w:sz w:val="21"/>
          <w:szCs w:val="21"/>
          <w:highlight w:val="none"/>
        </w:rPr>
        <w:t>标准化与通用化</w:t>
      </w:r>
      <w:bookmarkEnd w:id="191"/>
      <w:bookmarkEnd w:id="192"/>
      <w:bookmarkEnd w:id="193"/>
      <w:bookmarkEnd w:id="194"/>
      <w:bookmarkEnd w:id="195"/>
      <w:bookmarkEnd w:id="196"/>
      <w:bookmarkEnd w:id="197"/>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必须尽量减少本技术标书中设备零部件、配件的规格、品种，必须充分考虑其标准化、通用化，以便于互换。</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198" w:name="_Toc498227197"/>
      <w:bookmarkStart w:id="199" w:name="_Toc498227712"/>
      <w:bookmarkStart w:id="200" w:name="_Toc498228799"/>
      <w:bookmarkStart w:id="201" w:name="_Toc507820982"/>
      <w:bookmarkStart w:id="202" w:name="_Toc6026294"/>
      <w:bookmarkStart w:id="203" w:name="_Toc6028372"/>
      <w:bookmarkStart w:id="204" w:name="_Toc6028462"/>
      <w:bookmarkStart w:id="205" w:name="_Toc6109334"/>
      <w:bookmarkStart w:id="206" w:name="_Toc416254188"/>
      <w:r>
        <w:rPr>
          <w:rFonts w:hint="eastAsia" w:ascii="仿宋" w:hAnsi="仿宋" w:eastAsia="仿宋"/>
          <w:sz w:val="21"/>
          <w:szCs w:val="21"/>
          <w:highlight w:val="none"/>
        </w:rPr>
        <w:t>故障率</w:t>
      </w:r>
      <w:bookmarkEnd w:id="198"/>
      <w:bookmarkEnd w:id="199"/>
      <w:bookmarkEnd w:id="200"/>
      <w:bookmarkEnd w:id="201"/>
      <w:bookmarkEnd w:id="202"/>
      <w:bookmarkEnd w:id="203"/>
      <w:bookmarkEnd w:id="204"/>
      <w:bookmarkEnd w:id="205"/>
      <w:bookmarkEnd w:id="206"/>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highlight w:val="none"/>
        </w:rPr>
        <w:t>台式爆炸物/毒品探测设备</w:t>
      </w:r>
      <w:r>
        <w:rPr>
          <w:rFonts w:hint="eastAsia" w:ascii="仿宋" w:hAnsi="仿宋" w:eastAsia="仿宋"/>
          <w:szCs w:val="21"/>
          <w:highlight w:val="none"/>
        </w:rPr>
        <w:t>的无故障使用时间(</w:t>
      </w:r>
      <w:r>
        <w:rPr>
          <w:rFonts w:ascii="仿宋" w:hAnsi="仿宋" w:eastAsia="仿宋"/>
          <w:szCs w:val="21"/>
          <w:highlight w:val="none"/>
        </w:rPr>
        <w:t>MTBF</w:t>
      </w:r>
      <w:r>
        <w:rPr>
          <w:rFonts w:hint="eastAsia" w:ascii="仿宋" w:hAnsi="仿宋" w:eastAsia="仿宋"/>
          <w:szCs w:val="21"/>
          <w:highlight w:val="none"/>
        </w:rPr>
        <w:t>)</w:t>
      </w:r>
      <w:r>
        <w:rPr>
          <w:rFonts w:ascii="仿宋" w:hAnsi="仿宋" w:eastAsia="仿宋"/>
          <w:szCs w:val="21"/>
          <w:highlight w:val="none"/>
        </w:rPr>
        <w:t>2000</w:t>
      </w:r>
      <w:r>
        <w:rPr>
          <w:rFonts w:hint="eastAsia" w:ascii="仿宋" w:hAnsi="仿宋" w:eastAsia="仿宋"/>
          <w:szCs w:val="21"/>
          <w:highlight w:val="none"/>
        </w:rPr>
        <w:t>小时以上。系统的可用性</w:t>
      </w:r>
      <w:r>
        <w:rPr>
          <w:rFonts w:ascii="仿宋" w:hAnsi="仿宋" w:eastAsia="仿宋"/>
          <w:szCs w:val="21"/>
          <w:highlight w:val="none"/>
        </w:rPr>
        <w:sym w:font="UniversalMath1 BT" w:char="F02F"/>
      </w:r>
      <w:r>
        <w:rPr>
          <w:rFonts w:ascii="仿宋" w:hAnsi="仿宋" w:eastAsia="仿宋"/>
          <w:szCs w:val="21"/>
          <w:highlight w:val="none"/>
        </w:rPr>
        <w:t>99.99%</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07" w:name="_Toc498227202"/>
      <w:bookmarkStart w:id="208" w:name="_Toc498227715"/>
      <w:bookmarkStart w:id="209" w:name="_Toc498228804"/>
      <w:bookmarkStart w:id="210" w:name="_Toc507820988"/>
      <w:bookmarkStart w:id="211" w:name="_Toc6026300"/>
      <w:bookmarkStart w:id="212" w:name="_Toc6028378"/>
      <w:bookmarkStart w:id="213" w:name="_Toc6028468"/>
      <w:bookmarkStart w:id="214" w:name="_Toc6109340"/>
      <w:bookmarkStart w:id="215" w:name="_Toc416254191"/>
      <w:r>
        <w:rPr>
          <w:rFonts w:hint="eastAsia" w:ascii="仿宋" w:hAnsi="仿宋" w:eastAsia="仿宋"/>
          <w:sz w:val="21"/>
          <w:szCs w:val="21"/>
          <w:highlight w:val="none"/>
        </w:rPr>
        <w:t>技术资料要求</w:t>
      </w:r>
      <w:bookmarkEnd w:id="207"/>
      <w:bookmarkEnd w:id="208"/>
      <w:bookmarkEnd w:id="209"/>
      <w:bookmarkEnd w:id="210"/>
      <w:bookmarkEnd w:id="211"/>
      <w:bookmarkEnd w:id="212"/>
      <w:bookmarkEnd w:id="213"/>
      <w:bookmarkEnd w:id="214"/>
      <w:bookmarkEnd w:id="215"/>
    </w:p>
    <w:p>
      <w:pPr>
        <w:pStyle w:val="5"/>
        <w:snapToGrid w:val="0"/>
        <w:spacing w:before="0" w:after="0" w:line="360" w:lineRule="auto"/>
        <w:rPr>
          <w:rFonts w:ascii="仿宋" w:hAnsi="仿宋" w:eastAsia="仿宋"/>
          <w:sz w:val="21"/>
          <w:szCs w:val="21"/>
          <w:highlight w:val="none"/>
        </w:rPr>
      </w:pPr>
      <w:bookmarkStart w:id="216" w:name="_Toc498227204"/>
      <w:bookmarkStart w:id="217" w:name="_Toc498228806"/>
      <w:bookmarkStart w:id="218" w:name="_Toc507820990"/>
      <w:bookmarkStart w:id="219" w:name="_Toc6026302"/>
      <w:bookmarkStart w:id="220" w:name="_Toc6028380"/>
      <w:bookmarkStart w:id="221" w:name="_Toc6028470"/>
      <w:bookmarkStart w:id="222" w:name="_Toc6109342"/>
      <w:r>
        <w:rPr>
          <w:rFonts w:hint="eastAsia" w:ascii="仿宋" w:hAnsi="仿宋" w:eastAsia="仿宋"/>
          <w:sz w:val="21"/>
          <w:szCs w:val="21"/>
          <w:highlight w:val="none"/>
        </w:rPr>
        <w:t>8</w:t>
      </w:r>
      <w:r>
        <w:rPr>
          <w:rFonts w:ascii="仿宋" w:hAnsi="仿宋" w:eastAsia="仿宋"/>
          <w:sz w:val="21"/>
          <w:szCs w:val="21"/>
          <w:highlight w:val="none"/>
        </w:rPr>
        <w:t>.2</w:t>
      </w:r>
      <w:r>
        <w:rPr>
          <w:rFonts w:hint="eastAsia" w:ascii="仿宋" w:hAnsi="仿宋" w:eastAsia="仿宋"/>
          <w:sz w:val="21"/>
          <w:szCs w:val="21"/>
          <w:highlight w:val="none"/>
        </w:rPr>
        <w:t>投标时所提供资料</w:t>
      </w:r>
      <w:bookmarkEnd w:id="216"/>
      <w:bookmarkEnd w:id="217"/>
      <w:bookmarkEnd w:id="218"/>
      <w:bookmarkEnd w:id="219"/>
      <w:bookmarkEnd w:id="220"/>
      <w:bookmarkEnd w:id="221"/>
      <w:bookmarkEnd w:id="222"/>
    </w:p>
    <w:p>
      <w:pPr>
        <w:snapToGrid w:val="0"/>
        <w:spacing w:line="360" w:lineRule="auto"/>
        <w:rPr>
          <w:rFonts w:ascii="仿宋" w:hAnsi="仿宋" w:eastAsia="仿宋"/>
          <w:szCs w:val="21"/>
          <w:highlight w:val="none"/>
        </w:rPr>
      </w:pPr>
      <w:r>
        <w:rPr>
          <w:rFonts w:hint="eastAsia" w:ascii="仿宋" w:hAnsi="仿宋" w:eastAsia="仿宋"/>
          <w:szCs w:val="21"/>
          <w:highlight w:val="none"/>
        </w:rPr>
        <w:t xml:space="preserve">    本节所要求的系统文件应是中文或中英文对照本。</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提供技术资格能力资料。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设备详细配置图，设备和随机附件清单和技术说明资料。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设备安装、施工组织和进度等资料。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本技术标书中要求在投标时提供的其它资料。</w:t>
      </w:r>
    </w:p>
    <w:p>
      <w:pPr>
        <w:pStyle w:val="97"/>
        <w:keepNext w:val="0"/>
        <w:keepLines w:val="0"/>
        <w:numPr>
          <w:ilvl w:val="0"/>
          <w:numId w:val="1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验收大纲。</w:t>
      </w:r>
    </w:p>
    <w:p>
      <w:pPr>
        <w:pStyle w:val="5"/>
        <w:snapToGrid w:val="0"/>
        <w:spacing w:before="0" w:after="0" w:line="360" w:lineRule="auto"/>
        <w:rPr>
          <w:rFonts w:ascii="仿宋" w:hAnsi="仿宋" w:eastAsia="仿宋"/>
          <w:sz w:val="21"/>
          <w:szCs w:val="21"/>
          <w:highlight w:val="none"/>
        </w:rPr>
      </w:pPr>
      <w:bookmarkStart w:id="223" w:name="_Toc6109343"/>
      <w:bookmarkStart w:id="224" w:name="_Toc6028471"/>
      <w:bookmarkStart w:id="225" w:name="_Toc6028381"/>
      <w:bookmarkStart w:id="226" w:name="_Toc6026303"/>
      <w:bookmarkStart w:id="227" w:name="_Toc507820991"/>
      <w:bookmarkStart w:id="228" w:name="_Toc498228807"/>
      <w:bookmarkStart w:id="229" w:name="_Toc498227205"/>
      <w:r>
        <w:rPr>
          <w:rFonts w:hint="eastAsia" w:ascii="仿宋" w:hAnsi="仿宋" w:eastAsia="仿宋"/>
          <w:sz w:val="21"/>
          <w:szCs w:val="21"/>
          <w:highlight w:val="none"/>
        </w:rPr>
        <w:t>8</w:t>
      </w:r>
      <w:r>
        <w:rPr>
          <w:rFonts w:ascii="仿宋" w:hAnsi="仿宋" w:eastAsia="仿宋"/>
          <w:sz w:val="21"/>
          <w:szCs w:val="21"/>
          <w:highlight w:val="none"/>
        </w:rPr>
        <w:t>.3</w:t>
      </w:r>
      <w:r>
        <w:rPr>
          <w:rFonts w:hint="eastAsia" w:ascii="仿宋" w:hAnsi="仿宋" w:eastAsia="仿宋"/>
          <w:sz w:val="21"/>
          <w:szCs w:val="21"/>
          <w:highlight w:val="none"/>
        </w:rPr>
        <w:t>签约后</w:t>
      </w:r>
      <w:bookmarkStart w:id="230" w:name="_Ref497571232"/>
      <w:r>
        <w:rPr>
          <w:rFonts w:hint="eastAsia" w:ascii="仿宋" w:hAnsi="仿宋" w:eastAsia="仿宋"/>
          <w:sz w:val="21"/>
          <w:szCs w:val="21"/>
          <w:highlight w:val="none"/>
        </w:rPr>
        <w:t>提交招标人审查资料</w:t>
      </w:r>
      <w:bookmarkEnd w:id="223"/>
      <w:bookmarkEnd w:id="224"/>
      <w:bookmarkEnd w:id="225"/>
      <w:bookmarkEnd w:id="226"/>
      <w:bookmarkEnd w:id="227"/>
      <w:bookmarkEnd w:id="228"/>
      <w:bookmarkEnd w:id="229"/>
      <w:bookmarkEnd w:id="230"/>
    </w:p>
    <w:p>
      <w:pPr>
        <w:snapToGrid w:val="0"/>
        <w:spacing w:line="360" w:lineRule="auto"/>
        <w:ind w:firstLine="480" w:firstLineChars="200"/>
        <w:rPr>
          <w:rFonts w:ascii="仿宋" w:hAnsi="仿宋" w:eastAsia="仿宋"/>
          <w:szCs w:val="21"/>
          <w:highlight w:val="none"/>
        </w:rPr>
      </w:pPr>
      <w:r>
        <w:rPr>
          <w:rFonts w:hint="eastAsia" w:ascii="仿宋" w:hAnsi="仿宋" w:eastAsia="仿宋"/>
          <w:szCs w:val="21"/>
          <w:highlight w:val="none"/>
        </w:rPr>
        <w:t>签约后所提供资料必须是中文或中英文对照本。</w:t>
      </w:r>
    </w:p>
    <w:p>
      <w:pPr>
        <w:snapToGrid w:val="0"/>
        <w:spacing w:line="360" w:lineRule="auto"/>
        <w:ind w:firstLine="480" w:firstLineChars="200"/>
        <w:rPr>
          <w:rFonts w:ascii="仿宋" w:hAnsi="仿宋" w:eastAsia="仿宋"/>
          <w:szCs w:val="21"/>
          <w:highlight w:val="none"/>
        </w:rPr>
      </w:pPr>
      <w:r>
        <w:rPr>
          <w:rFonts w:hint="eastAsia" w:ascii="仿宋" w:hAnsi="仿宋" w:eastAsia="仿宋"/>
          <w:szCs w:val="21"/>
          <w:highlight w:val="none"/>
        </w:rPr>
        <w:t>买卖双方签订合同后，投标人必须提交所供设备和系统的设计、检验、安装、调试、操作及维修等方面的技术文件，文件数量应不少于三套，内容至少必须包括下列各项：</w:t>
      </w:r>
    </w:p>
    <w:p>
      <w:pPr>
        <w:pStyle w:val="97"/>
        <w:keepNext w:val="0"/>
        <w:keepLines w:val="0"/>
        <w:numPr>
          <w:ilvl w:val="0"/>
          <w:numId w:val="1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提交全部设备在设计、制造、检验中采用的技术规范和标准。</w:t>
      </w:r>
    </w:p>
    <w:p>
      <w:pPr>
        <w:pStyle w:val="97"/>
        <w:keepNext w:val="0"/>
        <w:keepLines w:val="0"/>
        <w:numPr>
          <w:ilvl w:val="0"/>
          <w:numId w:val="1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本技术标书有关章节中提到的各种技术条件、图纸等产品技术资料。</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31" w:name="_Toc498227206"/>
      <w:bookmarkStart w:id="232" w:name="_Toc498227716"/>
      <w:bookmarkStart w:id="233" w:name="_Toc498228808"/>
      <w:bookmarkStart w:id="234" w:name="_Toc507820992"/>
      <w:bookmarkStart w:id="235" w:name="_Toc6026304"/>
      <w:bookmarkStart w:id="236" w:name="_Toc6028382"/>
      <w:bookmarkStart w:id="237" w:name="_Toc6028472"/>
      <w:bookmarkStart w:id="238" w:name="_Toc6109345"/>
      <w:bookmarkStart w:id="239" w:name="_Toc416254192"/>
      <w:r>
        <w:rPr>
          <w:rFonts w:hint="eastAsia" w:ascii="仿宋" w:hAnsi="仿宋" w:eastAsia="仿宋"/>
          <w:sz w:val="21"/>
          <w:szCs w:val="21"/>
          <w:highlight w:val="none"/>
        </w:rPr>
        <w:t>技术服务及人员培训</w:t>
      </w:r>
      <w:bookmarkEnd w:id="231"/>
      <w:bookmarkEnd w:id="232"/>
      <w:bookmarkEnd w:id="233"/>
      <w:bookmarkEnd w:id="234"/>
      <w:bookmarkEnd w:id="235"/>
      <w:bookmarkEnd w:id="236"/>
      <w:bookmarkEnd w:id="237"/>
      <w:bookmarkEnd w:id="238"/>
      <w:bookmarkEnd w:id="239"/>
    </w:p>
    <w:p>
      <w:pPr>
        <w:pStyle w:val="5"/>
        <w:snapToGrid w:val="0"/>
        <w:spacing w:before="0" w:after="0" w:line="360" w:lineRule="auto"/>
        <w:rPr>
          <w:rFonts w:ascii="仿宋" w:hAnsi="仿宋" w:eastAsia="仿宋"/>
          <w:sz w:val="21"/>
          <w:szCs w:val="21"/>
          <w:highlight w:val="none"/>
        </w:rPr>
      </w:pPr>
      <w:bookmarkStart w:id="240" w:name="_Toc498227207"/>
      <w:bookmarkStart w:id="241" w:name="_Toc498228809"/>
      <w:bookmarkStart w:id="242" w:name="_Toc507820993"/>
      <w:bookmarkStart w:id="243" w:name="_Toc6026305"/>
      <w:bookmarkStart w:id="244" w:name="_Toc6028383"/>
      <w:bookmarkStart w:id="245" w:name="_Toc6028473"/>
      <w:bookmarkStart w:id="246" w:name="_Toc6109346"/>
      <w:r>
        <w:rPr>
          <w:rFonts w:hint="eastAsia" w:ascii="仿宋" w:hAnsi="仿宋" w:eastAsia="仿宋"/>
          <w:sz w:val="21"/>
          <w:szCs w:val="21"/>
          <w:highlight w:val="none"/>
        </w:rPr>
        <w:t>9</w:t>
      </w:r>
      <w:r>
        <w:rPr>
          <w:rFonts w:ascii="仿宋" w:hAnsi="仿宋" w:eastAsia="仿宋"/>
          <w:sz w:val="21"/>
          <w:szCs w:val="21"/>
          <w:highlight w:val="none"/>
        </w:rPr>
        <w:t>.1</w:t>
      </w:r>
      <w:r>
        <w:rPr>
          <w:rFonts w:hint="eastAsia" w:ascii="仿宋" w:hAnsi="仿宋" w:eastAsia="仿宋"/>
          <w:sz w:val="21"/>
          <w:szCs w:val="21"/>
          <w:highlight w:val="none"/>
        </w:rPr>
        <w:t>技术服务要求</w:t>
      </w:r>
      <w:bookmarkEnd w:id="240"/>
      <w:bookmarkEnd w:id="241"/>
      <w:bookmarkEnd w:id="242"/>
      <w:bookmarkEnd w:id="243"/>
      <w:bookmarkEnd w:id="244"/>
      <w:bookmarkEnd w:id="245"/>
      <w:bookmarkEnd w:id="246"/>
    </w:p>
    <w:p>
      <w:pPr>
        <w:pStyle w:val="97"/>
        <w:keepNext w:val="0"/>
        <w:keepLines w:val="0"/>
        <w:numPr>
          <w:ilvl w:val="0"/>
          <w:numId w:val="13"/>
        </w:numPr>
        <w:tabs>
          <w:tab w:val="left" w:pos="624"/>
          <w:tab w:val="left" w:pos="1021"/>
          <w:tab w:val="clear" w:pos="864"/>
        </w:tabs>
        <w:adjustRightInd w:val="0"/>
        <w:snapToGrid w:val="0"/>
        <w:spacing w:before="0" w:after="0"/>
        <w:jc w:val="left"/>
        <w:textAlignment w:val="baseline"/>
        <w:outlineLvl w:val="9"/>
        <w:rPr>
          <w:rFonts w:ascii="仿宋" w:hAnsi="仿宋" w:eastAsia="仿宋"/>
          <w:sz w:val="21"/>
          <w:szCs w:val="21"/>
          <w:highlight w:val="none"/>
        </w:rPr>
      </w:pPr>
      <w:bookmarkStart w:id="247" w:name="_Toc498227208"/>
      <w:bookmarkStart w:id="248" w:name="_Toc6028384"/>
      <w:bookmarkStart w:id="249" w:name="_Toc6026306"/>
      <w:bookmarkStart w:id="250" w:name="_Toc507820994"/>
      <w:bookmarkStart w:id="251" w:name="_Toc498228810"/>
      <w:bookmarkStart w:id="252" w:name="_Toc6028474"/>
      <w:bookmarkStart w:id="253" w:name="_Toc6109347"/>
      <w:r>
        <w:rPr>
          <w:rFonts w:hint="eastAsia" w:ascii="仿宋" w:hAnsi="仿宋" w:eastAsia="仿宋"/>
          <w:sz w:val="21"/>
          <w:szCs w:val="21"/>
          <w:highlight w:val="none"/>
        </w:rPr>
        <w:t>投标人必须派遣技术熟练，身体健康技术人员为招标人提供技术服务，投标人必须提交技术服务计划</w:t>
      </w:r>
      <w:r>
        <w:rPr>
          <w:rFonts w:ascii="仿宋" w:hAnsi="仿宋" w:eastAsia="仿宋"/>
          <w:sz w:val="21"/>
          <w:szCs w:val="21"/>
          <w:highlight w:val="none"/>
        </w:rPr>
        <w:t>(</w:t>
      </w:r>
      <w:r>
        <w:rPr>
          <w:rFonts w:hint="eastAsia" w:ascii="仿宋" w:hAnsi="仿宋" w:eastAsia="仿宋"/>
          <w:sz w:val="21"/>
          <w:szCs w:val="21"/>
          <w:highlight w:val="none"/>
        </w:rPr>
        <w:t>包括人数、天数、内容</w:t>
      </w:r>
      <w:r>
        <w:rPr>
          <w:rFonts w:ascii="仿宋" w:hAnsi="仿宋" w:eastAsia="仿宋"/>
          <w:sz w:val="21"/>
          <w:szCs w:val="21"/>
          <w:highlight w:val="none"/>
        </w:rPr>
        <w:t>)</w:t>
      </w:r>
      <w:r>
        <w:rPr>
          <w:rFonts w:hint="eastAsia" w:ascii="仿宋" w:hAnsi="仿宋" w:eastAsia="仿宋"/>
          <w:sz w:val="21"/>
          <w:szCs w:val="21"/>
          <w:highlight w:val="none"/>
        </w:rPr>
        <w:t>，由招标人确认同意。招标人有权要求更换不合适的派遣人员，在没有得到招标人允许前，投标人不能更换或撤走任何一个派遣人员。</w:t>
      </w:r>
    </w:p>
    <w:p>
      <w:pPr>
        <w:pStyle w:val="97"/>
        <w:keepNext w:val="0"/>
        <w:keepLines w:val="0"/>
        <w:numPr>
          <w:ilvl w:val="0"/>
          <w:numId w:val="1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投标人必须对招标人的技术人员、维修人员和操作人员进行培训，培训为在现场的培训，所有培训必须使用中文培训。投标人必须在投标书中提出培训计划，包括培训项目、培训人数、培训时间、培训费用</w:t>
      </w:r>
      <w:r>
        <w:rPr>
          <w:rFonts w:ascii="仿宋" w:hAnsi="仿宋" w:eastAsia="仿宋"/>
          <w:sz w:val="21"/>
          <w:szCs w:val="21"/>
          <w:highlight w:val="none"/>
        </w:rPr>
        <w:t>(</w:t>
      </w:r>
      <w:r>
        <w:rPr>
          <w:rFonts w:hint="eastAsia" w:ascii="仿宋" w:hAnsi="仿宋" w:eastAsia="仿宋"/>
          <w:sz w:val="21"/>
          <w:szCs w:val="21"/>
          <w:highlight w:val="none"/>
        </w:rPr>
        <w:t>每人每日的费用等</w:t>
      </w:r>
      <w:r>
        <w:rPr>
          <w:rFonts w:ascii="仿宋" w:hAnsi="仿宋" w:eastAsia="仿宋"/>
          <w:sz w:val="21"/>
          <w:szCs w:val="21"/>
          <w:highlight w:val="none"/>
        </w:rPr>
        <w:t>)</w:t>
      </w:r>
      <w:r>
        <w:rPr>
          <w:rFonts w:hint="eastAsia" w:ascii="仿宋" w:hAnsi="仿宋" w:eastAsia="仿宋"/>
          <w:sz w:val="21"/>
          <w:szCs w:val="21"/>
          <w:highlight w:val="none"/>
        </w:rPr>
        <w:t>。招标人保留按此费用标准改动培训人员人数和天数的权利。</w:t>
      </w:r>
    </w:p>
    <w:p>
      <w:pPr>
        <w:pStyle w:val="5"/>
        <w:snapToGrid w:val="0"/>
        <w:spacing w:before="0" w:after="0" w:line="360" w:lineRule="auto"/>
        <w:rPr>
          <w:rFonts w:ascii="仿宋" w:hAnsi="仿宋" w:eastAsia="仿宋"/>
          <w:sz w:val="21"/>
          <w:szCs w:val="21"/>
          <w:highlight w:val="none"/>
        </w:rPr>
      </w:pPr>
      <w:r>
        <w:rPr>
          <w:rFonts w:hint="eastAsia" w:ascii="仿宋" w:hAnsi="仿宋" w:eastAsia="仿宋"/>
          <w:sz w:val="21"/>
          <w:szCs w:val="21"/>
          <w:highlight w:val="none"/>
        </w:rPr>
        <w:t>9</w:t>
      </w:r>
      <w:r>
        <w:rPr>
          <w:rFonts w:ascii="仿宋" w:hAnsi="仿宋" w:eastAsia="仿宋"/>
          <w:sz w:val="21"/>
          <w:szCs w:val="21"/>
          <w:highlight w:val="none"/>
        </w:rPr>
        <w:t>.2</w:t>
      </w:r>
      <w:r>
        <w:rPr>
          <w:rFonts w:hint="eastAsia" w:ascii="仿宋" w:hAnsi="仿宋" w:eastAsia="仿宋"/>
          <w:sz w:val="21"/>
          <w:szCs w:val="21"/>
          <w:highlight w:val="none"/>
        </w:rPr>
        <w:t>投标人在现场的技术服务</w:t>
      </w:r>
      <w:bookmarkEnd w:id="247"/>
      <w:bookmarkEnd w:id="248"/>
      <w:bookmarkEnd w:id="249"/>
      <w:bookmarkEnd w:id="250"/>
      <w:bookmarkEnd w:id="251"/>
      <w:bookmarkEnd w:id="252"/>
      <w:bookmarkEnd w:id="253"/>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投标人在现场的技术服务包括但不限于如下内容</w:t>
      </w:r>
      <w:r>
        <w:rPr>
          <w:rFonts w:ascii="仿宋" w:hAnsi="仿宋" w:eastAsia="仿宋"/>
          <w:sz w:val="21"/>
          <w:szCs w:val="21"/>
          <w:highlight w:val="none"/>
        </w:rPr>
        <w:t>:</w:t>
      </w:r>
      <w:r>
        <w:rPr>
          <w:rFonts w:hint="eastAsia" w:ascii="仿宋" w:hAnsi="仿宋" w:eastAsia="仿宋"/>
          <w:sz w:val="21"/>
          <w:szCs w:val="21"/>
          <w:highlight w:val="none"/>
        </w:rPr>
        <w:t>设计审查、安装、调试、试运行、培训，以及投标人必须提供的其它技术服务。</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投标人必须指派一名技术服务人员作为现场总代表，负责合同范围内的设备的总技术指导。</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投标人必须积极配合招标人工作，圆满解决安装、调试、试运行中的所有问题。</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投标人的技术服务必须正确无误。由于投标人技术人员不正确的技术指导，而造成设备和材料的损失。投标人必须负责免费修理、更换和补充。</w:t>
      </w:r>
    </w:p>
    <w:p>
      <w:pPr>
        <w:pStyle w:val="97"/>
        <w:keepNext w:val="0"/>
        <w:keepLines w:val="0"/>
        <w:numPr>
          <w:ilvl w:val="0"/>
          <w:numId w:val="1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工作时间：投标人技术人员根据招标人进度安排自己项目的工作计划。</w:t>
      </w:r>
    </w:p>
    <w:p>
      <w:pPr>
        <w:pStyle w:val="5"/>
        <w:snapToGrid w:val="0"/>
        <w:spacing w:before="0" w:after="0" w:line="360" w:lineRule="auto"/>
        <w:rPr>
          <w:rFonts w:ascii="仿宋" w:hAnsi="仿宋" w:eastAsia="仿宋"/>
          <w:sz w:val="21"/>
          <w:szCs w:val="21"/>
          <w:highlight w:val="none"/>
        </w:rPr>
      </w:pPr>
      <w:bookmarkStart w:id="254" w:name="_Ref497571539"/>
      <w:bookmarkStart w:id="255" w:name="_Toc498227210"/>
      <w:bookmarkStart w:id="256" w:name="_Toc498228812"/>
      <w:bookmarkStart w:id="257" w:name="_Toc507820996"/>
      <w:bookmarkStart w:id="258" w:name="_Toc6026308"/>
      <w:bookmarkStart w:id="259" w:name="_Toc6028386"/>
      <w:bookmarkStart w:id="260" w:name="_Toc6028476"/>
      <w:bookmarkStart w:id="261" w:name="_Toc6109349"/>
      <w:r>
        <w:rPr>
          <w:rFonts w:hint="eastAsia" w:ascii="仿宋" w:hAnsi="仿宋" w:eastAsia="仿宋"/>
          <w:sz w:val="21"/>
          <w:szCs w:val="21"/>
          <w:highlight w:val="none"/>
        </w:rPr>
        <w:t>10</w:t>
      </w:r>
      <w:r>
        <w:rPr>
          <w:rFonts w:ascii="仿宋" w:hAnsi="仿宋" w:eastAsia="仿宋"/>
          <w:sz w:val="21"/>
          <w:szCs w:val="21"/>
          <w:highlight w:val="none"/>
        </w:rPr>
        <w:t>.3</w:t>
      </w:r>
      <w:r>
        <w:rPr>
          <w:rFonts w:hint="eastAsia" w:ascii="仿宋" w:hAnsi="仿宋" w:eastAsia="仿宋"/>
          <w:sz w:val="21"/>
          <w:szCs w:val="21"/>
          <w:highlight w:val="none"/>
        </w:rPr>
        <w:t>招标人操作人员在现场的培训</w:t>
      </w:r>
      <w:bookmarkEnd w:id="254"/>
      <w:bookmarkEnd w:id="255"/>
      <w:bookmarkEnd w:id="256"/>
      <w:bookmarkEnd w:id="257"/>
      <w:bookmarkEnd w:id="258"/>
      <w:bookmarkEnd w:id="259"/>
      <w:bookmarkEnd w:id="260"/>
      <w:bookmarkEnd w:id="261"/>
    </w:p>
    <w:p>
      <w:pPr>
        <w:adjustRightInd w:val="0"/>
        <w:snapToGrid w:val="0"/>
        <w:spacing w:line="440" w:lineRule="exact"/>
        <w:ind w:firstLine="480" w:firstLineChars="200"/>
        <w:rPr>
          <w:rFonts w:ascii="仿宋" w:hAnsi="仿宋" w:eastAsia="仿宋"/>
          <w:highlight w:val="none"/>
        </w:rPr>
      </w:pPr>
      <w:bookmarkStart w:id="262" w:name="_Toc498227211"/>
      <w:bookmarkStart w:id="263" w:name="_Toc498228813"/>
      <w:bookmarkStart w:id="264" w:name="_Toc507820997"/>
      <w:bookmarkStart w:id="265" w:name="_Toc6026309"/>
      <w:bookmarkStart w:id="266" w:name="_Toc6028387"/>
      <w:bookmarkStart w:id="267" w:name="_Toc6028477"/>
      <w:bookmarkStart w:id="268" w:name="_Toc6109350"/>
      <w:r>
        <w:rPr>
          <w:rFonts w:hint="eastAsia" w:ascii="仿宋" w:hAnsi="仿宋" w:eastAsia="仿宋"/>
          <w:highlight w:val="none"/>
        </w:rPr>
        <w:t>招标人操作人员在现场的培训</w:t>
      </w:r>
    </w:p>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1）投标人还必须为招标人操作人员安排培训班进行培训，被培训的操作人员将实际操作安检系统设备。以上培训均为免费培训。</w:t>
      </w:r>
    </w:p>
    <w:p>
      <w:pPr>
        <w:adjustRightInd w:val="0"/>
        <w:snapToGrid w:val="0"/>
        <w:spacing w:line="440" w:lineRule="exact"/>
        <w:ind w:firstLine="480" w:firstLineChars="200"/>
        <w:rPr>
          <w:rFonts w:ascii="仿宋" w:hAnsi="仿宋" w:eastAsia="仿宋"/>
          <w:highlight w:val="none"/>
        </w:rPr>
      </w:pPr>
      <w:r>
        <w:rPr>
          <w:rFonts w:hint="eastAsia" w:ascii="仿宋" w:hAnsi="仿宋" w:eastAsia="仿宋"/>
          <w:highlight w:val="none"/>
        </w:rPr>
        <w:t>2）培训计划包括课堂教学和现场操作两部分。通过培训，应使招标人现场操作人员达到如下的目的：</w:t>
      </w:r>
    </w:p>
    <w:p>
      <w:pPr>
        <w:pStyle w:val="139"/>
        <w:numPr>
          <w:ilvl w:val="0"/>
          <w:numId w:val="15"/>
        </w:numPr>
        <w:spacing w:before="0" w:line="360" w:lineRule="auto"/>
        <w:ind w:left="540" w:hanging="60"/>
        <w:rPr>
          <w:rFonts w:ascii="仿宋" w:hAnsi="仿宋" w:eastAsia="仿宋"/>
          <w:sz w:val="21"/>
          <w:szCs w:val="21"/>
          <w:highlight w:val="none"/>
        </w:rPr>
      </w:pPr>
      <w:r>
        <w:rPr>
          <w:rFonts w:hint="eastAsia" w:ascii="仿宋" w:hAnsi="仿宋" w:eastAsia="仿宋"/>
          <w:sz w:val="21"/>
          <w:szCs w:val="21"/>
          <w:highlight w:val="none"/>
        </w:rPr>
        <w:t>了解本设备的功能和操作使用管理方法。</w:t>
      </w:r>
    </w:p>
    <w:p>
      <w:pPr>
        <w:pStyle w:val="139"/>
        <w:numPr>
          <w:ilvl w:val="0"/>
          <w:numId w:val="15"/>
        </w:numPr>
        <w:spacing w:before="0" w:line="360" w:lineRule="auto"/>
        <w:ind w:left="540" w:hanging="60"/>
        <w:rPr>
          <w:rFonts w:ascii="仿宋" w:hAnsi="仿宋" w:eastAsia="仿宋"/>
          <w:sz w:val="21"/>
          <w:szCs w:val="21"/>
          <w:highlight w:val="none"/>
        </w:rPr>
      </w:pPr>
      <w:r>
        <w:rPr>
          <w:rFonts w:hint="eastAsia" w:ascii="仿宋" w:hAnsi="仿宋" w:eastAsia="仿宋"/>
          <w:sz w:val="21"/>
          <w:szCs w:val="21"/>
          <w:highlight w:val="none"/>
        </w:rPr>
        <w:t>了解每台设备的性能和正确操作方法。</w:t>
      </w:r>
    </w:p>
    <w:p>
      <w:pPr>
        <w:pStyle w:val="139"/>
        <w:numPr>
          <w:ilvl w:val="0"/>
          <w:numId w:val="15"/>
        </w:numPr>
        <w:spacing w:before="0" w:line="360" w:lineRule="auto"/>
        <w:ind w:left="1005" w:hanging="525"/>
        <w:rPr>
          <w:rFonts w:ascii="仿宋" w:hAnsi="仿宋" w:eastAsia="仿宋"/>
          <w:sz w:val="21"/>
          <w:szCs w:val="21"/>
          <w:highlight w:val="none"/>
        </w:rPr>
      </w:pPr>
      <w:r>
        <w:rPr>
          <w:rFonts w:hint="eastAsia" w:ascii="仿宋" w:hAnsi="仿宋" w:eastAsia="仿宋"/>
          <w:sz w:val="21"/>
          <w:szCs w:val="21"/>
          <w:highlight w:val="none"/>
        </w:rPr>
        <w:t>了解安全操作规程和使用时必须注意的事项。</w:t>
      </w:r>
    </w:p>
    <w:p>
      <w:pPr>
        <w:pStyle w:val="139"/>
        <w:numPr>
          <w:ilvl w:val="0"/>
          <w:numId w:val="15"/>
        </w:numPr>
        <w:spacing w:before="0" w:line="360" w:lineRule="auto"/>
        <w:ind w:left="900"/>
        <w:rPr>
          <w:rFonts w:ascii="仿宋" w:hAnsi="仿宋" w:eastAsia="仿宋"/>
          <w:sz w:val="21"/>
          <w:szCs w:val="21"/>
          <w:highlight w:val="none"/>
        </w:rPr>
      </w:pPr>
      <w:r>
        <w:rPr>
          <w:rFonts w:hint="eastAsia" w:ascii="仿宋" w:hAnsi="仿宋" w:eastAsia="仿宋"/>
          <w:sz w:val="21"/>
          <w:szCs w:val="21"/>
          <w:highlight w:val="none"/>
        </w:rPr>
        <w:t>掌握常见故障发生的原因和排除方法。</w:t>
      </w:r>
    </w:p>
    <w:p>
      <w:pPr>
        <w:pStyle w:val="139"/>
        <w:numPr>
          <w:ilvl w:val="0"/>
          <w:numId w:val="15"/>
        </w:numPr>
        <w:spacing w:before="0" w:line="360" w:lineRule="auto"/>
        <w:ind w:left="900"/>
        <w:rPr>
          <w:rFonts w:ascii="仿宋" w:hAnsi="仿宋" w:eastAsia="仿宋"/>
          <w:sz w:val="21"/>
          <w:szCs w:val="21"/>
          <w:highlight w:val="none"/>
        </w:rPr>
      </w:pPr>
      <w:r>
        <w:rPr>
          <w:rFonts w:hint="eastAsia" w:ascii="仿宋" w:hAnsi="仿宋" w:eastAsia="仿宋"/>
          <w:sz w:val="21"/>
          <w:szCs w:val="21"/>
          <w:highlight w:val="none"/>
        </w:rPr>
        <w:t>学会设备的保养知识。</w:t>
      </w:r>
    </w:p>
    <w:p>
      <w:pPr>
        <w:pStyle w:val="139"/>
        <w:numPr>
          <w:ilvl w:val="0"/>
          <w:numId w:val="16"/>
        </w:numPr>
        <w:spacing w:before="0" w:line="360" w:lineRule="auto"/>
        <w:ind w:left="960" w:hanging="480"/>
        <w:rPr>
          <w:rFonts w:ascii="仿宋" w:hAnsi="仿宋" w:eastAsia="仿宋"/>
          <w:sz w:val="21"/>
          <w:szCs w:val="21"/>
          <w:highlight w:val="none"/>
        </w:rPr>
      </w:pPr>
      <w:r>
        <w:rPr>
          <w:rFonts w:hint="eastAsia" w:ascii="仿宋" w:hAnsi="仿宋" w:eastAsia="仿宋"/>
          <w:sz w:val="21"/>
          <w:szCs w:val="21"/>
          <w:highlight w:val="none"/>
        </w:rPr>
        <w:t>了解设备的保护装置。</w:t>
      </w:r>
    </w:p>
    <w:p>
      <w:pPr>
        <w:pStyle w:val="5"/>
        <w:snapToGrid w:val="0"/>
        <w:spacing w:before="0" w:after="0" w:line="360" w:lineRule="auto"/>
        <w:rPr>
          <w:rFonts w:ascii="仿宋" w:hAnsi="仿宋" w:eastAsia="仿宋"/>
          <w:sz w:val="21"/>
          <w:szCs w:val="21"/>
          <w:highlight w:val="none"/>
        </w:rPr>
      </w:pPr>
      <w:r>
        <w:rPr>
          <w:rFonts w:hint="eastAsia" w:ascii="仿宋" w:hAnsi="仿宋" w:eastAsia="仿宋"/>
          <w:sz w:val="21"/>
          <w:szCs w:val="21"/>
          <w:highlight w:val="none"/>
        </w:rPr>
        <w:t>10</w:t>
      </w:r>
      <w:r>
        <w:rPr>
          <w:rFonts w:ascii="仿宋" w:hAnsi="仿宋" w:eastAsia="仿宋"/>
          <w:sz w:val="21"/>
          <w:szCs w:val="21"/>
          <w:highlight w:val="none"/>
        </w:rPr>
        <w:t>.4</w:t>
      </w:r>
      <w:r>
        <w:rPr>
          <w:rFonts w:hint="eastAsia" w:ascii="仿宋" w:hAnsi="仿宋" w:eastAsia="仿宋"/>
          <w:sz w:val="21"/>
          <w:szCs w:val="21"/>
          <w:highlight w:val="none"/>
        </w:rPr>
        <w:t>培训计划与教材</w:t>
      </w:r>
      <w:bookmarkEnd w:id="262"/>
      <w:bookmarkEnd w:id="263"/>
      <w:bookmarkEnd w:id="264"/>
      <w:bookmarkEnd w:id="265"/>
      <w:bookmarkEnd w:id="266"/>
      <w:bookmarkEnd w:id="267"/>
      <w:bookmarkEnd w:id="268"/>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培训计划安排在试运行之前。在试运行之前三日，投标人提供一份由招标人认可的课程大纲给招标人。</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投标人准备的课程计划同样需要经招标人认可。</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投标人必须提供一切需要的培训辅助设备</w:t>
      </w:r>
      <w:r>
        <w:rPr>
          <w:rFonts w:ascii="仿宋" w:hAnsi="仿宋" w:eastAsia="仿宋"/>
          <w:sz w:val="21"/>
          <w:szCs w:val="21"/>
          <w:highlight w:val="none"/>
        </w:rPr>
        <w:t>(</w:t>
      </w:r>
      <w:r>
        <w:rPr>
          <w:rFonts w:hint="eastAsia" w:ascii="仿宋" w:hAnsi="仿宋" w:eastAsia="仿宋"/>
          <w:sz w:val="21"/>
          <w:szCs w:val="21"/>
          <w:highlight w:val="none"/>
        </w:rPr>
        <w:t>例如操作人员检查表、图表、图纸、彩色幻灯片、录像机或录音机、幻灯放影机等</w:t>
      </w:r>
      <w:r>
        <w:rPr>
          <w:rFonts w:ascii="仿宋" w:hAnsi="仿宋" w:eastAsia="仿宋"/>
          <w:sz w:val="21"/>
          <w:szCs w:val="21"/>
          <w:highlight w:val="none"/>
        </w:rPr>
        <w:t>)</w:t>
      </w:r>
      <w:r>
        <w:rPr>
          <w:rFonts w:hint="eastAsia" w:ascii="仿宋" w:hAnsi="仿宋" w:eastAsia="仿宋"/>
          <w:sz w:val="21"/>
          <w:szCs w:val="21"/>
          <w:highlight w:val="none"/>
        </w:rPr>
        <w:t>。</w:t>
      </w:r>
    </w:p>
    <w:p>
      <w:pPr>
        <w:pStyle w:val="97"/>
        <w:keepNext w:val="0"/>
        <w:keepLines w:val="0"/>
        <w:numPr>
          <w:ilvl w:val="0"/>
          <w:numId w:val="17"/>
        </w:numPr>
        <w:tabs>
          <w:tab w:val="left" w:pos="284"/>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投标人必须提供中文操作和维修手册，操作和维修手册作为基本的课程内容，因此，上述手册必须至少在培训前一周内完成。</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69" w:name="_Toc498227212"/>
      <w:bookmarkStart w:id="270" w:name="_Toc498227717"/>
      <w:bookmarkStart w:id="271" w:name="_Toc498228814"/>
      <w:bookmarkStart w:id="272" w:name="_Toc507820998"/>
      <w:bookmarkStart w:id="273" w:name="_Toc6026310"/>
      <w:bookmarkStart w:id="274" w:name="_Toc6028388"/>
      <w:bookmarkStart w:id="275" w:name="_Toc6028478"/>
      <w:bookmarkStart w:id="276" w:name="_Toc6109351"/>
      <w:bookmarkStart w:id="277" w:name="_Toc416254193"/>
      <w:r>
        <w:rPr>
          <w:rFonts w:hint="eastAsia" w:ascii="仿宋" w:hAnsi="仿宋" w:eastAsia="仿宋"/>
          <w:sz w:val="21"/>
          <w:szCs w:val="21"/>
          <w:highlight w:val="none"/>
        </w:rPr>
        <w:t>运输包装要求</w:t>
      </w:r>
      <w:bookmarkEnd w:id="269"/>
      <w:bookmarkEnd w:id="270"/>
      <w:bookmarkEnd w:id="271"/>
      <w:bookmarkEnd w:id="272"/>
      <w:bookmarkEnd w:id="273"/>
      <w:bookmarkEnd w:id="274"/>
      <w:bookmarkEnd w:id="275"/>
      <w:bookmarkEnd w:id="276"/>
      <w:bookmarkEnd w:id="277"/>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设备从起运地点运到招标人指定低点这段时间内，投标人必须对所有设备进行保险。</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设备、零件运抵现场后，投标人应提供设备清单，在安装前由业主对进场货物进行质量检查。</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备件和检测维修工具应与设备分开包装。箱盒应适于储存，储存年限应在包装上予以说明。所有备件应加上标签，以使它们可以被快速辨认出来。</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安检系统的设备必须单机分开包装，包装箱应能保护设备免遭外界的损坏并作好防潮和防水包装，包装箱上应清楚注明设备名称、设备型号、设备规格、发货单位、接受单位、接受地址、毛重、体积、运输条件等。</w:t>
      </w:r>
    </w:p>
    <w:p>
      <w:pPr>
        <w:pStyle w:val="97"/>
        <w:keepNext w:val="0"/>
        <w:keepLines w:val="0"/>
        <w:numPr>
          <w:ilvl w:val="0"/>
          <w:numId w:val="18"/>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由于运输和包装不当导致的设备损坏由投标人负责。</w:t>
      </w:r>
    </w:p>
    <w:p>
      <w:pPr>
        <w:pStyle w:val="3"/>
        <w:snapToGrid w:val="0"/>
        <w:spacing w:before="0" w:after="0"/>
        <w:rPr>
          <w:rFonts w:ascii="仿宋" w:hAnsi="仿宋" w:eastAsia="仿宋"/>
          <w:highlight w:val="none"/>
        </w:rPr>
      </w:pPr>
      <w:bookmarkStart w:id="278" w:name="_Toc498227213"/>
      <w:bookmarkStart w:id="279" w:name="_Toc498227718"/>
      <w:bookmarkStart w:id="280" w:name="_Toc498228815"/>
      <w:bookmarkStart w:id="281" w:name="_Toc507820999"/>
      <w:bookmarkStart w:id="282" w:name="_Toc6026311"/>
      <w:bookmarkStart w:id="283" w:name="_Toc6028389"/>
      <w:bookmarkStart w:id="284" w:name="_Toc6028479"/>
      <w:bookmarkStart w:id="285" w:name="_Toc6109352"/>
      <w:bookmarkStart w:id="286" w:name="_Toc416254195"/>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工程实施要求</w:t>
      </w:r>
      <w:bookmarkEnd w:id="278"/>
      <w:bookmarkEnd w:id="279"/>
      <w:bookmarkEnd w:id="280"/>
      <w:bookmarkEnd w:id="281"/>
      <w:bookmarkEnd w:id="282"/>
      <w:bookmarkEnd w:id="283"/>
      <w:bookmarkEnd w:id="284"/>
      <w:bookmarkEnd w:id="285"/>
      <w:bookmarkEnd w:id="286"/>
    </w:p>
    <w:p>
      <w:pPr>
        <w:pStyle w:val="4"/>
        <w:numPr>
          <w:ilvl w:val="0"/>
          <w:numId w:val="7"/>
        </w:numPr>
        <w:tabs>
          <w:tab w:val="left" w:pos="284"/>
          <w:tab w:val="clear" w:pos="1275"/>
        </w:tabs>
        <w:snapToGrid w:val="0"/>
        <w:spacing w:line="360" w:lineRule="auto"/>
        <w:ind w:hanging="1275"/>
        <w:rPr>
          <w:rFonts w:ascii="仿宋" w:hAnsi="仿宋" w:eastAsia="仿宋"/>
          <w:sz w:val="21"/>
          <w:szCs w:val="21"/>
          <w:highlight w:val="none"/>
        </w:rPr>
      </w:pPr>
      <w:bookmarkStart w:id="287" w:name="_Toc498227214"/>
      <w:bookmarkStart w:id="288" w:name="_Toc498227719"/>
      <w:bookmarkStart w:id="289" w:name="_Toc498228816"/>
      <w:bookmarkStart w:id="290" w:name="_Toc507821000"/>
      <w:bookmarkStart w:id="291" w:name="_Toc6026312"/>
      <w:bookmarkStart w:id="292" w:name="_Toc6028390"/>
      <w:bookmarkStart w:id="293" w:name="_Toc6028480"/>
      <w:bookmarkStart w:id="294" w:name="_Toc6109353"/>
      <w:bookmarkStart w:id="295" w:name="_Toc416254196"/>
      <w:r>
        <w:rPr>
          <w:rFonts w:hint="eastAsia" w:ascii="仿宋" w:hAnsi="仿宋" w:eastAsia="仿宋"/>
          <w:sz w:val="21"/>
          <w:szCs w:val="21"/>
          <w:highlight w:val="none"/>
        </w:rPr>
        <w:t>安装</w:t>
      </w:r>
      <w:bookmarkEnd w:id="287"/>
      <w:bookmarkEnd w:id="288"/>
      <w:bookmarkEnd w:id="289"/>
      <w:bookmarkEnd w:id="290"/>
      <w:bookmarkEnd w:id="291"/>
      <w:bookmarkEnd w:id="292"/>
      <w:bookmarkEnd w:id="293"/>
      <w:bookmarkEnd w:id="294"/>
      <w:bookmarkEnd w:id="295"/>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投标人应负责中标系统和设备安装</w:t>
      </w:r>
      <w:r>
        <w:rPr>
          <w:rFonts w:ascii="仿宋" w:hAnsi="仿宋" w:eastAsia="仿宋"/>
          <w:sz w:val="21"/>
          <w:szCs w:val="21"/>
          <w:highlight w:val="none"/>
        </w:rPr>
        <w:t>,</w:t>
      </w:r>
      <w:r>
        <w:rPr>
          <w:rFonts w:hint="eastAsia" w:ascii="仿宋" w:hAnsi="仿宋" w:eastAsia="仿宋"/>
          <w:sz w:val="21"/>
          <w:szCs w:val="21"/>
          <w:highlight w:val="none"/>
        </w:rPr>
        <w:t>并负责调试及试运行等工作，直至系统和设备以及整个工程验收合格。</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设备的每个部分须考虑防火、防过压、防潮、耐用、防漏电、容易清洁及日常维修，并且以符合本文件所提供规范为原则。</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投标人必须配合招标人工作</w:t>
      </w:r>
      <w:r>
        <w:rPr>
          <w:rFonts w:ascii="仿宋" w:hAnsi="仿宋" w:eastAsia="仿宋"/>
          <w:sz w:val="21"/>
          <w:szCs w:val="21"/>
          <w:highlight w:val="none"/>
        </w:rPr>
        <w:t>,</w:t>
      </w:r>
      <w:r>
        <w:rPr>
          <w:rFonts w:hint="eastAsia" w:ascii="仿宋" w:hAnsi="仿宋" w:eastAsia="仿宋"/>
          <w:sz w:val="21"/>
          <w:szCs w:val="21"/>
          <w:highlight w:val="none"/>
        </w:rPr>
        <w:t>圆满解决安装、调试、试运行中的所有问题。</w:t>
      </w:r>
    </w:p>
    <w:p>
      <w:pPr>
        <w:pStyle w:val="97"/>
        <w:keepNext w:val="0"/>
        <w:keepLines w:val="0"/>
        <w:numPr>
          <w:ilvl w:val="0"/>
          <w:numId w:val="19"/>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投标人必须负责提供安装过程中所需的专用工具。</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296" w:name="_Toc498227215"/>
      <w:bookmarkStart w:id="297" w:name="_Toc498227720"/>
      <w:bookmarkStart w:id="298" w:name="_Toc498228817"/>
      <w:bookmarkStart w:id="299" w:name="_Toc507821001"/>
      <w:bookmarkStart w:id="300" w:name="_Toc6026313"/>
      <w:bookmarkStart w:id="301" w:name="_Toc6028391"/>
      <w:bookmarkStart w:id="302" w:name="_Toc6028481"/>
      <w:bookmarkStart w:id="303" w:name="_Toc6109354"/>
      <w:bookmarkStart w:id="304" w:name="_Toc416254197"/>
      <w:r>
        <w:rPr>
          <w:rFonts w:hint="eastAsia" w:ascii="仿宋" w:hAnsi="仿宋" w:eastAsia="仿宋"/>
          <w:sz w:val="21"/>
          <w:szCs w:val="21"/>
          <w:highlight w:val="none"/>
        </w:rPr>
        <w:t>调试和试运行</w:t>
      </w:r>
      <w:bookmarkEnd w:id="296"/>
      <w:bookmarkEnd w:id="297"/>
      <w:bookmarkEnd w:id="298"/>
      <w:bookmarkEnd w:id="299"/>
      <w:bookmarkEnd w:id="300"/>
      <w:bookmarkEnd w:id="301"/>
      <w:bookmarkEnd w:id="302"/>
      <w:bookmarkEnd w:id="303"/>
      <w:bookmarkEnd w:id="304"/>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在现场负责对中标系统设备进行调试和试运行，以检验其设计制作、操作性和功能等方面的情况。担任调试和试运行任务的是由投标人派出的有经验工程师。招标人认为不合格者，可要求更换。在没有得到招标人允许前</w:t>
      </w:r>
      <w:r>
        <w:rPr>
          <w:rFonts w:ascii="仿宋" w:hAnsi="仿宋" w:eastAsia="仿宋"/>
          <w:sz w:val="21"/>
          <w:szCs w:val="21"/>
          <w:highlight w:val="none"/>
        </w:rPr>
        <w:t>,</w:t>
      </w:r>
      <w:r>
        <w:rPr>
          <w:rFonts w:hint="eastAsia" w:ascii="仿宋" w:hAnsi="仿宋" w:eastAsia="仿宋"/>
          <w:sz w:val="21"/>
          <w:szCs w:val="21"/>
          <w:highlight w:val="none"/>
        </w:rPr>
        <w:t>投标人不能更换或撤走任何一个人员。</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设备在安装过程或安装结束后，必须经过调试，可根据情况进行部分调试和全面调试。</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系统和设备经过调试，投标人现场代表确认合格以后，在投标人技术人员指导下，由招标人组织各种试运行。</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各项设备试运行的大纲、项目、数据由投标人制成表格发给参加试运行的双方工作人员，以便将每次试运行做出记录。</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参加试运行的双方工作人员，都应该认真做好记录。投标人必须在任何一个测试项目完成后的2日内，将检验证书和报告提交招标人。</w:t>
      </w:r>
    </w:p>
    <w:p>
      <w:pPr>
        <w:pStyle w:val="97"/>
        <w:keepNext w:val="0"/>
        <w:keepLines w:val="0"/>
        <w:numPr>
          <w:ilvl w:val="0"/>
          <w:numId w:val="20"/>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试运行所需的工具、材料、仪器及劳务均由投标人负责准备，配合安装、调试、试运行所需费用单独列出，并纳入总报价。</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05" w:name="_Toc498227216"/>
      <w:bookmarkStart w:id="306" w:name="_Toc498227721"/>
      <w:bookmarkStart w:id="307" w:name="_Toc498228818"/>
      <w:bookmarkStart w:id="308" w:name="_Toc507821002"/>
      <w:bookmarkStart w:id="309" w:name="_Toc6026314"/>
      <w:bookmarkStart w:id="310" w:name="_Toc6028392"/>
      <w:bookmarkStart w:id="311" w:name="_Toc6028482"/>
      <w:bookmarkStart w:id="312" w:name="_Toc6109355"/>
      <w:bookmarkStart w:id="313" w:name="_Toc416254198"/>
      <w:r>
        <w:rPr>
          <w:rFonts w:hint="eastAsia" w:ascii="仿宋" w:hAnsi="仿宋" w:eastAsia="仿宋"/>
          <w:sz w:val="21"/>
          <w:szCs w:val="21"/>
          <w:highlight w:val="none"/>
        </w:rPr>
        <w:t>验收</w:t>
      </w:r>
      <w:bookmarkEnd w:id="305"/>
      <w:bookmarkEnd w:id="306"/>
      <w:bookmarkEnd w:id="307"/>
      <w:bookmarkEnd w:id="308"/>
      <w:bookmarkEnd w:id="309"/>
      <w:bookmarkEnd w:id="310"/>
      <w:bookmarkEnd w:id="311"/>
      <w:bookmarkEnd w:id="312"/>
      <w:bookmarkEnd w:id="313"/>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安装调试完成后，投标人须负责对已完成项目进行自验，自验结束，由招标人会同有关部门进行初验。最终的验收以杭州萧山机场有关职能部门验收合格为准。</w:t>
      </w:r>
    </w:p>
    <w:p>
      <w:pPr>
        <w:pStyle w:val="5"/>
        <w:snapToGrid w:val="0"/>
        <w:spacing w:before="0" w:after="0" w:line="360" w:lineRule="auto"/>
        <w:rPr>
          <w:rFonts w:ascii="仿宋" w:hAnsi="仿宋" w:eastAsia="仿宋"/>
          <w:sz w:val="21"/>
          <w:szCs w:val="21"/>
          <w:highlight w:val="none"/>
        </w:rPr>
      </w:pPr>
      <w:bookmarkStart w:id="314" w:name="_Toc498227217"/>
      <w:bookmarkStart w:id="315" w:name="_Toc498228819"/>
      <w:bookmarkStart w:id="316" w:name="_Toc507821003"/>
      <w:bookmarkStart w:id="317" w:name="_Toc6026315"/>
      <w:bookmarkStart w:id="318" w:name="_Toc6028393"/>
      <w:bookmarkStart w:id="319" w:name="_Toc6028483"/>
      <w:bookmarkStart w:id="320" w:name="_Toc6109356"/>
      <w:r>
        <w:rPr>
          <w:rFonts w:hint="eastAsia" w:ascii="仿宋" w:hAnsi="仿宋" w:eastAsia="仿宋"/>
          <w:sz w:val="21"/>
          <w:szCs w:val="21"/>
          <w:highlight w:val="none"/>
        </w:rPr>
        <w:t>3</w:t>
      </w:r>
      <w:r>
        <w:rPr>
          <w:rFonts w:ascii="仿宋" w:hAnsi="仿宋" w:eastAsia="仿宋"/>
          <w:sz w:val="21"/>
          <w:szCs w:val="21"/>
          <w:highlight w:val="none"/>
        </w:rPr>
        <w:t>.1</w:t>
      </w:r>
      <w:r>
        <w:rPr>
          <w:rFonts w:hint="eastAsia" w:ascii="仿宋" w:hAnsi="仿宋" w:eastAsia="仿宋"/>
          <w:sz w:val="21"/>
          <w:szCs w:val="21"/>
          <w:highlight w:val="none"/>
        </w:rPr>
        <w:t>验收条件</w:t>
      </w:r>
      <w:bookmarkEnd w:id="314"/>
      <w:bookmarkEnd w:id="315"/>
      <w:bookmarkEnd w:id="316"/>
      <w:bookmarkEnd w:id="317"/>
      <w:bookmarkEnd w:id="318"/>
      <w:bookmarkEnd w:id="319"/>
      <w:bookmarkEnd w:id="320"/>
    </w:p>
    <w:p>
      <w:pPr>
        <w:pStyle w:val="18"/>
        <w:rPr>
          <w:rFonts w:ascii="仿宋" w:hAnsi="仿宋" w:eastAsia="仿宋"/>
          <w:szCs w:val="21"/>
          <w:highlight w:val="none"/>
        </w:rPr>
      </w:pPr>
      <w:r>
        <w:rPr>
          <w:rFonts w:hint="eastAsia" w:ascii="仿宋" w:hAnsi="仿宋" w:eastAsia="仿宋"/>
          <w:szCs w:val="21"/>
          <w:highlight w:val="none"/>
        </w:rPr>
        <w:t>投标人在验收前应负责做好下列工作</w:t>
      </w:r>
      <w:r>
        <w:rPr>
          <w:rFonts w:ascii="仿宋" w:hAnsi="仿宋" w:eastAsia="仿宋"/>
          <w:szCs w:val="21"/>
          <w:highlight w:val="none"/>
        </w:rPr>
        <w:t>,</w:t>
      </w:r>
      <w:r>
        <w:rPr>
          <w:rFonts w:hint="eastAsia" w:ascii="仿宋" w:hAnsi="仿宋" w:eastAsia="仿宋"/>
          <w:szCs w:val="21"/>
          <w:highlight w:val="none"/>
        </w:rPr>
        <w:t>只有具备下列条件</w:t>
      </w:r>
      <w:r>
        <w:rPr>
          <w:rFonts w:ascii="仿宋" w:hAnsi="仿宋" w:eastAsia="仿宋"/>
          <w:szCs w:val="21"/>
          <w:highlight w:val="none"/>
        </w:rPr>
        <w:t>,</w:t>
      </w:r>
      <w:r>
        <w:rPr>
          <w:rFonts w:hint="eastAsia" w:ascii="仿宋" w:hAnsi="仿宋" w:eastAsia="仿宋"/>
          <w:szCs w:val="21"/>
          <w:highlight w:val="none"/>
        </w:rPr>
        <w:t>招标人才进行验收工作。</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系统设备安装调试完成准备就绪。</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准备好验收技术检测所需的工具器材。</w:t>
      </w:r>
    </w:p>
    <w:p>
      <w:pPr>
        <w:pStyle w:val="97"/>
        <w:keepNext w:val="0"/>
        <w:keepLines w:val="0"/>
        <w:numPr>
          <w:ilvl w:val="0"/>
          <w:numId w:val="21"/>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提交相关的安装调试资料及验收资料。</w:t>
      </w:r>
    </w:p>
    <w:p>
      <w:pPr>
        <w:pStyle w:val="5"/>
        <w:snapToGrid w:val="0"/>
        <w:spacing w:before="0" w:after="0" w:line="360" w:lineRule="auto"/>
        <w:rPr>
          <w:rFonts w:ascii="仿宋" w:hAnsi="仿宋" w:eastAsia="仿宋"/>
          <w:sz w:val="21"/>
          <w:szCs w:val="21"/>
          <w:highlight w:val="none"/>
        </w:rPr>
      </w:pPr>
      <w:bookmarkStart w:id="321" w:name="_Toc498227218"/>
      <w:bookmarkStart w:id="322" w:name="_Toc498228820"/>
      <w:bookmarkStart w:id="323" w:name="_Toc507821004"/>
      <w:bookmarkStart w:id="324" w:name="_Toc6026316"/>
      <w:bookmarkStart w:id="325" w:name="_Toc6028394"/>
      <w:bookmarkStart w:id="326" w:name="_Toc6028484"/>
      <w:bookmarkStart w:id="327" w:name="_Toc6109357"/>
      <w:r>
        <w:rPr>
          <w:rFonts w:hint="eastAsia" w:ascii="仿宋" w:hAnsi="仿宋" w:eastAsia="仿宋"/>
          <w:sz w:val="21"/>
          <w:szCs w:val="21"/>
          <w:highlight w:val="none"/>
        </w:rPr>
        <w:t>3</w:t>
      </w:r>
      <w:r>
        <w:rPr>
          <w:rFonts w:ascii="仿宋" w:hAnsi="仿宋" w:eastAsia="仿宋"/>
          <w:sz w:val="21"/>
          <w:szCs w:val="21"/>
          <w:highlight w:val="none"/>
        </w:rPr>
        <w:t>.2</w:t>
      </w:r>
      <w:r>
        <w:rPr>
          <w:rFonts w:hint="eastAsia" w:ascii="仿宋" w:hAnsi="仿宋" w:eastAsia="仿宋"/>
          <w:sz w:val="21"/>
          <w:szCs w:val="21"/>
          <w:highlight w:val="none"/>
        </w:rPr>
        <w:t>验收合格条件</w:t>
      </w:r>
      <w:bookmarkEnd w:id="321"/>
      <w:bookmarkEnd w:id="322"/>
      <w:bookmarkEnd w:id="323"/>
      <w:bookmarkEnd w:id="324"/>
      <w:bookmarkEnd w:id="325"/>
      <w:bookmarkEnd w:id="326"/>
      <w:bookmarkEnd w:id="327"/>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投标人按合同编制系统设备验收大纲，业主批准后实施。</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满足设备验收大纲的要求。</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各机构运转正常，操作、控制、管理、系统工作正常。</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系统设备功能及试运行满足设计要求。</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性能测试和试运行时出现的问题已被解决，满足招标技术条件。</w:t>
      </w:r>
    </w:p>
    <w:p>
      <w:pPr>
        <w:pStyle w:val="97"/>
        <w:keepNext w:val="0"/>
        <w:keepLines w:val="0"/>
        <w:numPr>
          <w:ilvl w:val="0"/>
          <w:numId w:val="22"/>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根据要求提供了全部设备和满足招标人当地各级档案管理要求的全部资料。</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28" w:name="_Toc498227219"/>
      <w:bookmarkStart w:id="329" w:name="_Toc498227722"/>
      <w:bookmarkStart w:id="330" w:name="_Toc498228821"/>
      <w:bookmarkStart w:id="331" w:name="_Toc507821005"/>
      <w:bookmarkStart w:id="332" w:name="_Toc6026317"/>
      <w:bookmarkStart w:id="333" w:name="_Toc6028395"/>
      <w:bookmarkStart w:id="334" w:name="_Toc6028485"/>
      <w:bookmarkStart w:id="335" w:name="_Toc6109358"/>
      <w:bookmarkStart w:id="336" w:name="_Toc416254199"/>
      <w:r>
        <w:rPr>
          <w:rFonts w:hint="eastAsia" w:ascii="仿宋" w:hAnsi="仿宋" w:eastAsia="仿宋"/>
          <w:sz w:val="21"/>
          <w:szCs w:val="21"/>
          <w:highlight w:val="none"/>
        </w:rPr>
        <w:t>售后服务</w:t>
      </w:r>
      <w:bookmarkEnd w:id="328"/>
      <w:bookmarkEnd w:id="329"/>
      <w:bookmarkEnd w:id="330"/>
      <w:bookmarkEnd w:id="331"/>
      <w:bookmarkEnd w:id="332"/>
      <w:bookmarkEnd w:id="333"/>
      <w:bookmarkEnd w:id="334"/>
      <w:bookmarkEnd w:id="335"/>
      <w:bookmarkEnd w:id="336"/>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投标人设备在现场经试运转合格，通过验收之日起，为进入交付招标人使用期。投标人需要提供免费保修，保修期自最终验收之日起计算，时间为三年。</w:t>
      </w:r>
      <w:r>
        <w:rPr>
          <w:rFonts w:ascii="仿宋" w:hAnsi="仿宋" w:eastAsia="仿宋"/>
          <w:szCs w:val="21"/>
          <w:highlight w:val="none"/>
        </w:rPr>
        <w:t>质保期内所需的维修和维护零部件由卖方负责免费提供。</w:t>
      </w:r>
      <w:r>
        <w:rPr>
          <w:rFonts w:hint="eastAsia" w:ascii="仿宋" w:hAnsi="仿宋" w:eastAsia="仿宋"/>
          <w:szCs w:val="21"/>
          <w:highlight w:val="none"/>
        </w:rPr>
        <w:t>内容如下：</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b/>
          <w:sz w:val="21"/>
          <w:szCs w:val="21"/>
          <w:highlight w:val="none"/>
        </w:rPr>
      </w:pPr>
      <w:r>
        <w:rPr>
          <w:rFonts w:hint="eastAsia" w:ascii="仿宋" w:hAnsi="仿宋" w:eastAsia="仿宋"/>
          <w:b/>
          <w:sz w:val="21"/>
          <w:szCs w:val="21"/>
          <w:highlight w:val="none"/>
        </w:rPr>
        <w:t>保修及维修保养期内，提供免费的一年四次季度维护。</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当由于设备设计和制造质量原因造成的任何损伤或损坏，投标人除负责修理或更换外，所作更换的材料和零件必须是原厂生产的标准材料和零件。</w:t>
      </w:r>
    </w:p>
    <w:p>
      <w:pPr>
        <w:pStyle w:val="97"/>
        <w:keepNext w:val="0"/>
        <w:keepLines w:val="0"/>
        <w:numPr>
          <w:ilvl w:val="0"/>
          <w:numId w:val="23"/>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在保修期结束时，须由专业工程师对整套设备进行一次全面检查，任何缺陷必须由投标人自费修理。在修理之后，投标人必须将成因、补救措施、完成修理及恢复正常的时间和日期等报告给招标人。报告一式两份。</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37" w:name="_Toc498227220"/>
      <w:bookmarkStart w:id="338" w:name="_Toc498227723"/>
      <w:bookmarkStart w:id="339" w:name="_Toc498228822"/>
      <w:bookmarkStart w:id="340" w:name="_Toc507821006"/>
      <w:bookmarkStart w:id="341" w:name="_Toc6026318"/>
      <w:bookmarkStart w:id="342" w:name="_Toc6028396"/>
      <w:bookmarkStart w:id="343" w:name="_Toc6028486"/>
      <w:bookmarkStart w:id="344" w:name="_Toc6109359"/>
      <w:bookmarkStart w:id="345" w:name="_Toc416254200"/>
      <w:r>
        <w:rPr>
          <w:rFonts w:hint="eastAsia" w:ascii="仿宋" w:hAnsi="仿宋" w:eastAsia="仿宋"/>
          <w:sz w:val="21"/>
          <w:szCs w:val="21"/>
          <w:highlight w:val="none"/>
        </w:rPr>
        <w:t>备件供应</w:t>
      </w:r>
      <w:bookmarkEnd w:id="337"/>
      <w:bookmarkEnd w:id="338"/>
      <w:bookmarkEnd w:id="339"/>
      <w:bookmarkEnd w:id="340"/>
      <w:bookmarkEnd w:id="341"/>
      <w:bookmarkEnd w:id="342"/>
      <w:bookmarkEnd w:id="343"/>
      <w:bookmarkEnd w:id="344"/>
      <w:bookmarkEnd w:id="345"/>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投标人应承诺在设备寿命期内以优惠价格供应备件。</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投标人必须在投标时，提供系统设备在保修期满后，足够</w:t>
      </w:r>
      <w:r>
        <w:rPr>
          <w:rFonts w:ascii="仿宋" w:hAnsi="仿宋" w:eastAsia="仿宋"/>
          <w:sz w:val="21"/>
          <w:szCs w:val="21"/>
          <w:highlight w:val="none"/>
        </w:rPr>
        <w:t>2</w:t>
      </w:r>
      <w:r>
        <w:rPr>
          <w:rFonts w:hint="eastAsia" w:ascii="仿宋" w:hAnsi="仿宋" w:eastAsia="仿宋"/>
          <w:sz w:val="21"/>
          <w:szCs w:val="21"/>
          <w:highlight w:val="none"/>
        </w:rPr>
        <w:t>年使用的备件清单。清单中必须说明备件名称、规格、型号、数量、价格、保存环境要求，外购件还必须注明制造厂及其型号。备件单列清单，单独报价，费用不计入总报价，招标人有权选购。</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各种备件必须单独包装、单独装箱，包装箱外面必须写明“备件”字样，并说明属于何种设备的备件，箱内必须有所装备件的详细清单。备件发送至招标人指定的地方。投标人会同招标人一起开箱、验收、交货。若有损坏、短缺、误发货，投标人必须负责更换、补齐，所发生的一切费用必须由投标人负责。</w:t>
      </w:r>
    </w:p>
    <w:p>
      <w:pPr>
        <w:pStyle w:val="97"/>
        <w:keepNext w:val="0"/>
        <w:keepLines w:val="0"/>
        <w:numPr>
          <w:ilvl w:val="0"/>
          <w:numId w:val="24"/>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ascii="仿宋" w:hAnsi="仿宋" w:eastAsia="仿宋"/>
          <w:sz w:val="21"/>
          <w:szCs w:val="21"/>
          <w:highlight w:val="none"/>
        </w:rPr>
        <w:t>投标人须保证在设备使用寿命期(不低于10年)内，免费提供为保证设备正常运行的软件</w:t>
      </w:r>
      <w:r>
        <w:rPr>
          <w:rFonts w:hint="eastAsia" w:ascii="仿宋" w:hAnsi="仿宋" w:eastAsia="仿宋"/>
          <w:sz w:val="21"/>
          <w:szCs w:val="21"/>
          <w:highlight w:val="none"/>
        </w:rPr>
        <w:t>、数据等</w:t>
      </w:r>
      <w:r>
        <w:rPr>
          <w:rFonts w:ascii="仿宋" w:hAnsi="仿宋" w:eastAsia="仿宋"/>
          <w:sz w:val="21"/>
          <w:szCs w:val="21"/>
          <w:highlight w:val="none"/>
        </w:rPr>
        <w:t>程序的加载、灌装、升级及更新。</w:t>
      </w:r>
    </w:p>
    <w:p>
      <w:pPr>
        <w:pStyle w:val="4"/>
        <w:tabs>
          <w:tab w:val="left" w:pos="284"/>
          <w:tab w:val="clear" w:pos="1275"/>
        </w:tabs>
        <w:snapToGrid w:val="0"/>
        <w:spacing w:line="360" w:lineRule="auto"/>
        <w:ind w:left="0" w:firstLine="0"/>
        <w:rPr>
          <w:rFonts w:ascii="仿宋" w:hAnsi="仿宋" w:eastAsia="仿宋"/>
          <w:sz w:val="21"/>
          <w:szCs w:val="21"/>
          <w:highlight w:val="none"/>
        </w:rPr>
      </w:pPr>
      <w:bookmarkStart w:id="346" w:name="_Toc498227222"/>
      <w:bookmarkStart w:id="347" w:name="_Toc498227725"/>
      <w:bookmarkStart w:id="348" w:name="_Toc498228824"/>
      <w:bookmarkStart w:id="349" w:name="_Toc507821008"/>
      <w:bookmarkStart w:id="350" w:name="_Toc6026320"/>
      <w:bookmarkStart w:id="351" w:name="_Toc6028398"/>
      <w:bookmarkStart w:id="352" w:name="_Toc6028488"/>
      <w:bookmarkStart w:id="353" w:name="_Toc6109361"/>
      <w:bookmarkStart w:id="354" w:name="_Toc416254202"/>
      <w:bookmarkStart w:id="355" w:name="_Toc416254203"/>
      <w:bookmarkStart w:id="356" w:name="_Toc408322874"/>
      <w:bookmarkStart w:id="357" w:name="_Toc497539595"/>
      <w:bookmarkStart w:id="358" w:name="_Toc498915294"/>
      <w:bookmarkStart w:id="359" w:name="_Toc507821058"/>
      <w:r>
        <w:rPr>
          <w:rFonts w:hint="eastAsia" w:ascii="仿宋" w:hAnsi="仿宋" w:eastAsia="仿宋"/>
          <w:sz w:val="21"/>
          <w:szCs w:val="21"/>
          <w:highlight w:val="none"/>
        </w:rPr>
        <w:t>铭牌及各类标记</w:t>
      </w:r>
      <w:bookmarkEnd w:id="346"/>
      <w:bookmarkEnd w:id="347"/>
      <w:bookmarkEnd w:id="348"/>
      <w:bookmarkEnd w:id="349"/>
      <w:bookmarkEnd w:id="350"/>
      <w:bookmarkEnd w:id="351"/>
      <w:bookmarkEnd w:id="352"/>
      <w:bookmarkEnd w:id="353"/>
      <w:bookmarkEnd w:id="354"/>
    </w:p>
    <w:p>
      <w:pPr>
        <w:pStyle w:val="5"/>
        <w:snapToGrid w:val="0"/>
        <w:spacing w:before="0" w:after="0" w:line="360" w:lineRule="auto"/>
        <w:rPr>
          <w:rFonts w:ascii="仿宋" w:hAnsi="仿宋" w:eastAsia="仿宋"/>
          <w:sz w:val="21"/>
          <w:szCs w:val="21"/>
          <w:highlight w:val="none"/>
        </w:rPr>
      </w:pPr>
      <w:bookmarkStart w:id="360" w:name="_Toc6026321"/>
      <w:bookmarkStart w:id="361" w:name="_Toc6028489"/>
      <w:bookmarkStart w:id="362" w:name="_Toc498227223"/>
      <w:bookmarkStart w:id="363" w:name="_Toc6109362"/>
      <w:bookmarkStart w:id="364" w:name="_Toc498228825"/>
      <w:bookmarkStart w:id="365" w:name="_Toc507821009"/>
      <w:bookmarkStart w:id="366" w:name="_Toc6028399"/>
      <w:r>
        <w:rPr>
          <w:rFonts w:hint="eastAsia" w:ascii="仿宋" w:hAnsi="仿宋" w:eastAsia="仿宋"/>
          <w:sz w:val="21"/>
          <w:szCs w:val="21"/>
          <w:highlight w:val="none"/>
        </w:rPr>
        <w:t>7</w:t>
      </w:r>
      <w:r>
        <w:rPr>
          <w:rFonts w:ascii="仿宋" w:hAnsi="仿宋" w:eastAsia="仿宋"/>
          <w:sz w:val="21"/>
          <w:szCs w:val="21"/>
          <w:highlight w:val="none"/>
        </w:rPr>
        <w:t>.1</w:t>
      </w:r>
      <w:r>
        <w:rPr>
          <w:rFonts w:hint="eastAsia" w:ascii="仿宋" w:hAnsi="仿宋" w:eastAsia="仿宋"/>
          <w:sz w:val="21"/>
          <w:szCs w:val="21"/>
          <w:highlight w:val="none"/>
        </w:rPr>
        <w:t>设备铭牌</w:t>
      </w:r>
      <w:bookmarkEnd w:id="360"/>
      <w:bookmarkEnd w:id="361"/>
      <w:bookmarkEnd w:id="362"/>
      <w:bookmarkEnd w:id="363"/>
      <w:bookmarkEnd w:id="364"/>
      <w:bookmarkEnd w:id="365"/>
      <w:bookmarkEnd w:id="366"/>
    </w:p>
    <w:p>
      <w:pPr>
        <w:pStyle w:val="34"/>
        <w:tabs>
          <w:tab w:val="left" w:pos="360"/>
        </w:tabs>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设备至少必须设置以下各种标牌</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设备必须在适当醒目方便察看的位置上设置铭牌，标明设备名称、型号、主要规格、编号、以及制造厂名称和制造日期等。</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操作控制部分，必须在适当位置放置操作按钮等的操作使用说明牌和指示牌。</w:t>
      </w:r>
    </w:p>
    <w:p>
      <w:pPr>
        <w:pStyle w:val="97"/>
        <w:keepNext w:val="0"/>
        <w:keepLines w:val="0"/>
        <w:numPr>
          <w:ilvl w:val="0"/>
          <w:numId w:val="25"/>
        </w:numPr>
        <w:tabs>
          <w:tab w:val="left" w:pos="624"/>
          <w:tab w:val="left" w:pos="1021"/>
        </w:tabs>
        <w:adjustRightInd w:val="0"/>
        <w:snapToGrid w:val="0"/>
        <w:spacing w:before="0" w:after="0"/>
        <w:jc w:val="left"/>
        <w:textAlignment w:val="baseline"/>
        <w:outlineLvl w:val="9"/>
        <w:rPr>
          <w:rFonts w:ascii="仿宋" w:hAnsi="仿宋" w:eastAsia="仿宋"/>
          <w:sz w:val="21"/>
          <w:szCs w:val="21"/>
          <w:highlight w:val="none"/>
        </w:rPr>
      </w:pPr>
      <w:r>
        <w:rPr>
          <w:rFonts w:hint="eastAsia" w:ascii="仿宋" w:hAnsi="仿宋" w:eastAsia="仿宋"/>
          <w:sz w:val="21"/>
          <w:szCs w:val="21"/>
          <w:highlight w:val="none"/>
        </w:rPr>
        <w:t>为了安全生产，必须在醒目的位置设置清晰标准的禁止、危险等警示标牌。</w:t>
      </w:r>
    </w:p>
    <w:p>
      <w:pPr>
        <w:pStyle w:val="5"/>
        <w:snapToGrid w:val="0"/>
        <w:spacing w:before="0" w:after="0" w:line="360" w:lineRule="auto"/>
        <w:rPr>
          <w:rFonts w:ascii="仿宋" w:hAnsi="仿宋" w:eastAsia="仿宋"/>
          <w:sz w:val="21"/>
          <w:szCs w:val="21"/>
          <w:highlight w:val="none"/>
        </w:rPr>
      </w:pPr>
      <w:bookmarkStart w:id="367" w:name="_Toc498227225"/>
      <w:bookmarkStart w:id="368" w:name="_Toc498228827"/>
      <w:bookmarkStart w:id="369" w:name="_Toc507821011"/>
      <w:bookmarkStart w:id="370" w:name="_Toc6026323"/>
      <w:bookmarkStart w:id="371" w:name="_Toc6028401"/>
      <w:bookmarkStart w:id="372" w:name="_Toc6028491"/>
      <w:bookmarkStart w:id="373" w:name="_Toc6109364"/>
      <w:r>
        <w:rPr>
          <w:rFonts w:hint="eastAsia" w:ascii="仿宋" w:hAnsi="仿宋" w:eastAsia="仿宋"/>
          <w:sz w:val="21"/>
          <w:szCs w:val="21"/>
          <w:highlight w:val="none"/>
        </w:rPr>
        <w:t>7</w:t>
      </w:r>
      <w:r>
        <w:rPr>
          <w:rFonts w:ascii="仿宋" w:hAnsi="仿宋" w:eastAsia="仿宋"/>
          <w:sz w:val="21"/>
          <w:szCs w:val="21"/>
          <w:highlight w:val="none"/>
        </w:rPr>
        <w:t>.</w:t>
      </w:r>
      <w:r>
        <w:rPr>
          <w:rFonts w:hint="eastAsia" w:ascii="仿宋" w:hAnsi="仿宋" w:eastAsia="仿宋"/>
          <w:sz w:val="21"/>
          <w:szCs w:val="21"/>
          <w:highlight w:val="none"/>
        </w:rPr>
        <w:t>2铭牌文字</w:t>
      </w:r>
    </w:p>
    <w:p>
      <w:pPr>
        <w:pStyle w:val="34"/>
        <w:tabs>
          <w:tab w:val="left" w:pos="360"/>
        </w:tabs>
        <w:adjustRightInd w:val="0"/>
        <w:snapToGrid w:val="0"/>
        <w:spacing w:after="0" w:line="360" w:lineRule="auto"/>
        <w:ind w:left="0" w:leftChars="0" w:firstLine="400" w:firstLineChars="200"/>
        <w:rPr>
          <w:rFonts w:ascii="仿宋" w:hAnsi="仿宋" w:eastAsia="仿宋"/>
          <w:szCs w:val="21"/>
          <w:highlight w:val="none"/>
        </w:rPr>
      </w:pPr>
      <w:r>
        <w:rPr>
          <w:rFonts w:hint="eastAsia" w:ascii="仿宋" w:hAnsi="仿宋" w:eastAsia="仿宋"/>
          <w:szCs w:val="21"/>
          <w:highlight w:val="none"/>
        </w:rPr>
        <w:t>设备铭牌上除设备型号、制造厂名称、设备铭牌上的其它内容可用中文或英文书写外，各种说明牌、指示牌、标签和标记均用中文或中英文对照书写。</w:t>
      </w:r>
    </w:p>
    <w:p>
      <w:pPr>
        <w:pStyle w:val="4"/>
        <w:tabs>
          <w:tab w:val="left" w:pos="284"/>
          <w:tab w:val="clear" w:pos="1275"/>
        </w:tabs>
        <w:snapToGrid w:val="0"/>
        <w:spacing w:line="360" w:lineRule="auto"/>
        <w:ind w:left="0" w:firstLine="0"/>
        <w:rPr>
          <w:rFonts w:ascii="仿宋" w:hAnsi="仿宋" w:eastAsia="仿宋"/>
          <w:sz w:val="21"/>
          <w:szCs w:val="21"/>
          <w:highlight w:val="none"/>
        </w:rPr>
      </w:pPr>
      <w:r>
        <w:rPr>
          <w:rFonts w:hint="eastAsia" w:ascii="仿宋" w:hAnsi="仿宋" w:eastAsia="仿宋"/>
          <w:sz w:val="21"/>
          <w:szCs w:val="21"/>
          <w:highlight w:val="none"/>
        </w:rPr>
        <w:t>随机备品备件及易损耗材耗件</w:t>
      </w:r>
    </w:p>
    <w:bookmarkEnd w:id="367"/>
    <w:bookmarkEnd w:id="368"/>
    <w:bookmarkEnd w:id="369"/>
    <w:bookmarkEnd w:id="370"/>
    <w:bookmarkEnd w:id="371"/>
    <w:bookmarkEnd w:id="372"/>
    <w:bookmarkEnd w:id="373"/>
    <w:p>
      <w:pPr>
        <w:pStyle w:val="144"/>
        <w:spacing w:line="360" w:lineRule="auto"/>
        <w:ind w:firstLine="420"/>
        <w:rPr>
          <w:rFonts w:ascii="仿宋" w:hAnsi="仿宋" w:eastAsia="仿宋"/>
          <w:kern w:val="2"/>
          <w:sz w:val="21"/>
          <w:szCs w:val="21"/>
          <w:highlight w:val="none"/>
        </w:rPr>
      </w:pPr>
      <w:r>
        <w:rPr>
          <w:rFonts w:hint="eastAsia" w:ascii="仿宋" w:hAnsi="仿宋" w:eastAsia="仿宋"/>
          <w:kern w:val="2"/>
          <w:sz w:val="21"/>
          <w:szCs w:val="21"/>
          <w:highlight w:val="none"/>
        </w:rPr>
        <w:t>8.1耗材耗件按每台设备年平均使用时间3600小时年检查箱包22万件计算使用量。</w:t>
      </w:r>
    </w:p>
    <w:p>
      <w:pPr>
        <w:pStyle w:val="144"/>
        <w:spacing w:line="360" w:lineRule="auto"/>
        <w:ind w:firstLine="420"/>
        <w:rPr>
          <w:rFonts w:ascii="仿宋" w:hAnsi="仿宋" w:eastAsia="仿宋"/>
          <w:kern w:val="2"/>
          <w:sz w:val="21"/>
          <w:szCs w:val="21"/>
          <w:highlight w:val="none"/>
        </w:rPr>
      </w:pPr>
      <w:r>
        <w:rPr>
          <w:rFonts w:hint="eastAsia" w:ascii="仿宋" w:hAnsi="仿宋" w:eastAsia="仿宋"/>
          <w:kern w:val="2"/>
          <w:sz w:val="21"/>
          <w:szCs w:val="21"/>
          <w:highlight w:val="none"/>
        </w:rPr>
        <w:t>8.2投标人提供的中标设备的装箱清单中应包含随机易损备品备件及不少于6个月的耗材耗件使用量。</w:t>
      </w:r>
    </w:p>
    <w:p>
      <w:pPr>
        <w:pStyle w:val="144"/>
        <w:spacing w:line="360" w:lineRule="auto"/>
        <w:ind w:firstLine="420"/>
        <w:rPr>
          <w:highlight w:val="none"/>
        </w:rPr>
      </w:pPr>
      <w:r>
        <w:rPr>
          <w:rFonts w:hint="eastAsia" w:ascii="仿宋" w:hAnsi="仿宋" w:eastAsia="仿宋"/>
          <w:kern w:val="2"/>
          <w:sz w:val="21"/>
          <w:szCs w:val="21"/>
          <w:highlight w:val="none"/>
        </w:rPr>
        <w:t>8.3</w:t>
      </w:r>
      <w:r>
        <w:rPr>
          <w:rFonts w:ascii="仿宋" w:hAnsi="仿宋" w:eastAsia="仿宋"/>
          <w:kern w:val="2"/>
          <w:sz w:val="21"/>
          <w:szCs w:val="21"/>
          <w:highlight w:val="none"/>
        </w:rPr>
        <w:t xml:space="preserve"> </w:t>
      </w:r>
      <w:r>
        <w:rPr>
          <w:rFonts w:hint="eastAsia" w:ascii="仿宋" w:hAnsi="仿宋" w:eastAsia="仿宋"/>
          <w:kern w:val="2"/>
          <w:sz w:val="21"/>
          <w:szCs w:val="21"/>
          <w:highlight w:val="none"/>
        </w:rPr>
        <w:t>随机备品备件及易损耗材耗件应单独包装，并在内外包装的明显位置注明使用有效期。在五年内超过使用有效期的，中标方应免费更换，并承担由此产生的相关费用。</w:t>
      </w:r>
    </w:p>
    <w:p>
      <w:pPr>
        <w:pStyle w:val="3"/>
        <w:snapToGrid w:val="0"/>
        <w:spacing w:before="0" w:after="0"/>
        <w:rPr>
          <w:rFonts w:ascii="仿宋" w:hAnsi="仿宋" w:eastAsia="仿宋"/>
          <w:highlight w:val="none"/>
        </w:rPr>
      </w:pPr>
      <w:r>
        <w:rPr>
          <w:rFonts w:hint="eastAsia" w:ascii="仿宋" w:hAnsi="仿宋" w:eastAsia="仿宋"/>
          <w:highlight w:val="none"/>
        </w:rPr>
        <w:t>四</w:t>
      </w:r>
      <w:r>
        <w:rPr>
          <w:rFonts w:ascii="仿宋" w:hAnsi="仿宋" w:eastAsia="仿宋"/>
          <w:highlight w:val="none"/>
        </w:rPr>
        <w:t>、</w:t>
      </w:r>
      <w:r>
        <w:rPr>
          <w:rFonts w:hint="eastAsia" w:ascii="仿宋" w:hAnsi="仿宋" w:eastAsia="仿宋"/>
          <w:highlight w:val="none"/>
        </w:rPr>
        <w:t>设备技术规格和要求</w:t>
      </w:r>
      <w:bookmarkEnd w:id="355"/>
    </w:p>
    <w:bookmarkEnd w:id="356"/>
    <w:bookmarkEnd w:id="357"/>
    <w:bookmarkEnd w:id="358"/>
    <w:bookmarkEnd w:id="359"/>
    <w:p>
      <w:pPr>
        <w:adjustRightInd w:val="0"/>
        <w:snapToGrid w:val="0"/>
        <w:spacing w:line="440" w:lineRule="exact"/>
        <w:ind w:firstLine="482" w:firstLineChars="200"/>
        <w:rPr>
          <w:rFonts w:ascii="仿宋" w:hAnsi="仿宋" w:eastAsia="仿宋"/>
          <w:b/>
          <w:color w:val="000000"/>
          <w:highlight w:val="none"/>
        </w:rPr>
      </w:pPr>
      <w:bookmarkStart w:id="374" w:name="_Toc384904408"/>
      <w:bookmarkStart w:id="375" w:name="_Toc497539604"/>
      <w:bookmarkStart w:id="376" w:name="_Toc498915302"/>
      <w:bookmarkStart w:id="377" w:name="_Toc507821065"/>
      <w:r>
        <w:rPr>
          <w:rFonts w:hint="eastAsia" w:ascii="仿宋" w:hAnsi="仿宋" w:eastAsia="仿宋"/>
          <w:b/>
          <w:color w:val="000000"/>
          <w:highlight w:val="none"/>
        </w:rPr>
        <w:t>1、</w:t>
      </w:r>
      <w:bookmarkEnd w:id="374"/>
      <w:r>
        <w:rPr>
          <w:rFonts w:hint="eastAsia" w:ascii="仿宋" w:hAnsi="仿宋" w:eastAsia="仿宋"/>
          <w:b/>
          <w:highlight w:val="none"/>
        </w:rPr>
        <w:t>台式爆炸物/毒品探测设备的技术要求</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color w:val="000000"/>
          <w:highlight w:val="none"/>
        </w:rPr>
        <w:t>1.1</w:t>
      </w:r>
      <w:r>
        <w:rPr>
          <w:rFonts w:hint="eastAsia" w:ascii="仿宋" w:hAnsi="仿宋" w:eastAsia="仿宋"/>
          <w:highlight w:val="none"/>
        </w:rPr>
        <w:t>设备概述</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台式爆炸物安全检查设备是指安放在桌子或小车上的台式爆炸物安全检查设备。</w:t>
      </w:r>
    </w:p>
    <w:p>
      <w:pPr>
        <w:adjustRightInd w:val="0"/>
        <w:snapToGrid w:val="0"/>
        <w:spacing w:line="360" w:lineRule="auto"/>
        <w:ind w:firstLine="480" w:firstLineChars="200"/>
        <w:rPr>
          <w:rFonts w:ascii="仿宋" w:hAnsi="仿宋" w:eastAsia="仿宋"/>
          <w:highlight w:val="none"/>
        </w:rPr>
      </w:pPr>
      <w:bookmarkStart w:id="378" w:name="_Toc383528201"/>
      <w:bookmarkStart w:id="379" w:name="_Toc384904103"/>
      <w:bookmarkStart w:id="380" w:name="_Toc384904411"/>
      <w:r>
        <w:rPr>
          <w:rFonts w:hint="eastAsia" w:ascii="仿宋" w:hAnsi="仿宋" w:eastAsia="仿宋"/>
          <w:highlight w:val="none"/>
        </w:rPr>
        <w:t>基于</w:t>
      </w:r>
      <w:r>
        <w:rPr>
          <w:rFonts w:ascii="仿宋" w:hAnsi="仿宋" w:eastAsia="仿宋"/>
          <w:highlight w:val="none"/>
        </w:rPr>
        <w:t>离子迁移捕获质谱技术（ITMS）或</w:t>
      </w:r>
      <w:r>
        <w:rPr>
          <w:rFonts w:hint="eastAsia" w:ascii="仿宋" w:hAnsi="仿宋" w:eastAsia="仿宋"/>
          <w:highlight w:val="none"/>
        </w:rPr>
        <w:t>离子迁移质谱技术（</w:t>
      </w:r>
      <w:r>
        <w:rPr>
          <w:rFonts w:ascii="仿宋" w:hAnsi="仿宋" w:eastAsia="仿宋"/>
          <w:highlight w:val="none"/>
        </w:rPr>
        <w:t>IMS</w:t>
      </w:r>
      <w:r>
        <w:rPr>
          <w:rFonts w:hint="eastAsia" w:ascii="仿宋" w:hAnsi="仿宋" w:eastAsia="仿宋"/>
          <w:highlight w:val="none"/>
        </w:rPr>
        <w:t>），对炸药、毒品的污染物和残余物为分析目标的微量探测仪器。</w:t>
      </w:r>
    </w:p>
    <w:p>
      <w:pPr>
        <w:adjustRightInd w:val="0"/>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.2主要技术规格</w:t>
      </w:r>
      <w:bookmarkEnd w:id="378"/>
      <w:bookmarkEnd w:id="379"/>
      <w:bookmarkEnd w:id="380"/>
    </w:p>
    <w:tbl>
      <w:tblPr>
        <w:tblStyle w:val="58"/>
        <w:tblW w:w="9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9"/>
        <w:gridCol w:w="2048"/>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序号</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项目</w:t>
            </w:r>
          </w:p>
        </w:tc>
        <w:tc>
          <w:tcPr>
            <w:tcW w:w="6704"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主机</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台式机，外形美观，维修方便。并配有大于10英寸的TFT或LCD触摸式显示屏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主要检测对象</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能检查常见炸药和毒品，并可根据机场安检的实际需要添加新的检测物质。</w:t>
            </w:r>
          </w:p>
          <w:p>
            <w:pPr>
              <w:adjustRightInd w:val="0"/>
              <w:snapToGrid w:val="0"/>
              <w:rPr>
                <w:rFonts w:ascii="仿宋" w:hAnsi="仿宋" w:eastAsia="仿宋"/>
                <w:highlight w:val="none"/>
              </w:rPr>
            </w:pPr>
            <w:r>
              <w:rPr>
                <w:rFonts w:hint="eastAsia" w:ascii="仿宋" w:hAnsi="仿宋" w:eastAsia="仿宋"/>
                <w:highlight w:val="none"/>
              </w:rPr>
              <w:t>绝大多数的商用和军用爆炸物，如：TNT、C4、CE/Tetryl、DNT、HMX、NG、PETN、RDX、Semtex、TATP、HMTD、H-6、硝铵及黑火药等</w:t>
            </w:r>
          </w:p>
          <w:p>
            <w:pPr>
              <w:adjustRightInd w:val="0"/>
              <w:snapToGrid w:val="0"/>
              <w:rPr>
                <w:rFonts w:ascii="仿宋" w:hAnsi="仿宋" w:eastAsia="仿宋"/>
                <w:highlight w:val="none"/>
              </w:rPr>
            </w:pPr>
            <w:r>
              <w:rPr>
                <w:rFonts w:hint="eastAsia" w:ascii="仿宋" w:hAnsi="仿宋" w:eastAsia="仿宋"/>
                <w:highlight w:val="none"/>
              </w:rPr>
              <w:t>绝大多数毒品，如：氯胺酮、冰毒、可卡因、海洛因、安非他明、杜冷丁、吗啡、MDMA、四氢大麻酚、罂粟碱等</w:t>
            </w:r>
          </w:p>
          <w:p>
            <w:pPr>
              <w:adjustRightInd w:val="0"/>
              <w:snapToGrid w:val="0"/>
              <w:rPr>
                <w:rFonts w:ascii="仿宋" w:hAnsi="仿宋" w:eastAsia="仿宋"/>
                <w:highlight w:val="none"/>
              </w:rPr>
            </w:pPr>
            <w:r>
              <w:rPr>
                <w:rFonts w:hint="eastAsia" w:ascii="仿宋" w:hAnsi="仿宋" w:eastAsia="仿宋"/>
                <w:highlight w:val="none"/>
              </w:rPr>
              <w:t>对上述爆炸物或毒品的具体物质种类要有分辨能力。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3</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检测技术</w:t>
            </w:r>
          </w:p>
        </w:tc>
        <w:tc>
          <w:tcPr>
            <w:tcW w:w="6704" w:type="dxa"/>
            <w:vAlign w:val="center"/>
          </w:tcPr>
          <w:p>
            <w:pPr>
              <w:adjustRightInd w:val="0"/>
              <w:snapToGrid w:val="0"/>
              <w:rPr>
                <w:rFonts w:ascii="仿宋" w:hAnsi="仿宋" w:eastAsia="仿宋"/>
                <w:highlight w:val="none"/>
              </w:rPr>
            </w:pPr>
            <w:r>
              <w:rPr>
                <w:rFonts w:hint="eastAsia" w:ascii="仿宋" w:hAnsi="仿宋" w:eastAsia="仿宋"/>
                <w:szCs w:val="21"/>
                <w:highlight w:val="none"/>
              </w:rPr>
              <w:t>采用</w:t>
            </w:r>
            <w:r>
              <w:rPr>
                <w:rFonts w:ascii="仿宋" w:hAnsi="仿宋" w:eastAsia="仿宋"/>
                <w:szCs w:val="21"/>
                <w:highlight w:val="none"/>
              </w:rPr>
              <w:t>离子迁移捕获质谱技术（ITMS）或</w:t>
            </w:r>
            <w:r>
              <w:rPr>
                <w:rFonts w:hint="eastAsia" w:ascii="仿宋" w:hAnsi="仿宋" w:eastAsia="仿宋"/>
                <w:szCs w:val="21"/>
                <w:highlight w:val="none"/>
              </w:rPr>
              <w:t>采用离子迁移质谱技术（IMS）。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4</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取样方式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无需打开货物包装，试纸擦拭取样。</w:t>
            </w:r>
          </w:p>
          <w:p>
            <w:pPr>
              <w:adjustRightInd w:val="0"/>
              <w:snapToGrid w:val="0"/>
              <w:rPr>
                <w:rFonts w:ascii="仿宋" w:hAnsi="仿宋" w:eastAsia="仿宋"/>
                <w:highlight w:val="none"/>
              </w:rPr>
            </w:pPr>
            <w:r>
              <w:rPr>
                <w:rFonts w:hint="eastAsia" w:ascii="仿宋" w:hAnsi="仿宋" w:eastAsia="仿宋"/>
                <w:highlight w:val="none"/>
              </w:rPr>
              <w:t>采样、检测及校验便捷，试纸或取样布擦拭取样及插入进样口时，无需区分正反面.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5</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启动时间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6</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分析时间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7</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校正</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根据气压和温度的变化自动进行校正，即检测结果不受环境气压和温度的影响，同时可选择人工校准方式。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8</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报警方式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视听报警，显示屏显示被检测到的物质的名称、图谱和量的大小,仪器同时发出报警声音。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9</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误报率</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sym w:font="Symbol" w:char="F0A3"/>
            </w:r>
            <w:r>
              <w:rPr>
                <w:rFonts w:hint="eastAsia" w:ascii="仿宋" w:hAnsi="仿宋" w:eastAsia="仿宋"/>
                <w:highlight w:val="none"/>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10</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检出率</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sym w:font="Symbol" w:char="F0B3"/>
            </w:r>
            <w:r>
              <w:rPr>
                <w:rFonts w:hint="eastAsia" w:ascii="仿宋" w:hAnsi="仿宋" w:eastAsia="仿宋"/>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平均无故障工作时间</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不小于20000小时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12</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灵敏度</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纳克或皮克级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13</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检测结果</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能检测出被检测物品的名称和量值，遇有危险物品时，以不同的颜色在显示器上显示，同时发出报警声音。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14</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工作电源</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100～240 VAC, 47-63 Hz</w:t>
            </w:r>
            <w:r>
              <w:rPr>
                <w:rFonts w:ascii="仿宋" w:hAnsi="仿宋" w:eastAsia="仿宋"/>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15</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界面显示</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中文操作菜单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16</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自动清洗及校准功能</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设备可以手动或自动进行校准保证正常运转，每次检查爆炸物或毒品后，必须能够快速清洗，以符合候机楼测爆要求。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17</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软件</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所有相关安检数据存储、信息处理等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18</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干燥剂</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采用再生式干燥剂系统或长效（两年）干燥剂可由用户操作人员自行更换。采用再生式干燥剂系统须承诺干燥剂及实现干燥剂再生的整个系统及其相关器件终身免费更换.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19</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重量</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≤16kg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20</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数据留存及打印功能</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每次检查爆炸物后，可保存及现场实时打印数据。配置有内置热敏打印机。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0" w:hRule="atLeast"/>
          <w:jc w:val="center"/>
        </w:trPr>
        <w:tc>
          <w:tcPr>
            <w:tcW w:w="659"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21</w:t>
            </w:r>
          </w:p>
        </w:tc>
        <w:tc>
          <w:tcPr>
            <w:tcW w:w="2048" w:type="dxa"/>
            <w:vAlign w:val="center"/>
          </w:tcPr>
          <w:p>
            <w:pPr>
              <w:adjustRightInd w:val="0"/>
              <w:snapToGrid w:val="0"/>
              <w:jc w:val="center"/>
              <w:rPr>
                <w:rFonts w:ascii="仿宋" w:hAnsi="仿宋" w:eastAsia="仿宋"/>
                <w:highlight w:val="none"/>
              </w:rPr>
            </w:pPr>
            <w:r>
              <w:rPr>
                <w:rFonts w:hint="eastAsia" w:ascii="仿宋" w:hAnsi="仿宋" w:eastAsia="仿宋"/>
                <w:highlight w:val="none"/>
              </w:rPr>
              <w:t>连续工作能力</w:t>
            </w:r>
          </w:p>
        </w:tc>
        <w:tc>
          <w:tcPr>
            <w:tcW w:w="6704" w:type="dxa"/>
            <w:vAlign w:val="center"/>
          </w:tcPr>
          <w:p>
            <w:pPr>
              <w:adjustRightInd w:val="0"/>
              <w:snapToGrid w:val="0"/>
              <w:rPr>
                <w:rFonts w:ascii="仿宋" w:hAnsi="仿宋" w:eastAsia="仿宋"/>
                <w:highlight w:val="none"/>
              </w:rPr>
            </w:pPr>
            <w:r>
              <w:rPr>
                <w:rFonts w:hint="eastAsia" w:ascii="仿宋" w:hAnsi="仿宋" w:eastAsia="仿宋"/>
                <w:highlight w:val="none"/>
              </w:rPr>
              <w:t>具备连续工作能力，能适应机场门口测爆工作环境。</w:t>
            </w:r>
          </w:p>
        </w:tc>
      </w:tr>
    </w:tbl>
    <w:p>
      <w:pPr>
        <w:adjustRightInd w:val="0"/>
        <w:snapToGrid w:val="0"/>
        <w:spacing w:line="360" w:lineRule="auto"/>
        <w:ind w:firstLine="480" w:firstLineChars="200"/>
        <w:rPr>
          <w:rFonts w:ascii="仿宋" w:hAnsi="仿宋" w:eastAsia="仿宋"/>
          <w:highlight w:val="none"/>
        </w:rPr>
      </w:pPr>
      <w:bookmarkStart w:id="381" w:name="_Toc384904412"/>
      <w:bookmarkStart w:id="382" w:name="_Toc383528202"/>
      <w:r>
        <w:rPr>
          <w:rFonts w:hint="eastAsia" w:ascii="仿宋" w:hAnsi="仿宋" w:eastAsia="仿宋"/>
          <w:highlight w:val="none"/>
        </w:rPr>
        <w:t>1.3功能要求</w:t>
      </w:r>
      <w:bookmarkEnd w:id="381"/>
      <w:bookmarkEnd w:id="382"/>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1.3.1*能同时检测常见炸药和毒品，并可根据机场安检的实际需要添加新的检测物质。绝大多数的商用和军用炸药，如：TNT、C4、CE/Tetryl、DNT、HMX、NG、PETN、RDX、Semtex、TATP、HMTD、H-6、硝铵及黑火药等；绝大多数毒品，如：氯胺酮、冰毒、可卡因、海洛因、安非他明、杜冷丁、吗啡、MDMA、四氢大麻酚、罂粟碱等。对上述爆炸物或毒品的具体物质种类要有分辨能力。</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1.3.2*检测技术类型: 采用</w:t>
      </w:r>
      <w:r>
        <w:rPr>
          <w:rFonts w:ascii="仿宋" w:hAnsi="仿宋" w:eastAsia="仿宋"/>
          <w:highlight w:val="none"/>
        </w:rPr>
        <w:t>离子迁移捕获质谱技术（ITMS）</w:t>
      </w:r>
      <w:r>
        <w:rPr>
          <w:rFonts w:hint="eastAsia" w:ascii="仿宋" w:hAnsi="仿宋" w:eastAsia="仿宋"/>
          <w:highlight w:val="none"/>
        </w:rPr>
        <w:t>或离子迁移质谱技术（IMS），正负离子应同步检测、同屏显示。</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1.3.3可根据机场安检的实际需要在设备数据库中添加新的检测物质。</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1.3.4</w:t>
      </w:r>
      <w:r>
        <w:rPr>
          <w:rFonts w:ascii="仿宋" w:hAnsi="仿宋" w:eastAsia="仿宋"/>
          <w:highlight w:val="none"/>
        </w:rPr>
        <w:t>具有数据存储功能，能够存储至少</w:t>
      </w:r>
      <w:r>
        <w:rPr>
          <w:rFonts w:ascii="仿宋" w:hAnsi="仿宋" w:eastAsia="仿宋"/>
          <w:highlight w:val="none"/>
        </w:rPr>
        <w:t>100000</w:t>
      </w:r>
      <w:r>
        <w:rPr>
          <w:rFonts w:hint="eastAsia" w:ascii="仿宋" w:hAnsi="仿宋" w:eastAsia="仿宋"/>
          <w:highlight w:val="none"/>
        </w:rPr>
        <w:t>条检测</w:t>
      </w:r>
      <w:r>
        <w:rPr>
          <w:rFonts w:ascii="仿宋" w:hAnsi="仿宋" w:eastAsia="仿宋"/>
          <w:highlight w:val="none"/>
        </w:rPr>
        <w:t>数据，并能够用网络或USB等接口将数据传出</w:t>
      </w:r>
      <w:r>
        <w:rPr>
          <w:rFonts w:hint="eastAsia" w:ascii="仿宋" w:hAnsi="仿宋" w:eastAsia="仿宋"/>
          <w:highlight w:val="none"/>
        </w:rPr>
        <w:t>。有内置打印机，能在设备上直接把报警结果和谱图打印出来作为后续调查的证据。</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1.3.5具有待机模式，以减少主要部件的磨损。</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1.3.6采样方式:表面擦拭取样。</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1.3.7*采样试纸：应为高聚物或可降解物质，环保耐用，为方便今后的大量使用，采样试纸成本应尽量低。</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1.3.8工作环境：-5 ℃到+45℃，IP20 防护级别。</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1.4软件升级：</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生产厂家应承诺提供设备数据通讯接口，开放通信协议，并承诺负责系统软件终身免费升级，设备寿命期内免费扩展被检爆炸物数据库。通过简单操作可将新发现的炸药输入并存储到检测物质数据库中，增加可检测到的物质。</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1.5操作界面应显示中文。</w:t>
      </w:r>
    </w:p>
    <w:p>
      <w:pPr>
        <w:snapToGrid w:val="0"/>
        <w:spacing w:line="360" w:lineRule="auto"/>
        <w:rPr>
          <w:rFonts w:ascii="仿宋" w:hAnsi="仿宋" w:eastAsia="仿宋"/>
          <w:b/>
          <w:bCs/>
          <w:szCs w:val="21"/>
          <w:highlight w:val="none"/>
        </w:rPr>
      </w:pPr>
      <w:r>
        <w:rPr>
          <w:rFonts w:hint="eastAsia" w:ascii="仿宋" w:hAnsi="仿宋" w:eastAsia="仿宋"/>
          <w:b/>
          <w:bCs/>
          <w:szCs w:val="21"/>
          <w:highlight w:val="none"/>
        </w:rPr>
        <w:t>特别说明：</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1、投标人应对根据招标文件要</w:t>
      </w:r>
      <w:r>
        <w:rPr>
          <w:rFonts w:hint="eastAsia" w:ascii="仿宋" w:hAnsi="仿宋" w:eastAsia="仿宋"/>
          <w:highlight w:val="none"/>
          <w:u w:val="single"/>
        </w:rPr>
        <w:t>求对本技术规格作一对一应答</w:t>
      </w:r>
      <w:r>
        <w:rPr>
          <w:rFonts w:hint="eastAsia" w:ascii="仿宋" w:hAnsi="仿宋" w:eastAsia="仿宋"/>
          <w:highlight w:val="none"/>
        </w:rPr>
        <w:t>，应答要有具体内容，否则，评标委员会有权将该条将视作不响应本技术规格。</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2、标注“*”号的为关键条款，对这些关键条款的任何偏离将导致废标。</w:t>
      </w:r>
    </w:p>
    <w:p>
      <w:pPr>
        <w:adjustRightInd w:val="0"/>
        <w:snapToGrid w:val="0"/>
        <w:spacing w:line="360" w:lineRule="auto"/>
        <w:ind w:firstLine="480" w:firstLineChars="200"/>
        <w:rPr>
          <w:rFonts w:ascii="仿宋" w:hAnsi="仿宋" w:eastAsia="仿宋"/>
          <w:highlight w:val="none"/>
        </w:rPr>
      </w:pPr>
      <w:r>
        <w:rPr>
          <w:rFonts w:hint="eastAsia" w:ascii="仿宋" w:hAnsi="仿宋" w:eastAsia="仿宋"/>
          <w:highlight w:val="none"/>
        </w:rPr>
        <w:t>3、对本技术规格的响应做到真实、准确，如发现有弄虚作假等内容，将导致废标。</w:t>
      </w:r>
    </w:p>
    <w:p>
      <w:pPr>
        <w:pStyle w:val="142"/>
        <w:spacing w:line="240" w:lineRule="atLeast"/>
        <w:ind w:left="992" w:firstLine="0" w:firstLineChars="0"/>
        <w:rPr>
          <w:rFonts w:asciiTheme="minorEastAsia" w:hAnsiTheme="minorEastAsia"/>
          <w:szCs w:val="21"/>
          <w:highlight w:val="none"/>
        </w:rPr>
      </w:pPr>
      <w:r>
        <w:rPr>
          <w:rFonts w:hint="eastAsia" w:ascii="仿宋" w:hAnsi="仿宋" w:eastAsia="仿宋"/>
          <w:highlight w:val="none"/>
        </w:rPr>
        <w:t>4、如有技术偏离，投标人必须在技术规格偏离表中注明，如不填写技术规格偏离表表示对招标文件要求无偏离。</w:t>
      </w:r>
      <w:bookmarkEnd w:id="375"/>
      <w:bookmarkEnd w:id="376"/>
      <w:bookmarkEnd w:id="377"/>
    </w:p>
    <w:p>
      <w:pPr>
        <w:pStyle w:val="51"/>
        <w:rPr>
          <w:highlight w:val="none"/>
        </w:rPr>
      </w:pPr>
      <w:bookmarkStart w:id="383" w:name="_Toc321925454"/>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r>
        <w:rPr>
          <w:rFonts w:hint="eastAsia"/>
          <w:highlight w:val="none"/>
        </w:rPr>
        <w:t xml:space="preserve">第四章  </w:t>
      </w:r>
      <w:r>
        <w:rPr>
          <w:highlight w:val="none"/>
        </w:rPr>
        <w:t>合同条款</w:t>
      </w:r>
      <w:bookmarkEnd w:id="383"/>
    </w:p>
    <w:p>
      <w:pPr>
        <w:spacing w:line="560" w:lineRule="exact"/>
        <w:ind w:firstLine="883" w:firstLineChars="200"/>
        <w:jc w:val="center"/>
        <w:rPr>
          <w:rFonts w:ascii="方正小标宋简体" w:hAnsi="仿宋" w:eastAsia="方正小标宋简体"/>
          <w:b/>
          <w:sz w:val="44"/>
          <w:szCs w:val="44"/>
          <w:highlight w:val="none"/>
        </w:rPr>
      </w:pPr>
      <w:r>
        <w:rPr>
          <w:rFonts w:hint="eastAsia" w:ascii="方正小标宋简体" w:hAnsi="仿宋" w:eastAsia="方正小标宋简体"/>
          <w:b/>
          <w:sz w:val="44"/>
          <w:szCs w:val="44"/>
          <w:highlight w:val="none"/>
        </w:rPr>
        <w:t>杭州萧山国际机场【台式爆炸物、毒品探测设备】采购合同</w:t>
      </w:r>
    </w:p>
    <w:p>
      <w:pPr>
        <w:spacing w:line="560" w:lineRule="exact"/>
        <w:ind w:firstLine="562" w:firstLineChars="200"/>
        <w:jc w:val="center"/>
        <w:rPr>
          <w:rFonts w:ascii="仿宋_GB2312" w:hAnsi="仿宋" w:eastAsia="仿宋_GB2312"/>
          <w:b/>
          <w:sz w:val="28"/>
          <w:szCs w:val="28"/>
          <w:highlight w:val="none"/>
        </w:rPr>
      </w:pPr>
    </w:p>
    <w:p>
      <w:pPr>
        <w:spacing w:line="560" w:lineRule="exact"/>
        <w:ind w:firstLine="562" w:firstLineChars="200"/>
        <w:jc w:val="center"/>
        <w:rPr>
          <w:rFonts w:ascii="仿宋_GB2312" w:hAnsi="仿宋" w:eastAsia="仿宋_GB2312"/>
          <w:b/>
          <w:sz w:val="28"/>
          <w:szCs w:val="28"/>
          <w:highlight w:val="none"/>
        </w:rPr>
      </w:pP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甲方：杭州萧山国际机场有限公司</w:t>
      </w: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住所地：杭州萧山国际机场内</w:t>
      </w:r>
    </w:p>
    <w:p>
      <w:pPr>
        <w:adjustRightInd w:val="0"/>
        <w:snapToGrid w:val="0"/>
        <w:spacing w:line="560" w:lineRule="exact"/>
        <w:rPr>
          <w:rFonts w:ascii="仿宋_GB2312" w:hAnsi="仿宋" w:eastAsia="仿宋_GB2312"/>
          <w:b/>
          <w:sz w:val="28"/>
          <w:szCs w:val="28"/>
          <w:highlight w:val="none"/>
        </w:rPr>
      </w:pPr>
    </w:p>
    <w:p>
      <w:pPr>
        <w:adjustRightInd w:val="0"/>
        <w:snapToGrid w:val="0"/>
        <w:spacing w:line="560" w:lineRule="exact"/>
        <w:ind w:firstLine="452"/>
        <w:rPr>
          <w:rFonts w:ascii="仿宋_GB2312" w:hAnsi="仿宋" w:eastAsia="仿宋_GB2312"/>
          <w:b/>
          <w:sz w:val="28"/>
          <w:szCs w:val="28"/>
          <w:highlight w:val="none"/>
        </w:rPr>
      </w:pPr>
      <w:r>
        <w:rPr>
          <w:rFonts w:hint="eastAsia" w:ascii="仿宋_GB2312" w:hAnsi="仿宋" w:eastAsia="仿宋_GB2312"/>
          <w:b/>
          <w:sz w:val="28"/>
          <w:szCs w:val="28"/>
          <w:highlight w:val="none"/>
        </w:rPr>
        <w:t>乙方:</w:t>
      </w:r>
    </w:p>
    <w:p>
      <w:pPr>
        <w:adjustRightInd w:val="0"/>
        <w:snapToGrid w:val="0"/>
        <w:spacing w:line="560" w:lineRule="exact"/>
        <w:ind w:firstLine="452"/>
        <w:rPr>
          <w:rFonts w:ascii="仿宋_GB2312" w:hAnsi="仿宋" w:eastAsia="仿宋_GB2312"/>
          <w:sz w:val="28"/>
          <w:szCs w:val="28"/>
          <w:highlight w:val="none"/>
        </w:rPr>
      </w:pPr>
      <w:r>
        <w:rPr>
          <w:rFonts w:hint="eastAsia" w:ascii="仿宋_GB2312" w:hAnsi="仿宋" w:eastAsia="仿宋_GB2312"/>
          <w:b/>
          <w:sz w:val="28"/>
          <w:szCs w:val="28"/>
          <w:highlight w:val="none"/>
        </w:rPr>
        <w:t>住所地:</w:t>
      </w:r>
    </w:p>
    <w:p>
      <w:pPr>
        <w:adjustRightInd w:val="0"/>
        <w:snapToGrid w:val="0"/>
        <w:spacing w:line="560" w:lineRule="exact"/>
        <w:ind w:firstLine="450"/>
        <w:rPr>
          <w:rFonts w:ascii="仿宋_GB2312" w:hAnsi="仿宋" w:eastAsia="仿宋_GB2312"/>
          <w:sz w:val="28"/>
          <w:szCs w:val="28"/>
          <w:highlight w:val="none"/>
        </w:rPr>
      </w:pP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highlight w:val="none"/>
        </w:rPr>
      </w:pPr>
      <w:r>
        <w:rPr>
          <w:rFonts w:hint="eastAsia" w:ascii="仿宋_GB2312" w:hAnsi="宋体" w:eastAsia="仿宋_GB2312"/>
          <w:b/>
          <w:bCs/>
          <w:sz w:val="28"/>
          <w:szCs w:val="28"/>
          <w:highlight w:val="none"/>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序号</w:t>
            </w:r>
          </w:p>
        </w:tc>
        <w:tc>
          <w:tcPr>
            <w:tcW w:w="1559"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产品名称</w:t>
            </w:r>
          </w:p>
        </w:tc>
        <w:tc>
          <w:tcPr>
            <w:tcW w:w="182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品牌型号</w:t>
            </w:r>
          </w:p>
        </w:tc>
        <w:tc>
          <w:tcPr>
            <w:tcW w:w="215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单位</w:t>
            </w:r>
          </w:p>
        </w:tc>
        <w:tc>
          <w:tcPr>
            <w:tcW w:w="1180"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数量</w:t>
            </w:r>
          </w:p>
        </w:tc>
        <w:tc>
          <w:tcPr>
            <w:tcW w:w="1134"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单价</w:t>
            </w:r>
          </w:p>
        </w:tc>
        <w:tc>
          <w:tcPr>
            <w:tcW w:w="1476" w:type="dxa"/>
            <w:vAlign w:val="center"/>
          </w:tcPr>
          <w:p>
            <w:pPr>
              <w:pStyle w:val="132"/>
              <w:spacing w:line="560" w:lineRule="exact"/>
              <w:jc w:val="center"/>
              <w:rPr>
                <w:rFonts w:ascii="仿宋_GB2312" w:eastAsia="仿宋_GB2312"/>
                <w:b/>
                <w:sz w:val="28"/>
                <w:szCs w:val="28"/>
                <w:highlight w:val="none"/>
              </w:rPr>
            </w:pPr>
            <w:r>
              <w:rPr>
                <w:rFonts w:hint="eastAsia" w:ascii="仿宋_GB2312" w:eastAsia="仿宋_GB2312"/>
                <w:b/>
                <w:sz w:val="28"/>
                <w:szCs w:val="28"/>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8"/>
                <w:szCs w:val="28"/>
                <w:highlight w:val="none"/>
              </w:rPr>
            </w:pPr>
          </w:p>
        </w:tc>
        <w:tc>
          <w:tcPr>
            <w:tcW w:w="1559" w:type="dxa"/>
            <w:vAlign w:val="center"/>
          </w:tcPr>
          <w:p>
            <w:pPr>
              <w:pStyle w:val="132"/>
              <w:spacing w:line="560" w:lineRule="exact"/>
              <w:jc w:val="center"/>
              <w:rPr>
                <w:rFonts w:ascii="仿宋_GB2312" w:eastAsia="仿宋_GB2312"/>
                <w:sz w:val="28"/>
                <w:szCs w:val="28"/>
                <w:highlight w:val="none"/>
              </w:rPr>
            </w:pPr>
          </w:p>
        </w:tc>
        <w:tc>
          <w:tcPr>
            <w:tcW w:w="1820" w:type="dxa"/>
            <w:vAlign w:val="center"/>
          </w:tcPr>
          <w:p>
            <w:pPr>
              <w:pStyle w:val="132"/>
              <w:spacing w:line="560" w:lineRule="exact"/>
              <w:jc w:val="center"/>
              <w:rPr>
                <w:rFonts w:ascii="仿宋_GB2312" w:hAnsi="宋体" w:eastAsia="仿宋_GB2312"/>
                <w:sz w:val="28"/>
                <w:szCs w:val="28"/>
                <w:highlight w:val="none"/>
              </w:rPr>
            </w:pPr>
          </w:p>
        </w:tc>
        <w:tc>
          <w:tcPr>
            <w:tcW w:w="2150" w:type="dxa"/>
            <w:vAlign w:val="center"/>
          </w:tcPr>
          <w:p>
            <w:pPr>
              <w:pStyle w:val="132"/>
              <w:spacing w:line="560" w:lineRule="exact"/>
              <w:jc w:val="center"/>
              <w:rPr>
                <w:rFonts w:ascii="仿宋_GB2312" w:eastAsia="仿宋_GB2312"/>
                <w:sz w:val="28"/>
                <w:szCs w:val="28"/>
                <w:highlight w:val="none"/>
              </w:rPr>
            </w:pPr>
          </w:p>
        </w:tc>
        <w:tc>
          <w:tcPr>
            <w:tcW w:w="1180" w:type="dxa"/>
            <w:vAlign w:val="center"/>
          </w:tcPr>
          <w:p>
            <w:pPr>
              <w:pStyle w:val="132"/>
              <w:spacing w:line="560" w:lineRule="exact"/>
              <w:ind w:firstLine="140" w:firstLineChars="50"/>
              <w:jc w:val="center"/>
              <w:rPr>
                <w:rFonts w:ascii="仿宋_GB2312" w:eastAsia="仿宋_GB2312"/>
                <w:sz w:val="28"/>
                <w:szCs w:val="28"/>
                <w:highlight w:val="none"/>
              </w:rPr>
            </w:pPr>
          </w:p>
        </w:tc>
        <w:tc>
          <w:tcPr>
            <w:tcW w:w="1134" w:type="dxa"/>
            <w:vAlign w:val="center"/>
          </w:tcPr>
          <w:p>
            <w:pPr>
              <w:pStyle w:val="132"/>
              <w:spacing w:line="560" w:lineRule="exact"/>
              <w:jc w:val="center"/>
              <w:rPr>
                <w:rFonts w:ascii="仿宋_GB2312" w:eastAsia="仿宋_GB2312"/>
                <w:sz w:val="28"/>
                <w:szCs w:val="28"/>
                <w:highlight w:val="none"/>
              </w:rPr>
            </w:pPr>
          </w:p>
        </w:tc>
        <w:tc>
          <w:tcPr>
            <w:tcW w:w="1476" w:type="dxa"/>
            <w:vAlign w:val="center"/>
          </w:tcPr>
          <w:p>
            <w:pPr>
              <w:pStyle w:val="132"/>
              <w:spacing w:line="560" w:lineRule="exact"/>
              <w:ind w:firstLine="140" w:firstLineChars="50"/>
              <w:rPr>
                <w:rFonts w:ascii="仿宋_GB2312"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合计</w:t>
            </w:r>
          </w:p>
        </w:tc>
        <w:tc>
          <w:tcPr>
            <w:tcW w:w="9319" w:type="dxa"/>
            <w:gridSpan w:val="6"/>
          </w:tcPr>
          <w:p>
            <w:pPr>
              <w:pStyle w:val="132"/>
              <w:spacing w:line="560" w:lineRule="exact"/>
              <w:jc w:val="right"/>
              <w:rPr>
                <w:rFonts w:ascii="仿宋_GB2312" w:eastAsia="仿宋_GB2312"/>
                <w:sz w:val="28"/>
                <w:szCs w:val="28"/>
                <w:highlight w:val="none"/>
              </w:rPr>
            </w:pPr>
          </w:p>
        </w:tc>
      </w:tr>
    </w:tbl>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备注：1、</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 xml:space="preserve">      2、</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二、合同金额</w:t>
      </w:r>
    </w:p>
    <w:p>
      <w:pPr>
        <w:spacing w:line="560" w:lineRule="exact"/>
        <w:ind w:firstLine="538" w:firstLineChars="192"/>
        <w:rPr>
          <w:rFonts w:ascii="仿宋_GB2312" w:hAnsi="仿宋" w:eastAsia="仿宋_GB2312"/>
          <w:sz w:val="28"/>
          <w:szCs w:val="28"/>
          <w:highlight w:val="none"/>
        </w:rPr>
      </w:pPr>
      <w:r>
        <w:rPr>
          <w:rFonts w:hint="eastAsia" w:ascii="仿宋_GB2312" w:hAnsi="仿宋" w:eastAsia="仿宋_GB2312"/>
          <w:sz w:val="28"/>
          <w:szCs w:val="28"/>
          <w:highlight w:val="none"/>
        </w:rPr>
        <w:t>本合同金额为固定总价合同，合同金额为（大写）：人民币    ，（小写）</w:t>
      </w:r>
      <w:r>
        <w:rPr>
          <w:rFonts w:hint="eastAsia" w:ascii="仿宋_GB2312" w:hAnsi="Arial" w:eastAsia="仿宋_GB2312" w:cs="Arial"/>
          <w:sz w:val="28"/>
          <w:szCs w:val="28"/>
          <w:highlight w:val="none"/>
        </w:rPr>
        <w:t xml:space="preserve">¥       </w:t>
      </w:r>
      <w:r>
        <w:rPr>
          <w:rFonts w:hint="eastAsia" w:ascii="仿宋_GB2312" w:hAnsi="仿宋" w:eastAsia="仿宋_GB2312"/>
          <w:sz w:val="28"/>
          <w:szCs w:val="28"/>
          <w:highlight w:val="none"/>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highlight w:val="none"/>
        </w:rPr>
      </w:pPr>
      <w:r>
        <w:rPr>
          <w:rFonts w:hint="eastAsia" w:ascii="仿宋_GB2312" w:hAnsi="仿宋" w:eastAsia="仿宋_GB2312"/>
          <w:sz w:val="28"/>
          <w:szCs w:val="28"/>
          <w:highlight w:val="non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三、技术资料</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highlight w:val="none"/>
        </w:rPr>
      </w:pPr>
      <w:r>
        <w:rPr>
          <w:rFonts w:hint="eastAsia" w:ascii="仿宋_GB2312" w:hAnsi="仿宋" w:eastAsia="仿宋_GB2312"/>
          <w:b/>
          <w:sz w:val="28"/>
          <w:szCs w:val="28"/>
          <w:highlight w:val="none"/>
        </w:rPr>
        <w:t>2.</w:t>
      </w:r>
      <w:r>
        <w:rPr>
          <w:rFonts w:hint="eastAsia" w:ascii="仿宋_GB2312" w:hAnsi="仿宋" w:eastAsia="仿宋_GB2312"/>
          <w:sz w:val="28"/>
          <w:szCs w:val="28"/>
          <w:highlight w:val="none"/>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四、知识产权</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五、产权担保</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六、转包或分包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2.如有未经甲方书面同意的转让和分包行为，甲方有权解除合同，并有权要求乙方承担合同总金额</w:t>
      </w:r>
      <w:r>
        <w:rPr>
          <w:rFonts w:hint="eastAsia" w:ascii="仿宋_GB2312" w:hAnsi="仿宋" w:eastAsia="仿宋_GB2312"/>
          <w:sz w:val="28"/>
          <w:szCs w:val="28"/>
          <w:highlight w:val="none"/>
        </w:rPr>
        <w:t>【10】</w:t>
      </w:r>
      <w:r>
        <w:rPr>
          <w:rFonts w:hint="eastAsia" w:ascii="仿宋_GB2312" w:hAnsi="仿宋" w:eastAsia="仿宋_GB2312"/>
          <w:sz w:val="28"/>
          <w:szCs w:val="28"/>
          <w:highlight w:val="none"/>
        </w:rPr>
        <w:t>%的违约金。</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七、产品包装、发运及运输</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八、交货期、交货方式及交货地点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交货期：</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交货方式：</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交货地点：杭州萧山国际机场内</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九、安装与验收</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1.</w:t>
      </w:r>
      <w:r>
        <w:rPr>
          <w:rFonts w:hint="eastAsia" w:ascii="仿宋_GB2312" w:hAnsi="宋体" w:eastAsia="仿宋_GB2312"/>
          <w:sz w:val="28"/>
          <w:szCs w:val="28"/>
          <w:highlight w:val="none"/>
        </w:rPr>
        <w:t>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2.</w:t>
      </w:r>
      <w:r>
        <w:rPr>
          <w:rFonts w:hint="eastAsia" w:ascii="仿宋_GB2312" w:hAnsi="宋体" w:eastAsia="仿宋_GB2312"/>
          <w:sz w:val="28"/>
          <w:szCs w:val="28"/>
          <w:highlight w:val="none"/>
        </w:rPr>
        <w:t>乙方交货前应对产品作出全面检查和对验收文件进行整理，并列出清单，作为甲方收货验收和使用的技术条件依据，乙方检验的结果应随货物交甲方。</w:t>
      </w:r>
    </w:p>
    <w:p>
      <w:pPr>
        <w:pStyle w:val="145"/>
        <w:adjustRightInd w:val="0"/>
        <w:snapToGrid w:val="0"/>
        <w:spacing w:line="560" w:lineRule="exact"/>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3.</w:t>
      </w:r>
      <w:r>
        <w:rPr>
          <w:rFonts w:hint="eastAsia" w:ascii="仿宋_GB2312" w:hAnsi="宋体" w:eastAsia="仿宋_GB2312"/>
          <w:sz w:val="28"/>
          <w:szCs w:val="28"/>
          <w:highlight w:val="none"/>
        </w:rPr>
        <w:t>乙方应当在收到甲方前述第1款异议之日起【30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5"/>
        <w:adjustRightInd w:val="0"/>
        <w:snapToGrid w:val="0"/>
        <w:spacing w:line="56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4.具体的安装要求：</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4.1、乙方应负责中标系统和设备安装</w:t>
      </w:r>
      <w:r>
        <w:rPr>
          <w:rFonts w:ascii="仿宋_GB2312" w:hAnsi="仿宋" w:eastAsia="仿宋_GB2312"/>
          <w:sz w:val="28"/>
          <w:szCs w:val="28"/>
          <w:highlight w:val="none"/>
        </w:rPr>
        <w:t>,</w:t>
      </w:r>
      <w:r>
        <w:rPr>
          <w:rFonts w:hint="eastAsia" w:ascii="仿宋_GB2312" w:hAnsi="仿宋" w:eastAsia="仿宋_GB2312"/>
          <w:sz w:val="28"/>
          <w:szCs w:val="28"/>
          <w:highlight w:val="none"/>
        </w:rPr>
        <w:t>并负责调试及试运行等工作，直至系统和设备以及整个工程验收合格。</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4.2、设备的每个部分须考虑防火、防过压、防潮、耐用、防漏电、容易清洁及日常维修。</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4.3、在设备安装前</w:t>
      </w:r>
      <w:r>
        <w:rPr>
          <w:rFonts w:ascii="仿宋_GB2312" w:hAnsi="仿宋" w:eastAsia="仿宋_GB2312"/>
          <w:sz w:val="28"/>
          <w:szCs w:val="28"/>
          <w:highlight w:val="none"/>
        </w:rPr>
        <w:t>,</w:t>
      </w:r>
      <w:r>
        <w:rPr>
          <w:rFonts w:hint="eastAsia" w:ascii="仿宋_GB2312" w:hAnsi="仿宋" w:eastAsia="仿宋_GB2312"/>
          <w:sz w:val="28"/>
          <w:szCs w:val="28"/>
          <w:highlight w:val="none"/>
        </w:rPr>
        <w:t>乙方应对设备安装处的土建基础尺寸进行检查</w:t>
      </w:r>
      <w:r>
        <w:rPr>
          <w:rFonts w:ascii="仿宋_GB2312" w:hAnsi="仿宋" w:eastAsia="仿宋_GB2312"/>
          <w:sz w:val="28"/>
          <w:szCs w:val="28"/>
          <w:highlight w:val="none"/>
        </w:rPr>
        <w:t>,</w:t>
      </w:r>
      <w:r>
        <w:rPr>
          <w:rFonts w:hint="eastAsia" w:ascii="仿宋_GB2312" w:hAnsi="仿宋" w:eastAsia="仿宋_GB2312"/>
          <w:sz w:val="28"/>
          <w:szCs w:val="28"/>
          <w:highlight w:val="none"/>
        </w:rPr>
        <w:t>由于投标人变动安装条件引起的费用应由乙方负担。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4.4、乙方必须定期参加现场会议</w:t>
      </w:r>
      <w:r>
        <w:rPr>
          <w:rFonts w:ascii="仿宋_GB2312" w:hAnsi="仿宋" w:eastAsia="仿宋_GB2312"/>
          <w:sz w:val="28"/>
          <w:szCs w:val="28"/>
          <w:highlight w:val="none"/>
        </w:rPr>
        <w:t>,</w:t>
      </w:r>
      <w:r>
        <w:rPr>
          <w:rFonts w:hint="eastAsia" w:ascii="仿宋_GB2312" w:hAnsi="仿宋" w:eastAsia="仿宋_GB2312"/>
          <w:sz w:val="28"/>
          <w:szCs w:val="28"/>
          <w:highlight w:val="none"/>
        </w:rPr>
        <w:t>配合甲方工作</w:t>
      </w:r>
      <w:r>
        <w:rPr>
          <w:rFonts w:ascii="仿宋_GB2312" w:hAnsi="仿宋" w:eastAsia="仿宋_GB2312"/>
          <w:sz w:val="28"/>
          <w:szCs w:val="28"/>
          <w:highlight w:val="none"/>
        </w:rPr>
        <w:t>,</w:t>
      </w:r>
      <w:r>
        <w:rPr>
          <w:rFonts w:hint="eastAsia" w:ascii="仿宋_GB2312" w:hAnsi="仿宋" w:eastAsia="仿宋_GB2312"/>
          <w:sz w:val="28"/>
          <w:szCs w:val="28"/>
          <w:highlight w:val="none"/>
        </w:rPr>
        <w:t>圆满解决安装、调试、试运行中的所有问题。</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4.5、乙方必须负责提供安装过程中所需的专用工具。</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4.6、工程实施过程中，设备拆装、搬运等需由乙方自行负责，费用由乙方自理。</w:t>
      </w:r>
    </w:p>
    <w:p>
      <w:pPr>
        <w:pStyle w:val="145"/>
        <w:adjustRightInd w:val="0"/>
        <w:snapToGrid w:val="0"/>
        <w:spacing w:line="56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5.具体的验收要求：</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5.1</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招标范围内的设备在最终验收前须取得民航局颁发的使用验收合格证。所需费用由乙方承担。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w:t>
      </w:r>
      <w:r>
        <w:rPr>
          <w:rFonts w:ascii="仿宋_GB2312" w:hAnsi="仿宋" w:eastAsia="仿宋_GB2312"/>
          <w:sz w:val="28"/>
          <w:szCs w:val="28"/>
          <w:highlight w:val="none"/>
        </w:rPr>
        <w:t xml:space="preserve">2 </w:t>
      </w:r>
      <w:r>
        <w:rPr>
          <w:rFonts w:hint="eastAsia" w:ascii="仿宋_GB2312" w:hAnsi="仿宋" w:eastAsia="仿宋_GB2312"/>
          <w:sz w:val="28"/>
          <w:szCs w:val="28"/>
          <w:highlight w:val="none"/>
        </w:rPr>
        <w:t>安装调试完成后，乙方须负责对已完成项目进行自验，自验结束，写出书面申请报告提交招标人。最终的项目验收以甲方验收合格为准。</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十、货款支付</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1、甲乙双方共同根据合同的要求对设备完成安装调试，并进行使用验收且最终项目验收合格后，甲方收到乙方开具的税率为13%的增值税专用发票后15个工作日内，向乙方支付合同总价95%的货款</w:t>
      </w:r>
      <w:r>
        <w:rPr>
          <w:rFonts w:hint="eastAsia" w:ascii="仿宋_GB2312" w:hAnsi="仿宋" w:eastAsia="仿宋_GB2312"/>
          <w:sz w:val="28"/>
          <w:szCs w:val="28"/>
          <w:highlight w:val="none"/>
          <w:u w:val="single"/>
        </w:rPr>
        <w:t xml:space="preserve">¥       元（人民币：                      </w:t>
      </w:r>
      <w:r>
        <w:rPr>
          <w:rFonts w:hint="eastAsia" w:ascii="仿宋_GB2312" w:hAnsi="仿宋" w:eastAsia="仿宋_GB2312"/>
          <w:sz w:val="28"/>
          <w:szCs w:val="28"/>
          <w:highlight w:val="none"/>
        </w:rPr>
        <w:t xml:space="preserve">     </w:t>
      </w:r>
      <w:r>
        <w:rPr>
          <w:rFonts w:hint="eastAsia" w:ascii="仿宋_GB2312" w:hAnsi="仿宋" w:eastAsia="仿宋_GB2312"/>
          <w:sz w:val="28"/>
          <w:szCs w:val="28"/>
          <w:highlight w:val="none"/>
          <w:u w:val="single"/>
        </w:rPr>
        <w:t>元整 ）</w:t>
      </w:r>
      <w:r>
        <w:rPr>
          <w:rFonts w:hint="eastAsia" w:ascii="仿宋_GB2312" w:hAnsi="仿宋" w:eastAsia="仿宋_GB2312"/>
          <w:sz w:val="28"/>
          <w:szCs w:val="28"/>
          <w:highlight w:val="none"/>
        </w:rPr>
        <w:t>。</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2、合同总价的5%合同款</w:t>
      </w:r>
      <w:r>
        <w:rPr>
          <w:rFonts w:hint="eastAsia" w:ascii="仿宋_GB2312" w:hAnsi="仿宋" w:eastAsia="仿宋_GB2312"/>
          <w:sz w:val="28"/>
          <w:szCs w:val="28"/>
          <w:highlight w:val="none"/>
          <w:u w:val="single"/>
        </w:rPr>
        <w:t>¥       元（人民币        元整）</w:t>
      </w:r>
      <w:r>
        <w:rPr>
          <w:rFonts w:hint="eastAsia" w:ascii="仿宋_GB2312" w:hAnsi="仿宋" w:eastAsia="仿宋_GB2312"/>
          <w:sz w:val="28"/>
          <w:szCs w:val="28"/>
          <w:highlight w:val="none"/>
        </w:rPr>
        <w:t>作为质量保证金。待质保期满后，由甲方确认其售后服务质量不存在任何违约情形后，一次性无息支付其质量保证金。</w:t>
      </w:r>
    </w:p>
    <w:p>
      <w:pPr>
        <w:pStyle w:val="49"/>
        <w:spacing w:before="150" w:after="150" w:line="560" w:lineRule="exact"/>
        <w:ind w:firstLine="562" w:firstLineChars="200"/>
        <w:rPr>
          <w:rFonts w:ascii="仿宋_GB2312" w:eastAsia="仿宋_GB2312"/>
          <w:b/>
          <w:color w:val="444444"/>
          <w:sz w:val="28"/>
          <w:szCs w:val="28"/>
          <w:highlight w:val="none"/>
          <w:lang w:val="zh-CN"/>
        </w:rPr>
      </w:pPr>
      <w:r>
        <w:rPr>
          <w:rFonts w:hint="eastAsia" w:ascii="仿宋_GB2312" w:eastAsia="仿宋_GB2312"/>
          <w:b/>
          <w:color w:val="444444"/>
          <w:sz w:val="28"/>
          <w:szCs w:val="28"/>
          <w:highlight w:val="none"/>
        </w:rPr>
        <w:t>十一、</w:t>
      </w:r>
      <w:r>
        <w:rPr>
          <w:rFonts w:hint="eastAsia" w:ascii="仿宋_GB2312" w:eastAsia="仿宋_GB2312"/>
          <w:b/>
          <w:color w:val="444444"/>
          <w:sz w:val="28"/>
          <w:szCs w:val="28"/>
          <w:highlight w:val="none"/>
          <w:lang w:val="zh-CN"/>
        </w:rPr>
        <w:t>履约保证金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1．乙方应在收到甲方中标通知书后【15】日内，向甲方支付合同总价的【10%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十二、免费质保期及服务内容</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2、乙方应为产品提供【36】个月的免费质保期(含工时费和零部件费)，时间自甲方最终签署安装验收合格报告之日起计算。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 乙方提供【7X24】小时售后服务，在接到报修通知后，维修人员应在【24】小时内赶到杭州萧山国际机场，并连续进行维修，直到产品恢复正常。修复部分的质保期自修复之日起重新开始计算。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十三、违约责任</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甲方无故逾期支付货款的,甲方应按逾期付款总额每日【0.1】%向乙方支付违约金。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乙方逾期交付产品和本合同规定的文件资料的，或者未按甲方时间要求完成安装调试并通过甲方终验收的，乙方应按合同总额每日【0.1】%向甲方支付违约金，由甲方从货款中扣除。逾期超过约定日期【15】个工作日的，甲方可解除本合同。乙方因逾期交货或因其他违约行为导致甲方解除合同的，乙方应向甲方支付合同总额</w:t>
      </w:r>
      <w:r>
        <w:rPr>
          <w:rFonts w:hint="eastAsia" w:ascii="仿宋_GB2312" w:hAnsi="仿宋" w:eastAsia="仿宋_GB2312"/>
          <w:sz w:val="28"/>
          <w:szCs w:val="28"/>
          <w:highlight w:val="none"/>
        </w:rPr>
        <w:t>【10%】</w:t>
      </w:r>
      <w:r>
        <w:rPr>
          <w:rFonts w:hint="eastAsia" w:ascii="仿宋_GB2312" w:hAnsi="仿宋" w:eastAsia="仿宋_GB2312"/>
          <w:sz w:val="28"/>
          <w:szCs w:val="28"/>
          <w:highlight w:val="none"/>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十四、不可抗力事件处理</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highlight w:val="none"/>
        </w:rPr>
      </w:pPr>
      <w:r>
        <w:rPr>
          <w:rFonts w:hint="eastAsia" w:ascii="仿宋_GB2312" w:hAnsi="仿宋" w:eastAsia="仿宋_GB2312"/>
          <w:sz w:val="28"/>
          <w:szCs w:val="28"/>
          <w:highlight w:val="none"/>
        </w:rPr>
        <w:t>3. 不可抗力事件延续【30】天以上，双方应通过友好协商，确定是否继续履行合同；协商无法达成一致的，本合同自动终止，双方互不承担赔偿或违约责任。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highlight w:val="none"/>
        </w:rPr>
      </w:pPr>
      <w:r>
        <w:rPr>
          <w:rFonts w:hint="eastAsia" w:ascii="仿宋_GB2312" w:hAnsi="仿宋" w:eastAsia="仿宋_GB2312"/>
          <w:b/>
          <w:sz w:val="28"/>
          <w:szCs w:val="28"/>
          <w:highlight w:val="none"/>
        </w:rPr>
        <w:t>十五、争议解决</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highlight w:val="none"/>
        </w:rPr>
      </w:pPr>
      <w:r>
        <w:rPr>
          <w:rFonts w:hint="eastAsia" w:ascii="仿宋_GB2312" w:hAnsi="仿宋" w:eastAsia="仿宋_GB2312"/>
          <w:b/>
          <w:sz w:val="28"/>
          <w:szCs w:val="28"/>
          <w:highlight w:val="none"/>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1.本合同协议书</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2.中标通知书</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3.投标书及其附件</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4.招标文件</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5.标准、规范及有关技术文件</w:t>
      </w:r>
    </w:p>
    <w:p>
      <w:pPr>
        <w:adjustRightInd w:val="0"/>
        <w:snapToGrid w:val="0"/>
        <w:spacing w:line="560" w:lineRule="exact"/>
        <w:ind w:firstLine="602"/>
        <w:outlineLvl w:val="0"/>
        <w:rPr>
          <w:rFonts w:ascii="仿宋_GB2312" w:hAnsi="仿宋" w:eastAsia="仿宋_GB2312"/>
          <w:b/>
          <w:sz w:val="28"/>
          <w:szCs w:val="28"/>
          <w:highlight w:val="none"/>
        </w:rPr>
      </w:pPr>
      <w:r>
        <w:rPr>
          <w:rFonts w:hint="eastAsia" w:ascii="仿宋_GB2312" w:hAnsi="仿宋" w:eastAsia="仿宋_GB2312"/>
          <w:b/>
          <w:sz w:val="28"/>
          <w:szCs w:val="28"/>
          <w:highlight w:val="none"/>
        </w:rPr>
        <w:t>十七、合同生效及其它</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3.本合同一式陆份，甲执四份，乙方持二份，具有同等法律效力。</w:t>
      </w:r>
    </w:p>
    <w:p>
      <w:pPr>
        <w:tabs>
          <w:tab w:val="right" w:pos="8306"/>
        </w:tabs>
        <w:adjustRightInd w:val="0"/>
        <w:snapToGrid w:val="0"/>
        <w:spacing w:line="560" w:lineRule="exact"/>
        <w:rPr>
          <w:rFonts w:ascii="仿宋_GB2312" w:hAnsi="仿宋" w:eastAsia="仿宋_GB2312"/>
          <w:sz w:val="28"/>
          <w:szCs w:val="28"/>
          <w:highlight w:val="none"/>
        </w:rPr>
        <w:sectPr>
          <w:pgSz w:w="11906" w:h="16838"/>
          <w:pgMar w:top="1134" w:right="1247" w:bottom="1134" w:left="1247" w:header="851" w:footer="992" w:gutter="0"/>
          <w:pgNumType w:fmt="numberInDash"/>
          <w:cols w:space="720" w:num="1"/>
          <w:docGrid w:linePitch="312" w:charSpace="0"/>
        </w:sectPr>
      </w:pPr>
    </w:p>
    <w:p>
      <w:pPr>
        <w:tabs>
          <w:tab w:val="right" w:pos="8306"/>
        </w:tabs>
        <w:adjustRightInd w:val="0"/>
        <w:snapToGrid w:val="0"/>
        <w:spacing w:line="560" w:lineRule="exact"/>
        <w:rPr>
          <w:rFonts w:ascii="仿宋_GB2312" w:hAnsi="仿宋" w:eastAsia="仿宋_GB2312"/>
          <w:sz w:val="28"/>
          <w:szCs w:val="28"/>
          <w:highlight w:val="none"/>
        </w:rPr>
      </w:pP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（以下为签署页）</w:t>
      </w:r>
    </w:p>
    <w:p>
      <w:pPr>
        <w:tabs>
          <w:tab w:val="right" w:pos="8306"/>
        </w:tabs>
        <w:adjustRightInd w:val="0"/>
        <w:snapToGrid w:val="0"/>
        <w:spacing w:line="560" w:lineRule="exact"/>
        <w:rPr>
          <w:rFonts w:ascii="仿宋_GB2312" w:hAnsi="仿宋" w:eastAsia="仿宋_GB2312"/>
          <w:sz w:val="28"/>
          <w:szCs w:val="28"/>
          <w:highlight w:val="none"/>
        </w:rPr>
      </w:pPr>
    </w:p>
    <w:p>
      <w:pPr>
        <w:tabs>
          <w:tab w:val="right" w:pos="8306"/>
        </w:tabs>
        <w:adjustRightInd w:val="0"/>
        <w:snapToGrid w:val="0"/>
        <w:spacing w:line="56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ab/>
      </w:r>
    </w:p>
    <w:p>
      <w:pPr>
        <w:adjustRightInd w:val="0"/>
        <w:snapToGrid w:val="0"/>
        <w:spacing w:line="560" w:lineRule="exact"/>
        <w:ind w:left="4480" w:hanging="4480" w:hangingChars="1600"/>
        <w:rPr>
          <w:rFonts w:ascii="仿宋_GB2312" w:hAnsi="仿宋" w:eastAsia="仿宋_GB2312"/>
          <w:sz w:val="28"/>
          <w:szCs w:val="28"/>
          <w:highlight w:val="none"/>
        </w:rPr>
      </w:pPr>
      <w:r>
        <w:rPr>
          <w:rFonts w:hint="eastAsia" w:ascii="仿宋_GB2312" w:hAnsi="仿宋" w:eastAsia="仿宋_GB2312"/>
          <w:sz w:val="28"/>
          <w:szCs w:val="28"/>
          <w:highlight w:val="none"/>
        </w:rPr>
        <w:t>甲方：杭州萧山国际机场有限公司  乙方：</w:t>
      </w:r>
    </w:p>
    <w:p>
      <w:pPr>
        <w:adjustRightInd w:val="0"/>
        <w:snapToGrid w:val="0"/>
        <w:spacing w:line="560" w:lineRule="exact"/>
        <w:ind w:left="6750" w:hanging="6750"/>
        <w:rPr>
          <w:rFonts w:ascii="仿宋_GB2312" w:hAnsi="仿宋" w:eastAsia="仿宋_GB2312"/>
          <w:sz w:val="28"/>
          <w:szCs w:val="28"/>
          <w:highlight w:val="none"/>
        </w:rPr>
      </w:pPr>
      <w:r>
        <w:rPr>
          <w:rFonts w:hint="eastAsia" w:ascii="仿宋_GB2312" w:hAnsi="仿宋" w:eastAsia="仿宋_GB2312"/>
          <w:sz w:val="28"/>
          <w:szCs w:val="28"/>
          <w:highlight w:val="none"/>
        </w:rPr>
        <w:t>地址：杭州萧山国际机场内        地址：</w:t>
      </w:r>
    </w:p>
    <w:p>
      <w:pPr>
        <w:adjustRightInd w:val="0"/>
        <w:snapToGrid w:val="0"/>
        <w:spacing w:line="560" w:lineRule="exact"/>
        <w:ind w:left="6750" w:hanging="6750"/>
        <w:rPr>
          <w:rFonts w:ascii="仿宋_GB2312" w:hAnsi="仿宋" w:eastAsia="仿宋_GB2312"/>
          <w:sz w:val="28"/>
          <w:szCs w:val="28"/>
          <w:highlight w:val="none"/>
        </w:rPr>
      </w:pP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法定代表人：                     法定代表人：</w:t>
      </w: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或                               或</w:t>
      </w:r>
    </w:p>
    <w:p>
      <w:pPr>
        <w:adjustRightInd w:val="0"/>
        <w:snapToGrid w:val="0"/>
        <w:spacing w:line="560" w:lineRule="exact"/>
        <w:rPr>
          <w:rFonts w:ascii="仿宋_GB2312" w:hAnsi="仿宋" w:eastAsia="仿宋_GB2312"/>
          <w:sz w:val="28"/>
          <w:szCs w:val="28"/>
          <w:highlight w:val="none"/>
        </w:rPr>
      </w:pPr>
      <w:r>
        <w:rPr>
          <w:rFonts w:hint="eastAsia" w:ascii="仿宋_GB2312" w:hAnsi="仿宋" w:eastAsia="仿宋_GB2312"/>
          <w:sz w:val="28"/>
          <w:szCs w:val="28"/>
          <w:highlight w:val="none"/>
        </w:rPr>
        <w:t>授权代表：                       授权代表：</w:t>
      </w:r>
    </w:p>
    <w:p>
      <w:pPr>
        <w:adjustRightInd w:val="0"/>
        <w:snapToGrid w:val="0"/>
        <w:spacing w:line="560" w:lineRule="exact"/>
        <w:rPr>
          <w:rFonts w:ascii="仿宋_GB2312" w:hAnsi="仿宋" w:eastAsia="仿宋_GB2312"/>
          <w:b/>
          <w:sz w:val="28"/>
          <w:szCs w:val="28"/>
          <w:highlight w:val="none"/>
        </w:rPr>
      </w:pPr>
      <w:r>
        <w:rPr>
          <w:rFonts w:hint="eastAsia" w:ascii="仿宋_GB2312" w:hAnsi="仿宋" w:eastAsia="仿宋_GB2312"/>
          <w:sz w:val="28"/>
          <w:szCs w:val="28"/>
          <w:highlight w:val="none"/>
        </w:rPr>
        <w:t xml:space="preserve">签字日期：                       签字日期： </w:t>
      </w:r>
    </w:p>
    <w:p>
      <w:pPr>
        <w:adjustRightInd w:val="0"/>
        <w:snapToGrid w:val="0"/>
        <w:spacing w:line="560" w:lineRule="exact"/>
        <w:ind w:firstLine="560" w:firstLineChars="200"/>
        <w:rPr>
          <w:rFonts w:ascii="仿宋_GB2312" w:hAnsi="仿宋" w:eastAsia="仿宋_GB2312"/>
          <w:b/>
          <w:sz w:val="28"/>
          <w:szCs w:val="28"/>
          <w:highlight w:val="none"/>
        </w:rPr>
      </w:pPr>
      <w:r>
        <w:rPr>
          <w:rFonts w:hint="eastAsia" w:ascii="仿宋_GB2312" w:hAnsi="仿宋" w:eastAsia="仿宋_GB2312"/>
          <w:sz w:val="28"/>
          <w:szCs w:val="28"/>
          <w:highlight w:val="none"/>
        </w:rPr>
        <w:t>年  月  日                      年  月  日</w:t>
      </w:r>
    </w:p>
    <w:p>
      <w:pPr>
        <w:spacing w:line="560" w:lineRule="exact"/>
        <w:ind w:firstLine="560" w:firstLineChars="200"/>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spacing w:line="560" w:lineRule="exact"/>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r>
        <w:rPr>
          <w:rFonts w:hint="eastAsia" w:ascii="仿宋_GB2312" w:eastAsia="仿宋_GB2312"/>
          <w:sz w:val="28"/>
          <w:szCs w:val="28"/>
          <w:highlight w:val="none"/>
        </w:rPr>
        <w:t>附件1：</w:t>
      </w:r>
    </w:p>
    <w:p>
      <w:pPr>
        <w:pStyle w:val="123"/>
        <w:spacing w:line="360" w:lineRule="exact"/>
        <w:ind w:firstLine="56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杭州萧山国际机场有限公司廉洁自律承诺书</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杭州萧山国际机场有限公司：</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我单位响应贵公司项目招标要求，参加项目投标。在投标过程中及中标后，我们将严格遵守国家法律法规和贵司招标文件要求，并郑重作出如下承诺和保证：</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二、不以任何名义为贵公司有关人员或项目第三方人员报销应由贵公司或个人支付的费用；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三、不向贵公司有关人员或项目第三方人员提供宴请、旅游、和健身娱乐等活动；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四、不为贵公司有关人员或项目第三方人员出国（境）、旅游等提供方便；</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五、不为贵公司有关人员或项目第三方人员个人装修住房、婚丧嫁娶、配偶子女工作安排等提供好处或便利条件；</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六、严格遵守国家招标投标法、合同法等法律规定，诚实守信，合法经营，坚决杜绝各种违法违纪行为。</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八、如违反上述廉洁自律承诺，贵公司有权：</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（1）立即取消我单位投标、中标或在建项目的实施资格；</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（2）扣除我方向贵公司缴纳的履约保证金的10%作为违反廉洁自律承诺的违约金。如该违约金不足以弥补贵公司损失的，我单位仍将承担实际损失赔偿责任。</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（3）拒绝我单位在一定时期内进入贵公司进行项目建设或其它经营活动；</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（4）由此引起的相应损失均由我单位承担。</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0" w:firstLineChars="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承诺人单位名称（盖章）：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法定代表人 ：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或                            </w:t>
      </w: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委托代理人：                   </w:t>
      </w:r>
    </w:p>
    <w:p>
      <w:pPr>
        <w:pStyle w:val="123"/>
        <w:spacing w:line="360" w:lineRule="exact"/>
        <w:ind w:firstLine="560"/>
        <w:rPr>
          <w:rFonts w:ascii="仿宋_GB2312" w:hAnsi="宋体" w:eastAsia="仿宋_GB2312"/>
          <w:color w:val="auto"/>
          <w:sz w:val="28"/>
          <w:szCs w:val="28"/>
          <w:highlight w:val="none"/>
        </w:rPr>
      </w:pPr>
    </w:p>
    <w:p>
      <w:pPr>
        <w:pStyle w:val="123"/>
        <w:spacing w:line="360" w:lineRule="exact"/>
        <w:ind w:firstLine="56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附件2： </w:t>
      </w:r>
    </w:p>
    <w:p>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保密承诺书</w:t>
      </w:r>
    </w:p>
    <w:p>
      <w:pPr>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方愿成为杭州萧山国际机场有限公司（以下简称“机场公司”）的供应商或潜在供应商候选人，为机场公司提供【杭州萧山国际机场台式爆炸物、毒品探测设备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1.4、以下资料不属于本承诺所指的商业秘密：</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（2）已经公开或已成为常识性的资料，且该等公开并非因违反本承诺所致。</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8、违约责任</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供应商(盖章):</w:t>
      </w:r>
    </w:p>
    <w:p>
      <w:pPr>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w:t>
      </w:r>
    </w:p>
    <w:p>
      <w:pPr>
        <w:spacing w:line="560" w:lineRule="exact"/>
        <w:jc w:val="center"/>
        <w:rPr>
          <w:rFonts w:ascii="仿宋_GB2312" w:hAnsi="仿宋_GB2312" w:eastAsia="仿宋_GB2312" w:cs="仿宋_GB2312"/>
          <w:sz w:val="28"/>
          <w:szCs w:val="28"/>
          <w:highlight w:val="none"/>
        </w:rPr>
      </w:pPr>
    </w:p>
    <w:p>
      <w:pPr>
        <w:spacing w:line="560" w:lineRule="exact"/>
        <w:jc w:val="center"/>
        <w:rPr>
          <w:rFonts w:ascii="仿宋_GB2312" w:hAnsi="仿宋_GB2312" w:eastAsia="仿宋_GB2312" w:cs="仿宋_GB2312"/>
          <w:sz w:val="28"/>
          <w:szCs w:val="28"/>
          <w:highlight w:val="none"/>
        </w:rPr>
      </w:pPr>
    </w:p>
    <w:p>
      <w:pPr>
        <w:spacing w:line="560" w:lineRule="exact"/>
        <w:jc w:val="center"/>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电话/传真：</w:t>
      </w:r>
    </w:p>
    <w:p>
      <w:pPr>
        <w:spacing w:line="560" w:lineRule="exact"/>
        <w:jc w:val="center"/>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地址：</w:t>
      </w:r>
    </w:p>
    <w:p>
      <w:pPr>
        <w:spacing w:line="560" w:lineRule="exact"/>
        <w:rPr>
          <w:rFonts w:ascii="仿宋_GB2312" w:hAnsi="仿宋_GB2312" w:eastAsia="仿宋_GB2312" w:cs="仿宋_GB2312"/>
          <w:sz w:val="28"/>
          <w:szCs w:val="28"/>
          <w:highlight w:val="none"/>
        </w:rPr>
      </w:pPr>
    </w:p>
    <w:p>
      <w:pPr>
        <w:pStyle w:val="51"/>
        <w:rPr>
          <w:rFonts w:ascii="宋体" w:hAnsi="宋体" w:eastAsia="宋体"/>
          <w:b w:val="0"/>
          <w:sz w:val="22"/>
          <w:szCs w:val="22"/>
          <w:highlight w:val="none"/>
        </w:rPr>
      </w:pPr>
      <w:r>
        <w:rPr>
          <w:rFonts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日期：     年   月   日</w:t>
      </w:r>
    </w:p>
    <w:p>
      <w:pPr>
        <w:pStyle w:val="51"/>
        <w:rPr>
          <w:rFonts w:ascii="宋体" w:hAnsi="宋体"/>
          <w:highlight w:val="none"/>
        </w:rPr>
      </w:pPr>
      <w:bookmarkStart w:id="384" w:name="_Toc90452722"/>
      <w:bookmarkStart w:id="385" w:name="_Toc206217401"/>
    </w:p>
    <w:bookmarkEnd w:id="384"/>
    <w:bookmarkEnd w:id="385"/>
    <w:p>
      <w:pPr>
        <w:pStyle w:val="2"/>
        <w:spacing w:before="0" w:after="0"/>
        <w:rPr>
          <w:rFonts w:ascii="Calibri" w:hAnsi="Calibri" w:eastAsia="黑体" w:cs="Calibri"/>
          <w:kern w:val="0"/>
          <w:sz w:val="32"/>
          <w:highlight w:val="none"/>
        </w:rPr>
      </w:pPr>
      <w:bookmarkStart w:id="386" w:name="_Toc448002987"/>
      <w:bookmarkStart w:id="387" w:name="_Toc321925456"/>
      <w:bookmarkStart w:id="388" w:name="_Toc275274581"/>
      <w:r>
        <w:rPr>
          <w:rFonts w:ascii="Calibri" w:hAnsi="Calibri" w:eastAsia="黑体" w:cs="Calibri"/>
          <w:kern w:val="0"/>
          <w:sz w:val="32"/>
          <w:highlight w:val="none"/>
        </w:rPr>
        <w:t>第</w:t>
      </w:r>
      <w:r>
        <w:rPr>
          <w:rFonts w:hint="eastAsia" w:ascii="Calibri" w:hAnsi="Calibri" w:eastAsia="黑体" w:cs="Calibri"/>
          <w:kern w:val="0"/>
          <w:sz w:val="32"/>
          <w:highlight w:val="none"/>
        </w:rPr>
        <w:t>五</w:t>
      </w:r>
      <w:r>
        <w:rPr>
          <w:rFonts w:ascii="Calibri" w:hAnsi="Calibri" w:eastAsia="黑体" w:cs="Calibri"/>
          <w:kern w:val="0"/>
          <w:sz w:val="32"/>
          <w:highlight w:val="none"/>
        </w:rPr>
        <w:t>章  评标方法及标准</w:t>
      </w:r>
      <w:bookmarkEnd w:id="386"/>
      <w:bookmarkEnd w:id="387"/>
    </w:p>
    <w:p>
      <w:pPr>
        <w:pStyle w:val="31"/>
        <w:spacing w:line="360" w:lineRule="exact"/>
        <w:ind w:firstLine="420"/>
        <w:rPr>
          <w:rFonts w:hAnsi="宋体" w:cs="Calibri"/>
          <w:bCs/>
          <w:sz w:val="22"/>
          <w:szCs w:val="22"/>
          <w:highlight w:val="none"/>
        </w:rPr>
      </w:pPr>
      <w:r>
        <w:rPr>
          <w:rFonts w:hAnsi="宋体" w:cs="Calibri"/>
          <w:bCs/>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highlight w:val="none"/>
        </w:rPr>
      </w:pPr>
      <w:r>
        <w:rPr>
          <w:rFonts w:hAnsi="宋体" w:cs="Calibri"/>
          <w:b/>
          <w:bCs/>
          <w:sz w:val="22"/>
          <w:szCs w:val="22"/>
          <w:highlight w:val="none"/>
        </w:rPr>
        <w:t>一、评标原则</w:t>
      </w:r>
    </w:p>
    <w:p>
      <w:pPr>
        <w:pStyle w:val="31"/>
        <w:spacing w:line="360" w:lineRule="exact"/>
        <w:ind w:firstLine="420"/>
        <w:rPr>
          <w:rFonts w:hAnsi="宋体" w:cs="Calibri"/>
          <w:sz w:val="22"/>
          <w:szCs w:val="22"/>
          <w:highlight w:val="none"/>
        </w:rPr>
      </w:pPr>
      <w:r>
        <w:rPr>
          <w:rFonts w:hAnsi="宋体" w:cs="Calibri"/>
          <w:bCs/>
          <w:sz w:val="22"/>
          <w:szCs w:val="22"/>
          <w:highlight w:val="none"/>
        </w:rPr>
        <w:t>评标应遵循公平、公正、科学、择优的原则。</w:t>
      </w:r>
    </w:p>
    <w:p>
      <w:pPr>
        <w:pStyle w:val="31"/>
        <w:spacing w:line="360" w:lineRule="exact"/>
        <w:rPr>
          <w:rFonts w:hAnsi="宋体" w:cs="Calibri"/>
          <w:b/>
          <w:bCs/>
          <w:sz w:val="22"/>
          <w:szCs w:val="22"/>
          <w:highlight w:val="none"/>
        </w:rPr>
      </w:pPr>
      <w:r>
        <w:rPr>
          <w:rFonts w:hAnsi="宋体" w:cs="Calibri"/>
          <w:b/>
          <w:bCs/>
          <w:sz w:val="22"/>
          <w:szCs w:val="22"/>
          <w:highlight w:val="none"/>
        </w:rPr>
        <w:t>二、评标组织</w:t>
      </w:r>
    </w:p>
    <w:p>
      <w:pPr>
        <w:pStyle w:val="31"/>
        <w:spacing w:line="360" w:lineRule="exact"/>
        <w:ind w:firstLine="420"/>
        <w:rPr>
          <w:rFonts w:hAnsi="宋体" w:cs="Calibri"/>
          <w:sz w:val="22"/>
          <w:szCs w:val="22"/>
          <w:highlight w:val="none"/>
        </w:rPr>
      </w:pPr>
      <w:r>
        <w:rPr>
          <w:rFonts w:hAnsi="宋体" w:cs="Calibri"/>
          <w:sz w:val="22"/>
          <w:szCs w:val="22"/>
          <w:highlight w:val="none"/>
        </w:rPr>
        <w:t>评标工作由招标人依法组建的评标委员会（小组）负责。评标委员会成员为</w:t>
      </w:r>
      <w:r>
        <w:rPr>
          <w:rFonts w:hint="eastAsia" w:hAnsi="宋体" w:cs="Calibri"/>
          <w:sz w:val="22"/>
          <w:szCs w:val="22"/>
          <w:highlight w:val="none"/>
        </w:rPr>
        <w:t>3</w:t>
      </w:r>
      <w:r>
        <w:rPr>
          <w:rFonts w:hAnsi="宋体" w:cs="Calibri"/>
          <w:sz w:val="22"/>
          <w:szCs w:val="22"/>
          <w:highlight w:val="none"/>
        </w:rPr>
        <w:t>人及以上单数，</w:t>
      </w:r>
      <w:r>
        <w:rPr>
          <w:rFonts w:hint="eastAsia" w:hAnsi="宋体"/>
          <w:sz w:val="22"/>
          <w:szCs w:val="22"/>
          <w:highlight w:val="none"/>
        </w:rPr>
        <w:t>评标委员会由招标人自行组建。</w:t>
      </w:r>
    </w:p>
    <w:p>
      <w:pPr>
        <w:pStyle w:val="31"/>
        <w:spacing w:line="360" w:lineRule="exact"/>
        <w:rPr>
          <w:rFonts w:hAnsi="宋体" w:cs="Calibri"/>
          <w:b/>
          <w:bCs/>
          <w:sz w:val="22"/>
          <w:szCs w:val="22"/>
          <w:highlight w:val="none"/>
        </w:rPr>
      </w:pPr>
      <w:r>
        <w:rPr>
          <w:rFonts w:hAnsi="宋体" w:cs="Calibri"/>
          <w:b/>
          <w:bCs/>
          <w:sz w:val="22"/>
          <w:szCs w:val="22"/>
          <w:highlight w:val="none"/>
        </w:rPr>
        <w:t>三、投标文件的评审</w:t>
      </w:r>
    </w:p>
    <w:p>
      <w:pPr>
        <w:pStyle w:val="31"/>
        <w:spacing w:line="360" w:lineRule="exact"/>
        <w:ind w:firstLine="442" w:firstLineChars="200"/>
        <w:rPr>
          <w:rFonts w:hAnsi="宋体" w:cs="Calibri"/>
          <w:b/>
          <w:sz w:val="22"/>
          <w:szCs w:val="22"/>
          <w:highlight w:val="none"/>
        </w:rPr>
      </w:pPr>
      <w:r>
        <w:rPr>
          <w:rFonts w:hAnsi="宋体" w:cs="Calibri"/>
          <w:b/>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kern w:val="0"/>
          <w:sz w:val="22"/>
          <w:szCs w:val="22"/>
          <w:highlight w:val="none"/>
        </w:rPr>
      </w:pPr>
      <w:r>
        <w:rPr>
          <w:rFonts w:ascii="宋体" w:hAnsi="宋体" w:cs="Calibri"/>
          <w:bCs/>
          <w:kern w:val="0"/>
          <w:sz w:val="22"/>
          <w:szCs w:val="22"/>
          <w:highlight w:val="none"/>
        </w:rPr>
        <w:t>3.1.1评标委员会应依照招标文件的要求和规定首先对投标人的投标资格和投标文件进行符合性审查，</w:t>
      </w:r>
      <w:r>
        <w:rPr>
          <w:rFonts w:ascii="宋体" w:hAnsi="宋体" w:cs="Calibri"/>
          <w:b/>
          <w:kern w:val="0"/>
          <w:sz w:val="22"/>
          <w:szCs w:val="22"/>
          <w:highlight w:val="none"/>
        </w:rPr>
        <w:t>审查过程中评标委员会可以要求投标人提交下列审查项所需的有关证明和证件的原件，以便核验。</w:t>
      </w:r>
      <w:r>
        <w:rPr>
          <w:rFonts w:ascii="宋体" w:hAnsi="宋体" w:cs="Calibri"/>
          <w:bCs/>
          <w:kern w:val="0"/>
          <w:sz w:val="22"/>
          <w:szCs w:val="22"/>
          <w:highlight w:val="none"/>
        </w:rPr>
        <w:t>投标文件如存在以下情况之一的，经评标委员会三分之二以上的成员认定，符合性审查不予通过，</w:t>
      </w:r>
      <w:r>
        <w:rPr>
          <w:rFonts w:ascii="宋体" w:hAnsi="宋体" w:cs="Calibri"/>
          <w:b/>
          <w:bCs/>
          <w:kern w:val="0"/>
          <w:sz w:val="22"/>
          <w:szCs w:val="22"/>
          <w:highlight w:val="none"/>
        </w:rPr>
        <w:t>作</w:t>
      </w:r>
      <w:r>
        <w:rPr>
          <w:rFonts w:hint="eastAsia" w:ascii="宋体" w:hAnsi="宋体" w:cs="Calibri"/>
          <w:b/>
          <w:bCs/>
          <w:kern w:val="0"/>
          <w:sz w:val="22"/>
          <w:szCs w:val="22"/>
          <w:highlight w:val="none"/>
        </w:rPr>
        <w:t>否决投标</w:t>
      </w:r>
      <w:r>
        <w:rPr>
          <w:rFonts w:ascii="宋体" w:hAnsi="宋体" w:cs="Calibri"/>
          <w:b/>
          <w:bCs/>
          <w:kern w:val="0"/>
          <w:sz w:val="22"/>
          <w:szCs w:val="22"/>
          <w:highlight w:val="none"/>
        </w:rPr>
        <w:t>处理，</w:t>
      </w:r>
      <w:r>
        <w:rPr>
          <w:rFonts w:ascii="宋体" w:hAnsi="宋体" w:cs="Calibri"/>
          <w:bCs/>
          <w:kern w:val="0"/>
          <w:sz w:val="22"/>
          <w:szCs w:val="22"/>
          <w:highlight w:val="none"/>
        </w:rPr>
        <w:t>不再进行详细评审：</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1、</w:t>
      </w:r>
      <w:r>
        <w:rPr>
          <w:rFonts w:ascii="宋体" w:hAnsi="宋体" w:cs="Calibri"/>
          <w:bCs/>
          <w:kern w:val="0"/>
          <w:sz w:val="22"/>
          <w:szCs w:val="22"/>
          <w:highlight w:val="none"/>
        </w:rPr>
        <w:t>投标人的投标资格不满足国家有关规定或招标文件载明的投标资格条件的；</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3、投标文件未按规定的格式填写，内容不全或关键字迹模糊、无法辨认的；</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5、</w:t>
      </w:r>
      <w:r>
        <w:rPr>
          <w:rFonts w:hint="eastAsia" w:ascii="宋体" w:hAnsi="宋体" w:cs="Calibri"/>
          <w:sz w:val="22"/>
          <w:szCs w:val="22"/>
          <w:highlight w:val="none"/>
        </w:rPr>
        <w:t>供货</w:t>
      </w:r>
      <w:r>
        <w:rPr>
          <w:rFonts w:ascii="宋体" w:hAnsi="宋体" w:cs="Calibri"/>
          <w:sz w:val="22"/>
          <w:szCs w:val="22"/>
          <w:highlight w:val="none"/>
        </w:rPr>
        <w:t>期不满足招标文件要求的；</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6、不</w:t>
      </w:r>
      <w:r>
        <w:rPr>
          <w:rFonts w:ascii="宋体" w:hAnsi="宋体" w:cs="Calibri"/>
          <w:kern w:val="0"/>
          <w:sz w:val="22"/>
          <w:szCs w:val="22"/>
          <w:highlight w:val="none"/>
        </w:rPr>
        <w:t>响应招标文件规定的实质性要求（包括具体条文前用“★”标示的）</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highlight w:val="none"/>
        </w:rPr>
      </w:pPr>
      <w:r>
        <w:rPr>
          <w:rFonts w:ascii="宋体" w:hAnsi="宋体" w:cs="Calibri"/>
          <w:sz w:val="22"/>
          <w:szCs w:val="22"/>
          <w:highlight w:val="none"/>
        </w:rPr>
        <w:t>8、投标人以他人名义投标、或与他人串通投标、或以行贿手段谋取中标，或弄虚作假的；</w:t>
      </w:r>
    </w:p>
    <w:p>
      <w:pPr>
        <w:spacing w:line="360" w:lineRule="exact"/>
        <w:ind w:firstLine="471" w:firstLineChars="214"/>
        <w:rPr>
          <w:rFonts w:ascii="宋体" w:hAnsi="宋体" w:cs="Calibri"/>
          <w:sz w:val="22"/>
          <w:szCs w:val="22"/>
          <w:highlight w:val="none"/>
        </w:rPr>
      </w:pPr>
      <w:r>
        <w:rPr>
          <w:rFonts w:hint="eastAsia" w:ascii="宋体" w:hAnsi="宋体" w:cs="Calibri"/>
          <w:sz w:val="22"/>
          <w:szCs w:val="22"/>
          <w:highlight w:val="none"/>
        </w:rPr>
        <w:t>9</w:t>
      </w:r>
      <w:r>
        <w:rPr>
          <w:rFonts w:ascii="宋体" w:hAnsi="宋体" w:cs="Calibri"/>
          <w:sz w:val="22"/>
          <w:szCs w:val="22"/>
          <w:highlight w:val="none"/>
        </w:rPr>
        <w:t>、存在法律、法规、规章规定的其它无效投标情况的</w:t>
      </w:r>
      <w:r>
        <w:rPr>
          <w:rFonts w:hint="eastAsia" w:ascii="宋体" w:hAnsi="宋体" w:cs="Calibri"/>
          <w:sz w:val="22"/>
          <w:szCs w:val="22"/>
          <w:highlight w:val="none"/>
        </w:rPr>
        <w:t>。</w:t>
      </w:r>
    </w:p>
    <w:p>
      <w:pPr>
        <w:widowControl/>
        <w:tabs>
          <w:tab w:val="left" w:pos="709"/>
        </w:tabs>
        <w:snapToGrid w:val="0"/>
        <w:spacing w:line="360" w:lineRule="exact"/>
        <w:ind w:firstLine="446" w:firstLineChars="202"/>
        <w:rPr>
          <w:rFonts w:ascii="宋体" w:hAnsi="宋体" w:cs="Calibri"/>
          <w:b/>
          <w:sz w:val="22"/>
          <w:szCs w:val="22"/>
          <w:highlight w:val="none"/>
        </w:rPr>
      </w:pPr>
      <w:r>
        <w:rPr>
          <w:rFonts w:ascii="宋体" w:hAnsi="宋体" w:cs="Calibri"/>
          <w:b/>
          <w:sz w:val="22"/>
          <w:szCs w:val="22"/>
          <w:highlight w:val="none"/>
        </w:rPr>
        <w:t>3.1.2 报价算术性修正</w:t>
      </w:r>
    </w:p>
    <w:p>
      <w:pPr>
        <w:pStyle w:val="31"/>
        <w:spacing w:line="360" w:lineRule="exact"/>
        <w:ind w:firstLine="440" w:firstLineChars="200"/>
        <w:rPr>
          <w:rFonts w:hAnsi="宋体" w:cs="Calibri"/>
          <w:sz w:val="22"/>
          <w:szCs w:val="22"/>
          <w:highlight w:val="none"/>
        </w:rPr>
      </w:pPr>
      <w:r>
        <w:rPr>
          <w:rFonts w:hAnsi="宋体" w:cs="Calibri"/>
          <w:sz w:val="22"/>
          <w:szCs w:val="22"/>
          <w:highlight w:val="none"/>
        </w:rPr>
        <w:t>评标委员会按以下原则对通过符合性审查的投标文件报价进行算术性修正：</w:t>
      </w:r>
    </w:p>
    <w:p>
      <w:pPr>
        <w:pStyle w:val="31"/>
        <w:numPr>
          <w:ilvl w:val="0"/>
          <w:numId w:val="26"/>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投标文件中的大写金额与小写金额不一致的，以大写金额为准；</w:t>
      </w:r>
    </w:p>
    <w:p>
      <w:pPr>
        <w:pStyle w:val="31"/>
        <w:numPr>
          <w:ilvl w:val="0"/>
          <w:numId w:val="26"/>
        </w:numPr>
        <w:adjustRightInd w:val="0"/>
        <w:spacing w:line="360" w:lineRule="exact"/>
        <w:ind w:left="0" w:firstLine="440" w:firstLineChars="200"/>
        <w:rPr>
          <w:rFonts w:hAnsi="宋体" w:cs="Calibri"/>
          <w:sz w:val="22"/>
          <w:szCs w:val="22"/>
          <w:highlight w:val="none"/>
        </w:rPr>
      </w:pPr>
      <w:r>
        <w:rPr>
          <w:rFonts w:hAnsi="宋体" w:cs="Calibri"/>
          <w:sz w:val="22"/>
          <w:szCs w:val="22"/>
          <w:highlight w:val="none"/>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highlight w:val="none"/>
        </w:rPr>
      </w:pPr>
      <w:r>
        <w:rPr>
          <w:rFonts w:hAnsi="宋体" w:cs="Calibri"/>
          <w:sz w:val="22"/>
          <w:szCs w:val="22"/>
          <w:highlight w:val="none"/>
        </w:rPr>
        <w:t>★修正的价格经投标人书面确认后具有约束力。投标人不接受修正价格的，其投标作</w:t>
      </w:r>
      <w:r>
        <w:rPr>
          <w:rFonts w:hint="eastAsia" w:hAnsi="宋体" w:cs="Calibri"/>
          <w:b/>
          <w:bCs/>
          <w:sz w:val="22"/>
          <w:szCs w:val="22"/>
          <w:highlight w:val="none"/>
        </w:rPr>
        <w:t>否决投标</w:t>
      </w:r>
      <w:r>
        <w:rPr>
          <w:rFonts w:hAnsi="宋体" w:cs="Calibri"/>
          <w:b/>
          <w:sz w:val="22"/>
          <w:szCs w:val="22"/>
          <w:highlight w:val="none"/>
        </w:rPr>
        <w:t>处理</w:t>
      </w:r>
      <w:r>
        <w:rPr>
          <w:rFonts w:hAnsi="宋体" w:cs="Calibri"/>
          <w:sz w:val="22"/>
          <w:szCs w:val="22"/>
          <w:highlight w:val="none"/>
        </w:rPr>
        <w:t>。</w:t>
      </w:r>
    </w:p>
    <w:p>
      <w:pPr>
        <w:pStyle w:val="31"/>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r>
        <w:rPr>
          <w:rFonts w:hint="eastAsia" w:hAnsi="宋体" w:cs="Calibri"/>
          <w:sz w:val="22"/>
          <w:szCs w:val="22"/>
          <w:highlight w:val="none"/>
        </w:rPr>
        <w:t>。</w:t>
      </w:r>
    </w:p>
    <w:p>
      <w:pPr>
        <w:pStyle w:val="31"/>
        <w:spacing w:line="360" w:lineRule="exact"/>
        <w:ind w:firstLine="440" w:firstLineChars="200"/>
        <w:rPr>
          <w:rFonts w:hAnsi="宋体" w:cs="Calibri"/>
          <w:b/>
          <w:sz w:val="22"/>
          <w:szCs w:val="22"/>
          <w:highlight w:val="none"/>
        </w:rPr>
      </w:pPr>
      <w:r>
        <w:rPr>
          <w:rFonts w:hAnsi="宋体" w:cs="Calibri"/>
          <w:sz w:val="22"/>
          <w:szCs w:val="22"/>
          <w:highlight w:val="none"/>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highlight w:val="none"/>
        </w:rPr>
      </w:pPr>
      <w:r>
        <w:rPr>
          <w:rFonts w:hAnsi="宋体" w:cs="Calibri"/>
          <w:b/>
          <w:sz w:val="22"/>
          <w:szCs w:val="22"/>
          <w:highlight w:val="none"/>
        </w:rPr>
        <w:t>3.2 投标文件的澄清和补正</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highlight w:val="none"/>
        </w:rPr>
      </w:pPr>
      <w:r>
        <w:rPr>
          <w:rFonts w:ascii="宋体" w:hAnsi="宋体" w:cs="Calibri"/>
          <w:b/>
          <w:sz w:val="22"/>
          <w:szCs w:val="22"/>
          <w:highlight w:val="none"/>
        </w:rPr>
        <w:t>3.3</w:t>
      </w:r>
      <w:r>
        <w:rPr>
          <w:rFonts w:hint="eastAsia" w:ascii="宋体" w:hAnsi="宋体"/>
          <w:b/>
          <w:color w:val="000000"/>
          <w:sz w:val="22"/>
          <w:szCs w:val="22"/>
          <w:highlight w:val="none"/>
        </w:rPr>
        <w:t>评标细则</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highlight w:val="none"/>
        </w:rPr>
      </w:pPr>
      <w:r>
        <w:rPr>
          <w:rFonts w:hint="eastAsia" w:hAnsi="宋体"/>
          <w:b/>
          <w:color w:val="000000"/>
          <w:sz w:val="22"/>
          <w:szCs w:val="22"/>
          <w:highlight w:val="none"/>
        </w:rPr>
        <w:t>每个投标人最终得分=商务报价分+资信及技术分</w:t>
      </w:r>
    </w:p>
    <w:p>
      <w:pPr>
        <w:pStyle w:val="31"/>
        <w:adjustRightInd w:val="0"/>
        <w:snapToGrid w:val="0"/>
        <w:spacing w:line="360" w:lineRule="exact"/>
        <w:ind w:firstLine="440" w:firstLineChars="200"/>
        <w:rPr>
          <w:rFonts w:hAnsi="宋体" w:cs="Arial"/>
          <w:b/>
          <w:sz w:val="22"/>
          <w:szCs w:val="22"/>
          <w:highlight w:val="none"/>
        </w:rPr>
      </w:pPr>
      <w:r>
        <w:rPr>
          <w:rFonts w:hint="eastAsia" w:hAnsi="宋体" w:cs="Calibri"/>
          <w:sz w:val="22"/>
          <w:szCs w:val="22"/>
          <w:highlight w:val="none"/>
        </w:rPr>
        <w:t>3.3.1商务报价分60分</w:t>
      </w:r>
    </w:p>
    <w:p>
      <w:pPr>
        <w:pStyle w:val="31"/>
        <w:adjustRightInd w:val="0"/>
        <w:snapToGrid w:val="0"/>
        <w:spacing w:line="360" w:lineRule="exact"/>
        <w:ind w:firstLine="440" w:firstLineChars="200"/>
        <w:rPr>
          <w:rFonts w:hAnsi="宋体" w:cs="Calibri"/>
          <w:sz w:val="22"/>
          <w:szCs w:val="22"/>
          <w:highlight w:val="none"/>
        </w:rPr>
      </w:pPr>
      <w:r>
        <w:rPr>
          <w:rFonts w:hint="eastAsia" w:hAnsi="宋体"/>
          <w:sz w:val="22"/>
          <w:szCs w:val="22"/>
          <w:highlight w:val="none"/>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投标人的投标价等于评标基准价的得6</w:t>
      </w:r>
      <w:r>
        <w:rPr>
          <w:rFonts w:hAnsi="宋体" w:cs="Calibri"/>
          <w:sz w:val="22"/>
          <w:szCs w:val="22"/>
          <w:highlight w:val="none"/>
        </w:rPr>
        <w:t>0</w:t>
      </w:r>
      <w:r>
        <w:rPr>
          <w:rFonts w:hint="eastAsia" w:hAnsi="宋体" w:cs="Calibri"/>
          <w:sz w:val="22"/>
          <w:szCs w:val="22"/>
          <w:highlight w:val="none"/>
        </w:rPr>
        <w:t>分，每高于评标基准价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1</w:t>
      </w:r>
      <w:r>
        <w:rPr>
          <w:rFonts w:hint="eastAsia" w:hAnsi="宋体" w:cs="Calibri"/>
          <w:sz w:val="22"/>
          <w:szCs w:val="22"/>
          <w:highlight w:val="none"/>
        </w:rPr>
        <w:t>分，每低于评标基准价</w:t>
      </w:r>
      <w:r>
        <w:rPr>
          <w:rFonts w:hAnsi="宋体" w:cs="Calibri"/>
          <w:sz w:val="22"/>
          <w:szCs w:val="22"/>
          <w:highlight w:val="none"/>
        </w:rPr>
        <w:t>1%</w:t>
      </w:r>
      <w:r>
        <w:rPr>
          <w:rFonts w:hint="eastAsia" w:hAnsi="宋体" w:cs="Calibri"/>
          <w:sz w:val="22"/>
          <w:szCs w:val="22"/>
          <w:highlight w:val="none"/>
        </w:rPr>
        <w:t>的扣</w:t>
      </w:r>
      <w:r>
        <w:rPr>
          <w:rFonts w:hAnsi="宋体" w:cs="Calibri"/>
          <w:sz w:val="22"/>
          <w:szCs w:val="22"/>
          <w:highlight w:val="none"/>
        </w:rPr>
        <w:t>0.5</w:t>
      </w:r>
      <w:r>
        <w:rPr>
          <w:rFonts w:hint="eastAsia" w:hAnsi="宋体" w:cs="Calibri"/>
          <w:sz w:val="22"/>
          <w:szCs w:val="22"/>
          <w:highlight w:val="none"/>
        </w:rPr>
        <w:t>分（不足</w:t>
      </w:r>
      <w:r>
        <w:rPr>
          <w:rFonts w:hAnsi="宋体" w:cs="Calibri"/>
          <w:sz w:val="22"/>
          <w:szCs w:val="22"/>
          <w:highlight w:val="none"/>
        </w:rPr>
        <w:t>1</w:t>
      </w:r>
      <w:r>
        <w:rPr>
          <w:rFonts w:hint="eastAsia" w:hAnsi="宋体" w:cs="Calibri"/>
          <w:sz w:val="22"/>
          <w:szCs w:val="22"/>
          <w:highlight w:val="none"/>
        </w:rPr>
        <w:t>个百分点按插值法计算，小数点后保留二位，四舍五入，商务分最低得分为</w:t>
      </w:r>
      <w:r>
        <w:rPr>
          <w:rFonts w:hAnsi="宋体" w:cs="Calibri"/>
          <w:sz w:val="22"/>
          <w:szCs w:val="22"/>
          <w:highlight w:val="none"/>
        </w:rPr>
        <w:t>30</w:t>
      </w:r>
      <w:r>
        <w:rPr>
          <w:rFonts w:hint="eastAsia" w:hAnsi="宋体" w:cs="Calibri"/>
          <w:sz w:val="22"/>
          <w:szCs w:val="22"/>
          <w:highlight w:val="none"/>
        </w:rPr>
        <w:t>分）</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此项由评标委员会集体核实后统一打分。</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2、资信及技术评分   0-40分</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该评分分值由评标委员会成员独立打分（具体分值设定详见下表），小数点后保留</w:t>
      </w:r>
      <w:r>
        <w:rPr>
          <w:rFonts w:hAnsi="宋体" w:cs="Calibri"/>
          <w:sz w:val="22"/>
          <w:szCs w:val="22"/>
          <w:highlight w:val="none"/>
        </w:rPr>
        <w:t>1</w:t>
      </w:r>
      <w:r>
        <w:rPr>
          <w:rFonts w:hint="eastAsia" w:hAnsi="宋体" w:cs="Calibri"/>
          <w:sz w:val="22"/>
          <w:szCs w:val="22"/>
          <w:highlight w:val="none"/>
        </w:rPr>
        <w:t>位小数。每个投标人的最终资信及技术得分为评标委员会打分的算术平均值（小数点后保留</w:t>
      </w:r>
      <w:r>
        <w:rPr>
          <w:rFonts w:hAnsi="宋体" w:cs="Calibri"/>
          <w:sz w:val="22"/>
          <w:szCs w:val="22"/>
          <w:highlight w:val="none"/>
        </w:rPr>
        <w:t>2</w:t>
      </w:r>
      <w:r>
        <w:rPr>
          <w:rFonts w:hint="eastAsia" w:hAnsi="宋体" w:cs="Calibri"/>
          <w:sz w:val="22"/>
          <w:szCs w:val="22"/>
          <w:highlight w:val="none"/>
        </w:rPr>
        <w:t>位，第三位四舍五入）。</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资信及技术评分分值设定标准</w:t>
      </w:r>
    </w:p>
    <w:tbl>
      <w:tblPr>
        <w:tblStyle w:val="5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84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Pr>
          <w:p>
            <w:pPr>
              <w:pStyle w:val="31"/>
              <w:adjustRightInd w:val="0"/>
              <w:snapToGrid w:val="0"/>
              <w:spacing w:line="360" w:lineRule="exact"/>
              <w:jc w:val="center"/>
              <w:rPr>
                <w:rFonts w:hAnsi="宋体" w:cs="Courier New"/>
                <w:kern w:val="2"/>
                <w:sz w:val="22"/>
                <w:szCs w:val="22"/>
                <w:highlight w:val="none"/>
              </w:rPr>
            </w:pPr>
            <w:r>
              <w:rPr>
                <w:rFonts w:hAnsi="宋体" w:cs="Courier New"/>
                <w:kern w:val="2"/>
                <w:sz w:val="22"/>
                <w:szCs w:val="22"/>
                <w:highlight w:val="none"/>
              </w:rPr>
              <w:t>评定项目</w:t>
            </w:r>
          </w:p>
        </w:tc>
        <w:tc>
          <w:tcPr>
            <w:tcW w:w="1843" w:type="dxa"/>
          </w:tcPr>
          <w:p>
            <w:pPr>
              <w:pStyle w:val="31"/>
              <w:adjustRightInd w:val="0"/>
              <w:snapToGrid w:val="0"/>
              <w:spacing w:line="360" w:lineRule="exact"/>
              <w:jc w:val="center"/>
              <w:rPr>
                <w:rFonts w:hAnsi="宋体" w:cs="Courier New"/>
                <w:kern w:val="2"/>
                <w:sz w:val="22"/>
                <w:szCs w:val="22"/>
                <w:highlight w:val="none"/>
              </w:rPr>
            </w:pPr>
            <w:r>
              <w:rPr>
                <w:rFonts w:hAnsi="宋体" w:cs="Courier New"/>
                <w:kern w:val="2"/>
                <w:sz w:val="22"/>
                <w:szCs w:val="22"/>
                <w:highlight w:val="none"/>
              </w:rPr>
              <w:t>分值范围</w:t>
            </w:r>
          </w:p>
        </w:tc>
        <w:tc>
          <w:tcPr>
            <w:tcW w:w="3402" w:type="dxa"/>
          </w:tcPr>
          <w:p>
            <w:pPr>
              <w:pStyle w:val="31"/>
              <w:adjustRightInd w:val="0"/>
              <w:snapToGrid w:val="0"/>
              <w:spacing w:line="360" w:lineRule="exact"/>
              <w:jc w:val="center"/>
              <w:rPr>
                <w:rFonts w:hAnsi="宋体" w:cs="Courier New"/>
                <w:kern w:val="2"/>
                <w:sz w:val="22"/>
                <w:szCs w:val="22"/>
                <w:highlight w:val="none"/>
              </w:rPr>
            </w:pPr>
            <w:r>
              <w:rPr>
                <w:rFonts w:hint="eastAsia" w:hAnsi="宋体" w:cs="Courier New"/>
                <w:kern w:val="2"/>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ascii="宋体" w:hAnsi="宋体" w:cs="宋体"/>
                <w:kern w:val="0"/>
                <w:sz w:val="22"/>
                <w:szCs w:val="22"/>
                <w:highlight w:val="none"/>
              </w:rPr>
            </w:pPr>
            <w:r>
              <w:rPr>
                <w:rFonts w:hint="eastAsia" w:ascii="宋体" w:hAnsi="宋体" w:cs="宋体"/>
                <w:kern w:val="0"/>
                <w:sz w:val="22"/>
                <w:szCs w:val="22"/>
                <w:highlight w:val="none"/>
              </w:rPr>
              <w:t>投标人业绩：近三年（自2</w:t>
            </w:r>
            <w:r>
              <w:rPr>
                <w:rFonts w:ascii="宋体" w:hAnsi="宋体" w:cs="宋体"/>
                <w:kern w:val="0"/>
                <w:sz w:val="22"/>
                <w:szCs w:val="22"/>
                <w:highlight w:val="none"/>
              </w:rPr>
              <w:t>016</w:t>
            </w:r>
            <w:r>
              <w:rPr>
                <w:rFonts w:hint="eastAsia" w:ascii="宋体" w:hAnsi="宋体" w:cs="宋体"/>
                <w:kern w:val="0"/>
                <w:sz w:val="22"/>
                <w:szCs w:val="22"/>
                <w:highlight w:val="none"/>
              </w:rPr>
              <w:t>年1月1日起至投标截止日止）</w:t>
            </w:r>
            <w:r>
              <w:rPr>
                <w:rFonts w:ascii="宋体" w:hAnsi="宋体" w:cs="宋体"/>
                <w:kern w:val="0"/>
                <w:sz w:val="22"/>
                <w:szCs w:val="22"/>
                <w:highlight w:val="none"/>
              </w:rPr>
              <w:t>，中国大陆地区（除港澳台）民用机场投标同型号设备的销售业绩评分。投标同型号爆炸物探测仪完成过满</w:t>
            </w:r>
            <w:r>
              <w:rPr>
                <w:rFonts w:hint="eastAsia" w:ascii="宋体" w:hAnsi="宋体" w:cs="宋体"/>
                <w:kern w:val="0"/>
                <w:sz w:val="22"/>
                <w:szCs w:val="22"/>
                <w:highlight w:val="none"/>
              </w:rPr>
              <w:t>5</w:t>
            </w:r>
            <w:r>
              <w:rPr>
                <w:rFonts w:ascii="宋体" w:hAnsi="宋体" w:cs="宋体"/>
                <w:kern w:val="0"/>
                <w:sz w:val="22"/>
                <w:szCs w:val="22"/>
                <w:highlight w:val="none"/>
              </w:rPr>
              <w:t>0台销售业绩的，得0.</w:t>
            </w:r>
            <w:r>
              <w:rPr>
                <w:rFonts w:hint="eastAsia" w:ascii="宋体" w:hAnsi="宋体" w:cs="宋体"/>
                <w:kern w:val="0"/>
                <w:sz w:val="22"/>
                <w:szCs w:val="22"/>
                <w:highlight w:val="none"/>
              </w:rPr>
              <w:t>5</w:t>
            </w:r>
            <w:r>
              <w:rPr>
                <w:rFonts w:ascii="宋体" w:hAnsi="宋体" w:cs="宋体"/>
                <w:kern w:val="0"/>
                <w:sz w:val="22"/>
                <w:szCs w:val="22"/>
                <w:highlight w:val="none"/>
              </w:rPr>
              <w:t>分，每增加</w:t>
            </w:r>
            <w:r>
              <w:rPr>
                <w:rFonts w:hint="eastAsia" w:ascii="宋体" w:hAnsi="宋体" w:cs="宋体"/>
                <w:kern w:val="0"/>
                <w:sz w:val="22"/>
                <w:szCs w:val="22"/>
                <w:highlight w:val="none"/>
              </w:rPr>
              <w:t>5</w:t>
            </w:r>
            <w:r>
              <w:rPr>
                <w:rFonts w:ascii="宋体" w:hAnsi="宋体" w:cs="宋体"/>
                <w:kern w:val="0"/>
                <w:sz w:val="22"/>
                <w:szCs w:val="22"/>
                <w:highlight w:val="none"/>
              </w:rPr>
              <w:t>0台所投爆炸物探测仪销售业绩加0.</w:t>
            </w:r>
            <w:r>
              <w:rPr>
                <w:rFonts w:hint="eastAsia" w:ascii="宋体" w:hAnsi="宋体" w:cs="宋体"/>
                <w:kern w:val="0"/>
                <w:sz w:val="22"/>
                <w:szCs w:val="22"/>
                <w:highlight w:val="none"/>
              </w:rPr>
              <w:t>5</w:t>
            </w:r>
            <w:r>
              <w:rPr>
                <w:rFonts w:ascii="宋体" w:hAnsi="宋体" w:cs="宋体"/>
                <w:kern w:val="0"/>
                <w:sz w:val="22"/>
                <w:szCs w:val="22"/>
                <w:highlight w:val="none"/>
              </w:rPr>
              <w:t>分，最高得</w:t>
            </w:r>
            <w:r>
              <w:rPr>
                <w:rFonts w:hint="eastAsia" w:ascii="宋体" w:hAnsi="宋体" w:cs="宋体"/>
                <w:kern w:val="0"/>
                <w:sz w:val="22"/>
                <w:szCs w:val="22"/>
                <w:highlight w:val="none"/>
              </w:rPr>
              <w:t>8</w:t>
            </w:r>
            <w:r>
              <w:rPr>
                <w:rFonts w:ascii="宋体" w:hAnsi="宋体" w:cs="宋体"/>
                <w:kern w:val="0"/>
                <w:sz w:val="22"/>
                <w:szCs w:val="22"/>
                <w:highlight w:val="none"/>
              </w:rPr>
              <w:t xml:space="preserve">分。 </w:t>
            </w:r>
          </w:p>
        </w:tc>
        <w:tc>
          <w:tcPr>
            <w:tcW w:w="1843" w:type="dxa"/>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Pr>
          <w:p>
            <w:pPr>
              <w:widowControl/>
              <w:jc w:val="left"/>
              <w:rPr>
                <w:rFonts w:ascii="宋体" w:hAnsi="宋体" w:eastAsia="宋体" w:cs="宋体"/>
                <w:kern w:val="0"/>
                <w:highlight w:val="none"/>
              </w:rPr>
            </w:pPr>
            <w:r>
              <w:rPr>
                <w:rFonts w:ascii="宋体" w:hAnsi="宋体" w:cs="宋体"/>
                <w:kern w:val="0"/>
                <w:sz w:val="22"/>
                <w:szCs w:val="22"/>
                <w:highlight w:val="none"/>
              </w:rPr>
              <w:t>项目业绩应提供有效证明资料：合同复印件</w:t>
            </w:r>
            <w:r>
              <w:rPr>
                <w:rFonts w:hint="eastAsia" w:ascii="宋体" w:hAnsi="宋体" w:cs="宋体"/>
                <w:kern w:val="0"/>
                <w:sz w:val="22"/>
                <w:szCs w:val="22"/>
                <w:highlight w:val="none"/>
              </w:rPr>
              <w:t>并加盖投标人公章</w:t>
            </w:r>
            <w:r>
              <w:rPr>
                <w:rFonts w:ascii="宋体" w:hAnsi="宋体" w:cs="宋体"/>
                <w:kern w:val="0"/>
                <w:sz w:val="22"/>
                <w:szCs w:val="22"/>
                <w:highlight w:val="none"/>
              </w:rPr>
              <w:t>（业绩有效时间以合同签订时间为准，</w:t>
            </w:r>
            <w:r>
              <w:rPr>
                <w:rFonts w:hint="eastAsia" w:ascii="宋体" w:hAnsi="宋体" w:cs="宋体"/>
                <w:kern w:val="0"/>
                <w:sz w:val="22"/>
                <w:szCs w:val="22"/>
                <w:highlight w:val="none"/>
              </w:rPr>
              <w:t>且必须在投标截止日前，原件备查</w:t>
            </w:r>
            <w:r>
              <w:rPr>
                <w:rFonts w:ascii="宋体" w:hAnsi="宋体" w:cs="宋体"/>
                <w:kern w:val="0"/>
                <w:sz w:val="22"/>
                <w:szCs w:val="22"/>
                <w:highlight w:val="none"/>
              </w:rPr>
              <w:t>），投标文件中未提供或未按上述要求提供有效证明资料的不得分。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投标设备行业认证</w:t>
            </w:r>
          </w:p>
        </w:tc>
        <w:tc>
          <w:tcPr>
            <w:tcW w:w="1843" w:type="dxa"/>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0-4</w:t>
            </w:r>
          </w:p>
        </w:tc>
        <w:tc>
          <w:tcPr>
            <w:tcW w:w="3402" w:type="dxa"/>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取得中国民航许可证得2分，每多取得一个认证加1分，最高4分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highlight w:val="none"/>
              </w:rPr>
            </w:pPr>
            <w:r>
              <w:rPr>
                <w:rFonts w:hint="eastAsia" w:hAnsi="宋体"/>
                <w:sz w:val="22"/>
                <w:szCs w:val="22"/>
                <w:highlight w:val="none"/>
              </w:rPr>
              <w:t>投标设备耗材价格，出保后单台维保价格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设备按每年10万次检测计算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highlight w:val="none"/>
              </w:rPr>
            </w:pPr>
            <w:r>
              <w:rPr>
                <w:rFonts w:hint="eastAsia" w:hAnsi="宋体"/>
                <w:sz w:val="22"/>
                <w:szCs w:val="22"/>
                <w:highlight w:val="none"/>
              </w:rPr>
              <w:t>质量保证期</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0-8</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仿宋" w:hAnsi="仿宋" w:eastAsia="仿宋" w:cs="Arial"/>
                <w:szCs w:val="21"/>
                <w:highlight w:val="none"/>
              </w:rPr>
              <w:t>满足</w:t>
            </w:r>
            <w:r>
              <w:rPr>
                <w:rFonts w:ascii="仿宋" w:hAnsi="仿宋" w:eastAsia="仿宋" w:cs="Arial"/>
                <w:szCs w:val="21"/>
                <w:highlight w:val="none"/>
              </w:rPr>
              <w:t>招标要求</w:t>
            </w:r>
            <w:r>
              <w:rPr>
                <w:rFonts w:hint="eastAsia" w:ascii="仿宋" w:hAnsi="仿宋" w:eastAsia="仿宋" w:cs="Arial"/>
                <w:szCs w:val="21"/>
                <w:highlight w:val="none"/>
              </w:rPr>
              <w:t>不得分</w:t>
            </w:r>
            <w:r>
              <w:rPr>
                <w:rFonts w:ascii="仿宋" w:hAnsi="仿宋" w:eastAsia="仿宋" w:cs="Arial"/>
                <w:szCs w:val="21"/>
                <w:highlight w:val="none"/>
              </w:rPr>
              <w:t>，每增加1年加</w:t>
            </w:r>
            <w:r>
              <w:rPr>
                <w:rFonts w:hint="eastAsia" w:ascii="仿宋" w:hAnsi="仿宋" w:eastAsia="仿宋" w:cs="Arial"/>
                <w:szCs w:val="21"/>
                <w:highlight w:val="none"/>
              </w:rPr>
              <w:t>2</w:t>
            </w:r>
            <w:r>
              <w:rPr>
                <w:rFonts w:ascii="仿宋" w:hAnsi="仿宋" w:eastAsia="仿宋" w:cs="Arial"/>
                <w:szCs w:val="21"/>
                <w:highlight w:val="none"/>
              </w:rPr>
              <w:t>分</w:t>
            </w:r>
            <w:r>
              <w:rPr>
                <w:rFonts w:hint="eastAsia" w:ascii="仿宋" w:hAnsi="仿宋" w:eastAsia="仿宋" w:cs="Arial"/>
                <w:szCs w:val="21"/>
                <w:highlight w:val="none"/>
              </w:rPr>
              <w:t>，最高8分；每减少1年扣2分，不设下限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投标设备检出率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仿宋" w:hAnsi="仿宋" w:eastAsia="仿宋" w:cs="Arial"/>
                <w:szCs w:val="21"/>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投标设备检测分析时间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Ansi="宋体"/>
                <w:sz w:val="22"/>
                <w:szCs w:val="22"/>
                <w:highlight w:val="none"/>
              </w:rPr>
            </w:pPr>
            <w:r>
              <w:rPr>
                <w:rFonts w:hint="eastAsia" w:hAnsi="宋体"/>
                <w:sz w:val="22"/>
                <w:szCs w:val="22"/>
                <w:highlight w:val="none"/>
              </w:rPr>
              <w:t>投标设备误报率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0-3</w:t>
            </w:r>
          </w:p>
        </w:tc>
        <w:tc>
          <w:tcPr>
            <w:tcW w:w="3402"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center"/>
              <w:rPr>
                <w:rFonts w:ascii="宋体" w:hAnsi="宋体" w:cs="宋体"/>
                <w:kern w:val="0"/>
                <w:sz w:val="22"/>
                <w:szCs w:val="22"/>
                <w:highlight w:val="none"/>
              </w:rPr>
            </w:pPr>
            <w:r>
              <w:rPr>
                <w:rFonts w:hint="eastAsia" w:ascii="宋体" w:hAnsi="宋体" w:cs="宋体"/>
                <w:kern w:val="0"/>
                <w:sz w:val="22"/>
                <w:szCs w:val="22"/>
                <w:highlight w:val="none"/>
              </w:rPr>
              <w:t>优秀得3分，一般得2分，差得1分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4077" w:type="dxa"/>
            <w:vAlign w:val="center"/>
          </w:tcPr>
          <w:p>
            <w:pPr>
              <w:widowControl/>
              <w:snapToGrid w:val="0"/>
              <w:spacing w:line="360" w:lineRule="exact"/>
              <w:rPr>
                <w:rFonts w:ascii="宋体" w:hAnsi="宋体"/>
                <w:sz w:val="22"/>
                <w:szCs w:val="22"/>
                <w:highlight w:val="none"/>
              </w:rPr>
            </w:pPr>
            <w:r>
              <w:rPr>
                <w:rFonts w:hint="eastAsia" w:hAnsi="宋体"/>
                <w:sz w:val="22"/>
                <w:szCs w:val="22"/>
                <w:highlight w:val="none"/>
              </w:rPr>
              <w:t>投标人是否具有较强的本地化服务能力、售后服务承诺、提供的售后服务方案的可行性、完整性以及服务承诺落实的保障措施，质保期内外的后续技术支持和维护能力情况等。</w:t>
            </w:r>
          </w:p>
        </w:tc>
        <w:tc>
          <w:tcPr>
            <w:tcW w:w="1843" w:type="dxa"/>
            <w:vAlign w:val="center"/>
          </w:tcPr>
          <w:p>
            <w:pPr>
              <w:widowControl/>
              <w:snapToGrid w:val="0"/>
              <w:spacing w:line="360" w:lineRule="exact"/>
              <w:jc w:val="center"/>
              <w:rPr>
                <w:rFonts w:ascii="宋体" w:hAnsi="宋体"/>
                <w:sz w:val="22"/>
                <w:szCs w:val="22"/>
                <w:highlight w:val="none"/>
              </w:rPr>
            </w:pPr>
            <w:r>
              <w:rPr>
                <w:rFonts w:hint="eastAsia" w:ascii="宋体" w:hAnsi="宋体" w:cs="宋体"/>
                <w:kern w:val="0"/>
                <w:sz w:val="22"/>
                <w:szCs w:val="22"/>
                <w:highlight w:val="none"/>
              </w:rPr>
              <w:t>0-3</w:t>
            </w:r>
          </w:p>
        </w:tc>
        <w:tc>
          <w:tcPr>
            <w:tcW w:w="3402" w:type="dxa"/>
          </w:tcPr>
          <w:p>
            <w:pPr>
              <w:widowControl/>
              <w:snapToGrid w:val="0"/>
              <w:spacing w:line="360" w:lineRule="exact"/>
              <w:jc w:val="center"/>
              <w:rPr>
                <w:rFonts w:ascii="宋体" w:hAnsi="宋体" w:cs="宋体"/>
                <w:kern w:val="0"/>
                <w:sz w:val="22"/>
                <w:szCs w:val="22"/>
                <w:highlight w:val="none"/>
              </w:rPr>
            </w:pPr>
          </w:p>
        </w:tc>
      </w:tr>
    </w:tbl>
    <w:p>
      <w:pPr>
        <w:pStyle w:val="31"/>
        <w:spacing w:line="360" w:lineRule="exact"/>
        <w:rPr>
          <w:rFonts w:hAnsi="宋体" w:cs="Calibri"/>
          <w:b/>
          <w:sz w:val="22"/>
          <w:szCs w:val="22"/>
          <w:highlight w:val="none"/>
        </w:rPr>
      </w:pPr>
      <w:r>
        <w:rPr>
          <w:rFonts w:hAnsi="宋体" w:cs="Calibri"/>
          <w:b/>
          <w:sz w:val="22"/>
          <w:szCs w:val="22"/>
          <w:highlight w:val="none"/>
        </w:rPr>
        <w:t>3.4推荐中标候选人</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w:t>
      </w:r>
      <w:r>
        <w:rPr>
          <w:rFonts w:hint="eastAsia" w:hAnsi="宋体" w:cs="Calibri"/>
          <w:sz w:val="22"/>
          <w:szCs w:val="22"/>
          <w:highlight w:val="none"/>
        </w:rPr>
        <w:t>4</w:t>
      </w:r>
      <w:r>
        <w:rPr>
          <w:rFonts w:hAnsi="宋体" w:cs="Calibri"/>
          <w:sz w:val="22"/>
          <w:szCs w:val="22"/>
          <w:highlight w:val="none"/>
        </w:rPr>
        <w:t>.1当有效投标文件大于等于二名时，评标委员会</w:t>
      </w:r>
      <w:r>
        <w:rPr>
          <w:rFonts w:hint="eastAsia" w:hAnsi="宋体" w:cs="Calibri"/>
          <w:sz w:val="22"/>
          <w:szCs w:val="22"/>
          <w:highlight w:val="none"/>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3.</w:t>
      </w:r>
      <w:r>
        <w:rPr>
          <w:rFonts w:hint="eastAsia" w:hAnsi="宋体" w:cs="Calibri"/>
          <w:sz w:val="22"/>
          <w:szCs w:val="22"/>
          <w:highlight w:val="none"/>
        </w:rPr>
        <w:t>4</w:t>
      </w:r>
      <w:r>
        <w:rPr>
          <w:rFonts w:hAnsi="宋体" w:cs="Calibri"/>
          <w:sz w:val="22"/>
          <w:szCs w:val="22"/>
          <w:highlight w:val="none"/>
        </w:rPr>
        <w:t>.3当有效投标文件只有一名时，则由评标委员会确定是否推荐为中标候选人。</w:t>
      </w:r>
    </w:p>
    <w:p>
      <w:pPr>
        <w:pStyle w:val="31"/>
        <w:spacing w:line="360" w:lineRule="exact"/>
        <w:rPr>
          <w:rFonts w:hAnsi="宋体" w:cs="Calibri"/>
          <w:b/>
          <w:sz w:val="22"/>
          <w:szCs w:val="22"/>
          <w:highlight w:val="none"/>
        </w:rPr>
      </w:pPr>
      <w:r>
        <w:rPr>
          <w:rFonts w:hAnsi="宋体" w:cs="Calibri"/>
          <w:b/>
          <w:sz w:val="22"/>
          <w:szCs w:val="22"/>
          <w:highlight w:val="none"/>
        </w:rPr>
        <w:t>3.</w:t>
      </w:r>
      <w:r>
        <w:rPr>
          <w:rFonts w:hint="eastAsia" w:hAnsi="宋体" w:cs="Calibri"/>
          <w:b/>
          <w:sz w:val="22"/>
          <w:szCs w:val="22"/>
          <w:highlight w:val="none"/>
        </w:rPr>
        <w:t>5</w:t>
      </w:r>
      <w:r>
        <w:rPr>
          <w:rFonts w:hAnsi="宋体" w:cs="Calibri"/>
          <w:b/>
          <w:sz w:val="22"/>
          <w:szCs w:val="22"/>
          <w:highlight w:val="none"/>
        </w:rPr>
        <w:t>评标报告</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highlight w:val="none"/>
        </w:rPr>
      </w:pPr>
      <w:r>
        <w:rPr>
          <w:rFonts w:hAnsi="宋体" w:cs="Calibri"/>
          <w:b/>
          <w:sz w:val="22"/>
          <w:szCs w:val="22"/>
          <w:highlight w:val="none"/>
        </w:rPr>
        <w:t>四、</w:t>
      </w:r>
      <w:r>
        <w:rPr>
          <w:rFonts w:hint="eastAsia" w:hAnsi="宋体" w:cs="Calibri"/>
          <w:b/>
          <w:sz w:val="22"/>
          <w:szCs w:val="22"/>
          <w:highlight w:val="none"/>
        </w:rPr>
        <w:t>定</w:t>
      </w:r>
      <w:r>
        <w:rPr>
          <w:rFonts w:hAnsi="宋体" w:cs="Calibri"/>
          <w:b/>
          <w:sz w:val="22"/>
          <w:szCs w:val="22"/>
          <w:highlight w:val="none"/>
        </w:rPr>
        <w:t>标</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1</w:t>
      </w:r>
      <w:r>
        <w:rPr>
          <w:rFonts w:hAnsi="宋体" w:cs="Calibri"/>
          <w:sz w:val="22"/>
          <w:szCs w:val="22"/>
          <w:highlight w:val="none"/>
        </w:rPr>
        <w:t>招标人将确定评标委员会推荐的</w:t>
      </w:r>
      <w:r>
        <w:rPr>
          <w:rFonts w:hint="eastAsia" w:hAnsi="宋体" w:cs="Calibri"/>
          <w:sz w:val="22"/>
          <w:szCs w:val="22"/>
          <w:highlight w:val="none"/>
        </w:rPr>
        <w:t>第一</w:t>
      </w:r>
      <w:r>
        <w:rPr>
          <w:rFonts w:hAnsi="宋体" w:cs="Calibri"/>
          <w:sz w:val="22"/>
          <w:szCs w:val="22"/>
          <w:highlight w:val="none"/>
        </w:rPr>
        <w:t>中标候选人为中标人。</w:t>
      </w:r>
      <w:r>
        <w:rPr>
          <w:rFonts w:hint="eastAsia" w:hAnsi="宋体" w:cs="Calibri"/>
          <w:sz w:val="22"/>
          <w:szCs w:val="22"/>
          <w:highlight w:val="none"/>
        </w:rPr>
        <w:t>第一</w:t>
      </w:r>
      <w:r>
        <w:rPr>
          <w:rFonts w:hAnsi="宋体" w:cs="Calibri"/>
          <w:sz w:val="22"/>
          <w:szCs w:val="22"/>
          <w:highlight w:val="none"/>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31"/>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4.2</w:t>
      </w:r>
      <w:r>
        <w:rPr>
          <w:rFonts w:hAnsi="宋体" w:cs="Calibri"/>
          <w:sz w:val="22"/>
          <w:szCs w:val="22"/>
          <w:highlight w:val="none"/>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highlight w:val="none"/>
        </w:rPr>
      </w:pPr>
      <w:r>
        <w:rPr>
          <w:rFonts w:hAnsi="宋体" w:cs="Calibri"/>
          <w:sz w:val="22"/>
          <w:szCs w:val="22"/>
          <w:highlight w:val="none"/>
        </w:rPr>
        <w:t>4.</w:t>
      </w:r>
      <w:r>
        <w:rPr>
          <w:rFonts w:hint="eastAsia" w:hAnsi="宋体" w:cs="Calibri"/>
          <w:sz w:val="22"/>
          <w:szCs w:val="22"/>
          <w:highlight w:val="none"/>
        </w:rPr>
        <w:t>3</w:t>
      </w:r>
      <w:r>
        <w:rPr>
          <w:rFonts w:hAnsi="宋体" w:cs="Calibri"/>
          <w:sz w:val="22"/>
          <w:szCs w:val="22"/>
          <w:highlight w:val="none"/>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highlight w:val="none"/>
        </w:rPr>
        <w:t>或</w:t>
      </w:r>
      <w:r>
        <w:rPr>
          <w:rFonts w:hAnsi="宋体" w:cs="Calibri"/>
          <w:sz w:val="22"/>
          <w:szCs w:val="22"/>
          <w:highlight w:val="none"/>
        </w:rPr>
        <w:t>重新招标。</w:t>
      </w:r>
    </w:p>
    <w:p>
      <w:pPr>
        <w:pStyle w:val="31"/>
        <w:adjustRightInd w:val="0"/>
        <w:snapToGrid w:val="0"/>
        <w:spacing w:line="360" w:lineRule="exact"/>
        <w:ind w:firstLine="442" w:firstLineChars="200"/>
        <w:rPr>
          <w:rFonts w:hAnsi="宋体" w:cs="Calibri"/>
          <w:b/>
          <w:sz w:val="22"/>
          <w:szCs w:val="22"/>
          <w:highlight w:val="none"/>
        </w:rPr>
      </w:pPr>
      <w:r>
        <w:rPr>
          <w:rFonts w:hint="eastAsia" w:hAnsi="宋体" w:cs="Calibri"/>
          <w:b/>
          <w:sz w:val="22"/>
          <w:szCs w:val="22"/>
          <w:highlight w:val="none"/>
        </w:rPr>
        <w:t>4.4招标人对评标、定标结果不负责解释。</w:t>
      </w:r>
    </w:p>
    <w:p>
      <w:pPr>
        <w:widowControl/>
        <w:jc w:val="left"/>
        <w:rPr>
          <w:rFonts w:ascii="Cambria" w:hAnsi="Cambria" w:eastAsia="黑体" w:cs="Times New Roman"/>
          <w:b/>
          <w:bCs/>
          <w:kern w:val="0"/>
          <w:sz w:val="32"/>
          <w:szCs w:val="32"/>
          <w:highlight w:val="none"/>
        </w:rPr>
      </w:pPr>
      <w:r>
        <w:rPr>
          <w:highlight w:val="none"/>
        </w:rPr>
        <w:br w:type="page"/>
      </w:r>
    </w:p>
    <w:p>
      <w:pPr>
        <w:pStyle w:val="51"/>
        <w:rPr>
          <w:highlight w:val="none"/>
        </w:rPr>
      </w:pPr>
      <w:bookmarkStart w:id="389" w:name="_Toc321925457"/>
      <w:r>
        <w:rPr>
          <w:highlight w:val="none"/>
        </w:rPr>
        <w:t>第</w:t>
      </w:r>
      <w:r>
        <w:rPr>
          <w:rFonts w:hint="eastAsia"/>
          <w:highlight w:val="none"/>
        </w:rPr>
        <w:t>六</w:t>
      </w:r>
      <w:r>
        <w:rPr>
          <w:highlight w:val="none"/>
        </w:rPr>
        <w:t>章  投标文件格式</w:t>
      </w:r>
      <w:bookmarkEnd w:id="388"/>
      <w:bookmarkEnd w:id="389"/>
    </w:p>
    <w:p>
      <w:pPr>
        <w:spacing w:line="440" w:lineRule="exact"/>
        <w:jc w:val="center"/>
        <w:rPr>
          <w:rFonts w:cs="Calibri"/>
          <w:b/>
          <w:color w:val="000000"/>
          <w:sz w:val="28"/>
          <w:szCs w:val="28"/>
          <w:highlight w:val="none"/>
        </w:rPr>
      </w:pPr>
      <w:r>
        <w:rPr>
          <w:rFonts w:cs="Calibri"/>
          <w:b/>
          <w:color w:val="000000"/>
          <w:sz w:val="28"/>
          <w:szCs w:val="28"/>
          <w:highlight w:val="none"/>
        </w:rPr>
        <w:t>目   录</w:t>
      </w:r>
    </w:p>
    <w:p>
      <w:pPr>
        <w:spacing w:line="440" w:lineRule="exact"/>
        <w:ind w:firstLine="440" w:firstLineChars="200"/>
        <w:rPr>
          <w:rFonts w:ascii="宋体" w:hAnsi="宋体" w:cs="Calibri"/>
          <w:color w:val="000000"/>
          <w:sz w:val="22"/>
          <w:szCs w:val="22"/>
          <w:highlight w:val="none"/>
        </w:rPr>
      </w:pPr>
      <w:r>
        <w:rPr>
          <w:rFonts w:ascii="宋体" w:hAnsi="宋体" w:cs="Calibri"/>
          <w:color w:val="000000"/>
          <w:sz w:val="22"/>
          <w:szCs w:val="22"/>
          <w:highlight w:val="none"/>
        </w:rPr>
        <w:t>封面</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Calibri"/>
          <w:sz w:val="22"/>
          <w:szCs w:val="22"/>
          <w:highlight w:val="none"/>
        </w:rPr>
        <w:t>一、</w:t>
      </w:r>
      <w:r>
        <w:rPr>
          <w:rFonts w:ascii="宋体" w:hAnsi="宋体" w:cs="Calibri"/>
          <w:sz w:val="22"/>
          <w:szCs w:val="22"/>
          <w:highlight w:val="none"/>
        </w:rPr>
        <w:t>投标函；</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二、</w:t>
      </w:r>
      <w:r>
        <w:rPr>
          <w:rFonts w:cs="Calibri" w:asciiTheme="minorEastAsia" w:hAnsiTheme="minorEastAsia"/>
          <w:color w:val="000000"/>
          <w:sz w:val="22"/>
          <w:szCs w:val="22"/>
          <w:highlight w:val="none"/>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三、</w:t>
      </w:r>
      <w:r>
        <w:rPr>
          <w:rFonts w:cs="Calibri" w:asciiTheme="minorEastAsia" w:hAnsiTheme="minorEastAsia"/>
          <w:color w:val="000000"/>
          <w:sz w:val="22"/>
          <w:szCs w:val="22"/>
          <w:highlight w:val="none"/>
        </w:rPr>
        <w:t>授权委托书；</w:t>
      </w:r>
    </w:p>
    <w:p>
      <w:pPr>
        <w:adjustRightInd w:val="0"/>
        <w:snapToGrid w:val="0"/>
        <w:spacing w:line="400" w:lineRule="exact"/>
        <w:ind w:firstLine="440" w:firstLineChars="200"/>
        <w:rPr>
          <w:rFonts w:cs="Calibri" w:asciiTheme="minorEastAsia" w:hAnsiTheme="minorEastAsia"/>
          <w:color w:val="000000"/>
          <w:sz w:val="22"/>
          <w:szCs w:val="22"/>
          <w:highlight w:val="none"/>
        </w:rPr>
      </w:pPr>
      <w:r>
        <w:rPr>
          <w:rFonts w:hint="eastAsia" w:cs="Calibri" w:asciiTheme="minorEastAsia" w:hAnsiTheme="minorEastAsia"/>
          <w:color w:val="000000"/>
          <w:sz w:val="22"/>
          <w:szCs w:val="22"/>
          <w:highlight w:val="none"/>
        </w:rPr>
        <w:t>四、</w:t>
      </w:r>
      <w:r>
        <w:rPr>
          <w:rFonts w:cs="Calibri" w:asciiTheme="minorEastAsia" w:hAnsiTheme="minorEastAsia"/>
          <w:color w:val="000000"/>
          <w:sz w:val="22"/>
          <w:szCs w:val="22"/>
          <w:highlight w:val="none"/>
        </w:rPr>
        <w:t>投标报价表；</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Calibri"/>
          <w:sz w:val="22"/>
          <w:szCs w:val="22"/>
          <w:highlight w:val="none"/>
        </w:rPr>
        <w:t>五、</w:t>
      </w:r>
      <w:r>
        <w:rPr>
          <w:rFonts w:ascii="宋体" w:hAnsi="宋体" w:cs="Calibri"/>
          <w:sz w:val="22"/>
          <w:szCs w:val="22"/>
          <w:highlight w:val="none"/>
        </w:rPr>
        <w:t>投标人资格证明文件：</w:t>
      </w:r>
    </w:p>
    <w:p>
      <w:pPr>
        <w:adjustRightInd w:val="0"/>
        <w:snapToGrid w:val="0"/>
        <w:spacing w:line="400" w:lineRule="exact"/>
        <w:ind w:firstLine="440" w:firstLineChars="200"/>
        <w:rPr>
          <w:rFonts w:ascii="宋体" w:hAnsi="宋体" w:cs="Calibri"/>
          <w:sz w:val="22"/>
          <w:szCs w:val="22"/>
          <w:highlight w:val="none"/>
        </w:rPr>
      </w:pPr>
      <w:r>
        <w:rPr>
          <w:rFonts w:ascii="宋体" w:hAnsi="宋体" w:cs="Calibri"/>
          <w:sz w:val="22"/>
          <w:szCs w:val="22"/>
          <w:highlight w:val="none"/>
        </w:rPr>
        <w:t>（1）</w:t>
      </w:r>
      <w:r>
        <w:rPr>
          <w:rFonts w:cs="Calibri" w:asciiTheme="minorEastAsia" w:hAnsiTheme="minorEastAsia"/>
          <w:color w:val="000000"/>
          <w:sz w:val="22"/>
          <w:szCs w:val="22"/>
          <w:highlight w:val="none"/>
        </w:rPr>
        <w:t>投标人一般情况</w:t>
      </w:r>
      <w:r>
        <w:rPr>
          <w:rFonts w:hint="eastAsia" w:cs="Calibri" w:asciiTheme="minorEastAsia" w:hAnsiTheme="minorEastAsia"/>
          <w:color w:val="000000"/>
          <w:sz w:val="22"/>
          <w:szCs w:val="22"/>
          <w:highlight w:val="none"/>
        </w:rPr>
        <w:t>及</w:t>
      </w:r>
      <w:r>
        <w:rPr>
          <w:rFonts w:cs="Calibri" w:asciiTheme="minorEastAsia" w:hAnsiTheme="minorEastAsia"/>
          <w:color w:val="000000"/>
          <w:sz w:val="22"/>
          <w:szCs w:val="22"/>
          <w:highlight w:val="none"/>
        </w:rPr>
        <w:t>有关证明投标人法律地位的文件</w:t>
      </w:r>
      <w:r>
        <w:rPr>
          <w:rFonts w:hint="eastAsia" w:ascii="宋体" w:hAnsi="宋体" w:cs="Calibri"/>
          <w:sz w:val="22"/>
          <w:szCs w:val="22"/>
          <w:highlight w:val="none"/>
        </w:rPr>
        <w:t>（附营业执照、税务登记证、</w:t>
      </w:r>
      <w:r>
        <w:rPr>
          <w:rFonts w:ascii="宋体" w:hAnsi="宋体" w:cs="Calibri"/>
          <w:sz w:val="22"/>
          <w:szCs w:val="22"/>
          <w:highlight w:val="none"/>
        </w:rPr>
        <w:t>一般纳税人证明材料</w:t>
      </w:r>
      <w:r>
        <w:rPr>
          <w:rFonts w:hint="eastAsia" w:ascii="宋体" w:hAnsi="宋体" w:cs="Calibri"/>
          <w:sz w:val="22"/>
          <w:szCs w:val="22"/>
          <w:highlight w:val="none"/>
        </w:rPr>
        <w:t>、相关</w:t>
      </w:r>
      <w:r>
        <w:rPr>
          <w:rFonts w:ascii="宋体" w:hAnsi="宋体" w:cs="Calibri"/>
          <w:sz w:val="22"/>
          <w:szCs w:val="22"/>
          <w:highlight w:val="none"/>
        </w:rPr>
        <w:t>产品质量认证证书</w:t>
      </w:r>
      <w:r>
        <w:rPr>
          <w:rFonts w:hint="eastAsia" w:ascii="宋体" w:hAnsi="宋体" w:cs="Arial"/>
          <w:kern w:val="0"/>
          <w:sz w:val="22"/>
          <w:szCs w:val="22"/>
          <w:highlight w:val="none"/>
        </w:rPr>
        <w:t>、</w:t>
      </w:r>
      <w:r>
        <w:rPr>
          <w:rFonts w:hint="eastAsia" w:ascii="宋体" w:hAnsi="宋体" w:cs="Calibri"/>
          <w:sz w:val="22"/>
          <w:szCs w:val="22"/>
          <w:highlight w:val="none"/>
        </w:rPr>
        <w:t>相关</w:t>
      </w:r>
      <w:r>
        <w:rPr>
          <w:rFonts w:ascii="宋体" w:hAnsi="宋体" w:cs="Calibri"/>
          <w:sz w:val="22"/>
          <w:szCs w:val="22"/>
          <w:highlight w:val="none"/>
        </w:rPr>
        <w:t>产品鉴定证书</w:t>
      </w:r>
      <w:r>
        <w:rPr>
          <w:rFonts w:hint="eastAsia" w:ascii="宋体" w:hAnsi="宋体" w:cs="Calibri"/>
          <w:sz w:val="22"/>
          <w:szCs w:val="22"/>
          <w:highlight w:val="none"/>
        </w:rPr>
        <w:t>等）。</w:t>
      </w:r>
    </w:p>
    <w:p>
      <w:pPr>
        <w:adjustRightInd w:val="0"/>
        <w:snapToGrid w:val="0"/>
        <w:spacing w:line="400" w:lineRule="exact"/>
        <w:ind w:firstLine="440" w:firstLineChars="200"/>
        <w:rPr>
          <w:rFonts w:ascii="宋体" w:hAnsi="宋体" w:cs="Arial"/>
          <w:kern w:val="0"/>
          <w:sz w:val="22"/>
          <w:szCs w:val="22"/>
          <w:highlight w:val="none"/>
        </w:rPr>
      </w:pPr>
      <w:r>
        <w:rPr>
          <w:rFonts w:hint="eastAsia" w:ascii="宋体" w:hAnsi="宋体" w:cs="Calibri"/>
          <w:sz w:val="22"/>
          <w:szCs w:val="22"/>
          <w:highlight w:val="none"/>
        </w:rPr>
        <w:t>（2）</w:t>
      </w:r>
      <w:r>
        <w:rPr>
          <w:rFonts w:hint="eastAsia" w:ascii="宋体" w:hAnsi="宋体" w:cs="宋体"/>
          <w:sz w:val="22"/>
          <w:szCs w:val="22"/>
          <w:highlight w:val="none"/>
        </w:rPr>
        <w:t>制造商资格声明</w:t>
      </w:r>
      <w:r>
        <w:rPr>
          <w:rFonts w:hint="eastAsia" w:ascii="宋体" w:hAnsi="宋体" w:cs="Arial"/>
          <w:kern w:val="0"/>
          <w:sz w:val="22"/>
          <w:szCs w:val="22"/>
          <w:highlight w:val="none"/>
        </w:rPr>
        <w:t>。</w:t>
      </w:r>
    </w:p>
    <w:p>
      <w:pPr>
        <w:adjustRightInd w:val="0"/>
        <w:snapToGrid w:val="0"/>
        <w:spacing w:line="400" w:lineRule="exact"/>
        <w:ind w:firstLine="440" w:firstLineChars="200"/>
        <w:rPr>
          <w:rFonts w:ascii="宋体" w:hAnsi="宋体" w:cs="Arial"/>
          <w:kern w:val="0"/>
          <w:sz w:val="22"/>
          <w:szCs w:val="22"/>
          <w:highlight w:val="none"/>
        </w:rPr>
      </w:pPr>
      <w:r>
        <w:rPr>
          <w:rFonts w:hint="eastAsia" w:ascii="宋体" w:hAnsi="宋体" w:cs="Arial"/>
          <w:kern w:val="0"/>
          <w:sz w:val="22"/>
          <w:szCs w:val="22"/>
          <w:highlight w:val="none"/>
        </w:rPr>
        <w:t>（3）</w:t>
      </w:r>
      <w:r>
        <w:rPr>
          <w:rFonts w:ascii="宋体" w:hAnsi="宋体" w:cs="Calibri"/>
          <w:color w:val="000000"/>
          <w:sz w:val="22"/>
          <w:szCs w:val="22"/>
          <w:highlight w:val="none"/>
        </w:rPr>
        <w:t>设备制造商的授权书</w:t>
      </w:r>
      <w:r>
        <w:rPr>
          <w:rFonts w:hint="eastAsia" w:ascii="宋体" w:hAnsi="宋体" w:cs="Calibri"/>
          <w:color w:val="000000"/>
          <w:sz w:val="22"/>
          <w:szCs w:val="22"/>
          <w:highlight w:val="none"/>
        </w:rPr>
        <w:t>（代理商投标时提供）</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Arial"/>
          <w:kern w:val="0"/>
          <w:sz w:val="22"/>
          <w:szCs w:val="22"/>
          <w:highlight w:val="none"/>
        </w:rPr>
        <w:t>（4）</w:t>
      </w:r>
      <w:r>
        <w:rPr>
          <w:rFonts w:hint="eastAsia" w:ascii="宋体" w:hAnsi="宋体" w:cs="Calibri"/>
          <w:sz w:val="22"/>
          <w:szCs w:val="22"/>
          <w:highlight w:val="none"/>
        </w:rPr>
        <w:t>投标产品近三年的销售业绩一览表（附业绩的合同）。</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Calibri"/>
          <w:sz w:val="22"/>
          <w:szCs w:val="22"/>
          <w:highlight w:val="none"/>
        </w:rPr>
        <w:t>六、</w:t>
      </w:r>
      <w:r>
        <w:rPr>
          <w:rFonts w:hint="eastAsia" w:ascii="宋体" w:hAnsi="宋体" w:cs="宋体"/>
          <w:sz w:val="22"/>
          <w:szCs w:val="22"/>
          <w:highlight w:val="none"/>
        </w:rPr>
        <w:t>技术规格偏离表；</w:t>
      </w:r>
    </w:p>
    <w:p>
      <w:pPr>
        <w:adjustRightInd w:val="0"/>
        <w:snapToGrid w:val="0"/>
        <w:spacing w:line="400" w:lineRule="exact"/>
        <w:ind w:firstLine="440" w:firstLineChars="200"/>
        <w:rPr>
          <w:rFonts w:ascii="宋体" w:hAnsi="宋体" w:cs="Calibri"/>
          <w:sz w:val="22"/>
          <w:szCs w:val="22"/>
          <w:highlight w:val="none"/>
        </w:rPr>
      </w:pPr>
      <w:r>
        <w:rPr>
          <w:rFonts w:hint="eastAsia" w:ascii="宋体" w:hAnsi="宋体" w:cs="宋体"/>
          <w:sz w:val="22"/>
          <w:szCs w:val="22"/>
          <w:highlight w:val="none"/>
        </w:rPr>
        <w:t>七、商务条款响应偏离表；</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九、技术参数、结构及性能特点等产品技术规格书；</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十、主要原材料及部件性能和生产厂家；</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十一、产品制造、安装、验收标准和验收方法；</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十二、现场指导、调试；</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十三、</w:t>
      </w:r>
      <w:r>
        <w:rPr>
          <w:rFonts w:ascii="宋体" w:hAnsi="宋体" w:cs="宋体"/>
          <w:sz w:val="22"/>
          <w:szCs w:val="22"/>
          <w:highlight w:val="none"/>
        </w:rPr>
        <w:t>产品的技术服务和售后服务的内容、措施、承诺</w:t>
      </w:r>
      <w:r>
        <w:rPr>
          <w:rFonts w:hint="eastAsia" w:ascii="宋体" w:hAnsi="宋体" w:cs="宋体"/>
          <w:sz w:val="22"/>
          <w:szCs w:val="22"/>
          <w:highlight w:val="none"/>
        </w:rPr>
        <w:t>；</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十五、关于质量保证期的说明；</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十七、</w:t>
      </w:r>
      <w:r>
        <w:rPr>
          <w:rFonts w:hint="eastAsia" w:cs="Arial" w:asciiTheme="minorEastAsia" w:hAnsiTheme="minorEastAsia"/>
          <w:color w:val="000000"/>
          <w:sz w:val="22"/>
          <w:szCs w:val="22"/>
          <w:highlight w:val="none"/>
        </w:rPr>
        <w:t>投标人认为</w:t>
      </w:r>
      <w:r>
        <w:rPr>
          <w:rFonts w:cs="Arial" w:asciiTheme="minorEastAsia" w:hAnsiTheme="minorEastAsia"/>
          <w:color w:val="000000"/>
          <w:sz w:val="22"/>
          <w:szCs w:val="22"/>
          <w:highlight w:val="none"/>
        </w:rPr>
        <w:t>应该提供的其他材料</w:t>
      </w:r>
      <w:r>
        <w:rPr>
          <w:rFonts w:hint="eastAsia" w:ascii="宋体" w:hAnsi="宋体" w:cs="宋体"/>
          <w:sz w:val="22"/>
          <w:szCs w:val="22"/>
          <w:highlight w:val="none"/>
        </w:rPr>
        <w:t>。</w:t>
      </w:r>
    </w:p>
    <w:p>
      <w:pPr>
        <w:adjustRightInd w:val="0"/>
        <w:snapToGrid w:val="0"/>
        <w:spacing w:line="400" w:lineRule="exact"/>
        <w:ind w:firstLine="440" w:firstLineChars="200"/>
        <w:rPr>
          <w:rFonts w:ascii="宋体" w:hAnsi="宋体" w:cs="Calibri"/>
          <w:color w:val="000000"/>
          <w:sz w:val="22"/>
          <w:szCs w:val="22"/>
          <w:highlight w:val="none"/>
        </w:rPr>
      </w:pPr>
    </w:p>
    <w:p>
      <w:pPr>
        <w:rPr>
          <w:rFonts w:ascii="宋体" w:hAnsi="宋体" w:cs="Calibri"/>
          <w:sz w:val="22"/>
          <w:szCs w:val="22"/>
          <w:highlight w:val="none"/>
        </w:rPr>
      </w:pPr>
    </w:p>
    <w:p>
      <w:pPr>
        <w:spacing w:line="440" w:lineRule="exact"/>
        <w:rPr>
          <w:rFonts w:ascii="宋体" w:hAnsi="宋体" w:cs="Calibri"/>
          <w:color w:val="000000"/>
          <w:sz w:val="22"/>
          <w:szCs w:val="22"/>
          <w:highlight w:val="none"/>
        </w:rPr>
      </w:pPr>
    </w:p>
    <w:p>
      <w:pPr>
        <w:widowControl/>
        <w:jc w:val="left"/>
        <w:rPr>
          <w:rFonts w:ascii="宋体" w:hAnsi="宋体" w:cs="Calibri"/>
          <w:color w:val="000000"/>
          <w:sz w:val="22"/>
          <w:szCs w:val="22"/>
          <w:highlight w:val="none"/>
        </w:rPr>
      </w:pPr>
      <w:r>
        <w:rPr>
          <w:rFonts w:hint="eastAsia" w:ascii="宋体" w:hAnsi="宋体" w:cs="Calibri"/>
          <w:color w:val="000000"/>
          <w:sz w:val="22"/>
          <w:szCs w:val="22"/>
          <w:highlight w:val="none"/>
        </w:rPr>
        <w:t>注：未提供格式的由投标人自行拟定格式。</w:t>
      </w:r>
    </w:p>
    <w:p>
      <w:pPr>
        <w:widowControl/>
        <w:jc w:val="left"/>
        <w:rPr>
          <w:rFonts w:ascii="宋体" w:hAnsi="宋体" w:cs="Calibri"/>
          <w:color w:val="000000"/>
          <w:highlight w:val="none"/>
        </w:rPr>
      </w:pPr>
      <w:r>
        <w:rPr>
          <w:rFonts w:ascii="宋体" w:hAnsi="宋体" w:cs="Calibri"/>
          <w:color w:val="000000"/>
          <w:highlight w:val="none"/>
        </w:rPr>
        <w:br w:type="page"/>
      </w:r>
    </w:p>
    <w:p>
      <w:pPr>
        <w:spacing w:line="440" w:lineRule="exact"/>
        <w:ind w:right="420"/>
        <w:jc w:val="right"/>
        <w:rPr>
          <w:rFonts w:cs="Calibri"/>
          <w:color w:val="000000"/>
          <w:highlight w:val="none"/>
        </w:rPr>
      </w:pPr>
      <w:r>
        <w:rPr>
          <w:rFonts w:cs="Calibri"/>
          <w:color w:val="000000"/>
          <w:highlight w:val="none"/>
        </w:rPr>
        <w:t>正本（或副本）</w:t>
      </w:r>
    </w:p>
    <w:p>
      <w:pPr>
        <w:spacing w:line="440" w:lineRule="exact"/>
        <w:rPr>
          <w:rFonts w:cs="Calibri"/>
          <w:color w:val="000000"/>
          <w:highlight w:val="none"/>
          <w:u w:val="single"/>
        </w:rPr>
      </w:pPr>
      <w:bookmarkStart w:id="390" w:name="_Toc171421958"/>
      <w:r>
        <w:rPr>
          <w:rFonts w:cs="Calibri"/>
          <w:color w:val="000000"/>
          <w:highlight w:val="none"/>
        </w:rPr>
        <w:t>封面</w:t>
      </w:r>
      <w:bookmarkEnd w:id="390"/>
    </w:p>
    <w:p>
      <w:pPr>
        <w:autoSpaceDE w:val="0"/>
        <w:autoSpaceDN w:val="0"/>
        <w:adjustRightInd w:val="0"/>
        <w:jc w:val="center"/>
        <w:rPr>
          <w:rFonts w:cs="Calibri"/>
          <w:b/>
          <w:spacing w:val="20"/>
          <w:kern w:val="0"/>
          <w:sz w:val="48"/>
          <w:szCs w:val="48"/>
          <w:highlight w:val="none"/>
        </w:rPr>
      </w:pPr>
    </w:p>
    <w:p>
      <w:pPr>
        <w:autoSpaceDE w:val="0"/>
        <w:autoSpaceDN w:val="0"/>
        <w:adjustRightInd w:val="0"/>
        <w:jc w:val="center"/>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hint="eastAsia" w:eastAsia="黑体" w:cs="Calibri"/>
          <w:b/>
          <w:sz w:val="44"/>
          <w:szCs w:val="44"/>
          <w:highlight w:val="none"/>
        </w:rPr>
        <w:t>采购</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highlight w:val="none"/>
        </w:rPr>
      </w:pPr>
    </w:p>
    <w:p>
      <w:pPr>
        <w:spacing w:line="440" w:lineRule="exact"/>
        <w:rPr>
          <w:rFonts w:cs="Calibri"/>
          <w:color w:val="000000"/>
          <w:sz w:val="44"/>
          <w:szCs w:val="44"/>
          <w:highlight w:val="none"/>
        </w:rPr>
      </w:pPr>
    </w:p>
    <w:p>
      <w:pPr>
        <w:spacing w:beforeLines="200" w:afterLines="200" w:line="440" w:lineRule="exact"/>
        <w:jc w:val="center"/>
        <w:rPr>
          <w:rFonts w:cs="Calibri"/>
          <w:b/>
          <w:bCs/>
          <w:color w:val="000000"/>
          <w:sz w:val="84"/>
          <w:szCs w:val="84"/>
          <w:highlight w:val="none"/>
        </w:rPr>
      </w:pPr>
      <w:r>
        <w:rPr>
          <w:rFonts w:cs="Calibri"/>
          <w:b/>
          <w:bCs/>
          <w:color w:val="000000"/>
          <w:sz w:val="84"/>
          <w:szCs w:val="84"/>
          <w:highlight w:val="none"/>
        </w:rPr>
        <w:t>投标文件</w:t>
      </w:r>
    </w:p>
    <w:p>
      <w:pPr>
        <w:spacing w:line="440" w:lineRule="exact"/>
        <w:ind w:firstLine="480" w:firstLineChars="200"/>
        <w:jc w:val="center"/>
        <w:rPr>
          <w:rFonts w:cs="Calibri"/>
          <w:color w:val="000000"/>
          <w:highlight w:val="none"/>
        </w:rPr>
      </w:pPr>
    </w:p>
    <w:p>
      <w:pPr>
        <w:spacing w:line="440" w:lineRule="exact"/>
        <w:ind w:firstLine="480" w:firstLineChars="200"/>
        <w:rPr>
          <w:rFonts w:cs="Calibri"/>
          <w:color w:val="000000"/>
          <w:highlight w:val="none"/>
        </w:rPr>
      </w:pPr>
      <w:r>
        <w:rPr>
          <w:rFonts w:cs="Calibri"/>
          <w:color w:val="000000"/>
          <w:highlight w:val="none"/>
        </w:rPr>
        <w:t xml:space="preserve">                  </w:t>
      </w: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440" w:lineRule="exact"/>
        <w:ind w:firstLine="480" w:firstLineChars="200"/>
        <w:jc w:val="center"/>
        <w:rPr>
          <w:rFonts w:cs="Calibri"/>
          <w:color w:val="000000"/>
          <w:highlight w:val="none"/>
        </w:rPr>
      </w:pPr>
    </w:p>
    <w:p>
      <w:pPr>
        <w:spacing w:line="360" w:lineRule="auto"/>
        <w:ind w:firstLine="1400" w:firstLineChars="50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（盖单位章）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法定代表人或其委托代理人：</w:t>
      </w:r>
      <w:r>
        <w:rPr>
          <w:rFonts w:cs="Calibri"/>
          <w:color w:val="000000"/>
          <w:sz w:val="28"/>
          <w:szCs w:val="28"/>
          <w:highlight w:val="none"/>
          <w:u w:val="single"/>
        </w:rPr>
        <w:t xml:space="preserve">   （签字或盖章）   </w:t>
      </w:r>
    </w:p>
    <w:p>
      <w:pPr>
        <w:spacing w:line="360" w:lineRule="auto"/>
        <w:ind w:firstLine="1400" w:firstLineChars="50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widowControl/>
        <w:jc w:val="left"/>
        <w:rPr>
          <w:rFonts w:ascii="宋体" w:hAnsi="宋体" w:cs="宋体"/>
          <w:b/>
          <w:szCs w:val="21"/>
          <w:highlight w:val="none"/>
        </w:rPr>
      </w:pPr>
    </w:p>
    <w:p>
      <w:pPr>
        <w:widowControl/>
        <w:jc w:val="left"/>
        <w:rPr>
          <w:rFonts w:ascii="宋体" w:hAnsi="宋体" w:cs="宋体"/>
          <w:b/>
          <w:szCs w:val="21"/>
          <w:highlight w:val="none"/>
        </w:rPr>
      </w:pPr>
      <w:r>
        <w:rPr>
          <w:rFonts w:ascii="宋体" w:hAnsi="宋体" w:cs="宋体"/>
          <w:b/>
          <w:szCs w:val="21"/>
          <w:highlight w:val="none"/>
        </w:rPr>
        <w:br w:type="page"/>
      </w:r>
    </w:p>
    <w:p>
      <w:pPr>
        <w:spacing w:line="360" w:lineRule="auto"/>
        <w:jc w:val="left"/>
        <w:rPr>
          <w:rFonts w:ascii="宋体" w:hAnsi="宋体" w:cs="宋体"/>
          <w:b/>
          <w:szCs w:val="21"/>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一、投标函</w:t>
      </w:r>
    </w:p>
    <w:p>
      <w:pPr>
        <w:spacing w:line="440" w:lineRule="exact"/>
        <w:rPr>
          <w:rFonts w:ascii="宋体" w:hAnsi="宋体"/>
          <w:sz w:val="22"/>
          <w:szCs w:val="22"/>
          <w:highlight w:val="none"/>
        </w:rPr>
      </w:pPr>
      <w:r>
        <w:rPr>
          <w:rFonts w:ascii="宋体" w:hAnsi="宋体"/>
          <w:sz w:val="22"/>
          <w:szCs w:val="22"/>
          <w:highlight w:val="none"/>
        </w:rPr>
        <w:t>致：</w:t>
      </w:r>
      <w:r>
        <w:rPr>
          <w:rFonts w:hint="eastAsia" w:ascii="宋体" w:hAnsi="宋体"/>
          <w:sz w:val="22"/>
          <w:szCs w:val="22"/>
          <w:highlight w:val="none"/>
        </w:rPr>
        <w:t>杭州萧山国际机场</w:t>
      </w:r>
      <w:r>
        <w:rPr>
          <w:rFonts w:ascii="宋体" w:hAnsi="宋体"/>
          <w:sz w:val="22"/>
          <w:szCs w:val="22"/>
          <w:highlight w:val="none"/>
        </w:rPr>
        <w:t>有限公司</w:t>
      </w:r>
    </w:p>
    <w:p>
      <w:pPr>
        <w:overflowPunct w:val="0"/>
        <w:autoSpaceDE w:val="0"/>
        <w:autoSpaceDN w:val="0"/>
        <w:spacing w:line="440" w:lineRule="exact"/>
        <w:ind w:firstLine="440" w:firstLineChars="200"/>
        <w:rPr>
          <w:rFonts w:ascii="宋体" w:hAnsi="宋体"/>
          <w:sz w:val="22"/>
          <w:szCs w:val="22"/>
          <w:highlight w:val="none"/>
        </w:rPr>
      </w:pPr>
      <w:r>
        <w:rPr>
          <w:rFonts w:ascii="宋体" w:hAnsi="宋体"/>
          <w:sz w:val="22"/>
          <w:szCs w:val="22"/>
          <w:highlight w:val="none"/>
        </w:rPr>
        <w:t>根据贵方杭州萧山国际机场</w:t>
      </w:r>
      <w:r>
        <w:rPr>
          <w:rFonts w:hint="eastAsia" w:ascii="宋体" w:hAnsi="宋体"/>
          <w:sz w:val="22"/>
          <w:szCs w:val="22"/>
          <w:highlight w:val="none"/>
          <w:u w:val="single"/>
        </w:rPr>
        <w:t xml:space="preserve">             </w:t>
      </w:r>
      <w:r>
        <w:rPr>
          <w:rFonts w:ascii="宋体" w:hAnsi="宋体"/>
          <w:sz w:val="22"/>
          <w:szCs w:val="22"/>
          <w:highlight w:val="none"/>
        </w:rPr>
        <w:t>采购项</w:t>
      </w:r>
      <w:r>
        <w:rPr>
          <w:rFonts w:hint="eastAsia" w:ascii="宋体" w:hAnsi="宋体"/>
          <w:sz w:val="22"/>
          <w:szCs w:val="22"/>
          <w:highlight w:val="none"/>
        </w:rPr>
        <w:t>目</w:t>
      </w:r>
      <w:r>
        <w:rPr>
          <w:rFonts w:ascii="宋体" w:hAnsi="宋体"/>
          <w:sz w:val="22"/>
          <w:szCs w:val="22"/>
          <w:highlight w:val="none"/>
        </w:rPr>
        <w:t>的</w:t>
      </w:r>
      <w:r>
        <w:rPr>
          <w:rFonts w:hint="eastAsia" w:ascii="宋体" w:hAnsi="宋体"/>
          <w:sz w:val="22"/>
          <w:szCs w:val="22"/>
          <w:highlight w:val="none"/>
        </w:rPr>
        <w:t>招标文件</w:t>
      </w:r>
      <w:r>
        <w:rPr>
          <w:rFonts w:ascii="宋体" w:hAnsi="宋体"/>
          <w:sz w:val="22"/>
          <w:szCs w:val="22"/>
          <w:highlight w:val="none"/>
        </w:rPr>
        <w:t>，授权代表</w:t>
      </w:r>
      <w:r>
        <w:rPr>
          <w:rFonts w:ascii="宋体" w:hAnsi="宋体" w:cs="Arial"/>
          <w:sz w:val="22"/>
          <w:szCs w:val="22"/>
          <w:highlight w:val="none"/>
          <w:u w:val="single"/>
        </w:rPr>
        <w:t xml:space="preserve">        </w:t>
      </w:r>
      <w:r>
        <w:rPr>
          <w:rFonts w:ascii="宋体" w:hAnsi="宋体"/>
          <w:sz w:val="22"/>
          <w:szCs w:val="22"/>
          <w:highlight w:val="none"/>
        </w:rPr>
        <w:t>(全名、职务)经正式授权</w:t>
      </w:r>
      <w:r>
        <w:rPr>
          <w:rFonts w:hint="eastAsia" w:ascii="宋体" w:hAnsi="宋体"/>
          <w:sz w:val="22"/>
          <w:szCs w:val="22"/>
          <w:highlight w:val="none"/>
        </w:rPr>
        <w:t>，</w:t>
      </w:r>
      <w:r>
        <w:rPr>
          <w:rFonts w:ascii="宋体" w:hAnsi="宋体"/>
          <w:sz w:val="22"/>
          <w:szCs w:val="22"/>
          <w:highlight w:val="none"/>
        </w:rPr>
        <w:t>代表投标人</w:t>
      </w:r>
      <w:r>
        <w:rPr>
          <w:rFonts w:ascii="宋体" w:hAnsi="宋体" w:cs="Arial"/>
          <w:sz w:val="22"/>
          <w:szCs w:val="22"/>
          <w:highlight w:val="none"/>
          <w:u w:val="single"/>
        </w:rPr>
        <w:t xml:space="preserve">                    </w:t>
      </w:r>
      <w:r>
        <w:rPr>
          <w:rFonts w:ascii="宋体" w:hAnsi="宋体"/>
          <w:sz w:val="22"/>
          <w:szCs w:val="22"/>
          <w:highlight w:val="none"/>
        </w:rPr>
        <w:t>(投标人名称、地址)递交下述文件正本一份</w:t>
      </w:r>
      <w:r>
        <w:rPr>
          <w:rFonts w:hint="eastAsia" w:ascii="宋体" w:hAnsi="宋体"/>
          <w:sz w:val="22"/>
          <w:szCs w:val="22"/>
          <w:highlight w:val="none"/>
        </w:rPr>
        <w:t>、</w:t>
      </w:r>
      <w:r>
        <w:rPr>
          <w:rFonts w:ascii="宋体" w:hAnsi="宋体"/>
          <w:sz w:val="22"/>
          <w:szCs w:val="22"/>
          <w:highlight w:val="none"/>
        </w:rPr>
        <w:t>副本</w:t>
      </w:r>
      <w:r>
        <w:rPr>
          <w:rFonts w:hint="eastAsia" w:ascii="宋体" w:hAnsi="宋体"/>
          <w:sz w:val="22"/>
          <w:szCs w:val="22"/>
          <w:highlight w:val="none"/>
        </w:rPr>
        <w:t>二</w:t>
      </w:r>
      <w:r>
        <w:rPr>
          <w:rFonts w:ascii="宋体" w:hAnsi="宋体"/>
          <w:sz w:val="22"/>
          <w:szCs w:val="22"/>
          <w:highlight w:val="none"/>
        </w:rPr>
        <w:t>份。</w:t>
      </w:r>
    </w:p>
    <w:p>
      <w:pPr>
        <w:overflowPunct w:val="0"/>
        <w:autoSpaceDE w:val="0"/>
        <w:autoSpaceDN w:val="0"/>
        <w:spacing w:line="440" w:lineRule="exact"/>
        <w:ind w:firstLine="440" w:firstLineChars="200"/>
        <w:rPr>
          <w:rFonts w:ascii="宋体" w:hAnsi="宋体" w:cs="Arial"/>
          <w:sz w:val="22"/>
          <w:szCs w:val="22"/>
          <w:highlight w:val="none"/>
        </w:rPr>
      </w:pPr>
      <w:r>
        <w:rPr>
          <w:rFonts w:ascii="宋体" w:hAnsi="宋体" w:cs="Arial"/>
          <w:sz w:val="22"/>
          <w:szCs w:val="22"/>
          <w:highlight w:val="none"/>
        </w:rPr>
        <w:t>据此函，本授权代表宣布同意如下：</w:t>
      </w:r>
    </w:p>
    <w:p>
      <w:pPr>
        <w:numPr>
          <w:ilvl w:val="0"/>
          <w:numId w:val="27"/>
        </w:numPr>
        <w:tabs>
          <w:tab w:val="left" w:pos="840"/>
        </w:tabs>
        <w:overflowPunct w:val="0"/>
        <w:autoSpaceDE w:val="0"/>
        <w:autoSpaceDN w:val="0"/>
        <w:spacing w:line="440" w:lineRule="exact"/>
        <w:rPr>
          <w:rFonts w:ascii="宋体" w:hAnsi="宋体"/>
          <w:sz w:val="22"/>
          <w:szCs w:val="22"/>
          <w:highlight w:val="none"/>
        </w:rPr>
      </w:pPr>
      <w:r>
        <w:rPr>
          <w:rFonts w:ascii="宋体" w:hAnsi="宋体"/>
          <w:sz w:val="22"/>
          <w:szCs w:val="22"/>
          <w:highlight w:val="none"/>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highlight w:val="none"/>
        </w:rPr>
      </w:pPr>
      <w:r>
        <w:rPr>
          <w:rFonts w:ascii="宋体" w:hAnsi="宋体"/>
          <w:sz w:val="22"/>
          <w:szCs w:val="22"/>
          <w:highlight w:val="none"/>
        </w:rPr>
        <w:t>(大写)</w:t>
      </w:r>
      <w:r>
        <w:rPr>
          <w:rFonts w:hint="eastAsia" w:ascii="宋体" w:hAnsi="宋体"/>
          <w:sz w:val="22"/>
          <w:szCs w:val="22"/>
          <w:highlight w:val="none"/>
          <w:u w:val="single"/>
        </w:rPr>
        <w:t xml:space="preserve">                   </w:t>
      </w:r>
      <w:r>
        <w:rPr>
          <w:rFonts w:ascii="宋体" w:hAnsi="宋体"/>
          <w:sz w:val="22"/>
          <w:szCs w:val="22"/>
          <w:highlight w:val="none"/>
        </w:rPr>
        <w:t>(小写)</w:t>
      </w:r>
      <w:r>
        <w:rPr>
          <w:rFonts w:ascii="宋体" w:hAnsi="宋体"/>
          <w:sz w:val="22"/>
          <w:szCs w:val="22"/>
          <w:highlight w:val="none"/>
          <w:u w:val="single"/>
        </w:rPr>
        <w:t xml:space="preserve">             </w:t>
      </w:r>
      <w:r>
        <w:rPr>
          <w:rFonts w:ascii="宋体" w:hAnsi="宋体"/>
          <w:sz w:val="22"/>
          <w:szCs w:val="22"/>
          <w:highlight w:val="none"/>
        </w:rPr>
        <w:t>。</w:t>
      </w:r>
    </w:p>
    <w:p>
      <w:pPr>
        <w:overflowPunct w:val="0"/>
        <w:autoSpaceDE w:val="0"/>
        <w:autoSpaceDN w:val="0"/>
        <w:spacing w:line="440" w:lineRule="exact"/>
        <w:ind w:left="475" w:leftChars="198" w:firstLine="440" w:firstLineChars="200"/>
        <w:rPr>
          <w:rFonts w:ascii="宋体" w:hAnsi="宋体"/>
          <w:sz w:val="22"/>
          <w:szCs w:val="22"/>
          <w:highlight w:val="none"/>
        </w:rPr>
      </w:pPr>
      <w:r>
        <w:rPr>
          <w:rFonts w:hint="eastAsia" w:ascii="宋体" w:hAnsi="宋体"/>
          <w:sz w:val="22"/>
          <w:szCs w:val="22"/>
          <w:highlight w:val="none"/>
        </w:rPr>
        <w:t>供货期：合同签订后</w:t>
      </w:r>
      <w:r>
        <w:rPr>
          <w:rFonts w:hint="eastAsia" w:ascii="宋体" w:hAnsi="宋体"/>
          <w:sz w:val="22"/>
          <w:szCs w:val="22"/>
          <w:highlight w:val="none"/>
          <w:u w:val="single"/>
        </w:rPr>
        <w:t xml:space="preserve">      </w:t>
      </w:r>
      <w:r>
        <w:rPr>
          <w:rFonts w:hint="eastAsia" w:ascii="宋体" w:hAnsi="宋体"/>
          <w:sz w:val="22"/>
          <w:szCs w:val="22"/>
          <w:highlight w:val="none"/>
        </w:rPr>
        <w:t>日历天、投标品牌：</w:t>
      </w:r>
      <w:r>
        <w:rPr>
          <w:rFonts w:hint="eastAsia" w:ascii="宋体" w:hAnsi="宋体"/>
          <w:sz w:val="22"/>
          <w:szCs w:val="22"/>
          <w:highlight w:val="none"/>
          <w:u w:val="single"/>
        </w:rPr>
        <w:t xml:space="preserve">        </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投标人将按投标文件的规定履行合同责任和义务。</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投标人已详细审查全部招标文件包括澄清函和修改文件(如果有)、所有已提供的资料以及有关附件，</w:t>
      </w:r>
      <w:r>
        <w:rPr>
          <w:rFonts w:hint="eastAsia"/>
          <w:sz w:val="22"/>
          <w:szCs w:val="22"/>
          <w:highlight w:val="none"/>
        </w:rPr>
        <w:t>投标人已完全理解上述文件的全部内容，并放弃提出任何误解或不明作为抗辩的权利</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本投标的投标有效期为自</w:t>
      </w:r>
      <w:r>
        <w:rPr>
          <w:rFonts w:hint="eastAsia" w:ascii="宋体" w:hAnsi="宋体"/>
          <w:sz w:val="22"/>
          <w:szCs w:val="22"/>
          <w:highlight w:val="none"/>
        </w:rPr>
        <w:t>投标截止</w:t>
      </w:r>
      <w:r>
        <w:rPr>
          <w:rFonts w:ascii="宋体" w:hAnsi="宋体"/>
          <w:sz w:val="22"/>
          <w:szCs w:val="22"/>
          <w:highlight w:val="none"/>
        </w:rPr>
        <w:t>之日起</w:t>
      </w:r>
      <w:r>
        <w:rPr>
          <w:rFonts w:hint="eastAsia" w:ascii="宋体" w:hAnsi="宋体"/>
          <w:sz w:val="22"/>
          <w:szCs w:val="22"/>
          <w:highlight w:val="none"/>
        </w:rPr>
        <w:t>120</w:t>
      </w:r>
      <w:r>
        <w:rPr>
          <w:rFonts w:ascii="宋体" w:hAnsi="宋体"/>
          <w:sz w:val="22"/>
          <w:szCs w:val="22"/>
          <w:highlight w:val="none"/>
        </w:rPr>
        <w:t>日</w:t>
      </w:r>
      <w:r>
        <w:rPr>
          <w:rFonts w:hint="eastAsia" w:ascii="宋体" w:hAnsi="宋体"/>
          <w:sz w:val="22"/>
          <w:szCs w:val="22"/>
          <w:highlight w:val="none"/>
        </w:rPr>
        <w:t>内</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投标人完全清楚并理解在投标有效期期满之前撤回投标，招标人有权</w:t>
      </w:r>
      <w:r>
        <w:rPr>
          <w:rFonts w:hint="eastAsia" w:ascii="宋体" w:hAnsi="宋体" w:cs="宋体"/>
          <w:sz w:val="22"/>
          <w:szCs w:val="22"/>
          <w:highlight w:val="none"/>
        </w:rPr>
        <w:t>不予退还</w:t>
      </w:r>
      <w:r>
        <w:rPr>
          <w:rFonts w:ascii="宋体" w:hAnsi="宋体"/>
          <w:sz w:val="22"/>
          <w:szCs w:val="22"/>
          <w:highlight w:val="none"/>
        </w:rPr>
        <w:t>投标人的</w:t>
      </w:r>
      <w:r>
        <w:rPr>
          <w:rFonts w:hint="eastAsia" w:ascii="宋体" w:hAnsi="宋体"/>
          <w:sz w:val="22"/>
          <w:szCs w:val="22"/>
          <w:highlight w:val="none"/>
        </w:rPr>
        <w:t>投标保证金及银行同期存款利息</w:t>
      </w:r>
      <w:r>
        <w:rPr>
          <w:rFonts w:ascii="宋体" w:hAnsi="宋体"/>
          <w:sz w:val="22"/>
          <w:szCs w:val="22"/>
          <w:highlight w:val="none"/>
        </w:rPr>
        <w:t>。</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投标人同意按照贵方可能提出的要求提供与其投标有关的任何其它数字或资料，并对贵方可能不接受最低价投标及任何投标表示理解。</w:t>
      </w:r>
    </w:p>
    <w:p>
      <w:pPr>
        <w:numPr>
          <w:ilvl w:val="0"/>
          <w:numId w:val="27"/>
        </w:numPr>
        <w:tabs>
          <w:tab w:val="left" w:pos="840"/>
        </w:tabs>
        <w:overflowPunct w:val="0"/>
        <w:autoSpaceDE w:val="0"/>
        <w:autoSpaceDN w:val="0"/>
        <w:spacing w:line="440" w:lineRule="exact"/>
        <w:ind w:left="840" w:hanging="420"/>
        <w:rPr>
          <w:rFonts w:ascii="宋体" w:hAnsi="宋体"/>
          <w:sz w:val="22"/>
          <w:szCs w:val="22"/>
          <w:highlight w:val="none"/>
        </w:rPr>
      </w:pPr>
      <w:r>
        <w:rPr>
          <w:rFonts w:ascii="宋体" w:hAnsi="宋体"/>
          <w:sz w:val="22"/>
          <w:szCs w:val="22"/>
          <w:highlight w:val="none"/>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highlight w:val="none"/>
        </w:rPr>
      </w:pPr>
    </w:p>
    <w:p>
      <w:pPr>
        <w:snapToGrid w:val="0"/>
        <w:spacing w:line="440" w:lineRule="exact"/>
        <w:ind w:firstLine="3300" w:firstLineChars="1500"/>
        <w:rPr>
          <w:rFonts w:ascii="宋体" w:hAnsi="宋体"/>
          <w:sz w:val="22"/>
          <w:szCs w:val="22"/>
          <w:highlight w:val="none"/>
        </w:rPr>
      </w:pP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投标人：（盖单位章）</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地    址：</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邮政编码：</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电    话：</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传    真：</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开户银行：</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账    号：</w:t>
      </w:r>
    </w:p>
    <w:p>
      <w:pPr>
        <w:snapToGrid w:val="0"/>
        <w:spacing w:line="440" w:lineRule="exact"/>
        <w:ind w:firstLine="3300" w:firstLineChars="1500"/>
        <w:rPr>
          <w:rFonts w:cs="Calibri" w:asciiTheme="minorEastAsia" w:hAnsiTheme="minorEastAsia"/>
          <w:color w:val="000000"/>
          <w:sz w:val="22"/>
          <w:szCs w:val="22"/>
          <w:highlight w:val="none"/>
        </w:rPr>
      </w:pPr>
      <w:r>
        <w:rPr>
          <w:rFonts w:cs="Calibri" w:asciiTheme="minorEastAsia" w:hAnsiTheme="minorEastAsia"/>
          <w:color w:val="000000"/>
          <w:sz w:val="22"/>
          <w:szCs w:val="22"/>
          <w:highlight w:val="none"/>
        </w:rPr>
        <w:t>日    期：    年     月     日</w:t>
      </w:r>
    </w:p>
    <w:p>
      <w:pPr>
        <w:adjustRightInd w:val="0"/>
        <w:snapToGrid w:val="0"/>
        <w:jc w:val="center"/>
        <w:rPr>
          <w:rFonts w:eastAsia="黑体" w:cs="Calibri"/>
          <w:color w:val="000000"/>
          <w:sz w:val="32"/>
          <w:szCs w:val="32"/>
          <w:highlight w:val="none"/>
        </w:rPr>
      </w:pPr>
      <w:r>
        <w:rPr>
          <w:rFonts w:ascii="宋体" w:hAnsi="宋体" w:cs="Arial"/>
          <w:sz w:val="22"/>
          <w:szCs w:val="22"/>
          <w:highlight w:val="none"/>
        </w:rPr>
        <w:br w:type="page"/>
      </w:r>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p>
    <w:p>
      <w:pPr>
        <w:spacing w:afterLines="50" w:line="440" w:lineRule="exact"/>
        <w:rPr>
          <w:rFonts w:cs="Calibri"/>
          <w:color w:val="000000"/>
          <w:highlight w:val="none"/>
        </w:rPr>
      </w:pPr>
    </w:p>
    <w:p>
      <w:pPr>
        <w:spacing w:afterLines="50" w:line="440" w:lineRule="exact"/>
        <w:rPr>
          <w:rFonts w:cs="Calibri"/>
          <w:color w:val="000000"/>
          <w:sz w:val="22"/>
          <w:szCs w:val="22"/>
          <w:highlight w:val="none"/>
          <w:u w:val="single"/>
        </w:rPr>
      </w:pPr>
      <w:r>
        <w:rPr>
          <w:rFonts w:cs="Calibri"/>
          <w:color w:val="000000"/>
          <w:sz w:val="22"/>
          <w:szCs w:val="22"/>
          <w:highlight w:val="none"/>
        </w:rPr>
        <w:t>投标人名称：</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单位性质：</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地址：</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成立时间：</w:t>
      </w:r>
      <w:r>
        <w:rPr>
          <w:rFonts w:cs="Calibri"/>
          <w:color w:val="000000"/>
          <w:sz w:val="22"/>
          <w:szCs w:val="22"/>
          <w:highlight w:val="none"/>
          <w:u w:val="single"/>
        </w:rPr>
        <w:t xml:space="preserve">          </w:t>
      </w:r>
      <w:r>
        <w:rPr>
          <w:rFonts w:cs="Calibri"/>
          <w:color w:val="000000"/>
          <w:sz w:val="22"/>
          <w:szCs w:val="22"/>
          <w:highlight w:val="none"/>
        </w:rPr>
        <w:t>年</w:t>
      </w:r>
      <w:r>
        <w:rPr>
          <w:rFonts w:cs="Calibri"/>
          <w:color w:val="000000"/>
          <w:sz w:val="22"/>
          <w:szCs w:val="22"/>
          <w:highlight w:val="none"/>
          <w:u w:val="single"/>
        </w:rPr>
        <w:t xml:space="preserve">           </w:t>
      </w:r>
      <w:r>
        <w:rPr>
          <w:rFonts w:cs="Calibri"/>
          <w:color w:val="000000"/>
          <w:sz w:val="22"/>
          <w:szCs w:val="22"/>
          <w:highlight w:val="none"/>
        </w:rPr>
        <w:t>月</w:t>
      </w:r>
      <w:r>
        <w:rPr>
          <w:rFonts w:cs="Calibri"/>
          <w:color w:val="000000"/>
          <w:sz w:val="22"/>
          <w:szCs w:val="22"/>
          <w:highlight w:val="none"/>
          <w:u w:val="single"/>
        </w:rPr>
        <w:t xml:space="preserve">           </w:t>
      </w:r>
      <w:r>
        <w:rPr>
          <w:rFonts w:cs="Calibri"/>
          <w:color w:val="000000"/>
          <w:sz w:val="22"/>
          <w:szCs w:val="22"/>
          <w:highlight w:val="none"/>
        </w:rPr>
        <w:t>日</w:t>
      </w:r>
    </w:p>
    <w:p>
      <w:pPr>
        <w:spacing w:afterLines="50" w:line="440" w:lineRule="exact"/>
        <w:rPr>
          <w:rFonts w:cs="Calibri"/>
          <w:color w:val="000000"/>
          <w:sz w:val="22"/>
          <w:szCs w:val="22"/>
          <w:highlight w:val="none"/>
          <w:u w:val="single"/>
        </w:rPr>
      </w:pPr>
      <w:r>
        <w:rPr>
          <w:rFonts w:cs="Calibri"/>
          <w:color w:val="000000"/>
          <w:sz w:val="22"/>
          <w:szCs w:val="22"/>
          <w:highlight w:val="none"/>
        </w:rPr>
        <w:t>经营期限：</w:t>
      </w:r>
      <w:r>
        <w:rPr>
          <w:rFonts w:cs="Calibri"/>
          <w:color w:val="000000"/>
          <w:sz w:val="22"/>
          <w:szCs w:val="22"/>
          <w:highlight w:val="none"/>
          <w:u w:val="singl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姓名：</w:t>
      </w:r>
      <w:r>
        <w:rPr>
          <w:rFonts w:cs="Calibri"/>
          <w:color w:val="000000"/>
          <w:sz w:val="22"/>
          <w:szCs w:val="22"/>
          <w:highlight w:val="none"/>
          <w:u w:val="single"/>
        </w:rPr>
        <w:t xml:space="preserve">         </w:t>
      </w:r>
      <w:r>
        <w:rPr>
          <w:rFonts w:cs="Calibri"/>
          <w:color w:val="000000"/>
          <w:sz w:val="22"/>
          <w:szCs w:val="22"/>
          <w:highlight w:val="none"/>
        </w:rPr>
        <w:t xml:space="preserve">  性别：</w:t>
      </w:r>
      <w:r>
        <w:rPr>
          <w:rFonts w:cs="Calibri"/>
          <w:color w:val="000000"/>
          <w:sz w:val="22"/>
          <w:szCs w:val="22"/>
          <w:highlight w:val="none"/>
          <w:u w:val="single"/>
        </w:rPr>
        <w:t xml:space="preserve">         </w:t>
      </w:r>
      <w:r>
        <w:rPr>
          <w:rFonts w:cs="Calibri"/>
          <w:color w:val="000000"/>
          <w:sz w:val="22"/>
          <w:szCs w:val="22"/>
          <w:highlight w:val="none"/>
        </w:rPr>
        <w:t xml:space="preserve">  年龄：</w:t>
      </w:r>
      <w:r>
        <w:rPr>
          <w:rFonts w:cs="Calibri"/>
          <w:color w:val="000000"/>
          <w:sz w:val="22"/>
          <w:szCs w:val="22"/>
          <w:highlight w:val="none"/>
          <w:u w:val="single"/>
        </w:rPr>
        <w:t xml:space="preserve">         </w:t>
      </w:r>
      <w:r>
        <w:rPr>
          <w:rFonts w:cs="Calibri"/>
          <w:color w:val="000000"/>
          <w:sz w:val="22"/>
          <w:szCs w:val="22"/>
          <w:highlight w:val="none"/>
        </w:rPr>
        <w:t xml:space="preserve">  职务：</w:t>
      </w:r>
      <w:r>
        <w:rPr>
          <w:rFonts w:cs="Calibri"/>
          <w:color w:val="000000"/>
          <w:sz w:val="22"/>
          <w:szCs w:val="22"/>
          <w:highlight w:val="none"/>
          <w:u w:val="single"/>
        </w:rPr>
        <w:t xml:space="preserve">         </w:t>
      </w:r>
      <w:r>
        <w:rPr>
          <w:rFonts w:cs="Calibri"/>
          <w:color w:val="000000"/>
          <w:sz w:val="22"/>
          <w:szCs w:val="22"/>
          <w:highlight w:val="none"/>
        </w:rPr>
        <w:t xml:space="preserve">  </w:t>
      </w:r>
    </w:p>
    <w:p>
      <w:pPr>
        <w:spacing w:afterLines="50" w:line="440" w:lineRule="exact"/>
        <w:rPr>
          <w:rFonts w:cs="Calibri"/>
          <w:color w:val="000000"/>
          <w:sz w:val="22"/>
          <w:szCs w:val="22"/>
          <w:highlight w:val="none"/>
          <w:u w:val="single"/>
        </w:rPr>
      </w:pPr>
      <w:r>
        <w:rPr>
          <w:rFonts w:cs="Calibri"/>
          <w:color w:val="000000"/>
          <w:sz w:val="22"/>
          <w:szCs w:val="22"/>
          <w:highlight w:val="none"/>
        </w:rPr>
        <w:t>身份证号码：</w:t>
      </w:r>
      <w:r>
        <w:rPr>
          <w:rFonts w:cs="Calibri"/>
          <w:color w:val="000000"/>
          <w:sz w:val="22"/>
          <w:szCs w:val="22"/>
          <w:highlight w:val="none"/>
          <w:u w:val="single"/>
        </w:rPr>
        <w:t xml:space="preserve">                           </w:t>
      </w:r>
    </w:p>
    <w:p>
      <w:pPr>
        <w:spacing w:line="440" w:lineRule="exact"/>
        <w:ind w:firstLine="560"/>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 xml:space="preserve">    系</w:t>
      </w:r>
      <w:r>
        <w:rPr>
          <w:rFonts w:cs="Calibri"/>
          <w:color w:val="000000"/>
          <w:sz w:val="22"/>
          <w:szCs w:val="22"/>
          <w:highlight w:val="none"/>
          <w:u w:val="single"/>
        </w:rPr>
        <w:t xml:space="preserve">                          </w:t>
      </w:r>
      <w:r>
        <w:rPr>
          <w:rFonts w:cs="Calibri"/>
          <w:color w:val="000000"/>
          <w:sz w:val="22"/>
          <w:szCs w:val="22"/>
          <w:highlight w:val="none"/>
        </w:rPr>
        <w:t>（投标人名称）的法定代表人。</w:t>
      </w:r>
    </w:p>
    <w:p>
      <w:pPr>
        <w:spacing w:line="440" w:lineRule="exact"/>
        <w:ind w:firstLine="560"/>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特此证明。</w:t>
      </w:r>
    </w:p>
    <w:p>
      <w:pPr>
        <w:spacing w:line="440" w:lineRule="exact"/>
        <w:rPr>
          <w:rFonts w:cs="Calibri"/>
          <w:color w:val="000000"/>
          <w:sz w:val="22"/>
          <w:szCs w:val="22"/>
          <w:highlight w:val="none"/>
        </w:rPr>
      </w:pPr>
      <w:r>
        <w:rPr>
          <w:rFonts w:cs="Calibri"/>
          <w:color w:val="000000"/>
          <w:sz w:val="22"/>
          <w:szCs w:val="22"/>
          <w:highlight w:val="none"/>
        </w:rPr>
        <w:t>附：法定代表人身份证复印件</w:t>
      </w:r>
    </w:p>
    <w:p>
      <w:pPr>
        <w:spacing w:line="440" w:lineRule="exact"/>
        <w:rPr>
          <w:rFonts w:cs="Calibri"/>
          <w:color w:val="000000"/>
          <w:sz w:val="22"/>
          <w:szCs w:val="22"/>
          <w:highlight w:val="none"/>
        </w:rPr>
      </w:pPr>
      <w:r>
        <w:rPr>
          <w:rFonts w:cs="Calibri"/>
          <w:color w:val="000000"/>
          <w:sz w:val="22"/>
          <w:szCs w:val="22"/>
          <w:highlight w:val="none"/>
        </w:rPr>
        <w:t xml:space="preserve">投标人：（盖单位章） </w:t>
      </w:r>
    </w:p>
    <w:p>
      <w:pPr>
        <w:spacing w:line="440" w:lineRule="exact"/>
        <w:ind w:firstLine="4936" w:firstLineChars="2235"/>
        <w:rPr>
          <w:rFonts w:cs="Calibri"/>
          <w:b/>
          <w:color w:val="000000"/>
          <w:sz w:val="22"/>
          <w:szCs w:val="22"/>
          <w:highlight w:val="none"/>
        </w:rPr>
      </w:pPr>
      <w:r>
        <w:rPr>
          <w:rFonts w:cs="Calibri"/>
          <w:b/>
          <w:color w:val="000000"/>
          <w:sz w:val="22"/>
          <w:szCs w:val="22"/>
          <w:highlight w:val="none"/>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highlight w:val="none"/>
        </w:rPr>
        <w:t>日期：   年    月    日</w:t>
      </w:r>
    </w:p>
    <w:p>
      <w:pPr>
        <w:spacing w:line="440" w:lineRule="exact"/>
        <w:jc w:val="center"/>
        <w:rPr>
          <w:rFonts w:eastAsia="黑体" w:cs="Calibri"/>
          <w:color w:val="000000"/>
          <w:sz w:val="28"/>
          <w:szCs w:val="28"/>
          <w:highlight w:val="none"/>
        </w:rPr>
      </w:pPr>
      <w:r>
        <w:rPr>
          <w:rFonts w:cs="Calibri"/>
          <w:color w:val="000000"/>
          <w:szCs w:val="21"/>
          <w:highlight w:val="none"/>
        </w:rPr>
        <w:br w:type="page"/>
      </w:r>
      <w:r>
        <w:rPr>
          <w:rFonts w:hint="eastAsia" w:eastAsia="黑体" w:cs="Calibri"/>
          <w:color w:val="000000"/>
          <w:sz w:val="32"/>
          <w:szCs w:val="32"/>
          <w:highlight w:val="none"/>
        </w:rPr>
        <w:t>三</w:t>
      </w:r>
      <w:r>
        <w:rPr>
          <w:rFonts w:eastAsia="黑体" w:cs="Calibri"/>
          <w:color w:val="000000"/>
          <w:sz w:val="32"/>
          <w:szCs w:val="32"/>
          <w:highlight w:val="none"/>
        </w:rPr>
        <w:t>、授权委托书</w:t>
      </w:r>
    </w:p>
    <w:p>
      <w:pPr>
        <w:spacing w:line="440" w:lineRule="exact"/>
        <w:ind w:firstLine="480" w:firstLineChars="200"/>
        <w:rPr>
          <w:rFonts w:cs="Calibri"/>
          <w:color w:val="000000"/>
          <w:szCs w:val="21"/>
          <w:highlight w:val="none"/>
        </w:rPr>
      </w:pPr>
    </w:p>
    <w:p>
      <w:pPr>
        <w:spacing w:line="440" w:lineRule="exact"/>
        <w:ind w:firstLine="440" w:firstLineChars="200"/>
        <w:rPr>
          <w:rFonts w:cs="Calibri"/>
          <w:color w:val="000000"/>
          <w:sz w:val="22"/>
          <w:szCs w:val="22"/>
          <w:highlight w:val="none"/>
        </w:rPr>
      </w:pPr>
      <w:r>
        <w:rPr>
          <w:rFonts w:cs="Calibri"/>
          <w:color w:val="000000"/>
          <w:sz w:val="22"/>
          <w:szCs w:val="22"/>
          <w:highlight w:val="none"/>
        </w:rPr>
        <w:t>本人</w:t>
      </w:r>
      <w:r>
        <w:rPr>
          <w:rFonts w:cs="Calibri"/>
          <w:color w:val="000000"/>
          <w:sz w:val="22"/>
          <w:szCs w:val="22"/>
          <w:highlight w:val="none"/>
          <w:u w:val="single"/>
        </w:rPr>
        <w:t xml:space="preserve">        </w:t>
      </w:r>
      <w:r>
        <w:rPr>
          <w:rFonts w:cs="Calibri"/>
          <w:color w:val="000000"/>
          <w:sz w:val="22"/>
          <w:szCs w:val="22"/>
          <w:highlight w:val="none"/>
        </w:rPr>
        <w:t>（姓名）系</w:t>
      </w:r>
      <w:r>
        <w:rPr>
          <w:rFonts w:cs="Calibri"/>
          <w:color w:val="000000"/>
          <w:sz w:val="22"/>
          <w:szCs w:val="22"/>
          <w:highlight w:val="none"/>
          <w:u w:val="single"/>
        </w:rPr>
        <w:t xml:space="preserve">                </w:t>
      </w:r>
      <w:r>
        <w:rPr>
          <w:rFonts w:cs="Calibri"/>
          <w:color w:val="000000"/>
          <w:sz w:val="22"/>
          <w:szCs w:val="22"/>
          <w:highlight w:val="none"/>
        </w:rPr>
        <w:t>（投标人名称）的法定代表人，现委托</w:t>
      </w:r>
      <w:r>
        <w:rPr>
          <w:rFonts w:cs="Calibri"/>
          <w:color w:val="000000"/>
          <w:sz w:val="22"/>
          <w:szCs w:val="22"/>
          <w:highlight w:val="none"/>
          <w:u w:val="single"/>
        </w:rPr>
        <w:t xml:space="preserve">      </w:t>
      </w:r>
      <w:r>
        <w:rPr>
          <w:rFonts w:cs="Calibri"/>
          <w:color w:val="000000"/>
          <w:sz w:val="22"/>
          <w:szCs w:val="22"/>
          <w:highlight w:val="none"/>
        </w:rPr>
        <w:t>（姓名）为我方代理人。代理人根据授权，以我方名义签署、澄清、说明、补正、递交、撤回、修改</w:t>
      </w:r>
      <w:r>
        <w:rPr>
          <w:rFonts w:cs="Calibri"/>
          <w:color w:val="000000"/>
          <w:sz w:val="22"/>
          <w:szCs w:val="22"/>
          <w:highlight w:val="none"/>
          <w:u w:val="single"/>
        </w:rPr>
        <w:t xml:space="preserve">              </w:t>
      </w:r>
      <w:r>
        <w:rPr>
          <w:rFonts w:cs="Calibri"/>
          <w:color w:val="000000"/>
          <w:sz w:val="22"/>
          <w:szCs w:val="22"/>
          <w:highlight w:val="none"/>
        </w:rPr>
        <w:t>（项目名称）投标文件、签订合同和处理有关事宜，其法律后果由我方承担。</w:t>
      </w:r>
    </w:p>
    <w:p>
      <w:pPr>
        <w:spacing w:line="440" w:lineRule="exact"/>
        <w:ind w:firstLine="440" w:firstLineChars="200"/>
        <w:rPr>
          <w:rFonts w:cs="Calibri"/>
          <w:color w:val="000000"/>
          <w:sz w:val="22"/>
          <w:szCs w:val="22"/>
          <w:highlight w:val="none"/>
        </w:rPr>
      </w:pPr>
      <w:r>
        <w:rPr>
          <w:rFonts w:cs="Calibri"/>
          <w:color w:val="000000"/>
          <w:sz w:val="22"/>
          <w:szCs w:val="22"/>
          <w:highlight w:val="none"/>
        </w:rPr>
        <w:t>代理人无转委托权。</w:t>
      </w:r>
    </w:p>
    <w:p>
      <w:pPr>
        <w:spacing w:line="440" w:lineRule="exact"/>
        <w:ind w:firstLine="440" w:firstLineChars="200"/>
        <w:rPr>
          <w:rFonts w:cs="Calibri"/>
          <w:color w:val="000000"/>
          <w:sz w:val="22"/>
          <w:szCs w:val="22"/>
          <w:highlight w:val="none"/>
        </w:rPr>
      </w:pPr>
      <w:r>
        <w:rPr>
          <w:rFonts w:cs="Calibri"/>
          <w:color w:val="000000"/>
          <w:sz w:val="22"/>
          <w:szCs w:val="22"/>
          <w:highlight w:val="none"/>
        </w:rPr>
        <w:t>附：委托代理人身份证复印件</w:t>
      </w:r>
    </w:p>
    <w:p>
      <w:pPr>
        <w:spacing w:line="440" w:lineRule="exact"/>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投标人：（盖单位章）</w:t>
      </w:r>
    </w:p>
    <w:p>
      <w:pPr>
        <w:spacing w:line="440" w:lineRule="exact"/>
        <w:rPr>
          <w:rFonts w:cs="Calibri"/>
          <w:color w:val="000000"/>
          <w:sz w:val="22"/>
          <w:szCs w:val="22"/>
          <w:highlight w:val="none"/>
        </w:rPr>
      </w:pPr>
      <w:r>
        <w:rPr>
          <w:rFonts w:cs="Calibri"/>
          <w:color w:val="000000"/>
          <w:sz w:val="22"/>
          <w:szCs w:val="22"/>
          <w:highlight w:val="none"/>
        </w:rPr>
        <w:t>法定代表人：（签字或盖章）</w:t>
      </w:r>
    </w:p>
    <w:p>
      <w:pPr>
        <w:spacing w:line="440" w:lineRule="exact"/>
        <w:rPr>
          <w:rFonts w:cs="Calibri"/>
          <w:color w:val="000000"/>
          <w:sz w:val="22"/>
          <w:szCs w:val="22"/>
          <w:highlight w:val="none"/>
        </w:rPr>
      </w:pPr>
      <w:r>
        <w:rPr>
          <w:rFonts w:cs="Calibri"/>
          <w:color w:val="000000"/>
          <w:sz w:val="22"/>
          <w:szCs w:val="22"/>
          <w:highlight w:val="none"/>
        </w:rPr>
        <w:t>身份证号码：</w:t>
      </w:r>
    </w:p>
    <w:p>
      <w:pPr>
        <w:spacing w:line="440" w:lineRule="exact"/>
        <w:rPr>
          <w:rFonts w:cs="Calibri"/>
          <w:color w:val="000000"/>
          <w:sz w:val="22"/>
          <w:szCs w:val="22"/>
          <w:highlight w:val="none"/>
        </w:rPr>
      </w:pPr>
    </w:p>
    <w:p>
      <w:pPr>
        <w:spacing w:line="440" w:lineRule="exact"/>
        <w:rPr>
          <w:rFonts w:cs="Calibri"/>
          <w:color w:val="000000"/>
          <w:sz w:val="22"/>
          <w:szCs w:val="22"/>
          <w:highlight w:val="none"/>
        </w:rPr>
      </w:pPr>
      <w:r>
        <w:rPr>
          <w:rFonts w:cs="Calibri"/>
          <w:color w:val="000000"/>
          <w:sz w:val="22"/>
          <w:szCs w:val="22"/>
          <w:highlight w:val="none"/>
        </w:rPr>
        <w:t>委托的代理人：（签字或盖章）</w:t>
      </w:r>
    </w:p>
    <w:p>
      <w:pPr>
        <w:spacing w:line="440" w:lineRule="exact"/>
        <w:rPr>
          <w:rFonts w:cs="Calibri"/>
          <w:color w:val="000000"/>
          <w:sz w:val="22"/>
          <w:szCs w:val="22"/>
          <w:highlight w:val="none"/>
        </w:rPr>
      </w:pPr>
      <w:r>
        <w:rPr>
          <w:rFonts w:cs="Calibri"/>
          <w:color w:val="000000"/>
          <w:sz w:val="22"/>
          <w:szCs w:val="22"/>
          <w:highlight w:val="none"/>
        </w:rPr>
        <w:t>身份证号码：</w:t>
      </w:r>
    </w:p>
    <w:p>
      <w:pPr>
        <w:spacing w:line="440" w:lineRule="exact"/>
        <w:ind w:firstLine="4730" w:firstLineChars="2150"/>
        <w:rPr>
          <w:rFonts w:cs="Calibri"/>
          <w:color w:val="000000"/>
          <w:sz w:val="22"/>
          <w:szCs w:val="22"/>
          <w:highlight w:val="none"/>
        </w:rPr>
      </w:pPr>
      <w:r>
        <w:rPr>
          <w:rFonts w:cs="Calibri"/>
          <w:color w:val="000000"/>
          <w:sz w:val="22"/>
          <w:szCs w:val="22"/>
          <w:highlight w:val="none"/>
        </w:rPr>
        <w:t>日期：</w:t>
      </w:r>
      <w:r>
        <w:rPr>
          <w:rFonts w:cs="Calibri"/>
          <w:color w:val="000000"/>
          <w:sz w:val="22"/>
          <w:szCs w:val="22"/>
          <w:highlight w:val="none"/>
          <w:u w:val="single"/>
        </w:rPr>
        <w:t xml:space="preserve">      </w:t>
      </w:r>
      <w:r>
        <w:rPr>
          <w:rFonts w:cs="Calibri"/>
          <w:color w:val="000000"/>
          <w:sz w:val="22"/>
          <w:szCs w:val="22"/>
          <w:highlight w:val="none"/>
        </w:rPr>
        <w:t>年</w:t>
      </w:r>
      <w:r>
        <w:rPr>
          <w:rFonts w:cs="Calibri"/>
          <w:color w:val="000000"/>
          <w:sz w:val="22"/>
          <w:szCs w:val="22"/>
          <w:highlight w:val="none"/>
          <w:u w:val="single"/>
        </w:rPr>
        <w:t xml:space="preserve">      </w:t>
      </w:r>
      <w:r>
        <w:rPr>
          <w:rFonts w:cs="Calibri"/>
          <w:color w:val="000000"/>
          <w:sz w:val="22"/>
          <w:szCs w:val="22"/>
          <w:highlight w:val="none"/>
        </w:rPr>
        <w:t>月</w:t>
      </w:r>
      <w:r>
        <w:rPr>
          <w:rFonts w:cs="Calibri"/>
          <w:color w:val="000000"/>
          <w:sz w:val="22"/>
          <w:szCs w:val="22"/>
          <w:highlight w:val="none"/>
          <w:u w:val="single"/>
        </w:rPr>
        <w:t xml:space="preserve">      </w:t>
      </w:r>
      <w:r>
        <w:rPr>
          <w:rFonts w:cs="Calibri"/>
          <w:color w:val="000000"/>
          <w:sz w:val="22"/>
          <w:szCs w:val="22"/>
          <w:highlight w:val="none"/>
        </w:rPr>
        <w:t>日</w:t>
      </w:r>
    </w:p>
    <w:p>
      <w:pPr>
        <w:snapToGrid w:val="0"/>
        <w:spacing w:line="440" w:lineRule="exact"/>
        <w:rPr>
          <w:rFonts w:cs="Calibri"/>
          <w:color w:val="000000"/>
          <w:szCs w:val="21"/>
          <w:highlight w:val="none"/>
        </w:rPr>
      </w:pPr>
      <w:r>
        <w:rPr>
          <w:rFonts w:cs="Calibri"/>
          <w:b/>
          <w:color w:val="000000"/>
          <w:szCs w:val="21"/>
          <w:highlight w:val="none"/>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highlight w:val="none"/>
        </w:rPr>
        <w:t xml:space="preserve">                                  </w:t>
      </w:r>
    </w:p>
    <w:p>
      <w:pPr>
        <w:spacing w:line="440" w:lineRule="exact"/>
        <w:rPr>
          <w:rFonts w:cs="Calibri"/>
          <w:b/>
          <w:bCs/>
          <w:color w:val="000000"/>
          <w:szCs w:val="21"/>
          <w:highlight w:val="none"/>
        </w:rPr>
      </w:pP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color w:val="000000"/>
          <w:szCs w:val="21"/>
          <w:highlight w:val="none"/>
        </w:rPr>
      </w:pPr>
    </w:p>
    <w:p>
      <w:pPr>
        <w:spacing w:line="440" w:lineRule="exact"/>
        <w:rPr>
          <w:rFonts w:cs="Calibri"/>
          <w:b/>
          <w:bCs/>
          <w:color w:val="000000"/>
          <w:sz w:val="22"/>
          <w:szCs w:val="22"/>
          <w:highlight w:val="none"/>
        </w:rPr>
      </w:pPr>
      <w:r>
        <w:rPr>
          <w:rFonts w:cs="Calibri"/>
          <w:color w:val="000000"/>
          <w:sz w:val="22"/>
          <w:szCs w:val="22"/>
          <w:highlight w:val="none"/>
        </w:rPr>
        <w:t>注：如投标文件由委托代理人签字或盖章的，投标文件必须附此授权委托书。</w:t>
      </w:r>
      <w:r>
        <w:rPr>
          <w:rFonts w:cs="Calibri"/>
          <w:b/>
          <w:bCs/>
          <w:color w:val="000000"/>
          <w:sz w:val="22"/>
          <w:szCs w:val="22"/>
          <w:highlight w:val="none"/>
        </w:rPr>
        <w:t xml:space="preserve">     </w:t>
      </w:r>
    </w:p>
    <w:p>
      <w:pPr>
        <w:spacing w:line="360" w:lineRule="auto"/>
        <w:jc w:val="left"/>
        <w:rPr>
          <w:rFonts w:ascii="宋体" w:hAnsi="宋体" w:cs="宋体"/>
          <w:sz w:val="22"/>
          <w:highlight w:val="none"/>
        </w:rPr>
      </w:pPr>
    </w:p>
    <w:p>
      <w:pPr>
        <w:pStyle w:val="31"/>
        <w:spacing w:afterLines="50" w:line="360" w:lineRule="auto"/>
        <w:jc w:val="left"/>
        <w:rPr>
          <w:rFonts w:hAnsi="宋体" w:cs="宋体"/>
          <w:b/>
          <w:highlight w:val="none"/>
        </w:rPr>
      </w:pPr>
      <w:r>
        <w:rPr>
          <w:rFonts w:hAnsi="宋体" w:cs="宋体"/>
          <w:b/>
          <w:highlight w:val="none"/>
        </w:rPr>
        <w:br w:type="page"/>
      </w:r>
      <w:bookmarkStart w:id="391" w:name="_Toc133214102"/>
      <w:bookmarkStart w:id="392" w:name="_Toc133214309"/>
      <w:bookmarkStart w:id="393" w:name="_Toc133470542"/>
      <w:bookmarkStart w:id="394" w:name="_Toc137373398"/>
      <w:bookmarkStart w:id="395" w:name="_Toc144265958"/>
    </w:p>
    <w:p>
      <w:pPr>
        <w:pStyle w:val="31"/>
        <w:spacing w:afterLines="50" w:line="360" w:lineRule="auto"/>
        <w:jc w:val="left"/>
        <w:rPr>
          <w:rFonts w:hAnsi="宋体" w:cs="宋体"/>
          <w:sz w:val="22"/>
          <w:szCs w:val="22"/>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四、投标报价表</w:t>
      </w:r>
    </w:p>
    <w:p>
      <w:pPr>
        <w:pStyle w:val="31"/>
        <w:spacing w:afterLines="50" w:line="360" w:lineRule="auto"/>
        <w:jc w:val="center"/>
        <w:rPr>
          <w:rFonts w:hAnsi="宋体" w:cs="宋体"/>
          <w:highlight w:val="none"/>
        </w:rPr>
      </w:pPr>
    </w:p>
    <w:p>
      <w:pPr>
        <w:pStyle w:val="31"/>
        <w:numPr>
          <w:ilvl w:val="1"/>
          <w:numId w:val="28"/>
        </w:numPr>
        <w:snapToGrid w:val="0"/>
        <w:spacing w:beforeLines="50" w:line="360" w:lineRule="exact"/>
        <w:rPr>
          <w:rFonts w:hAnsi="宋体" w:cs="宋体"/>
          <w:b/>
          <w:sz w:val="22"/>
          <w:szCs w:val="22"/>
          <w:highlight w:val="none"/>
        </w:rPr>
      </w:pPr>
      <w:r>
        <w:rPr>
          <w:rFonts w:hint="eastAsia" w:hAnsi="宋体" w:cs="宋体"/>
          <w:b/>
          <w:sz w:val="22"/>
          <w:szCs w:val="22"/>
          <w:highlight w:val="none"/>
        </w:rPr>
        <w:t>总则</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31"/>
        <w:numPr>
          <w:ilvl w:val="1"/>
          <w:numId w:val="29"/>
        </w:numPr>
        <w:snapToGrid w:val="0"/>
        <w:spacing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本总则上列各条中提及的“投标人”在合同执行过程中应作为“卖方”解释。</w:t>
      </w:r>
    </w:p>
    <w:p>
      <w:pPr>
        <w:pStyle w:val="31"/>
        <w:numPr>
          <w:ilvl w:val="1"/>
          <w:numId w:val="28"/>
        </w:numPr>
        <w:snapToGrid w:val="0"/>
        <w:spacing w:beforeLines="50" w:line="360" w:lineRule="exact"/>
        <w:rPr>
          <w:rFonts w:hAnsi="宋体" w:cs="宋体"/>
          <w:sz w:val="22"/>
          <w:szCs w:val="22"/>
          <w:highlight w:val="none"/>
        </w:rPr>
      </w:pPr>
      <w:r>
        <w:rPr>
          <w:rFonts w:hint="eastAsia" w:hAnsi="宋体" w:cs="宋体"/>
          <w:sz w:val="22"/>
          <w:szCs w:val="22"/>
          <w:highlight w:val="none"/>
        </w:rPr>
        <w:t>投标报价表包含以下各表</w:t>
      </w:r>
    </w:p>
    <w:bookmarkEnd w:id="391"/>
    <w:bookmarkEnd w:id="392"/>
    <w:bookmarkEnd w:id="393"/>
    <w:bookmarkEnd w:id="394"/>
    <w:bookmarkEnd w:id="395"/>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(1)投标报价汇总表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(2)设备费分项报价表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(3)随机配件和专用工具分项报价表</w:t>
      </w:r>
    </w:p>
    <w:p>
      <w:pPr>
        <w:snapToGrid w:val="0"/>
        <w:spacing w:beforeLines="50" w:line="360" w:lineRule="exact"/>
        <w:ind w:left="1134"/>
        <w:rPr>
          <w:rFonts w:ascii="宋体" w:hAnsi="宋体" w:cs="宋体"/>
          <w:sz w:val="22"/>
          <w:highlight w:val="none"/>
        </w:rPr>
      </w:pPr>
      <w:r>
        <w:rPr>
          <w:rFonts w:hint="eastAsia" w:ascii="宋体" w:hAnsi="宋体" w:cs="宋体"/>
          <w:sz w:val="22"/>
          <w:highlight w:val="none"/>
        </w:rPr>
        <w:t>(4)备品备件分项报价表（不计入总价）</w:t>
      </w:r>
    </w:p>
    <w:p>
      <w:pPr>
        <w:snapToGrid w:val="0"/>
        <w:spacing w:beforeLines="50" w:line="360" w:lineRule="exact"/>
        <w:ind w:left="1134"/>
        <w:rPr>
          <w:rFonts w:ascii="宋体" w:hAnsi="宋体" w:cs="宋体"/>
          <w:sz w:val="22"/>
          <w:highlight w:val="none"/>
        </w:rPr>
      </w:pPr>
    </w:p>
    <w:p>
      <w:pPr>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4.1 投标报价汇总表</w:t>
      </w:r>
    </w:p>
    <w:p>
      <w:pPr>
        <w:spacing w:line="360" w:lineRule="auto"/>
        <w:rPr>
          <w:rFonts w:ascii="宋体" w:hAnsi="宋体" w:cs="宋体"/>
          <w:highlight w:val="none"/>
        </w:rPr>
      </w:pPr>
    </w:p>
    <w:p>
      <w:pPr>
        <w:spacing w:line="360" w:lineRule="auto"/>
        <w:jc w:val="right"/>
        <w:rPr>
          <w:rFonts w:ascii="宋体" w:hAnsi="宋体" w:cs="宋体"/>
          <w:sz w:val="22"/>
          <w:highlight w:val="none"/>
        </w:rPr>
      </w:pPr>
      <w:r>
        <w:rPr>
          <w:rFonts w:hint="eastAsia" w:ascii="宋体" w:hAnsi="宋体" w:cs="宋体"/>
          <w:sz w:val="22"/>
          <w:highlight w:val="none"/>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highlight w:val="none"/>
              </w:rPr>
            </w:pPr>
            <w:r>
              <w:rPr>
                <w:rFonts w:hint="eastAsia" w:ascii="宋体" w:hAnsi="宋体" w:cs="宋体"/>
                <w:b/>
                <w:sz w:val="22"/>
                <w:highlight w:val="none"/>
              </w:rPr>
              <w:t>序 号</w:t>
            </w: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内    容</w:t>
            </w:r>
          </w:p>
        </w:tc>
        <w:tc>
          <w:tcPr>
            <w:tcW w:w="3544" w:type="dxa"/>
            <w:vAlign w:val="center"/>
          </w:tcPr>
          <w:p>
            <w:pPr>
              <w:snapToGrid w:val="0"/>
              <w:jc w:val="center"/>
              <w:rPr>
                <w:rFonts w:ascii="宋体" w:hAnsi="宋体" w:cs="宋体"/>
                <w:b/>
                <w:sz w:val="22"/>
                <w:highlight w:val="none"/>
              </w:rPr>
            </w:pPr>
            <w:r>
              <w:rPr>
                <w:rFonts w:hint="eastAsia" w:ascii="宋体" w:hAnsi="宋体" w:cs="宋体"/>
                <w:b/>
                <w:sz w:val="22"/>
                <w:highlight w:val="none"/>
              </w:rPr>
              <w:t xml:space="preserve">投 标 报 价 </w:t>
            </w:r>
          </w:p>
        </w:tc>
        <w:tc>
          <w:tcPr>
            <w:tcW w:w="1423" w:type="dxa"/>
            <w:vAlign w:val="center"/>
          </w:tcPr>
          <w:p>
            <w:pPr>
              <w:snapToGrid w:val="0"/>
              <w:jc w:val="center"/>
              <w:rPr>
                <w:rFonts w:ascii="宋体" w:hAnsi="宋体" w:cs="宋体"/>
                <w:b/>
                <w:sz w:val="22"/>
                <w:highlight w:val="none"/>
              </w:rPr>
            </w:pPr>
            <w:r>
              <w:rPr>
                <w:rFonts w:hint="eastAsia" w:ascii="宋体" w:hAnsi="宋体" w:cs="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1</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设备费(表4.2)</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highlight w:val="none"/>
              </w:rPr>
            </w:pPr>
            <w:r>
              <w:rPr>
                <w:rFonts w:hint="eastAsia" w:ascii="宋体" w:hAnsi="宋体" w:cs="宋体"/>
                <w:sz w:val="22"/>
                <w:highlight w:val="none"/>
              </w:rPr>
              <w:t>2</w:t>
            </w:r>
          </w:p>
        </w:tc>
        <w:tc>
          <w:tcPr>
            <w:tcW w:w="2976" w:type="dxa"/>
            <w:vAlign w:val="center"/>
          </w:tcPr>
          <w:p>
            <w:pPr>
              <w:snapToGrid w:val="0"/>
              <w:jc w:val="center"/>
              <w:rPr>
                <w:rFonts w:ascii="宋体" w:hAnsi="宋体" w:cs="宋体"/>
                <w:sz w:val="22"/>
                <w:highlight w:val="none"/>
              </w:rPr>
            </w:pPr>
            <w:r>
              <w:rPr>
                <w:rFonts w:hint="eastAsia" w:ascii="宋体" w:hAnsi="宋体" w:cs="宋体"/>
                <w:sz w:val="22"/>
                <w:highlight w:val="none"/>
              </w:rPr>
              <w:t>随机配件和专用工具(表4.3)</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highlight w:val="none"/>
              </w:rPr>
            </w:pPr>
          </w:p>
        </w:tc>
        <w:tc>
          <w:tcPr>
            <w:tcW w:w="2976" w:type="dxa"/>
            <w:vAlign w:val="center"/>
          </w:tcPr>
          <w:p>
            <w:pPr>
              <w:snapToGrid w:val="0"/>
              <w:jc w:val="center"/>
              <w:rPr>
                <w:rFonts w:ascii="宋体" w:hAnsi="宋体" w:cs="宋体"/>
                <w:b/>
                <w:sz w:val="22"/>
                <w:highlight w:val="none"/>
              </w:rPr>
            </w:pPr>
            <w:r>
              <w:rPr>
                <w:rFonts w:hint="eastAsia" w:ascii="宋体" w:hAnsi="宋体" w:cs="宋体"/>
                <w:b/>
                <w:sz w:val="22"/>
                <w:highlight w:val="none"/>
              </w:rPr>
              <w:t>总    计</w:t>
            </w:r>
          </w:p>
        </w:tc>
        <w:tc>
          <w:tcPr>
            <w:tcW w:w="3544" w:type="dxa"/>
            <w:vAlign w:val="center"/>
          </w:tcPr>
          <w:p>
            <w:pPr>
              <w:snapToGrid w:val="0"/>
              <w:rPr>
                <w:rFonts w:ascii="宋体" w:hAnsi="宋体" w:cs="宋体"/>
                <w:sz w:val="22"/>
                <w:highlight w:val="none"/>
              </w:rPr>
            </w:pPr>
          </w:p>
        </w:tc>
        <w:tc>
          <w:tcPr>
            <w:tcW w:w="1423" w:type="dxa"/>
            <w:vAlign w:val="center"/>
          </w:tcPr>
          <w:p>
            <w:pPr>
              <w:snapToGrid w:val="0"/>
              <w:rPr>
                <w:rFonts w:ascii="宋体" w:hAnsi="宋体" w:cs="宋体"/>
                <w:sz w:val="22"/>
                <w:highlight w:val="none"/>
              </w:rPr>
            </w:pPr>
          </w:p>
        </w:tc>
      </w:tr>
    </w:tbl>
    <w:p>
      <w:pPr>
        <w:spacing w:line="360" w:lineRule="auto"/>
        <w:jc w:val="right"/>
        <w:rPr>
          <w:rFonts w:ascii="宋体" w:hAnsi="宋体" w:cs="宋体"/>
          <w:sz w:val="22"/>
          <w:highlight w:val="none"/>
        </w:rPr>
      </w:pPr>
    </w:p>
    <w:p>
      <w:pPr>
        <w:spacing w:line="360" w:lineRule="auto"/>
        <w:rPr>
          <w:rFonts w:ascii="宋体" w:hAnsi="宋体" w:cs="宋体"/>
          <w:sz w:val="22"/>
          <w:highlight w:val="none"/>
        </w:rPr>
      </w:pPr>
    </w:p>
    <w:p>
      <w:pPr>
        <w:spacing w:line="360" w:lineRule="auto"/>
        <w:rPr>
          <w:rFonts w:ascii="宋体" w:hAnsi="宋体" w:cs="宋体"/>
          <w:sz w:val="22"/>
          <w:highlight w:val="none"/>
        </w:rPr>
      </w:pPr>
      <w:r>
        <w:rPr>
          <w:rFonts w:hint="eastAsia" w:ascii="宋体" w:hAnsi="宋体" w:cs="宋体"/>
          <w:sz w:val="22"/>
          <w:highlight w:val="none"/>
        </w:rPr>
        <w:t>注：</w:t>
      </w:r>
    </w:p>
    <w:p>
      <w:pPr>
        <w:numPr>
          <w:ilvl w:val="2"/>
          <w:numId w:val="30"/>
        </w:numPr>
        <w:adjustRightInd w:val="0"/>
        <w:snapToGrid w:val="0"/>
        <w:spacing w:line="360" w:lineRule="auto"/>
        <w:jc w:val="left"/>
        <w:textAlignment w:val="baseline"/>
        <w:rPr>
          <w:rFonts w:ascii="宋体" w:hAnsi="宋体" w:cs="宋体"/>
          <w:sz w:val="22"/>
          <w:highlight w:val="none"/>
        </w:rPr>
      </w:pPr>
      <w:r>
        <w:rPr>
          <w:rFonts w:hint="eastAsia" w:ascii="宋体" w:hAnsi="宋体" w:cs="宋体"/>
          <w:sz w:val="22"/>
          <w:highlight w:val="none"/>
        </w:rPr>
        <w:t>此表的“总计”系所有需招标人支付的投标金额总数即投标总价，投标总价中已包含投标人完成本招标项目的一切费用包括税费。</w:t>
      </w:r>
    </w:p>
    <w:p>
      <w:pPr>
        <w:numPr>
          <w:ilvl w:val="2"/>
          <w:numId w:val="30"/>
        </w:numPr>
        <w:adjustRightInd w:val="0"/>
        <w:snapToGrid w:val="0"/>
        <w:spacing w:line="360" w:lineRule="auto"/>
        <w:jc w:val="left"/>
        <w:textAlignment w:val="baseline"/>
        <w:rPr>
          <w:rFonts w:ascii="宋体" w:hAnsi="宋体" w:cs="宋体"/>
          <w:sz w:val="22"/>
          <w:highlight w:val="none"/>
        </w:rPr>
      </w:pPr>
      <w:r>
        <w:rPr>
          <w:rFonts w:hint="eastAsia" w:ascii="宋体" w:hAnsi="宋体" w:cs="宋体"/>
          <w:sz w:val="22"/>
          <w:highlight w:val="none"/>
        </w:rPr>
        <w:t>此表为表4.2、表4.3的汇总表。</w:t>
      </w:r>
    </w:p>
    <w:p>
      <w:pPr>
        <w:snapToGrid w:val="0"/>
        <w:spacing w:line="360" w:lineRule="auto"/>
        <w:rPr>
          <w:rFonts w:ascii="宋体" w:hAnsi="宋体" w:cs="宋体"/>
          <w:sz w:val="22"/>
          <w:highlight w:val="none"/>
        </w:rPr>
      </w:pPr>
    </w:p>
    <w:p>
      <w:pPr>
        <w:spacing w:beforeLines="50" w:line="360" w:lineRule="auto"/>
        <w:ind w:firstLine="3960"/>
        <w:rPr>
          <w:rFonts w:ascii="宋体" w:hAnsi="宋体" w:cs="宋体"/>
          <w:highlight w:val="none"/>
        </w:rPr>
      </w:pPr>
      <w:bookmarkStart w:id="396" w:name="_Toc133214103"/>
      <w:bookmarkStart w:id="397" w:name="_Toc133214310"/>
      <w:bookmarkStart w:id="398" w:name="_Toc133470544"/>
      <w:bookmarkStart w:id="399" w:name="_Toc137373399"/>
    </w:p>
    <w:p>
      <w:pPr>
        <w:spacing w:line="360" w:lineRule="auto"/>
        <w:jc w:val="center"/>
        <w:rPr>
          <w:rFonts w:ascii="宋体" w:hAnsi="宋体" w:cs="宋体"/>
          <w:b/>
          <w:sz w:val="32"/>
          <w:szCs w:val="32"/>
          <w:highlight w:val="none"/>
        </w:rPr>
      </w:pPr>
      <w:bookmarkStart w:id="400" w:name="_Toc144265959"/>
      <w:r>
        <w:rPr>
          <w:rFonts w:hint="eastAsia" w:ascii="宋体" w:hAnsi="宋体" w:cs="宋体"/>
          <w:b/>
          <w:sz w:val="32"/>
          <w:szCs w:val="32"/>
          <w:highlight w:val="none"/>
        </w:rPr>
        <w:br w:type="page"/>
      </w:r>
    </w:p>
    <w:bookmarkEnd w:id="396"/>
    <w:bookmarkEnd w:id="397"/>
    <w:bookmarkEnd w:id="398"/>
    <w:bookmarkEnd w:id="399"/>
    <w:bookmarkEnd w:id="400"/>
    <w:p>
      <w:pPr>
        <w:snapToGrid w:val="0"/>
        <w:spacing w:line="360" w:lineRule="auto"/>
        <w:jc w:val="center"/>
        <w:rPr>
          <w:rFonts w:ascii="宋体" w:hAnsi="宋体" w:cs="宋体"/>
          <w:b/>
          <w:sz w:val="32"/>
          <w:szCs w:val="32"/>
          <w:highlight w:val="none"/>
        </w:rPr>
      </w:pPr>
      <w:r>
        <w:rPr>
          <w:rFonts w:hint="eastAsia" w:ascii="宋体" w:hAnsi="宋体" w:cs="宋体"/>
          <w:b/>
          <w:sz w:val="32"/>
          <w:szCs w:val="32"/>
          <w:highlight w:val="none"/>
        </w:rPr>
        <w:t>4.2设备费分项报价表</w:t>
      </w:r>
    </w:p>
    <w:p>
      <w:pPr>
        <w:spacing w:line="360" w:lineRule="auto"/>
        <w:rPr>
          <w:rFonts w:ascii="宋体" w:hAnsi="宋体" w:cs="宋体"/>
          <w:bCs/>
          <w:sz w:val="22"/>
          <w:highlight w:val="none"/>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序 号</w:t>
            </w:r>
          </w:p>
        </w:tc>
        <w:tc>
          <w:tcPr>
            <w:tcW w:w="119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88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807"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58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产地</w:t>
            </w:r>
          </w:p>
        </w:tc>
        <w:tc>
          <w:tcPr>
            <w:tcW w:w="499"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53"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价（不含税）</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highlight w:val="none"/>
              </w:rPr>
            </w:pPr>
          </w:p>
        </w:tc>
        <w:tc>
          <w:tcPr>
            <w:tcW w:w="1190" w:type="dxa"/>
            <w:vMerge w:val="continue"/>
            <w:shd w:val="clear" w:color="auto" w:fill="auto"/>
            <w:vAlign w:val="center"/>
          </w:tcPr>
          <w:p>
            <w:pPr>
              <w:widowControl/>
              <w:jc w:val="left"/>
              <w:rPr>
                <w:rFonts w:ascii="宋体" w:hAnsi="宋体" w:cs="宋体"/>
                <w:b/>
                <w:bCs/>
                <w:kern w:val="0"/>
                <w:sz w:val="20"/>
                <w:highlight w:val="none"/>
              </w:rPr>
            </w:pPr>
          </w:p>
        </w:tc>
        <w:tc>
          <w:tcPr>
            <w:tcW w:w="886" w:type="dxa"/>
            <w:vMerge w:val="continue"/>
            <w:shd w:val="clear" w:color="auto" w:fill="auto"/>
            <w:vAlign w:val="center"/>
          </w:tcPr>
          <w:p>
            <w:pPr>
              <w:widowControl/>
              <w:jc w:val="left"/>
              <w:rPr>
                <w:rFonts w:ascii="宋体" w:hAnsi="宋体" w:cs="宋体"/>
                <w:b/>
                <w:bCs/>
                <w:kern w:val="0"/>
                <w:sz w:val="20"/>
                <w:highlight w:val="none"/>
              </w:rPr>
            </w:pPr>
          </w:p>
        </w:tc>
        <w:tc>
          <w:tcPr>
            <w:tcW w:w="807" w:type="dxa"/>
            <w:vMerge w:val="continue"/>
            <w:shd w:val="clear" w:color="auto" w:fill="auto"/>
            <w:vAlign w:val="center"/>
          </w:tcPr>
          <w:p>
            <w:pPr>
              <w:widowControl/>
              <w:jc w:val="left"/>
              <w:rPr>
                <w:rFonts w:ascii="宋体" w:hAnsi="宋体" w:cs="宋体"/>
                <w:b/>
                <w:bCs/>
                <w:kern w:val="0"/>
                <w:sz w:val="20"/>
                <w:highlight w:val="none"/>
              </w:rPr>
            </w:pPr>
          </w:p>
        </w:tc>
        <w:tc>
          <w:tcPr>
            <w:tcW w:w="589" w:type="dxa"/>
            <w:vMerge w:val="continue"/>
            <w:shd w:val="clear" w:color="auto" w:fill="auto"/>
            <w:vAlign w:val="center"/>
          </w:tcPr>
          <w:p>
            <w:pPr>
              <w:widowControl/>
              <w:jc w:val="left"/>
              <w:rPr>
                <w:rFonts w:ascii="宋体" w:hAnsi="宋体" w:cs="宋体"/>
                <w:b/>
                <w:bCs/>
                <w:kern w:val="0"/>
                <w:sz w:val="20"/>
                <w:highlight w:val="none"/>
              </w:rPr>
            </w:pPr>
          </w:p>
        </w:tc>
        <w:tc>
          <w:tcPr>
            <w:tcW w:w="499" w:type="dxa"/>
            <w:vMerge w:val="continue"/>
            <w:shd w:val="clear" w:color="auto" w:fill="auto"/>
            <w:vAlign w:val="center"/>
          </w:tcPr>
          <w:p>
            <w:pPr>
              <w:widowControl/>
              <w:jc w:val="left"/>
              <w:rPr>
                <w:rFonts w:ascii="宋体" w:hAnsi="宋体" w:cs="宋体"/>
                <w:b/>
                <w:bCs/>
                <w:kern w:val="0"/>
                <w:sz w:val="20"/>
                <w:highlight w:val="none"/>
              </w:rPr>
            </w:pPr>
          </w:p>
        </w:tc>
        <w:tc>
          <w:tcPr>
            <w:tcW w:w="453" w:type="dxa"/>
            <w:vMerge w:val="continue"/>
            <w:shd w:val="clear" w:color="auto" w:fill="auto"/>
            <w:vAlign w:val="center"/>
          </w:tcPr>
          <w:p>
            <w:pPr>
              <w:widowControl/>
              <w:jc w:val="left"/>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113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1</w:t>
            </w: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r>
              <w:rPr>
                <w:rFonts w:hint="eastAsia" w:ascii="宋体" w:hAnsi="宋体" w:cs="宋体"/>
                <w:b/>
                <w:bCs/>
                <w:kern w:val="0"/>
                <w:sz w:val="20"/>
                <w:highlight w:val="none"/>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2</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3</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4</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1190" w:type="dxa"/>
            <w:shd w:val="clear" w:color="000000" w:fill="FFFFFF"/>
            <w:vAlign w:val="center"/>
          </w:tcPr>
          <w:p>
            <w:pPr>
              <w:widowControl/>
              <w:jc w:val="center"/>
              <w:rPr>
                <w:rFonts w:ascii="宋体" w:hAnsi="宋体"/>
                <w:b/>
                <w:bCs/>
                <w:kern w:val="0"/>
                <w:szCs w:val="21"/>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p>
        </w:tc>
        <w:tc>
          <w:tcPr>
            <w:tcW w:w="886" w:type="dxa"/>
            <w:shd w:val="clear" w:color="000000" w:fill="FFFFFF"/>
            <w:vAlign w:val="center"/>
          </w:tcPr>
          <w:p>
            <w:pPr>
              <w:widowControl/>
              <w:jc w:val="center"/>
              <w:rPr>
                <w:rFonts w:ascii="宋体" w:hAnsi="宋体" w:cs="宋体"/>
                <w:b/>
                <w:bCs/>
                <w:kern w:val="0"/>
                <w:sz w:val="20"/>
                <w:highlight w:val="none"/>
              </w:rPr>
            </w:pPr>
          </w:p>
        </w:tc>
        <w:tc>
          <w:tcPr>
            <w:tcW w:w="807" w:type="dxa"/>
            <w:shd w:val="clear" w:color="000000" w:fill="FFFFFF"/>
            <w:vAlign w:val="center"/>
          </w:tcPr>
          <w:p>
            <w:pPr>
              <w:widowControl/>
              <w:jc w:val="center"/>
              <w:rPr>
                <w:rFonts w:ascii="宋体" w:hAnsi="宋体" w:cs="宋体"/>
                <w:b/>
                <w:bCs/>
                <w:kern w:val="0"/>
                <w:sz w:val="20"/>
                <w:highlight w:val="none"/>
              </w:rPr>
            </w:pPr>
          </w:p>
        </w:tc>
        <w:tc>
          <w:tcPr>
            <w:tcW w:w="589" w:type="dxa"/>
            <w:shd w:val="clear" w:color="000000" w:fill="FFFFFF"/>
            <w:vAlign w:val="center"/>
          </w:tcPr>
          <w:p>
            <w:pPr>
              <w:widowControl/>
              <w:rPr>
                <w:rFonts w:ascii="宋体" w:hAnsi="宋体" w:cs="宋体"/>
                <w:b/>
                <w:bCs/>
                <w:kern w:val="0"/>
                <w:sz w:val="20"/>
                <w:highlight w:val="none"/>
              </w:rPr>
            </w:pPr>
          </w:p>
        </w:tc>
        <w:tc>
          <w:tcPr>
            <w:tcW w:w="499" w:type="dxa"/>
            <w:shd w:val="clear" w:color="000000" w:fill="FFFFFF"/>
            <w:vAlign w:val="center"/>
          </w:tcPr>
          <w:p>
            <w:pPr>
              <w:widowControl/>
              <w:rPr>
                <w:rFonts w:ascii="宋体" w:hAnsi="宋体" w:cs="宋体"/>
                <w:b/>
                <w:bCs/>
                <w:kern w:val="0"/>
                <w:sz w:val="20"/>
                <w:highlight w:val="none"/>
              </w:rPr>
            </w:pPr>
          </w:p>
        </w:tc>
        <w:tc>
          <w:tcPr>
            <w:tcW w:w="453" w:type="dxa"/>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highlight w:val="none"/>
              </w:rPr>
            </w:pPr>
          </w:p>
        </w:tc>
        <w:tc>
          <w:tcPr>
            <w:tcW w:w="1190"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highlight w:val="none"/>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198" w:type="dxa"/>
            <w:shd w:val="clear" w:color="000000" w:fill="FFFFFF"/>
            <w:vAlign w:val="center"/>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shd w:val="clear" w:color="000000" w:fill="FFFFFF"/>
          </w:tcPr>
          <w:p>
            <w:pPr>
              <w:widowControl/>
              <w:jc w:val="center"/>
              <w:rPr>
                <w:rFonts w:ascii="宋体" w:hAnsi="宋体" w:cs="宋体"/>
                <w:b/>
                <w:bCs/>
                <w:kern w:val="0"/>
                <w:sz w:val="20"/>
                <w:highlight w:val="none"/>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widowControl/>
        <w:spacing w:line="300" w:lineRule="auto"/>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highlight w:val="none"/>
        </w:rPr>
      </w:pPr>
      <w:r>
        <w:rPr>
          <w:rFonts w:ascii="宋体" w:hAnsi="宋体" w:cs="宋体"/>
          <w:sz w:val="22"/>
          <w:highlight w:val="none"/>
        </w:rPr>
        <w:br w:type="page"/>
      </w:r>
      <w:r>
        <w:rPr>
          <w:rFonts w:hint="eastAsia" w:ascii="宋体" w:hAnsi="宋体" w:cs="宋体"/>
          <w:b/>
          <w:sz w:val="32"/>
          <w:szCs w:val="32"/>
          <w:highlight w:val="none"/>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085"/>
        <w:gridCol w:w="778"/>
        <w:gridCol w:w="505"/>
        <w:gridCol w:w="616"/>
        <w:gridCol w:w="520"/>
        <w:gridCol w:w="472"/>
        <w:gridCol w:w="934"/>
        <w:gridCol w:w="926"/>
        <w:gridCol w:w="926"/>
        <w:gridCol w:w="92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7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208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61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5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72"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单  价（不含税） </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合  价（含税） </w:t>
            </w:r>
          </w:p>
        </w:tc>
        <w:tc>
          <w:tcPr>
            <w:tcW w:w="46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vMerge w:val="continue"/>
            <w:shd w:val="clear" w:color="auto" w:fill="auto"/>
            <w:vAlign w:val="center"/>
          </w:tcPr>
          <w:p>
            <w:pPr>
              <w:widowControl/>
              <w:jc w:val="center"/>
              <w:rPr>
                <w:rFonts w:ascii="宋体" w:hAnsi="宋体" w:cs="宋体"/>
                <w:b/>
                <w:bCs/>
                <w:kern w:val="0"/>
                <w:sz w:val="20"/>
                <w:highlight w:val="none"/>
              </w:rPr>
            </w:pPr>
          </w:p>
        </w:tc>
        <w:tc>
          <w:tcPr>
            <w:tcW w:w="2085" w:type="dxa"/>
            <w:vMerge w:val="continue"/>
            <w:shd w:val="clear" w:color="auto" w:fill="auto"/>
            <w:vAlign w:val="center"/>
          </w:tcPr>
          <w:p>
            <w:pPr>
              <w:widowControl/>
              <w:jc w:val="left"/>
              <w:rPr>
                <w:rFonts w:ascii="宋体" w:hAnsi="宋体" w:cs="宋体"/>
                <w:b/>
                <w:bCs/>
                <w:kern w:val="0"/>
                <w:sz w:val="20"/>
                <w:highlight w:val="none"/>
              </w:rPr>
            </w:pPr>
          </w:p>
        </w:tc>
        <w:tc>
          <w:tcPr>
            <w:tcW w:w="778" w:type="dxa"/>
            <w:vMerge w:val="continue"/>
            <w:shd w:val="clear" w:color="auto" w:fill="auto"/>
            <w:vAlign w:val="center"/>
          </w:tcPr>
          <w:p>
            <w:pPr>
              <w:widowControl/>
              <w:jc w:val="left"/>
              <w:rPr>
                <w:rFonts w:ascii="宋体" w:hAnsi="宋体" w:cs="宋体"/>
                <w:b/>
                <w:bCs/>
                <w:kern w:val="0"/>
                <w:sz w:val="20"/>
                <w:highlight w:val="none"/>
              </w:rPr>
            </w:pPr>
          </w:p>
        </w:tc>
        <w:tc>
          <w:tcPr>
            <w:tcW w:w="505" w:type="dxa"/>
            <w:vMerge w:val="continue"/>
            <w:shd w:val="clear" w:color="auto" w:fill="auto"/>
            <w:vAlign w:val="center"/>
          </w:tcPr>
          <w:p>
            <w:pPr>
              <w:widowControl/>
              <w:jc w:val="left"/>
              <w:rPr>
                <w:rFonts w:ascii="宋体" w:hAnsi="宋体" w:cs="宋体"/>
                <w:b/>
                <w:bCs/>
                <w:kern w:val="0"/>
                <w:sz w:val="20"/>
                <w:highlight w:val="none"/>
              </w:rPr>
            </w:pPr>
          </w:p>
        </w:tc>
        <w:tc>
          <w:tcPr>
            <w:tcW w:w="616" w:type="dxa"/>
            <w:vMerge w:val="continue"/>
            <w:shd w:val="clear" w:color="auto" w:fill="auto"/>
            <w:vAlign w:val="center"/>
          </w:tcPr>
          <w:p>
            <w:pPr>
              <w:widowControl/>
              <w:jc w:val="left"/>
              <w:rPr>
                <w:rFonts w:ascii="宋体" w:hAnsi="宋体" w:cs="宋体"/>
                <w:b/>
                <w:bCs/>
                <w:kern w:val="0"/>
                <w:sz w:val="20"/>
                <w:highlight w:val="none"/>
              </w:rPr>
            </w:pPr>
          </w:p>
        </w:tc>
        <w:tc>
          <w:tcPr>
            <w:tcW w:w="520" w:type="dxa"/>
            <w:vMerge w:val="continue"/>
            <w:shd w:val="clear" w:color="auto" w:fill="auto"/>
            <w:vAlign w:val="center"/>
          </w:tcPr>
          <w:p>
            <w:pPr>
              <w:widowControl/>
              <w:jc w:val="left"/>
              <w:rPr>
                <w:rFonts w:ascii="宋体" w:hAnsi="宋体" w:cs="宋体"/>
                <w:b/>
                <w:bCs/>
                <w:kern w:val="0"/>
                <w:sz w:val="20"/>
                <w:highlight w:val="none"/>
              </w:rPr>
            </w:pPr>
          </w:p>
        </w:tc>
        <w:tc>
          <w:tcPr>
            <w:tcW w:w="472" w:type="dxa"/>
            <w:vMerge w:val="continue"/>
            <w:shd w:val="clear" w:color="auto" w:fill="auto"/>
            <w:vAlign w:val="center"/>
          </w:tcPr>
          <w:p>
            <w:pPr>
              <w:widowControl/>
              <w:jc w:val="left"/>
              <w:rPr>
                <w:rFonts w:ascii="宋体" w:hAnsi="宋体" w:cs="宋体"/>
                <w:b/>
                <w:bCs/>
                <w:kern w:val="0"/>
                <w:sz w:val="20"/>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464"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2085" w:type="dxa"/>
            <w:shd w:val="clear" w:color="000000" w:fill="FFFFFF"/>
            <w:vAlign w:val="center"/>
          </w:tcPr>
          <w:p>
            <w:pPr>
              <w:widowControl/>
              <w:jc w:val="center"/>
              <w:rPr>
                <w:rFonts w:ascii="宋体" w:hAnsi="宋体" w:cs="宋体"/>
                <w:b/>
                <w:bCs/>
                <w:kern w:val="0"/>
                <w:sz w:val="20"/>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kern w:val="0"/>
                <w:sz w:val="20"/>
                <w:highlight w:val="none"/>
              </w:rPr>
            </w:pPr>
          </w:p>
        </w:tc>
        <w:tc>
          <w:tcPr>
            <w:tcW w:w="2085" w:type="dxa"/>
            <w:shd w:val="clear" w:color="000000" w:fill="FFFFFF"/>
            <w:vAlign w:val="center"/>
          </w:tcPr>
          <w:p>
            <w:pPr>
              <w:widowControl/>
              <w:jc w:val="center"/>
              <w:rPr>
                <w:rFonts w:ascii="宋体" w:hAnsi="宋体"/>
                <w:b/>
                <w:bCs/>
                <w:kern w:val="0"/>
                <w:szCs w:val="21"/>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86"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w:t>
            </w:r>
          </w:p>
        </w:tc>
        <w:tc>
          <w:tcPr>
            <w:tcW w:w="926" w:type="dxa"/>
          </w:tcPr>
          <w:p>
            <w:pPr>
              <w:widowControl/>
              <w:jc w:val="center"/>
              <w:rPr>
                <w:rFonts w:ascii="宋体" w:hAnsi="宋体" w:cs="宋体"/>
                <w:kern w:val="0"/>
                <w:sz w:val="20"/>
                <w:highlight w:val="none"/>
              </w:rPr>
            </w:pPr>
          </w:p>
        </w:tc>
        <w:tc>
          <w:tcPr>
            <w:tcW w:w="926" w:type="dxa"/>
          </w:tcPr>
          <w:p>
            <w:pPr>
              <w:widowControl/>
              <w:jc w:val="center"/>
              <w:rPr>
                <w:rFonts w:ascii="宋体" w:hAnsi="宋体" w:cs="宋体"/>
                <w:kern w:val="0"/>
                <w:sz w:val="20"/>
                <w:highlight w:val="none"/>
              </w:rPr>
            </w:pPr>
          </w:p>
        </w:tc>
        <w:tc>
          <w:tcPr>
            <w:tcW w:w="926"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c>
          <w:tcPr>
            <w:tcW w:w="464"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r>
    </w:tbl>
    <w:p>
      <w:pPr>
        <w:spacing w:line="360" w:lineRule="auto"/>
        <w:rPr>
          <w:rFonts w:ascii="宋体" w:hAnsi="宋体"/>
          <w:sz w:val="22"/>
          <w:highlight w:val="none"/>
        </w:rPr>
      </w:pPr>
      <w:r>
        <w:rPr>
          <w:rFonts w:hint="eastAsia" w:ascii="宋体" w:hAnsi="宋体" w:cs="宋体"/>
          <w:sz w:val="22"/>
          <w:highlight w:val="none"/>
        </w:rPr>
        <w:t>注：根据第三章要求</w:t>
      </w:r>
      <w:r>
        <w:rPr>
          <w:rFonts w:hint="eastAsia" w:ascii="宋体" w:hAnsi="宋体"/>
          <w:sz w:val="22"/>
          <w:highlight w:val="none"/>
        </w:rPr>
        <w:t>自行填报。</w:t>
      </w:r>
    </w:p>
    <w:p>
      <w:pPr>
        <w:spacing w:line="360" w:lineRule="auto"/>
        <w:rPr>
          <w:rFonts w:ascii="宋体" w:hAnsi="宋体"/>
          <w:sz w:val="22"/>
          <w:highlight w:val="none"/>
        </w:rPr>
      </w:pPr>
      <w:r>
        <w:rPr>
          <w:rFonts w:ascii="宋体" w:hAnsi="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085"/>
        <w:gridCol w:w="778"/>
        <w:gridCol w:w="505"/>
        <w:gridCol w:w="616"/>
        <w:gridCol w:w="520"/>
        <w:gridCol w:w="472"/>
        <w:gridCol w:w="934"/>
        <w:gridCol w:w="926"/>
        <w:gridCol w:w="926"/>
        <w:gridCol w:w="92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7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208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设备名称</w:t>
            </w:r>
          </w:p>
        </w:tc>
        <w:tc>
          <w:tcPr>
            <w:tcW w:w="77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50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品 牌</w:t>
            </w:r>
          </w:p>
        </w:tc>
        <w:tc>
          <w:tcPr>
            <w:tcW w:w="616"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原产地</w:t>
            </w:r>
          </w:p>
        </w:tc>
        <w:tc>
          <w:tcPr>
            <w:tcW w:w="520"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472"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单  价（不含税） </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价（含税）</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 xml:space="preserve"> 合  价（含税） </w:t>
            </w:r>
          </w:p>
        </w:tc>
        <w:tc>
          <w:tcPr>
            <w:tcW w:w="46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vMerge w:val="continue"/>
            <w:shd w:val="clear" w:color="auto" w:fill="auto"/>
            <w:vAlign w:val="center"/>
          </w:tcPr>
          <w:p>
            <w:pPr>
              <w:widowControl/>
              <w:jc w:val="center"/>
              <w:rPr>
                <w:rFonts w:ascii="宋体" w:hAnsi="宋体" w:cs="宋体"/>
                <w:b/>
                <w:bCs/>
                <w:kern w:val="0"/>
                <w:sz w:val="20"/>
                <w:highlight w:val="none"/>
              </w:rPr>
            </w:pPr>
          </w:p>
        </w:tc>
        <w:tc>
          <w:tcPr>
            <w:tcW w:w="2085" w:type="dxa"/>
            <w:vMerge w:val="continue"/>
            <w:shd w:val="clear" w:color="auto" w:fill="auto"/>
            <w:vAlign w:val="center"/>
          </w:tcPr>
          <w:p>
            <w:pPr>
              <w:widowControl/>
              <w:jc w:val="left"/>
              <w:rPr>
                <w:rFonts w:ascii="宋体" w:hAnsi="宋体" w:cs="宋体"/>
                <w:b/>
                <w:bCs/>
                <w:kern w:val="0"/>
                <w:sz w:val="20"/>
                <w:highlight w:val="none"/>
              </w:rPr>
            </w:pPr>
          </w:p>
        </w:tc>
        <w:tc>
          <w:tcPr>
            <w:tcW w:w="778" w:type="dxa"/>
            <w:vMerge w:val="continue"/>
            <w:shd w:val="clear" w:color="auto" w:fill="auto"/>
            <w:vAlign w:val="center"/>
          </w:tcPr>
          <w:p>
            <w:pPr>
              <w:widowControl/>
              <w:jc w:val="left"/>
              <w:rPr>
                <w:rFonts w:ascii="宋体" w:hAnsi="宋体" w:cs="宋体"/>
                <w:b/>
                <w:bCs/>
                <w:kern w:val="0"/>
                <w:sz w:val="20"/>
                <w:highlight w:val="none"/>
              </w:rPr>
            </w:pPr>
          </w:p>
        </w:tc>
        <w:tc>
          <w:tcPr>
            <w:tcW w:w="505" w:type="dxa"/>
            <w:vMerge w:val="continue"/>
            <w:shd w:val="clear" w:color="auto" w:fill="auto"/>
            <w:vAlign w:val="center"/>
          </w:tcPr>
          <w:p>
            <w:pPr>
              <w:widowControl/>
              <w:jc w:val="left"/>
              <w:rPr>
                <w:rFonts w:ascii="宋体" w:hAnsi="宋体" w:cs="宋体"/>
                <w:b/>
                <w:bCs/>
                <w:kern w:val="0"/>
                <w:sz w:val="20"/>
                <w:highlight w:val="none"/>
              </w:rPr>
            </w:pPr>
          </w:p>
        </w:tc>
        <w:tc>
          <w:tcPr>
            <w:tcW w:w="616" w:type="dxa"/>
            <w:vMerge w:val="continue"/>
            <w:shd w:val="clear" w:color="auto" w:fill="auto"/>
            <w:vAlign w:val="center"/>
          </w:tcPr>
          <w:p>
            <w:pPr>
              <w:widowControl/>
              <w:jc w:val="left"/>
              <w:rPr>
                <w:rFonts w:ascii="宋体" w:hAnsi="宋体" w:cs="宋体"/>
                <w:b/>
                <w:bCs/>
                <w:kern w:val="0"/>
                <w:sz w:val="20"/>
                <w:highlight w:val="none"/>
              </w:rPr>
            </w:pPr>
          </w:p>
        </w:tc>
        <w:tc>
          <w:tcPr>
            <w:tcW w:w="520" w:type="dxa"/>
            <w:vMerge w:val="continue"/>
            <w:shd w:val="clear" w:color="auto" w:fill="auto"/>
            <w:vAlign w:val="center"/>
          </w:tcPr>
          <w:p>
            <w:pPr>
              <w:widowControl/>
              <w:jc w:val="left"/>
              <w:rPr>
                <w:rFonts w:ascii="宋体" w:hAnsi="宋体" w:cs="宋体"/>
                <w:b/>
                <w:bCs/>
                <w:kern w:val="0"/>
                <w:sz w:val="20"/>
                <w:highlight w:val="none"/>
              </w:rPr>
            </w:pPr>
          </w:p>
        </w:tc>
        <w:tc>
          <w:tcPr>
            <w:tcW w:w="472" w:type="dxa"/>
            <w:vMerge w:val="continue"/>
            <w:shd w:val="clear" w:color="auto" w:fill="auto"/>
            <w:vAlign w:val="center"/>
          </w:tcPr>
          <w:p>
            <w:pPr>
              <w:widowControl/>
              <w:jc w:val="left"/>
              <w:rPr>
                <w:rFonts w:ascii="宋体" w:hAnsi="宋体" w:cs="宋体"/>
                <w:b/>
                <w:bCs/>
                <w:kern w:val="0"/>
                <w:sz w:val="20"/>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92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464" w:type="dxa"/>
            <w:vMerge w:val="continue"/>
            <w:vAlign w:val="center"/>
          </w:tcPr>
          <w:p>
            <w:pPr>
              <w:widowControl/>
              <w:jc w:val="left"/>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2085" w:type="dxa"/>
            <w:shd w:val="clear" w:color="000000" w:fill="FFFFFF"/>
            <w:vAlign w:val="center"/>
          </w:tcPr>
          <w:p>
            <w:pPr>
              <w:widowControl/>
              <w:jc w:val="center"/>
              <w:rPr>
                <w:rFonts w:ascii="宋体" w:hAnsi="宋体" w:cs="宋体"/>
                <w:b/>
                <w:bCs/>
                <w:kern w:val="0"/>
                <w:sz w:val="20"/>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r>
              <w:rPr>
                <w:rFonts w:hint="eastAsia" w:ascii="宋体" w:hAnsi="宋体" w:cs="宋体"/>
                <w:b/>
                <w:bCs/>
                <w:kern w:val="0"/>
                <w:sz w:val="20"/>
                <w:highlight w:val="none"/>
              </w:rPr>
              <w:t>…</w:t>
            </w: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center"/>
              <w:rPr>
                <w:rFonts w:ascii="宋体" w:hAnsi="宋体" w:cs="宋体"/>
                <w:b/>
                <w:kern w:val="0"/>
                <w:sz w:val="20"/>
                <w:highlight w:val="none"/>
              </w:rPr>
            </w:pPr>
          </w:p>
        </w:tc>
        <w:tc>
          <w:tcPr>
            <w:tcW w:w="2085" w:type="dxa"/>
            <w:shd w:val="clear" w:color="000000" w:fill="FFFFFF"/>
            <w:vAlign w:val="center"/>
          </w:tcPr>
          <w:p>
            <w:pPr>
              <w:widowControl/>
              <w:jc w:val="center"/>
              <w:rPr>
                <w:rFonts w:ascii="宋体" w:hAnsi="宋体"/>
                <w:b/>
                <w:bCs/>
                <w:kern w:val="0"/>
                <w:szCs w:val="21"/>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76" w:type="dxa"/>
            <w:shd w:val="clear" w:color="000000" w:fill="FFFFFF"/>
            <w:vAlign w:val="center"/>
          </w:tcPr>
          <w:p>
            <w:pPr>
              <w:widowControl/>
              <w:jc w:val="left"/>
              <w:rPr>
                <w:rFonts w:ascii="宋体" w:hAnsi="宋体" w:cs="宋体"/>
                <w:b/>
                <w:bCs/>
                <w:kern w:val="0"/>
                <w:sz w:val="20"/>
                <w:highlight w:val="none"/>
              </w:rPr>
            </w:pPr>
          </w:p>
        </w:tc>
        <w:tc>
          <w:tcPr>
            <w:tcW w:w="2085" w:type="dxa"/>
            <w:shd w:val="clear" w:color="000000" w:fill="FFFFFF"/>
            <w:vAlign w:val="center"/>
          </w:tcPr>
          <w:p>
            <w:pPr>
              <w:widowControl/>
              <w:snapToGrid w:val="0"/>
              <w:rPr>
                <w:rFonts w:ascii="宋体" w:hAnsi="宋体" w:cs="宋体"/>
                <w:kern w:val="0"/>
                <w:sz w:val="22"/>
                <w:highlight w:val="none"/>
              </w:rPr>
            </w:pPr>
          </w:p>
        </w:tc>
        <w:tc>
          <w:tcPr>
            <w:tcW w:w="778" w:type="dxa"/>
            <w:shd w:val="clear" w:color="000000" w:fill="FFFFFF"/>
            <w:vAlign w:val="center"/>
          </w:tcPr>
          <w:p>
            <w:pPr>
              <w:widowControl/>
              <w:snapToGrid w:val="0"/>
              <w:rPr>
                <w:rFonts w:ascii="宋体" w:hAnsi="宋体"/>
                <w:b/>
                <w:bCs/>
                <w:kern w:val="0"/>
                <w:sz w:val="22"/>
                <w:highlight w:val="none"/>
              </w:rPr>
            </w:pPr>
          </w:p>
        </w:tc>
        <w:tc>
          <w:tcPr>
            <w:tcW w:w="505" w:type="dxa"/>
            <w:shd w:val="clear" w:color="000000" w:fill="FFFFFF"/>
            <w:vAlign w:val="center"/>
          </w:tcPr>
          <w:p>
            <w:pPr>
              <w:widowControl/>
              <w:snapToGrid w:val="0"/>
              <w:jc w:val="center"/>
              <w:rPr>
                <w:rFonts w:ascii="宋体" w:hAnsi="宋体" w:cs="宋体"/>
                <w:kern w:val="0"/>
                <w:sz w:val="20"/>
                <w:highlight w:val="none"/>
              </w:rPr>
            </w:pPr>
          </w:p>
        </w:tc>
        <w:tc>
          <w:tcPr>
            <w:tcW w:w="616" w:type="dxa"/>
            <w:shd w:val="clear" w:color="000000" w:fill="FFFFFF"/>
            <w:vAlign w:val="center"/>
          </w:tcPr>
          <w:p>
            <w:pPr>
              <w:widowControl/>
              <w:snapToGrid w:val="0"/>
              <w:jc w:val="center"/>
              <w:rPr>
                <w:rFonts w:ascii="宋体" w:hAnsi="宋体" w:cs="宋体"/>
                <w:b/>
                <w:bCs/>
                <w:kern w:val="0"/>
                <w:sz w:val="20"/>
                <w:highlight w:val="none"/>
              </w:rPr>
            </w:pPr>
          </w:p>
        </w:tc>
        <w:tc>
          <w:tcPr>
            <w:tcW w:w="520" w:type="dxa"/>
            <w:shd w:val="clear" w:color="000000" w:fill="FFFFFF"/>
            <w:vAlign w:val="center"/>
          </w:tcPr>
          <w:p>
            <w:pPr>
              <w:snapToGrid w:val="0"/>
              <w:jc w:val="center"/>
              <w:rPr>
                <w:rFonts w:ascii="宋体" w:hAnsi="宋体"/>
                <w:sz w:val="20"/>
                <w:highlight w:val="none"/>
              </w:rPr>
            </w:pPr>
          </w:p>
        </w:tc>
        <w:tc>
          <w:tcPr>
            <w:tcW w:w="472" w:type="dxa"/>
            <w:shd w:val="clear" w:color="000000" w:fill="FFFFFF"/>
            <w:vAlign w:val="center"/>
          </w:tcPr>
          <w:p>
            <w:pPr>
              <w:widowControl/>
              <w:snapToGrid w:val="0"/>
              <w:rPr>
                <w:rFonts w:ascii="宋体" w:hAnsi="宋体"/>
                <w:b/>
                <w:bCs/>
                <w:kern w:val="0"/>
                <w:sz w:val="22"/>
                <w:highlight w:val="none"/>
              </w:rPr>
            </w:pPr>
          </w:p>
        </w:tc>
        <w:tc>
          <w:tcPr>
            <w:tcW w:w="934" w:type="dxa"/>
            <w:shd w:val="clear" w:color="000000" w:fill="FFFFFF"/>
            <w:vAlign w:val="center"/>
          </w:tcPr>
          <w:p>
            <w:pPr>
              <w:widowControl/>
              <w:jc w:val="center"/>
              <w:rPr>
                <w:rFonts w:ascii="宋体" w:hAnsi="宋体" w:cs="宋体"/>
                <w:b/>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tcPr>
          <w:p>
            <w:pPr>
              <w:widowControl/>
              <w:jc w:val="left"/>
              <w:rPr>
                <w:rFonts w:ascii="宋体" w:hAnsi="宋体" w:cs="宋体"/>
                <w:bCs/>
                <w:kern w:val="0"/>
                <w:sz w:val="20"/>
                <w:highlight w:val="none"/>
              </w:rPr>
            </w:pPr>
          </w:p>
        </w:tc>
        <w:tc>
          <w:tcPr>
            <w:tcW w:w="926" w:type="dxa"/>
            <w:shd w:val="clear" w:color="000000" w:fill="FFFFFF"/>
            <w:vAlign w:val="center"/>
          </w:tcPr>
          <w:p>
            <w:pPr>
              <w:widowControl/>
              <w:jc w:val="left"/>
              <w:rPr>
                <w:rFonts w:ascii="宋体" w:hAnsi="宋体" w:cs="宋体"/>
                <w:bCs/>
                <w:kern w:val="0"/>
                <w:sz w:val="20"/>
                <w:highlight w:val="none"/>
              </w:rPr>
            </w:pPr>
          </w:p>
        </w:tc>
        <w:tc>
          <w:tcPr>
            <w:tcW w:w="464"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86" w:type="dxa"/>
            <w:gridSpan w:val="8"/>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w:t>
            </w:r>
          </w:p>
        </w:tc>
        <w:tc>
          <w:tcPr>
            <w:tcW w:w="926" w:type="dxa"/>
          </w:tcPr>
          <w:p>
            <w:pPr>
              <w:widowControl/>
              <w:jc w:val="center"/>
              <w:rPr>
                <w:rFonts w:ascii="宋体" w:hAnsi="宋体" w:cs="宋体"/>
                <w:kern w:val="0"/>
                <w:sz w:val="20"/>
                <w:highlight w:val="none"/>
              </w:rPr>
            </w:pPr>
          </w:p>
        </w:tc>
        <w:tc>
          <w:tcPr>
            <w:tcW w:w="926" w:type="dxa"/>
          </w:tcPr>
          <w:p>
            <w:pPr>
              <w:widowControl/>
              <w:jc w:val="center"/>
              <w:rPr>
                <w:rFonts w:ascii="宋体" w:hAnsi="宋体" w:cs="宋体"/>
                <w:kern w:val="0"/>
                <w:sz w:val="20"/>
                <w:highlight w:val="none"/>
              </w:rPr>
            </w:pPr>
          </w:p>
        </w:tc>
        <w:tc>
          <w:tcPr>
            <w:tcW w:w="926"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c>
          <w:tcPr>
            <w:tcW w:w="464" w:type="dxa"/>
            <w:vAlign w:val="center"/>
          </w:tcPr>
          <w:p>
            <w:pPr>
              <w:widowControl/>
              <w:jc w:val="center"/>
              <w:rPr>
                <w:rFonts w:ascii="宋体" w:hAnsi="宋体" w:cs="宋体"/>
                <w:kern w:val="0"/>
                <w:sz w:val="20"/>
                <w:highlight w:val="none"/>
              </w:rPr>
            </w:pPr>
            <w:r>
              <w:rPr>
                <w:rFonts w:hint="eastAsia" w:ascii="宋体" w:hAnsi="宋体" w:cs="宋体"/>
                <w:kern w:val="0"/>
                <w:sz w:val="20"/>
                <w:highlight w:val="none"/>
              </w:rPr>
              <w:t>　</w:t>
            </w:r>
          </w:p>
        </w:tc>
      </w:tr>
    </w:tbl>
    <w:p>
      <w:pPr>
        <w:spacing w:line="360" w:lineRule="auto"/>
        <w:rPr>
          <w:rFonts w:ascii="宋体" w:hAnsi="宋体" w:cs="宋体"/>
          <w:sz w:val="22"/>
          <w:highlight w:val="none"/>
        </w:rPr>
      </w:pPr>
      <w:r>
        <w:rPr>
          <w:rFonts w:hint="eastAsia" w:ascii="宋体" w:hAnsi="宋体" w:cs="宋体"/>
          <w:sz w:val="22"/>
          <w:highlight w:val="none"/>
        </w:rPr>
        <w:t>注：免费质保期</w:t>
      </w:r>
      <w:r>
        <w:rPr>
          <w:rFonts w:ascii="宋体" w:hAnsi="宋体" w:cs="宋体"/>
          <w:sz w:val="22"/>
          <w:highlight w:val="none"/>
        </w:rPr>
        <w:t>满后正常运行二年</w:t>
      </w:r>
      <w:r>
        <w:rPr>
          <w:rFonts w:hint="eastAsia" w:ascii="宋体" w:hAnsi="宋体" w:cs="宋体"/>
          <w:sz w:val="22"/>
          <w:highlight w:val="none"/>
        </w:rPr>
        <w:t>内</w:t>
      </w:r>
      <w:r>
        <w:rPr>
          <w:rFonts w:ascii="宋体" w:hAnsi="宋体" w:cs="宋体"/>
          <w:sz w:val="22"/>
          <w:highlight w:val="none"/>
        </w:rPr>
        <w:t>所需的备品、备件，</w:t>
      </w:r>
      <w:r>
        <w:rPr>
          <w:rFonts w:hint="eastAsia" w:ascii="宋体" w:hAnsi="宋体" w:cs="宋体"/>
          <w:sz w:val="22"/>
          <w:highlight w:val="none"/>
        </w:rPr>
        <w:t>清单由投标人自列，费用不计入总价。</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4.5投标设备每年耗材报价表</w:t>
      </w:r>
    </w:p>
    <w:p>
      <w:pPr>
        <w:spacing w:line="360" w:lineRule="auto"/>
        <w:rPr>
          <w:rFonts w:ascii="宋体" w:hAnsi="宋体" w:cs="宋体"/>
          <w:sz w:val="22"/>
          <w:highlight w:val="none"/>
        </w:rPr>
      </w:pPr>
      <w:r>
        <w:rPr>
          <w:rFonts w:hint="eastAsia" w:ascii="宋体" w:hAnsi="宋体" w:cs="宋体"/>
          <w:sz w:val="22"/>
          <w:highlight w:val="none"/>
        </w:rPr>
        <w:t>格式自拟</w:t>
      </w:r>
    </w:p>
    <w:p>
      <w:pPr>
        <w:spacing w:line="360" w:lineRule="auto"/>
        <w:rPr>
          <w:rFonts w:ascii="宋体" w:hAnsi="宋体" w:cs="宋体"/>
          <w:sz w:val="22"/>
          <w:highlight w:val="none"/>
        </w:rPr>
      </w:pPr>
      <w:r>
        <w:rPr>
          <w:rFonts w:hint="eastAsia" w:ascii="宋体" w:hAnsi="宋体" w:cs="宋体"/>
          <w:sz w:val="22"/>
          <w:highlight w:val="none"/>
        </w:rPr>
        <w:t>注：按照每台设备每年10万次检测计算。（使用耗材包括采样试纸、试剂、干燥剂等）</w:t>
      </w:r>
    </w:p>
    <w:p>
      <w:pPr>
        <w:spacing w:line="360" w:lineRule="auto"/>
        <w:jc w:val="center"/>
        <w:rPr>
          <w:rFonts w:ascii="宋体" w:hAnsi="宋体" w:cs="宋体"/>
          <w:sz w:val="22"/>
          <w:highlight w:val="none"/>
        </w:rPr>
      </w:pPr>
      <w:r>
        <w:rPr>
          <w:rFonts w:ascii="宋体" w:hAnsi="宋体"/>
          <w:sz w:val="22"/>
          <w:highlight w:val="none"/>
        </w:rPr>
        <w:br w:type="page"/>
      </w:r>
    </w:p>
    <w:p>
      <w:pPr>
        <w:spacing w:line="440" w:lineRule="exact"/>
        <w:jc w:val="center"/>
        <w:rPr>
          <w:rFonts w:ascii="宋体" w:hAnsi="宋体" w:cs="Arial"/>
          <w:b/>
          <w:sz w:val="22"/>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五、</w:t>
      </w:r>
      <w:r>
        <w:rPr>
          <w:rFonts w:ascii="Calibri" w:hAnsi="Calibri" w:eastAsia="黑体" w:cs="Calibri"/>
          <w:color w:val="000000"/>
          <w:sz w:val="32"/>
          <w:szCs w:val="32"/>
          <w:highlight w:val="none"/>
        </w:rPr>
        <w:t>投标人资格证明文件</w:t>
      </w:r>
    </w:p>
    <w:p>
      <w:pPr>
        <w:overflowPunct w:val="0"/>
        <w:autoSpaceDE w:val="0"/>
        <w:autoSpaceDN w:val="0"/>
        <w:spacing w:line="440" w:lineRule="exact"/>
        <w:ind w:left="839" w:hanging="839"/>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企业名称</w:t>
            </w:r>
          </w:p>
        </w:tc>
        <w:tc>
          <w:tcPr>
            <w:tcW w:w="3165" w:type="dxa"/>
            <w:gridSpan w:val="5"/>
            <w:vAlign w:val="center"/>
          </w:tcPr>
          <w:p>
            <w:pPr>
              <w:snapToGrid w:val="0"/>
              <w:ind w:left="-170" w:right="-170"/>
              <w:jc w:val="center"/>
              <w:rPr>
                <w:rFonts w:ascii="宋体" w:hAnsi="宋体" w:cs="宋体"/>
                <w:sz w:val="22"/>
                <w:highlight w:val="none"/>
              </w:rPr>
            </w:pPr>
          </w:p>
        </w:tc>
        <w:tc>
          <w:tcPr>
            <w:tcW w:w="1748"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主管部门</w:t>
            </w:r>
          </w:p>
        </w:tc>
        <w:tc>
          <w:tcPr>
            <w:tcW w:w="2730" w:type="dxa"/>
            <w:gridSpan w:val="2"/>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经济类型</w:t>
            </w:r>
          </w:p>
        </w:tc>
        <w:tc>
          <w:tcPr>
            <w:tcW w:w="3165" w:type="dxa"/>
            <w:gridSpan w:val="5"/>
            <w:vAlign w:val="center"/>
          </w:tcPr>
          <w:p>
            <w:pPr>
              <w:snapToGrid w:val="0"/>
              <w:ind w:left="-170" w:right="-170"/>
              <w:jc w:val="center"/>
              <w:rPr>
                <w:rFonts w:ascii="宋体" w:hAnsi="宋体" w:cs="宋体"/>
                <w:sz w:val="22"/>
                <w:highlight w:val="none"/>
              </w:rPr>
            </w:pPr>
          </w:p>
        </w:tc>
        <w:tc>
          <w:tcPr>
            <w:tcW w:w="1748"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法定代表人</w:t>
            </w:r>
          </w:p>
        </w:tc>
        <w:tc>
          <w:tcPr>
            <w:tcW w:w="2730" w:type="dxa"/>
            <w:gridSpan w:val="2"/>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单位简历</w:t>
            </w:r>
          </w:p>
        </w:tc>
        <w:tc>
          <w:tcPr>
            <w:tcW w:w="7643" w:type="dxa"/>
            <w:gridSpan w:val="10"/>
            <w:vAlign w:val="center"/>
          </w:tcPr>
          <w:p>
            <w:pPr>
              <w:snapToGrid w:val="0"/>
              <w:ind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jc w:val="center"/>
              <w:rPr>
                <w:rFonts w:ascii="宋体" w:hAnsi="宋体" w:cs="宋体"/>
                <w:sz w:val="22"/>
                <w:highlight w:val="none"/>
              </w:rPr>
            </w:pPr>
            <w:r>
              <w:rPr>
                <w:rFonts w:hint="eastAsia" w:ascii="宋体" w:hAnsi="宋体" w:cs="宋体"/>
                <w:sz w:val="22"/>
                <w:highlight w:val="none"/>
              </w:rPr>
              <w:t>及 特 长</w:t>
            </w:r>
          </w:p>
        </w:tc>
        <w:tc>
          <w:tcPr>
            <w:tcW w:w="7643" w:type="dxa"/>
            <w:gridSpan w:val="10"/>
            <w:vAlign w:val="center"/>
          </w:tcPr>
          <w:p>
            <w:pPr>
              <w:pStyle w:val="39"/>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单 位 概 况</w:t>
            </w:r>
          </w:p>
        </w:tc>
        <w:tc>
          <w:tcPr>
            <w:tcW w:w="174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职工总人数</w:t>
            </w:r>
          </w:p>
        </w:tc>
        <w:tc>
          <w:tcPr>
            <w:tcW w:w="1703"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c>
          <w:tcPr>
            <w:tcW w:w="2205"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工程技术人员</w:t>
            </w:r>
          </w:p>
        </w:tc>
        <w:tc>
          <w:tcPr>
            <w:tcW w:w="199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74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生产工人</w:t>
            </w:r>
          </w:p>
        </w:tc>
        <w:tc>
          <w:tcPr>
            <w:tcW w:w="1703"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c>
          <w:tcPr>
            <w:tcW w:w="2205"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销售人员</w:t>
            </w:r>
          </w:p>
        </w:tc>
        <w:tc>
          <w:tcPr>
            <w:tcW w:w="199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固定</w:t>
            </w:r>
          </w:p>
          <w:p>
            <w:pPr>
              <w:snapToGrid w:val="0"/>
              <w:ind w:left="-170" w:right="-170"/>
              <w:jc w:val="center"/>
              <w:rPr>
                <w:rFonts w:ascii="宋体" w:hAnsi="宋体" w:cs="宋体"/>
                <w:sz w:val="22"/>
                <w:highlight w:val="none"/>
              </w:rPr>
            </w:pPr>
            <w:r>
              <w:rPr>
                <w:rFonts w:hint="eastAsia" w:ascii="宋体" w:hAnsi="宋体" w:cs="宋体"/>
                <w:sz w:val="22"/>
                <w:highlight w:val="none"/>
              </w:rPr>
              <w:t>资产</w:t>
            </w:r>
          </w:p>
        </w:tc>
        <w:tc>
          <w:tcPr>
            <w:tcW w:w="1575" w:type="dxa"/>
            <w:gridSpan w:val="3"/>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c>
          <w:tcPr>
            <w:tcW w:w="840" w:type="dxa"/>
            <w:gridSpan w:val="2"/>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资金</w:t>
            </w:r>
          </w:p>
          <w:p>
            <w:pPr>
              <w:snapToGrid w:val="0"/>
              <w:ind w:left="-170" w:right="-170"/>
              <w:jc w:val="center"/>
              <w:rPr>
                <w:rFonts w:ascii="宋体" w:hAnsi="宋体" w:cs="宋体"/>
                <w:sz w:val="22"/>
                <w:highlight w:val="none"/>
              </w:rPr>
            </w:pPr>
            <w:r>
              <w:rPr>
                <w:rFonts w:hint="eastAsia" w:ascii="宋体" w:hAnsi="宋体" w:cs="宋体"/>
                <w:sz w:val="22"/>
                <w:highlight w:val="none"/>
              </w:rPr>
              <w:t>性质</w:t>
            </w: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生产性</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continue"/>
            <w:vAlign w:val="center"/>
          </w:tcPr>
          <w:p>
            <w:pPr>
              <w:snapToGrid w:val="0"/>
              <w:ind w:left="-170" w:right="-170"/>
              <w:jc w:val="center"/>
              <w:rPr>
                <w:rFonts w:ascii="宋体" w:hAnsi="宋体" w:cs="宋体"/>
                <w:sz w:val="22"/>
                <w:highlight w:val="none"/>
              </w:rPr>
            </w:pPr>
          </w:p>
        </w:tc>
        <w:tc>
          <w:tcPr>
            <w:tcW w:w="1575" w:type="dxa"/>
            <w:gridSpan w:val="3"/>
            <w:vMerge w:val="continue"/>
            <w:vAlign w:val="center"/>
          </w:tcPr>
          <w:p>
            <w:pPr>
              <w:snapToGrid w:val="0"/>
              <w:ind w:left="-170" w:right="-170"/>
              <w:jc w:val="center"/>
              <w:rPr>
                <w:rFonts w:ascii="宋体" w:hAnsi="宋体" w:cs="宋体"/>
                <w:sz w:val="22"/>
                <w:highlight w:val="none"/>
              </w:rPr>
            </w:pPr>
          </w:p>
        </w:tc>
        <w:tc>
          <w:tcPr>
            <w:tcW w:w="840" w:type="dxa"/>
            <w:gridSpan w:val="2"/>
            <w:vMerge w:val="continue"/>
            <w:vAlign w:val="center"/>
          </w:tcPr>
          <w:p>
            <w:pPr>
              <w:snapToGrid w:val="0"/>
              <w:ind w:left="-170" w:right="-170"/>
              <w:jc w:val="center"/>
              <w:rPr>
                <w:rFonts w:ascii="宋体" w:hAnsi="宋体" w:cs="宋体"/>
                <w:sz w:val="22"/>
                <w:highlight w:val="none"/>
              </w:rPr>
            </w:pP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非生产性</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流动</w:t>
            </w:r>
          </w:p>
          <w:p>
            <w:pPr>
              <w:snapToGrid w:val="0"/>
              <w:ind w:left="-170" w:right="-170"/>
              <w:jc w:val="center"/>
              <w:rPr>
                <w:rFonts w:ascii="宋体" w:hAnsi="宋体" w:cs="宋体"/>
                <w:sz w:val="22"/>
                <w:highlight w:val="none"/>
              </w:rPr>
            </w:pPr>
            <w:r>
              <w:rPr>
                <w:rFonts w:hint="eastAsia" w:ascii="宋体" w:hAnsi="宋体" w:cs="宋体"/>
                <w:sz w:val="22"/>
                <w:highlight w:val="none"/>
              </w:rPr>
              <w:t>资金</w:t>
            </w:r>
          </w:p>
        </w:tc>
        <w:tc>
          <w:tcPr>
            <w:tcW w:w="1575" w:type="dxa"/>
            <w:gridSpan w:val="3"/>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c>
          <w:tcPr>
            <w:tcW w:w="840" w:type="dxa"/>
            <w:gridSpan w:val="2"/>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资金</w:t>
            </w:r>
          </w:p>
          <w:p>
            <w:pPr>
              <w:snapToGrid w:val="0"/>
              <w:ind w:left="-170" w:right="-170"/>
              <w:jc w:val="center"/>
              <w:rPr>
                <w:rFonts w:ascii="宋体" w:hAnsi="宋体" w:cs="宋体"/>
                <w:sz w:val="22"/>
                <w:highlight w:val="none"/>
              </w:rPr>
            </w:pPr>
            <w:r>
              <w:rPr>
                <w:rFonts w:hint="eastAsia" w:ascii="宋体" w:hAnsi="宋体" w:cs="宋体"/>
                <w:sz w:val="22"/>
                <w:highlight w:val="none"/>
              </w:rPr>
              <w:t>来源</w:t>
            </w: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自有资金</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028" w:type="dxa"/>
            <w:vMerge w:val="continue"/>
            <w:vAlign w:val="center"/>
          </w:tcPr>
          <w:p>
            <w:pPr>
              <w:snapToGrid w:val="0"/>
              <w:ind w:left="-170" w:right="-170"/>
              <w:jc w:val="center"/>
              <w:rPr>
                <w:rFonts w:ascii="宋体" w:hAnsi="宋体" w:cs="宋体"/>
                <w:sz w:val="22"/>
                <w:highlight w:val="none"/>
              </w:rPr>
            </w:pPr>
          </w:p>
        </w:tc>
        <w:tc>
          <w:tcPr>
            <w:tcW w:w="1575" w:type="dxa"/>
            <w:gridSpan w:val="3"/>
            <w:vMerge w:val="continue"/>
            <w:vAlign w:val="center"/>
          </w:tcPr>
          <w:p>
            <w:pPr>
              <w:snapToGrid w:val="0"/>
              <w:ind w:left="-170" w:right="-170"/>
              <w:jc w:val="center"/>
              <w:rPr>
                <w:rFonts w:ascii="宋体" w:hAnsi="宋体" w:cs="宋体"/>
                <w:sz w:val="22"/>
                <w:highlight w:val="none"/>
              </w:rPr>
            </w:pPr>
          </w:p>
        </w:tc>
        <w:tc>
          <w:tcPr>
            <w:tcW w:w="840" w:type="dxa"/>
            <w:gridSpan w:val="2"/>
            <w:vMerge w:val="continue"/>
            <w:vAlign w:val="center"/>
          </w:tcPr>
          <w:p>
            <w:pPr>
              <w:snapToGrid w:val="0"/>
              <w:ind w:left="-170" w:right="-170"/>
              <w:jc w:val="center"/>
              <w:rPr>
                <w:rFonts w:ascii="宋体" w:hAnsi="宋体" w:cs="宋体"/>
                <w:sz w:val="22"/>
                <w:highlight w:val="none"/>
              </w:rPr>
            </w:pPr>
          </w:p>
        </w:tc>
        <w:tc>
          <w:tcPr>
            <w:tcW w:w="1440"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银行贷款</w:t>
            </w:r>
          </w:p>
        </w:tc>
        <w:tc>
          <w:tcPr>
            <w:tcW w:w="2760" w:type="dxa"/>
            <w:gridSpan w:val="3"/>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经营</w:t>
            </w:r>
          </w:p>
          <w:p>
            <w:pPr>
              <w:snapToGrid w:val="0"/>
              <w:ind w:left="-170" w:right="-170"/>
              <w:jc w:val="center"/>
              <w:rPr>
                <w:rFonts w:ascii="宋体" w:hAnsi="宋体" w:cs="宋体"/>
                <w:sz w:val="22"/>
                <w:highlight w:val="none"/>
              </w:rPr>
            </w:pPr>
            <w:r>
              <w:rPr>
                <w:rFonts w:hint="eastAsia" w:ascii="宋体" w:hAnsi="宋体" w:cs="宋体"/>
                <w:sz w:val="22"/>
                <w:highlight w:val="none"/>
              </w:rPr>
              <w:t>范围</w:t>
            </w:r>
          </w:p>
        </w:tc>
        <w:tc>
          <w:tcPr>
            <w:tcW w:w="7643" w:type="dxa"/>
            <w:gridSpan w:val="10"/>
            <w:vAlign w:val="center"/>
          </w:tcPr>
          <w:p>
            <w:pPr>
              <w:snapToGrid w:val="0"/>
              <w:ind w:left="-170" w:right="-170"/>
              <w:jc w:val="center"/>
              <w:rPr>
                <w:rFonts w:ascii="宋体" w:hAnsi="宋体" w:cs="宋体"/>
                <w:sz w:val="22"/>
                <w:highlight w:val="none"/>
              </w:rPr>
            </w:pPr>
          </w:p>
          <w:p>
            <w:pPr>
              <w:snapToGrid w:val="0"/>
              <w:ind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经 济</w:t>
            </w:r>
          </w:p>
          <w:p>
            <w:pPr>
              <w:snapToGrid w:val="0"/>
              <w:ind w:left="-170" w:right="-170"/>
              <w:jc w:val="center"/>
              <w:rPr>
                <w:rFonts w:ascii="宋体" w:hAnsi="宋体" w:cs="宋体"/>
                <w:sz w:val="22"/>
                <w:highlight w:val="none"/>
              </w:rPr>
            </w:pPr>
            <w:r>
              <w:rPr>
                <w:rFonts w:hint="eastAsia" w:ascii="宋体" w:hAnsi="宋体" w:cs="宋体"/>
                <w:sz w:val="22"/>
                <w:highlight w:val="none"/>
              </w:rPr>
              <w:t>指 标</w:t>
            </w:r>
          </w:p>
        </w:tc>
        <w:tc>
          <w:tcPr>
            <w:tcW w:w="1553" w:type="dxa"/>
            <w:gridSpan w:val="2"/>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年份</w:t>
            </w:r>
          </w:p>
        </w:tc>
        <w:tc>
          <w:tcPr>
            <w:tcW w:w="6090" w:type="dxa"/>
            <w:gridSpan w:val="8"/>
            <w:vAlign w:val="center"/>
          </w:tcPr>
          <w:p>
            <w:pPr>
              <w:snapToGrid w:val="0"/>
              <w:ind w:left="-170" w:right="-17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553" w:type="dxa"/>
            <w:gridSpan w:val="2"/>
            <w:vAlign w:val="center"/>
          </w:tcPr>
          <w:p>
            <w:pPr>
              <w:snapToGrid w:val="0"/>
              <w:ind w:left="-170" w:right="-170"/>
              <w:jc w:val="center"/>
              <w:rPr>
                <w:rFonts w:ascii="宋体" w:hAnsi="宋体" w:cs="宋体"/>
                <w:sz w:val="22"/>
                <w:highlight w:val="none"/>
              </w:rPr>
            </w:pPr>
          </w:p>
        </w:tc>
        <w:tc>
          <w:tcPr>
            <w:tcW w:w="6090" w:type="dxa"/>
            <w:gridSpan w:val="8"/>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highlight w:val="none"/>
              </w:rPr>
            </w:pPr>
          </w:p>
        </w:tc>
        <w:tc>
          <w:tcPr>
            <w:tcW w:w="1553" w:type="dxa"/>
            <w:gridSpan w:val="2"/>
            <w:vAlign w:val="center"/>
          </w:tcPr>
          <w:p>
            <w:pPr>
              <w:snapToGrid w:val="0"/>
              <w:ind w:left="-170" w:right="-170"/>
              <w:jc w:val="center"/>
              <w:rPr>
                <w:rFonts w:ascii="宋体" w:hAnsi="宋体" w:cs="宋体"/>
                <w:sz w:val="22"/>
                <w:highlight w:val="none"/>
              </w:rPr>
            </w:pPr>
          </w:p>
        </w:tc>
        <w:tc>
          <w:tcPr>
            <w:tcW w:w="6090" w:type="dxa"/>
            <w:gridSpan w:val="8"/>
            <w:vAlign w:val="center"/>
          </w:tcPr>
          <w:p>
            <w:pPr>
              <w:snapToGrid w:val="0"/>
              <w:ind w:left="-170" w:right="-17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highlight w:val="none"/>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highlight w:val="none"/>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highlight w:val="none"/>
              </w:rPr>
            </w:pPr>
          </w:p>
        </w:tc>
      </w:tr>
    </w:tbl>
    <w:p>
      <w:pPr>
        <w:overflowPunct w:val="0"/>
        <w:autoSpaceDE w:val="0"/>
        <w:autoSpaceDN w:val="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spacing w:line="360" w:lineRule="auto"/>
        <w:jc w:val="center"/>
        <w:rPr>
          <w:rFonts w:ascii="宋体" w:hAnsi="宋体" w:cs="宋体"/>
          <w:b/>
          <w:sz w:val="32"/>
          <w:szCs w:val="32"/>
          <w:highlight w:val="none"/>
        </w:rPr>
      </w:pPr>
      <w:r>
        <w:rPr>
          <w:rFonts w:ascii="宋体" w:hAnsi="宋体" w:cs="Calibri"/>
          <w:sz w:val="22"/>
          <w:highlight w:val="none"/>
        </w:rPr>
        <w:br w:type="page"/>
      </w:r>
      <w:r>
        <w:rPr>
          <w:rFonts w:hint="eastAsia" w:ascii="宋体" w:hAnsi="宋体" w:cs="宋体"/>
          <w:b/>
          <w:sz w:val="32"/>
          <w:szCs w:val="32"/>
          <w:highlight w:val="none"/>
        </w:rPr>
        <w:t>（二）制造商资格声明</w:t>
      </w:r>
    </w:p>
    <w:p>
      <w:pPr>
        <w:numPr>
          <w:ilvl w:val="0"/>
          <w:numId w:val="32"/>
        </w:numPr>
        <w:adjustRightInd w:val="0"/>
        <w:spacing w:beforeLines="50" w:line="360" w:lineRule="auto"/>
        <w:textAlignment w:val="baseline"/>
        <w:rPr>
          <w:rFonts w:ascii="宋体" w:hAnsi="宋体" w:cs="宋体"/>
          <w:sz w:val="22"/>
          <w:szCs w:val="22"/>
          <w:highlight w:val="none"/>
        </w:rPr>
      </w:pPr>
      <w:r>
        <w:rPr>
          <w:rFonts w:hint="eastAsia" w:ascii="宋体" w:hAnsi="宋体" w:cs="宋体"/>
          <w:sz w:val="22"/>
          <w:szCs w:val="22"/>
          <w:highlight w:val="none"/>
        </w:rPr>
        <w:t>名称及概况：</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制造商名称：</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总部地址：</w:t>
      </w:r>
      <w:r>
        <w:rPr>
          <w:rFonts w:hint="eastAsia" w:ascii="宋体" w:hAnsi="宋体" w:cs="宋体"/>
          <w:sz w:val="22"/>
          <w:szCs w:val="22"/>
          <w:highlight w:val="none"/>
          <w:u w:val="single"/>
        </w:rPr>
        <w:t xml:space="preserve">                                                   </w:t>
      </w:r>
    </w:p>
    <w:p>
      <w:pPr>
        <w:spacing w:line="360" w:lineRule="auto"/>
        <w:ind w:left="840" w:firstLine="120"/>
        <w:rPr>
          <w:rFonts w:ascii="宋体" w:hAnsi="宋体" w:cs="宋体"/>
          <w:sz w:val="22"/>
          <w:szCs w:val="22"/>
          <w:highlight w:val="none"/>
          <w:u w:val="single"/>
        </w:rPr>
      </w:pPr>
      <w:r>
        <w:rPr>
          <w:rFonts w:hint="eastAsia" w:ascii="宋体" w:hAnsi="宋体" w:cs="宋体"/>
          <w:sz w:val="22"/>
          <w:szCs w:val="22"/>
          <w:highlight w:val="none"/>
        </w:rPr>
        <w:t>电传/传真/电话号码：</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u w:val="single"/>
        </w:rPr>
      </w:pPr>
      <w:r>
        <w:rPr>
          <w:rFonts w:hint="eastAsia" w:ascii="宋体" w:hAnsi="宋体" w:cs="宋体"/>
          <w:sz w:val="22"/>
          <w:szCs w:val="22"/>
          <w:highlight w:val="none"/>
        </w:rPr>
        <w:t>成立和/或注册日期：</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实收资本：</w:t>
      </w:r>
      <w:r>
        <w:rPr>
          <w:rFonts w:hint="eastAsia" w:ascii="宋体" w:hAnsi="宋体" w:cs="宋体"/>
          <w:sz w:val="22"/>
          <w:szCs w:val="22"/>
          <w:highlight w:val="none"/>
          <w:u w:val="single"/>
        </w:rPr>
        <w:t xml:space="preserve">                                                   </w:t>
      </w:r>
    </w:p>
    <w:p>
      <w:pPr>
        <w:numPr>
          <w:ilvl w:val="0"/>
          <w:numId w:val="33"/>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近期资产负债表（到</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日止）</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固定资产：</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流动资产：</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长期负债：</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流动负债：</w:t>
      </w:r>
      <w:r>
        <w:rPr>
          <w:rFonts w:hint="eastAsia" w:ascii="宋体" w:hAnsi="宋体" w:cs="宋体"/>
          <w:sz w:val="22"/>
          <w:szCs w:val="22"/>
          <w:highlight w:val="none"/>
          <w:u w:val="single"/>
        </w:rPr>
        <w:t xml:space="preserve">                                       </w:t>
      </w:r>
    </w:p>
    <w:p>
      <w:pPr>
        <w:numPr>
          <w:ilvl w:val="0"/>
          <w:numId w:val="34"/>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净值：</w:t>
      </w:r>
      <w:r>
        <w:rPr>
          <w:rFonts w:hint="eastAsia" w:ascii="宋体" w:hAnsi="宋体" w:cs="宋体"/>
          <w:sz w:val="22"/>
          <w:szCs w:val="22"/>
          <w:highlight w:val="none"/>
          <w:u w:val="single"/>
        </w:rPr>
        <w:t xml:space="preserve">                                           </w:t>
      </w:r>
    </w:p>
    <w:p>
      <w:pPr>
        <w:numPr>
          <w:ilvl w:val="0"/>
          <w:numId w:val="35"/>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主要负责人姓名：（可选填）</w:t>
      </w:r>
      <w:r>
        <w:rPr>
          <w:rFonts w:hint="eastAsia" w:ascii="宋体" w:hAnsi="宋体" w:cs="宋体"/>
          <w:sz w:val="22"/>
          <w:szCs w:val="22"/>
          <w:highlight w:val="none"/>
          <w:u w:val="single"/>
        </w:rPr>
        <w:t xml:space="preserve">                          </w:t>
      </w:r>
    </w:p>
    <w:p>
      <w:pPr>
        <w:numPr>
          <w:ilvl w:val="0"/>
          <w:numId w:val="35"/>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制造商在中国的代表的姓名和地址：（如有的话）</w:t>
      </w:r>
    </w:p>
    <w:p>
      <w:pPr>
        <w:spacing w:line="360" w:lineRule="auto"/>
        <w:ind w:left="425"/>
        <w:rPr>
          <w:rFonts w:ascii="宋体" w:hAnsi="宋体" w:cs="宋体"/>
          <w:sz w:val="22"/>
          <w:szCs w:val="22"/>
          <w:highlight w:val="none"/>
        </w:rPr>
      </w:pPr>
      <w:r>
        <w:rPr>
          <w:rFonts w:hint="eastAsia" w:ascii="宋体" w:hAnsi="宋体" w:cs="宋体"/>
          <w:sz w:val="22"/>
          <w:szCs w:val="22"/>
          <w:highlight w:val="none"/>
          <w:u w:val="single"/>
        </w:rPr>
        <w:t xml:space="preserve">                                                        </w:t>
      </w:r>
    </w:p>
    <w:p>
      <w:pPr>
        <w:numPr>
          <w:ilvl w:val="0"/>
          <w:numId w:val="2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(1) 关于制造投标货物的设施及其它情况：</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rPr>
        <w:t>工厂名称地址       生产的项目       年生产能力       职工人数</w:t>
      </w:r>
    </w:p>
    <w:p>
      <w:pPr>
        <w:spacing w:line="360" w:lineRule="auto"/>
        <w:rPr>
          <w:rFonts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rPr>
          <w:rFonts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1"/>
          <w:numId w:val="36"/>
        </w:numPr>
        <w:tabs>
          <w:tab w:val="left" w:pos="780"/>
          <w:tab w:val="clear" w:pos="840"/>
        </w:tabs>
        <w:adjustRightInd w:val="0"/>
        <w:spacing w:line="360" w:lineRule="auto"/>
        <w:ind w:left="780" w:hanging="360"/>
        <w:textAlignment w:val="baseline"/>
        <w:rPr>
          <w:rFonts w:ascii="宋体" w:hAnsi="宋体" w:cs="宋体"/>
          <w:sz w:val="22"/>
          <w:szCs w:val="22"/>
          <w:highlight w:val="none"/>
        </w:rPr>
      </w:pPr>
      <w:r>
        <w:rPr>
          <w:rFonts w:hint="eastAsia" w:ascii="宋体" w:hAnsi="宋体" w:cs="宋体"/>
          <w:sz w:val="22"/>
          <w:szCs w:val="22"/>
          <w:highlight w:val="none"/>
        </w:rPr>
        <w:t xml:space="preserve"> 本制造商不生产，而需从其它制造商购买的主要零部件：</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rPr>
        <w:t>制造商名称和地址               主要零部件名称</w:t>
      </w:r>
    </w:p>
    <w:p>
      <w:pPr>
        <w:spacing w:line="360" w:lineRule="auto"/>
        <w:rPr>
          <w:rFonts w:ascii="宋体" w:hAnsi="宋体" w:cs="宋体"/>
          <w:sz w:val="22"/>
          <w:szCs w:val="22"/>
          <w:highlight w:val="none"/>
          <w:u w:val="singl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rPr>
          <w:rFonts w:ascii="宋体" w:hAnsi="宋体" w:cs="宋体"/>
          <w:sz w:val="22"/>
          <w:szCs w:val="22"/>
          <w:highlight w:val="none"/>
          <w:u w:val="singl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7"/>
        </w:numPr>
        <w:adjustRightInd w:val="0"/>
        <w:spacing w:line="360" w:lineRule="auto"/>
        <w:ind w:right="506" w:rightChars="211"/>
        <w:textAlignment w:val="baseline"/>
        <w:rPr>
          <w:rFonts w:ascii="宋体" w:hAnsi="宋体" w:cs="宋体"/>
          <w:sz w:val="22"/>
          <w:szCs w:val="22"/>
          <w:highlight w:val="none"/>
        </w:rPr>
      </w:pPr>
      <w:r>
        <w:rPr>
          <w:rFonts w:hint="eastAsia" w:ascii="宋体" w:hAnsi="宋体" w:cs="宋体"/>
          <w:sz w:val="22"/>
          <w:szCs w:val="22"/>
          <w:highlight w:val="none"/>
        </w:rPr>
        <w:t>本制造商生产投标货物的经验（包括年限、项目业主、额定能力、商业运营的起始日期等）：</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u w:val="single"/>
        </w:rPr>
        <w:t xml:space="preserve">                                                                 </w:t>
      </w:r>
    </w:p>
    <w:p>
      <w:pPr>
        <w:spacing w:line="360" w:lineRule="auto"/>
        <w:ind w:firstLine="360"/>
        <w:rPr>
          <w:rFonts w:ascii="宋体" w:hAnsi="宋体" w:cs="宋体"/>
          <w:sz w:val="22"/>
          <w:szCs w:val="22"/>
          <w:highlight w:val="none"/>
        </w:rPr>
      </w:pPr>
      <w:r>
        <w:rPr>
          <w:rFonts w:hint="eastAsia" w:ascii="宋体" w:hAnsi="宋体" w:cs="宋体"/>
          <w:sz w:val="22"/>
          <w:szCs w:val="22"/>
          <w:highlight w:val="none"/>
          <w:u w:val="single"/>
        </w:rPr>
        <w:t xml:space="preserve">                                                                 </w:t>
      </w:r>
    </w:p>
    <w:p>
      <w:pPr>
        <w:numPr>
          <w:ilvl w:val="0"/>
          <w:numId w:val="37"/>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近3年该货物主要销售给国内、外主要客户的名称地址：</w:t>
      </w:r>
    </w:p>
    <w:p>
      <w:pPr>
        <w:numPr>
          <w:ilvl w:val="0"/>
          <w:numId w:val="3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出口销售</w:t>
      </w:r>
    </w:p>
    <w:p>
      <w:pPr>
        <w:spacing w:line="360" w:lineRule="auto"/>
        <w:ind w:firstLine="840"/>
        <w:rPr>
          <w:rFonts w:ascii="宋体" w:hAnsi="宋体" w:cs="宋体"/>
          <w:sz w:val="22"/>
          <w:szCs w:val="22"/>
          <w:highlight w:val="none"/>
          <w:u w:val="single"/>
        </w:rPr>
      </w:pPr>
      <w:r>
        <w:rPr>
          <w:rFonts w:hint="eastAsia" w:ascii="宋体" w:hAnsi="宋体" w:cs="宋体"/>
          <w:sz w:val="22"/>
          <w:szCs w:val="22"/>
          <w:highlight w:val="none"/>
        </w:rPr>
        <w:t>（</w:t>
      </w:r>
      <w:r>
        <w:rPr>
          <w:rFonts w:hint="eastAsia" w:ascii="宋体" w:hAnsi="宋体" w:cs="宋体"/>
          <w:i/>
          <w:sz w:val="22"/>
          <w:szCs w:val="22"/>
          <w:highlight w:val="none"/>
          <w:u w:val="single"/>
        </w:rPr>
        <w:t>名称和地址</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r>
        <w:rPr>
          <w:rFonts w:hint="eastAsia" w:ascii="宋体" w:hAnsi="宋体" w:cs="宋体"/>
          <w:i/>
          <w:sz w:val="22"/>
          <w:szCs w:val="22"/>
          <w:highlight w:val="none"/>
          <w:u w:val="single"/>
        </w:rPr>
        <w:t>销售项目</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p>
    <w:p>
      <w:pPr>
        <w:numPr>
          <w:ilvl w:val="0"/>
          <w:numId w:val="38"/>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国内销售</w:t>
      </w:r>
    </w:p>
    <w:p>
      <w:pPr>
        <w:spacing w:line="360" w:lineRule="auto"/>
        <w:ind w:firstLine="840"/>
        <w:rPr>
          <w:rFonts w:ascii="宋体" w:hAnsi="宋体" w:cs="宋体"/>
          <w:sz w:val="22"/>
          <w:szCs w:val="22"/>
          <w:highlight w:val="none"/>
          <w:u w:val="single"/>
        </w:rPr>
      </w:pPr>
      <w:r>
        <w:rPr>
          <w:rFonts w:hint="eastAsia" w:ascii="宋体" w:hAnsi="宋体" w:cs="宋体"/>
          <w:sz w:val="22"/>
          <w:szCs w:val="22"/>
          <w:highlight w:val="none"/>
        </w:rPr>
        <w:t>（</w:t>
      </w:r>
      <w:r>
        <w:rPr>
          <w:rFonts w:hint="eastAsia" w:ascii="宋体" w:hAnsi="宋体" w:cs="宋体"/>
          <w:i/>
          <w:sz w:val="22"/>
          <w:szCs w:val="22"/>
          <w:highlight w:val="none"/>
          <w:u w:val="single"/>
        </w:rPr>
        <w:t>名称和地址</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r>
        <w:rPr>
          <w:rFonts w:hint="eastAsia" w:ascii="宋体" w:hAnsi="宋体" w:cs="宋体"/>
          <w:i/>
          <w:sz w:val="22"/>
          <w:szCs w:val="22"/>
          <w:highlight w:val="none"/>
          <w:u w:val="single"/>
        </w:rPr>
        <w:t>销售项目</w:t>
      </w:r>
      <w:r>
        <w:rPr>
          <w:rFonts w:hint="eastAsia" w:ascii="宋体" w:hAnsi="宋体" w:cs="宋体"/>
          <w:sz w:val="22"/>
          <w:szCs w:val="22"/>
          <w:highlight w:val="none"/>
        </w:rPr>
        <w:t>）</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近三年的年营业额</w:t>
      </w:r>
    </w:p>
    <w:p>
      <w:pPr>
        <w:spacing w:line="360" w:lineRule="auto"/>
        <w:ind w:firstLine="480"/>
        <w:rPr>
          <w:rFonts w:ascii="宋体" w:hAnsi="宋体" w:cs="宋体"/>
          <w:sz w:val="22"/>
          <w:szCs w:val="22"/>
          <w:highlight w:val="none"/>
        </w:rPr>
      </w:pPr>
      <w:r>
        <w:rPr>
          <w:rFonts w:hint="eastAsia" w:ascii="宋体" w:hAnsi="宋体" w:cs="宋体"/>
          <w:sz w:val="22"/>
          <w:szCs w:val="22"/>
          <w:highlight w:val="none"/>
        </w:rPr>
        <w:t>年份             国内             出口             总额</w:t>
      </w:r>
    </w:p>
    <w:p>
      <w:pPr>
        <w:spacing w:line="360" w:lineRule="auto"/>
        <w:ind w:left="360"/>
        <w:rPr>
          <w:rFonts w:ascii="宋体" w:hAnsi="宋体" w:cs="宋体"/>
          <w:sz w:val="22"/>
          <w:szCs w:val="22"/>
          <w:highlight w:val="none"/>
          <w:u w:val="singl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rPr>
        <w:br w:type="textWrapping"/>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易损件供应商的名称和地址：</w:t>
      </w:r>
    </w:p>
    <w:p>
      <w:pPr>
        <w:spacing w:line="360" w:lineRule="auto"/>
        <w:ind w:firstLine="720"/>
        <w:rPr>
          <w:rFonts w:ascii="宋体" w:hAnsi="宋体" w:cs="宋体"/>
          <w:sz w:val="22"/>
          <w:szCs w:val="22"/>
          <w:highlight w:val="none"/>
        </w:rPr>
      </w:pPr>
      <w:r>
        <w:rPr>
          <w:rFonts w:hint="eastAsia" w:ascii="宋体" w:hAnsi="宋体" w:cs="宋体"/>
          <w:sz w:val="22"/>
          <w:szCs w:val="22"/>
          <w:highlight w:val="none"/>
        </w:rPr>
        <w:t>部件名称                              供应商</w:t>
      </w:r>
    </w:p>
    <w:p>
      <w:pPr>
        <w:spacing w:line="360" w:lineRule="auto"/>
        <w:ind w:firstLine="720"/>
        <w:rPr>
          <w:rFonts w:ascii="宋体" w:hAnsi="宋体" w:cs="宋体"/>
          <w:sz w:val="22"/>
          <w:szCs w:val="22"/>
          <w:highlight w:val="none"/>
          <w:u w:val="singl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spacing w:line="360" w:lineRule="auto"/>
        <w:ind w:firstLine="720"/>
        <w:rPr>
          <w:rFonts w:ascii="宋体" w:hAnsi="宋体" w:cs="宋体"/>
          <w:sz w:val="22"/>
          <w:szCs w:val="22"/>
          <w:highlight w:val="none"/>
        </w:rPr>
      </w:pP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有关开户银行的名称和地址：</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制造商所属的集团公司（如有的话）：</w:t>
      </w:r>
      <w:r>
        <w:rPr>
          <w:rFonts w:hint="eastAsia" w:ascii="宋体" w:hAnsi="宋体" w:cs="宋体"/>
          <w:sz w:val="22"/>
          <w:szCs w:val="22"/>
          <w:highlight w:val="none"/>
          <w:u w:val="single"/>
        </w:rPr>
        <w:t xml:space="preserve">                                </w:t>
      </w:r>
    </w:p>
    <w:p>
      <w:pPr>
        <w:numPr>
          <w:ilvl w:val="0"/>
          <w:numId w:val="39"/>
        </w:numPr>
        <w:adjustRightInd w:val="0"/>
        <w:spacing w:line="360" w:lineRule="auto"/>
        <w:textAlignment w:val="baseline"/>
        <w:rPr>
          <w:rFonts w:ascii="宋体" w:hAnsi="宋体" w:cs="宋体"/>
          <w:sz w:val="22"/>
          <w:szCs w:val="22"/>
          <w:highlight w:val="none"/>
        </w:rPr>
      </w:pPr>
      <w:r>
        <w:rPr>
          <w:rFonts w:hint="eastAsia" w:ascii="宋体" w:hAnsi="宋体" w:cs="宋体"/>
          <w:sz w:val="22"/>
          <w:szCs w:val="22"/>
          <w:highlight w:val="none"/>
        </w:rPr>
        <w:t>其他情况：</w:t>
      </w:r>
      <w:r>
        <w:rPr>
          <w:rFonts w:hint="eastAsia" w:ascii="宋体" w:hAnsi="宋体" w:cs="宋体"/>
          <w:sz w:val="22"/>
          <w:szCs w:val="22"/>
          <w:highlight w:val="none"/>
          <w:u w:val="single"/>
        </w:rPr>
        <w:t xml:space="preserve">                                                      </w:t>
      </w:r>
    </w:p>
    <w:p>
      <w:pPr>
        <w:spacing w:line="360" w:lineRule="auto"/>
        <w:ind w:left="425"/>
        <w:rPr>
          <w:rFonts w:ascii="宋体" w:hAnsi="宋体" w:cs="宋体"/>
          <w:sz w:val="22"/>
          <w:szCs w:val="22"/>
          <w:highlight w:val="none"/>
        </w:rPr>
      </w:pPr>
    </w:p>
    <w:p>
      <w:pPr>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兹证明上述声明是真实、正确的，并提供了全部能提供的资料和数据，我们同意遵照贵方要求出示有关证明文件。</w:t>
      </w:r>
    </w:p>
    <w:p>
      <w:pPr>
        <w:spacing w:line="360" w:lineRule="auto"/>
        <w:rPr>
          <w:rFonts w:ascii="宋体" w:hAnsi="宋体" w:cs="宋体"/>
          <w:sz w:val="22"/>
          <w:szCs w:val="22"/>
          <w:highlight w:val="none"/>
        </w:rPr>
      </w:pPr>
    </w:p>
    <w:p>
      <w:pPr>
        <w:spacing w:line="360" w:lineRule="auto"/>
        <w:rPr>
          <w:rFonts w:ascii="宋体" w:hAnsi="宋体" w:cs="宋体"/>
          <w:sz w:val="22"/>
          <w:szCs w:val="22"/>
          <w:highlight w:val="none"/>
        </w:rPr>
      </w:pPr>
    </w:p>
    <w:p>
      <w:pPr>
        <w:spacing w:beforeLines="50" w:line="360" w:lineRule="auto"/>
        <w:rPr>
          <w:rFonts w:ascii="宋体" w:hAnsi="宋体" w:cs="宋体"/>
          <w:sz w:val="22"/>
          <w:szCs w:val="22"/>
          <w:highlight w:val="none"/>
        </w:rPr>
      </w:pPr>
      <w:r>
        <w:rPr>
          <w:rFonts w:hint="eastAsia" w:ascii="宋体" w:hAnsi="宋体" w:cs="宋体"/>
          <w:sz w:val="22"/>
          <w:szCs w:val="22"/>
          <w:highlight w:val="none"/>
        </w:rPr>
        <w:t>制造商名称 （公章）</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签字人姓名和职务</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签字人签字</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签字日期</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传真</w:t>
      </w:r>
      <w:r>
        <w:rPr>
          <w:rFonts w:hint="eastAsia" w:ascii="宋体" w:hAnsi="宋体" w:cs="宋体"/>
          <w:sz w:val="22"/>
          <w:szCs w:val="22"/>
          <w:highlight w:val="none"/>
          <w:u w:val="single"/>
        </w:rPr>
        <w:t xml:space="preserve">                                               </w:t>
      </w:r>
    </w:p>
    <w:p>
      <w:pPr>
        <w:spacing w:beforeLines="50" w:line="360" w:lineRule="auto"/>
        <w:rPr>
          <w:rFonts w:ascii="宋体" w:hAnsi="宋体" w:cs="宋体"/>
          <w:sz w:val="22"/>
          <w:szCs w:val="22"/>
          <w:highlight w:val="none"/>
          <w:u w:val="single"/>
        </w:rPr>
      </w:pPr>
      <w:r>
        <w:rPr>
          <w:rFonts w:hint="eastAsia" w:ascii="宋体" w:hAnsi="宋体" w:cs="宋体"/>
          <w:sz w:val="22"/>
          <w:szCs w:val="22"/>
          <w:highlight w:val="none"/>
        </w:rPr>
        <w:t>电话</w:t>
      </w:r>
      <w:r>
        <w:rPr>
          <w:rFonts w:hint="eastAsia" w:ascii="宋体" w:hAnsi="宋体" w:cs="宋体"/>
          <w:sz w:val="22"/>
          <w:szCs w:val="22"/>
          <w:highlight w:val="none"/>
          <w:u w:val="single"/>
        </w:rPr>
        <w:t xml:space="preserve">                                               </w:t>
      </w:r>
    </w:p>
    <w:p>
      <w:pPr>
        <w:spacing w:beforeLines="50" w:line="360" w:lineRule="auto"/>
        <w:rPr>
          <w:rFonts w:ascii="宋体" w:hAnsi="宋体" w:cs="宋体"/>
          <w:highlight w:val="none"/>
          <w:u w:val="single"/>
        </w:rPr>
      </w:pPr>
    </w:p>
    <w:p>
      <w:pPr>
        <w:overflowPunct w:val="0"/>
        <w:autoSpaceDE w:val="0"/>
        <w:autoSpaceDN w:val="0"/>
        <w:spacing w:line="440" w:lineRule="exact"/>
        <w:jc w:val="left"/>
        <w:rPr>
          <w:rFonts w:ascii="宋体" w:hAnsi="宋体" w:cs="Calibri"/>
          <w:sz w:val="22"/>
          <w:highlight w:val="none"/>
        </w:rPr>
      </w:pPr>
    </w:p>
    <w:p>
      <w:pPr>
        <w:spacing w:line="360" w:lineRule="auto"/>
        <w:jc w:val="center"/>
        <w:rPr>
          <w:rFonts w:ascii="宋体" w:hAnsi="宋体" w:cs="宋体"/>
          <w:b/>
          <w:sz w:val="32"/>
          <w:szCs w:val="32"/>
          <w:highlight w:val="none"/>
        </w:rPr>
      </w:pPr>
      <w:r>
        <w:rPr>
          <w:rFonts w:ascii="宋体" w:hAnsi="宋体" w:cs="Calibri"/>
          <w:sz w:val="22"/>
          <w:highlight w:val="none"/>
        </w:rPr>
        <w:br w:type="page"/>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（三）</w:t>
      </w:r>
      <w:r>
        <w:rPr>
          <w:rFonts w:ascii="宋体" w:hAnsi="宋体" w:cs="宋体"/>
          <w:b/>
          <w:sz w:val="32"/>
          <w:szCs w:val="32"/>
          <w:highlight w:val="none"/>
        </w:rPr>
        <w:t>设备制造商的授权书</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（代理商投标时提供）</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宋体" w:hAnsi="宋体" w:cs="宋体"/>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highlight w:val="none"/>
              </w:rPr>
            </w:pPr>
          </w:p>
        </w:tc>
      </w:tr>
    </w:tbl>
    <w:p>
      <w:pPr>
        <w:spacing w:line="360" w:lineRule="auto"/>
        <w:jc w:val="left"/>
        <w:rPr>
          <w:rFonts w:ascii="ˎ̥" w:hAnsi="ˎ̥" w:cs="宋体"/>
          <w:kern w:val="0"/>
          <w:szCs w:val="21"/>
          <w:highlight w:val="none"/>
        </w:rPr>
      </w:pPr>
      <w:r>
        <w:rPr>
          <w:rFonts w:hint="eastAsia" w:ascii="ˎ̥" w:hAnsi="ˎ̥" w:cs="宋体"/>
          <w:kern w:val="0"/>
          <w:szCs w:val="21"/>
          <w:highlight w:val="none"/>
        </w:rPr>
        <w:t>注：</w:t>
      </w:r>
      <w:r>
        <w:rPr>
          <w:rFonts w:hint="eastAsia" w:ascii="宋体" w:hAnsi="宋体" w:cs="宋体"/>
          <w:highlight w:val="none"/>
        </w:rPr>
        <w:t>本表只需填写符合“招标公告”资格条件和“评标办法”业绩评审标准的业绩。</w:t>
      </w:r>
      <w:r>
        <w:rPr>
          <w:rFonts w:hint="eastAsia" w:ascii="ˎ̥" w:hAnsi="ˎ̥" w:cs="宋体"/>
          <w:kern w:val="0"/>
          <w:szCs w:val="21"/>
          <w:highlight w:val="none"/>
        </w:rPr>
        <w:t>附业绩的销售合同。</w:t>
      </w:r>
    </w:p>
    <w:p>
      <w:pPr>
        <w:spacing w:line="360" w:lineRule="auto"/>
        <w:jc w:val="left"/>
        <w:rPr>
          <w:rFonts w:ascii="ˎ̥" w:hAnsi="ˎ̥" w:cs="宋体"/>
          <w:kern w:val="0"/>
          <w:szCs w:val="21"/>
          <w:highlight w:val="none"/>
        </w:rPr>
      </w:pPr>
    </w:p>
    <w:p>
      <w:pPr>
        <w:spacing w:line="360" w:lineRule="auto"/>
        <w:jc w:val="center"/>
        <w:rPr>
          <w:rFonts w:ascii="宋体" w:hAnsi="宋体" w:cs="宋体"/>
          <w:b/>
          <w:sz w:val="32"/>
          <w:szCs w:val="32"/>
          <w:highlight w:val="none"/>
        </w:rPr>
      </w:pPr>
    </w:p>
    <w:p>
      <w:pPr>
        <w:pStyle w:val="31"/>
        <w:adjustRightInd w:val="0"/>
        <w:snapToGrid w:val="0"/>
        <w:spacing w:line="560" w:lineRule="exact"/>
        <w:rPr>
          <w:rFonts w:hAnsi="宋体"/>
          <w:b/>
          <w:highlight w:val="none"/>
        </w:rPr>
      </w:pPr>
      <w:r>
        <w:rPr>
          <w:rFonts w:hAnsi="宋体" w:cs="宋体"/>
          <w:b/>
          <w:sz w:val="32"/>
          <w:szCs w:val="32"/>
          <w:highlight w:val="none"/>
        </w:rPr>
        <w:br w:type="page"/>
      </w: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六、技术规格偏离表</w:t>
      </w:r>
    </w:p>
    <w:p>
      <w:pPr>
        <w:spacing w:line="560" w:lineRule="exact"/>
        <w:rPr>
          <w:rFonts w:ascii="宋体" w:hAnsi="宋体"/>
          <w:highlight w:val="none"/>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highlight w:val="none"/>
              </w:rPr>
            </w:pPr>
            <w:r>
              <w:rPr>
                <w:rFonts w:hint="eastAsia" w:ascii="宋体" w:hAnsi="宋体"/>
                <w:szCs w:val="21"/>
                <w:highlight w:val="none"/>
              </w:rPr>
              <w:t>序号</w:t>
            </w:r>
          </w:p>
        </w:tc>
        <w:tc>
          <w:tcPr>
            <w:tcW w:w="1365" w:type="dxa"/>
            <w:vAlign w:val="center"/>
          </w:tcPr>
          <w:p>
            <w:pPr>
              <w:jc w:val="center"/>
              <w:rPr>
                <w:rFonts w:ascii="宋体" w:hAnsi="宋体"/>
                <w:szCs w:val="21"/>
                <w:highlight w:val="none"/>
              </w:rPr>
            </w:pPr>
            <w:r>
              <w:rPr>
                <w:rFonts w:hint="eastAsia" w:ascii="宋体" w:hAnsi="宋体"/>
                <w:szCs w:val="21"/>
                <w:highlight w:val="none"/>
              </w:rPr>
              <w:t>货物名称</w:t>
            </w:r>
          </w:p>
        </w:tc>
        <w:tc>
          <w:tcPr>
            <w:tcW w:w="1260" w:type="dxa"/>
            <w:vAlign w:val="center"/>
          </w:tcPr>
          <w:p>
            <w:pPr>
              <w:jc w:val="center"/>
              <w:rPr>
                <w:rFonts w:ascii="宋体" w:hAnsi="宋体"/>
                <w:szCs w:val="21"/>
                <w:highlight w:val="none"/>
              </w:rPr>
            </w:pPr>
            <w:r>
              <w:rPr>
                <w:rFonts w:hint="eastAsia" w:ascii="宋体" w:hAnsi="宋体"/>
                <w:szCs w:val="21"/>
                <w:highlight w:val="none"/>
              </w:rPr>
              <w:t>招标文件条目号</w:t>
            </w:r>
          </w:p>
        </w:tc>
        <w:tc>
          <w:tcPr>
            <w:tcW w:w="1361" w:type="dxa"/>
            <w:vAlign w:val="center"/>
          </w:tcPr>
          <w:p>
            <w:pPr>
              <w:jc w:val="center"/>
              <w:rPr>
                <w:rFonts w:ascii="宋体" w:hAnsi="宋体"/>
                <w:szCs w:val="21"/>
                <w:highlight w:val="none"/>
              </w:rPr>
            </w:pPr>
            <w:r>
              <w:rPr>
                <w:rFonts w:hint="eastAsia" w:ascii="宋体" w:hAnsi="宋体"/>
                <w:szCs w:val="21"/>
                <w:highlight w:val="none"/>
              </w:rPr>
              <w:t>招标规格</w:t>
            </w:r>
          </w:p>
        </w:tc>
        <w:tc>
          <w:tcPr>
            <w:tcW w:w="1236" w:type="dxa"/>
            <w:vAlign w:val="center"/>
          </w:tcPr>
          <w:p>
            <w:pPr>
              <w:jc w:val="center"/>
              <w:rPr>
                <w:rFonts w:ascii="宋体" w:hAnsi="宋体"/>
                <w:szCs w:val="21"/>
                <w:highlight w:val="none"/>
              </w:rPr>
            </w:pPr>
            <w:r>
              <w:rPr>
                <w:rFonts w:hint="eastAsia" w:ascii="宋体" w:hAnsi="宋体"/>
                <w:szCs w:val="21"/>
                <w:highlight w:val="none"/>
              </w:rPr>
              <w:t>投标规格</w:t>
            </w:r>
          </w:p>
        </w:tc>
        <w:tc>
          <w:tcPr>
            <w:tcW w:w="1890" w:type="dxa"/>
            <w:vAlign w:val="center"/>
          </w:tcPr>
          <w:p>
            <w:pPr>
              <w:jc w:val="center"/>
              <w:rPr>
                <w:rFonts w:ascii="宋体" w:hAnsi="宋体"/>
                <w:szCs w:val="21"/>
                <w:highlight w:val="none"/>
              </w:rPr>
            </w:pPr>
            <w:r>
              <w:rPr>
                <w:rFonts w:hint="eastAsia" w:ascii="宋体" w:hAnsi="宋体"/>
                <w:szCs w:val="21"/>
                <w:highlight w:val="none"/>
              </w:rPr>
              <w:t>偏离</w:t>
            </w:r>
          </w:p>
        </w:tc>
        <w:tc>
          <w:tcPr>
            <w:tcW w:w="1470" w:type="dxa"/>
            <w:vAlign w:val="center"/>
          </w:tcPr>
          <w:p>
            <w:pPr>
              <w:jc w:val="center"/>
              <w:rPr>
                <w:rFonts w:ascii="宋体" w:hAnsi="宋体"/>
                <w:szCs w:val="21"/>
                <w:highlight w:val="none"/>
              </w:rPr>
            </w:pPr>
            <w:r>
              <w:rPr>
                <w:rFonts w:hint="eastAsia" w:ascii="宋体" w:hAnsi="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highlight w:val="none"/>
              </w:rPr>
            </w:pPr>
          </w:p>
        </w:tc>
        <w:tc>
          <w:tcPr>
            <w:tcW w:w="1365" w:type="dxa"/>
          </w:tcPr>
          <w:p>
            <w:pPr>
              <w:rPr>
                <w:rFonts w:ascii="宋体" w:hAnsi="宋体"/>
                <w:szCs w:val="21"/>
                <w:highlight w:val="none"/>
              </w:rPr>
            </w:pPr>
          </w:p>
        </w:tc>
        <w:tc>
          <w:tcPr>
            <w:tcW w:w="1260" w:type="dxa"/>
          </w:tcPr>
          <w:p>
            <w:pPr>
              <w:rPr>
                <w:rFonts w:ascii="宋体" w:hAnsi="宋体"/>
                <w:szCs w:val="21"/>
                <w:highlight w:val="none"/>
              </w:rPr>
            </w:pPr>
          </w:p>
        </w:tc>
        <w:tc>
          <w:tcPr>
            <w:tcW w:w="1361" w:type="dxa"/>
          </w:tcPr>
          <w:p>
            <w:pPr>
              <w:rPr>
                <w:rFonts w:ascii="宋体" w:hAnsi="宋体"/>
                <w:szCs w:val="21"/>
                <w:highlight w:val="none"/>
              </w:rPr>
            </w:pPr>
          </w:p>
        </w:tc>
        <w:tc>
          <w:tcPr>
            <w:tcW w:w="1236" w:type="dxa"/>
          </w:tcPr>
          <w:p>
            <w:pPr>
              <w:rPr>
                <w:rFonts w:ascii="宋体" w:hAnsi="宋体"/>
                <w:szCs w:val="21"/>
                <w:highlight w:val="none"/>
              </w:rPr>
            </w:pPr>
          </w:p>
        </w:tc>
        <w:tc>
          <w:tcPr>
            <w:tcW w:w="1890" w:type="dxa"/>
          </w:tcPr>
          <w:p>
            <w:pPr>
              <w:rPr>
                <w:rFonts w:ascii="宋体" w:hAnsi="宋体"/>
                <w:szCs w:val="21"/>
                <w:highlight w:val="none"/>
              </w:rPr>
            </w:pPr>
          </w:p>
        </w:tc>
        <w:tc>
          <w:tcPr>
            <w:tcW w:w="1470" w:type="dxa"/>
          </w:tcPr>
          <w:p>
            <w:pPr>
              <w:rPr>
                <w:rFonts w:ascii="宋体" w:hAnsi="宋体"/>
                <w:szCs w:val="21"/>
                <w:highlight w:val="none"/>
              </w:rPr>
            </w:pPr>
          </w:p>
        </w:tc>
      </w:tr>
    </w:tbl>
    <w:p>
      <w:pPr>
        <w:spacing w:line="560" w:lineRule="exact"/>
        <w:rPr>
          <w:rFonts w:ascii="宋体" w:hAnsi="宋体"/>
          <w:highlight w:val="none"/>
        </w:rPr>
      </w:pPr>
      <w:r>
        <w:rPr>
          <w:rFonts w:hAnsi="宋体"/>
          <w:bCs/>
          <w:highlight w:val="none"/>
        </w:rPr>
        <w:t>注：如不填写，则视为完全响应招标文件的技术要求。</w:t>
      </w:r>
    </w:p>
    <w:p>
      <w:pPr>
        <w:spacing w:line="360" w:lineRule="auto"/>
        <w:jc w:val="center"/>
        <w:rPr>
          <w:rFonts w:hAnsi="宋体"/>
          <w:b/>
          <w:highlight w:val="none"/>
        </w:rPr>
      </w:pPr>
    </w:p>
    <w:p>
      <w:pPr>
        <w:pStyle w:val="31"/>
        <w:adjustRightInd w:val="0"/>
        <w:snapToGrid w:val="0"/>
        <w:spacing w:line="560" w:lineRule="exact"/>
        <w:rPr>
          <w:rFonts w:hAnsi="宋体"/>
          <w:b/>
          <w:highlight w:val="none"/>
        </w:rPr>
      </w:pPr>
    </w:p>
    <w:p>
      <w:pPr>
        <w:spacing w:line="440" w:lineRule="exact"/>
        <w:jc w:val="center"/>
        <w:rPr>
          <w:rFonts w:ascii="Calibri" w:hAnsi="Calibri" w:eastAsia="黑体" w:cs="Calibri"/>
          <w:color w:val="000000"/>
          <w:sz w:val="32"/>
          <w:szCs w:val="32"/>
          <w:highlight w:val="none"/>
        </w:rPr>
      </w:pPr>
      <w:r>
        <w:rPr>
          <w:rFonts w:hint="eastAsia" w:ascii="Calibri" w:hAnsi="Calibri" w:eastAsia="黑体" w:cs="Calibri"/>
          <w:color w:val="000000"/>
          <w:sz w:val="32"/>
          <w:szCs w:val="32"/>
          <w:highlight w:val="none"/>
        </w:rPr>
        <w:t>七、</w:t>
      </w:r>
      <w:r>
        <w:rPr>
          <w:rFonts w:ascii="Calibri" w:hAnsi="Calibri" w:eastAsia="黑体" w:cs="Calibri"/>
          <w:color w:val="000000"/>
          <w:sz w:val="32"/>
          <w:szCs w:val="32"/>
          <w:highlight w:val="none"/>
        </w:rPr>
        <w:t>商务条款响应</w:t>
      </w:r>
      <w:r>
        <w:rPr>
          <w:rFonts w:hint="eastAsia" w:ascii="Calibri" w:hAnsi="Calibri" w:eastAsia="黑体" w:cs="Calibri"/>
          <w:color w:val="000000"/>
          <w:sz w:val="32"/>
          <w:szCs w:val="32"/>
          <w:highlight w:val="none"/>
        </w:rPr>
        <w:t>偏离</w:t>
      </w:r>
      <w:r>
        <w:rPr>
          <w:rFonts w:ascii="Calibri" w:hAnsi="Calibri" w:eastAsia="黑体" w:cs="Calibri"/>
          <w:color w:val="000000"/>
          <w:sz w:val="32"/>
          <w:szCs w:val="32"/>
          <w:highlight w:val="none"/>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r>
              <w:rPr>
                <w:rFonts w:hAnsi="宋体"/>
                <w:kern w:val="2"/>
                <w:sz w:val="21"/>
                <w:highlight w:val="none"/>
              </w:rPr>
              <w:t>序号</w:t>
            </w:r>
          </w:p>
        </w:tc>
        <w:tc>
          <w:tcPr>
            <w:tcW w:w="900" w:type="dxa"/>
            <w:vAlign w:val="center"/>
          </w:tcPr>
          <w:p>
            <w:pPr>
              <w:pStyle w:val="31"/>
              <w:adjustRightInd w:val="0"/>
              <w:snapToGrid w:val="0"/>
              <w:jc w:val="center"/>
              <w:rPr>
                <w:rFonts w:hAnsi="宋体"/>
                <w:kern w:val="2"/>
                <w:sz w:val="21"/>
                <w:highlight w:val="none"/>
              </w:rPr>
            </w:pPr>
            <w:r>
              <w:rPr>
                <w:rFonts w:hAnsi="宋体"/>
                <w:kern w:val="2"/>
                <w:sz w:val="21"/>
                <w:highlight w:val="none"/>
              </w:rPr>
              <w:t>内容</w:t>
            </w:r>
          </w:p>
        </w:tc>
        <w:tc>
          <w:tcPr>
            <w:tcW w:w="3510" w:type="dxa"/>
            <w:vAlign w:val="center"/>
          </w:tcPr>
          <w:p>
            <w:pPr>
              <w:pStyle w:val="31"/>
              <w:adjustRightInd w:val="0"/>
              <w:snapToGrid w:val="0"/>
              <w:jc w:val="center"/>
              <w:rPr>
                <w:rFonts w:hAnsi="宋体"/>
                <w:kern w:val="2"/>
                <w:sz w:val="21"/>
                <w:highlight w:val="none"/>
              </w:rPr>
            </w:pPr>
            <w:r>
              <w:rPr>
                <w:rFonts w:hAnsi="宋体"/>
                <w:kern w:val="2"/>
                <w:sz w:val="21"/>
                <w:highlight w:val="none"/>
              </w:rPr>
              <w:t>招标文件要求</w:t>
            </w:r>
          </w:p>
        </w:tc>
        <w:tc>
          <w:tcPr>
            <w:tcW w:w="3510" w:type="dxa"/>
            <w:vAlign w:val="center"/>
          </w:tcPr>
          <w:p>
            <w:pPr>
              <w:pStyle w:val="31"/>
              <w:adjustRightInd w:val="0"/>
              <w:snapToGrid w:val="0"/>
              <w:jc w:val="center"/>
              <w:rPr>
                <w:rFonts w:hAnsi="宋体"/>
                <w:kern w:val="2"/>
                <w:sz w:val="21"/>
                <w:highlight w:val="none"/>
              </w:rPr>
            </w:pPr>
            <w:r>
              <w:rPr>
                <w:rFonts w:hAnsi="宋体"/>
                <w:kern w:val="2"/>
                <w:sz w:val="21"/>
                <w:highlight w:val="none"/>
              </w:rPr>
              <w:t>投标文件对应内容</w:t>
            </w:r>
          </w:p>
        </w:tc>
        <w:tc>
          <w:tcPr>
            <w:tcW w:w="827" w:type="dxa"/>
            <w:vAlign w:val="center"/>
          </w:tcPr>
          <w:p>
            <w:pPr>
              <w:pStyle w:val="31"/>
              <w:adjustRightInd w:val="0"/>
              <w:snapToGrid w:val="0"/>
              <w:jc w:val="center"/>
              <w:rPr>
                <w:rFonts w:hAnsi="宋体"/>
                <w:kern w:val="2"/>
                <w:sz w:val="21"/>
                <w:highlight w:val="none"/>
              </w:rPr>
            </w:pPr>
            <w:r>
              <w:rPr>
                <w:rFonts w:hAnsi="宋体"/>
                <w:kern w:val="2"/>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highlight w:val="none"/>
              </w:rPr>
            </w:pPr>
          </w:p>
        </w:tc>
        <w:tc>
          <w:tcPr>
            <w:tcW w:w="90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3510" w:type="dxa"/>
            <w:vAlign w:val="center"/>
          </w:tcPr>
          <w:p>
            <w:pPr>
              <w:pStyle w:val="31"/>
              <w:adjustRightInd w:val="0"/>
              <w:snapToGrid w:val="0"/>
              <w:jc w:val="center"/>
              <w:rPr>
                <w:rFonts w:hAnsi="宋体"/>
                <w:kern w:val="2"/>
                <w:sz w:val="21"/>
                <w:highlight w:val="none"/>
              </w:rPr>
            </w:pPr>
          </w:p>
        </w:tc>
        <w:tc>
          <w:tcPr>
            <w:tcW w:w="827" w:type="dxa"/>
            <w:vAlign w:val="center"/>
          </w:tcPr>
          <w:p>
            <w:pPr>
              <w:pStyle w:val="31"/>
              <w:adjustRightInd w:val="0"/>
              <w:snapToGrid w:val="0"/>
              <w:jc w:val="center"/>
              <w:rPr>
                <w:rFonts w:hAnsi="宋体"/>
                <w:kern w:val="2"/>
                <w:sz w:val="21"/>
                <w:highlight w:val="none"/>
              </w:rPr>
            </w:pPr>
          </w:p>
        </w:tc>
      </w:tr>
    </w:tbl>
    <w:p>
      <w:pPr>
        <w:pStyle w:val="31"/>
        <w:adjustRightInd w:val="0"/>
        <w:snapToGrid w:val="0"/>
        <w:spacing w:line="560" w:lineRule="exact"/>
        <w:rPr>
          <w:rFonts w:hAnsi="宋体"/>
          <w:bCs/>
          <w:sz w:val="24"/>
          <w:szCs w:val="24"/>
          <w:highlight w:val="none"/>
        </w:rPr>
      </w:pPr>
    </w:p>
    <w:p>
      <w:pPr>
        <w:pStyle w:val="31"/>
        <w:adjustRightInd w:val="0"/>
        <w:snapToGrid w:val="0"/>
        <w:spacing w:line="560" w:lineRule="exact"/>
        <w:rPr>
          <w:rFonts w:hAnsi="宋体"/>
          <w:bCs/>
          <w:sz w:val="24"/>
          <w:szCs w:val="24"/>
          <w:highlight w:val="none"/>
        </w:rPr>
      </w:pPr>
      <w:r>
        <w:rPr>
          <w:rFonts w:hAnsi="宋体"/>
          <w:bCs/>
          <w:sz w:val="24"/>
          <w:szCs w:val="24"/>
          <w:highlight w:val="none"/>
        </w:rPr>
        <w:t>注：如不填写，则视为完全响应招标文件的</w:t>
      </w:r>
      <w:r>
        <w:rPr>
          <w:rFonts w:hint="eastAsia" w:hAnsi="宋体"/>
          <w:bCs/>
          <w:sz w:val="24"/>
          <w:szCs w:val="24"/>
          <w:highlight w:val="none"/>
        </w:rPr>
        <w:t>商务</w:t>
      </w:r>
      <w:r>
        <w:rPr>
          <w:rFonts w:hAnsi="宋体"/>
          <w:bCs/>
          <w:sz w:val="24"/>
          <w:szCs w:val="24"/>
          <w:highlight w:val="none"/>
        </w:rPr>
        <w:t>要求。</w:t>
      </w:r>
    </w:p>
    <w:p>
      <w:pPr>
        <w:pStyle w:val="31"/>
        <w:adjustRightInd w:val="0"/>
        <w:snapToGrid w:val="0"/>
        <w:spacing w:line="560" w:lineRule="exact"/>
        <w:rPr>
          <w:rFonts w:hAnsi="宋体"/>
          <w:bCs/>
          <w:sz w:val="24"/>
          <w:szCs w:val="24"/>
          <w:highlight w:val="none"/>
        </w:rPr>
      </w:pPr>
    </w:p>
    <w:p>
      <w:pPr>
        <w:widowControl/>
        <w:jc w:val="left"/>
        <w:rPr>
          <w:rFonts w:ascii="Calibri" w:hAnsi="Calibri" w:eastAsia="黑体" w:cs="Calibri"/>
          <w:color w:val="000000"/>
          <w:sz w:val="32"/>
          <w:szCs w:val="32"/>
          <w:highlight w:val="none"/>
        </w:rPr>
      </w:pPr>
    </w:p>
    <w:p>
      <w:pPr>
        <w:rPr>
          <w:highlight w:val="none"/>
        </w:rPr>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UniversalMath1 BT">
    <w:altName w:val="Symbol"/>
    <w:panose1 w:val="00000000000000000000"/>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41 -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杭州萧山国际机场台式爆炸物、毒品探测设备采购项目招标文件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2227619"/>
    <w:multiLevelType w:val="singleLevel"/>
    <w:tmpl w:val="02227619"/>
    <w:lvl w:ilvl="0" w:tentative="0">
      <w:start w:val="1"/>
      <w:numFmt w:val="decimal"/>
      <w:lvlText w:val="%1)"/>
      <w:lvlJc w:val="left"/>
      <w:pPr>
        <w:ind w:left="647" w:hanging="420"/>
      </w:pPr>
      <w:rPr>
        <w:rFonts w:hint="default"/>
        <w:b/>
        <w:i w:val="0"/>
        <w:color w:val="auto"/>
        <w:sz w:val="21"/>
        <w:szCs w:val="21"/>
        <w:u w:val="none"/>
      </w:rPr>
    </w:lvl>
  </w:abstractNum>
  <w:abstractNum w:abstractNumId="15">
    <w:nsid w:val="0DB93037"/>
    <w:multiLevelType w:val="singleLevel"/>
    <w:tmpl w:val="0DB93037"/>
    <w:lvl w:ilvl="0" w:tentative="0">
      <w:start w:val="1"/>
      <w:numFmt w:val="decimal"/>
      <w:lvlText w:val="%1)"/>
      <w:lvlJc w:val="left"/>
      <w:pPr>
        <w:ind w:left="647" w:hanging="420"/>
      </w:pPr>
      <w:rPr>
        <w:rFonts w:hint="default"/>
        <w:b/>
        <w:i w:val="0"/>
        <w:color w:val="auto"/>
        <w:sz w:val="21"/>
        <w:szCs w:val="21"/>
        <w:u w:val="none"/>
      </w:rPr>
    </w:lvl>
  </w:abstractNum>
  <w:abstractNum w:abstractNumId="16">
    <w:nsid w:val="0DCA2378"/>
    <w:multiLevelType w:val="singleLevel"/>
    <w:tmpl w:val="0DCA2378"/>
    <w:lvl w:ilvl="0" w:tentative="0">
      <w:start w:val="1"/>
      <w:numFmt w:val="decimal"/>
      <w:lvlText w:val="%1)"/>
      <w:lvlJc w:val="left"/>
      <w:pPr>
        <w:ind w:left="647" w:hanging="420"/>
      </w:pPr>
      <w:rPr>
        <w:rFonts w:hint="default"/>
        <w:b/>
        <w:i w:val="0"/>
        <w:color w:val="auto"/>
        <w:sz w:val="21"/>
        <w:szCs w:val="21"/>
        <w:u w:val="none"/>
      </w:rPr>
    </w:lvl>
  </w:abstractNum>
  <w:abstractNum w:abstractNumId="17">
    <w:nsid w:val="167C3F8E"/>
    <w:multiLevelType w:val="singleLevel"/>
    <w:tmpl w:val="167C3F8E"/>
    <w:lvl w:ilvl="0" w:tentative="0">
      <w:start w:val="1"/>
      <w:numFmt w:val="decimal"/>
      <w:lvlText w:val="%1)"/>
      <w:lvlJc w:val="left"/>
      <w:pPr>
        <w:ind w:left="647" w:hanging="420"/>
      </w:pPr>
      <w:rPr>
        <w:rFonts w:hint="default"/>
        <w:b/>
        <w:i w:val="0"/>
        <w:color w:val="auto"/>
        <w:sz w:val="21"/>
        <w:szCs w:val="21"/>
        <w:u w:val="none"/>
      </w:rPr>
    </w:lvl>
  </w:abstractNum>
  <w:abstractNum w:abstractNumId="18">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9">
    <w:nsid w:val="23EE2030"/>
    <w:multiLevelType w:val="singleLevel"/>
    <w:tmpl w:val="23EE2030"/>
    <w:lvl w:ilvl="0" w:tentative="0">
      <w:start w:val="1"/>
      <w:numFmt w:val="decimal"/>
      <w:lvlText w:val="%1)"/>
      <w:lvlJc w:val="left"/>
      <w:pPr>
        <w:ind w:left="647" w:hanging="420"/>
      </w:pPr>
      <w:rPr>
        <w:rFonts w:hint="default"/>
        <w:b/>
        <w:i w:val="0"/>
        <w:color w:val="auto"/>
        <w:sz w:val="21"/>
        <w:szCs w:val="21"/>
        <w:u w:val="none"/>
      </w:rPr>
    </w:lvl>
  </w:abstractNum>
  <w:abstractNum w:abstractNumId="20">
    <w:nsid w:val="2E814E31"/>
    <w:multiLevelType w:val="singleLevel"/>
    <w:tmpl w:val="2E814E31"/>
    <w:lvl w:ilvl="0" w:tentative="0">
      <w:start w:val="1"/>
      <w:numFmt w:val="decimal"/>
      <w:lvlText w:val="%1)"/>
      <w:lvlJc w:val="left"/>
      <w:pPr>
        <w:ind w:left="647" w:hanging="420"/>
      </w:pPr>
      <w:rPr>
        <w:rFonts w:hint="default"/>
        <w:b/>
        <w:i w:val="0"/>
        <w:color w:val="auto"/>
        <w:sz w:val="21"/>
        <w:szCs w:val="21"/>
        <w:u w:val="none"/>
      </w:rPr>
    </w:lvl>
  </w:abstractNum>
  <w:abstractNum w:abstractNumId="21">
    <w:nsid w:val="2F9E7AD8"/>
    <w:multiLevelType w:val="singleLevel"/>
    <w:tmpl w:val="2F9E7AD8"/>
    <w:lvl w:ilvl="0" w:tentative="0">
      <w:start w:val="1"/>
      <w:numFmt w:val="decimal"/>
      <w:lvlText w:val="%1)"/>
      <w:lvlJc w:val="left"/>
      <w:pPr>
        <w:ind w:left="647" w:hanging="420"/>
      </w:pPr>
      <w:rPr>
        <w:rFonts w:hint="default"/>
        <w:b/>
        <w:i w:val="0"/>
        <w:color w:val="auto"/>
        <w:sz w:val="21"/>
        <w:szCs w:val="21"/>
        <w:u w:val="none"/>
      </w:rPr>
    </w:lvl>
  </w:abstractNum>
  <w:abstractNum w:abstractNumId="22">
    <w:nsid w:val="360C2342"/>
    <w:multiLevelType w:val="singleLevel"/>
    <w:tmpl w:val="360C2342"/>
    <w:lvl w:ilvl="0" w:tentative="0">
      <w:start w:val="1"/>
      <w:numFmt w:val="decimal"/>
      <w:lvlText w:val="%1)"/>
      <w:lvlJc w:val="left"/>
      <w:pPr>
        <w:ind w:left="647" w:hanging="420"/>
      </w:pPr>
      <w:rPr>
        <w:rFonts w:hint="default"/>
        <w:b/>
        <w:i w:val="0"/>
        <w:color w:val="auto"/>
        <w:sz w:val="21"/>
        <w:szCs w:val="21"/>
        <w:u w:val="none"/>
      </w:rPr>
    </w:lvl>
  </w:abstractNum>
  <w:abstractNum w:abstractNumId="23">
    <w:nsid w:val="3EFF103A"/>
    <w:multiLevelType w:val="singleLevel"/>
    <w:tmpl w:val="3EFF103A"/>
    <w:lvl w:ilvl="0" w:tentative="0">
      <w:start w:val="1"/>
      <w:numFmt w:val="decimal"/>
      <w:lvlText w:val="%1)"/>
      <w:lvlJc w:val="left"/>
      <w:pPr>
        <w:ind w:left="647" w:hanging="420"/>
      </w:pPr>
      <w:rPr>
        <w:rFonts w:hint="default"/>
        <w:b/>
        <w:i w:val="0"/>
        <w:color w:val="auto"/>
        <w:sz w:val="21"/>
        <w:szCs w:val="21"/>
        <w:u w:val="none"/>
      </w:rPr>
    </w:lvl>
  </w:abstractNum>
  <w:abstractNum w:abstractNumId="2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512006EA"/>
    <w:multiLevelType w:val="singleLevel"/>
    <w:tmpl w:val="512006EA"/>
    <w:lvl w:ilvl="0" w:tentative="0">
      <w:start w:val="1"/>
      <w:numFmt w:val="decimal"/>
      <w:lvlText w:val="%1)"/>
      <w:lvlJc w:val="left"/>
      <w:pPr>
        <w:ind w:left="647" w:hanging="420"/>
      </w:pPr>
      <w:rPr>
        <w:rFonts w:hint="default"/>
        <w:b/>
        <w:i w:val="0"/>
        <w:color w:val="auto"/>
        <w:sz w:val="21"/>
        <w:szCs w:val="21"/>
        <w:u w:val="none"/>
      </w:rPr>
    </w:lvl>
  </w:abstractNum>
  <w:abstractNum w:abstractNumId="26">
    <w:nsid w:val="5D2D1F46"/>
    <w:multiLevelType w:val="singleLevel"/>
    <w:tmpl w:val="5D2D1F4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7">
    <w:nsid w:val="5D2D1F67"/>
    <w:multiLevelType w:val="singleLevel"/>
    <w:tmpl w:val="5D2D1F6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8">
    <w:nsid w:val="6CFC5231"/>
    <w:multiLevelType w:val="singleLevel"/>
    <w:tmpl w:val="6CFC5231"/>
    <w:lvl w:ilvl="0" w:tentative="0">
      <w:start w:val="1"/>
      <w:numFmt w:val="decimal"/>
      <w:lvlText w:val="%1)"/>
      <w:lvlJc w:val="left"/>
      <w:pPr>
        <w:ind w:left="647" w:hanging="420"/>
      </w:pPr>
      <w:rPr>
        <w:rFonts w:hint="default"/>
        <w:b/>
        <w:i w:val="0"/>
        <w:color w:val="auto"/>
        <w:sz w:val="21"/>
        <w:szCs w:val="21"/>
        <w:u w:val="none"/>
      </w:rPr>
    </w:lvl>
  </w:abstractNum>
  <w:abstractNum w:abstractNumId="29">
    <w:nsid w:val="704E31AD"/>
    <w:multiLevelType w:val="singleLevel"/>
    <w:tmpl w:val="704E31AD"/>
    <w:lvl w:ilvl="0" w:tentative="0">
      <w:start w:val="1"/>
      <w:numFmt w:val="decimal"/>
      <w:lvlText w:val="%1)"/>
      <w:lvlJc w:val="left"/>
      <w:pPr>
        <w:ind w:left="647" w:hanging="420"/>
      </w:pPr>
      <w:rPr>
        <w:rFonts w:hint="default"/>
        <w:b/>
        <w:i w:val="0"/>
        <w:color w:val="auto"/>
        <w:sz w:val="21"/>
        <w:szCs w:val="21"/>
        <w:u w:val="none"/>
      </w:rPr>
    </w:lvl>
  </w:abstractNum>
  <w:abstractNum w:abstractNumId="30">
    <w:nsid w:val="72074AB7"/>
    <w:multiLevelType w:val="singleLevel"/>
    <w:tmpl w:val="72074AB7"/>
    <w:lvl w:ilvl="0" w:tentative="0">
      <w:start w:val="1"/>
      <w:numFmt w:val="decimal"/>
      <w:lvlText w:val="%1)"/>
      <w:lvlJc w:val="left"/>
      <w:pPr>
        <w:ind w:left="647" w:hanging="420"/>
      </w:pPr>
      <w:rPr>
        <w:rFonts w:hint="default"/>
        <w:b/>
        <w:i w:val="0"/>
        <w:color w:val="auto"/>
        <w:sz w:val="21"/>
        <w:szCs w:val="21"/>
        <w:u w:val="none"/>
      </w:rPr>
    </w:lvl>
  </w:abstractNum>
  <w:abstractNum w:abstractNumId="31">
    <w:nsid w:val="76365788"/>
    <w:multiLevelType w:val="singleLevel"/>
    <w:tmpl w:val="76365788"/>
    <w:lvl w:ilvl="0" w:tentative="0">
      <w:start w:val="1"/>
      <w:numFmt w:val="decimal"/>
      <w:lvlText w:val="%1)"/>
      <w:lvlJc w:val="left"/>
      <w:pPr>
        <w:ind w:left="647" w:hanging="420"/>
      </w:pPr>
      <w:rPr>
        <w:rFonts w:hint="default"/>
        <w:b/>
        <w:i w:val="0"/>
        <w:color w:val="auto"/>
        <w:sz w:val="21"/>
        <w:szCs w:val="21"/>
        <w:u w:val="none"/>
      </w:rPr>
    </w:lvl>
  </w:abstractNum>
  <w:abstractNum w:abstractNumId="32">
    <w:nsid w:val="7917347E"/>
    <w:multiLevelType w:val="singleLevel"/>
    <w:tmpl w:val="7917347E"/>
    <w:lvl w:ilvl="0" w:tentative="0">
      <w:start w:val="1"/>
      <w:numFmt w:val="decimal"/>
      <w:lvlText w:val="%1)"/>
      <w:lvlJc w:val="left"/>
      <w:pPr>
        <w:ind w:left="647" w:hanging="420"/>
      </w:pPr>
      <w:rPr>
        <w:rFonts w:hint="default"/>
        <w:b/>
        <w:i w:val="0"/>
        <w:color w:val="auto"/>
        <w:sz w:val="21"/>
        <w:szCs w:val="21"/>
        <w:u w:val="none"/>
      </w:rPr>
    </w:lvl>
  </w:abstractNum>
  <w:abstractNum w:abstractNumId="33">
    <w:nsid w:val="7B48520D"/>
    <w:multiLevelType w:val="singleLevel"/>
    <w:tmpl w:val="7B48520D"/>
    <w:lvl w:ilvl="0" w:tentative="0">
      <w:start w:val="1"/>
      <w:numFmt w:val="decimal"/>
      <w:lvlText w:val="%1)"/>
      <w:lvlJc w:val="left"/>
      <w:pPr>
        <w:ind w:left="647" w:hanging="420"/>
      </w:pPr>
      <w:rPr>
        <w:rFonts w:hint="default"/>
        <w:b/>
        <w:i w:val="0"/>
        <w:color w:val="auto"/>
        <w:sz w:val="21"/>
        <w:szCs w:val="21"/>
        <w:u w:val="none"/>
      </w:rPr>
    </w:lvl>
  </w:abstractNum>
  <w:abstractNum w:abstractNumId="34">
    <w:nsid w:val="7C970F25"/>
    <w:multiLevelType w:val="singleLevel"/>
    <w:tmpl w:val="7C970F25"/>
    <w:lvl w:ilvl="0" w:tentative="0">
      <w:start w:val="1"/>
      <w:numFmt w:val="decimal"/>
      <w:lvlText w:val="%1)"/>
      <w:lvlJc w:val="left"/>
      <w:pPr>
        <w:ind w:left="647" w:hanging="420"/>
      </w:pPr>
      <w:rPr>
        <w:rFonts w:hint="default"/>
        <w:b/>
        <w:i w:val="0"/>
        <w:color w:val="auto"/>
        <w:sz w:val="21"/>
        <w:szCs w:val="21"/>
        <w:u w:val="none"/>
      </w:rPr>
    </w:lvl>
  </w:abstractNum>
  <w:abstractNum w:abstractNumId="3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abstractNum w:abstractNumId="36">
    <w:nsid w:val="7DC24646"/>
    <w:multiLevelType w:val="singleLevel"/>
    <w:tmpl w:val="7DC24646"/>
    <w:lvl w:ilvl="0" w:tentative="0">
      <w:start w:val="1"/>
      <w:numFmt w:val="decimal"/>
      <w:lvlText w:val="%1)"/>
      <w:lvlJc w:val="left"/>
      <w:pPr>
        <w:ind w:left="647" w:hanging="420"/>
      </w:pPr>
      <w:rPr>
        <w:rFonts w:hint="default"/>
        <w:b/>
        <w:i w:val="0"/>
        <w:color w:val="auto"/>
        <w:sz w:val="21"/>
        <w:szCs w:val="21"/>
        <w:u w:val="none"/>
      </w:rPr>
    </w:lvl>
  </w:abstractNum>
  <w:num w:numId="1">
    <w:abstractNumId w:val="24"/>
  </w:num>
  <w:num w:numId="2">
    <w:abstractNumId w:val="26"/>
  </w:num>
  <w:num w:numId="3">
    <w:abstractNumId w:val="27"/>
  </w:num>
  <w:num w:numId="4">
    <w:abstractNumId w:val="35"/>
  </w:num>
  <w:num w:numId="5">
    <w:abstractNumId w:val="32"/>
  </w:num>
  <w:num w:numId="6">
    <w:abstractNumId w:val="3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0"/>
  </w:num>
  <w:num w:numId="10">
    <w:abstractNumId w:val="21"/>
  </w:num>
  <w:num w:numId="11">
    <w:abstractNumId w:val="14"/>
  </w:num>
  <w:num w:numId="12">
    <w:abstractNumId w:val="22"/>
  </w:num>
  <w:num w:numId="13">
    <w:abstractNumId w:val="33"/>
  </w:num>
  <w:num w:numId="14">
    <w:abstractNumId w:val="28"/>
  </w:num>
  <w:num w:numId="15">
    <w:abstractNumId w:val="0"/>
    <w:lvlOverride w:ilvl="0">
      <w:lvl w:ilvl="0" w:tentative="1">
        <w:start w:val="1"/>
        <w:numFmt w:val="bullet"/>
        <w:lvlText w:val=""/>
        <w:legacy w:legacy="1" w:legacySpace="0" w:legacyIndent="567"/>
        <w:lvlJc w:val="left"/>
        <w:pPr>
          <w:ind w:left="987" w:hanging="567"/>
        </w:pPr>
        <w:rPr>
          <w:rFonts w:hint="default" w:ascii="Wingdings" w:hAnsi="Wingdings"/>
        </w:rPr>
      </w:lvl>
    </w:lvlOverride>
  </w:num>
  <w:num w:numId="16">
    <w:abstractNumId w:val="0"/>
    <w:lvlOverride w:ilvl="0">
      <w:lvl w:ilvl="0" w:tentative="1">
        <w:start w:val="1"/>
        <w:numFmt w:val="bullet"/>
        <w:lvlText w:val=""/>
        <w:legacy w:legacy="1" w:legacySpace="0" w:legacyIndent="227"/>
        <w:lvlJc w:val="left"/>
        <w:pPr>
          <w:ind w:left="1361" w:hanging="227"/>
        </w:pPr>
        <w:rPr>
          <w:rFonts w:hint="default" w:ascii="Wingdings" w:hAnsi="Wingdings"/>
        </w:rPr>
      </w:lvl>
    </w:lvlOverride>
  </w:num>
  <w:num w:numId="17">
    <w:abstractNumId w:val="19"/>
  </w:num>
  <w:num w:numId="18">
    <w:abstractNumId w:val="31"/>
  </w:num>
  <w:num w:numId="19">
    <w:abstractNumId w:val="17"/>
  </w:num>
  <w:num w:numId="20">
    <w:abstractNumId w:val="23"/>
  </w:num>
  <w:num w:numId="21">
    <w:abstractNumId w:val="15"/>
  </w:num>
  <w:num w:numId="22">
    <w:abstractNumId w:val="29"/>
  </w:num>
  <w:num w:numId="23">
    <w:abstractNumId w:val="25"/>
  </w:num>
  <w:num w:numId="24">
    <w:abstractNumId w:val="20"/>
  </w:num>
  <w:num w:numId="25">
    <w:abstractNumId w:val="16"/>
  </w:num>
  <w:num w:numId="26">
    <w:abstractNumId w:val="3"/>
  </w:num>
  <w:num w:numId="27">
    <w:abstractNumId w:val="18"/>
  </w:num>
  <w:num w:numId="28">
    <w:abstractNumId w:val="12"/>
  </w:num>
  <w:num w:numId="29">
    <w:abstractNumId w:val="6"/>
  </w:num>
  <w:num w:numId="30">
    <w:abstractNumId w:val="13"/>
  </w:num>
  <w:num w:numId="31">
    <w:abstractNumId w:val="2"/>
  </w:num>
  <w:num w:numId="32">
    <w:abstractNumId w:val="7"/>
  </w:num>
  <w:num w:numId="33">
    <w:abstractNumId w:val="9"/>
  </w:num>
  <w:num w:numId="34">
    <w:abstractNumId w:val="5"/>
  </w:num>
  <w:num w:numId="35">
    <w:abstractNumId w:val="1"/>
  </w:num>
  <w:num w:numId="36">
    <w:abstractNumId w:val="4"/>
  </w:num>
  <w:num w:numId="37">
    <w:abstractNumId w:val="11"/>
  </w:num>
  <w:num w:numId="38">
    <w:abstractNumId w:val="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A52F2"/>
    <w:rsid w:val="23435F4E"/>
    <w:rsid w:val="289D56A4"/>
    <w:rsid w:val="481944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 w:val="21"/>
    </w:rPr>
  </w:style>
  <w:style w:type="paragraph" w:styleId="18">
    <w:name w:val="Normal Indent"/>
    <w:basedOn w:val="1"/>
    <w:link w:val="141"/>
    <w:unhideWhenUsed/>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 w:val="21"/>
    </w:rPr>
  </w:style>
  <w:style w:type="paragraph" w:styleId="21">
    <w:name w:val="List Bullet"/>
    <w:basedOn w:val="1"/>
    <w:unhideWhenUsed/>
    <w:uiPriority w:val="0"/>
    <w:pPr>
      <w:numPr>
        <w:ilvl w:val="0"/>
        <w:numId w:val="2"/>
      </w:numPr>
    </w:pPr>
  </w:style>
  <w:style w:type="paragraph" w:styleId="22">
    <w:name w:val="Document Map"/>
    <w:basedOn w:val="1"/>
    <w:link w:val="71"/>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unhideWhenUsed/>
    <w:uiPriority w:val="0"/>
    <w:rPr>
      <w:rFonts w:ascii="Times New Roman" w:hAnsi="Times New Roman" w:eastAsia="宋体" w:cs="Times New Roman"/>
      <w:kern w:val="0"/>
      <w:sz w:val="18"/>
      <w:szCs w:val="18"/>
    </w:rPr>
  </w:style>
  <w:style w:type="paragraph" w:styleId="36">
    <w:name w:val="footer"/>
    <w:basedOn w:val="1"/>
    <w:link w:val="8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uiPriority w:val="0"/>
    <w:pPr>
      <w:spacing w:after="120"/>
      <w:ind w:left="420" w:leftChars="200" w:firstLine="420"/>
    </w:pPr>
    <w:rPr>
      <w:szCs w:val="24"/>
    </w:rPr>
  </w:style>
  <w:style w:type="paragraph" w:styleId="38">
    <w:name w:val="header"/>
    <w:basedOn w:val="1"/>
    <w:link w:val="86"/>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uiPriority w:val="39"/>
    <w:pPr>
      <w:adjustRightInd w:val="0"/>
      <w:snapToGrid w:val="0"/>
    </w:pPr>
    <w:rPr>
      <w:rFonts w:ascii="Times New Roman" w:hAnsi="Times New Roman" w:eastAsia="仿宋" w:cs="Times New Roman"/>
      <w:sz w:val="21"/>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4"/>
      <w:szCs w:val="24"/>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4"/>
      <w:szCs w:val="24"/>
      <w:lang w:val="en-US" w:eastAsia="zh-CN" w:bidi="ar-SA"/>
    </w:rPr>
  </w:style>
  <w:style w:type="character" w:styleId="55">
    <w:name w:val="FollowedHyperlink"/>
    <w:unhideWhenUsed/>
    <w:uiPriority w:val="99"/>
    <w:rPr>
      <w:rFonts w:asciiTheme="minorHAnsi" w:hAnsiTheme="minorHAnsi" w:eastAsiaTheme="minorEastAsia" w:cstheme="minorBidi"/>
      <w:color w:val="800080"/>
      <w:kern w:val="2"/>
      <w:sz w:val="24"/>
      <w:szCs w:val="24"/>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4"/>
      <w:szCs w:val="24"/>
      <w:u w:val="single"/>
      <w:lang w:val="en-US" w:eastAsia="zh-CN" w:bidi="ar-SA"/>
    </w:rPr>
  </w:style>
  <w:style w:type="character" w:styleId="57">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Char"/>
    <w:basedOn w:val="52"/>
    <w:link w:val="4"/>
    <w:uiPriority w:val="0"/>
    <w:rPr>
      <w:rFonts w:ascii="宋体" w:hAnsi="Times New Roman" w:eastAsia="宋体" w:cs="Times New Roman"/>
      <w:b/>
      <w:kern w:val="0"/>
      <w:sz w:val="28"/>
      <w:szCs w:val="20"/>
      <w:lang w:val="en-US" w:eastAsia="zh-CN" w:bidi="ar-SA"/>
    </w:rPr>
  </w:style>
  <w:style w:type="character" w:customStyle="1" w:styleId="62">
    <w:name w:val="标题 4 Char"/>
    <w:basedOn w:val="52"/>
    <w:link w:val="5"/>
    <w:uiPriority w:val="0"/>
    <w:rPr>
      <w:rFonts w:ascii="Arial" w:hAnsi="Arial" w:eastAsia="黑体" w:cs="Times New Roman"/>
      <w:b/>
      <w:bCs/>
      <w:kern w:val="0"/>
      <w:sz w:val="28"/>
      <w:szCs w:val="28"/>
      <w:lang w:val="en-US" w:eastAsia="zh-CN" w:bidi="ar-SA"/>
    </w:rPr>
  </w:style>
  <w:style w:type="character" w:customStyle="1" w:styleId="63">
    <w:name w:val="标题 5 Char"/>
    <w:basedOn w:val="52"/>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2"/>
    <w:link w:val="7"/>
    <w:qFormat/>
    <w:uiPriority w:val="0"/>
    <w:rPr>
      <w:rFonts w:ascii="Arial" w:hAnsi="Arial" w:eastAsia="黑体" w:cs="Times New Roman"/>
      <w:b/>
      <w:bCs/>
      <w:kern w:val="0"/>
      <w:sz w:val="24"/>
      <w:szCs w:val="24"/>
      <w:lang w:val="en-US" w:eastAsia="zh-CN" w:bidi="ar-SA"/>
    </w:rPr>
  </w:style>
  <w:style w:type="character" w:customStyle="1" w:styleId="65">
    <w:name w:val="标题 7 Char"/>
    <w:basedOn w:val="52"/>
    <w:link w:val="8"/>
    <w:uiPriority w:val="0"/>
    <w:rPr>
      <w:rFonts w:ascii="Times New Roman" w:hAnsi="Times New Roman" w:eastAsia="宋体" w:cs="Times New Roman"/>
      <w:b/>
      <w:bCs/>
      <w:kern w:val="0"/>
      <w:sz w:val="24"/>
      <w:szCs w:val="24"/>
      <w:lang w:val="en-US" w:eastAsia="zh-CN" w:bidi="ar-SA"/>
    </w:rPr>
  </w:style>
  <w:style w:type="character" w:customStyle="1" w:styleId="66">
    <w:name w:val="标题 8 Char"/>
    <w:basedOn w:val="52"/>
    <w:link w:val="9"/>
    <w:uiPriority w:val="0"/>
    <w:rPr>
      <w:rFonts w:ascii="Arial" w:hAnsi="Arial" w:eastAsia="黑体" w:cs="Times New Roman"/>
      <w:kern w:val="0"/>
      <w:sz w:val="24"/>
      <w:szCs w:val="24"/>
      <w:lang w:val="en-US" w:eastAsia="zh-CN" w:bidi="ar-SA"/>
    </w:rPr>
  </w:style>
  <w:style w:type="character" w:customStyle="1" w:styleId="67">
    <w:name w:val="标题 9 Char"/>
    <w:basedOn w:val="52"/>
    <w:link w:val="10"/>
    <w:uiPriority w:val="0"/>
    <w:rPr>
      <w:rFonts w:ascii="Arial" w:hAnsi="Arial" w:eastAsia="黑体" w:cs="Times New Roman"/>
      <w:kern w:val="0"/>
      <w:sz w:val="20"/>
      <w:szCs w:val="21"/>
      <w:lang w:val="en-US" w:eastAsia="zh-CN" w:bidi="ar-SA"/>
    </w:rPr>
  </w:style>
  <w:style w:type="character" w:customStyle="1" w:styleId="68">
    <w:name w:val="日期 Char"/>
    <w:link w:val="33"/>
    <w:uiPriority w:val="0"/>
    <w:rPr>
      <w:rFonts w:ascii="Times New Roman" w:hAnsi="Times New Roman" w:eastAsia="宋体" w:cs="Times New Roman"/>
      <w:kern w:val="0"/>
      <w:sz w:val="20"/>
      <w:szCs w:val="24"/>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qFormat/>
    <w:uiPriority w:val="0"/>
    <w:rPr>
      <w:rFonts w:ascii="Times New Roman" w:hAnsi="Times New Roman" w:eastAsia="宋体" w:cs="Times New Roman"/>
      <w:kern w:val="0"/>
      <w:sz w:val="20"/>
      <w:szCs w:val="24"/>
      <w:lang w:val="en-US" w:eastAsia="zh-CN" w:bidi="ar-SA"/>
    </w:rPr>
  </w:style>
  <w:style w:type="character" w:customStyle="1" w:styleId="71">
    <w:name w:val="文档结构图 Char"/>
    <w:link w:val="22"/>
    <w:uiPriority w:val="0"/>
    <w:rPr>
      <w:rFonts w:ascii="Times New Roman" w:hAnsi="Times New Roman" w:eastAsia="宋体" w:cs="Times New Roman"/>
      <w:kern w:val="0"/>
      <w:sz w:val="20"/>
      <w:szCs w:val="24"/>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kern w:val="2"/>
      <w:sz w:val="24"/>
      <w:szCs w:val="24"/>
      <w:lang w:val="en-US" w:eastAsia="zh-CN" w:bidi="ar-SA"/>
    </w:rPr>
  </w:style>
  <w:style w:type="character" w:customStyle="1" w:styleId="79">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kern w:val="2"/>
      <w:sz w:val="24"/>
      <w:szCs w:val="24"/>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kern w:val="2"/>
      <w:sz w:val="24"/>
      <w:szCs w:val="24"/>
      <w:lang w:val="en-US" w:eastAsia="zh-CN" w:bidi="ar-SA"/>
    </w:rPr>
  </w:style>
  <w:style w:type="character" w:customStyle="1" w:styleId="8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89">
    <w:name w:val="正文文本缩进 3 Char"/>
    <w:link w:val="43"/>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4">
    <w:name w:val="正文文本缩进 2 Char"/>
    <w:link w:val="34"/>
    <w:uiPriority w:val="0"/>
    <w:rPr>
      <w:rFonts w:ascii="Times New Roman" w:hAnsi="Times New Roman" w:eastAsia="宋体" w:cs="Times New Roman"/>
      <w:kern w:val="0"/>
      <w:sz w:val="20"/>
      <w:szCs w:val="24"/>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szCs w:val="24"/>
      <w:lang w:val="en-US" w:eastAsia="zh-CN" w:bidi="ar-SA"/>
    </w:rPr>
  </w:style>
  <w:style w:type="character" w:customStyle="1" w:styleId="96">
    <w:name w:val="标题 Char"/>
    <w:link w:val="51"/>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1">
    <w:name w:val="日期字符1"/>
    <w:basedOn w:val="52"/>
    <w:semiHidden/>
    <w:uiPriority w:val="99"/>
    <w:rPr>
      <w:rFonts w:asciiTheme="minorHAnsi" w:hAnsiTheme="minorHAnsi" w:eastAsiaTheme="minorEastAsia" w:cstheme="minorBidi"/>
      <w:kern w:val="2"/>
      <w:sz w:val="24"/>
      <w:szCs w:val="24"/>
      <w:lang w:val="en-US" w:eastAsia="zh-CN" w:bidi="ar-SA"/>
    </w:rPr>
  </w:style>
  <w:style w:type="character" w:customStyle="1" w:styleId="102">
    <w:name w:val="纯文本字符1"/>
    <w:basedOn w:val="52"/>
    <w:semiHidden/>
    <w:uiPriority w:val="99"/>
    <w:rPr>
      <w:rFonts w:ascii="宋体" w:hAnsi="Courier" w:eastAsia="宋体" w:cstheme="minorBidi"/>
      <w:kern w:val="2"/>
      <w:sz w:val="24"/>
      <w:szCs w:val="24"/>
      <w:lang w:val="en-US" w:eastAsia="zh-CN" w:bidi="ar-SA"/>
    </w:rPr>
  </w:style>
  <w:style w:type="character" w:customStyle="1" w:styleId="103">
    <w:name w:val="批注文字 Char"/>
    <w:basedOn w:val="52"/>
    <w:link w:val="13"/>
    <w:uiPriority w:val="99"/>
    <w:rPr>
      <w:rFonts w:asciiTheme="minorHAnsi" w:hAnsiTheme="minorHAnsi" w:eastAsiaTheme="minorEastAsia" w:cstheme="minorBidi"/>
      <w:kern w:val="2"/>
      <w:sz w:val="24"/>
      <w:szCs w:val="24"/>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uiPriority w:val="0"/>
    <w:rPr>
      <w:rFonts w:ascii="Times New Roman" w:hAnsi="Times New Roman" w:eastAsia="宋体" w:cs="Times New Roman"/>
      <w:sz w:val="21"/>
    </w:rPr>
  </w:style>
  <w:style w:type="character" w:customStyle="1" w:styleId="106">
    <w:name w:val="正文文本 Char"/>
    <w:basedOn w:val="52"/>
    <w:link w:val="16"/>
    <w:semiHidden/>
    <w:uiPriority w:val="99"/>
    <w:rPr>
      <w:rFonts w:asciiTheme="minorHAnsi" w:hAnsiTheme="minorHAnsi" w:eastAsiaTheme="minorEastAsia" w:cstheme="minorBidi"/>
      <w:kern w:val="2"/>
      <w:sz w:val="24"/>
      <w:szCs w:val="24"/>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kern w:val="2"/>
      <w:sz w:val="24"/>
      <w:szCs w:val="24"/>
      <w:lang w:val="en-US" w:eastAsia="zh-CN" w:bidi="ar-SA"/>
    </w:rPr>
  </w:style>
  <w:style w:type="character" w:customStyle="1" w:styleId="111">
    <w:name w:val="正文文本 3字符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kern w:val="2"/>
      <w:sz w:val="24"/>
      <w:szCs w:val="24"/>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kern w:val="2"/>
      <w:sz w:val="24"/>
      <w:szCs w:val="24"/>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uiPriority w:val="0"/>
    <w:pPr>
      <w:ind w:firstLine="360" w:firstLineChars="150"/>
    </w:pPr>
    <w:rPr>
      <w:rFonts w:ascii="Tahoma" w:hAnsi="Tahoma" w:eastAsia="宋体" w:cs="Times New Roman"/>
      <w:szCs w:val="20"/>
    </w:rPr>
  </w:style>
  <w:style w:type="paragraph" w:customStyle="1" w:styleId="128">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uiPriority w:val="0"/>
    <w:pPr>
      <w:spacing w:after="120"/>
    </w:pPr>
    <w:rPr>
      <w:rFonts w:cs="Times New Roman"/>
      <w:color w:val="auto"/>
    </w:rPr>
  </w:style>
  <w:style w:type="paragraph" w:customStyle="1" w:styleId="134">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子项位"/>
    <w:basedOn w:val="1"/>
    <w:uiPriority w:val="0"/>
    <w:pPr>
      <w:tabs>
        <w:tab w:val="left" w:pos="1531"/>
      </w:tabs>
      <w:adjustRightInd w:val="0"/>
      <w:snapToGrid w:val="0"/>
      <w:spacing w:before="120"/>
      <w:ind w:left="1531" w:hanging="397"/>
      <w:jc w:val="left"/>
      <w:textAlignment w:val="baseline"/>
    </w:pPr>
    <w:rPr>
      <w:rFonts w:ascii="Times New Roman" w:hAnsi="Times New Roman" w:eastAsia="宋体" w:cs="Times New Roman"/>
      <w:kern w:val="0"/>
      <w:sz w:val="28"/>
      <w:szCs w:val="20"/>
    </w:rPr>
  </w:style>
  <w:style w:type="paragraph" w:customStyle="1" w:styleId="140">
    <w:name w:val="正文1"/>
    <w:qFormat/>
    <w:uiPriority w:val="0"/>
    <w:pPr>
      <w:widowControl w:val="0"/>
      <w:adjustRightInd w:val="0"/>
      <w:spacing w:line="240" w:lineRule="atLeast"/>
      <w:jc w:val="both"/>
      <w:textAlignment w:val="baseline"/>
    </w:pPr>
    <w:rPr>
      <w:rFonts w:ascii="宋体" w:hAnsi="Times New Roman" w:eastAsia="宋体" w:cs="Times New Roman"/>
      <w:kern w:val="0"/>
      <w:sz w:val="34"/>
      <w:szCs w:val="20"/>
      <w:lang w:val="en-US" w:eastAsia="zh-CN" w:bidi="ar-SA"/>
    </w:rPr>
  </w:style>
  <w:style w:type="character" w:customStyle="1" w:styleId="141">
    <w:name w:val="正文缩进 Char"/>
    <w:link w:val="18"/>
    <w:qFormat/>
    <w:locked/>
    <w:uiPriority w:val="0"/>
    <w:rPr>
      <w:rFonts w:ascii="Times New Roman" w:hAnsi="Times New Roman" w:eastAsia="宋体" w:cs="Times New Roman"/>
      <w:kern w:val="2"/>
      <w:sz w:val="21"/>
      <w:szCs w:val="20"/>
      <w:lang w:val="en-US" w:eastAsia="zh-CN" w:bidi="ar-SA"/>
    </w:rPr>
  </w:style>
  <w:style w:type="paragraph" w:customStyle="1" w:styleId="142">
    <w:name w:val="List Paragraph"/>
    <w:basedOn w:val="1"/>
    <w:qFormat/>
    <w:uiPriority w:val="34"/>
    <w:pPr>
      <w:ind w:firstLine="420" w:firstLineChars="200"/>
    </w:pPr>
    <w:rPr>
      <w:sz w:val="21"/>
      <w:szCs w:val="22"/>
    </w:rPr>
  </w:style>
  <w:style w:type="character" w:customStyle="1" w:styleId="143">
    <w:name w:val="小正文 Char"/>
    <w:link w:val="144"/>
    <w:qFormat/>
    <w:uiPriority w:val="0"/>
    <w:rPr>
      <w:rFonts w:ascii="仿宋_GB2312" w:hAnsi="宋体" w:eastAsia="仿宋_GB2312" w:cs="Times New Roman"/>
      <w:kern w:val="0"/>
      <w:sz w:val="28"/>
      <w:szCs w:val="28"/>
      <w:lang w:val="en-US" w:eastAsia="zh-CN" w:bidi="ar-SA"/>
    </w:rPr>
  </w:style>
  <w:style w:type="paragraph" w:customStyle="1" w:styleId="144">
    <w:name w:val="小正文"/>
    <w:basedOn w:val="1"/>
    <w:link w:val="143"/>
    <w:qFormat/>
    <w:uiPriority w:val="0"/>
    <w:pPr>
      <w:spacing w:line="560" w:lineRule="exact"/>
      <w:ind w:firstLine="560" w:firstLineChars="200"/>
      <w:jc w:val="left"/>
    </w:pPr>
    <w:rPr>
      <w:rFonts w:ascii="仿宋_GB2312" w:hAnsi="宋体" w:eastAsia="仿宋_GB2312" w:cs="Times New Roman"/>
      <w:kern w:val="0"/>
      <w:sz w:val="28"/>
      <w:szCs w:val="28"/>
    </w:rPr>
  </w:style>
  <w:style w:type="paragraph" w:customStyle="1" w:styleId="14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5280</Words>
  <Characters>30096</Characters>
  <Lines>250</Lines>
  <Paragraphs>70</Paragraphs>
  <TotalTime>0</TotalTime>
  <ScaleCrop>false</ScaleCrop>
  <LinksUpToDate>false</LinksUpToDate>
  <CharactersWithSpaces>35306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2019-02-14T05:46:00Z</cp:lastPrinted>
  <dcterms:modified xsi:type="dcterms:W3CDTF">2019-07-16T00:41:14Z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