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杭州萧山国际机场航空物流</w:t>
      </w:r>
      <w:r>
        <w:rPr>
          <w:rFonts w:ascii="黑体" w:hAnsi="黑体" w:eastAsia="黑体"/>
          <w:b/>
          <w:sz w:val="44"/>
          <w:szCs w:val="44"/>
        </w:rPr>
        <w:t>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货站A区1-</w:t>
      </w:r>
      <w:r>
        <w:rPr>
          <w:rFonts w:eastAsia="黑体" w:cs="Calibri"/>
          <w:b/>
          <w:sz w:val="44"/>
          <w:szCs w:val="44"/>
          <w:u w:val="single"/>
        </w:rPr>
        <w:t>4号口钢结构雨棚抬高项目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w:t>
      </w:r>
      <w:r>
        <w:rPr>
          <w:rFonts w:hint="eastAsia" w:eastAsia="黑体" w:cs="Calibri"/>
          <w:sz w:val="32"/>
          <w:szCs w:val="32"/>
        </w:rPr>
        <w:t>航空</w:t>
      </w:r>
      <w:r>
        <w:rPr>
          <w:rFonts w:eastAsia="黑体" w:cs="Calibri"/>
          <w:sz w:val="32"/>
          <w:szCs w:val="32"/>
        </w:rPr>
        <w:t>物流有限公司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六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图纸（另册）</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5"/>
        <w:widowControl/>
        <w:numPr>
          <w:numId w:val="0"/>
        </w:numPr>
        <w:snapToGrid w:val="0"/>
        <w:spacing w:line="360" w:lineRule="exact"/>
        <w:ind w:leftChars="0"/>
        <w:jc w:val="left"/>
        <w:rPr>
          <w:rFonts w:cs="Arial" w:asciiTheme="minorEastAsia" w:hAnsiTheme="minorEastAsia"/>
          <w:kern w:val="0"/>
          <w:sz w:val="22"/>
          <w:szCs w:val="22"/>
        </w:rPr>
      </w:pPr>
      <w:bookmarkStart w:id="181" w:name="_GoBack"/>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cs="Arial" w:asciiTheme="minorEastAsia" w:hAnsiTheme="minorEastAsia"/>
          <w:kern w:val="0"/>
          <w:sz w:val="22"/>
        </w:rPr>
      </w:pPr>
      <w:r>
        <w:rPr>
          <w:rFonts w:hint="eastAsia" w:cs="Arial" w:asciiTheme="minorEastAsia" w:hAnsiTheme="minorEastAsia"/>
          <w:kern w:val="0"/>
          <w:sz w:val="22"/>
          <w:lang w:eastAsia="zh-CN"/>
        </w:rPr>
        <w:t>（</w:t>
      </w:r>
      <w:r>
        <w:rPr>
          <w:rFonts w:hint="eastAsia" w:cs="Arial" w:asciiTheme="minorEastAsia" w:hAnsiTheme="minorEastAsia"/>
          <w:kern w:val="0"/>
          <w:sz w:val="22"/>
          <w:lang w:val="en-US" w:eastAsia="zh-CN"/>
        </w:rPr>
        <w:t>1</w:t>
      </w:r>
      <w:r>
        <w:rPr>
          <w:rFonts w:hint="eastAsia" w:cs="Arial" w:asciiTheme="minorEastAsia" w:hAnsiTheme="minorEastAsia"/>
          <w:kern w:val="0"/>
          <w:sz w:val="22"/>
          <w:lang w:eastAsia="zh-CN"/>
        </w:rPr>
        <w:t>）</w:t>
      </w:r>
      <w:r>
        <w:rPr>
          <w:rFonts w:hint="eastAsia" w:cs="Arial" w:asciiTheme="minorEastAsia" w:hAnsiTheme="minorEastAsia"/>
          <w:kern w:val="0"/>
          <w:sz w:val="22"/>
        </w:rPr>
        <w:t>项目概况：货站A区1-</w:t>
      </w:r>
      <w:r>
        <w:rPr>
          <w:rFonts w:cs="Arial" w:asciiTheme="minorEastAsia" w:hAnsiTheme="minorEastAsia"/>
          <w:kern w:val="0"/>
          <w:sz w:val="22"/>
        </w:rPr>
        <w:t>4号口钢结构雨棚抬高</w:t>
      </w:r>
      <w:r>
        <w:rPr>
          <w:rFonts w:hint="eastAsia" w:cs="Arial" w:asciiTheme="minorEastAsia" w:hAnsiTheme="minorEastAsia"/>
          <w:kern w:val="0"/>
          <w:sz w:val="22"/>
        </w:rPr>
        <w:t>项目</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cs="Arial" w:asciiTheme="minorEastAsia" w:hAnsiTheme="minorEastAsia"/>
          <w:kern w:val="0"/>
          <w:sz w:val="22"/>
        </w:rPr>
      </w:pPr>
      <w:r>
        <w:rPr>
          <w:rFonts w:hint="eastAsia" w:cs="Arial" w:asciiTheme="minorEastAsia" w:hAnsiTheme="minorEastAsia"/>
          <w:kern w:val="0"/>
          <w:sz w:val="22"/>
          <w:lang w:eastAsia="zh-CN"/>
        </w:rPr>
        <w:t>（</w:t>
      </w:r>
      <w:r>
        <w:rPr>
          <w:rFonts w:hint="eastAsia" w:cs="Arial" w:asciiTheme="minorEastAsia" w:hAnsiTheme="minorEastAsia"/>
          <w:kern w:val="0"/>
          <w:sz w:val="22"/>
          <w:lang w:val="en-US" w:eastAsia="zh-CN"/>
        </w:rPr>
        <w:t>2</w:t>
      </w:r>
      <w:r>
        <w:rPr>
          <w:rFonts w:hint="eastAsia" w:cs="Arial" w:asciiTheme="minorEastAsia" w:hAnsiTheme="minorEastAsia"/>
          <w:kern w:val="0"/>
          <w:sz w:val="22"/>
          <w:lang w:eastAsia="zh-CN"/>
        </w:rPr>
        <w:t>）</w:t>
      </w:r>
      <w:r>
        <w:rPr>
          <w:rFonts w:hint="eastAsia" w:cs="Arial" w:asciiTheme="minorEastAsia" w:hAnsiTheme="minorEastAsia"/>
          <w:kern w:val="0"/>
          <w:sz w:val="22"/>
        </w:rPr>
        <w:t>招标内容：详见施工</w:t>
      </w:r>
      <w:r>
        <w:rPr>
          <w:rFonts w:cs="Arial" w:asciiTheme="minorEastAsia" w:hAnsiTheme="minorEastAsia"/>
          <w:kern w:val="0"/>
          <w:sz w:val="22"/>
        </w:rPr>
        <w:t>图纸及</w:t>
      </w:r>
      <w:r>
        <w:rPr>
          <w:rFonts w:hint="eastAsia" w:cs="Arial" w:asciiTheme="minorEastAsia" w:hAnsiTheme="minorEastAsia"/>
          <w:kern w:val="0"/>
          <w:sz w:val="22"/>
        </w:rPr>
        <w:t>清单</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w:t>
      </w:r>
      <w:r>
        <w:rPr>
          <w:rFonts w:cs="Arial" w:asciiTheme="minorEastAsia" w:hAnsiTheme="minorEastAsia"/>
          <w:kern w:val="0"/>
          <w:sz w:val="22"/>
        </w:rPr>
        <w:t>萧山国际机场航空物流有限公司</w:t>
      </w:r>
      <w:r>
        <w:rPr>
          <w:rFonts w:hint="eastAsia" w:cs="Arial" w:asciiTheme="minorEastAsia" w:hAnsiTheme="minorEastAsia"/>
          <w:kern w:val="0"/>
          <w:sz w:val="22"/>
        </w:rPr>
        <w:t>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cs="Arial" w:asciiTheme="minorEastAsia" w:hAnsiTheme="minorEastAsia"/>
          <w:kern w:val="0"/>
          <w:sz w:val="22"/>
          <w:u w:val="single"/>
        </w:rPr>
        <w:t>30</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ind w:firstLine="440" w:firstLineChars="200"/>
      </w:pPr>
      <w:r>
        <w:rPr>
          <w:rFonts w:hint="eastAsia" w:cs="Arial" w:asciiTheme="minorEastAsia" w:hAnsiTheme="minorEastAsia"/>
          <w:kern w:val="0"/>
          <w:sz w:val="22"/>
        </w:rPr>
        <w:t>（1）</w:t>
      </w:r>
      <w:r>
        <w:rPr>
          <w:rFonts w:hint="eastAsia" w:ascii="宋体" w:hAnsi="宋体"/>
          <w:sz w:val="22"/>
        </w:rPr>
        <w:t>投标人具备</w:t>
      </w:r>
      <w:r>
        <w:rPr>
          <w:rFonts w:hint="eastAsia" w:ascii="宋体" w:hAnsi="宋体"/>
          <w:sz w:val="22"/>
          <w:u w:val="single"/>
        </w:rPr>
        <w:t>钢结构</w:t>
      </w:r>
      <w:r>
        <w:rPr>
          <w:rFonts w:hint="eastAsia" w:ascii="宋体" w:hAnsi="宋体"/>
          <w:sz w:val="22"/>
        </w:rPr>
        <w:t>施工专业承包</w:t>
      </w:r>
      <w:r>
        <w:rPr>
          <w:rFonts w:hint="eastAsia" w:ascii="宋体" w:hAnsi="宋体"/>
          <w:sz w:val="22"/>
          <w:u w:val="single"/>
        </w:rPr>
        <w:t xml:space="preserve">三 </w:t>
      </w:r>
      <w:r>
        <w:rPr>
          <w:rFonts w:hint="eastAsia" w:ascii="宋体" w:hAnsi="宋体"/>
          <w:sz w:val="22"/>
        </w:rPr>
        <w:t>级及以上资质</w:t>
      </w:r>
    </w:p>
    <w:p>
      <w:pPr>
        <w:ind w:firstLine="440" w:firstLineChars="200"/>
      </w:pPr>
      <w:r>
        <w:rPr>
          <w:rFonts w:hint="eastAsia" w:cs="Arial" w:asciiTheme="minorEastAsia" w:hAnsiTheme="minorEastAsia"/>
          <w:kern w:val="0"/>
          <w:sz w:val="22"/>
        </w:rPr>
        <w:t>（2）</w:t>
      </w:r>
      <w:r>
        <w:rPr>
          <w:rFonts w:hint="eastAsia" w:ascii="宋体" w:hAnsi="宋体"/>
          <w:sz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b/>
          <w:bCs/>
          <w:sz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（3）项目经理资格要求：具有专业</w:t>
      </w:r>
      <w:r>
        <w:rPr>
          <w:rFonts w:hint="eastAsia" w:ascii="宋体" w:hAnsi="宋体"/>
          <w:sz w:val="22"/>
          <w:u w:val="single"/>
        </w:rPr>
        <w:t xml:space="preserve">   二 </w:t>
      </w:r>
      <w:r>
        <w:rPr>
          <w:rFonts w:hint="eastAsia" w:ascii="宋体" w:hAnsi="宋体"/>
          <w:sz w:val="22"/>
        </w:rPr>
        <w:t>级及以上注册建造师执业证书。</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（4）本项目不接受联合体投标。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（1）投标文件递交截止时间：2019年</w:t>
      </w:r>
      <w:r>
        <w:rPr>
          <w:rFonts w:cs="Arial" w:asciiTheme="minorEastAsia" w:hAnsiTheme="minorEastAsia"/>
          <w:kern w:val="0"/>
          <w:sz w:val="22"/>
        </w:rPr>
        <w:t>8</w:t>
      </w:r>
      <w:r>
        <w:rPr>
          <w:rFonts w:hint="eastAsia" w:cs="Arial" w:asciiTheme="minorEastAsia" w:hAnsiTheme="minorEastAsia"/>
          <w:kern w:val="0"/>
          <w:sz w:val="22"/>
        </w:rPr>
        <w:t>月</w:t>
      </w:r>
      <w:r>
        <w:rPr>
          <w:rFonts w:cs="Arial" w:asciiTheme="minorEastAsia" w:hAnsiTheme="minorEastAsia"/>
          <w:kern w:val="0"/>
          <w:sz w:val="22"/>
        </w:rPr>
        <w:t>6</w:t>
      </w:r>
      <w:r>
        <w:rPr>
          <w:rFonts w:hint="eastAsia" w:cs="Arial" w:asciiTheme="minorEastAsia" w:hAnsiTheme="minorEastAsia"/>
          <w:kern w:val="0"/>
          <w:sz w:val="22"/>
        </w:rPr>
        <w:t>日上午9时00分（北京时间）。投标文件递交地点：</w:t>
      </w:r>
      <w:r>
        <w:rPr>
          <w:rFonts w:hint="eastAsia" w:asciiTheme="minorEastAsia" w:hAnsiTheme="minorEastAsia"/>
          <w:sz w:val="22"/>
        </w:rPr>
        <w:t>杭州萧山国际机场内航空货站A区W105室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hint="eastAsia" w:asciiTheme="minorEastAsia" w:hAnsiTheme="minorEastAsia" w:eastAsiaTheme="minorEastAsia"/>
          <w:sz w:val="22"/>
          <w:lang w:val="en-US" w:eastAsia="zh-CN"/>
        </w:rPr>
      </w:pPr>
      <w:r>
        <w:rPr>
          <w:rFonts w:hint="eastAsia" w:asciiTheme="minorEastAsia" w:hAnsiTheme="minorEastAsia"/>
          <w:sz w:val="22"/>
        </w:rPr>
        <w:t xml:space="preserve">投标联系人： 王建坤      联系电话： </w:t>
      </w:r>
      <w:r>
        <w:rPr>
          <w:rFonts w:asciiTheme="minorEastAsia" w:hAnsiTheme="minorEastAsia"/>
          <w:sz w:val="22"/>
        </w:rPr>
        <w:t>8</w:t>
      </w:r>
      <w:r>
        <w:rPr>
          <w:rFonts w:hint="eastAsia" w:asciiTheme="minorEastAsia" w:hAnsiTheme="minorEastAsia"/>
          <w:sz w:val="22"/>
        </w:rPr>
        <w:t>6665003</w:t>
      </w:r>
      <w:r>
        <w:rPr>
          <w:rFonts w:hint="eastAsia" w:asciiTheme="minorEastAsia" w:hAnsiTheme="minorEastAsia"/>
          <w:sz w:val="22"/>
          <w:lang w:val="en-US" w:eastAsia="zh-CN"/>
        </w:rPr>
        <w:t xml:space="preserve">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招标监督人： 蒋卫生       联系电话： 86662468</w:t>
      </w:r>
    </w:p>
    <w:bookmarkEnd w:id="181"/>
    <w:p>
      <w:pPr>
        <w:pStyle w:val="51"/>
        <w:rPr>
          <w:rFonts w:asciiTheme="minorEastAsia" w:hAnsiTheme="minorEastAsia"/>
          <w:bCs w:val="0"/>
          <w:sz w:val="22"/>
          <w:szCs w:val="22"/>
        </w:rPr>
      </w:pPr>
    </w:p>
    <w:p/>
    <w:p/>
    <w:p/>
    <w:p/>
    <w:p/>
    <w:p/>
    <w:p/>
    <w:p/>
    <w:p/>
    <w:p/>
    <w:p>
      <w:pPr>
        <w:pStyle w:val="51"/>
        <w:tabs>
          <w:tab w:val="left" w:pos="3960"/>
        </w:tabs>
        <w:jc w:val="both"/>
      </w:pPr>
      <w:r>
        <w:tab/>
      </w:r>
    </w:p>
    <w:p>
      <w:pPr>
        <w:pStyle w:val="51"/>
      </w:pP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货站A区1-</w:t>
            </w:r>
            <w:r>
              <w:rPr>
                <w:rFonts w:ascii="宋体" w:hAnsi="宋体" w:cs="Arial"/>
                <w:kern w:val="0"/>
                <w:sz w:val="22"/>
              </w:rPr>
              <w:t>4号进货口钢结构雨棚抬高项目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1"/>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w:t>
            </w:r>
            <w:r>
              <w:rPr>
                <w:rFonts w:cs="Calibri" w:asciiTheme="minorEastAsia" w:hAnsiTheme="minorEastAsia"/>
                <w:kern w:val="0"/>
                <w:sz w:val="22"/>
              </w:rPr>
              <w:t>7</w:t>
            </w:r>
            <w:r>
              <w:rPr>
                <w:rFonts w:hint="eastAsia" w:cs="Calibri" w:asciiTheme="minorEastAsia" w:hAnsiTheme="minorEastAsia"/>
                <w:kern w:val="0"/>
                <w:sz w:val="22"/>
              </w:rPr>
              <w:t>月</w:t>
            </w:r>
            <w:r>
              <w:rPr>
                <w:rFonts w:cs="Calibri" w:asciiTheme="minorEastAsia" w:hAnsiTheme="minorEastAsia"/>
                <w:kern w:val="0"/>
                <w:sz w:val="22"/>
              </w:rPr>
              <w:t>30</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航空</w:t>
            </w:r>
            <w:r>
              <w:rPr>
                <w:rFonts w:cs="Calibri" w:asciiTheme="minorEastAsia" w:hAnsiTheme="minorEastAsia"/>
                <w:kern w:val="0"/>
                <w:sz w:val="22"/>
              </w:rPr>
              <w:t>货站A</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rPr>
            </w:pPr>
            <w:r>
              <w:rPr>
                <w:rFonts w:hint="eastAsia" w:ascii="宋体" w:hAnsi="宋体" w:cs="宋体"/>
                <w:sz w:val="22"/>
              </w:rPr>
              <w:t>联系人：王建坤       0571-</w:t>
            </w:r>
            <w:r>
              <w:rPr>
                <w:rFonts w:ascii="宋体" w:hAnsi="宋体" w:cs="宋体"/>
                <w:sz w:val="22"/>
              </w:rPr>
              <w:t>8</w:t>
            </w:r>
            <w:r>
              <w:rPr>
                <w:rFonts w:hint="eastAsia" w:ascii="宋体" w:hAnsi="宋体" w:cs="宋体"/>
                <w:sz w:val="22"/>
              </w:rPr>
              <w:t>6665003</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召开，召开时间：</w:t>
            </w:r>
            <w:r>
              <w:rPr>
                <w:rFonts w:hint="eastAsia" w:cs="Calibri" w:asciiTheme="minorEastAsia" w:hAnsiTheme="minorEastAsia"/>
                <w:kern w:val="0"/>
                <w:sz w:val="22"/>
              </w:rPr>
              <w:t>2019年7月</w:t>
            </w:r>
            <w:r>
              <w:rPr>
                <w:rFonts w:cs="Calibri" w:asciiTheme="minorEastAsia" w:hAnsiTheme="minorEastAsia"/>
                <w:kern w:val="0"/>
                <w:sz w:val="22"/>
              </w:rPr>
              <w:t>30</w:t>
            </w:r>
            <w:r>
              <w:rPr>
                <w:rFonts w:hint="eastAsia" w:cs="Calibri" w:asciiTheme="minorEastAsia" w:hAnsiTheme="minorEastAsia"/>
                <w:kern w:val="0"/>
                <w:sz w:val="22"/>
              </w:rPr>
              <w:t>日 上午9:00</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r>
              <w:rPr>
                <w:rFonts w:hint="eastAsia" w:cs="Calibri" w:asciiTheme="minorEastAsia" w:hAnsiTheme="minorEastAsia"/>
                <w:kern w:val="0"/>
                <w:sz w:val="22"/>
              </w:rPr>
              <w:t>货站A区一楼会议室</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年7月31日16：30前，以E-mail及书面（传真）形式提交给招标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（邮箱：317716755</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王建坤</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2019年</w:t>
            </w:r>
            <w:r>
              <w:rPr>
                <w:rFonts w:cs="Arial" w:asciiTheme="minorEastAsia" w:hAnsiTheme="minorEastAsia"/>
                <w:kern w:val="0"/>
                <w:sz w:val="22"/>
              </w:rPr>
              <w:t>7</w:t>
            </w:r>
            <w:r>
              <w:rPr>
                <w:rFonts w:hint="eastAsia" w:cs="Arial" w:asciiTheme="minorEastAsia" w:hAnsiTheme="minorEastAsia"/>
                <w:kern w:val="0"/>
                <w:sz w:val="22"/>
              </w:rPr>
              <w:t>月</w:t>
            </w:r>
            <w:r>
              <w:rPr>
                <w:rFonts w:cs="Arial" w:asciiTheme="minorEastAsia" w:hAnsiTheme="minorEastAsia"/>
                <w:kern w:val="0"/>
                <w:sz w:val="22"/>
              </w:rPr>
              <w:t>30</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w:t>
            </w:r>
            <w:r>
              <w:rPr>
                <w:rFonts w:hint="eastAsia" w:cs="Calibri" w:asciiTheme="minorEastAsia" w:hAnsiTheme="minorEastAsia"/>
                <w:kern w:val="0"/>
                <w:sz w:val="22"/>
                <w:u w:val="single"/>
              </w:rPr>
              <w:t>航空</w:t>
            </w:r>
            <w:r>
              <w:rPr>
                <w:rFonts w:cs="Calibri" w:asciiTheme="minorEastAsia" w:hAnsiTheme="minorEastAsia"/>
                <w:kern w:val="0"/>
                <w:sz w:val="22"/>
                <w:u w:val="single"/>
              </w:rPr>
              <w:t>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Theme="minorEastAsia" w:hAnsiTheme="minorEastAsia"/>
                <w:bCs/>
                <w:sz w:val="22"/>
                <w:u w:val="single"/>
              </w:rPr>
              <w:t>货站A区1-</w:t>
            </w:r>
            <w:r>
              <w:rPr>
                <w:rFonts w:asciiTheme="minorEastAsia" w:hAnsiTheme="minorEastAsia"/>
                <w:bCs/>
                <w:sz w:val="22"/>
                <w:u w:val="single"/>
              </w:rPr>
              <w:t>4号口钢结构雨棚抬高</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杭州萧山国际机场航空货站A区W105室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投标报价中含钢结构雨棚抬高项目设计出图费</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4237"/>
      <w:r>
        <w:rPr>
          <w:rFonts w:hint="eastAsia" w:ascii="宋体" w:hAnsi="宋体" w:cs="Calibri"/>
          <w:b/>
          <w:bCs/>
          <w:kern w:val="0"/>
          <w:sz w:val="22"/>
        </w:rPr>
        <w:t>6.3 评标办法（综合</w:t>
      </w:r>
      <w:r>
        <w:rPr>
          <w:rFonts w:ascii="宋体" w:hAnsi="宋体" w:cs="Calibri"/>
          <w:b/>
          <w:bCs/>
          <w:kern w:val="0"/>
          <w:sz w:val="22"/>
        </w:rPr>
        <w:t>评</w:t>
      </w:r>
      <w:r>
        <w:rPr>
          <w:rFonts w:hint="eastAsia" w:ascii="宋体" w:hAnsi="宋体" w:cs="Calibri"/>
          <w:b/>
          <w:bCs/>
          <w:kern w:val="0"/>
          <w:sz w:val="22"/>
        </w:rPr>
        <w:t>估</w:t>
      </w:r>
      <w:r>
        <w:rPr>
          <w:rFonts w:ascii="宋体" w:hAnsi="宋体" w:cs="Calibri"/>
          <w:b/>
          <w:bCs/>
          <w:kern w:val="0"/>
          <w:sz w:val="22"/>
        </w:rPr>
        <w:t>法</w:t>
      </w:r>
      <w:r>
        <w:rPr>
          <w:rFonts w:hint="eastAsia" w:ascii="宋体" w:hAnsi="宋体" w:cs="Calibri"/>
          <w:b/>
          <w:bCs/>
          <w:kern w:val="0"/>
          <w:sz w:val="22"/>
        </w:rPr>
        <w:t>）</w:t>
      </w:r>
    </w:p>
    <w:p>
      <w:pPr>
        <w:adjustRightInd w:val="0"/>
        <w:snapToGrid w:val="0"/>
        <w:spacing w:line="360" w:lineRule="exact"/>
        <w:ind w:firstLine="440"/>
        <w:rPr>
          <w:rFonts w:ascii="宋体" w:hAnsi="宋体" w:cs="Calibri"/>
          <w:kern w:val="0"/>
          <w:sz w:val="22"/>
        </w:rPr>
      </w:pPr>
      <w:r>
        <w:rPr>
          <w:rFonts w:hint="eastAsia" w:ascii="宋体" w:hAnsi="宋体" w:cs="Calibri"/>
          <w:b/>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6.4评标程序</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5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hint="eastAsia" w:asciiTheme="minorEastAsia" w:hAnsiTheme="minorEastAsia"/>
                <w:b/>
                <w:sz w:val="22"/>
              </w:rPr>
              <w:t>序</w:t>
            </w:r>
            <w:r>
              <w:rPr>
                <w:rFonts w:asciiTheme="minorEastAsia" w:hAnsiTheme="minorEastAsia"/>
                <w:b/>
                <w:sz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asciiTheme="minorEastAsia" w:hAnsiTheme="minorEastAsia"/>
                <w:b/>
                <w:sz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rPr>
            </w:pPr>
            <w:r>
              <w:rPr>
                <w:rFonts w:asciiTheme="minorEastAsia" w:hAnsiTheme="minorEastAsia"/>
                <w:b/>
                <w:sz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与营业执照、资质证书</w:t>
            </w:r>
            <w:r>
              <w:rPr>
                <w:rFonts w:hint="eastAsia" w:asciiTheme="minorEastAsia" w:hAnsiTheme="minorEastAsia"/>
                <w:sz w:val="22"/>
              </w:rPr>
              <w:t>、安全生产许可证</w:t>
            </w:r>
            <w:r>
              <w:rPr>
                <w:rFonts w:asciiTheme="minorEastAsia" w:hAnsiTheme="minorEastAsia"/>
                <w:sz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w:t>
            </w:r>
            <w:r>
              <w:rPr>
                <w:rFonts w:hint="eastAsia" w:asciiTheme="minorEastAsia" w:hAnsiTheme="minorEastAsia"/>
                <w:sz w:val="22"/>
              </w:rPr>
              <w:t>招标文件</w:t>
            </w:r>
            <w:r>
              <w:rPr>
                <w:rFonts w:asciiTheme="minorEastAsia" w:hAnsiTheme="minorEastAsia"/>
                <w:sz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投标人</w:t>
            </w:r>
            <w:r>
              <w:rPr>
                <w:rFonts w:asciiTheme="minorEastAsia" w:hAnsiTheme="minorEastAsia"/>
                <w:sz w:val="22"/>
              </w:rPr>
              <w:t>资质等级</w:t>
            </w:r>
            <w:r>
              <w:rPr>
                <w:rFonts w:hint="eastAsia" w:asciiTheme="minorEastAsia" w:hAnsiTheme="minorEastAsia"/>
                <w:sz w:val="22"/>
              </w:rPr>
              <w:t>和业绩要求</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 w:val="22"/>
              </w:rPr>
            </w:pPr>
            <w:r>
              <w:rPr>
                <w:rFonts w:hint="eastAsia" w:asciiTheme="minorEastAsia" w:hAnsiTheme="minorEastAsia"/>
                <w:sz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3</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响应性评审</w:t>
            </w:r>
          </w:p>
          <w:p>
            <w:pPr>
              <w:snapToGrid w:val="0"/>
              <w:jc w:val="center"/>
              <w:rPr>
                <w:rFonts w:asciiTheme="minorEastAsia" w:hAnsiTheme="minorEastAsia"/>
                <w:sz w:val="22"/>
              </w:rPr>
            </w:pPr>
            <w:r>
              <w:rPr>
                <w:rFonts w:asciiTheme="minorEastAsia" w:hAnsiTheme="minorEastAsia"/>
                <w:sz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3</w:t>
            </w:r>
            <w:r>
              <w:rPr>
                <w:rFonts w:asciiTheme="minorEastAsia" w:hAnsiTheme="minorEastAsia"/>
                <w:sz w:val="22"/>
              </w:rPr>
              <w:t>.</w:t>
            </w:r>
            <w:r>
              <w:rPr>
                <w:rFonts w:hint="eastAsia" w:asciiTheme="minorEastAsia" w:hAnsiTheme="minorEastAsia"/>
                <w:sz w:val="22"/>
              </w:rPr>
              <w:t>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Theme="minorEastAsia" w:hAnsiTheme="minorEastAsia"/>
                <w:sz w:val="22"/>
              </w:rPr>
            </w:pPr>
          </w:p>
        </w:tc>
        <w:tc>
          <w:tcPr>
            <w:tcW w:w="983" w:type="dxa"/>
            <w:vMerge w:val="continue"/>
            <w:tcBorders>
              <w:top w:val="single" w:color="auto" w:sz="4" w:space="0"/>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第1.</w:t>
            </w:r>
            <w:r>
              <w:rPr>
                <w:rFonts w:hint="eastAsia" w:asciiTheme="minorEastAsia" w:hAnsiTheme="minorEastAsia"/>
                <w:sz w:val="22"/>
              </w:rPr>
              <w:t>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1.7</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1.8</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w:t>
            </w:r>
            <w:r>
              <w:rPr>
                <w:rFonts w:hint="eastAsia" w:asciiTheme="minorEastAsia" w:hAnsiTheme="minorEastAsia"/>
                <w:sz w:val="22"/>
              </w:rPr>
              <w:t>三</w:t>
            </w:r>
            <w:r>
              <w:rPr>
                <w:rFonts w:asciiTheme="minorEastAsia" w:hAnsiTheme="minorEastAsia"/>
                <w:sz w:val="22"/>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asciiTheme="minorEastAsia" w:hAnsiTheme="minorEastAsia"/>
                <w:sz w:val="22"/>
              </w:rPr>
              <w:t>符合第二章</w:t>
            </w:r>
            <w:r>
              <w:rPr>
                <w:rFonts w:hint="eastAsia" w:asciiTheme="minorEastAsia" w:hAnsiTheme="minorEastAsia"/>
                <w:sz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rPr>
              <w:t>第</w:t>
            </w:r>
            <w:r>
              <w:rPr>
                <w:rFonts w:hint="eastAsia" w:asciiTheme="minorEastAsia" w:hAnsiTheme="minorEastAsia"/>
                <w:sz w:val="22"/>
              </w:rPr>
              <w:t>3.3</w:t>
            </w:r>
            <w:r>
              <w:rPr>
                <w:rFonts w:asciiTheme="minorEastAsia" w:hAnsiTheme="minorEastAsia"/>
                <w:sz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Theme="minorEastAsia" w:hAnsiTheme="minorEastAsia"/>
                <w:sz w:val="22"/>
              </w:rPr>
            </w:pPr>
            <w:r>
              <w:rPr>
                <w:rFonts w:asciiTheme="minorEastAsia" w:hAnsiTheme="minorEastAsia"/>
                <w:sz w:val="22"/>
              </w:rPr>
              <w:t>.4</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hint="eastAsia" w:asciiTheme="minorEastAsia" w:hAnsiTheme="minorEastAsia"/>
                <w:sz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Theme="minorEastAsia" w:hAnsiTheme="minorEastAsia"/>
                <w:sz w:val="22"/>
              </w:rPr>
            </w:pPr>
            <w:r>
              <w:rPr>
                <w:rFonts w:asciiTheme="minorEastAsia" w:hAnsiTheme="minorEastAsia"/>
                <w:sz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rPr>
            </w:pPr>
            <w:r>
              <w:rPr>
                <w:rFonts w:asciiTheme="minorEastAsia" w:hAnsiTheme="minorEastAsia"/>
                <w:sz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rPr>
            </w:pPr>
            <w:r>
              <w:rPr>
                <w:rFonts w:hint="eastAsia" w:asciiTheme="minorEastAsia" w:hAnsiTheme="minorEastAsia"/>
                <w:sz w:val="22"/>
              </w:rPr>
              <w:t>符合本工程要求</w:t>
            </w:r>
          </w:p>
        </w:tc>
      </w:tr>
    </w:tbl>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exact"/>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.总价金额与依据单价计算出的结果不一致的，以单价金额为准修正总价，但单价金额小数点有明显错误的除外。</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6.4.2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6.4.3 投标文件的澄清和补正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41" w:name="_Toc179632615"/>
      <w:bookmarkStart w:id="42" w:name="_Toc152042374"/>
      <w:bookmarkStart w:id="43" w:name="_Toc152045597"/>
      <w:bookmarkStart w:id="44" w:name="_Toc144974564"/>
      <w:bookmarkStart w:id="45" w:name="_Toc246392117"/>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4</w:t>
      </w:r>
      <w:r>
        <w:rPr>
          <w:rFonts w:hint="eastAsia" w:ascii="宋体" w:hAnsi="宋体" w:cs="Calibri"/>
          <w:b/>
          <w:bCs/>
          <w:kern w:val="0"/>
          <w:sz w:val="22"/>
        </w:rPr>
        <w:t>评分细则</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1、商务分：</w:t>
      </w:r>
      <w:r>
        <w:rPr>
          <w:rFonts w:ascii="宋体" w:hAnsi="宋体" w:cs="Calibri"/>
          <w:kern w:val="0"/>
          <w:sz w:val="22"/>
        </w:rPr>
        <w:t>20</w:t>
      </w:r>
      <w:r>
        <w:rPr>
          <w:rFonts w:hint="eastAsia" w:ascii="宋体" w:hAnsi="宋体" w:cs="Calibri"/>
          <w:kern w:val="0"/>
          <w:sz w:val="22"/>
        </w:rPr>
        <w:t>-</w:t>
      </w:r>
      <w:r>
        <w:rPr>
          <w:rFonts w:ascii="宋体" w:hAnsi="宋体" w:cs="Calibri"/>
          <w:kern w:val="0"/>
          <w:sz w:val="22"/>
        </w:rPr>
        <w:t>70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（2）投标文件的商务评分为报价计算得分70分，由评标委员会指定专人计算并复核。</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与基准价相等的为满分70分。投标总价每高于基准价1%，扣1分。投标总价每低于基准价1%，扣0.5分。此项分值由评标委员会统一计算打分。</w:t>
      </w:r>
    </w:p>
    <w:p>
      <w:pPr>
        <w:adjustRightInd w:val="0"/>
        <w:snapToGrid w:val="0"/>
        <w:spacing w:line="360" w:lineRule="exact"/>
        <w:rPr>
          <w:rFonts w:ascii="宋体" w:hAnsi="宋体" w:cs="Calibri"/>
          <w:kern w:val="0"/>
          <w:sz w:val="22"/>
        </w:rPr>
      </w:pPr>
      <w:r>
        <w:rPr>
          <w:rFonts w:hint="eastAsia" w:ascii="宋体" w:hAnsi="宋体" w:cs="Calibri"/>
          <w:kern w:val="0"/>
          <w:sz w:val="22"/>
        </w:rPr>
        <w:t>评分时保留小数2位，计算评分值时保留小数2位。报价得分不足</w:t>
      </w:r>
      <w:r>
        <w:rPr>
          <w:rFonts w:ascii="宋体" w:hAnsi="宋体" w:cs="Calibri"/>
          <w:kern w:val="0"/>
          <w:sz w:val="22"/>
        </w:rPr>
        <w:t>20</w:t>
      </w:r>
      <w:r>
        <w:rPr>
          <w:rFonts w:hint="eastAsia" w:ascii="宋体" w:hAnsi="宋体" w:cs="Calibri"/>
          <w:kern w:val="0"/>
          <w:sz w:val="22"/>
        </w:rPr>
        <w:t>分，给</w:t>
      </w:r>
      <w:r>
        <w:rPr>
          <w:rFonts w:ascii="宋体" w:hAnsi="宋体" w:cs="Calibri"/>
          <w:kern w:val="0"/>
          <w:sz w:val="22"/>
        </w:rPr>
        <w:t>20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2、投标文件的技术标评审   12-</w:t>
      </w:r>
      <w:r>
        <w:rPr>
          <w:rFonts w:ascii="宋体" w:hAnsi="宋体" w:cs="Calibri"/>
          <w:kern w:val="0"/>
          <w:sz w:val="22"/>
        </w:rPr>
        <w:t>30</w:t>
      </w:r>
      <w:r>
        <w:rPr>
          <w:rFonts w:hint="eastAsia" w:ascii="宋体" w:hAnsi="宋体" w:cs="Calibri"/>
          <w:kern w:val="0"/>
          <w:sz w:val="22"/>
        </w:rPr>
        <w:t>分</w:t>
      </w:r>
    </w:p>
    <w:tbl>
      <w:tblPr>
        <w:tblStyle w:val="57"/>
        <w:tblW w:w="9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b/>
                <w:sz w:val="22"/>
                <w:lang w:bidi="ar"/>
              </w:rPr>
              <w:t>评定项目</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b/>
                <w:sz w:val="22"/>
                <w:lang w:bidi="ar"/>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施工现场总平布置的合理性</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施工质量的控制和检验手段是否科学、可靠；</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宋体" w:hAnsi="宋体" w:eastAsia="宋体" w:cs="宋体"/>
                <w:sz w:val="22"/>
              </w:rPr>
            </w:pPr>
            <w:r>
              <w:rPr>
                <w:rFonts w:hint="eastAsia" w:ascii="宋体" w:hAnsi="宋体" w:eastAsia="宋体" w:cs="宋体"/>
                <w:sz w:val="22"/>
                <w:lang w:bidi="ar"/>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施工进度网络计划、关键节点的技术保证措施是否具有针对性和可行性</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center"/>
              <w:rPr>
                <w:rFonts w:ascii="宋体" w:hAnsi="宋体" w:eastAsia="宋体" w:cs="宋体"/>
                <w:sz w:val="22"/>
                <w:szCs w:val="22"/>
              </w:rPr>
            </w:pPr>
            <w:r>
              <w:rPr>
                <w:rFonts w:hint="eastAsia" w:ascii="宋体" w:hAnsi="宋体" w:eastAsia="宋体" w:cs="宋体"/>
                <w:sz w:val="22"/>
                <w:szCs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工期承诺及组织保证措施的可行性、合理性</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center"/>
              <w:rPr>
                <w:rFonts w:ascii="宋体" w:hAnsi="宋体" w:eastAsia="宋体" w:cs="宋体"/>
                <w:sz w:val="22"/>
                <w:szCs w:val="22"/>
              </w:rPr>
            </w:pPr>
            <w:r>
              <w:rPr>
                <w:rFonts w:hint="eastAsia" w:ascii="宋体" w:hAnsi="宋体" w:eastAsia="宋体" w:cs="宋体"/>
                <w:sz w:val="22"/>
                <w:szCs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原材料、半成品、外购件的质量保证措施是否可靠</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宋体" w:hAnsi="宋体" w:eastAsia="宋体" w:cs="宋体"/>
                <w:sz w:val="22"/>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施工机具和检验仪器的投入是否能够满足工程质量和进度的要求</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b/>
                <w:sz w:val="22"/>
              </w:rPr>
            </w:pPr>
            <w:r>
              <w:rPr>
                <w:rFonts w:hint="eastAsia" w:ascii="宋体" w:hAnsi="宋体" w:eastAsia="宋体" w:cs="宋体"/>
                <w:sz w:val="22"/>
                <w:lang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highlight w:val="yellow"/>
              </w:rPr>
            </w:pPr>
            <w:r>
              <w:rPr>
                <w:rFonts w:hint="eastAsia" w:ascii="宋体" w:hAnsi="宋体" w:eastAsia="宋体" w:cs="宋体"/>
                <w:sz w:val="22"/>
                <w:szCs w:val="22"/>
                <w:lang w:bidi="ar"/>
              </w:rPr>
              <w:t>各专业工种的配置和劳动力的投入是否能满足工程的需要</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工程关键部位的施工方案及保证措施是否具有针对性、科学合理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安全、文明施工及市政、市容、环保、消防等的保证措施是否科学、合理、到位</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eastAsia="宋体" w:cs="宋体"/>
                <w:sz w:val="22"/>
                <w:highlight w:val="yellow"/>
              </w:rPr>
            </w:pPr>
            <w:r>
              <w:rPr>
                <w:rFonts w:hint="eastAsia" w:ascii="宋体" w:hAnsi="宋体" w:eastAsia="宋体" w:cs="宋体"/>
                <w:sz w:val="22"/>
                <w:lang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07" w:type="dxa"/>
            <w:tcBorders>
              <w:top w:val="single" w:color="auto" w:sz="4" w:space="0"/>
              <w:left w:val="single" w:color="auto" w:sz="4" w:space="0"/>
              <w:bottom w:val="single" w:color="auto" w:sz="4" w:space="0"/>
              <w:right w:val="single" w:color="auto" w:sz="4" w:space="0"/>
            </w:tcBorders>
            <w:shd w:val="clear" w:color="auto" w:fill="auto"/>
          </w:tcPr>
          <w:p>
            <w:pPr>
              <w:pStyle w:val="49"/>
              <w:widowControl w:val="0"/>
              <w:adjustRightInd w:val="0"/>
              <w:snapToGrid w:val="0"/>
              <w:spacing w:before="0" w:beforeAutospacing="0" w:after="0" w:afterAutospacing="0" w:line="360" w:lineRule="atLeast"/>
              <w:jc w:val="both"/>
              <w:rPr>
                <w:rFonts w:ascii="宋体" w:hAnsi="宋体" w:eastAsia="宋体" w:cs="宋体"/>
                <w:sz w:val="22"/>
                <w:szCs w:val="22"/>
              </w:rPr>
            </w:pPr>
            <w:r>
              <w:rPr>
                <w:rFonts w:hint="eastAsia" w:ascii="宋体" w:hAnsi="宋体" w:eastAsia="宋体" w:cs="宋体"/>
                <w:sz w:val="22"/>
                <w:szCs w:val="22"/>
                <w:lang w:bidi="ar"/>
              </w:rPr>
              <w:t>项目班子配备力量及合理性、技术管理人员专业配置的全面合理性</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宋体"/>
                <w:sz w:val="22"/>
              </w:rPr>
            </w:pPr>
            <w:r>
              <w:rPr>
                <w:rFonts w:hint="eastAsia" w:ascii="宋体" w:hAnsi="宋体" w:eastAsia="宋体" w:cs="宋体"/>
                <w:sz w:val="22"/>
                <w:lang w:bidi="ar"/>
              </w:rPr>
              <w:t>1—3分</w:t>
            </w:r>
          </w:p>
        </w:tc>
      </w:tr>
    </w:tbl>
    <w:p>
      <w:pPr>
        <w:adjustRightInd w:val="0"/>
        <w:snapToGrid w:val="0"/>
        <w:spacing w:line="360" w:lineRule="exact"/>
        <w:ind w:firstLine="550" w:firstLineChars="250"/>
        <w:rPr>
          <w:rFonts w:ascii="宋体" w:hAnsi="宋体" w:cs="Calibri"/>
          <w:kern w:val="0"/>
          <w:sz w:val="22"/>
        </w:rPr>
      </w:pP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5</w:t>
      </w:r>
      <w:r>
        <w:rPr>
          <w:rFonts w:hint="eastAsia" w:ascii="宋体" w:hAnsi="宋体" w:cs="Calibri"/>
          <w:b/>
          <w:bCs/>
          <w:kern w:val="0"/>
          <w:sz w:val="22"/>
        </w:rPr>
        <w:t>评标结果</w:t>
      </w:r>
      <w:bookmarkEnd w:id="41"/>
      <w:bookmarkEnd w:id="42"/>
      <w:bookmarkEnd w:id="43"/>
      <w:bookmarkEnd w:id="44"/>
      <w:bookmarkEnd w:id="4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（1）能够满足招标文件的实质性要求，并且综合得分第一、第二的投标人，推荐为第一、第二中标候选人。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（2）评标委员会完成评标后，应当向招标人提交书面评标报告。招标人收到评标报告后，进行评标结果公示，公示期3天。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360" w:lineRule="exact"/>
        <w:rPr>
          <w:rFonts w:ascii="宋体" w:hAnsi="宋体" w:cs="Calibri"/>
          <w:b/>
          <w:bCs/>
          <w:kern w:val="0"/>
          <w:sz w:val="22"/>
        </w:rPr>
      </w:pPr>
      <w:bookmarkStart w:id="46" w:name="_Toc18809"/>
      <w:r>
        <w:rPr>
          <w:rFonts w:ascii="宋体" w:hAnsi="宋体" w:cs="Calibri"/>
          <w:b/>
          <w:bCs/>
          <w:kern w:val="0"/>
          <w:sz w:val="22"/>
        </w:rPr>
        <w:t>7.1 定标方式</w:t>
      </w:r>
      <w:bookmarkEnd w:id="46"/>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7" w:name="_Toc14573"/>
      <w:r>
        <w:rPr>
          <w:rFonts w:ascii="宋体" w:hAnsi="宋体" w:cs="Calibri"/>
          <w:b/>
          <w:bCs/>
          <w:kern w:val="0"/>
          <w:sz w:val="22"/>
        </w:rPr>
        <w:t>7.2 中标通知</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8" w:name="_Toc27132"/>
      <w:r>
        <w:rPr>
          <w:rFonts w:ascii="宋体" w:hAnsi="宋体" w:cs="Calibri"/>
          <w:b/>
          <w:bCs/>
          <w:kern w:val="0"/>
          <w:sz w:val="22"/>
        </w:rPr>
        <w:t>7.3 履约</w:t>
      </w:r>
      <w:r>
        <w:rPr>
          <w:rFonts w:hint="eastAsia" w:ascii="宋体" w:hAnsi="宋体" w:cs="Calibri"/>
          <w:b/>
          <w:bCs/>
          <w:kern w:val="0"/>
          <w:sz w:val="22"/>
        </w:rPr>
        <w:t>保证金</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9" w:name="_Toc27581"/>
      <w:r>
        <w:rPr>
          <w:rFonts w:ascii="宋体" w:hAnsi="宋体" w:cs="Calibri"/>
          <w:b/>
          <w:bCs/>
          <w:kern w:val="0"/>
          <w:sz w:val="22"/>
        </w:rPr>
        <w:t>7.4 签订合同</w:t>
      </w:r>
      <w:bookmarkEnd w:id="4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0" w:name="_Toc219809801"/>
      <w:bookmarkStart w:id="51" w:name="_Toc11806"/>
      <w:bookmarkStart w:id="52"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5553"/>
      <w:bookmarkStart w:id="54" w:name="_Toc220123242"/>
      <w:bookmarkStart w:id="55" w:name="_Toc219809802"/>
      <w:r>
        <w:rPr>
          <w:rFonts w:ascii="宋体" w:hAnsi="宋体" w:cs="Calibri"/>
          <w:b/>
          <w:bCs/>
          <w:kern w:val="0"/>
          <w:sz w:val="22"/>
        </w:rPr>
        <w:t>8.1 重新招标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6" w:name="_Toc220123243"/>
      <w:bookmarkStart w:id="57" w:name="_Toc18806"/>
      <w:bookmarkStart w:id="58" w:name="_Toc219809803"/>
      <w:r>
        <w:rPr>
          <w:rFonts w:ascii="宋体" w:hAnsi="宋体" w:cs="Calibri"/>
          <w:b/>
          <w:bCs/>
          <w:kern w:val="0"/>
          <w:sz w:val="22"/>
        </w:rPr>
        <w:t>8.2 不再招标</w:t>
      </w:r>
      <w:bookmarkEnd w:id="56"/>
      <w:bookmarkEnd w:id="57"/>
      <w:bookmarkEnd w:id="5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9" w:name="_Toc215941254"/>
      <w:bookmarkStart w:id="60" w:name="_Toc220123244"/>
      <w:bookmarkStart w:id="61" w:name="_Toc219809804"/>
      <w:bookmarkStart w:id="62" w:name="_Toc2986"/>
      <w:r>
        <w:rPr>
          <w:rFonts w:ascii="宋体" w:hAnsi="宋体" w:cs="Calibri"/>
          <w:b/>
          <w:bCs/>
          <w:kern w:val="0"/>
          <w:sz w:val="22"/>
        </w:rPr>
        <w:t>9.纪律和监督</w:t>
      </w:r>
      <w:bookmarkEnd w:id="59"/>
      <w:bookmarkEnd w:id="60"/>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5509"/>
      <w:bookmarkStart w:id="64" w:name="_Toc219809805"/>
      <w:bookmarkStart w:id="65" w:name="_Toc220123245"/>
      <w:r>
        <w:rPr>
          <w:rFonts w:ascii="宋体" w:hAnsi="宋体" w:cs="Calibri"/>
          <w:b/>
          <w:bCs/>
          <w:kern w:val="0"/>
          <w:sz w:val="22"/>
        </w:rPr>
        <w:t>9.1 对招标人的纪律要求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6" w:name="_Toc220123246"/>
      <w:bookmarkStart w:id="67" w:name="_Toc219809806"/>
      <w:bookmarkStart w:id="68" w:name="_Toc10820"/>
      <w:r>
        <w:rPr>
          <w:rFonts w:ascii="宋体" w:hAnsi="宋体" w:cs="Calibri"/>
          <w:b/>
          <w:bCs/>
          <w:kern w:val="0"/>
          <w:sz w:val="22"/>
        </w:rPr>
        <w:t>9.2 对投标人的纪律要求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69" w:name="_Toc10756"/>
      <w:bookmarkStart w:id="70" w:name="_Toc219809807"/>
      <w:bookmarkStart w:id="71" w:name="_Toc220123247"/>
      <w:r>
        <w:rPr>
          <w:rFonts w:ascii="宋体" w:hAnsi="宋体" w:cs="Calibri"/>
          <w:b/>
          <w:bCs/>
          <w:kern w:val="0"/>
          <w:sz w:val="22"/>
        </w:rPr>
        <w:t>9.3 对评标委员会成员的纪律要求</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2" w:name="_Toc219809808"/>
      <w:bookmarkStart w:id="73" w:name="_Toc220123248"/>
      <w:bookmarkStart w:id="74" w:name="_Toc12792"/>
      <w:r>
        <w:rPr>
          <w:rFonts w:ascii="宋体" w:hAnsi="宋体" w:cs="Calibri"/>
          <w:b/>
          <w:bCs/>
          <w:kern w:val="0"/>
          <w:sz w:val="22"/>
        </w:rPr>
        <w:t>9.4 对评标活动有关的工作人员的纪律要求</w:t>
      </w:r>
      <w:bookmarkEnd w:id="72"/>
      <w:bookmarkEnd w:id="73"/>
      <w:bookmarkEnd w:id="7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5" w:name="_Toc239"/>
      <w:bookmarkStart w:id="76" w:name="_Toc219809809"/>
      <w:bookmarkStart w:id="77" w:name="_Toc220123249"/>
      <w:r>
        <w:rPr>
          <w:rFonts w:ascii="宋体" w:hAnsi="宋体" w:cs="Calibri"/>
          <w:b/>
          <w:bCs/>
          <w:kern w:val="0"/>
          <w:sz w:val="22"/>
        </w:rPr>
        <w:t>9.5 投诉</w:t>
      </w:r>
      <w:bookmarkEnd w:id="75"/>
      <w:bookmarkEnd w:id="76"/>
      <w:bookmarkEnd w:id="7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8" w:name="_Toc10817"/>
      <w:r>
        <w:rPr>
          <w:rFonts w:ascii="宋体" w:hAnsi="宋体" w:cs="Calibri"/>
          <w:b/>
          <w:bCs/>
          <w:kern w:val="0"/>
          <w:sz w:val="22"/>
        </w:rPr>
        <w:t>10. 需要补充的其他内容</w:t>
      </w:r>
      <w:bookmarkEnd w:id="78"/>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9" w:name="_Toc448097404"/>
      <w:r>
        <w:t>第</w:t>
      </w:r>
      <w:r>
        <w:rPr>
          <w:rFonts w:hint="eastAsia"/>
        </w:rPr>
        <w:t>三</w:t>
      </w:r>
      <w:r>
        <w:t xml:space="preserve">章  </w:t>
      </w:r>
      <w:r>
        <w:rPr>
          <w:rFonts w:hint="eastAsia"/>
        </w:rPr>
        <w:t>合同条款及格式</w:t>
      </w:r>
      <w:bookmarkEnd w:id="79"/>
    </w:p>
    <w:p>
      <w:pPr>
        <w:keepNext/>
        <w:keepLines/>
        <w:spacing w:before="120" w:after="120" w:line="400" w:lineRule="exact"/>
        <w:ind w:right="-16"/>
        <w:jc w:val="center"/>
        <w:outlineLvl w:val="0"/>
        <w:rPr>
          <w:rFonts w:ascii="宋体" w:hAnsi="宋体" w:cs="宋体"/>
          <w:b/>
          <w:sz w:val="28"/>
          <w:szCs w:val="20"/>
        </w:rPr>
      </w:pPr>
      <w:bookmarkStart w:id="80" w:name="_Toc448097405"/>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第一部分  合同协议书</w:t>
      </w:r>
      <w:bookmarkEnd w:id="80"/>
      <w:r>
        <w:rPr>
          <w:rFonts w:hint="eastAsia" w:ascii="宋体" w:hAnsi="宋体" w:cs="宋体"/>
          <w:b/>
          <w:sz w:val="28"/>
          <w:szCs w:val="20"/>
        </w:rPr>
        <w:t>（一）</w:t>
      </w:r>
    </w:p>
    <w:p>
      <w:pPr>
        <w:spacing w:line="400" w:lineRule="exact"/>
        <w:ind w:left="105" w:leftChars="50" w:firstLine="440" w:firstLineChars="200"/>
        <w:jc w:val="left"/>
        <w:rPr>
          <w:rFonts w:asciiTheme="minorEastAsia" w:hAnsiTheme="minorEastAsia"/>
          <w:sz w:val="22"/>
        </w:rPr>
      </w:pPr>
      <w:r>
        <w:rPr>
          <w:rFonts w:hint="eastAsia" w:asciiTheme="minorEastAsia" w:hAnsiTheme="minorEastAsia"/>
          <w:sz w:val="22"/>
        </w:rPr>
        <w:t>杭州萧山国际机场航空</w:t>
      </w:r>
      <w:r>
        <w:rPr>
          <w:rFonts w:asciiTheme="minorEastAsia" w:hAnsiTheme="minorEastAsia"/>
          <w:sz w:val="22"/>
        </w:rPr>
        <w:t>物流有限公司</w:t>
      </w:r>
      <w:r>
        <w:rPr>
          <w:rFonts w:hint="eastAsia" w:asciiTheme="minorEastAsia" w:hAnsiTheme="minorEastAsia"/>
          <w:sz w:val="22"/>
        </w:rPr>
        <w:t>（以下简称“发包人”）为实施</w:t>
      </w:r>
      <w:r>
        <w:rPr>
          <w:rFonts w:hint="eastAsia" w:asciiTheme="minorEastAsia" w:hAnsiTheme="minorEastAsia"/>
          <w:sz w:val="22"/>
          <w:u w:val="single"/>
        </w:rPr>
        <w:t>货站A区1-</w:t>
      </w:r>
      <w:r>
        <w:rPr>
          <w:rFonts w:asciiTheme="minorEastAsia" w:hAnsiTheme="minorEastAsia"/>
          <w:sz w:val="22"/>
          <w:u w:val="single"/>
        </w:rPr>
        <w:t>4号口钢结构雨棚抬高项目</w:t>
      </w:r>
      <w:r>
        <w:rPr>
          <w:rFonts w:hint="eastAsia" w:asciiTheme="minorEastAsia" w:hAnsiTheme="minorEastAsia"/>
          <w:sz w:val="22"/>
          <w:u w:val="single"/>
        </w:rPr>
        <w:t xml:space="preserve">工程    </w:t>
      </w:r>
      <w:r>
        <w:rPr>
          <w:rFonts w:hint="eastAsia" w:asciiTheme="minorEastAsia" w:hAnsiTheme="minorEastAsia"/>
          <w:sz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81" w:name="_Toc152042548"/>
      <w:bookmarkStart w:id="82" w:name="_Toc144974828"/>
      <w:r>
        <w:rPr>
          <w:rFonts w:hint="eastAsia" w:asciiTheme="minorEastAsia" w:hAnsiTheme="minorEastAsia"/>
          <w:sz w:val="22"/>
        </w:rPr>
        <w:t>1. 本协议书与下列文件一起构成合同文件：</w:t>
      </w:r>
      <w:bookmarkEnd w:id="81"/>
      <w:bookmarkEnd w:id="82"/>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（3）中标通知书； </w:t>
      </w:r>
      <w:r>
        <w:rPr>
          <w:rFonts w:asciiTheme="minorEastAsia" w:hAnsiTheme="minorEastAsia"/>
          <w:sz w:val="22"/>
        </w:rPr>
        <w:t xml:space="preserve"> </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83" w:name="_Toc152042549"/>
      <w:bookmarkStart w:id="84" w:name="_Toc144974829"/>
      <w:r>
        <w:rPr>
          <w:rFonts w:hint="eastAsia" w:asciiTheme="minorEastAsia" w:hAnsiTheme="minorEastAsia"/>
          <w:sz w:val="22"/>
        </w:rPr>
        <w:t>2. 上述文件互相补充和解释，如有不明确或不一致之处，以合同约定次序在先者为准。</w:t>
      </w:r>
      <w:bookmarkEnd w:id="83"/>
      <w:bookmarkEnd w:id="84"/>
    </w:p>
    <w:p>
      <w:pPr>
        <w:spacing w:line="400" w:lineRule="exact"/>
        <w:ind w:firstLine="440" w:firstLineChars="200"/>
        <w:rPr>
          <w:rFonts w:asciiTheme="minorEastAsia" w:hAnsiTheme="minorEastAsia"/>
          <w:sz w:val="22"/>
        </w:rPr>
      </w:pPr>
      <w:r>
        <w:rPr>
          <w:rFonts w:hint="eastAsia" w:asciiTheme="minorEastAsia" w:hAnsiTheme="minorEastAsia"/>
          <w:sz w:val="22"/>
        </w:rPr>
        <w:t>3. 签约含增值税合同价：人民币（大写）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），增值税税率</w:t>
      </w:r>
      <w:r>
        <w:rPr>
          <w:rFonts w:asciiTheme="minorEastAsia" w:hAnsiTheme="minorEastAsia"/>
          <w:sz w:val="22"/>
          <w:u w:val="single"/>
        </w:rPr>
        <w:t xml:space="preserve">   </w:t>
      </w:r>
      <w:r>
        <w:rPr>
          <w:rFonts w:hint="eastAsia" w:asciiTheme="minorEastAsia" w:hAnsiTheme="minorEastAsia"/>
          <w:sz w:val="22"/>
          <w:u w:val="single"/>
        </w:rPr>
        <w:t>%</w:t>
      </w:r>
      <w:r>
        <w:rPr>
          <w:rFonts w:hint="eastAsia" w:asciiTheme="minorEastAsia" w:hAnsiTheme="minorEastAsia"/>
          <w:sz w:val="22"/>
        </w:rPr>
        <w:t>，不含增值税合同价人民币（大写）</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rPr>
        <w:t xml:space="preserve"> </w:t>
      </w:r>
      <w:r>
        <w:rPr>
          <w:rFonts w:hint="eastAsia" w:asciiTheme="minorEastAsia" w:hAnsiTheme="minorEastAsia"/>
          <w:sz w:val="22"/>
        </w:rPr>
        <w:t>），税额人民币（大写</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u w:val="single"/>
        </w:rPr>
        <w:t xml:space="preserve">         </w:t>
      </w:r>
      <w:r>
        <w:rPr>
          <w:rFonts w:hint="eastAsia" w:asciiTheme="minorEastAsia" w:hAnsiTheme="minorEastAsia"/>
          <w:sz w:val="22"/>
        </w:rPr>
        <w:t>元</w:t>
      </w:r>
      <w:r>
        <w:rPr>
          <w:rFonts w:asciiTheme="minorEastAsia" w:hAnsiTheme="minorEastAsia"/>
          <w:sz w:val="22"/>
        </w:rPr>
        <w:t xml:space="preserve"> </w:t>
      </w:r>
      <w:r>
        <w:rPr>
          <w:rFonts w:hint="eastAsia" w:asciiTheme="minorEastAsia" w:hAnsiTheme="minorEastAsia"/>
          <w:sz w:val="22"/>
        </w:rPr>
        <w:t>）。</w:t>
      </w:r>
    </w:p>
    <w:p>
      <w:pPr>
        <w:spacing w:line="400" w:lineRule="exact"/>
        <w:ind w:firstLine="440" w:firstLineChars="200"/>
        <w:rPr>
          <w:rFonts w:hint="eastAsia" w:asciiTheme="minorEastAsia" w:hAnsiTheme="minorEastAsia" w:eastAsiaTheme="minorEastAsia"/>
          <w:sz w:val="22"/>
          <w:lang w:eastAsia="zh-CN"/>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Theme="minorEastAsia" w:hAnsiTheme="minorEastAsia"/>
          <w:sz w:val="22"/>
          <w:lang w:eastAsia="zh-CN"/>
        </w:rPr>
        <w:t>。</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 承包人应按照发包人指示开工，工期为</w:t>
      </w:r>
      <w:r>
        <w:rPr>
          <w:rFonts w:hint="eastAsia" w:asciiTheme="minorEastAsia" w:hAnsiTheme="minorEastAsia"/>
          <w:sz w:val="22"/>
          <w:u w:val="single"/>
        </w:rPr>
        <w:t xml:space="preserve">    </w:t>
      </w:r>
      <w:r>
        <w:rPr>
          <w:rFonts w:hint="eastAsia" w:asciiTheme="minorEastAsia" w:hAnsiTheme="minorEastAsia"/>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p>
    <w:p>
      <w:pPr>
        <w:spacing w:line="400" w:lineRule="exact"/>
        <w:ind w:firstLine="440" w:firstLineChars="200"/>
        <w:rPr>
          <w:rFonts w:asciiTheme="minorEastAsia" w:hAnsiTheme="minorEastAsia"/>
          <w:sz w:val="22"/>
        </w:rPr>
      </w:pPr>
      <w:bookmarkStart w:id="85" w:name="_Toc144974830"/>
      <w:bookmarkStart w:id="86" w:name="_Toc152042550"/>
      <w:r>
        <w:rPr>
          <w:rFonts w:hint="eastAsia" w:asciiTheme="minorEastAsia" w:hAnsiTheme="minorEastAsia"/>
          <w:sz w:val="22"/>
        </w:rPr>
        <w:t>10. 合同未尽事宜，双方另行签订补充协议。补充协议是合同的组成部分。</w:t>
      </w:r>
      <w:bookmarkEnd w:id="85"/>
      <w:bookmarkEnd w:id="86"/>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keepNext/>
        <w:keepLines/>
        <w:spacing w:before="120" w:after="120" w:line="400" w:lineRule="exact"/>
        <w:ind w:right="-16"/>
        <w:jc w:val="center"/>
        <w:outlineLvl w:val="0"/>
        <w:rPr>
          <w:rFonts w:ascii="宋体" w:hAnsi="宋体" w:cs="宋体"/>
          <w:b/>
          <w:sz w:val="28"/>
          <w:szCs w:val="20"/>
        </w:rPr>
      </w:pPr>
      <w:r>
        <w:rPr>
          <w:szCs w:val="21"/>
        </w:rPr>
        <w:br w:type="page"/>
      </w:r>
      <w:bookmarkStart w:id="87" w:name="_Toc448097406"/>
      <w:bookmarkStart w:id="88" w:name="_Toc375636693"/>
      <w:bookmarkStart w:id="89" w:name="_Toc246392119"/>
      <w:bookmarkStart w:id="90" w:name="_Toc375636694"/>
      <w:bookmarkStart w:id="91" w:name="_Toc152042545"/>
      <w:bookmarkStart w:id="92" w:name="_Toc144974736"/>
      <w:bookmarkStart w:id="93" w:name="_Toc152045766"/>
      <w:r>
        <w:rPr>
          <w:rFonts w:hint="eastAsia" w:ascii="宋体" w:hAnsi="宋体" w:cs="宋体"/>
          <w:b/>
          <w:sz w:val="28"/>
          <w:szCs w:val="20"/>
        </w:rPr>
        <w:t>第二部分  通用合同条款</w:t>
      </w:r>
      <w:bookmarkEnd w:id="87"/>
      <w:bookmarkEnd w:id="88"/>
      <w:bookmarkEnd w:id="89"/>
    </w:p>
    <w:p>
      <w:pPr>
        <w:pStyle w:val="127"/>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90"/>
    </w:p>
    <w:bookmarkEnd w:id="91"/>
    <w:bookmarkEnd w:id="92"/>
    <w:bookmarkEnd w:id="93"/>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w:t>
      </w:r>
      <w:r>
        <w:rPr>
          <w:rFonts w:ascii="宋体" w:hAnsi="宋体" w:cs="宋体"/>
          <w:sz w:val="22"/>
        </w:rPr>
        <w:t xml:space="preserve"> </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rPr>
      </w:pPr>
      <w:r>
        <w:rPr>
          <w:rFonts w:hint="eastAsia" w:ascii="宋体" w:hAnsi="宋体" w:cs="宋体"/>
          <w:sz w:val="22"/>
        </w:rPr>
        <w:t>25.14施工及生活用水：承包人施工前需向机场水电管理部门提出申请，由发包人与承包人根据现场施工内容及情况测算合理收费。水费按照自来水公司水价4.4元</w:t>
      </w:r>
      <w:r>
        <w:rPr>
          <w:rFonts w:ascii="宋体" w:hAnsi="宋体" w:cs="宋体"/>
          <w:sz w:val="22"/>
        </w:rPr>
        <w:t>/</w:t>
      </w:r>
      <w:r>
        <w:rPr>
          <w:rFonts w:hint="eastAsia" w:ascii="宋体" w:hAnsi="宋体" w:cs="宋体"/>
          <w:sz w:val="22"/>
        </w:rPr>
        <w:t>吨为基础单价，并在基础单价上加收30%的水费转供设施维护费（加收部分主要是损耗、运行维护、维修费等），如自来水公司水价调整，水费单价也作相应的调整，收取的3</w:t>
      </w:r>
      <w:r>
        <w:rPr>
          <w:rFonts w:ascii="宋体" w:hAnsi="宋体" w:cs="宋体"/>
          <w:sz w:val="22"/>
        </w:rPr>
        <w:t>0</w:t>
      </w:r>
      <w:r>
        <w:rPr>
          <w:rFonts w:hint="eastAsia" w:ascii="宋体" w:hAnsi="宋体" w:cs="宋体"/>
          <w:sz w:val="22"/>
        </w:rPr>
        <w:t>％费率不变，收费单价保留小数点后两位，四舍五入，用水计量以机场水电管理部门计量为准。</w:t>
      </w:r>
    </w:p>
    <w:p>
      <w:pPr>
        <w:snapToGrid w:val="0"/>
        <w:spacing w:line="360" w:lineRule="exact"/>
        <w:rPr>
          <w:rFonts w:ascii="宋体" w:hAnsi="宋体" w:cs="宋体"/>
          <w:sz w:val="22"/>
        </w:rPr>
      </w:pPr>
      <w:r>
        <w:rPr>
          <w:rFonts w:hint="eastAsia" w:ascii="宋体" w:hAnsi="宋体" w:cs="宋体"/>
          <w:sz w:val="22"/>
        </w:rPr>
        <w:t>25.15施工用电：承包人施工前需向机场水电管理部门提出申请，由发包人与承包人根据现场施工内容及情况测算合理收费。电费按照供电局电价0.7126元</w:t>
      </w:r>
      <w:r>
        <w:rPr>
          <w:rFonts w:ascii="宋体" w:hAnsi="宋体" w:cs="宋体"/>
          <w:sz w:val="22"/>
        </w:rPr>
        <w:t>/</w:t>
      </w:r>
      <w:r>
        <w:rPr>
          <w:rFonts w:hint="eastAsia" w:ascii="宋体" w:hAnsi="宋体" w:cs="宋体"/>
          <w:sz w:val="22"/>
        </w:rPr>
        <w:t>度为基础单价，并在基础单价上加收20%电费转供设施维护费（加收部分主要是损耗、运行维护、维修费等），如供电局电价调整，电费单价也作相应的调整，收取的</w:t>
      </w:r>
      <w:r>
        <w:rPr>
          <w:rFonts w:ascii="宋体" w:hAnsi="宋体" w:cs="宋体"/>
          <w:sz w:val="22"/>
        </w:rPr>
        <w:t>20</w:t>
      </w:r>
      <w:r>
        <w:rPr>
          <w:rFonts w:hint="eastAsia" w:ascii="宋体" w:hAnsi="宋体" w:cs="宋体"/>
          <w:sz w:val="22"/>
        </w:rPr>
        <w:t>％费率不变，收费单价保留小数点后两位，四舍五入，用电计量以机场水电管理部门计量为准。</w:t>
      </w:r>
    </w:p>
    <w:p>
      <w:pPr>
        <w:snapToGrid w:val="0"/>
        <w:spacing w:line="360" w:lineRule="exact"/>
        <w:ind w:firstLine="440" w:firstLineChars="200"/>
        <w:rPr>
          <w:rFonts w:ascii="宋体" w:hAnsi="宋体" w:cs="宋体"/>
          <w:sz w:val="22"/>
        </w:rPr>
      </w:pPr>
      <w:r>
        <w:rPr>
          <w:rFonts w:hint="eastAsia" w:ascii="宋体" w:hAnsi="宋体" w:cs="宋体"/>
          <w:sz w:val="22"/>
        </w:rPr>
        <w:t>乙方在收到水电费通知单后7日内按通知单金额支付费用，机场公司在确认收到费用后开具增值税专用发票。乙方未能如期交缴的，机场公司有权按费用通知单规定要求乙方承担违约责任。机场公司缴款信息，户名：杭州萧山国际机场有限公司；开户行：建行杭州航空港支行；账号： 33001616181050000161。</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货站A区1-</w:t>
      </w:r>
      <w:r>
        <w:rPr>
          <w:rFonts w:ascii="宋体" w:hAnsi="宋体" w:cs="宋体"/>
          <w:b/>
          <w:sz w:val="22"/>
          <w:u w:val="single"/>
        </w:rPr>
        <w:t>4号口钢结构雨棚抬高</w:t>
      </w:r>
      <w:r>
        <w:rPr>
          <w:rFonts w:hint="eastAsia" w:ascii="宋体" w:hAnsi="宋体" w:cs="宋体"/>
          <w:b/>
          <w:sz w:val="22"/>
          <w:u w:val="single"/>
        </w:rPr>
        <w:t>项目工程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货站A区1-</w:t>
      </w:r>
      <w:r>
        <w:rPr>
          <w:rFonts w:ascii="宋体" w:hAnsi="宋体" w:cs="宋体"/>
          <w:b/>
          <w:sz w:val="22"/>
          <w:u w:val="single"/>
        </w:rPr>
        <w:t>4号口钢结构雨棚抬高</w:t>
      </w:r>
      <w:r>
        <w:rPr>
          <w:rFonts w:hint="eastAsia" w:ascii="宋体" w:hAnsi="宋体" w:cs="宋体"/>
          <w:b/>
          <w:sz w:val="22"/>
          <w:u w:val="single"/>
        </w:rPr>
        <w:t>项目</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24</w:t>
      </w:r>
      <w:r>
        <w:rPr>
          <w:rFonts w:hint="eastAsia" w:ascii="宋体" w:hAnsi="宋体" w:cs="宋体"/>
          <w:color w:val="FF0000"/>
          <w:sz w:val="22"/>
          <w:u w:val="single"/>
        </w:rPr>
        <w:t xml:space="preserve">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发包人（甲方）：杭州</w:t>
      </w:r>
      <w:r>
        <w:rPr>
          <w:rFonts w:asciiTheme="minorEastAsia" w:hAnsiTheme="minorEastAsia"/>
          <w:b/>
          <w:sz w:val="22"/>
        </w:rPr>
        <w:t>萧山国际机场航空物流有限公司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sz w:val="22"/>
          <w:u w:val="single"/>
        </w:rPr>
        <w:t xml:space="preserve">  货站A区1-</w:t>
      </w:r>
      <w:r>
        <w:rPr>
          <w:rFonts w:asciiTheme="minorEastAsia" w:hAnsiTheme="minorEastAsia"/>
          <w:sz w:val="22"/>
          <w:u w:val="single"/>
        </w:rPr>
        <w:t>4号口钢结构雨棚抬高</w:t>
      </w:r>
      <w:r>
        <w:rPr>
          <w:rFonts w:hint="eastAsia" w:asciiTheme="minorEastAsia" w:hAnsiTheme="minorEastAsia"/>
          <w:sz w:val="22"/>
          <w:u w:val="single"/>
        </w:rPr>
        <w:t xml:space="preserve">项目   </w:t>
      </w:r>
      <w:r>
        <w:rPr>
          <w:rFonts w:hint="eastAsia" w:asciiTheme="minorEastAsia" w:hAnsiTheme="minorEastAsia"/>
          <w:b/>
          <w:sz w:val="22"/>
        </w:rPr>
        <w:t>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                                 承包人：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pPr>
        <w:pStyle w:val="109"/>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09"/>
        <w:ind w:firstLine="0" w:firstLineChars="0"/>
        <w:jc w:val="center"/>
        <w:rPr>
          <w:rFonts w:ascii="宋体" w:hAnsi="宋体"/>
          <w:b/>
          <w:color w:val="auto"/>
          <w:sz w:val="36"/>
        </w:rPr>
      </w:pPr>
      <w:r>
        <w:rPr>
          <w:rFonts w:hint="eastAsia" w:ascii="宋体" w:hAnsi="宋体"/>
          <w:b/>
          <w:color w:val="auto"/>
          <w:sz w:val="36"/>
        </w:rPr>
        <w:t>廉洁自律承诺书</w:t>
      </w:r>
    </w:p>
    <w:p>
      <w:pPr>
        <w:pStyle w:val="109"/>
        <w:ind w:firstLine="0" w:firstLineChars="0"/>
        <w:rPr>
          <w:rFonts w:ascii="宋体" w:hAnsi="宋体"/>
          <w:color w:val="auto"/>
        </w:rPr>
      </w:pPr>
    </w:p>
    <w:p>
      <w:pPr>
        <w:pStyle w:val="114"/>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杭州萧山国际机场航空物流有限公司：</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w:t>
      </w:r>
      <w:r>
        <w:rPr>
          <w:rFonts w:ascii="宋体" w:hAnsi="宋体"/>
          <w:sz w:val="22"/>
          <w:szCs w:val="22"/>
        </w:rPr>
        <w:t>8558</w:t>
      </w:r>
      <w:r>
        <w:rPr>
          <w:rFonts w:hint="eastAsia" w:ascii="宋体" w:hAnsi="宋体"/>
          <w:sz w:val="22"/>
          <w:szCs w:val="22"/>
        </w:rPr>
        <w:t>。</w:t>
      </w:r>
    </w:p>
    <w:p>
      <w:pPr>
        <w:pStyle w:val="114"/>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14"/>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114"/>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114"/>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114"/>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114"/>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cs="Times New Roman"/>
          <w:b/>
          <w:bCs/>
          <w:kern w:val="0"/>
          <w:sz w:val="32"/>
          <w:szCs w:val="32"/>
        </w:rPr>
      </w:pPr>
      <w:r>
        <w:rPr>
          <w:rFonts w:hint="eastAsia" w:ascii="宋体" w:hAnsi="宋体"/>
          <w:sz w:val="22"/>
        </w:rPr>
        <w:t>签订日期：　年  月  日</w:t>
      </w:r>
    </w:p>
    <w:p>
      <w:pPr>
        <w:widowControl/>
        <w:jc w:val="left"/>
        <w:rPr>
          <w:rFonts w:ascii="Cambria" w:hAnsi="Cambria" w:eastAsia="黑体" w:cs="Times New Roman"/>
          <w:b/>
          <w:bCs/>
          <w:kern w:val="0"/>
          <w:sz w:val="32"/>
          <w:szCs w:val="32"/>
        </w:rPr>
      </w:pPr>
      <w:r>
        <w:br w:type="page"/>
      </w:r>
    </w:p>
    <w:p>
      <w:pPr>
        <w:pStyle w:val="51"/>
      </w:pPr>
      <w:bookmarkStart w:id="94" w:name="_Toc448097407"/>
      <w:r>
        <w:rPr>
          <w:rFonts w:hint="eastAsia"/>
        </w:rPr>
        <w:t>第四章  参考工程量清单</w:t>
      </w:r>
      <w:bookmarkEnd w:id="94"/>
      <w:r>
        <w:rPr>
          <w:rFonts w:hint="eastAsia"/>
        </w:rPr>
        <w:t>（详见附件）</w:t>
      </w:r>
    </w:p>
    <w:p>
      <w:pPr>
        <w:widowControl/>
        <w:jc w:val="left"/>
        <w:rPr>
          <w:rFonts w:ascii="Cambria" w:hAnsi="Cambria" w:eastAsia="黑体" w:cs="Times New Roman"/>
          <w:b/>
          <w:bCs/>
          <w:kern w:val="0"/>
          <w:sz w:val="32"/>
          <w:szCs w:val="32"/>
        </w:rPr>
      </w:pPr>
      <w:r>
        <w:br w:type="page"/>
      </w:r>
    </w:p>
    <w:p>
      <w:pPr>
        <w:pStyle w:val="51"/>
      </w:pPr>
      <w:bookmarkStart w:id="95" w:name="_Toc448097408"/>
      <w:r>
        <w:rPr>
          <w:rFonts w:hint="eastAsia"/>
        </w:rPr>
        <w:t xml:space="preserve">第五章  </w:t>
      </w:r>
      <w:bookmarkEnd w:id="95"/>
      <w:r>
        <w:rPr>
          <w:rFonts w:hint="eastAsia"/>
        </w:rPr>
        <w:t>施工工艺及</w:t>
      </w:r>
      <w:r>
        <w:t>技术要求</w:t>
      </w:r>
    </w:p>
    <w:p>
      <w:pPr>
        <w:pStyle w:val="51"/>
        <w:jc w:val="both"/>
        <w:rPr>
          <w:rFonts w:ascii="仿宋_GB2312" w:hAnsi="仿宋_GB2312" w:eastAsia="仿宋_GB2312" w:cs="仿宋_GB2312"/>
          <w:b w:val="0"/>
          <w:bCs w:val="0"/>
        </w:rPr>
      </w:pPr>
    </w:p>
    <w:p>
      <w:pPr>
        <w:widowControl/>
        <w:jc w:val="left"/>
        <w:rPr>
          <w:rFonts w:ascii="仿宋_GB2312" w:hAnsi="Times New Roman" w:eastAsia="仿宋_GB2312" w:cs="Times New Roman"/>
          <w:sz w:val="28"/>
          <w:szCs w:val="28"/>
          <w:lang w:bidi="ar"/>
        </w:rPr>
      </w:pPr>
      <w:bookmarkStart w:id="96" w:name="_Toc275274581"/>
      <w:bookmarkStart w:id="97" w:name="_Toc448097409"/>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Pr>
        <w:widowControl/>
        <w:jc w:val="left"/>
        <w:rPr>
          <w:rFonts w:ascii="仿宋_GB2312" w:hAnsi="Times New Roman" w:eastAsia="仿宋_GB2312" w:cs="Times New Roman"/>
          <w:sz w:val="28"/>
          <w:szCs w:val="28"/>
          <w:lang w:bidi="ar"/>
        </w:rPr>
      </w:pPr>
    </w:p>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r>
        <w:t>第</w:t>
      </w:r>
      <w:r>
        <w:rPr>
          <w:rFonts w:hint="eastAsia"/>
        </w:rPr>
        <w:t>六</w:t>
      </w:r>
      <w:r>
        <w:t>章  投标文件格式</w:t>
      </w:r>
      <w:bookmarkEnd w:id="96"/>
      <w:bookmarkEnd w:id="9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8" w:name="_Toc171421958"/>
      <w:r>
        <w:rPr>
          <w:rFonts w:cs="Calibri"/>
          <w:color w:val="000000"/>
        </w:rPr>
        <w:t>封面</w:t>
      </w:r>
      <w:bookmarkEnd w:id="9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w:t>
      </w:r>
      <w:r>
        <w:rPr>
          <w:rFonts w:eastAsia="黑体" w:cs="Calibri"/>
          <w:b/>
          <w:sz w:val="44"/>
          <w:szCs w:val="44"/>
        </w:rPr>
        <w:t>物流</w:t>
      </w:r>
      <w:r>
        <w:rPr>
          <w:rFonts w:hint="eastAsia" w:eastAsia="黑体" w:cs="Calibri"/>
          <w:b/>
          <w:sz w:val="44"/>
          <w:szCs w:val="44"/>
        </w:rPr>
        <w:t>有限</w:t>
      </w:r>
      <w:r>
        <w:rPr>
          <w:rFonts w:eastAsia="黑体" w:cs="Calibri"/>
          <w:b/>
          <w:sz w:val="44"/>
          <w:szCs w:val="44"/>
        </w:rPr>
        <w:t>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ind w:left="1382" w:hanging="422"/>
        <w:jc w:val="left"/>
        <w:rPr>
          <w:rFonts w:hAnsi="宋体" w:cs="宋体"/>
          <w:b/>
        </w:rPr>
      </w:pPr>
      <w:r>
        <w:rPr>
          <w:rFonts w:hAnsi="宋体" w:cs="宋体"/>
          <w:b/>
        </w:rPr>
        <w:br w:type="page"/>
      </w:r>
      <w:bookmarkStart w:id="99" w:name="_Toc137373398"/>
      <w:bookmarkStart w:id="100" w:name="_Toc133214102"/>
      <w:bookmarkStart w:id="101" w:name="_Toc133214309"/>
      <w:bookmarkStart w:id="102" w:name="_Toc144265958"/>
      <w:bookmarkStart w:id="103" w:name="_Toc133470542"/>
    </w:p>
    <w:p>
      <w:pPr>
        <w:pStyle w:val="31"/>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ind w:left="1380" w:hanging="420"/>
        <w:jc w:val="center"/>
        <w:rPr>
          <w:rFonts w:hAnsi="宋体" w:cs="宋体"/>
        </w:rPr>
      </w:pPr>
    </w:p>
    <w:bookmarkEnd w:id="99"/>
    <w:bookmarkEnd w:id="100"/>
    <w:bookmarkEnd w:id="101"/>
    <w:bookmarkEnd w:id="102"/>
    <w:bookmarkEnd w:id="103"/>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6"/>
        <w:rPr>
          <w:rFonts w:ascii="宋体" w:hAnsi="宋体" w:eastAsia="宋体"/>
          <w:szCs w:val="23"/>
        </w:rPr>
      </w:pPr>
      <w:bookmarkStart w:id="104" w:name="_Toc152045797"/>
      <w:bookmarkStart w:id="105" w:name="_Toc152042586"/>
      <w:bookmarkStart w:id="106" w:name="_Toc11710"/>
      <w:bookmarkStart w:id="107" w:name="_Toc179632817"/>
      <w:bookmarkStart w:id="108" w:name="_Toc246392155"/>
      <w:bookmarkStart w:id="109" w:name="_Toc144974865"/>
      <w:r>
        <w:rPr>
          <w:rFonts w:hint="eastAsia" w:ascii="宋体" w:hAnsi="宋体" w:eastAsia="宋体"/>
        </w:rPr>
        <w:t>附表一：</w:t>
      </w:r>
      <w:r>
        <w:rPr>
          <w:rFonts w:hint="eastAsia" w:ascii="宋体" w:hAnsi="宋体" w:eastAsia="宋体"/>
          <w:szCs w:val="23"/>
        </w:rPr>
        <w:t>拟投入本标段的主要施工设备表</w:t>
      </w:r>
      <w:bookmarkEnd w:id="104"/>
      <w:bookmarkEnd w:id="105"/>
      <w:bookmarkEnd w:id="106"/>
      <w:bookmarkEnd w:id="107"/>
      <w:bookmarkEnd w:id="108"/>
      <w:bookmarkEnd w:id="109"/>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6"/>
        <w:rPr>
          <w:rFonts w:ascii="宋体" w:hAnsi="宋体" w:eastAsia="宋体"/>
        </w:rPr>
      </w:pPr>
      <w:bookmarkStart w:id="110" w:name="_Toc4957"/>
      <w:bookmarkStart w:id="111" w:name="_Toc152042587"/>
      <w:bookmarkStart w:id="112" w:name="_Toc179632818"/>
      <w:bookmarkStart w:id="113" w:name="_Toc144974866"/>
      <w:bookmarkStart w:id="114" w:name="_Toc152045798"/>
      <w:bookmarkStart w:id="115" w:name="_Toc246392156"/>
      <w:r>
        <w:rPr>
          <w:rFonts w:hint="eastAsia" w:ascii="宋体" w:hAnsi="宋体" w:eastAsia="宋体"/>
        </w:rPr>
        <w:t>附表二：拟配备本标段的试验和检测仪器设备表</w:t>
      </w:r>
      <w:bookmarkEnd w:id="110"/>
      <w:bookmarkEnd w:id="111"/>
      <w:bookmarkEnd w:id="112"/>
      <w:bookmarkEnd w:id="113"/>
      <w:bookmarkEnd w:id="114"/>
      <w:bookmarkEnd w:id="115"/>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6"/>
        <w:rPr>
          <w:rFonts w:ascii="宋体" w:hAnsi="宋体" w:eastAsia="宋体"/>
        </w:rPr>
      </w:pPr>
      <w:bookmarkStart w:id="116" w:name="_Toc144974867"/>
      <w:bookmarkStart w:id="117" w:name="_Toc152045799"/>
      <w:bookmarkStart w:id="118" w:name="_Toc8928"/>
      <w:bookmarkStart w:id="119" w:name="_Toc152042588"/>
      <w:bookmarkStart w:id="120" w:name="_Toc179632819"/>
      <w:bookmarkStart w:id="121" w:name="_Toc246392157"/>
      <w:r>
        <w:rPr>
          <w:rFonts w:hint="eastAsia" w:ascii="宋体" w:hAnsi="宋体" w:eastAsia="宋体"/>
        </w:rPr>
        <w:t>附表三：劳动力计划表</w:t>
      </w:r>
      <w:bookmarkEnd w:id="116"/>
      <w:bookmarkEnd w:id="117"/>
      <w:bookmarkEnd w:id="118"/>
      <w:bookmarkEnd w:id="119"/>
      <w:bookmarkEnd w:id="120"/>
      <w:bookmarkEnd w:id="121"/>
    </w:p>
    <w:p>
      <w:pPr>
        <w:spacing w:line="440" w:lineRule="exact"/>
        <w:ind w:right="200"/>
        <w:jc w:val="right"/>
        <w:rPr>
          <w:rFonts w:ascii="宋体" w:hAnsi="宋体"/>
          <w:szCs w:val="21"/>
        </w:rPr>
      </w:pPr>
      <w:r>
        <w:rPr>
          <w:rFonts w:hint="eastAsia" w:ascii="宋体" w:hAnsi="宋体"/>
          <w:szCs w:val="21"/>
        </w:rPr>
        <w:t>单位：人</w:t>
      </w: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6"/>
        <w:rPr>
          <w:rFonts w:ascii="宋体" w:hAnsi="宋体" w:eastAsia="宋体"/>
          <w:sz w:val="22"/>
          <w:szCs w:val="22"/>
        </w:rPr>
      </w:pPr>
      <w:bookmarkStart w:id="122" w:name="_Toc152042589"/>
      <w:bookmarkStart w:id="123" w:name="_Toc144974868"/>
      <w:bookmarkStart w:id="124" w:name="_Toc246392158"/>
      <w:bookmarkStart w:id="125" w:name="_Toc152045800"/>
      <w:bookmarkStart w:id="126" w:name="_Toc179632820"/>
      <w:bookmarkStart w:id="127" w:name="_Toc3750"/>
      <w:r>
        <w:rPr>
          <w:rFonts w:hint="eastAsia" w:ascii="宋体" w:hAnsi="宋体" w:eastAsia="宋体"/>
          <w:sz w:val="22"/>
          <w:szCs w:val="22"/>
        </w:rPr>
        <w:t>附表四：计划开、竣工日期和施工进度网络图</w:t>
      </w:r>
      <w:bookmarkEnd w:id="122"/>
      <w:bookmarkEnd w:id="123"/>
      <w:bookmarkEnd w:id="124"/>
      <w:bookmarkEnd w:id="125"/>
      <w:bookmarkEnd w:id="126"/>
      <w:bookmarkEnd w:id="127"/>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8" w:name="_Toc152045801"/>
      <w:bookmarkStart w:id="129" w:name="_Toc246392159"/>
      <w:bookmarkStart w:id="130" w:name="_Toc152042590"/>
      <w:bookmarkStart w:id="131" w:name="_Toc144974869"/>
      <w:bookmarkStart w:id="132" w:name="_Toc179632821"/>
      <w:r>
        <w:rPr>
          <w:rFonts w:hint="eastAsia" w:ascii="宋体" w:hAnsi="宋体"/>
          <w:sz w:val="22"/>
        </w:rPr>
        <w:t>附表五：施工总平面图</w:t>
      </w:r>
      <w:bookmarkEnd w:id="128"/>
      <w:bookmarkEnd w:id="129"/>
      <w:bookmarkEnd w:id="130"/>
      <w:bookmarkEnd w:id="131"/>
      <w:bookmarkEnd w:id="132"/>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6"/>
        <w:rPr>
          <w:rFonts w:ascii="宋体" w:hAnsi="宋体" w:eastAsia="宋体"/>
          <w:szCs w:val="23"/>
        </w:rPr>
      </w:pPr>
      <w:bookmarkStart w:id="133" w:name="_Toc179632824"/>
      <w:bookmarkStart w:id="134" w:name="_Toc246392161"/>
      <w:bookmarkStart w:id="135" w:name="_Toc152042593"/>
      <w:bookmarkStart w:id="136" w:name="_Toc29304"/>
      <w:bookmarkStart w:id="137" w:name="_Toc144974872"/>
      <w:bookmarkStart w:id="138" w:name="_Toc152045804"/>
      <w:r>
        <w:rPr>
          <w:rFonts w:hint="eastAsia" w:ascii="宋体" w:hAnsi="宋体" w:eastAsia="宋体"/>
          <w:szCs w:val="23"/>
        </w:rPr>
        <w:t>（一）项目管理机构组成表</w:t>
      </w:r>
      <w:bookmarkEnd w:id="133"/>
      <w:bookmarkEnd w:id="134"/>
      <w:bookmarkEnd w:id="135"/>
      <w:bookmarkEnd w:id="136"/>
      <w:bookmarkEnd w:id="137"/>
      <w:bookmarkEnd w:id="138"/>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6"/>
        <w:rPr>
          <w:rFonts w:ascii="宋体" w:hAnsi="宋体" w:eastAsia="宋体"/>
          <w:szCs w:val="23"/>
        </w:rPr>
      </w:pPr>
      <w:bookmarkStart w:id="139" w:name="_Toc144974873"/>
      <w:bookmarkStart w:id="140" w:name="_Toc246392162"/>
      <w:bookmarkStart w:id="141" w:name="_Toc25718"/>
      <w:bookmarkStart w:id="142" w:name="_Toc152042594"/>
      <w:bookmarkStart w:id="143" w:name="_Toc179632825"/>
      <w:bookmarkStart w:id="144" w:name="_Toc152045805"/>
      <w:r>
        <w:rPr>
          <w:rFonts w:hint="eastAsia" w:ascii="宋体" w:hAnsi="宋体" w:eastAsia="宋体"/>
          <w:szCs w:val="23"/>
        </w:rPr>
        <w:t>（二）主要人员简历表</w:t>
      </w:r>
      <w:bookmarkEnd w:id="139"/>
      <w:bookmarkEnd w:id="140"/>
      <w:bookmarkEnd w:id="141"/>
      <w:bookmarkEnd w:id="142"/>
      <w:bookmarkEnd w:id="143"/>
      <w:bookmarkEnd w:id="144"/>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45" w:name="_Toc7025"/>
      <w:bookmarkStart w:id="146" w:name="_Toc245036711"/>
      <w:r>
        <w:rPr>
          <w:rFonts w:hint="eastAsia" w:ascii="Calibri" w:hAnsi="Calibri" w:eastAsia="黑体" w:cs="Calibri"/>
          <w:color w:val="000000"/>
          <w:sz w:val="32"/>
          <w:szCs w:val="32"/>
        </w:rPr>
        <w:t>七、资格审查资料</w:t>
      </w:r>
      <w:bookmarkEnd w:id="145"/>
      <w:bookmarkEnd w:id="146"/>
    </w:p>
    <w:p>
      <w:pPr>
        <w:topLinePunct/>
        <w:spacing w:line="440" w:lineRule="exact"/>
        <w:jc w:val="center"/>
        <w:rPr>
          <w:rFonts w:ascii="宋体" w:hAnsi="宋体"/>
          <w:sz w:val="27"/>
          <w:szCs w:val="27"/>
        </w:rPr>
      </w:pPr>
    </w:p>
    <w:p>
      <w:pPr>
        <w:pStyle w:val="126"/>
        <w:rPr>
          <w:rFonts w:ascii="宋体" w:hAnsi="宋体" w:eastAsia="宋体"/>
          <w:szCs w:val="23"/>
        </w:rPr>
      </w:pPr>
      <w:bookmarkStart w:id="147" w:name="_Toc152045808"/>
      <w:bookmarkStart w:id="148" w:name="_Toc152042597"/>
      <w:bookmarkStart w:id="149" w:name="_Toc245036712"/>
      <w:bookmarkStart w:id="150" w:name="_Toc144974876"/>
      <w:bookmarkStart w:id="151" w:name="_Toc17487"/>
      <w:r>
        <w:rPr>
          <w:rFonts w:hint="eastAsia" w:ascii="宋体" w:hAnsi="宋体" w:eastAsia="宋体"/>
          <w:szCs w:val="23"/>
        </w:rPr>
        <w:t>（一）投标人基本情况表</w:t>
      </w:r>
      <w:bookmarkEnd w:id="147"/>
      <w:bookmarkEnd w:id="148"/>
      <w:bookmarkEnd w:id="149"/>
      <w:bookmarkEnd w:id="150"/>
      <w:bookmarkEnd w:id="151"/>
    </w:p>
    <w:p>
      <w:pPr>
        <w:topLinePunct/>
        <w:spacing w:line="440" w:lineRule="exact"/>
        <w:jc w:val="center"/>
        <w:rPr>
          <w:rFonts w:ascii="宋体" w:hAnsi="宋体"/>
          <w:sz w:val="23"/>
          <w:szCs w:val="23"/>
        </w:rPr>
      </w:pPr>
    </w:p>
    <w:tbl>
      <w:tblPr>
        <w:tblStyle w:val="5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6"/>
        <w:rPr>
          <w:rFonts w:ascii="宋体" w:hAnsi="宋体" w:eastAsia="宋体"/>
          <w:szCs w:val="23"/>
        </w:rPr>
      </w:pPr>
      <w:bookmarkStart w:id="152" w:name="_Toc152045809"/>
      <w:bookmarkStart w:id="153" w:name="_Toc245036713"/>
      <w:bookmarkStart w:id="154" w:name="_Toc144974877"/>
      <w:bookmarkStart w:id="155" w:name="_Toc152042598"/>
      <w:bookmarkStart w:id="156" w:name="_Toc16950"/>
      <w:r>
        <w:rPr>
          <w:rFonts w:hint="eastAsia" w:ascii="宋体" w:hAnsi="宋体" w:eastAsia="宋体"/>
        </w:rPr>
        <w:br w:type="page"/>
      </w:r>
      <w:r>
        <w:rPr>
          <w:rFonts w:hint="eastAsia" w:ascii="宋体" w:hAnsi="宋体" w:eastAsia="宋体"/>
        </w:rPr>
        <w:t>（二）近年财务状况表</w:t>
      </w:r>
      <w:bookmarkEnd w:id="152"/>
      <w:bookmarkEnd w:id="153"/>
      <w:bookmarkEnd w:id="154"/>
      <w:bookmarkEnd w:id="155"/>
      <w:bookmarkEnd w:id="156"/>
    </w:p>
    <w:p>
      <w:pPr>
        <w:spacing w:line="440" w:lineRule="exact"/>
        <w:rPr>
          <w:rFonts w:ascii="宋体" w:hAnsi="宋体"/>
          <w:sz w:val="23"/>
          <w:szCs w:val="23"/>
        </w:rPr>
      </w:pPr>
    </w:p>
    <w:p>
      <w:pPr>
        <w:pStyle w:val="126"/>
        <w:rPr>
          <w:rFonts w:ascii="宋体" w:hAnsi="宋体" w:eastAsia="宋体"/>
          <w:szCs w:val="23"/>
        </w:rPr>
      </w:pPr>
      <w:bookmarkStart w:id="157" w:name="_Toc31021"/>
      <w:bookmarkStart w:id="158" w:name="_Toc144974878"/>
      <w:bookmarkStart w:id="159" w:name="_Toc152045810"/>
      <w:bookmarkStart w:id="160" w:name="_Toc152042599"/>
      <w:bookmarkStart w:id="161" w:name="_Toc245036714"/>
      <w:r>
        <w:rPr>
          <w:rFonts w:hint="eastAsia" w:ascii="宋体" w:hAnsi="宋体" w:eastAsia="宋体"/>
          <w:szCs w:val="23"/>
        </w:rPr>
        <w:t>（三）近年完成的类似项目情况表</w:t>
      </w:r>
      <w:bookmarkEnd w:id="157"/>
      <w:bookmarkEnd w:id="158"/>
      <w:bookmarkEnd w:id="159"/>
      <w:bookmarkEnd w:id="160"/>
      <w:bookmarkEnd w:id="161"/>
    </w:p>
    <w:p>
      <w:pPr>
        <w:spacing w:line="440" w:lineRule="exact"/>
        <w:jc w:val="center"/>
        <w:rPr>
          <w:rFonts w:ascii="宋体" w:hAnsi="宋体"/>
          <w:sz w:val="23"/>
          <w:szCs w:val="23"/>
        </w:rPr>
      </w:pPr>
    </w:p>
    <w:tbl>
      <w:tblPr>
        <w:tblStyle w:val="5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13233"/>
            <w:r>
              <w:rPr>
                <w:rFonts w:hint="eastAsia" w:ascii="宋体" w:hAnsi="宋体"/>
                <w:szCs w:val="21"/>
              </w:rPr>
              <w:t>项目所在地</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3" w:name="_Toc20896"/>
            <w:r>
              <w:rPr>
                <w:rFonts w:hint="eastAsia" w:ascii="宋体" w:hAnsi="宋体"/>
                <w:szCs w:val="21"/>
              </w:rPr>
              <w:t>发包人地址</w:t>
            </w:r>
            <w:bookmarkEnd w:id="16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4" w:name="_Toc3155"/>
            <w:r>
              <w:rPr>
                <w:rFonts w:hint="eastAsia" w:ascii="宋体" w:hAnsi="宋体"/>
                <w:szCs w:val="21"/>
              </w:rPr>
              <w:t>承担的工作</w:t>
            </w:r>
            <w:bookmarkEnd w:id="16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6"/>
        <w:rPr>
          <w:rFonts w:ascii="宋体" w:hAnsi="宋体" w:eastAsia="宋体"/>
          <w:szCs w:val="23"/>
        </w:rPr>
      </w:pPr>
      <w:bookmarkStart w:id="165" w:name="_Toc152042600"/>
      <w:bookmarkStart w:id="166" w:name="_Toc26600"/>
      <w:bookmarkStart w:id="167" w:name="_Toc152045811"/>
      <w:bookmarkStart w:id="168" w:name="_Toc144974879"/>
      <w:bookmarkStart w:id="169"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65"/>
      <w:bookmarkEnd w:id="166"/>
      <w:bookmarkEnd w:id="167"/>
      <w:bookmarkEnd w:id="168"/>
      <w:bookmarkEnd w:id="169"/>
    </w:p>
    <w:p>
      <w:pPr>
        <w:keepNext/>
        <w:keepLines/>
        <w:topLinePunct/>
        <w:spacing w:before="240" w:beforeLines="100" w:line="280" w:lineRule="exact"/>
        <w:outlineLvl w:val="2"/>
        <w:rPr>
          <w:rFonts w:ascii="宋体" w:hAnsi="宋体"/>
          <w:b/>
          <w:bCs/>
          <w:szCs w:val="21"/>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0" w:name="_Toc5773"/>
            <w:bookmarkStart w:id="171" w:name="_Toc152042601"/>
            <w:bookmarkStart w:id="172" w:name="_Toc144974880"/>
            <w:bookmarkStart w:id="173" w:name="_Toc245036716"/>
            <w:bookmarkStart w:id="174" w:name="_Toc152045812"/>
            <w:r>
              <w:rPr>
                <w:rFonts w:hint="eastAsia" w:ascii="宋体" w:hAnsi="宋体"/>
                <w:szCs w:val="21"/>
              </w:rPr>
              <w:t>项目名称</w:t>
            </w:r>
            <w:bookmarkEnd w:id="170"/>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71"/>
      <w:bookmarkEnd w:id="172"/>
      <w:bookmarkEnd w:id="173"/>
      <w:bookmarkEnd w:id="174"/>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5" w:name="_Toc245036717"/>
      <w:bookmarkStart w:id="176" w:name="_Toc144974881"/>
      <w:bookmarkStart w:id="177" w:name="_Toc675"/>
      <w:bookmarkStart w:id="178" w:name="_Toc152045813"/>
      <w:bookmarkStart w:id="179" w:name="_Toc152042602"/>
      <w:r>
        <w:rPr>
          <w:rFonts w:hint="eastAsia" w:ascii="宋体" w:hAnsi="宋体" w:eastAsia="宋体"/>
        </w:rPr>
        <w:br w:type="page"/>
      </w:r>
      <w:r>
        <w:rPr>
          <w:rFonts w:hint="eastAsia" w:ascii="Calibri" w:hAnsi="Calibri" w:eastAsia="黑体" w:cs="Calibri"/>
          <w:color w:val="000000"/>
          <w:sz w:val="32"/>
          <w:szCs w:val="32"/>
        </w:rPr>
        <w:t>八、</w:t>
      </w:r>
      <w:bookmarkStart w:id="180" w:name="_Toc21221"/>
      <w:bookmarkEnd w:id="175"/>
      <w:bookmarkEnd w:id="176"/>
      <w:bookmarkEnd w:id="177"/>
      <w:bookmarkEnd w:id="178"/>
      <w:bookmarkEnd w:id="179"/>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0"/>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23 -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w:t>
    </w:r>
    <w:r>
      <w:rPr>
        <w:rFonts w:ascii="宋体" w:hAnsi="宋体"/>
        <w:color w:val="000000"/>
        <w:szCs w:val="18"/>
      </w:rPr>
      <w:t>物流有限公司</w:t>
    </w:r>
    <w:r>
      <w:rPr>
        <w:rFonts w:hint="eastAsia" w:ascii="宋体" w:hAnsi="宋体"/>
        <w:color w:val="000000"/>
        <w:szCs w:val="18"/>
      </w:rPr>
      <w:t>货站A区1-</w:t>
    </w:r>
    <w:r>
      <w:rPr>
        <w:rFonts w:ascii="宋体" w:hAnsi="宋体"/>
        <w:color w:val="000000"/>
        <w:szCs w:val="18"/>
      </w:rPr>
      <w:t>4号口钢结构雨棚抬高项目工程</w:t>
    </w:r>
    <w:r>
      <w:rPr>
        <w:rFonts w:hint="eastAsia" w:ascii="宋体" w:hAnsi="宋体"/>
        <w:color w:val="000000"/>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2E6665"/>
    <w:rsid w:val="00462BD4"/>
    <w:rsid w:val="00587F8E"/>
    <w:rsid w:val="007B0CE0"/>
    <w:rsid w:val="00E10267"/>
    <w:rsid w:val="00E640B6"/>
    <w:rsid w:val="00F24DBD"/>
    <w:rsid w:val="45CC02EE"/>
    <w:rsid w:val="6B4B40E8"/>
    <w:rsid w:val="6BCA71E6"/>
    <w:rsid w:val="745937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8"/>
    <w:semiHidden/>
    <w:qFormat/>
    <w:uiPriority w:val="0"/>
    <w:rPr>
      <w:rFonts w:ascii="Times New Roman" w:hAnsi="Times New Roman" w:eastAsia="宋体" w:cs="Times New Roman"/>
      <w:b/>
      <w:bCs/>
      <w:kern w:val="0"/>
      <w:sz w:val="20"/>
    </w:rPr>
  </w:style>
  <w:style w:type="paragraph" w:styleId="13">
    <w:name w:val="annotation text"/>
    <w:basedOn w:val="1"/>
    <w:link w:val="67"/>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qFormat/>
    <w:uiPriority w:val="0"/>
    <w:pPr>
      <w:spacing w:after="120"/>
      <w:ind w:left="420" w:leftChars="200"/>
    </w:pPr>
    <w:rPr>
      <w:sz w:val="24"/>
      <w:szCs w:val="24"/>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7"/>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qFormat/>
    <w:uiPriority w:val="0"/>
    <w:pPr>
      <w:ind w:firstLine="420" w:firstLineChars="200"/>
    </w:pPr>
    <w:rPr>
      <w:rFonts w:ascii="宋体" w:hAnsi="宋体" w:eastAsia="宋体" w:cs="Times New Roman"/>
      <w:kern w:val="0"/>
      <w:sz w:val="28"/>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customStyle="1" w:styleId="58">
    <w:name w:val="标题 1 Char"/>
    <w:basedOn w:val="52"/>
    <w:link w:val="2"/>
    <w:qFormat/>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qFormat/>
    <w:uiPriority w:val="0"/>
    <w:rPr>
      <w:rFonts w:ascii="Arial" w:hAnsi="Arial" w:eastAsia="黑体" w:cs="Times New Roman"/>
      <w:kern w:val="0"/>
      <w:sz w:val="20"/>
      <w:szCs w:val="21"/>
    </w:rPr>
  </w:style>
  <w:style w:type="character" w:customStyle="1" w:styleId="67">
    <w:name w:val="批注文字 Char"/>
    <w:basedOn w:val="52"/>
    <w:link w:val="13"/>
    <w:semiHidden/>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semiHidden/>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qFormat/>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sz w:val="24"/>
      <w:szCs w:val="24"/>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qFormat/>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rPr>
      <w:rFonts w:ascii="宋体" w:hAnsi="宋体" w:eastAsia="宋体" w:cs="Times New Roman"/>
      <w:kern w:val="0"/>
      <w:sz w:val="28"/>
      <w:szCs w:val="24"/>
    </w:rPr>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qFormat/>
    <w:uiPriority w:val="0"/>
  </w:style>
  <w:style w:type="character" w:customStyle="1" w:styleId="92">
    <w:name w:val="px1233"/>
    <w:basedOn w:val="52"/>
    <w:qFormat/>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qFormat/>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character" w:customStyle="1" w:styleId="98">
    <w:name w:val="标题 Char1"/>
    <w:basedOn w:val="52"/>
    <w:qFormat/>
    <w:uiPriority w:val="10"/>
    <w:rPr>
      <w:rFonts w:eastAsia="宋体" w:asciiTheme="majorHAnsi" w:hAnsiTheme="majorHAnsi" w:cstheme="majorBidi"/>
      <w:b/>
      <w:bCs/>
      <w:sz w:val="32"/>
      <w:szCs w:val="32"/>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pPr>
      <w:spacing w:after="120"/>
    </w:pPr>
    <w:rPr>
      <w:rFonts w:cs="Times New Roman"/>
      <w:color w:val="auto"/>
    </w:rPr>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5"/>
    <w:next w:val="105"/>
    <w:qFormat/>
    <w:uiPriority w:val="0"/>
    <w:pPr>
      <w:spacing w:after="120"/>
    </w:pPr>
    <w:rPr>
      <w:rFonts w:cs="Times New Roman"/>
      <w:color w:val="auto"/>
    </w:rPr>
  </w:style>
  <w:style w:type="paragraph" w:customStyle="1" w:styleId="116">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7">
    <w:name w:val="Legal 5"/>
    <w:basedOn w:val="105"/>
    <w:next w:val="105"/>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5"/>
    <w:next w:val="105"/>
    <w:qFormat/>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List Paragraph"/>
    <w:basedOn w:val="1"/>
    <w:qFormat/>
    <w:uiPriority w:val="34"/>
    <w:pPr>
      <w:ind w:firstLine="420" w:firstLineChars="200"/>
    </w:pPr>
    <w:rPr>
      <w:sz w:val="24"/>
      <w:szCs w:val="24"/>
    </w:rPr>
  </w:style>
  <w:style w:type="paragraph" w:customStyle="1" w:styleId="126">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7">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5148</Words>
  <Characters>29344</Characters>
  <Lines>244</Lines>
  <Paragraphs>68</Paragraphs>
  <TotalTime>0</TotalTime>
  <ScaleCrop>false</ScaleCrop>
  <LinksUpToDate>false</LinksUpToDate>
  <CharactersWithSpaces>34424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贾思勰</cp:lastModifiedBy>
  <dcterms:modified xsi:type="dcterms:W3CDTF">2019-07-16T08:46:55Z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