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hint="eastAsia" w:eastAsia="黑体" w:cs="Calibri"/>
          <w:b/>
          <w:sz w:val="44"/>
          <w:szCs w:val="44"/>
        </w:rPr>
      </w:pPr>
      <w:r>
        <w:rPr>
          <w:rFonts w:hint="eastAsia" w:ascii="黑体" w:hAnsi="黑体" w:eastAsia="黑体"/>
          <w:b/>
          <w:sz w:val="44"/>
          <w:szCs w:val="44"/>
        </w:rPr>
        <w:t>浙江省机场集团</w:t>
      </w:r>
      <w:r>
        <w:rPr>
          <w:rFonts w:hint="eastAsia" w:eastAsia="黑体" w:cs="Calibri"/>
          <w:b/>
          <w:sz w:val="44"/>
          <w:szCs w:val="44"/>
          <w:u w:val="single"/>
        </w:rPr>
        <w:t>全向声波驱鸟器</w:t>
      </w:r>
      <w:r>
        <w:rPr>
          <w:rFonts w:hint="eastAsia" w:eastAsia="黑体" w:cs="Calibri"/>
          <w:b/>
          <w:sz w:val="44"/>
          <w:szCs w:val="44"/>
        </w:rPr>
        <w:t>采购项目</w:t>
      </w:r>
    </w:p>
    <w:p>
      <w:pPr>
        <w:widowControl/>
        <w:autoSpaceDE w:val="0"/>
        <w:autoSpaceDN w:val="0"/>
        <w:jc w:val="center"/>
        <w:textAlignment w:val="bottom"/>
        <w:rPr>
          <w:rFonts w:hint="eastAsia" w:eastAsia="黑体" w:cs="Calibri"/>
          <w:b/>
          <w:sz w:val="44"/>
          <w:szCs w:val="44"/>
          <w:lang w:eastAsia="zh-CN"/>
        </w:rPr>
      </w:pPr>
      <w:r>
        <w:rPr>
          <w:rFonts w:hint="eastAsia" w:eastAsia="黑体" w:cs="Calibri"/>
          <w:b/>
          <w:sz w:val="44"/>
          <w:szCs w:val="44"/>
          <w:lang w:eastAsia="zh-CN"/>
        </w:rPr>
        <w:t>（重新招标</w:t>
      </w:r>
      <w:bookmarkStart w:id="111" w:name="_GoBack"/>
      <w:bookmarkEnd w:id="111"/>
      <w:r>
        <w:rPr>
          <w:rFonts w:hint="eastAsia" w:eastAsia="黑体" w:cs="Calibri"/>
          <w:b/>
          <w:sz w:val="44"/>
          <w:szCs w:val="44"/>
          <w:lang w:eastAsia="zh-CN"/>
        </w:rPr>
        <w:t>）</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p>
    <w:p>
      <w:pPr>
        <w:widowControl/>
        <w:autoSpaceDE w:val="0"/>
        <w:autoSpaceDN w:val="0"/>
        <w:snapToGrid w:val="0"/>
        <w:spacing w:line="560" w:lineRule="exact"/>
        <w:textAlignment w:val="bottom"/>
        <w:rPr>
          <w:rFonts w:ascii="宋体" w:hAnsi="宋体"/>
          <w:b/>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hint="eastAsia" w:eastAsia="黑体" w:cs="Calibri"/>
          <w:sz w:val="32"/>
          <w:szCs w:val="32"/>
        </w:rPr>
        <w:t>浙江省机场集团有限公司</w:t>
      </w:r>
    </w:p>
    <w:p>
      <w:pPr>
        <w:rPr>
          <w:rFonts w:eastAsia="黑体" w:cs="Calibri"/>
          <w:sz w:val="32"/>
          <w:szCs w:val="32"/>
        </w:rPr>
      </w:pPr>
    </w:p>
    <w:p>
      <w:pPr>
        <w:pStyle w:val="5"/>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六</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b/>
          <w:sz w:val="22"/>
          <w:szCs w:val="22"/>
        </w:rPr>
        <w:fldChar w:fldCharType="begin"/>
      </w:r>
      <w:r>
        <w:rPr>
          <w:rFonts w:hint="eastAsia" w:ascii="黑体" w:hAnsi="黑体" w:eastAsia="黑体"/>
          <w:b/>
          <w:sz w:val="22"/>
          <w:szCs w:val="22"/>
        </w:rPr>
        <w:instrText xml:space="preserve"> TOC \o "1-1" \h \z \u </w:instrText>
      </w:r>
      <w:r>
        <w:rPr>
          <w:rFonts w:hint="eastAsia" w:ascii="黑体" w:hAnsi="黑体" w:eastAsia="黑体"/>
          <w:b/>
          <w:sz w:val="22"/>
          <w:szCs w:val="22"/>
        </w:rPr>
        <w:fldChar w:fldCharType="separate"/>
      </w:r>
      <w:r>
        <w:rPr>
          <w:rFonts w:hint="eastAsia" w:ascii="黑体" w:hAnsi="黑体" w:eastAsia="黑体"/>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_Toc321925451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_Toc321925452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第三章  货物需求一览表及技术规格</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_Toc321925453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 xml:space="preserve">第四章  </w:t>
      </w:r>
      <w:r>
        <w:rPr>
          <w:rFonts w:ascii="黑体" w:hAnsi="黑体" w:eastAsia="黑体"/>
          <w:sz w:val="22"/>
          <w:szCs w:val="22"/>
        </w:rPr>
        <w:t>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_Toc321925454 \h </w:instrText>
      </w:r>
      <w:r>
        <w:rPr>
          <w:rFonts w:hint="eastAsia" w:ascii="黑体" w:hAnsi="黑体" w:eastAsia="黑体"/>
          <w:sz w:val="22"/>
          <w:szCs w:val="22"/>
        </w:rPr>
        <w:fldChar w:fldCharType="separate"/>
      </w:r>
      <w:r>
        <w:rPr>
          <w:rFonts w:ascii="黑体" w:hAnsi="黑体" w:eastAsia="黑体"/>
          <w:sz w:val="22"/>
          <w:szCs w:val="22"/>
        </w:rPr>
        <w:t>- 1</w:t>
      </w:r>
      <w:r>
        <w:rPr>
          <w:rFonts w:hint="eastAsia" w:ascii="黑体" w:hAnsi="黑体" w:eastAsia="黑体"/>
          <w:sz w:val="22"/>
          <w:szCs w:val="22"/>
        </w:rPr>
        <w:t>5</w:t>
      </w:r>
      <w:r>
        <w:rPr>
          <w:rFonts w:ascii="黑体" w:hAnsi="黑体" w:eastAsia="黑体"/>
          <w:sz w:val="22"/>
          <w:szCs w:val="22"/>
        </w:rPr>
        <w:t xml:space="preserve">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_Toc321925456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33</w:t>
      </w:r>
      <w:r>
        <w:rPr>
          <w:rFonts w:ascii="黑体" w:hAnsi="黑体" w:eastAsia="黑体"/>
          <w:sz w:val="22"/>
          <w:szCs w:val="22"/>
        </w:rPr>
        <w:t xml:space="preserve"> -</w:t>
      </w:r>
      <w:r>
        <w:rPr>
          <w:rFonts w:hint="eastAsia" w:ascii="黑体" w:hAnsi="黑体" w:eastAsia="黑体"/>
          <w:sz w:val="22"/>
          <w:szCs w:val="22"/>
        </w:rPr>
        <w:fldChar w:fldCharType="end"/>
      </w:r>
    </w:p>
    <w:p>
      <w:pPr>
        <w:pStyle w:val="10"/>
        <w:tabs>
          <w:tab w:val="right" w:leader="dot" w:pos="8290"/>
        </w:tabs>
        <w:spacing w:line="480" w:lineRule="auto"/>
        <w:rPr>
          <w:rFonts w:ascii="黑体" w:hAnsi="黑体" w:eastAsia="黑体" w:cstheme="minorBidi"/>
          <w:sz w:val="22"/>
          <w:szCs w:val="22"/>
        </w:rPr>
      </w:pPr>
      <w:r>
        <w:rPr>
          <w:rFonts w:hint="eastAsia" w:ascii="黑体" w:hAnsi="黑体" w:eastAsia="黑体"/>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_Toc321925457 \h </w:instrText>
      </w:r>
      <w:r>
        <w:rPr>
          <w:rFonts w:hint="eastAsia" w:ascii="黑体" w:hAnsi="黑体" w:eastAsia="黑体"/>
          <w:sz w:val="22"/>
          <w:szCs w:val="22"/>
        </w:rPr>
        <w:fldChar w:fldCharType="separate"/>
      </w:r>
      <w:r>
        <w:rPr>
          <w:rFonts w:ascii="黑体" w:hAnsi="黑体" w:eastAsia="黑体"/>
          <w:sz w:val="22"/>
          <w:szCs w:val="22"/>
        </w:rPr>
        <w:t xml:space="preserve">- </w:t>
      </w:r>
      <w:r>
        <w:rPr>
          <w:rFonts w:hint="eastAsia" w:ascii="黑体" w:hAnsi="黑体" w:eastAsia="黑体"/>
          <w:sz w:val="22"/>
          <w:szCs w:val="22"/>
        </w:rPr>
        <w:t>36</w:t>
      </w:r>
      <w:r>
        <w:rPr>
          <w:rFonts w:ascii="黑体" w:hAnsi="黑体" w:eastAsia="黑体"/>
          <w:sz w:val="22"/>
          <w:szCs w:val="22"/>
        </w:rPr>
        <w:t xml:space="preserve"> -</w:t>
      </w:r>
      <w:r>
        <w:rPr>
          <w:rFonts w:hint="eastAsia" w:ascii="黑体" w:hAnsi="黑体" w:eastAsia="黑体"/>
          <w:sz w:val="22"/>
          <w:szCs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13"/>
      </w:pPr>
      <w:bookmarkStart w:id="0" w:name="_Toc321925451"/>
      <w:r>
        <w:rPr>
          <w:rFonts w:hint="eastAsia"/>
        </w:rPr>
        <w:t>第一章招标公告</w:t>
      </w:r>
      <w:bookmarkEnd w:id="0"/>
    </w:p>
    <w:p>
      <w:pPr>
        <w:widowControl/>
        <w:snapToGrid w:val="0"/>
        <w:spacing w:line="360" w:lineRule="exact"/>
        <w:jc w:val="left"/>
        <w:rPr>
          <w:rFonts w:cs="Arial" w:asciiTheme="minorEastAsia" w:hAnsiTheme="minorEastAsia"/>
          <w:b/>
          <w:bCs/>
          <w:kern w:val="0"/>
          <w:sz w:val="22"/>
        </w:rPr>
      </w:pPr>
    </w:p>
    <w:p>
      <w:pPr>
        <w:widowControl/>
        <w:snapToGrid w:val="0"/>
        <w:spacing w:line="360" w:lineRule="exact"/>
        <w:jc w:val="left"/>
        <w:rPr>
          <w:rFonts w:cs="Arial" w:asciiTheme="minorEastAsia" w:hAnsiTheme="minorEastAsia"/>
          <w:kern w:val="0"/>
          <w:sz w:val="22"/>
        </w:rPr>
      </w:pPr>
      <w:r>
        <w:rPr>
          <w:rFonts w:hint="eastAsia" w:cs="Arial" w:asciiTheme="minorEastAsia" w:hAnsiTheme="minorEastAsia"/>
          <w:b/>
          <w:bCs/>
          <w:kern w:val="0"/>
          <w:sz w:val="22"/>
        </w:rPr>
        <w:t>一、招标内容</w:t>
      </w:r>
    </w:p>
    <w:p>
      <w:pPr>
        <w:widowControl/>
        <w:adjustRightInd w:val="0"/>
        <w:snapToGrid w:val="0"/>
        <w:spacing w:line="360" w:lineRule="exact"/>
        <w:ind w:firstLine="440" w:firstLineChars="200"/>
        <w:rPr>
          <w:rFonts w:cs="Calibri" w:asciiTheme="minorEastAsia" w:hAnsiTheme="minorEastAsia"/>
          <w:snapToGrid w:val="0"/>
          <w:kern w:val="0"/>
          <w:sz w:val="22"/>
          <w:szCs w:val="24"/>
        </w:rPr>
      </w:pPr>
      <w:r>
        <w:rPr>
          <w:rFonts w:hint="eastAsia" w:cs="Arial" w:asciiTheme="minorEastAsia" w:hAnsiTheme="minorEastAsia"/>
          <w:kern w:val="0"/>
          <w:sz w:val="22"/>
        </w:rPr>
        <w:t>浙江省机场集团有限公司受</w:t>
      </w:r>
      <w:r>
        <w:rPr>
          <w:rFonts w:hint="eastAsia" w:asciiTheme="minorEastAsia" w:hAnsiTheme="minorEastAsia"/>
          <w:kern w:val="0"/>
          <w:sz w:val="22"/>
        </w:rPr>
        <w:t>杭州萧山国际机场有限公司、宁波机场与物流发展集团有限公司的委托，</w:t>
      </w:r>
      <w:r>
        <w:rPr>
          <w:rFonts w:hint="eastAsia" w:cs="Arial" w:asciiTheme="minorEastAsia" w:hAnsiTheme="minorEastAsia"/>
          <w:kern w:val="0"/>
          <w:sz w:val="22"/>
        </w:rPr>
        <w:t>就全向声波驱鸟器采购</w:t>
      </w:r>
      <w:r>
        <w:rPr>
          <w:rFonts w:cs="Arial" w:asciiTheme="minorEastAsia" w:hAnsiTheme="minorEastAsia"/>
          <w:kern w:val="0"/>
          <w:sz w:val="22"/>
        </w:rPr>
        <w:t>项</w:t>
      </w:r>
      <w:r>
        <w:rPr>
          <w:rFonts w:hint="eastAsia" w:cs="Arial" w:asciiTheme="minorEastAsia" w:hAnsiTheme="minorEastAsia"/>
          <w:kern w:val="0"/>
          <w:sz w:val="22"/>
        </w:rPr>
        <w:t>目进行公开招标，欢迎符合资格要求的供应商参与投标，</w:t>
      </w:r>
      <w:bookmarkStart w:id="1" w:name="_Hlk10540538"/>
      <w:r>
        <w:rPr>
          <w:rFonts w:hint="eastAsia" w:cs="Calibri" w:asciiTheme="minorEastAsia" w:hAnsiTheme="minorEastAsia"/>
          <w:snapToGrid w:val="0"/>
          <w:kern w:val="0"/>
          <w:sz w:val="22"/>
        </w:rPr>
        <w:t>确定中标人后，各个机场分别与中标人签署合同，并分别组织供货、安装、验收。</w:t>
      </w:r>
      <w:bookmarkEnd w:id="1"/>
    </w:p>
    <w:p>
      <w:pPr>
        <w:widowControl/>
        <w:adjustRightInd w:val="0"/>
        <w:snapToGrid w:val="0"/>
        <w:spacing w:line="36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招标货物名称、数量及主要技术规格</w:t>
      </w:r>
    </w:p>
    <w:tbl>
      <w:tblPr>
        <w:tblStyle w:val="19"/>
        <w:tblW w:w="9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310"/>
        <w:gridCol w:w="2442"/>
        <w:gridCol w:w="2442"/>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76" w:type="dxa"/>
            <w:vAlign w:val="center"/>
          </w:tcPr>
          <w:p>
            <w:pPr>
              <w:adjustRightInd w:val="0"/>
              <w:snapToGrid w:val="0"/>
              <w:jc w:val="center"/>
              <w:rPr>
                <w:rFonts w:ascii="宋体" w:hAnsi="宋体"/>
                <w:caps/>
                <w:sz w:val="22"/>
              </w:rPr>
            </w:pPr>
            <w:r>
              <w:rPr>
                <w:rFonts w:ascii="宋体" w:hAnsi="宋体"/>
                <w:caps/>
                <w:sz w:val="22"/>
              </w:rPr>
              <w:t>货物名称</w:t>
            </w:r>
          </w:p>
        </w:tc>
        <w:tc>
          <w:tcPr>
            <w:tcW w:w="1310" w:type="dxa"/>
            <w:vAlign w:val="center"/>
          </w:tcPr>
          <w:p>
            <w:pPr>
              <w:adjustRightInd w:val="0"/>
              <w:snapToGrid w:val="0"/>
              <w:jc w:val="center"/>
              <w:rPr>
                <w:rFonts w:ascii="宋体" w:hAnsi="宋体"/>
                <w:caps/>
                <w:sz w:val="22"/>
              </w:rPr>
            </w:pPr>
            <w:r>
              <w:rPr>
                <w:rFonts w:ascii="宋体" w:hAnsi="宋体"/>
                <w:caps/>
                <w:sz w:val="22"/>
              </w:rPr>
              <w:t>数 量</w:t>
            </w:r>
          </w:p>
        </w:tc>
        <w:tc>
          <w:tcPr>
            <w:tcW w:w="2442" w:type="dxa"/>
          </w:tcPr>
          <w:p>
            <w:pPr>
              <w:adjustRightInd w:val="0"/>
              <w:snapToGrid w:val="0"/>
              <w:jc w:val="center"/>
              <w:rPr>
                <w:rFonts w:ascii="宋体" w:hAnsi="宋体"/>
                <w:caps/>
                <w:sz w:val="22"/>
              </w:rPr>
            </w:pPr>
            <w:r>
              <w:rPr>
                <w:rFonts w:ascii="宋体" w:hAnsi="宋体"/>
                <w:caps/>
                <w:sz w:val="22"/>
              </w:rPr>
              <w:t>主要技术规格</w:t>
            </w:r>
          </w:p>
        </w:tc>
        <w:tc>
          <w:tcPr>
            <w:tcW w:w="2442" w:type="dxa"/>
            <w:vAlign w:val="center"/>
          </w:tcPr>
          <w:p>
            <w:pPr>
              <w:adjustRightInd w:val="0"/>
              <w:snapToGrid w:val="0"/>
              <w:jc w:val="center"/>
              <w:rPr>
                <w:rFonts w:ascii="宋体" w:hAnsi="宋体"/>
                <w:caps/>
                <w:sz w:val="22"/>
              </w:rPr>
            </w:pPr>
            <w:r>
              <w:rPr>
                <w:rFonts w:ascii="宋体" w:hAnsi="宋体"/>
                <w:caps/>
                <w:sz w:val="22"/>
              </w:rPr>
              <w:t>供货期</w:t>
            </w:r>
          </w:p>
        </w:tc>
        <w:tc>
          <w:tcPr>
            <w:tcW w:w="1340"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376" w:type="dxa"/>
            <w:vAlign w:val="center"/>
          </w:tcPr>
          <w:p>
            <w:pPr>
              <w:snapToGrid w:val="0"/>
              <w:jc w:val="center"/>
              <w:rPr>
                <w:rFonts w:ascii="宋体" w:hAnsi="宋体"/>
                <w:sz w:val="22"/>
              </w:rPr>
            </w:pPr>
            <w:r>
              <w:rPr>
                <w:rFonts w:hint="eastAsia" w:cs="Arial" w:asciiTheme="minorEastAsia" w:hAnsiTheme="minorEastAsia"/>
                <w:kern w:val="0"/>
                <w:sz w:val="22"/>
              </w:rPr>
              <w:t>全向声波驱鸟器</w:t>
            </w:r>
          </w:p>
        </w:tc>
        <w:tc>
          <w:tcPr>
            <w:tcW w:w="1310" w:type="dxa"/>
            <w:vAlign w:val="center"/>
          </w:tcPr>
          <w:p>
            <w:pPr>
              <w:snapToGrid w:val="0"/>
              <w:jc w:val="center"/>
              <w:rPr>
                <w:rFonts w:ascii="宋体" w:hAnsi="宋体"/>
                <w:sz w:val="22"/>
              </w:rPr>
            </w:pPr>
            <w:r>
              <w:rPr>
                <w:rFonts w:hint="eastAsia" w:ascii="宋体" w:hAnsi="宋体"/>
                <w:sz w:val="22"/>
              </w:rPr>
              <w:t>10台</w:t>
            </w:r>
          </w:p>
        </w:tc>
        <w:tc>
          <w:tcPr>
            <w:tcW w:w="2442" w:type="dxa"/>
          </w:tcPr>
          <w:p>
            <w:pPr>
              <w:pStyle w:val="4"/>
              <w:snapToGrid w:val="0"/>
              <w:rPr>
                <w:rFonts w:ascii="宋体" w:hAnsi="宋体"/>
                <w:sz w:val="22"/>
                <w:szCs w:val="22"/>
              </w:rPr>
            </w:pPr>
            <w:r>
              <w:rPr>
                <w:rFonts w:hint="eastAsia" w:ascii="宋体" w:hAnsi="宋体"/>
                <w:sz w:val="22"/>
                <w:szCs w:val="22"/>
              </w:rPr>
              <w:t>每台不少于两个发声层；</w:t>
            </w:r>
          </w:p>
          <w:p>
            <w:pPr>
              <w:pStyle w:val="4"/>
              <w:snapToGrid w:val="0"/>
              <w:rPr>
                <w:rFonts w:ascii="宋体" w:hAnsi="宋体"/>
                <w:sz w:val="22"/>
                <w:szCs w:val="22"/>
              </w:rPr>
            </w:pPr>
            <w:r>
              <w:rPr>
                <w:rFonts w:hint="eastAsia" w:ascii="宋体" w:hAnsi="宋体"/>
                <w:sz w:val="22"/>
                <w:szCs w:val="22"/>
              </w:rPr>
              <w:t>声音驱散半径不小于300米；</w:t>
            </w:r>
          </w:p>
          <w:p>
            <w:pPr>
              <w:adjustRightInd w:val="0"/>
              <w:snapToGrid w:val="0"/>
              <w:rPr>
                <w:rFonts w:ascii="宋体" w:hAnsi="宋体"/>
                <w:sz w:val="22"/>
              </w:rPr>
            </w:pPr>
            <w:r>
              <w:rPr>
                <w:rFonts w:hint="eastAsia" w:ascii="宋体" w:hAnsi="宋体"/>
                <w:sz w:val="22"/>
              </w:rPr>
              <w:t>最大声级不小于125分贝</w:t>
            </w:r>
          </w:p>
        </w:tc>
        <w:tc>
          <w:tcPr>
            <w:tcW w:w="2442" w:type="dxa"/>
            <w:vAlign w:val="center"/>
          </w:tcPr>
          <w:p>
            <w:pPr>
              <w:adjustRightInd w:val="0"/>
              <w:snapToGrid w:val="0"/>
              <w:jc w:val="center"/>
              <w:rPr>
                <w:rFonts w:ascii="宋体" w:hAnsi="宋体"/>
                <w:sz w:val="22"/>
              </w:rPr>
            </w:pPr>
            <w:r>
              <w:rPr>
                <w:rFonts w:hint="eastAsia" w:ascii="宋体" w:hAnsi="宋体"/>
                <w:sz w:val="22"/>
              </w:rPr>
              <w:t>合同签订后15个日历天内</w:t>
            </w:r>
          </w:p>
        </w:tc>
        <w:tc>
          <w:tcPr>
            <w:tcW w:w="1340" w:type="dxa"/>
            <w:vAlign w:val="center"/>
          </w:tcPr>
          <w:p>
            <w:pPr>
              <w:adjustRightInd w:val="0"/>
              <w:snapToGrid w:val="0"/>
              <w:jc w:val="center"/>
              <w:rPr>
                <w:rFonts w:ascii="宋体" w:hAnsi="宋体"/>
                <w:sz w:val="22"/>
              </w:rPr>
            </w:pPr>
            <w:r>
              <w:rPr>
                <w:rFonts w:hint="eastAsia" w:ascii="宋体" w:hAnsi="宋体"/>
                <w:sz w:val="22"/>
              </w:rPr>
              <w:t>2台</w:t>
            </w:r>
            <w:r>
              <w:rPr>
                <w:rFonts w:ascii="宋体" w:hAnsi="宋体"/>
                <w:sz w:val="22"/>
              </w:rPr>
              <w:t>杭州萧山国际机场</w:t>
            </w:r>
            <w:r>
              <w:rPr>
                <w:rFonts w:hint="eastAsia" w:ascii="宋体" w:hAnsi="宋体"/>
                <w:sz w:val="22"/>
              </w:rPr>
              <w:t>；8台宁波栎社国际机场</w:t>
            </w:r>
          </w:p>
        </w:tc>
      </w:tr>
    </w:tbl>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二、投标人资格要求</w:t>
      </w:r>
      <w:r>
        <w:rPr>
          <w:rFonts w:cs="Arial" w:asciiTheme="minorEastAsia" w:hAnsiTheme="minorEastAsia"/>
          <w:b/>
          <w:bCs/>
          <w:kern w:val="0"/>
          <w:sz w:val="22"/>
        </w:rPr>
        <w:t> </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1、具有独立法人资格的制造商或代理商，注册资金不少于人民币300万元或等值外币(按投标截止日中国人民银行公布的汇率中间价换算)，需提供营业执照复印件并加盖投标人公章作为证明材料，原件备查。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3、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4、具有一般纳税人资格，可提供税率为13%的增值税专用发票（需提供税务机关出具的一般纳税人资格认定相关证明材料复印件并加盖投标人公章作为证明材料，原件备查）。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5、代理商需具有招标设备制造商的授权书（需提供授权书复印件并加盖投标人公章作为证明材料，原件备查）。</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6、近五年（2014年1月1日起至投标截止日止）具有投标产品的供货业绩，需提供中标通知书或合同复印件并加盖投标人公章作为证明材料，原件备查。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cs="Arial" w:asciiTheme="minorEastAsia" w:hAnsiTheme="minorEastAsia"/>
          <w:kern w:val="0"/>
          <w:sz w:val="22"/>
        </w:rPr>
        <w:t>7、本项目不接受联合体投标。</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三、招标文件获取</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凡符合资格条件并有投标意向的潜在投标人，请通过浙江省机场集团有限公司主页 http://www.zjsairport.com/notice.html自行下载招标文件。</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招标文件下载</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四、投标文件的递交</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w:t>
      </w:r>
      <w:r>
        <w:rPr>
          <w:rFonts w:asciiTheme="minorEastAsia" w:hAnsiTheme="minorEastAsia"/>
          <w:sz w:val="22"/>
        </w:rPr>
        <w:t>1</w:t>
      </w:r>
      <w:r>
        <w:rPr>
          <w:rFonts w:hint="eastAsia" w:asciiTheme="minorEastAsia" w:hAnsiTheme="minorEastAsia"/>
          <w:sz w:val="22"/>
        </w:rPr>
        <w:t>）投标文件递交截止时间：</w:t>
      </w:r>
      <w:r>
        <w:rPr>
          <w:rFonts w:hint="eastAsia" w:asciiTheme="minorEastAsia" w:hAnsiTheme="minorEastAsia"/>
          <w:sz w:val="22"/>
          <w:lang w:eastAsia="zh-CN"/>
        </w:rPr>
        <w:t>2019年8月8日上午9时00分（北京时间）</w:t>
      </w:r>
      <w:r>
        <w:rPr>
          <w:rFonts w:hint="eastAsia" w:asciiTheme="minorEastAsia" w:hAnsiTheme="minorEastAsia"/>
          <w:sz w:val="22"/>
        </w:rPr>
        <w:t>。投标文件在封口处加盖公章，并派专人于</w:t>
      </w:r>
      <w:r>
        <w:rPr>
          <w:rFonts w:hint="eastAsia" w:asciiTheme="minorEastAsia" w:hAnsiTheme="minorEastAsia"/>
          <w:sz w:val="22"/>
          <w:lang w:eastAsia="zh-CN"/>
        </w:rPr>
        <w:t>2019年8月8日上午9时00分（北京时间）</w:t>
      </w:r>
      <w:r>
        <w:rPr>
          <w:rFonts w:hint="eastAsia" w:asciiTheme="minorEastAsia" w:hAnsiTheme="minorEastAsia"/>
          <w:sz w:val="22"/>
        </w:rPr>
        <w:t>前送至杭州萧山国际机场翔越路综合服务楼园区招标中心，逾期无效。</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五、发布公告的媒介</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本次招标公告在</w:t>
      </w:r>
      <w:r>
        <w:rPr>
          <w:rFonts w:hint="eastAsia" w:cs="Arial" w:asciiTheme="minorEastAsia" w:hAnsiTheme="minorEastAsia"/>
          <w:b/>
          <w:kern w:val="0"/>
          <w:sz w:val="22"/>
        </w:rPr>
        <w:t>中国采购与招标网、浙江省机场集团有限公司、杭州萧山国际机场、宁波栎社国际机场</w:t>
      </w:r>
      <w:r>
        <w:rPr>
          <w:rFonts w:hint="eastAsia" w:cs="Arial" w:asciiTheme="minorEastAsia" w:hAnsiTheme="minorEastAsia"/>
          <w:kern w:val="0"/>
          <w:sz w:val="22"/>
        </w:rPr>
        <w:t>主页上发布</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中国采购与招标网 http://www.chinabidding.com.cn</w:t>
      </w:r>
    </w:p>
    <w:p>
      <w:pPr>
        <w:widowControl/>
        <w:adjustRightInd w:val="0"/>
        <w:snapToGrid w:val="0"/>
        <w:spacing w:line="340" w:lineRule="exact"/>
        <w:ind w:firstLine="440" w:firstLineChars="200"/>
        <w:rPr>
          <w:rFonts w:asciiTheme="minorEastAsia" w:hAnsiTheme="minorEastAsia"/>
          <w:sz w:val="22"/>
        </w:rPr>
      </w:pPr>
      <w:r>
        <w:rPr>
          <w:rFonts w:hint="eastAsia" w:asciiTheme="minorEastAsia" w:hAnsiTheme="minorEastAsia"/>
          <w:sz w:val="22"/>
        </w:rPr>
        <w:t>浙江省机场集团有限公司主页 http://www.zjsairport.com/notice.html</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杭州萧山国际机场 http://www.hzairport.com</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宁波栎社国际机场 http://www.ningbo-airport.com</w:t>
      </w:r>
    </w:p>
    <w:p>
      <w:pPr>
        <w:widowControl/>
        <w:snapToGrid w:val="0"/>
        <w:spacing w:line="340" w:lineRule="exact"/>
        <w:jc w:val="left"/>
        <w:rPr>
          <w:rFonts w:cs="Arial" w:asciiTheme="minorEastAsia" w:hAnsiTheme="minorEastAsia"/>
          <w:b/>
          <w:bCs/>
          <w:kern w:val="0"/>
          <w:sz w:val="22"/>
        </w:rPr>
      </w:pPr>
      <w:r>
        <w:rPr>
          <w:rFonts w:hint="eastAsia" w:cs="Arial" w:asciiTheme="minorEastAsia" w:hAnsiTheme="minorEastAsia"/>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Theme="minorEastAsia" w:hAnsiTheme="minorEastAsia"/>
          <w:sz w:val="22"/>
        </w:rPr>
        <w:t>投标联系人：</w:t>
      </w:r>
      <w:r>
        <w:rPr>
          <w:rFonts w:hint="eastAsia" w:ascii="宋体" w:hAnsi="宋体" w:eastAsia="宋体" w:cs="宋体"/>
          <w:sz w:val="22"/>
        </w:rPr>
        <w:t>贾思勰：0571-8</w:t>
      </w:r>
      <w:r>
        <w:rPr>
          <w:rFonts w:hint="eastAsia" w:ascii="宋体" w:hAnsi="宋体" w:eastAsia="宋体" w:cs="宋体"/>
          <w:sz w:val="22"/>
          <w:lang w:val="en-US" w:eastAsia="zh-CN"/>
        </w:rPr>
        <w:t>3837612</w:t>
      </w:r>
    </w:p>
    <w:p>
      <w:pPr>
        <w:widowControl/>
        <w:adjustRightInd w:val="0"/>
        <w:snapToGrid w:val="0"/>
        <w:spacing w:line="340" w:lineRule="exact"/>
        <w:ind w:firstLine="440" w:firstLineChars="200"/>
        <w:rPr>
          <w:rFonts w:asciiTheme="minorEastAsia" w:hAnsiTheme="minorEastAsia"/>
          <w:bCs/>
          <w:sz w:val="22"/>
        </w:rPr>
      </w:pPr>
      <w:r>
        <w:rPr>
          <w:rFonts w:hint="eastAsia" w:asciiTheme="minorEastAsia" w:hAnsiTheme="minorEastAsia"/>
          <w:bCs/>
          <w:sz w:val="22"/>
        </w:rPr>
        <w:t>监督联系人：刘闻捷：0571-86662134</w:t>
      </w: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宋体" w:hAnsi="宋体" w:eastAsia="宋体" w:cs="宋体"/>
          <w:sz w:val="22"/>
        </w:rPr>
      </w:pPr>
    </w:p>
    <w:p>
      <w:pPr>
        <w:widowControl/>
        <w:adjustRightInd w:val="0"/>
        <w:snapToGrid w:val="0"/>
        <w:spacing w:line="340" w:lineRule="exact"/>
        <w:ind w:firstLine="440" w:firstLineChars="200"/>
        <w:rPr>
          <w:rFonts w:asciiTheme="minorEastAsia" w:hAnsiTheme="minorEastAsia"/>
          <w:bCs/>
          <w:sz w:val="22"/>
        </w:rPr>
      </w:pPr>
    </w:p>
    <w:p>
      <w:pPr>
        <w:pStyle w:val="13"/>
      </w:pPr>
      <w:bookmarkStart w:id="2" w:name="_Toc321925452"/>
      <w:r>
        <w:t>第</w:t>
      </w:r>
      <w:r>
        <w:rPr>
          <w:rFonts w:hint="eastAsia"/>
        </w:rPr>
        <w:t>二</w:t>
      </w:r>
      <w:r>
        <w:t>章投标</w:t>
      </w:r>
      <w:r>
        <w:rPr>
          <w:rFonts w:hint="eastAsia"/>
        </w:rPr>
        <w:t>人须知</w:t>
      </w:r>
      <w:bookmarkEnd w:id="2"/>
    </w:p>
    <w:p>
      <w:pPr>
        <w:pStyle w:val="6"/>
        <w:spacing w:line="240" w:lineRule="auto"/>
        <w:jc w:val="center"/>
        <w:rPr>
          <w:b/>
          <w:sz w:val="28"/>
          <w:szCs w:val="28"/>
        </w:rPr>
      </w:pPr>
      <w:r>
        <w:rPr>
          <w:rFonts w:hint="eastAsia"/>
          <w:b/>
          <w:sz w:val="28"/>
          <w:szCs w:val="28"/>
        </w:rPr>
        <w:t>投标人须知前附表</w:t>
      </w:r>
    </w:p>
    <w:tbl>
      <w:tblPr>
        <w:tblStyle w:val="1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浙江省机场集团全向声波驱鸟器采购项目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宁波栎社国际机场内、</w:t>
            </w: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28"/>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见招标公告，具体要求详见</w:t>
            </w:r>
            <w:r>
              <w:rPr>
                <w:rFonts w:ascii="宋体" w:hAnsi="宋体" w:cs="Calibri"/>
                <w:kern w:val="0"/>
                <w:sz w:val="22"/>
              </w:rPr>
              <w:t>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cs="Calibri" w:asciiTheme="minorEastAsia" w:hAnsiTheme="minorEastAsia"/>
                <w:kern w:val="0"/>
                <w:sz w:val="22"/>
              </w:rPr>
              <w:t>详见招标公告</w:t>
            </w:r>
            <w:r>
              <w:rPr>
                <w:rFonts w:hint="eastAsia" w:cs="Calibri" w:asciiTheme="minorEastAsia" w:hAnsiTheme="minorEastAsia"/>
                <w:kern w:val="0"/>
                <w:sz w:val="22"/>
              </w:rPr>
              <w:t>“</w:t>
            </w:r>
            <w:r>
              <w:rPr>
                <w:rFonts w:hint="eastAsia" w:cs="黑体" w:asciiTheme="minorEastAsia" w:hAnsi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合同签订后</w:t>
            </w:r>
            <w:r>
              <w:rPr>
                <w:rFonts w:hint="eastAsia" w:ascii="宋体" w:hAnsi="宋体"/>
                <w:sz w:val="22"/>
              </w:rPr>
              <w:t>15</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1.8</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hint="eastAsia" w:cs="Calibri" w:asciiTheme="minorEastAsia" w:hAnsiTheme="minorEastAsia"/>
                <w:kern w:val="0"/>
                <w:sz w:val="22"/>
              </w:rPr>
              <w:t>质量要求</w:t>
            </w:r>
          </w:p>
        </w:tc>
        <w:tc>
          <w:tcPr>
            <w:tcW w:w="6487" w:type="dxa"/>
            <w:vAlign w:val="center"/>
          </w:tcPr>
          <w:p>
            <w:pPr>
              <w:rPr>
                <w:rFonts w:asciiTheme="minorEastAsia" w:hAnsiTheme="minorEastAsia"/>
                <w:sz w:val="22"/>
              </w:rPr>
            </w:pPr>
            <w:r>
              <w:rPr>
                <w:rFonts w:hint="eastAsia" w:ascii="宋体" w:hAnsi="宋体"/>
                <w:iCs/>
                <w:sz w:val="22"/>
              </w:rPr>
              <w:t>符</w:t>
            </w:r>
            <w:r>
              <w:rPr>
                <w:rFonts w:hint="eastAsia" w:ascii="宋体" w:hAnsi="宋体"/>
                <w:sz w:val="22"/>
              </w:rPr>
              <w:t>合国家现行</w:t>
            </w:r>
            <w:r>
              <w:rPr>
                <w:rFonts w:hint="eastAsia" w:ascii="宋体" w:hAnsi="宋体"/>
                <w:sz w:val="22"/>
                <w:u w:val="single"/>
              </w:rPr>
              <w:t>相关</w:t>
            </w:r>
            <w:r>
              <w:rPr>
                <w:rFonts w:hint="eastAsia" w:ascii="宋体" w:hAnsi="宋体"/>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9</w:t>
            </w:r>
            <w:r>
              <w:rPr>
                <w:rFonts w:cs="Calibri" w:asciiTheme="minorEastAsia" w:hAnsi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□组织，踏勘时间：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1.</w:t>
            </w:r>
            <w:r>
              <w:rPr>
                <w:rFonts w:hint="eastAsia" w:cs="Calibri" w:asciiTheme="minorEastAsia" w:hAnsi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kern w:val="0"/>
                <w:sz w:val="22"/>
              </w:rPr>
            </w:pPr>
            <w:r>
              <w:rPr>
                <w:rFonts w:cs="Calibri" w:asciiTheme="minorEastAsia" w:hAnsi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不召开</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□召开，召开时间：</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宋体" w:hAnsi="宋体" w:eastAsia="宋体" w:cs="Calibri"/>
                <w:kern w:val="0"/>
                <w:sz w:val="22"/>
              </w:rPr>
              <w:t>2019年</w:t>
            </w:r>
            <w:r>
              <w:rPr>
                <w:rFonts w:hint="eastAsia" w:ascii="宋体" w:hAnsi="宋体" w:eastAsia="宋体" w:cs="Calibri"/>
                <w:kern w:val="0"/>
                <w:sz w:val="22"/>
                <w:lang w:val="en-US" w:eastAsia="zh-CN"/>
              </w:rPr>
              <w:t>8</w:t>
            </w:r>
            <w:r>
              <w:rPr>
                <w:rFonts w:hint="eastAsia" w:ascii="宋体" w:hAnsi="宋体" w:eastAsia="宋体" w:cs="Calibri"/>
                <w:kern w:val="0"/>
                <w:sz w:val="22"/>
              </w:rPr>
              <w:t>月</w:t>
            </w:r>
            <w:r>
              <w:rPr>
                <w:rFonts w:hint="eastAsia" w:ascii="宋体" w:hAnsi="宋体" w:eastAsia="宋体" w:cs="Calibri"/>
                <w:kern w:val="0"/>
                <w:sz w:val="22"/>
                <w:lang w:val="en-US" w:eastAsia="zh-CN"/>
              </w:rPr>
              <w:t>31</w:t>
            </w:r>
            <w:r>
              <w:rPr>
                <w:rFonts w:hint="eastAsia" w:ascii="宋体" w:hAnsi="宋体" w:eastAsia="宋体" w:cs="Calibri"/>
                <w:kern w:val="0"/>
                <w:sz w:val="22"/>
              </w:rPr>
              <w:t>日11：30前，</w:t>
            </w:r>
            <w:r>
              <w:rPr>
                <w:rFonts w:hint="eastAsia" w:ascii="宋体" w:hAnsi="宋体" w:cs="Calibri"/>
                <w:color w:val="000000" w:themeColor="text1"/>
                <w:kern w:val="0"/>
                <w:sz w:val="22"/>
                <w14:textFill>
                  <w14:solidFill>
                    <w14:schemeClr w14:val="tx1"/>
                  </w14:solidFill>
                </w14:textFill>
              </w:rPr>
              <w:t>以书面加盖公章的形式通过E-mail或传真提交给招标人（投标联系人:贾思勰，电话0571-8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；传真：0571-8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hint="eastAsia" w:cs="Calibri" w:asciiTheme="minorEastAsia" w:hAnsiTheme="minorEastAsia" w:eastAsiaTheme="minorEastAsia"/>
                <w:b/>
                <w:kern w:val="0"/>
                <w:sz w:val="22"/>
                <w:lang w:eastAsia="zh-CN"/>
              </w:rPr>
            </w:pPr>
            <w:r>
              <w:rPr>
                <w:rFonts w:hint="eastAsia" w:cs="Calibri" w:asciiTheme="minorEastAsia" w:hAnsiTheme="minorEastAsia"/>
                <w:b/>
                <w:kern w:val="0"/>
                <w:sz w:val="22"/>
                <w:lang w:eastAsia="zh-CN"/>
              </w:rPr>
              <w:t>2019年8月8日上午9时00分（北京时间）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rPr>
              <w:t>本次投标无需递交投标保证金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b/>
                <w:kern w:val="0"/>
                <w:sz w:val="22"/>
              </w:rPr>
              <w:t>投标文件封面（或扉页）、投标函以及各类报价表</w:t>
            </w:r>
            <w:r>
              <w:rPr>
                <w:rFonts w:cs="Calibri" w:asciiTheme="minorEastAsia" w:hAnsi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hint="eastAsia" w:ascii="宋体" w:hAnsi="宋体" w:cs="Calibri"/>
                <w:kern w:val="0"/>
                <w:sz w:val="22"/>
                <w:u w:val="single"/>
              </w:rPr>
              <w:t>浙江省机场集团有限公司</w:t>
            </w:r>
          </w:p>
          <w:p>
            <w:pPr>
              <w:autoSpaceDE w:val="0"/>
              <w:autoSpaceDN w:val="0"/>
              <w:adjustRightInd w:val="0"/>
              <w:snapToGrid w:val="0"/>
              <w:rPr>
                <w:rFonts w:ascii="宋体" w:hAnsi="宋体" w:cs="Calibri"/>
                <w:kern w:val="0"/>
                <w:sz w:val="22"/>
              </w:rPr>
            </w:pPr>
            <w:r>
              <w:rPr>
                <w:rFonts w:hint="eastAsia" w:ascii="宋体" w:hAnsi="宋体"/>
                <w:sz w:val="22"/>
              </w:rPr>
              <w:t>项目名称：</w:t>
            </w:r>
            <w:r>
              <w:rPr>
                <w:rFonts w:hint="eastAsia" w:ascii="宋体" w:hAnsi="宋体" w:cs="Calibri"/>
                <w:kern w:val="0"/>
                <w:sz w:val="22"/>
              </w:rPr>
              <w:t>浙江省机场集团全向声波驱鸟器采购项目</w:t>
            </w:r>
            <w:r>
              <w:rPr>
                <w:rFonts w:hint="eastAsia" w:ascii="宋体" w:hAnsi="宋体"/>
                <w:sz w:val="22"/>
              </w:rPr>
              <w:t>投标文件</w:t>
            </w:r>
          </w:p>
          <w:p>
            <w:pPr>
              <w:autoSpaceDE w:val="0"/>
              <w:autoSpaceDN w:val="0"/>
              <w:adjustRightInd w:val="0"/>
              <w:snapToGrid w:val="0"/>
              <w:rPr>
                <w:rFonts w:cs="Calibri" w:asciiTheme="minorEastAsia" w:hAnsiTheme="minorEastAsia"/>
                <w:kern w:val="0"/>
                <w:sz w:val="22"/>
              </w:rPr>
            </w:pPr>
            <w:r>
              <w:rPr>
                <w:rFonts w:ascii="宋体" w:hAnsi="宋体" w:cs="Calibri"/>
                <w:kern w:val="0"/>
                <w:sz w:val="22"/>
              </w:rPr>
              <w:t>在</w:t>
            </w:r>
            <w:r>
              <w:rPr>
                <w:rFonts w:asciiTheme="minorEastAsia" w:hAnsiTheme="minorEastAsia"/>
                <w:sz w:val="22"/>
              </w:rPr>
              <w:t>201</w:t>
            </w:r>
            <w:r>
              <w:rPr>
                <w:rFonts w:hint="eastAsia" w:asciiTheme="minorEastAsia" w:hAnsiTheme="minorEastAsia"/>
                <w:sz w:val="22"/>
              </w:rPr>
              <w:t>9年</w:t>
            </w:r>
            <w:r>
              <w:rPr>
                <w:rFonts w:hint="eastAsia" w:asciiTheme="minorEastAsia" w:hAnsiTheme="minorEastAsia"/>
                <w:sz w:val="22"/>
                <w:lang w:val="en-US" w:eastAsia="zh-CN"/>
              </w:rPr>
              <w:t>8</w:t>
            </w:r>
            <w:r>
              <w:rPr>
                <w:rFonts w:hint="eastAsia" w:asciiTheme="minorEastAsia" w:hAnsiTheme="minorEastAsia"/>
                <w:sz w:val="22"/>
              </w:rPr>
              <w:t>月</w:t>
            </w:r>
            <w:r>
              <w:rPr>
                <w:rFonts w:hint="eastAsia" w:asciiTheme="minorEastAsia" w:hAnsiTheme="minorEastAsia"/>
                <w:sz w:val="22"/>
                <w:lang w:val="en-US" w:eastAsia="zh-CN"/>
              </w:rPr>
              <w:t>8</w:t>
            </w:r>
            <w:r>
              <w:rPr>
                <w:rFonts w:hint="eastAsia" w:asciiTheme="minorEastAsia" w:hAnsiTheme="minorEastAsia"/>
                <w:sz w:val="22"/>
              </w:rPr>
              <w:t>日上午</w:t>
            </w:r>
            <w:r>
              <w:rPr>
                <w:rFonts w:asciiTheme="minorEastAsia" w:hAnsiTheme="minorEastAsia"/>
                <w:sz w:val="22"/>
              </w:rPr>
              <w:t>9</w:t>
            </w:r>
            <w:r>
              <w:rPr>
                <w:rFonts w:hint="eastAsia" w:asciiTheme="minorEastAsia" w:hAnsiTheme="minorEastAsia"/>
                <w:sz w:val="22"/>
              </w:rPr>
              <w:t>时0</w:t>
            </w:r>
            <w:r>
              <w:rPr>
                <w:rFonts w:asciiTheme="minorEastAsia" w:hAnsiTheme="minorEastAsia"/>
                <w:sz w:val="22"/>
              </w:rPr>
              <w:t>0</w:t>
            </w:r>
            <w:r>
              <w:rPr>
                <w:rFonts w:hint="eastAsia" w:asciiTheme="minorEastAsia" w:hAnsiTheme="minorEastAsia"/>
                <w:sz w:val="22"/>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kern w:val="0"/>
                <w:sz w:val="22"/>
              </w:rPr>
            </w:pPr>
            <w:r>
              <w:rPr>
                <w:rFonts w:hint="eastAsia" w:asciiTheme="minorEastAsia" w:hAnsiTheme="minorEastAsia"/>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w:t>
            </w:r>
            <w:r>
              <w:rPr>
                <w:rFonts w:hint="eastAsia" w:ascii="宋体" w:hAnsi="宋体"/>
                <w:sz w:val="22"/>
              </w:rPr>
              <w:t>保证金</w:t>
            </w:r>
            <w:r>
              <w:rPr>
                <w:rFonts w:ascii="宋体" w:hAnsi="宋体"/>
                <w:sz w:val="22"/>
              </w:rPr>
              <w:t>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10.2</w:t>
            </w:r>
          </w:p>
        </w:tc>
        <w:tc>
          <w:tcPr>
            <w:tcW w:w="2004" w:type="dxa"/>
            <w:shd w:val="clear" w:color="auto" w:fill="auto"/>
            <w:vAlign w:val="center"/>
          </w:tcPr>
          <w:p>
            <w:pPr>
              <w:pStyle w:val="12"/>
              <w:rPr>
                <w:rFonts w:cs="Calibri" w:asciiTheme="minorEastAsia" w:hAnsiTheme="minorEastAsia" w:eastAsiaTheme="minorEastAsia"/>
                <w:sz w:val="22"/>
                <w:szCs w:val="22"/>
              </w:rPr>
            </w:pPr>
            <w:r>
              <w:rPr>
                <w:rFonts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snapToGrid w:val="0"/>
                <w:kern w:val="0"/>
                <w:sz w:val="22"/>
              </w:rPr>
            </w:pPr>
            <w:r>
              <w:rPr>
                <w:rFonts w:cs="Calibri" w:asciiTheme="minorEastAsia" w:hAnsiTheme="minorEastAsia"/>
                <w:snapToGrid w:val="0"/>
                <w:kern w:val="0"/>
                <w:sz w:val="22"/>
              </w:rPr>
              <w:t>2、本前附表内容与招标文件其他内容不一致之处，以本前附表为准。</w:t>
            </w:r>
          </w:p>
          <w:p>
            <w:pPr>
              <w:adjustRightInd w:val="0"/>
              <w:snapToGrid w:val="0"/>
              <w:rPr>
                <w:rFonts w:cs="Calibri" w:asciiTheme="minorEastAsia" w:hAnsiTheme="minorEastAsia"/>
                <w:snapToGrid w:val="0"/>
                <w:kern w:val="0"/>
                <w:sz w:val="22"/>
              </w:rPr>
            </w:pPr>
            <w:r>
              <w:rPr>
                <w:rFonts w:hint="eastAsia" w:cs="Calibri" w:asciiTheme="minorEastAsia" w:hAnsiTheme="minorEastAsia"/>
                <w:snapToGrid w:val="0"/>
                <w:kern w:val="0"/>
                <w:sz w:val="22"/>
              </w:rPr>
              <w:t>3、确定中标人后，各个机场分别与中标人签署合同，并分别组织供货、安装、验收。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12"/>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3" w:name="_Toc26216"/>
    </w:p>
    <w:p>
      <w:pPr>
        <w:autoSpaceDE w:val="0"/>
        <w:autoSpaceDN w:val="0"/>
        <w:adjustRightInd w:val="0"/>
        <w:snapToGrid w:val="0"/>
        <w:spacing w:line="360" w:lineRule="exact"/>
        <w:rPr>
          <w:rFonts w:cs="Calibri" w:asciiTheme="minorEastAsia" w:hAnsiTheme="minorEastAsia"/>
          <w:b/>
          <w:bCs/>
          <w:kern w:val="0"/>
          <w:sz w:val="22"/>
        </w:rPr>
      </w:pPr>
      <w:r>
        <w:rPr>
          <w:b/>
        </w:rPr>
        <w:br w:type="page"/>
      </w:r>
      <w:bookmarkEnd w:id="3"/>
      <w:r>
        <w:rPr>
          <w:rFonts w:cs="Calibri" w:asciiTheme="minorEastAsia" w:hAnsiTheme="minorEastAsia"/>
          <w:b/>
          <w:bCs/>
          <w:kern w:val="0"/>
          <w:sz w:val="22"/>
        </w:rPr>
        <w:t>1.总则</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1.1 项目概况</w:t>
      </w:r>
    </w:p>
    <w:p>
      <w:pPr>
        <w:adjustRightInd w:val="0"/>
        <w:snapToGrid w:val="0"/>
        <w:spacing w:line="360" w:lineRule="exact"/>
        <w:ind w:firstLine="440"/>
        <w:rPr>
          <w:rFonts w:cs="Calibri" w:asciiTheme="minorEastAsia" w:hAnsiTheme="minorEastAsia"/>
          <w:kern w:val="0"/>
          <w:sz w:val="22"/>
        </w:rPr>
      </w:pPr>
      <w:r>
        <w:rPr>
          <w:rFonts w:cs="Calibri" w:asciiTheme="minorEastAsia" w:hAnsiTheme="minorEastAsia"/>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1.1.2项目</w:t>
      </w:r>
      <w:r>
        <w:rPr>
          <w:rFonts w:hint="eastAsia" w:cs="Calibri" w:asciiTheme="minorEastAsia" w:hAnsiTheme="minorEastAsia"/>
          <w:kern w:val="0"/>
          <w:sz w:val="22"/>
        </w:rPr>
        <w:t>交货</w:t>
      </w:r>
      <w:r>
        <w:rPr>
          <w:rFonts w:cs="Calibri" w:asciiTheme="minorEastAsia" w:hAnsiTheme="minorEastAsia"/>
          <w:kern w:val="0"/>
          <w:sz w:val="22"/>
        </w:rPr>
        <w:t>地点见投标人须知前附表</w:t>
      </w:r>
      <w:r>
        <w:rPr>
          <w:rFonts w:cs="Calibri" w:asciiTheme="minorEastAsia" w:hAnsiTheme="minorEastAsia"/>
          <w:sz w:val="22"/>
        </w:rPr>
        <w:t>。</w:t>
      </w:r>
    </w:p>
    <w:p>
      <w:pPr>
        <w:autoSpaceDE w:val="0"/>
        <w:autoSpaceDN w:val="0"/>
        <w:adjustRightInd w:val="0"/>
        <w:snapToGrid w:val="0"/>
        <w:spacing w:line="360" w:lineRule="exact"/>
        <w:rPr>
          <w:rFonts w:cs="Calibri" w:asciiTheme="minorEastAsia" w:hAnsiTheme="minorEastAsia"/>
          <w:b/>
          <w:bCs/>
          <w:kern w:val="0"/>
          <w:sz w:val="22"/>
        </w:rPr>
      </w:pPr>
      <w:bookmarkStart w:id="4" w:name="_Toc9136"/>
      <w:r>
        <w:rPr>
          <w:rFonts w:cs="Calibri" w:asciiTheme="minorEastAsia" w:hAnsiTheme="minorEastAsia"/>
          <w:b/>
          <w:bCs/>
          <w:kern w:val="0"/>
          <w:sz w:val="22"/>
        </w:rPr>
        <w:t>1.</w:t>
      </w:r>
      <w:r>
        <w:rPr>
          <w:rFonts w:hint="eastAsia" w:cs="Calibri" w:asciiTheme="minorEastAsia" w:hAnsiTheme="minorEastAsia"/>
          <w:b/>
          <w:bCs/>
          <w:kern w:val="0"/>
          <w:sz w:val="22"/>
        </w:rPr>
        <w:t>2</w:t>
      </w:r>
      <w:r>
        <w:rPr>
          <w:rFonts w:cs="Calibri" w:asciiTheme="minorEastAsia" w:hAnsiTheme="minorEastAsia"/>
          <w:b/>
          <w:bCs/>
          <w:kern w:val="0"/>
          <w:sz w:val="22"/>
        </w:rPr>
        <w:t xml:space="preserve"> 资金来源</w:t>
      </w:r>
      <w:bookmarkEnd w:id="4"/>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5" w:name="_Toc10673"/>
      <w:r>
        <w:rPr>
          <w:rFonts w:cs="Calibri" w:asciiTheme="minorEastAsia" w:hAnsiTheme="minorEastAsia"/>
          <w:b/>
          <w:bCs/>
          <w:kern w:val="0"/>
          <w:sz w:val="22"/>
        </w:rPr>
        <w:t>1.</w:t>
      </w:r>
      <w:r>
        <w:rPr>
          <w:rFonts w:hint="eastAsia" w:cs="Calibri" w:asciiTheme="minorEastAsia" w:hAnsiTheme="minorEastAsia"/>
          <w:b/>
          <w:bCs/>
          <w:kern w:val="0"/>
          <w:sz w:val="22"/>
        </w:rPr>
        <w:t>3</w:t>
      </w:r>
      <w:r>
        <w:rPr>
          <w:rFonts w:cs="Calibri" w:asciiTheme="minorEastAsia" w:hAnsiTheme="minorEastAsia"/>
          <w:b/>
          <w:bCs/>
          <w:kern w:val="0"/>
          <w:sz w:val="22"/>
        </w:rPr>
        <w:t xml:space="preserve"> 招标</w:t>
      </w:r>
      <w:bookmarkEnd w:id="5"/>
      <w:r>
        <w:rPr>
          <w:rFonts w:hint="eastAsia" w:cs="Calibri" w:asciiTheme="minorEastAsia" w:hAnsiTheme="minorEastAsia"/>
          <w:b/>
          <w:bCs/>
          <w:kern w:val="0"/>
          <w:sz w:val="22"/>
        </w:rPr>
        <w:t>内容</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6" w:name="_Toc718"/>
      <w:r>
        <w:rPr>
          <w:rFonts w:cs="Calibri" w:asciiTheme="minorEastAsia" w:hAnsiTheme="minorEastAsia"/>
          <w:b/>
          <w:bCs/>
          <w:kern w:val="0"/>
          <w:sz w:val="22"/>
        </w:rPr>
        <w:t>1.</w:t>
      </w:r>
      <w:r>
        <w:rPr>
          <w:rFonts w:hint="eastAsia" w:cs="Calibri" w:asciiTheme="minorEastAsia" w:hAnsiTheme="minorEastAsia"/>
          <w:b/>
          <w:bCs/>
          <w:kern w:val="0"/>
          <w:sz w:val="22"/>
        </w:rPr>
        <w:t>4</w:t>
      </w:r>
      <w:r>
        <w:rPr>
          <w:rFonts w:cs="Calibri" w:asciiTheme="minorEastAsia" w:hAnsiTheme="minorEastAsia"/>
          <w:b/>
          <w:bCs/>
          <w:kern w:val="0"/>
          <w:sz w:val="22"/>
        </w:rPr>
        <w:t xml:space="preserve"> 招标方式</w:t>
      </w:r>
      <w:bookmarkEnd w:id="6"/>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7" w:name="_Toc9161"/>
      <w:r>
        <w:rPr>
          <w:rFonts w:cs="Calibri" w:asciiTheme="minorEastAsia" w:hAnsiTheme="minorEastAsia"/>
          <w:b/>
          <w:bCs/>
          <w:kern w:val="0"/>
          <w:sz w:val="22"/>
        </w:rPr>
        <w:t>1.</w:t>
      </w:r>
      <w:r>
        <w:rPr>
          <w:rFonts w:hint="eastAsia" w:cs="Calibri" w:asciiTheme="minorEastAsia" w:hAnsiTheme="minorEastAsia"/>
          <w:b/>
          <w:bCs/>
          <w:kern w:val="0"/>
          <w:sz w:val="22"/>
        </w:rPr>
        <w:t xml:space="preserve">5 </w:t>
      </w:r>
      <w:r>
        <w:rPr>
          <w:rFonts w:cs="Calibri" w:asciiTheme="minorEastAsia" w:hAnsiTheme="minorEastAsia"/>
          <w:b/>
          <w:bCs/>
          <w:kern w:val="0"/>
          <w:sz w:val="22"/>
        </w:rPr>
        <w:t>资格审查</w:t>
      </w:r>
      <w:bookmarkEnd w:id="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8" w:name="_Toc13012"/>
      <w:r>
        <w:rPr>
          <w:rFonts w:cs="Calibri" w:asciiTheme="minorEastAsia" w:hAnsiTheme="minorEastAsia"/>
          <w:b/>
          <w:bCs/>
          <w:kern w:val="0"/>
          <w:sz w:val="22"/>
        </w:rPr>
        <w:t>1.</w:t>
      </w:r>
      <w:r>
        <w:rPr>
          <w:rFonts w:hint="eastAsia" w:cs="Calibri" w:asciiTheme="minorEastAsia" w:hAnsiTheme="minorEastAsia"/>
          <w:b/>
          <w:bCs/>
          <w:kern w:val="0"/>
          <w:sz w:val="22"/>
        </w:rPr>
        <w:t>6</w:t>
      </w:r>
      <w:r>
        <w:rPr>
          <w:rFonts w:cs="Calibri" w:asciiTheme="minorEastAsia" w:hAnsiTheme="minorEastAsia"/>
          <w:b/>
          <w:bCs/>
          <w:kern w:val="0"/>
          <w:sz w:val="22"/>
        </w:rPr>
        <w:t xml:space="preserve"> 投标人资质条件、能力和信誉</w:t>
      </w:r>
      <w:bookmarkEnd w:id="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9" w:name="_Toc2796"/>
      <w:r>
        <w:rPr>
          <w:rFonts w:cs="Calibri" w:asciiTheme="minorEastAsia" w:hAnsiTheme="minorEastAsia"/>
          <w:b/>
          <w:bCs/>
          <w:kern w:val="0"/>
          <w:sz w:val="22"/>
        </w:rPr>
        <w:t>1.</w:t>
      </w:r>
      <w:r>
        <w:rPr>
          <w:rFonts w:hint="eastAsia" w:cs="Calibri" w:asciiTheme="minorEastAsia" w:hAnsiTheme="minorEastAsia"/>
          <w:b/>
          <w:bCs/>
          <w:kern w:val="0"/>
          <w:sz w:val="22"/>
        </w:rPr>
        <w:t>7供货</w:t>
      </w:r>
      <w:r>
        <w:rPr>
          <w:rFonts w:cs="Calibri" w:asciiTheme="minorEastAsia" w:hAnsiTheme="minorEastAsia"/>
          <w:b/>
          <w:bCs/>
          <w:kern w:val="0"/>
          <w:sz w:val="22"/>
        </w:rPr>
        <w:t>期</w:t>
      </w:r>
      <w:bookmarkEnd w:id="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hint="eastAsia" w:cs="Calibri" w:asciiTheme="minorEastAsia" w:hAnsiTheme="minorEastAsia"/>
          <w:b/>
          <w:bCs/>
          <w:kern w:val="0"/>
          <w:sz w:val="22"/>
        </w:rPr>
        <w:t>1.8 质量要求</w:t>
      </w:r>
    </w:p>
    <w:p>
      <w:pPr>
        <w:adjustRightInd w:val="0"/>
        <w:snapToGrid w:val="0"/>
        <w:spacing w:line="360" w:lineRule="exact"/>
        <w:ind w:firstLine="440"/>
        <w:rPr>
          <w:rFonts w:cs="Calibri" w:asciiTheme="minorEastAsia" w:hAnsiTheme="minorEastAsia"/>
          <w:sz w:val="22"/>
        </w:rPr>
      </w:pPr>
      <w:bookmarkStart w:id="10" w:name="_Toc13907"/>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r>
        <w:rPr>
          <w:rFonts w:cs="Calibri" w:asciiTheme="minorEastAsia" w:hAnsiTheme="minorEastAsia"/>
          <w:b/>
          <w:bCs/>
          <w:kern w:val="0"/>
          <w:sz w:val="22"/>
        </w:rPr>
        <w:t>1.</w:t>
      </w:r>
      <w:r>
        <w:rPr>
          <w:rFonts w:hint="eastAsia" w:cs="Calibri" w:asciiTheme="minorEastAsia" w:hAnsiTheme="minorEastAsia"/>
          <w:b/>
          <w:bCs/>
          <w:kern w:val="0"/>
          <w:sz w:val="22"/>
        </w:rPr>
        <w:t>9</w:t>
      </w:r>
      <w:r>
        <w:rPr>
          <w:rFonts w:cs="Calibri" w:asciiTheme="minorEastAsia" w:hAnsiTheme="minorEastAsia"/>
          <w:b/>
          <w:bCs/>
          <w:kern w:val="0"/>
          <w:sz w:val="22"/>
        </w:rPr>
        <w:t xml:space="preserve"> 踏勘现场</w:t>
      </w:r>
      <w:bookmarkEnd w:id="10"/>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.1投标人须知前附表规定组织踏勘现场的，招标人按投标人须知前附表规定的时间、地点组织投标人踏勘项目现场。</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.2 投标人踏勘现场发生的费用自理。</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.3 投标人自行负责在踏勘现场中所发生的人员伤亡和财产损失。</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1.</w:t>
      </w:r>
      <w:r>
        <w:rPr>
          <w:rFonts w:hint="eastAsia" w:cs="Calibri" w:asciiTheme="minorEastAsia" w:hAnsiTheme="minorEastAsia"/>
          <w:sz w:val="22"/>
        </w:rPr>
        <w:t>9</w:t>
      </w:r>
      <w:r>
        <w:rPr>
          <w:rFonts w:cs="Calibri" w:asciiTheme="minorEastAsia" w:hAnsiTheme="minorEastAsia"/>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b/>
          <w:bCs/>
          <w:kern w:val="0"/>
          <w:sz w:val="22"/>
        </w:rPr>
      </w:pPr>
      <w:bookmarkStart w:id="11" w:name="_Toc4199"/>
      <w:r>
        <w:rPr>
          <w:rFonts w:cs="Calibri" w:asciiTheme="minorEastAsia" w:hAnsiTheme="minorEastAsia"/>
          <w:b/>
          <w:bCs/>
          <w:kern w:val="0"/>
          <w:sz w:val="22"/>
        </w:rPr>
        <w:t>1.</w:t>
      </w:r>
      <w:r>
        <w:rPr>
          <w:rFonts w:hint="eastAsia" w:cs="Calibri" w:asciiTheme="minorEastAsia" w:hAnsiTheme="minorEastAsia"/>
          <w:b/>
          <w:bCs/>
          <w:kern w:val="0"/>
          <w:sz w:val="22"/>
        </w:rPr>
        <w:t>10</w:t>
      </w:r>
      <w:r>
        <w:rPr>
          <w:rFonts w:cs="Calibri" w:asciiTheme="minorEastAsia" w:hAnsiTheme="minorEastAsia"/>
          <w:b/>
          <w:bCs/>
          <w:kern w:val="0"/>
          <w:sz w:val="22"/>
        </w:rPr>
        <w:t xml:space="preserve"> 投标预备会</w:t>
      </w:r>
      <w:bookmarkEnd w:id="1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见投标人须知前附表。</w:t>
      </w:r>
    </w:p>
    <w:p>
      <w:pPr>
        <w:autoSpaceDE w:val="0"/>
        <w:autoSpaceDN w:val="0"/>
        <w:adjustRightInd w:val="0"/>
        <w:snapToGrid w:val="0"/>
        <w:spacing w:line="360" w:lineRule="exact"/>
        <w:rPr>
          <w:rFonts w:cs="Calibri" w:asciiTheme="minorEastAsia" w:hAnsiTheme="minorEastAsia"/>
          <w:b/>
          <w:bCs/>
          <w:kern w:val="0"/>
          <w:sz w:val="22"/>
        </w:rPr>
      </w:pPr>
      <w:bookmarkStart w:id="12" w:name="_Toc4584"/>
      <w:r>
        <w:rPr>
          <w:rFonts w:cs="Calibri" w:asciiTheme="minorEastAsia" w:hAnsiTheme="minorEastAsia"/>
          <w:b/>
          <w:bCs/>
          <w:kern w:val="0"/>
          <w:sz w:val="22"/>
        </w:rPr>
        <w:t>1.1</w:t>
      </w:r>
      <w:r>
        <w:rPr>
          <w:rFonts w:hint="eastAsia" w:cs="Calibri" w:asciiTheme="minorEastAsia" w:hAnsiTheme="minorEastAsia"/>
          <w:b/>
          <w:bCs/>
          <w:kern w:val="0"/>
          <w:sz w:val="22"/>
        </w:rPr>
        <w:t>1</w:t>
      </w:r>
      <w:r>
        <w:rPr>
          <w:rFonts w:cs="Calibri" w:asciiTheme="minorEastAsia" w:hAnsiTheme="minorEastAsia"/>
          <w:b/>
          <w:bCs/>
          <w:kern w:val="0"/>
          <w:sz w:val="22"/>
        </w:rPr>
        <w:t xml:space="preserve"> 分包</w:t>
      </w:r>
      <w:bookmarkEnd w:id="1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本项目</w:t>
      </w:r>
      <w:r>
        <w:rPr>
          <w:rFonts w:hint="eastAsia" w:cs="Calibri" w:asciiTheme="minorEastAsia" w:hAnsiTheme="minorEastAsia"/>
          <w:sz w:val="22"/>
        </w:rPr>
        <w:t>涉及到其它专业的部分分项工作</w:t>
      </w:r>
      <w:r>
        <w:rPr>
          <w:rFonts w:cs="Calibri" w:asciiTheme="minorEastAsia" w:hAnsiTheme="minorEastAsia"/>
          <w:sz w:val="22"/>
        </w:rPr>
        <w:t>允许分包。</w:t>
      </w:r>
    </w:p>
    <w:p>
      <w:pPr>
        <w:autoSpaceDE w:val="0"/>
        <w:autoSpaceDN w:val="0"/>
        <w:adjustRightInd w:val="0"/>
        <w:snapToGrid w:val="0"/>
        <w:spacing w:line="360" w:lineRule="exact"/>
        <w:rPr>
          <w:rFonts w:cs="Calibri" w:asciiTheme="minorEastAsia" w:hAnsiTheme="minorEastAsia"/>
          <w:b/>
          <w:bCs/>
          <w:kern w:val="0"/>
          <w:sz w:val="22"/>
        </w:rPr>
      </w:pPr>
      <w:bookmarkStart w:id="13" w:name="_Toc3996"/>
      <w:r>
        <w:rPr>
          <w:rFonts w:cs="Calibri" w:asciiTheme="minorEastAsia" w:hAnsiTheme="minorEastAsia"/>
          <w:b/>
          <w:bCs/>
          <w:kern w:val="0"/>
          <w:sz w:val="22"/>
        </w:rPr>
        <w:t>1.1</w:t>
      </w:r>
      <w:r>
        <w:rPr>
          <w:rFonts w:hint="eastAsia" w:cs="Calibri" w:asciiTheme="minorEastAsia" w:hAnsiTheme="minorEastAsia"/>
          <w:b/>
          <w:bCs/>
          <w:kern w:val="0"/>
          <w:sz w:val="22"/>
        </w:rPr>
        <w:t>2</w:t>
      </w:r>
      <w:r>
        <w:rPr>
          <w:rFonts w:cs="Calibri" w:asciiTheme="minorEastAsia" w:hAnsiTheme="minorEastAsia"/>
          <w:b/>
          <w:bCs/>
          <w:kern w:val="0"/>
          <w:sz w:val="22"/>
        </w:rPr>
        <w:t xml:space="preserve"> 投标费用</w:t>
      </w:r>
      <w:bookmarkEnd w:id="13"/>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b/>
          <w:bCs/>
          <w:kern w:val="0"/>
          <w:sz w:val="22"/>
        </w:rPr>
      </w:pPr>
      <w:bookmarkStart w:id="14" w:name="_Toc143421657"/>
      <w:bookmarkStart w:id="15" w:name="_Toc15241"/>
      <w:r>
        <w:rPr>
          <w:rFonts w:cs="Calibri" w:asciiTheme="minorEastAsia" w:hAnsiTheme="minorEastAsia"/>
          <w:b/>
          <w:bCs/>
          <w:kern w:val="0"/>
          <w:sz w:val="22"/>
        </w:rPr>
        <w:t>2.招标文件</w:t>
      </w:r>
      <w:bookmarkEnd w:id="14"/>
      <w:bookmarkEnd w:id="15"/>
    </w:p>
    <w:p>
      <w:pPr>
        <w:autoSpaceDE w:val="0"/>
        <w:autoSpaceDN w:val="0"/>
        <w:adjustRightInd w:val="0"/>
        <w:snapToGrid w:val="0"/>
        <w:spacing w:line="360" w:lineRule="exact"/>
        <w:rPr>
          <w:rFonts w:cs="Calibri" w:asciiTheme="minorEastAsia" w:hAnsiTheme="minorEastAsia"/>
          <w:b/>
          <w:bCs/>
          <w:kern w:val="0"/>
          <w:sz w:val="22"/>
        </w:rPr>
      </w:pPr>
      <w:bookmarkStart w:id="16" w:name="_Toc1426"/>
      <w:r>
        <w:rPr>
          <w:rFonts w:cs="Calibri" w:asciiTheme="minorEastAsia" w:hAnsiTheme="minorEastAsia"/>
          <w:b/>
          <w:bCs/>
          <w:kern w:val="0"/>
          <w:sz w:val="22"/>
        </w:rPr>
        <w:t>2.1 招标文件的组成</w:t>
      </w:r>
      <w:bookmarkEnd w:id="16"/>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b/>
          <w:bCs/>
          <w:kern w:val="0"/>
          <w:sz w:val="22"/>
        </w:rPr>
      </w:pPr>
      <w:bookmarkStart w:id="17" w:name="_Toc18230"/>
      <w:r>
        <w:rPr>
          <w:rFonts w:cs="Calibri" w:asciiTheme="minorEastAsia" w:hAnsiTheme="minorEastAsia"/>
          <w:b/>
          <w:bCs/>
          <w:kern w:val="0"/>
          <w:sz w:val="22"/>
        </w:rPr>
        <w:t>2.2 招标文件的澄清</w:t>
      </w:r>
      <w:bookmarkEnd w:id="17"/>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2.2.2</w:t>
      </w:r>
      <w:r>
        <w:rPr>
          <w:rFonts w:hint="eastAsia" w:ascii="Calibri" w:hAnsi="Calibri" w:cs="Calibri"/>
          <w:szCs w:val="21"/>
        </w:rPr>
        <w:t>招标人将视情况采用补充公告的方式予以澄清。</w:t>
      </w:r>
    </w:p>
    <w:p>
      <w:pPr>
        <w:autoSpaceDE w:val="0"/>
        <w:autoSpaceDN w:val="0"/>
        <w:adjustRightInd w:val="0"/>
        <w:snapToGrid w:val="0"/>
        <w:spacing w:line="360" w:lineRule="exact"/>
        <w:rPr>
          <w:rFonts w:cs="Calibri" w:asciiTheme="minorEastAsia" w:hAnsiTheme="minorEastAsia"/>
          <w:b/>
          <w:bCs/>
          <w:kern w:val="0"/>
          <w:sz w:val="22"/>
        </w:rPr>
      </w:pPr>
      <w:bookmarkStart w:id="18" w:name="_Toc18303"/>
      <w:r>
        <w:rPr>
          <w:rFonts w:cs="Calibri" w:asciiTheme="minorEastAsia" w:hAnsiTheme="minorEastAsia"/>
          <w:b/>
          <w:bCs/>
          <w:kern w:val="0"/>
          <w:sz w:val="22"/>
        </w:rPr>
        <w:t>2.3 招标文件的修改</w:t>
      </w:r>
      <w:bookmarkEnd w:id="18"/>
    </w:p>
    <w:p>
      <w:pPr>
        <w:adjustRightInd w:val="0"/>
        <w:snapToGrid w:val="0"/>
        <w:spacing w:line="360" w:lineRule="exact"/>
        <w:ind w:firstLine="440"/>
        <w:rPr>
          <w:rFonts w:cs="Calibri" w:asciiTheme="minorEastAsia" w:hAnsiTheme="minorEastAsia"/>
          <w:sz w:val="22"/>
        </w:rPr>
      </w:pPr>
      <w:r>
        <w:rPr>
          <w:rFonts w:cs="Calibri" w:asciiTheme="minorEastAsia" w:hAnsiTheme="minorEastAsia"/>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9" w:name="_Toc18870"/>
      <w:bookmarkStart w:id="20" w:name="_Toc143421658"/>
      <w:r>
        <w:rPr>
          <w:rFonts w:ascii="宋体" w:hAnsi="宋体" w:cs="Calibri"/>
          <w:b/>
          <w:bCs/>
          <w:kern w:val="0"/>
          <w:sz w:val="22"/>
        </w:rPr>
        <w:t>3.投标文件</w:t>
      </w:r>
      <w:bookmarkEnd w:id="19"/>
      <w:bookmarkEnd w:id="20"/>
    </w:p>
    <w:p>
      <w:pPr>
        <w:autoSpaceDE w:val="0"/>
        <w:autoSpaceDN w:val="0"/>
        <w:adjustRightInd w:val="0"/>
        <w:snapToGrid w:val="0"/>
        <w:spacing w:line="360" w:lineRule="exact"/>
        <w:rPr>
          <w:rFonts w:ascii="宋体" w:hAnsi="宋体" w:cs="Calibri"/>
          <w:b/>
          <w:bCs/>
          <w:kern w:val="0"/>
          <w:sz w:val="22"/>
        </w:rPr>
      </w:pPr>
      <w:bookmarkStart w:id="21" w:name="_Toc461"/>
      <w:r>
        <w:rPr>
          <w:rFonts w:ascii="宋体" w:hAnsi="宋体" w:cs="Calibri"/>
          <w:b/>
          <w:bCs/>
          <w:kern w:val="0"/>
          <w:sz w:val="22"/>
        </w:rPr>
        <w:t>3.1 投标文件的语言和计量单位</w:t>
      </w:r>
      <w:bookmarkEnd w:id="21"/>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2" w:name="_Toc1411"/>
      <w:r>
        <w:rPr>
          <w:rFonts w:ascii="宋体" w:hAnsi="宋体" w:cs="Calibri"/>
          <w:b/>
          <w:bCs/>
          <w:kern w:val="0"/>
          <w:sz w:val="22"/>
        </w:rPr>
        <w:t>3.2 投标文件的组成</w:t>
      </w:r>
      <w:bookmarkEnd w:id="22"/>
    </w:p>
    <w:p>
      <w:pPr>
        <w:adjustRightInd w:val="0"/>
        <w:snapToGrid w:val="0"/>
        <w:spacing w:line="360" w:lineRule="exact"/>
        <w:ind w:firstLine="440"/>
        <w:rPr>
          <w:rFonts w:ascii="宋体" w:hAnsi="宋体" w:cs="Calibri"/>
          <w:sz w:val="22"/>
        </w:rPr>
      </w:pPr>
      <w:bookmarkStart w:id="23" w:name="_Toc32225"/>
      <w:r>
        <w:rPr>
          <w:rFonts w:ascii="宋体" w:hAnsi="宋体" w:cs="Calibri"/>
          <w:sz w:val="22"/>
        </w:rPr>
        <w:t>3.2.1投标函；</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2</w:t>
      </w:r>
      <w:r>
        <w:rPr>
          <w:rFonts w:cs="Calibri" w:asciiTheme="minorEastAsia" w:hAnsiTheme="minorEastAsia"/>
          <w:sz w:val="22"/>
        </w:rPr>
        <w:t>法定代表人资格证明书；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3</w:t>
      </w:r>
      <w:r>
        <w:rPr>
          <w:rFonts w:cs="Calibri" w:asciiTheme="minorEastAsia" w:hAnsiTheme="minorEastAsia"/>
          <w:sz w:val="22"/>
        </w:rPr>
        <w:t>授权委托书；</w:t>
      </w:r>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3.2.</w:t>
      </w:r>
      <w:r>
        <w:rPr>
          <w:rFonts w:hint="eastAsia" w:cs="Calibri" w:asciiTheme="minorEastAsia" w:hAnsiTheme="minorEastAsia"/>
          <w:sz w:val="22"/>
        </w:rPr>
        <w:t>4</w:t>
      </w:r>
      <w:r>
        <w:rPr>
          <w:rFonts w:cs="Calibri" w:asciiTheme="minorEastAsia" w:hAnsiTheme="minorEastAsia"/>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、投标产品</w:t>
      </w:r>
      <w:r>
        <w:rPr>
          <w:rFonts w:ascii="宋体" w:hAnsi="宋体" w:cs="Calibri"/>
          <w:sz w:val="22"/>
        </w:rPr>
        <w:t>质量认证证书</w:t>
      </w:r>
      <w:r>
        <w:rPr>
          <w:rFonts w:hint="eastAsia" w:ascii="宋体" w:hAnsi="宋体" w:cs="Arial"/>
          <w:kern w:val="0"/>
          <w:sz w:val="22"/>
        </w:rPr>
        <w:t>、</w:t>
      </w:r>
      <w:r>
        <w:rPr>
          <w:rFonts w:hint="eastAsia" w:ascii="宋体" w:hAnsi="宋体" w:cs="Calibri"/>
          <w:sz w:val="22"/>
        </w:rPr>
        <w:t>投标产品</w:t>
      </w:r>
      <w:r>
        <w:rPr>
          <w:rFonts w:ascii="宋体" w:hAnsi="宋体" w:cs="Calibri"/>
          <w:sz w:val="22"/>
        </w:rPr>
        <w:t>鉴定</w:t>
      </w:r>
      <w:r>
        <w:rPr>
          <w:rFonts w:hint="eastAsia" w:ascii="宋体" w:hAnsi="宋体" w:cs="Calibri"/>
          <w:sz w:val="22"/>
        </w:rPr>
        <w:t>报告或证书等）。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Arial"/>
          <w:kern w:val="0"/>
          <w:sz w:val="22"/>
        </w:rPr>
      </w:pPr>
      <w:r>
        <w:rPr>
          <w:rFonts w:hint="eastAsia" w:ascii="宋体" w:hAnsi="宋体" w:cs="Arial"/>
          <w:kern w:val="0"/>
          <w:sz w:val="22"/>
        </w:rPr>
        <w:t>（3）</w:t>
      </w:r>
      <w:r>
        <w:rPr>
          <w:rFonts w:ascii="宋体" w:hAnsi="宋体" w:cs="Calibri"/>
          <w:sz w:val="22"/>
        </w:rPr>
        <w:t>设备制造商的授权书</w:t>
      </w:r>
      <w:r>
        <w:rPr>
          <w:rFonts w:hint="eastAsia" w:ascii="宋体" w:hAnsi="宋体" w:cs="Calibri"/>
          <w:sz w:val="22"/>
        </w:rPr>
        <w:t>（代理商投标时提供）</w:t>
      </w:r>
    </w:p>
    <w:p>
      <w:pPr>
        <w:adjustRightInd w:val="0"/>
        <w:snapToGrid w:val="0"/>
        <w:spacing w:line="360" w:lineRule="exact"/>
        <w:ind w:firstLine="440"/>
        <w:rPr>
          <w:rFonts w:ascii="宋体" w:hAnsi="宋体" w:cs="Calibri"/>
          <w:sz w:val="22"/>
        </w:rPr>
      </w:pPr>
      <w:r>
        <w:rPr>
          <w:rFonts w:hint="eastAsia" w:ascii="宋体" w:hAnsi="宋体" w:cs="Arial"/>
          <w:kern w:val="0"/>
          <w:sz w:val="22"/>
        </w:rPr>
        <w:t>（4）</w:t>
      </w:r>
      <w:r>
        <w:rPr>
          <w:rFonts w:hint="eastAsia" w:ascii="宋体" w:hAnsi="宋体" w:cs="Calibri"/>
          <w:sz w:val="22"/>
        </w:rPr>
        <w:t>投标产品近五年的销售业绩一览表（附业绩的合同）。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3"/>
    </w:p>
    <w:p>
      <w:pPr>
        <w:adjustRightInd w:val="0"/>
        <w:snapToGrid w:val="0"/>
        <w:spacing w:line="360" w:lineRule="exact"/>
        <w:ind w:firstLine="440"/>
        <w:rPr>
          <w:rFonts w:ascii="宋体" w:hAnsi="宋体" w:cs="Calibri"/>
          <w:sz w:val="22"/>
        </w:rPr>
      </w:pPr>
      <w:bookmarkStart w:id="24"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asciiTheme="minorEastAsia" w:hAnsiTheme="minorEastAsia"/>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4"/>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5" w:name="_Toc30464"/>
      <w:r>
        <w:rPr>
          <w:rFonts w:ascii="宋体" w:hAnsi="宋体" w:cs="Calibri"/>
          <w:b/>
          <w:bCs/>
          <w:kern w:val="0"/>
          <w:sz w:val="22"/>
        </w:rPr>
        <w:t>3.5 投标保证金</w:t>
      </w:r>
      <w:bookmarkEnd w:id="25"/>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kern w:val="0"/>
          <w:sz w:val="22"/>
        </w:rPr>
        <w:t>中标人在收到中标通知书后，</w:t>
      </w:r>
      <w:r>
        <w:rPr>
          <w:rFonts w:cs="Calibri" w:asciiTheme="minorEastAsia" w:hAnsiTheme="minorEastAsia"/>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6" w:name="_Toc29989"/>
      <w:r>
        <w:rPr>
          <w:rFonts w:ascii="宋体" w:hAnsi="宋体" w:cs="Calibri"/>
          <w:b/>
          <w:bCs/>
          <w:kern w:val="0"/>
          <w:sz w:val="22"/>
        </w:rPr>
        <w:t>3.6 投标文件的编制</w:t>
      </w:r>
      <w:bookmarkEnd w:id="26"/>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7" w:name="_Toc143421659"/>
    </w:p>
    <w:p>
      <w:pPr>
        <w:autoSpaceDE w:val="0"/>
        <w:autoSpaceDN w:val="0"/>
        <w:adjustRightInd w:val="0"/>
        <w:snapToGrid w:val="0"/>
        <w:spacing w:line="360" w:lineRule="exact"/>
        <w:rPr>
          <w:rFonts w:ascii="宋体" w:hAnsi="宋体" w:cs="Calibri"/>
          <w:b/>
          <w:bCs/>
          <w:kern w:val="0"/>
          <w:sz w:val="22"/>
        </w:rPr>
      </w:pPr>
      <w:bookmarkStart w:id="28" w:name="_Toc32652"/>
      <w:r>
        <w:rPr>
          <w:rFonts w:ascii="宋体" w:hAnsi="宋体" w:cs="Calibri"/>
          <w:b/>
          <w:bCs/>
          <w:kern w:val="0"/>
          <w:sz w:val="22"/>
        </w:rPr>
        <w:t>4.投标</w:t>
      </w:r>
      <w:bookmarkEnd w:id="27"/>
      <w:bookmarkEnd w:id="28"/>
    </w:p>
    <w:p>
      <w:pPr>
        <w:autoSpaceDE w:val="0"/>
        <w:autoSpaceDN w:val="0"/>
        <w:adjustRightInd w:val="0"/>
        <w:snapToGrid w:val="0"/>
        <w:spacing w:line="360" w:lineRule="exact"/>
        <w:rPr>
          <w:rFonts w:ascii="宋体" w:hAnsi="宋体" w:cs="Calibri"/>
          <w:b/>
          <w:bCs/>
          <w:kern w:val="0"/>
          <w:sz w:val="22"/>
        </w:rPr>
      </w:pPr>
      <w:bookmarkStart w:id="29" w:name="_Toc649"/>
      <w:r>
        <w:rPr>
          <w:rFonts w:ascii="宋体" w:hAnsi="宋体" w:cs="Calibri"/>
          <w:b/>
          <w:bCs/>
          <w:kern w:val="0"/>
          <w:sz w:val="22"/>
        </w:rPr>
        <w:t>4.1 投标文件的密封和标识</w:t>
      </w:r>
      <w:bookmarkEnd w:id="29"/>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投标文件的正本、副本及电子文档可一同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30" w:name="_Toc16616"/>
      <w:r>
        <w:rPr>
          <w:rFonts w:ascii="宋体" w:hAnsi="宋体" w:cs="Calibri"/>
          <w:b/>
          <w:bCs/>
          <w:kern w:val="0"/>
          <w:sz w:val="22"/>
        </w:rPr>
        <w:t xml:space="preserve">4.2 投标文件的递交 </w:t>
      </w:r>
      <w:bookmarkEnd w:id="30"/>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1" w:name="_Toc26099"/>
      <w:r>
        <w:rPr>
          <w:rFonts w:ascii="宋体" w:hAnsi="宋体" w:cs="Calibri"/>
          <w:b/>
          <w:bCs/>
          <w:kern w:val="0"/>
          <w:sz w:val="22"/>
        </w:rPr>
        <w:t>4.3 投标文件的修改和撤回</w:t>
      </w:r>
      <w:bookmarkEnd w:id="31"/>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2" w:name="_Toc29641"/>
      <w:r>
        <w:rPr>
          <w:rFonts w:ascii="宋体" w:hAnsi="宋体" w:cs="Calibri"/>
          <w:b/>
          <w:bCs/>
          <w:kern w:val="0"/>
          <w:sz w:val="22"/>
        </w:rPr>
        <w:t>5.开标</w:t>
      </w:r>
      <w:bookmarkEnd w:id="32"/>
    </w:p>
    <w:p>
      <w:pPr>
        <w:autoSpaceDE w:val="0"/>
        <w:autoSpaceDN w:val="0"/>
        <w:adjustRightInd w:val="0"/>
        <w:snapToGrid w:val="0"/>
        <w:spacing w:line="360" w:lineRule="exact"/>
        <w:rPr>
          <w:rFonts w:ascii="宋体" w:hAnsi="宋体" w:cs="Calibri"/>
          <w:b/>
          <w:bCs/>
          <w:kern w:val="0"/>
          <w:sz w:val="22"/>
        </w:rPr>
      </w:pPr>
      <w:bookmarkStart w:id="33" w:name="_Toc15123"/>
      <w:r>
        <w:rPr>
          <w:rFonts w:ascii="宋体" w:hAnsi="宋体" w:cs="Calibri"/>
          <w:b/>
          <w:bCs/>
          <w:kern w:val="0"/>
          <w:sz w:val="22"/>
        </w:rPr>
        <w:t>5.1 开标时间和地点</w:t>
      </w:r>
      <w:bookmarkEnd w:id="33"/>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34" w:name="_Toc7101"/>
      <w:r>
        <w:rPr>
          <w:rFonts w:ascii="宋体" w:hAnsi="宋体" w:cs="Calibri"/>
          <w:b/>
          <w:bCs/>
          <w:kern w:val="0"/>
          <w:sz w:val="22"/>
        </w:rPr>
        <w:t>5.2 开标程序</w:t>
      </w:r>
      <w:bookmarkEnd w:id="34"/>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5" w:name="_Toc31578"/>
      <w:r>
        <w:rPr>
          <w:rFonts w:ascii="宋体" w:hAnsi="宋体" w:cs="Calibri"/>
          <w:b/>
          <w:bCs/>
          <w:kern w:val="0"/>
          <w:sz w:val="22"/>
        </w:rPr>
        <w:t>6.评标</w:t>
      </w:r>
      <w:bookmarkEnd w:id="35"/>
    </w:p>
    <w:p>
      <w:pPr>
        <w:autoSpaceDE w:val="0"/>
        <w:autoSpaceDN w:val="0"/>
        <w:adjustRightInd w:val="0"/>
        <w:snapToGrid w:val="0"/>
        <w:spacing w:line="360" w:lineRule="exact"/>
        <w:rPr>
          <w:rFonts w:ascii="宋体" w:hAnsi="宋体" w:cs="Calibri"/>
          <w:b/>
          <w:bCs/>
          <w:kern w:val="0"/>
          <w:sz w:val="22"/>
        </w:rPr>
      </w:pPr>
      <w:bookmarkStart w:id="36" w:name="_Toc10279"/>
      <w:r>
        <w:rPr>
          <w:rFonts w:ascii="宋体" w:hAnsi="宋体" w:cs="Calibri"/>
          <w:b/>
          <w:bCs/>
          <w:kern w:val="0"/>
          <w:sz w:val="22"/>
        </w:rPr>
        <w:t>6.1 评标委员会</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7" w:name="_Toc3460"/>
      <w:r>
        <w:rPr>
          <w:rFonts w:ascii="宋体" w:hAnsi="宋体" w:cs="Calibri"/>
          <w:b/>
          <w:bCs/>
          <w:kern w:val="0"/>
          <w:sz w:val="22"/>
        </w:rPr>
        <w:t>6.2 评标原则</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8" w:name="_Toc28178"/>
      <w:r>
        <w:rPr>
          <w:rFonts w:ascii="宋体" w:hAnsi="宋体" w:cs="Calibri"/>
          <w:b/>
          <w:bCs/>
          <w:kern w:val="0"/>
          <w:sz w:val="22"/>
        </w:rPr>
        <w:t>6.3 评标</w:t>
      </w:r>
      <w:bookmarkEnd w:id="38"/>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cs="Calibri" w:asciiTheme="minorEastAsia" w:hAnsiTheme="minorEastAsia"/>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9" w:name="_Toc24237"/>
      <w:r>
        <w:rPr>
          <w:rFonts w:ascii="宋体" w:hAnsi="宋体" w:cs="Calibri"/>
          <w:b/>
          <w:bCs/>
          <w:kern w:val="0"/>
          <w:sz w:val="22"/>
        </w:rPr>
        <w:t>7.合同授予</w:t>
      </w:r>
      <w:bookmarkEnd w:id="39"/>
    </w:p>
    <w:p>
      <w:pPr>
        <w:autoSpaceDE w:val="0"/>
        <w:autoSpaceDN w:val="0"/>
        <w:adjustRightInd w:val="0"/>
        <w:snapToGrid w:val="0"/>
        <w:spacing w:line="360" w:lineRule="exact"/>
        <w:rPr>
          <w:rFonts w:ascii="宋体" w:hAnsi="宋体" w:cs="Calibri"/>
          <w:b/>
          <w:bCs/>
          <w:kern w:val="0"/>
          <w:sz w:val="22"/>
        </w:rPr>
      </w:pPr>
      <w:bookmarkStart w:id="40" w:name="_Toc18809"/>
      <w:r>
        <w:rPr>
          <w:rFonts w:ascii="宋体" w:hAnsi="宋体" w:cs="Calibri"/>
          <w:b/>
          <w:bCs/>
          <w:kern w:val="0"/>
          <w:sz w:val="22"/>
        </w:rPr>
        <w:t>7.1 定标方式</w:t>
      </w:r>
      <w:bookmarkEnd w:id="40"/>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1" w:name="_Toc14573"/>
      <w:r>
        <w:rPr>
          <w:rFonts w:ascii="宋体" w:hAnsi="宋体" w:cs="Calibri"/>
          <w:b/>
          <w:bCs/>
          <w:kern w:val="0"/>
          <w:sz w:val="22"/>
        </w:rPr>
        <w:t>7.2 中标通知</w:t>
      </w:r>
      <w:bookmarkEnd w:id="41"/>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42" w:name="_Toc27132"/>
      <w:r>
        <w:rPr>
          <w:rFonts w:ascii="宋体" w:hAnsi="宋体" w:cs="Calibri"/>
          <w:b/>
          <w:bCs/>
          <w:kern w:val="0"/>
          <w:sz w:val="22"/>
        </w:rPr>
        <w:t>7.3 履约</w:t>
      </w:r>
      <w:r>
        <w:rPr>
          <w:rFonts w:hint="eastAsia" w:ascii="宋体" w:hAnsi="宋体" w:cs="Calibri"/>
          <w:b/>
          <w:bCs/>
          <w:kern w:val="0"/>
          <w:sz w:val="22"/>
        </w:rPr>
        <w:t>保证金</w:t>
      </w:r>
      <w:bookmarkEnd w:id="42"/>
    </w:p>
    <w:p>
      <w:pPr>
        <w:adjustRightInd w:val="0"/>
        <w:snapToGrid w:val="0"/>
        <w:spacing w:line="360" w:lineRule="exact"/>
        <w:ind w:firstLine="44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bookmarkStart w:id="43" w:name="_Toc27581"/>
      <w:r>
        <w:rPr>
          <w:rFonts w:ascii="宋体" w:hAnsi="宋体" w:cs="Calibri"/>
          <w:b/>
          <w:bCs/>
          <w:kern w:val="0"/>
          <w:sz w:val="22"/>
        </w:rPr>
        <w:t>7.4 签订合同</w:t>
      </w:r>
      <w:bookmarkEnd w:id="43"/>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4" w:name="_Toc220123241"/>
      <w:bookmarkStart w:id="45" w:name="_Toc219809801"/>
      <w:bookmarkStart w:id="46" w:name="_Toc11806"/>
      <w:r>
        <w:rPr>
          <w:rFonts w:ascii="宋体" w:hAnsi="宋体" w:cs="Calibri"/>
          <w:kern w:val="0"/>
          <w:sz w:val="22"/>
        </w:rPr>
        <w:t>.4.1中标人应当自中标通知书发出之日起30个工作日内</w:t>
      </w:r>
      <w:r>
        <w:rPr>
          <w:rFonts w:hint="eastAsia" w:ascii="宋体" w:hAnsi="宋体" w:cs="Calibri"/>
          <w:color w:val="000000" w:themeColor="text1"/>
          <w:kern w:val="0"/>
          <w:sz w:val="22"/>
          <w14:textFill>
            <w14:solidFill>
              <w14:schemeClr w14:val="tx1"/>
            </w14:solidFill>
          </w14:textFill>
        </w:rPr>
        <w:t>分别与</w:t>
      </w:r>
      <w:r>
        <w:rPr>
          <w:rFonts w:hint="eastAsia" w:asciiTheme="minorEastAsia" w:hAnsiTheme="minorEastAsia"/>
          <w:color w:val="000000" w:themeColor="text1"/>
          <w:kern w:val="0"/>
          <w:sz w:val="22"/>
          <w14:textFill>
            <w14:solidFill>
              <w14:schemeClr w14:val="tx1"/>
            </w14:solidFill>
          </w14:textFill>
        </w:rPr>
        <w:t>杭州萧山国际机场、宁波机场与物流发展集团有限公司</w:t>
      </w:r>
      <w:r>
        <w:rPr>
          <w:rFonts w:ascii="宋体" w:hAnsi="宋体" w:cs="Calibri"/>
          <w:kern w:val="0"/>
          <w:sz w:val="22"/>
        </w:rPr>
        <w:t>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b/>
          <w:kern w:val="0"/>
          <w:sz w:val="22"/>
        </w:rPr>
      </w:pPr>
      <w:r>
        <w:rPr>
          <w:rFonts w:hint="eastAsia" w:cs="Calibri" w:asciiTheme="minorEastAsia" w:hAnsiTheme="minorEastAsia"/>
          <w:kern w:val="0"/>
          <w:sz w:val="22"/>
        </w:rPr>
        <w:t xml:space="preserve">7.4.3 </w:t>
      </w:r>
      <w:r>
        <w:rPr>
          <w:rFonts w:hint="eastAsia" w:cs="Calibri" w:asciiTheme="minorEastAsia" w:hAnsiTheme="minorEastAsia"/>
          <w:b/>
          <w:kern w:val="0"/>
          <w:sz w:val="22"/>
        </w:rPr>
        <w:t>招标人在授予合同有权对本项目的内容等予以增加或者减少，中标人不得提出异议，否则招标人有权取消其中标资格。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asciiTheme="minorEastAsia" w:hAnsiTheme="minorEastAsia"/>
          <w:kern w:val="0"/>
          <w:sz w:val="22"/>
        </w:rPr>
        <w:t xml:space="preserve">7.4.4 </w:t>
      </w:r>
      <w:r>
        <w:rPr>
          <w:rFonts w:hint="eastAsia" w:cs="Calibri" w:asciiTheme="minorEastAsia" w:hAnsiTheme="minorEastAsia"/>
          <w:b/>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4"/>
      <w:bookmarkEnd w:id="45"/>
      <w:bookmarkEnd w:id="46"/>
    </w:p>
    <w:p>
      <w:pPr>
        <w:autoSpaceDE w:val="0"/>
        <w:autoSpaceDN w:val="0"/>
        <w:adjustRightInd w:val="0"/>
        <w:snapToGrid w:val="0"/>
        <w:spacing w:line="360" w:lineRule="exact"/>
        <w:rPr>
          <w:rFonts w:ascii="宋体" w:hAnsi="宋体" w:cs="Calibri"/>
          <w:b/>
          <w:bCs/>
          <w:kern w:val="0"/>
          <w:sz w:val="22"/>
        </w:rPr>
      </w:pPr>
      <w:bookmarkStart w:id="47" w:name="_Toc219809802"/>
      <w:bookmarkStart w:id="48" w:name="_Toc220123242"/>
      <w:bookmarkStart w:id="49" w:name="_Toc15553"/>
      <w:r>
        <w:rPr>
          <w:rFonts w:ascii="宋体" w:hAnsi="宋体" w:cs="Calibri"/>
          <w:b/>
          <w:bCs/>
          <w:kern w:val="0"/>
          <w:sz w:val="22"/>
        </w:rPr>
        <w:t>8.1 重新招标</w:t>
      </w:r>
      <w:bookmarkEnd w:id="47"/>
      <w:bookmarkEnd w:id="48"/>
      <w:bookmarkEnd w:id="49"/>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50" w:name="_Toc219809803"/>
      <w:bookmarkStart w:id="51" w:name="_Toc18806"/>
      <w:bookmarkStart w:id="52" w:name="_Toc220123243"/>
      <w:r>
        <w:rPr>
          <w:rFonts w:ascii="宋体" w:hAnsi="宋体" w:cs="Calibri"/>
          <w:b/>
          <w:bCs/>
          <w:kern w:val="0"/>
          <w:sz w:val="22"/>
        </w:rPr>
        <w:t>8.2 不再招标</w:t>
      </w:r>
      <w:bookmarkEnd w:id="50"/>
      <w:bookmarkEnd w:id="51"/>
      <w:bookmarkEnd w:id="52"/>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3" w:name="_Toc219809804"/>
      <w:bookmarkStart w:id="54" w:name="_Toc215941254"/>
      <w:bookmarkStart w:id="55" w:name="_Toc220123244"/>
      <w:bookmarkStart w:id="56" w:name="_Toc2986"/>
      <w:r>
        <w:rPr>
          <w:rFonts w:ascii="宋体" w:hAnsi="宋体" w:cs="Calibri"/>
          <w:b/>
          <w:bCs/>
          <w:kern w:val="0"/>
          <w:sz w:val="22"/>
        </w:rPr>
        <w:t>9.纪律和监督</w:t>
      </w:r>
      <w:bookmarkEnd w:id="53"/>
      <w:bookmarkEnd w:id="54"/>
      <w:bookmarkEnd w:id="55"/>
      <w:bookmarkEnd w:id="56"/>
    </w:p>
    <w:p>
      <w:pPr>
        <w:autoSpaceDE w:val="0"/>
        <w:autoSpaceDN w:val="0"/>
        <w:adjustRightInd w:val="0"/>
        <w:snapToGrid w:val="0"/>
        <w:spacing w:line="360" w:lineRule="exact"/>
        <w:rPr>
          <w:rFonts w:ascii="宋体" w:hAnsi="宋体" w:cs="Calibri"/>
          <w:b/>
          <w:bCs/>
          <w:kern w:val="0"/>
          <w:sz w:val="22"/>
        </w:rPr>
      </w:pPr>
      <w:bookmarkStart w:id="57" w:name="_Toc5509"/>
      <w:bookmarkStart w:id="58" w:name="_Toc220123245"/>
      <w:bookmarkStart w:id="59" w:name="_Toc219809805"/>
      <w:r>
        <w:rPr>
          <w:rFonts w:ascii="宋体" w:hAnsi="宋体" w:cs="Calibri"/>
          <w:b/>
          <w:bCs/>
          <w:kern w:val="0"/>
          <w:sz w:val="22"/>
        </w:rPr>
        <w:t>9.1 对招标人的纪律要求</w:t>
      </w:r>
      <w:bookmarkEnd w:id="57"/>
      <w:bookmarkEnd w:id="58"/>
      <w:bookmarkEnd w:id="59"/>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60" w:name="_Toc10820"/>
      <w:bookmarkStart w:id="61" w:name="_Toc219809806"/>
      <w:bookmarkStart w:id="62" w:name="_Toc220123246"/>
      <w:r>
        <w:rPr>
          <w:rFonts w:ascii="宋体" w:hAnsi="宋体" w:cs="Calibri"/>
          <w:b/>
          <w:bCs/>
          <w:kern w:val="0"/>
          <w:sz w:val="22"/>
        </w:rPr>
        <w:t>9.2 对投标人的纪律要求</w:t>
      </w:r>
      <w:bookmarkEnd w:id="60"/>
      <w:bookmarkEnd w:id="61"/>
      <w:bookmarkEnd w:id="62"/>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b/>
          <w:bCs/>
          <w:sz w:val="22"/>
        </w:rPr>
      </w:pPr>
      <w:r>
        <w:rPr>
          <w:rFonts w:hint="eastAsia" w:cs="Calibri" w:asciiTheme="minorEastAsia" w:hAnsiTheme="minorEastAsia"/>
          <w:b/>
          <w:bCs/>
          <w:sz w:val="22"/>
        </w:rPr>
        <w:t>若投标人存在串通投标或弄虚作假或有其他违法行为的，招标人有权没收投标人的投标保证金，</w:t>
      </w:r>
      <w:r>
        <w:rPr>
          <w:rFonts w:cs="Calibri" w:asciiTheme="minorEastAsia" w:hAnsiTheme="minorEastAsia"/>
          <w:b/>
          <w:bCs/>
          <w:sz w:val="22"/>
        </w:rPr>
        <w:t>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3" w:name="_Toc10756"/>
      <w:bookmarkStart w:id="64" w:name="_Toc219809807"/>
      <w:bookmarkStart w:id="65" w:name="_Toc220123247"/>
      <w:r>
        <w:rPr>
          <w:rFonts w:ascii="宋体" w:hAnsi="宋体" w:cs="Calibri"/>
          <w:b/>
          <w:bCs/>
          <w:kern w:val="0"/>
          <w:sz w:val="22"/>
        </w:rPr>
        <w:t>9.3 对评标委员会成员的纪律要求</w:t>
      </w:r>
      <w:bookmarkEnd w:id="63"/>
      <w:bookmarkEnd w:id="64"/>
      <w:bookmarkEnd w:id="65"/>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sz w:val="22"/>
        </w:rPr>
        <w:t>五</w:t>
      </w:r>
      <w:r>
        <w:rPr>
          <w:rFonts w:cs="Calibri" w:asciiTheme="minorEastAsia" w:hAnsiTheme="minorEastAsia"/>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6" w:name="_Toc12792"/>
      <w:bookmarkStart w:id="67" w:name="_Toc220123248"/>
      <w:bookmarkStart w:id="68" w:name="_Toc219809808"/>
      <w:r>
        <w:rPr>
          <w:rFonts w:ascii="宋体" w:hAnsi="宋体" w:cs="Calibri"/>
          <w:b/>
          <w:bCs/>
          <w:kern w:val="0"/>
          <w:sz w:val="22"/>
        </w:rPr>
        <w:t>9.4 对评标活动有关的工作人员的纪律要求</w:t>
      </w:r>
      <w:bookmarkEnd w:id="66"/>
      <w:bookmarkEnd w:id="67"/>
      <w:bookmarkEnd w:id="68"/>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9" w:name="_Toc239"/>
      <w:bookmarkStart w:id="70" w:name="_Toc219809809"/>
      <w:bookmarkStart w:id="71" w:name="_Toc220123249"/>
      <w:r>
        <w:rPr>
          <w:rFonts w:ascii="宋体" w:hAnsi="宋体" w:cs="Calibri"/>
          <w:b/>
          <w:bCs/>
          <w:kern w:val="0"/>
          <w:sz w:val="22"/>
        </w:rPr>
        <w:t>9.5 投诉</w:t>
      </w:r>
      <w:bookmarkEnd w:id="69"/>
      <w:bookmarkEnd w:id="70"/>
      <w:bookmarkEnd w:id="71"/>
    </w:p>
    <w:p>
      <w:pPr>
        <w:adjustRightInd w:val="0"/>
        <w:snapToGrid w:val="0"/>
        <w:spacing w:line="360" w:lineRule="exact"/>
        <w:ind w:firstLine="440"/>
        <w:rPr>
          <w:rFonts w:cs="Calibri" w:asciiTheme="minorEastAsia" w:hAnsiTheme="minorEastAsia"/>
          <w:sz w:val="22"/>
        </w:rPr>
      </w:pPr>
      <w:r>
        <w:rPr>
          <w:rFonts w:cs="Calibri" w:asciiTheme="minorEastAsia" w:hAnsiTheme="minorEastAsia"/>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2" w:name="_Toc10817"/>
      <w:r>
        <w:rPr>
          <w:rFonts w:ascii="宋体" w:hAnsi="宋体" w:cs="Calibri"/>
          <w:b/>
          <w:bCs/>
          <w:kern w:val="0"/>
          <w:sz w:val="22"/>
        </w:rPr>
        <w:t>10. 需要补充的其他内容</w:t>
      </w:r>
      <w:bookmarkEnd w:id="72"/>
    </w:p>
    <w:p>
      <w:pPr>
        <w:autoSpaceDE w:val="0"/>
        <w:autoSpaceDN w:val="0"/>
        <w:adjustRightInd w:val="0"/>
        <w:snapToGrid w:val="0"/>
        <w:spacing w:line="360" w:lineRule="exact"/>
        <w:ind w:firstLine="440"/>
        <w:jc w:val="left"/>
        <w:rPr>
          <w:rFonts w:cs="Calibri" w:asciiTheme="minorEastAsia" w:hAnsiTheme="minorEastAsia"/>
          <w:sz w:val="22"/>
        </w:rPr>
      </w:pPr>
      <w:r>
        <w:rPr>
          <w:rFonts w:cs="Calibri" w:asciiTheme="minorEastAsia" w:hAnsiTheme="minorEastAsia"/>
          <w:sz w:val="22"/>
        </w:rPr>
        <w:t>需要补充的其他内容：见投标人须知前附表。</w:t>
      </w:r>
    </w:p>
    <w:p>
      <w:pPr>
        <w:spacing w:line="560" w:lineRule="exact"/>
      </w:pPr>
    </w:p>
    <w:p>
      <w:pPr>
        <w:spacing w:line="560" w:lineRule="exact"/>
        <w:jc w:val="center"/>
      </w:pPr>
    </w:p>
    <w:p>
      <w:pPr>
        <w:snapToGrid w:val="0"/>
        <w:spacing w:line="560" w:lineRule="exact"/>
      </w:pPr>
    </w:p>
    <w:p>
      <w:pPr>
        <w:pStyle w:val="13"/>
      </w:pPr>
      <w:r>
        <w:rPr>
          <w:sz w:val="24"/>
        </w:rPr>
        <w:br w:type="page"/>
      </w:r>
      <w:bookmarkStart w:id="73" w:name="_Toc321925453"/>
      <w:r>
        <w:t>第</w:t>
      </w:r>
      <w:r>
        <w:rPr>
          <w:rFonts w:hint="eastAsia"/>
        </w:rPr>
        <w:t>三</w:t>
      </w:r>
      <w:r>
        <w:t>章货物需求一览表及技术规格</w:t>
      </w:r>
      <w:bookmarkEnd w:id="73"/>
    </w:p>
    <w:p>
      <w:pPr>
        <w:adjustRightInd w:val="0"/>
        <w:snapToGrid w:val="0"/>
        <w:spacing w:line="360" w:lineRule="exact"/>
        <w:ind w:firstLine="433" w:firstLineChars="196"/>
        <w:rPr>
          <w:rFonts w:ascii="宋体" w:hAnsi="宋体"/>
          <w:b/>
          <w:bCs/>
          <w:sz w:val="22"/>
        </w:rPr>
      </w:pPr>
      <w:r>
        <w:rPr>
          <w:rFonts w:hint="eastAsia" w:ascii="宋体" w:hAnsi="宋体"/>
          <w:b/>
          <w:bCs/>
          <w:sz w:val="22"/>
        </w:rPr>
        <w:t xml:space="preserve">1. </w:t>
      </w:r>
      <w:r>
        <w:rPr>
          <w:rFonts w:ascii="宋体" w:hAnsi="宋体"/>
          <w:b/>
          <w:bCs/>
          <w:sz w:val="22"/>
        </w:rPr>
        <w:t>总则</w:t>
      </w:r>
    </w:p>
    <w:p>
      <w:pPr>
        <w:adjustRightInd w:val="0"/>
        <w:snapToGrid w:val="0"/>
        <w:spacing w:line="360" w:lineRule="exact"/>
        <w:ind w:firstLine="440" w:firstLineChars="200"/>
        <w:rPr>
          <w:rFonts w:ascii="宋体" w:hAnsi="宋体"/>
          <w:sz w:val="22"/>
        </w:rPr>
      </w:pPr>
      <w:r>
        <w:rPr>
          <w:rFonts w:hint="eastAsia" w:ascii="宋体" w:hAnsi="宋体"/>
          <w:sz w:val="22"/>
        </w:rPr>
        <w:t>1.1规格</w:t>
      </w:r>
      <w:r>
        <w:rPr>
          <w:rFonts w:ascii="宋体" w:hAnsi="宋体"/>
          <w:sz w:val="22"/>
        </w:rPr>
        <w:t>书是招标文件的组成部分。内容包括</w:t>
      </w:r>
      <w:r>
        <w:rPr>
          <w:rFonts w:hint="eastAsia" w:ascii="宋体" w:hAnsi="宋体"/>
          <w:sz w:val="22"/>
        </w:rPr>
        <w:t>浙江省机场集团</w:t>
      </w:r>
      <w:r>
        <w:rPr>
          <w:rFonts w:ascii="宋体" w:hAnsi="宋体"/>
          <w:sz w:val="22"/>
        </w:rPr>
        <w:t>所需</w:t>
      </w:r>
      <w:r>
        <w:rPr>
          <w:rFonts w:hint="eastAsia" w:ascii="宋体" w:hAnsi="宋体"/>
          <w:sz w:val="22"/>
        </w:rPr>
        <w:t>设备</w:t>
      </w:r>
      <w:r>
        <w:rPr>
          <w:rFonts w:ascii="宋体" w:hAnsi="宋体"/>
          <w:sz w:val="22"/>
        </w:rPr>
        <w:t>的基本规格、条款、资料及有关文件。</w:t>
      </w:r>
    </w:p>
    <w:p>
      <w:pPr>
        <w:adjustRightInd w:val="0"/>
        <w:snapToGrid w:val="0"/>
        <w:spacing w:line="360" w:lineRule="exact"/>
        <w:ind w:firstLine="440" w:firstLineChars="200"/>
        <w:rPr>
          <w:rFonts w:ascii="宋体" w:hAnsi="宋体"/>
          <w:sz w:val="22"/>
        </w:rPr>
      </w:pPr>
      <w:r>
        <w:rPr>
          <w:rFonts w:ascii="宋体" w:hAnsi="宋体"/>
          <w:sz w:val="22"/>
        </w:rPr>
        <w:t>1.2 投标人应提供成熟的、已被使用的合格产品和配置，投标的</w:t>
      </w:r>
      <w:r>
        <w:rPr>
          <w:rFonts w:hint="eastAsia" w:ascii="宋体" w:hAnsi="宋体"/>
          <w:sz w:val="22"/>
        </w:rPr>
        <w:t>设备</w:t>
      </w:r>
      <w:r>
        <w:rPr>
          <w:rFonts w:ascii="宋体" w:hAnsi="宋体"/>
          <w:sz w:val="22"/>
        </w:rPr>
        <w:t>及其所有零部件、配件和附件必须是全新并未经使用过的。</w:t>
      </w:r>
    </w:p>
    <w:p>
      <w:pPr>
        <w:adjustRightInd w:val="0"/>
        <w:snapToGrid w:val="0"/>
        <w:spacing w:line="360" w:lineRule="exact"/>
        <w:ind w:firstLine="440" w:firstLineChars="200"/>
        <w:rPr>
          <w:rFonts w:ascii="宋体" w:hAnsi="宋体"/>
          <w:sz w:val="22"/>
        </w:rPr>
      </w:pPr>
      <w:r>
        <w:rPr>
          <w:rFonts w:ascii="宋体" w:hAnsi="宋体"/>
          <w:sz w:val="22"/>
        </w:rPr>
        <w:t>1.3投标人必须按照本规格书中各章节条款的顺序和内容逐项做出实质性应答，并提供具体详细的技术数据、资料，否则相关条目将被视为不满足招标文件要求。</w:t>
      </w:r>
    </w:p>
    <w:p>
      <w:pPr>
        <w:adjustRightInd w:val="0"/>
        <w:snapToGrid w:val="0"/>
        <w:spacing w:line="360" w:lineRule="exact"/>
        <w:ind w:firstLine="440" w:firstLineChars="200"/>
        <w:rPr>
          <w:rFonts w:ascii="宋体" w:hAnsi="宋体"/>
          <w:sz w:val="22"/>
        </w:rPr>
      </w:pPr>
      <w:r>
        <w:rPr>
          <w:rFonts w:ascii="宋体" w:hAnsi="宋体"/>
          <w:sz w:val="22"/>
        </w:rPr>
        <w:t>1.4投标人应在投标书中列表标明</w:t>
      </w:r>
      <w:r>
        <w:rPr>
          <w:rFonts w:hint="eastAsia" w:ascii="宋体" w:hAnsi="宋体"/>
          <w:sz w:val="22"/>
        </w:rPr>
        <w:t>设备</w:t>
      </w:r>
      <w:r>
        <w:rPr>
          <w:rFonts w:ascii="宋体" w:hAnsi="宋体"/>
          <w:sz w:val="22"/>
        </w:rPr>
        <w:t>的各项性能指标，任何偏差必须列入偏差表。中标后卖方在合同谈判中的任何偏差不得超越此偏差表中已被业主确认的条款。</w:t>
      </w:r>
    </w:p>
    <w:p>
      <w:pPr>
        <w:adjustRightInd w:val="0"/>
        <w:snapToGrid w:val="0"/>
        <w:spacing w:line="360" w:lineRule="exact"/>
        <w:ind w:firstLine="440" w:firstLineChars="200"/>
        <w:rPr>
          <w:rFonts w:ascii="宋体" w:hAnsi="宋体"/>
          <w:sz w:val="22"/>
        </w:rPr>
      </w:pPr>
      <w:r>
        <w:rPr>
          <w:rFonts w:ascii="宋体" w:hAnsi="宋体"/>
          <w:sz w:val="22"/>
        </w:rPr>
        <w:t>1.5投标人必须对投标内容和提供的产品所涉及的有关机械、电气、仪表、工艺等方面的一切专利承担责任，并负责保护业主的利益不受任何损害。一切由于文字、商标、软件和技术专利等方面的侵权而引起的法律裁决、诉讼和费用均由投标人负责。</w:t>
      </w:r>
    </w:p>
    <w:p>
      <w:pPr>
        <w:adjustRightInd w:val="0"/>
        <w:snapToGrid w:val="0"/>
        <w:spacing w:line="360" w:lineRule="exact"/>
        <w:ind w:firstLine="440" w:firstLineChars="200"/>
        <w:rPr>
          <w:rFonts w:ascii="宋体" w:hAnsi="宋体"/>
          <w:sz w:val="22"/>
        </w:rPr>
      </w:pPr>
      <w:r>
        <w:rPr>
          <w:rFonts w:ascii="宋体" w:hAnsi="宋体"/>
          <w:sz w:val="22"/>
        </w:rPr>
        <w:t>1.6工作范围</w:t>
      </w:r>
    </w:p>
    <w:p>
      <w:pPr>
        <w:adjustRightInd w:val="0"/>
        <w:snapToGrid w:val="0"/>
        <w:spacing w:line="360" w:lineRule="exact"/>
        <w:ind w:firstLine="440" w:firstLineChars="200"/>
        <w:rPr>
          <w:rFonts w:ascii="宋体" w:hAnsi="宋体"/>
          <w:sz w:val="22"/>
        </w:rPr>
      </w:pPr>
      <w:r>
        <w:rPr>
          <w:rFonts w:hint="eastAsia" w:ascii="宋体" w:hAnsi="宋体"/>
          <w:sz w:val="22"/>
        </w:rPr>
        <w:t>1.6.1投标人</w:t>
      </w:r>
      <w:r>
        <w:rPr>
          <w:rFonts w:ascii="宋体" w:hAnsi="宋体"/>
          <w:sz w:val="22"/>
        </w:rPr>
        <w:t>需按本技术规格书的要求完成设备的设计、制造、运输、调试、培训及售后服务等工作。提供的设备须包括以下工作服务但不仅限于以下：</w:t>
      </w:r>
    </w:p>
    <w:p>
      <w:pPr>
        <w:adjustRightInd w:val="0"/>
        <w:snapToGrid w:val="0"/>
        <w:spacing w:line="360" w:lineRule="exact"/>
        <w:ind w:firstLine="440" w:firstLineChars="200"/>
        <w:rPr>
          <w:rFonts w:ascii="宋体" w:hAnsi="宋体"/>
          <w:sz w:val="22"/>
        </w:rPr>
      </w:pPr>
      <w:r>
        <w:rPr>
          <w:rFonts w:hint="eastAsia" w:ascii="宋体" w:hAnsi="宋体"/>
          <w:sz w:val="22"/>
        </w:rPr>
        <w:t>1.6.1.1</w:t>
      </w:r>
      <w:r>
        <w:rPr>
          <w:rFonts w:ascii="宋体" w:hAnsi="宋体"/>
          <w:sz w:val="22"/>
        </w:rPr>
        <w:t>根据招标人的要求进行</w:t>
      </w:r>
      <w:r>
        <w:rPr>
          <w:rFonts w:hint="eastAsia" w:ascii="宋体" w:hAnsi="宋体"/>
          <w:sz w:val="22"/>
        </w:rPr>
        <w:t>设备</w:t>
      </w:r>
      <w:r>
        <w:rPr>
          <w:rFonts w:ascii="宋体" w:hAnsi="宋体"/>
          <w:sz w:val="22"/>
        </w:rPr>
        <w:t>的设计和选配；</w:t>
      </w:r>
    </w:p>
    <w:p>
      <w:pPr>
        <w:adjustRightInd w:val="0"/>
        <w:snapToGrid w:val="0"/>
        <w:spacing w:line="360" w:lineRule="exact"/>
        <w:ind w:firstLine="440" w:firstLineChars="200"/>
        <w:rPr>
          <w:rFonts w:ascii="宋体" w:hAnsi="宋体"/>
          <w:sz w:val="22"/>
        </w:rPr>
      </w:pPr>
      <w:r>
        <w:rPr>
          <w:rFonts w:hint="eastAsia" w:ascii="宋体" w:hAnsi="宋体"/>
          <w:sz w:val="22"/>
        </w:rPr>
        <w:t>1.6.1.2设备</w:t>
      </w:r>
      <w:r>
        <w:rPr>
          <w:rFonts w:ascii="宋体" w:hAnsi="宋体"/>
          <w:sz w:val="22"/>
        </w:rPr>
        <w:t>的加工、制造及相关部分的配套资料；</w:t>
      </w:r>
    </w:p>
    <w:p>
      <w:pPr>
        <w:adjustRightInd w:val="0"/>
        <w:snapToGrid w:val="0"/>
        <w:spacing w:line="360" w:lineRule="exact"/>
        <w:ind w:firstLine="440" w:firstLineChars="200"/>
        <w:rPr>
          <w:rFonts w:ascii="宋体" w:hAnsi="宋体"/>
          <w:sz w:val="22"/>
        </w:rPr>
      </w:pPr>
      <w:r>
        <w:rPr>
          <w:rFonts w:hint="eastAsia" w:ascii="宋体" w:hAnsi="宋体"/>
          <w:sz w:val="22"/>
        </w:rPr>
        <w:t>1.6.1.3设备</w:t>
      </w:r>
      <w:r>
        <w:rPr>
          <w:rFonts w:ascii="宋体" w:hAnsi="宋体"/>
          <w:sz w:val="22"/>
        </w:rPr>
        <w:t>的安装和调试；</w:t>
      </w:r>
    </w:p>
    <w:p>
      <w:pPr>
        <w:adjustRightInd w:val="0"/>
        <w:snapToGrid w:val="0"/>
        <w:spacing w:line="360" w:lineRule="exact"/>
        <w:ind w:firstLine="440" w:firstLineChars="200"/>
        <w:rPr>
          <w:rFonts w:ascii="宋体" w:hAnsi="宋体"/>
          <w:sz w:val="22"/>
        </w:rPr>
      </w:pPr>
      <w:r>
        <w:rPr>
          <w:rFonts w:hint="eastAsia" w:ascii="宋体" w:hAnsi="宋体"/>
          <w:sz w:val="22"/>
        </w:rPr>
        <w:t>1.6.1.4</w:t>
      </w:r>
      <w:r>
        <w:rPr>
          <w:rFonts w:ascii="宋体" w:hAnsi="宋体"/>
          <w:sz w:val="22"/>
        </w:rPr>
        <w:t>移交前的产品保护；</w:t>
      </w:r>
    </w:p>
    <w:p>
      <w:pPr>
        <w:adjustRightInd w:val="0"/>
        <w:snapToGrid w:val="0"/>
        <w:spacing w:line="360" w:lineRule="exact"/>
        <w:ind w:firstLine="440" w:firstLineChars="200"/>
        <w:rPr>
          <w:rFonts w:ascii="宋体" w:hAnsi="宋体"/>
          <w:sz w:val="22"/>
        </w:rPr>
      </w:pPr>
      <w:r>
        <w:rPr>
          <w:rFonts w:hint="eastAsia" w:ascii="宋体" w:hAnsi="宋体"/>
          <w:sz w:val="22"/>
        </w:rPr>
        <w:t>1.6.1.5</w:t>
      </w:r>
      <w:r>
        <w:rPr>
          <w:rFonts w:ascii="宋体" w:hAnsi="宋体"/>
          <w:sz w:val="22"/>
        </w:rPr>
        <w:t>修补缺陷</w:t>
      </w:r>
      <w:r>
        <w:rPr>
          <w:rFonts w:hint="eastAsia" w:ascii="宋体" w:hAnsi="宋体"/>
          <w:sz w:val="22"/>
        </w:rPr>
        <w:t>及</w:t>
      </w:r>
      <w:r>
        <w:rPr>
          <w:rFonts w:ascii="宋体" w:hAnsi="宋体"/>
          <w:sz w:val="22"/>
        </w:rPr>
        <w:t>缺陷责任期内职责。</w:t>
      </w:r>
    </w:p>
    <w:p>
      <w:pPr>
        <w:adjustRightInd w:val="0"/>
        <w:snapToGrid w:val="0"/>
        <w:spacing w:line="360" w:lineRule="exact"/>
        <w:ind w:firstLine="440" w:firstLineChars="200"/>
        <w:rPr>
          <w:rFonts w:ascii="宋体" w:hAnsi="宋体"/>
          <w:sz w:val="22"/>
        </w:rPr>
      </w:pPr>
      <w:r>
        <w:rPr>
          <w:rFonts w:hint="eastAsia" w:ascii="宋体" w:hAnsi="宋体"/>
          <w:sz w:val="22"/>
        </w:rPr>
        <w:t>1.6.1.6</w:t>
      </w:r>
      <w:r>
        <w:rPr>
          <w:rFonts w:ascii="宋体" w:hAnsi="宋体"/>
          <w:sz w:val="22"/>
        </w:rPr>
        <w:t>负责提供</w:t>
      </w:r>
      <w:r>
        <w:rPr>
          <w:rFonts w:hint="eastAsia" w:ascii="宋体" w:hAnsi="宋体"/>
          <w:sz w:val="22"/>
        </w:rPr>
        <w:t>2份</w:t>
      </w:r>
      <w:r>
        <w:rPr>
          <w:rFonts w:ascii="宋体" w:hAnsi="宋体"/>
          <w:sz w:val="22"/>
        </w:rPr>
        <w:t>完整的中文操作维护使用手册。</w:t>
      </w:r>
    </w:p>
    <w:p>
      <w:pPr>
        <w:adjustRightInd w:val="0"/>
        <w:snapToGrid w:val="0"/>
        <w:spacing w:line="360" w:lineRule="exact"/>
        <w:ind w:firstLine="440" w:firstLineChars="200"/>
        <w:rPr>
          <w:rFonts w:ascii="宋体" w:hAnsi="宋体"/>
          <w:sz w:val="22"/>
        </w:rPr>
      </w:pPr>
      <w:r>
        <w:rPr>
          <w:rFonts w:hint="eastAsia" w:ascii="宋体" w:hAnsi="宋体"/>
          <w:sz w:val="22"/>
        </w:rPr>
        <w:t>1.6.2</w:t>
      </w:r>
      <w:r>
        <w:rPr>
          <w:rFonts w:ascii="宋体" w:hAnsi="宋体"/>
          <w:sz w:val="22"/>
        </w:rPr>
        <w:t>投标人应按招标文件要求提供资料，包括图纸及相应电子版等。</w:t>
      </w:r>
    </w:p>
    <w:p>
      <w:pPr>
        <w:adjustRightInd w:val="0"/>
        <w:snapToGrid w:val="0"/>
        <w:spacing w:line="360" w:lineRule="exact"/>
        <w:ind w:firstLine="440" w:firstLineChars="200"/>
        <w:rPr>
          <w:rFonts w:ascii="宋体" w:hAnsi="宋体"/>
          <w:sz w:val="22"/>
        </w:rPr>
      </w:pPr>
      <w:r>
        <w:rPr>
          <w:rFonts w:hint="eastAsia" w:ascii="宋体" w:hAnsi="宋体"/>
          <w:sz w:val="22"/>
        </w:rPr>
        <w:t>1.6.3</w:t>
      </w:r>
      <w:r>
        <w:rPr>
          <w:rFonts w:ascii="宋体" w:hAnsi="宋体"/>
          <w:sz w:val="22"/>
        </w:rPr>
        <w:t>投标人在中标且合同生效后，应合理安排好各项工作，如期向</w:t>
      </w:r>
      <w:r>
        <w:rPr>
          <w:rFonts w:hint="eastAsia" w:ascii="宋体" w:hAnsi="宋体"/>
          <w:sz w:val="22"/>
        </w:rPr>
        <w:t>招标人</w:t>
      </w:r>
      <w:r>
        <w:rPr>
          <w:rFonts w:ascii="宋体" w:hAnsi="宋体"/>
          <w:sz w:val="22"/>
        </w:rPr>
        <w:t>提交完整优质的</w:t>
      </w:r>
      <w:r>
        <w:rPr>
          <w:rFonts w:hint="eastAsia" w:ascii="宋体" w:hAnsi="宋体"/>
          <w:sz w:val="22"/>
        </w:rPr>
        <w:t>设备</w:t>
      </w:r>
      <w:r>
        <w:rPr>
          <w:rFonts w:ascii="宋体" w:hAnsi="宋体"/>
          <w:sz w:val="22"/>
        </w:rPr>
        <w:t>及所需附件、工具、备件和资料，只有在得到</w:t>
      </w:r>
      <w:r>
        <w:rPr>
          <w:rFonts w:hint="eastAsia" w:ascii="宋体" w:hAnsi="宋体"/>
          <w:sz w:val="22"/>
        </w:rPr>
        <w:t>招标人</w:t>
      </w:r>
      <w:r>
        <w:rPr>
          <w:rFonts w:ascii="宋体" w:hAnsi="宋体"/>
          <w:sz w:val="22"/>
        </w:rPr>
        <w:t>的书面接收证明后，整体工作才算完成。</w:t>
      </w:r>
    </w:p>
    <w:p>
      <w:pPr>
        <w:adjustRightInd w:val="0"/>
        <w:snapToGrid w:val="0"/>
        <w:spacing w:line="360" w:lineRule="exact"/>
        <w:ind w:firstLine="440" w:firstLineChars="200"/>
        <w:rPr>
          <w:rFonts w:ascii="宋体" w:hAnsi="宋体"/>
          <w:sz w:val="22"/>
        </w:rPr>
      </w:pPr>
      <w:r>
        <w:rPr>
          <w:rFonts w:hint="eastAsia" w:ascii="宋体" w:hAnsi="宋体"/>
          <w:sz w:val="22"/>
        </w:rPr>
        <w:t>1.6.4</w:t>
      </w:r>
      <w:r>
        <w:rPr>
          <w:rFonts w:ascii="宋体" w:hAnsi="宋体"/>
          <w:sz w:val="22"/>
        </w:rPr>
        <w:t>这份规格书只是原则性要求，并不是详尽的要求，投标人有责任对设计符合技术规范、标准负责</w:t>
      </w:r>
      <w:r>
        <w:rPr>
          <w:rFonts w:hint="eastAsia" w:ascii="宋体" w:hAnsi="宋体"/>
          <w:sz w:val="22"/>
        </w:rPr>
        <w:t>。</w:t>
      </w:r>
      <w:r>
        <w:rPr>
          <w:rFonts w:ascii="宋体" w:hAnsi="宋体"/>
          <w:sz w:val="22"/>
        </w:rPr>
        <w:t>招标人并不对此等资料足够与否或其可扩充性做出担保。</w:t>
      </w:r>
      <w:r>
        <w:rPr>
          <w:rFonts w:hint="eastAsia" w:ascii="宋体" w:hAnsi="宋体"/>
          <w:sz w:val="22"/>
        </w:rPr>
        <w:t>投标人</w:t>
      </w:r>
      <w:r>
        <w:rPr>
          <w:rFonts w:ascii="宋体" w:hAnsi="宋体"/>
          <w:sz w:val="22"/>
        </w:rPr>
        <w:t>应在设计、选配</w:t>
      </w:r>
      <w:r>
        <w:rPr>
          <w:rFonts w:hint="eastAsia" w:ascii="宋体" w:hAnsi="宋体"/>
          <w:sz w:val="22"/>
        </w:rPr>
        <w:t>设备</w:t>
      </w:r>
      <w:r>
        <w:rPr>
          <w:rFonts w:ascii="宋体" w:hAnsi="宋体"/>
          <w:sz w:val="22"/>
        </w:rPr>
        <w:t>前核实此等资料，确保该等资料的足够性及查看文件与文件间有否存在矛盾，如发现差异或信息不充分应立即通知招标人，协助招标人避免合同文件因各个部份有所差异或信息不充分可能带来的任何损失。</w:t>
      </w:r>
    </w:p>
    <w:p>
      <w:pPr>
        <w:adjustRightInd w:val="0"/>
        <w:snapToGrid w:val="0"/>
        <w:spacing w:line="360" w:lineRule="exact"/>
        <w:ind w:firstLine="440" w:firstLineChars="200"/>
        <w:rPr>
          <w:rFonts w:ascii="宋体" w:hAnsi="宋体"/>
          <w:sz w:val="22"/>
        </w:rPr>
      </w:pPr>
      <w:r>
        <w:rPr>
          <w:rFonts w:hint="eastAsia" w:ascii="宋体" w:hAnsi="宋体"/>
          <w:sz w:val="22"/>
        </w:rPr>
        <w:t>1.6.5</w:t>
      </w:r>
      <w:r>
        <w:rPr>
          <w:rFonts w:ascii="宋体" w:hAnsi="宋体"/>
          <w:sz w:val="22"/>
        </w:rPr>
        <w:t>整套设备及其主要部件的</w:t>
      </w:r>
      <w:r>
        <w:rPr>
          <w:rFonts w:hint="eastAsia" w:ascii="宋体" w:hAnsi="宋体"/>
          <w:sz w:val="22"/>
        </w:rPr>
        <w:t>产地、品牌</w:t>
      </w:r>
      <w:r>
        <w:rPr>
          <w:rFonts w:ascii="宋体" w:hAnsi="宋体"/>
          <w:sz w:val="22"/>
        </w:rPr>
        <w:t>须明确地标明在投标文件中。</w:t>
      </w:r>
    </w:p>
    <w:p>
      <w:pPr>
        <w:widowControl/>
        <w:adjustRightInd w:val="0"/>
        <w:snapToGrid w:val="0"/>
        <w:spacing w:line="360" w:lineRule="exact"/>
        <w:ind w:firstLine="325" w:firstLineChars="147"/>
        <w:rPr>
          <w:rFonts w:ascii="宋体" w:hAnsi="宋体"/>
          <w:b/>
          <w:bCs/>
          <w:sz w:val="22"/>
        </w:rPr>
      </w:pPr>
      <w:r>
        <w:rPr>
          <w:rFonts w:hint="eastAsia" w:ascii="宋体" w:hAnsi="宋体" w:cs="Calibri"/>
          <w:b/>
          <w:bCs/>
          <w:kern w:val="0"/>
          <w:sz w:val="22"/>
        </w:rPr>
        <w:t xml:space="preserve">2. </w:t>
      </w:r>
      <w:r>
        <w:rPr>
          <w:rFonts w:ascii="宋体" w:hAnsi="宋体"/>
          <w:b/>
          <w:bCs/>
          <w:sz w:val="22"/>
        </w:rPr>
        <w:t>货物需求一览表</w:t>
      </w:r>
    </w:p>
    <w:tbl>
      <w:tblPr>
        <w:tblStyle w:val="19"/>
        <w:tblW w:w="9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361"/>
        <w:gridCol w:w="2410"/>
        <w:gridCol w:w="18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58" w:type="dxa"/>
            <w:vAlign w:val="center"/>
          </w:tcPr>
          <w:p>
            <w:pPr>
              <w:adjustRightInd w:val="0"/>
              <w:snapToGrid w:val="0"/>
              <w:jc w:val="center"/>
              <w:rPr>
                <w:rFonts w:ascii="宋体" w:hAnsi="宋体"/>
                <w:caps/>
                <w:sz w:val="22"/>
              </w:rPr>
            </w:pPr>
            <w:r>
              <w:rPr>
                <w:rFonts w:ascii="宋体" w:hAnsi="宋体"/>
                <w:caps/>
                <w:sz w:val="22"/>
              </w:rPr>
              <w:t>货物名称</w:t>
            </w:r>
          </w:p>
        </w:tc>
        <w:tc>
          <w:tcPr>
            <w:tcW w:w="1361" w:type="dxa"/>
            <w:vAlign w:val="center"/>
          </w:tcPr>
          <w:p>
            <w:pPr>
              <w:adjustRightInd w:val="0"/>
              <w:snapToGrid w:val="0"/>
              <w:jc w:val="center"/>
              <w:rPr>
                <w:rFonts w:ascii="宋体" w:hAnsi="宋体"/>
                <w:caps/>
                <w:sz w:val="22"/>
              </w:rPr>
            </w:pPr>
            <w:r>
              <w:rPr>
                <w:rFonts w:ascii="宋体" w:hAnsi="宋体"/>
                <w:caps/>
                <w:sz w:val="22"/>
              </w:rPr>
              <w:t>数 量</w:t>
            </w:r>
          </w:p>
        </w:tc>
        <w:tc>
          <w:tcPr>
            <w:tcW w:w="2410" w:type="dxa"/>
            <w:vAlign w:val="center"/>
          </w:tcPr>
          <w:p>
            <w:pPr>
              <w:adjustRightInd w:val="0"/>
              <w:snapToGrid w:val="0"/>
              <w:jc w:val="center"/>
              <w:rPr>
                <w:rFonts w:ascii="宋体" w:hAnsi="宋体"/>
                <w:caps/>
                <w:sz w:val="22"/>
              </w:rPr>
            </w:pPr>
            <w:r>
              <w:rPr>
                <w:rFonts w:ascii="宋体" w:hAnsi="宋体"/>
                <w:caps/>
                <w:sz w:val="22"/>
              </w:rPr>
              <w:t>主要技术规格</w:t>
            </w:r>
          </w:p>
        </w:tc>
        <w:tc>
          <w:tcPr>
            <w:tcW w:w="1816" w:type="dxa"/>
            <w:vAlign w:val="center"/>
          </w:tcPr>
          <w:p>
            <w:pPr>
              <w:adjustRightInd w:val="0"/>
              <w:snapToGrid w:val="0"/>
              <w:jc w:val="center"/>
              <w:rPr>
                <w:rFonts w:ascii="宋体" w:hAnsi="宋体"/>
                <w:caps/>
                <w:sz w:val="22"/>
              </w:rPr>
            </w:pPr>
            <w:r>
              <w:rPr>
                <w:rFonts w:ascii="宋体" w:hAnsi="宋体"/>
                <w:caps/>
                <w:sz w:val="22"/>
              </w:rPr>
              <w:t>交货期</w:t>
            </w:r>
          </w:p>
        </w:tc>
        <w:tc>
          <w:tcPr>
            <w:tcW w:w="1984"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1958" w:type="dxa"/>
            <w:vAlign w:val="center"/>
          </w:tcPr>
          <w:p>
            <w:pPr>
              <w:snapToGrid w:val="0"/>
              <w:jc w:val="center"/>
              <w:rPr>
                <w:rFonts w:ascii="宋体" w:hAnsi="宋体"/>
                <w:sz w:val="22"/>
              </w:rPr>
            </w:pPr>
            <w:r>
              <w:rPr>
                <w:rFonts w:hint="eastAsia" w:ascii="宋体" w:hAnsi="宋体" w:cs="Calibri"/>
                <w:kern w:val="0"/>
                <w:sz w:val="22"/>
              </w:rPr>
              <w:t>全向声波驱鸟器采购项目</w:t>
            </w:r>
          </w:p>
        </w:tc>
        <w:tc>
          <w:tcPr>
            <w:tcW w:w="1361" w:type="dxa"/>
            <w:vAlign w:val="center"/>
          </w:tcPr>
          <w:p>
            <w:pPr>
              <w:snapToGrid w:val="0"/>
              <w:jc w:val="center"/>
              <w:rPr>
                <w:rFonts w:ascii="宋体" w:hAnsi="宋体"/>
                <w:sz w:val="22"/>
              </w:rPr>
            </w:pPr>
            <w:r>
              <w:rPr>
                <w:rFonts w:hint="eastAsia" w:ascii="宋体" w:hAnsi="宋体"/>
                <w:sz w:val="22"/>
              </w:rPr>
              <w:t>10台</w:t>
            </w:r>
          </w:p>
        </w:tc>
        <w:tc>
          <w:tcPr>
            <w:tcW w:w="2410" w:type="dxa"/>
            <w:vAlign w:val="center"/>
          </w:tcPr>
          <w:p>
            <w:pPr>
              <w:pStyle w:val="4"/>
              <w:snapToGrid w:val="0"/>
              <w:rPr>
                <w:rFonts w:ascii="宋体" w:hAnsi="宋体"/>
                <w:sz w:val="22"/>
                <w:szCs w:val="22"/>
              </w:rPr>
            </w:pPr>
            <w:r>
              <w:rPr>
                <w:rFonts w:hint="eastAsia" w:ascii="宋体" w:hAnsi="宋体"/>
                <w:sz w:val="22"/>
                <w:szCs w:val="22"/>
              </w:rPr>
              <w:t>每台不少于两个发声层；</w:t>
            </w:r>
          </w:p>
          <w:p>
            <w:pPr>
              <w:pStyle w:val="4"/>
              <w:snapToGrid w:val="0"/>
              <w:rPr>
                <w:rFonts w:ascii="宋体" w:hAnsi="宋体"/>
                <w:sz w:val="22"/>
                <w:szCs w:val="22"/>
              </w:rPr>
            </w:pPr>
            <w:r>
              <w:rPr>
                <w:rFonts w:hint="eastAsia" w:ascii="宋体" w:hAnsi="宋体"/>
                <w:sz w:val="22"/>
                <w:szCs w:val="22"/>
              </w:rPr>
              <w:t>声音驱散半径不小于300米；</w:t>
            </w:r>
          </w:p>
          <w:p>
            <w:pPr>
              <w:pStyle w:val="4"/>
              <w:snapToGrid w:val="0"/>
              <w:rPr>
                <w:rFonts w:ascii="宋体" w:hAnsi="宋体"/>
                <w:sz w:val="22"/>
                <w:szCs w:val="22"/>
              </w:rPr>
            </w:pPr>
            <w:r>
              <w:rPr>
                <w:rFonts w:hint="eastAsia" w:ascii="宋体" w:hAnsi="宋体"/>
                <w:sz w:val="22"/>
                <w:szCs w:val="22"/>
              </w:rPr>
              <w:t>最大声级不小于125分贝</w:t>
            </w:r>
          </w:p>
        </w:tc>
        <w:tc>
          <w:tcPr>
            <w:tcW w:w="1816" w:type="dxa"/>
            <w:vAlign w:val="center"/>
          </w:tcPr>
          <w:p>
            <w:pPr>
              <w:adjustRightInd w:val="0"/>
              <w:snapToGrid w:val="0"/>
              <w:jc w:val="center"/>
              <w:rPr>
                <w:rFonts w:ascii="宋体" w:hAnsi="宋体"/>
                <w:sz w:val="22"/>
              </w:rPr>
            </w:pPr>
            <w:r>
              <w:rPr>
                <w:rFonts w:hint="eastAsia" w:ascii="宋体" w:hAnsi="宋体"/>
                <w:sz w:val="22"/>
              </w:rPr>
              <w:t>合同签订完毕后15个日历天内</w:t>
            </w:r>
          </w:p>
        </w:tc>
        <w:tc>
          <w:tcPr>
            <w:tcW w:w="1984" w:type="dxa"/>
            <w:vAlign w:val="center"/>
          </w:tcPr>
          <w:p>
            <w:pPr>
              <w:adjustRightInd w:val="0"/>
              <w:snapToGrid w:val="0"/>
              <w:jc w:val="center"/>
              <w:rPr>
                <w:rFonts w:ascii="宋体" w:hAnsi="宋体"/>
                <w:sz w:val="22"/>
              </w:rPr>
            </w:pPr>
            <w:r>
              <w:rPr>
                <w:rFonts w:hint="eastAsia" w:ascii="宋体" w:hAnsi="宋体"/>
                <w:sz w:val="22"/>
              </w:rPr>
              <w:t>2台</w:t>
            </w:r>
            <w:r>
              <w:rPr>
                <w:rFonts w:ascii="宋体" w:hAnsi="宋体"/>
                <w:sz w:val="22"/>
              </w:rPr>
              <w:t>杭州萧山国际机场</w:t>
            </w:r>
            <w:r>
              <w:rPr>
                <w:rFonts w:hint="eastAsia" w:ascii="宋体" w:hAnsi="宋体"/>
                <w:sz w:val="22"/>
              </w:rPr>
              <w:t>；8台宁波栎社国际机场</w:t>
            </w:r>
          </w:p>
        </w:tc>
      </w:tr>
    </w:tbl>
    <w:p>
      <w:pPr>
        <w:ind w:firstLine="433" w:firstLineChars="196"/>
        <w:rPr>
          <w:rFonts w:ascii="宋体" w:hAnsi="宋体"/>
          <w:b/>
          <w:sz w:val="22"/>
        </w:rPr>
      </w:pPr>
      <w:r>
        <w:rPr>
          <w:rFonts w:hint="eastAsia" w:ascii="宋体" w:hAnsi="宋体"/>
          <w:b/>
          <w:sz w:val="22"/>
        </w:rPr>
        <w:t>3. 全向声波驱鸟器原理及技术要求</w:t>
      </w:r>
    </w:p>
    <w:p>
      <w:pPr>
        <w:ind w:firstLine="440" w:firstLineChars="200"/>
        <w:rPr>
          <w:rFonts w:ascii="宋体" w:hAnsi="宋体"/>
          <w:sz w:val="22"/>
        </w:rPr>
      </w:pPr>
      <w:r>
        <w:rPr>
          <w:rFonts w:hint="eastAsia" w:ascii="宋体" w:hAnsi="宋体"/>
          <w:sz w:val="22"/>
        </w:rPr>
        <w:t>3.1工作要求</w:t>
      </w:r>
    </w:p>
    <w:p>
      <w:pPr>
        <w:ind w:firstLine="440" w:firstLineChars="200"/>
        <w:rPr>
          <w:rFonts w:ascii="宋体" w:hAnsi="宋体"/>
          <w:sz w:val="22"/>
        </w:rPr>
      </w:pPr>
      <w:r>
        <w:rPr>
          <w:rFonts w:hint="eastAsia" w:ascii="宋体" w:hAnsi="宋体"/>
          <w:sz w:val="22"/>
        </w:rPr>
        <w:t>本次招标全向声波驱鸟器应为成熟产品，设备应由发声层、控制系统、供电系统、安装平台、安全系统等组成。由太阳能供电系统提供电源，360°全方位发射高强度、高逼真度的驱鸟音频，以达到驱赶鸟群的效果。</w:t>
      </w:r>
    </w:p>
    <w:p>
      <w:pPr>
        <w:ind w:firstLine="440" w:firstLineChars="200"/>
        <w:rPr>
          <w:rFonts w:ascii="宋体" w:hAnsi="宋体"/>
          <w:sz w:val="22"/>
        </w:rPr>
      </w:pPr>
      <w:r>
        <w:rPr>
          <w:rFonts w:hint="eastAsia" w:ascii="宋体" w:hAnsi="宋体"/>
          <w:sz w:val="22"/>
        </w:rPr>
        <w:t>3.2 设备要求</w:t>
      </w:r>
    </w:p>
    <w:p>
      <w:pPr>
        <w:widowControl/>
        <w:spacing w:line="240" w:lineRule="atLeast"/>
        <w:ind w:firstLine="448"/>
        <w:rPr>
          <w:rFonts w:ascii="宋体" w:hAnsi="宋体"/>
          <w:sz w:val="22"/>
        </w:rPr>
      </w:pPr>
      <w:r>
        <w:rPr>
          <w:rFonts w:hint="eastAsia" w:ascii="宋体" w:hAnsi="宋体"/>
          <w:sz w:val="22"/>
        </w:rPr>
        <w:t>发声层：不少于2层</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最大声级：1米处不小于125分贝</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驱散半径：不小于300米</w:t>
      </w:r>
    </w:p>
    <w:p>
      <w:pPr>
        <w:spacing w:line="240" w:lineRule="atLeast"/>
        <w:ind w:firstLine="450"/>
        <w:rPr>
          <w:rFonts w:ascii="宋体" w:hAnsi="宋体"/>
          <w:sz w:val="22"/>
        </w:rPr>
      </w:pPr>
      <w:r>
        <w:rPr>
          <w:rFonts w:hint="eastAsia" w:ascii="宋体" w:hAnsi="宋体"/>
          <w:sz w:val="22"/>
        </w:rPr>
        <w:t>供电：太阳能（</w:t>
      </w:r>
      <w:r>
        <w:rPr>
          <w:rFonts w:hint="eastAsia" w:cs="Calibri" w:asciiTheme="minorEastAsia" w:hAnsiTheme="minorEastAsia"/>
          <w:sz w:val="22"/>
        </w:rPr>
        <w:t>通过使用单晶体硅太阳能电池板及充电控制器，白天利用光太阳能板产生的电能向蓄电池充电，无需外部电力；内置12V100AH免维护型蓄电池，充满电后能保证在7天以上无日照天气下正常供电）</w:t>
      </w:r>
      <w:r>
        <w:rPr>
          <w:rFonts w:hint="eastAsia" w:ascii="宋体" w:hAnsi="宋体"/>
          <w:sz w:val="22"/>
        </w:rPr>
        <w:t>，也可使用市电供电。</w:t>
      </w:r>
    </w:p>
    <w:p>
      <w:pPr>
        <w:spacing w:line="240" w:lineRule="atLeast"/>
        <w:ind w:firstLine="450"/>
        <w:rPr>
          <w:rFonts w:ascii="宋体" w:hAnsi="宋体"/>
          <w:sz w:val="22"/>
        </w:rPr>
      </w:pPr>
      <w:r>
        <w:rPr>
          <w:rFonts w:hint="eastAsia" w:ascii="宋体" w:hAnsi="宋体"/>
          <w:sz w:val="22"/>
        </w:rPr>
        <w:t>功率：额定功率</w:t>
      </w:r>
      <w:r>
        <w:rPr>
          <w:rFonts w:hint="eastAsia" w:asciiTheme="minorEastAsia" w:hAnsiTheme="minorEastAsia"/>
          <w:sz w:val="22"/>
        </w:rPr>
        <w:t>≦</w:t>
      </w:r>
      <w:r>
        <w:rPr>
          <w:rFonts w:ascii="宋体" w:hAnsi="宋体"/>
          <w:sz w:val="22"/>
        </w:rPr>
        <w:t>120W,</w:t>
      </w:r>
      <w:r>
        <w:rPr>
          <w:rFonts w:hint="eastAsia" w:ascii="宋体" w:hAnsi="宋体"/>
          <w:sz w:val="22"/>
        </w:rPr>
        <w:t>最大功率</w:t>
      </w:r>
      <w:r>
        <w:rPr>
          <w:rFonts w:hint="eastAsia" w:asciiTheme="minorEastAsia" w:hAnsiTheme="minorEastAsia"/>
          <w:sz w:val="22"/>
        </w:rPr>
        <w:t>≦</w:t>
      </w:r>
      <w:r>
        <w:rPr>
          <w:rFonts w:ascii="宋体" w:hAnsi="宋体"/>
          <w:sz w:val="22"/>
        </w:rPr>
        <w:t>300W，待机功率0W</w:t>
      </w:r>
    </w:p>
    <w:p>
      <w:pPr>
        <w:widowControl/>
        <w:spacing w:line="240" w:lineRule="atLeast"/>
        <w:ind w:firstLine="448"/>
        <w:rPr>
          <w:rFonts w:ascii="宋体" w:hAnsi="宋体"/>
          <w:sz w:val="22"/>
        </w:rPr>
      </w:pPr>
      <w:r>
        <w:rPr>
          <w:rFonts w:hint="eastAsia" w:ascii="宋体" w:hAnsi="宋体"/>
          <w:sz w:val="22"/>
        </w:rPr>
        <w:t>音频内存：投标人提供专业驱鸟音频库，音频频率应可自动变换以防鸟类适应。应可根据机场鸟群定制音频，设备交付时，每套设备应提供不少于20种的驱鸟音频，并提供相应存储介质以方便用户定期更换音频。</w:t>
      </w:r>
    </w:p>
    <w:p>
      <w:pPr>
        <w:spacing w:line="240" w:lineRule="atLeast"/>
        <w:ind w:firstLine="450"/>
        <w:rPr>
          <w:rFonts w:ascii="宋体" w:hAnsi="宋体"/>
          <w:sz w:val="22"/>
        </w:rPr>
      </w:pPr>
      <w:r>
        <w:rPr>
          <w:rFonts w:hint="eastAsia" w:ascii="宋体" w:hAnsi="宋体"/>
          <w:sz w:val="22"/>
        </w:rPr>
        <w:t>发声设备重量：&lt;15 kg</w:t>
      </w:r>
    </w:p>
    <w:p>
      <w:pPr>
        <w:spacing w:line="240" w:lineRule="atLeast"/>
        <w:ind w:firstLine="450"/>
        <w:rPr>
          <w:rFonts w:ascii="宋体" w:hAnsi="宋体"/>
          <w:sz w:val="22"/>
        </w:rPr>
      </w:pPr>
      <w:r>
        <w:rPr>
          <w:rFonts w:hint="eastAsia" w:ascii="宋体" w:hAnsi="宋体"/>
          <w:sz w:val="22"/>
        </w:rPr>
        <w:t>发声设备高度：&lt;80 cm</w:t>
      </w:r>
    </w:p>
    <w:p>
      <w:pPr>
        <w:spacing w:line="240" w:lineRule="atLeast"/>
        <w:ind w:firstLine="450"/>
        <w:rPr>
          <w:rFonts w:ascii="宋体" w:hAnsi="宋体"/>
          <w:sz w:val="22"/>
        </w:rPr>
      </w:pPr>
      <w:r>
        <w:rPr>
          <w:rFonts w:hint="eastAsia" w:ascii="宋体" w:hAnsi="宋体"/>
          <w:sz w:val="22"/>
        </w:rPr>
        <w:t>发声设备直径：&lt;50 cm</w:t>
      </w:r>
    </w:p>
    <w:p>
      <w:pPr>
        <w:spacing w:line="240" w:lineRule="atLeast"/>
        <w:ind w:firstLine="450"/>
        <w:rPr>
          <w:rFonts w:ascii="宋体" w:hAnsi="宋体"/>
          <w:sz w:val="22"/>
        </w:rPr>
      </w:pPr>
      <w:r>
        <w:rPr>
          <w:rFonts w:hint="eastAsia" w:ascii="宋体" w:hAnsi="宋体"/>
          <w:sz w:val="22"/>
        </w:rPr>
        <w:t>外接设备：预留外接设备接口，可选配摄像头和视频控制软件，实现实时远程鸟情观测和系统作业效果监测。</w:t>
      </w:r>
    </w:p>
    <w:p>
      <w:pPr>
        <w:spacing w:line="240" w:lineRule="atLeast"/>
        <w:ind w:firstLine="450"/>
        <w:rPr>
          <w:rFonts w:ascii="宋体" w:hAnsi="宋体"/>
          <w:sz w:val="22"/>
        </w:rPr>
      </w:pPr>
      <w:r>
        <w:rPr>
          <w:rFonts w:hint="eastAsia" w:ascii="宋体" w:hAnsi="宋体"/>
          <w:sz w:val="22"/>
        </w:rPr>
        <w:t>★适应性：可适应飞行区土面区或车载等露天环境，具有抗高温、耐低温、防水、防尘、抗震等特性。</w:t>
      </w:r>
    </w:p>
    <w:p>
      <w:pPr>
        <w:spacing w:line="240" w:lineRule="atLeast"/>
        <w:ind w:firstLine="450"/>
        <w:rPr>
          <w:rFonts w:ascii="宋体" w:hAnsi="宋体"/>
          <w:sz w:val="22"/>
        </w:rPr>
      </w:pPr>
      <w:r>
        <w:rPr>
          <w:rFonts w:hint="eastAsia" w:ascii="宋体" w:hAnsi="宋体"/>
          <w:sz w:val="22"/>
        </w:rPr>
        <w:t>安全性：发射信号不影响机场通信；具有避雷装置；安全性能有权威机构认证。</w:t>
      </w:r>
    </w:p>
    <w:p>
      <w:pPr>
        <w:widowControl/>
        <w:spacing w:line="240" w:lineRule="atLeast"/>
        <w:ind w:firstLine="448"/>
        <w:rPr>
          <w:rFonts w:ascii="宋体" w:hAnsi="宋体"/>
          <w:sz w:val="22"/>
        </w:rPr>
      </w:pPr>
      <w:r>
        <w:rPr>
          <w:rFonts w:hint="eastAsia" w:ascii="宋体" w:hAnsi="宋体"/>
          <w:sz w:val="22"/>
        </w:rPr>
        <w:t>★操作性：可设定设备开关、音量调节、复位、工作模式等功能，并可根据用户需求，设定声音播放时间及时间间隔；易于安装和维护。</w:t>
      </w:r>
    </w:p>
    <w:p>
      <w:pPr>
        <w:spacing w:line="240" w:lineRule="atLeast"/>
        <w:ind w:firstLine="450"/>
        <w:rPr>
          <w:rFonts w:ascii="宋体" w:hAnsi="宋体"/>
          <w:sz w:val="22"/>
        </w:rPr>
      </w:pPr>
      <w:r>
        <w:rPr>
          <w:rFonts w:hint="eastAsia" w:ascii="宋体" w:hAnsi="宋体"/>
          <w:sz w:val="22"/>
        </w:rPr>
        <w:t>智能控制：通过遥控器可启动、关闭驱鸟器，遥控距离至少1000米。</w:t>
      </w:r>
    </w:p>
    <w:p>
      <w:pPr>
        <w:spacing w:line="240" w:lineRule="atLeast"/>
        <w:ind w:firstLine="450"/>
        <w:rPr>
          <w:rFonts w:ascii="宋体" w:hAnsi="宋体"/>
          <w:sz w:val="22"/>
        </w:rPr>
      </w:pPr>
      <w:r>
        <w:rPr>
          <w:rFonts w:hint="eastAsia" w:ascii="宋体" w:hAnsi="宋体"/>
          <w:sz w:val="22"/>
        </w:rPr>
        <w:t>便捷性：全向声波驱鸟器应为成熟产品，集成在可移动平台上，整体便于固定、移动。</w:t>
      </w:r>
    </w:p>
    <w:p>
      <w:pPr>
        <w:spacing w:line="240" w:lineRule="atLeast"/>
        <w:ind w:firstLine="450"/>
        <w:rPr>
          <w:rFonts w:ascii="宋体" w:hAnsi="宋体"/>
          <w:sz w:val="22"/>
        </w:rPr>
      </w:pPr>
      <w:r>
        <w:rPr>
          <w:rFonts w:hint="eastAsia" w:ascii="宋体" w:hAnsi="宋体"/>
          <w:sz w:val="22"/>
        </w:rPr>
        <w:t>中标方交付的产品不得为库存货品，须2019年1月1日之后生产。 </w:t>
      </w:r>
    </w:p>
    <w:p>
      <w:pPr>
        <w:spacing w:line="240" w:lineRule="atLeast"/>
        <w:ind w:firstLine="433" w:firstLineChars="196"/>
        <w:rPr>
          <w:rFonts w:ascii="宋体" w:hAnsi="宋体"/>
          <w:b/>
          <w:sz w:val="22"/>
        </w:rPr>
      </w:pPr>
      <w:r>
        <w:rPr>
          <w:rFonts w:hint="eastAsia" w:ascii="宋体" w:hAnsi="宋体"/>
          <w:b/>
          <w:sz w:val="22"/>
        </w:rPr>
        <w:t>4. 检测、维修设备和工具</w:t>
      </w:r>
    </w:p>
    <w:p>
      <w:pPr>
        <w:widowControl/>
        <w:adjustRightInd w:val="0"/>
        <w:snapToGrid w:val="0"/>
        <w:spacing w:line="360" w:lineRule="exact"/>
        <w:ind w:firstLine="440" w:firstLineChars="200"/>
        <w:rPr>
          <w:rFonts w:ascii="宋体" w:hAnsi="宋体"/>
          <w:sz w:val="22"/>
        </w:rPr>
      </w:pPr>
      <w:r>
        <w:rPr>
          <w:rFonts w:ascii="宋体" w:hAnsi="宋体"/>
          <w:sz w:val="22"/>
        </w:rPr>
        <w:t xml:space="preserve">4.1 </w:t>
      </w:r>
      <w:r>
        <w:rPr>
          <w:rFonts w:ascii="宋体" w:hAnsi="宋体"/>
          <w:sz w:val="22"/>
        </w:rPr>
        <w:tab/>
      </w:r>
      <w:r>
        <w:rPr>
          <w:rFonts w:hint="eastAsia" w:ascii="宋体" w:hAnsi="宋体"/>
          <w:sz w:val="22"/>
        </w:rPr>
        <w:t>投标人应提供检测设备（包括附件、使用手册）。</w:t>
      </w:r>
    </w:p>
    <w:p>
      <w:pPr>
        <w:widowControl/>
        <w:adjustRightInd w:val="0"/>
        <w:snapToGrid w:val="0"/>
        <w:spacing w:line="360" w:lineRule="exact"/>
        <w:ind w:firstLine="440" w:firstLineChars="200"/>
        <w:rPr>
          <w:rFonts w:ascii="宋体" w:hAnsi="宋体"/>
          <w:sz w:val="22"/>
        </w:rPr>
      </w:pPr>
      <w:r>
        <w:rPr>
          <w:rFonts w:ascii="宋体" w:hAnsi="宋体"/>
          <w:sz w:val="22"/>
        </w:rPr>
        <w:t>4.2</w:t>
      </w:r>
      <w:r>
        <w:rPr>
          <w:rFonts w:ascii="宋体" w:hAnsi="宋体"/>
          <w:sz w:val="22"/>
        </w:rPr>
        <w:tab/>
      </w:r>
      <w:r>
        <w:rPr>
          <w:rFonts w:hint="eastAsia" w:ascii="宋体" w:hAnsi="宋体"/>
          <w:sz w:val="22"/>
        </w:rPr>
        <w:t xml:space="preserve"> 所有检测设备及工具必须是全新的，并且不得用于调试和试运行，能在要求的现场条件下正常使用。</w:t>
      </w:r>
    </w:p>
    <w:p>
      <w:pPr>
        <w:widowControl/>
        <w:adjustRightInd w:val="0"/>
        <w:snapToGrid w:val="0"/>
        <w:spacing w:line="360" w:lineRule="exact"/>
        <w:ind w:firstLine="440" w:firstLineChars="200"/>
        <w:rPr>
          <w:rFonts w:ascii="宋体" w:hAnsi="宋体"/>
          <w:sz w:val="22"/>
        </w:rPr>
      </w:pPr>
      <w:r>
        <w:rPr>
          <w:rFonts w:ascii="宋体" w:hAnsi="宋体"/>
          <w:sz w:val="22"/>
        </w:rPr>
        <w:t>4</w:t>
      </w:r>
      <w:r>
        <w:rPr>
          <w:rFonts w:hint="eastAsia" w:ascii="宋体" w:hAnsi="宋体"/>
          <w:sz w:val="22"/>
        </w:rPr>
        <w:t>.</w:t>
      </w:r>
      <w:r>
        <w:rPr>
          <w:rFonts w:ascii="宋体" w:hAnsi="宋体"/>
          <w:sz w:val="22"/>
        </w:rPr>
        <w:t xml:space="preserve">3 </w:t>
      </w:r>
      <w:r>
        <w:rPr>
          <w:rFonts w:ascii="宋体" w:hAnsi="宋体"/>
          <w:sz w:val="22"/>
        </w:rPr>
        <w:tab/>
      </w:r>
      <w:r>
        <w:rPr>
          <w:rFonts w:hint="eastAsia" w:ascii="宋体" w:hAnsi="宋体"/>
          <w:sz w:val="22"/>
        </w:rPr>
        <w:t>维修设备、工具和相应的包装箱、工具盒应与全向声波驱鸟器一同移交。</w:t>
      </w:r>
    </w:p>
    <w:p>
      <w:pPr>
        <w:adjustRightInd w:val="0"/>
        <w:snapToGrid w:val="0"/>
        <w:spacing w:line="360" w:lineRule="exact"/>
        <w:ind w:firstLine="433" w:firstLineChars="196"/>
        <w:rPr>
          <w:rFonts w:ascii="宋体" w:hAnsi="宋体"/>
          <w:b/>
          <w:bCs/>
          <w:sz w:val="22"/>
        </w:rPr>
      </w:pPr>
      <w:r>
        <w:rPr>
          <w:rFonts w:hint="eastAsia" w:ascii="宋体" w:hAnsi="宋体"/>
          <w:b/>
          <w:bCs/>
          <w:sz w:val="22"/>
        </w:rPr>
        <w:t xml:space="preserve">5. </w:t>
      </w:r>
      <w:r>
        <w:rPr>
          <w:rFonts w:ascii="宋体" w:hAnsi="宋体"/>
          <w:b/>
          <w:bCs/>
          <w:sz w:val="22"/>
        </w:rPr>
        <w:t>运输、包装</w:t>
      </w:r>
    </w:p>
    <w:p>
      <w:pPr>
        <w:adjustRightInd w:val="0"/>
        <w:snapToGrid w:val="0"/>
        <w:spacing w:line="360" w:lineRule="exact"/>
        <w:ind w:firstLine="440" w:firstLineChars="200"/>
        <w:rPr>
          <w:rFonts w:ascii="宋体" w:hAnsi="宋体"/>
          <w:sz w:val="22"/>
        </w:rPr>
      </w:pPr>
      <w:r>
        <w:rPr>
          <w:rFonts w:hint="eastAsia" w:ascii="宋体" w:hAnsi="宋体"/>
          <w:sz w:val="22"/>
        </w:rPr>
        <w:t>5</w:t>
      </w:r>
      <w:r>
        <w:rPr>
          <w:rFonts w:ascii="宋体" w:hAnsi="宋体"/>
          <w:sz w:val="22"/>
        </w:rPr>
        <w:t>.1投标人所提供设备的包装应适合运输和装卸，一切由于包装和运输过程中而引起的任何破损和毁坏均由投标人负责。</w:t>
      </w:r>
    </w:p>
    <w:p>
      <w:pPr>
        <w:adjustRightInd w:val="0"/>
        <w:snapToGrid w:val="0"/>
        <w:spacing w:line="360" w:lineRule="exact"/>
        <w:ind w:firstLine="440" w:firstLineChars="200"/>
        <w:rPr>
          <w:rFonts w:ascii="宋体" w:hAnsi="宋体"/>
          <w:sz w:val="22"/>
        </w:rPr>
      </w:pPr>
      <w:r>
        <w:rPr>
          <w:rFonts w:hint="eastAsia" w:ascii="宋体" w:hAnsi="宋体"/>
          <w:sz w:val="22"/>
        </w:rPr>
        <w:t>5</w:t>
      </w:r>
      <w:r>
        <w:rPr>
          <w:rFonts w:ascii="宋体" w:hAnsi="宋体"/>
          <w:sz w:val="22"/>
        </w:rPr>
        <w:t>.2备件和检测维修设备及工具应与设备分开包装。这些包装箱盒应适合储存，储存年限应在包装上予以说明。所有备件和检测维修设备及工具应有中文标示。</w:t>
      </w:r>
    </w:p>
    <w:p>
      <w:pPr>
        <w:widowControl/>
        <w:snapToGrid w:val="0"/>
        <w:spacing w:line="360" w:lineRule="exact"/>
        <w:ind w:right="-281" w:rightChars="-134" w:firstLine="442" w:firstLineChars="200"/>
        <w:rPr>
          <w:rFonts w:ascii="宋体" w:hAnsi="宋体"/>
          <w:b/>
          <w:sz w:val="22"/>
        </w:rPr>
      </w:pPr>
      <w:r>
        <w:rPr>
          <w:rFonts w:hint="eastAsia" w:ascii="宋体" w:hAnsi="宋体"/>
          <w:b/>
          <w:sz w:val="22"/>
        </w:rPr>
        <w:t>6. 最终验收</w:t>
      </w:r>
    </w:p>
    <w:p>
      <w:pPr>
        <w:widowControl/>
        <w:snapToGrid w:val="0"/>
        <w:spacing w:line="360" w:lineRule="exact"/>
        <w:ind w:right="-281" w:rightChars="-134" w:firstLine="440" w:firstLineChars="200"/>
        <w:rPr>
          <w:rFonts w:ascii="宋体" w:hAnsi="宋体"/>
          <w:sz w:val="22"/>
        </w:rPr>
      </w:pPr>
      <w:r>
        <w:rPr>
          <w:rFonts w:hint="eastAsia" w:ascii="宋体" w:hAnsi="宋体"/>
          <w:sz w:val="22"/>
        </w:rPr>
        <w:t>6.</w:t>
      </w:r>
      <w:r>
        <w:rPr>
          <w:rFonts w:ascii="宋体" w:hAnsi="宋体"/>
          <w:sz w:val="22"/>
        </w:rPr>
        <w:t>1</w:t>
      </w:r>
      <w:r>
        <w:rPr>
          <w:rFonts w:hint="eastAsia" w:ascii="宋体" w:hAnsi="宋体"/>
          <w:sz w:val="22"/>
        </w:rPr>
        <w:t xml:space="preserve"> 试运行10天后，招标人和投标人按验收计划进行最终验收。</w:t>
      </w:r>
    </w:p>
    <w:p>
      <w:pPr>
        <w:widowControl/>
        <w:snapToGrid w:val="0"/>
        <w:spacing w:line="360" w:lineRule="exact"/>
        <w:ind w:right="-281" w:rightChars="-134" w:firstLine="440" w:firstLineChars="200"/>
        <w:rPr>
          <w:rFonts w:ascii="宋体" w:hAnsi="宋体"/>
          <w:sz w:val="22"/>
        </w:rPr>
      </w:pPr>
      <w:r>
        <w:rPr>
          <w:rFonts w:hint="eastAsia" w:ascii="宋体" w:hAnsi="宋体"/>
          <w:sz w:val="22"/>
        </w:rPr>
        <w:t>6</w:t>
      </w:r>
      <w:r>
        <w:rPr>
          <w:rFonts w:ascii="宋体" w:hAnsi="宋体"/>
          <w:sz w:val="22"/>
        </w:rPr>
        <w:t>.2</w:t>
      </w:r>
      <w:r>
        <w:rPr>
          <w:rFonts w:hint="eastAsia" w:ascii="宋体" w:hAnsi="宋体"/>
          <w:sz w:val="22"/>
        </w:rPr>
        <w:t xml:space="preserve"> 验收合格条件</w:t>
      </w:r>
    </w:p>
    <w:p>
      <w:pPr>
        <w:widowControl/>
        <w:snapToGrid w:val="0"/>
        <w:spacing w:line="360" w:lineRule="exact"/>
        <w:ind w:right="-281" w:rightChars="-134" w:firstLine="550" w:firstLineChars="250"/>
        <w:rPr>
          <w:rFonts w:ascii="宋体" w:hAnsi="宋体"/>
          <w:sz w:val="22"/>
        </w:rPr>
      </w:pPr>
      <w:r>
        <w:rPr>
          <w:rFonts w:hint="eastAsia" w:ascii="宋体" w:hAnsi="宋体"/>
          <w:sz w:val="22"/>
        </w:rPr>
        <w:t>6.2.1试运行时，各项性能指标满足本章第3条所列要求。</w:t>
      </w:r>
    </w:p>
    <w:p>
      <w:pPr>
        <w:widowControl/>
        <w:snapToGrid w:val="0"/>
        <w:spacing w:line="360" w:lineRule="exact"/>
        <w:ind w:right="-281" w:rightChars="-134" w:firstLine="550" w:firstLineChars="250"/>
        <w:rPr>
          <w:rFonts w:ascii="宋体" w:hAnsi="宋体"/>
          <w:sz w:val="22"/>
        </w:rPr>
      </w:pPr>
      <w:r>
        <w:rPr>
          <w:rFonts w:hint="eastAsia" w:ascii="宋体" w:hAnsi="宋体"/>
          <w:sz w:val="22"/>
        </w:rPr>
        <w:t>6.2.2调试和试运行时出现的问题已被解决至招标人认可。</w:t>
      </w:r>
    </w:p>
    <w:p>
      <w:pPr>
        <w:widowControl/>
        <w:adjustRightInd w:val="0"/>
        <w:snapToGrid w:val="0"/>
        <w:spacing w:line="360" w:lineRule="exact"/>
        <w:ind w:firstLine="550" w:firstLineChars="250"/>
        <w:rPr>
          <w:rFonts w:ascii="宋体" w:hAnsi="宋体"/>
          <w:sz w:val="22"/>
        </w:rPr>
      </w:pPr>
      <w:r>
        <w:rPr>
          <w:rFonts w:hint="eastAsia" w:ascii="宋体" w:hAnsi="宋体"/>
          <w:sz w:val="22"/>
        </w:rPr>
        <w:t>6.2.3已提供了合同范围内的全部货物和资料。</w:t>
      </w:r>
    </w:p>
    <w:p>
      <w:pPr>
        <w:widowControl/>
        <w:adjustRightInd w:val="0"/>
        <w:snapToGrid w:val="0"/>
        <w:spacing w:line="360" w:lineRule="exact"/>
        <w:ind w:firstLine="440" w:firstLineChars="200"/>
        <w:rPr>
          <w:rFonts w:ascii="宋体" w:hAnsi="宋体"/>
          <w:sz w:val="22"/>
        </w:rPr>
      </w:pPr>
      <w:r>
        <w:rPr>
          <w:rFonts w:hint="eastAsia" w:ascii="宋体" w:hAnsi="宋体"/>
          <w:sz w:val="22"/>
        </w:rPr>
        <w:t>6</w:t>
      </w:r>
      <w:r>
        <w:rPr>
          <w:rFonts w:ascii="宋体" w:hAnsi="宋体"/>
          <w:sz w:val="22"/>
        </w:rPr>
        <w:t>.3</w:t>
      </w:r>
      <w:r>
        <w:rPr>
          <w:rFonts w:hint="eastAsia" w:ascii="宋体" w:hAnsi="宋体"/>
          <w:sz w:val="22"/>
        </w:rPr>
        <w:t xml:space="preserve"> 验收时须提供的资料</w:t>
      </w:r>
    </w:p>
    <w:p>
      <w:pPr>
        <w:widowControl/>
        <w:adjustRightInd w:val="0"/>
        <w:snapToGrid w:val="0"/>
        <w:spacing w:line="360" w:lineRule="exact"/>
        <w:ind w:firstLine="440" w:firstLineChars="200"/>
        <w:rPr>
          <w:rFonts w:ascii="宋体" w:hAnsi="宋体"/>
          <w:sz w:val="22"/>
        </w:rPr>
      </w:pPr>
      <w:r>
        <w:rPr>
          <w:rFonts w:hint="eastAsia" w:ascii="宋体" w:hAnsi="宋体"/>
          <w:sz w:val="22"/>
        </w:rPr>
        <w:t>6.3.1交货设备清单（含附属工具和设备、备件清单）；</w:t>
      </w:r>
    </w:p>
    <w:p>
      <w:pPr>
        <w:widowControl/>
        <w:adjustRightInd w:val="0"/>
        <w:snapToGrid w:val="0"/>
        <w:spacing w:line="360" w:lineRule="exact"/>
        <w:ind w:firstLine="440" w:firstLineChars="200"/>
        <w:rPr>
          <w:rFonts w:ascii="宋体" w:hAnsi="宋体"/>
          <w:sz w:val="22"/>
        </w:rPr>
      </w:pPr>
      <w:r>
        <w:rPr>
          <w:rFonts w:hint="eastAsia" w:ascii="宋体" w:hAnsi="宋体"/>
          <w:sz w:val="22"/>
        </w:rPr>
        <w:t>6.3.2质量证明书和出厂检测报告（合格证），使用和维护说明书；</w:t>
      </w:r>
    </w:p>
    <w:p>
      <w:pPr>
        <w:widowControl/>
        <w:adjustRightInd w:val="0"/>
        <w:snapToGrid w:val="0"/>
        <w:spacing w:line="360" w:lineRule="exact"/>
        <w:ind w:firstLine="440" w:firstLineChars="200"/>
        <w:rPr>
          <w:rFonts w:ascii="宋体" w:hAnsi="宋体"/>
          <w:sz w:val="22"/>
        </w:rPr>
      </w:pPr>
      <w:r>
        <w:rPr>
          <w:rFonts w:hint="eastAsia" w:ascii="宋体" w:hAnsi="宋体"/>
          <w:sz w:val="22"/>
        </w:rPr>
        <w:t>6.3.3主要配套部件的结构图、原理图和操作维修手册；</w:t>
      </w:r>
    </w:p>
    <w:p>
      <w:pPr>
        <w:widowControl/>
        <w:adjustRightInd w:val="0"/>
        <w:snapToGrid w:val="0"/>
        <w:spacing w:line="360" w:lineRule="exact"/>
        <w:ind w:firstLine="440" w:firstLineChars="200"/>
        <w:rPr>
          <w:rFonts w:ascii="宋体" w:hAnsi="宋体"/>
          <w:sz w:val="22"/>
        </w:rPr>
      </w:pPr>
      <w:r>
        <w:rPr>
          <w:rFonts w:hint="eastAsia" w:ascii="宋体" w:hAnsi="宋体"/>
          <w:sz w:val="22"/>
        </w:rPr>
        <w:t>6.3.4投标人认为有必要提供的其它资料；</w:t>
      </w:r>
    </w:p>
    <w:p>
      <w:pPr>
        <w:widowControl/>
        <w:adjustRightInd w:val="0"/>
        <w:snapToGrid w:val="0"/>
        <w:spacing w:line="360" w:lineRule="exact"/>
        <w:ind w:firstLine="440" w:firstLineChars="200"/>
        <w:rPr>
          <w:rFonts w:ascii="宋体" w:hAnsi="宋体"/>
          <w:sz w:val="22"/>
        </w:rPr>
      </w:pPr>
      <w:r>
        <w:rPr>
          <w:rFonts w:hint="eastAsia" w:ascii="宋体" w:hAnsi="宋体"/>
          <w:sz w:val="22"/>
        </w:rPr>
        <w:t>6.3.5技术资料必须同时提交电子版。</w:t>
      </w:r>
    </w:p>
    <w:p>
      <w:pPr>
        <w:adjustRightInd w:val="0"/>
        <w:snapToGrid w:val="0"/>
        <w:spacing w:line="360" w:lineRule="exact"/>
        <w:ind w:firstLine="442" w:firstLineChars="200"/>
        <w:rPr>
          <w:rFonts w:ascii="宋体" w:hAnsi="宋体"/>
          <w:sz w:val="22"/>
        </w:rPr>
      </w:pPr>
      <w:r>
        <w:rPr>
          <w:rFonts w:hint="eastAsia" w:ascii="宋体" w:hAnsi="宋体"/>
          <w:b/>
          <w:bCs/>
          <w:sz w:val="22"/>
        </w:rPr>
        <w:t xml:space="preserve">7. </w:t>
      </w:r>
      <w:r>
        <w:rPr>
          <w:rFonts w:ascii="宋体" w:hAnsi="宋体"/>
          <w:b/>
          <w:bCs/>
          <w:sz w:val="22"/>
        </w:rPr>
        <w:t>售后服务</w:t>
      </w:r>
    </w:p>
    <w:p>
      <w:pPr>
        <w:widowControl/>
        <w:adjustRightInd w:val="0"/>
        <w:snapToGrid w:val="0"/>
        <w:spacing w:line="360" w:lineRule="exact"/>
        <w:ind w:left="549" w:leftChars="209" w:hanging="110" w:hangingChars="50"/>
        <w:rPr>
          <w:rFonts w:ascii="宋体" w:hAnsi="宋体"/>
          <w:sz w:val="22"/>
        </w:rPr>
      </w:pPr>
      <w:r>
        <w:rPr>
          <w:rFonts w:hint="eastAsia" w:ascii="宋体" w:hAnsi="宋体"/>
          <w:sz w:val="22"/>
        </w:rPr>
        <w:t>7</w:t>
      </w:r>
      <w:r>
        <w:rPr>
          <w:rFonts w:ascii="宋体" w:hAnsi="宋体"/>
          <w:sz w:val="22"/>
        </w:rPr>
        <w:t xml:space="preserve">.1 </w:t>
      </w:r>
      <w:r>
        <w:rPr>
          <w:rFonts w:hint="eastAsia" w:ascii="宋体" w:hAnsi="宋体"/>
          <w:sz w:val="22"/>
        </w:rPr>
        <w:t>投标人应当为招标人提供</w:t>
      </w:r>
      <w:r>
        <w:rPr>
          <w:rFonts w:ascii="宋体" w:hAnsi="宋体"/>
          <w:sz w:val="22"/>
        </w:rPr>
        <w:t>24</w:t>
      </w:r>
      <w:r>
        <w:rPr>
          <w:rFonts w:hint="eastAsia" w:ascii="宋体" w:hAnsi="宋体"/>
          <w:sz w:val="22"/>
        </w:rPr>
        <w:t>小时的售后服务。在接到招标人报修通知后</w:t>
      </w:r>
      <w:r>
        <w:rPr>
          <w:rFonts w:ascii="宋体" w:hAnsi="宋体"/>
          <w:sz w:val="22"/>
        </w:rPr>
        <w:t>24</w:t>
      </w:r>
      <w:r>
        <w:rPr>
          <w:rFonts w:hint="eastAsia" w:ascii="宋体" w:hAnsi="宋体"/>
          <w:sz w:val="22"/>
        </w:rPr>
        <w:t>小时内安排维修人员赶到现场，直到故障完全排除，设备恢复正常为止。</w:t>
      </w:r>
    </w:p>
    <w:p>
      <w:pPr>
        <w:widowControl/>
        <w:adjustRightInd w:val="0"/>
        <w:snapToGrid w:val="0"/>
        <w:spacing w:line="360" w:lineRule="exact"/>
        <w:ind w:left="549" w:leftChars="209" w:hanging="110" w:hangingChars="50"/>
        <w:rPr>
          <w:rFonts w:ascii="宋体" w:hAnsi="宋体"/>
          <w:sz w:val="22"/>
        </w:rPr>
      </w:pPr>
      <w:r>
        <w:rPr>
          <w:rFonts w:hint="eastAsia" w:ascii="宋体" w:hAnsi="宋体"/>
          <w:sz w:val="22"/>
        </w:rPr>
        <w:t>7</w:t>
      </w:r>
      <w:r>
        <w:rPr>
          <w:rFonts w:ascii="宋体" w:hAnsi="宋体"/>
          <w:sz w:val="22"/>
        </w:rPr>
        <w:t xml:space="preserve">.2 </w:t>
      </w:r>
      <w:r>
        <w:rPr>
          <w:rFonts w:hint="eastAsia" w:ascii="宋体" w:hAnsi="宋体"/>
          <w:sz w:val="22"/>
        </w:rPr>
        <w:t>投标人必须为设备及附属配件提供免费保修期，保修期内由于设备质量原因造成的损伤和损坏，投标人必须免费修复或更换，该部位的保修期重新计算。</w:t>
      </w:r>
    </w:p>
    <w:p>
      <w:pPr>
        <w:widowControl/>
        <w:adjustRightInd w:val="0"/>
        <w:snapToGrid w:val="0"/>
        <w:spacing w:line="360" w:lineRule="exact"/>
        <w:ind w:firstLine="440" w:firstLineChars="200"/>
        <w:rPr>
          <w:rFonts w:ascii="宋体" w:hAnsi="宋体"/>
          <w:sz w:val="22"/>
        </w:rPr>
      </w:pPr>
      <w:r>
        <w:rPr>
          <w:rFonts w:hint="eastAsia" w:ascii="宋体" w:hAnsi="宋体"/>
          <w:sz w:val="22"/>
        </w:rPr>
        <w:t>7</w:t>
      </w:r>
      <w:r>
        <w:rPr>
          <w:rFonts w:ascii="宋体" w:hAnsi="宋体"/>
          <w:sz w:val="22"/>
        </w:rPr>
        <w:t>.</w:t>
      </w:r>
      <w:r>
        <w:rPr>
          <w:rFonts w:hint="eastAsia" w:ascii="宋体" w:hAnsi="宋体"/>
          <w:sz w:val="22"/>
        </w:rPr>
        <w:t>3投标人在保修期内，须至少每年2次走访用户，了解其设备运行情况。</w:t>
      </w:r>
    </w:p>
    <w:p>
      <w:pPr>
        <w:widowControl/>
        <w:adjustRightInd w:val="0"/>
        <w:snapToGrid w:val="0"/>
        <w:spacing w:line="360" w:lineRule="exact"/>
        <w:ind w:firstLine="440" w:firstLineChars="200"/>
        <w:rPr>
          <w:rFonts w:ascii="宋体" w:hAnsi="宋体"/>
          <w:sz w:val="22"/>
        </w:rPr>
      </w:pPr>
      <w:r>
        <w:rPr>
          <w:rFonts w:hint="eastAsia" w:ascii="宋体" w:hAnsi="宋体"/>
          <w:sz w:val="22"/>
        </w:rPr>
        <w:t>7</w:t>
      </w:r>
      <w:r>
        <w:rPr>
          <w:rFonts w:ascii="宋体" w:hAnsi="宋体"/>
          <w:sz w:val="22"/>
        </w:rPr>
        <w:t>.</w:t>
      </w:r>
      <w:r>
        <w:rPr>
          <w:rFonts w:hint="eastAsia" w:ascii="宋体" w:hAnsi="宋体"/>
          <w:sz w:val="22"/>
        </w:rPr>
        <w:t>4提供国内各售后服务机构的地址、电话及负责人的联系方式。</w:t>
      </w:r>
    </w:p>
    <w:p>
      <w:pPr>
        <w:adjustRightInd w:val="0"/>
        <w:snapToGrid w:val="0"/>
        <w:spacing w:line="360" w:lineRule="exact"/>
        <w:ind w:firstLine="442" w:firstLineChars="200"/>
        <w:rPr>
          <w:rFonts w:ascii="宋体" w:hAnsi="宋体"/>
          <w:sz w:val="22"/>
        </w:rPr>
      </w:pPr>
      <w:bookmarkStart w:id="74" w:name="_Toc141083020"/>
      <w:bookmarkStart w:id="75" w:name="_Toc141030426"/>
      <w:r>
        <w:rPr>
          <w:rFonts w:hint="eastAsia" w:ascii="宋体" w:hAnsi="宋体"/>
          <w:b/>
          <w:bCs/>
          <w:sz w:val="22"/>
        </w:rPr>
        <w:t>8.</w:t>
      </w:r>
      <w:r>
        <w:rPr>
          <w:rFonts w:ascii="宋体" w:hAnsi="宋体"/>
          <w:b/>
          <w:bCs/>
          <w:sz w:val="22"/>
        </w:rPr>
        <w:t>备件供应</w:t>
      </w:r>
      <w:bookmarkEnd w:id="74"/>
      <w:bookmarkEnd w:id="75"/>
    </w:p>
    <w:p>
      <w:pPr>
        <w:widowControl/>
        <w:adjustRightInd w:val="0"/>
        <w:snapToGrid w:val="0"/>
        <w:spacing w:line="360" w:lineRule="exact"/>
        <w:ind w:firstLine="440" w:firstLineChars="200"/>
        <w:rPr>
          <w:rFonts w:ascii="宋体" w:hAnsi="宋体"/>
          <w:sz w:val="22"/>
        </w:rPr>
      </w:pPr>
      <w:r>
        <w:rPr>
          <w:rFonts w:hint="eastAsia" w:ascii="宋体" w:hAnsi="宋体"/>
          <w:sz w:val="22"/>
        </w:rPr>
        <w:t>8.1</w:t>
      </w:r>
      <w:r>
        <w:rPr>
          <w:rFonts w:ascii="宋体" w:hAnsi="宋体"/>
          <w:sz w:val="22"/>
        </w:rPr>
        <w:t>在质保期内，由于质量因素而造成的故障和损坏，备件均由投标人免费提供维修和更换。</w:t>
      </w:r>
      <w:bookmarkStart w:id="76" w:name="_Toc141030427"/>
      <w:bookmarkStart w:id="77" w:name="_Toc141083021"/>
    </w:p>
    <w:bookmarkEnd w:id="76"/>
    <w:bookmarkEnd w:id="77"/>
    <w:p>
      <w:pPr>
        <w:adjustRightInd w:val="0"/>
        <w:snapToGrid w:val="0"/>
        <w:spacing w:line="360" w:lineRule="exact"/>
        <w:ind w:firstLine="440" w:firstLineChars="200"/>
        <w:rPr>
          <w:rFonts w:ascii="宋体" w:hAnsi="宋体"/>
          <w:sz w:val="22"/>
        </w:rPr>
      </w:pPr>
      <w:r>
        <w:rPr>
          <w:rFonts w:ascii="宋体" w:hAnsi="宋体"/>
          <w:sz w:val="22"/>
        </w:rPr>
        <w:t>特别说明：</w:t>
      </w:r>
    </w:p>
    <w:p>
      <w:pPr>
        <w:adjustRightInd w:val="0"/>
        <w:snapToGrid w:val="0"/>
        <w:spacing w:line="360" w:lineRule="exact"/>
        <w:ind w:firstLine="440" w:firstLineChars="200"/>
        <w:rPr>
          <w:rFonts w:ascii="宋体" w:hAnsi="宋体"/>
          <w:sz w:val="22"/>
        </w:rPr>
      </w:pPr>
      <w:r>
        <w:rPr>
          <w:rFonts w:hint="eastAsia" w:ascii="宋体" w:hAnsi="宋体"/>
          <w:sz w:val="22"/>
        </w:rPr>
        <w:t>8.1.1</w:t>
      </w:r>
      <w:r>
        <w:rPr>
          <w:rFonts w:ascii="宋体" w:hAnsi="宋体"/>
          <w:sz w:val="22"/>
        </w:rPr>
        <w:t>投标人应对本技术规格作一对一应答，否则，该条将视作不响应本技术规格。</w:t>
      </w:r>
    </w:p>
    <w:p>
      <w:pPr>
        <w:adjustRightInd w:val="0"/>
        <w:snapToGrid w:val="0"/>
        <w:spacing w:line="360" w:lineRule="exact"/>
        <w:ind w:firstLine="440" w:firstLineChars="200"/>
        <w:rPr>
          <w:rFonts w:ascii="宋体" w:hAnsi="宋体"/>
          <w:sz w:val="22"/>
        </w:rPr>
      </w:pPr>
      <w:r>
        <w:rPr>
          <w:rFonts w:hint="eastAsia" w:ascii="宋体" w:hAnsi="宋体"/>
          <w:sz w:val="22"/>
        </w:rPr>
        <w:t>8.1.2</w:t>
      </w:r>
      <w:r>
        <w:rPr>
          <w:rFonts w:ascii="宋体" w:hAnsi="宋体"/>
          <w:sz w:val="22"/>
        </w:rPr>
        <w:t>标注“</w:t>
      </w:r>
      <w:r>
        <w:rPr>
          <w:rFonts w:hint="eastAsia" w:ascii="宋体" w:hAnsi="宋体"/>
          <w:b/>
          <w:sz w:val="22"/>
        </w:rPr>
        <w:t>★</w:t>
      </w:r>
      <w:r>
        <w:rPr>
          <w:rFonts w:ascii="宋体" w:hAnsi="宋体"/>
          <w:sz w:val="22"/>
        </w:rPr>
        <w:t>”号的为关键条款，对这些关键条款的任何偏离将导致废标。</w:t>
      </w:r>
    </w:p>
    <w:p>
      <w:pPr>
        <w:adjustRightInd w:val="0"/>
        <w:snapToGrid w:val="0"/>
        <w:spacing w:line="360" w:lineRule="exact"/>
        <w:ind w:firstLine="440" w:firstLineChars="200"/>
        <w:rPr>
          <w:rFonts w:ascii="宋体" w:hAnsi="宋体"/>
          <w:sz w:val="22"/>
        </w:rPr>
      </w:pPr>
      <w:r>
        <w:rPr>
          <w:rFonts w:hint="eastAsia" w:ascii="宋体" w:hAnsi="宋体"/>
          <w:sz w:val="22"/>
        </w:rPr>
        <w:t>8.1.3</w:t>
      </w:r>
      <w:r>
        <w:rPr>
          <w:rFonts w:ascii="宋体" w:hAnsi="宋体"/>
          <w:sz w:val="22"/>
        </w:rPr>
        <w:t>对本技术规格的响应应真实、准确，如发现有弄虚作假等内容，将导致废标。</w:t>
      </w:r>
    </w:p>
    <w:p>
      <w:pPr>
        <w:spacing w:line="240" w:lineRule="atLeast"/>
        <w:ind w:firstLine="450"/>
        <w:rPr>
          <w:rFonts w:ascii="宋体" w:hAnsi="宋体"/>
          <w:sz w:val="22"/>
        </w:rPr>
      </w:pPr>
    </w:p>
    <w:p>
      <w:pPr>
        <w:spacing w:line="240" w:lineRule="atLeast"/>
        <w:ind w:firstLine="816" w:firstLineChars="254"/>
        <w:rPr>
          <w:rFonts w:ascii="宋体" w:hAnsi="宋体"/>
          <w:sz w:val="22"/>
        </w:rPr>
      </w:pPr>
      <w:r>
        <w:rPr>
          <w:rFonts w:ascii="Cambria" w:hAnsi="Cambria" w:eastAsia="黑体" w:cs="Times New Roman"/>
          <w:b/>
          <w:bCs/>
          <w:kern w:val="0"/>
          <w:sz w:val="32"/>
          <w:szCs w:val="32"/>
        </w:rPr>
        <w:br w:type="page"/>
      </w:r>
    </w:p>
    <w:p>
      <w:pPr>
        <w:widowControl/>
        <w:jc w:val="left"/>
        <w:rPr>
          <w:rFonts w:ascii="Cambria" w:hAnsi="Cambria" w:eastAsia="黑体" w:cs="Times New Roman"/>
          <w:b/>
          <w:bCs/>
          <w:kern w:val="0"/>
          <w:sz w:val="32"/>
          <w:szCs w:val="32"/>
        </w:rPr>
      </w:pPr>
    </w:p>
    <w:p>
      <w:pPr>
        <w:pStyle w:val="13"/>
      </w:pPr>
      <w:bookmarkStart w:id="78" w:name="_Toc321925454"/>
      <w:r>
        <w:rPr>
          <w:rFonts w:hint="eastAsia"/>
        </w:rPr>
        <w:t>第四章</w:t>
      </w:r>
      <w:r>
        <w:t>合同条款</w:t>
      </w:r>
      <w:bookmarkEnd w:id="78"/>
    </w:p>
    <w:p/>
    <w:p>
      <w:pPr>
        <w:adjustRightInd w:val="0"/>
        <w:snapToGrid w:val="0"/>
        <w:spacing w:line="360" w:lineRule="exact"/>
        <w:ind w:firstLine="452"/>
        <w:jc w:val="left"/>
        <w:rPr>
          <w:rFonts w:ascii="宋体" w:hAnsi="宋体"/>
          <w:b/>
          <w:sz w:val="22"/>
        </w:rPr>
      </w:pPr>
    </w:p>
    <w:p>
      <w:pPr>
        <w:spacing w:line="560" w:lineRule="exact"/>
        <w:ind w:firstLine="803" w:firstLineChars="200"/>
        <w:jc w:val="center"/>
        <w:rPr>
          <w:rFonts w:ascii="仿宋_GB2312" w:hAnsi="仿宋" w:eastAsia="仿宋_GB2312"/>
          <w:b/>
          <w:szCs w:val="28"/>
        </w:rPr>
      </w:pPr>
      <w:bookmarkStart w:id="79" w:name="_Hlk11238509"/>
      <w:r>
        <w:rPr>
          <w:rFonts w:hint="eastAsia" w:ascii="仿宋_GB2312" w:hAnsi="仿宋" w:eastAsia="仿宋_GB2312"/>
          <w:b/>
          <w:sz w:val="40"/>
          <w:szCs w:val="44"/>
          <w:u w:val="single"/>
        </w:rPr>
        <w:t>杭州萧山机场</w:t>
      </w:r>
      <w:bookmarkEnd w:id="79"/>
      <w:r>
        <w:rPr>
          <w:rFonts w:hint="eastAsia" w:ascii="仿宋_GB2312" w:hAnsi="仿宋" w:eastAsia="仿宋_GB2312"/>
          <w:b/>
          <w:sz w:val="40"/>
          <w:szCs w:val="44"/>
        </w:rPr>
        <w:t>全向声波驱鸟器采购合同</w:t>
      </w:r>
    </w:p>
    <w:p>
      <w:pPr>
        <w:spacing w:line="560" w:lineRule="exact"/>
        <w:ind w:firstLine="562" w:firstLineChars="200"/>
        <w:jc w:val="center"/>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甲方：</w:t>
      </w:r>
    </w:p>
    <w:p>
      <w:pPr>
        <w:adjustRightInd w:val="0"/>
        <w:snapToGrid w:val="0"/>
        <w:spacing w:line="560" w:lineRule="exact"/>
        <w:ind w:firstLine="452"/>
        <w:rPr>
          <w:rFonts w:ascii="仿宋_GB2312" w:hAnsi="仿宋" w:eastAsia="仿宋_GB2312"/>
          <w:b/>
          <w:sz w:val="28"/>
          <w:szCs w:val="28"/>
        </w:rPr>
      </w:pPr>
      <w:r>
        <w:rPr>
          <w:rFonts w:hint="eastAsia" w:ascii="仿宋_GB2312" w:hAnsi="仿宋" w:eastAsia="仿宋_GB2312"/>
          <w:b/>
          <w:sz w:val="28"/>
          <w:szCs w:val="28"/>
        </w:rPr>
        <w:t>住所地：</w:t>
      </w:r>
    </w:p>
    <w:p>
      <w:pPr>
        <w:adjustRightInd w:val="0"/>
        <w:snapToGrid w:val="0"/>
        <w:spacing w:line="560" w:lineRule="exact"/>
        <w:rPr>
          <w:rFonts w:ascii="仿宋_GB2312" w:hAnsi="仿宋" w:eastAsia="仿宋_GB2312"/>
          <w:b/>
          <w:sz w:val="28"/>
          <w:szCs w:val="28"/>
        </w:rPr>
      </w:pPr>
    </w:p>
    <w:p>
      <w:pPr>
        <w:adjustRightInd w:val="0"/>
        <w:snapToGrid w:val="0"/>
        <w:spacing w:line="560" w:lineRule="exact"/>
        <w:ind w:firstLine="452"/>
        <w:rPr>
          <w:rFonts w:ascii="仿宋_GB2312" w:hAnsi="仿宋" w:eastAsia="仿宋_GB2312"/>
          <w:b/>
          <w:sz w:val="28"/>
          <w:szCs w:val="28"/>
        </w:rPr>
      </w:pPr>
      <w:bookmarkStart w:id="80" w:name="_Hlk11238351"/>
      <w:r>
        <w:rPr>
          <w:rFonts w:hint="eastAsia" w:ascii="仿宋_GB2312" w:hAnsi="仿宋" w:eastAsia="仿宋_GB2312"/>
          <w:b/>
          <w:sz w:val="28"/>
          <w:szCs w:val="28"/>
        </w:rPr>
        <w:t>乙方</w:t>
      </w:r>
      <w:bookmarkEnd w:id="80"/>
      <w:r>
        <w:rPr>
          <w:rFonts w:hint="eastAsia" w:ascii="仿宋_GB2312" w:hAnsi="仿宋" w:eastAsia="仿宋_GB2312"/>
          <w:b/>
          <w:sz w:val="28"/>
          <w:szCs w:val="28"/>
        </w:rPr>
        <w:t>:</w:t>
      </w:r>
    </w:p>
    <w:p>
      <w:pPr>
        <w:adjustRightInd w:val="0"/>
        <w:snapToGrid w:val="0"/>
        <w:spacing w:line="560" w:lineRule="exact"/>
        <w:ind w:firstLine="452"/>
        <w:rPr>
          <w:rFonts w:ascii="仿宋_GB2312" w:hAnsi="仿宋" w:eastAsia="仿宋_GB2312"/>
          <w:sz w:val="28"/>
          <w:szCs w:val="28"/>
        </w:rPr>
      </w:pPr>
      <w:r>
        <w:rPr>
          <w:rFonts w:hint="eastAsia" w:ascii="仿宋_GB2312" w:hAnsi="仿宋" w:eastAsia="仿宋_GB2312"/>
          <w:b/>
          <w:sz w:val="28"/>
          <w:szCs w:val="28"/>
        </w:rPr>
        <w:t>住所地:</w:t>
      </w:r>
    </w:p>
    <w:p>
      <w:pPr>
        <w:adjustRightInd w:val="0"/>
        <w:snapToGrid w:val="0"/>
        <w:spacing w:line="560" w:lineRule="exact"/>
        <w:ind w:firstLine="450"/>
        <w:rPr>
          <w:rFonts w:ascii="仿宋_GB2312" w:hAnsi="仿宋" w:eastAsia="仿宋_GB2312"/>
          <w:sz w:val="28"/>
          <w:szCs w:val="28"/>
        </w:rPr>
      </w:pP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甲、乙双方根据《中华人民共和国合同法》（以下简称“《合同法》”）等相关法律法规，就相关产品采购事宜，在互利、平等的原则基础上，经协商一致，特签订本合同，以共同遵守。</w:t>
      </w:r>
    </w:p>
    <w:p>
      <w:pPr>
        <w:spacing w:line="560" w:lineRule="exact"/>
        <w:ind w:firstLine="593"/>
        <w:rPr>
          <w:rFonts w:ascii="仿宋_GB2312" w:hAnsi="宋体" w:eastAsia="仿宋_GB2312"/>
          <w:b/>
          <w:bCs/>
          <w:sz w:val="28"/>
          <w:szCs w:val="28"/>
        </w:rPr>
      </w:pPr>
      <w:r>
        <w:rPr>
          <w:rFonts w:hint="eastAsia" w:ascii="仿宋_GB2312" w:hAnsi="宋体" w:eastAsia="仿宋_GB2312"/>
          <w:b/>
          <w:bCs/>
          <w:sz w:val="28"/>
          <w:szCs w:val="28"/>
        </w:rPr>
        <w:t>一、产品规格型号及参数</w:t>
      </w:r>
    </w:p>
    <w:tbl>
      <w:tblPr>
        <w:tblStyle w:val="19"/>
        <w:tblW w:w="97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560"/>
        <w:gridCol w:w="1508"/>
        <w:gridCol w:w="1616"/>
        <w:gridCol w:w="1179"/>
        <w:gridCol w:w="1133"/>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产品名称</w:t>
            </w:r>
          </w:p>
        </w:tc>
        <w:tc>
          <w:tcPr>
            <w:tcW w:w="1508"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品牌型号</w:t>
            </w:r>
          </w:p>
        </w:tc>
        <w:tc>
          <w:tcPr>
            <w:tcW w:w="1616"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单位</w:t>
            </w:r>
          </w:p>
        </w:tc>
        <w:tc>
          <w:tcPr>
            <w:tcW w:w="1179"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数量</w:t>
            </w:r>
          </w:p>
        </w:tc>
        <w:tc>
          <w:tcPr>
            <w:tcW w:w="1133"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单价(含税)</w:t>
            </w:r>
          </w:p>
        </w:tc>
        <w:tc>
          <w:tcPr>
            <w:tcW w:w="1475"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金额</w:t>
            </w:r>
          </w:p>
          <w:p>
            <w:pPr>
              <w:pStyle w:val="29"/>
              <w:spacing w:line="560" w:lineRule="exact"/>
              <w:jc w:val="center"/>
              <w:rPr>
                <w:rFonts w:ascii="仿宋_GB2312" w:eastAsia="仿宋_GB2312"/>
                <w:sz w:val="28"/>
                <w:szCs w:val="28"/>
              </w:rPr>
            </w:pPr>
            <w:r>
              <w:rPr>
                <w:rFonts w:hint="eastAsia" w:ascii="仿宋_GB2312" w:eastAsia="仿宋_GB2312"/>
                <w:sz w:val="28"/>
                <w:szCs w:val="28"/>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rPr>
                <w:rFonts w:ascii="仿宋_GB2312" w:eastAsia="仿宋_GB2312"/>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8"/>
                <w:szCs w:val="28"/>
              </w:rPr>
            </w:pPr>
          </w:p>
        </w:tc>
        <w:tc>
          <w:tcPr>
            <w:tcW w:w="1508"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hAnsi="宋体" w:eastAsia="仿宋_GB2312"/>
                <w:sz w:val="28"/>
                <w:szCs w:val="28"/>
              </w:rPr>
            </w:pPr>
          </w:p>
        </w:tc>
        <w:tc>
          <w:tcPr>
            <w:tcW w:w="1616"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8"/>
                <w:szCs w:val="28"/>
              </w:rPr>
            </w:pPr>
          </w:p>
        </w:tc>
        <w:tc>
          <w:tcPr>
            <w:tcW w:w="1179"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140" w:firstLineChars="50"/>
              <w:jc w:val="center"/>
              <w:rPr>
                <w:rFonts w:ascii="仿宋_GB2312" w:eastAsia="仿宋_GB2312"/>
                <w:sz w:val="28"/>
                <w:szCs w:val="28"/>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560"/>
              <w:jc w:val="center"/>
              <w:rPr>
                <w:rFonts w:ascii="仿宋_GB2312" w:eastAsia="仿宋_GB2312"/>
                <w:sz w:val="28"/>
                <w:szCs w:val="28"/>
              </w:rPr>
            </w:pPr>
          </w:p>
        </w:tc>
        <w:tc>
          <w:tcPr>
            <w:tcW w:w="1475"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ind w:firstLine="140" w:firstLineChars="50"/>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合计</w:t>
            </w:r>
          </w:p>
          <w:p>
            <w:pPr>
              <w:pStyle w:val="29"/>
              <w:spacing w:line="560" w:lineRule="exact"/>
              <w:jc w:val="center"/>
              <w:rPr>
                <w:rFonts w:ascii="仿宋_GB2312" w:eastAsia="仿宋_GB2312"/>
                <w:sz w:val="28"/>
                <w:szCs w:val="28"/>
              </w:rPr>
            </w:pPr>
            <w:r>
              <w:rPr>
                <w:rFonts w:hint="eastAsia" w:ascii="仿宋_GB2312" w:eastAsia="仿宋_GB2312"/>
                <w:sz w:val="28"/>
                <w:szCs w:val="28"/>
              </w:rPr>
              <w:t>（含税）</w:t>
            </w:r>
          </w:p>
        </w:tc>
        <w:tc>
          <w:tcPr>
            <w:tcW w:w="8471" w:type="dxa"/>
            <w:gridSpan w:val="6"/>
            <w:tcBorders>
              <w:top w:val="single" w:color="auto" w:sz="4" w:space="0"/>
              <w:left w:val="single" w:color="auto" w:sz="4" w:space="0"/>
              <w:bottom w:val="single" w:color="auto" w:sz="4" w:space="0"/>
              <w:right w:val="single" w:color="auto" w:sz="4" w:space="0"/>
            </w:tcBorders>
          </w:tcPr>
          <w:p>
            <w:pPr>
              <w:pStyle w:val="29"/>
              <w:spacing w:line="560" w:lineRule="exact"/>
              <w:ind w:firstLine="56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jc w:val="center"/>
        </w:trPr>
        <w:tc>
          <w:tcPr>
            <w:tcW w:w="1327" w:type="dxa"/>
            <w:tcBorders>
              <w:top w:val="single" w:color="auto" w:sz="4" w:space="0"/>
              <w:left w:val="single" w:color="auto" w:sz="4" w:space="0"/>
              <w:bottom w:val="single" w:color="auto" w:sz="4" w:space="0"/>
              <w:right w:val="single" w:color="auto" w:sz="4" w:space="0"/>
            </w:tcBorders>
            <w:vAlign w:val="center"/>
          </w:tcPr>
          <w:p>
            <w:pPr>
              <w:pStyle w:val="29"/>
              <w:spacing w:line="560" w:lineRule="exact"/>
              <w:jc w:val="center"/>
              <w:rPr>
                <w:rFonts w:ascii="仿宋_GB2312" w:eastAsia="仿宋_GB2312"/>
                <w:sz w:val="28"/>
                <w:szCs w:val="28"/>
              </w:rPr>
            </w:pPr>
            <w:r>
              <w:rPr>
                <w:rFonts w:hint="eastAsia" w:ascii="仿宋_GB2312" w:eastAsia="仿宋_GB2312"/>
                <w:sz w:val="28"/>
                <w:szCs w:val="28"/>
              </w:rPr>
              <w:t>税率</w:t>
            </w:r>
          </w:p>
        </w:tc>
        <w:tc>
          <w:tcPr>
            <w:tcW w:w="8471" w:type="dxa"/>
            <w:gridSpan w:val="6"/>
            <w:tcBorders>
              <w:top w:val="single" w:color="auto" w:sz="4" w:space="0"/>
              <w:left w:val="single" w:color="auto" w:sz="4" w:space="0"/>
              <w:bottom w:val="single" w:color="auto" w:sz="4" w:space="0"/>
              <w:right w:val="single" w:color="auto" w:sz="4" w:space="0"/>
            </w:tcBorders>
          </w:tcPr>
          <w:p>
            <w:pPr>
              <w:pStyle w:val="29"/>
              <w:spacing w:line="560" w:lineRule="exact"/>
              <w:ind w:firstLine="560"/>
              <w:jc w:val="right"/>
              <w:rPr>
                <w:rFonts w:ascii="仿宋_GB2312" w:eastAsia="仿宋_GB2312"/>
                <w:sz w:val="28"/>
                <w:szCs w:val="28"/>
              </w:rPr>
            </w:pPr>
          </w:p>
        </w:tc>
      </w:tr>
    </w:tbl>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1.技术要求：</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发声层：不少于2层</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最大声级：1米处不小于125分贝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驱散半径：不小于300米</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供电：太阳能（通过使用单晶体硅太阳能电池板及充电控制器，白天利用光太阳能板产生的电能向蓄电池充电，无需外部电力；内置12V100AH免维护型蓄电池，充满电后能保证在7天以上无日照天气下正常供电），也可使用市电供电。</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功率：额定功率</w:t>
      </w:r>
      <w:r>
        <w:rPr>
          <w:rFonts w:hint="eastAsia" w:ascii="宋体" w:hAnsi="宋体" w:eastAsia="宋体" w:cs="宋体"/>
          <w:sz w:val="28"/>
          <w:szCs w:val="28"/>
        </w:rPr>
        <w:t>≦</w:t>
      </w:r>
      <w:r>
        <w:rPr>
          <w:rFonts w:hint="eastAsia" w:ascii="仿宋_GB2312" w:hAnsi="仿宋" w:eastAsia="仿宋_GB2312"/>
          <w:sz w:val="28"/>
          <w:szCs w:val="28"/>
        </w:rPr>
        <w:t>120W,最大功率</w:t>
      </w:r>
      <w:r>
        <w:rPr>
          <w:rFonts w:hint="eastAsia" w:ascii="宋体" w:hAnsi="宋体" w:eastAsia="宋体" w:cs="宋体"/>
          <w:sz w:val="28"/>
          <w:szCs w:val="28"/>
        </w:rPr>
        <w:t>≦</w:t>
      </w:r>
      <w:r>
        <w:rPr>
          <w:rFonts w:hint="eastAsia" w:ascii="仿宋_GB2312" w:hAnsi="仿宋" w:eastAsia="仿宋_GB2312"/>
          <w:sz w:val="28"/>
          <w:szCs w:val="28"/>
        </w:rPr>
        <w:t>300W，待机功率0W</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音频内存：乙方提供专业驱鸟音频库，音频频率应可自动变换以防鸟类适应。应可根据机场鸟群定制音频，设备交付时，每套设备应提供不少于20种的驱鸟音频，并提供相应存储介质以方便用户定期更换音频。</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发声设备重量：&lt;15 kg</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发声设备高度：&lt;80 cm</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发声设备直径：&lt;50 cm</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2.外接设备：预留外接设备接口，可选配摄像头和视频控制软件，实现实时远程鸟情观测和系统作业效果监测。</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3.适应性：可适应飞行区土面区或车载等露天环境，具有抗高温、耐低温、防水、防尘、抗震等特性。</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4.安全性：发射信号不影响机场通信；具有避雷装置；安全性能有权威机构认证。</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5.操作性：可设定设备开关、音量调节、复位、工作模式等功能，并可根据用户需求，设定声音播放时间及时间间隔；易于安装和维护。</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6.智能控制：通过遥控器可启动、关闭驱鸟器，遥控距离至少1000米。</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7.便捷性：全向声波驱鸟器应为成熟产品，集成在可移动平台上，整体便于固定、移动。</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二、合同金额</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1.本合同金额为固定单价合同。本合同单价为**机场内交货价，含产品价格、运输费、包装费、保险费、税费等所有费用。甲方不再承担其他任何费用。同时乙方承诺，不因甲方采购数量的增加或者减少而变动固定单价。</w:t>
      </w:r>
    </w:p>
    <w:p>
      <w:pPr>
        <w:adjustRightInd w:val="0"/>
        <w:snapToGrid w:val="0"/>
        <w:spacing w:line="560" w:lineRule="exact"/>
        <w:ind w:firstLine="602"/>
        <w:rPr>
          <w:rFonts w:ascii="仿宋_GB2312" w:hAnsi="仿宋" w:eastAsia="仿宋_GB2312"/>
          <w:sz w:val="28"/>
          <w:szCs w:val="28"/>
        </w:rPr>
      </w:pPr>
      <w:r>
        <w:rPr>
          <w:rFonts w:ascii="仿宋_GB2312" w:hAnsi="仿宋" w:eastAsia="仿宋_GB2312"/>
          <w:sz w:val="28"/>
          <w:szCs w:val="28"/>
        </w:rPr>
        <w:t>2</w:t>
      </w:r>
      <w:r>
        <w:rPr>
          <w:rFonts w:hint="eastAsia" w:ascii="仿宋_GB2312" w:hAnsi="仿宋" w:eastAsia="仿宋_GB2312"/>
          <w:sz w:val="28"/>
          <w:szCs w:val="28"/>
        </w:rPr>
        <w:t>.本合同总额为大写：     人民币，小写：￥    ，本次采购预估数量为     。</w:t>
      </w:r>
    </w:p>
    <w:p>
      <w:pPr>
        <w:adjustRightInd w:val="0"/>
        <w:snapToGrid w:val="0"/>
        <w:spacing w:line="560" w:lineRule="exact"/>
        <w:ind w:firstLine="602"/>
        <w:rPr>
          <w:rFonts w:ascii="仿宋_GB2312" w:hAnsi="仿宋" w:eastAsia="仿宋_GB2312"/>
          <w:sz w:val="28"/>
          <w:szCs w:val="28"/>
        </w:rPr>
      </w:pPr>
      <w:r>
        <w:rPr>
          <w:rFonts w:ascii="仿宋_GB2312" w:hAnsi="仿宋" w:eastAsia="仿宋_GB2312"/>
          <w:sz w:val="28"/>
          <w:szCs w:val="28"/>
        </w:rPr>
        <w:t>3</w:t>
      </w:r>
      <w:r>
        <w:rPr>
          <w:rFonts w:hint="eastAsia" w:ascii="仿宋_GB2312" w:hAnsi="仿宋" w:eastAsia="仿宋_GB2312"/>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三、技术资料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1.乙方应在交付合同产品时同时向甲方提供使用产品的有关技术资料。</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四、知识产权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28"/>
          <w:szCs w:val="28"/>
        </w:rPr>
      </w:pPr>
      <w:r>
        <w:rPr>
          <w:rFonts w:hint="eastAsia" w:ascii="仿宋_GB2312" w:hAnsi="仿宋" w:eastAsia="仿宋_GB2312"/>
          <w:b/>
          <w:sz w:val="28"/>
          <w:szCs w:val="28"/>
        </w:rPr>
        <w:t>五、产权担保</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六、转包或分包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1.本合同项下甲方采购的产品及其安装、调试等服务，必须由乙方直接供应；除非得到甲方的书面同意，乙方不得将本合同项下的产品或服务的全部或部分</w:t>
      </w:r>
      <w:bookmarkStart w:id="81" w:name="_Hlk10635205"/>
      <w:r>
        <w:rPr>
          <w:rFonts w:hint="eastAsia" w:ascii="仿宋_GB2312" w:hAnsi="仿宋" w:eastAsia="仿宋_GB2312"/>
          <w:sz w:val="28"/>
          <w:szCs w:val="28"/>
        </w:rPr>
        <w:t>转包</w:t>
      </w:r>
      <w:bookmarkEnd w:id="81"/>
      <w:r>
        <w:rPr>
          <w:rFonts w:hint="eastAsia" w:ascii="仿宋_GB2312" w:hAnsi="仿宋" w:eastAsia="仿宋_GB2312"/>
          <w:sz w:val="28"/>
          <w:szCs w:val="28"/>
        </w:rPr>
        <w:t>、分包给第三方供应，不得将本合同项下权利义务转让给第三方。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2.如有未经甲方书面同意的转让和转包、分包行为，甲方有权解除合同，并有权要求乙方承担合同总额【5】%的违约金，且全额没收履约保证金。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七、产品包装、发运及运输</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3.乙方在产品发运手续办理完毕后【24】小时内必须书面通知甲方，以便甲方准备接货。</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4.产品在本合同规定的交货地点交付甲方并经甲方终验收合格前发生的一切风险包括产品运输风险均由乙方承担。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八、交货期、交货方式及交货地点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1.交货期与交货方式：合同签订完毕后【15】个日历天内，乙方将产品送到甲方指定地点。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2.交货地点：**机场内</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九、安装与验收</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7】日内完成现场安装、调试和试运行，确保设备正常运行。试运行1</w:t>
      </w:r>
      <w:r>
        <w:rPr>
          <w:rFonts w:ascii="仿宋_GB2312" w:hAnsi="宋体" w:eastAsia="仿宋_GB2312"/>
          <w:sz w:val="28"/>
          <w:szCs w:val="28"/>
        </w:rPr>
        <w:t>0天后</w:t>
      </w:r>
      <w:r>
        <w:rPr>
          <w:rFonts w:hint="eastAsia" w:ascii="仿宋_GB2312" w:hAnsi="宋体" w:eastAsia="仿宋_GB2312"/>
          <w:sz w:val="28"/>
          <w:szCs w:val="28"/>
        </w:rPr>
        <w:t>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7】日内以书面方式向乙方提出相关异议。</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2.乙方交货前应对产品作出全面检查和对验收文件进行整理，并列出清单，作为甲方收货验收和使用的技术条件依据，乙方检验的结果应随货物交甲方。</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3.乙方应当在收到甲方前述第1款异议之日起【5】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4.具体的安装要求：</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乙方应安排技术人员将合格的产品安装在甲方指定的位置，并现场调试，调试正常后视为安装完毕。</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5.具体的验收要求：</w:t>
      </w:r>
    </w:p>
    <w:p>
      <w:pPr>
        <w:pStyle w:val="38"/>
        <w:adjustRightInd w:val="0"/>
        <w:snapToGrid w:val="0"/>
        <w:spacing w:line="560" w:lineRule="exact"/>
        <w:ind w:left="480" w:firstLine="560" w:firstLineChars="200"/>
        <w:rPr>
          <w:rFonts w:ascii="仿宋_GB2312" w:hAnsi="宋体" w:eastAsia="仿宋_GB2312"/>
          <w:sz w:val="28"/>
          <w:szCs w:val="28"/>
        </w:rPr>
      </w:pPr>
      <w:r>
        <w:rPr>
          <w:rFonts w:hint="eastAsia" w:ascii="仿宋_GB2312" w:hAnsi="宋体" w:eastAsia="仿宋_GB2312"/>
          <w:sz w:val="28"/>
          <w:szCs w:val="28"/>
        </w:rPr>
        <w:t>甲方根据投标文件、合同、说明书等资料要求对设备的各种组成部件进行检查和验收。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宋体" w:eastAsia="仿宋_GB2312"/>
          <w:sz w:val="28"/>
          <w:szCs w:val="28"/>
        </w:rPr>
        <w:t>乙方于甲方签署安装验收合格报告后【15】日内向甲方开具正式增值税专用发票。甲方于收到乙方提供的上述发票后【15】个工作日内支付该批次的产品价款。如乙方未根据甲方要求开具增值税专用发票的，则甲方有权拒绝支付相应款项，且无须承担违约责任。</w:t>
      </w:r>
    </w:p>
    <w:p>
      <w:pPr>
        <w:pStyle w:val="11"/>
        <w:spacing w:line="560" w:lineRule="exact"/>
        <w:ind w:firstLine="562" w:firstLineChars="200"/>
        <w:rPr>
          <w:rFonts w:ascii="仿宋_GB2312" w:eastAsia="仿宋_GB2312"/>
          <w:b/>
          <w:color w:val="auto"/>
          <w:sz w:val="28"/>
          <w:szCs w:val="28"/>
          <w:lang w:val="zh-CN"/>
        </w:rPr>
      </w:pPr>
      <w:r>
        <w:rPr>
          <w:rFonts w:hint="eastAsia" w:ascii="仿宋_GB2312" w:eastAsia="仿宋_GB2312"/>
          <w:b/>
          <w:color w:val="auto"/>
          <w:sz w:val="28"/>
          <w:szCs w:val="28"/>
        </w:rPr>
        <w:t>十一、</w:t>
      </w:r>
      <w:r>
        <w:rPr>
          <w:rFonts w:hint="eastAsia" w:ascii="仿宋_GB2312" w:eastAsia="仿宋_GB2312"/>
          <w:b/>
          <w:color w:val="auto"/>
          <w:sz w:val="28"/>
          <w:szCs w:val="28"/>
          <w:lang w:val="zh-CN"/>
        </w:rPr>
        <w:t>履约保证金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应在收到甲方中标通知书后【10】日内，向甲方支付合同总额的【10】%作为履约保证金。如果逾期未缴纳，视为乙方违约，并每日向甲方支付合同总额【0.5】%的违约金，逾期【10】日后甲方有权解除本合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在合同履行期间，如果乙方存在违约情形，甲方有权优先从履约保证金中扣除相应款项，并书面通知乙方。乙方自收到书面通知之日起【5】日内补足履约保证金。如果乙方不及时补足履约保证金，视为乙方违约，甲方有权解除合同，并要求乙方承担相应的违约责任。待免费质保期满后经甲方确认，乙方不存在任何违约情形并收到甲方书面认可后【30】日内，甲方无息返还履约保证金。</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十二、免费质保期及服务内容</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1.乙方保证其所供应的产品符合相关产品质量标准以及本合同约定，不存在任何质量瑕疵或因质量瑕疵而导致的安全隐患，且为未经使用的全新产品。</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2.乙方应为产品提供【 】个月的免费质保期(含工时费和零部件费)，时间自甲方最终签署安装验收合格报告之日起计算。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维修、退换该产品的直接费用（运输、保险、检验、中国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4.乙方提供【24】小时售后服务，在接到报修通知后，维修人员应在【24】小时内赶到杭州萧山国际机场，并连续进行维修，直到产品恢复正常并由甲方验收认可。修复部分的质保期自修复之日起重新开始计算。</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5.免费质保期结束的【15】天前，乙方负责对产品进行一次全面的检修和维护，并由甲方验收认可。甲方验收认可并不免除乙方对于验收认可后发生的但尚在质保期限内的产品故障或损坏的维修、退换货义务。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6.若乙方提供的产品属于伪劣产品或者假冒产品或者存在欺诈甲方的任何情形，使得甲方遭受损失，乙方应向甲方承担违约责任，同时，甲方可依法寻求其他法律救济。</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十三、违约责任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1.甲方无故逾期支付货款的,甲方应按逾期付款总额每日【0.05】%向乙方支付违约金。</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乙方逾期交付产品和本合同规定的文件资料的，或者未按甲方时间要求完成安装、调试和试运行并通过甲方终验收的，乙方应按合同总额每日【0.6】%向甲方支付违约金，由甲方从货款中扣除。逾期超过约定日期【10】日的，甲方可解除本合同。乙方因逾期交货或因其他违约行为导致甲方解除合同的，乙方应返还甲方已支付的产品价款并向甲方支付合同总额【5】%的违约金，且甲方全额没收履约保证金。如造成甲方损失超过违约金的，超出部分由乙方继续承担赔偿责任。</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因乙方提供产品质量问题或者安装、调试和试运行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5.乙方不在约定期限内派人维修或维修质量验收不合格的，甲方可以委托他人修理，费用由乙方承担，甲方与第三方确认费用后可直接从履约保证金中扣除；履约保证金不足以抵扣的，继续向乙方追偿。</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此产生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7.对于本合同项下乙方应支付的赔偿款或违约金，甲方有权从应付乙方的货款及履约保证金中直接扣除，不足的部分，继续向乙方追偿。</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十四、不可抗力事件处理</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2.不可抗力事件发生后，遭遇不可抗力的一方应立即通知对方，并寄送有关官方权威机构出具的证明。</w:t>
      </w:r>
    </w:p>
    <w:p>
      <w:pPr>
        <w:spacing w:line="560" w:lineRule="exact"/>
        <w:ind w:firstLine="532" w:firstLineChars="190"/>
        <w:rPr>
          <w:rFonts w:ascii="仿宋_GB2312" w:hAnsi="仿宋" w:eastAsia="仿宋_GB2312"/>
          <w:sz w:val="28"/>
          <w:szCs w:val="28"/>
        </w:rPr>
      </w:pPr>
      <w:r>
        <w:rPr>
          <w:rFonts w:hint="eastAsia" w:ascii="仿宋_GB2312" w:hAnsi="仿宋" w:eastAsia="仿宋_GB2312"/>
          <w:sz w:val="28"/>
          <w:szCs w:val="28"/>
        </w:rPr>
        <w:t>3.不可抗力事件延续【140】天以上，双方应通过友好协商，确定是否继续履行合同；如双方协商无法就延期履行合同达成一致的，任何一方均有权终止本合同，双方互不承担赔偿或违约责任。</w:t>
      </w:r>
    </w:p>
    <w:p>
      <w:pPr>
        <w:adjustRightInd w:val="0"/>
        <w:snapToGrid w:val="0"/>
        <w:spacing w:line="560" w:lineRule="exact"/>
        <w:ind w:firstLine="602"/>
        <w:rPr>
          <w:rFonts w:ascii="仿宋_GB2312" w:hAnsi="仿宋" w:eastAsia="仿宋_GB2312"/>
          <w:sz w:val="28"/>
          <w:szCs w:val="28"/>
        </w:rPr>
      </w:pPr>
      <w:r>
        <w:rPr>
          <w:rFonts w:hint="eastAsia" w:ascii="仿宋_GB2312" w:hAnsi="仿宋" w:eastAsia="仿宋_GB2312"/>
          <w:sz w:val="28"/>
          <w:szCs w:val="28"/>
        </w:rPr>
        <w:t>十五、争议解决</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 w:eastAsia="仿宋_GB2312"/>
          <w:b/>
          <w:sz w:val="28"/>
          <w:szCs w:val="28"/>
        </w:rPr>
      </w:pPr>
      <w:r>
        <w:rPr>
          <w:rFonts w:hint="eastAsia" w:ascii="仿宋_GB2312" w:hAnsi="仿宋" w:eastAsia="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1.本合同协议书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2.中标通知书</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 xml:space="preserve">3.招标文件 </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4.投标书及其附件</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5.标准、规范及有关技术文件</w:t>
      </w:r>
    </w:p>
    <w:p>
      <w:pPr>
        <w:adjustRightInd w:val="0"/>
        <w:snapToGrid w:val="0"/>
        <w:spacing w:line="560" w:lineRule="exact"/>
        <w:ind w:firstLine="602"/>
        <w:outlineLvl w:val="0"/>
        <w:rPr>
          <w:rFonts w:ascii="仿宋_GB2312" w:hAnsi="仿宋" w:eastAsia="仿宋_GB2312"/>
          <w:b/>
          <w:sz w:val="28"/>
          <w:szCs w:val="28"/>
        </w:rPr>
      </w:pPr>
      <w:r>
        <w:rPr>
          <w:rFonts w:hint="eastAsia" w:ascii="仿宋_GB2312" w:hAnsi="仿宋" w:eastAsia="仿宋_GB2312"/>
          <w:b/>
          <w:sz w:val="28"/>
          <w:szCs w:val="28"/>
        </w:rPr>
        <w:t>十七、合同生效及其它</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3.本合同一式陆份，甲方执四份，乙方持二份，具有同等法律效力。</w:t>
      </w:r>
    </w:p>
    <w:p>
      <w:pPr>
        <w:tabs>
          <w:tab w:val="right" w:pos="8306"/>
        </w:tabs>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（以下无正文）</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甲方：                             乙方：</w:t>
      </w:r>
    </w:p>
    <w:p>
      <w:pPr>
        <w:adjustRightInd w:val="0"/>
        <w:snapToGrid w:val="0"/>
        <w:spacing w:line="560" w:lineRule="exact"/>
        <w:ind w:left="6750" w:hanging="6750"/>
        <w:rPr>
          <w:rFonts w:ascii="仿宋_GB2312" w:hAnsi="仿宋" w:eastAsia="仿宋_GB2312"/>
          <w:sz w:val="28"/>
          <w:szCs w:val="28"/>
        </w:rPr>
      </w:pPr>
      <w:r>
        <w:rPr>
          <w:rFonts w:hint="eastAsia" w:ascii="仿宋_GB2312" w:hAnsi="仿宋" w:eastAsia="仿宋_GB2312"/>
          <w:sz w:val="28"/>
          <w:szCs w:val="28"/>
        </w:rPr>
        <w:t>地址：                             地址：</w:t>
      </w:r>
    </w:p>
    <w:p>
      <w:pPr>
        <w:adjustRightInd w:val="0"/>
        <w:snapToGrid w:val="0"/>
        <w:spacing w:line="560" w:lineRule="exact"/>
        <w:ind w:left="6750" w:hanging="6750"/>
        <w:rPr>
          <w:rFonts w:ascii="仿宋_GB2312" w:hAnsi="仿宋" w:eastAsia="仿宋_GB2312"/>
          <w:sz w:val="28"/>
          <w:szCs w:val="28"/>
        </w:rPr>
      </w:pP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法定代表人：                     法定代表人：</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或                               或</w:t>
      </w:r>
    </w:p>
    <w:p>
      <w:pPr>
        <w:adjustRightInd w:val="0"/>
        <w:snapToGrid w:val="0"/>
        <w:spacing w:line="560" w:lineRule="exact"/>
        <w:rPr>
          <w:rFonts w:ascii="仿宋_GB2312" w:hAnsi="仿宋" w:eastAsia="仿宋_GB2312"/>
          <w:sz w:val="28"/>
          <w:szCs w:val="28"/>
        </w:rPr>
      </w:pPr>
      <w:r>
        <w:rPr>
          <w:rFonts w:hint="eastAsia" w:ascii="仿宋_GB2312" w:hAnsi="仿宋" w:eastAsia="仿宋_GB2312"/>
          <w:sz w:val="28"/>
          <w:szCs w:val="28"/>
        </w:rPr>
        <w:t>授权代表：                       授权代表：</w:t>
      </w:r>
    </w:p>
    <w:p>
      <w:pPr>
        <w:adjustRightInd w:val="0"/>
        <w:snapToGrid w:val="0"/>
        <w:spacing w:line="560" w:lineRule="exact"/>
        <w:rPr>
          <w:rFonts w:ascii="仿宋_GB2312" w:hAnsi="仿宋" w:eastAsia="仿宋_GB2312"/>
          <w:b/>
          <w:sz w:val="28"/>
          <w:szCs w:val="28"/>
        </w:rPr>
      </w:pPr>
      <w:r>
        <w:rPr>
          <w:rFonts w:hint="eastAsia" w:ascii="仿宋_GB2312" w:hAnsi="仿宋" w:eastAsia="仿宋_GB2312"/>
          <w:sz w:val="28"/>
          <w:szCs w:val="28"/>
        </w:rPr>
        <w:t xml:space="preserve">签字日期：                       签字日期： </w:t>
      </w:r>
    </w:p>
    <w:p>
      <w:pPr>
        <w:adjustRightInd w:val="0"/>
        <w:snapToGrid w:val="0"/>
        <w:spacing w:line="560" w:lineRule="exact"/>
        <w:ind w:firstLine="560" w:firstLineChars="200"/>
        <w:rPr>
          <w:rFonts w:ascii="仿宋_GB2312" w:hAnsi="仿宋" w:eastAsia="仿宋_GB2312"/>
          <w:b/>
          <w:sz w:val="28"/>
          <w:szCs w:val="28"/>
        </w:rPr>
      </w:pPr>
      <w:r>
        <w:rPr>
          <w:rFonts w:hint="eastAsia" w:ascii="仿宋_GB2312" w:hAnsi="仿宋" w:eastAsia="仿宋_GB2312"/>
          <w:sz w:val="28"/>
          <w:szCs w:val="28"/>
        </w:rPr>
        <w:t>年  月  日                      年  月  日</w:t>
      </w:r>
    </w:p>
    <w:p>
      <w:pPr>
        <w:spacing w:line="560" w:lineRule="exact"/>
        <w:ind w:firstLine="560" w:firstLineChars="200"/>
        <w:rPr>
          <w:rFonts w:ascii="仿宋_GB2312" w:eastAsia="仿宋_GB2312"/>
          <w:sz w:val="28"/>
          <w:szCs w:val="28"/>
        </w:rPr>
      </w:pPr>
    </w:p>
    <w:p>
      <w:pPr>
        <w:spacing w:line="560" w:lineRule="exact"/>
        <w:rPr>
          <w:rFonts w:ascii="仿宋_GB2312" w:eastAsia="仿宋_GB2312"/>
          <w:sz w:val="28"/>
          <w:szCs w:val="28"/>
        </w:rPr>
      </w:pPr>
    </w:p>
    <w:p>
      <w:pPr>
        <w:spacing w:line="560" w:lineRule="exact"/>
        <w:rPr>
          <w:rFonts w:ascii="仿宋_GB2312" w:eastAsia="仿宋_GB2312"/>
          <w:sz w:val="28"/>
          <w:szCs w:val="28"/>
        </w:rPr>
      </w:pPr>
    </w:p>
    <w:p>
      <w:pPr>
        <w:widowControl/>
        <w:jc w:val="left"/>
        <w:rPr>
          <w:rFonts w:ascii="仿宋_GB2312" w:eastAsia="仿宋_GB2312"/>
          <w:sz w:val="28"/>
          <w:szCs w:val="28"/>
        </w:rPr>
      </w:pPr>
      <w:r>
        <w:rPr>
          <w:rFonts w:hint="eastAsia" w:ascii="仿宋_GB2312" w:eastAsia="仿宋_GB2312"/>
          <w:sz w:val="28"/>
          <w:szCs w:val="28"/>
        </w:rPr>
        <w:br w:type="page"/>
      </w:r>
      <w:r>
        <w:rPr>
          <w:rFonts w:hint="eastAsia" w:ascii="仿宋_GB2312" w:eastAsia="仿宋_GB2312"/>
          <w:sz w:val="28"/>
          <w:szCs w:val="28"/>
        </w:rPr>
        <w:t>附件1：</w:t>
      </w:r>
    </w:p>
    <w:p>
      <w:pPr>
        <w:pStyle w:val="31"/>
        <w:spacing w:line="360" w:lineRule="exact"/>
        <w:ind w:firstLine="562"/>
        <w:jc w:val="center"/>
        <w:rPr>
          <w:rFonts w:ascii="仿宋_GB2312" w:hAnsi="宋体" w:eastAsia="仿宋_GB2312"/>
          <w:b/>
          <w:color w:val="auto"/>
          <w:sz w:val="28"/>
          <w:szCs w:val="28"/>
        </w:rPr>
      </w:pPr>
      <w:r>
        <w:rPr>
          <w:rFonts w:hint="eastAsia" w:ascii="仿宋_GB2312" w:hAnsi="宋体" w:eastAsia="仿宋_GB2312"/>
          <w:b/>
          <w:color w:val="auto"/>
          <w:sz w:val="28"/>
          <w:szCs w:val="28"/>
        </w:rPr>
        <w:t>廉洁自律承诺书</w:t>
      </w:r>
    </w:p>
    <w:p>
      <w:pPr>
        <w:pStyle w:val="31"/>
        <w:spacing w:line="360" w:lineRule="exact"/>
        <w:ind w:firstLine="562"/>
        <w:rPr>
          <w:rFonts w:ascii="仿宋_GB2312" w:hAnsi="宋体" w:eastAsia="仿宋_GB2312"/>
          <w:b/>
          <w:color w:val="auto"/>
          <w:sz w:val="28"/>
          <w:szCs w:val="28"/>
        </w:rPr>
      </w:pP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**机场：</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我单位响应贵公司项目招标要求，参加项目投标。在投标过程中及中标后，我们将严格遵守国家法律法规和贵司招标文件要求，并郑重作出如下承诺和保证：</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二、不以任何名义为贵公司有关人员或项目第三方人员报销应由贵公司或个人支付的费用；</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三、不向贵公司有关人员或项目第三方人员提供宴请、旅游、和健身娱乐等活动；</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四、不为贵公司有关人员或项目第三方人员出国（境）、旅游等提供方便；</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五、不为贵公司有关人员或项目第三方人员个人装修住房、婚丧嫁娶、配偶子女工作安排等提供好处或便利条件；</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六、严格遵守国家招标投标法、合同法等法律规定，诚实守信，合法经营，坚决杜绝各种违法违纪行为。</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八、如违反上述廉洁自律承诺，贵公司有权：</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（1）立即取消我单位投标、中标或在建项目的实施资格；</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（2）扣除我方向贵公司缴纳的履约保证金的10%作为违反廉洁自律承诺的违约金。如该违约金不足以弥补贵公司损失的，我单位仍将承担实际损失赔偿责任。</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（3）拒绝我单位在一定时期内进入贵公司进行项目建设或其它经营活动；</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（4）由此引起的相应损失均由我单位承担。</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九、如在退还后发现我方存在违反廉洁自律承诺书行为的，贵公司有权随时要求向我方追偿与10%履约保证金同等金额的违约金。</w:t>
      </w:r>
    </w:p>
    <w:p>
      <w:pPr>
        <w:pStyle w:val="31"/>
        <w:spacing w:line="360" w:lineRule="exact"/>
        <w:ind w:firstLine="562"/>
        <w:rPr>
          <w:rFonts w:ascii="仿宋_GB2312" w:hAnsi="宋体" w:eastAsia="仿宋_GB2312"/>
          <w:b/>
          <w:color w:val="auto"/>
          <w:sz w:val="28"/>
          <w:szCs w:val="28"/>
        </w:rPr>
      </w:pP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承诺人单位名称（盖章）：            </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法定代表人 ：                    </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或                            </w:t>
      </w:r>
    </w:p>
    <w:p>
      <w:pPr>
        <w:pStyle w:val="31"/>
        <w:spacing w:line="360" w:lineRule="exact"/>
        <w:ind w:firstLine="562"/>
        <w:rPr>
          <w:rFonts w:ascii="仿宋_GB2312" w:hAnsi="宋体" w:eastAsia="仿宋_GB2312"/>
          <w:b/>
          <w:color w:val="auto"/>
          <w:sz w:val="28"/>
          <w:szCs w:val="28"/>
        </w:rPr>
      </w:pPr>
      <w:r>
        <w:rPr>
          <w:rFonts w:hint="eastAsia" w:ascii="仿宋_GB2312" w:hAnsi="宋体" w:eastAsia="仿宋_GB2312"/>
          <w:b/>
          <w:color w:val="auto"/>
          <w:sz w:val="28"/>
          <w:szCs w:val="28"/>
        </w:rPr>
        <w:t xml:space="preserve">委托代理人：                 </w:t>
      </w:r>
    </w:p>
    <w:p>
      <w:pPr>
        <w:pStyle w:val="31"/>
        <w:spacing w:line="360" w:lineRule="exact"/>
        <w:ind w:firstLine="0" w:firstLineChars="0"/>
        <w:jc w:val="center"/>
        <w:rPr>
          <w:rFonts w:ascii="仿宋_GB2312" w:hAnsi="宋体" w:eastAsia="仿宋_GB2312"/>
          <w:b/>
          <w:color w:val="auto"/>
          <w:sz w:val="28"/>
          <w:szCs w:val="28"/>
        </w:rPr>
      </w:pPr>
      <w:r>
        <w:rPr>
          <w:rFonts w:hint="eastAsia" w:ascii="仿宋_GB2312" w:hAnsi="宋体" w:eastAsia="仿宋_GB2312"/>
          <w:b/>
          <w:color w:val="auto"/>
          <w:sz w:val="28"/>
          <w:szCs w:val="28"/>
        </w:rPr>
        <w:t xml:space="preserve">                年     月     日</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附件2：保密承诺书</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 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1.4.2已经公开或已成为常识性的资料，且该等公开并非因违反本承诺所致。</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 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我方违反了本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 当合同履行完毕、合同终止或经机场公司要求，我方应立即返还或根据机场公司书面要求销毁所有含有商业秘密或我方在接触商业秘密后而产生的资料，以及由我方持有的任何复制品</w:t>
      </w:r>
      <w:bookmarkStart w:id="82" w:name="_Hlk10634806"/>
      <w:r>
        <w:rPr>
          <w:rFonts w:hint="eastAsia" w:ascii="仿宋_GB2312" w:hAnsi="仿宋_GB2312" w:eastAsia="仿宋_GB2312" w:cs="仿宋_GB2312"/>
          <w:sz w:val="28"/>
          <w:szCs w:val="28"/>
        </w:rPr>
        <w:t>，并提供相应书面证明</w:t>
      </w:r>
      <w:bookmarkEnd w:id="82"/>
      <w:r>
        <w:rPr>
          <w:rFonts w:hint="eastAsia" w:ascii="仿宋_GB2312" w:hAnsi="仿宋_GB2312" w:eastAsia="仿宋_GB2312" w:cs="仿宋_GB2312"/>
          <w:sz w:val="28"/>
          <w:szCs w:val="28"/>
        </w:rPr>
        <w:t>。</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 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4.7将含有机场公司商业秘密的产品、技术或其他资料、信息向第三人销售、使用或以任何方式提供。</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 我方依法根据司法机关、侦查机关、或政府机构的合法指令而透露有关资料不属于违反保密义务。此情况之下，我方必须在</w:t>
      </w:r>
      <w:bookmarkStart w:id="83" w:name="_Hlk10634818"/>
      <w:r>
        <w:rPr>
          <w:rFonts w:hint="eastAsia" w:ascii="仿宋_GB2312" w:hAnsi="仿宋_GB2312" w:eastAsia="仿宋_GB2312" w:cs="仿宋_GB2312"/>
          <w:sz w:val="28"/>
          <w:szCs w:val="28"/>
        </w:rPr>
        <w:t>收到该等指令之后</w:t>
      </w:r>
      <w:bookmarkEnd w:id="83"/>
      <w:r>
        <w:rPr>
          <w:rFonts w:hint="eastAsia" w:ascii="仿宋_GB2312" w:hAnsi="仿宋_GB2312" w:eastAsia="仿宋_GB2312" w:cs="仿宋_GB2312"/>
          <w:sz w:val="28"/>
          <w:szCs w:val="28"/>
        </w:rPr>
        <w:t>和透露</w:t>
      </w:r>
      <w:bookmarkStart w:id="84" w:name="_Hlk10634824"/>
      <w:r>
        <w:rPr>
          <w:rFonts w:hint="eastAsia" w:ascii="仿宋_GB2312" w:hAnsi="仿宋_GB2312" w:eastAsia="仿宋_GB2312" w:cs="仿宋_GB2312"/>
          <w:sz w:val="28"/>
          <w:szCs w:val="28"/>
        </w:rPr>
        <w:t>有关资料</w:t>
      </w:r>
      <w:bookmarkEnd w:id="84"/>
      <w:r>
        <w:rPr>
          <w:rFonts w:hint="eastAsia" w:ascii="仿宋_GB2312" w:hAnsi="仿宋_GB2312" w:eastAsia="仿宋_GB2312" w:cs="仿宋_GB2312"/>
          <w:sz w:val="28"/>
          <w:szCs w:val="28"/>
        </w:rPr>
        <w:t>之前</w:t>
      </w:r>
      <w:bookmarkStart w:id="85" w:name="_Hlk10634829"/>
      <w:r>
        <w:rPr>
          <w:rFonts w:hint="eastAsia" w:ascii="仿宋_GB2312" w:hAnsi="仿宋_GB2312" w:eastAsia="仿宋_GB2312" w:cs="仿宋_GB2312"/>
          <w:sz w:val="28"/>
          <w:szCs w:val="28"/>
        </w:rPr>
        <w:t>立即书面</w:t>
      </w:r>
      <w:bookmarkEnd w:id="85"/>
      <w:r>
        <w:rPr>
          <w:rFonts w:hint="eastAsia" w:ascii="仿宋_GB2312" w:hAnsi="仿宋_GB2312" w:eastAsia="仿宋_GB2312" w:cs="仿宋_GB2312"/>
          <w:sz w:val="28"/>
          <w:szCs w:val="28"/>
        </w:rPr>
        <w:t>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 我方发生上述违约行为时，机场公司（包括机场公司关联公司）有权要求我方立即停止侵权和进一步的对外泄露或滥用，并要求我方采取一切合理的补救措施，并有权终止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 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 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 本承诺书适用中华人民共和国法律，如因履行本承诺书发生争议，则双方均有权向机场公司所在地法院提起诉讼。</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供应商(盖章):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电话/传真：</w:t>
      </w: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地址：</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napToGrid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adjustRightInd w:val="0"/>
        <w:snapToGrid w:val="0"/>
        <w:spacing w:line="360" w:lineRule="exact"/>
        <w:ind w:firstLine="452"/>
        <w:jc w:val="center"/>
        <w:rPr>
          <w:rFonts w:ascii="宋体" w:hAnsi="宋体"/>
          <w:b/>
          <w:sz w:val="22"/>
        </w:rPr>
      </w:pPr>
      <w:r>
        <w:t>合同条款</w:t>
      </w:r>
    </w:p>
    <w:p>
      <w:pPr>
        <w:adjustRightInd w:val="0"/>
        <w:snapToGrid w:val="0"/>
        <w:spacing w:line="360" w:lineRule="exact"/>
        <w:ind w:firstLine="452"/>
        <w:jc w:val="left"/>
        <w:rPr>
          <w:rFonts w:ascii="宋体" w:hAnsi="宋体"/>
          <w:b/>
          <w:sz w:val="22"/>
        </w:rPr>
      </w:pPr>
      <w:r>
        <w:rPr>
          <w:rFonts w:hint="eastAsia" w:ascii="宋体" w:hAnsi="宋体"/>
          <w:b/>
          <w:sz w:val="22"/>
        </w:rPr>
        <w:t xml:space="preserve">甲方： </w:t>
      </w:r>
      <w:r>
        <w:rPr>
          <w:rFonts w:hint="eastAsia" w:asciiTheme="minorEastAsia" w:hAnsiTheme="minorEastAsia"/>
          <w:color w:val="000000" w:themeColor="text1"/>
          <w:kern w:val="0"/>
          <w:sz w:val="22"/>
          <w14:textFill>
            <w14:solidFill>
              <w14:schemeClr w14:val="tx1"/>
            </w14:solidFill>
          </w14:textFill>
        </w:rPr>
        <w:t>宁波机场与物流发展集团有限公司</w:t>
      </w:r>
    </w:p>
    <w:p>
      <w:pPr>
        <w:adjustRightInd w:val="0"/>
        <w:snapToGrid w:val="0"/>
        <w:spacing w:line="360" w:lineRule="exact"/>
        <w:ind w:firstLine="452"/>
        <w:jc w:val="left"/>
        <w:rPr>
          <w:rFonts w:ascii="宋体" w:hAnsi="宋体"/>
          <w:b/>
          <w:sz w:val="22"/>
        </w:rPr>
      </w:pPr>
      <w:r>
        <w:rPr>
          <w:rFonts w:hint="eastAsia" w:ascii="宋体" w:hAnsi="宋体"/>
          <w:b/>
          <w:sz w:val="22"/>
        </w:rPr>
        <w:t xml:space="preserve">住所地： </w:t>
      </w:r>
    </w:p>
    <w:p>
      <w:pPr>
        <w:adjustRightInd w:val="0"/>
        <w:snapToGrid w:val="0"/>
        <w:spacing w:line="360" w:lineRule="exact"/>
        <w:ind w:firstLine="452"/>
        <w:jc w:val="left"/>
        <w:rPr>
          <w:rFonts w:ascii="宋体" w:hAnsi="宋体"/>
          <w:b/>
          <w:sz w:val="22"/>
        </w:rPr>
      </w:pPr>
      <w:r>
        <w:rPr>
          <w:rFonts w:hint="eastAsia" w:ascii="宋体" w:hAnsi="宋体"/>
          <w:b/>
          <w:sz w:val="22"/>
        </w:rPr>
        <w:t>乙方：</w:t>
      </w:r>
    </w:p>
    <w:p>
      <w:pPr>
        <w:adjustRightInd w:val="0"/>
        <w:snapToGrid w:val="0"/>
        <w:spacing w:line="360" w:lineRule="exact"/>
        <w:ind w:firstLine="452"/>
        <w:jc w:val="left"/>
        <w:rPr>
          <w:rFonts w:ascii="宋体" w:hAnsi="宋体"/>
          <w:sz w:val="22"/>
        </w:rPr>
      </w:pPr>
      <w:r>
        <w:rPr>
          <w:rFonts w:hint="eastAsia" w:ascii="宋体" w:hAnsi="宋体"/>
          <w:b/>
          <w:sz w:val="22"/>
        </w:rPr>
        <w:t>住所地：</w:t>
      </w:r>
    </w:p>
    <w:p>
      <w:pPr>
        <w:adjustRightInd w:val="0"/>
        <w:snapToGrid w:val="0"/>
        <w:spacing w:line="360" w:lineRule="exact"/>
        <w:ind w:firstLine="450"/>
        <w:jc w:val="left"/>
        <w:rPr>
          <w:rFonts w:ascii="宋体" w:hAnsi="宋体"/>
          <w:sz w:val="22"/>
        </w:rPr>
      </w:pPr>
    </w:p>
    <w:p>
      <w:pPr>
        <w:adjustRightInd w:val="0"/>
        <w:snapToGrid w:val="0"/>
        <w:spacing w:line="360" w:lineRule="exact"/>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sz w:val="22"/>
        </w:rPr>
      </w:pPr>
      <w:r>
        <w:rPr>
          <w:rFonts w:hint="eastAsia" w:ascii="宋体" w:hAnsi="宋体"/>
          <w:b/>
          <w:bCs/>
          <w:sz w:val="22"/>
        </w:rPr>
        <w:t>一、产品规格型号及参数</w:t>
      </w:r>
    </w:p>
    <w:tbl>
      <w:tblPr>
        <w:tblStyle w:val="19"/>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30"/>
        <w:gridCol w:w="1404"/>
        <w:gridCol w:w="1590"/>
        <w:gridCol w:w="714"/>
        <w:gridCol w:w="1137"/>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1007" w:type="dxa"/>
            <w:vAlign w:val="center"/>
          </w:tcPr>
          <w:p>
            <w:pPr>
              <w:pStyle w:val="29"/>
              <w:snapToGrid w:val="0"/>
              <w:jc w:val="left"/>
              <w:rPr>
                <w:rFonts w:ascii="宋体" w:hAnsi="宋体"/>
                <w:b/>
                <w:sz w:val="22"/>
              </w:rPr>
            </w:pPr>
            <w:r>
              <w:rPr>
                <w:rFonts w:hint="eastAsia" w:ascii="宋体" w:hAnsi="宋体"/>
                <w:b/>
                <w:sz w:val="22"/>
              </w:rPr>
              <w:t>序号</w:t>
            </w:r>
          </w:p>
        </w:tc>
        <w:tc>
          <w:tcPr>
            <w:tcW w:w="1530" w:type="dxa"/>
            <w:vAlign w:val="center"/>
          </w:tcPr>
          <w:p>
            <w:pPr>
              <w:pStyle w:val="29"/>
              <w:snapToGrid w:val="0"/>
              <w:jc w:val="left"/>
              <w:rPr>
                <w:rFonts w:ascii="宋体" w:hAnsi="宋体"/>
                <w:b/>
                <w:sz w:val="22"/>
              </w:rPr>
            </w:pPr>
            <w:r>
              <w:rPr>
                <w:rFonts w:hint="eastAsia" w:ascii="宋体" w:hAnsi="宋体"/>
                <w:b/>
                <w:sz w:val="22"/>
              </w:rPr>
              <w:t>产品名称</w:t>
            </w:r>
          </w:p>
        </w:tc>
        <w:tc>
          <w:tcPr>
            <w:tcW w:w="1404" w:type="dxa"/>
            <w:vAlign w:val="center"/>
          </w:tcPr>
          <w:p>
            <w:pPr>
              <w:pStyle w:val="29"/>
              <w:snapToGrid w:val="0"/>
              <w:jc w:val="left"/>
              <w:rPr>
                <w:rFonts w:ascii="宋体" w:hAnsi="宋体"/>
                <w:b/>
                <w:sz w:val="22"/>
              </w:rPr>
            </w:pPr>
            <w:r>
              <w:rPr>
                <w:rFonts w:hint="eastAsia" w:ascii="宋体" w:hAnsi="宋体"/>
                <w:b/>
                <w:sz w:val="22"/>
              </w:rPr>
              <w:t>品牌型号</w:t>
            </w:r>
          </w:p>
        </w:tc>
        <w:tc>
          <w:tcPr>
            <w:tcW w:w="1590" w:type="dxa"/>
            <w:vAlign w:val="center"/>
          </w:tcPr>
          <w:p>
            <w:pPr>
              <w:pStyle w:val="29"/>
              <w:snapToGrid w:val="0"/>
              <w:jc w:val="center"/>
              <w:rPr>
                <w:rFonts w:ascii="宋体" w:hAnsi="宋体"/>
                <w:b/>
                <w:sz w:val="22"/>
              </w:rPr>
            </w:pPr>
            <w:r>
              <w:rPr>
                <w:rFonts w:hint="eastAsia" w:ascii="宋体" w:hAnsi="宋体"/>
                <w:b/>
                <w:sz w:val="22"/>
              </w:rPr>
              <w:t>单位</w:t>
            </w:r>
          </w:p>
        </w:tc>
        <w:tc>
          <w:tcPr>
            <w:tcW w:w="714" w:type="dxa"/>
            <w:vAlign w:val="center"/>
          </w:tcPr>
          <w:p>
            <w:pPr>
              <w:pStyle w:val="29"/>
              <w:snapToGrid w:val="0"/>
              <w:jc w:val="left"/>
              <w:rPr>
                <w:rFonts w:ascii="宋体" w:hAnsi="宋体"/>
                <w:b/>
                <w:sz w:val="22"/>
              </w:rPr>
            </w:pPr>
            <w:r>
              <w:rPr>
                <w:rFonts w:hint="eastAsia" w:ascii="宋体" w:hAnsi="宋体"/>
                <w:b/>
                <w:sz w:val="22"/>
              </w:rPr>
              <w:t>数量</w:t>
            </w:r>
          </w:p>
        </w:tc>
        <w:tc>
          <w:tcPr>
            <w:tcW w:w="1137" w:type="dxa"/>
            <w:vAlign w:val="center"/>
          </w:tcPr>
          <w:p>
            <w:pPr>
              <w:pStyle w:val="29"/>
              <w:snapToGrid w:val="0"/>
              <w:jc w:val="center"/>
              <w:rPr>
                <w:rFonts w:ascii="宋体" w:hAnsi="宋体"/>
                <w:b/>
                <w:sz w:val="22"/>
              </w:rPr>
            </w:pPr>
            <w:r>
              <w:rPr>
                <w:rFonts w:hint="eastAsia" w:ascii="宋体" w:hAnsi="宋体"/>
                <w:b/>
                <w:sz w:val="22"/>
              </w:rPr>
              <w:t>单价（元）</w:t>
            </w:r>
          </w:p>
        </w:tc>
        <w:tc>
          <w:tcPr>
            <w:tcW w:w="1122" w:type="dxa"/>
            <w:vAlign w:val="center"/>
          </w:tcPr>
          <w:p>
            <w:pPr>
              <w:pStyle w:val="29"/>
              <w:snapToGrid w:val="0"/>
              <w:jc w:val="center"/>
              <w:rPr>
                <w:rFonts w:ascii="宋体" w:hAnsi="宋体"/>
                <w:b/>
                <w:sz w:val="22"/>
              </w:rPr>
            </w:pPr>
            <w:r>
              <w:rPr>
                <w:rFonts w:hint="eastAsia" w:ascii="宋体" w:hAnsi="宋体"/>
                <w:b/>
                <w:sz w:val="22"/>
              </w:rPr>
              <w:t>金额</w:t>
            </w:r>
          </w:p>
          <w:p>
            <w:pPr>
              <w:pStyle w:val="29"/>
              <w:snapToGrid w:val="0"/>
              <w:jc w:val="left"/>
              <w:rPr>
                <w:rFonts w:ascii="宋体" w:hAnsi="宋体"/>
                <w:b/>
                <w:sz w:val="22"/>
              </w:rPr>
            </w:pPr>
            <w:r>
              <w:rPr>
                <w:rFonts w:hint="eastAsia" w:ascii="宋体" w:hAnsi="宋体"/>
                <w:b/>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ind w:firstLine="440" w:firstLineChars="200"/>
              <w:jc w:val="left"/>
              <w:rPr>
                <w:rFonts w:ascii="宋体" w:hAnsi="宋体"/>
                <w:sz w:val="22"/>
              </w:rPr>
            </w:pP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ind w:firstLine="440" w:firstLineChars="200"/>
              <w:jc w:val="left"/>
              <w:rPr>
                <w:rFonts w:ascii="宋体" w:hAnsi="宋体"/>
                <w:sz w:val="22"/>
              </w:rPr>
            </w:pP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ind w:firstLine="440" w:firstLineChars="200"/>
              <w:jc w:val="left"/>
              <w:rPr>
                <w:rFonts w:ascii="宋体" w:hAnsi="宋体"/>
                <w:sz w:val="22"/>
              </w:rPr>
            </w:pP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7" w:type="dxa"/>
            <w:vAlign w:val="center"/>
          </w:tcPr>
          <w:p>
            <w:pPr>
              <w:pStyle w:val="29"/>
              <w:snapToGrid w:val="0"/>
              <w:jc w:val="left"/>
              <w:rPr>
                <w:rFonts w:ascii="宋体" w:hAnsi="宋体"/>
                <w:sz w:val="22"/>
              </w:rPr>
            </w:pPr>
            <w:r>
              <w:rPr>
                <w:rFonts w:hint="eastAsia" w:ascii="宋体" w:hAnsi="宋体"/>
                <w:sz w:val="22"/>
              </w:rPr>
              <w:t>合计</w:t>
            </w:r>
          </w:p>
        </w:tc>
        <w:tc>
          <w:tcPr>
            <w:tcW w:w="1530" w:type="dxa"/>
            <w:vAlign w:val="center"/>
          </w:tcPr>
          <w:p>
            <w:pPr>
              <w:pStyle w:val="29"/>
              <w:snapToGrid w:val="0"/>
              <w:ind w:firstLine="440" w:firstLineChars="200"/>
              <w:jc w:val="left"/>
              <w:rPr>
                <w:rFonts w:ascii="宋体" w:hAnsi="宋体"/>
                <w:sz w:val="22"/>
              </w:rPr>
            </w:pPr>
          </w:p>
        </w:tc>
        <w:tc>
          <w:tcPr>
            <w:tcW w:w="1404" w:type="dxa"/>
            <w:vAlign w:val="center"/>
          </w:tcPr>
          <w:p>
            <w:pPr>
              <w:pStyle w:val="29"/>
              <w:snapToGrid w:val="0"/>
              <w:ind w:firstLine="440" w:firstLineChars="200"/>
              <w:jc w:val="left"/>
              <w:rPr>
                <w:rFonts w:ascii="宋体" w:hAnsi="宋体"/>
                <w:sz w:val="22"/>
              </w:rPr>
            </w:pPr>
          </w:p>
        </w:tc>
        <w:tc>
          <w:tcPr>
            <w:tcW w:w="1590" w:type="dxa"/>
            <w:vAlign w:val="center"/>
          </w:tcPr>
          <w:p>
            <w:pPr>
              <w:pStyle w:val="29"/>
              <w:snapToGrid w:val="0"/>
              <w:ind w:firstLine="440" w:firstLineChars="200"/>
              <w:jc w:val="left"/>
              <w:rPr>
                <w:rFonts w:ascii="宋体" w:hAnsi="宋体"/>
                <w:sz w:val="22"/>
              </w:rPr>
            </w:pPr>
          </w:p>
        </w:tc>
        <w:tc>
          <w:tcPr>
            <w:tcW w:w="714" w:type="dxa"/>
            <w:vAlign w:val="center"/>
          </w:tcPr>
          <w:p>
            <w:pPr>
              <w:pStyle w:val="29"/>
              <w:snapToGrid w:val="0"/>
              <w:ind w:firstLine="440" w:firstLineChars="200"/>
              <w:jc w:val="left"/>
              <w:rPr>
                <w:rFonts w:ascii="宋体" w:hAnsi="宋体"/>
                <w:sz w:val="22"/>
              </w:rPr>
            </w:pPr>
          </w:p>
        </w:tc>
        <w:tc>
          <w:tcPr>
            <w:tcW w:w="1137" w:type="dxa"/>
            <w:vAlign w:val="center"/>
          </w:tcPr>
          <w:p>
            <w:pPr>
              <w:pStyle w:val="29"/>
              <w:snapToGrid w:val="0"/>
              <w:ind w:firstLine="440" w:firstLineChars="200"/>
              <w:jc w:val="left"/>
              <w:rPr>
                <w:rFonts w:ascii="宋体" w:hAnsi="宋体"/>
                <w:sz w:val="22"/>
              </w:rPr>
            </w:pPr>
          </w:p>
        </w:tc>
        <w:tc>
          <w:tcPr>
            <w:tcW w:w="1122" w:type="dxa"/>
            <w:vAlign w:val="center"/>
          </w:tcPr>
          <w:p>
            <w:pPr>
              <w:pStyle w:val="29"/>
              <w:snapToGrid w:val="0"/>
              <w:ind w:firstLine="440" w:firstLineChars="200"/>
              <w:jc w:val="left"/>
              <w:rPr>
                <w:rFonts w:ascii="宋体" w:hAnsi="宋体"/>
                <w:sz w:val="22"/>
              </w:rPr>
            </w:pPr>
          </w:p>
        </w:tc>
      </w:tr>
    </w:tbl>
    <w:p>
      <w:pPr>
        <w:adjustRightInd w:val="0"/>
        <w:snapToGrid w:val="0"/>
        <w:spacing w:line="360" w:lineRule="exact"/>
        <w:ind w:firstLine="442" w:firstLineChars="200"/>
        <w:rPr>
          <w:rFonts w:ascii="宋体" w:hAnsi="宋体"/>
          <w:b/>
          <w:sz w:val="22"/>
        </w:rPr>
      </w:pPr>
      <w:r>
        <w:rPr>
          <w:rFonts w:hint="eastAsia" w:ascii="宋体" w:hAnsi="宋体"/>
          <w:b/>
          <w:sz w:val="22"/>
        </w:rPr>
        <w:t>技术要求：</w:t>
      </w:r>
    </w:p>
    <w:p>
      <w:pPr>
        <w:spacing w:line="240" w:lineRule="atLeast"/>
        <w:ind w:firstLine="450"/>
        <w:rPr>
          <w:rFonts w:ascii="宋体" w:hAnsi="宋体"/>
          <w:sz w:val="22"/>
        </w:rPr>
      </w:pPr>
      <w:r>
        <w:rPr>
          <w:rFonts w:hint="eastAsia" w:ascii="宋体" w:hAnsi="宋体"/>
          <w:sz w:val="22"/>
        </w:rPr>
        <w:t>发声层：不少于2层</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最大声级：1米处不小于125分贝</w:t>
      </w:r>
    </w:p>
    <w:p>
      <w:pPr>
        <w:spacing w:line="240" w:lineRule="atLeast"/>
        <w:ind w:firstLine="450"/>
        <w:rPr>
          <w:rFonts w:ascii="宋体" w:hAnsi="宋体"/>
          <w:sz w:val="22"/>
        </w:rPr>
      </w:pPr>
      <w:r>
        <w:rPr>
          <w:rFonts w:hint="eastAsia" w:ascii="宋体" w:hAnsi="宋体"/>
          <w:b/>
          <w:sz w:val="22"/>
        </w:rPr>
        <w:t>★</w:t>
      </w:r>
      <w:r>
        <w:rPr>
          <w:rFonts w:hint="eastAsia" w:ascii="宋体" w:hAnsi="宋体"/>
          <w:sz w:val="22"/>
        </w:rPr>
        <w:t>驱散半径：不小于300米</w:t>
      </w:r>
    </w:p>
    <w:p>
      <w:pPr>
        <w:spacing w:line="240" w:lineRule="atLeast"/>
        <w:ind w:firstLine="450"/>
        <w:rPr>
          <w:rFonts w:ascii="宋体" w:hAnsi="宋体"/>
          <w:sz w:val="22"/>
        </w:rPr>
      </w:pPr>
      <w:r>
        <w:rPr>
          <w:rFonts w:hint="eastAsia" w:ascii="宋体" w:hAnsi="宋体"/>
          <w:sz w:val="22"/>
        </w:rPr>
        <w:t>供电：太阳能（</w:t>
      </w:r>
      <w:r>
        <w:rPr>
          <w:rFonts w:hint="eastAsia" w:cs="Calibri" w:asciiTheme="minorEastAsia" w:hAnsiTheme="minorEastAsia"/>
          <w:sz w:val="22"/>
        </w:rPr>
        <w:t>通过使用单晶体硅太阳能电池板及充电控制器，白天利用光太阳能板产生的电能向蓄电池充电，无需外部电力；内置12V100AH免维护型蓄电池，充满电后能保证在7天以上无日照天气下正常供电）</w:t>
      </w:r>
      <w:r>
        <w:rPr>
          <w:rFonts w:hint="eastAsia" w:ascii="宋体" w:hAnsi="宋体"/>
          <w:sz w:val="22"/>
        </w:rPr>
        <w:t>，也可使用市电供电。</w:t>
      </w:r>
    </w:p>
    <w:p>
      <w:pPr>
        <w:spacing w:line="240" w:lineRule="atLeast"/>
        <w:ind w:firstLine="450"/>
        <w:rPr>
          <w:rFonts w:ascii="宋体" w:hAnsi="宋体"/>
          <w:sz w:val="22"/>
        </w:rPr>
      </w:pPr>
      <w:r>
        <w:rPr>
          <w:rFonts w:hint="eastAsia" w:ascii="宋体" w:hAnsi="宋体"/>
          <w:sz w:val="22"/>
        </w:rPr>
        <w:t>功率：额定功率</w:t>
      </w:r>
      <w:r>
        <w:rPr>
          <w:rFonts w:hint="eastAsia" w:asciiTheme="minorEastAsia" w:hAnsiTheme="minorEastAsia"/>
          <w:sz w:val="22"/>
        </w:rPr>
        <w:t>≦</w:t>
      </w:r>
      <w:r>
        <w:rPr>
          <w:rFonts w:ascii="宋体" w:hAnsi="宋体"/>
          <w:sz w:val="22"/>
        </w:rPr>
        <w:t>120W,</w:t>
      </w:r>
      <w:r>
        <w:rPr>
          <w:rFonts w:hint="eastAsia" w:ascii="宋体" w:hAnsi="宋体"/>
          <w:sz w:val="22"/>
        </w:rPr>
        <w:t>最大功率</w:t>
      </w:r>
      <w:r>
        <w:rPr>
          <w:rFonts w:hint="eastAsia" w:asciiTheme="minorEastAsia" w:hAnsiTheme="minorEastAsia"/>
          <w:sz w:val="22"/>
        </w:rPr>
        <w:t>≦</w:t>
      </w:r>
      <w:r>
        <w:rPr>
          <w:rFonts w:ascii="宋体" w:hAnsi="宋体"/>
          <w:sz w:val="22"/>
        </w:rPr>
        <w:t>300W，待机功率0W</w:t>
      </w:r>
    </w:p>
    <w:p>
      <w:pPr>
        <w:spacing w:line="240" w:lineRule="atLeast"/>
        <w:ind w:firstLine="450"/>
        <w:rPr>
          <w:rFonts w:ascii="宋体" w:hAnsi="宋体"/>
          <w:sz w:val="22"/>
        </w:rPr>
      </w:pPr>
      <w:r>
        <w:rPr>
          <w:rFonts w:hint="eastAsia" w:ascii="宋体" w:hAnsi="宋体"/>
          <w:sz w:val="22"/>
        </w:rPr>
        <w:t>音频内存：乙方提供专业驱鸟音频库，音频频率应可自动变换以防鸟类适应。应可根据机场鸟群定制音频，设备交付时，每套设备应提供不少于20种的驱鸟音频，并提供相应存储介质以方便用户定期更换音频。</w:t>
      </w:r>
    </w:p>
    <w:p>
      <w:pPr>
        <w:spacing w:line="240" w:lineRule="atLeast"/>
        <w:ind w:firstLine="450"/>
        <w:rPr>
          <w:rFonts w:ascii="宋体" w:hAnsi="宋体"/>
          <w:sz w:val="22"/>
        </w:rPr>
      </w:pPr>
      <w:r>
        <w:rPr>
          <w:rFonts w:hint="eastAsia" w:ascii="宋体" w:hAnsi="宋体"/>
          <w:sz w:val="22"/>
        </w:rPr>
        <w:t>发声设备重量：&lt;15 kg</w:t>
      </w:r>
    </w:p>
    <w:p>
      <w:pPr>
        <w:spacing w:line="240" w:lineRule="atLeast"/>
        <w:ind w:firstLine="450"/>
        <w:rPr>
          <w:rFonts w:ascii="宋体" w:hAnsi="宋体"/>
          <w:sz w:val="22"/>
        </w:rPr>
      </w:pPr>
      <w:r>
        <w:rPr>
          <w:rFonts w:hint="eastAsia" w:ascii="宋体" w:hAnsi="宋体"/>
          <w:sz w:val="22"/>
        </w:rPr>
        <w:t>发声设备高度：&lt;80 cm</w:t>
      </w:r>
    </w:p>
    <w:p>
      <w:pPr>
        <w:spacing w:line="240" w:lineRule="atLeast"/>
        <w:ind w:firstLine="450"/>
        <w:rPr>
          <w:rFonts w:ascii="宋体" w:hAnsi="宋体"/>
          <w:sz w:val="22"/>
        </w:rPr>
      </w:pPr>
      <w:r>
        <w:rPr>
          <w:rFonts w:hint="eastAsia" w:ascii="宋体" w:hAnsi="宋体"/>
          <w:sz w:val="22"/>
        </w:rPr>
        <w:t>发声设备直径：&lt;50 cm</w:t>
      </w:r>
    </w:p>
    <w:p>
      <w:pPr>
        <w:spacing w:line="240" w:lineRule="atLeast"/>
        <w:ind w:firstLine="450"/>
        <w:rPr>
          <w:rFonts w:ascii="宋体" w:hAnsi="宋体"/>
          <w:sz w:val="22"/>
        </w:rPr>
      </w:pPr>
      <w:r>
        <w:rPr>
          <w:rFonts w:hint="eastAsia" w:ascii="宋体" w:hAnsi="宋体"/>
          <w:sz w:val="22"/>
        </w:rPr>
        <w:t>外接设备：预留外接设备接口，可选配摄像头和视频控制软件，实现实时远程鸟情观测和系统作业效果监测。</w:t>
      </w:r>
    </w:p>
    <w:p>
      <w:pPr>
        <w:spacing w:line="240" w:lineRule="atLeast"/>
        <w:ind w:firstLine="450"/>
        <w:rPr>
          <w:rFonts w:ascii="宋体" w:hAnsi="宋体"/>
          <w:sz w:val="22"/>
        </w:rPr>
      </w:pPr>
      <w:r>
        <w:rPr>
          <w:rFonts w:hint="eastAsia" w:ascii="宋体" w:hAnsi="宋体"/>
          <w:sz w:val="22"/>
        </w:rPr>
        <w:t>★适应性：可适应飞行区土面区或车载等露天环境，具有抗高温、耐低温、防水、防尘、抗震等特性。</w:t>
      </w:r>
    </w:p>
    <w:p>
      <w:pPr>
        <w:spacing w:line="240" w:lineRule="atLeast"/>
        <w:ind w:firstLine="450"/>
        <w:rPr>
          <w:rFonts w:ascii="宋体" w:hAnsi="宋体"/>
          <w:sz w:val="22"/>
        </w:rPr>
      </w:pPr>
      <w:r>
        <w:rPr>
          <w:rFonts w:hint="eastAsia" w:ascii="宋体" w:hAnsi="宋体"/>
          <w:sz w:val="22"/>
        </w:rPr>
        <w:t>安全性：发射信号不影响机场通信；具有避雷装置；安全性能有权威机构认证。</w:t>
      </w:r>
    </w:p>
    <w:p>
      <w:pPr>
        <w:spacing w:line="240" w:lineRule="atLeast"/>
        <w:ind w:firstLine="450"/>
        <w:rPr>
          <w:rFonts w:ascii="宋体" w:hAnsi="宋体"/>
          <w:sz w:val="22"/>
        </w:rPr>
      </w:pPr>
      <w:r>
        <w:rPr>
          <w:rFonts w:hint="eastAsia" w:ascii="宋体" w:hAnsi="宋体"/>
          <w:sz w:val="22"/>
        </w:rPr>
        <w:t>★操作性：可设定设备开关、音量调节、复位、工作模式等功能，并可根据用户需求，设定声音播放时间及时间间隔；易于安装和维护。</w:t>
      </w:r>
    </w:p>
    <w:p>
      <w:pPr>
        <w:spacing w:line="240" w:lineRule="atLeast"/>
        <w:ind w:firstLine="450"/>
        <w:rPr>
          <w:rFonts w:ascii="宋体" w:hAnsi="宋体"/>
          <w:sz w:val="22"/>
        </w:rPr>
      </w:pPr>
      <w:r>
        <w:rPr>
          <w:rFonts w:hint="eastAsia" w:ascii="宋体" w:hAnsi="宋体"/>
          <w:sz w:val="22"/>
        </w:rPr>
        <w:t>智能控制：通过遥控器可启动、关闭驱鸟器，遥控距离至少1000米。</w:t>
      </w:r>
    </w:p>
    <w:p>
      <w:pPr>
        <w:spacing w:line="240" w:lineRule="atLeast"/>
        <w:ind w:firstLine="450"/>
        <w:rPr>
          <w:rFonts w:ascii="宋体" w:hAnsi="宋体"/>
          <w:sz w:val="22"/>
        </w:rPr>
      </w:pPr>
      <w:r>
        <w:rPr>
          <w:rFonts w:hint="eastAsia" w:ascii="宋体" w:hAnsi="宋体"/>
          <w:sz w:val="22"/>
        </w:rPr>
        <w:t>便捷性：全向声波驱鸟器应为成熟产品，集成在可移动平台上，整体便于固定、移动。</w:t>
      </w:r>
    </w:p>
    <w:p>
      <w:pPr>
        <w:adjustRightInd w:val="0"/>
        <w:snapToGrid w:val="0"/>
        <w:spacing w:line="360" w:lineRule="exact"/>
        <w:ind w:firstLine="442" w:firstLineChars="200"/>
        <w:rPr>
          <w:rFonts w:ascii="宋体" w:hAnsi="宋体"/>
          <w:b/>
          <w:sz w:val="22"/>
        </w:rPr>
      </w:pPr>
      <w:r>
        <w:rPr>
          <w:rFonts w:hint="eastAsia" w:ascii="宋体" w:hAnsi="宋体"/>
          <w:b/>
          <w:sz w:val="22"/>
        </w:rPr>
        <w:t>二、合同金额</w:t>
      </w:r>
    </w:p>
    <w:p>
      <w:pPr>
        <w:snapToGrid w:val="0"/>
        <w:spacing w:line="360" w:lineRule="exact"/>
        <w:ind w:firstLine="440" w:firstLineChars="200"/>
        <w:rPr>
          <w:rFonts w:ascii="宋体" w:hAnsi="宋体"/>
          <w:b/>
          <w:sz w:val="22"/>
        </w:rPr>
      </w:pPr>
      <w:r>
        <w:rPr>
          <w:rFonts w:hint="eastAsia" w:ascii="宋体" w:hAnsi="宋体"/>
          <w:sz w:val="22"/>
        </w:rPr>
        <w:t>本合同金额为（大写）：元（￥元）人民币，增值税税率为____%。本合同价为_______机场内交货价，含产品价格、运输费、包装费、保险费、税费等所有费用。甲方不再承担其他任何费用。</w:t>
      </w:r>
    </w:p>
    <w:p>
      <w:pPr>
        <w:adjustRightInd w:val="0"/>
        <w:snapToGrid w:val="0"/>
        <w:spacing w:line="360" w:lineRule="exact"/>
        <w:ind w:firstLine="442" w:firstLineChars="200"/>
        <w:rPr>
          <w:rFonts w:ascii="宋体" w:hAnsi="宋体"/>
          <w:b/>
          <w:sz w:val="22"/>
        </w:rPr>
      </w:pPr>
      <w:r>
        <w:rPr>
          <w:rFonts w:hint="eastAsia" w:ascii="宋体" w:hAnsi="宋体"/>
          <w:b/>
          <w:sz w:val="22"/>
        </w:rPr>
        <w:t>三、技术资料</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乙方应在移交合同货物时向甲方提供使用货物的有关技术资料。</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需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四、知识产权</w:t>
      </w:r>
    </w:p>
    <w:p>
      <w:pPr>
        <w:adjustRightInd w:val="0"/>
        <w:snapToGrid w:val="0"/>
        <w:spacing w:line="360" w:lineRule="exact"/>
        <w:ind w:firstLine="440" w:firstLineChars="200"/>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乙方应保证所提供的货物或其任何一部分均不会侵犯任何第三方的知识产权。如因乙方违反本条保证并导致甲方遭受损失的，甲方有权解除本合同，乙方须向甲方承担赔偿责任。</w:t>
      </w:r>
    </w:p>
    <w:p>
      <w:pPr>
        <w:adjustRightInd w:val="0"/>
        <w:snapToGrid w:val="0"/>
        <w:spacing w:line="360" w:lineRule="exact"/>
        <w:ind w:firstLine="442" w:firstLineChars="200"/>
        <w:rPr>
          <w:rFonts w:ascii="宋体" w:hAnsi="宋体"/>
          <w:b/>
          <w:sz w:val="22"/>
        </w:rPr>
      </w:pPr>
      <w:r>
        <w:rPr>
          <w:rFonts w:hint="eastAsia" w:ascii="宋体" w:hAnsi="宋体"/>
          <w:b/>
          <w:sz w:val="22"/>
        </w:rPr>
        <w:t>五、产权担保</w:t>
      </w:r>
    </w:p>
    <w:p>
      <w:pPr>
        <w:adjustRightInd w:val="0"/>
        <w:snapToGrid w:val="0"/>
        <w:spacing w:line="360" w:lineRule="exact"/>
        <w:ind w:firstLine="440" w:firstLineChars="200"/>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outlineLvl w:val="0"/>
        <w:rPr>
          <w:rFonts w:ascii="宋体" w:hAnsi="宋体"/>
          <w:b/>
          <w:sz w:val="22"/>
        </w:rPr>
      </w:pPr>
      <w:bookmarkStart w:id="86" w:name="_Toc422638512"/>
      <w:r>
        <w:rPr>
          <w:rFonts w:hint="eastAsia" w:ascii="宋体" w:hAnsi="宋体"/>
          <w:b/>
          <w:sz w:val="22"/>
        </w:rPr>
        <w:t>六、转包或分包</w:t>
      </w:r>
      <w:bookmarkEnd w:id="86"/>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本合同项下甲方采购的货物，必须由乙方直接供应；除非得到甲方的书面同意，乙方不得将本合同项下的货物全部或部分转包、分包给第三方供应，不得将本合同项下权利义务转让给第三方；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如有未经甲方书面同意的转让、转包和分包行为，甲方有权解除合同，并有权要求乙方承担合同金额【5】%的违约金，且全额没收履约保证金。</w:t>
      </w:r>
    </w:p>
    <w:p>
      <w:pPr>
        <w:adjustRightInd w:val="0"/>
        <w:snapToGrid w:val="0"/>
        <w:spacing w:line="360" w:lineRule="exact"/>
        <w:ind w:firstLine="442" w:firstLineChars="200"/>
        <w:outlineLvl w:val="0"/>
        <w:rPr>
          <w:rFonts w:ascii="宋体" w:hAnsi="宋体"/>
          <w:b/>
          <w:sz w:val="22"/>
        </w:rPr>
      </w:pPr>
      <w:bookmarkStart w:id="87" w:name="_Toc422638513"/>
      <w:r>
        <w:rPr>
          <w:rFonts w:hint="eastAsia" w:ascii="宋体" w:hAnsi="宋体"/>
          <w:b/>
          <w:sz w:val="22"/>
        </w:rPr>
        <w:t>七、货物包装、发运及运输</w:t>
      </w:r>
      <w:bookmarkEnd w:id="87"/>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乙方应在货物发运前对其按满足运输距离、防潮、防震、防锈和防破损装卸等要求进行包装，以保证货物安全运达甲方指定地点。</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使用说明书、质量检验证明书、随配附件和工具以及清单一并附于货物内同时向甲方交付。如资料和工具、附件不全的，视为乙方未完全履行交付义务。</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乙方在货物发运手续办理完毕后24小时内必须书面通知甲方，以便甲方准备接货。</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 货物在本合同规定的交货地点交付甲方并经甲方终验收合格前发生的一切风险包括货物运输风险均由乙方负责。</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 xml:space="preserve"> 货物在规定的交付期限内由乙方送达甲方指定的交货地点并经甲方签收后视为交付，乙方同时必须在货物到达的当天立即通知甲方货物已送达。</w:t>
      </w:r>
    </w:p>
    <w:p>
      <w:pPr>
        <w:adjustRightInd w:val="0"/>
        <w:snapToGrid w:val="0"/>
        <w:spacing w:line="360" w:lineRule="exact"/>
        <w:ind w:firstLine="442" w:firstLineChars="200"/>
        <w:outlineLvl w:val="0"/>
        <w:rPr>
          <w:rFonts w:ascii="宋体" w:hAnsi="宋体"/>
          <w:b/>
          <w:sz w:val="22"/>
        </w:rPr>
      </w:pPr>
      <w:bookmarkStart w:id="88" w:name="_Toc422638514"/>
      <w:r>
        <w:rPr>
          <w:rFonts w:hint="eastAsia" w:ascii="宋体" w:hAnsi="宋体"/>
          <w:b/>
          <w:sz w:val="22"/>
        </w:rPr>
        <w:t>八、</w:t>
      </w:r>
      <w:r>
        <w:rPr>
          <w:rFonts w:ascii="宋体" w:hAnsi="宋体"/>
          <w:b/>
          <w:sz w:val="22"/>
        </w:rPr>
        <w:t>供货期</w:t>
      </w:r>
      <w:r>
        <w:rPr>
          <w:rFonts w:hint="eastAsia" w:ascii="宋体" w:hAnsi="宋体"/>
          <w:b/>
          <w:sz w:val="22"/>
        </w:rPr>
        <w:t>、交货方式及交货地点</w:t>
      </w:r>
      <w:bookmarkEnd w:id="88"/>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ascii="宋体" w:hAnsi="宋体"/>
          <w:sz w:val="22"/>
        </w:rPr>
        <w:t>供货期</w:t>
      </w:r>
      <w:r>
        <w:rPr>
          <w:rFonts w:hint="eastAsia" w:ascii="宋体" w:hAnsi="宋体"/>
          <w:sz w:val="22"/>
        </w:rPr>
        <w:t>：合同签订后</w:t>
      </w:r>
      <w:r>
        <w:rPr>
          <w:rFonts w:hint="eastAsia" w:ascii="宋体" w:hAnsi="宋体"/>
          <w:sz w:val="22"/>
          <w:u w:val="single"/>
        </w:rPr>
        <w:t xml:space="preserve"> 15 </w:t>
      </w:r>
      <w:r>
        <w:rPr>
          <w:rFonts w:hint="eastAsia" w:ascii="宋体" w:hAnsi="宋体"/>
          <w:sz w:val="22"/>
        </w:rPr>
        <w:t>日历天内</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交货方式： 乙方送货上门</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 xml:space="preserve"> 交货地点： </w:t>
      </w:r>
    </w:p>
    <w:p>
      <w:pPr>
        <w:adjustRightInd w:val="0"/>
        <w:snapToGrid w:val="0"/>
        <w:spacing w:line="360" w:lineRule="exact"/>
        <w:ind w:firstLine="442" w:firstLineChars="200"/>
        <w:outlineLvl w:val="0"/>
        <w:rPr>
          <w:rFonts w:ascii="宋体" w:hAnsi="宋体"/>
          <w:b/>
          <w:sz w:val="22"/>
        </w:rPr>
      </w:pPr>
      <w:bookmarkStart w:id="89" w:name="_Toc422638515"/>
      <w:r>
        <w:rPr>
          <w:rFonts w:hint="eastAsia" w:ascii="宋体" w:hAnsi="宋体"/>
          <w:b/>
          <w:sz w:val="22"/>
        </w:rPr>
        <w:t>九、安装、调试及验收</w:t>
      </w:r>
      <w:bookmarkEnd w:id="89"/>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甲方对乙方提交的货物依据甲方要求和国家有关质量标准进行现场初步验收，产品外观、数量、品种、规格和说明书等资料符合甲方要求的，给予签收，视为初步验收合格，初步验收不合格的不予签收并在到货之日起【】日内以书面或电话形式向乙方提出异议。乙方在甲方初步验收完毕后，负责在【七】日内完成现场安装、调试和试运行，确保设备正常运行。试运行1</w:t>
      </w:r>
      <w:r>
        <w:rPr>
          <w:rFonts w:ascii="宋体" w:hAnsi="宋体"/>
          <w:sz w:val="22"/>
        </w:rPr>
        <w:t>0天后</w:t>
      </w:r>
      <w:r>
        <w:rPr>
          <w:rFonts w:hint="eastAsia" w:ascii="宋体" w:hAnsi="宋体"/>
          <w:sz w:val="22"/>
        </w:rPr>
        <w:t>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 】日内以书面方式向乙方提出相关异议。</w:t>
      </w:r>
    </w:p>
    <w:p>
      <w:pPr>
        <w:adjustRightInd w:val="0"/>
        <w:snapToGrid w:val="0"/>
        <w:spacing w:line="360" w:lineRule="exact"/>
        <w:ind w:firstLine="442" w:firstLineChars="200"/>
        <w:rPr>
          <w:rFonts w:ascii="宋体" w:hAnsi="宋体"/>
          <w:sz w:val="22"/>
        </w:rPr>
      </w:pPr>
      <w:r>
        <w:rPr>
          <w:rFonts w:hint="eastAsia" w:ascii="宋体" w:hAnsi="宋体"/>
          <w:b/>
          <w:sz w:val="22"/>
        </w:rPr>
        <w:t xml:space="preserve">2. </w:t>
      </w:r>
      <w:r>
        <w:rPr>
          <w:rFonts w:hint="eastAsia" w:ascii="宋体" w:hAnsi="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乙方应当在收到甲方异议之日起【三】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42" w:firstLineChars="200"/>
        <w:outlineLvl w:val="0"/>
        <w:rPr>
          <w:rFonts w:ascii="宋体" w:hAnsi="宋体"/>
          <w:b/>
          <w:sz w:val="22"/>
        </w:rPr>
      </w:pPr>
      <w:bookmarkStart w:id="90" w:name="_Toc422638516"/>
      <w:r>
        <w:rPr>
          <w:rFonts w:hint="eastAsia" w:ascii="宋体" w:hAnsi="宋体"/>
          <w:b/>
          <w:sz w:val="22"/>
        </w:rPr>
        <w:t>十、货款支付</w:t>
      </w:r>
      <w:bookmarkEnd w:id="90"/>
    </w:p>
    <w:p>
      <w:pPr>
        <w:adjustRightInd w:val="0"/>
        <w:snapToGrid w:val="0"/>
        <w:spacing w:line="360" w:lineRule="exact"/>
        <w:ind w:firstLine="440" w:firstLineChars="200"/>
        <w:rPr>
          <w:rFonts w:ascii="宋体" w:hAnsi="宋体"/>
          <w:sz w:val="22"/>
        </w:rPr>
      </w:pPr>
      <w:r>
        <w:rPr>
          <w:rFonts w:ascii="宋体" w:hAnsi="宋体"/>
          <w:sz w:val="22"/>
        </w:rPr>
        <w:t>1．付款方式</w:t>
      </w:r>
    </w:p>
    <w:p>
      <w:pPr>
        <w:adjustRightInd w:val="0"/>
        <w:snapToGrid w:val="0"/>
        <w:spacing w:line="360" w:lineRule="exact"/>
        <w:ind w:firstLine="440" w:firstLineChars="200"/>
        <w:rPr>
          <w:rFonts w:ascii="宋体" w:hAnsi="宋体"/>
          <w:sz w:val="22"/>
        </w:rPr>
      </w:pPr>
      <w:r>
        <w:rPr>
          <w:rFonts w:hint="eastAsia" w:ascii="宋体" w:hAnsi="宋体"/>
          <w:sz w:val="22"/>
        </w:rPr>
        <w:t>(1)货到安装、调试和试运行并经甲方终验收合格并签署安装验收合格报告，且收到乙方开具增值税专用发票后，甲方在</w:t>
      </w:r>
      <w:r>
        <w:rPr>
          <w:rFonts w:hint="eastAsia" w:ascii="宋体" w:hAnsi="宋体" w:eastAsia="宋体"/>
          <w:sz w:val="22"/>
        </w:rPr>
        <w:t>【十五】</w:t>
      </w:r>
      <w:r>
        <w:rPr>
          <w:rFonts w:ascii="宋体" w:hAnsi="宋体"/>
          <w:sz w:val="22"/>
        </w:rPr>
        <w:t>个工作日</w:t>
      </w:r>
      <w:r>
        <w:rPr>
          <w:rFonts w:hint="eastAsia" w:ascii="宋体" w:hAnsi="宋体"/>
          <w:sz w:val="22"/>
        </w:rPr>
        <w:t>内支付合同总额的95%</w:t>
      </w:r>
      <w:r>
        <w:rPr>
          <w:rFonts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(2）合同金额的5%作为质量保证金，质量保证金</w:t>
      </w:r>
      <w:r>
        <w:rPr>
          <w:rFonts w:ascii="宋体" w:hAnsi="宋体"/>
          <w:sz w:val="22"/>
        </w:rPr>
        <w:t>在质保期届满后</w:t>
      </w:r>
      <w:r>
        <w:rPr>
          <w:rFonts w:hint="eastAsia" w:ascii="宋体" w:hAnsi="宋体"/>
          <w:sz w:val="22"/>
        </w:rPr>
        <w:t>，经甲方核实并确认，乙方不存在违约情形以及质量保修不存在遗留问题后【十五】个</w:t>
      </w:r>
      <w:r>
        <w:rPr>
          <w:rFonts w:ascii="宋体" w:hAnsi="宋体"/>
          <w:sz w:val="22"/>
        </w:rPr>
        <w:t>工作日内</w:t>
      </w:r>
      <w:r>
        <w:rPr>
          <w:rFonts w:hint="eastAsia" w:ascii="宋体" w:hAnsi="宋体"/>
          <w:sz w:val="22"/>
        </w:rPr>
        <w:t>一并无息</w:t>
      </w:r>
      <w:r>
        <w:rPr>
          <w:rFonts w:ascii="宋体" w:hAnsi="宋体"/>
          <w:sz w:val="22"/>
        </w:rPr>
        <w:t>支付。</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ascii="宋体" w:hAnsi="宋体"/>
          <w:sz w:val="22"/>
        </w:rPr>
        <w:t>3</w:t>
      </w:r>
      <w:r>
        <w:rPr>
          <w:rFonts w:hint="eastAsia" w:ascii="宋体" w:hAnsi="宋体"/>
          <w:sz w:val="22"/>
        </w:rPr>
        <w:t>）乙方在甲方每次付款前开具正式增值税发票。如乙方未根据甲方要求开具增值税专用发票的，则甲方有权拒绝支付相应款项，且无须承担违约责任。</w:t>
      </w:r>
    </w:p>
    <w:p>
      <w:pPr>
        <w:adjustRightInd w:val="0"/>
        <w:snapToGrid w:val="0"/>
        <w:spacing w:line="360" w:lineRule="exact"/>
        <w:ind w:firstLine="440" w:firstLineChars="200"/>
        <w:rPr>
          <w:rFonts w:ascii="宋体" w:hAnsi="宋体"/>
          <w:sz w:val="22"/>
        </w:rPr>
      </w:pPr>
      <w:r>
        <w:rPr>
          <w:rFonts w:ascii="宋体" w:hAnsi="宋体"/>
          <w:sz w:val="22"/>
        </w:rPr>
        <w:t>2．履约保证金</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ascii="宋体" w:hAnsi="宋体"/>
          <w:sz w:val="22"/>
        </w:rPr>
        <w:t>1）乙方应向甲方缴付履约保证金，以保证乙方遵守本合同的一切条款、条件和承诺。</w:t>
      </w:r>
    </w:p>
    <w:p>
      <w:pPr>
        <w:adjustRightInd w:val="0"/>
        <w:snapToGrid w:val="0"/>
        <w:spacing w:line="360" w:lineRule="exact"/>
        <w:ind w:firstLine="440" w:firstLineChars="200"/>
        <w:rPr>
          <w:rFonts w:ascii="宋体" w:hAnsi="宋体"/>
          <w:sz w:val="22"/>
        </w:rPr>
      </w:pPr>
      <w:r>
        <w:rPr>
          <w:rFonts w:hint="eastAsia" w:ascii="宋体" w:hAnsi="宋体"/>
          <w:sz w:val="22"/>
        </w:rPr>
        <w:t>(</w:t>
      </w:r>
      <w:r>
        <w:rPr>
          <w:rFonts w:ascii="宋体" w:hAnsi="宋体"/>
          <w:sz w:val="22"/>
        </w:rPr>
        <w:t>2）乙方必须在</w:t>
      </w:r>
      <w:r>
        <w:rPr>
          <w:rFonts w:hint="eastAsia" w:ascii="宋体" w:hAnsi="宋体"/>
          <w:sz w:val="22"/>
        </w:rPr>
        <w:t>收到中标通知书</w:t>
      </w:r>
      <w:r>
        <w:rPr>
          <w:rFonts w:ascii="宋体" w:hAnsi="宋体"/>
          <w:sz w:val="22"/>
        </w:rPr>
        <w:t xml:space="preserve">后 </w:t>
      </w:r>
      <w:r>
        <w:rPr>
          <w:rFonts w:hint="eastAsia" w:ascii="宋体" w:hAnsi="宋体"/>
          <w:sz w:val="22"/>
        </w:rPr>
        <w:t>10个工作日内，</w:t>
      </w:r>
      <w:r>
        <w:rPr>
          <w:rFonts w:ascii="宋体" w:hAnsi="宋体"/>
          <w:sz w:val="22"/>
        </w:rPr>
        <w:t>向甲方支付合同</w:t>
      </w:r>
      <w:r>
        <w:rPr>
          <w:rFonts w:hint="eastAsia" w:ascii="宋体" w:hAnsi="宋体"/>
          <w:sz w:val="22"/>
        </w:rPr>
        <w:t>金额</w:t>
      </w:r>
      <w:r>
        <w:rPr>
          <w:rFonts w:ascii="宋体" w:hAnsi="宋体"/>
          <w:sz w:val="22"/>
        </w:rPr>
        <w:t>的10%作为履约保证金。</w:t>
      </w:r>
      <w:r>
        <w:rPr>
          <w:rFonts w:hint="eastAsia" w:ascii="宋体" w:hAnsi="宋体"/>
          <w:sz w:val="22"/>
        </w:rPr>
        <w:t>如果逾期未缴纳，视为乙方违约，甲方有权解除合同，并有权追究乙方的违约责任。</w:t>
      </w:r>
    </w:p>
    <w:p>
      <w:pPr>
        <w:adjustRightInd w:val="0"/>
        <w:snapToGrid w:val="0"/>
        <w:spacing w:line="360" w:lineRule="exact"/>
        <w:ind w:firstLine="440" w:firstLineChars="200"/>
        <w:rPr>
          <w:rFonts w:ascii="宋体" w:hAnsi="宋体"/>
          <w:sz w:val="22"/>
        </w:rPr>
      </w:pPr>
      <w:r>
        <w:rPr>
          <w:rFonts w:hint="eastAsia" w:ascii="宋体" w:hAnsi="宋体"/>
          <w:sz w:val="22"/>
        </w:rPr>
        <w:t>(3）在</w:t>
      </w:r>
      <w:r>
        <w:rPr>
          <w:rFonts w:hint="eastAsia" w:ascii="宋体" w:hAnsi="宋体" w:eastAsia="宋体"/>
          <w:sz w:val="22"/>
        </w:rPr>
        <w:t>合同履行期间，</w:t>
      </w:r>
      <w:r>
        <w:rPr>
          <w:rFonts w:hint="eastAsia" w:ascii="宋体" w:hAnsi="宋体"/>
          <w:sz w:val="22"/>
        </w:rPr>
        <w:t>如果乙方存在违约情形，甲方有权扣除相应款项，并书面通知乙方，且乙方应在接到扣除履约保证金通知后5</w:t>
      </w:r>
      <w:r>
        <w:rPr>
          <w:rFonts w:ascii="宋体" w:hAnsi="宋体"/>
          <w:sz w:val="22"/>
        </w:rPr>
        <w:t>天内，补足扣除差额，保证合同期间内</w:t>
      </w:r>
      <w:r>
        <w:rPr>
          <w:rFonts w:hint="eastAsia" w:ascii="宋体" w:hAnsi="宋体"/>
          <w:sz w:val="22"/>
        </w:rPr>
        <w:t>履约</w:t>
      </w:r>
      <w:r>
        <w:rPr>
          <w:rFonts w:ascii="宋体" w:hAnsi="宋体"/>
          <w:sz w:val="22"/>
        </w:rPr>
        <w:t>保证金的</w:t>
      </w:r>
      <w:r>
        <w:rPr>
          <w:rFonts w:hint="eastAsia" w:ascii="宋体" w:hAnsi="宋体"/>
          <w:sz w:val="22"/>
        </w:rPr>
        <w:t>足额</w:t>
      </w:r>
      <w:r>
        <w:rPr>
          <w:rFonts w:ascii="宋体" w:hAnsi="宋体"/>
          <w:sz w:val="22"/>
        </w:rPr>
        <w:t>。如乙方未按要求补足履约保证金</w:t>
      </w:r>
      <w:r>
        <w:rPr>
          <w:rFonts w:hint="eastAsia" w:ascii="宋体" w:hAnsi="宋体"/>
          <w:sz w:val="22"/>
        </w:rPr>
        <w:t>的</w:t>
      </w:r>
      <w:r>
        <w:rPr>
          <w:rFonts w:ascii="宋体" w:hAnsi="宋体"/>
          <w:sz w:val="22"/>
        </w:rPr>
        <w:t>，</w:t>
      </w:r>
      <w:r>
        <w:rPr>
          <w:rFonts w:hint="eastAsia" w:ascii="宋体" w:hAnsi="宋体" w:eastAsia="宋体"/>
          <w:sz w:val="22"/>
        </w:rPr>
        <w:t>视为乙方违约，</w:t>
      </w:r>
      <w:r>
        <w:rPr>
          <w:rFonts w:ascii="宋体" w:hAnsi="宋体"/>
          <w:sz w:val="22"/>
        </w:rPr>
        <w:t>甲方有权单方解除合同</w:t>
      </w:r>
      <w:r>
        <w:rPr>
          <w:rFonts w:hint="eastAsia" w:ascii="宋体" w:hAnsi="宋体"/>
          <w:sz w:val="22"/>
        </w:rPr>
        <w:t>，并要求乙方承担相应的违约责任</w:t>
      </w:r>
      <w:r>
        <w:rPr>
          <w:rFonts w:ascii="宋体" w:hAnsi="宋体"/>
          <w:sz w:val="22"/>
        </w:rPr>
        <w:t>。</w:t>
      </w:r>
    </w:p>
    <w:p>
      <w:pPr>
        <w:adjustRightInd w:val="0"/>
        <w:snapToGrid w:val="0"/>
        <w:spacing w:line="360" w:lineRule="exact"/>
        <w:ind w:firstLine="440" w:firstLineChars="200"/>
        <w:rPr>
          <w:rFonts w:ascii="宋体" w:hAnsi="宋体"/>
          <w:sz w:val="22"/>
        </w:rPr>
      </w:pPr>
      <w:r>
        <w:rPr>
          <w:rFonts w:hint="eastAsia" w:ascii="宋体" w:hAnsi="宋体"/>
          <w:sz w:val="22"/>
        </w:rPr>
        <w:t>(4</w:t>
      </w:r>
      <w:r>
        <w:rPr>
          <w:rFonts w:ascii="宋体" w:hAnsi="宋体"/>
          <w:sz w:val="22"/>
        </w:rPr>
        <w:t>）甲方</w:t>
      </w:r>
      <w:r>
        <w:rPr>
          <w:rFonts w:hint="eastAsia" w:ascii="宋体" w:hAnsi="宋体"/>
          <w:sz w:val="22"/>
        </w:rPr>
        <w:t>确</w:t>
      </w:r>
      <w:r>
        <w:rPr>
          <w:rFonts w:ascii="宋体" w:hAnsi="宋体"/>
          <w:sz w:val="22"/>
        </w:rPr>
        <w:t>认乙方在合同</w:t>
      </w:r>
      <w:r>
        <w:rPr>
          <w:rFonts w:hint="eastAsia" w:ascii="宋体" w:hAnsi="宋体"/>
          <w:sz w:val="22"/>
        </w:rPr>
        <w:t>期限</w:t>
      </w:r>
      <w:r>
        <w:rPr>
          <w:rFonts w:ascii="宋体" w:hAnsi="宋体"/>
          <w:sz w:val="22"/>
        </w:rPr>
        <w:t>内不存在任何违约行为</w:t>
      </w:r>
      <w:r>
        <w:rPr>
          <w:rFonts w:hint="eastAsia" w:ascii="宋体" w:hAnsi="宋体" w:eastAsia="宋体"/>
          <w:sz w:val="22"/>
        </w:rPr>
        <w:t>且乙方已全部履行完毕本合同项下义务并取得甲方认可</w:t>
      </w:r>
      <w:r>
        <w:rPr>
          <w:rFonts w:ascii="宋体" w:hAnsi="宋体"/>
          <w:sz w:val="22"/>
        </w:rPr>
        <w:t>，甲方在予以认可后</w:t>
      </w:r>
      <w:r>
        <w:rPr>
          <w:rFonts w:hint="eastAsia" w:ascii="宋体" w:hAnsi="宋体"/>
          <w:sz w:val="22"/>
        </w:rPr>
        <w:t>【</w:t>
      </w:r>
      <w:r>
        <w:rPr>
          <w:rFonts w:ascii="宋体" w:hAnsi="宋体"/>
          <w:sz w:val="22"/>
        </w:rPr>
        <w:t>一个月</w:t>
      </w:r>
      <w:r>
        <w:rPr>
          <w:rFonts w:hint="eastAsia" w:ascii="宋体" w:hAnsi="宋体"/>
          <w:sz w:val="22"/>
        </w:rPr>
        <w:t>】</w:t>
      </w:r>
      <w:r>
        <w:rPr>
          <w:rFonts w:ascii="宋体" w:hAnsi="宋体"/>
          <w:sz w:val="22"/>
        </w:rPr>
        <w:t>内无息返还履约保证金。</w:t>
      </w:r>
    </w:p>
    <w:p>
      <w:pPr>
        <w:adjustRightInd w:val="0"/>
        <w:snapToGrid w:val="0"/>
        <w:spacing w:line="360" w:lineRule="exact"/>
        <w:ind w:firstLine="442" w:firstLineChars="200"/>
        <w:outlineLvl w:val="0"/>
        <w:rPr>
          <w:rFonts w:ascii="宋体" w:hAnsi="宋体"/>
          <w:b/>
          <w:sz w:val="22"/>
        </w:rPr>
      </w:pPr>
      <w:bookmarkStart w:id="91" w:name="_Toc422638517"/>
      <w:r>
        <w:rPr>
          <w:rFonts w:hint="eastAsia" w:ascii="宋体" w:hAnsi="宋体"/>
          <w:b/>
          <w:sz w:val="22"/>
        </w:rPr>
        <w:t>十一、税费</w:t>
      </w:r>
      <w:bookmarkEnd w:id="91"/>
    </w:p>
    <w:p>
      <w:pPr>
        <w:adjustRightInd w:val="0"/>
        <w:snapToGrid w:val="0"/>
        <w:spacing w:line="360" w:lineRule="exact"/>
        <w:ind w:firstLine="440" w:firstLineChars="200"/>
        <w:rPr>
          <w:rFonts w:ascii="宋体" w:hAnsi="宋体"/>
          <w:sz w:val="22"/>
        </w:rPr>
      </w:pPr>
      <w:r>
        <w:rPr>
          <w:rFonts w:hint="eastAsia" w:ascii="宋体" w:hAnsi="宋体"/>
          <w:sz w:val="22"/>
        </w:rPr>
        <w:t>1.本合同执行中相关的一切税费均由乙方负担。</w:t>
      </w:r>
    </w:p>
    <w:p>
      <w:pPr>
        <w:adjustRightInd w:val="0"/>
        <w:snapToGrid w:val="0"/>
        <w:spacing w:line="360" w:lineRule="exact"/>
        <w:ind w:firstLine="440" w:firstLineChars="200"/>
        <w:outlineLvl w:val="0"/>
        <w:rPr>
          <w:rFonts w:ascii="宋体" w:hAnsi="宋体"/>
          <w:sz w:val="22"/>
        </w:rPr>
      </w:pPr>
      <w:r>
        <w:rPr>
          <w:rFonts w:hint="eastAsia" w:ascii="宋体" w:hAnsi="宋体"/>
          <w:sz w:val="22"/>
        </w:rPr>
        <w:t>2.合同有效期限内，若因国家税收政策调整而引起的增值税税率变化的，应按照国家税收政策调整，合同总金额变更为原合同不含增值税货物或劳务价格与调整后税率计算税额的合计金额。</w:t>
      </w:r>
      <w:bookmarkStart w:id="92" w:name="_Toc422638518"/>
    </w:p>
    <w:p>
      <w:pPr>
        <w:adjustRightInd w:val="0"/>
        <w:snapToGrid w:val="0"/>
        <w:spacing w:line="360" w:lineRule="exact"/>
        <w:ind w:firstLine="442" w:firstLineChars="200"/>
        <w:outlineLvl w:val="0"/>
        <w:rPr>
          <w:rFonts w:ascii="宋体" w:hAnsi="宋体"/>
          <w:b/>
          <w:sz w:val="22"/>
        </w:rPr>
      </w:pPr>
      <w:r>
        <w:rPr>
          <w:rFonts w:hint="eastAsia" w:ascii="宋体" w:hAnsi="宋体"/>
          <w:b/>
          <w:sz w:val="22"/>
        </w:rPr>
        <w:t>十二、质量保证及售后服务</w:t>
      </w:r>
      <w:bookmarkEnd w:id="92"/>
    </w:p>
    <w:p>
      <w:pPr>
        <w:adjustRightInd w:val="0"/>
        <w:snapToGrid w:val="0"/>
        <w:spacing w:line="360" w:lineRule="exact"/>
        <w:ind w:firstLine="442" w:firstLineChars="200"/>
        <w:rPr>
          <w:rFonts w:ascii="宋体" w:hAnsi="宋体"/>
          <w:sz w:val="22"/>
        </w:rPr>
      </w:pPr>
      <w:r>
        <w:rPr>
          <w:rFonts w:hint="eastAsia" w:ascii="宋体" w:hAnsi="宋体"/>
          <w:b/>
          <w:sz w:val="22"/>
        </w:rPr>
        <w:t xml:space="preserve">1. </w:t>
      </w:r>
      <w:r>
        <w:rPr>
          <w:rFonts w:hint="eastAsia" w:ascii="宋体" w:hAnsi="宋体"/>
          <w:sz w:val="22"/>
        </w:rPr>
        <w:t>乙方保证其所供应的产品符合相关产品质量标准以及本合同约定，不存在任何质量瑕疵或因质量瑕疵而导致的安全隐患，且为未经使用的全新产品。</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乙方应为设备提供【 】年的免费质保期，时间为甲方完成终验收并在安装验收合格报告上签字确认之日起算。</w:t>
      </w:r>
    </w:p>
    <w:p>
      <w:pPr>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bCs/>
          <w:sz w:val="22"/>
        </w:rPr>
        <w:t>质</w:t>
      </w:r>
      <w:r>
        <w:rPr>
          <w:rFonts w:hint="eastAsia" w:ascii="宋体" w:hAnsi="宋体"/>
          <w:sz w:val="22"/>
        </w:rPr>
        <w:t>保期内由于非甲方原因发生的的故障或损坏，乙方免费提供维修和备件直至设备性能、状态等达到正常标准，可以正常安全使用为止。如无法修复，乙方应负责免费更换或由甲方退还乙方所供货物，乙方退还甲方支付的合同款，同时乙方应承担该货物维修、退换的直接费用（运输、保险、检验、中国人民银行公布的同期货款基准利率及银行手续费等）以及由此给甲方造成的损失。</w:t>
      </w:r>
    </w:p>
    <w:p>
      <w:pPr>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 xml:space="preserve">乙方提供24小时售后服务，在接到报修通知后，维修人员应在【二十四】小时内赶到【 </w:t>
      </w:r>
      <w:r>
        <w:rPr>
          <w:rFonts w:ascii="宋体" w:hAnsi="宋体"/>
          <w:sz w:val="22"/>
        </w:rPr>
        <w:t xml:space="preserve"> </w:t>
      </w:r>
      <w:r>
        <w:rPr>
          <w:rFonts w:hint="eastAsia" w:ascii="宋体" w:hAnsi="宋体"/>
          <w:sz w:val="22"/>
        </w:rPr>
        <w:t>】机场，并连续进行维修，直到设备恢复正常。</w:t>
      </w:r>
      <w:r>
        <w:rPr>
          <w:rFonts w:hint="eastAsia" w:ascii="宋体" w:hAnsi="宋体" w:cs="楷体_GB2312"/>
          <w:kern w:val="0"/>
          <w:sz w:val="22"/>
          <w:lang w:val="zh-CN"/>
        </w:rPr>
        <w:t>修复部分的质保期自修复之日起重新开始计算。</w:t>
      </w:r>
    </w:p>
    <w:p>
      <w:pPr>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bCs/>
          <w:sz w:val="22"/>
        </w:rPr>
        <w:t>质</w:t>
      </w:r>
      <w:r>
        <w:rPr>
          <w:rFonts w:hint="eastAsia" w:ascii="宋体" w:hAnsi="宋体"/>
          <w:sz w:val="22"/>
        </w:rPr>
        <w:t>保期结束的【十五】个日历天前，乙方负责对设备进行一次全面的检修和维护，并由甲方验收认可。甲方验收认可并不免除乙方对于验收认可后发生的但尚在保修期内的产品故障或损坏的维修、退换货义务。</w:t>
      </w:r>
    </w:p>
    <w:p>
      <w:pPr>
        <w:adjustRightInd w:val="0"/>
        <w:snapToGrid w:val="0"/>
        <w:spacing w:line="360" w:lineRule="exact"/>
        <w:ind w:firstLine="442" w:firstLineChars="200"/>
        <w:outlineLvl w:val="0"/>
        <w:rPr>
          <w:rFonts w:ascii="宋体" w:hAnsi="宋体"/>
          <w:b/>
          <w:sz w:val="22"/>
        </w:rPr>
      </w:pPr>
      <w:bookmarkStart w:id="93" w:name="_Toc422638519"/>
      <w:r>
        <w:rPr>
          <w:rFonts w:hint="eastAsia" w:ascii="宋体" w:hAnsi="宋体"/>
          <w:b/>
          <w:sz w:val="22"/>
        </w:rPr>
        <w:t>十三、违约责任</w:t>
      </w:r>
      <w:bookmarkEnd w:id="93"/>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1</w:t>
      </w:r>
      <w:r>
        <w:rPr>
          <w:rFonts w:hint="eastAsia" w:ascii="宋体" w:hAnsi="宋体"/>
          <w:b/>
          <w:sz w:val="22"/>
        </w:rPr>
        <w:t>.</w:t>
      </w:r>
      <w:r>
        <w:rPr>
          <w:rFonts w:hint="eastAsia" w:ascii="宋体" w:hAnsi="宋体"/>
          <w:sz w:val="22"/>
        </w:rPr>
        <w:t xml:space="preserve"> 甲方无故逾期支付货款的,甲方应按逾期付款总额每日0.05%向乙方支付违约金。</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2</w:t>
      </w:r>
      <w:r>
        <w:rPr>
          <w:rFonts w:hint="eastAsia" w:ascii="宋体" w:hAnsi="宋体"/>
          <w:b/>
          <w:sz w:val="22"/>
        </w:rPr>
        <w:t xml:space="preserve">. </w:t>
      </w:r>
      <w:r>
        <w:rPr>
          <w:rFonts w:hint="eastAsia" w:ascii="宋体" w:hAnsi="宋体"/>
          <w:sz w:val="22"/>
        </w:rPr>
        <w:t xml:space="preserve">乙方逾期交付货物和本合同规定的文件资料的，或者未按甲方时间要求完成安装、调试和试运行并通过甲方终验收的，乙方应按合同总额每日0.6%向甲方支付违约金，由甲方从货款中扣除。逾期超过约定日期10个工作日的，甲方可解除本合同。乙方因逾期交货或因其他违约行为导致甲方解除合同的，乙方应返还甲方已支付的合同款项并向甲方支付合同金额5%的违约金，如造成甲方损失超过违约金的，超出部分由乙方继续承担赔偿责任。 </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3</w:t>
      </w:r>
      <w:r>
        <w:rPr>
          <w:rFonts w:hint="eastAsia" w:ascii="宋体" w:hAnsi="宋体"/>
          <w:b/>
          <w:sz w:val="22"/>
        </w:rPr>
        <w:t xml:space="preserve">. </w:t>
      </w:r>
      <w:r>
        <w:rPr>
          <w:rFonts w:hint="eastAsia" w:ascii="宋体" w:hAnsi="宋体"/>
          <w:sz w:val="22"/>
        </w:rPr>
        <w:t>乙方所交的货物品种、型号、规格、技术参数、质量不符合合同规定及招标文件规定标准的，甲方有权拒收该货物，或要求乙方更换货物；乙方愿意更换货物但逾期交货的，按乙方逾期交货处理。乙方拒绝更换货物的，甲方有权单方面解除合同。</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4</w:t>
      </w:r>
      <w:r>
        <w:rPr>
          <w:rFonts w:hint="eastAsia" w:ascii="宋体" w:hAnsi="宋体"/>
          <w:b/>
          <w:sz w:val="22"/>
        </w:rPr>
        <w:t>．</w:t>
      </w:r>
      <w:r>
        <w:rPr>
          <w:rFonts w:hint="eastAsia" w:ascii="宋体" w:hAnsi="宋体"/>
          <w:sz w:val="22"/>
        </w:rPr>
        <w:t>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5</w:t>
      </w:r>
      <w:r>
        <w:rPr>
          <w:rFonts w:hint="eastAsia" w:ascii="宋体" w:hAnsi="宋体"/>
          <w:b/>
          <w:sz w:val="22"/>
        </w:rPr>
        <w:t>.</w:t>
      </w:r>
      <w:r>
        <w:rPr>
          <w:rFonts w:hint="eastAsia" w:ascii="宋体" w:hAnsi="宋体"/>
          <w:sz w:val="22"/>
        </w:rPr>
        <w:t xml:space="preserve"> 乙方不在约定期限内派人维修或维修质量验收不合格的，甲方可以委托他人修理，费用由乙方承担，甲方与第三方确认后可直接从质量保证金中扣除。</w:t>
      </w:r>
    </w:p>
    <w:p>
      <w:pPr>
        <w:adjustRightInd w:val="0"/>
        <w:snapToGrid w:val="0"/>
        <w:spacing w:line="360" w:lineRule="exact"/>
        <w:ind w:firstLine="442" w:firstLineChars="200"/>
        <w:rPr>
          <w:rFonts w:ascii="宋体" w:hAnsi="宋体"/>
          <w:sz w:val="22"/>
        </w:rPr>
      </w:pPr>
      <w:r>
        <w:rPr>
          <w:rFonts w:hint="eastAsia" w:ascii="宋体" w:hAnsi="宋体"/>
          <w:b/>
          <w:sz w:val="22"/>
          <w:lang w:val="en-US" w:eastAsia="zh-CN"/>
        </w:rPr>
        <w:t>6</w:t>
      </w:r>
      <w:r>
        <w:rPr>
          <w:rFonts w:hint="eastAsia" w:ascii="宋体" w:hAnsi="宋体"/>
          <w:b/>
          <w:sz w:val="22"/>
        </w:rPr>
        <w:t>．</w:t>
      </w:r>
      <w:r>
        <w:rPr>
          <w:rFonts w:hint="eastAsia" w:ascii="宋体" w:hAnsi="宋体"/>
          <w:sz w:val="22"/>
        </w:rPr>
        <w:t>除本合同另有规定外，乙方违反其在本合同项下其他义务并给甲方造成损失的，须向甲方承担全部赔偿责任。</w:t>
      </w:r>
      <w:r>
        <w:rPr>
          <w:rFonts w:hint="eastAsia" w:ascii="宋体" w:hAnsi="宋体" w:eastAsia="宋体"/>
          <w:sz w:val="22"/>
        </w:rPr>
        <w:t>本合同约定的因乙方违约而应向甲方赔偿的损失包括但不限于甲方为本合同项下事宜进行招标以及重新进行招标的费用、重新招标的中标价格与本合同价格的差价损失，以及因</w:t>
      </w:r>
      <w:r>
        <w:rPr>
          <w:rFonts w:hint="eastAsia" w:ascii="宋体" w:hAnsi="宋体"/>
          <w:sz w:val="22"/>
        </w:rPr>
        <w:t>交货</w:t>
      </w:r>
      <w:r>
        <w:rPr>
          <w:rFonts w:hint="eastAsia" w:ascii="宋体" w:hAnsi="宋体" w:eastAsia="宋体"/>
          <w:sz w:val="22"/>
        </w:rPr>
        <w:t>迟延而导致的经营损失等。并且，甲方为主张和实现债权而发生的律师费、诉讼费、公证费等费用均由乙方承担。</w:t>
      </w:r>
    </w:p>
    <w:p>
      <w:pPr>
        <w:adjustRightInd w:val="0"/>
        <w:snapToGrid w:val="0"/>
        <w:spacing w:line="360" w:lineRule="exact"/>
        <w:ind w:firstLine="440" w:firstLineChars="200"/>
        <w:rPr>
          <w:rFonts w:ascii="宋体" w:hAnsi="宋体"/>
          <w:sz w:val="22"/>
        </w:rPr>
      </w:pPr>
      <w:r>
        <w:rPr>
          <w:rFonts w:hint="eastAsia" w:ascii="宋体" w:hAnsi="宋体"/>
          <w:sz w:val="22"/>
          <w:lang w:val="en-US" w:eastAsia="zh-CN"/>
        </w:rPr>
        <w:t>7</w:t>
      </w:r>
      <w:r>
        <w:rPr>
          <w:rFonts w:ascii="宋体" w:hAnsi="宋体"/>
          <w:sz w:val="22"/>
        </w:rPr>
        <w:t>、</w:t>
      </w:r>
      <w:r>
        <w:rPr>
          <w:rFonts w:hint="eastAsia" w:ascii="宋体" w:hAnsi="宋体" w:eastAsia="宋体"/>
          <w:sz w:val="22"/>
        </w:rPr>
        <w:t>对于本合同项下乙方应支付的赔偿款或违约金，甲方有权从应付乙方的货款及履约保证金中直接扣除，不足的部分，继续向乙方追偿。</w:t>
      </w:r>
    </w:p>
    <w:p>
      <w:pPr>
        <w:adjustRightInd w:val="0"/>
        <w:snapToGrid w:val="0"/>
        <w:spacing w:line="360" w:lineRule="exact"/>
        <w:ind w:firstLine="442" w:firstLineChars="200"/>
        <w:outlineLvl w:val="0"/>
        <w:rPr>
          <w:rFonts w:ascii="宋体" w:hAnsi="宋体"/>
          <w:b/>
          <w:sz w:val="22"/>
        </w:rPr>
      </w:pPr>
      <w:bookmarkStart w:id="94" w:name="_Toc422638520"/>
      <w:r>
        <w:rPr>
          <w:rFonts w:hint="eastAsia" w:ascii="宋体" w:hAnsi="宋体"/>
          <w:b/>
          <w:sz w:val="22"/>
        </w:rPr>
        <w:t>十四、不可抗力事件处理</w:t>
      </w:r>
      <w:bookmarkEnd w:id="94"/>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在合同有效期内，任何一方因不可抗力事件导致不能履行合同，则合同履行期可延长，其延长期与不可抗力影响期相同。</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 xml:space="preserve"> 不可抗力事件发生后，遭遇不可抗力的一方应立即通知对方，并寄送有关官方权威机构出具的证明。</w:t>
      </w:r>
    </w:p>
    <w:p>
      <w:pPr>
        <w:snapToGrid w:val="0"/>
        <w:spacing w:line="360" w:lineRule="exact"/>
        <w:ind w:firstLine="442" w:firstLineChars="200"/>
        <w:rPr>
          <w:rFonts w:ascii="宋体" w:hAnsi="宋体"/>
          <w:sz w:val="22"/>
        </w:rPr>
      </w:pPr>
      <w:r>
        <w:rPr>
          <w:rFonts w:hint="eastAsia" w:ascii="宋体" w:hAnsi="宋体"/>
          <w:b/>
          <w:sz w:val="22"/>
        </w:rPr>
        <w:t xml:space="preserve">3. </w:t>
      </w:r>
      <w:r>
        <w:rPr>
          <w:rFonts w:hint="eastAsia" w:ascii="宋体" w:hAnsi="宋体"/>
          <w:sz w:val="22"/>
        </w:rPr>
        <w:t>不可抗力事件延续140天以上，双方应通过友好协商，确定是否继续履行合同；如双方协商无法就继续延期履行合同达成一致的，任何一方均有权终止本合同，双方互不承担赔偿或违约责任。</w:t>
      </w:r>
    </w:p>
    <w:p>
      <w:pPr>
        <w:adjustRightInd w:val="0"/>
        <w:snapToGrid w:val="0"/>
        <w:spacing w:line="360" w:lineRule="exact"/>
        <w:ind w:firstLine="442" w:firstLineChars="200"/>
        <w:rPr>
          <w:rFonts w:ascii="宋体" w:hAnsi="宋体"/>
          <w:b/>
          <w:sz w:val="22"/>
        </w:rPr>
      </w:pPr>
      <w:r>
        <w:rPr>
          <w:rFonts w:hint="eastAsia" w:ascii="宋体" w:hAnsi="宋体"/>
          <w:b/>
          <w:sz w:val="22"/>
        </w:rPr>
        <w:t>十五、争议解决</w:t>
      </w:r>
    </w:p>
    <w:p>
      <w:pPr>
        <w:adjustRightInd w:val="0"/>
        <w:snapToGrid w:val="0"/>
        <w:spacing w:line="360" w:lineRule="exact"/>
        <w:ind w:firstLine="440" w:firstLineChars="200"/>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b/>
          <w:sz w:val="22"/>
        </w:rPr>
      </w:pPr>
      <w:r>
        <w:rPr>
          <w:rFonts w:hint="eastAsia" w:ascii="宋体" w:hAnsi="宋体"/>
          <w:b/>
          <w:sz w:val="22"/>
        </w:rPr>
        <w:t>十六、合同组成文件包含下列内容，合同与招投标文件不一致解释顺序如下：</w:t>
      </w:r>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spacing w:line="360" w:lineRule="exact"/>
        <w:ind w:firstLine="442" w:firstLineChars="200"/>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spacing w:line="360" w:lineRule="exact"/>
        <w:ind w:firstLine="442" w:firstLineChars="200"/>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spacing w:line="360" w:lineRule="exact"/>
        <w:ind w:firstLine="442" w:firstLineChars="200"/>
        <w:outlineLvl w:val="0"/>
        <w:rPr>
          <w:rFonts w:ascii="宋体" w:hAnsi="宋体"/>
          <w:b/>
          <w:sz w:val="22"/>
        </w:rPr>
      </w:pPr>
      <w:bookmarkStart w:id="95" w:name="_Toc422638521"/>
      <w:r>
        <w:rPr>
          <w:rFonts w:hint="eastAsia" w:ascii="宋体" w:hAnsi="宋体"/>
          <w:b/>
          <w:sz w:val="22"/>
        </w:rPr>
        <w:t>十七、合同生效及其它</w:t>
      </w:r>
      <w:bookmarkEnd w:id="95"/>
    </w:p>
    <w:p>
      <w:pPr>
        <w:adjustRightInd w:val="0"/>
        <w:snapToGrid w:val="0"/>
        <w:spacing w:line="360" w:lineRule="exact"/>
        <w:ind w:firstLine="442" w:firstLineChars="200"/>
        <w:rPr>
          <w:rFonts w:ascii="宋体" w:hAnsi="宋体"/>
          <w:sz w:val="22"/>
        </w:rPr>
      </w:pPr>
      <w:r>
        <w:rPr>
          <w:rFonts w:hint="eastAsia" w:ascii="宋体" w:hAnsi="宋体"/>
          <w:b/>
          <w:sz w:val="22"/>
        </w:rPr>
        <w:t>1.</w:t>
      </w:r>
      <w:r>
        <w:rPr>
          <w:rFonts w:hint="eastAsia" w:ascii="宋体" w:hAnsi="宋体"/>
          <w:sz w:val="22"/>
        </w:rPr>
        <w:t xml:space="preserve"> 合同经双方法定代表人或授权代表签字并加盖单位公章之日起生效。</w:t>
      </w:r>
    </w:p>
    <w:p>
      <w:pPr>
        <w:adjustRightInd w:val="0"/>
        <w:snapToGrid w:val="0"/>
        <w:spacing w:line="360" w:lineRule="exact"/>
        <w:ind w:firstLine="442" w:firstLineChars="200"/>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sz w:val="22"/>
        </w:rPr>
      </w:pPr>
      <w:r>
        <w:rPr>
          <w:rFonts w:hint="eastAsia" w:ascii="宋体" w:hAnsi="宋体"/>
          <w:b/>
          <w:sz w:val="22"/>
        </w:rPr>
        <w:t>3.</w:t>
      </w:r>
      <w:r>
        <w:rPr>
          <w:rFonts w:hint="eastAsia" w:ascii="宋体" w:hAnsi="宋体"/>
          <w:sz w:val="22"/>
        </w:rPr>
        <w:t>本合同一式陆份，甲方执肆份，乙方持贰份，具有同等法律效力。</w:t>
      </w:r>
    </w:p>
    <w:p>
      <w:pPr>
        <w:tabs>
          <w:tab w:val="right" w:pos="8306"/>
        </w:tabs>
        <w:adjustRightInd w:val="0"/>
        <w:snapToGrid w:val="0"/>
        <w:spacing w:line="360" w:lineRule="exact"/>
        <w:ind w:firstLine="440" w:firstLineChars="200"/>
        <w:jc w:val="left"/>
        <w:rPr>
          <w:rFonts w:ascii="宋体" w:hAnsi="宋体"/>
          <w:sz w:val="22"/>
        </w:rPr>
      </w:pPr>
      <w:r>
        <w:rPr>
          <w:rFonts w:hint="eastAsia" w:ascii="宋体" w:hAnsi="宋体"/>
          <w:sz w:val="22"/>
        </w:rPr>
        <w:tab/>
      </w:r>
    </w:p>
    <w:p>
      <w:pPr>
        <w:tabs>
          <w:tab w:val="right" w:pos="8306"/>
        </w:tabs>
        <w:adjustRightInd w:val="0"/>
        <w:snapToGrid w:val="0"/>
        <w:spacing w:line="360" w:lineRule="exact"/>
        <w:ind w:firstLine="440" w:firstLineChars="200"/>
        <w:jc w:val="left"/>
        <w:rPr>
          <w:rFonts w:ascii="宋体" w:hAnsi="宋体"/>
          <w:sz w:val="22"/>
        </w:rPr>
      </w:pPr>
    </w:p>
    <w:p>
      <w:pPr>
        <w:tabs>
          <w:tab w:val="right" w:pos="8306"/>
        </w:tabs>
        <w:adjustRightInd w:val="0"/>
        <w:snapToGrid w:val="0"/>
        <w:spacing w:line="360" w:lineRule="exact"/>
        <w:ind w:firstLine="440" w:firstLineChars="20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 xml:space="preserve">甲方：                                    乙方： </w:t>
      </w:r>
    </w:p>
    <w:p>
      <w:pPr>
        <w:adjustRightInd w:val="0"/>
        <w:snapToGrid w:val="0"/>
        <w:spacing w:line="360" w:lineRule="exact"/>
        <w:ind w:left="6750" w:hanging="6750"/>
        <w:jc w:val="left"/>
        <w:rPr>
          <w:rFonts w:ascii="宋体" w:hAnsi="宋体"/>
          <w:sz w:val="22"/>
        </w:rPr>
      </w:pPr>
      <w:r>
        <w:rPr>
          <w:rFonts w:hint="eastAsia" w:ascii="宋体" w:hAnsi="宋体"/>
          <w:sz w:val="22"/>
        </w:rPr>
        <w:t xml:space="preserve">地址：                                    地址： </w:t>
      </w:r>
    </w:p>
    <w:p>
      <w:pPr>
        <w:adjustRightInd w:val="0"/>
        <w:snapToGrid w:val="0"/>
        <w:spacing w:line="360" w:lineRule="exact"/>
        <w:ind w:left="6750" w:hanging="6750"/>
        <w:jc w:val="left"/>
        <w:rPr>
          <w:rFonts w:ascii="宋体" w:hAnsi="宋体"/>
          <w:sz w:val="22"/>
        </w:rPr>
      </w:pPr>
    </w:p>
    <w:p>
      <w:pPr>
        <w:adjustRightInd w:val="0"/>
        <w:snapToGrid w:val="0"/>
        <w:spacing w:line="360" w:lineRule="exact"/>
        <w:jc w:val="left"/>
        <w:rPr>
          <w:rFonts w:ascii="宋体" w:hAnsi="宋体"/>
          <w:sz w:val="22"/>
        </w:rPr>
      </w:pPr>
      <w:r>
        <w:rPr>
          <w:rFonts w:hint="eastAsia" w:ascii="宋体" w:hAnsi="宋体"/>
          <w:sz w:val="22"/>
        </w:rPr>
        <w:t>法定代表人（签字）：                       法定代表人（签字）：</w:t>
      </w:r>
    </w:p>
    <w:p>
      <w:pPr>
        <w:adjustRightInd w:val="0"/>
        <w:snapToGrid w:val="0"/>
        <w:spacing w:line="360" w:lineRule="exact"/>
        <w:jc w:val="left"/>
        <w:rPr>
          <w:rFonts w:ascii="宋体" w:hAnsi="宋体"/>
          <w:sz w:val="22"/>
        </w:rPr>
      </w:pPr>
      <w:r>
        <w:rPr>
          <w:rFonts w:hint="eastAsia" w:ascii="宋体" w:hAnsi="宋体"/>
          <w:sz w:val="22"/>
        </w:rPr>
        <w:t>或                                        或</w:t>
      </w:r>
    </w:p>
    <w:p>
      <w:pPr>
        <w:adjustRightInd w:val="0"/>
        <w:snapToGrid w:val="0"/>
        <w:spacing w:line="360" w:lineRule="exact"/>
        <w:jc w:val="left"/>
        <w:rPr>
          <w:rFonts w:ascii="宋体" w:hAnsi="宋体"/>
          <w:sz w:val="22"/>
        </w:rPr>
      </w:pPr>
      <w:r>
        <w:rPr>
          <w:rFonts w:hint="eastAsia" w:ascii="宋体" w:hAnsi="宋体"/>
          <w:sz w:val="22"/>
        </w:rPr>
        <w:t>授权代表（签字）：                         授权代表（签字）：</w:t>
      </w:r>
    </w:p>
    <w:p>
      <w:pPr>
        <w:adjustRightInd w:val="0"/>
        <w:snapToGrid w:val="0"/>
        <w:spacing w:line="360" w:lineRule="exact"/>
        <w:jc w:val="left"/>
        <w:rPr>
          <w:rFonts w:ascii="宋体" w:hAnsi="宋体"/>
          <w:b/>
          <w:sz w:val="22"/>
        </w:rPr>
      </w:pPr>
      <w:r>
        <w:rPr>
          <w:rFonts w:hint="eastAsia" w:ascii="宋体" w:hAnsi="宋体"/>
          <w:sz w:val="22"/>
        </w:rPr>
        <w:t xml:space="preserve">签字日期：                                签字日期： </w:t>
      </w:r>
    </w:p>
    <w:p>
      <w:pPr>
        <w:adjustRightInd w:val="0"/>
        <w:snapToGrid w:val="0"/>
        <w:spacing w:line="360" w:lineRule="exact"/>
        <w:ind w:firstLine="440" w:firstLineChars="200"/>
        <w:jc w:val="left"/>
        <w:rPr>
          <w:rFonts w:ascii="宋体" w:hAnsi="宋体"/>
          <w:b/>
          <w:sz w:val="22"/>
        </w:rPr>
      </w:pPr>
      <w:r>
        <w:rPr>
          <w:rFonts w:hint="eastAsia" w:ascii="宋体" w:hAnsi="宋体"/>
          <w:sz w:val="22"/>
        </w:rPr>
        <w:t>年  月  日                              年  月  日</w:t>
      </w: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snapToGrid w:val="0"/>
        <w:spacing w:line="360" w:lineRule="exact"/>
        <w:ind w:firstLine="440" w:firstLineChars="200"/>
        <w:jc w:val="left"/>
        <w:rPr>
          <w:rFonts w:ascii="宋体" w:hAnsi="宋体"/>
          <w:sz w:val="22"/>
        </w:rPr>
      </w:pPr>
    </w:p>
    <w:p>
      <w:pPr>
        <w:adjustRightInd w:val="0"/>
        <w:snapToGrid w:val="0"/>
        <w:spacing w:line="360" w:lineRule="exact"/>
        <w:ind w:firstLine="452"/>
        <w:jc w:val="left"/>
        <w:rPr>
          <w:rFonts w:ascii="宋体" w:hAnsi="宋体" w:eastAsia="宋体"/>
          <w:b/>
          <w:sz w:val="22"/>
        </w:rPr>
      </w:pPr>
      <w:r>
        <w:rPr>
          <w:rFonts w:hint="eastAsia" w:ascii="宋体" w:hAnsi="宋体"/>
          <w:b/>
          <w:sz w:val="22"/>
        </w:rPr>
        <w:t>(注)：</w:t>
      </w:r>
      <w:r>
        <w:rPr>
          <w:rFonts w:ascii="Helvetica" w:hAnsi="Helvetica" w:eastAsia="Helvetica" w:cs="Helvetica"/>
          <w:sz w:val="18"/>
          <w:szCs w:val="18"/>
        </w:rPr>
        <w:t>以最终签订版本为准</w:t>
      </w:r>
      <w:r>
        <w:rPr>
          <w:rFonts w:hint="eastAsia" w:ascii="Helvetica" w:hAnsi="Helvetica" w:eastAsia="宋体" w:cs="Helvetica"/>
          <w:sz w:val="18"/>
          <w:szCs w:val="18"/>
        </w:rPr>
        <w:t>。</w:t>
      </w:r>
    </w:p>
    <w:p>
      <w:pPr>
        <w:snapToGrid w:val="0"/>
        <w:spacing w:line="360" w:lineRule="exact"/>
        <w:ind w:firstLine="440" w:firstLineChars="200"/>
        <w:jc w:val="left"/>
        <w:rPr>
          <w:rFonts w:ascii="宋体" w:hAnsi="宋体"/>
          <w:sz w:val="22"/>
        </w:rPr>
      </w:pPr>
    </w:p>
    <w:p>
      <w:pPr>
        <w:pStyle w:val="31"/>
        <w:spacing w:line="360" w:lineRule="exact"/>
        <w:ind w:firstLine="0" w:firstLineChars="0"/>
        <w:jc w:val="left"/>
        <w:rPr>
          <w:rFonts w:ascii="Calibri" w:hAnsi="Calibri" w:eastAsia="黑体" w:cs="Calibri"/>
          <w:color w:val="auto"/>
          <w:kern w:val="0"/>
          <w:sz w:val="32"/>
        </w:rPr>
      </w:pPr>
      <w:r>
        <w:rPr>
          <w:rFonts w:ascii="宋体" w:hAnsi="宋体"/>
          <w:b/>
          <w:color w:val="auto"/>
          <w:sz w:val="22"/>
          <w:szCs w:val="22"/>
        </w:rPr>
        <w:br w:type="page"/>
      </w:r>
      <w:bookmarkStart w:id="96" w:name="_Toc448002987"/>
      <w:bookmarkStart w:id="97" w:name="_Toc321925456"/>
      <w:bookmarkStart w:id="98" w:name="_Toc275274581"/>
    </w:p>
    <w:p>
      <w:pPr>
        <w:pStyle w:val="2"/>
        <w:spacing w:before="0" w:after="0"/>
        <w:rPr>
          <w:rFonts w:ascii="Calibri" w:hAnsi="Calibri" w:eastAsia="黑体" w:cs="Calibri"/>
          <w:kern w:val="0"/>
          <w:sz w:val="32"/>
        </w:rPr>
      </w:pPr>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章评标方法及标准</w:t>
      </w:r>
      <w:bookmarkEnd w:id="96"/>
      <w:bookmarkEnd w:id="97"/>
    </w:p>
    <w:p>
      <w:pPr>
        <w:pStyle w:val="5"/>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5"/>
        <w:spacing w:line="360" w:lineRule="exact"/>
        <w:rPr>
          <w:rFonts w:hAnsi="宋体" w:cs="Calibri"/>
          <w:b/>
          <w:bCs/>
          <w:sz w:val="22"/>
          <w:szCs w:val="22"/>
        </w:rPr>
      </w:pPr>
      <w:r>
        <w:rPr>
          <w:rFonts w:hAnsi="宋体" w:cs="Calibri"/>
          <w:b/>
          <w:bCs/>
          <w:sz w:val="22"/>
          <w:szCs w:val="22"/>
        </w:rPr>
        <w:t>一、评标原则</w:t>
      </w:r>
    </w:p>
    <w:p>
      <w:pPr>
        <w:pStyle w:val="5"/>
        <w:spacing w:line="360" w:lineRule="exact"/>
        <w:ind w:firstLine="420"/>
        <w:rPr>
          <w:rFonts w:hAnsi="宋体" w:cs="Calibri"/>
          <w:sz w:val="22"/>
          <w:szCs w:val="22"/>
        </w:rPr>
      </w:pPr>
      <w:r>
        <w:rPr>
          <w:rFonts w:hint="eastAsia" w:hAnsi="宋体" w:cs="Calibri"/>
          <w:bCs/>
          <w:sz w:val="22"/>
          <w:szCs w:val="22"/>
        </w:rPr>
        <w:t>本次</w:t>
      </w:r>
      <w:r>
        <w:rPr>
          <w:rFonts w:hAnsi="宋体" w:cs="Calibri"/>
          <w:bCs/>
          <w:sz w:val="22"/>
          <w:szCs w:val="22"/>
        </w:rPr>
        <w:t>评标</w:t>
      </w:r>
      <w:r>
        <w:rPr>
          <w:rFonts w:hint="eastAsia" w:hAnsi="宋体" w:cs="Calibri"/>
          <w:bCs/>
          <w:sz w:val="22"/>
          <w:szCs w:val="22"/>
        </w:rPr>
        <w:t>采用综合评估法，评标</w:t>
      </w:r>
      <w:r>
        <w:rPr>
          <w:rFonts w:hAnsi="宋体" w:cs="Calibri"/>
          <w:bCs/>
          <w:sz w:val="22"/>
          <w:szCs w:val="22"/>
        </w:rPr>
        <w:t>应遵循公平、公正、科学、择优的原则。</w:t>
      </w:r>
    </w:p>
    <w:p>
      <w:pPr>
        <w:pStyle w:val="5"/>
        <w:spacing w:line="360" w:lineRule="exact"/>
        <w:rPr>
          <w:rFonts w:hAnsi="宋体" w:cs="Calibri"/>
          <w:b/>
          <w:bCs/>
          <w:sz w:val="22"/>
          <w:szCs w:val="22"/>
        </w:rPr>
      </w:pPr>
      <w:r>
        <w:rPr>
          <w:rFonts w:hAnsi="宋体" w:cs="Calibri"/>
          <w:b/>
          <w:bCs/>
          <w:sz w:val="22"/>
          <w:szCs w:val="22"/>
        </w:rPr>
        <w:t>二、评标组织</w:t>
      </w:r>
    </w:p>
    <w:p>
      <w:pPr>
        <w:pStyle w:val="5"/>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5"/>
        <w:spacing w:line="360" w:lineRule="exact"/>
        <w:rPr>
          <w:rFonts w:hAnsi="宋体" w:cs="Calibri"/>
          <w:b/>
          <w:bCs/>
          <w:sz w:val="22"/>
          <w:szCs w:val="22"/>
        </w:rPr>
      </w:pPr>
      <w:r>
        <w:rPr>
          <w:rFonts w:hAnsi="宋体" w:cs="Calibri"/>
          <w:b/>
          <w:bCs/>
          <w:sz w:val="22"/>
          <w:szCs w:val="22"/>
        </w:rPr>
        <w:t>三、投标文件的评审</w:t>
      </w:r>
    </w:p>
    <w:p>
      <w:pPr>
        <w:pStyle w:val="5"/>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5"/>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5"/>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5"/>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5"/>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5"/>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5"/>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5"/>
        <w:adjustRightInd w:val="0"/>
        <w:snapToGrid w:val="0"/>
        <w:spacing w:line="360" w:lineRule="exact"/>
        <w:ind w:firstLine="442" w:firstLineChars="200"/>
        <w:rPr>
          <w:rFonts w:hAnsi="宋体" w:cs="Calibri"/>
          <w:sz w:val="22"/>
          <w:szCs w:val="22"/>
        </w:rPr>
      </w:pPr>
      <w:r>
        <w:rPr>
          <w:rFonts w:hint="eastAsia" w:hAnsi="宋体"/>
          <w:b/>
          <w:sz w:val="22"/>
          <w:szCs w:val="22"/>
        </w:rPr>
        <w:t>每个投标人最终得分=商务报价分+资信及技术分</w:t>
      </w:r>
    </w:p>
    <w:p>
      <w:pPr>
        <w:pStyle w:val="5"/>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3.3.1商务报价分60分（本条涉及的报价均指不包含增值税的价格）</w:t>
      </w:r>
    </w:p>
    <w:p>
      <w:pPr>
        <w:pStyle w:val="5"/>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w:t>
      </w:r>
      <w:r>
        <w:rPr>
          <w:rFonts w:hAnsi="宋体" w:cs="Calibri"/>
          <w:sz w:val="22"/>
          <w:szCs w:val="22"/>
        </w:rPr>
        <w:t>0</w:t>
      </w:r>
      <w:r>
        <w:rPr>
          <w:rFonts w:hint="eastAsia" w:hAnsi="宋体" w:cs="Calibri"/>
          <w:sz w:val="22"/>
          <w:szCs w:val="22"/>
        </w:rPr>
        <w:t>分，每高于评标基准价</w:t>
      </w:r>
      <w:r>
        <w:rPr>
          <w:rFonts w:hAnsi="宋体" w:cs="Calibri"/>
          <w:sz w:val="22"/>
          <w:szCs w:val="22"/>
        </w:rPr>
        <w:t>1%</w:t>
      </w:r>
      <w:r>
        <w:rPr>
          <w:rFonts w:hint="eastAsia" w:hAnsi="宋体" w:cs="Calibri"/>
          <w:sz w:val="22"/>
          <w:szCs w:val="22"/>
        </w:rPr>
        <w:t>的扣1分，每低于评标基准价</w:t>
      </w:r>
      <w:r>
        <w:rPr>
          <w:rFonts w:hAnsi="宋体" w:cs="Calibri"/>
          <w:sz w:val="22"/>
          <w:szCs w:val="22"/>
        </w:rPr>
        <w:t>1%</w:t>
      </w:r>
      <w:r>
        <w:rPr>
          <w:rFonts w:hint="eastAsia" w:hAnsi="宋体" w:cs="Calibri"/>
          <w:sz w:val="22"/>
          <w:szCs w:val="22"/>
        </w:rPr>
        <w:t>的扣0.5分（不足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3.3.2、资信及技术评分40分</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资信及技术评分分值设定标准</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评定项目</w:t>
            </w:r>
          </w:p>
        </w:tc>
        <w:tc>
          <w:tcPr>
            <w:tcW w:w="1156" w:type="dxa"/>
          </w:tcPr>
          <w:p>
            <w:pPr>
              <w:pStyle w:val="5"/>
              <w:adjustRightInd w:val="0"/>
              <w:snapToGrid w:val="0"/>
              <w:spacing w:line="360" w:lineRule="exact"/>
              <w:jc w:val="center"/>
              <w:rPr>
                <w:rFonts w:hAnsi="宋体" w:cs="Courier New"/>
                <w:kern w:val="2"/>
                <w:sz w:val="22"/>
                <w:szCs w:val="22"/>
              </w:rPr>
            </w:pPr>
            <w:r>
              <w:rPr>
                <w:rFonts w:hAnsi="宋体" w:cs="Courier New"/>
                <w:kern w:val="2"/>
                <w:sz w:val="22"/>
                <w:szCs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widowControl/>
              <w:adjustRightInd w:val="0"/>
              <w:snapToGrid w:val="0"/>
              <w:spacing w:line="340" w:lineRule="exact"/>
              <w:rPr>
                <w:rFonts w:ascii="宋体" w:hAnsi="宋体" w:cs="宋体"/>
                <w:kern w:val="0"/>
                <w:sz w:val="22"/>
              </w:rPr>
            </w:pPr>
            <w:r>
              <w:rPr>
                <w:rFonts w:hint="eastAsia" w:ascii="宋体" w:hAnsi="宋体" w:cs="宋体"/>
                <w:kern w:val="0"/>
                <w:sz w:val="22"/>
              </w:rPr>
              <w:t>1.投标人注册资金情况，是否</w:t>
            </w:r>
            <w:r>
              <w:rPr>
                <w:rFonts w:hint="eastAsia" w:ascii="宋体" w:hAnsi="宋体" w:cs="Arial"/>
                <w:kern w:val="0"/>
                <w:sz w:val="22"/>
              </w:rPr>
              <w:t>具有良好的商业信誉和健全的财务会计管理制度，有依法缴纳税收和社会保障资金的良好记录，在本次招标前三年内的经营活动中没有重大违法记录和不良记录（需提供承诺函，格式自拟）。</w:t>
            </w:r>
          </w:p>
        </w:tc>
        <w:tc>
          <w:tcPr>
            <w:tcW w:w="1156" w:type="dxa"/>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vAlign w:val="center"/>
          </w:tcPr>
          <w:p>
            <w:pPr>
              <w:rPr>
                <w:rFonts w:ascii="宋体" w:hAnsi="宋体" w:cs="宋体"/>
                <w:kern w:val="0"/>
                <w:sz w:val="22"/>
              </w:rPr>
            </w:pPr>
            <w:r>
              <w:rPr>
                <w:rFonts w:hint="eastAsia" w:ascii="宋体" w:hAnsi="宋体" w:cs="Arial"/>
                <w:kern w:val="0"/>
                <w:sz w:val="22"/>
              </w:rPr>
              <w:t>2.投标人近5年内（自2</w:t>
            </w:r>
            <w:r>
              <w:rPr>
                <w:rFonts w:ascii="宋体" w:hAnsi="宋体" w:cs="Arial"/>
                <w:kern w:val="0"/>
                <w:sz w:val="22"/>
              </w:rPr>
              <w:t>014</w:t>
            </w:r>
            <w:r>
              <w:rPr>
                <w:rFonts w:hint="eastAsia" w:ascii="宋体" w:hAnsi="宋体" w:cs="Arial"/>
                <w:kern w:val="0"/>
                <w:sz w:val="22"/>
              </w:rPr>
              <w:t>年1月1日起至投标截止日止）在中国大陆民用机场销售的同型号设备业绩。（销售业绩：与本次招标范围同型号设备，且单台设备金额大于等于本次单台的投标报价）提供一份合同不得分，两份合同得1分，三份合同得2分，四份合同得3分，依次类推本项最多得6分；提供合同或中标通知书复印件并加盖投标人公章，原件备查。</w:t>
            </w:r>
          </w:p>
        </w:tc>
        <w:tc>
          <w:tcPr>
            <w:tcW w:w="1156" w:type="dxa"/>
            <w:vAlign w:val="center"/>
          </w:tcPr>
          <w:p>
            <w:pPr>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 w:val="22"/>
              </w:rPr>
            </w:pPr>
            <w:r>
              <w:rPr>
                <w:rFonts w:hint="eastAsia" w:ascii="宋体" w:hAnsi="宋体" w:cs="Arial"/>
                <w:kern w:val="0"/>
                <w:sz w:val="22"/>
              </w:rPr>
              <w:t>3.投标人提供民航局机场司或民航科学技术研究院或机场用户对该产品的使用效果报告对该产品的效果认证报告，每提供一份得1分,最多得4分；</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cs="Arial"/>
                <w:kern w:val="0"/>
                <w:sz w:val="22"/>
              </w:rPr>
            </w:pPr>
            <w:r>
              <w:rPr>
                <w:rFonts w:hint="eastAsia" w:ascii="宋体" w:hAnsi="宋体" w:cs="Arial"/>
                <w:kern w:val="0"/>
                <w:sz w:val="22"/>
              </w:rPr>
              <w:t>4.</w:t>
            </w:r>
            <w:r>
              <w:rPr>
                <w:rFonts w:hint="eastAsia" w:ascii="宋体" w:hAnsi="宋体" w:cs="宋体"/>
                <w:kern w:val="0"/>
                <w:sz w:val="22"/>
              </w:rPr>
              <w:t xml:space="preserve"> 满足招标文件所有技术要求情况；</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Arial"/>
                <w:kern w:val="0"/>
                <w:sz w:val="22"/>
              </w:rPr>
              <w:t xml:space="preserve">5.开标时各投标人需携投标样品（交付标准），由专家根据样品生产工艺、配件选型、技术性能、材料、组件合理性、生产工艺优劣进行总体评分。不提供样品（交付标准）不得分。 </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 xml:space="preserve">（1）对全向声波驱鸟器的最大声级进行对比； </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（2）对全向声波驱鸟器的可操作性进行对比；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（3）对全向声波驱鸟器的智能控制进行对比；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kern w:val="0"/>
                <w:sz w:val="22"/>
              </w:rPr>
            </w:pPr>
            <w:r>
              <w:rPr>
                <w:rFonts w:hint="eastAsia" w:ascii="宋体" w:hAnsi="宋体" w:cs="宋体"/>
                <w:kern w:val="0"/>
                <w:sz w:val="22"/>
              </w:rPr>
              <w:t>（4）对全向声波驱鸟器的使用便捷性进行对比；</w:t>
            </w:r>
          </w:p>
        </w:tc>
        <w:tc>
          <w:tcPr>
            <w:tcW w:w="11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kern w:val="0"/>
                <w:sz w:val="22"/>
              </w:rPr>
            </w:pPr>
            <w:r>
              <w:rPr>
                <w:rFonts w:hint="eastAsia" w:ascii="宋体" w:hAnsi="宋体" w:cs="宋体"/>
                <w:kern w:val="0"/>
                <w:sz w:val="2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宋体"/>
                <w:kern w:val="0"/>
                <w:sz w:val="22"/>
              </w:rPr>
              <w:t>6.全向声波驱鸟器整机（含零配件、耗材等）质保期至少为2年，质保期2年得0分，3年得2分，4年得4分，5年得6分。</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847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sz w:val="22"/>
              </w:rPr>
            </w:pPr>
            <w:r>
              <w:rPr>
                <w:rFonts w:hint="eastAsia" w:ascii="宋体" w:hAnsi="宋体" w:cs="宋体"/>
                <w:kern w:val="0"/>
                <w:sz w:val="22"/>
              </w:rPr>
              <w:t>7. 保修期内及保修期外的售后服务方案及承诺情况对比。</w:t>
            </w:r>
          </w:p>
        </w:tc>
        <w:tc>
          <w:tcPr>
            <w:tcW w:w="115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0-2</w:t>
            </w:r>
          </w:p>
        </w:tc>
      </w:tr>
    </w:tbl>
    <w:p>
      <w:pPr>
        <w:pStyle w:val="5"/>
        <w:spacing w:line="360" w:lineRule="exact"/>
        <w:rPr>
          <w:rFonts w:hAnsi="宋体" w:cs="Calibri"/>
          <w:b/>
          <w:sz w:val="22"/>
          <w:szCs w:val="22"/>
        </w:rPr>
      </w:pPr>
      <w:r>
        <w:rPr>
          <w:rFonts w:hAnsi="宋体" w:cs="Calibri"/>
          <w:b/>
          <w:sz w:val="22"/>
          <w:szCs w:val="22"/>
        </w:rPr>
        <w:t>3.4推荐中标候选人</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3.4.3当有效投标文件只有一名时，则由评标委员会确定是否推荐为中标候选人。</w:t>
      </w:r>
    </w:p>
    <w:p>
      <w:pPr>
        <w:pStyle w:val="5"/>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5"/>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5"/>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5"/>
        <w:adjustRightInd w:val="0"/>
        <w:snapToGrid w:val="0"/>
        <w:spacing w:line="360" w:lineRule="exact"/>
        <w:ind w:firstLine="440" w:firstLineChars="200"/>
        <w:rPr>
          <w:rFonts w:hAnsi="宋体" w:cs="Calibri"/>
          <w:sz w:val="22"/>
          <w:szCs w:val="22"/>
        </w:rPr>
      </w:pPr>
      <w:r>
        <w:rPr>
          <w:rFonts w:hint="eastAsia" w:hAnsi="宋体" w:cs="Calibri"/>
          <w:sz w:val="22"/>
          <w:szCs w:val="22"/>
        </w:rPr>
        <w:t>4.4招标人对评标、定标结果不负责解释。</w:t>
      </w:r>
    </w:p>
    <w:p>
      <w:pPr>
        <w:widowControl/>
        <w:jc w:val="left"/>
        <w:rPr>
          <w:rFonts w:ascii="Cambria" w:hAnsi="Cambria" w:eastAsia="黑体" w:cs="Times New Roman"/>
          <w:b/>
          <w:bCs/>
          <w:kern w:val="0"/>
          <w:sz w:val="32"/>
          <w:szCs w:val="32"/>
        </w:rPr>
      </w:pPr>
      <w:r>
        <w:br w:type="page"/>
      </w:r>
    </w:p>
    <w:p>
      <w:pPr>
        <w:pStyle w:val="13"/>
      </w:pPr>
      <w:bookmarkStart w:id="99" w:name="_Toc321925457"/>
      <w:r>
        <w:t>第</w:t>
      </w:r>
      <w:r>
        <w:rPr>
          <w:rFonts w:hint="eastAsia"/>
        </w:rPr>
        <w:t>六</w:t>
      </w:r>
      <w:r>
        <w:t>章投标文件格式</w:t>
      </w:r>
      <w:bookmarkEnd w:id="98"/>
      <w:bookmarkEnd w:id="99"/>
    </w:p>
    <w:p>
      <w:pPr>
        <w:spacing w:line="440" w:lineRule="exact"/>
        <w:jc w:val="center"/>
        <w:rPr>
          <w:rFonts w:cs="Calibri"/>
          <w:b/>
          <w:sz w:val="28"/>
          <w:szCs w:val="28"/>
        </w:rPr>
      </w:pPr>
      <w:r>
        <w:rPr>
          <w:rFonts w:cs="Calibri"/>
          <w:b/>
          <w:sz w:val="28"/>
          <w:szCs w:val="28"/>
        </w:rPr>
        <w:t>目录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二、</w:t>
      </w:r>
      <w:r>
        <w:rPr>
          <w:rFonts w:cs="Calibri" w:asciiTheme="minorEastAsia" w:hAnsiTheme="minorEastAsia"/>
          <w:sz w:val="22"/>
        </w:rPr>
        <w:t>法定代表人资格证明书；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三、</w:t>
      </w:r>
      <w:r>
        <w:rPr>
          <w:rFonts w:cs="Calibri" w:asciiTheme="minorEastAsia" w:hAnsiTheme="minorEastAsia"/>
          <w:sz w:val="22"/>
        </w:rPr>
        <w:t>授权委托书；</w:t>
      </w:r>
    </w:p>
    <w:p>
      <w:pPr>
        <w:adjustRightInd w:val="0"/>
        <w:snapToGrid w:val="0"/>
        <w:spacing w:line="400" w:lineRule="exact"/>
        <w:ind w:firstLine="440" w:firstLineChars="200"/>
        <w:rPr>
          <w:rFonts w:cs="Calibri" w:asciiTheme="minorEastAsia" w:hAnsiTheme="minorEastAsia"/>
          <w:sz w:val="22"/>
        </w:rPr>
      </w:pPr>
      <w:r>
        <w:rPr>
          <w:rFonts w:hint="eastAsia" w:cs="Calibri" w:asciiTheme="minorEastAsia" w:hAnsiTheme="minorEastAsia"/>
          <w:sz w:val="22"/>
        </w:rPr>
        <w:t>四、</w:t>
      </w:r>
      <w:r>
        <w:rPr>
          <w:rFonts w:cs="Calibri" w:asciiTheme="minorEastAsia" w:hAnsiTheme="minorEastAsia"/>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cs="Calibri" w:asciiTheme="minorEastAsia" w:hAnsiTheme="minorEastAsia"/>
          <w:sz w:val="22"/>
        </w:rPr>
        <w:t>投标人一般情况</w:t>
      </w:r>
      <w:r>
        <w:rPr>
          <w:rFonts w:hint="eastAsia" w:cs="Calibri" w:asciiTheme="minorEastAsia" w:hAnsiTheme="minorEastAsia"/>
          <w:sz w:val="22"/>
        </w:rPr>
        <w:t>及</w:t>
      </w:r>
      <w:r>
        <w:rPr>
          <w:rFonts w:cs="Calibri" w:asciiTheme="minorEastAsia" w:hAnsiTheme="minorEastAsia"/>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w:t>
      </w:r>
      <w:r>
        <w:rPr>
          <w:rFonts w:ascii="宋体" w:hAnsi="宋体" w:cs="Calibri"/>
          <w:sz w:val="22"/>
        </w:rPr>
        <w:t>产品质量认证证书</w:t>
      </w:r>
      <w:r>
        <w:rPr>
          <w:rFonts w:hint="eastAsia" w:ascii="宋体" w:hAnsi="宋体" w:cs="Arial"/>
          <w:kern w:val="0"/>
          <w:sz w:val="22"/>
        </w:rPr>
        <w:t>、投标</w:t>
      </w:r>
      <w:r>
        <w:rPr>
          <w:rFonts w:ascii="宋体" w:hAnsi="宋体" w:cs="Calibri"/>
          <w:sz w:val="22"/>
        </w:rPr>
        <w:t>产品鉴定</w:t>
      </w:r>
      <w:r>
        <w:rPr>
          <w:rFonts w:hint="eastAsia" w:ascii="宋体" w:hAnsi="宋体" w:cs="Calibri"/>
          <w:sz w:val="22"/>
        </w:rPr>
        <w:t>报告、</w:t>
      </w:r>
      <w:r>
        <w:rPr>
          <w:rFonts w:ascii="宋体" w:hAnsi="宋体" w:cs="Calibri"/>
          <w:sz w:val="22"/>
        </w:rPr>
        <w:t>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Arial"/>
          <w:kern w:val="0"/>
          <w:sz w:val="22"/>
        </w:rPr>
      </w:pPr>
      <w:r>
        <w:rPr>
          <w:rFonts w:hint="eastAsia" w:ascii="宋体" w:hAnsi="宋体" w:cs="Arial"/>
          <w:kern w:val="0"/>
          <w:sz w:val="22"/>
        </w:rPr>
        <w:t>（3）</w:t>
      </w:r>
      <w:r>
        <w:rPr>
          <w:rFonts w:ascii="宋体" w:hAnsi="宋体" w:cs="Calibri"/>
          <w:sz w:val="22"/>
        </w:rPr>
        <w:t>设备制造商的授权书</w:t>
      </w:r>
      <w:r>
        <w:rPr>
          <w:rFonts w:hint="eastAsia" w:ascii="宋体" w:hAnsi="宋体" w:cs="Calibri"/>
          <w:sz w:val="22"/>
        </w:rPr>
        <w:t>（代理商投标时提供）</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（4）</w:t>
      </w:r>
      <w:r>
        <w:rPr>
          <w:rFonts w:hint="eastAsia" w:ascii="宋体" w:hAnsi="宋体" w:cs="Calibri"/>
          <w:sz w:val="22"/>
        </w:rPr>
        <w:t>投标产品近五年的销售业绩一览表（附业绩的合同）。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cs="Arial" w:asciiTheme="minorEastAsia" w:hAnsiTheme="minorEastAsia"/>
          <w:sz w:val="22"/>
        </w:rPr>
        <w:t>投标人认为</w:t>
      </w:r>
      <w:r>
        <w:rPr>
          <w:rFonts w:cs="Arial" w:asciiTheme="minorEastAsia" w:hAnsiTheme="minorEastAsia"/>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sz w:val="22"/>
        </w:rPr>
      </w:pPr>
    </w:p>
    <w:p>
      <w:pPr>
        <w:rPr>
          <w:rFonts w:ascii="宋体" w:hAnsi="宋体" w:cs="Calibri"/>
          <w:sz w:val="22"/>
        </w:rPr>
      </w:pPr>
    </w:p>
    <w:p>
      <w:pPr>
        <w:spacing w:line="440" w:lineRule="exact"/>
        <w:rPr>
          <w:rFonts w:ascii="宋体" w:hAnsi="宋体" w:cs="Calibri"/>
          <w:sz w:val="22"/>
        </w:rPr>
      </w:pPr>
    </w:p>
    <w:p>
      <w:pPr>
        <w:widowControl/>
        <w:jc w:val="left"/>
        <w:rPr>
          <w:rFonts w:ascii="宋体" w:hAnsi="宋体" w:cs="Calibri"/>
          <w:sz w:val="22"/>
        </w:rPr>
      </w:pPr>
      <w:r>
        <w:rPr>
          <w:rFonts w:hint="eastAsia" w:ascii="宋体" w:hAnsi="宋体" w:cs="Calibri"/>
          <w:sz w:val="22"/>
        </w:rPr>
        <w:t>注：未提供格式的由投标人自行拟定格式。</w:t>
      </w:r>
    </w:p>
    <w:p>
      <w:pPr>
        <w:widowControl/>
        <w:jc w:val="left"/>
        <w:rPr>
          <w:rFonts w:ascii="宋体" w:hAnsi="宋体" w:cs="Calibri"/>
        </w:rPr>
      </w:pPr>
      <w:r>
        <w:rPr>
          <w:rFonts w:ascii="宋体" w:hAnsi="宋体" w:cs="Calibri"/>
        </w:rPr>
        <w:br w:type="page"/>
      </w:r>
    </w:p>
    <w:p>
      <w:pPr>
        <w:spacing w:line="440" w:lineRule="exact"/>
        <w:ind w:right="420"/>
        <w:jc w:val="right"/>
        <w:rPr>
          <w:rFonts w:cs="Calibri"/>
        </w:rPr>
      </w:pPr>
      <w:r>
        <w:rPr>
          <w:rFonts w:cs="Calibri"/>
        </w:rPr>
        <w:t>正本（或副本）</w:t>
      </w:r>
    </w:p>
    <w:p>
      <w:pPr>
        <w:spacing w:line="440" w:lineRule="exact"/>
        <w:rPr>
          <w:rFonts w:cs="Calibri"/>
          <w:u w:val="single"/>
        </w:rPr>
      </w:pPr>
      <w:bookmarkStart w:id="100" w:name="_Toc171421958"/>
      <w:r>
        <w:rPr>
          <w:rFonts w:cs="Calibri"/>
        </w:rPr>
        <w:t>封面</w:t>
      </w:r>
      <w:bookmarkEnd w:id="10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浙江省机场集团全向声波驱鸟器采购</w:t>
      </w:r>
      <w:r>
        <w:rPr>
          <w:rFonts w:eastAsia="黑体" w:cs="Calibri"/>
          <w:b/>
          <w:sz w:val="44"/>
          <w:szCs w:val="44"/>
        </w:rPr>
        <w:t>项目</w:t>
      </w:r>
    </w:p>
    <w:p>
      <w:pPr>
        <w:spacing w:line="440" w:lineRule="exact"/>
        <w:rPr>
          <w:rFonts w:cs="Calibri"/>
          <w:sz w:val="36"/>
          <w:szCs w:val="36"/>
        </w:rPr>
      </w:pPr>
    </w:p>
    <w:p>
      <w:pPr>
        <w:spacing w:line="440" w:lineRule="exact"/>
        <w:ind w:firstLine="420" w:firstLineChars="200"/>
        <w:jc w:val="center"/>
        <w:rPr>
          <w:rFonts w:cs="Calibri"/>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20" w:firstLineChars="200"/>
        <w:jc w:val="center"/>
        <w:rPr>
          <w:rFonts w:cs="Calibri"/>
        </w:rPr>
      </w:pPr>
    </w:p>
    <w:p>
      <w:pPr>
        <w:spacing w:line="440" w:lineRule="exact"/>
        <w:ind w:firstLine="420" w:firstLineChars="200"/>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440" w:lineRule="exact"/>
        <w:ind w:firstLine="420" w:firstLineChars="200"/>
        <w:jc w:val="center"/>
        <w:rPr>
          <w:rFonts w:cs="Calibri"/>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（盖单位章）</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（签字或盖章）</w:t>
      </w:r>
    </w:p>
    <w:p>
      <w:pPr>
        <w:spacing w:line="360" w:lineRule="auto"/>
        <w:ind w:firstLine="1400" w:firstLineChars="500"/>
        <w:rPr>
          <w:rFonts w:cs="Calibri"/>
          <w:sz w:val="28"/>
          <w:szCs w:val="28"/>
        </w:rPr>
      </w:pPr>
      <w:r>
        <w:rPr>
          <w:rFonts w:cs="Calibri"/>
          <w:sz w:val="28"/>
          <w:szCs w:val="28"/>
        </w:rPr>
        <w:t>日期：年月日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浙江省机场集团</w:t>
      </w:r>
    </w:p>
    <w:p>
      <w:pPr>
        <w:overflowPunct w:val="0"/>
        <w:autoSpaceDE w:val="0"/>
        <w:autoSpaceDN w:val="0"/>
        <w:spacing w:line="440" w:lineRule="exact"/>
        <w:ind w:firstLine="440" w:firstLineChars="200"/>
        <w:rPr>
          <w:rFonts w:ascii="宋体" w:hAnsi="宋体"/>
          <w:sz w:val="22"/>
        </w:rPr>
      </w:pPr>
      <w:r>
        <w:rPr>
          <w:rFonts w:ascii="宋体" w:hAnsi="宋体"/>
          <w:sz w:val="22"/>
        </w:rPr>
        <w:t>根据贵方</w:t>
      </w:r>
      <w:r>
        <w:rPr>
          <w:rFonts w:hint="eastAsia" w:ascii="宋体" w:hAnsi="宋体"/>
          <w:sz w:val="22"/>
        </w:rPr>
        <w:t>浙江省机场集团</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，授权代表(全名、职务)经正式授权</w:t>
      </w:r>
      <w:r>
        <w:rPr>
          <w:rFonts w:hint="eastAsia" w:ascii="宋体" w:hAnsi="宋体"/>
          <w:sz w:val="22"/>
        </w:rPr>
        <w:t>，</w:t>
      </w:r>
      <w:r>
        <w:rPr>
          <w:rFonts w:ascii="宋体" w:hAnsi="宋体"/>
          <w:sz w:val="22"/>
        </w:rPr>
        <w:t>代表投标人(投标人名称、地址)递交下述文件正本一份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(大写)(小写)。</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供货期：合同签订后日历天、投标品牌：</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numPr>
          <w:ilvl w:val="0"/>
          <w:numId w:val="2"/>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如果我方中标，我方将提供金额相当于合同价的10%的履约保证金，作为履行合同的担保。</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投标人：（盖单位章）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法定代表人或其委托代理人：（签字或盖章）</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地    址：</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邮政编码：</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电    话：</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传    真：</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开户银行：</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账    号：</w:t>
      </w:r>
    </w:p>
    <w:p>
      <w:pPr>
        <w:snapToGrid w:val="0"/>
        <w:spacing w:line="440" w:lineRule="exact"/>
        <w:ind w:firstLine="3300" w:firstLineChars="1500"/>
        <w:rPr>
          <w:rFonts w:cs="Calibri" w:asciiTheme="minorEastAsia" w:hAnsiTheme="minorEastAsia"/>
          <w:sz w:val="22"/>
        </w:rPr>
      </w:pPr>
      <w:r>
        <w:rPr>
          <w:rFonts w:cs="Calibri" w:asciiTheme="minorEastAsia" w:hAnsiTheme="minorEastAsia"/>
          <w:sz w:val="22"/>
        </w:rPr>
        <w:t>日    期：    年     月     日</w:t>
      </w:r>
    </w:p>
    <w:p>
      <w:pPr>
        <w:adjustRightInd w:val="0"/>
        <w:snapToGrid w:val="0"/>
        <w:jc w:val="center"/>
        <w:rPr>
          <w:rFonts w:eastAsia="黑体" w:cs="Calibri"/>
          <w:sz w:val="32"/>
          <w:szCs w:val="32"/>
        </w:rPr>
      </w:pPr>
      <w:r>
        <w:rPr>
          <w:rFonts w:ascii="宋体" w:hAnsi="宋体" w:cs="Arial"/>
          <w:sz w:val="22"/>
        </w:rPr>
        <w:br w:type="page"/>
      </w: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rPr>
      </w:pPr>
    </w:p>
    <w:p>
      <w:pPr>
        <w:spacing w:after="120" w:afterLines="50" w:line="440" w:lineRule="exact"/>
        <w:rPr>
          <w:rFonts w:cs="Calibri"/>
          <w:sz w:val="22"/>
          <w:u w:val="single"/>
        </w:rPr>
      </w:pPr>
      <w:r>
        <w:rPr>
          <w:rFonts w:cs="Calibri"/>
          <w:sz w:val="22"/>
        </w:rPr>
        <w:t>投标人名称：</w:t>
      </w:r>
    </w:p>
    <w:p>
      <w:pPr>
        <w:spacing w:after="120" w:afterLines="50" w:line="440" w:lineRule="exact"/>
        <w:rPr>
          <w:rFonts w:cs="Calibri"/>
          <w:sz w:val="22"/>
          <w:u w:val="single"/>
        </w:rPr>
      </w:pPr>
      <w:r>
        <w:rPr>
          <w:rFonts w:cs="Calibri"/>
          <w:sz w:val="22"/>
        </w:rPr>
        <w:t>单位性质：</w:t>
      </w:r>
    </w:p>
    <w:p>
      <w:pPr>
        <w:spacing w:after="120" w:afterLines="50" w:line="440" w:lineRule="exact"/>
        <w:rPr>
          <w:rFonts w:cs="Calibri"/>
          <w:sz w:val="22"/>
          <w:u w:val="single"/>
        </w:rPr>
      </w:pPr>
      <w:r>
        <w:rPr>
          <w:rFonts w:cs="Calibri"/>
          <w:sz w:val="22"/>
        </w:rPr>
        <w:t>地址：</w:t>
      </w:r>
    </w:p>
    <w:p>
      <w:pPr>
        <w:spacing w:after="120" w:afterLines="50" w:line="440" w:lineRule="exact"/>
        <w:rPr>
          <w:rFonts w:cs="Calibri"/>
          <w:sz w:val="22"/>
          <w:u w:val="single"/>
        </w:rPr>
      </w:pPr>
      <w:r>
        <w:rPr>
          <w:rFonts w:cs="Calibri"/>
          <w:sz w:val="22"/>
        </w:rPr>
        <w:t>成立时间：年月日</w:t>
      </w:r>
    </w:p>
    <w:p>
      <w:pPr>
        <w:spacing w:after="120" w:afterLines="50" w:line="440" w:lineRule="exact"/>
        <w:rPr>
          <w:rFonts w:cs="Calibri"/>
          <w:sz w:val="22"/>
          <w:u w:val="single"/>
        </w:rPr>
      </w:pPr>
      <w:r>
        <w:rPr>
          <w:rFonts w:cs="Calibri"/>
          <w:sz w:val="22"/>
        </w:rPr>
        <w:t>经营期限：</w:t>
      </w:r>
    </w:p>
    <w:p>
      <w:pPr>
        <w:spacing w:after="120" w:afterLines="50" w:line="440" w:lineRule="exact"/>
        <w:rPr>
          <w:rFonts w:cs="Calibri"/>
          <w:sz w:val="22"/>
          <w:u w:val="single"/>
        </w:rPr>
      </w:pPr>
      <w:r>
        <w:rPr>
          <w:rFonts w:cs="Calibri"/>
          <w:sz w:val="22"/>
        </w:rPr>
        <w:t>姓名：性别：年龄：职务：</w:t>
      </w:r>
    </w:p>
    <w:p>
      <w:pPr>
        <w:spacing w:after="120" w:afterLines="50" w:line="440" w:lineRule="exact"/>
        <w:rPr>
          <w:rFonts w:cs="Calibri"/>
          <w:sz w:val="22"/>
          <w:u w:val="single"/>
        </w:rPr>
      </w:pPr>
      <w:r>
        <w:rPr>
          <w:rFonts w:cs="Calibri"/>
          <w:sz w:val="22"/>
        </w:rPr>
        <w:t>身份证号码：</w:t>
      </w:r>
    </w:p>
    <w:p>
      <w:pPr>
        <w:spacing w:line="440" w:lineRule="exact"/>
        <w:ind w:firstLine="560"/>
        <w:rPr>
          <w:rFonts w:cs="Calibri"/>
          <w:sz w:val="22"/>
        </w:rPr>
      </w:pPr>
    </w:p>
    <w:p>
      <w:pPr>
        <w:spacing w:line="440" w:lineRule="exact"/>
        <w:rPr>
          <w:rFonts w:cs="Calibri"/>
          <w:sz w:val="22"/>
        </w:rPr>
      </w:pPr>
      <w:r>
        <w:rPr>
          <w:rFonts w:cs="Calibri"/>
          <w:sz w:val="22"/>
        </w:rPr>
        <w:t>系（投标人名称）的法定代表人。</w:t>
      </w:r>
    </w:p>
    <w:p>
      <w:pPr>
        <w:spacing w:line="440" w:lineRule="exact"/>
        <w:ind w:firstLine="560"/>
        <w:rPr>
          <w:rFonts w:cs="Calibri"/>
          <w:sz w:val="22"/>
        </w:rPr>
      </w:pPr>
    </w:p>
    <w:p>
      <w:pPr>
        <w:spacing w:line="440" w:lineRule="exact"/>
        <w:rPr>
          <w:rFonts w:cs="Calibri"/>
          <w:sz w:val="22"/>
        </w:rPr>
      </w:pPr>
      <w:r>
        <w:rPr>
          <w:rFonts w:cs="Calibri"/>
          <w:sz w:val="22"/>
        </w:rPr>
        <w:t>特此证明。</w:t>
      </w:r>
    </w:p>
    <w:p>
      <w:pPr>
        <w:spacing w:line="440" w:lineRule="exact"/>
        <w:rPr>
          <w:rFonts w:cs="Calibri"/>
          <w:sz w:val="22"/>
        </w:rPr>
      </w:pPr>
      <w:r>
        <w:rPr>
          <w:rFonts w:cs="Calibri"/>
          <w:sz w:val="22"/>
        </w:rPr>
        <w:t>附：法定代表人身份证复印件</w:t>
      </w:r>
    </w:p>
    <w:p>
      <w:pPr>
        <w:spacing w:line="440" w:lineRule="exact"/>
        <w:rPr>
          <w:rFonts w:cs="Calibri"/>
          <w:sz w:val="22"/>
        </w:rPr>
      </w:pPr>
      <w:r>
        <w:rPr>
          <w:rFonts w:cs="Calibri"/>
          <w:sz w:val="22"/>
        </w:rPr>
        <w:t>投标人：（盖单位章）</w:t>
      </w:r>
    </w:p>
    <w:p>
      <w:pPr>
        <w:spacing w:line="440" w:lineRule="exact"/>
        <w:ind w:firstLine="4936" w:firstLineChars="2235"/>
        <w:rPr>
          <w:rFonts w:cs="Calibri"/>
          <w:b/>
          <w:sz w:val="22"/>
        </w:rPr>
      </w:pPr>
      <w:r>
        <w:rPr>
          <w:rFonts w:cs="Calibri"/>
          <w:b/>
          <w:sz w:val="2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cs="Calibri"/>
          <w:sz w:val="22"/>
        </w:rPr>
        <w:t>日期：年月日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40" w:firstLineChars="200"/>
        <w:rPr>
          <w:rFonts w:cs="Calibri"/>
          <w:sz w:val="22"/>
        </w:rPr>
      </w:pPr>
      <w:r>
        <w:rPr>
          <w:rFonts w:cs="Calibri"/>
          <w:sz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sz w:val="22"/>
        </w:rPr>
      </w:pPr>
      <w:r>
        <w:rPr>
          <w:rFonts w:cs="Calibri"/>
          <w:sz w:val="22"/>
        </w:rPr>
        <w:t>代理人无转委托权。</w:t>
      </w:r>
    </w:p>
    <w:p>
      <w:pPr>
        <w:spacing w:line="440" w:lineRule="exact"/>
        <w:ind w:firstLine="440" w:firstLineChars="200"/>
        <w:rPr>
          <w:rFonts w:cs="Calibri"/>
          <w:sz w:val="22"/>
        </w:rPr>
      </w:pPr>
      <w:r>
        <w:rPr>
          <w:rFonts w:cs="Calibri"/>
          <w:sz w:val="22"/>
        </w:rPr>
        <w:t>附：委托代理人身份证复印件</w:t>
      </w:r>
    </w:p>
    <w:p>
      <w:pPr>
        <w:spacing w:line="440" w:lineRule="exact"/>
        <w:rPr>
          <w:rFonts w:cs="Calibri"/>
          <w:sz w:val="22"/>
        </w:rPr>
      </w:pPr>
    </w:p>
    <w:p>
      <w:pPr>
        <w:spacing w:line="440" w:lineRule="exact"/>
        <w:rPr>
          <w:rFonts w:cs="Calibri"/>
          <w:sz w:val="22"/>
        </w:rPr>
      </w:pPr>
      <w:r>
        <w:rPr>
          <w:rFonts w:cs="Calibri"/>
          <w:sz w:val="22"/>
        </w:rPr>
        <w:t>投标人：（盖单位章）</w:t>
      </w:r>
    </w:p>
    <w:p>
      <w:pPr>
        <w:spacing w:line="440" w:lineRule="exact"/>
        <w:rPr>
          <w:rFonts w:cs="Calibri"/>
          <w:sz w:val="22"/>
        </w:rPr>
      </w:pPr>
      <w:r>
        <w:rPr>
          <w:rFonts w:cs="Calibri"/>
          <w:sz w:val="22"/>
        </w:rPr>
        <w:t>法定代表人：（签字或盖章）</w:t>
      </w:r>
    </w:p>
    <w:p>
      <w:pPr>
        <w:spacing w:line="440" w:lineRule="exact"/>
        <w:rPr>
          <w:rFonts w:cs="Calibri"/>
          <w:sz w:val="22"/>
        </w:rPr>
      </w:pPr>
      <w:r>
        <w:rPr>
          <w:rFonts w:cs="Calibri"/>
          <w:sz w:val="22"/>
        </w:rPr>
        <w:t>身份证号码：</w:t>
      </w:r>
    </w:p>
    <w:p>
      <w:pPr>
        <w:spacing w:line="440" w:lineRule="exact"/>
        <w:rPr>
          <w:rFonts w:cs="Calibri"/>
          <w:sz w:val="22"/>
        </w:rPr>
      </w:pPr>
    </w:p>
    <w:p>
      <w:pPr>
        <w:spacing w:line="440" w:lineRule="exact"/>
        <w:rPr>
          <w:rFonts w:cs="Calibri"/>
          <w:sz w:val="22"/>
        </w:rPr>
      </w:pPr>
      <w:r>
        <w:rPr>
          <w:rFonts w:cs="Calibri"/>
          <w:sz w:val="22"/>
        </w:rPr>
        <w:t>委托的代理人：（签字或盖章）</w:t>
      </w:r>
    </w:p>
    <w:p>
      <w:pPr>
        <w:spacing w:line="440" w:lineRule="exact"/>
        <w:rPr>
          <w:rFonts w:cs="Calibri"/>
          <w:sz w:val="22"/>
        </w:rPr>
      </w:pPr>
      <w:r>
        <w:rPr>
          <w:rFonts w:cs="Calibri"/>
          <w:sz w:val="22"/>
        </w:rPr>
        <w:t>身份证号码：</w:t>
      </w:r>
    </w:p>
    <w:p>
      <w:pPr>
        <w:spacing w:line="440" w:lineRule="exact"/>
        <w:ind w:firstLine="4730" w:firstLineChars="2150"/>
        <w:rPr>
          <w:rFonts w:cs="Calibri"/>
          <w:sz w:val="22"/>
        </w:rPr>
      </w:pPr>
      <w:r>
        <w:rPr>
          <w:rFonts w:cs="Calibri"/>
          <w:sz w:val="22"/>
        </w:rPr>
        <w:t>日期：年月日</w:t>
      </w:r>
    </w:p>
    <w:p>
      <w:pPr>
        <w:snapToGrid w:val="0"/>
        <w:spacing w:line="440" w:lineRule="exact"/>
        <w:rPr>
          <w:rFonts w:cs="Calibri"/>
          <w:szCs w:val="21"/>
        </w:rPr>
      </w:pPr>
      <w:r>
        <w:rPr>
          <w:rFonts w:cs="Calibri"/>
          <w:b/>
          <w:szCs w:val="21"/>
        </w:rPr>
        <mc:AlternateContent>
          <mc:Choice Requires="wps">
            <w:drawing>
              <wp:anchor distT="0" distB="0" distL="114300" distR="114300" simplePos="0" relativeHeight="251661312"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1312;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p>
    <w:p>
      <w:pPr>
        <w:spacing w:line="440" w:lineRule="exact"/>
        <w:rPr>
          <w:rFonts w:cs="Calibri"/>
          <w:b/>
          <w:bCs/>
          <w:szCs w:val="21"/>
        </w:rPr>
      </w:pPr>
    </w:p>
    <w:p>
      <w:pPr>
        <w:spacing w:line="440" w:lineRule="exact"/>
        <w:rPr>
          <w:rFonts w:cs="Calibri"/>
          <w:b/>
          <w:bCs/>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szCs w:val="21"/>
        </w:rPr>
      </w:pPr>
    </w:p>
    <w:p>
      <w:pPr>
        <w:spacing w:line="440" w:lineRule="exact"/>
        <w:rPr>
          <w:rFonts w:cs="Calibri"/>
          <w:b/>
          <w:bCs/>
          <w:sz w:val="22"/>
        </w:rPr>
      </w:pPr>
      <w:r>
        <w:rPr>
          <w:rFonts w:cs="Calibri"/>
          <w:sz w:val="22"/>
        </w:rPr>
        <w:t>注：如投标文件由委托代理人签字或盖章的，投标文件必须附此授权委托书。</w:t>
      </w:r>
    </w:p>
    <w:p>
      <w:pPr>
        <w:spacing w:line="360" w:lineRule="auto"/>
        <w:jc w:val="left"/>
        <w:rPr>
          <w:rFonts w:ascii="宋体" w:hAnsi="宋体" w:cs="宋体"/>
          <w:sz w:val="22"/>
        </w:rPr>
      </w:pPr>
    </w:p>
    <w:p>
      <w:pPr>
        <w:pStyle w:val="5"/>
        <w:spacing w:after="120" w:afterLines="50" w:line="360" w:lineRule="auto"/>
        <w:jc w:val="left"/>
        <w:rPr>
          <w:rFonts w:hAnsi="宋体" w:cs="宋体"/>
          <w:b/>
        </w:rPr>
      </w:pPr>
      <w:r>
        <w:rPr>
          <w:rFonts w:hAnsi="宋体" w:cs="宋体"/>
          <w:b/>
        </w:rPr>
        <w:br w:type="page"/>
      </w:r>
      <w:bookmarkStart w:id="101" w:name="_Toc137373398"/>
      <w:bookmarkStart w:id="102" w:name="_Toc133214102"/>
      <w:bookmarkStart w:id="103" w:name="_Toc133214309"/>
      <w:bookmarkStart w:id="104" w:name="_Toc144265958"/>
      <w:bookmarkStart w:id="105" w:name="_Toc133470542"/>
    </w:p>
    <w:p>
      <w:pPr>
        <w:pStyle w:val="5"/>
        <w:spacing w:after="120" w:afterLines="50" w:line="360" w:lineRule="auto"/>
        <w:jc w:val="left"/>
        <w:rPr>
          <w:rFonts w:hAnsi="宋体" w:cs="宋体"/>
          <w:sz w:val="22"/>
          <w:szCs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四、投标报价表</w:t>
      </w:r>
    </w:p>
    <w:p>
      <w:pPr>
        <w:pStyle w:val="5"/>
        <w:spacing w:after="120" w:afterLines="50" w:line="360" w:lineRule="auto"/>
        <w:jc w:val="center"/>
        <w:rPr>
          <w:rFonts w:hAnsi="宋体" w:cs="宋体"/>
        </w:rPr>
      </w:pPr>
    </w:p>
    <w:p>
      <w:pPr>
        <w:pStyle w:val="5"/>
        <w:numPr>
          <w:ilvl w:val="1"/>
          <w:numId w:val="3"/>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
        <w:numPr>
          <w:ilvl w:val="1"/>
          <w:numId w:val="4"/>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5"/>
        <w:numPr>
          <w:ilvl w:val="1"/>
          <w:numId w:val="3"/>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101"/>
    <w:bookmarkEnd w:id="102"/>
    <w:bookmarkEnd w:id="103"/>
    <w:bookmarkEnd w:id="104"/>
    <w:bookmarkEnd w:id="105"/>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120"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120"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120"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120"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1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设备费(表4.2)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2</w:t>
            </w:r>
          </w:p>
        </w:tc>
        <w:tc>
          <w:tcPr>
            <w:tcW w:w="2976" w:type="dxa"/>
            <w:vAlign w:val="center"/>
          </w:tcPr>
          <w:p>
            <w:pPr>
              <w:snapToGrid w:val="0"/>
              <w:jc w:val="center"/>
              <w:rPr>
                <w:rFonts w:ascii="宋体" w:hAnsi="宋体" w:cs="宋体"/>
                <w:sz w:val="22"/>
              </w:rPr>
            </w:pPr>
            <w:r>
              <w:rPr>
                <w:rFonts w:hint="eastAsia" w:ascii="宋体" w:hAnsi="宋体" w:cs="宋体"/>
                <w:sz w:val="22"/>
              </w:rPr>
              <w:t>随机配件和专用工具(表4.3)</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5"/>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120" w:beforeLines="50" w:line="360" w:lineRule="auto"/>
        <w:ind w:firstLine="3960"/>
        <w:rPr>
          <w:rFonts w:ascii="宋体" w:hAnsi="宋体" w:cs="宋体"/>
        </w:rPr>
      </w:pPr>
      <w:bookmarkStart w:id="106" w:name="_Toc133214310"/>
      <w:bookmarkStart w:id="107" w:name="_Toc137373399"/>
      <w:bookmarkStart w:id="108" w:name="_Toc133214103"/>
      <w:bookmarkStart w:id="109" w:name="_Toc133470544"/>
    </w:p>
    <w:p>
      <w:pPr>
        <w:spacing w:line="360" w:lineRule="auto"/>
        <w:jc w:val="center"/>
        <w:rPr>
          <w:rFonts w:ascii="宋体" w:hAnsi="宋体" w:cs="宋体"/>
          <w:b/>
          <w:sz w:val="32"/>
          <w:szCs w:val="32"/>
        </w:rPr>
      </w:pPr>
      <w:bookmarkStart w:id="110" w:name="_Toc144265959"/>
      <w:r>
        <w:rPr>
          <w:rFonts w:hint="eastAsia" w:ascii="宋体" w:hAnsi="宋体" w:cs="宋体"/>
          <w:b/>
          <w:sz w:val="32"/>
          <w:szCs w:val="32"/>
        </w:rPr>
        <w:br w:type="page"/>
      </w:r>
    </w:p>
    <w:bookmarkEnd w:id="106"/>
    <w:bookmarkEnd w:id="107"/>
    <w:bookmarkEnd w:id="108"/>
    <w:bookmarkEnd w:id="109"/>
    <w:bookmarkEnd w:id="110"/>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19"/>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计（不含税）</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6"/>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1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19"/>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sz w:val="22"/>
              </w:rPr>
            </w:pPr>
          </w:p>
        </w:tc>
        <w:tc>
          <w:tcPr>
            <w:tcW w:w="953" w:type="dxa"/>
            <w:shd w:val="clear" w:color="000000" w:fill="FFFFFF"/>
            <w:vAlign w:val="center"/>
          </w:tcPr>
          <w:p>
            <w:pPr>
              <w:widowControl/>
              <w:snapToGrid w:val="0"/>
              <w:rPr>
                <w:rFonts w:ascii="宋体" w:hAnsi="宋体"/>
                <w:b/>
                <w:bCs/>
                <w:kern w:val="0"/>
                <w:sz w:val="22"/>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sz w:val="22"/>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w:t>
            </w:r>
          </w:p>
        </w:tc>
        <w:tc>
          <w:tcPr>
            <w:tcW w:w="1134" w:type="dxa"/>
            <w:vAlign w:val="center"/>
          </w:tcPr>
          <w:p>
            <w:pPr>
              <w:widowControl/>
              <w:jc w:val="center"/>
              <w:rPr>
                <w:rFonts w:ascii="宋体" w:hAnsi="宋体" w:cs="宋体"/>
                <w:kern w:val="0"/>
                <w:sz w:val="20"/>
              </w:rPr>
            </w:pPr>
            <w:r>
              <w:rPr>
                <w:rFonts w:hint="eastAsia" w:ascii="宋体" w:hAnsi="宋体" w:cs="宋体"/>
                <w:kern w:val="0"/>
                <w:sz w:val="20"/>
              </w:rPr>
              <w:t>　　</w:t>
            </w:r>
          </w:p>
        </w:tc>
        <w:tc>
          <w:tcPr>
            <w:tcW w:w="567" w:type="dxa"/>
            <w:vAlign w:val="center"/>
          </w:tcPr>
          <w:p>
            <w:pPr>
              <w:widowControl/>
              <w:jc w:val="center"/>
              <w:rPr>
                <w:rFonts w:ascii="宋体" w:hAnsi="宋体" w:cs="宋体"/>
                <w:kern w:val="0"/>
                <w:sz w:val="20"/>
              </w:rPr>
            </w:pPr>
            <w:r>
              <w:rPr>
                <w:rFonts w:hint="eastAsia" w:ascii="宋体" w:hAnsi="宋体" w:cs="宋体"/>
                <w:kern w:val="0"/>
                <w:sz w:val="20"/>
              </w:rPr>
              <w:t>　</w:t>
            </w: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五、</w:t>
      </w:r>
      <w:r>
        <w:rPr>
          <w:rFonts w:ascii="Calibri" w:hAnsi="Calibri" w:eastAsia="黑体" w:cs="Calibri"/>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19"/>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sz w:val="22"/>
              </w:rPr>
            </w:pPr>
          </w:p>
        </w:tc>
        <w:tc>
          <w:tcPr>
            <w:tcW w:w="1748" w:type="dxa"/>
            <w:gridSpan w:val="3"/>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vAlign w:val="center"/>
          </w:tcPr>
          <w:p>
            <w:pPr>
              <w:pStyle w:val="1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740" w:type="dxa"/>
            <w:gridSpan w:val="3"/>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restart"/>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028" w:type="dxa"/>
            <w:vMerge w:val="continue"/>
            <w:vAlign w:val="center"/>
          </w:tcPr>
          <w:p>
            <w:pPr>
              <w:snapToGrid w:val="0"/>
              <w:ind w:left="-170" w:right="-170"/>
              <w:jc w:val="center"/>
              <w:rPr>
                <w:rFonts w:ascii="宋体" w:hAnsi="宋体" w:cs="宋体"/>
                <w:sz w:val="22"/>
              </w:rPr>
            </w:pPr>
          </w:p>
        </w:tc>
        <w:tc>
          <w:tcPr>
            <w:tcW w:w="1575" w:type="dxa"/>
            <w:gridSpan w:val="3"/>
            <w:vMerge w:val="continue"/>
            <w:vAlign w:val="center"/>
          </w:tcPr>
          <w:p>
            <w:pPr>
              <w:snapToGrid w:val="0"/>
              <w:ind w:left="-170" w:right="-170"/>
              <w:jc w:val="center"/>
              <w:rPr>
                <w:rFonts w:ascii="宋体" w:hAnsi="宋体" w:cs="宋体"/>
                <w:sz w:val="22"/>
              </w:rPr>
            </w:pPr>
          </w:p>
        </w:tc>
        <w:tc>
          <w:tcPr>
            <w:tcW w:w="840" w:type="dxa"/>
            <w:gridSpan w:val="2"/>
            <w:vMerge w:val="continue"/>
            <w:vAlign w:val="center"/>
          </w:tcPr>
          <w:p>
            <w:pPr>
              <w:snapToGrid w:val="0"/>
              <w:ind w:left="-170" w:right="-170"/>
              <w:jc w:val="center"/>
              <w:rPr>
                <w:rFonts w:ascii="宋体" w:hAnsi="宋体" w:cs="宋体"/>
                <w:sz w:val="22"/>
              </w:rPr>
            </w:pPr>
          </w:p>
        </w:tc>
        <w:tc>
          <w:tcPr>
            <w:tcW w:w="1440" w:type="dxa"/>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sz w:val="22"/>
              </w:rPr>
            </w:pPr>
          </w:p>
        </w:tc>
        <w:tc>
          <w:tcPr>
            <w:tcW w:w="1553" w:type="dxa"/>
            <w:gridSpan w:val="2"/>
            <w:vAlign w:val="center"/>
          </w:tcPr>
          <w:p>
            <w:pPr>
              <w:snapToGrid w:val="0"/>
              <w:ind w:left="-170" w:right="-170"/>
              <w:jc w:val="center"/>
              <w:rPr>
                <w:rFonts w:ascii="宋体" w:hAnsi="宋体" w:cs="宋体"/>
                <w:sz w:val="22"/>
              </w:rPr>
            </w:pPr>
          </w:p>
        </w:tc>
        <w:tc>
          <w:tcPr>
            <w:tcW w:w="6090" w:type="dxa"/>
            <w:gridSpan w:val="8"/>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、投标</w:t>
      </w:r>
      <w:r>
        <w:rPr>
          <w:rFonts w:ascii="宋体" w:hAnsi="宋体" w:cs="Calibri"/>
          <w:sz w:val="22"/>
        </w:rPr>
        <w:t>产品质量认证证书</w:t>
      </w:r>
      <w:r>
        <w:rPr>
          <w:rFonts w:hint="eastAsia" w:ascii="宋体" w:hAnsi="宋体" w:cs="Arial"/>
          <w:kern w:val="0"/>
          <w:sz w:val="22"/>
        </w:rPr>
        <w:t>、投标</w:t>
      </w:r>
      <w:r>
        <w:rPr>
          <w:rFonts w:ascii="宋体" w:hAnsi="宋体" w:cs="Calibri"/>
          <w:sz w:val="22"/>
        </w:rPr>
        <w:t>产品鉴定</w:t>
      </w:r>
      <w:r>
        <w:rPr>
          <w:rFonts w:hint="eastAsia" w:ascii="宋体" w:hAnsi="宋体" w:cs="Calibri"/>
          <w:sz w:val="22"/>
        </w:rPr>
        <w:t>、报告</w:t>
      </w:r>
      <w:r>
        <w:rPr>
          <w:rFonts w:ascii="宋体" w:hAnsi="宋体" w:cs="Calibri"/>
          <w:sz w:val="22"/>
        </w:rPr>
        <w:t>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7"/>
        </w:numPr>
        <w:adjustRightInd w:val="0"/>
        <w:spacing w:before="120"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制造商名称：</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总部地址：</w:t>
      </w:r>
    </w:p>
    <w:p>
      <w:pPr>
        <w:spacing w:line="360" w:lineRule="auto"/>
        <w:ind w:left="840" w:firstLine="120"/>
        <w:rPr>
          <w:rFonts w:ascii="宋体" w:hAnsi="宋体" w:cs="宋体"/>
          <w:sz w:val="22"/>
          <w:u w:val="single"/>
        </w:rPr>
      </w:pPr>
      <w:r>
        <w:rPr>
          <w:rFonts w:hint="eastAsia" w:ascii="宋体" w:hAnsi="宋体" w:cs="宋体"/>
          <w:sz w:val="22"/>
        </w:rPr>
        <w:t>电传/传真/电话号码：</w:t>
      </w:r>
    </w:p>
    <w:p>
      <w:pPr>
        <w:numPr>
          <w:ilvl w:val="0"/>
          <w:numId w:val="8"/>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实收资本：</w:t>
      </w:r>
    </w:p>
    <w:p>
      <w:pPr>
        <w:numPr>
          <w:ilvl w:val="0"/>
          <w:numId w:val="8"/>
        </w:numPr>
        <w:adjustRightInd w:val="0"/>
        <w:spacing w:line="360" w:lineRule="auto"/>
        <w:textAlignment w:val="baseline"/>
        <w:rPr>
          <w:rFonts w:ascii="宋体" w:hAnsi="宋体" w:cs="宋体"/>
          <w:sz w:val="22"/>
        </w:rPr>
      </w:pPr>
      <w:r>
        <w:rPr>
          <w:rFonts w:hint="eastAsia" w:ascii="宋体" w:hAnsi="宋体" w:cs="宋体"/>
          <w:sz w:val="22"/>
        </w:rPr>
        <w:t>近期资产负债表（到年月日止）</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固定资产：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流动资产：</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长期负债：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流动负债：</w:t>
      </w:r>
    </w:p>
    <w:p>
      <w:pPr>
        <w:numPr>
          <w:ilvl w:val="0"/>
          <w:numId w:val="9"/>
        </w:numPr>
        <w:adjustRightInd w:val="0"/>
        <w:spacing w:line="360" w:lineRule="auto"/>
        <w:textAlignment w:val="baseline"/>
        <w:rPr>
          <w:rFonts w:ascii="宋体" w:hAnsi="宋体" w:cs="宋体"/>
          <w:sz w:val="22"/>
        </w:rPr>
      </w:pPr>
      <w:r>
        <w:rPr>
          <w:rFonts w:hint="eastAsia" w:ascii="宋体" w:hAnsi="宋体" w:cs="宋体"/>
          <w:sz w:val="22"/>
        </w:rPr>
        <w:t>净值：</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p>
    <w:p>
      <w:pPr>
        <w:numPr>
          <w:ilvl w:val="0"/>
          <w:numId w:val="10"/>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p>
    <w:p>
      <w:pPr>
        <w:numPr>
          <w:ilvl w:val="0"/>
          <w:numId w:val="3"/>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p>
    <w:p>
      <w:pPr>
        <w:spacing w:line="360" w:lineRule="auto"/>
        <w:rPr>
          <w:rFonts w:ascii="宋体" w:hAnsi="宋体" w:cs="宋体"/>
          <w:sz w:val="22"/>
        </w:rPr>
      </w:pPr>
    </w:p>
    <w:p>
      <w:pPr>
        <w:numPr>
          <w:ilvl w:val="1"/>
          <w:numId w:val="11"/>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p>
    <w:p>
      <w:pPr>
        <w:spacing w:line="360" w:lineRule="auto"/>
        <w:rPr>
          <w:rFonts w:ascii="宋体" w:hAnsi="宋体" w:cs="宋体"/>
          <w:sz w:val="22"/>
          <w:u w:val="single"/>
        </w:rPr>
      </w:pPr>
    </w:p>
    <w:p>
      <w:pPr>
        <w:numPr>
          <w:ilvl w:val="0"/>
          <w:numId w:val="12"/>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p>
    <w:p>
      <w:pPr>
        <w:spacing w:line="360" w:lineRule="auto"/>
        <w:ind w:firstLine="360"/>
        <w:rPr>
          <w:rFonts w:ascii="宋体" w:hAnsi="宋体" w:cs="宋体"/>
          <w:sz w:val="22"/>
        </w:rPr>
      </w:pP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br w:type="textWrapping"/>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p>
    <w:p>
      <w:pPr>
        <w:spacing w:line="360" w:lineRule="auto"/>
        <w:ind w:firstLine="720"/>
        <w:rPr>
          <w:rFonts w:ascii="宋体" w:hAnsi="宋体" w:cs="宋体"/>
          <w:sz w:val="22"/>
        </w:rPr>
      </w:pP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其他情况：</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120" w:beforeLines="50" w:line="360" w:lineRule="auto"/>
        <w:rPr>
          <w:rFonts w:ascii="宋体" w:hAnsi="宋体" w:cs="宋体"/>
          <w:sz w:val="22"/>
        </w:rPr>
      </w:pPr>
      <w:r>
        <w:rPr>
          <w:rFonts w:hint="eastAsia" w:ascii="宋体" w:hAnsi="宋体" w:cs="宋体"/>
          <w:sz w:val="22"/>
        </w:rPr>
        <w:t>制造商名称 （公章）</w:t>
      </w:r>
    </w:p>
    <w:p>
      <w:pPr>
        <w:spacing w:before="120" w:beforeLines="50" w:line="360" w:lineRule="auto"/>
        <w:rPr>
          <w:rFonts w:ascii="宋体" w:hAnsi="宋体" w:cs="宋体"/>
          <w:sz w:val="22"/>
          <w:u w:val="single"/>
        </w:rPr>
      </w:pPr>
      <w:r>
        <w:rPr>
          <w:rFonts w:hint="eastAsia" w:ascii="宋体" w:hAnsi="宋体" w:cs="宋体"/>
          <w:sz w:val="22"/>
        </w:rPr>
        <w:t>签字人姓名和职务</w:t>
      </w:r>
    </w:p>
    <w:p>
      <w:pPr>
        <w:spacing w:before="120" w:beforeLines="50" w:line="360" w:lineRule="auto"/>
        <w:rPr>
          <w:rFonts w:ascii="宋体" w:hAnsi="宋体" w:cs="宋体"/>
          <w:sz w:val="22"/>
          <w:u w:val="single"/>
        </w:rPr>
      </w:pPr>
      <w:r>
        <w:rPr>
          <w:rFonts w:hint="eastAsia" w:ascii="宋体" w:hAnsi="宋体" w:cs="宋体"/>
          <w:sz w:val="22"/>
        </w:rPr>
        <w:t>签字人签字</w:t>
      </w:r>
    </w:p>
    <w:p>
      <w:pPr>
        <w:spacing w:before="120" w:beforeLines="50" w:line="360" w:lineRule="auto"/>
        <w:rPr>
          <w:rFonts w:ascii="宋体" w:hAnsi="宋体" w:cs="宋体"/>
          <w:sz w:val="22"/>
          <w:u w:val="single"/>
        </w:rPr>
      </w:pPr>
      <w:r>
        <w:rPr>
          <w:rFonts w:hint="eastAsia" w:ascii="宋体" w:hAnsi="宋体" w:cs="宋体"/>
          <w:sz w:val="22"/>
        </w:rPr>
        <w:t>签字日期</w:t>
      </w:r>
    </w:p>
    <w:p>
      <w:pPr>
        <w:spacing w:before="120" w:beforeLines="50" w:line="360" w:lineRule="auto"/>
        <w:rPr>
          <w:rFonts w:ascii="宋体" w:hAnsi="宋体" w:cs="宋体"/>
          <w:sz w:val="22"/>
          <w:u w:val="single"/>
        </w:rPr>
      </w:pPr>
      <w:r>
        <w:rPr>
          <w:rFonts w:hint="eastAsia" w:ascii="宋体" w:hAnsi="宋体" w:cs="宋体"/>
          <w:sz w:val="22"/>
        </w:rPr>
        <w:t>传真</w:t>
      </w:r>
    </w:p>
    <w:p>
      <w:pPr>
        <w:spacing w:before="120" w:beforeLines="50" w:line="360" w:lineRule="auto"/>
        <w:rPr>
          <w:rFonts w:ascii="宋体" w:hAnsi="宋体" w:cs="宋体"/>
          <w:sz w:val="22"/>
          <w:u w:val="single"/>
        </w:rPr>
      </w:pPr>
      <w:r>
        <w:rPr>
          <w:rFonts w:hint="eastAsia" w:ascii="宋体" w:hAnsi="宋体" w:cs="宋体"/>
          <w:sz w:val="22"/>
        </w:rPr>
        <w:t>电话</w:t>
      </w:r>
    </w:p>
    <w:p>
      <w:pPr>
        <w:spacing w:before="120"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w:t>
      </w:r>
      <w:r>
        <w:rPr>
          <w:rFonts w:ascii="宋体" w:hAnsi="宋体" w:cs="宋体"/>
          <w:b/>
          <w:sz w:val="32"/>
          <w:szCs w:val="32"/>
        </w:rPr>
        <w:t>设备制造商的授权书</w:t>
      </w:r>
    </w:p>
    <w:p>
      <w:pPr>
        <w:spacing w:line="360" w:lineRule="auto"/>
        <w:jc w:val="center"/>
        <w:rPr>
          <w:rFonts w:ascii="宋体" w:hAnsi="宋体" w:cs="宋体"/>
          <w:b/>
          <w:sz w:val="32"/>
          <w:szCs w:val="32"/>
        </w:rPr>
      </w:pPr>
      <w:r>
        <w:rPr>
          <w:rFonts w:hint="eastAsia" w:ascii="宋体" w:hAnsi="宋体" w:cs="宋体"/>
          <w:b/>
          <w:sz w:val="32"/>
          <w:szCs w:val="32"/>
        </w:rPr>
        <w:t>（代理商投标时提供）</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（四）投标产品近三年的销售业绩一览表</w:t>
      </w:r>
    </w:p>
    <w:tbl>
      <w:tblPr>
        <w:tblStyle w:val="1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5"/>
        <w:adjustRightInd w:val="0"/>
        <w:snapToGrid w:val="0"/>
        <w:spacing w:line="560" w:lineRule="exact"/>
        <w:rPr>
          <w:rFonts w:hAnsi="宋体"/>
          <w:b/>
        </w:rPr>
      </w:pPr>
      <w:r>
        <w:rPr>
          <w:rFonts w:hAnsi="宋体" w:cs="宋体"/>
          <w:b/>
          <w:sz w:val="32"/>
          <w:szCs w:val="32"/>
        </w:rPr>
        <w:br w:type="page"/>
      </w:r>
    </w:p>
    <w:p>
      <w:pPr>
        <w:spacing w:line="440" w:lineRule="exact"/>
        <w:jc w:val="center"/>
        <w:rPr>
          <w:rFonts w:ascii="Calibri" w:hAnsi="Calibri" w:eastAsia="黑体" w:cs="Calibri"/>
          <w:sz w:val="32"/>
          <w:szCs w:val="32"/>
        </w:rPr>
      </w:pPr>
      <w:r>
        <w:rPr>
          <w:rFonts w:hint="eastAsia" w:ascii="Calibri" w:hAnsi="Calibri" w:eastAsia="黑体" w:cs="Calibri"/>
          <w:sz w:val="32"/>
          <w:szCs w:val="32"/>
        </w:rPr>
        <w:t>六、技术规格偏离表</w:t>
      </w:r>
    </w:p>
    <w:p>
      <w:pPr>
        <w:spacing w:line="560" w:lineRule="exact"/>
        <w:rPr>
          <w:rFonts w:ascii="宋体" w:hAnsi="宋体"/>
        </w:rPr>
      </w:pPr>
    </w:p>
    <w:tbl>
      <w:tblPr>
        <w:tblStyle w:val="19"/>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5"/>
        <w:adjustRightInd w:val="0"/>
        <w:snapToGrid w:val="0"/>
        <w:spacing w:line="560" w:lineRule="exact"/>
        <w:rPr>
          <w:rFonts w:hAnsi="宋体"/>
          <w:b/>
        </w:rPr>
      </w:pPr>
    </w:p>
    <w:p>
      <w:pPr>
        <w:spacing w:line="440" w:lineRule="exact"/>
        <w:jc w:val="center"/>
        <w:rPr>
          <w:rFonts w:ascii="Calibri" w:hAnsi="Calibri" w:eastAsia="黑体" w:cs="Calibri"/>
          <w:sz w:val="32"/>
          <w:szCs w:val="32"/>
        </w:rPr>
      </w:pPr>
      <w:r>
        <w:rPr>
          <w:rFonts w:hint="eastAsia" w:ascii="Calibri" w:hAnsi="Calibri" w:eastAsia="黑体" w:cs="Calibri"/>
          <w:sz w:val="32"/>
          <w:szCs w:val="32"/>
        </w:rPr>
        <w:t>七、</w:t>
      </w:r>
      <w:r>
        <w:rPr>
          <w:rFonts w:ascii="Calibri" w:hAnsi="Calibri" w:eastAsia="黑体" w:cs="Calibri"/>
          <w:sz w:val="32"/>
          <w:szCs w:val="32"/>
        </w:rPr>
        <w:t>商务条款响应</w:t>
      </w:r>
      <w:r>
        <w:rPr>
          <w:rFonts w:hint="eastAsia" w:ascii="Calibri" w:hAnsi="Calibri" w:eastAsia="黑体" w:cs="Calibri"/>
          <w:sz w:val="32"/>
          <w:szCs w:val="32"/>
        </w:rPr>
        <w:t>偏离</w:t>
      </w:r>
      <w:r>
        <w:rPr>
          <w:rFonts w:ascii="Calibri" w:hAnsi="Calibri" w:eastAsia="黑体" w:cs="Calibri"/>
          <w:sz w:val="32"/>
          <w:szCs w:val="32"/>
        </w:rPr>
        <w:t>表</w:t>
      </w:r>
    </w:p>
    <w:tbl>
      <w:tblPr>
        <w:tblStyle w:val="19"/>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r>
              <w:rPr>
                <w:rFonts w:hAnsi="宋体"/>
                <w:kern w:val="2"/>
                <w:sz w:val="21"/>
              </w:rPr>
              <w:t>序号</w:t>
            </w:r>
          </w:p>
        </w:tc>
        <w:tc>
          <w:tcPr>
            <w:tcW w:w="900" w:type="dxa"/>
            <w:vAlign w:val="center"/>
          </w:tcPr>
          <w:p>
            <w:pPr>
              <w:pStyle w:val="5"/>
              <w:adjustRightInd w:val="0"/>
              <w:snapToGrid w:val="0"/>
              <w:jc w:val="center"/>
              <w:rPr>
                <w:rFonts w:hAnsi="宋体"/>
                <w:kern w:val="2"/>
                <w:sz w:val="21"/>
              </w:rPr>
            </w:pPr>
            <w:r>
              <w:rPr>
                <w:rFonts w:hAnsi="宋体"/>
                <w:kern w:val="2"/>
                <w:sz w:val="21"/>
              </w:rPr>
              <w:t>内容</w:t>
            </w:r>
          </w:p>
        </w:tc>
        <w:tc>
          <w:tcPr>
            <w:tcW w:w="3510" w:type="dxa"/>
            <w:vAlign w:val="center"/>
          </w:tcPr>
          <w:p>
            <w:pPr>
              <w:pStyle w:val="5"/>
              <w:adjustRightInd w:val="0"/>
              <w:snapToGrid w:val="0"/>
              <w:jc w:val="center"/>
              <w:rPr>
                <w:rFonts w:hAnsi="宋体"/>
                <w:kern w:val="2"/>
                <w:sz w:val="21"/>
              </w:rPr>
            </w:pPr>
            <w:r>
              <w:rPr>
                <w:rFonts w:hAnsi="宋体"/>
                <w:kern w:val="2"/>
                <w:sz w:val="21"/>
              </w:rPr>
              <w:t>招标文件要求</w:t>
            </w:r>
          </w:p>
        </w:tc>
        <w:tc>
          <w:tcPr>
            <w:tcW w:w="3510" w:type="dxa"/>
            <w:vAlign w:val="center"/>
          </w:tcPr>
          <w:p>
            <w:pPr>
              <w:pStyle w:val="5"/>
              <w:adjustRightInd w:val="0"/>
              <w:snapToGrid w:val="0"/>
              <w:jc w:val="center"/>
              <w:rPr>
                <w:rFonts w:hAnsi="宋体"/>
                <w:kern w:val="2"/>
                <w:sz w:val="21"/>
              </w:rPr>
            </w:pPr>
            <w:r>
              <w:rPr>
                <w:rFonts w:hAnsi="宋体"/>
                <w:kern w:val="2"/>
                <w:sz w:val="21"/>
              </w:rPr>
              <w:t>投标文件对应内容</w:t>
            </w:r>
          </w:p>
        </w:tc>
        <w:tc>
          <w:tcPr>
            <w:tcW w:w="827" w:type="dxa"/>
            <w:vAlign w:val="center"/>
          </w:tcPr>
          <w:p>
            <w:pPr>
              <w:pStyle w:val="5"/>
              <w:adjustRightInd w:val="0"/>
              <w:snapToGrid w:val="0"/>
              <w:jc w:val="center"/>
              <w:rPr>
                <w:rFonts w:hAnsi="宋体"/>
                <w:kern w:val="2"/>
                <w:sz w:val="21"/>
              </w:rPr>
            </w:pPr>
            <w:r>
              <w:rPr>
                <w:rFonts w:hAnsi="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5"/>
              <w:adjustRightInd w:val="0"/>
              <w:snapToGrid w:val="0"/>
              <w:jc w:val="center"/>
              <w:rPr>
                <w:rFonts w:hAnsi="宋体"/>
                <w:kern w:val="2"/>
                <w:sz w:val="21"/>
              </w:rPr>
            </w:pPr>
          </w:p>
        </w:tc>
        <w:tc>
          <w:tcPr>
            <w:tcW w:w="90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3510" w:type="dxa"/>
            <w:vAlign w:val="center"/>
          </w:tcPr>
          <w:p>
            <w:pPr>
              <w:pStyle w:val="5"/>
              <w:adjustRightInd w:val="0"/>
              <w:snapToGrid w:val="0"/>
              <w:jc w:val="center"/>
              <w:rPr>
                <w:rFonts w:hAnsi="宋体"/>
                <w:kern w:val="2"/>
                <w:sz w:val="21"/>
              </w:rPr>
            </w:pPr>
          </w:p>
        </w:tc>
        <w:tc>
          <w:tcPr>
            <w:tcW w:w="827" w:type="dxa"/>
            <w:vAlign w:val="center"/>
          </w:tcPr>
          <w:p>
            <w:pPr>
              <w:pStyle w:val="5"/>
              <w:adjustRightInd w:val="0"/>
              <w:snapToGrid w:val="0"/>
              <w:jc w:val="center"/>
              <w:rPr>
                <w:rFonts w:hAnsi="宋体"/>
                <w:kern w:val="2"/>
                <w:sz w:val="21"/>
              </w:rPr>
            </w:pPr>
          </w:p>
        </w:tc>
      </w:tr>
    </w:tbl>
    <w:p>
      <w:pPr>
        <w:pStyle w:val="5"/>
        <w:adjustRightInd w:val="0"/>
        <w:snapToGrid w:val="0"/>
        <w:spacing w:line="560" w:lineRule="exact"/>
        <w:rPr>
          <w:rFonts w:hAnsi="宋体"/>
          <w:bCs/>
          <w:sz w:val="24"/>
          <w:szCs w:val="24"/>
        </w:rPr>
      </w:pPr>
    </w:p>
    <w:p>
      <w:pPr>
        <w:pStyle w:val="5"/>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Pr>
        <w:pStyle w:val="5"/>
        <w:adjustRightInd w:val="0"/>
        <w:snapToGrid w:val="0"/>
        <w:spacing w:line="560" w:lineRule="exact"/>
        <w:rPr>
          <w:rFonts w:hAnsi="宋体"/>
          <w:bCs/>
          <w:sz w:val="24"/>
          <w:szCs w:val="24"/>
        </w:rPr>
      </w:pPr>
    </w:p>
    <w:p>
      <w:pPr>
        <w:widowControl/>
        <w:jc w:val="left"/>
        <w:rPr>
          <w:rFonts w:ascii="Calibri" w:hAnsi="Calibri" w:eastAsia="黑体" w:cs="Calibri"/>
          <w:sz w:val="32"/>
          <w:szCs w:val="32"/>
        </w:rPr>
      </w:pPr>
    </w:p>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8"/>
          <w:jc w:val="center"/>
        </w:pPr>
        <w:r>
          <w:fldChar w:fldCharType="begin"/>
        </w:r>
        <w:r>
          <w:instrText xml:space="preserve"> PAGE   \* MERGEFORMAT </w:instrText>
        </w:r>
        <w:r>
          <w:fldChar w:fldCharType="separate"/>
        </w:r>
        <w:r>
          <w:rPr>
            <w:lang w:val="zh-CN"/>
          </w:rPr>
          <w:t>-</w:t>
        </w:r>
        <w:r>
          <w:t xml:space="preserve"> 17 -</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40</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rPr>
        <w:rFonts w:ascii="宋体" w:hAnsi="宋体"/>
      </w:rPr>
    </w:pPr>
    <w:r>
      <w:rPr>
        <w:rFonts w:hint="eastAsia" w:ascii="宋体" w:hAnsi="宋体"/>
        <w:color w:val="000000"/>
      </w:rPr>
      <w:t>浙江省机场集团全向声波驱鸟器采购项目招标文件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num w:numId="1">
    <w:abstractNumId w:val="2"/>
  </w:num>
  <w:num w:numId="2">
    <w:abstractNumId w:val="13"/>
  </w:num>
  <w:num w:numId="3">
    <w:abstractNumId w:val="11"/>
  </w:num>
  <w:num w:numId="4">
    <w:abstractNumId w:val="5"/>
  </w:num>
  <w:num w:numId="5">
    <w:abstractNumId w:val="12"/>
  </w:num>
  <w:num w:numId="6">
    <w:abstractNumId w:val="1"/>
  </w:num>
  <w:num w:numId="7">
    <w:abstractNumId w:val="6"/>
  </w:num>
  <w:num w:numId="8">
    <w:abstractNumId w:val="8"/>
  </w:num>
  <w:num w:numId="9">
    <w:abstractNumId w:val="4"/>
  </w:num>
  <w:num w:numId="10">
    <w:abstractNumId w:val="0"/>
  </w:num>
  <w:num w:numId="11">
    <w:abstractNumId w:val="3"/>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31E4A"/>
    <w:rsid w:val="242D3585"/>
    <w:rsid w:val="407A52CE"/>
    <w:rsid w:val="40F851AE"/>
    <w:rsid w:val="443A5072"/>
    <w:rsid w:val="61CF6228"/>
    <w:rsid w:val="76513D4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4">
    <w:name w:val="Default Paragraph Font"/>
    <w:unhideWhenUsed/>
    <w:qFormat/>
    <w:uiPriority w:val="1"/>
  </w:style>
  <w:style w:type="table" w:default="1" w:styleId="19">
    <w:name w:val="Normal Table"/>
    <w:qFormat/>
    <w:uiPriority w:val="99"/>
    <w:tblPr>
      <w:tblLayout w:type="fixed"/>
      <w:tblCellMar>
        <w:top w:w="0" w:type="dxa"/>
        <w:left w:w="108" w:type="dxa"/>
        <w:bottom w:w="0" w:type="dxa"/>
        <w:right w:w="108" w:type="dxa"/>
      </w:tblCellMar>
    </w:tblPr>
  </w:style>
  <w:style w:type="paragraph" w:styleId="3">
    <w:name w:val="annotation subject"/>
    <w:basedOn w:val="4"/>
    <w:next w:val="4"/>
    <w:link w:val="39"/>
    <w:unhideWhenUsed/>
    <w:uiPriority w:val="99"/>
    <w:rPr>
      <w:b/>
      <w:bCs/>
      <w:sz w:val="21"/>
      <w:szCs w:val="22"/>
    </w:rPr>
  </w:style>
  <w:style w:type="paragraph" w:styleId="4">
    <w:name w:val="annotation text"/>
    <w:basedOn w:val="1"/>
    <w:link w:val="23"/>
    <w:unhideWhenUsed/>
    <w:qFormat/>
    <w:uiPriority w:val="0"/>
    <w:pPr>
      <w:jc w:val="left"/>
    </w:pPr>
    <w:rPr>
      <w:sz w:val="24"/>
      <w:szCs w:val="24"/>
    </w:rPr>
  </w:style>
  <w:style w:type="paragraph" w:styleId="5">
    <w:name w:val="Plain Text"/>
    <w:basedOn w:val="1"/>
    <w:link w:val="24"/>
    <w:qFormat/>
    <w:uiPriority w:val="0"/>
    <w:rPr>
      <w:rFonts w:ascii="宋体" w:hAnsi="Courier New" w:eastAsia="宋体" w:cs="Times New Roman"/>
      <w:kern w:val="0"/>
      <w:sz w:val="20"/>
      <w:szCs w:val="21"/>
    </w:rPr>
  </w:style>
  <w:style w:type="paragraph" w:styleId="6">
    <w:name w:val="Body Text Indent 2"/>
    <w:basedOn w:val="1"/>
    <w:link w:val="25"/>
    <w:qFormat/>
    <w:uiPriority w:val="0"/>
    <w:pPr>
      <w:spacing w:after="120" w:line="480" w:lineRule="auto"/>
      <w:ind w:left="420" w:leftChars="200"/>
    </w:pPr>
    <w:rPr>
      <w:rFonts w:ascii="Times New Roman" w:hAnsi="Times New Roman" w:eastAsia="宋体" w:cs="Times New Roman"/>
      <w:kern w:val="0"/>
      <w:sz w:val="20"/>
      <w:szCs w:val="24"/>
    </w:rPr>
  </w:style>
  <w:style w:type="paragraph" w:styleId="7">
    <w:name w:val="Balloon Text"/>
    <w:basedOn w:val="1"/>
    <w:link w:val="26"/>
    <w:unhideWhenUsed/>
    <w:qFormat/>
    <w:uiPriority w:val="0"/>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adjustRightInd w:val="0"/>
      <w:snapToGrid w:val="0"/>
    </w:pPr>
    <w:rPr>
      <w:rFonts w:ascii="Times New Roman" w:hAnsi="Times New Roman" w:eastAsia="仿宋" w:cs="Times New Roman"/>
      <w:szCs w:val="24"/>
    </w:rPr>
  </w:style>
  <w:style w:type="paragraph" w:styleId="11">
    <w:name w:val="Normal (Web)"/>
    <w:basedOn w:val="1"/>
    <w:qFormat/>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2">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3">
    <w:name w:val="Title"/>
    <w:basedOn w:val="1"/>
    <w:next w:val="1"/>
    <w:link w:val="27"/>
    <w:qFormat/>
    <w:uiPriority w:val="0"/>
    <w:pPr>
      <w:spacing w:before="60" w:after="60"/>
      <w:jc w:val="center"/>
      <w:outlineLvl w:val="0"/>
    </w:pPr>
    <w:rPr>
      <w:rFonts w:ascii="Cambria" w:hAnsi="Cambria" w:eastAsia="黑体" w:cs="Times New Roman"/>
      <w:b/>
      <w:bCs/>
      <w:kern w:val="0"/>
      <w:sz w:val="32"/>
      <w:szCs w:val="32"/>
    </w:rPr>
  </w:style>
  <w:style w:type="character" w:styleId="15">
    <w:name w:val="page number"/>
    <w:basedOn w:val="14"/>
    <w:qFormat/>
    <w:uiPriority w:val="0"/>
    <w:rPr>
      <w:rFonts w:asciiTheme="minorHAnsi" w:hAnsiTheme="minorHAnsi" w:eastAsiaTheme="minorEastAsia" w:cstheme="minorBidi"/>
      <w:lang w:val="en-US" w:eastAsia="zh-CN" w:bidi="ar-SA"/>
    </w:rPr>
  </w:style>
  <w:style w:type="character" w:styleId="16">
    <w:name w:val="FollowedHyperlink"/>
    <w:basedOn w:val="14"/>
    <w:qFormat/>
    <w:uiPriority w:val="0"/>
    <w:rPr>
      <w:rFonts w:asciiTheme="minorHAnsi" w:hAnsiTheme="minorHAnsi" w:eastAsiaTheme="minorEastAsia" w:cstheme="minorBidi"/>
      <w:color w:val="666666"/>
      <w:u w:val="none"/>
      <w:lang w:val="en-US" w:eastAsia="zh-CN" w:bidi="ar-SA"/>
    </w:rPr>
  </w:style>
  <w:style w:type="character" w:styleId="17">
    <w:name w:val="Hyperlink"/>
    <w:basedOn w:val="14"/>
    <w:qFormat/>
    <w:uiPriority w:val="0"/>
    <w:rPr>
      <w:rFonts w:asciiTheme="minorHAnsi" w:hAnsiTheme="minorHAnsi" w:eastAsiaTheme="minorEastAsia" w:cstheme="minorBidi"/>
      <w:color w:val="333333"/>
      <w:u w:val="none"/>
      <w:lang w:val="en-US" w:eastAsia="zh-CN" w:bidi="ar-SA"/>
    </w:rPr>
  </w:style>
  <w:style w:type="character" w:styleId="18">
    <w:name w:val="annotation reference"/>
    <w:basedOn w:val="14"/>
    <w:qFormat/>
    <w:uiPriority w:val="0"/>
    <w:rPr>
      <w:rFonts w:asciiTheme="minorHAnsi" w:hAnsiTheme="minorHAnsi" w:eastAsiaTheme="minorEastAsia" w:cstheme="minorBidi"/>
      <w:sz w:val="21"/>
      <w:szCs w:val="21"/>
      <w:lang w:val="en-US" w:eastAsia="zh-CN" w:bidi="ar-SA"/>
    </w:rPr>
  </w:style>
  <w:style w:type="character" w:customStyle="1" w:styleId="20">
    <w:name w:val="页眉 字符"/>
    <w:basedOn w:val="14"/>
    <w:link w:val="9"/>
    <w:semiHidden/>
    <w:qFormat/>
    <w:uiPriority w:val="99"/>
    <w:rPr>
      <w:rFonts w:asciiTheme="minorHAnsi" w:hAnsiTheme="minorHAnsi" w:eastAsiaTheme="minorEastAsia" w:cstheme="minorBidi"/>
      <w:sz w:val="18"/>
      <w:szCs w:val="18"/>
      <w:lang w:val="en-US" w:eastAsia="zh-CN" w:bidi="ar-SA"/>
    </w:rPr>
  </w:style>
  <w:style w:type="character" w:customStyle="1" w:styleId="21">
    <w:name w:val="页脚 字符"/>
    <w:basedOn w:val="14"/>
    <w:link w:val="8"/>
    <w:semiHidden/>
    <w:qFormat/>
    <w:uiPriority w:val="99"/>
    <w:rPr>
      <w:rFonts w:asciiTheme="minorHAnsi" w:hAnsiTheme="minorHAnsi" w:eastAsiaTheme="minorEastAsia" w:cstheme="minorBidi"/>
      <w:sz w:val="18"/>
      <w:szCs w:val="18"/>
      <w:lang w:val="en-US" w:eastAsia="zh-CN" w:bidi="ar-SA"/>
    </w:rPr>
  </w:style>
  <w:style w:type="character" w:customStyle="1" w:styleId="22">
    <w:name w:val="标题 1 字符"/>
    <w:basedOn w:val="14"/>
    <w:link w:val="2"/>
    <w:qFormat/>
    <w:uiPriority w:val="0"/>
    <w:rPr>
      <w:rFonts w:ascii="Times New Roman" w:hAnsi="Times New Roman" w:eastAsia="宋体" w:cs="Times New Roman"/>
      <w:b/>
      <w:bCs/>
      <w:kern w:val="44"/>
      <w:sz w:val="30"/>
      <w:szCs w:val="44"/>
      <w:lang w:val="en-US" w:eastAsia="zh-CN" w:bidi="ar-SA"/>
    </w:rPr>
  </w:style>
  <w:style w:type="character" w:customStyle="1" w:styleId="23">
    <w:name w:val="批注文字 字符"/>
    <w:basedOn w:val="14"/>
    <w:link w:val="4"/>
    <w:qFormat/>
    <w:uiPriority w:val="0"/>
    <w:rPr>
      <w:rFonts w:asciiTheme="minorHAnsi" w:hAnsiTheme="minorHAnsi" w:eastAsiaTheme="minorEastAsia" w:cstheme="minorBidi"/>
      <w:sz w:val="24"/>
      <w:szCs w:val="24"/>
      <w:lang w:val="en-US" w:eastAsia="zh-CN" w:bidi="ar-SA"/>
    </w:rPr>
  </w:style>
  <w:style w:type="character" w:customStyle="1" w:styleId="24">
    <w:name w:val="纯文本 字符"/>
    <w:basedOn w:val="14"/>
    <w:link w:val="5"/>
    <w:qFormat/>
    <w:uiPriority w:val="0"/>
    <w:rPr>
      <w:rFonts w:ascii="宋体" w:hAnsi="Courier New" w:eastAsia="宋体" w:cs="Times New Roman"/>
      <w:kern w:val="0"/>
      <w:sz w:val="20"/>
      <w:szCs w:val="21"/>
      <w:lang w:val="en-US" w:eastAsia="zh-CN" w:bidi="ar-SA"/>
    </w:rPr>
  </w:style>
  <w:style w:type="character" w:customStyle="1" w:styleId="25">
    <w:name w:val="正文文本缩进 2 字符"/>
    <w:basedOn w:val="14"/>
    <w:link w:val="6"/>
    <w:qFormat/>
    <w:uiPriority w:val="0"/>
    <w:rPr>
      <w:rFonts w:ascii="Times New Roman" w:hAnsi="Times New Roman" w:eastAsia="宋体" w:cs="Times New Roman"/>
      <w:kern w:val="0"/>
      <w:sz w:val="20"/>
      <w:szCs w:val="24"/>
      <w:lang w:val="en-US" w:eastAsia="zh-CN" w:bidi="ar-SA"/>
    </w:rPr>
  </w:style>
  <w:style w:type="character" w:customStyle="1" w:styleId="26">
    <w:name w:val="批注框文本 字符"/>
    <w:basedOn w:val="14"/>
    <w:link w:val="7"/>
    <w:qFormat/>
    <w:uiPriority w:val="0"/>
    <w:rPr>
      <w:rFonts w:asciiTheme="minorHAnsi" w:hAnsiTheme="minorHAnsi" w:eastAsiaTheme="minorEastAsia" w:cstheme="minorBidi"/>
      <w:sz w:val="18"/>
      <w:szCs w:val="18"/>
      <w:lang w:val="en-US" w:eastAsia="zh-CN" w:bidi="ar-SA"/>
    </w:rPr>
  </w:style>
  <w:style w:type="character" w:customStyle="1" w:styleId="27">
    <w:name w:val="标题 字符"/>
    <w:basedOn w:val="14"/>
    <w:link w:val="13"/>
    <w:qFormat/>
    <w:uiPriority w:val="0"/>
    <w:rPr>
      <w:rFonts w:ascii="Cambria" w:hAnsi="Cambria" w:eastAsia="黑体" w:cs="Times New Roman"/>
      <w:b/>
      <w:bCs/>
      <w:kern w:val="0"/>
      <w:sz w:val="32"/>
      <w:szCs w:val="32"/>
      <w:lang w:val="en-US" w:eastAsia="zh-CN" w:bidi="ar-SA"/>
    </w:rPr>
  </w:style>
  <w:style w:type="character" w:customStyle="1" w:styleId="28">
    <w:name w:val="zbggmain style9"/>
    <w:basedOn w:val="14"/>
    <w:qFormat/>
    <w:uiPriority w:val="0"/>
    <w:rPr>
      <w:rFonts w:asciiTheme="minorHAnsi" w:hAnsiTheme="minorHAnsi" w:eastAsiaTheme="minorEastAsia" w:cstheme="minorBidi"/>
      <w:lang w:val="en-US" w:eastAsia="zh-CN" w:bidi="ar-SA"/>
    </w:rPr>
  </w:style>
  <w:style w:type="paragraph" w:customStyle="1" w:styleId="29">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
    <w:name w:val="List Paragraph"/>
    <w:basedOn w:val="1"/>
    <w:qFormat/>
    <w:uiPriority w:val="34"/>
    <w:pPr>
      <w:ind w:firstLine="420" w:firstLineChars="200"/>
    </w:pPr>
    <w:rPr>
      <w:sz w:val="24"/>
      <w:szCs w:val="24"/>
    </w:rPr>
  </w:style>
  <w:style w:type="paragraph" w:customStyle="1" w:styleId="31">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character" w:customStyle="1" w:styleId="32">
    <w:name w:val="dijitarrowbuttoninner50"/>
    <w:basedOn w:val="14"/>
    <w:qFormat/>
    <w:uiPriority w:val="0"/>
    <w:rPr>
      <w:rFonts w:asciiTheme="minorHAnsi" w:hAnsiTheme="minorHAnsi" w:eastAsiaTheme="minorEastAsia" w:cstheme="minorBidi"/>
      <w:vanish/>
      <w:lang w:val="en-US" w:eastAsia="zh-CN" w:bidi="ar-SA"/>
    </w:rPr>
  </w:style>
  <w:style w:type="character" w:customStyle="1" w:styleId="33">
    <w:name w:val="before"/>
    <w:basedOn w:val="14"/>
    <w:qFormat/>
    <w:uiPriority w:val="0"/>
    <w:rPr>
      <w:rFonts w:asciiTheme="minorHAnsi" w:hAnsiTheme="minorHAnsi" w:eastAsiaTheme="minorEastAsia" w:cstheme="minorBidi"/>
      <w:lang w:val="en-US" w:eastAsia="zh-CN" w:bidi="ar-SA"/>
    </w:rPr>
  </w:style>
  <w:style w:type="character" w:customStyle="1" w:styleId="34">
    <w:name w:val="over"/>
    <w:basedOn w:val="14"/>
    <w:qFormat/>
    <w:uiPriority w:val="0"/>
    <w:rPr>
      <w:rFonts w:asciiTheme="minorHAnsi" w:hAnsiTheme="minorHAnsi" w:eastAsiaTheme="minorEastAsia" w:cstheme="minorBidi"/>
      <w:shd w:val="clear" w:color="auto" w:fill="3F82BE"/>
      <w:lang w:val="en-US" w:eastAsia="zh-CN" w:bidi="ar-SA"/>
    </w:rPr>
  </w:style>
  <w:style w:type="character" w:customStyle="1" w:styleId="35">
    <w:name w:val="hover16"/>
    <w:basedOn w:val="14"/>
    <w:qFormat/>
    <w:uiPriority w:val="0"/>
    <w:rPr>
      <w:rFonts w:asciiTheme="minorHAnsi" w:hAnsiTheme="minorHAnsi" w:eastAsiaTheme="minorEastAsia" w:cstheme="minorBidi"/>
      <w:color w:val="FF6600"/>
      <w:bdr w:val="single" w:color="DDDDDD" w:sz="6" w:space="0"/>
      <w:shd w:val="clear" w:color="auto" w:fill="FFFFFF"/>
      <w:lang w:val="en-US" w:eastAsia="zh-CN" w:bidi="ar-SA"/>
    </w:rPr>
  </w:style>
  <w:style w:type="character" w:customStyle="1" w:styleId="36">
    <w:name w:val="selallcontainer"/>
    <w:basedOn w:val="14"/>
    <w:qFormat/>
    <w:uiPriority w:val="0"/>
    <w:rPr>
      <w:rFonts w:asciiTheme="minorHAnsi" w:hAnsiTheme="minorHAnsi" w:eastAsiaTheme="minorEastAsia" w:cstheme="minorBidi"/>
      <w:lang w:val="en-US" w:eastAsia="zh-CN" w:bidi="ar-SA"/>
    </w:rPr>
  </w:style>
  <w:style w:type="character" w:customStyle="1" w:styleId="37">
    <w:name w:val="dijitarrowbuttoninner"/>
    <w:basedOn w:val="14"/>
    <w:qFormat/>
    <w:uiPriority w:val="0"/>
    <w:rPr>
      <w:rFonts w:asciiTheme="minorHAnsi" w:hAnsiTheme="minorHAnsi" w:eastAsiaTheme="minorEastAsia" w:cstheme="minorBidi"/>
      <w:vanish/>
      <w:lang w:val="en-US" w:eastAsia="zh-CN" w:bidi="ar-SA"/>
    </w:rPr>
  </w:style>
  <w:style w:type="paragraph" w:customStyle="1" w:styleId="38">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39">
    <w:name w:val="批注主题 字符"/>
    <w:basedOn w:val="23"/>
    <w:link w:val="3"/>
    <w:semiHidden/>
    <w:qFormat/>
    <w:uiPriority w:val="99"/>
    <w:rPr>
      <w:b/>
      <w:bCs/>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5096</Words>
  <Characters>29050</Characters>
  <Lines>242</Lines>
  <Paragraphs>68</Paragraphs>
  <ScaleCrop>false</ScaleCrop>
  <LinksUpToDate>false</LinksUpToDate>
  <CharactersWithSpaces>34078</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2019-06-12T01:11:00Z</dcterms:created>
  <dc:creator>钟鸣</dc:creator>
  <cp:lastModifiedBy>贾思勰</cp:lastModifiedBy>
  <dcterms:modified xsi:type="dcterms:W3CDTF">2019-07-19T00:24:55Z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