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r>
        <w:rPr>
          <w:rFonts w:hint="eastAsia" w:ascii="黑体" w:hAnsi="黑体" w:eastAsia="黑体"/>
          <w:b/>
          <w:sz w:val="44"/>
          <w:szCs w:val="44"/>
        </w:rPr>
        <w:t>杭州萧山国际机场</w:t>
      </w:r>
      <w:r>
        <w:rPr>
          <w:rFonts w:eastAsia="黑体" w:cs="Calibri"/>
          <w:b/>
          <w:sz w:val="44"/>
          <w:szCs w:val="44"/>
          <w:u w:val="single"/>
        </w:rPr>
        <w:t>T</w:t>
      </w:r>
      <w:r>
        <w:rPr>
          <w:rFonts w:hint="eastAsia" w:eastAsia="黑体" w:cs="Calibri"/>
          <w:b/>
          <w:sz w:val="44"/>
          <w:szCs w:val="44"/>
          <w:u w:val="single"/>
        </w:rPr>
        <w:t>3航站楼隔离区内综合服务柜台</w:t>
      </w:r>
      <w:r>
        <w:rPr>
          <w:rFonts w:hint="eastAsia" w:eastAsia="黑体" w:cs="Calibri"/>
          <w:b/>
          <w:sz w:val="44"/>
          <w:szCs w:val="44"/>
        </w:rPr>
        <w:t>建设项目</w:t>
      </w: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sz w:val="84"/>
          <w:szCs w:val="84"/>
        </w:rPr>
      </w:pPr>
      <w:r>
        <w:rPr>
          <w:rFonts w:hint="eastAsia" w:ascii="黑体" w:hAnsi="黑体" w:eastAsia="黑体"/>
          <w:b/>
          <w:sz w:val="84"/>
          <w:szCs w:val="84"/>
        </w:rPr>
        <w:t>招 标 文 件</w:t>
      </w: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jc w:val="center"/>
        <w:textAlignment w:val="bottom"/>
        <w:rPr>
          <w:rFonts w:ascii="宋体" w:hAnsi="宋体"/>
          <w:b/>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snapToGrid w:val="0"/>
        <w:jc w:val="center"/>
        <w:rPr>
          <w:rFonts w:eastAsia="黑体" w:cs="Calibri"/>
          <w:sz w:val="32"/>
          <w:szCs w:val="32"/>
        </w:rPr>
      </w:pPr>
      <w:r>
        <w:rPr>
          <w:rFonts w:hint="eastAsia" w:eastAsia="黑体" w:cs="Calibri"/>
          <w:sz w:val="32"/>
          <w:szCs w:val="32"/>
        </w:rPr>
        <w:t>杭州萧山国际机场有限公司</w:t>
      </w:r>
    </w:p>
    <w:p>
      <w:pPr>
        <w:rPr>
          <w:rFonts w:eastAsia="黑体" w:cs="Calibri"/>
          <w:sz w:val="32"/>
          <w:szCs w:val="32"/>
        </w:rPr>
      </w:pPr>
    </w:p>
    <w:p>
      <w:pPr>
        <w:pStyle w:val="31"/>
        <w:spacing w:line="480" w:lineRule="auto"/>
        <w:jc w:val="center"/>
        <w:rPr>
          <w:rFonts w:ascii="Calibri" w:hAnsi="Calibri" w:eastAsia="楷体_GB2312" w:cs="Calibri"/>
          <w:sz w:val="24"/>
          <w:szCs w:val="24"/>
          <w:u w:val="single"/>
        </w:rPr>
      </w:pPr>
      <w:r>
        <w:rPr>
          <w:rFonts w:hint="eastAsia" w:ascii="Calibri" w:hAnsi="Calibri" w:eastAsia="黑体" w:cs="Calibri"/>
          <w:sz w:val="32"/>
          <w:szCs w:val="32"/>
        </w:rPr>
        <w:t>二</w:t>
      </w:r>
      <w:r>
        <w:rPr>
          <w:rFonts w:hint="eastAsia" w:ascii="黑体" w:hAnsi="黑体" w:eastAsia="黑体" w:cs="Calibri"/>
          <w:sz w:val="32"/>
          <w:szCs w:val="32"/>
        </w:rPr>
        <w:t>Ο</w:t>
      </w:r>
      <w:r>
        <w:rPr>
          <w:rFonts w:hint="eastAsia" w:ascii="Calibri" w:hAnsi="Calibri" w:eastAsia="黑体" w:cs="Calibri"/>
          <w:sz w:val="32"/>
          <w:szCs w:val="32"/>
        </w:rPr>
        <w:t>一九年</w:t>
      </w:r>
      <w:r>
        <w:rPr>
          <w:rFonts w:hint="eastAsia" w:ascii="Calibri" w:hAnsi="Calibri" w:eastAsia="黑体" w:cs="Calibri"/>
          <w:sz w:val="32"/>
          <w:szCs w:val="32"/>
          <w:u w:val="single"/>
        </w:rPr>
        <w:t>七</w:t>
      </w:r>
      <w:r>
        <w:rPr>
          <w:rFonts w:hint="eastAsia" w:ascii="Calibri" w:hAnsi="Calibri" w:eastAsia="黑体" w:cs="Calibri"/>
          <w:sz w:val="32"/>
          <w:szCs w:val="32"/>
        </w:rPr>
        <w:t>月</w:t>
      </w:r>
    </w:p>
    <w:p>
      <w:pPr>
        <w:spacing w:line="560" w:lineRule="exact"/>
        <w:jc w:val="center"/>
        <w:rPr>
          <w:b/>
          <w:bCs/>
          <w:sz w:val="44"/>
          <w:szCs w:val="44"/>
        </w:rPr>
      </w:pPr>
      <w:r>
        <w:rPr>
          <w:b/>
          <w:bCs/>
          <w:sz w:val="44"/>
          <w:szCs w:val="44"/>
        </w:rPr>
        <w:br w:type="page"/>
      </w:r>
      <w:r>
        <w:rPr>
          <w:rFonts w:hint="eastAsia"/>
          <w:b/>
          <w:bCs/>
          <w:sz w:val="44"/>
          <w:szCs w:val="44"/>
        </w:rPr>
        <w:t>目录</w:t>
      </w:r>
    </w:p>
    <w:p>
      <w:pPr>
        <w:spacing w:line="560" w:lineRule="exact"/>
        <w:jc w:val="center"/>
        <w:rPr>
          <w:b/>
          <w:bCs/>
          <w:sz w:val="44"/>
          <w:szCs w:val="44"/>
        </w:rPr>
      </w:pPr>
    </w:p>
    <w:p>
      <w:pPr>
        <w:spacing w:line="560" w:lineRule="exact"/>
        <w:jc w:val="center"/>
        <w:rPr>
          <w:b/>
          <w:sz w:val="44"/>
          <w:szCs w:val="44"/>
        </w:rPr>
      </w:pPr>
    </w:p>
    <w:p>
      <w:pPr>
        <w:pStyle w:val="39"/>
        <w:tabs>
          <w:tab w:val="right" w:leader="dot" w:pos="8290"/>
        </w:tabs>
        <w:spacing w:line="480" w:lineRule="auto"/>
        <w:rPr>
          <w:rFonts w:ascii="黑体" w:hAnsi="黑体" w:eastAsia="黑体"/>
          <w:sz w:val="22"/>
          <w:szCs w:val="22"/>
        </w:rPr>
      </w:pPr>
      <w:r>
        <w:rPr>
          <w:rFonts w:hint="eastAsia" w:ascii="黑体" w:hAnsi="黑体" w:eastAsia="黑体"/>
          <w:b/>
          <w:sz w:val="22"/>
          <w:szCs w:val="22"/>
        </w:rPr>
        <w:fldChar w:fldCharType="begin"/>
      </w:r>
      <w:r>
        <w:rPr>
          <w:rFonts w:hint="eastAsia" w:ascii="黑体" w:hAnsi="黑体" w:eastAsia="黑体"/>
          <w:b/>
          <w:sz w:val="22"/>
          <w:szCs w:val="22"/>
        </w:rPr>
        <w:instrText xml:space="preserve"> TOC \o "1-1" \h \z \u </w:instrText>
      </w:r>
      <w:r>
        <w:rPr>
          <w:rFonts w:hint="eastAsia" w:ascii="黑体" w:hAnsi="黑体" w:eastAsia="黑体"/>
          <w:b/>
          <w:sz w:val="22"/>
          <w:szCs w:val="22"/>
        </w:rPr>
        <w:fldChar w:fldCharType="separate"/>
      </w:r>
      <w:r>
        <w:rPr>
          <w:rFonts w:hint="eastAsia" w:ascii="黑体" w:hAnsi="黑体" w:eastAsia="黑体"/>
          <w:sz w:val="22"/>
          <w:szCs w:val="22"/>
        </w:rPr>
        <w:t>第一章  招标公告</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_Toc321925451 \h </w:instrText>
      </w:r>
      <w:r>
        <w:rPr>
          <w:rFonts w:hint="eastAsia" w:ascii="黑体" w:hAnsi="黑体" w:eastAsia="黑体"/>
          <w:sz w:val="22"/>
          <w:szCs w:val="22"/>
        </w:rPr>
        <w:fldChar w:fldCharType="separate"/>
      </w:r>
      <w:r>
        <w:rPr>
          <w:rFonts w:hint="eastAsia" w:ascii="黑体" w:hAnsi="黑体" w:eastAsia="黑体"/>
          <w:sz w:val="22"/>
          <w:szCs w:val="22"/>
        </w:rPr>
        <w:t>3</w:t>
      </w:r>
      <w:r>
        <w:rPr>
          <w:rFonts w:hint="eastAsia" w:ascii="黑体" w:hAnsi="黑体" w:eastAsia="黑体"/>
          <w:sz w:val="22"/>
          <w:szCs w:val="22"/>
        </w:rPr>
        <w:fldChar w:fldCharType="end"/>
      </w:r>
    </w:p>
    <w:p>
      <w:pPr>
        <w:pStyle w:val="39"/>
        <w:tabs>
          <w:tab w:val="right" w:leader="dot" w:pos="8290"/>
        </w:tabs>
        <w:spacing w:line="480" w:lineRule="auto"/>
        <w:rPr>
          <w:rFonts w:ascii="黑体" w:hAnsi="黑体" w:eastAsia="黑体"/>
          <w:sz w:val="22"/>
          <w:szCs w:val="22"/>
        </w:rPr>
      </w:pPr>
      <w:r>
        <w:rPr>
          <w:rFonts w:hint="eastAsia" w:ascii="黑体" w:hAnsi="黑体" w:eastAsia="黑体"/>
          <w:sz w:val="22"/>
          <w:szCs w:val="22"/>
        </w:rPr>
        <w:t>第二章  投标人须知</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_Toc321925452 \h </w:instrText>
      </w:r>
      <w:r>
        <w:rPr>
          <w:rFonts w:hint="eastAsia" w:ascii="黑体" w:hAnsi="黑体" w:eastAsia="黑体"/>
          <w:sz w:val="22"/>
          <w:szCs w:val="22"/>
        </w:rPr>
        <w:fldChar w:fldCharType="separate"/>
      </w:r>
      <w:r>
        <w:rPr>
          <w:rFonts w:hint="eastAsia" w:ascii="黑体" w:hAnsi="黑体" w:eastAsia="黑体"/>
          <w:sz w:val="22"/>
          <w:szCs w:val="22"/>
        </w:rPr>
        <w:t>5</w:t>
      </w:r>
      <w:r>
        <w:rPr>
          <w:rFonts w:hint="eastAsia" w:ascii="黑体" w:hAnsi="黑体" w:eastAsia="黑体"/>
          <w:sz w:val="22"/>
          <w:szCs w:val="22"/>
        </w:rPr>
        <w:fldChar w:fldCharType="end"/>
      </w:r>
    </w:p>
    <w:p>
      <w:pPr>
        <w:pStyle w:val="39"/>
        <w:tabs>
          <w:tab w:val="right" w:leader="dot" w:pos="8290"/>
        </w:tabs>
        <w:spacing w:line="480" w:lineRule="auto"/>
        <w:rPr>
          <w:rFonts w:ascii="黑体" w:hAnsi="黑体" w:eastAsia="黑体"/>
          <w:sz w:val="22"/>
          <w:szCs w:val="22"/>
        </w:rPr>
      </w:pPr>
      <w:r>
        <w:rPr>
          <w:rFonts w:hint="eastAsia" w:ascii="黑体" w:hAnsi="黑体" w:eastAsia="黑体"/>
          <w:sz w:val="22"/>
          <w:szCs w:val="22"/>
        </w:rPr>
        <w:t>第三章  评标办法</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_Toc321925453 \h </w:instrText>
      </w:r>
      <w:r>
        <w:rPr>
          <w:rFonts w:hint="eastAsia" w:ascii="黑体" w:hAnsi="黑体" w:eastAsia="黑体"/>
          <w:sz w:val="22"/>
          <w:szCs w:val="22"/>
        </w:rPr>
        <w:fldChar w:fldCharType="separate"/>
      </w:r>
      <w:r>
        <w:rPr>
          <w:rFonts w:hint="eastAsia" w:ascii="黑体" w:hAnsi="黑体" w:eastAsia="黑体"/>
          <w:sz w:val="22"/>
          <w:szCs w:val="22"/>
        </w:rPr>
        <w:t>14</w:t>
      </w:r>
      <w:r>
        <w:rPr>
          <w:rFonts w:hint="eastAsia" w:ascii="黑体" w:hAnsi="黑体" w:eastAsia="黑体"/>
          <w:sz w:val="22"/>
          <w:szCs w:val="22"/>
        </w:rPr>
        <w:fldChar w:fldCharType="end"/>
      </w:r>
    </w:p>
    <w:p>
      <w:pPr>
        <w:pStyle w:val="39"/>
        <w:tabs>
          <w:tab w:val="right" w:leader="dot" w:pos="8290"/>
        </w:tabs>
        <w:spacing w:line="480" w:lineRule="auto"/>
        <w:rPr>
          <w:rFonts w:ascii="黑体" w:hAnsi="黑体" w:eastAsia="黑体"/>
          <w:sz w:val="22"/>
          <w:szCs w:val="22"/>
        </w:rPr>
      </w:pPr>
      <w:r>
        <w:rPr>
          <w:rFonts w:hint="eastAsia" w:ascii="黑体" w:hAnsi="黑体" w:eastAsia="黑体"/>
          <w:sz w:val="22"/>
          <w:szCs w:val="22"/>
        </w:rPr>
        <w:t>第四章  合同条款及格式</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_Toc321925454 \h </w:instrText>
      </w:r>
      <w:r>
        <w:rPr>
          <w:rFonts w:hint="eastAsia" w:ascii="黑体" w:hAnsi="黑体" w:eastAsia="黑体"/>
          <w:sz w:val="22"/>
          <w:szCs w:val="22"/>
        </w:rPr>
        <w:fldChar w:fldCharType="separate"/>
      </w:r>
      <w:r>
        <w:rPr>
          <w:b/>
        </w:rPr>
        <w:t>错误！未定义书签。</w:t>
      </w:r>
      <w:r>
        <w:rPr>
          <w:rFonts w:hint="eastAsia" w:ascii="黑体" w:hAnsi="黑体" w:eastAsia="黑体"/>
          <w:sz w:val="22"/>
          <w:szCs w:val="22"/>
        </w:rPr>
        <w:fldChar w:fldCharType="end"/>
      </w:r>
    </w:p>
    <w:p>
      <w:pPr>
        <w:pStyle w:val="39"/>
        <w:tabs>
          <w:tab w:val="right" w:leader="dot" w:pos="8290"/>
        </w:tabs>
        <w:spacing w:line="480" w:lineRule="auto"/>
        <w:rPr>
          <w:rFonts w:ascii="黑体" w:hAnsi="黑体" w:eastAsia="黑体"/>
          <w:sz w:val="22"/>
          <w:szCs w:val="22"/>
        </w:rPr>
      </w:pPr>
      <w:r>
        <w:rPr>
          <w:rFonts w:hint="eastAsia" w:ascii="黑体" w:hAnsi="黑体" w:eastAsia="黑体" w:cs="Calibri"/>
          <w:kern w:val="0"/>
          <w:sz w:val="22"/>
          <w:szCs w:val="22"/>
        </w:rPr>
        <w:t>第五章  项目概况和要求</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_Toc321925456 \h </w:instrText>
      </w:r>
      <w:r>
        <w:rPr>
          <w:rFonts w:hint="eastAsia" w:ascii="黑体" w:hAnsi="黑体" w:eastAsia="黑体"/>
          <w:sz w:val="22"/>
          <w:szCs w:val="22"/>
        </w:rPr>
        <w:fldChar w:fldCharType="separate"/>
      </w:r>
      <w:r>
        <w:rPr>
          <w:rFonts w:hint="eastAsia" w:ascii="黑体" w:hAnsi="黑体" w:eastAsia="黑体"/>
          <w:sz w:val="22"/>
          <w:szCs w:val="22"/>
        </w:rPr>
        <w:t>24</w:t>
      </w:r>
      <w:r>
        <w:rPr>
          <w:rFonts w:hint="eastAsia" w:ascii="黑体" w:hAnsi="黑体" w:eastAsia="黑体"/>
          <w:sz w:val="22"/>
          <w:szCs w:val="22"/>
        </w:rPr>
        <w:fldChar w:fldCharType="end"/>
      </w:r>
    </w:p>
    <w:p>
      <w:pPr>
        <w:pStyle w:val="39"/>
        <w:tabs>
          <w:tab w:val="right" w:leader="dot" w:pos="8290"/>
        </w:tabs>
        <w:spacing w:line="480" w:lineRule="auto"/>
        <w:rPr>
          <w:rFonts w:ascii="黑体" w:hAnsi="黑体" w:eastAsia="黑体"/>
          <w:sz w:val="22"/>
          <w:szCs w:val="22"/>
        </w:rPr>
      </w:pPr>
      <w:r>
        <w:rPr>
          <w:rFonts w:hint="eastAsia" w:ascii="黑体" w:hAnsi="黑体" w:eastAsia="黑体"/>
          <w:sz w:val="22"/>
          <w:szCs w:val="22"/>
        </w:rPr>
        <w:t>第六章  投标文件格式</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_Toc321925457 \h </w:instrText>
      </w:r>
      <w:r>
        <w:rPr>
          <w:rFonts w:hint="eastAsia" w:ascii="黑体" w:hAnsi="黑体" w:eastAsia="黑体"/>
          <w:sz w:val="22"/>
          <w:szCs w:val="22"/>
        </w:rPr>
        <w:fldChar w:fldCharType="separate"/>
      </w:r>
      <w:r>
        <w:rPr>
          <w:rFonts w:hint="eastAsia" w:ascii="黑体" w:hAnsi="黑体" w:eastAsia="黑体"/>
          <w:sz w:val="22"/>
          <w:szCs w:val="22"/>
        </w:rPr>
        <w:t>27</w:t>
      </w:r>
      <w:r>
        <w:rPr>
          <w:rFonts w:hint="eastAsia" w:ascii="黑体" w:hAnsi="黑体" w:eastAsia="黑体"/>
          <w:sz w:val="22"/>
          <w:szCs w:val="22"/>
        </w:rPr>
        <w:fldChar w:fldCharType="end"/>
      </w:r>
    </w:p>
    <w:p>
      <w:pPr>
        <w:tabs>
          <w:tab w:val="right" w:leader="dot" w:pos="8364"/>
        </w:tabs>
        <w:spacing w:line="480" w:lineRule="auto"/>
        <w:rPr>
          <w:b/>
        </w:rPr>
      </w:pPr>
      <w:r>
        <w:rPr>
          <w:rFonts w:hint="eastAsia" w:ascii="黑体" w:hAnsi="黑体" w:eastAsia="黑体"/>
          <w:b/>
          <w:sz w:val="22"/>
        </w:rPr>
        <w:fldChar w:fldCharType="end"/>
      </w:r>
    </w:p>
    <w:p>
      <w:pPr>
        <w:widowControl/>
        <w:jc w:val="left"/>
        <w:rPr>
          <w:b/>
        </w:rPr>
        <w:sectPr>
          <w:pgSz w:w="11906" w:h="16838"/>
          <w:pgMar w:top="1440" w:right="1800" w:bottom="1440" w:left="1800" w:header="851" w:footer="992" w:gutter="0"/>
          <w:cols w:space="425" w:num="1"/>
          <w:docGrid w:type="lines" w:linePitch="312" w:charSpace="0"/>
        </w:sectPr>
      </w:pPr>
    </w:p>
    <w:p>
      <w:pPr>
        <w:pStyle w:val="51"/>
      </w:pPr>
      <w:bookmarkStart w:id="0" w:name="_Toc321925451"/>
      <w:r>
        <w:rPr>
          <w:rFonts w:hint="eastAsia"/>
        </w:rPr>
        <w:t>第一章招标公告</w:t>
      </w:r>
      <w:bookmarkEnd w:id="0"/>
    </w:p>
    <w:p>
      <w:pPr>
        <w:widowControl/>
        <w:snapToGrid w:val="0"/>
        <w:spacing w:line="360" w:lineRule="exact"/>
        <w:jc w:val="left"/>
        <w:rPr>
          <w:rFonts w:ascii="宋体" w:hAnsi="宋体" w:cs="Arial"/>
          <w:b/>
          <w:bCs/>
          <w:kern w:val="0"/>
          <w:sz w:val="22"/>
        </w:rPr>
      </w:pPr>
    </w:p>
    <w:p>
      <w:pPr>
        <w:widowControl/>
        <w:snapToGrid w:val="0"/>
        <w:spacing w:line="420" w:lineRule="exact"/>
        <w:jc w:val="left"/>
        <w:rPr>
          <w:rFonts w:ascii="宋体" w:hAnsi="宋体" w:cs="Arial"/>
          <w:kern w:val="0"/>
          <w:sz w:val="22"/>
        </w:rPr>
      </w:pPr>
      <w:bookmarkStart w:id="132" w:name="_GoBack"/>
      <w:r>
        <w:rPr>
          <w:rFonts w:hint="eastAsia" w:ascii="宋体" w:hAnsi="宋体" w:cs="Arial"/>
          <w:b/>
          <w:bCs/>
          <w:kern w:val="0"/>
          <w:sz w:val="22"/>
        </w:rPr>
        <w:t>一、招标内容</w:t>
      </w:r>
    </w:p>
    <w:p>
      <w:pPr>
        <w:spacing w:line="420" w:lineRule="exact"/>
        <w:ind w:firstLine="440" w:firstLineChars="200"/>
        <w:rPr>
          <w:rStyle w:val="153"/>
        </w:rPr>
      </w:pPr>
      <w:r>
        <w:rPr>
          <w:rStyle w:val="153"/>
          <w:rFonts w:hint="eastAsia" w:ascii="宋体" w:hAnsi="宋体" w:cs="宋体"/>
          <w:sz w:val="22"/>
        </w:rPr>
        <w:t>本项目为杭州萧山国际机场t3航站楼隔离区内综合服务柜台建设项目，主要内容为在项目需求基础上开展t3隔离区内问询柜台设计建造，包括设计方案、在新选址区域按要求建造综合服务柜台及配备柜内所有设施设备（详见附件），并负责柜台及设施设备后期维护等（含图纸会审纪要、设计变更、现场洽商、后续维保等）全部内容，具体招标技术规格及要求详见招标文件。</w:t>
      </w:r>
    </w:p>
    <w:p>
      <w:pPr>
        <w:widowControl/>
        <w:snapToGrid w:val="0"/>
        <w:spacing w:line="420" w:lineRule="exact"/>
        <w:jc w:val="left"/>
        <w:rPr>
          <w:rFonts w:cs="Arial"/>
          <w:b/>
          <w:bCs/>
          <w:kern w:val="0"/>
        </w:rPr>
      </w:pPr>
      <w:r>
        <w:rPr>
          <w:rFonts w:hint="eastAsia" w:ascii="宋体" w:hAnsi="宋体" w:cs="Arial"/>
          <w:b/>
          <w:bCs/>
          <w:kern w:val="0"/>
          <w:sz w:val="22"/>
        </w:rPr>
        <w:t>二、投标人资格要求 </w:t>
      </w:r>
    </w:p>
    <w:p>
      <w:pPr>
        <w:widowControl/>
        <w:adjustRightInd w:val="0"/>
        <w:snapToGrid w:val="0"/>
        <w:spacing w:line="420" w:lineRule="exact"/>
        <w:ind w:firstLine="440" w:firstLineChars="200"/>
        <w:rPr>
          <w:rStyle w:val="153"/>
          <w:rFonts w:cs="宋体"/>
        </w:rPr>
      </w:pPr>
      <w:bookmarkStart w:id="1" w:name="B18_投标供应商的资格要求"/>
      <w:r>
        <w:rPr>
          <w:rStyle w:val="153"/>
          <w:rFonts w:hint="eastAsia" w:ascii="宋体" w:hAnsi="宋体" w:cs="宋体"/>
          <w:sz w:val="22"/>
        </w:rPr>
        <w:t>2.1投标人须为在中华人民共和国境内注册，具有独立法人资格，能够独立承担民事责任的本国法人企业；</w:t>
      </w:r>
      <w:bookmarkEnd w:id="1"/>
      <w:r>
        <w:rPr>
          <w:rStyle w:val="153"/>
          <w:rFonts w:hint="eastAsia" w:ascii="宋体" w:hAnsi="宋体" w:cs="宋体"/>
          <w:sz w:val="22"/>
        </w:rPr>
        <w:t>经营情况良好，且具有足够资产及能力来有效地履行合同；具有为本项目提供本地化服务能力的施工企业可对上述招标项目进行投标。</w:t>
      </w:r>
    </w:p>
    <w:p>
      <w:pPr>
        <w:widowControl/>
        <w:adjustRightInd w:val="0"/>
        <w:snapToGrid w:val="0"/>
        <w:spacing w:line="420" w:lineRule="exact"/>
        <w:ind w:firstLine="440" w:firstLineChars="200"/>
        <w:rPr>
          <w:rStyle w:val="153"/>
          <w:rFonts w:ascii="宋体" w:hAnsi="宋体" w:cs="宋体"/>
          <w:sz w:val="22"/>
        </w:rPr>
      </w:pPr>
      <w:r>
        <w:rPr>
          <w:rStyle w:val="153"/>
          <w:rFonts w:hint="eastAsia" w:ascii="宋体" w:hAnsi="宋体" w:cs="宋体"/>
          <w:sz w:val="22"/>
        </w:rPr>
        <w:t>2.2本项目不允许联合体投标；</w:t>
      </w:r>
    </w:p>
    <w:p>
      <w:pPr>
        <w:widowControl/>
        <w:adjustRightInd w:val="0"/>
        <w:snapToGrid w:val="0"/>
        <w:spacing w:line="420" w:lineRule="exact"/>
        <w:ind w:firstLine="440" w:firstLineChars="200"/>
        <w:rPr>
          <w:rStyle w:val="153"/>
          <w:rFonts w:ascii="宋体" w:hAnsi="宋体" w:cs="宋体"/>
          <w:sz w:val="22"/>
        </w:rPr>
      </w:pPr>
      <w:r>
        <w:rPr>
          <w:rStyle w:val="153"/>
          <w:rFonts w:hint="eastAsia" w:ascii="宋体" w:hAnsi="宋体" w:cs="宋体"/>
          <w:sz w:val="22"/>
        </w:rPr>
        <w:t>2.3具有良好的商业信誉和健全的财务会计制度，近三年无违法或其他信誉不良的记录；</w:t>
      </w:r>
    </w:p>
    <w:p>
      <w:pPr>
        <w:widowControl/>
        <w:adjustRightInd w:val="0"/>
        <w:snapToGrid w:val="0"/>
        <w:spacing w:line="420" w:lineRule="exact"/>
        <w:ind w:firstLine="440" w:firstLineChars="200"/>
        <w:rPr>
          <w:rStyle w:val="153"/>
          <w:rFonts w:ascii="宋体" w:hAnsi="宋体" w:cs="宋体"/>
          <w:sz w:val="22"/>
        </w:rPr>
      </w:pPr>
      <w:r>
        <w:rPr>
          <w:rStyle w:val="153"/>
          <w:rFonts w:hint="eastAsia" w:ascii="宋体" w:hAnsi="宋体" w:cs="宋体"/>
          <w:sz w:val="22"/>
        </w:rPr>
        <w:t>2.4投标人具有一般纳税人资格，可提供税率为16%的增值税专用发票。（需提供增值税一般纳税人资格登记表复印件并加盖公章，原件备查）</w:t>
      </w:r>
    </w:p>
    <w:p>
      <w:pPr>
        <w:widowControl/>
        <w:adjustRightInd w:val="0"/>
        <w:snapToGrid w:val="0"/>
        <w:spacing w:line="420" w:lineRule="exact"/>
        <w:ind w:firstLine="440" w:firstLineChars="200"/>
        <w:rPr>
          <w:rStyle w:val="153"/>
          <w:rFonts w:ascii="宋体" w:hAnsi="宋体" w:cs="宋体"/>
          <w:sz w:val="22"/>
        </w:rPr>
      </w:pPr>
      <w:r>
        <w:rPr>
          <w:rStyle w:val="153"/>
          <w:rFonts w:hint="eastAsia" w:ascii="宋体" w:hAnsi="宋体" w:cs="宋体"/>
          <w:sz w:val="22"/>
        </w:rPr>
        <w:t>2.5投标单位自2014年1月1日起至投标截止之日前不得有行贿犯罪纪录（根据浙江省国资委、浙江省检察院、浙江省监察厅、浙江省审计厅以及杭州萧山国际机场有限公司联合下发浙国资委办[2008]6号文要求，经检察机关确认，有行贿犯罪纪录的单位，不能参加本项目的投标）；</w:t>
      </w:r>
    </w:p>
    <w:p>
      <w:pPr>
        <w:widowControl/>
        <w:adjustRightInd w:val="0"/>
        <w:snapToGrid w:val="0"/>
        <w:spacing w:line="420" w:lineRule="exact"/>
        <w:ind w:firstLine="440" w:firstLineChars="200"/>
        <w:rPr>
          <w:rStyle w:val="153"/>
          <w:rFonts w:ascii="宋体" w:hAnsi="宋体" w:cs="宋体"/>
          <w:sz w:val="22"/>
        </w:rPr>
      </w:pPr>
      <w:r>
        <w:rPr>
          <w:rStyle w:val="153"/>
          <w:rFonts w:hint="eastAsia" w:ascii="宋体" w:hAnsi="宋体" w:cs="宋体"/>
          <w:sz w:val="22"/>
        </w:rPr>
        <w:t>2.6在杭州萧山国际机场以往工程建设过程中存在违法或犯罪行为而致使机场员工受到刑罚制裁，不能参加此次项目的投标。</w:t>
      </w:r>
    </w:p>
    <w:p>
      <w:pPr>
        <w:widowControl/>
        <w:adjustRightInd w:val="0"/>
        <w:snapToGrid w:val="0"/>
        <w:spacing w:line="420" w:lineRule="exact"/>
        <w:ind w:firstLine="440" w:firstLineChars="200"/>
        <w:rPr>
          <w:rStyle w:val="153"/>
          <w:rFonts w:ascii="宋体" w:hAnsi="宋体" w:cs="宋体"/>
          <w:sz w:val="22"/>
        </w:rPr>
      </w:pPr>
      <w:r>
        <w:rPr>
          <w:rStyle w:val="153"/>
          <w:rFonts w:hint="eastAsia" w:ascii="宋体" w:hAnsi="宋体" w:cs="宋体"/>
          <w:sz w:val="22"/>
        </w:rPr>
        <w:t>三、招标文件获取</w:t>
      </w:r>
    </w:p>
    <w:p>
      <w:pPr>
        <w:widowControl/>
        <w:adjustRightInd w:val="0"/>
        <w:snapToGrid w:val="0"/>
        <w:spacing w:line="420" w:lineRule="exact"/>
        <w:ind w:firstLine="440" w:firstLineChars="200"/>
        <w:rPr>
          <w:rFonts w:cs="Arial"/>
          <w:kern w:val="0"/>
        </w:rPr>
      </w:pPr>
      <w:r>
        <w:rPr>
          <w:rFonts w:hint="eastAsia" w:ascii="宋体" w:hAnsi="宋体" w:cs="Arial"/>
          <w:kern w:val="0"/>
          <w:sz w:val="22"/>
        </w:rPr>
        <w:t>凡符合资格条件并有投标意向的潜在投标人，请通过杭州萧山机场有限公司主页</w:t>
      </w:r>
      <w:r>
        <w:fldChar w:fldCharType="begin"/>
      </w:r>
      <w:r>
        <w:instrText xml:space="preserve"> HYPERLINK "http://www.hzairport.com/zbxx.aspx" </w:instrText>
      </w:r>
      <w:r>
        <w:fldChar w:fldCharType="separate"/>
      </w:r>
      <w:r>
        <w:rPr>
          <w:rStyle w:val="54"/>
          <w:rFonts w:hint="eastAsia" w:ascii="宋体" w:hAnsi="宋体" w:cs="Arial"/>
          <w:kern w:val="0"/>
          <w:sz w:val="22"/>
        </w:rPr>
        <w:t>http://www.hzairport.com/zbxx.aspx</w:t>
      </w:r>
      <w:r>
        <w:rPr>
          <w:rStyle w:val="54"/>
          <w:rFonts w:hint="eastAsia" w:ascii="宋体" w:hAnsi="宋体" w:cs="Arial"/>
          <w:kern w:val="0"/>
          <w:sz w:val="22"/>
        </w:rPr>
        <w:fldChar w:fldCharType="end"/>
      </w:r>
      <w:r>
        <w:rPr>
          <w:rFonts w:hint="eastAsia" w:ascii="宋体" w:hAnsi="宋体" w:cs="Arial"/>
          <w:kern w:val="0"/>
          <w:sz w:val="22"/>
        </w:rPr>
        <w:t>自行下载招标文件。</w:t>
      </w:r>
    </w:p>
    <w:p>
      <w:pPr>
        <w:widowControl/>
        <w:snapToGrid w:val="0"/>
        <w:spacing w:line="420" w:lineRule="exact"/>
        <w:jc w:val="left"/>
        <w:rPr>
          <w:rFonts w:ascii="宋体" w:hAnsi="宋体" w:cs="Arial"/>
          <w:b/>
          <w:bCs/>
          <w:kern w:val="0"/>
          <w:sz w:val="22"/>
        </w:rPr>
      </w:pPr>
      <w:r>
        <w:rPr>
          <w:rFonts w:hint="eastAsia" w:ascii="宋体" w:hAnsi="宋体" w:cs="Arial"/>
          <w:b/>
          <w:bCs/>
          <w:kern w:val="0"/>
          <w:sz w:val="22"/>
        </w:rPr>
        <w:t>四、投标文件的递交</w:t>
      </w:r>
    </w:p>
    <w:p>
      <w:pPr>
        <w:widowControl/>
        <w:adjustRightInd w:val="0"/>
        <w:snapToGrid w:val="0"/>
        <w:spacing w:line="420" w:lineRule="exact"/>
        <w:ind w:firstLine="420" w:firstLineChars="200"/>
        <w:rPr>
          <w:rStyle w:val="153"/>
          <w:rFonts w:cs="宋体"/>
        </w:rPr>
      </w:pPr>
      <w:r>
        <w:rPr>
          <w:rStyle w:val="153"/>
          <w:rFonts w:hint="eastAsia" w:cs="宋体"/>
        </w:rPr>
        <w:t>（</w:t>
      </w:r>
      <w:r>
        <w:rPr>
          <w:rStyle w:val="153"/>
          <w:rFonts w:cs="宋体"/>
        </w:rPr>
        <w:t>1</w:t>
      </w:r>
      <w:r>
        <w:rPr>
          <w:rStyle w:val="153"/>
          <w:rFonts w:hint="eastAsia" w:cs="宋体"/>
        </w:rPr>
        <w:t>）投标文件递交截止时间：2019年8月12日上午9时00分（北京时间）。投标文件在封口处加盖公章，并派专人于2019年8月12日上午9时00分（北京时间）前送至杭州萧山国际机场T3航站楼到达层失物招领柜台，逾期无效；若采用投递方式的，请于2019年8月12日上午9时00分（北京时间）前投递至杭州萧山国际机场T3航站楼到达层失物招领柜台，逾期无效。</w:t>
      </w:r>
    </w:p>
    <w:p>
      <w:pPr>
        <w:widowControl/>
        <w:adjustRightInd w:val="0"/>
        <w:snapToGrid w:val="0"/>
        <w:spacing w:line="420" w:lineRule="exact"/>
        <w:ind w:firstLine="420" w:firstLineChars="200"/>
        <w:rPr>
          <w:rStyle w:val="153"/>
          <w:rFonts w:cs="宋体"/>
        </w:rPr>
      </w:pPr>
      <w:r>
        <w:rPr>
          <w:rStyle w:val="153"/>
          <w:rFonts w:hint="eastAsia" w:cs="宋体"/>
        </w:rPr>
        <w:t>（</w:t>
      </w:r>
      <w:r>
        <w:rPr>
          <w:rStyle w:val="153"/>
          <w:rFonts w:cs="宋体"/>
        </w:rPr>
        <w:t>2</w:t>
      </w:r>
      <w:r>
        <w:rPr>
          <w:rStyle w:val="153"/>
          <w:rFonts w:hint="eastAsia" w:cs="宋体"/>
        </w:rPr>
        <w:t>）逾期送达或者未送达指定地点的投标文件，招标人不予受理。</w:t>
      </w:r>
    </w:p>
    <w:p>
      <w:pPr>
        <w:widowControl/>
        <w:snapToGrid w:val="0"/>
        <w:spacing w:line="420" w:lineRule="exact"/>
        <w:jc w:val="left"/>
        <w:rPr>
          <w:rFonts w:ascii="宋体" w:hAnsi="宋体" w:cs="Arial"/>
          <w:b/>
          <w:bCs/>
          <w:kern w:val="0"/>
          <w:sz w:val="22"/>
        </w:rPr>
      </w:pPr>
      <w:r>
        <w:rPr>
          <w:rFonts w:hint="eastAsia" w:ascii="宋体" w:hAnsi="宋体" w:cs="Arial"/>
          <w:b/>
          <w:bCs/>
          <w:kern w:val="0"/>
          <w:sz w:val="22"/>
        </w:rPr>
        <w:t>五、发布公告的媒介</w:t>
      </w:r>
    </w:p>
    <w:p>
      <w:pPr>
        <w:widowControl/>
        <w:adjustRightInd w:val="0"/>
        <w:snapToGrid w:val="0"/>
        <w:spacing w:line="420" w:lineRule="exact"/>
        <w:ind w:firstLine="440" w:firstLineChars="200"/>
        <w:rPr>
          <w:rFonts w:ascii="宋体" w:hAnsi="宋体" w:cs="Arial"/>
          <w:kern w:val="0"/>
          <w:sz w:val="22"/>
        </w:rPr>
      </w:pPr>
      <w:r>
        <w:rPr>
          <w:rFonts w:hint="eastAsia" w:ascii="宋体" w:hAnsi="宋体" w:cs="Arial"/>
          <w:kern w:val="0"/>
          <w:sz w:val="22"/>
        </w:rPr>
        <w:t>本次招标公告在</w:t>
      </w:r>
      <w:r>
        <w:rPr>
          <w:rFonts w:hint="eastAsia" w:ascii="宋体" w:hAnsi="宋体" w:cs="Arial"/>
          <w:b/>
          <w:kern w:val="0"/>
          <w:sz w:val="22"/>
        </w:rPr>
        <w:t>中国采购与招标网和杭州萧山机场有限公司</w:t>
      </w:r>
      <w:r>
        <w:rPr>
          <w:rFonts w:hint="eastAsia" w:ascii="宋体" w:hAnsi="宋体" w:cs="Arial"/>
          <w:kern w:val="0"/>
          <w:sz w:val="22"/>
        </w:rPr>
        <w:t>主页上发布</w:t>
      </w:r>
    </w:p>
    <w:p>
      <w:pPr>
        <w:widowControl/>
        <w:adjustRightInd w:val="0"/>
        <w:snapToGrid w:val="0"/>
        <w:spacing w:line="420" w:lineRule="exact"/>
        <w:ind w:firstLine="440" w:firstLineChars="200"/>
        <w:rPr>
          <w:rFonts w:ascii="宋体" w:hAnsi="宋体" w:cs="Arial"/>
          <w:kern w:val="0"/>
          <w:sz w:val="22"/>
        </w:rPr>
      </w:pPr>
      <w:r>
        <w:rPr>
          <w:rFonts w:hint="eastAsia" w:ascii="宋体" w:hAnsi="宋体"/>
          <w:sz w:val="22"/>
        </w:rPr>
        <w:t>中国采购与招标网</w:t>
      </w:r>
      <w:r>
        <w:fldChar w:fldCharType="begin"/>
      </w:r>
      <w:r>
        <w:instrText xml:space="preserve"> HYPERLINK "http://www.chinabidding.com.cn" </w:instrText>
      </w:r>
      <w:r>
        <w:fldChar w:fldCharType="separate"/>
      </w:r>
      <w:r>
        <w:rPr>
          <w:rStyle w:val="54"/>
          <w:rFonts w:hint="eastAsia" w:ascii="宋体" w:hAnsi="宋体"/>
          <w:sz w:val="22"/>
        </w:rPr>
        <w:t>http://www.chinabidding.com.cn</w:t>
      </w:r>
      <w:r>
        <w:rPr>
          <w:rStyle w:val="54"/>
          <w:rFonts w:hint="eastAsia" w:ascii="宋体" w:hAnsi="宋体"/>
          <w:sz w:val="22"/>
        </w:rPr>
        <w:fldChar w:fldCharType="end"/>
      </w:r>
    </w:p>
    <w:p>
      <w:pPr>
        <w:widowControl/>
        <w:adjustRightInd w:val="0"/>
        <w:snapToGrid w:val="0"/>
        <w:spacing w:line="420" w:lineRule="exact"/>
        <w:ind w:firstLine="440" w:firstLineChars="200"/>
        <w:rPr>
          <w:rFonts w:ascii="宋体" w:hAnsi="宋体" w:cs="Arial"/>
          <w:kern w:val="0"/>
          <w:sz w:val="22"/>
        </w:rPr>
      </w:pPr>
      <w:r>
        <w:rPr>
          <w:rFonts w:hint="eastAsia" w:ascii="宋体" w:hAnsi="宋体" w:cs="Arial"/>
          <w:kern w:val="0"/>
          <w:sz w:val="22"/>
        </w:rPr>
        <w:t>杭州萧山机场有限公司主页http://www.hzairport.com</w:t>
      </w:r>
    </w:p>
    <w:p>
      <w:pPr>
        <w:widowControl/>
        <w:snapToGrid w:val="0"/>
        <w:spacing w:line="420" w:lineRule="exact"/>
        <w:jc w:val="left"/>
        <w:rPr>
          <w:rFonts w:ascii="宋体" w:hAnsi="宋体" w:cs="Arial"/>
          <w:b/>
          <w:bCs/>
          <w:kern w:val="0"/>
          <w:sz w:val="22"/>
        </w:rPr>
      </w:pPr>
      <w:r>
        <w:rPr>
          <w:rFonts w:hint="eastAsia" w:ascii="宋体" w:hAnsi="宋体" w:cs="Arial"/>
          <w:b/>
          <w:bCs/>
          <w:kern w:val="0"/>
          <w:sz w:val="22"/>
        </w:rPr>
        <w:t>六、联系方式</w:t>
      </w:r>
    </w:p>
    <w:p>
      <w:pPr>
        <w:widowControl/>
        <w:adjustRightInd w:val="0"/>
        <w:snapToGrid w:val="0"/>
        <w:spacing w:line="420" w:lineRule="exact"/>
        <w:ind w:firstLine="440" w:firstLineChars="200"/>
        <w:rPr>
          <w:rFonts w:ascii="宋体" w:hAnsi="宋体"/>
          <w:sz w:val="22"/>
        </w:rPr>
      </w:pPr>
      <w:r>
        <w:rPr>
          <w:rFonts w:hint="eastAsia" w:ascii="宋体" w:hAnsi="宋体"/>
          <w:sz w:val="22"/>
        </w:rPr>
        <w:t xml:space="preserve">投标联系人：林雨阳 联系电话：0571-86662560  </w:t>
      </w:r>
    </w:p>
    <w:bookmarkEnd w:id="132"/>
    <w:p>
      <w:pPr>
        <w:widowControl/>
        <w:jc w:val="left"/>
        <w:rPr>
          <w:rFonts w:ascii="Cambria" w:hAnsi="Cambria" w:eastAsia="黑体" w:cs="Times New Roman"/>
          <w:b/>
          <w:bCs/>
          <w:kern w:val="0"/>
          <w:sz w:val="32"/>
          <w:szCs w:val="32"/>
        </w:rPr>
      </w:pPr>
      <w:bookmarkStart w:id="2" w:name="_Toc321925452"/>
      <w:r>
        <w:br w:type="page"/>
      </w:r>
    </w:p>
    <w:p>
      <w:pPr>
        <w:pStyle w:val="51"/>
      </w:pPr>
      <w:r>
        <w:rPr>
          <w:rFonts w:hint="eastAsia"/>
        </w:rPr>
        <w:t>第二章投标人须知</w:t>
      </w:r>
      <w:bookmarkEnd w:id="2"/>
    </w:p>
    <w:p>
      <w:pPr>
        <w:pStyle w:val="34"/>
        <w:spacing w:line="240" w:lineRule="auto"/>
        <w:jc w:val="center"/>
        <w:rPr>
          <w:b/>
          <w:sz w:val="28"/>
          <w:szCs w:val="28"/>
        </w:rPr>
      </w:pPr>
      <w:r>
        <w:rPr>
          <w:rFonts w:hint="eastAsia"/>
          <w:b/>
          <w:sz w:val="28"/>
          <w:szCs w:val="28"/>
        </w:rPr>
        <w:t>投标人须知前附表</w:t>
      </w:r>
    </w:p>
    <w:tbl>
      <w:tblPr>
        <w:tblStyle w:val="56"/>
        <w:tblW w:w="944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951" w:type="dxa"/>
            <w:tcBorders>
              <w:top w:val="single" w:color="auto" w:sz="12" w:space="0"/>
              <w:left w:val="single" w:color="auto" w:sz="12" w:space="0"/>
              <w:bottom w:val="single" w:color="auto" w:sz="4" w:space="0"/>
              <w:right w:val="single" w:color="auto" w:sz="4" w:space="0"/>
            </w:tcBorders>
            <w:vAlign w:val="center"/>
          </w:tcPr>
          <w:p>
            <w:pPr>
              <w:autoSpaceDE w:val="0"/>
              <w:autoSpaceDN w:val="0"/>
              <w:adjustRightInd w:val="0"/>
              <w:snapToGrid w:val="0"/>
              <w:jc w:val="center"/>
              <w:rPr>
                <w:rFonts w:cs="Arial"/>
                <w:kern w:val="0"/>
                <w:sz w:val="22"/>
              </w:rPr>
            </w:pPr>
            <w:bookmarkStart w:id="3" w:name="_Toc26216"/>
            <w:r>
              <w:rPr>
                <w:rFonts w:hint="eastAsia" w:cs="Arial"/>
                <w:kern w:val="0"/>
                <w:sz w:val="22"/>
              </w:rPr>
              <w:t>条款号</w:t>
            </w:r>
          </w:p>
        </w:tc>
        <w:tc>
          <w:tcPr>
            <w:tcW w:w="2004" w:type="dxa"/>
            <w:tcBorders>
              <w:top w:val="single" w:color="auto" w:sz="12"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cs="Arial"/>
                <w:kern w:val="0"/>
                <w:sz w:val="22"/>
              </w:rPr>
            </w:pPr>
            <w:r>
              <w:rPr>
                <w:rFonts w:hint="eastAsia" w:cs="Arial"/>
                <w:kern w:val="0"/>
                <w:sz w:val="22"/>
              </w:rPr>
              <w:t>条款名称</w:t>
            </w:r>
          </w:p>
        </w:tc>
        <w:tc>
          <w:tcPr>
            <w:tcW w:w="6487" w:type="dxa"/>
            <w:tcBorders>
              <w:top w:val="single" w:color="auto" w:sz="12" w:space="0"/>
              <w:left w:val="single" w:color="auto" w:sz="4" w:space="0"/>
              <w:bottom w:val="single" w:color="auto" w:sz="4" w:space="0"/>
              <w:right w:val="single" w:color="auto" w:sz="12" w:space="0"/>
            </w:tcBorders>
            <w:vAlign w:val="center"/>
          </w:tcPr>
          <w:p>
            <w:pPr>
              <w:autoSpaceDE w:val="0"/>
              <w:autoSpaceDN w:val="0"/>
              <w:adjustRightInd w:val="0"/>
              <w:snapToGrid w:val="0"/>
              <w:jc w:val="center"/>
              <w:rPr>
                <w:rFonts w:cs="Arial"/>
                <w:kern w:val="0"/>
                <w:sz w:val="22"/>
              </w:rPr>
            </w:pPr>
            <w:r>
              <w:rPr>
                <w:rFonts w:hint="eastAsia" w:cs="Arial"/>
                <w:kern w:val="0"/>
                <w:sz w:val="22"/>
              </w:rPr>
              <w:t>编列内容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napToGrid w:val="0"/>
              <w:jc w:val="center"/>
              <w:rPr>
                <w:rFonts w:cs="Arial"/>
                <w:kern w:val="0"/>
                <w:sz w:val="22"/>
              </w:rPr>
            </w:pPr>
            <w:r>
              <w:rPr>
                <w:rFonts w:cs="Arial"/>
                <w:kern w:val="0"/>
                <w:sz w:val="22"/>
              </w:rPr>
              <w:t>1.1.1</w:t>
            </w:r>
          </w:p>
        </w:tc>
        <w:tc>
          <w:tcPr>
            <w:tcW w:w="200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cs="Arial"/>
                <w:kern w:val="0"/>
                <w:sz w:val="22"/>
              </w:rPr>
            </w:pPr>
            <w:r>
              <w:rPr>
                <w:rFonts w:hint="eastAsia" w:cs="Arial"/>
                <w:kern w:val="0"/>
                <w:sz w:val="22"/>
              </w:rPr>
              <w:t>项目名称</w:t>
            </w:r>
          </w:p>
        </w:tc>
        <w:tc>
          <w:tcPr>
            <w:tcW w:w="6487" w:type="dxa"/>
            <w:tcBorders>
              <w:top w:val="single" w:color="auto" w:sz="4" w:space="0"/>
              <w:left w:val="single" w:color="auto" w:sz="4" w:space="0"/>
              <w:bottom w:val="single" w:color="auto" w:sz="4" w:space="0"/>
              <w:right w:val="single" w:color="auto" w:sz="12" w:space="0"/>
            </w:tcBorders>
            <w:vAlign w:val="center"/>
          </w:tcPr>
          <w:p>
            <w:pPr>
              <w:textAlignment w:val="center"/>
              <w:rPr>
                <w:rFonts w:cs="Arial"/>
                <w:kern w:val="0"/>
                <w:sz w:val="22"/>
              </w:rPr>
            </w:pPr>
            <w:r>
              <w:rPr>
                <w:rFonts w:hint="eastAsia" w:cs="Arial"/>
                <w:kern w:val="0"/>
                <w:sz w:val="22"/>
              </w:rPr>
              <w:t>杭州萧山国际机场</w:t>
            </w:r>
            <w:r>
              <w:rPr>
                <w:rFonts w:cs="Arial"/>
                <w:kern w:val="0"/>
                <w:sz w:val="22"/>
              </w:rPr>
              <w:t>T3航站楼隔离区内综合服务柜台建设项目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napToGrid w:val="0"/>
              <w:jc w:val="center"/>
              <w:rPr>
                <w:rFonts w:cs="Arial"/>
                <w:kern w:val="0"/>
                <w:sz w:val="22"/>
              </w:rPr>
            </w:pPr>
            <w:r>
              <w:rPr>
                <w:rFonts w:cs="Arial"/>
                <w:kern w:val="0"/>
                <w:sz w:val="22"/>
              </w:rPr>
              <w:t>1.1.2</w:t>
            </w:r>
          </w:p>
        </w:tc>
        <w:tc>
          <w:tcPr>
            <w:tcW w:w="200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cs="Arial"/>
                <w:kern w:val="0"/>
                <w:sz w:val="22"/>
              </w:rPr>
            </w:pPr>
            <w:r>
              <w:rPr>
                <w:rFonts w:hint="eastAsia" w:cs="Arial"/>
                <w:kern w:val="0"/>
                <w:sz w:val="22"/>
              </w:rPr>
              <w:t>建设地点</w:t>
            </w:r>
          </w:p>
        </w:tc>
        <w:tc>
          <w:tcPr>
            <w:tcW w:w="6487" w:type="dxa"/>
            <w:tcBorders>
              <w:top w:val="single" w:color="auto" w:sz="4" w:space="0"/>
              <w:left w:val="single" w:color="auto" w:sz="4" w:space="0"/>
              <w:bottom w:val="single" w:color="auto" w:sz="4" w:space="0"/>
              <w:right w:val="single" w:color="auto" w:sz="12" w:space="0"/>
            </w:tcBorders>
            <w:vAlign w:val="center"/>
          </w:tcPr>
          <w:p>
            <w:pPr>
              <w:textAlignment w:val="center"/>
              <w:rPr>
                <w:rFonts w:cs="Arial"/>
                <w:kern w:val="0"/>
                <w:sz w:val="22"/>
              </w:rPr>
            </w:pPr>
            <w:r>
              <w:rPr>
                <w:rFonts w:hint="eastAsia" w:cs="Arial"/>
                <w:kern w:val="0"/>
                <w:sz w:val="22"/>
              </w:rPr>
              <w:t>杭州萧山国际机场</w:t>
            </w:r>
            <w:r>
              <w:rPr>
                <w:rFonts w:cs="Arial"/>
                <w:kern w:val="0"/>
                <w:sz w:val="22"/>
              </w:rPr>
              <w:t>T</w:t>
            </w:r>
            <w:r>
              <w:rPr>
                <w:rFonts w:hint="eastAsia" w:cs="Arial"/>
                <w:kern w:val="0"/>
                <w:sz w:val="22"/>
              </w:rPr>
              <w:t>3航站楼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napToGrid w:val="0"/>
              <w:jc w:val="center"/>
              <w:rPr>
                <w:rFonts w:cs="Arial"/>
                <w:kern w:val="0"/>
                <w:sz w:val="22"/>
              </w:rPr>
            </w:pPr>
            <w:r>
              <w:rPr>
                <w:rFonts w:cs="Arial"/>
                <w:kern w:val="0"/>
                <w:sz w:val="22"/>
              </w:rPr>
              <w:t>1.2</w:t>
            </w:r>
          </w:p>
        </w:tc>
        <w:tc>
          <w:tcPr>
            <w:tcW w:w="2004" w:type="dxa"/>
            <w:tcBorders>
              <w:top w:val="single" w:color="auto" w:sz="4" w:space="0"/>
              <w:left w:val="single" w:color="auto" w:sz="4" w:space="0"/>
              <w:bottom w:val="single" w:color="auto" w:sz="4" w:space="0"/>
              <w:right w:val="single" w:color="auto" w:sz="4" w:space="0"/>
            </w:tcBorders>
            <w:vAlign w:val="center"/>
          </w:tcPr>
          <w:p>
            <w:pPr>
              <w:jc w:val="center"/>
              <w:rPr>
                <w:rFonts w:cs="Arial"/>
                <w:kern w:val="0"/>
              </w:rPr>
            </w:pPr>
            <w:r>
              <w:rPr>
                <w:rFonts w:hint="eastAsia" w:cs="Arial"/>
                <w:kern w:val="0"/>
              </w:rPr>
              <w:t>资金来源</w:t>
            </w:r>
          </w:p>
        </w:tc>
        <w:tc>
          <w:tcPr>
            <w:tcW w:w="6487" w:type="dxa"/>
            <w:tcBorders>
              <w:top w:val="single" w:color="auto" w:sz="4" w:space="0"/>
              <w:left w:val="single" w:color="auto" w:sz="4" w:space="0"/>
              <w:bottom w:val="single" w:color="auto" w:sz="4" w:space="0"/>
              <w:right w:val="single" w:color="auto" w:sz="12" w:space="0"/>
            </w:tcBorders>
            <w:vAlign w:val="center"/>
          </w:tcPr>
          <w:p>
            <w:pPr>
              <w:textAlignment w:val="center"/>
              <w:rPr>
                <w:rFonts w:cs="Arial"/>
                <w:kern w:val="0"/>
              </w:rPr>
            </w:pPr>
            <w:r>
              <w:rPr>
                <w:rFonts w:hint="eastAsia" w:cs="Arial"/>
                <w:kern w:val="0"/>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napToGrid w:val="0"/>
              <w:jc w:val="center"/>
              <w:rPr>
                <w:rFonts w:cs="Arial"/>
                <w:kern w:val="0"/>
                <w:sz w:val="22"/>
              </w:rPr>
            </w:pPr>
            <w:r>
              <w:rPr>
                <w:rFonts w:cs="Arial"/>
                <w:kern w:val="0"/>
                <w:sz w:val="22"/>
              </w:rPr>
              <w:t>1.3</w:t>
            </w:r>
          </w:p>
        </w:tc>
        <w:tc>
          <w:tcPr>
            <w:tcW w:w="200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cs="Arial"/>
                <w:kern w:val="0"/>
                <w:sz w:val="22"/>
              </w:rPr>
            </w:pPr>
            <w:r>
              <w:rPr>
                <w:rFonts w:hint="eastAsia" w:cs="Arial"/>
                <w:kern w:val="0"/>
                <w:sz w:val="22"/>
              </w:rPr>
              <w:t>招标内容</w:t>
            </w:r>
          </w:p>
        </w:tc>
        <w:tc>
          <w:tcPr>
            <w:tcW w:w="6487"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napToGrid w:val="0"/>
              <w:rPr>
                <w:rFonts w:cs="Arial"/>
                <w:kern w:val="0"/>
                <w:sz w:val="22"/>
              </w:rPr>
            </w:pPr>
            <w:r>
              <w:rPr>
                <w:rFonts w:hint="eastAsia" w:cs="Arial"/>
                <w:kern w:val="0"/>
                <w:sz w:val="22"/>
              </w:rPr>
              <w:t>详见招标公告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napToGrid w:val="0"/>
              <w:jc w:val="center"/>
              <w:rPr>
                <w:rFonts w:cs="Arial"/>
                <w:kern w:val="0"/>
                <w:sz w:val="22"/>
              </w:rPr>
            </w:pPr>
            <w:r>
              <w:rPr>
                <w:rFonts w:cs="Arial"/>
                <w:kern w:val="0"/>
                <w:sz w:val="22"/>
              </w:rPr>
              <w:t>1.4</w:t>
            </w:r>
          </w:p>
        </w:tc>
        <w:tc>
          <w:tcPr>
            <w:tcW w:w="200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cs="Arial"/>
                <w:kern w:val="0"/>
                <w:sz w:val="22"/>
              </w:rPr>
            </w:pPr>
            <w:r>
              <w:rPr>
                <w:rFonts w:hint="eastAsia" w:cs="Arial"/>
                <w:kern w:val="0"/>
                <w:sz w:val="22"/>
              </w:rPr>
              <w:t>招标方式</w:t>
            </w:r>
          </w:p>
        </w:tc>
        <w:tc>
          <w:tcPr>
            <w:tcW w:w="6487"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napToGrid w:val="0"/>
              <w:rPr>
                <w:rFonts w:cs="Arial"/>
                <w:kern w:val="0"/>
                <w:sz w:val="22"/>
              </w:rPr>
            </w:pPr>
            <w:r>
              <w:rPr>
                <w:rFonts w:hint="eastAsia" w:cs="Arial"/>
                <w:kern w:val="0"/>
                <w:sz w:val="22"/>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napToGrid w:val="0"/>
              <w:jc w:val="center"/>
              <w:rPr>
                <w:rFonts w:cs="Arial"/>
                <w:kern w:val="0"/>
                <w:sz w:val="22"/>
              </w:rPr>
            </w:pPr>
            <w:r>
              <w:rPr>
                <w:rFonts w:cs="Arial"/>
                <w:kern w:val="0"/>
                <w:sz w:val="22"/>
              </w:rPr>
              <w:t>1.5</w:t>
            </w:r>
          </w:p>
        </w:tc>
        <w:tc>
          <w:tcPr>
            <w:tcW w:w="200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cs="Arial"/>
                <w:kern w:val="0"/>
                <w:sz w:val="22"/>
              </w:rPr>
            </w:pPr>
            <w:r>
              <w:rPr>
                <w:rFonts w:hint="eastAsia" w:cs="Arial"/>
                <w:kern w:val="0"/>
                <w:sz w:val="22"/>
              </w:rPr>
              <w:t>资格审查</w:t>
            </w:r>
          </w:p>
        </w:tc>
        <w:tc>
          <w:tcPr>
            <w:tcW w:w="6487"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napToGrid w:val="0"/>
              <w:rPr>
                <w:rFonts w:cs="Arial"/>
                <w:kern w:val="0"/>
                <w:sz w:val="22"/>
              </w:rPr>
            </w:pPr>
            <w:r>
              <w:rPr>
                <w:rFonts w:hint="eastAsia" w:cs="Arial"/>
                <w:kern w:val="0"/>
                <w:sz w:val="22"/>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napToGrid w:val="0"/>
              <w:jc w:val="center"/>
              <w:rPr>
                <w:rFonts w:cs="Arial"/>
                <w:kern w:val="0"/>
                <w:sz w:val="22"/>
              </w:rPr>
            </w:pPr>
            <w:r>
              <w:rPr>
                <w:rFonts w:cs="Arial"/>
                <w:kern w:val="0"/>
                <w:sz w:val="22"/>
              </w:rPr>
              <w:t>1.6</w:t>
            </w:r>
          </w:p>
        </w:tc>
        <w:tc>
          <w:tcPr>
            <w:tcW w:w="200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cs="Arial"/>
                <w:kern w:val="0"/>
                <w:sz w:val="22"/>
              </w:rPr>
            </w:pPr>
            <w:r>
              <w:rPr>
                <w:rFonts w:hint="eastAsia" w:cs="Arial"/>
                <w:kern w:val="0"/>
                <w:sz w:val="22"/>
              </w:rPr>
              <w:t>投标人资质条件、能力和信誉</w:t>
            </w:r>
          </w:p>
        </w:tc>
        <w:tc>
          <w:tcPr>
            <w:tcW w:w="6487"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napToGrid w:val="0"/>
              <w:rPr>
                <w:rFonts w:cs="Arial"/>
                <w:kern w:val="0"/>
                <w:sz w:val="22"/>
              </w:rPr>
            </w:pPr>
            <w:r>
              <w:rPr>
                <w:rFonts w:hint="eastAsia" w:cs="Arial"/>
                <w:kern w:val="0"/>
                <w:sz w:val="22"/>
              </w:rPr>
              <w:t>详见招标公告“投标人资格要求”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napToGrid w:val="0"/>
              <w:jc w:val="center"/>
              <w:rPr>
                <w:rFonts w:cs="Arial"/>
                <w:kern w:val="0"/>
                <w:sz w:val="22"/>
              </w:rPr>
            </w:pPr>
            <w:r>
              <w:rPr>
                <w:rFonts w:cs="Arial"/>
                <w:kern w:val="0"/>
                <w:sz w:val="22"/>
              </w:rPr>
              <w:t>1.7</w:t>
            </w:r>
          </w:p>
        </w:tc>
        <w:tc>
          <w:tcPr>
            <w:tcW w:w="200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cs="Arial"/>
                <w:kern w:val="0"/>
                <w:sz w:val="22"/>
              </w:rPr>
            </w:pPr>
            <w:r>
              <w:rPr>
                <w:rFonts w:hint="eastAsia" w:cs="Arial"/>
                <w:kern w:val="0"/>
                <w:sz w:val="22"/>
              </w:rPr>
              <w:t>工期要求</w:t>
            </w:r>
          </w:p>
        </w:tc>
        <w:tc>
          <w:tcPr>
            <w:tcW w:w="6487" w:type="dxa"/>
            <w:tcBorders>
              <w:top w:val="single" w:color="auto" w:sz="4" w:space="0"/>
              <w:left w:val="single" w:color="auto" w:sz="4" w:space="0"/>
              <w:bottom w:val="single" w:color="auto" w:sz="4" w:space="0"/>
              <w:right w:val="single" w:color="auto" w:sz="12" w:space="0"/>
            </w:tcBorders>
            <w:vAlign w:val="center"/>
          </w:tcPr>
          <w:p>
            <w:pPr>
              <w:spacing w:line="360" w:lineRule="exact"/>
              <w:rPr>
                <w:rFonts w:cs="Arial"/>
                <w:kern w:val="0"/>
                <w:sz w:val="22"/>
              </w:rPr>
            </w:pPr>
            <w:r>
              <w:rPr>
                <w:rFonts w:cs="Arial"/>
                <w:kern w:val="0"/>
                <w:sz w:val="22"/>
              </w:rPr>
              <w:t>*</w:t>
            </w:r>
            <w:r>
              <w:rPr>
                <w:rFonts w:hint="eastAsia" w:cs="Arial"/>
                <w:kern w:val="0"/>
                <w:sz w:val="22"/>
              </w:rPr>
              <w:t>3</w:t>
            </w:r>
            <w:r>
              <w:rPr>
                <w:rFonts w:cs="Arial"/>
                <w:kern w:val="0"/>
                <w:sz w:val="22"/>
              </w:rPr>
              <w:t>0</w:t>
            </w:r>
            <w:r>
              <w:rPr>
                <w:rFonts w:hint="eastAsia" w:cs="Arial"/>
                <w:kern w:val="0"/>
                <w:sz w:val="22"/>
              </w:rPr>
              <w:t>日历天。</w:t>
            </w:r>
          </w:p>
          <w:p>
            <w:pPr>
              <w:autoSpaceDE w:val="0"/>
              <w:autoSpaceDN w:val="0"/>
              <w:adjustRightInd w:val="0"/>
              <w:snapToGrid w:val="0"/>
              <w:rPr>
                <w:rFonts w:cs="Arial"/>
                <w:kern w:val="0"/>
                <w:sz w:val="22"/>
              </w:rPr>
            </w:pPr>
            <w:r>
              <w:rPr>
                <w:rFonts w:hint="eastAsia" w:cs="Arial"/>
                <w:kern w:val="0"/>
                <w:sz w:val="22"/>
              </w:rPr>
              <w:t>投标人可根据自身经验、技术水平及管理能力自报竞争性工期，但不得超过招标人明确的工期。一旦中标，该工期即为合同工期。整个项目工期安排应服从招标人要求。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napToGrid w:val="0"/>
              <w:jc w:val="center"/>
              <w:rPr>
                <w:rFonts w:cs="Arial"/>
                <w:kern w:val="0"/>
                <w:sz w:val="22"/>
              </w:rPr>
            </w:pPr>
            <w:r>
              <w:rPr>
                <w:rFonts w:cs="Arial"/>
                <w:kern w:val="0"/>
                <w:sz w:val="22"/>
              </w:rPr>
              <w:t>1.8</w:t>
            </w:r>
          </w:p>
        </w:tc>
        <w:tc>
          <w:tcPr>
            <w:tcW w:w="200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cs="Arial"/>
                <w:kern w:val="0"/>
                <w:sz w:val="22"/>
              </w:rPr>
            </w:pPr>
            <w:r>
              <w:rPr>
                <w:rFonts w:hint="eastAsia" w:cs="Arial"/>
                <w:kern w:val="0"/>
                <w:sz w:val="22"/>
              </w:rPr>
              <w:t>质量要求</w:t>
            </w:r>
          </w:p>
        </w:tc>
        <w:tc>
          <w:tcPr>
            <w:tcW w:w="6487"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napToGrid w:val="0"/>
              <w:rPr>
                <w:rFonts w:cs="Arial"/>
                <w:kern w:val="0"/>
                <w:sz w:val="22"/>
              </w:rPr>
            </w:pPr>
            <w:r>
              <w:rPr>
                <w:rFonts w:hint="eastAsia" w:cs="Arial"/>
                <w:kern w:val="0"/>
                <w:sz w:val="22"/>
              </w:rPr>
              <w:t>符合合同要求且一次验收合格</w:t>
            </w:r>
          </w:p>
          <w:p>
            <w:pPr>
              <w:autoSpaceDE w:val="0"/>
              <w:autoSpaceDN w:val="0"/>
              <w:adjustRightInd w:val="0"/>
              <w:snapToGrid w:val="0"/>
              <w:rPr>
                <w:rFonts w:cs="Arial"/>
                <w:kern w:val="0"/>
                <w:sz w:val="22"/>
              </w:rPr>
            </w:pPr>
            <w:r>
              <w:rPr>
                <w:rFonts w:cs="Arial"/>
                <w:kern w:val="0"/>
                <w:sz w:val="22"/>
              </w:rPr>
              <w:t>*</w:t>
            </w:r>
            <w:r>
              <w:rPr>
                <w:rFonts w:hint="eastAsia" w:cs="Arial"/>
                <w:kern w:val="0"/>
                <w:sz w:val="22"/>
              </w:rPr>
              <w:t>质保期不得少于两年。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napToGrid w:val="0"/>
              <w:jc w:val="center"/>
              <w:rPr>
                <w:rFonts w:cs="Arial"/>
                <w:kern w:val="0"/>
                <w:sz w:val="22"/>
              </w:rPr>
            </w:pPr>
            <w:r>
              <w:rPr>
                <w:rFonts w:cs="Arial"/>
                <w:kern w:val="0"/>
                <w:sz w:val="22"/>
              </w:rPr>
              <w:t>1.9.1</w:t>
            </w:r>
          </w:p>
        </w:tc>
        <w:tc>
          <w:tcPr>
            <w:tcW w:w="200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cs="Arial"/>
                <w:kern w:val="0"/>
                <w:sz w:val="22"/>
              </w:rPr>
            </w:pPr>
            <w:r>
              <w:rPr>
                <w:rFonts w:hint="eastAsia" w:cs="Arial"/>
                <w:kern w:val="0"/>
                <w:sz w:val="22"/>
              </w:rPr>
              <w:t>踏勘现场</w:t>
            </w:r>
          </w:p>
        </w:tc>
        <w:tc>
          <w:tcPr>
            <w:tcW w:w="6487"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napToGrid w:val="0"/>
              <w:rPr>
                <w:rFonts w:cs="Arial"/>
                <w:kern w:val="0"/>
                <w:sz w:val="22"/>
              </w:rPr>
            </w:pPr>
            <w:r>
              <w:rPr>
                <w:rFonts w:cs="Arial"/>
                <w:kern w:val="0"/>
                <w:sz w:val="22"/>
              </w:rPr>
              <w:t>□</w:t>
            </w:r>
            <w:r>
              <w:rPr>
                <w:rFonts w:hint="eastAsia" w:cs="Arial"/>
                <w:kern w:val="0"/>
                <w:sz w:val="22"/>
              </w:rPr>
              <w:t>不组织</w:t>
            </w:r>
          </w:p>
          <w:p>
            <w:pPr>
              <w:autoSpaceDE w:val="0"/>
              <w:autoSpaceDN w:val="0"/>
              <w:adjustRightInd w:val="0"/>
              <w:snapToGrid w:val="0"/>
              <w:rPr>
                <w:rFonts w:cs="Arial"/>
                <w:kern w:val="0"/>
                <w:sz w:val="22"/>
              </w:rPr>
            </w:pPr>
            <w:r>
              <w:rPr>
                <w:rFonts w:cs="Arial"/>
                <w:kern w:val="0"/>
                <w:sz w:val="22"/>
              </w:rPr>
              <w:sym w:font="Wingdings" w:char="00FE"/>
            </w:r>
            <w:r>
              <w:rPr>
                <w:rFonts w:hint="eastAsia" w:cs="Arial"/>
                <w:kern w:val="0"/>
                <w:sz w:val="22"/>
              </w:rPr>
              <w:t>组织，踏勘时间：2</w:t>
            </w:r>
            <w:r>
              <w:rPr>
                <w:rFonts w:cs="Arial"/>
                <w:kern w:val="0"/>
                <w:sz w:val="22"/>
              </w:rPr>
              <w:t>01</w:t>
            </w:r>
            <w:r>
              <w:rPr>
                <w:rFonts w:hint="eastAsia" w:cs="Arial"/>
                <w:kern w:val="0"/>
                <w:sz w:val="22"/>
              </w:rPr>
              <w:t>9年7月26日1</w:t>
            </w:r>
            <w:r>
              <w:rPr>
                <w:rFonts w:cs="Arial"/>
                <w:kern w:val="0"/>
                <w:sz w:val="22"/>
              </w:rPr>
              <w:t>3</w:t>
            </w:r>
            <w:r>
              <w:rPr>
                <w:rFonts w:hint="eastAsia" w:cs="Arial"/>
                <w:kern w:val="0"/>
                <w:sz w:val="22"/>
              </w:rPr>
              <w:t>:</w:t>
            </w:r>
            <w:r>
              <w:rPr>
                <w:rFonts w:cs="Arial"/>
                <w:kern w:val="0"/>
                <w:sz w:val="22"/>
              </w:rPr>
              <w:t>45</w:t>
            </w:r>
            <w:r>
              <w:rPr>
                <w:rFonts w:hint="eastAsia" w:cs="Arial"/>
                <w:kern w:val="0"/>
                <w:sz w:val="22"/>
              </w:rPr>
              <w:t>（北京时间）</w:t>
            </w:r>
          </w:p>
          <w:p>
            <w:pPr>
              <w:autoSpaceDE w:val="0"/>
              <w:autoSpaceDN w:val="0"/>
              <w:adjustRightInd w:val="0"/>
              <w:snapToGrid w:val="0"/>
              <w:rPr>
                <w:rFonts w:cs="Arial"/>
                <w:kern w:val="0"/>
                <w:sz w:val="22"/>
              </w:rPr>
            </w:pPr>
            <w:r>
              <w:rPr>
                <w:rFonts w:hint="eastAsia" w:cs="Arial"/>
                <w:kern w:val="0"/>
                <w:sz w:val="22"/>
              </w:rPr>
              <w:t>踏勘集中地点：</w:t>
            </w:r>
            <w:r>
              <w:rPr>
                <w:rStyle w:val="153"/>
                <w:rFonts w:hint="eastAsia" w:cs="宋体"/>
              </w:rPr>
              <w:t>杭州萧山国际机场T3航站楼出发层隔离区外问询台，到达后联系现场问询工作人员。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napToGrid w:val="0"/>
              <w:jc w:val="center"/>
              <w:rPr>
                <w:rFonts w:cs="Arial"/>
                <w:kern w:val="0"/>
                <w:sz w:val="22"/>
              </w:rPr>
            </w:pPr>
            <w:r>
              <w:rPr>
                <w:rFonts w:cs="Arial"/>
                <w:kern w:val="0"/>
                <w:sz w:val="22"/>
              </w:rPr>
              <w:t>1.10</w:t>
            </w:r>
          </w:p>
        </w:tc>
        <w:tc>
          <w:tcPr>
            <w:tcW w:w="200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cs="Arial"/>
                <w:kern w:val="0"/>
                <w:sz w:val="22"/>
              </w:rPr>
            </w:pPr>
            <w:r>
              <w:rPr>
                <w:rFonts w:hint="eastAsia" w:cs="Arial"/>
                <w:kern w:val="0"/>
                <w:sz w:val="22"/>
              </w:rPr>
              <w:t>投标预备会</w:t>
            </w:r>
          </w:p>
        </w:tc>
        <w:tc>
          <w:tcPr>
            <w:tcW w:w="6487"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napToGrid w:val="0"/>
              <w:rPr>
                <w:rFonts w:cs="Arial"/>
                <w:kern w:val="0"/>
                <w:sz w:val="22"/>
              </w:rPr>
            </w:pPr>
            <w:r>
              <w:rPr>
                <w:rFonts w:cs="Arial"/>
                <w:kern w:val="0"/>
                <w:sz w:val="22"/>
              </w:rPr>
              <w:sym w:font="Wingdings" w:char="00FE"/>
            </w:r>
            <w:r>
              <w:rPr>
                <w:rFonts w:hint="eastAsia" w:cs="Arial"/>
                <w:kern w:val="0"/>
                <w:sz w:val="22"/>
              </w:rPr>
              <w:t>不召开</w:t>
            </w:r>
          </w:p>
          <w:p>
            <w:pPr>
              <w:autoSpaceDE w:val="0"/>
              <w:autoSpaceDN w:val="0"/>
              <w:adjustRightInd w:val="0"/>
              <w:snapToGrid w:val="0"/>
              <w:rPr>
                <w:rFonts w:cs="Arial"/>
                <w:kern w:val="0"/>
                <w:sz w:val="22"/>
              </w:rPr>
            </w:pPr>
            <w:r>
              <w:rPr>
                <w:rFonts w:cs="Arial"/>
                <w:kern w:val="0"/>
                <w:sz w:val="22"/>
              </w:rPr>
              <w:t>□</w:t>
            </w:r>
            <w:r>
              <w:rPr>
                <w:rFonts w:hint="eastAsia" w:cs="Arial"/>
                <w:kern w:val="0"/>
                <w:sz w:val="22"/>
              </w:rPr>
              <w:t>召开，召开时间：</w:t>
            </w:r>
          </w:p>
          <w:p>
            <w:pPr>
              <w:autoSpaceDE w:val="0"/>
              <w:autoSpaceDN w:val="0"/>
              <w:adjustRightInd w:val="0"/>
              <w:snapToGrid w:val="0"/>
              <w:rPr>
                <w:rFonts w:cs="Arial"/>
                <w:kern w:val="0"/>
                <w:sz w:val="22"/>
              </w:rPr>
            </w:pPr>
            <w:r>
              <w:rPr>
                <w:rFonts w:hint="eastAsia" w:cs="Arial"/>
                <w:kern w:val="0"/>
                <w:sz w:val="22"/>
              </w:rPr>
              <w:t>召开地点：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napToGrid w:val="0"/>
              <w:jc w:val="center"/>
              <w:rPr>
                <w:rFonts w:cs="Arial"/>
                <w:kern w:val="0"/>
                <w:sz w:val="22"/>
              </w:rPr>
            </w:pPr>
            <w:r>
              <w:rPr>
                <w:rFonts w:cs="Arial"/>
                <w:kern w:val="0"/>
                <w:sz w:val="22"/>
              </w:rPr>
              <w:t>2.2.1</w:t>
            </w:r>
          </w:p>
        </w:tc>
        <w:tc>
          <w:tcPr>
            <w:tcW w:w="200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cs="Arial"/>
                <w:kern w:val="0"/>
                <w:sz w:val="22"/>
              </w:rPr>
            </w:pPr>
            <w:r>
              <w:rPr>
                <w:rFonts w:hint="eastAsia" w:cs="Arial"/>
                <w:kern w:val="0"/>
                <w:sz w:val="22"/>
              </w:rPr>
              <w:t>投标人提出问题的截止时间</w:t>
            </w:r>
          </w:p>
        </w:tc>
        <w:tc>
          <w:tcPr>
            <w:tcW w:w="6487"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napToGrid w:val="0"/>
              <w:rPr>
                <w:rFonts w:cs="Arial"/>
                <w:kern w:val="0"/>
                <w:sz w:val="22"/>
              </w:rPr>
            </w:pPr>
            <w:r>
              <w:rPr>
                <w:rFonts w:hint="eastAsia" w:ascii="宋体" w:hAnsi="宋体" w:cs="Calibri"/>
                <w:kern w:val="0"/>
                <w:sz w:val="22"/>
              </w:rPr>
              <w:t>2019年7月26日11：30前，以书面加盖公章的形式通过E-mail提交给招标人并致电联系（投标联系人:林雨阳，电话0571-86662560；电子邮箱：343585477@qq.com）投标人必须在规定时间前提出对招标文件的疑问，否则招标人有权拒绝接收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napToGrid w:val="0"/>
              <w:jc w:val="center"/>
              <w:rPr>
                <w:rFonts w:cs="Arial"/>
                <w:kern w:val="0"/>
                <w:sz w:val="22"/>
              </w:rPr>
            </w:pPr>
            <w:r>
              <w:rPr>
                <w:rFonts w:cs="Arial"/>
                <w:kern w:val="0"/>
                <w:sz w:val="22"/>
              </w:rPr>
              <w:t>2.2.2</w:t>
            </w:r>
          </w:p>
        </w:tc>
        <w:tc>
          <w:tcPr>
            <w:tcW w:w="200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cs="Arial"/>
                <w:kern w:val="0"/>
                <w:sz w:val="22"/>
              </w:rPr>
            </w:pPr>
            <w:r>
              <w:rPr>
                <w:rFonts w:hint="eastAsia" w:cs="Arial"/>
                <w:kern w:val="0"/>
                <w:sz w:val="22"/>
              </w:rPr>
              <w:t>投标截止时间</w:t>
            </w:r>
          </w:p>
        </w:tc>
        <w:tc>
          <w:tcPr>
            <w:tcW w:w="6487"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napToGrid w:val="0"/>
              <w:rPr>
                <w:rFonts w:cs="Arial"/>
                <w:kern w:val="0"/>
                <w:sz w:val="22"/>
              </w:rPr>
            </w:pPr>
            <w:r>
              <w:rPr>
                <w:rFonts w:hint="eastAsia" w:cs="Arial"/>
                <w:kern w:val="0"/>
                <w:sz w:val="22"/>
              </w:rPr>
              <w:t>2019年8月12日上午9时00分（北京时间）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napToGrid w:val="0"/>
              <w:jc w:val="center"/>
              <w:rPr>
                <w:rFonts w:cs="Arial"/>
                <w:kern w:val="0"/>
                <w:sz w:val="22"/>
              </w:rPr>
            </w:pPr>
            <w:r>
              <w:rPr>
                <w:rFonts w:cs="Arial"/>
                <w:kern w:val="0"/>
                <w:sz w:val="22"/>
              </w:rPr>
              <w:t>2.2.3</w:t>
            </w:r>
          </w:p>
        </w:tc>
        <w:tc>
          <w:tcPr>
            <w:tcW w:w="200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cs="Arial"/>
                <w:kern w:val="0"/>
                <w:sz w:val="22"/>
              </w:rPr>
            </w:pPr>
            <w:r>
              <w:rPr>
                <w:rFonts w:hint="eastAsia" w:cs="Arial"/>
                <w:kern w:val="0"/>
                <w:sz w:val="22"/>
              </w:rPr>
              <w:t>投标人确认收到招标文件澄清的时间</w:t>
            </w:r>
          </w:p>
        </w:tc>
        <w:tc>
          <w:tcPr>
            <w:tcW w:w="6487"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napToGrid w:val="0"/>
              <w:rPr>
                <w:rFonts w:cs="Arial"/>
                <w:kern w:val="0"/>
                <w:sz w:val="22"/>
              </w:rPr>
            </w:pPr>
            <w:r>
              <w:rPr>
                <w:rFonts w:hint="eastAsia" w:cs="Arial"/>
                <w:kern w:val="0"/>
                <w:sz w:val="22"/>
              </w:rPr>
              <w:t>招标人可主动地或在解答投标人提出的澄清问题时对招标文件进行修改，</w:t>
            </w:r>
            <w:bookmarkStart w:id="4" w:name="_Toc236586447"/>
            <w:bookmarkStart w:id="5" w:name="_Toc226175287"/>
            <w:r>
              <w:rPr>
                <w:rFonts w:hint="eastAsia" w:cs="Arial"/>
                <w:kern w:val="0"/>
                <w:sz w:val="22"/>
              </w:rPr>
              <w:t>对招标文件的修改将以补充公告的形式发布，所有获得招标文件的投标人应自行关注网站公告，招标人不再一一通知。投标人因自身贻误行为导致投标失败的，责任自负。</w:t>
            </w:r>
            <w:bookmarkEnd w:id="4"/>
            <w:bookmarkEnd w:id="5"/>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napToGrid w:val="0"/>
              <w:jc w:val="center"/>
              <w:rPr>
                <w:rFonts w:cs="Arial"/>
                <w:kern w:val="0"/>
                <w:sz w:val="22"/>
              </w:rPr>
            </w:pPr>
            <w:r>
              <w:rPr>
                <w:rFonts w:cs="Arial"/>
                <w:kern w:val="0"/>
                <w:sz w:val="22"/>
              </w:rPr>
              <w:t>2.3.2</w:t>
            </w:r>
          </w:p>
        </w:tc>
        <w:tc>
          <w:tcPr>
            <w:tcW w:w="200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cs="Arial"/>
                <w:kern w:val="0"/>
                <w:sz w:val="22"/>
              </w:rPr>
            </w:pPr>
            <w:r>
              <w:rPr>
                <w:rFonts w:hint="eastAsia" w:cs="Arial"/>
                <w:kern w:val="0"/>
                <w:sz w:val="22"/>
              </w:rPr>
              <w:t>投标人确认收到招标文件修改的时间</w:t>
            </w:r>
          </w:p>
        </w:tc>
        <w:tc>
          <w:tcPr>
            <w:tcW w:w="6487"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napToGrid w:val="0"/>
              <w:rPr>
                <w:rFonts w:cs="Arial"/>
                <w:kern w:val="0"/>
                <w:sz w:val="22"/>
              </w:rPr>
            </w:pPr>
            <w:r>
              <w:rPr>
                <w:rFonts w:hint="eastAsia" w:cs="Arial"/>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napToGrid w:val="0"/>
              <w:jc w:val="center"/>
              <w:rPr>
                <w:rFonts w:cs="Arial"/>
                <w:kern w:val="0"/>
                <w:sz w:val="22"/>
              </w:rPr>
            </w:pPr>
            <w:r>
              <w:rPr>
                <w:rFonts w:cs="Arial"/>
                <w:kern w:val="0"/>
                <w:sz w:val="22"/>
              </w:rPr>
              <w:t>3.4.1</w:t>
            </w:r>
          </w:p>
        </w:tc>
        <w:tc>
          <w:tcPr>
            <w:tcW w:w="200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cs="Arial"/>
                <w:kern w:val="0"/>
                <w:sz w:val="22"/>
              </w:rPr>
            </w:pPr>
            <w:r>
              <w:rPr>
                <w:rFonts w:hint="eastAsia" w:cs="Arial"/>
                <w:kern w:val="0"/>
                <w:sz w:val="22"/>
              </w:rPr>
              <w:t>投标有效期</w:t>
            </w:r>
          </w:p>
        </w:tc>
        <w:tc>
          <w:tcPr>
            <w:tcW w:w="6487"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napToGrid w:val="0"/>
              <w:rPr>
                <w:rFonts w:cs="Arial"/>
                <w:kern w:val="0"/>
                <w:sz w:val="22"/>
              </w:rPr>
            </w:pPr>
            <w:r>
              <w:rPr>
                <w:rFonts w:cs="Arial"/>
                <w:kern w:val="0"/>
                <w:sz w:val="22"/>
              </w:rPr>
              <w:t>120</w:t>
            </w:r>
            <w:r>
              <w:rPr>
                <w:rFonts w:hint="eastAsia" w:cs="Arial"/>
                <w:kern w:val="0"/>
                <w:sz w:val="22"/>
              </w:rPr>
              <w:t>日历天（从投标截止之日算起），不满足要求的投标文件将被否决处理。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napToGrid w:val="0"/>
              <w:jc w:val="center"/>
              <w:rPr>
                <w:rFonts w:cs="Arial"/>
                <w:kern w:val="0"/>
                <w:sz w:val="22"/>
              </w:rPr>
            </w:pPr>
            <w:r>
              <w:rPr>
                <w:rFonts w:cs="Arial"/>
                <w:kern w:val="0"/>
                <w:sz w:val="22"/>
              </w:rPr>
              <w:t>3.5.2</w:t>
            </w:r>
          </w:p>
        </w:tc>
        <w:tc>
          <w:tcPr>
            <w:tcW w:w="200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cs="Arial"/>
                <w:kern w:val="0"/>
                <w:sz w:val="22"/>
              </w:rPr>
            </w:pPr>
            <w:r>
              <w:rPr>
                <w:rFonts w:hint="eastAsia" w:cs="Arial"/>
                <w:kern w:val="0"/>
                <w:sz w:val="22"/>
              </w:rPr>
              <w:t>签字或盖章要求</w:t>
            </w:r>
          </w:p>
        </w:tc>
        <w:tc>
          <w:tcPr>
            <w:tcW w:w="6487"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napToGrid w:val="0"/>
              <w:rPr>
                <w:rFonts w:cs="Arial"/>
                <w:kern w:val="0"/>
                <w:sz w:val="22"/>
              </w:rPr>
            </w:pPr>
            <w:r>
              <w:rPr>
                <w:rFonts w:hint="eastAsia" w:cs="Arial"/>
                <w:kern w:val="0"/>
                <w:sz w:val="22"/>
              </w:rPr>
              <w:t>投标文件封面（或扉页）、投标函以及各类报价表均须加盖投标人单位章，并经法定代表人（或其委托代理人）签字或盖章。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napToGrid w:val="0"/>
              <w:jc w:val="center"/>
              <w:rPr>
                <w:rFonts w:cs="Arial"/>
                <w:kern w:val="0"/>
                <w:sz w:val="22"/>
              </w:rPr>
            </w:pPr>
            <w:r>
              <w:rPr>
                <w:rFonts w:cs="Arial"/>
                <w:kern w:val="0"/>
                <w:sz w:val="22"/>
              </w:rPr>
              <w:t>3.5.3</w:t>
            </w:r>
          </w:p>
        </w:tc>
        <w:tc>
          <w:tcPr>
            <w:tcW w:w="200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cs="Arial"/>
                <w:kern w:val="0"/>
                <w:sz w:val="22"/>
              </w:rPr>
            </w:pPr>
            <w:r>
              <w:rPr>
                <w:rFonts w:hint="eastAsia" w:cs="Arial"/>
                <w:kern w:val="0"/>
                <w:sz w:val="22"/>
              </w:rPr>
              <w:t>投标文件份数</w:t>
            </w:r>
          </w:p>
        </w:tc>
        <w:tc>
          <w:tcPr>
            <w:tcW w:w="6487"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napToGrid w:val="0"/>
              <w:rPr>
                <w:rFonts w:cs="Arial"/>
                <w:kern w:val="0"/>
                <w:sz w:val="22"/>
              </w:rPr>
            </w:pPr>
            <w:r>
              <w:rPr>
                <w:rFonts w:hint="eastAsia" w:cs="Arial"/>
                <w:kern w:val="0"/>
                <w:sz w:val="22"/>
              </w:rPr>
              <w:t>正本一份，副本二份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napToGrid w:val="0"/>
              <w:jc w:val="center"/>
              <w:rPr>
                <w:rFonts w:cs="Arial"/>
                <w:kern w:val="0"/>
                <w:sz w:val="22"/>
              </w:rPr>
            </w:pPr>
            <w:r>
              <w:rPr>
                <w:rFonts w:cs="Arial"/>
                <w:kern w:val="0"/>
                <w:sz w:val="22"/>
              </w:rPr>
              <w:t>3.5.4</w:t>
            </w:r>
          </w:p>
        </w:tc>
        <w:tc>
          <w:tcPr>
            <w:tcW w:w="200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cs="Arial"/>
                <w:kern w:val="0"/>
                <w:sz w:val="22"/>
              </w:rPr>
            </w:pPr>
            <w:r>
              <w:rPr>
                <w:rFonts w:hint="eastAsia" w:cs="Arial"/>
                <w:kern w:val="0"/>
                <w:sz w:val="22"/>
              </w:rPr>
              <w:t>装订要求</w:t>
            </w:r>
          </w:p>
        </w:tc>
        <w:tc>
          <w:tcPr>
            <w:tcW w:w="6487"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napToGrid w:val="0"/>
              <w:rPr>
                <w:rFonts w:cs="Arial"/>
                <w:kern w:val="0"/>
                <w:sz w:val="22"/>
              </w:rPr>
            </w:pPr>
            <w:r>
              <w:rPr>
                <w:rFonts w:hint="eastAsia" w:cs="Arial"/>
                <w:kern w:val="0"/>
                <w:sz w:val="22"/>
              </w:rPr>
              <w:t>按照投标人须知</w:t>
            </w:r>
            <w:r>
              <w:rPr>
                <w:rFonts w:cs="Arial"/>
                <w:kern w:val="0"/>
                <w:sz w:val="22"/>
              </w:rPr>
              <w:t>3.2</w:t>
            </w:r>
            <w:r>
              <w:rPr>
                <w:rFonts w:hint="eastAsia" w:cs="Arial"/>
                <w:kern w:val="0"/>
                <w:sz w:val="22"/>
              </w:rPr>
              <w:t>项约定的投标文件组成内容，投标文件应按以下要求装订：</w:t>
            </w:r>
          </w:p>
          <w:p>
            <w:pPr>
              <w:autoSpaceDE w:val="0"/>
              <w:autoSpaceDN w:val="0"/>
              <w:adjustRightInd w:val="0"/>
              <w:snapToGrid w:val="0"/>
              <w:rPr>
                <w:rFonts w:cs="Arial"/>
                <w:kern w:val="0"/>
                <w:sz w:val="22"/>
              </w:rPr>
            </w:pPr>
            <w:r>
              <w:rPr>
                <w:rFonts w:cs="Arial"/>
                <w:kern w:val="0"/>
                <w:sz w:val="22"/>
              </w:rPr>
              <w:sym w:font="Wingdings" w:char="00FE"/>
            </w:r>
            <w:r>
              <w:rPr>
                <w:rFonts w:hint="eastAsia" w:cs="Arial"/>
                <w:kern w:val="0"/>
                <w:sz w:val="22"/>
              </w:rPr>
              <w:t>不分册装订</w:t>
            </w:r>
          </w:p>
          <w:p>
            <w:pPr>
              <w:autoSpaceDE w:val="0"/>
              <w:autoSpaceDN w:val="0"/>
              <w:adjustRightInd w:val="0"/>
              <w:snapToGrid w:val="0"/>
              <w:rPr>
                <w:rFonts w:cs="Arial"/>
                <w:kern w:val="0"/>
                <w:sz w:val="22"/>
              </w:rPr>
            </w:pPr>
            <w:r>
              <w:rPr>
                <w:rFonts w:cs="Arial"/>
                <w:kern w:val="0"/>
                <w:sz w:val="22"/>
              </w:rPr>
              <w:t>□</w:t>
            </w:r>
            <w:r>
              <w:rPr>
                <w:rFonts w:hint="eastAsia" w:cs="Arial"/>
                <w:kern w:val="0"/>
                <w:sz w:val="22"/>
              </w:rPr>
              <w:t>分册装订</w:t>
            </w:r>
          </w:p>
          <w:p>
            <w:pPr>
              <w:autoSpaceDE w:val="0"/>
              <w:autoSpaceDN w:val="0"/>
              <w:adjustRightInd w:val="0"/>
              <w:snapToGrid w:val="0"/>
              <w:rPr>
                <w:rFonts w:cs="Arial"/>
                <w:kern w:val="0"/>
                <w:sz w:val="22"/>
              </w:rPr>
            </w:pPr>
            <w:r>
              <w:rPr>
                <w:rFonts w:hint="eastAsia" w:cs="Arial"/>
                <w:kern w:val="0"/>
                <w:sz w:val="22"/>
              </w:rPr>
              <w:t>每册采用胶装方式装订，装订应牢固、不易拆散和换页，不得采用活页装订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napToGrid w:val="0"/>
              <w:jc w:val="center"/>
              <w:rPr>
                <w:rFonts w:cs="Arial"/>
                <w:kern w:val="0"/>
                <w:sz w:val="22"/>
              </w:rPr>
            </w:pPr>
            <w:r>
              <w:rPr>
                <w:rFonts w:cs="Arial"/>
                <w:kern w:val="0"/>
                <w:sz w:val="22"/>
              </w:rPr>
              <w:t>4.1.2</w:t>
            </w:r>
          </w:p>
        </w:tc>
        <w:tc>
          <w:tcPr>
            <w:tcW w:w="200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cs="Arial"/>
                <w:kern w:val="0"/>
                <w:sz w:val="22"/>
              </w:rPr>
            </w:pPr>
            <w:r>
              <w:rPr>
                <w:rFonts w:hint="eastAsia" w:cs="Arial"/>
                <w:kern w:val="0"/>
                <w:sz w:val="22"/>
              </w:rPr>
              <w:t>封套上写明</w:t>
            </w:r>
          </w:p>
        </w:tc>
        <w:tc>
          <w:tcPr>
            <w:tcW w:w="6487"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napToGrid w:val="0"/>
              <w:rPr>
                <w:rFonts w:cs="Arial"/>
                <w:kern w:val="0"/>
                <w:sz w:val="22"/>
              </w:rPr>
            </w:pPr>
            <w:r>
              <w:rPr>
                <w:rFonts w:hint="eastAsia" w:cs="Arial"/>
                <w:kern w:val="0"/>
                <w:sz w:val="22"/>
              </w:rPr>
              <w:t>招标人的地址：杭州萧山国际机场内</w:t>
            </w:r>
          </w:p>
          <w:p>
            <w:pPr>
              <w:autoSpaceDE w:val="0"/>
              <w:autoSpaceDN w:val="0"/>
              <w:adjustRightInd w:val="0"/>
              <w:snapToGrid w:val="0"/>
              <w:rPr>
                <w:rFonts w:cs="Arial"/>
                <w:kern w:val="0"/>
                <w:sz w:val="22"/>
              </w:rPr>
            </w:pPr>
            <w:r>
              <w:rPr>
                <w:rFonts w:hint="eastAsia" w:cs="Arial"/>
                <w:kern w:val="0"/>
                <w:sz w:val="22"/>
              </w:rPr>
              <w:t>招标人名称：杭州萧山国际机场有限公司</w:t>
            </w:r>
          </w:p>
          <w:p>
            <w:pPr>
              <w:autoSpaceDE w:val="0"/>
              <w:autoSpaceDN w:val="0"/>
              <w:adjustRightInd w:val="0"/>
              <w:snapToGrid w:val="0"/>
              <w:rPr>
                <w:rFonts w:cs="Arial"/>
                <w:kern w:val="0"/>
                <w:sz w:val="22"/>
              </w:rPr>
            </w:pPr>
            <w:r>
              <w:rPr>
                <w:rFonts w:hint="eastAsia" w:cs="Arial"/>
                <w:kern w:val="0"/>
                <w:sz w:val="22"/>
              </w:rPr>
              <w:t>项目名称：杭州萧山国际机场</w:t>
            </w:r>
            <w:r>
              <w:rPr>
                <w:rStyle w:val="153"/>
                <w:rFonts w:ascii="宋体" w:hAnsi="宋体" w:cs="宋体"/>
                <w:sz w:val="22"/>
              </w:rPr>
              <w:t>T</w:t>
            </w:r>
            <w:r>
              <w:rPr>
                <w:rStyle w:val="153"/>
                <w:rFonts w:hint="eastAsia" w:ascii="宋体" w:hAnsi="宋体" w:cs="宋体"/>
                <w:sz w:val="22"/>
              </w:rPr>
              <w:t>1</w:t>
            </w:r>
            <w:r>
              <w:rPr>
                <w:rStyle w:val="153"/>
                <w:rFonts w:ascii="宋体" w:hAnsi="宋体" w:cs="宋体"/>
                <w:sz w:val="22"/>
              </w:rPr>
              <w:t>航站楼</w:t>
            </w:r>
            <w:r>
              <w:rPr>
                <w:rStyle w:val="153"/>
                <w:rFonts w:hint="eastAsia" w:ascii="宋体" w:hAnsi="宋体" w:cs="宋体"/>
                <w:sz w:val="22"/>
              </w:rPr>
              <w:t>盲道</w:t>
            </w:r>
            <w:r>
              <w:rPr>
                <w:rStyle w:val="153"/>
                <w:rFonts w:ascii="宋体" w:hAnsi="宋体" w:cs="宋体"/>
                <w:sz w:val="22"/>
              </w:rPr>
              <w:t>建设项目</w:t>
            </w:r>
            <w:r>
              <w:rPr>
                <w:rFonts w:hint="eastAsia" w:cs="Arial"/>
                <w:kern w:val="0"/>
                <w:sz w:val="22"/>
              </w:rPr>
              <w:t>投标文件</w:t>
            </w:r>
          </w:p>
          <w:p>
            <w:pPr>
              <w:autoSpaceDE w:val="0"/>
              <w:autoSpaceDN w:val="0"/>
              <w:adjustRightInd w:val="0"/>
              <w:snapToGrid w:val="0"/>
              <w:rPr>
                <w:rFonts w:cs="Arial"/>
                <w:kern w:val="0"/>
                <w:sz w:val="22"/>
              </w:rPr>
            </w:pPr>
            <w:r>
              <w:rPr>
                <w:rFonts w:cs="Arial"/>
                <w:kern w:val="0"/>
                <w:sz w:val="22"/>
              </w:rPr>
              <w:t>201</w:t>
            </w:r>
            <w:r>
              <w:rPr>
                <w:rFonts w:hint="eastAsia" w:cs="Arial"/>
                <w:kern w:val="0"/>
                <w:sz w:val="22"/>
              </w:rPr>
              <w:t>9</w:t>
            </w:r>
            <w:r>
              <w:rPr>
                <w:rFonts w:cs="Arial"/>
                <w:kern w:val="0"/>
                <w:sz w:val="22"/>
              </w:rPr>
              <w:t>年</w:t>
            </w:r>
            <w:r>
              <w:rPr>
                <w:rFonts w:hint="eastAsia" w:cs="Arial"/>
                <w:kern w:val="0"/>
                <w:sz w:val="22"/>
              </w:rPr>
              <w:t>8</w:t>
            </w:r>
            <w:r>
              <w:rPr>
                <w:rFonts w:cs="Arial"/>
                <w:kern w:val="0"/>
                <w:sz w:val="22"/>
              </w:rPr>
              <w:t>月</w:t>
            </w:r>
            <w:r>
              <w:rPr>
                <w:rFonts w:hint="eastAsia" w:cs="Arial"/>
                <w:kern w:val="0"/>
                <w:sz w:val="22"/>
              </w:rPr>
              <w:t xml:space="preserve">12 </w:t>
            </w:r>
            <w:r>
              <w:rPr>
                <w:rFonts w:cs="Arial"/>
                <w:kern w:val="0"/>
                <w:sz w:val="22"/>
              </w:rPr>
              <w:t>日上午</w:t>
            </w:r>
            <w:r>
              <w:rPr>
                <w:rFonts w:hint="eastAsia" w:cs="Arial"/>
                <w:kern w:val="0"/>
                <w:sz w:val="22"/>
              </w:rPr>
              <w:t xml:space="preserve">09 </w:t>
            </w:r>
            <w:r>
              <w:rPr>
                <w:rFonts w:cs="Arial"/>
                <w:kern w:val="0"/>
                <w:sz w:val="22"/>
              </w:rPr>
              <w:t>时</w:t>
            </w:r>
            <w:r>
              <w:rPr>
                <w:rFonts w:hint="eastAsia" w:cs="Arial"/>
                <w:kern w:val="0"/>
                <w:sz w:val="22"/>
              </w:rPr>
              <w:t>00</w:t>
            </w:r>
            <w:r>
              <w:rPr>
                <w:rFonts w:cs="Arial"/>
                <w:kern w:val="0"/>
                <w:sz w:val="22"/>
              </w:rPr>
              <w:t>分</w:t>
            </w:r>
            <w:r>
              <w:rPr>
                <w:rFonts w:hint="eastAsia" w:cs="Arial"/>
                <w:kern w:val="0"/>
                <w:sz w:val="22"/>
              </w:rPr>
              <w:t>（即开标时间）前不得开启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napToGrid w:val="0"/>
              <w:jc w:val="center"/>
              <w:rPr>
                <w:rFonts w:cs="Arial"/>
                <w:kern w:val="0"/>
                <w:sz w:val="22"/>
              </w:rPr>
            </w:pPr>
            <w:r>
              <w:rPr>
                <w:rFonts w:cs="Arial"/>
                <w:kern w:val="0"/>
                <w:sz w:val="22"/>
              </w:rPr>
              <w:t>4.2.2</w:t>
            </w:r>
          </w:p>
        </w:tc>
        <w:tc>
          <w:tcPr>
            <w:tcW w:w="200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cs="Arial"/>
                <w:kern w:val="0"/>
                <w:sz w:val="22"/>
              </w:rPr>
            </w:pPr>
            <w:r>
              <w:rPr>
                <w:rFonts w:hint="eastAsia" w:cs="Arial"/>
                <w:kern w:val="0"/>
                <w:sz w:val="22"/>
              </w:rPr>
              <w:t>递交投标文件地点</w:t>
            </w:r>
          </w:p>
        </w:tc>
        <w:tc>
          <w:tcPr>
            <w:tcW w:w="6487"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napToGrid w:val="0"/>
              <w:rPr>
                <w:rFonts w:cs="Arial"/>
                <w:kern w:val="0"/>
                <w:sz w:val="22"/>
              </w:rPr>
            </w:pPr>
            <w:r>
              <w:rPr>
                <w:rFonts w:hint="eastAsia" w:cs="Arial"/>
                <w:kern w:val="0"/>
                <w:sz w:val="22"/>
              </w:rPr>
              <w:t>杭州萧山国际机场翔越路综合服务楼园区招标中心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napToGrid w:val="0"/>
              <w:jc w:val="center"/>
              <w:rPr>
                <w:rFonts w:cs="Arial"/>
                <w:kern w:val="0"/>
                <w:sz w:val="22"/>
              </w:rPr>
            </w:pPr>
            <w:r>
              <w:rPr>
                <w:rFonts w:cs="Arial"/>
                <w:kern w:val="0"/>
                <w:sz w:val="22"/>
              </w:rPr>
              <w:t>4.2.3</w:t>
            </w:r>
          </w:p>
        </w:tc>
        <w:tc>
          <w:tcPr>
            <w:tcW w:w="200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cs="Arial"/>
                <w:kern w:val="0"/>
                <w:sz w:val="22"/>
              </w:rPr>
            </w:pPr>
            <w:r>
              <w:rPr>
                <w:rFonts w:hint="eastAsia" w:cs="Arial"/>
                <w:kern w:val="0"/>
                <w:sz w:val="22"/>
              </w:rPr>
              <w:t>是否退还投标文件</w:t>
            </w:r>
          </w:p>
        </w:tc>
        <w:tc>
          <w:tcPr>
            <w:tcW w:w="6487"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napToGrid w:val="0"/>
              <w:rPr>
                <w:rFonts w:cs="Arial"/>
                <w:kern w:val="0"/>
                <w:sz w:val="22"/>
              </w:rPr>
            </w:pPr>
            <w:r>
              <w:rPr>
                <w:rFonts w:cs="Arial"/>
                <w:kern w:val="0"/>
                <w:sz w:val="22"/>
              </w:rPr>
              <w:sym w:font="Wingdings" w:char="00FE"/>
            </w:r>
            <w:r>
              <w:rPr>
                <w:rFonts w:hint="eastAsia" w:cs="Arial"/>
                <w:kern w:val="0"/>
                <w:sz w:val="22"/>
              </w:rPr>
              <w:t>否</w:t>
            </w:r>
          </w:p>
          <w:p>
            <w:pPr>
              <w:autoSpaceDE w:val="0"/>
              <w:autoSpaceDN w:val="0"/>
              <w:adjustRightInd w:val="0"/>
              <w:snapToGrid w:val="0"/>
              <w:rPr>
                <w:rFonts w:cs="Arial"/>
                <w:kern w:val="0"/>
                <w:sz w:val="22"/>
              </w:rPr>
            </w:pPr>
            <w:r>
              <w:rPr>
                <w:rFonts w:cs="Arial"/>
                <w:kern w:val="0"/>
                <w:sz w:val="22"/>
              </w:rPr>
              <w:t>□</w:t>
            </w:r>
            <w:r>
              <w:rPr>
                <w:rFonts w:hint="eastAsia" w:cs="Arial"/>
                <w:kern w:val="0"/>
                <w:sz w:val="22"/>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napToGrid w:val="0"/>
              <w:jc w:val="center"/>
              <w:rPr>
                <w:rFonts w:cs="Arial"/>
                <w:kern w:val="0"/>
                <w:sz w:val="22"/>
              </w:rPr>
            </w:pPr>
            <w:r>
              <w:rPr>
                <w:rFonts w:cs="Arial"/>
                <w:kern w:val="0"/>
                <w:sz w:val="22"/>
              </w:rPr>
              <w:t>5.1.1</w:t>
            </w:r>
          </w:p>
        </w:tc>
        <w:tc>
          <w:tcPr>
            <w:tcW w:w="200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cs="Arial"/>
                <w:kern w:val="0"/>
                <w:sz w:val="22"/>
              </w:rPr>
            </w:pPr>
            <w:r>
              <w:rPr>
                <w:rFonts w:hint="eastAsia" w:cs="Arial"/>
                <w:kern w:val="0"/>
                <w:sz w:val="22"/>
              </w:rPr>
              <w:t>开标时间和地点</w:t>
            </w:r>
          </w:p>
        </w:tc>
        <w:tc>
          <w:tcPr>
            <w:tcW w:w="6487"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napToGrid w:val="0"/>
              <w:rPr>
                <w:rFonts w:cs="Arial"/>
                <w:kern w:val="0"/>
                <w:sz w:val="22"/>
              </w:rPr>
            </w:pPr>
            <w:r>
              <w:rPr>
                <w:rFonts w:hint="eastAsia" w:cs="Arial"/>
                <w:kern w:val="0"/>
                <w:sz w:val="22"/>
              </w:rPr>
              <w:t>开标时间：同投标截止时间</w:t>
            </w:r>
          </w:p>
          <w:p>
            <w:pPr>
              <w:autoSpaceDE w:val="0"/>
              <w:autoSpaceDN w:val="0"/>
              <w:adjustRightInd w:val="0"/>
              <w:snapToGrid w:val="0"/>
              <w:rPr>
                <w:rFonts w:cs="Arial"/>
                <w:kern w:val="0"/>
                <w:sz w:val="22"/>
              </w:rPr>
            </w:pPr>
            <w:r>
              <w:rPr>
                <w:rFonts w:hint="eastAsia" w:cs="Arial"/>
                <w:kern w:val="0"/>
                <w:sz w:val="22"/>
              </w:rPr>
              <w:t>开标地点：同递交投标文件地点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napToGrid w:val="0"/>
              <w:jc w:val="center"/>
              <w:rPr>
                <w:rFonts w:cs="Arial"/>
                <w:kern w:val="0"/>
                <w:sz w:val="22"/>
              </w:rPr>
            </w:pPr>
            <w:r>
              <w:rPr>
                <w:rFonts w:cs="Arial"/>
                <w:kern w:val="0"/>
                <w:sz w:val="22"/>
              </w:rPr>
              <w:t>5.2</w:t>
            </w:r>
          </w:p>
        </w:tc>
        <w:tc>
          <w:tcPr>
            <w:tcW w:w="200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cs="Arial"/>
                <w:kern w:val="0"/>
                <w:sz w:val="22"/>
              </w:rPr>
            </w:pPr>
            <w:r>
              <w:rPr>
                <w:rFonts w:hint="eastAsia" w:cs="Arial"/>
                <w:kern w:val="0"/>
                <w:sz w:val="22"/>
              </w:rPr>
              <w:t>开标程序</w:t>
            </w:r>
          </w:p>
        </w:tc>
        <w:tc>
          <w:tcPr>
            <w:tcW w:w="6487" w:type="dxa"/>
            <w:tcBorders>
              <w:top w:val="single" w:color="auto" w:sz="4" w:space="0"/>
              <w:left w:val="single" w:color="auto" w:sz="4" w:space="0"/>
              <w:bottom w:val="single" w:color="auto" w:sz="4" w:space="0"/>
              <w:right w:val="single" w:color="auto" w:sz="12" w:space="0"/>
            </w:tcBorders>
            <w:vAlign w:val="center"/>
          </w:tcPr>
          <w:p>
            <w:pPr>
              <w:rPr>
                <w:rFonts w:cs="Arial"/>
                <w:kern w:val="0"/>
                <w:sz w:val="22"/>
              </w:rPr>
            </w:pPr>
            <w:r>
              <w:rPr>
                <w:rFonts w:hint="eastAsia" w:cs="Arial"/>
                <w:kern w:val="0"/>
                <w:sz w:val="22"/>
              </w:rPr>
              <w:t>（4）密封情况检查：由投标人或者其集体推选的代表检查投标文件的密封情况。</w:t>
            </w:r>
          </w:p>
          <w:p>
            <w:pPr>
              <w:rPr>
                <w:rFonts w:cs="Arial"/>
                <w:kern w:val="0"/>
                <w:sz w:val="22"/>
              </w:rPr>
            </w:pPr>
            <w:r>
              <w:rPr>
                <w:rFonts w:hint="eastAsia" w:cs="Arial"/>
                <w:kern w:val="0"/>
                <w:sz w:val="22"/>
              </w:rPr>
              <w:t>（5）开标顺序：按照后送达先开的顺序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napToGrid w:val="0"/>
              <w:jc w:val="center"/>
              <w:rPr>
                <w:rFonts w:cs="Arial"/>
                <w:kern w:val="0"/>
                <w:sz w:val="22"/>
              </w:rPr>
            </w:pPr>
            <w:r>
              <w:rPr>
                <w:rFonts w:cs="Arial"/>
                <w:kern w:val="0"/>
                <w:sz w:val="22"/>
              </w:rPr>
              <w:t>6.1.1</w:t>
            </w:r>
          </w:p>
        </w:tc>
        <w:tc>
          <w:tcPr>
            <w:tcW w:w="200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cs="Arial"/>
                <w:kern w:val="0"/>
                <w:sz w:val="22"/>
              </w:rPr>
            </w:pPr>
            <w:r>
              <w:rPr>
                <w:rFonts w:hint="eastAsia" w:cs="Arial"/>
                <w:kern w:val="0"/>
                <w:sz w:val="22"/>
              </w:rPr>
              <w:t>评标委员会的组建</w:t>
            </w:r>
          </w:p>
        </w:tc>
        <w:tc>
          <w:tcPr>
            <w:tcW w:w="6487" w:type="dxa"/>
            <w:tcBorders>
              <w:top w:val="single" w:color="auto" w:sz="4" w:space="0"/>
              <w:left w:val="single" w:color="auto" w:sz="4" w:space="0"/>
              <w:bottom w:val="single" w:color="auto" w:sz="4" w:space="0"/>
              <w:right w:val="single" w:color="auto" w:sz="12" w:space="0"/>
            </w:tcBorders>
            <w:vAlign w:val="center"/>
          </w:tcPr>
          <w:p>
            <w:pPr>
              <w:rPr>
                <w:rFonts w:cs="Arial"/>
                <w:kern w:val="0"/>
                <w:sz w:val="22"/>
              </w:rPr>
            </w:pPr>
            <w:r>
              <w:rPr>
                <w:rFonts w:hint="eastAsia" w:cs="Arial"/>
                <w:kern w:val="0"/>
                <w:sz w:val="22"/>
              </w:rPr>
              <w:t>评标委员会组成人员由招标人自行组建。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napToGrid w:val="0"/>
              <w:jc w:val="center"/>
              <w:rPr>
                <w:rFonts w:cs="Arial"/>
                <w:kern w:val="0"/>
                <w:sz w:val="22"/>
              </w:rPr>
            </w:pPr>
            <w:r>
              <w:rPr>
                <w:rFonts w:cs="Arial"/>
                <w:kern w:val="0"/>
                <w:sz w:val="22"/>
              </w:rPr>
              <w:t>7.1</w:t>
            </w:r>
          </w:p>
        </w:tc>
        <w:tc>
          <w:tcPr>
            <w:tcW w:w="200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cs="Arial"/>
                <w:kern w:val="0"/>
                <w:sz w:val="22"/>
              </w:rPr>
            </w:pPr>
            <w:r>
              <w:rPr>
                <w:rFonts w:hint="eastAsia" w:cs="Arial"/>
                <w:kern w:val="0"/>
                <w:sz w:val="22"/>
              </w:rPr>
              <w:t>是否授权评标委员会确定中标人</w:t>
            </w:r>
          </w:p>
        </w:tc>
        <w:tc>
          <w:tcPr>
            <w:tcW w:w="6487"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napToGrid w:val="0"/>
              <w:rPr>
                <w:rFonts w:cs="Arial"/>
                <w:kern w:val="0"/>
                <w:sz w:val="22"/>
              </w:rPr>
            </w:pPr>
            <w:r>
              <w:rPr>
                <w:rFonts w:cs="Arial"/>
                <w:kern w:val="0"/>
                <w:sz w:val="22"/>
              </w:rPr>
              <w:t>□</w:t>
            </w:r>
            <w:r>
              <w:rPr>
                <w:rFonts w:hint="eastAsia" w:cs="Arial"/>
                <w:kern w:val="0"/>
                <w:sz w:val="22"/>
              </w:rPr>
              <w:t>是</w:t>
            </w:r>
          </w:p>
          <w:p>
            <w:pPr>
              <w:autoSpaceDE w:val="0"/>
              <w:autoSpaceDN w:val="0"/>
              <w:adjustRightInd w:val="0"/>
              <w:snapToGrid w:val="0"/>
              <w:rPr>
                <w:rFonts w:cs="Arial"/>
                <w:kern w:val="0"/>
                <w:sz w:val="22"/>
              </w:rPr>
            </w:pPr>
            <w:r>
              <w:rPr>
                <w:rFonts w:cs="Arial"/>
                <w:kern w:val="0"/>
                <w:sz w:val="22"/>
              </w:rPr>
              <w:sym w:font="Wingdings" w:char="00FE"/>
            </w:r>
            <w:r>
              <w:rPr>
                <w:rFonts w:hint="eastAsia" w:cs="Arial"/>
                <w:kern w:val="0"/>
                <w:sz w:val="22"/>
              </w:rPr>
              <w:t>否，推荐的中标候选人数：</w:t>
            </w:r>
            <w:r>
              <w:rPr>
                <w:rFonts w:cs="Arial"/>
                <w:kern w:val="0"/>
                <w:sz w:val="22"/>
              </w:rPr>
              <w:t>1</w:t>
            </w:r>
            <w:r>
              <w:rPr>
                <w:rFonts w:hint="eastAsia" w:cs="Arial"/>
                <w:kern w:val="0"/>
                <w:sz w:val="22"/>
              </w:rPr>
              <w:t>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napToGrid w:val="0"/>
              <w:jc w:val="center"/>
              <w:rPr>
                <w:rFonts w:cs="Arial"/>
                <w:kern w:val="0"/>
                <w:sz w:val="22"/>
              </w:rPr>
            </w:pPr>
            <w:r>
              <w:rPr>
                <w:rFonts w:cs="Arial"/>
                <w:kern w:val="0"/>
                <w:sz w:val="22"/>
              </w:rPr>
              <w:t>7.3.1</w:t>
            </w:r>
          </w:p>
        </w:tc>
        <w:tc>
          <w:tcPr>
            <w:tcW w:w="200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cs="Arial"/>
                <w:kern w:val="0"/>
                <w:sz w:val="22"/>
              </w:rPr>
            </w:pPr>
            <w:r>
              <w:rPr>
                <w:rFonts w:hint="eastAsia" w:cs="Arial"/>
                <w:kern w:val="0"/>
                <w:sz w:val="22"/>
              </w:rPr>
              <w:t>履约保证金</w:t>
            </w:r>
          </w:p>
        </w:tc>
        <w:tc>
          <w:tcPr>
            <w:tcW w:w="6487"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napToGrid w:val="0"/>
              <w:jc w:val="left"/>
              <w:rPr>
                <w:rFonts w:cs="Arial"/>
                <w:kern w:val="0"/>
                <w:sz w:val="22"/>
              </w:rPr>
            </w:pPr>
            <w:r>
              <w:rPr>
                <w:rFonts w:hint="eastAsia" w:cs="Arial"/>
                <w:kern w:val="0"/>
                <w:sz w:val="22"/>
              </w:rPr>
              <w:t>履约保证金的形式：银行转账</w:t>
            </w:r>
          </w:p>
          <w:p>
            <w:pPr>
              <w:autoSpaceDE w:val="0"/>
              <w:autoSpaceDN w:val="0"/>
              <w:adjustRightInd w:val="0"/>
              <w:snapToGrid w:val="0"/>
              <w:jc w:val="left"/>
              <w:rPr>
                <w:rFonts w:cs="Arial"/>
                <w:kern w:val="0"/>
                <w:sz w:val="22"/>
              </w:rPr>
            </w:pPr>
            <w:r>
              <w:rPr>
                <w:rFonts w:hint="eastAsia" w:cs="Arial"/>
                <w:kern w:val="0"/>
                <w:sz w:val="22"/>
              </w:rPr>
              <w:t>履约保证金的金额：合同总价的</w:t>
            </w:r>
            <w:r>
              <w:rPr>
                <w:rFonts w:cs="Arial"/>
                <w:kern w:val="0"/>
                <w:sz w:val="22"/>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napToGrid w:val="0"/>
              <w:jc w:val="center"/>
              <w:rPr>
                <w:rFonts w:cs="Arial"/>
                <w:kern w:val="0"/>
                <w:sz w:val="22"/>
              </w:rPr>
            </w:pPr>
            <w:r>
              <w:rPr>
                <w:rFonts w:cs="Arial"/>
                <w:kern w:val="0"/>
                <w:sz w:val="22"/>
              </w:rPr>
              <w:t>10</w:t>
            </w:r>
          </w:p>
        </w:tc>
        <w:tc>
          <w:tcPr>
            <w:tcW w:w="8491" w:type="dxa"/>
            <w:gridSpan w:val="2"/>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napToGrid w:val="0"/>
              <w:jc w:val="center"/>
              <w:rPr>
                <w:rFonts w:cs="Arial"/>
                <w:kern w:val="0"/>
                <w:sz w:val="22"/>
              </w:rPr>
            </w:pPr>
            <w:r>
              <w:rPr>
                <w:rFonts w:hint="eastAsia" w:cs="Arial"/>
                <w:kern w:val="0"/>
                <w:sz w:val="22"/>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napToGrid w:val="0"/>
              <w:jc w:val="center"/>
              <w:rPr>
                <w:rFonts w:cs="Arial"/>
                <w:kern w:val="0"/>
                <w:sz w:val="22"/>
              </w:rPr>
            </w:pPr>
            <w:r>
              <w:rPr>
                <w:rFonts w:cs="Arial"/>
                <w:kern w:val="0"/>
                <w:sz w:val="22"/>
              </w:rPr>
              <w:t>10.2</w:t>
            </w:r>
          </w:p>
        </w:tc>
        <w:tc>
          <w:tcPr>
            <w:tcW w:w="2004" w:type="dxa"/>
            <w:tcBorders>
              <w:top w:val="single" w:color="auto" w:sz="4" w:space="0"/>
              <w:left w:val="single" w:color="auto" w:sz="4" w:space="0"/>
              <w:bottom w:val="single" w:color="auto" w:sz="4" w:space="0"/>
              <w:right w:val="single" w:color="auto" w:sz="4" w:space="0"/>
            </w:tcBorders>
            <w:vAlign w:val="center"/>
          </w:tcPr>
          <w:p>
            <w:pPr>
              <w:pStyle w:val="50"/>
              <w:rPr>
                <w:rFonts w:cs="Arial"/>
                <w:kern w:val="0"/>
                <w:sz w:val="22"/>
                <w:szCs w:val="22"/>
              </w:rPr>
            </w:pPr>
            <w:r>
              <w:rPr>
                <w:rFonts w:hint="eastAsia" w:cs="Arial"/>
                <w:kern w:val="0"/>
                <w:sz w:val="22"/>
                <w:szCs w:val="22"/>
              </w:rPr>
              <w:t>其他</w:t>
            </w:r>
          </w:p>
        </w:tc>
        <w:tc>
          <w:tcPr>
            <w:tcW w:w="6487" w:type="dxa"/>
            <w:tcBorders>
              <w:top w:val="single" w:color="auto" w:sz="4" w:space="0"/>
              <w:left w:val="single" w:color="auto" w:sz="4" w:space="0"/>
              <w:bottom w:val="single" w:color="auto" w:sz="4" w:space="0"/>
              <w:right w:val="single" w:color="auto" w:sz="12" w:space="0"/>
            </w:tcBorders>
            <w:shd w:val="clear" w:color="auto" w:fill="FFFFFF"/>
            <w:vAlign w:val="center"/>
          </w:tcPr>
          <w:p>
            <w:pPr>
              <w:adjustRightInd w:val="0"/>
              <w:snapToGrid w:val="0"/>
              <w:rPr>
                <w:rFonts w:cs="Arial"/>
                <w:kern w:val="0"/>
                <w:sz w:val="22"/>
              </w:rPr>
            </w:pPr>
            <w:r>
              <w:rPr>
                <w:rFonts w:cs="Arial"/>
                <w:kern w:val="0"/>
                <w:sz w:val="22"/>
              </w:rPr>
              <w:t>1</w:t>
            </w:r>
            <w:r>
              <w:rPr>
                <w:rFonts w:hint="eastAsia" w:cs="Arial"/>
                <w:kern w:val="0"/>
                <w:sz w:val="22"/>
              </w:rPr>
              <w:t>、投标人如发现招标文件及其评标办法中存在含糊不清、相互矛盾、多种含义以及歧视性不公正条款或违法违规等内容时，请在投标截止十日前向招标人书面反映，逾期不得再对招标文件的条款提出质疑。</w:t>
            </w:r>
          </w:p>
          <w:p>
            <w:pPr>
              <w:adjustRightInd w:val="0"/>
              <w:snapToGrid w:val="0"/>
              <w:rPr>
                <w:rFonts w:cs="Arial"/>
                <w:kern w:val="0"/>
                <w:sz w:val="22"/>
              </w:rPr>
            </w:pPr>
            <w:r>
              <w:rPr>
                <w:rFonts w:cs="Arial"/>
                <w:kern w:val="0"/>
                <w:sz w:val="22"/>
              </w:rPr>
              <w:t>2</w:t>
            </w:r>
            <w:r>
              <w:rPr>
                <w:rFonts w:hint="eastAsia" w:cs="Arial"/>
                <w:kern w:val="0"/>
                <w:sz w:val="22"/>
              </w:rPr>
              <w:t>、本前附表内容与招标文件其他内容不一致之处，以本前附表为准。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tcBorders>
              <w:top w:val="single" w:color="auto" w:sz="4" w:space="0"/>
              <w:left w:val="single" w:color="auto" w:sz="12" w:space="0"/>
              <w:bottom w:val="single" w:color="auto" w:sz="12" w:space="0"/>
              <w:right w:val="single" w:color="auto" w:sz="4" w:space="0"/>
            </w:tcBorders>
            <w:vAlign w:val="center"/>
          </w:tcPr>
          <w:p>
            <w:pPr>
              <w:autoSpaceDE w:val="0"/>
              <w:autoSpaceDN w:val="0"/>
              <w:adjustRightInd w:val="0"/>
              <w:snapToGrid w:val="0"/>
              <w:jc w:val="center"/>
              <w:rPr>
                <w:rFonts w:cs="Arial"/>
                <w:kern w:val="0"/>
                <w:sz w:val="22"/>
              </w:rPr>
            </w:pPr>
            <w:r>
              <w:rPr>
                <w:rFonts w:cs="Arial"/>
                <w:kern w:val="0"/>
                <w:sz w:val="22"/>
              </w:rPr>
              <w:t>10.3</w:t>
            </w:r>
          </w:p>
        </w:tc>
        <w:tc>
          <w:tcPr>
            <w:tcW w:w="2004" w:type="dxa"/>
            <w:tcBorders>
              <w:top w:val="single" w:color="auto" w:sz="4" w:space="0"/>
              <w:left w:val="single" w:color="auto" w:sz="4" w:space="0"/>
              <w:bottom w:val="single" w:color="auto" w:sz="12" w:space="0"/>
              <w:right w:val="single" w:color="auto" w:sz="4" w:space="0"/>
            </w:tcBorders>
            <w:vAlign w:val="center"/>
          </w:tcPr>
          <w:p>
            <w:pPr>
              <w:pStyle w:val="50"/>
              <w:rPr>
                <w:rFonts w:cs="Arial"/>
                <w:kern w:val="0"/>
              </w:rPr>
            </w:pPr>
            <w:r>
              <w:rPr>
                <w:rFonts w:hint="eastAsia" w:cs="Arial"/>
                <w:kern w:val="0"/>
              </w:rPr>
              <w:t>备注</w:t>
            </w:r>
          </w:p>
        </w:tc>
        <w:tc>
          <w:tcPr>
            <w:tcW w:w="6487" w:type="dxa"/>
            <w:tcBorders>
              <w:top w:val="single" w:color="auto" w:sz="4" w:space="0"/>
              <w:left w:val="single" w:color="auto" w:sz="4" w:space="0"/>
              <w:bottom w:val="single" w:color="auto" w:sz="12" w:space="0"/>
              <w:right w:val="single" w:color="auto" w:sz="12" w:space="0"/>
            </w:tcBorders>
            <w:shd w:val="clear" w:color="auto" w:fill="FFFFFF"/>
            <w:vAlign w:val="center"/>
          </w:tcPr>
          <w:p>
            <w:pPr>
              <w:adjustRightInd w:val="0"/>
              <w:snapToGrid w:val="0"/>
              <w:rPr>
                <w:rFonts w:cs="Arial"/>
                <w:kern w:val="0"/>
                <w:sz w:val="22"/>
              </w:rPr>
            </w:pPr>
            <w:r>
              <w:rPr>
                <w:rFonts w:hint="eastAsia" w:cs="Arial"/>
                <w:kern w:val="0"/>
                <w:sz w:val="22"/>
              </w:rPr>
              <w:t>本前附表内容与招标文件其他内容不一致之处，以本前附表为准。</w:t>
            </w:r>
          </w:p>
        </w:tc>
      </w:tr>
    </w:tbl>
    <w:p>
      <w:pPr>
        <w:autoSpaceDE w:val="0"/>
        <w:autoSpaceDN w:val="0"/>
        <w:adjustRightInd w:val="0"/>
        <w:snapToGrid w:val="0"/>
        <w:spacing w:line="400" w:lineRule="exact"/>
        <w:rPr>
          <w:b/>
        </w:rPr>
      </w:pPr>
    </w:p>
    <w:p>
      <w:pPr>
        <w:autoSpaceDE w:val="0"/>
        <w:autoSpaceDN w:val="0"/>
        <w:adjustRightInd w:val="0"/>
        <w:snapToGrid w:val="0"/>
        <w:spacing w:line="360" w:lineRule="exact"/>
        <w:rPr>
          <w:rFonts w:ascii="宋体" w:hAnsi="宋体" w:cs="Calibri"/>
          <w:b/>
          <w:bCs/>
          <w:kern w:val="0"/>
          <w:sz w:val="22"/>
        </w:rPr>
      </w:pPr>
      <w:r>
        <w:rPr>
          <w:b/>
        </w:rPr>
        <w:br w:type="page"/>
      </w:r>
      <w:bookmarkEnd w:id="3"/>
      <w:r>
        <w:rPr>
          <w:rFonts w:hint="eastAsia" w:ascii="宋体" w:hAnsi="宋体" w:cs="Calibri"/>
          <w:b/>
          <w:bCs/>
          <w:kern w:val="0"/>
          <w:sz w:val="22"/>
        </w:rPr>
        <w:t>1.总则</w:t>
      </w:r>
    </w:p>
    <w:p>
      <w:pPr>
        <w:autoSpaceDE w:val="0"/>
        <w:autoSpaceDN w:val="0"/>
        <w:adjustRightInd w:val="0"/>
        <w:snapToGrid w:val="0"/>
        <w:spacing w:line="360" w:lineRule="exact"/>
        <w:rPr>
          <w:rFonts w:ascii="宋体" w:hAnsi="宋体" w:cs="Calibri"/>
          <w:b/>
          <w:bCs/>
          <w:kern w:val="0"/>
          <w:sz w:val="22"/>
        </w:rPr>
      </w:pPr>
      <w:r>
        <w:rPr>
          <w:rFonts w:hint="eastAsia" w:ascii="宋体" w:hAnsi="宋体" w:cs="Calibri"/>
          <w:b/>
          <w:bCs/>
          <w:kern w:val="0"/>
          <w:sz w:val="22"/>
        </w:rPr>
        <w:t>1.1 项目概况</w:t>
      </w:r>
    </w:p>
    <w:p>
      <w:pPr>
        <w:adjustRightInd w:val="0"/>
        <w:snapToGrid w:val="0"/>
        <w:spacing w:line="360" w:lineRule="exact"/>
        <w:ind w:firstLine="440"/>
        <w:rPr>
          <w:rFonts w:ascii="宋体" w:hAnsi="宋体" w:cs="Calibri"/>
          <w:color w:val="000000"/>
          <w:kern w:val="0"/>
          <w:sz w:val="22"/>
        </w:rPr>
      </w:pPr>
      <w:r>
        <w:rPr>
          <w:rFonts w:hint="eastAsia" w:ascii="宋体" w:hAnsi="宋体" w:cs="Calibri"/>
          <w:color w:val="000000"/>
          <w:kern w:val="0"/>
          <w:sz w:val="22"/>
        </w:rPr>
        <w:t>1.1.1项目名称见投标人须知前附表。根据《中华人民共和国招标投标法》、《中华人民共和国招标投标法实施条例》等有关法律、法规和规章的规定，本招标项目已具备招标条件，现对本项目进行招标。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360" w:lineRule="exact"/>
        <w:ind w:firstLine="440"/>
        <w:rPr>
          <w:rFonts w:ascii="宋体" w:hAnsi="宋体" w:cs="Calibri"/>
          <w:color w:val="000000"/>
          <w:sz w:val="22"/>
        </w:rPr>
      </w:pPr>
      <w:r>
        <w:rPr>
          <w:rFonts w:hint="eastAsia" w:ascii="宋体" w:hAnsi="宋体" w:cs="Calibri"/>
          <w:color w:val="000000"/>
          <w:kern w:val="0"/>
          <w:sz w:val="22"/>
        </w:rPr>
        <w:t>1.1.2项目交货地点见投标人须知前附表</w:t>
      </w:r>
      <w:r>
        <w:rPr>
          <w:rFonts w:hint="eastAsia" w:ascii="宋体" w:hAnsi="宋体" w:cs="Calibri"/>
          <w:color w:val="000000"/>
          <w:sz w:val="22"/>
        </w:rPr>
        <w:t>。</w:t>
      </w:r>
    </w:p>
    <w:p>
      <w:pPr>
        <w:autoSpaceDE w:val="0"/>
        <w:autoSpaceDN w:val="0"/>
        <w:adjustRightInd w:val="0"/>
        <w:snapToGrid w:val="0"/>
        <w:spacing w:line="360" w:lineRule="exact"/>
        <w:rPr>
          <w:rFonts w:ascii="宋体" w:hAnsi="宋体" w:cs="Calibri"/>
          <w:b/>
          <w:bCs/>
          <w:kern w:val="0"/>
          <w:sz w:val="22"/>
        </w:rPr>
      </w:pPr>
      <w:bookmarkStart w:id="6" w:name="_Toc9136"/>
      <w:r>
        <w:rPr>
          <w:rFonts w:hint="eastAsia" w:ascii="宋体" w:hAnsi="宋体" w:cs="Calibri"/>
          <w:b/>
          <w:bCs/>
          <w:kern w:val="0"/>
          <w:sz w:val="22"/>
        </w:rPr>
        <w:t>1.2 资金来源</w:t>
      </w:r>
      <w:bookmarkEnd w:id="6"/>
    </w:p>
    <w:p>
      <w:pPr>
        <w:adjustRightInd w:val="0"/>
        <w:snapToGrid w:val="0"/>
        <w:spacing w:line="360" w:lineRule="exact"/>
        <w:ind w:firstLine="440"/>
        <w:rPr>
          <w:rFonts w:ascii="宋体" w:hAnsi="宋体" w:cs="Calibri"/>
          <w:color w:val="000000"/>
          <w:sz w:val="22"/>
        </w:rPr>
      </w:pPr>
      <w:r>
        <w:rPr>
          <w:rFonts w:hint="eastAsia"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7" w:name="_Toc10673"/>
      <w:r>
        <w:rPr>
          <w:rFonts w:hint="eastAsia" w:ascii="宋体" w:hAnsi="宋体" w:cs="Calibri"/>
          <w:b/>
          <w:bCs/>
          <w:kern w:val="0"/>
          <w:sz w:val="22"/>
        </w:rPr>
        <w:t>1.3 招标</w:t>
      </w:r>
      <w:bookmarkEnd w:id="7"/>
      <w:r>
        <w:rPr>
          <w:rFonts w:hint="eastAsia" w:ascii="宋体" w:hAnsi="宋体" w:cs="Calibri"/>
          <w:b/>
          <w:bCs/>
          <w:kern w:val="0"/>
          <w:sz w:val="22"/>
        </w:rPr>
        <w:t>内容</w:t>
      </w:r>
    </w:p>
    <w:p>
      <w:pPr>
        <w:adjustRightInd w:val="0"/>
        <w:snapToGrid w:val="0"/>
        <w:spacing w:line="360" w:lineRule="exact"/>
        <w:ind w:firstLine="440"/>
        <w:rPr>
          <w:rFonts w:ascii="宋体" w:hAnsi="宋体" w:cs="Calibri"/>
          <w:color w:val="000000"/>
          <w:sz w:val="22"/>
        </w:rPr>
      </w:pPr>
      <w:r>
        <w:rPr>
          <w:rFonts w:hint="eastAsia"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8" w:name="_Toc718"/>
      <w:r>
        <w:rPr>
          <w:rFonts w:hint="eastAsia" w:ascii="宋体" w:hAnsi="宋体" w:cs="Calibri"/>
          <w:b/>
          <w:bCs/>
          <w:kern w:val="0"/>
          <w:sz w:val="22"/>
        </w:rPr>
        <w:t>1.4 招标方式</w:t>
      </w:r>
      <w:bookmarkEnd w:id="8"/>
    </w:p>
    <w:p>
      <w:pPr>
        <w:adjustRightInd w:val="0"/>
        <w:snapToGrid w:val="0"/>
        <w:spacing w:line="360" w:lineRule="exact"/>
        <w:ind w:firstLine="440"/>
        <w:rPr>
          <w:rFonts w:ascii="宋体" w:hAnsi="宋体" w:cs="Calibri"/>
          <w:color w:val="000000"/>
          <w:sz w:val="22"/>
        </w:rPr>
      </w:pPr>
      <w:r>
        <w:rPr>
          <w:rFonts w:hint="eastAsia"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9" w:name="_Toc9161"/>
      <w:r>
        <w:rPr>
          <w:rFonts w:hint="eastAsia" w:ascii="宋体" w:hAnsi="宋体" w:cs="Calibri"/>
          <w:b/>
          <w:bCs/>
          <w:kern w:val="0"/>
          <w:sz w:val="22"/>
        </w:rPr>
        <w:t>1.5 资格审查</w:t>
      </w:r>
      <w:bookmarkEnd w:id="9"/>
    </w:p>
    <w:p>
      <w:pPr>
        <w:adjustRightInd w:val="0"/>
        <w:snapToGrid w:val="0"/>
        <w:spacing w:line="360" w:lineRule="exact"/>
        <w:ind w:firstLine="440"/>
        <w:rPr>
          <w:rFonts w:ascii="宋体" w:hAnsi="宋体" w:cs="Calibri"/>
          <w:color w:val="000000"/>
          <w:sz w:val="22"/>
        </w:rPr>
      </w:pPr>
      <w:r>
        <w:rPr>
          <w:rFonts w:hint="eastAsia"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10" w:name="_Toc13012"/>
      <w:r>
        <w:rPr>
          <w:rFonts w:hint="eastAsia" w:ascii="宋体" w:hAnsi="宋体" w:cs="Calibri"/>
          <w:b/>
          <w:bCs/>
          <w:kern w:val="0"/>
          <w:sz w:val="22"/>
        </w:rPr>
        <w:t>1.6 投标人资质条件、能力和信誉</w:t>
      </w:r>
      <w:bookmarkEnd w:id="10"/>
    </w:p>
    <w:p>
      <w:pPr>
        <w:adjustRightInd w:val="0"/>
        <w:snapToGrid w:val="0"/>
        <w:spacing w:line="360" w:lineRule="exact"/>
        <w:ind w:firstLine="440"/>
        <w:rPr>
          <w:rFonts w:ascii="宋体" w:hAnsi="宋体" w:cs="Calibri"/>
          <w:color w:val="000000"/>
          <w:sz w:val="22"/>
        </w:rPr>
      </w:pPr>
      <w:r>
        <w:rPr>
          <w:rFonts w:hint="eastAsia"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11" w:name="_Toc2796"/>
      <w:r>
        <w:rPr>
          <w:rFonts w:hint="eastAsia" w:ascii="宋体" w:hAnsi="宋体" w:cs="Calibri"/>
          <w:b/>
          <w:bCs/>
          <w:kern w:val="0"/>
          <w:sz w:val="22"/>
        </w:rPr>
        <w:t>1.7供货期</w:t>
      </w:r>
      <w:bookmarkEnd w:id="11"/>
    </w:p>
    <w:p>
      <w:pPr>
        <w:adjustRightInd w:val="0"/>
        <w:snapToGrid w:val="0"/>
        <w:spacing w:line="360" w:lineRule="exact"/>
        <w:ind w:firstLine="440"/>
        <w:rPr>
          <w:rFonts w:ascii="宋体" w:hAnsi="宋体" w:cs="Calibri"/>
          <w:color w:val="000000"/>
          <w:sz w:val="22"/>
        </w:rPr>
      </w:pPr>
      <w:r>
        <w:rPr>
          <w:rFonts w:hint="eastAsia"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r>
        <w:rPr>
          <w:rFonts w:hint="eastAsia" w:ascii="宋体" w:hAnsi="宋体" w:cs="Calibri"/>
          <w:b/>
          <w:bCs/>
          <w:kern w:val="0"/>
          <w:sz w:val="22"/>
        </w:rPr>
        <w:t>1.8 质量要求</w:t>
      </w:r>
    </w:p>
    <w:p>
      <w:pPr>
        <w:adjustRightInd w:val="0"/>
        <w:snapToGrid w:val="0"/>
        <w:spacing w:line="360" w:lineRule="exact"/>
        <w:ind w:firstLine="440"/>
        <w:rPr>
          <w:rFonts w:ascii="宋体" w:hAnsi="宋体" w:cs="Calibri"/>
          <w:color w:val="000000"/>
          <w:sz w:val="22"/>
        </w:rPr>
      </w:pPr>
      <w:bookmarkStart w:id="12" w:name="_Toc13907"/>
      <w:r>
        <w:rPr>
          <w:rFonts w:hint="eastAsia"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r>
        <w:rPr>
          <w:rFonts w:hint="eastAsia" w:ascii="宋体" w:hAnsi="宋体" w:cs="Calibri"/>
          <w:b/>
          <w:bCs/>
          <w:kern w:val="0"/>
          <w:sz w:val="22"/>
        </w:rPr>
        <w:t>1.9 踏勘现场</w:t>
      </w:r>
      <w:bookmarkEnd w:id="12"/>
    </w:p>
    <w:p>
      <w:pPr>
        <w:adjustRightInd w:val="0"/>
        <w:snapToGrid w:val="0"/>
        <w:spacing w:line="360" w:lineRule="exact"/>
        <w:ind w:firstLine="440"/>
        <w:rPr>
          <w:rFonts w:ascii="宋体" w:hAnsi="宋体" w:cs="Calibri"/>
          <w:color w:val="000000"/>
          <w:sz w:val="22"/>
        </w:rPr>
      </w:pPr>
      <w:r>
        <w:rPr>
          <w:rFonts w:hint="eastAsia" w:ascii="宋体" w:hAnsi="宋体" w:cs="Calibri"/>
          <w:sz w:val="22"/>
        </w:rPr>
        <w:t>1.9.1</w:t>
      </w:r>
      <w:r>
        <w:rPr>
          <w:rFonts w:hint="eastAsia" w:ascii="宋体" w:hAnsi="宋体" w:cs="Calibri"/>
          <w:color w:val="000000"/>
          <w:sz w:val="22"/>
        </w:rPr>
        <w:t>投标人须知前附表规定组织踏勘现场的，招标人按投标人须知前附表规定的时间、地点组织投标人踏勘项目现场。</w:t>
      </w:r>
    </w:p>
    <w:p>
      <w:pPr>
        <w:adjustRightInd w:val="0"/>
        <w:snapToGrid w:val="0"/>
        <w:spacing w:line="360" w:lineRule="exact"/>
        <w:ind w:firstLine="440"/>
        <w:rPr>
          <w:rFonts w:ascii="宋体" w:hAnsi="宋体" w:cs="Calibri"/>
          <w:color w:val="000000"/>
          <w:sz w:val="22"/>
        </w:rPr>
      </w:pPr>
      <w:r>
        <w:rPr>
          <w:rFonts w:hint="eastAsia" w:ascii="宋体" w:hAnsi="宋体" w:cs="Calibri"/>
          <w:color w:val="000000"/>
          <w:sz w:val="22"/>
        </w:rPr>
        <w:t>1.9.2 投标人踏勘现场发生的费用自理。</w:t>
      </w:r>
    </w:p>
    <w:p>
      <w:pPr>
        <w:adjustRightInd w:val="0"/>
        <w:snapToGrid w:val="0"/>
        <w:spacing w:line="360" w:lineRule="exact"/>
        <w:ind w:firstLine="440"/>
        <w:rPr>
          <w:rFonts w:ascii="宋体" w:hAnsi="宋体" w:cs="Calibri"/>
          <w:color w:val="000000"/>
          <w:sz w:val="22"/>
        </w:rPr>
      </w:pPr>
      <w:r>
        <w:rPr>
          <w:rFonts w:hint="eastAsia" w:ascii="宋体" w:hAnsi="宋体" w:cs="Calibri"/>
          <w:color w:val="000000"/>
          <w:sz w:val="22"/>
        </w:rPr>
        <w:t>1.9.3 投标人自行负责在踏勘现场中所发生的人员伤亡和财产损失。</w:t>
      </w:r>
    </w:p>
    <w:p>
      <w:pPr>
        <w:adjustRightInd w:val="0"/>
        <w:snapToGrid w:val="0"/>
        <w:spacing w:line="360" w:lineRule="exact"/>
        <w:ind w:firstLine="440"/>
        <w:rPr>
          <w:rFonts w:ascii="宋体" w:hAnsi="宋体" w:cs="Calibri"/>
          <w:color w:val="000000"/>
          <w:sz w:val="22"/>
        </w:rPr>
      </w:pPr>
      <w:r>
        <w:rPr>
          <w:rFonts w:hint="eastAsia" w:ascii="宋体" w:hAnsi="宋体" w:cs="Calibri"/>
          <w:color w:val="000000"/>
          <w:sz w:val="22"/>
        </w:rPr>
        <w:t>1.9.4 招标人向投标人提供的有关现场的数据和资料，仅供投标人在编制投标文件时参考，招标人不对投标人据此作出的判断和决策负责。</w:t>
      </w:r>
    </w:p>
    <w:p>
      <w:pPr>
        <w:autoSpaceDE w:val="0"/>
        <w:autoSpaceDN w:val="0"/>
        <w:adjustRightInd w:val="0"/>
        <w:snapToGrid w:val="0"/>
        <w:spacing w:line="360" w:lineRule="exact"/>
        <w:rPr>
          <w:rFonts w:ascii="宋体" w:hAnsi="宋体" w:cs="Calibri"/>
          <w:b/>
          <w:bCs/>
          <w:kern w:val="0"/>
          <w:sz w:val="22"/>
        </w:rPr>
      </w:pPr>
      <w:bookmarkStart w:id="13" w:name="_Toc4199"/>
      <w:r>
        <w:rPr>
          <w:rFonts w:hint="eastAsia" w:ascii="宋体" w:hAnsi="宋体" w:cs="Calibri"/>
          <w:b/>
          <w:bCs/>
          <w:kern w:val="0"/>
          <w:sz w:val="22"/>
        </w:rPr>
        <w:t>1.10 投标预备会</w:t>
      </w:r>
      <w:bookmarkEnd w:id="13"/>
    </w:p>
    <w:p>
      <w:pPr>
        <w:adjustRightInd w:val="0"/>
        <w:snapToGrid w:val="0"/>
        <w:spacing w:line="360" w:lineRule="exact"/>
        <w:ind w:firstLine="440"/>
        <w:rPr>
          <w:rFonts w:ascii="宋体" w:hAnsi="宋体" w:cs="Calibri"/>
          <w:color w:val="000000"/>
          <w:sz w:val="22"/>
        </w:rPr>
      </w:pPr>
      <w:r>
        <w:rPr>
          <w:rFonts w:hint="eastAsia"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14" w:name="_Toc4584"/>
      <w:r>
        <w:rPr>
          <w:rFonts w:hint="eastAsia" w:ascii="宋体" w:hAnsi="宋体" w:cs="Calibri"/>
          <w:b/>
          <w:bCs/>
          <w:kern w:val="0"/>
          <w:sz w:val="22"/>
        </w:rPr>
        <w:t>1.11 分包</w:t>
      </w:r>
      <w:bookmarkEnd w:id="14"/>
    </w:p>
    <w:p>
      <w:pPr>
        <w:adjustRightInd w:val="0"/>
        <w:snapToGrid w:val="0"/>
        <w:spacing w:line="360" w:lineRule="exact"/>
        <w:ind w:firstLine="440"/>
        <w:rPr>
          <w:rFonts w:ascii="宋体" w:hAnsi="宋体" w:cs="Calibri"/>
          <w:color w:val="000000"/>
          <w:sz w:val="22"/>
        </w:rPr>
      </w:pPr>
      <w:r>
        <w:rPr>
          <w:rFonts w:hint="eastAsia" w:ascii="宋体" w:hAnsi="宋体" w:cs="Calibri"/>
          <w:color w:val="000000"/>
          <w:sz w:val="22"/>
        </w:rPr>
        <w:t>本项目涉及到其它专业的部分分项工作允许分包。</w:t>
      </w:r>
    </w:p>
    <w:p>
      <w:pPr>
        <w:autoSpaceDE w:val="0"/>
        <w:autoSpaceDN w:val="0"/>
        <w:adjustRightInd w:val="0"/>
        <w:snapToGrid w:val="0"/>
        <w:spacing w:line="360" w:lineRule="exact"/>
        <w:rPr>
          <w:rFonts w:ascii="宋体" w:hAnsi="宋体" w:cs="Calibri"/>
          <w:b/>
          <w:bCs/>
          <w:kern w:val="0"/>
          <w:sz w:val="22"/>
        </w:rPr>
      </w:pPr>
      <w:bookmarkStart w:id="15" w:name="_Toc3996"/>
      <w:r>
        <w:rPr>
          <w:rFonts w:hint="eastAsia" w:ascii="宋体" w:hAnsi="宋体" w:cs="Calibri"/>
          <w:b/>
          <w:bCs/>
          <w:kern w:val="0"/>
          <w:sz w:val="22"/>
        </w:rPr>
        <w:t>1.12 投标费用</w:t>
      </w:r>
      <w:bookmarkEnd w:id="15"/>
    </w:p>
    <w:p>
      <w:pPr>
        <w:adjustRightInd w:val="0"/>
        <w:snapToGrid w:val="0"/>
        <w:spacing w:line="360" w:lineRule="exact"/>
        <w:ind w:firstLine="440"/>
        <w:rPr>
          <w:rFonts w:ascii="宋体" w:hAnsi="宋体" w:cs="Calibri"/>
          <w:color w:val="000000"/>
          <w:sz w:val="22"/>
        </w:rPr>
      </w:pPr>
      <w:r>
        <w:rPr>
          <w:rFonts w:hint="eastAsia" w:ascii="宋体" w:hAnsi="宋体" w:cs="Calibri"/>
          <w:color w:val="000000"/>
          <w:sz w:val="22"/>
        </w:rPr>
        <w:t>投标人在投标过程中的一切费用，不论中标与否，均由投标人自理。</w:t>
      </w:r>
    </w:p>
    <w:p>
      <w:pPr>
        <w:autoSpaceDE w:val="0"/>
        <w:autoSpaceDN w:val="0"/>
        <w:adjustRightInd w:val="0"/>
        <w:snapToGrid w:val="0"/>
        <w:spacing w:line="360" w:lineRule="exact"/>
        <w:rPr>
          <w:rFonts w:ascii="宋体" w:hAnsi="宋体" w:cs="Calibri"/>
          <w:b/>
          <w:bCs/>
          <w:kern w:val="0"/>
          <w:sz w:val="22"/>
        </w:rPr>
      </w:pPr>
      <w:bookmarkStart w:id="16" w:name="_Toc143421657"/>
      <w:bookmarkStart w:id="17" w:name="_Toc15241"/>
      <w:r>
        <w:rPr>
          <w:rFonts w:hint="eastAsia" w:ascii="宋体" w:hAnsi="宋体" w:cs="Calibri"/>
          <w:b/>
          <w:bCs/>
          <w:kern w:val="0"/>
          <w:sz w:val="22"/>
        </w:rPr>
        <w:t>2.招标文件</w:t>
      </w:r>
      <w:bookmarkEnd w:id="16"/>
      <w:bookmarkEnd w:id="17"/>
    </w:p>
    <w:p>
      <w:pPr>
        <w:autoSpaceDE w:val="0"/>
        <w:autoSpaceDN w:val="0"/>
        <w:adjustRightInd w:val="0"/>
        <w:snapToGrid w:val="0"/>
        <w:spacing w:line="360" w:lineRule="exact"/>
        <w:rPr>
          <w:rFonts w:ascii="宋体" w:hAnsi="宋体" w:cs="Calibri"/>
          <w:b/>
          <w:bCs/>
          <w:kern w:val="0"/>
          <w:sz w:val="22"/>
        </w:rPr>
      </w:pPr>
      <w:bookmarkStart w:id="18" w:name="_Toc1426"/>
      <w:r>
        <w:rPr>
          <w:rFonts w:hint="eastAsia" w:ascii="宋体" w:hAnsi="宋体" w:cs="Calibri"/>
          <w:b/>
          <w:bCs/>
          <w:kern w:val="0"/>
          <w:sz w:val="22"/>
        </w:rPr>
        <w:t>2.1 招标文件的组成</w:t>
      </w:r>
      <w:bookmarkEnd w:id="18"/>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本招标文件包括：</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（1）招标公告</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（2）投标人须知</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（3）货物需求一览表及技术规格</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（4）合同条款</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（5）评标办法及标准</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（6）投标文件格式</w:t>
      </w:r>
    </w:p>
    <w:p>
      <w:pPr>
        <w:adjustRightInd w:val="0"/>
        <w:snapToGrid w:val="0"/>
        <w:spacing w:line="360" w:lineRule="exact"/>
        <w:ind w:firstLine="440"/>
        <w:rPr>
          <w:rFonts w:ascii="宋体" w:hAnsi="宋体" w:cs="Calibri"/>
          <w:kern w:val="0"/>
          <w:sz w:val="22"/>
        </w:rPr>
      </w:pPr>
      <w:r>
        <w:rPr>
          <w:rFonts w:hint="eastAsia" w:ascii="宋体" w:hAnsi="宋体" w:cs="Calibri"/>
          <w:sz w:val="22"/>
        </w:rPr>
        <w:t>根据本须知第2.2款和2.3款对招标文件做出的澄清、修改，构成招标文件的组成部分。</w:t>
      </w:r>
    </w:p>
    <w:p>
      <w:pPr>
        <w:autoSpaceDE w:val="0"/>
        <w:autoSpaceDN w:val="0"/>
        <w:adjustRightInd w:val="0"/>
        <w:snapToGrid w:val="0"/>
        <w:spacing w:line="360" w:lineRule="exact"/>
        <w:rPr>
          <w:rFonts w:ascii="宋体" w:hAnsi="宋体" w:cs="Calibri"/>
          <w:b/>
          <w:bCs/>
          <w:kern w:val="0"/>
          <w:sz w:val="22"/>
        </w:rPr>
      </w:pPr>
      <w:bookmarkStart w:id="19" w:name="_Toc18230"/>
      <w:r>
        <w:rPr>
          <w:rFonts w:hint="eastAsia" w:ascii="宋体" w:hAnsi="宋体" w:cs="Calibri"/>
          <w:b/>
          <w:bCs/>
          <w:kern w:val="0"/>
          <w:sz w:val="22"/>
        </w:rPr>
        <w:t>2.2 招标文件的澄清</w:t>
      </w:r>
      <w:bookmarkEnd w:id="19"/>
    </w:p>
    <w:p>
      <w:pPr>
        <w:adjustRightInd w:val="0"/>
        <w:snapToGrid w:val="0"/>
        <w:spacing w:line="360" w:lineRule="exact"/>
        <w:ind w:firstLine="440"/>
        <w:rPr>
          <w:rFonts w:ascii="宋体" w:hAnsi="宋体" w:cs="Calibri"/>
          <w:color w:val="000000"/>
          <w:sz w:val="22"/>
        </w:rPr>
      </w:pPr>
      <w:r>
        <w:rPr>
          <w:rFonts w:hint="eastAsia" w:ascii="宋体" w:hAnsi="宋体" w:cs="Calibri"/>
          <w:color w:val="000000"/>
          <w:sz w:val="22"/>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360" w:lineRule="exact"/>
        <w:ind w:firstLine="440"/>
        <w:rPr>
          <w:rFonts w:ascii="宋体" w:hAnsi="宋体" w:cs="Calibri"/>
          <w:color w:val="000000"/>
          <w:sz w:val="22"/>
        </w:rPr>
      </w:pPr>
      <w:r>
        <w:rPr>
          <w:rFonts w:hint="eastAsia" w:ascii="宋体" w:hAnsi="宋体" w:cs="Calibri"/>
          <w:color w:val="000000"/>
          <w:sz w:val="22"/>
        </w:rPr>
        <w:t>2.2.2</w:t>
      </w:r>
      <w:r>
        <w:rPr>
          <w:rFonts w:hint="eastAsia" w:cs="Calibri"/>
          <w:color w:val="000000"/>
          <w:szCs w:val="21"/>
        </w:rPr>
        <w:t>招标人将视情况采用补充公告的方式予以澄清。</w:t>
      </w:r>
    </w:p>
    <w:p>
      <w:pPr>
        <w:autoSpaceDE w:val="0"/>
        <w:autoSpaceDN w:val="0"/>
        <w:adjustRightInd w:val="0"/>
        <w:snapToGrid w:val="0"/>
        <w:spacing w:line="360" w:lineRule="exact"/>
        <w:rPr>
          <w:rFonts w:ascii="宋体" w:hAnsi="宋体" w:cs="Calibri"/>
          <w:b/>
          <w:bCs/>
          <w:kern w:val="0"/>
          <w:sz w:val="22"/>
        </w:rPr>
      </w:pPr>
      <w:bookmarkStart w:id="20" w:name="_Toc18303"/>
      <w:r>
        <w:rPr>
          <w:rFonts w:hint="eastAsia" w:ascii="宋体" w:hAnsi="宋体" w:cs="Calibri"/>
          <w:b/>
          <w:bCs/>
          <w:kern w:val="0"/>
          <w:sz w:val="22"/>
        </w:rPr>
        <w:t>2.3 招标文件的修改</w:t>
      </w:r>
      <w:bookmarkEnd w:id="20"/>
    </w:p>
    <w:p>
      <w:pPr>
        <w:adjustRightInd w:val="0"/>
        <w:snapToGrid w:val="0"/>
        <w:spacing w:line="360" w:lineRule="exact"/>
        <w:ind w:firstLine="440"/>
        <w:rPr>
          <w:rFonts w:ascii="宋体" w:hAnsi="宋体" w:cs="Calibri"/>
          <w:color w:val="000000"/>
          <w:sz w:val="22"/>
        </w:rPr>
      </w:pPr>
      <w:r>
        <w:rPr>
          <w:rFonts w:hint="eastAsia" w:ascii="宋体" w:hAnsi="宋体" w:cs="Calibri"/>
          <w:color w:val="000000"/>
          <w:kern w:val="0"/>
          <w:sz w:val="22"/>
        </w:rPr>
        <w:t>2.3.1</w:t>
      </w: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utoSpaceDE w:val="0"/>
        <w:autoSpaceDN w:val="0"/>
        <w:adjustRightInd w:val="0"/>
        <w:snapToGrid w:val="0"/>
        <w:spacing w:line="360" w:lineRule="exact"/>
        <w:rPr>
          <w:rFonts w:ascii="宋体" w:hAnsi="宋体" w:cs="Calibri"/>
          <w:b/>
          <w:bCs/>
          <w:kern w:val="0"/>
          <w:sz w:val="22"/>
        </w:rPr>
      </w:pPr>
      <w:bookmarkStart w:id="21" w:name="_Toc18870"/>
      <w:bookmarkStart w:id="22" w:name="_Toc143421658"/>
      <w:r>
        <w:rPr>
          <w:rFonts w:hint="eastAsia" w:ascii="宋体" w:hAnsi="宋体" w:cs="Calibri"/>
          <w:b/>
          <w:bCs/>
          <w:kern w:val="0"/>
          <w:sz w:val="22"/>
        </w:rPr>
        <w:t>3.投标文件</w:t>
      </w:r>
      <w:bookmarkEnd w:id="21"/>
      <w:bookmarkEnd w:id="22"/>
    </w:p>
    <w:p>
      <w:pPr>
        <w:autoSpaceDE w:val="0"/>
        <w:autoSpaceDN w:val="0"/>
        <w:adjustRightInd w:val="0"/>
        <w:snapToGrid w:val="0"/>
        <w:spacing w:line="360" w:lineRule="exact"/>
        <w:rPr>
          <w:rFonts w:ascii="宋体" w:hAnsi="宋体" w:cs="Calibri"/>
          <w:b/>
          <w:bCs/>
          <w:kern w:val="0"/>
          <w:sz w:val="22"/>
        </w:rPr>
      </w:pPr>
      <w:bookmarkStart w:id="23" w:name="_Toc461"/>
      <w:r>
        <w:rPr>
          <w:rFonts w:hint="eastAsia" w:ascii="宋体" w:hAnsi="宋体" w:cs="Calibri"/>
          <w:b/>
          <w:bCs/>
          <w:kern w:val="0"/>
          <w:sz w:val="22"/>
        </w:rPr>
        <w:t>3.1 投标文件的语言和计量单位</w:t>
      </w:r>
      <w:bookmarkEnd w:id="23"/>
    </w:p>
    <w:p>
      <w:pPr>
        <w:adjustRightInd w:val="0"/>
        <w:snapToGrid w:val="0"/>
        <w:spacing w:line="360" w:lineRule="exact"/>
        <w:ind w:firstLine="440"/>
        <w:rPr>
          <w:rFonts w:ascii="宋体" w:hAnsi="宋体" w:cs="Calibri"/>
          <w:kern w:val="0"/>
          <w:sz w:val="22"/>
        </w:rPr>
      </w:pPr>
      <w:r>
        <w:rPr>
          <w:rFonts w:hint="eastAsia" w:ascii="宋体" w:hAnsi="宋体" w:cs="Calibri"/>
          <w:sz w:val="22"/>
        </w:rPr>
        <w:t>3.1.1投标文件与投标有关的所有文件均应使用中文。</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3.1.2除规范另有规定外，投标文件使用的度量衡单位，均采用中华人民共和国法定计量单位。</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3.1.3招标文件中的“天”除特别说明外，均为日历天。</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3.1.4招标文件中所指的“合同”除特别说明外，指“销售（供货）合同”。</w:t>
      </w:r>
    </w:p>
    <w:p>
      <w:pPr>
        <w:autoSpaceDE w:val="0"/>
        <w:autoSpaceDN w:val="0"/>
        <w:adjustRightInd w:val="0"/>
        <w:snapToGrid w:val="0"/>
        <w:spacing w:line="360" w:lineRule="exact"/>
        <w:rPr>
          <w:rFonts w:ascii="宋体" w:hAnsi="宋体" w:cs="Calibri"/>
          <w:b/>
          <w:bCs/>
          <w:kern w:val="0"/>
          <w:sz w:val="22"/>
        </w:rPr>
      </w:pPr>
      <w:bookmarkStart w:id="24" w:name="_Toc1411"/>
      <w:r>
        <w:rPr>
          <w:rFonts w:hint="eastAsia" w:ascii="宋体" w:hAnsi="宋体" w:cs="Calibri"/>
          <w:b/>
          <w:bCs/>
          <w:kern w:val="0"/>
          <w:sz w:val="22"/>
        </w:rPr>
        <w:t>3.2 投标文件的组成</w:t>
      </w:r>
      <w:bookmarkEnd w:id="24"/>
    </w:p>
    <w:p>
      <w:pPr>
        <w:adjustRightInd w:val="0"/>
        <w:snapToGrid w:val="0"/>
        <w:spacing w:line="360" w:lineRule="exact"/>
        <w:ind w:firstLine="440"/>
        <w:rPr>
          <w:rFonts w:ascii="宋体" w:hAnsi="宋体" w:cs="Calibri"/>
          <w:sz w:val="22"/>
        </w:rPr>
      </w:pPr>
      <w:bookmarkStart w:id="25" w:name="_Toc32225"/>
      <w:r>
        <w:rPr>
          <w:rFonts w:hint="eastAsia" w:ascii="宋体" w:hAnsi="宋体" w:cs="Calibri"/>
          <w:sz w:val="22"/>
        </w:rPr>
        <w:t>3.2.1投标函；</w:t>
      </w:r>
    </w:p>
    <w:p>
      <w:pPr>
        <w:adjustRightInd w:val="0"/>
        <w:snapToGrid w:val="0"/>
        <w:spacing w:line="360" w:lineRule="exact"/>
        <w:ind w:firstLine="440"/>
        <w:rPr>
          <w:rFonts w:ascii="宋体" w:hAnsi="宋体" w:cs="Calibri"/>
          <w:color w:val="000000"/>
          <w:sz w:val="22"/>
        </w:rPr>
      </w:pPr>
      <w:r>
        <w:rPr>
          <w:rFonts w:hint="eastAsia" w:ascii="宋体" w:hAnsi="宋体" w:cs="Calibri"/>
          <w:color w:val="000000"/>
          <w:sz w:val="22"/>
        </w:rPr>
        <w:t>3.2.2法定代表人资格证明书；</w:t>
      </w:r>
    </w:p>
    <w:p>
      <w:pPr>
        <w:adjustRightInd w:val="0"/>
        <w:snapToGrid w:val="0"/>
        <w:spacing w:line="360" w:lineRule="exact"/>
        <w:ind w:firstLine="440"/>
        <w:rPr>
          <w:rFonts w:ascii="宋体" w:hAnsi="宋体" w:cs="Calibri"/>
          <w:color w:val="000000"/>
          <w:sz w:val="22"/>
        </w:rPr>
      </w:pPr>
      <w:r>
        <w:rPr>
          <w:rFonts w:hint="eastAsia" w:ascii="宋体" w:hAnsi="宋体" w:cs="Calibri"/>
          <w:color w:val="000000"/>
          <w:sz w:val="22"/>
        </w:rPr>
        <w:t>3.2.3授权委托书；</w:t>
      </w:r>
    </w:p>
    <w:p>
      <w:pPr>
        <w:adjustRightInd w:val="0"/>
        <w:snapToGrid w:val="0"/>
        <w:spacing w:line="360" w:lineRule="exact"/>
        <w:ind w:firstLine="440"/>
        <w:rPr>
          <w:rFonts w:ascii="宋体" w:hAnsi="宋体" w:cs="Calibri"/>
          <w:color w:val="000000"/>
          <w:sz w:val="22"/>
        </w:rPr>
      </w:pPr>
      <w:r>
        <w:rPr>
          <w:rFonts w:hint="eastAsia" w:ascii="宋体" w:hAnsi="宋体" w:cs="Calibri"/>
          <w:color w:val="000000"/>
          <w:sz w:val="22"/>
        </w:rPr>
        <w:t>3.2.4 投标报价表；</w:t>
      </w:r>
    </w:p>
    <w:p>
      <w:pPr>
        <w:adjustRightInd w:val="0"/>
        <w:snapToGrid w:val="0"/>
        <w:spacing w:line="360" w:lineRule="exact"/>
        <w:ind w:firstLine="440"/>
        <w:rPr>
          <w:rFonts w:ascii="宋体" w:hAnsi="宋体" w:cs="Calibri"/>
          <w:sz w:val="22"/>
        </w:rPr>
      </w:pPr>
      <w:r>
        <w:rPr>
          <w:rFonts w:hint="eastAsia" w:ascii="宋体" w:hAnsi="宋体" w:cs="Calibri"/>
          <w:sz w:val="22"/>
        </w:rPr>
        <w:t>3.2.5投标人资格证明文件：</w:t>
      </w:r>
    </w:p>
    <w:p>
      <w:pPr>
        <w:adjustRightInd w:val="0"/>
        <w:snapToGrid w:val="0"/>
        <w:spacing w:line="360" w:lineRule="exact"/>
        <w:ind w:firstLine="440"/>
        <w:rPr>
          <w:rFonts w:ascii="宋体" w:hAnsi="宋体" w:cs="Calibri"/>
          <w:sz w:val="22"/>
        </w:rPr>
      </w:pPr>
      <w:r>
        <w:rPr>
          <w:rFonts w:hint="eastAsia" w:ascii="宋体" w:hAnsi="宋体" w:cs="Calibri"/>
          <w:sz w:val="22"/>
        </w:rPr>
        <w:t>（1）</w:t>
      </w:r>
      <w:r>
        <w:rPr>
          <w:rFonts w:hint="eastAsia" w:ascii="宋体" w:hAnsi="宋体" w:cs="Calibri"/>
          <w:color w:val="000000"/>
          <w:sz w:val="22"/>
        </w:rPr>
        <w:t>投标人一般情况及有关证明投标人法律地位的文件</w:t>
      </w:r>
      <w:r>
        <w:rPr>
          <w:rFonts w:hint="eastAsia" w:ascii="宋体" w:hAnsi="宋体" w:cs="Calibri"/>
          <w:sz w:val="22"/>
        </w:rPr>
        <w:t>（附营业执照、税务登记证、一般纳税人证明材料、相关产品质量认证证书</w:t>
      </w:r>
      <w:r>
        <w:rPr>
          <w:rFonts w:hint="eastAsia" w:ascii="宋体" w:hAnsi="宋体" w:cs="Arial"/>
          <w:kern w:val="0"/>
          <w:sz w:val="22"/>
        </w:rPr>
        <w:t>、</w:t>
      </w:r>
      <w:r>
        <w:rPr>
          <w:rFonts w:hint="eastAsia" w:ascii="宋体" w:hAnsi="宋体" w:cs="Calibri"/>
          <w:sz w:val="22"/>
        </w:rPr>
        <w:t>相关产品鉴定证书等）。</w:t>
      </w:r>
    </w:p>
    <w:p>
      <w:pPr>
        <w:adjustRightInd w:val="0"/>
        <w:snapToGrid w:val="0"/>
        <w:spacing w:line="360" w:lineRule="exact"/>
        <w:ind w:firstLine="440"/>
        <w:rPr>
          <w:rFonts w:ascii="宋体" w:hAnsi="宋体" w:cs="Arial"/>
          <w:kern w:val="0"/>
          <w:sz w:val="22"/>
        </w:rPr>
      </w:pPr>
      <w:r>
        <w:rPr>
          <w:rFonts w:hint="eastAsia" w:ascii="宋体" w:hAnsi="宋体" w:cs="Calibri"/>
          <w:sz w:val="22"/>
        </w:rPr>
        <w:t>（2）</w:t>
      </w:r>
      <w:r>
        <w:rPr>
          <w:rFonts w:hint="eastAsia" w:ascii="宋体" w:hAnsi="宋体" w:cs="宋体"/>
          <w:sz w:val="22"/>
        </w:rPr>
        <w:t>制造商资格声明（若有）</w:t>
      </w:r>
      <w:r>
        <w:rPr>
          <w:rFonts w:hint="eastAsia" w:ascii="宋体" w:hAnsi="宋体" w:cs="Arial"/>
          <w:kern w:val="0"/>
          <w:sz w:val="22"/>
        </w:rPr>
        <w:t>。</w:t>
      </w:r>
    </w:p>
    <w:p>
      <w:pPr>
        <w:adjustRightInd w:val="0"/>
        <w:snapToGrid w:val="0"/>
        <w:spacing w:line="360" w:lineRule="exact"/>
        <w:ind w:firstLine="440"/>
        <w:rPr>
          <w:rFonts w:ascii="宋体" w:hAnsi="宋体" w:cs="Arial"/>
          <w:kern w:val="0"/>
          <w:sz w:val="22"/>
        </w:rPr>
      </w:pPr>
      <w:r>
        <w:rPr>
          <w:rFonts w:hint="eastAsia" w:ascii="宋体" w:hAnsi="宋体" w:cs="Arial"/>
          <w:kern w:val="0"/>
          <w:sz w:val="22"/>
        </w:rPr>
        <w:t>（3）</w:t>
      </w:r>
      <w:r>
        <w:rPr>
          <w:rFonts w:hint="eastAsia" w:ascii="宋体" w:hAnsi="宋体" w:cs="Calibri"/>
          <w:color w:val="000000"/>
          <w:sz w:val="22"/>
        </w:rPr>
        <w:t>设备制造商的授权书（代理商投标时提供，若有）</w:t>
      </w:r>
    </w:p>
    <w:p>
      <w:pPr>
        <w:adjustRightInd w:val="0"/>
        <w:snapToGrid w:val="0"/>
        <w:spacing w:line="360" w:lineRule="exact"/>
        <w:ind w:firstLine="440"/>
        <w:rPr>
          <w:rFonts w:ascii="宋体" w:hAnsi="宋体" w:cs="宋体"/>
          <w:sz w:val="22"/>
        </w:rPr>
      </w:pPr>
      <w:r>
        <w:rPr>
          <w:rFonts w:hint="eastAsia" w:ascii="宋体" w:hAnsi="宋体" w:cs="Calibri"/>
          <w:sz w:val="22"/>
        </w:rPr>
        <w:t>3.2.6</w:t>
      </w:r>
      <w:r>
        <w:rPr>
          <w:rFonts w:hint="eastAsia" w:ascii="宋体" w:hAnsi="宋体" w:cs="宋体"/>
          <w:sz w:val="22"/>
        </w:rPr>
        <w:t>技术规格偏离表；</w:t>
      </w:r>
    </w:p>
    <w:p>
      <w:pPr>
        <w:adjustRightInd w:val="0"/>
        <w:snapToGrid w:val="0"/>
        <w:spacing w:line="360" w:lineRule="exact"/>
        <w:ind w:firstLine="440"/>
        <w:rPr>
          <w:rFonts w:ascii="宋体" w:hAnsi="宋体" w:cs="Calibri"/>
          <w:sz w:val="22"/>
        </w:rPr>
      </w:pPr>
      <w:r>
        <w:rPr>
          <w:rFonts w:hint="eastAsia" w:ascii="宋体" w:hAnsi="宋体" w:cs="宋体"/>
          <w:sz w:val="22"/>
        </w:rPr>
        <w:t>3.2.7 商务条款响应偏离表；</w:t>
      </w:r>
    </w:p>
    <w:p>
      <w:pPr>
        <w:adjustRightInd w:val="0"/>
        <w:snapToGrid w:val="0"/>
        <w:spacing w:line="360" w:lineRule="exact"/>
        <w:ind w:firstLine="440"/>
        <w:rPr>
          <w:rFonts w:ascii="宋体" w:hAnsi="宋体" w:cs="宋体"/>
          <w:sz w:val="22"/>
        </w:rPr>
      </w:pPr>
      <w:r>
        <w:rPr>
          <w:rFonts w:hint="eastAsia" w:ascii="宋体" w:hAnsi="宋体" w:cs="宋体"/>
          <w:sz w:val="22"/>
        </w:rPr>
        <w:t>3.2.8系统设备供货范围（包括设备数量、型号规格、产地、品牌），进口零部件详细清单（需说明产地、品牌）；</w:t>
      </w:r>
    </w:p>
    <w:p>
      <w:pPr>
        <w:adjustRightInd w:val="0"/>
        <w:snapToGrid w:val="0"/>
        <w:spacing w:line="360" w:lineRule="exact"/>
        <w:ind w:firstLine="440"/>
        <w:rPr>
          <w:rFonts w:ascii="宋体" w:hAnsi="宋体" w:cs="宋体"/>
          <w:sz w:val="22"/>
        </w:rPr>
      </w:pPr>
      <w:r>
        <w:rPr>
          <w:rFonts w:hint="eastAsia" w:ascii="宋体" w:hAnsi="宋体" w:cs="宋体"/>
          <w:sz w:val="22"/>
        </w:rPr>
        <w:t>3.2.9技术参数、结构及性能特点等产品技术规格书；</w:t>
      </w:r>
    </w:p>
    <w:p>
      <w:pPr>
        <w:adjustRightInd w:val="0"/>
        <w:snapToGrid w:val="0"/>
        <w:spacing w:line="360" w:lineRule="exact"/>
        <w:ind w:firstLine="440"/>
        <w:rPr>
          <w:rFonts w:ascii="宋体" w:hAnsi="宋体" w:cs="宋体"/>
          <w:sz w:val="22"/>
        </w:rPr>
      </w:pPr>
      <w:r>
        <w:rPr>
          <w:rFonts w:hint="eastAsia" w:ascii="宋体" w:hAnsi="宋体" w:cs="宋体"/>
          <w:sz w:val="22"/>
        </w:rPr>
        <w:t>3.2.10主要原材料及部件性能和生产厂家；</w:t>
      </w:r>
    </w:p>
    <w:p>
      <w:pPr>
        <w:adjustRightInd w:val="0"/>
        <w:snapToGrid w:val="0"/>
        <w:spacing w:line="360" w:lineRule="exact"/>
        <w:ind w:firstLine="440"/>
        <w:rPr>
          <w:rFonts w:ascii="宋体" w:hAnsi="宋体" w:cs="宋体"/>
          <w:sz w:val="22"/>
        </w:rPr>
      </w:pPr>
      <w:r>
        <w:rPr>
          <w:rFonts w:hint="eastAsia" w:ascii="宋体" w:hAnsi="宋体" w:cs="宋体"/>
          <w:sz w:val="22"/>
        </w:rPr>
        <w:t>3.2.11产品制造、安装、验收标准和验收方法；</w:t>
      </w:r>
    </w:p>
    <w:p>
      <w:pPr>
        <w:adjustRightInd w:val="0"/>
        <w:snapToGrid w:val="0"/>
        <w:spacing w:line="360" w:lineRule="exact"/>
        <w:ind w:firstLine="440"/>
        <w:rPr>
          <w:rFonts w:ascii="宋体" w:hAnsi="宋体" w:cs="宋体"/>
          <w:sz w:val="22"/>
        </w:rPr>
      </w:pPr>
      <w:r>
        <w:rPr>
          <w:rFonts w:hint="eastAsia" w:ascii="宋体" w:hAnsi="宋体" w:cs="宋体"/>
          <w:sz w:val="22"/>
        </w:rPr>
        <w:t>3.2.12现场指导、调试；</w:t>
      </w:r>
    </w:p>
    <w:p>
      <w:pPr>
        <w:adjustRightInd w:val="0"/>
        <w:snapToGrid w:val="0"/>
        <w:spacing w:line="360" w:lineRule="exact"/>
        <w:ind w:firstLine="440"/>
        <w:rPr>
          <w:rFonts w:ascii="宋体" w:hAnsi="宋体" w:cs="宋体"/>
          <w:sz w:val="22"/>
        </w:rPr>
      </w:pPr>
      <w:r>
        <w:rPr>
          <w:rFonts w:hint="eastAsia" w:ascii="宋体" w:hAnsi="宋体" w:cs="宋体"/>
          <w:sz w:val="22"/>
        </w:rPr>
        <w:t>3.2.13产品的技术服务和售后服务的内容、措施、承诺；</w:t>
      </w:r>
    </w:p>
    <w:p>
      <w:pPr>
        <w:adjustRightInd w:val="0"/>
        <w:snapToGrid w:val="0"/>
        <w:spacing w:line="360" w:lineRule="exact"/>
        <w:ind w:firstLine="440"/>
        <w:rPr>
          <w:rFonts w:ascii="宋体" w:hAnsi="宋体" w:cs="宋体"/>
          <w:sz w:val="22"/>
        </w:rPr>
      </w:pPr>
      <w:r>
        <w:rPr>
          <w:rFonts w:hint="eastAsia" w:ascii="宋体" w:hAnsi="宋体" w:cs="宋体"/>
          <w:sz w:val="22"/>
        </w:rPr>
        <w:t>3.2.15关于质量保证期的说明；</w:t>
      </w:r>
    </w:p>
    <w:p>
      <w:pPr>
        <w:adjustRightInd w:val="0"/>
        <w:snapToGrid w:val="0"/>
        <w:spacing w:line="360" w:lineRule="exact"/>
        <w:ind w:firstLine="440"/>
        <w:rPr>
          <w:rFonts w:ascii="宋体" w:hAnsi="宋体" w:cs="宋体"/>
          <w:sz w:val="22"/>
        </w:rPr>
      </w:pPr>
      <w:r>
        <w:rPr>
          <w:rFonts w:hint="eastAsia" w:ascii="宋体" w:hAnsi="宋体" w:cs="宋体"/>
          <w:sz w:val="22"/>
        </w:rPr>
        <w:t>3.2.16优惠条件：投标人承诺给予用户的其他优惠条款，包括付款条件、培训服务、质量保证期等方面的优惠；</w:t>
      </w:r>
    </w:p>
    <w:p>
      <w:pPr>
        <w:adjustRightInd w:val="0"/>
        <w:snapToGrid w:val="0"/>
        <w:spacing w:line="360" w:lineRule="exact"/>
        <w:ind w:firstLine="440"/>
        <w:rPr>
          <w:rFonts w:ascii="宋体" w:hAnsi="宋体" w:cs="宋体"/>
          <w:sz w:val="22"/>
        </w:rPr>
      </w:pPr>
      <w:r>
        <w:rPr>
          <w:rFonts w:hint="eastAsia" w:ascii="宋体" w:hAnsi="宋体" w:cs="宋体"/>
          <w:sz w:val="22"/>
        </w:rPr>
        <w:t>3.2.17</w:t>
      </w:r>
      <w:r>
        <w:rPr>
          <w:rFonts w:hint="eastAsia" w:ascii="宋体" w:hAnsi="宋体" w:cs="Arial"/>
          <w:color w:val="000000"/>
          <w:sz w:val="22"/>
        </w:rPr>
        <w:t>柜台设计方案</w:t>
      </w:r>
    </w:p>
    <w:p>
      <w:pPr>
        <w:autoSpaceDE w:val="0"/>
        <w:autoSpaceDN w:val="0"/>
        <w:adjustRightInd w:val="0"/>
        <w:snapToGrid w:val="0"/>
        <w:spacing w:line="360" w:lineRule="exact"/>
        <w:rPr>
          <w:rFonts w:ascii="宋体" w:hAnsi="宋体" w:cs="Calibri"/>
          <w:b/>
          <w:bCs/>
          <w:kern w:val="0"/>
          <w:sz w:val="22"/>
        </w:rPr>
      </w:pPr>
      <w:r>
        <w:rPr>
          <w:rFonts w:hint="eastAsia" w:ascii="宋体" w:hAnsi="宋体" w:cs="Calibri"/>
          <w:b/>
          <w:bCs/>
          <w:kern w:val="0"/>
          <w:sz w:val="22"/>
        </w:rPr>
        <w:t>3.3 投标报价</w:t>
      </w:r>
      <w:bookmarkEnd w:id="25"/>
    </w:p>
    <w:p>
      <w:pPr>
        <w:adjustRightInd w:val="0"/>
        <w:snapToGrid w:val="0"/>
        <w:spacing w:line="360" w:lineRule="exact"/>
        <w:ind w:firstLine="440"/>
        <w:rPr>
          <w:rFonts w:ascii="宋体" w:hAnsi="宋体" w:cs="Calibri"/>
          <w:sz w:val="22"/>
        </w:rPr>
      </w:pPr>
      <w:bookmarkStart w:id="26" w:name="_Toc13307"/>
      <w:r>
        <w:rPr>
          <w:rFonts w:hint="eastAsia" w:ascii="宋体" w:hAnsi="宋体" w:cs="Calibri"/>
          <w:sz w:val="22"/>
        </w:rPr>
        <w:t>3.3.1</w:t>
      </w:r>
      <w:r>
        <w:rPr>
          <w:rFonts w:hint="eastAsia" w:ascii="宋体" w:hAnsi="宋体" w:cs="宋体"/>
          <w:sz w:val="22"/>
        </w:rPr>
        <w:t>投标人递交的投标函及投标报价表中的投标总价必须一致。</w:t>
      </w:r>
      <w:r>
        <w:rPr>
          <w:rFonts w:hint="eastAsia" w:ascii="宋体" w:hAnsi="宋体" w:cs="Calibri"/>
          <w:sz w:val="22"/>
        </w:rPr>
        <w:t>投标人对该项目只允许有一个总报价，招标人不接受任何有选择的报价及修正报价；</w:t>
      </w:r>
    </w:p>
    <w:p>
      <w:pPr>
        <w:adjustRightInd w:val="0"/>
        <w:snapToGrid w:val="0"/>
        <w:spacing w:line="360" w:lineRule="exact"/>
        <w:ind w:firstLine="440"/>
        <w:rPr>
          <w:rFonts w:ascii="宋体" w:hAnsi="宋体" w:cs="宋体"/>
          <w:bCs/>
          <w:sz w:val="22"/>
        </w:rPr>
      </w:pPr>
      <w:r>
        <w:rPr>
          <w:rFonts w:hint="eastAsia" w:ascii="宋体" w:hAnsi="宋体" w:cs="Calibri"/>
          <w:sz w:val="22"/>
        </w:rPr>
        <w:t>3.3.2</w:t>
      </w:r>
      <w:r>
        <w:rPr>
          <w:rFonts w:hint="eastAsia" w:ascii="宋体" w:hAnsi="宋体" w:cs="宋体"/>
          <w:sz w:val="22"/>
        </w:rPr>
        <w:t>投标人所报投标总价应为投标人为完成本项目所发生的一切费用（包含并不限于货物的供货、运输（包括送至招标人指定地点卸车）、包装费、保险费、税费、验收、技术培训及售后服务等），包括货物供货及相关服务等全过程产生的所有成本和费用以及一切税费</w:t>
      </w:r>
      <w:r>
        <w:rPr>
          <w:rFonts w:hint="eastAsia" w:ascii="宋体" w:hAnsi="宋体" w:cs="Calibri"/>
          <w:sz w:val="22"/>
        </w:rPr>
        <w:t>；</w:t>
      </w:r>
    </w:p>
    <w:p>
      <w:pPr>
        <w:adjustRightInd w:val="0"/>
        <w:snapToGrid w:val="0"/>
        <w:spacing w:line="360" w:lineRule="exact"/>
        <w:ind w:firstLine="440"/>
        <w:rPr>
          <w:rFonts w:ascii="宋体" w:hAnsi="宋体" w:cs="宋体"/>
          <w:sz w:val="22"/>
        </w:rPr>
      </w:pPr>
      <w:r>
        <w:rPr>
          <w:rFonts w:hint="eastAsia" w:ascii="宋体" w:hAnsi="宋体" w:cs="Calibri"/>
          <w:sz w:val="22"/>
        </w:rPr>
        <w:t>3.3.3</w:t>
      </w:r>
      <w:r>
        <w:rPr>
          <w:rFonts w:hint="eastAsia" w:ascii="宋体" w:hAnsi="宋体" w:cs="宋体"/>
          <w:sz w:val="22"/>
        </w:rPr>
        <w:t>投标人应按“投标报价表”的要求报价，在投标报价表上写明拟提供货物的单价和总价；</w:t>
      </w:r>
    </w:p>
    <w:p>
      <w:pPr>
        <w:adjustRightInd w:val="0"/>
        <w:snapToGrid w:val="0"/>
        <w:spacing w:line="360" w:lineRule="exact"/>
        <w:ind w:firstLine="440"/>
        <w:rPr>
          <w:rFonts w:ascii="宋体" w:hAnsi="宋体" w:cs="Calibri"/>
          <w:sz w:val="22"/>
        </w:rPr>
      </w:pPr>
      <w:r>
        <w:rPr>
          <w:rFonts w:hint="eastAsia" w:ascii="宋体" w:hAnsi="宋体" w:cs="Calibri"/>
          <w:sz w:val="22"/>
        </w:rPr>
        <w:t>3.3.4</w:t>
      </w:r>
      <w:r>
        <w:rPr>
          <w:rFonts w:hint="eastAsia" w:ascii="宋体" w:hAnsi="宋体" w:cs="宋体"/>
          <w:sz w:val="22"/>
        </w:rPr>
        <w:t>如果投标人认为为圆满完成本项目还有其他需要单独计价的配合工作，则应列明具体的细目和金额。所有与本项目有关的未列入“投标报价表”的工作内容，均被认为已经包含在其他细目及投标总价中。</w:t>
      </w:r>
    </w:p>
    <w:p>
      <w:pPr>
        <w:adjustRightInd w:val="0"/>
        <w:snapToGrid w:val="0"/>
        <w:spacing w:line="360" w:lineRule="exact"/>
        <w:ind w:firstLine="440"/>
        <w:rPr>
          <w:rFonts w:ascii="宋体" w:hAnsi="宋体" w:cs="Calibri"/>
          <w:sz w:val="22"/>
        </w:rPr>
      </w:pPr>
      <w:r>
        <w:rPr>
          <w:rFonts w:hint="eastAsia" w:ascii="宋体" w:hAnsi="宋体" w:cs="Calibri"/>
          <w:sz w:val="22"/>
        </w:rPr>
        <w:t>3.3.5投标人(如中标)在投标文件中提供的货物清单和报价将是签订合同的唯一依据，其报价在本次投标有效期内不能发生改变（</w:t>
      </w:r>
      <w:r>
        <w:rPr>
          <w:rFonts w:hint="eastAsia" w:ascii="宋体" w:hAnsi="宋体" w:cs="宋体"/>
          <w:sz w:val="22"/>
        </w:rPr>
        <w:t>招标人变更除外）</w:t>
      </w:r>
      <w:r>
        <w:rPr>
          <w:rFonts w:hint="eastAsia" w:ascii="宋体" w:hAnsi="宋体" w:cs="Calibri"/>
          <w:sz w:val="22"/>
        </w:rPr>
        <w:t>。如有改变，招标人将拒绝与其签订合同。</w:t>
      </w:r>
    </w:p>
    <w:p>
      <w:pPr>
        <w:adjustRightInd w:val="0"/>
        <w:snapToGrid w:val="0"/>
        <w:spacing w:line="360" w:lineRule="exact"/>
        <w:ind w:firstLine="440"/>
        <w:rPr>
          <w:rFonts w:ascii="宋体" w:hAnsi="宋体" w:cs="Calibri"/>
          <w:sz w:val="22"/>
        </w:rPr>
      </w:pPr>
      <w:r>
        <w:rPr>
          <w:rFonts w:hint="eastAsia" w:ascii="宋体" w:hAnsi="宋体" w:cs="Calibri"/>
          <w:sz w:val="22"/>
        </w:rPr>
        <w:t>3.3.6投标人对每种货物只允许有一个报价。</w:t>
      </w:r>
    </w:p>
    <w:p>
      <w:pPr>
        <w:adjustRightInd w:val="0"/>
        <w:snapToGrid w:val="0"/>
        <w:spacing w:line="360" w:lineRule="exact"/>
        <w:ind w:firstLine="440"/>
        <w:rPr>
          <w:rFonts w:ascii="宋体" w:hAnsi="宋体" w:cs="Calibri"/>
          <w:sz w:val="22"/>
        </w:rPr>
      </w:pPr>
      <w:r>
        <w:rPr>
          <w:rFonts w:hint="eastAsia" w:ascii="宋体" w:hAnsi="宋体" w:cs="Calibri"/>
          <w:sz w:val="22"/>
        </w:rPr>
        <w:t>3.3.7招标人不接受任何折扣优惠报价，不接受任何赠送和选择性报价。</w:t>
      </w:r>
    </w:p>
    <w:p>
      <w:pPr>
        <w:adjustRightInd w:val="0"/>
        <w:snapToGrid w:val="0"/>
        <w:spacing w:line="360" w:lineRule="exact"/>
        <w:ind w:firstLine="440"/>
        <w:rPr>
          <w:rFonts w:ascii="宋体" w:hAnsi="宋体" w:cs="Calibri"/>
          <w:sz w:val="22"/>
        </w:rPr>
      </w:pPr>
      <w:r>
        <w:rPr>
          <w:rFonts w:hint="eastAsia" w:ascii="宋体" w:hAnsi="宋体" w:cs="Calibri"/>
          <w:sz w:val="22"/>
        </w:rPr>
        <w:t>3.3.8所有根据合同或其它原因应由投标人支付的税款和其它应交纳的费用都要包括在投标人提交的投标价格中。</w:t>
      </w:r>
    </w:p>
    <w:p>
      <w:pPr>
        <w:adjustRightInd w:val="0"/>
        <w:snapToGrid w:val="0"/>
        <w:spacing w:line="360" w:lineRule="exact"/>
        <w:ind w:firstLine="440"/>
        <w:rPr>
          <w:rFonts w:ascii="宋体" w:hAnsi="宋体" w:cs="Calibri"/>
          <w:sz w:val="22"/>
        </w:rPr>
      </w:pPr>
      <w:r>
        <w:rPr>
          <w:rFonts w:hint="eastAsia" w:ascii="宋体" w:hAnsi="宋体" w:cs="Calibri"/>
          <w:sz w:val="22"/>
        </w:rPr>
        <w:t>3.3.9其它须在报价中考虑的因素：</w:t>
      </w:r>
    </w:p>
    <w:p>
      <w:pPr>
        <w:adjustRightInd w:val="0"/>
        <w:snapToGrid w:val="0"/>
        <w:spacing w:line="360" w:lineRule="exact"/>
        <w:ind w:firstLine="440"/>
        <w:rPr>
          <w:rFonts w:ascii="宋体" w:hAnsi="宋体" w:cs="Calibri"/>
          <w:sz w:val="22"/>
        </w:rPr>
      </w:pPr>
      <w:r>
        <w:rPr>
          <w:rFonts w:hint="eastAsia" w:ascii="宋体" w:hAnsi="宋体" w:cs="Calibri"/>
          <w:sz w:val="22"/>
        </w:rPr>
        <w:t>（1）本项目在安装期间，应注意保护好招标人现有成品，如有损坏，须无条件修复至招标人满意，各投标人须自行考虑相关费用并计入投标总价且一次性包干。</w:t>
      </w:r>
    </w:p>
    <w:p>
      <w:pPr>
        <w:adjustRightInd w:val="0"/>
        <w:snapToGrid w:val="0"/>
        <w:spacing w:line="360" w:lineRule="exact"/>
        <w:ind w:firstLine="440"/>
        <w:rPr>
          <w:rFonts w:ascii="宋体" w:hAnsi="宋体" w:cs="Calibri"/>
          <w:sz w:val="22"/>
        </w:rPr>
      </w:pPr>
      <w:r>
        <w:rPr>
          <w:rFonts w:hint="eastAsia" w:ascii="宋体" w:hAnsi="宋体" w:cs="Calibri"/>
          <w:sz w:val="22"/>
        </w:rPr>
        <w:t>（2）交付验收前产品的保护费由投标人自行考虑并计入总价。</w:t>
      </w:r>
    </w:p>
    <w:p>
      <w:pPr>
        <w:adjustRightInd w:val="0"/>
        <w:snapToGrid w:val="0"/>
        <w:spacing w:line="360" w:lineRule="exact"/>
        <w:ind w:firstLine="440"/>
        <w:rPr>
          <w:rFonts w:ascii="宋体" w:hAnsi="宋体" w:cs="Calibri"/>
          <w:sz w:val="22"/>
        </w:rPr>
      </w:pPr>
      <w:r>
        <w:rPr>
          <w:rFonts w:hint="eastAsia" w:ascii="宋体" w:hAnsi="宋体" w:cs="Calibri"/>
          <w:sz w:val="22"/>
        </w:rPr>
        <w:t>（3）投标人安装过程中需自行负责现场人员生命、财产安全，自行解决与现场人员的劳务关系纠纷，可能产生的费用计入投标总价。</w:t>
      </w:r>
    </w:p>
    <w:p>
      <w:pPr>
        <w:adjustRightInd w:val="0"/>
        <w:snapToGrid w:val="0"/>
        <w:spacing w:line="360" w:lineRule="exact"/>
        <w:ind w:firstLine="440"/>
        <w:rPr>
          <w:rFonts w:ascii="宋体" w:hAnsi="宋体" w:cs="Calibri"/>
          <w:sz w:val="22"/>
        </w:rPr>
      </w:pPr>
      <w:r>
        <w:rPr>
          <w:rFonts w:hint="eastAsia" w:ascii="宋体" w:hAnsi="宋体" w:cs="Calibri"/>
          <w:sz w:val="22"/>
        </w:rPr>
        <w:t>3.3.10</w:t>
      </w:r>
      <w:r>
        <w:rPr>
          <w:rFonts w:hint="eastAsia" w:cs="Calibri" w:asciiTheme="minorEastAsia" w:hAnsiTheme="minorEastAsia"/>
          <w:b/>
          <w:color w:val="000000"/>
          <w:kern w:val="0"/>
          <w:sz w:val="22"/>
          <w:u w:val="single"/>
        </w:rPr>
        <w:t>投标报价如有漏项，风险由投标人承担，即在评标时，按照最不利原则予以修正，但在签订合同时，认为这些漏项或者缺项已包含在投标报价的其他部分中，不再单独计价，也不因此增加合同价格</w:t>
      </w:r>
      <w:r>
        <w:rPr>
          <w:rFonts w:cs="Calibri" w:asciiTheme="minorEastAsia" w:hAnsiTheme="minorEastAsia"/>
          <w:b/>
          <w:color w:val="000000"/>
          <w:kern w:val="0"/>
          <w:sz w:val="22"/>
        </w:rPr>
        <w:t>。</w:t>
      </w:r>
    </w:p>
    <w:p>
      <w:pPr>
        <w:autoSpaceDE w:val="0"/>
        <w:autoSpaceDN w:val="0"/>
        <w:adjustRightInd w:val="0"/>
        <w:snapToGrid w:val="0"/>
        <w:spacing w:line="360" w:lineRule="exact"/>
        <w:rPr>
          <w:rFonts w:ascii="宋体" w:hAnsi="宋体" w:cs="Calibri"/>
          <w:b/>
          <w:bCs/>
          <w:kern w:val="0"/>
          <w:sz w:val="22"/>
        </w:rPr>
      </w:pPr>
      <w:r>
        <w:rPr>
          <w:rFonts w:hint="eastAsia" w:ascii="宋体" w:hAnsi="宋体" w:cs="Calibri"/>
          <w:b/>
          <w:bCs/>
          <w:kern w:val="0"/>
          <w:sz w:val="22"/>
        </w:rPr>
        <w:t>3.4 投标有效期</w:t>
      </w:r>
      <w:bookmarkEnd w:id="26"/>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3.4.1在投标人须知前附表规定的投标有效期内，投标人不得要求撤销和修改其投标文件。</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3.4.2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autoSpaceDE w:val="0"/>
        <w:autoSpaceDN w:val="0"/>
        <w:adjustRightInd w:val="0"/>
        <w:snapToGrid w:val="0"/>
        <w:spacing w:line="360" w:lineRule="exact"/>
        <w:rPr>
          <w:rFonts w:ascii="宋体" w:hAnsi="宋体" w:cs="Calibri"/>
          <w:b/>
          <w:bCs/>
          <w:kern w:val="0"/>
          <w:sz w:val="22"/>
        </w:rPr>
      </w:pPr>
      <w:bookmarkStart w:id="27" w:name="_Toc30464"/>
      <w:r>
        <w:rPr>
          <w:rFonts w:hint="eastAsia" w:ascii="宋体" w:hAnsi="宋体" w:cs="Calibri"/>
          <w:b/>
          <w:bCs/>
          <w:kern w:val="0"/>
          <w:sz w:val="22"/>
        </w:rPr>
        <w:t>3.5 投标保证金</w:t>
      </w:r>
      <w:bookmarkEnd w:id="27"/>
      <w:r>
        <w:rPr>
          <w:rFonts w:hint="eastAsia" w:ascii="宋体" w:hAnsi="宋体" w:cs="Calibri"/>
          <w:b/>
          <w:bCs/>
          <w:kern w:val="0"/>
          <w:sz w:val="22"/>
        </w:rPr>
        <w:t>（如有）</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3.5.1投标人在递交投标文件的同时，应按投标人须知前附表规定的金额、担保形式和第六章</w:t>
      </w:r>
      <w:r>
        <w:rPr>
          <w:rFonts w:hint="eastAsia" w:ascii="宋体" w:hAnsi="宋体" w:cs="Calibri"/>
          <w:sz w:val="22"/>
        </w:rPr>
        <w:t>“投标文件格式”</w:t>
      </w:r>
      <w:r>
        <w:rPr>
          <w:rFonts w:hint="eastAsia" w:ascii="宋体" w:hAnsi="宋体" w:cs="Calibri"/>
          <w:kern w:val="0"/>
          <w:sz w:val="22"/>
        </w:rPr>
        <w:t>规定的投标保证金格式递交投标保证金，并作为其投标文件的组成部分。否则，视为投标人自动放弃投标资格。</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3.5.2招标人与中标人签订合同书后5个工作日内，应当向未中标的投标人和中标人退还投标保证金。</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3.5.3投标人如有下列情形之一的，投标保证金将不予退还：</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（1）投标人在规定的投标有效期内撤销或修改其投标文件；</w:t>
      </w:r>
    </w:p>
    <w:p>
      <w:pPr>
        <w:adjustRightInd w:val="0"/>
        <w:snapToGrid w:val="0"/>
        <w:spacing w:line="360" w:lineRule="exact"/>
        <w:ind w:firstLine="440"/>
        <w:rPr>
          <w:rFonts w:ascii="宋体" w:hAnsi="宋体" w:cs="Calibri"/>
          <w:sz w:val="22"/>
        </w:rPr>
      </w:pPr>
      <w:r>
        <w:rPr>
          <w:rFonts w:hint="eastAsia" w:ascii="宋体" w:hAnsi="宋体" w:cs="Calibri"/>
          <w:kern w:val="0"/>
          <w:sz w:val="22"/>
        </w:rPr>
        <w:t>（2）</w:t>
      </w:r>
      <w:r>
        <w:rPr>
          <w:rFonts w:hint="eastAsia" w:ascii="宋体" w:hAnsi="宋体" w:cs="Calibri"/>
          <w:color w:val="000000"/>
          <w:kern w:val="0"/>
          <w:sz w:val="22"/>
        </w:rPr>
        <w:t>中标人在收到中标通知书后，</w:t>
      </w:r>
      <w:r>
        <w:rPr>
          <w:rFonts w:hint="eastAsia" w:ascii="宋体" w:hAnsi="宋体" w:cs="Calibri"/>
          <w:color w:val="000000"/>
          <w:sz w:val="22"/>
        </w:rPr>
        <w:t>无正当理由拒签合同协议书或未按招标文件规定提交履约担保，或因投标人在投标文件中未如实填报或隐瞒不报投标人的行贿犯罪记录导致取消中标资格的</w:t>
      </w:r>
      <w:r>
        <w:rPr>
          <w:rFonts w:hint="eastAsia" w:ascii="宋体" w:hAnsi="宋体" w:cs="Calibri"/>
          <w:sz w:val="22"/>
        </w:rPr>
        <w:t>；</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3）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rPr>
          <w:rFonts w:ascii="宋体" w:hAnsi="宋体" w:cs="Calibri"/>
          <w:b/>
          <w:bCs/>
          <w:kern w:val="0"/>
          <w:sz w:val="22"/>
        </w:rPr>
      </w:pPr>
      <w:bookmarkStart w:id="28" w:name="_Toc29989"/>
      <w:r>
        <w:rPr>
          <w:rFonts w:hint="eastAsia" w:ascii="宋体" w:hAnsi="宋体" w:cs="Calibri"/>
          <w:b/>
          <w:bCs/>
          <w:kern w:val="0"/>
          <w:sz w:val="22"/>
        </w:rPr>
        <w:t>3.6 投标文件的编制</w:t>
      </w:r>
      <w:bookmarkEnd w:id="28"/>
    </w:p>
    <w:p>
      <w:pPr>
        <w:adjustRightInd w:val="0"/>
        <w:snapToGrid w:val="0"/>
        <w:spacing w:line="360" w:lineRule="exact"/>
        <w:ind w:firstLine="440"/>
        <w:rPr>
          <w:rFonts w:ascii="宋体" w:hAnsi="宋体" w:cs="Calibri"/>
          <w:sz w:val="22"/>
        </w:rPr>
      </w:pPr>
      <w:r>
        <w:rPr>
          <w:rFonts w:hint="eastAsia" w:ascii="宋体" w:hAnsi="宋体" w:cs="Calibri"/>
          <w:sz w:val="22"/>
        </w:rPr>
        <w:t>3.6.1 投标文件应按本须知第3.2款规定的内容和第六章“投标文件格式”进行编写，如有必要，可以增加附页，作为投标文件的组成部分，“投标文件格式”中没有规定的可自行编制格式。其中，供货期在满足招标文件实质性要求的基础上，可以提出比招标文件要求更有利于招标人的承诺。</w:t>
      </w:r>
    </w:p>
    <w:p>
      <w:pPr>
        <w:adjustRightInd w:val="0"/>
        <w:snapToGrid w:val="0"/>
        <w:spacing w:line="360" w:lineRule="exact"/>
        <w:ind w:firstLine="440"/>
        <w:rPr>
          <w:rFonts w:ascii="宋体" w:hAnsi="宋体" w:cs="Calibri"/>
          <w:kern w:val="0"/>
          <w:sz w:val="22"/>
        </w:rPr>
      </w:pPr>
      <w:r>
        <w:rPr>
          <w:rFonts w:hint="eastAsia" w:ascii="宋体" w:hAnsi="宋体" w:cs="Calibri"/>
          <w:sz w:val="22"/>
        </w:rPr>
        <w:t xml:space="preserve">3.6.2 </w:t>
      </w:r>
      <w:r>
        <w:rPr>
          <w:rFonts w:hint="eastAsia" w:ascii="宋体" w:hAnsi="宋体" w:cs="Calibri"/>
          <w:kern w:val="0"/>
          <w:sz w:val="22"/>
        </w:rPr>
        <w:t>投标文件应对招标文件有关供货期、投标有效期、招标内容等实质性内容作出响应。</w:t>
      </w:r>
    </w:p>
    <w:p>
      <w:pPr>
        <w:adjustRightInd w:val="0"/>
        <w:snapToGrid w:val="0"/>
        <w:spacing w:line="360" w:lineRule="exact"/>
        <w:ind w:firstLine="440"/>
        <w:rPr>
          <w:rFonts w:ascii="宋体" w:hAnsi="宋体" w:cs="Calibri"/>
          <w:sz w:val="22"/>
        </w:rPr>
      </w:pPr>
      <w:r>
        <w:rPr>
          <w:rFonts w:hint="eastAsia" w:ascii="宋体" w:hAnsi="宋体" w:cs="Calibri"/>
          <w:sz w:val="22"/>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公章或由投标人的法定代表人签字或其委托代理人签字。</w:t>
      </w:r>
      <w:r>
        <w:rPr>
          <w:rFonts w:hint="eastAsia" w:ascii="宋体" w:hAnsi="宋体" w:cs="Calibri"/>
          <w:kern w:val="0"/>
          <w:sz w:val="22"/>
        </w:rPr>
        <w:t>签字或盖章的具体要求见投标人须知前附表。</w:t>
      </w:r>
    </w:p>
    <w:p>
      <w:pPr>
        <w:adjustRightInd w:val="0"/>
        <w:snapToGrid w:val="0"/>
        <w:spacing w:line="360" w:lineRule="exact"/>
        <w:ind w:firstLine="440"/>
        <w:rPr>
          <w:rFonts w:ascii="宋体" w:hAnsi="宋体" w:cs="Calibri"/>
          <w:sz w:val="22"/>
        </w:rPr>
      </w:pPr>
      <w:r>
        <w:rPr>
          <w:rFonts w:hint="eastAsia" w:ascii="宋体" w:hAnsi="宋体" w:cs="Calibri"/>
          <w:sz w:val="22"/>
        </w:rPr>
        <w:t>3.6.4投标文件正本一份，副本份数见投标人须知前附表。正本、副本的封面上应清楚地标记</w:t>
      </w:r>
      <w:r>
        <w:rPr>
          <w:rFonts w:hint="eastAsia" w:ascii="宋体" w:hAnsi="宋体" w:cs="Calibri"/>
          <w:b/>
          <w:bCs/>
          <w:sz w:val="22"/>
        </w:rPr>
        <w:t>“正本</w:t>
      </w:r>
      <w:r>
        <w:rPr>
          <w:rFonts w:hint="eastAsia" w:ascii="宋体" w:hAnsi="宋体" w:cs="Calibri"/>
          <w:sz w:val="22"/>
        </w:rPr>
        <w:t>”或“</w:t>
      </w:r>
      <w:r>
        <w:rPr>
          <w:rFonts w:hint="eastAsia" w:ascii="宋体" w:hAnsi="宋体" w:cs="Calibri"/>
          <w:b/>
          <w:bCs/>
          <w:sz w:val="22"/>
        </w:rPr>
        <w:t>副本</w:t>
      </w:r>
      <w:r>
        <w:rPr>
          <w:rFonts w:hint="eastAsia" w:ascii="宋体" w:hAnsi="宋体" w:cs="Calibri"/>
          <w:sz w:val="22"/>
        </w:rPr>
        <w:t>”的字样。当副本和正本不一致时，以正本为准。</w:t>
      </w:r>
    </w:p>
    <w:p>
      <w:pPr>
        <w:adjustRightInd w:val="0"/>
        <w:snapToGrid w:val="0"/>
        <w:spacing w:line="360" w:lineRule="exact"/>
        <w:ind w:firstLine="440"/>
        <w:rPr>
          <w:rFonts w:ascii="宋体" w:hAnsi="宋体" w:cs="Calibri"/>
          <w:sz w:val="22"/>
        </w:rPr>
      </w:pPr>
      <w:r>
        <w:rPr>
          <w:rFonts w:hint="eastAsia" w:ascii="宋体" w:hAnsi="宋体" w:cs="Calibri"/>
          <w:sz w:val="22"/>
        </w:rPr>
        <w:t>3.6.5投标文件的正本与副本应分别按A4规格装订成册，具体装订要求见投标人须知前附表规定。</w:t>
      </w:r>
      <w:bookmarkStart w:id="29" w:name="_Toc143421659"/>
    </w:p>
    <w:p>
      <w:pPr>
        <w:autoSpaceDE w:val="0"/>
        <w:autoSpaceDN w:val="0"/>
        <w:adjustRightInd w:val="0"/>
        <w:snapToGrid w:val="0"/>
        <w:spacing w:line="360" w:lineRule="exact"/>
        <w:rPr>
          <w:rFonts w:ascii="宋体" w:hAnsi="宋体" w:cs="Calibri"/>
          <w:b/>
          <w:bCs/>
          <w:kern w:val="0"/>
          <w:sz w:val="22"/>
        </w:rPr>
      </w:pPr>
      <w:bookmarkStart w:id="30" w:name="_Toc32652"/>
      <w:r>
        <w:rPr>
          <w:rFonts w:hint="eastAsia" w:ascii="宋体" w:hAnsi="宋体" w:cs="Calibri"/>
          <w:b/>
          <w:bCs/>
          <w:kern w:val="0"/>
          <w:sz w:val="22"/>
        </w:rPr>
        <w:t>4.投标</w:t>
      </w:r>
      <w:bookmarkEnd w:id="29"/>
      <w:bookmarkEnd w:id="30"/>
    </w:p>
    <w:p>
      <w:pPr>
        <w:autoSpaceDE w:val="0"/>
        <w:autoSpaceDN w:val="0"/>
        <w:adjustRightInd w:val="0"/>
        <w:snapToGrid w:val="0"/>
        <w:spacing w:line="360" w:lineRule="exact"/>
        <w:rPr>
          <w:rFonts w:ascii="宋体" w:hAnsi="宋体" w:cs="Calibri"/>
          <w:b/>
          <w:bCs/>
          <w:kern w:val="0"/>
          <w:sz w:val="22"/>
        </w:rPr>
      </w:pPr>
      <w:bookmarkStart w:id="31" w:name="_Toc649"/>
      <w:r>
        <w:rPr>
          <w:rFonts w:hint="eastAsia" w:ascii="宋体" w:hAnsi="宋体" w:cs="Calibri"/>
          <w:b/>
          <w:bCs/>
          <w:kern w:val="0"/>
          <w:sz w:val="22"/>
        </w:rPr>
        <w:t>4.1 投标文件的密封和标识</w:t>
      </w:r>
      <w:bookmarkEnd w:id="31"/>
    </w:p>
    <w:p>
      <w:pPr>
        <w:adjustRightInd w:val="0"/>
        <w:snapToGrid w:val="0"/>
        <w:spacing w:line="360" w:lineRule="exact"/>
        <w:ind w:firstLine="440"/>
        <w:rPr>
          <w:rFonts w:ascii="宋体" w:hAnsi="宋体" w:cs="Calibri"/>
          <w:kern w:val="0"/>
          <w:sz w:val="22"/>
        </w:rPr>
      </w:pPr>
      <w:r>
        <w:rPr>
          <w:rFonts w:hint="eastAsia" w:ascii="宋体" w:hAnsi="宋体" w:cs="Calibri"/>
          <w:sz w:val="22"/>
        </w:rPr>
        <w:t>4.1.1</w:t>
      </w:r>
      <w:r>
        <w:rPr>
          <w:rFonts w:hint="eastAsia" w:ascii="宋体" w:hAnsi="宋体" w:cs="Calibri"/>
          <w:kern w:val="0"/>
          <w:sz w:val="22"/>
        </w:rPr>
        <w:t>投标文件的正本、副本及电子文档可一同密封包装，并在封口处加盖投标人单位公章或法定代表人盖章（或签字）或委托代理人盖章（或签字）。</w:t>
      </w:r>
    </w:p>
    <w:p>
      <w:pPr>
        <w:adjustRightInd w:val="0"/>
        <w:snapToGrid w:val="0"/>
        <w:spacing w:line="360" w:lineRule="exact"/>
        <w:ind w:firstLine="440"/>
        <w:rPr>
          <w:rFonts w:ascii="宋体" w:hAnsi="宋体" w:cs="Calibri"/>
          <w:sz w:val="22"/>
        </w:rPr>
      </w:pPr>
      <w:r>
        <w:rPr>
          <w:rFonts w:hint="eastAsia" w:ascii="宋体" w:hAnsi="宋体" w:cs="Calibri"/>
          <w:sz w:val="22"/>
        </w:rPr>
        <w:t>4.1.2 投标文件的封套上应清楚地标记“投标文件”字样，封套上应写明的其他内容见投标人须知前附表。</w:t>
      </w:r>
    </w:p>
    <w:p>
      <w:pPr>
        <w:adjustRightInd w:val="0"/>
        <w:snapToGrid w:val="0"/>
        <w:spacing w:line="360" w:lineRule="exact"/>
        <w:ind w:firstLine="440"/>
        <w:rPr>
          <w:rFonts w:ascii="宋体" w:hAnsi="宋体" w:cs="Calibri"/>
          <w:sz w:val="22"/>
        </w:rPr>
      </w:pPr>
      <w:r>
        <w:rPr>
          <w:rFonts w:hint="eastAsia" w:ascii="宋体" w:hAnsi="宋体" w:cs="Calibri"/>
          <w:sz w:val="22"/>
        </w:rPr>
        <w:t>4.1.3 未按本章第4.1.1项或第4.1.2项要求密封和加写标记的投标文件，招标人不予受理。</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4.1.4</w:t>
      </w:r>
      <w:r>
        <w:rPr>
          <w:rFonts w:hint="eastAsia" w:ascii="宋体" w:hAnsi="宋体" w:cs="Calibri"/>
          <w:sz w:val="22"/>
        </w:rPr>
        <w:t>如果包封上没有按上述规定密封并加以标记，招标人将不承担投标文件错放或提前开封的责任。</w:t>
      </w:r>
    </w:p>
    <w:p>
      <w:pPr>
        <w:autoSpaceDE w:val="0"/>
        <w:autoSpaceDN w:val="0"/>
        <w:adjustRightInd w:val="0"/>
        <w:snapToGrid w:val="0"/>
        <w:spacing w:line="360" w:lineRule="exact"/>
        <w:rPr>
          <w:rFonts w:ascii="宋体" w:hAnsi="宋体" w:cs="Calibri"/>
          <w:b/>
          <w:bCs/>
          <w:kern w:val="0"/>
          <w:sz w:val="22"/>
        </w:rPr>
      </w:pPr>
      <w:bookmarkStart w:id="32" w:name="_Toc16616"/>
      <w:r>
        <w:rPr>
          <w:rFonts w:hint="eastAsia" w:ascii="宋体" w:hAnsi="宋体" w:cs="Calibri"/>
          <w:b/>
          <w:bCs/>
          <w:kern w:val="0"/>
          <w:sz w:val="22"/>
        </w:rPr>
        <w:t>4.2 投标文件的递交</w:t>
      </w:r>
      <w:bookmarkEnd w:id="32"/>
    </w:p>
    <w:p>
      <w:pPr>
        <w:autoSpaceDE w:val="0"/>
        <w:autoSpaceDN w:val="0"/>
        <w:adjustRightInd w:val="0"/>
        <w:snapToGrid w:val="0"/>
        <w:spacing w:line="360" w:lineRule="exact"/>
        <w:ind w:firstLine="476"/>
        <w:rPr>
          <w:rFonts w:ascii="宋体" w:hAnsi="宋体" w:cs="Calibri"/>
          <w:b/>
          <w:bCs/>
          <w:kern w:val="0"/>
          <w:sz w:val="22"/>
        </w:rPr>
      </w:pPr>
      <w:r>
        <w:rPr>
          <w:rFonts w:hint="eastAsia" w:ascii="宋体" w:hAnsi="宋体" w:cs="Calibri"/>
          <w:b/>
          <w:bCs/>
          <w:kern w:val="0"/>
          <w:sz w:val="22"/>
        </w:rPr>
        <w:t>4.2.1投标人应在本须知前附表规定的投标截止时间前递交投标文件。</w:t>
      </w:r>
    </w:p>
    <w:p>
      <w:pPr>
        <w:adjustRightInd w:val="0"/>
        <w:snapToGrid w:val="0"/>
        <w:spacing w:line="360" w:lineRule="exact"/>
        <w:ind w:firstLine="440"/>
        <w:rPr>
          <w:rFonts w:ascii="宋体" w:hAnsi="宋体" w:cs="Calibri"/>
          <w:sz w:val="22"/>
        </w:rPr>
      </w:pPr>
      <w:r>
        <w:rPr>
          <w:rFonts w:hint="eastAsia" w:ascii="宋体" w:hAnsi="宋体" w:cs="Calibri"/>
          <w:sz w:val="22"/>
        </w:rPr>
        <w:t>4.2.2投标人送达投标文件的地点：见投标人须知前附表。</w:t>
      </w:r>
    </w:p>
    <w:p>
      <w:pPr>
        <w:adjustRightInd w:val="0"/>
        <w:snapToGrid w:val="0"/>
        <w:spacing w:line="360" w:lineRule="exact"/>
        <w:ind w:firstLine="440"/>
        <w:rPr>
          <w:rFonts w:ascii="宋体" w:hAnsi="宋体" w:cs="Calibri"/>
          <w:sz w:val="22"/>
        </w:rPr>
      </w:pPr>
      <w:r>
        <w:rPr>
          <w:rFonts w:hint="eastAsia" w:ascii="宋体" w:hAnsi="宋体" w:cs="Calibri"/>
          <w:sz w:val="22"/>
        </w:rPr>
        <w:t>4.2.3除投标人须知前附表另有规定外，投标人所递交的投标文件不予退还。</w:t>
      </w:r>
    </w:p>
    <w:p>
      <w:pPr>
        <w:adjustRightInd w:val="0"/>
        <w:snapToGrid w:val="0"/>
        <w:spacing w:line="360" w:lineRule="exact"/>
        <w:ind w:firstLine="440"/>
        <w:rPr>
          <w:rFonts w:ascii="宋体" w:hAnsi="宋体" w:cs="Calibri"/>
          <w:sz w:val="22"/>
        </w:rPr>
      </w:pPr>
      <w:r>
        <w:rPr>
          <w:rFonts w:hint="eastAsia" w:ascii="宋体" w:hAnsi="宋体" w:cs="Calibri"/>
          <w:sz w:val="22"/>
        </w:rPr>
        <w:t>4.2.4逾期送达的或者未送达指定地点的投标文件，招标人不予受理。</w:t>
      </w:r>
    </w:p>
    <w:p>
      <w:pPr>
        <w:autoSpaceDE w:val="0"/>
        <w:autoSpaceDN w:val="0"/>
        <w:adjustRightInd w:val="0"/>
        <w:snapToGrid w:val="0"/>
        <w:spacing w:line="360" w:lineRule="exact"/>
        <w:rPr>
          <w:rFonts w:ascii="宋体" w:hAnsi="宋体" w:cs="Calibri"/>
          <w:b/>
          <w:bCs/>
          <w:kern w:val="0"/>
          <w:sz w:val="22"/>
        </w:rPr>
      </w:pPr>
      <w:bookmarkStart w:id="33" w:name="_Toc26099"/>
      <w:r>
        <w:rPr>
          <w:rFonts w:hint="eastAsia" w:ascii="宋体" w:hAnsi="宋体" w:cs="Calibri"/>
          <w:b/>
          <w:bCs/>
          <w:kern w:val="0"/>
          <w:sz w:val="22"/>
        </w:rPr>
        <w:t>4.3 投标文件的修改和撤回</w:t>
      </w:r>
      <w:bookmarkEnd w:id="33"/>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4.3.1在规定的投标截止时间前，投标人可以修改或撤回已递交的投标文件，但应以书面形式通知招标人。</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4.3.2投标人修改或撤回已递交投标文件的书面通知应按照规定的要求签字。招标人收到书面通知后，向投标人出具签收凭证。</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4.3.3修改的内容为投标文件的组成部分。修改的投标文件应按照本须知3、4规定进行编制、密封、标识和递交，并标明“修改”字样。</w:t>
      </w:r>
    </w:p>
    <w:p>
      <w:pPr>
        <w:autoSpaceDE w:val="0"/>
        <w:autoSpaceDN w:val="0"/>
        <w:adjustRightInd w:val="0"/>
        <w:snapToGrid w:val="0"/>
        <w:spacing w:line="360" w:lineRule="exact"/>
        <w:rPr>
          <w:rFonts w:ascii="宋体" w:hAnsi="宋体" w:cs="Calibri"/>
          <w:b/>
          <w:bCs/>
          <w:kern w:val="0"/>
          <w:sz w:val="22"/>
        </w:rPr>
      </w:pPr>
      <w:bookmarkStart w:id="34" w:name="_Toc29641"/>
      <w:r>
        <w:rPr>
          <w:rFonts w:hint="eastAsia" w:ascii="宋体" w:hAnsi="宋体" w:cs="Calibri"/>
          <w:b/>
          <w:bCs/>
          <w:kern w:val="0"/>
          <w:sz w:val="22"/>
        </w:rPr>
        <w:t>5.开标</w:t>
      </w:r>
      <w:bookmarkEnd w:id="34"/>
    </w:p>
    <w:p>
      <w:pPr>
        <w:autoSpaceDE w:val="0"/>
        <w:autoSpaceDN w:val="0"/>
        <w:adjustRightInd w:val="0"/>
        <w:snapToGrid w:val="0"/>
        <w:spacing w:line="360" w:lineRule="exact"/>
        <w:rPr>
          <w:rFonts w:ascii="宋体" w:hAnsi="宋体" w:cs="Calibri"/>
          <w:b/>
          <w:bCs/>
          <w:kern w:val="0"/>
          <w:sz w:val="22"/>
        </w:rPr>
      </w:pPr>
      <w:bookmarkStart w:id="35" w:name="_Toc15123"/>
      <w:r>
        <w:rPr>
          <w:rFonts w:hint="eastAsia" w:ascii="宋体" w:hAnsi="宋体" w:cs="Calibri"/>
          <w:b/>
          <w:bCs/>
          <w:kern w:val="0"/>
          <w:sz w:val="22"/>
        </w:rPr>
        <w:t>5.1 开标时间和地点</w:t>
      </w:r>
      <w:bookmarkEnd w:id="35"/>
    </w:p>
    <w:p>
      <w:pPr>
        <w:adjustRightInd w:val="0"/>
        <w:snapToGrid w:val="0"/>
        <w:spacing w:line="360" w:lineRule="exact"/>
        <w:ind w:firstLine="440"/>
        <w:rPr>
          <w:rFonts w:ascii="宋体" w:hAnsi="宋体" w:cs="Calibri"/>
          <w:sz w:val="22"/>
        </w:rPr>
      </w:pPr>
      <w:r>
        <w:rPr>
          <w:rFonts w:hint="eastAsia" w:ascii="宋体" w:hAnsi="宋体" w:cs="Calibri"/>
          <w:sz w:val="22"/>
        </w:rPr>
        <w:t>5.1.1招标人在投标人须知规定的投标截止时间（开标时间）和地点公开开标，并邀请所有投标人的法定代表人或其委托代理人准时参加，参加开标的代表应签名报到以证明其出席，未参加开标的投标人视作默认开标结果。</w:t>
      </w:r>
    </w:p>
    <w:p>
      <w:pPr>
        <w:adjustRightInd w:val="0"/>
        <w:snapToGrid w:val="0"/>
        <w:spacing w:line="360" w:lineRule="exact"/>
        <w:ind w:firstLine="440"/>
        <w:rPr>
          <w:rFonts w:ascii="宋体" w:hAnsi="宋体" w:cs="Calibri"/>
          <w:sz w:val="22"/>
        </w:rPr>
      </w:pPr>
      <w:r>
        <w:rPr>
          <w:rFonts w:hint="eastAsia" w:ascii="宋体" w:hAnsi="宋体" w:cs="Calibri"/>
          <w:sz w:val="22"/>
        </w:rPr>
        <w:t>5.1.2投标人在投标时应随身携带下列资料提交招标人</w:t>
      </w:r>
    </w:p>
    <w:p>
      <w:pPr>
        <w:adjustRightInd w:val="0"/>
        <w:snapToGrid w:val="0"/>
        <w:spacing w:line="360" w:lineRule="exact"/>
        <w:ind w:firstLine="440"/>
        <w:rPr>
          <w:rFonts w:ascii="宋体" w:hAnsi="宋体" w:cs="Calibri"/>
          <w:sz w:val="22"/>
        </w:rPr>
      </w:pPr>
      <w:r>
        <w:rPr>
          <w:rFonts w:hint="eastAsia" w:ascii="宋体" w:hAnsi="宋体" w:cs="Calibri"/>
          <w:sz w:val="22"/>
        </w:rPr>
        <w:t>（1）委托代理人的身份证、法定代表人授权委托书（装订在投标文件内亦可）；</w:t>
      </w:r>
    </w:p>
    <w:p>
      <w:pPr>
        <w:adjustRightInd w:val="0"/>
        <w:snapToGrid w:val="0"/>
        <w:spacing w:line="360" w:lineRule="exact"/>
        <w:ind w:firstLine="440"/>
        <w:rPr>
          <w:rFonts w:ascii="宋体" w:hAnsi="宋体" w:cs="Calibri"/>
          <w:sz w:val="22"/>
        </w:rPr>
      </w:pPr>
      <w:r>
        <w:rPr>
          <w:rFonts w:hint="eastAsia" w:ascii="宋体" w:hAnsi="宋体" w:cs="Calibri"/>
          <w:sz w:val="22"/>
        </w:rPr>
        <w:t>（2）投标保证金收执证明或汇款凭证或银行回单（装订在投标文件内亦可）。</w:t>
      </w:r>
    </w:p>
    <w:p>
      <w:pPr>
        <w:autoSpaceDE w:val="0"/>
        <w:autoSpaceDN w:val="0"/>
        <w:adjustRightInd w:val="0"/>
        <w:snapToGrid w:val="0"/>
        <w:spacing w:line="360" w:lineRule="exact"/>
        <w:rPr>
          <w:rFonts w:ascii="宋体" w:hAnsi="宋体" w:cs="Calibri"/>
          <w:b/>
          <w:bCs/>
          <w:kern w:val="0"/>
          <w:sz w:val="22"/>
        </w:rPr>
      </w:pPr>
      <w:bookmarkStart w:id="36" w:name="_Toc7101"/>
      <w:r>
        <w:rPr>
          <w:rFonts w:hint="eastAsia" w:ascii="宋体" w:hAnsi="宋体" w:cs="Calibri"/>
          <w:b/>
          <w:bCs/>
          <w:kern w:val="0"/>
          <w:sz w:val="22"/>
        </w:rPr>
        <w:t>5.2 开标程序</w:t>
      </w:r>
      <w:bookmarkEnd w:id="36"/>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主持人按下列程序进行开标：</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（1）宣布开标纪律；</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（2）公布在投标截止时间前递交投标文件的投标人名称，并点名确认投标人是否派人到场；</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（3）宣布开标人、唱标人、记录人、监标人等有关人员姓名；</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（4）按照投标人须知前附表规定检查投标文件的密封情况；</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（5）按照投标人须知前附表的规定确定并宣布投标文件开标顺序；</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（6）</w:t>
      </w:r>
      <w:r>
        <w:rPr>
          <w:rFonts w:hint="eastAsia" w:ascii="宋体" w:hAnsi="宋体" w:cs="Calibri"/>
          <w:sz w:val="22"/>
        </w:rPr>
        <w:t>按照宣布的开标顺序当众开标，公布投标人名称、投标保证金的递交情况、投标报价、供货期及其他内容，并记录在案；</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（7）投标人代表、招标人代表、监标人、记录人等有关人员在开标记录上签字确认；</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（8）开标结束。</w:t>
      </w:r>
    </w:p>
    <w:p>
      <w:pPr>
        <w:autoSpaceDE w:val="0"/>
        <w:autoSpaceDN w:val="0"/>
        <w:adjustRightInd w:val="0"/>
        <w:snapToGrid w:val="0"/>
        <w:spacing w:line="360" w:lineRule="exact"/>
        <w:rPr>
          <w:rFonts w:ascii="宋体" w:hAnsi="宋体" w:cs="Calibri"/>
          <w:b/>
          <w:bCs/>
          <w:kern w:val="0"/>
          <w:sz w:val="22"/>
        </w:rPr>
      </w:pPr>
      <w:bookmarkStart w:id="37" w:name="_Toc31578"/>
      <w:r>
        <w:rPr>
          <w:rFonts w:hint="eastAsia" w:ascii="宋体" w:hAnsi="宋体" w:cs="Calibri"/>
          <w:b/>
          <w:bCs/>
          <w:kern w:val="0"/>
          <w:sz w:val="22"/>
        </w:rPr>
        <w:t>6.评标</w:t>
      </w:r>
      <w:bookmarkEnd w:id="37"/>
    </w:p>
    <w:p>
      <w:pPr>
        <w:autoSpaceDE w:val="0"/>
        <w:autoSpaceDN w:val="0"/>
        <w:adjustRightInd w:val="0"/>
        <w:snapToGrid w:val="0"/>
        <w:spacing w:line="360" w:lineRule="exact"/>
        <w:rPr>
          <w:rFonts w:ascii="宋体" w:hAnsi="宋体" w:cs="Calibri"/>
          <w:b/>
          <w:bCs/>
          <w:kern w:val="0"/>
          <w:sz w:val="22"/>
        </w:rPr>
      </w:pPr>
      <w:bookmarkStart w:id="38" w:name="_Toc10279"/>
      <w:r>
        <w:rPr>
          <w:rFonts w:hint="eastAsia" w:ascii="宋体" w:hAnsi="宋体" w:cs="Calibri"/>
          <w:b/>
          <w:bCs/>
          <w:kern w:val="0"/>
          <w:sz w:val="22"/>
        </w:rPr>
        <w:t>6.1 评标委员会</w:t>
      </w:r>
      <w:bookmarkEnd w:id="38"/>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6.1.1评标由招标人依法组建的评标委员会负责。评标委员会成员人数以及技术、经济等方面专家的确定方式见投标人须知前附表。</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6.1.2评标委员会成员有下列情形之一的，应当回避：</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（1）招标人或投标人的主要负责人的近亲属；</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（2）项目主管部门或者行政监督部门的人员；</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（3）与投标人有经济利益关系，可能影响对投标公正评审的；</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rPr>
          <w:rFonts w:ascii="宋体" w:hAnsi="宋体" w:cs="Calibri"/>
          <w:b/>
          <w:bCs/>
          <w:kern w:val="0"/>
          <w:sz w:val="22"/>
        </w:rPr>
      </w:pPr>
      <w:bookmarkStart w:id="39" w:name="_Toc3460"/>
      <w:r>
        <w:rPr>
          <w:rFonts w:hint="eastAsia" w:ascii="宋体" w:hAnsi="宋体" w:cs="Calibri"/>
          <w:b/>
          <w:bCs/>
          <w:kern w:val="0"/>
          <w:sz w:val="22"/>
        </w:rPr>
        <w:t>6.2 评标原则</w:t>
      </w:r>
      <w:bookmarkEnd w:id="39"/>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评标活动遵循公平、公正、科学和择优的原则。</w:t>
      </w:r>
    </w:p>
    <w:p>
      <w:pPr>
        <w:autoSpaceDE w:val="0"/>
        <w:autoSpaceDN w:val="0"/>
        <w:adjustRightInd w:val="0"/>
        <w:snapToGrid w:val="0"/>
        <w:spacing w:line="360" w:lineRule="exact"/>
        <w:rPr>
          <w:rFonts w:ascii="宋体" w:hAnsi="宋体" w:cs="Calibri"/>
          <w:b/>
          <w:bCs/>
          <w:kern w:val="0"/>
          <w:sz w:val="22"/>
        </w:rPr>
      </w:pPr>
      <w:bookmarkStart w:id="40" w:name="_Toc28178"/>
      <w:r>
        <w:rPr>
          <w:rFonts w:hint="eastAsia" w:ascii="宋体" w:hAnsi="宋体" w:cs="Calibri"/>
          <w:b/>
          <w:bCs/>
          <w:kern w:val="0"/>
          <w:sz w:val="22"/>
        </w:rPr>
        <w:t>6.3 评标</w:t>
      </w:r>
      <w:bookmarkEnd w:id="40"/>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评标委员会按照第五章“</w:t>
      </w:r>
      <w:r>
        <w:rPr>
          <w:rFonts w:hint="eastAsia" w:ascii="宋体" w:hAnsi="宋体" w:cs="Calibri"/>
          <w:color w:val="000000"/>
          <w:kern w:val="0"/>
          <w:sz w:val="22"/>
        </w:rPr>
        <w:t>评标方法及标准</w:t>
      </w:r>
      <w:r>
        <w:rPr>
          <w:rFonts w:hint="eastAsia" w:ascii="宋体" w:hAnsi="宋体" w:cs="Calibri"/>
          <w:kern w:val="0"/>
          <w:sz w:val="22"/>
        </w:rPr>
        <w:t>”对投标文件进行评审。第五章“</w:t>
      </w:r>
      <w:r>
        <w:rPr>
          <w:rFonts w:hint="eastAsia" w:ascii="宋体" w:hAnsi="宋体" w:cs="Calibri"/>
          <w:color w:val="000000"/>
          <w:kern w:val="0"/>
          <w:sz w:val="22"/>
        </w:rPr>
        <w:t>评标方法及标准</w:t>
      </w:r>
      <w:r>
        <w:rPr>
          <w:rFonts w:hint="eastAsia" w:ascii="宋体" w:hAnsi="宋体" w:cs="Calibri"/>
          <w:kern w:val="0"/>
          <w:sz w:val="22"/>
        </w:rPr>
        <w:t>”没有规定的方法、评审因素和标准，不作为评标依据。</w:t>
      </w:r>
    </w:p>
    <w:p>
      <w:pPr>
        <w:autoSpaceDE w:val="0"/>
        <w:autoSpaceDN w:val="0"/>
        <w:adjustRightInd w:val="0"/>
        <w:snapToGrid w:val="0"/>
        <w:spacing w:line="360" w:lineRule="exact"/>
        <w:rPr>
          <w:rFonts w:ascii="宋体" w:hAnsi="宋体" w:cs="Calibri"/>
          <w:b/>
          <w:bCs/>
          <w:kern w:val="0"/>
          <w:sz w:val="22"/>
        </w:rPr>
      </w:pPr>
      <w:bookmarkStart w:id="41" w:name="_Toc24237"/>
      <w:r>
        <w:rPr>
          <w:rFonts w:hint="eastAsia" w:ascii="宋体" w:hAnsi="宋体" w:cs="Calibri"/>
          <w:b/>
          <w:bCs/>
          <w:kern w:val="0"/>
          <w:sz w:val="22"/>
        </w:rPr>
        <w:t>7.合同授予</w:t>
      </w:r>
      <w:bookmarkEnd w:id="41"/>
    </w:p>
    <w:p>
      <w:pPr>
        <w:autoSpaceDE w:val="0"/>
        <w:autoSpaceDN w:val="0"/>
        <w:adjustRightInd w:val="0"/>
        <w:snapToGrid w:val="0"/>
        <w:spacing w:line="360" w:lineRule="exact"/>
        <w:rPr>
          <w:rFonts w:ascii="宋体" w:hAnsi="宋体" w:cs="Calibri"/>
          <w:b/>
          <w:bCs/>
          <w:kern w:val="0"/>
          <w:sz w:val="22"/>
        </w:rPr>
      </w:pPr>
      <w:bookmarkStart w:id="42" w:name="_Toc18809"/>
      <w:r>
        <w:rPr>
          <w:rFonts w:hint="eastAsia" w:ascii="宋体" w:hAnsi="宋体" w:cs="Calibri"/>
          <w:b/>
          <w:bCs/>
          <w:kern w:val="0"/>
          <w:sz w:val="22"/>
        </w:rPr>
        <w:t>7.1 定标方式</w:t>
      </w:r>
      <w:bookmarkEnd w:id="42"/>
    </w:p>
    <w:p>
      <w:pPr>
        <w:adjustRightInd w:val="0"/>
        <w:snapToGrid w:val="0"/>
        <w:spacing w:line="360" w:lineRule="exact"/>
        <w:ind w:firstLine="440"/>
        <w:rPr>
          <w:rFonts w:ascii="宋体" w:hAnsi="宋体" w:cs="Calibri"/>
          <w:sz w:val="22"/>
        </w:rPr>
      </w:pPr>
      <w:r>
        <w:rPr>
          <w:rFonts w:hint="eastAsia" w:ascii="宋体" w:hAnsi="宋体" w:cs="Calibri"/>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rPr>
          <w:rFonts w:ascii="宋体" w:hAnsi="宋体" w:cs="Calibri"/>
          <w:b/>
          <w:bCs/>
          <w:kern w:val="0"/>
          <w:sz w:val="22"/>
        </w:rPr>
      </w:pPr>
      <w:bookmarkStart w:id="43" w:name="_Toc14573"/>
      <w:r>
        <w:rPr>
          <w:rFonts w:hint="eastAsia" w:ascii="宋体" w:hAnsi="宋体" w:cs="Calibri"/>
          <w:b/>
          <w:bCs/>
          <w:kern w:val="0"/>
          <w:sz w:val="22"/>
        </w:rPr>
        <w:t>7.2 中标通知</w:t>
      </w:r>
      <w:bookmarkEnd w:id="43"/>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在投标人须知第3.4款规定的投标有效期内，招标人以书面形式向中标人发出中标通知书。</w:t>
      </w:r>
    </w:p>
    <w:p>
      <w:pPr>
        <w:autoSpaceDE w:val="0"/>
        <w:autoSpaceDN w:val="0"/>
        <w:adjustRightInd w:val="0"/>
        <w:snapToGrid w:val="0"/>
        <w:spacing w:line="360" w:lineRule="exact"/>
        <w:rPr>
          <w:rFonts w:ascii="宋体" w:hAnsi="宋体" w:cs="Calibri"/>
          <w:b/>
          <w:bCs/>
          <w:kern w:val="0"/>
          <w:sz w:val="22"/>
        </w:rPr>
      </w:pPr>
      <w:bookmarkStart w:id="44" w:name="_Toc27132"/>
      <w:r>
        <w:rPr>
          <w:rFonts w:hint="eastAsia" w:ascii="宋体" w:hAnsi="宋体" w:cs="Calibri"/>
          <w:b/>
          <w:bCs/>
          <w:kern w:val="0"/>
          <w:sz w:val="22"/>
        </w:rPr>
        <w:t>7.3 履约保证金</w:t>
      </w:r>
      <w:bookmarkEnd w:id="44"/>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7.3.1在签订合同前，中标人应按投标人须知前附表规定的金额和担保形式向招标人提交履约保证金。</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7.3.2 中标人不能按本章第7.3.1项要求提交履约保证金的，视为放弃中标，其投标保证金不予退还，给招标人造成的损失超过投标保证金数额的，中标人还应当对超过部分予以赔偿。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rPr>
          <w:rFonts w:ascii="宋体" w:hAnsi="宋体" w:cs="Calibri"/>
          <w:b/>
          <w:bCs/>
          <w:kern w:val="0"/>
          <w:sz w:val="22"/>
        </w:rPr>
      </w:pPr>
      <w:bookmarkStart w:id="45" w:name="_Toc27581"/>
      <w:r>
        <w:rPr>
          <w:rFonts w:hint="eastAsia" w:ascii="宋体" w:hAnsi="宋体" w:cs="Calibri"/>
          <w:b/>
          <w:bCs/>
          <w:kern w:val="0"/>
          <w:sz w:val="22"/>
        </w:rPr>
        <w:t>7.4 签订合同</w:t>
      </w:r>
      <w:bookmarkEnd w:id="45"/>
    </w:p>
    <w:p>
      <w:pPr>
        <w:adjustRightInd w:val="0"/>
        <w:snapToGrid w:val="0"/>
        <w:spacing w:line="360" w:lineRule="exact"/>
        <w:ind w:firstLine="440"/>
        <w:rPr>
          <w:rFonts w:ascii="宋体" w:hAnsi="宋体" w:cs="Calibri"/>
          <w:kern w:val="0"/>
          <w:sz w:val="22"/>
        </w:rPr>
      </w:pPr>
      <w:r>
        <w:rPr>
          <w:rFonts w:hint="eastAsia" w:ascii="宋体" w:hAnsi="宋体" w:cs="Calibri"/>
          <w:sz w:val="22"/>
        </w:rPr>
        <w:t>7</w:t>
      </w:r>
      <w:bookmarkStart w:id="46" w:name="_Toc11806"/>
      <w:bookmarkStart w:id="47" w:name="_Toc220123241"/>
      <w:bookmarkStart w:id="48" w:name="_Toc219809801"/>
      <w:r>
        <w:rPr>
          <w:rFonts w:hint="eastAsia" w:ascii="宋体" w:hAnsi="宋体" w:cs="Calibri"/>
          <w:kern w:val="0"/>
          <w:sz w:val="22"/>
        </w:rPr>
        <w:t>.4.1招标人和中标人应当自中标通知书发出之日起30个工作日内订立书面合同（合同条款按第四章“合同条款”）。中标人无正当理由拒签合同的，招标人取消其中标资格，其投标保证金不予退还；给招标人造成的损失超过投标保证金数额的，中标人还应当对超过部分予以赔偿。</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7.4.2 发出中标通知书后，招标人无正当理由拒签合同的，招标人向中标人退还投标保证金；给中标人造成损失的，还应当赔偿损失。</w:t>
      </w:r>
    </w:p>
    <w:p>
      <w:pPr>
        <w:adjustRightInd w:val="0"/>
        <w:snapToGrid w:val="0"/>
        <w:spacing w:line="360" w:lineRule="exact"/>
        <w:ind w:firstLine="440" w:firstLineChars="200"/>
        <w:rPr>
          <w:rFonts w:cs="Calibri" w:asciiTheme="minorEastAsia" w:hAnsiTheme="minorEastAsia"/>
          <w:b/>
          <w:color w:val="000000"/>
          <w:kern w:val="0"/>
          <w:sz w:val="22"/>
        </w:rPr>
      </w:pPr>
      <w:r>
        <w:rPr>
          <w:rFonts w:hint="eastAsia" w:cs="Calibri" w:asciiTheme="minorEastAsia" w:hAnsiTheme="minorEastAsia"/>
          <w:color w:val="000000"/>
          <w:kern w:val="0"/>
          <w:sz w:val="22"/>
        </w:rPr>
        <w:t xml:space="preserve">7.4.3 </w:t>
      </w:r>
      <w:r>
        <w:rPr>
          <w:rFonts w:hint="eastAsia" w:cs="Calibri" w:asciiTheme="minorEastAsia" w:hAnsiTheme="minorEastAsia"/>
          <w:b/>
          <w:color w:val="000000"/>
          <w:kern w:val="0"/>
          <w:sz w:val="22"/>
        </w:rPr>
        <w:t>招标人在授予合同有权对本项目的内容等予以增加或者减少，中标人不得提出异议，否则招标人有权取消其中标资格。</w:t>
      </w:r>
    </w:p>
    <w:p>
      <w:pPr>
        <w:adjustRightInd w:val="0"/>
        <w:snapToGrid w:val="0"/>
        <w:spacing w:line="360" w:lineRule="exact"/>
        <w:ind w:firstLine="440"/>
        <w:rPr>
          <w:rFonts w:ascii="宋体" w:hAnsi="宋体" w:cs="Calibri"/>
          <w:kern w:val="0"/>
          <w:sz w:val="22"/>
        </w:rPr>
      </w:pPr>
      <w:r>
        <w:rPr>
          <w:rFonts w:hint="eastAsia" w:cs="Calibri" w:asciiTheme="minorEastAsia" w:hAnsiTheme="minorEastAsia"/>
          <w:color w:val="000000"/>
          <w:kern w:val="0"/>
          <w:sz w:val="22"/>
        </w:rPr>
        <w:t xml:space="preserve">7.4.4 </w:t>
      </w:r>
      <w:r>
        <w:rPr>
          <w:rFonts w:hint="eastAsia" w:cs="Calibri" w:asciiTheme="minorEastAsia" w:hAnsiTheme="minorEastAsia"/>
          <w:b/>
          <w:color w:val="000000"/>
          <w:kern w:val="0"/>
          <w:sz w:val="22"/>
        </w:rPr>
        <w:t>招标人在授予合同前的任何时候，仍保留接受或者拒绝任何投标和拒绝所有投标的权利。</w:t>
      </w:r>
    </w:p>
    <w:p>
      <w:pPr>
        <w:autoSpaceDE w:val="0"/>
        <w:autoSpaceDN w:val="0"/>
        <w:adjustRightInd w:val="0"/>
        <w:snapToGrid w:val="0"/>
        <w:spacing w:line="360" w:lineRule="exact"/>
        <w:rPr>
          <w:rFonts w:ascii="宋体" w:hAnsi="宋体" w:cs="Calibri"/>
          <w:b/>
          <w:bCs/>
          <w:kern w:val="0"/>
          <w:sz w:val="22"/>
        </w:rPr>
      </w:pPr>
      <w:r>
        <w:rPr>
          <w:rFonts w:hint="eastAsia" w:ascii="宋体" w:hAnsi="宋体" w:cs="Calibri"/>
          <w:b/>
          <w:bCs/>
          <w:kern w:val="0"/>
          <w:sz w:val="22"/>
        </w:rPr>
        <w:t>8.重新招标和不再招标</w:t>
      </w:r>
      <w:bookmarkEnd w:id="46"/>
      <w:bookmarkEnd w:id="47"/>
      <w:bookmarkEnd w:id="48"/>
    </w:p>
    <w:p>
      <w:pPr>
        <w:autoSpaceDE w:val="0"/>
        <w:autoSpaceDN w:val="0"/>
        <w:adjustRightInd w:val="0"/>
        <w:snapToGrid w:val="0"/>
        <w:spacing w:line="360" w:lineRule="exact"/>
        <w:rPr>
          <w:rFonts w:ascii="宋体" w:hAnsi="宋体" w:cs="Calibri"/>
          <w:b/>
          <w:bCs/>
          <w:kern w:val="0"/>
          <w:sz w:val="22"/>
        </w:rPr>
      </w:pPr>
      <w:bookmarkStart w:id="49" w:name="_Toc15553"/>
      <w:bookmarkStart w:id="50" w:name="_Toc219809802"/>
      <w:bookmarkStart w:id="51" w:name="_Toc220123242"/>
      <w:r>
        <w:rPr>
          <w:rFonts w:hint="eastAsia" w:ascii="宋体" w:hAnsi="宋体" w:cs="Calibri"/>
          <w:b/>
          <w:bCs/>
          <w:kern w:val="0"/>
          <w:sz w:val="22"/>
        </w:rPr>
        <w:t>8.1 重新招标</w:t>
      </w:r>
      <w:bookmarkEnd w:id="49"/>
      <w:bookmarkEnd w:id="50"/>
      <w:bookmarkEnd w:id="51"/>
    </w:p>
    <w:p>
      <w:pPr>
        <w:adjustRightInd w:val="0"/>
        <w:snapToGrid w:val="0"/>
        <w:spacing w:line="360" w:lineRule="exact"/>
        <w:ind w:firstLine="440"/>
        <w:rPr>
          <w:rFonts w:ascii="宋体" w:hAnsi="宋体" w:cs="Calibri"/>
          <w:sz w:val="22"/>
        </w:rPr>
      </w:pPr>
      <w:r>
        <w:rPr>
          <w:rFonts w:hint="eastAsia" w:ascii="宋体" w:hAnsi="宋体" w:cs="Calibri"/>
          <w:sz w:val="22"/>
        </w:rPr>
        <w:t>有下列情形之一的，招标人将重新招标；</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（1）投标截止时间止，投标人少于3个的；</w:t>
      </w:r>
    </w:p>
    <w:p>
      <w:pPr>
        <w:adjustRightInd w:val="0"/>
        <w:snapToGrid w:val="0"/>
        <w:spacing w:line="360" w:lineRule="exact"/>
        <w:ind w:firstLine="476"/>
        <w:rPr>
          <w:rFonts w:ascii="宋体" w:hAnsi="宋体" w:cs="Calibri"/>
          <w:b/>
          <w:kern w:val="0"/>
          <w:sz w:val="22"/>
        </w:rPr>
      </w:pPr>
      <w:r>
        <w:rPr>
          <w:rFonts w:hint="eastAsia" w:ascii="宋体" w:hAnsi="宋体" w:cs="Calibri"/>
          <w:b/>
          <w:kern w:val="0"/>
          <w:sz w:val="22"/>
        </w:rPr>
        <w:t>（2）所有投标人的报价均偏高，招标人无法接受的；</w:t>
      </w:r>
    </w:p>
    <w:p>
      <w:pPr>
        <w:adjustRightInd w:val="0"/>
        <w:snapToGrid w:val="0"/>
        <w:spacing w:line="360" w:lineRule="exact"/>
        <w:ind w:firstLine="440"/>
        <w:rPr>
          <w:rFonts w:ascii="宋体" w:hAnsi="宋体" w:cs="Calibri"/>
          <w:sz w:val="22"/>
        </w:rPr>
      </w:pPr>
      <w:r>
        <w:rPr>
          <w:rFonts w:hint="eastAsia" w:ascii="宋体" w:hAnsi="宋体" w:cs="Calibri"/>
          <w:kern w:val="0"/>
          <w:sz w:val="22"/>
        </w:rPr>
        <w:t>（3）经评标委员会评审后否决所有投标的。</w:t>
      </w:r>
    </w:p>
    <w:p>
      <w:pPr>
        <w:autoSpaceDE w:val="0"/>
        <w:autoSpaceDN w:val="0"/>
        <w:adjustRightInd w:val="0"/>
        <w:snapToGrid w:val="0"/>
        <w:spacing w:line="360" w:lineRule="exact"/>
        <w:rPr>
          <w:rFonts w:ascii="宋体" w:hAnsi="宋体" w:cs="Calibri"/>
          <w:b/>
          <w:bCs/>
          <w:kern w:val="0"/>
          <w:sz w:val="22"/>
        </w:rPr>
      </w:pPr>
      <w:bookmarkStart w:id="52" w:name="_Toc219809803"/>
      <w:bookmarkStart w:id="53" w:name="_Toc220123243"/>
      <w:bookmarkStart w:id="54" w:name="_Toc18806"/>
      <w:r>
        <w:rPr>
          <w:rFonts w:hint="eastAsia" w:ascii="宋体" w:hAnsi="宋体" w:cs="Calibri"/>
          <w:b/>
          <w:bCs/>
          <w:kern w:val="0"/>
          <w:sz w:val="22"/>
        </w:rPr>
        <w:t>8.2 不再招标</w:t>
      </w:r>
      <w:bookmarkEnd w:id="52"/>
      <w:bookmarkEnd w:id="53"/>
      <w:bookmarkEnd w:id="54"/>
    </w:p>
    <w:p>
      <w:pPr>
        <w:adjustRightInd w:val="0"/>
        <w:snapToGrid w:val="0"/>
        <w:spacing w:line="360" w:lineRule="exact"/>
        <w:ind w:firstLine="440"/>
        <w:rPr>
          <w:rFonts w:ascii="宋体" w:hAnsi="宋体" w:cs="Calibri"/>
          <w:sz w:val="22"/>
        </w:rPr>
      </w:pPr>
      <w:r>
        <w:rPr>
          <w:rFonts w:hint="eastAsia"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rPr>
          <w:rFonts w:ascii="宋体" w:hAnsi="宋体" w:cs="Calibri"/>
          <w:b/>
          <w:bCs/>
          <w:kern w:val="0"/>
          <w:sz w:val="22"/>
        </w:rPr>
      </w:pPr>
      <w:bookmarkStart w:id="55" w:name="_Toc2986"/>
      <w:bookmarkStart w:id="56" w:name="_Toc220123244"/>
      <w:bookmarkStart w:id="57" w:name="_Toc219809804"/>
      <w:bookmarkStart w:id="58" w:name="_Toc215941254"/>
      <w:r>
        <w:rPr>
          <w:rFonts w:hint="eastAsia" w:ascii="宋体" w:hAnsi="宋体" w:cs="Calibri"/>
          <w:b/>
          <w:bCs/>
          <w:kern w:val="0"/>
          <w:sz w:val="22"/>
        </w:rPr>
        <w:t>9.纪律和监督</w:t>
      </w:r>
      <w:bookmarkEnd w:id="55"/>
      <w:bookmarkEnd w:id="56"/>
      <w:bookmarkEnd w:id="57"/>
      <w:bookmarkEnd w:id="58"/>
    </w:p>
    <w:p>
      <w:pPr>
        <w:autoSpaceDE w:val="0"/>
        <w:autoSpaceDN w:val="0"/>
        <w:adjustRightInd w:val="0"/>
        <w:snapToGrid w:val="0"/>
        <w:spacing w:line="360" w:lineRule="exact"/>
        <w:rPr>
          <w:rFonts w:ascii="宋体" w:hAnsi="宋体" w:cs="Calibri"/>
          <w:b/>
          <w:bCs/>
          <w:kern w:val="0"/>
          <w:sz w:val="22"/>
        </w:rPr>
      </w:pPr>
      <w:bookmarkStart w:id="59" w:name="_Toc219809805"/>
      <w:bookmarkStart w:id="60" w:name="_Toc220123245"/>
      <w:bookmarkStart w:id="61" w:name="_Toc5509"/>
      <w:r>
        <w:rPr>
          <w:rFonts w:hint="eastAsia" w:ascii="宋体" w:hAnsi="宋体" w:cs="Calibri"/>
          <w:b/>
          <w:bCs/>
          <w:kern w:val="0"/>
          <w:sz w:val="22"/>
        </w:rPr>
        <w:t>9.1 对招标人的纪律要求</w:t>
      </w:r>
      <w:bookmarkEnd w:id="59"/>
      <w:bookmarkEnd w:id="60"/>
      <w:bookmarkEnd w:id="61"/>
    </w:p>
    <w:p>
      <w:pPr>
        <w:adjustRightInd w:val="0"/>
        <w:snapToGrid w:val="0"/>
        <w:spacing w:line="360" w:lineRule="exact"/>
        <w:ind w:firstLine="440"/>
        <w:rPr>
          <w:rFonts w:ascii="宋体" w:hAnsi="宋体" w:cs="Calibri"/>
          <w:color w:val="000000"/>
          <w:sz w:val="22"/>
        </w:rPr>
      </w:pPr>
      <w:r>
        <w:rPr>
          <w:rFonts w:hint="eastAsia" w:ascii="宋体" w:hAnsi="宋体" w:cs="Calibri"/>
          <w:color w:val="000000"/>
          <w:sz w:val="22"/>
        </w:rPr>
        <w:t>招标人不得泄漏招标投标活动中应当保密的情况和资料，不得与投标人串通损害国家利益、社会公共利益或者他人合法权益。</w:t>
      </w:r>
    </w:p>
    <w:p>
      <w:pPr>
        <w:autoSpaceDE w:val="0"/>
        <w:autoSpaceDN w:val="0"/>
        <w:adjustRightInd w:val="0"/>
        <w:snapToGrid w:val="0"/>
        <w:spacing w:line="360" w:lineRule="exact"/>
        <w:rPr>
          <w:rFonts w:ascii="宋体" w:hAnsi="宋体" w:cs="Calibri"/>
          <w:b/>
          <w:bCs/>
          <w:kern w:val="0"/>
          <w:sz w:val="22"/>
        </w:rPr>
      </w:pPr>
      <w:bookmarkStart w:id="62" w:name="_Toc219809806"/>
      <w:bookmarkStart w:id="63" w:name="_Toc220123246"/>
      <w:bookmarkStart w:id="64" w:name="_Toc10820"/>
      <w:r>
        <w:rPr>
          <w:rFonts w:hint="eastAsia" w:ascii="宋体" w:hAnsi="宋体" w:cs="Calibri"/>
          <w:b/>
          <w:bCs/>
          <w:kern w:val="0"/>
          <w:sz w:val="22"/>
        </w:rPr>
        <w:t>9.2 对投标人的纪律要求</w:t>
      </w:r>
      <w:bookmarkEnd w:id="62"/>
      <w:bookmarkEnd w:id="63"/>
      <w:bookmarkEnd w:id="64"/>
    </w:p>
    <w:p>
      <w:pPr>
        <w:adjustRightInd w:val="0"/>
        <w:snapToGrid w:val="0"/>
        <w:spacing w:line="360" w:lineRule="exact"/>
        <w:ind w:firstLine="440"/>
        <w:rPr>
          <w:rFonts w:ascii="宋体" w:hAnsi="宋体" w:cs="Calibri"/>
          <w:color w:val="000000"/>
          <w:sz w:val="22"/>
        </w:rPr>
      </w:pPr>
      <w:r>
        <w:rPr>
          <w:rFonts w:hint="eastAsia" w:ascii="宋体" w:hAnsi="宋体" w:cs="Calibri"/>
          <w:color w:val="00000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360" w:lineRule="exact"/>
        <w:ind w:firstLine="440"/>
        <w:rPr>
          <w:rFonts w:ascii="宋体" w:hAnsi="宋体" w:cs="Calibri"/>
          <w:color w:val="000000"/>
          <w:sz w:val="22"/>
        </w:rPr>
      </w:pPr>
      <w:r>
        <w:rPr>
          <w:rFonts w:hint="eastAsia" w:ascii="宋体" w:hAnsi="宋体" w:cs="Calibri"/>
          <w:color w:val="00000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rPr>
          <w:rFonts w:ascii="宋体" w:hAnsi="宋体" w:cs="Calibri"/>
          <w:b/>
          <w:bCs/>
          <w:kern w:val="0"/>
          <w:sz w:val="22"/>
        </w:rPr>
      </w:pPr>
      <w:bookmarkStart w:id="65" w:name="_Toc219809807"/>
      <w:bookmarkStart w:id="66" w:name="_Toc10756"/>
      <w:bookmarkStart w:id="67" w:name="_Toc220123247"/>
      <w:r>
        <w:rPr>
          <w:rFonts w:hint="eastAsia" w:ascii="宋体" w:hAnsi="宋体" w:cs="Calibri"/>
          <w:b/>
          <w:bCs/>
          <w:kern w:val="0"/>
          <w:sz w:val="22"/>
        </w:rPr>
        <w:t>9.3 对评标委员会成员的纪律要求</w:t>
      </w:r>
      <w:bookmarkEnd w:id="65"/>
      <w:bookmarkEnd w:id="66"/>
      <w:bookmarkEnd w:id="67"/>
    </w:p>
    <w:p>
      <w:pPr>
        <w:adjustRightInd w:val="0"/>
        <w:snapToGrid w:val="0"/>
        <w:spacing w:line="360" w:lineRule="exact"/>
        <w:ind w:firstLine="440"/>
        <w:rPr>
          <w:rFonts w:ascii="宋体" w:hAnsi="宋体" w:cs="Calibri"/>
          <w:color w:val="000000"/>
          <w:sz w:val="22"/>
        </w:rPr>
      </w:pPr>
      <w:r>
        <w:rPr>
          <w:rFonts w:hint="eastAsia" w:ascii="宋体" w:hAnsi="宋体" w:cs="Calibri"/>
          <w:color w:val="000000"/>
          <w:sz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五章“评标办法及标准”没有规定的评审因素和标准进行评标。</w:t>
      </w:r>
    </w:p>
    <w:p>
      <w:pPr>
        <w:autoSpaceDE w:val="0"/>
        <w:autoSpaceDN w:val="0"/>
        <w:adjustRightInd w:val="0"/>
        <w:snapToGrid w:val="0"/>
        <w:spacing w:line="360" w:lineRule="exact"/>
        <w:rPr>
          <w:rFonts w:ascii="宋体" w:hAnsi="宋体" w:cs="Calibri"/>
          <w:b/>
          <w:bCs/>
          <w:kern w:val="0"/>
          <w:sz w:val="22"/>
        </w:rPr>
      </w:pPr>
      <w:bookmarkStart w:id="68" w:name="_Toc12792"/>
      <w:bookmarkStart w:id="69" w:name="_Toc219809808"/>
      <w:bookmarkStart w:id="70" w:name="_Toc220123248"/>
      <w:r>
        <w:rPr>
          <w:rFonts w:hint="eastAsia" w:ascii="宋体" w:hAnsi="宋体" w:cs="Calibri"/>
          <w:b/>
          <w:bCs/>
          <w:kern w:val="0"/>
          <w:sz w:val="22"/>
        </w:rPr>
        <w:t>9.4 对评标活动有关的工作人员的纪律要求</w:t>
      </w:r>
      <w:bookmarkEnd w:id="68"/>
      <w:bookmarkEnd w:id="69"/>
      <w:bookmarkEnd w:id="70"/>
    </w:p>
    <w:p>
      <w:pPr>
        <w:adjustRightInd w:val="0"/>
        <w:snapToGrid w:val="0"/>
        <w:spacing w:line="360" w:lineRule="exact"/>
        <w:ind w:firstLine="440"/>
        <w:rPr>
          <w:rFonts w:ascii="宋体" w:hAnsi="宋体" w:cs="Calibri"/>
          <w:color w:val="000000"/>
          <w:sz w:val="22"/>
        </w:rPr>
      </w:pPr>
      <w:r>
        <w:rPr>
          <w:rFonts w:hint="eastAsia" w:ascii="宋体" w:hAnsi="宋体" w:cs="Calibri"/>
          <w:color w:val="000000"/>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rPr>
          <w:rFonts w:ascii="宋体" w:hAnsi="宋体" w:cs="Calibri"/>
          <w:b/>
          <w:bCs/>
          <w:kern w:val="0"/>
          <w:sz w:val="22"/>
        </w:rPr>
      </w:pPr>
      <w:bookmarkStart w:id="71" w:name="_Toc239"/>
      <w:bookmarkStart w:id="72" w:name="_Toc220123249"/>
      <w:bookmarkStart w:id="73" w:name="_Toc219809809"/>
      <w:r>
        <w:rPr>
          <w:rFonts w:hint="eastAsia" w:ascii="宋体" w:hAnsi="宋体" w:cs="Calibri"/>
          <w:b/>
          <w:bCs/>
          <w:kern w:val="0"/>
          <w:sz w:val="22"/>
        </w:rPr>
        <w:t>9.5 投诉</w:t>
      </w:r>
      <w:bookmarkEnd w:id="71"/>
      <w:bookmarkEnd w:id="72"/>
      <w:bookmarkEnd w:id="73"/>
    </w:p>
    <w:p>
      <w:pPr>
        <w:adjustRightInd w:val="0"/>
        <w:snapToGrid w:val="0"/>
        <w:spacing w:line="360" w:lineRule="exact"/>
        <w:ind w:firstLine="440"/>
        <w:rPr>
          <w:rFonts w:ascii="宋体" w:hAnsi="宋体" w:cs="Calibri"/>
          <w:color w:val="000000"/>
          <w:sz w:val="22"/>
        </w:rPr>
      </w:pPr>
      <w:r>
        <w:rPr>
          <w:rFonts w:hint="eastAsia" w:ascii="宋体" w:hAnsi="宋体" w:cs="Calibri"/>
          <w:color w:val="000000"/>
          <w:sz w:val="22"/>
        </w:rPr>
        <w:t>投标人和其他利害关系人认为本次招标活动违反法律、法规和规章规定的，有权向有关行政监督部门投诉。</w:t>
      </w:r>
    </w:p>
    <w:p>
      <w:pPr>
        <w:autoSpaceDE w:val="0"/>
        <w:autoSpaceDN w:val="0"/>
        <w:adjustRightInd w:val="0"/>
        <w:snapToGrid w:val="0"/>
        <w:spacing w:line="360" w:lineRule="exact"/>
        <w:rPr>
          <w:rFonts w:ascii="宋体" w:hAnsi="宋体" w:cs="Calibri"/>
          <w:b/>
          <w:bCs/>
          <w:kern w:val="0"/>
          <w:sz w:val="22"/>
        </w:rPr>
      </w:pPr>
      <w:bookmarkStart w:id="74" w:name="_Toc10817"/>
      <w:r>
        <w:rPr>
          <w:rFonts w:hint="eastAsia" w:ascii="宋体" w:hAnsi="宋体" w:cs="Calibri"/>
          <w:b/>
          <w:bCs/>
          <w:kern w:val="0"/>
          <w:sz w:val="22"/>
        </w:rPr>
        <w:t>10. 需要补充的其他内容</w:t>
      </w:r>
      <w:bookmarkEnd w:id="74"/>
    </w:p>
    <w:p>
      <w:pPr>
        <w:autoSpaceDE w:val="0"/>
        <w:autoSpaceDN w:val="0"/>
        <w:adjustRightInd w:val="0"/>
        <w:snapToGrid w:val="0"/>
        <w:spacing w:line="360" w:lineRule="exact"/>
        <w:ind w:firstLine="440"/>
        <w:jc w:val="left"/>
        <w:rPr>
          <w:rFonts w:ascii="宋体" w:hAnsi="宋体" w:cs="Calibri"/>
          <w:color w:val="000000"/>
          <w:sz w:val="22"/>
        </w:rPr>
      </w:pPr>
      <w:r>
        <w:rPr>
          <w:rFonts w:hint="eastAsia" w:ascii="宋体" w:hAnsi="宋体" w:cs="Calibri"/>
          <w:color w:val="000000"/>
          <w:sz w:val="22"/>
        </w:rPr>
        <w:t>需要补充的其他内容：见投标人须知前附表。</w:t>
      </w:r>
    </w:p>
    <w:p>
      <w:pPr>
        <w:spacing w:line="560" w:lineRule="exact"/>
      </w:pPr>
    </w:p>
    <w:p>
      <w:pPr>
        <w:spacing w:line="560" w:lineRule="exact"/>
        <w:jc w:val="center"/>
      </w:pPr>
    </w:p>
    <w:p>
      <w:pPr>
        <w:snapToGrid w:val="0"/>
        <w:spacing w:line="560" w:lineRule="exact"/>
      </w:pPr>
    </w:p>
    <w:p>
      <w:pPr>
        <w:pStyle w:val="51"/>
      </w:pPr>
      <w:r>
        <w:rPr>
          <w:b w:val="0"/>
          <w:bCs w:val="0"/>
          <w:sz w:val="24"/>
        </w:rPr>
        <w:br w:type="page"/>
      </w:r>
      <w:bookmarkStart w:id="75" w:name="_Toc321925453"/>
      <w:r>
        <w:rPr>
          <w:rFonts w:hint="eastAsia"/>
        </w:rPr>
        <w:t>第三章</w:t>
      </w:r>
      <w:bookmarkEnd w:id="75"/>
      <w:r>
        <w:rPr>
          <w:rFonts w:hint="eastAsia"/>
        </w:rPr>
        <w:t>评标办法</w:t>
      </w:r>
    </w:p>
    <w:p>
      <w:pPr>
        <w:adjustRightInd w:val="0"/>
        <w:snapToGrid w:val="0"/>
        <w:spacing w:line="400" w:lineRule="exact"/>
        <w:ind w:firstLine="440" w:firstLineChars="200"/>
        <w:rPr>
          <w:rFonts w:ascii="宋体" w:hAnsi="宋体" w:cs="Calibri"/>
          <w:kern w:val="0"/>
          <w:sz w:val="22"/>
        </w:rPr>
      </w:pPr>
      <w:r>
        <w:rPr>
          <w:rFonts w:hint="eastAsia" w:ascii="宋体" w:hAnsi="宋体" w:cs="Calibri"/>
          <w:kern w:val="0"/>
          <w:sz w:val="22"/>
        </w:rPr>
        <w:t>根据《中华人民共和国招标投标法》、《评标委员会和评标方法暂行规定》和浙江省的有关招投标规定，结合本工程的实际，按照公平、公正、科学、择优的原则选择中标单位，特制定本评标办法。</w:t>
      </w:r>
      <w:bookmarkStart w:id="76" w:name="_Toc498694912"/>
      <w:bookmarkStart w:id="77" w:name="_Toc448220020"/>
      <w:bookmarkStart w:id="78" w:name="_Toc400804785"/>
      <w:r>
        <w:rPr>
          <w:rFonts w:hint="eastAsia" w:ascii="宋体" w:hAnsi="宋体" w:cs="Calibri"/>
          <w:b/>
          <w:bCs/>
          <w:sz w:val="22"/>
        </w:rPr>
        <w:t>1、评标原则</w:t>
      </w:r>
      <w:bookmarkEnd w:id="76"/>
      <w:bookmarkEnd w:id="77"/>
      <w:bookmarkEnd w:id="78"/>
    </w:p>
    <w:p>
      <w:pPr>
        <w:adjustRightInd w:val="0"/>
        <w:snapToGrid w:val="0"/>
        <w:spacing w:line="400" w:lineRule="exact"/>
        <w:ind w:firstLine="440" w:firstLineChars="200"/>
        <w:rPr>
          <w:rFonts w:ascii="宋体" w:hAnsi="宋体" w:cs="Calibri"/>
          <w:kern w:val="0"/>
          <w:sz w:val="22"/>
        </w:rPr>
      </w:pPr>
      <w:r>
        <w:rPr>
          <w:rFonts w:hint="eastAsia" w:ascii="宋体" w:hAnsi="宋体" w:cs="Calibri"/>
          <w:kern w:val="0"/>
          <w:sz w:val="22"/>
        </w:rPr>
        <w:t>评标工作必须遵循公平、公正的竞争原则。评标人员必须严格遵守保密规定，不得泄露评标有关的情况，不得索贿受贿，不得参加影响评标的任何活动。</w:t>
      </w:r>
      <w:bookmarkStart w:id="79" w:name="_Toc498694913"/>
      <w:bookmarkStart w:id="80" w:name="_Toc448220021"/>
      <w:bookmarkStart w:id="81" w:name="_Toc400804786"/>
    </w:p>
    <w:p>
      <w:pPr>
        <w:pStyle w:val="101"/>
        <w:numPr>
          <w:ilvl w:val="0"/>
          <w:numId w:val="5"/>
        </w:numPr>
        <w:adjustRightInd w:val="0"/>
        <w:snapToGrid w:val="0"/>
        <w:spacing w:line="400" w:lineRule="exact"/>
        <w:ind w:firstLineChars="0"/>
        <w:rPr>
          <w:rFonts w:ascii="宋体" w:hAnsi="宋体" w:cs="Calibri"/>
          <w:b/>
          <w:kern w:val="0"/>
          <w:sz w:val="22"/>
        </w:rPr>
      </w:pPr>
      <w:r>
        <w:rPr>
          <w:rFonts w:hint="eastAsia" w:ascii="宋体" w:hAnsi="宋体" w:cs="Calibri"/>
          <w:b/>
          <w:bCs/>
          <w:sz w:val="22"/>
        </w:rPr>
        <w:t>评标组织</w:t>
      </w:r>
      <w:bookmarkEnd w:id="79"/>
      <w:bookmarkEnd w:id="80"/>
      <w:bookmarkEnd w:id="81"/>
    </w:p>
    <w:p>
      <w:pPr>
        <w:adjustRightInd w:val="0"/>
        <w:snapToGrid w:val="0"/>
        <w:spacing w:line="400" w:lineRule="exact"/>
        <w:ind w:firstLine="440" w:firstLineChars="200"/>
        <w:rPr>
          <w:rFonts w:ascii="宋体" w:hAnsi="宋体" w:cs="Calibri"/>
          <w:kern w:val="0"/>
          <w:sz w:val="22"/>
        </w:rPr>
      </w:pPr>
      <w:r>
        <w:rPr>
          <w:rFonts w:hint="eastAsia" w:ascii="宋体" w:hAnsi="宋体" w:cs="Calibri"/>
          <w:kern w:val="0"/>
          <w:sz w:val="22"/>
        </w:rPr>
        <w:t>评标委员会由招标人自行组建。</w:t>
      </w:r>
      <w:bookmarkStart w:id="82" w:name="_Toc498694914"/>
      <w:bookmarkStart w:id="83" w:name="_Toc448220022"/>
      <w:bookmarkStart w:id="84" w:name="_Toc400804787"/>
    </w:p>
    <w:p>
      <w:pPr>
        <w:pStyle w:val="101"/>
        <w:numPr>
          <w:ilvl w:val="0"/>
          <w:numId w:val="5"/>
        </w:numPr>
        <w:adjustRightInd w:val="0"/>
        <w:snapToGrid w:val="0"/>
        <w:spacing w:line="400" w:lineRule="exact"/>
        <w:ind w:firstLineChars="0"/>
        <w:rPr>
          <w:rFonts w:ascii="宋体" w:hAnsi="宋体" w:cs="Calibri"/>
          <w:b/>
          <w:kern w:val="0"/>
          <w:sz w:val="22"/>
        </w:rPr>
      </w:pPr>
      <w:r>
        <w:rPr>
          <w:rFonts w:hint="eastAsia" w:ascii="宋体" w:hAnsi="宋体" w:cs="Calibri"/>
          <w:b/>
          <w:bCs/>
          <w:sz w:val="22"/>
        </w:rPr>
        <w:t>评标程序和内容</w:t>
      </w:r>
      <w:bookmarkEnd w:id="82"/>
      <w:bookmarkEnd w:id="83"/>
      <w:bookmarkEnd w:id="84"/>
    </w:p>
    <w:p>
      <w:pPr>
        <w:adjustRightInd w:val="0"/>
        <w:snapToGrid w:val="0"/>
        <w:spacing w:line="400" w:lineRule="exact"/>
        <w:ind w:firstLine="440" w:firstLineChars="200"/>
        <w:rPr>
          <w:szCs w:val="21"/>
        </w:rPr>
      </w:pPr>
      <w:r>
        <w:rPr>
          <w:rFonts w:hint="eastAsia" w:ascii="宋体" w:hAnsi="宋体" w:cs="Calibri"/>
          <w:kern w:val="0"/>
          <w:sz w:val="22"/>
        </w:rPr>
        <w:t>本项目采用综合评估法。各投标人的总得分为技术资信部分与商务报价部分之和。评标委员会将总得分最高者推荐至招标人成为中标候选人。综合得分相等时，以投标报价低的优先；投标报价也相等的，技术标得分高的优先；技术标得分也相等的，由评委少数服从多数决定</w:t>
      </w:r>
      <w:r>
        <w:rPr>
          <w:rFonts w:hint="eastAsia"/>
          <w:szCs w:val="21"/>
        </w:rPr>
        <w:t>。</w:t>
      </w:r>
      <w:bookmarkStart w:id="85" w:name="_Toc498694915"/>
      <w:bookmarkStart w:id="86" w:name="_Toc448220023"/>
    </w:p>
    <w:p>
      <w:pPr>
        <w:adjustRightInd w:val="0"/>
        <w:snapToGrid w:val="0"/>
        <w:spacing w:line="400" w:lineRule="exact"/>
        <w:rPr>
          <w:b/>
          <w:szCs w:val="21"/>
        </w:rPr>
      </w:pPr>
      <w:r>
        <w:rPr>
          <w:rFonts w:hint="eastAsia" w:ascii="宋体" w:hAnsi="宋体" w:cs="Calibri"/>
          <w:b/>
          <w:bCs/>
          <w:sz w:val="22"/>
        </w:rPr>
        <w:t>3.1评标的一般程序</w:t>
      </w:r>
      <w:bookmarkEnd w:id="85"/>
      <w:bookmarkEnd w:id="86"/>
    </w:p>
    <w:p>
      <w:pPr>
        <w:numPr>
          <w:ilvl w:val="1"/>
          <w:numId w:val="6"/>
        </w:numPr>
        <w:tabs>
          <w:tab w:val="left" w:pos="420"/>
          <w:tab w:val="clear" w:pos="426"/>
        </w:tabs>
        <w:adjustRightInd w:val="0"/>
        <w:snapToGrid w:val="0"/>
        <w:spacing w:line="360" w:lineRule="auto"/>
        <w:ind w:firstLine="540"/>
        <w:rPr>
          <w:rFonts w:ascii="宋体" w:hAnsi="宋体" w:cs="Calibri"/>
          <w:kern w:val="0"/>
          <w:sz w:val="22"/>
        </w:rPr>
      </w:pPr>
      <w:r>
        <w:rPr>
          <w:rFonts w:hint="eastAsia" w:ascii="宋体" w:hAnsi="宋体" w:cs="Calibri"/>
          <w:kern w:val="0"/>
          <w:sz w:val="22"/>
        </w:rPr>
        <w:t>评标委员会熟悉招标文件和评标办法；</w:t>
      </w:r>
    </w:p>
    <w:p>
      <w:pPr>
        <w:numPr>
          <w:ilvl w:val="1"/>
          <w:numId w:val="6"/>
        </w:numPr>
        <w:tabs>
          <w:tab w:val="left" w:pos="420"/>
          <w:tab w:val="clear" w:pos="426"/>
        </w:tabs>
        <w:adjustRightInd w:val="0"/>
        <w:snapToGrid w:val="0"/>
        <w:spacing w:line="360" w:lineRule="auto"/>
        <w:ind w:firstLine="540"/>
        <w:rPr>
          <w:rFonts w:ascii="宋体" w:hAnsi="宋体" w:cs="Calibri"/>
          <w:kern w:val="0"/>
          <w:sz w:val="22"/>
        </w:rPr>
      </w:pPr>
      <w:r>
        <w:rPr>
          <w:rFonts w:hint="eastAsia" w:ascii="宋体" w:hAnsi="宋体" w:cs="Calibri"/>
          <w:kern w:val="0"/>
          <w:sz w:val="22"/>
        </w:rPr>
        <w:t>投标文件的符合性审查；</w:t>
      </w:r>
    </w:p>
    <w:p>
      <w:pPr>
        <w:numPr>
          <w:ilvl w:val="1"/>
          <w:numId w:val="6"/>
        </w:numPr>
        <w:tabs>
          <w:tab w:val="left" w:pos="420"/>
          <w:tab w:val="clear" w:pos="426"/>
        </w:tabs>
        <w:adjustRightInd w:val="0"/>
        <w:snapToGrid w:val="0"/>
        <w:spacing w:line="360" w:lineRule="auto"/>
        <w:ind w:firstLine="540"/>
        <w:rPr>
          <w:rFonts w:ascii="宋体" w:hAnsi="宋体" w:cs="Calibri"/>
          <w:kern w:val="0"/>
          <w:sz w:val="22"/>
        </w:rPr>
      </w:pPr>
      <w:r>
        <w:rPr>
          <w:rFonts w:hint="eastAsia" w:ascii="宋体" w:hAnsi="宋体" w:cs="Calibri"/>
          <w:kern w:val="0"/>
          <w:sz w:val="22"/>
        </w:rPr>
        <w:t>投标文件的技术评审；</w:t>
      </w:r>
    </w:p>
    <w:p>
      <w:pPr>
        <w:numPr>
          <w:ilvl w:val="1"/>
          <w:numId w:val="6"/>
        </w:numPr>
        <w:tabs>
          <w:tab w:val="left" w:pos="420"/>
          <w:tab w:val="clear" w:pos="426"/>
        </w:tabs>
        <w:adjustRightInd w:val="0"/>
        <w:snapToGrid w:val="0"/>
        <w:spacing w:line="360" w:lineRule="auto"/>
        <w:ind w:firstLine="540"/>
        <w:rPr>
          <w:rFonts w:ascii="宋体" w:hAnsi="宋体" w:cs="Calibri"/>
          <w:kern w:val="0"/>
          <w:sz w:val="22"/>
        </w:rPr>
      </w:pPr>
      <w:r>
        <w:rPr>
          <w:rFonts w:hint="eastAsia" w:ascii="宋体" w:hAnsi="宋体" w:cs="Calibri"/>
          <w:kern w:val="0"/>
          <w:sz w:val="22"/>
        </w:rPr>
        <w:t>投标文件的资信评审；</w:t>
      </w:r>
    </w:p>
    <w:p>
      <w:pPr>
        <w:numPr>
          <w:ilvl w:val="1"/>
          <w:numId w:val="6"/>
        </w:numPr>
        <w:tabs>
          <w:tab w:val="left" w:pos="420"/>
          <w:tab w:val="clear" w:pos="426"/>
        </w:tabs>
        <w:adjustRightInd w:val="0"/>
        <w:snapToGrid w:val="0"/>
        <w:spacing w:line="360" w:lineRule="auto"/>
        <w:ind w:firstLine="540"/>
        <w:rPr>
          <w:rFonts w:ascii="宋体" w:hAnsi="宋体" w:cs="Calibri"/>
          <w:kern w:val="0"/>
          <w:sz w:val="22"/>
        </w:rPr>
      </w:pPr>
      <w:r>
        <w:rPr>
          <w:rFonts w:hint="eastAsia" w:ascii="宋体" w:hAnsi="宋体" w:cs="Calibri"/>
          <w:kern w:val="0"/>
          <w:sz w:val="22"/>
        </w:rPr>
        <w:t>投标文件的商务评审；</w:t>
      </w:r>
    </w:p>
    <w:p>
      <w:pPr>
        <w:numPr>
          <w:ilvl w:val="1"/>
          <w:numId w:val="6"/>
        </w:numPr>
        <w:tabs>
          <w:tab w:val="left" w:pos="420"/>
          <w:tab w:val="clear" w:pos="426"/>
        </w:tabs>
        <w:adjustRightInd w:val="0"/>
        <w:snapToGrid w:val="0"/>
        <w:spacing w:line="360" w:lineRule="auto"/>
        <w:ind w:firstLine="540"/>
        <w:rPr>
          <w:rFonts w:ascii="宋体" w:hAnsi="宋体" w:cs="Calibri"/>
          <w:kern w:val="0"/>
          <w:sz w:val="22"/>
        </w:rPr>
      </w:pPr>
      <w:r>
        <w:rPr>
          <w:rFonts w:hint="eastAsia" w:ascii="宋体" w:hAnsi="宋体" w:cs="Calibri"/>
          <w:kern w:val="0"/>
          <w:sz w:val="22"/>
        </w:rPr>
        <w:t>由投标人书面澄清投标文件的疑问（必要时）；</w:t>
      </w:r>
    </w:p>
    <w:p>
      <w:pPr>
        <w:numPr>
          <w:ilvl w:val="1"/>
          <w:numId w:val="6"/>
        </w:numPr>
        <w:tabs>
          <w:tab w:val="left" w:pos="420"/>
          <w:tab w:val="clear" w:pos="426"/>
        </w:tabs>
        <w:adjustRightInd w:val="0"/>
        <w:snapToGrid w:val="0"/>
        <w:spacing w:line="360" w:lineRule="auto"/>
        <w:ind w:firstLine="540"/>
        <w:rPr>
          <w:rFonts w:ascii="宋体" w:hAnsi="宋体" w:cs="Calibri"/>
          <w:kern w:val="0"/>
          <w:sz w:val="22"/>
        </w:rPr>
      </w:pPr>
      <w:r>
        <w:rPr>
          <w:rFonts w:hint="eastAsia" w:ascii="宋体" w:hAnsi="宋体" w:cs="Calibri"/>
          <w:kern w:val="0"/>
          <w:sz w:val="22"/>
        </w:rPr>
        <w:t>根据评标办法对投标人进行综合评审。</w:t>
      </w:r>
    </w:p>
    <w:p>
      <w:pPr>
        <w:numPr>
          <w:ilvl w:val="1"/>
          <w:numId w:val="6"/>
        </w:numPr>
        <w:tabs>
          <w:tab w:val="left" w:pos="420"/>
          <w:tab w:val="clear" w:pos="426"/>
        </w:tabs>
        <w:adjustRightInd w:val="0"/>
        <w:snapToGrid w:val="0"/>
        <w:spacing w:line="360" w:lineRule="auto"/>
        <w:ind w:firstLine="540"/>
        <w:rPr>
          <w:rFonts w:ascii="宋体" w:hAnsi="宋体" w:cs="Calibri"/>
          <w:kern w:val="0"/>
          <w:sz w:val="22"/>
        </w:rPr>
      </w:pPr>
      <w:r>
        <w:rPr>
          <w:rFonts w:hint="eastAsia" w:ascii="宋体" w:hAnsi="宋体" w:cs="Calibri"/>
          <w:kern w:val="0"/>
          <w:sz w:val="22"/>
        </w:rPr>
        <w:t>完成评标报告，推荐中标候选人。评标报告由评标委员会起草，按少数服从多数的原则通过。评标委员会全体成员须在评标报告上签字认可，评标专家如有保留意见可以在评标报告中阐明。</w:t>
      </w:r>
      <w:bookmarkStart w:id="87" w:name="_Toc498694916"/>
      <w:bookmarkStart w:id="88" w:name="_Toc448220024"/>
    </w:p>
    <w:p>
      <w:pPr>
        <w:tabs>
          <w:tab w:val="left" w:pos="420"/>
        </w:tabs>
        <w:adjustRightInd w:val="0"/>
        <w:snapToGrid w:val="0"/>
        <w:spacing w:line="360" w:lineRule="auto"/>
        <w:ind w:left="6"/>
        <w:rPr>
          <w:rFonts w:ascii="宋体" w:hAnsi="宋体" w:cs="Calibri"/>
          <w:b/>
          <w:kern w:val="0"/>
          <w:sz w:val="22"/>
        </w:rPr>
      </w:pPr>
      <w:r>
        <w:rPr>
          <w:rFonts w:hint="eastAsia" w:ascii="宋体" w:hAnsi="宋体" w:cs="Calibri"/>
          <w:b/>
          <w:bCs/>
          <w:sz w:val="22"/>
        </w:rPr>
        <w:t>3.2投标文件的符合性审查内容</w:t>
      </w:r>
      <w:bookmarkEnd w:id="87"/>
      <w:bookmarkEnd w:id="88"/>
    </w:p>
    <w:p>
      <w:pPr>
        <w:tabs>
          <w:tab w:val="left" w:pos="420"/>
        </w:tabs>
        <w:adjustRightInd w:val="0"/>
        <w:snapToGrid w:val="0"/>
        <w:spacing w:line="360" w:lineRule="auto"/>
        <w:ind w:left="546"/>
        <w:rPr>
          <w:rFonts w:ascii="宋体" w:hAnsi="宋体" w:cs="Calibri"/>
          <w:kern w:val="0"/>
          <w:sz w:val="22"/>
        </w:rPr>
      </w:pPr>
      <w:r>
        <w:rPr>
          <w:rFonts w:hint="eastAsia" w:ascii="宋体" w:hAnsi="宋体" w:cs="Calibri"/>
          <w:kern w:val="0"/>
          <w:sz w:val="22"/>
        </w:rPr>
        <w:t>评标委员会应依照招标文件的要求和规定，首先对投标人的投标资格和投标文件进行符合性审查。</w:t>
      </w:r>
    </w:p>
    <w:p>
      <w:pPr>
        <w:tabs>
          <w:tab w:val="left" w:pos="420"/>
        </w:tabs>
        <w:adjustRightInd w:val="0"/>
        <w:snapToGrid w:val="0"/>
        <w:spacing w:line="360" w:lineRule="auto"/>
        <w:ind w:left="546"/>
        <w:rPr>
          <w:rFonts w:ascii="宋体" w:hAnsi="宋体" w:cs="Calibri"/>
          <w:kern w:val="0"/>
          <w:sz w:val="22"/>
        </w:rPr>
      </w:pPr>
      <w:r>
        <w:rPr>
          <w:rFonts w:hint="eastAsia" w:ascii="宋体" w:hAnsi="宋体" w:cs="Calibri"/>
          <w:kern w:val="0"/>
          <w:sz w:val="22"/>
        </w:rPr>
        <w:t>投标人不得通过补充、修改或撤消投标文件中的内容使其成为实质性响应的投标。投标人在投标截止以后不得提交任何资料作为评标依据。</w:t>
      </w:r>
    </w:p>
    <w:p>
      <w:pPr>
        <w:tabs>
          <w:tab w:val="left" w:pos="420"/>
        </w:tabs>
        <w:adjustRightInd w:val="0"/>
        <w:snapToGrid w:val="0"/>
        <w:spacing w:line="360" w:lineRule="auto"/>
        <w:ind w:left="546"/>
        <w:rPr>
          <w:rFonts w:ascii="宋体" w:hAnsi="宋体" w:cs="Calibri"/>
          <w:kern w:val="0"/>
          <w:sz w:val="22"/>
        </w:rPr>
      </w:pPr>
      <w:r>
        <w:rPr>
          <w:rFonts w:hint="eastAsia" w:ascii="宋体" w:hAnsi="宋体" w:cs="Calibri"/>
          <w:kern w:val="0"/>
          <w:sz w:val="22"/>
        </w:rPr>
        <w:t>投标文件如存在以下情况之一的，经评标委员会审核认定，作为符合性审查未通过予以废除，不再进行技术标和商务标的评审：</w:t>
      </w:r>
    </w:p>
    <w:p>
      <w:pPr>
        <w:numPr>
          <w:ilvl w:val="0"/>
          <w:numId w:val="7"/>
        </w:numPr>
        <w:tabs>
          <w:tab w:val="left" w:pos="600"/>
          <w:tab w:val="left" w:pos="945"/>
        </w:tabs>
        <w:adjustRightInd w:val="0"/>
        <w:snapToGrid w:val="0"/>
        <w:spacing w:line="360" w:lineRule="auto"/>
        <w:ind w:firstLine="120"/>
        <w:jc w:val="left"/>
        <w:rPr>
          <w:rFonts w:ascii="宋体" w:hAnsi="宋体" w:cs="Calibri"/>
          <w:b/>
          <w:kern w:val="0"/>
          <w:sz w:val="22"/>
        </w:rPr>
      </w:pPr>
      <w:r>
        <w:rPr>
          <w:rFonts w:hint="eastAsia" w:ascii="宋体" w:hAnsi="宋体" w:cs="Calibri"/>
          <w:b/>
          <w:kern w:val="0"/>
          <w:sz w:val="22"/>
        </w:rPr>
        <w:t>投标人的投标资格不满足国家有关规定或招标文件载明的资格条件要求的；</w:t>
      </w:r>
    </w:p>
    <w:p>
      <w:pPr>
        <w:numPr>
          <w:ilvl w:val="0"/>
          <w:numId w:val="7"/>
        </w:numPr>
        <w:tabs>
          <w:tab w:val="left" w:pos="600"/>
          <w:tab w:val="left" w:pos="945"/>
        </w:tabs>
        <w:adjustRightInd w:val="0"/>
        <w:snapToGrid w:val="0"/>
        <w:spacing w:line="360" w:lineRule="auto"/>
        <w:ind w:firstLine="120"/>
        <w:jc w:val="left"/>
        <w:rPr>
          <w:rFonts w:ascii="宋体" w:hAnsi="宋体" w:cs="Calibri"/>
          <w:b/>
          <w:kern w:val="0"/>
          <w:sz w:val="22"/>
        </w:rPr>
      </w:pPr>
      <w:r>
        <w:rPr>
          <w:rFonts w:hint="eastAsia" w:ascii="宋体" w:hAnsi="宋体" w:cs="Calibri"/>
          <w:b/>
          <w:kern w:val="0"/>
          <w:sz w:val="22"/>
        </w:rPr>
        <w:t>投标文件未按招标文件要求加盖单位印章或投标人的法定代表人（或其委托代理人）未按招标文件要求签字或盖章的；</w:t>
      </w:r>
    </w:p>
    <w:p>
      <w:pPr>
        <w:numPr>
          <w:ilvl w:val="0"/>
          <w:numId w:val="7"/>
        </w:numPr>
        <w:tabs>
          <w:tab w:val="left" w:pos="600"/>
          <w:tab w:val="left" w:pos="945"/>
        </w:tabs>
        <w:adjustRightInd w:val="0"/>
        <w:snapToGrid w:val="0"/>
        <w:spacing w:line="360" w:lineRule="auto"/>
        <w:ind w:left="0" w:firstLine="540"/>
        <w:jc w:val="left"/>
        <w:rPr>
          <w:rFonts w:ascii="宋体" w:hAnsi="宋体" w:cs="Calibri"/>
          <w:b/>
          <w:kern w:val="0"/>
          <w:sz w:val="22"/>
        </w:rPr>
      </w:pPr>
      <w:r>
        <w:rPr>
          <w:rFonts w:hint="eastAsia" w:ascii="宋体" w:hAnsi="宋体" w:cs="Calibri"/>
          <w:b/>
          <w:kern w:val="0"/>
          <w:sz w:val="22"/>
        </w:rPr>
        <w:t>投标人提交两份或多份内容不同的投标文件，或在一份投标文件中对同一招标货物报有两个或多个报价，且未声明哪一个为最终报价的，按招标文件规定的提交备选投标方案的除外；</w:t>
      </w:r>
    </w:p>
    <w:p>
      <w:pPr>
        <w:numPr>
          <w:ilvl w:val="0"/>
          <w:numId w:val="7"/>
        </w:numPr>
        <w:tabs>
          <w:tab w:val="left" w:pos="600"/>
          <w:tab w:val="left" w:pos="945"/>
        </w:tabs>
        <w:adjustRightInd w:val="0"/>
        <w:snapToGrid w:val="0"/>
        <w:spacing w:line="360" w:lineRule="auto"/>
        <w:ind w:firstLine="120"/>
        <w:jc w:val="left"/>
        <w:rPr>
          <w:rFonts w:ascii="宋体" w:hAnsi="宋体" w:cs="Calibri"/>
          <w:b/>
          <w:kern w:val="0"/>
          <w:sz w:val="22"/>
        </w:rPr>
      </w:pPr>
      <w:r>
        <w:rPr>
          <w:rFonts w:hint="eastAsia" w:ascii="宋体" w:hAnsi="宋体" w:cs="Calibri"/>
          <w:b/>
          <w:kern w:val="0"/>
          <w:sz w:val="22"/>
        </w:rPr>
        <w:t>投标人未按招标文件要求提供投标保证金的或投标保证金有瑕疵的；</w:t>
      </w:r>
    </w:p>
    <w:p>
      <w:pPr>
        <w:numPr>
          <w:ilvl w:val="0"/>
          <w:numId w:val="7"/>
        </w:numPr>
        <w:tabs>
          <w:tab w:val="left" w:pos="600"/>
          <w:tab w:val="left" w:pos="945"/>
        </w:tabs>
        <w:adjustRightInd w:val="0"/>
        <w:snapToGrid w:val="0"/>
        <w:spacing w:line="360" w:lineRule="auto"/>
        <w:ind w:firstLine="120"/>
        <w:jc w:val="left"/>
        <w:rPr>
          <w:rFonts w:ascii="宋体" w:hAnsi="宋体" w:cs="Calibri"/>
          <w:b/>
          <w:kern w:val="0"/>
          <w:sz w:val="22"/>
        </w:rPr>
      </w:pPr>
      <w:r>
        <w:rPr>
          <w:rFonts w:hint="eastAsia" w:ascii="宋体" w:hAnsi="宋体" w:cs="Calibri"/>
          <w:b/>
          <w:kern w:val="0"/>
          <w:sz w:val="22"/>
        </w:rPr>
        <w:t>投标文件载明的交货期超过招标文件规定的期限的；</w:t>
      </w:r>
    </w:p>
    <w:p>
      <w:pPr>
        <w:numPr>
          <w:ilvl w:val="0"/>
          <w:numId w:val="7"/>
        </w:numPr>
        <w:tabs>
          <w:tab w:val="left" w:pos="600"/>
          <w:tab w:val="left" w:pos="945"/>
        </w:tabs>
        <w:adjustRightInd w:val="0"/>
        <w:snapToGrid w:val="0"/>
        <w:spacing w:line="360" w:lineRule="auto"/>
        <w:ind w:firstLine="120"/>
        <w:jc w:val="left"/>
        <w:rPr>
          <w:rFonts w:ascii="宋体" w:hAnsi="宋体" w:cs="Calibri"/>
          <w:b/>
          <w:kern w:val="0"/>
          <w:sz w:val="22"/>
        </w:rPr>
      </w:pPr>
      <w:r>
        <w:rPr>
          <w:rFonts w:hint="eastAsia" w:ascii="宋体" w:hAnsi="宋体" w:cs="Calibri"/>
          <w:b/>
          <w:kern w:val="0"/>
          <w:sz w:val="22"/>
        </w:rPr>
        <w:t>投标有效期不满足招标文件要求的；</w:t>
      </w:r>
    </w:p>
    <w:p>
      <w:pPr>
        <w:numPr>
          <w:ilvl w:val="0"/>
          <w:numId w:val="7"/>
        </w:numPr>
        <w:tabs>
          <w:tab w:val="left" w:pos="600"/>
          <w:tab w:val="left" w:pos="945"/>
        </w:tabs>
        <w:adjustRightInd w:val="0"/>
        <w:snapToGrid w:val="0"/>
        <w:spacing w:line="360" w:lineRule="auto"/>
        <w:ind w:firstLine="120"/>
        <w:jc w:val="left"/>
        <w:rPr>
          <w:rFonts w:ascii="宋体" w:hAnsi="宋体" w:cs="Calibri"/>
          <w:b/>
          <w:kern w:val="0"/>
          <w:sz w:val="22"/>
        </w:rPr>
      </w:pPr>
      <w:r>
        <w:rPr>
          <w:rFonts w:hint="eastAsia" w:ascii="宋体" w:hAnsi="宋体" w:cs="Calibri"/>
          <w:b/>
          <w:kern w:val="0"/>
          <w:sz w:val="22"/>
        </w:rPr>
        <w:t>不响应招标文件规定的实质性要求（包括具体条文前用“★”标示的）；</w:t>
      </w:r>
    </w:p>
    <w:p>
      <w:pPr>
        <w:numPr>
          <w:ilvl w:val="0"/>
          <w:numId w:val="7"/>
        </w:numPr>
        <w:tabs>
          <w:tab w:val="left" w:pos="600"/>
          <w:tab w:val="left" w:pos="945"/>
        </w:tabs>
        <w:adjustRightInd w:val="0"/>
        <w:snapToGrid w:val="0"/>
        <w:spacing w:line="360" w:lineRule="auto"/>
        <w:ind w:left="0" w:firstLine="540"/>
        <w:jc w:val="left"/>
        <w:rPr>
          <w:rFonts w:ascii="宋体" w:hAnsi="宋体" w:cs="Calibri"/>
          <w:b/>
          <w:kern w:val="0"/>
          <w:sz w:val="22"/>
        </w:rPr>
      </w:pPr>
      <w:r>
        <w:rPr>
          <w:rFonts w:hint="eastAsia" w:ascii="宋体" w:hAnsi="宋体" w:cs="Calibri"/>
          <w:b/>
          <w:kern w:val="0"/>
          <w:sz w:val="22"/>
        </w:rPr>
        <w:t>是否有明显不符合技术规格、技术标准的要求或不满足招标文件技术规格书中的主要参数或提出的偏离招标人不予接受的投标文件；</w:t>
      </w:r>
    </w:p>
    <w:p>
      <w:pPr>
        <w:numPr>
          <w:ilvl w:val="0"/>
          <w:numId w:val="7"/>
        </w:numPr>
        <w:tabs>
          <w:tab w:val="left" w:pos="600"/>
          <w:tab w:val="left" w:pos="945"/>
        </w:tabs>
        <w:adjustRightInd w:val="0"/>
        <w:snapToGrid w:val="0"/>
        <w:spacing w:line="360" w:lineRule="auto"/>
        <w:ind w:left="0" w:firstLine="540"/>
        <w:jc w:val="left"/>
        <w:rPr>
          <w:rFonts w:ascii="宋体" w:hAnsi="宋体" w:cs="Calibri"/>
          <w:b/>
          <w:kern w:val="0"/>
          <w:sz w:val="22"/>
        </w:rPr>
      </w:pPr>
      <w:r>
        <w:rPr>
          <w:rFonts w:hint="eastAsia" w:ascii="宋体" w:hAnsi="宋体" w:cs="Calibri"/>
          <w:b/>
          <w:kern w:val="0"/>
          <w:sz w:val="22"/>
        </w:rPr>
        <w:t>投标文件未出具《质量保证承诺书》、《廉洁自律承诺书》的；</w:t>
      </w:r>
    </w:p>
    <w:p>
      <w:pPr>
        <w:numPr>
          <w:ilvl w:val="0"/>
          <w:numId w:val="7"/>
        </w:numPr>
        <w:tabs>
          <w:tab w:val="left" w:pos="600"/>
          <w:tab w:val="left" w:pos="945"/>
        </w:tabs>
        <w:adjustRightInd w:val="0"/>
        <w:snapToGrid w:val="0"/>
        <w:spacing w:line="360" w:lineRule="auto"/>
        <w:ind w:left="0" w:firstLine="540"/>
        <w:jc w:val="left"/>
        <w:rPr>
          <w:rFonts w:ascii="宋体" w:hAnsi="宋体" w:cs="Calibri"/>
          <w:b/>
          <w:kern w:val="0"/>
          <w:sz w:val="22"/>
        </w:rPr>
      </w:pPr>
      <w:r>
        <w:rPr>
          <w:rFonts w:hint="eastAsia" w:ascii="宋体" w:hAnsi="宋体" w:cs="Calibri"/>
          <w:b/>
          <w:kern w:val="0"/>
          <w:sz w:val="22"/>
        </w:rPr>
        <w:t>投标文件附有招标人不能接受的条款；</w:t>
      </w:r>
    </w:p>
    <w:p>
      <w:pPr>
        <w:numPr>
          <w:ilvl w:val="0"/>
          <w:numId w:val="7"/>
        </w:numPr>
        <w:tabs>
          <w:tab w:val="left" w:pos="600"/>
          <w:tab w:val="left" w:pos="945"/>
        </w:tabs>
        <w:adjustRightInd w:val="0"/>
        <w:snapToGrid w:val="0"/>
        <w:spacing w:line="360" w:lineRule="auto"/>
        <w:ind w:firstLine="120"/>
        <w:jc w:val="left"/>
        <w:rPr>
          <w:rFonts w:ascii="宋体" w:hAnsi="宋体" w:cs="Calibri"/>
          <w:b/>
          <w:kern w:val="0"/>
          <w:sz w:val="22"/>
        </w:rPr>
      </w:pPr>
      <w:r>
        <w:rPr>
          <w:rFonts w:hint="eastAsia" w:ascii="宋体" w:hAnsi="宋体" w:cs="Calibri"/>
          <w:b/>
          <w:kern w:val="0"/>
          <w:sz w:val="22"/>
        </w:rPr>
        <w:t>法律、法规规定的其它废标情况。</w:t>
      </w:r>
      <w:bookmarkStart w:id="89" w:name="_Toc448220025"/>
      <w:bookmarkStart w:id="90" w:name="_Toc498694917"/>
    </w:p>
    <w:p>
      <w:pPr>
        <w:tabs>
          <w:tab w:val="left" w:pos="420"/>
          <w:tab w:val="left" w:pos="600"/>
          <w:tab w:val="left" w:pos="945"/>
        </w:tabs>
        <w:adjustRightInd w:val="0"/>
        <w:snapToGrid w:val="0"/>
        <w:spacing w:line="360" w:lineRule="auto"/>
        <w:jc w:val="left"/>
        <w:rPr>
          <w:rFonts w:ascii="宋体" w:hAnsi="宋体" w:cs="Calibri"/>
          <w:b/>
          <w:bCs/>
          <w:sz w:val="22"/>
        </w:rPr>
      </w:pPr>
      <w:r>
        <w:rPr>
          <w:rFonts w:hint="eastAsia" w:ascii="宋体" w:hAnsi="宋体" w:cs="Calibri"/>
          <w:b/>
          <w:bCs/>
          <w:sz w:val="22"/>
        </w:rPr>
        <w:t>3.3投标文件的详细评审</w:t>
      </w:r>
      <w:bookmarkEnd w:id="89"/>
      <w:bookmarkEnd w:id="90"/>
    </w:p>
    <w:p>
      <w:pPr>
        <w:tabs>
          <w:tab w:val="left" w:pos="420"/>
          <w:tab w:val="left" w:pos="600"/>
          <w:tab w:val="left" w:pos="945"/>
        </w:tabs>
        <w:adjustRightInd w:val="0"/>
        <w:snapToGrid w:val="0"/>
        <w:spacing w:line="360" w:lineRule="auto"/>
        <w:jc w:val="left"/>
        <w:rPr>
          <w:rFonts w:ascii="宋体" w:hAnsi="宋体" w:cs="Calibri"/>
          <w:b/>
          <w:bCs/>
          <w:sz w:val="22"/>
        </w:rPr>
      </w:pPr>
      <w:r>
        <w:rPr>
          <w:rFonts w:hint="eastAsia" w:ascii="宋体" w:hAnsi="宋体" w:cs="Calibri"/>
          <w:kern w:val="0"/>
          <w:sz w:val="22"/>
        </w:rPr>
        <w:t>评标委员会对通过符合性审查的投标文件就以下二部分内容，按评标细则的规定和要求进行评审</w:t>
      </w:r>
      <w:r>
        <w:rPr>
          <w:rFonts w:hint="eastAsia"/>
          <w:szCs w:val="21"/>
        </w:rPr>
        <w:t>：</w:t>
      </w:r>
    </w:p>
    <w:p>
      <w:pPr>
        <w:adjustRightInd w:val="0"/>
        <w:snapToGrid w:val="0"/>
        <w:spacing w:line="400" w:lineRule="exact"/>
        <w:ind w:firstLine="420" w:firstLineChars="200"/>
        <w:rPr>
          <w:rFonts w:ascii="宋体" w:hAnsi="宋体" w:cs="Calibri"/>
          <w:kern w:val="0"/>
          <w:sz w:val="22"/>
        </w:rPr>
      </w:pPr>
      <w:r>
        <w:rPr>
          <w:szCs w:val="21"/>
        </w:rPr>
        <w:t>1</w:t>
      </w:r>
      <w:r>
        <w:rPr>
          <w:rFonts w:hint="eastAsia"/>
          <w:szCs w:val="21"/>
        </w:rPr>
        <w:t>．</w:t>
      </w:r>
      <w:r>
        <w:rPr>
          <w:rFonts w:hint="eastAsia" w:ascii="宋体" w:hAnsi="宋体" w:cs="Calibri"/>
          <w:b/>
          <w:kern w:val="0"/>
          <w:sz w:val="22"/>
        </w:rPr>
        <w:t>技术资信部分评审</w:t>
      </w:r>
      <w:r>
        <w:rPr>
          <w:rFonts w:hint="eastAsia"/>
          <w:b/>
          <w:szCs w:val="21"/>
        </w:rPr>
        <w:t>。</w:t>
      </w:r>
      <w:r>
        <w:rPr>
          <w:rFonts w:hint="eastAsia" w:ascii="宋体" w:hAnsi="宋体" w:cs="Calibri"/>
          <w:kern w:val="0"/>
          <w:sz w:val="22"/>
        </w:rPr>
        <w:t>由评标委员会成员负责对投标文件的技术资信部分采用记名方式各自评分。如发现某个单项的评分超出了评分细则所规定的分值范围的，则该张评分表无效。</w:t>
      </w:r>
    </w:p>
    <w:p>
      <w:pPr>
        <w:adjustRightInd w:val="0"/>
        <w:snapToGrid w:val="0"/>
        <w:spacing w:line="400" w:lineRule="exact"/>
        <w:ind w:firstLine="440" w:firstLineChars="200"/>
        <w:rPr>
          <w:szCs w:val="21"/>
        </w:rPr>
      </w:pPr>
      <w:r>
        <w:rPr>
          <w:rFonts w:hint="eastAsia" w:ascii="宋体" w:hAnsi="宋体" w:cs="Calibri"/>
          <w:kern w:val="0"/>
          <w:sz w:val="22"/>
        </w:rPr>
        <w:t>此项得分为：评标委员会成员的有效评分的算术平均值（保留小数2位）。</w:t>
      </w:r>
    </w:p>
    <w:p>
      <w:pPr>
        <w:adjustRightInd w:val="0"/>
        <w:snapToGrid w:val="0"/>
        <w:spacing w:line="400" w:lineRule="exact"/>
        <w:ind w:firstLine="440" w:firstLineChars="200"/>
        <w:rPr>
          <w:rFonts w:ascii="宋体" w:hAnsi="宋体" w:cs="Calibri"/>
          <w:kern w:val="0"/>
          <w:sz w:val="22"/>
        </w:rPr>
      </w:pPr>
      <w:r>
        <w:rPr>
          <w:rFonts w:hint="eastAsia" w:ascii="宋体" w:hAnsi="宋体" w:cs="Calibri"/>
          <w:b/>
          <w:kern w:val="0"/>
          <w:sz w:val="22"/>
        </w:rPr>
        <w:t>2.商务报价评审。</w:t>
      </w:r>
      <w:r>
        <w:rPr>
          <w:rFonts w:hint="eastAsia" w:ascii="宋体" w:hAnsi="宋体" w:cs="Calibri"/>
          <w:kern w:val="0"/>
          <w:sz w:val="22"/>
        </w:rPr>
        <w:t>由评标委员会成员对投标文件进行商务评审。评标专家应对商务报价的范围、数量、单价、费用组成和总价等进行全面审阅和对比分析，找出报价差异的原因及存在的问题。</w:t>
      </w:r>
    </w:p>
    <w:p>
      <w:pPr>
        <w:adjustRightInd w:val="0"/>
        <w:snapToGrid w:val="0"/>
        <w:spacing w:line="400" w:lineRule="exact"/>
        <w:ind w:firstLine="440" w:firstLineChars="200"/>
        <w:rPr>
          <w:rFonts w:ascii="宋体" w:hAnsi="宋体" w:cs="Calibri"/>
          <w:kern w:val="0"/>
          <w:sz w:val="22"/>
        </w:rPr>
      </w:pPr>
      <w:r>
        <w:rPr>
          <w:rFonts w:hint="eastAsia" w:ascii="宋体" w:hAnsi="宋体" w:cs="Calibri"/>
          <w:kern w:val="0"/>
          <w:sz w:val="22"/>
        </w:rPr>
        <w:t>商务报价评审应以报价口径范围一致的评标价为依据。评标价应在最终报价的基础上，按照招标文件约定的因素和方法进行计算。凡属招标文件的原因造成报价口径范围不一致的，应调整投标人报价，但因投标人自身失误造成多算、少算、漏算的，不得调整。</w:t>
      </w:r>
    </w:p>
    <w:p>
      <w:pPr>
        <w:adjustRightInd w:val="0"/>
        <w:snapToGrid w:val="0"/>
        <w:spacing w:line="400" w:lineRule="exact"/>
        <w:ind w:firstLine="440" w:firstLineChars="200"/>
        <w:rPr>
          <w:rFonts w:ascii="宋体" w:hAnsi="宋体" w:cs="Calibri"/>
          <w:kern w:val="0"/>
          <w:sz w:val="22"/>
        </w:rPr>
      </w:pPr>
      <w:r>
        <w:rPr>
          <w:rFonts w:hint="eastAsia" w:ascii="宋体" w:hAnsi="宋体" w:cs="Calibri"/>
          <w:kern w:val="0"/>
          <w:sz w:val="22"/>
        </w:rPr>
        <w:t>3.投标人的综合得分为以上二部分评分的总和。</w:t>
      </w:r>
    </w:p>
    <w:p>
      <w:pPr>
        <w:adjustRightInd w:val="0"/>
        <w:snapToGrid w:val="0"/>
        <w:spacing w:line="400" w:lineRule="exact"/>
        <w:ind w:firstLine="440" w:firstLineChars="200"/>
        <w:rPr>
          <w:rFonts w:ascii="宋体" w:hAnsi="宋体" w:cs="Calibri"/>
          <w:kern w:val="0"/>
          <w:sz w:val="22"/>
        </w:rPr>
      </w:pPr>
      <w:r>
        <w:rPr>
          <w:rFonts w:hint="eastAsia" w:ascii="宋体" w:hAnsi="宋体" w:cs="Calibri"/>
          <w:kern w:val="0"/>
          <w:sz w:val="22"/>
        </w:rPr>
        <w:t>4.当有效标少于三家时，经评标委员会认定仍具有充分竞争性的，并经现场招标人认可后，可以按原招标方式继续评审。</w:t>
      </w:r>
    </w:p>
    <w:p>
      <w:pPr>
        <w:adjustRightInd w:val="0"/>
        <w:snapToGrid w:val="0"/>
        <w:spacing w:line="400" w:lineRule="exact"/>
        <w:ind w:firstLine="440" w:firstLineChars="200"/>
        <w:rPr>
          <w:rFonts w:ascii="宋体" w:hAnsi="宋体" w:cs="Calibri"/>
          <w:kern w:val="0"/>
          <w:sz w:val="22"/>
        </w:rPr>
      </w:pPr>
      <w:r>
        <w:rPr>
          <w:rFonts w:hint="eastAsia" w:ascii="宋体" w:hAnsi="宋体" w:cs="Calibri"/>
          <w:kern w:val="0"/>
          <w:sz w:val="22"/>
        </w:rPr>
        <w:t>5.投标文件的澄清和补正</w:t>
      </w:r>
    </w:p>
    <w:p>
      <w:pPr>
        <w:adjustRightInd w:val="0"/>
        <w:snapToGrid w:val="0"/>
        <w:spacing w:line="400" w:lineRule="exact"/>
        <w:ind w:firstLine="440" w:firstLineChars="200"/>
        <w:rPr>
          <w:rFonts w:ascii="宋体" w:hAnsi="宋体" w:cs="Calibri"/>
          <w:kern w:val="0"/>
          <w:sz w:val="22"/>
        </w:rPr>
      </w:pPr>
      <w:r>
        <w:rPr>
          <w:rFonts w:hint="eastAsia" w:ascii="宋体" w:hAnsi="宋体" w:cs="Calibri"/>
          <w:kern w:val="0"/>
          <w:sz w:val="22"/>
        </w:rPr>
        <w:t>（1）在评标过程中，评标委员会可以书面形式要求投标人对所提交投标文件中不明确的内容进行书面澄清或说明，或者对细微偏差进行补正。评标委员会不接受投标人主动提出的澄清、说明或补正。</w:t>
      </w:r>
    </w:p>
    <w:p>
      <w:pPr>
        <w:adjustRightInd w:val="0"/>
        <w:snapToGrid w:val="0"/>
        <w:spacing w:line="400" w:lineRule="exact"/>
        <w:ind w:firstLine="440" w:firstLineChars="200"/>
        <w:rPr>
          <w:rFonts w:ascii="宋体" w:hAnsi="宋体" w:cs="Calibri"/>
          <w:kern w:val="0"/>
          <w:sz w:val="22"/>
        </w:rPr>
      </w:pPr>
      <w:r>
        <w:rPr>
          <w:rFonts w:hint="eastAsia" w:ascii="宋体" w:hAnsi="宋体" w:cs="Calibri"/>
          <w:kern w:val="0"/>
          <w:sz w:val="22"/>
        </w:rPr>
        <w:t>（2）澄清、说明和补正不得改变投标文件的实质性内容（算术性错误修正的除外）。投标人的书面澄清、说明和补正属于投标文件的组成部分。</w:t>
      </w:r>
    </w:p>
    <w:p>
      <w:pPr>
        <w:pStyle w:val="101"/>
        <w:numPr>
          <w:ilvl w:val="0"/>
          <w:numId w:val="8"/>
        </w:numPr>
        <w:adjustRightInd w:val="0"/>
        <w:snapToGrid w:val="0"/>
        <w:spacing w:line="400" w:lineRule="exact"/>
        <w:ind w:firstLineChars="0"/>
        <w:rPr>
          <w:rFonts w:ascii="宋体" w:hAnsi="宋体" w:cs="Calibri"/>
          <w:kern w:val="0"/>
          <w:sz w:val="22"/>
        </w:rPr>
      </w:pPr>
      <w:r>
        <w:rPr>
          <w:rFonts w:hint="eastAsia" w:ascii="宋体" w:hAnsi="宋体" w:cs="Calibri"/>
          <w:kern w:val="0"/>
          <w:sz w:val="22"/>
        </w:rPr>
        <w:t>评标委员会对投标人提交的澄清、说明或补正有疑问的，可以要求投标人进一步澄清、说明或补正，直至满足评标委员会的要求。</w:t>
      </w:r>
      <w:bookmarkStart w:id="91" w:name="_Toc448220026"/>
      <w:bookmarkStart w:id="92" w:name="_Toc498694918"/>
    </w:p>
    <w:p>
      <w:pPr>
        <w:adjustRightInd w:val="0"/>
        <w:snapToGrid w:val="0"/>
        <w:spacing w:line="400" w:lineRule="exact"/>
        <w:rPr>
          <w:rFonts w:ascii="宋体" w:hAnsi="宋体" w:cs="Calibri"/>
          <w:b/>
          <w:kern w:val="0"/>
          <w:sz w:val="22"/>
        </w:rPr>
      </w:pPr>
      <w:r>
        <w:rPr>
          <w:rFonts w:hint="eastAsia" w:ascii="宋体" w:hAnsi="宋体" w:cs="Calibri"/>
          <w:b/>
          <w:bCs/>
          <w:sz w:val="22"/>
        </w:rPr>
        <w:t>3.4评标报告</w:t>
      </w:r>
      <w:bookmarkEnd w:id="91"/>
      <w:bookmarkEnd w:id="92"/>
    </w:p>
    <w:p>
      <w:pPr>
        <w:adjustRightInd w:val="0"/>
        <w:snapToGrid w:val="0"/>
        <w:spacing w:line="400" w:lineRule="exact"/>
        <w:ind w:firstLine="440" w:firstLineChars="200"/>
        <w:rPr>
          <w:rFonts w:ascii="宋体" w:hAnsi="宋体" w:cs="Calibri"/>
          <w:kern w:val="0"/>
          <w:sz w:val="22"/>
        </w:rPr>
      </w:pPr>
      <w:r>
        <w:rPr>
          <w:rFonts w:hint="eastAsia" w:ascii="宋体" w:hAnsi="宋体" w:cs="Calibri"/>
          <w:kern w:val="0"/>
          <w:sz w:val="22"/>
        </w:rPr>
        <w:t>评标委员会应根据评标情况和结果，向招标人提交评标报告。评标报告由评标委员会起草，按少数服从多数的原则通过。评标委员会全体成员应在评标报告上签字认可，评标专家如有保留意见可以在评标报告中阐明。</w:t>
      </w:r>
    </w:p>
    <w:p>
      <w:pPr>
        <w:adjustRightInd w:val="0"/>
        <w:snapToGrid w:val="0"/>
        <w:spacing w:line="400" w:lineRule="exact"/>
        <w:ind w:firstLine="440" w:firstLineChars="200"/>
        <w:rPr>
          <w:rFonts w:ascii="宋体" w:hAnsi="宋体" w:cs="Calibri"/>
          <w:kern w:val="0"/>
          <w:sz w:val="22"/>
        </w:rPr>
      </w:pPr>
      <w:r>
        <w:rPr>
          <w:rFonts w:hint="eastAsia" w:ascii="宋体" w:hAnsi="宋体" w:cs="Calibri"/>
          <w:kern w:val="0"/>
          <w:sz w:val="22"/>
        </w:rPr>
        <w:t>评标委员会应在评标报告中推荐得分排序第一名为中标候选人。总得分相同的，报价低者优先。评分相同且报价相同时，由评委少数服从多数决定。</w:t>
      </w:r>
    </w:p>
    <w:p>
      <w:pPr>
        <w:adjustRightInd w:val="0"/>
        <w:snapToGrid w:val="0"/>
        <w:spacing w:line="400" w:lineRule="exact"/>
        <w:ind w:firstLine="440" w:firstLineChars="200"/>
        <w:rPr>
          <w:rFonts w:ascii="宋体" w:hAnsi="宋体" w:cs="Calibri"/>
          <w:kern w:val="0"/>
          <w:sz w:val="22"/>
        </w:rPr>
      </w:pPr>
      <w:r>
        <w:rPr>
          <w:rFonts w:hint="eastAsia" w:ascii="宋体" w:hAnsi="宋体" w:cs="Calibri"/>
          <w:kern w:val="0"/>
          <w:sz w:val="22"/>
        </w:rPr>
        <w:t>评标报告应包括以下内容：</w:t>
      </w:r>
    </w:p>
    <w:p>
      <w:pPr>
        <w:adjustRightInd w:val="0"/>
        <w:snapToGrid w:val="0"/>
        <w:spacing w:line="400" w:lineRule="exact"/>
        <w:ind w:firstLine="440" w:firstLineChars="200"/>
        <w:rPr>
          <w:rFonts w:ascii="宋体" w:hAnsi="宋体" w:cs="Calibri"/>
          <w:kern w:val="0"/>
          <w:sz w:val="22"/>
        </w:rPr>
      </w:pPr>
      <w:r>
        <w:rPr>
          <w:rFonts w:hint="eastAsia" w:ascii="宋体" w:hAnsi="宋体" w:cs="Calibri"/>
          <w:kern w:val="0"/>
          <w:sz w:val="22"/>
        </w:rPr>
        <w:t>（1）开标记录;</w:t>
      </w:r>
    </w:p>
    <w:p>
      <w:pPr>
        <w:adjustRightInd w:val="0"/>
        <w:snapToGrid w:val="0"/>
        <w:spacing w:line="400" w:lineRule="exact"/>
        <w:ind w:firstLine="440" w:firstLineChars="200"/>
        <w:rPr>
          <w:rFonts w:ascii="宋体" w:hAnsi="宋体" w:cs="Calibri"/>
          <w:kern w:val="0"/>
          <w:sz w:val="22"/>
        </w:rPr>
      </w:pPr>
      <w:r>
        <w:rPr>
          <w:rFonts w:hint="eastAsia" w:ascii="宋体" w:hAnsi="宋体" w:cs="Calibri"/>
          <w:kern w:val="0"/>
          <w:sz w:val="22"/>
        </w:rPr>
        <w:t>（2）评标内容、过程和结果；</w:t>
      </w:r>
    </w:p>
    <w:p>
      <w:pPr>
        <w:adjustRightInd w:val="0"/>
        <w:snapToGrid w:val="0"/>
        <w:spacing w:line="400" w:lineRule="exact"/>
        <w:ind w:firstLine="440" w:firstLineChars="200"/>
        <w:rPr>
          <w:rFonts w:ascii="宋体" w:hAnsi="宋体" w:cs="Calibri"/>
          <w:kern w:val="0"/>
          <w:sz w:val="22"/>
        </w:rPr>
      </w:pPr>
      <w:r>
        <w:rPr>
          <w:rFonts w:hint="eastAsia" w:ascii="宋体" w:hAnsi="宋体" w:cs="Calibri"/>
          <w:kern w:val="0"/>
          <w:sz w:val="22"/>
        </w:rPr>
        <w:t>（3）废标情况说明及相关依据；</w:t>
      </w:r>
    </w:p>
    <w:p>
      <w:pPr>
        <w:adjustRightInd w:val="0"/>
        <w:snapToGrid w:val="0"/>
        <w:spacing w:line="400" w:lineRule="exact"/>
        <w:ind w:firstLine="440" w:firstLineChars="200"/>
        <w:rPr>
          <w:rFonts w:ascii="宋体" w:hAnsi="宋体" w:cs="Calibri"/>
          <w:kern w:val="0"/>
          <w:sz w:val="22"/>
        </w:rPr>
      </w:pPr>
      <w:r>
        <w:rPr>
          <w:rFonts w:hint="eastAsia" w:ascii="宋体" w:hAnsi="宋体" w:cs="Calibri"/>
          <w:kern w:val="0"/>
          <w:sz w:val="22"/>
        </w:rPr>
        <w:t>（4）询标澄清纪要；</w:t>
      </w:r>
    </w:p>
    <w:p>
      <w:pPr>
        <w:adjustRightInd w:val="0"/>
        <w:snapToGrid w:val="0"/>
        <w:spacing w:line="400" w:lineRule="exact"/>
        <w:ind w:firstLine="440" w:firstLineChars="200"/>
        <w:rPr>
          <w:rFonts w:ascii="宋体" w:hAnsi="宋体" w:cs="Calibri"/>
          <w:kern w:val="0"/>
          <w:sz w:val="22"/>
        </w:rPr>
      </w:pPr>
      <w:r>
        <w:rPr>
          <w:rFonts w:hint="eastAsia" w:ascii="宋体" w:hAnsi="宋体" w:cs="Calibri"/>
          <w:kern w:val="0"/>
          <w:sz w:val="22"/>
        </w:rPr>
        <w:t>（5）中标候选人的优劣对比和存在问题；</w:t>
      </w:r>
    </w:p>
    <w:p>
      <w:pPr>
        <w:pStyle w:val="101"/>
        <w:numPr>
          <w:ilvl w:val="0"/>
          <w:numId w:val="9"/>
        </w:numPr>
        <w:adjustRightInd w:val="0"/>
        <w:snapToGrid w:val="0"/>
        <w:spacing w:line="400" w:lineRule="exact"/>
        <w:ind w:firstLineChars="0"/>
        <w:rPr>
          <w:rFonts w:ascii="宋体" w:hAnsi="宋体" w:cs="Calibri"/>
          <w:kern w:val="0"/>
          <w:sz w:val="22"/>
        </w:rPr>
      </w:pPr>
      <w:r>
        <w:rPr>
          <w:rFonts w:hint="eastAsia" w:ascii="宋体" w:hAnsi="宋体" w:cs="Calibri"/>
          <w:kern w:val="0"/>
          <w:sz w:val="22"/>
        </w:rPr>
        <w:t>其他建议。</w:t>
      </w:r>
    </w:p>
    <w:p>
      <w:pPr>
        <w:adjustRightInd w:val="0"/>
        <w:snapToGrid w:val="0"/>
        <w:spacing w:line="400" w:lineRule="exact"/>
        <w:ind w:firstLine="440" w:firstLineChars="200"/>
        <w:rPr>
          <w:rFonts w:ascii="宋体" w:hAnsi="宋体" w:cs="Calibri"/>
          <w:kern w:val="0"/>
          <w:sz w:val="22"/>
        </w:rPr>
      </w:pPr>
      <w:r>
        <w:rPr>
          <w:rFonts w:hint="eastAsia" w:ascii="宋体" w:hAnsi="宋体" w:cs="Calibri"/>
          <w:kern w:val="0"/>
          <w:sz w:val="22"/>
        </w:rPr>
        <w:t>招标人将在发布招标公告的网站上公示中标结果，公示期为3个工作日。投标人有权在公示期内对中标结果提出质疑，但需对质疑内容的真实性承担责任。</w:t>
      </w:r>
      <w:bookmarkStart w:id="93" w:name="_Toc498694919"/>
      <w:bookmarkStart w:id="94" w:name="_Toc448220027"/>
    </w:p>
    <w:p>
      <w:pPr>
        <w:pStyle w:val="101"/>
        <w:numPr>
          <w:ilvl w:val="0"/>
          <w:numId w:val="5"/>
        </w:numPr>
        <w:adjustRightInd w:val="0"/>
        <w:snapToGrid w:val="0"/>
        <w:spacing w:line="400" w:lineRule="exact"/>
        <w:ind w:firstLineChars="0"/>
        <w:rPr>
          <w:rFonts w:ascii="宋体" w:hAnsi="宋体" w:cs="Calibri"/>
          <w:b/>
          <w:kern w:val="0"/>
          <w:sz w:val="22"/>
        </w:rPr>
      </w:pPr>
      <w:r>
        <w:rPr>
          <w:rFonts w:hint="eastAsia" w:ascii="宋体" w:hAnsi="宋体" w:cs="Calibri"/>
          <w:b/>
          <w:bCs/>
          <w:sz w:val="22"/>
        </w:rPr>
        <w:t>评标细则</w:t>
      </w:r>
      <w:bookmarkEnd w:id="93"/>
      <w:bookmarkEnd w:id="94"/>
      <w:bookmarkStart w:id="95" w:name="_Toc498694920"/>
      <w:bookmarkStart w:id="96" w:name="_Toc448220028"/>
    </w:p>
    <w:p>
      <w:pPr>
        <w:adjustRightInd w:val="0"/>
        <w:snapToGrid w:val="0"/>
        <w:spacing w:line="400" w:lineRule="exact"/>
        <w:rPr>
          <w:rFonts w:ascii="宋体" w:hAnsi="宋体" w:cs="Calibri"/>
          <w:b/>
          <w:kern w:val="0"/>
          <w:sz w:val="22"/>
        </w:rPr>
      </w:pPr>
      <w:r>
        <w:rPr>
          <w:rFonts w:hint="eastAsia" w:ascii="宋体" w:hAnsi="宋体" w:cs="Calibri"/>
          <w:b/>
          <w:bCs/>
          <w:sz w:val="22"/>
        </w:rPr>
        <w:t>4.1技术资信部分（满分40分）</w:t>
      </w:r>
      <w:bookmarkEnd w:id="95"/>
      <w:bookmarkEnd w:id="96"/>
    </w:p>
    <w:p>
      <w:pPr>
        <w:adjustRightInd w:val="0"/>
        <w:snapToGrid w:val="0"/>
        <w:spacing w:line="400" w:lineRule="exact"/>
        <w:ind w:firstLine="440" w:firstLineChars="200"/>
        <w:rPr>
          <w:rFonts w:ascii="宋体" w:hAnsi="宋体" w:cs="Calibri"/>
          <w:kern w:val="0"/>
          <w:sz w:val="22"/>
        </w:rPr>
      </w:pPr>
      <w:r>
        <w:rPr>
          <w:rFonts w:hint="eastAsia" w:ascii="宋体" w:hAnsi="宋体" w:cs="Calibri"/>
          <w:kern w:val="0"/>
          <w:sz w:val="22"/>
        </w:rPr>
        <w:t>评标委员会对已通过符合性审查且合格的投标文件进行技术评审，对各投标人的技术参数、方案、资信部分进行充分审核、讨论及评议后，由各专家按综合评分细则集体讨论后自行评分，每人一份评分表，并签名。在统计得分时，如发现某一单项评分超过评分细则规定的分值范围，则该张评分表无效。投标人技术部分的最终得分：按其实际人数评分的算术平均值。</w:t>
      </w:r>
    </w:p>
    <w:p>
      <w:pPr>
        <w:adjustRightInd w:val="0"/>
        <w:snapToGrid w:val="0"/>
        <w:spacing w:line="400" w:lineRule="exact"/>
        <w:ind w:firstLine="440" w:firstLineChars="200"/>
        <w:rPr>
          <w:rFonts w:ascii="宋体" w:hAnsi="宋体" w:cs="Calibri"/>
          <w:kern w:val="0"/>
          <w:sz w:val="22"/>
        </w:rPr>
      </w:pPr>
    </w:p>
    <w:tbl>
      <w:tblPr>
        <w:tblStyle w:val="56"/>
        <w:tblW w:w="942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598"/>
        <w:gridCol w:w="1085"/>
        <w:gridCol w:w="60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tblHeader/>
          <w:jc w:val="center"/>
        </w:trPr>
        <w:tc>
          <w:tcPr>
            <w:tcW w:w="704" w:type="dxa"/>
            <w:tcBorders>
              <w:top w:val="single" w:color="auto" w:sz="4" w:space="0"/>
              <w:left w:val="single" w:color="auto" w:sz="4" w:space="0"/>
              <w:bottom w:val="single" w:color="auto" w:sz="4" w:space="0"/>
              <w:right w:val="single" w:color="auto" w:sz="4" w:space="0"/>
            </w:tcBorders>
            <w:vAlign w:val="center"/>
          </w:tcPr>
          <w:p>
            <w:pPr>
              <w:pStyle w:val="116"/>
              <w:adjustRightInd w:val="0"/>
              <w:snapToGrid w:val="0"/>
              <w:spacing w:line="240" w:lineRule="auto"/>
              <w:jc w:val="center"/>
              <w:rPr>
                <w:rFonts w:ascii="宋体" w:hAnsi="宋体" w:eastAsia="宋体" w:cs="Calibri"/>
                <w:kern w:val="0"/>
                <w:sz w:val="22"/>
                <w:szCs w:val="24"/>
              </w:rPr>
            </w:pPr>
            <w:r>
              <w:rPr>
                <w:rFonts w:hint="eastAsia" w:ascii="宋体" w:hAnsi="宋体" w:eastAsia="宋体" w:cs="Calibri"/>
                <w:kern w:val="0"/>
                <w:sz w:val="22"/>
                <w:szCs w:val="24"/>
              </w:rPr>
              <w:t>序号</w:t>
            </w:r>
          </w:p>
        </w:tc>
        <w:tc>
          <w:tcPr>
            <w:tcW w:w="1598" w:type="dxa"/>
            <w:tcBorders>
              <w:top w:val="single" w:color="auto" w:sz="4" w:space="0"/>
              <w:left w:val="single" w:color="auto" w:sz="4" w:space="0"/>
              <w:bottom w:val="single" w:color="auto" w:sz="4" w:space="0"/>
              <w:right w:val="single" w:color="auto" w:sz="4" w:space="0"/>
            </w:tcBorders>
            <w:vAlign w:val="center"/>
          </w:tcPr>
          <w:p>
            <w:pPr>
              <w:pStyle w:val="116"/>
              <w:adjustRightInd w:val="0"/>
              <w:snapToGrid w:val="0"/>
              <w:spacing w:line="240" w:lineRule="auto"/>
              <w:ind w:firstLine="240"/>
              <w:jc w:val="center"/>
              <w:rPr>
                <w:rFonts w:ascii="宋体" w:hAnsi="宋体" w:eastAsia="宋体" w:cs="Calibri"/>
                <w:kern w:val="0"/>
                <w:sz w:val="22"/>
                <w:szCs w:val="24"/>
              </w:rPr>
            </w:pPr>
            <w:r>
              <w:rPr>
                <w:rFonts w:hint="eastAsia" w:ascii="宋体" w:hAnsi="宋体" w:eastAsia="宋体" w:cs="Calibri"/>
                <w:kern w:val="0"/>
                <w:sz w:val="22"/>
                <w:szCs w:val="24"/>
              </w:rPr>
              <w:t>项目</w:t>
            </w:r>
          </w:p>
        </w:tc>
        <w:tc>
          <w:tcPr>
            <w:tcW w:w="1085" w:type="dxa"/>
            <w:tcBorders>
              <w:top w:val="single" w:color="auto" w:sz="4" w:space="0"/>
              <w:left w:val="single" w:color="auto" w:sz="4" w:space="0"/>
              <w:bottom w:val="single" w:color="auto" w:sz="4" w:space="0"/>
              <w:right w:val="single" w:color="auto" w:sz="4" w:space="0"/>
            </w:tcBorders>
            <w:vAlign w:val="center"/>
          </w:tcPr>
          <w:p>
            <w:pPr>
              <w:pStyle w:val="116"/>
              <w:adjustRightInd w:val="0"/>
              <w:snapToGrid w:val="0"/>
              <w:spacing w:line="240" w:lineRule="auto"/>
              <w:jc w:val="center"/>
              <w:rPr>
                <w:rFonts w:ascii="宋体" w:hAnsi="宋体" w:eastAsia="宋体" w:cs="Calibri"/>
                <w:kern w:val="0"/>
                <w:sz w:val="22"/>
                <w:szCs w:val="24"/>
              </w:rPr>
            </w:pPr>
            <w:r>
              <w:rPr>
                <w:rFonts w:hint="eastAsia" w:ascii="宋体" w:hAnsi="宋体" w:eastAsia="宋体" w:cs="Calibri"/>
                <w:kern w:val="0"/>
                <w:sz w:val="22"/>
                <w:szCs w:val="24"/>
              </w:rPr>
              <w:t>分值范围</w:t>
            </w:r>
          </w:p>
        </w:tc>
        <w:tc>
          <w:tcPr>
            <w:tcW w:w="6034" w:type="dxa"/>
            <w:tcBorders>
              <w:top w:val="single" w:color="auto" w:sz="4" w:space="0"/>
              <w:left w:val="single" w:color="auto" w:sz="4" w:space="0"/>
              <w:bottom w:val="single" w:color="auto" w:sz="4" w:space="0"/>
              <w:right w:val="single" w:color="auto" w:sz="4" w:space="0"/>
            </w:tcBorders>
            <w:vAlign w:val="center"/>
          </w:tcPr>
          <w:p>
            <w:pPr>
              <w:pStyle w:val="116"/>
              <w:adjustRightInd w:val="0"/>
              <w:snapToGrid w:val="0"/>
              <w:spacing w:line="240" w:lineRule="auto"/>
              <w:jc w:val="center"/>
              <w:rPr>
                <w:rFonts w:ascii="宋体" w:hAnsi="宋体" w:eastAsia="宋体" w:cs="Calibri"/>
                <w:kern w:val="0"/>
                <w:sz w:val="22"/>
                <w:szCs w:val="24"/>
              </w:rPr>
            </w:pPr>
            <w:r>
              <w:rPr>
                <w:rFonts w:hint="eastAsia" w:ascii="宋体" w:hAnsi="宋体" w:eastAsia="宋体" w:cs="Calibri"/>
                <w:kern w:val="0"/>
                <w:sz w:val="22"/>
                <w:szCs w:val="24"/>
              </w:rPr>
              <w:t>评分依据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pStyle w:val="116"/>
              <w:adjustRightInd w:val="0"/>
              <w:snapToGrid w:val="0"/>
              <w:spacing w:line="240" w:lineRule="auto"/>
              <w:jc w:val="center"/>
              <w:rPr>
                <w:rFonts w:ascii="宋体" w:hAnsi="宋体" w:eastAsia="宋体" w:cs="Calibri"/>
                <w:kern w:val="0"/>
                <w:sz w:val="22"/>
                <w:szCs w:val="24"/>
              </w:rPr>
            </w:pPr>
            <w:r>
              <w:rPr>
                <w:rFonts w:hint="eastAsia" w:ascii="宋体" w:hAnsi="宋体" w:eastAsia="宋体" w:cs="Calibri"/>
                <w:kern w:val="0"/>
                <w:sz w:val="22"/>
                <w:szCs w:val="24"/>
              </w:rPr>
              <w:t>1</w:t>
            </w:r>
          </w:p>
        </w:tc>
        <w:tc>
          <w:tcPr>
            <w:tcW w:w="1598" w:type="dxa"/>
            <w:tcBorders>
              <w:top w:val="single" w:color="auto" w:sz="4" w:space="0"/>
              <w:left w:val="single" w:color="auto" w:sz="4" w:space="0"/>
              <w:bottom w:val="single" w:color="auto" w:sz="4" w:space="0"/>
              <w:right w:val="single" w:color="auto" w:sz="4" w:space="0"/>
            </w:tcBorders>
            <w:vAlign w:val="center"/>
          </w:tcPr>
          <w:p>
            <w:pPr>
              <w:pStyle w:val="116"/>
              <w:adjustRightInd w:val="0"/>
              <w:snapToGrid w:val="0"/>
              <w:spacing w:line="240" w:lineRule="auto"/>
              <w:jc w:val="center"/>
              <w:rPr>
                <w:rFonts w:ascii="宋体" w:hAnsi="宋体" w:eastAsia="宋体" w:cs="Calibri"/>
                <w:kern w:val="0"/>
                <w:sz w:val="22"/>
                <w:szCs w:val="24"/>
              </w:rPr>
            </w:pPr>
            <w:r>
              <w:rPr>
                <w:rFonts w:hint="eastAsia" w:ascii="宋体" w:hAnsi="宋体" w:eastAsia="宋体" w:cs="Calibri"/>
                <w:kern w:val="0"/>
                <w:sz w:val="22"/>
                <w:szCs w:val="24"/>
              </w:rPr>
              <w:t>资信情况</w:t>
            </w:r>
          </w:p>
          <w:p>
            <w:pPr>
              <w:pStyle w:val="116"/>
              <w:snapToGrid w:val="0"/>
              <w:jc w:val="center"/>
              <w:rPr>
                <w:rFonts w:ascii="宋体" w:hAnsi="宋体" w:eastAsia="宋体" w:cs="Calibri"/>
                <w:kern w:val="0"/>
                <w:sz w:val="22"/>
                <w:szCs w:val="24"/>
              </w:rPr>
            </w:pPr>
            <w:r>
              <w:rPr>
                <w:rFonts w:hint="eastAsia" w:ascii="宋体" w:hAnsi="宋体" w:eastAsia="宋体" w:cs="Calibri"/>
                <w:kern w:val="0"/>
                <w:sz w:val="22"/>
                <w:szCs w:val="24"/>
              </w:rPr>
              <w:t>（滿分10分）</w:t>
            </w:r>
          </w:p>
        </w:tc>
        <w:tc>
          <w:tcPr>
            <w:tcW w:w="1085" w:type="dxa"/>
            <w:tcBorders>
              <w:top w:val="single" w:color="auto" w:sz="4" w:space="0"/>
              <w:left w:val="single" w:color="auto" w:sz="4" w:space="0"/>
              <w:bottom w:val="single" w:color="auto" w:sz="4" w:space="0"/>
              <w:right w:val="single" w:color="auto" w:sz="4" w:space="0"/>
            </w:tcBorders>
            <w:vAlign w:val="center"/>
          </w:tcPr>
          <w:p>
            <w:pPr>
              <w:pStyle w:val="116"/>
              <w:adjustRightInd w:val="0"/>
              <w:snapToGrid w:val="0"/>
              <w:spacing w:line="240" w:lineRule="auto"/>
              <w:jc w:val="center"/>
              <w:rPr>
                <w:rFonts w:ascii="宋体" w:hAnsi="宋体" w:eastAsia="宋体" w:cs="Calibri"/>
                <w:kern w:val="0"/>
                <w:sz w:val="22"/>
                <w:szCs w:val="24"/>
              </w:rPr>
            </w:pPr>
            <w:r>
              <w:rPr>
                <w:rFonts w:hint="eastAsia" w:ascii="宋体" w:hAnsi="宋体" w:eastAsia="宋体" w:cs="Calibri"/>
                <w:kern w:val="0"/>
                <w:sz w:val="22"/>
                <w:szCs w:val="24"/>
              </w:rPr>
              <w:t>0～10分</w:t>
            </w:r>
          </w:p>
        </w:tc>
        <w:tc>
          <w:tcPr>
            <w:tcW w:w="6034"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40" w:lineRule="exact"/>
              <w:jc w:val="left"/>
              <w:rPr>
                <w:rFonts w:ascii="宋体" w:hAnsi="宋体" w:cs="Calibri"/>
                <w:kern w:val="0"/>
                <w:sz w:val="22"/>
              </w:rPr>
            </w:pPr>
            <w:r>
              <w:rPr>
                <w:rFonts w:hint="eastAsia" w:ascii="宋体" w:hAnsi="宋体" w:cs="Calibri"/>
                <w:kern w:val="0"/>
                <w:sz w:val="22"/>
              </w:rPr>
              <w:t>根据各投标人的类似项目业绩情况，横向比较后评分，投标人需提供类似项目的中标通知书或合同复印件并加盖公章作为证明材料，否则不予认可，原件备查。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38"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pStyle w:val="116"/>
              <w:adjustRightInd w:val="0"/>
              <w:snapToGrid w:val="0"/>
              <w:spacing w:line="240" w:lineRule="auto"/>
              <w:jc w:val="center"/>
              <w:rPr>
                <w:rFonts w:ascii="宋体" w:hAnsi="宋体" w:eastAsia="宋体" w:cs="Calibri"/>
                <w:kern w:val="0"/>
                <w:sz w:val="22"/>
                <w:szCs w:val="24"/>
              </w:rPr>
            </w:pPr>
            <w:r>
              <w:rPr>
                <w:rFonts w:hint="eastAsia" w:ascii="宋体" w:hAnsi="宋体" w:eastAsia="宋体" w:cs="Calibri"/>
                <w:kern w:val="0"/>
                <w:sz w:val="22"/>
                <w:szCs w:val="24"/>
              </w:rPr>
              <w:t>2</w:t>
            </w:r>
          </w:p>
        </w:tc>
        <w:tc>
          <w:tcPr>
            <w:tcW w:w="1598" w:type="dxa"/>
            <w:tcBorders>
              <w:top w:val="single" w:color="auto" w:sz="4" w:space="0"/>
              <w:left w:val="single" w:color="auto" w:sz="4" w:space="0"/>
              <w:bottom w:val="single" w:color="auto" w:sz="4" w:space="0"/>
              <w:right w:val="single" w:color="auto" w:sz="4" w:space="0"/>
            </w:tcBorders>
            <w:vAlign w:val="center"/>
          </w:tcPr>
          <w:p>
            <w:pPr>
              <w:pStyle w:val="116"/>
              <w:adjustRightInd w:val="0"/>
              <w:snapToGrid w:val="0"/>
              <w:spacing w:line="240" w:lineRule="auto"/>
              <w:jc w:val="center"/>
              <w:rPr>
                <w:rFonts w:ascii="宋体" w:hAnsi="宋体" w:eastAsia="宋体" w:cs="Calibri"/>
                <w:kern w:val="0"/>
                <w:sz w:val="22"/>
                <w:szCs w:val="24"/>
              </w:rPr>
            </w:pPr>
            <w:r>
              <w:rPr>
                <w:rFonts w:hint="eastAsia" w:ascii="宋体" w:hAnsi="宋体" w:eastAsia="宋体" w:cs="Calibri"/>
                <w:kern w:val="0"/>
                <w:sz w:val="22"/>
                <w:szCs w:val="24"/>
              </w:rPr>
              <w:t>设计方案</w:t>
            </w:r>
          </w:p>
          <w:p>
            <w:pPr>
              <w:pStyle w:val="116"/>
              <w:snapToGrid w:val="0"/>
              <w:jc w:val="center"/>
              <w:rPr>
                <w:rFonts w:ascii="宋体" w:hAnsi="宋体" w:eastAsia="宋体" w:cs="Calibri"/>
                <w:kern w:val="0"/>
                <w:sz w:val="22"/>
                <w:szCs w:val="24"/>
              </w:rPr>
            </w:pPr>
            <w:r>
              <w:rPr>
                <w:rFonts w:hint="eastAsia" w:ascii="宋体" w:hAnsi="宋体" w:eastAsia="宋体" w:cs="Calibri"/>
                <w:kern w:val="0"/>
                <w:sz w:val="22"/>
                <w:szCs w:val="24"/>
              </w:rPr>
              <w:t>（滿分15分）</w:t>
            </w:r>
          </w:p>
        </w:tc>
        <w:tc>
          <w:tcPr>
            <w:tcW w:w="1085" w:type="dxa"/>
            <w:tcBorders>
              <w:top w:val="single" w:color="auto" w:sz="4" w:space="0"/>
              <w:left w:val="single" w:color="auto" w:sz="4" w:space="0"/>
              <w:bottom w:val="single" w:color="auto" w:sz="4" w:space="0"/>
              <w:right w:val="single" w:color="auto" w:sz="4" w:space="0"/>
            </w:tcBorders>
            <w:vAlign w:val="center"/>
          </w:tcPr>
          <w:p>
            <w:pPr>
              <w:pStyle w:val="116"/>
              <w:adjustRightInd w:val="0"/>
              <w:snapToGrid w:val="0"/>
              <w:spacing w:line="240" w:lineRule="auto"/>
              <w:jc w:val="center"/>
              <w:rPr>
                <w:rFonts w:ascii="宋体" w:hAnsi="宋体" w:eastAsia="宋体" w:cs="Calibri"/>
                <w:kern w:val="0"/>
                <w:sz w:val="22"/>
                <w:szCs w:val="24"/>
              </w:rPr>
            </w:pPr>
            <w:r>
              <w:rPr>
                <w:rFonts w:hint="eastAsia" w:ascii="宋体" w:hAnsi="宋体" w:eastAsia="宋体" w:cs="Calibri"/>
                <w:kern w:val="0"/>
                <w:sz w:val="22"/>
                <w:szCs w:val="24"/>
              </w:rPr>
              <w:t>0～15分</w:t>
            </w:r>
          </w:p>
        </w:tc>
        <w:tc>
          <w:tcPr>
            <w:tcW w:w="603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40" w:lineRule="exact"/>
              <w:jc w:val="left"/>
              <w:rPr>
                <w:rFonts w:ascii="宋体" w:hAnsi="宋体" w:cs="Calibri"/>
                <w:kern w:val="0"/>
                <w:sz w:val="22"/>
              </w:rPr>
            </w:pPr>
            <w:r>
              <w:rPr>
                <w:rFonts w:hint="eastAsia" w:ascii="宋体" w:hAnsi="宋体" w:cs="Calibri"/>
                <w:kern w:val="0"/>
                <w:sz w:val="22"/>
              </w:rPr>
              <w:t>根据各投标人的设计方案横向比较后评分。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0"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pStyle w:val="116"/>
              <w:adjustRightInd w:val="0"/>
              <w:snapToGrid w:val="0"/>
              <w:spacing w:line="240" w:lineRule="auto"/>
              <w:jc w:val="center"/>
              <w:rPr>
                <w:rFonts w:ascii="宋体" w:hAnsi="宋体" w:eastAsia="宋体" w:cs="Calibri"/>
                <w:kern w:val="0"/>
                <w:sz w:val="22"/>
                <w:szCs w:val="24"/>
              </w:rPr>
            </w:pPr>
            <w:r>
              <w:rPr>
                <w:rFonts w:hint="eastAsia" w:ascii="宋体" w:hAnsi="宋体" w:eastAsia="宋体" w:cs="Calibri"/>
                <w:kern w:val="0"/>
                <w:sz w:val="22"/>
                <w:szCs w:val="24"/>
              </w:rPr>
              <w:t>3</w:t>
            </w:r>
          </w:p>
        </w:tc>
        <w:tc>
          <w:tcPr>
            <w:tcW w:w="1598" w:type="dxa"/>
            <w:tcBorders>
              <w:top w:val="single" w:color="auto" w:sz="4" w:space="0"/>
              <w:left w:val="single" w:color="auto" w:sz="4" w:space="0"/>
              <w:bottom w:val="single" w:color="auto" w:sz="4" w:space="0"/>
              <w:right w:val="single" w:color="auto" w:sz="4" w:space="0"/>
            </w:tcBorders>
            <w:vAlign w:val="center"/>
          </w:tcPr>
          <w:p>
            <w:pPr>
              <w:pStyle w:val="116"/>
              <w:adjustRightInd w:val="0"/>
              <w:snapToGrid w:val="0"/>
              <w:spacing w:line="240" w:lineRule="auto"/>
              <w:jc w:val="center"/>
              <w:rPr>
                <w:rFonts w:ascii="宋体" w:hAnsi="宋体" w:eastAsia="宋体" w:cs="Calibri"/>
                <w:kern w:val="0"/>
                <w:sz w:val="22"/>
                <w:szCs w:val="24"/>
              </w:rPr>
            </w:pPr>
            <w:r>
              <w:rPr>
                <w:rFonts w:hint="eastAsia" w:ascii="宋体" w:hAnsi="宋体" w:eastAsia="宋体" w:cs="Calibri"/>
                <w:kern w:val="0"/>
                <w:sz w:val="22"/>
                <w:szCs w:val="24"/>
              </w:rPr>
              <w:t>制作方案</w:t>
            </w:r>
          </w:p>
          <w:p>
            <w:pPr>
              <w:pStyle w:val="116"/>
              <w:adjustRightInd w:val="0"/>
              <w:snapToGrid w:val="0"/>
              <w:spacing w:line="240" w:lineRule="auto"/>
              <w:jc w:val="center"/>
              <w:rPr>
                <w:rFonts w:ascii="宋体" w:hAnsi="宋体" w:eastAsia="宋体" w:cs="Calibri"/>
                <w:kern w:val="0"/>
                <w:sz w:val="22"/>
                <w:szCs w:val="24"/>
              </w:rPr>
            </w:pPr>
            <w:r>
              <w:rPr>
                <w:rFonts w:hint="eastAsia" w:ascii="宋体" w:hAnsi="宋体" w:eastAsia="宋体" w:cs="Calibri"/>
                <w:kern w:val="0"/>
                <w:sz w:val="22"/>
                <w:szCs w:val="24"/>
              </w:rPr>
              <w:t>（满分12分）</w:t>
            </w:r>
          </w:p>
        </w:tc>
        <w:tc>
          <w:tcPr>
            <w:tcW w:w="1085" w:type="dxa"/>
            <w:tcBorders>
              <w:top w:val="single" w:color="auto" w:sz="4" w:space="0"/>
              <w:left w:val="single" w:color="auto" w:sz="4" w:space="0"/>
              <w:bottom w:val="single" w:color="auto" w:sz="4" w:space="0"/>
              <w:right w:val="single" w:color="auto" w:sz="4" w:space="0"/>
            </w:tcBorders>
            <w:vAlign w:val="center"/>
          </w:tcPr>
          <w:p>
            <w:pPr>
              <w:pStyle w:val="116"/>
              <w:adjustRightInd w:val="0"/>
              <w:snapToGrid w:val="0"/>
              <w:spacing w:line="240" w:lineRule="auto"/>
              <w:rPr>
                <w:rFonts w:ascii="宋体" w:hAnsi="宋体" w:eastAsia="宋体" w:cs="Calibri"/>
                <w:kern w:val="0"/>
                <w:sz w:val="22"/>
                <w:szCs w:val="24"/>
              </w:rPr>
            </w:pPr>
            <w:r>
              <w:rPr>
                <w:rFonts w:hint="eastAsia" w:ascii="宋体" w:hAnsi="宋体" w:eastAsia="宋体" w:cs="Calibri"/>
                <w:kern w:val="0"/>
                <w:sz w:val="22"/>
                <w:szCs w:val="24"/>
              </w:rPr>
              <w:t>0～12分</w:t>
            </w:r>
          </w:p>
        </w:tc>
        <w:tc>
          <w:tcPr>
            <w:tcW w:w="603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40" w:lineRule="exact"/>
              <w:jc w:val="left"/>
              <w:rPr>
                <w:rFonts w:ascii="宋体" w:hAnsi="宋体" w:cs="Calibri"/>
                <w:kern w:val="0"/>
                <w:sz w:val="22"/>
              </w:rPr>
            </w:pPr>
            <w:r>
              <w:rPr>
                <w:rFonts w:hint="eastAsia" w:ascii="宋体" w:hAnsi="宋体" w:cs="Calibri"/>
                <w:kern w:val="0"/>
                <w:sz w:val="22"/>
              </w:rPr>
              <w:t>根据各投标人的材料选用、制作等内容，横向比较后评分。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pStyle w:val="105"/>
              <w:rPr>
                <w:rFonts w:cs="Calibri"/>
                <w:kern w:val="0"/>
                <w:sz w:val="22"/>
                <w:szCs w:val="24"/>
              </w:rPr>
            </w:pPr>
            <w:r>
              <w:rPr>
                <w:rFonts w:cs="Calibri"/>
                <w:kern w:val="0"/>
                <w:sz w:val="22"/>
                <w:szCs w:val="24"/>
              </w:rPr>
              <w:t>4</w:t>
            </w:r>
          </w:p>
        </w:tc>
        <w:tc>
          <w:tcPr>
            <w:tcW w:w="1598" w:type="dxa"/>
            <w:tcBorders>
              <w:top w:val="single" w:color="auto" w:sz="4" w:space="0"/>
              <w:left w:val="single" w:color="auto" w:sz="4" w:space="0"/>
              <w:bottom w:val="single" w:color="auto" w:sz="4" w:space="0"/>
              <w:right w:val="single" w:color="auto" w:sz="4" w:space="0"/>
            </w:tcBorders>
            <w:vAlign w:val="center"/>
          </w:tcPr>
          <w:p>
            <w:pPr>
              <w:pStyle w:val="116"/>
              <w:adjustRightInd w:val="0"/>
              <w:snapToGrid w:val="0"/>
              <w:spacing w:line="240" w:lineRule="auto"/>
              <w:jc w:val="center"/>
              <w:rPr>
                <w:rFonts w:ascii="宋体" w:hAnsi="宋体" w:eastAsia="宋体" w:cs="Calibri"/>
                <w:kern w:val="0"/>
                <w:sz w:val="22"/>
                <w:szCs w:val="24"/>
              </w:rPr>
            </w:pPr>
            <w:r>
              <w:rPr>
                <w:rFonts w:hint="eastAsia" w:ascii="宋体" w:hAnsi="宋体" w:eastAsia="宋体" w:cs="Calibri"/>
                <w:kern w:val="0"/>
                <w:sz w:val="22"/>
                <w:szCs w:val="24"/>
              </w:rPr>
              <w:t>服务承诺</w:t>
            </w:r>
          </w:p>
          <w:p>
            <w:pPr>
              <w:pStyle w:val="116"/>
              <w:adjustRightInd w:val="0"/>
              <w:snapToGrid w:val="0"/>
              <w:spacing w:line="240" w:lineRule="auto"/>
              <w:jc w:val="center"/>
              <w:rPr>
                <w:rFonts w:ascii="宋体" w:hAnsi="宋体" w:eastAsia="宋体" w:cs="Calibri"/>
                <w:kern w:val="0"/>
                <w:sz w:val="22"/>
                <w:szCs w:val="24"/>
              </w:rPr>
            </w:pPr>
            <w:r>
              <w:rPr>
                <w:rFonts w:hint="eastAsia" w:ascii="宋体" w:hAnsi="宋体" w:eastAsia="宋体" w:cs="Calibri"/>
                <w:kern w:val="0"/>
                <w:sz w:val="22"/>
                <w:szCs w:val="24"/>
              </w:rPr>
              <w:t>（滿分3分）</w:t>
            </w:r>
          </w:p>
        </w:tc>
        <w:tc>
          <w:tcPr>
            <w:tcW w:w="1085" w:type="dxa"/>
            <w:tcBorders>
              <w:top w:val="single" w:color="auto" w:sz="4" w:space="0"/>
              <w:left w:val="single" w:color="auto" w:sz="4" w:space="0"/>
              <w:bottom w:val="single" w:color="auto" w:sz="4" w:space="0"/>
              <w:right w:val="single" w:color="auto" w:sz="4" w:space="0"/>
            </w:tcBorders>
            <w:vAlign w:val="center"/>
          </w:tcPr>
          <w:p>
            <w:pPr>
              <w:pStyle w:val="116"/>
              <w:adjustRightInd w:val="0"/>
              <w:snapToGrid w:val="0"/>
              <w:spacing w:line="240" w:lineRule="auto"/>
              <w:jc w:val="center"/>
              <w:rPr>
                <w:rFonts w:ascii="宋体" w:hAnsi="宋体" w:eastAsia="宋体" w:cs="Calibri"/>
                <w:kern w:val="0"/>
                <w:sz w:val="22"/>
                <w:szCs w:val="24"/>
              </w:rPr>
            </w:pPr>
            <w:r>
              <w:rPr>
                <w:rFonts w:hint="eastAsia" w:ascii="宋体" w:hAnsi="宋体" w:eastAsia="宋体" w:cs="Calibri"/>
                <w:kern w:val="0"/>
                <w:sz w:val="22"/>
                <w:szCs w:val="24"/>
              </w:rPr>
              <w:t>0～3分</w:t>
            </w:r>
          </w:p>
        </w:tc>
        <w:tc>
          <w:tcPr>
            <w:tcW w:w="6034"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40" w:lineRule="exact"/>
              <w:rPr>
                <w:rFonts w:ascii="宋体" w:hAnsi="宋体" w:cs="Calibri"/>
                <w:kern w:val="0"/>
                <w:sz w:val="22"/>
              </w:rPr>
            </w:pPr>
            <w:r>
              <w:rPr>
                <w:rFonts w:hint="eastAsia" w:ascii="宋体" w:hAnsi="宋体" w:cs="Calibri"/>
                <w:kern w:val="0"/>
                <w:sz w:val="22"/>
              </w:rPr>
              <w:t>依据投标文件所体现的“三包”、免费保修及售后服务措施和方案情况，横向比较后评分。</w:t>
            </w:r>
          </w:p>
        </w:tc>
      </w:tr>
    </w:tbl>
    <w:p>
      <w:pPr>
        <w:pStyle w:val="4"/>
        <w:numPr>
          <w:ilvl w:val="0"/>
          <w:numId w:val="0"/>
        </w:numPr>
        <w:rPr>
          <w:rFonts w:hAnsi="宋体" w:cs="Calibri"/>
          <w:bCs/>
          <w:sz w:val="22"/>
          <w:szCs w:val="24"/>
          <w:lang w:val="en-US"/>
        </w:rPr>
      </w:pPr>
      <w:bookmarkStart w:id="97" w:name="_Toc448220029"/>
      <w:bookmarkStart w:id="98" w:name="_Toc498694921"/>
      <w:r>
        <w:rPr>
          <w:rFonts w:hint="eastAsia" w:hAnsi="宋体" w:cs="Calibri"/>
          <w:bCs/>
          <w:sz w:val="22"/>
          <w:szCs w:val="24"/>
          <w:lang w:val="en-US"/>
        </w:rPr>
        <w:t>4.2商务报价部分（满分60分）</w:t>
      </w:r>
      <w:bookmarkEnd w:id="97"/>
      <w:bookmarkEnd w:id="98"/>
    </w:p>
    <w:p>
      <w:pPr>
        <w:adjustRightInd w:val="0"/>
        <w:snapToGrid w:val="0"/>
        <w:spacing w:line="400" w:lineRule="exact"/>
        <w:ind w:firstLine="440" w:firstLineChars="200"/>
        <w:rPr>
          <w:rFonts w:ascii="宋体" w:hAnsi="宋体" w:cs="Calibri"/>
          <w:kern w:val="0"/>
          <w:sz w:val="22"/>
        </w:rPr>
      </w:pPr>
      <w:r>
        <w:rPr>
          <w:rFonts w:hint="eastAsia" w:ascii="宋体" w:hAnsi="宋体" w:cs="Calibri"/>
          <w:kern w:val="0"/>
          <w:sz w:val="22"/>
        </w:rPr>
        <w:t>评标委员会对符合性审查通过的投标文件进行商务评审。报价评审应以报价口径范围一致的评标价为依据，凡属招标文件的原因造成报价口径范围不一致的，应予调整，但因投标人自身失误造成多算、少算、漏算的，不得调整。投标人的报价得分按以下方法计算：</w:t>
      </w:r>
    </w:p>
    <w:p>
      <w:pPr>
        <w:adjustRightInd w:val="0"/>
        <w:snapToGrid w:val="0"/>
        <w:spacing w:line="400" w:lineRule="exact"/>
        <w:ind w:firstLine="440" w:firstLineChars="200"/>
        <w:rPr>
          <w:rFonts w:ascii="Times New Roman" w:hAnsi="Times New Roman"/>
          <w:szCs w:val="21"/>
        </w:rPr>
      </w:pPr>
      <w:r>
        <w:rPr>
          <w:rFonts w:hint="eastAsia" w:ascii="宋体" w:hAnsi="宋体" w:cs="Calibri"/>
          <w:kern w:val="0"/>
          <w:sz w:val="22"/>
        </w:rPr>
        <w:t>取所有有效投标报价的算数平均值与次低价的算数平均值作为评标基准价，如有效投标报价的数量小于4个，则评标基准价为所有有效投标报价的算数平均值与最低价的算数平均值。</w:t>
      </w:r>
    </w:p>
    <w:p>
      <w:pPr>
        <w:adjustRightInd w:val="0"/>
        <w:snapToGrid w:val="0"/>
        <w:spacing w:line="400" w:lineRule="exact"/>
        <w:ind w:firstLine="440" w:firstLineChars="200"/>
        <w:rPr>
          <w:rFonts w:ascii="宋体" w:hAnsi="宋体" w:cs="Calibri"/>
          <w:kern w:val="0"/>
          <w:sz w:val="22"/>
        </w:rPr>
      </w:pPr>
      <w:r>
        <w:rPr>
          <w:rFonts w:hint="eastAsia" w:ascii="宋体" w:hAnsi="宋体" w:cs="Calibri"/>
          <w:kern w:val="0"/>
          <w:sz w:val="22"/>
        </w:rPr>
        <w:t>投标人的投标价等于评标基准价的得60分，每高于评标基准价1%的扣1分，每低于评标基准价1%的扣0.5分，最低扣至20分。</w:t>
      </w:r>
      <w:bookmarkStart w:id="99" w:name="_Toc448220030"/>
      <w:bookmarkStart w:id="100" w:name="_Toc498694922"/>
    </w:p>
    <w:p>
      <w:pPr>
        <w:adjustRightInd w:val="0"/>
        <w:snapToGrid w:val="0"/>
        <w:spacing w:line="400" w:lineRule="exact"/>
        <w:rPr>
          <w:rFonts w:ascii="宋体" w:hAnsi="宋体" w:cs="Calibri"/>
          <w:b/>
          <w:kern w:val="0"/>
          <w:sz w:val="22"/>
        </w:rPr>
      </w:pPr>
      <w:r>
        <w:rPr>
          <w:rFonts w:hint="eastAsia" w:ascii="宋体" w:hAnsi="宋体" w:cs="Calibri"/>
          <w:b/>
          <w:bCs/>
          <w:sz w:val="22"/>
        </w:rPr>
        <w:t>4.3其他</w:t>
      </w:r>
      <w:bookmarkEnd w:id="99"/>
      <w:bookmarkEnd w:id="100"/>
    </w:p>
    <w:p>
      <w:pPr>
        <w:pStyle w:val="101"/>
        <w:numPr>
          <w:ilvl w:val="0"/>
          <w:numId w:val="10"/>
        </w:numPr>
        <w:adjustRightInd w:val="0"/>
        <w:snapToGrid w:val="0"/>
        <w:spacing w:line="400" w:lineRule="exact"/>
        <w:ind w:firstLineChars="0"/>
        <w:rPr>
          <w:rFonts w:ascii="宋体" w:hAnsi="宋体" w:cs="Calibri"/>
          <w:kern w:val="0"/>
          <w:sz w:val="22"/>
        </w:rPr>
      </w:pPr>
      <w:r>
        <w:rPr>
          <w:rFonts w:hint="eastAsia" w:ascii="宋体" w:hAnsi="宋体" w:cs="Calibri"/>
          <w:kern w:val="0"/>
          <w:sz w:val="22"/>
        </w:rPr>
        <w:t>评分时保留小数l位，计算评分值时保留小数2位。</w:t>
      </w:r>
    </w:p>
    <w:p>
      <w:pPr>
        <w:adjustRightInd w:val="0"/>
        <w:snapToGrid w:val="0"/>
        <w:spacing w:line="400" w:lineRule="exact"/>
        <w:ind w:firstLine="440" w:firstLineChars="200"/>
        <w:rPr>
          <w:rFonts w:ascii="宋体" w:hAnsi="宋体" w:cs="Calibri"/>
          <w:kern w:val="0"/>
          <w:sz w:val="22"/>
        </w:rPr>
      </w:pPr>
      <w:r>
        <w:rPr>
          <w:rFonts w:hint="eastAsia" w:ascii="宋体" w:hAnsi="宋体" w:cs="Calibri"/>
          <w:kern w:val="0"/>
          <w:sz w:val="22"/>
        </w:rPr>
        <w:t>2、投标人的综合评分为技术资信和商务报价二部分得分的总和，由评标委员会指定专人进行计算和复核。</w:t>
      </w:r>
      <w:bookmarkStart w:id="101" w:name="_Toc448220031"/>
      <w:bookmarkStart w:id="102" w:name="_Toc400804789"/>
      <w:bookmarkStart w:id="103" w:name="_Toc498694923"/>
      <w:bookmarkStart w:id="104" w:name="_Toc305915777"/>
    </w:p>
    <w:p>
      <w:pPr>
        <w:adjustRightInd w:val="0"/>
        <w:snapToGrid w:val="0"/>
        <w:spacing w:line="400" w:lineRule="exact"/>
        <w:rPr>
          <w:rFonts w:ascii="宋体" w:hAnsi="宋体" w:cs="Calibri"/>
          <w:b/>
          <w:kern w:val="0"/>
          <w:sz w:val="22"/>
        </w:rPr>
      </w:pPr>
      <w:r>
        <w:rPr>
          <w:rFonts w:hint="eastAsia" w:ascii="宋体" w:hAnsi="宋体" w:cs="Calibri"/>
          <w:b/>
          <w:bCs/>
          <w:sz w:val="22"/>
        </w:rPr>
        <w:t>5、决标</w:t>
      </w:r>
      <w:bookmarkEnd w:id="101"/>
      <w:bookmarkEnd w:id="102"/>
      <w:bookmarkEnd w:id="103"/>
      <w:bookmarkEnd w:id="104"/>
    </w:p>
    <w:p>
      <w:pPr>
        <w:adjustRightInd w:val="0"/>
        <w:snapToGrid w:val="0"/>
        <w:spacing w:line="400" w:lineRule="exact"/>
        <w:ind w:firstLine="440" w:firstLineChars="200"/>
        <w:rPr>
          <w:rFonts w:ascii="宋体" w:hAnsi="宋体" w:cs="Calibri"/>
          <w:kern w:val="0"/>
          <w:sz w:val="22"/>
        </w:rPr>
      </w:pPr>
      <w:bookmarkStart w:id="105" w:name="_Toc448220032"/>
      <w:bookmarkStart w:id="106" w:name="_Toc400804790"/>
      <w:bookmarkStart w:id="107" w:name="_Toc272657367"/>
      <w:bookmarkStart w:id="108" w:name="_Toc238826226"/>
      <w:bookmarkStart w:id="109" w:name="_Toc299912268"/>
      <w:bookmarkStart w:id="110" w:name="_Toc305915778"/>
      <w:r>
        <w:rPr>
          <w:rFonts w:hint="eastAsia" w:ascii="宋体" w:hAnsi="宋体" w:cs="Calibri"/>
          <w:kern w:val="0"/>
          <w:sz w:val="22"/>
        </w:rPr>
        <w:t>5.1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adjustRightInd w:val="0"/>
        <w:snapToGrid w:val="0"/>
        <w:spacing w:line="400" w:lineRule="exact"/>
        <w:ind w:firstLine="440" w:firstLineChars="200"/>
        <w:rPr>
          <w:rFonts w:ascii="宋体" w:hAnsi="宋体" w:cs="Calibri"/>
          <w:kern w:val="0"/>
          <w:sz w:val="22"/>
        </w:rPr>
      </w:pPr>
      <w:r>
        <w:rPr>
          <w:rFonts w:hint="eastAsia" w:ascii="宋体" w:hAnsi="宋体" w:cs="Calibri"/>
          <w:kern w:val="0"/>
          <w:sz w:val="22"/>
        </w:rPr>
        <w:t>5.2中标候选人因不可抗力之外的原因放弃中标权的，必须按文件规定没收其投标保证金，没收的投标保证金不能弥补由于其放弃中标权而给招标人造成报价的差额部分，由放弃中标权的中标候选人承担。</w:t>
      </w:r>
    </w:p>
    <w:p>
      <w:pPr>
        <w:adjustRightInd w:val="0"/>
        <w:snapToGrid w:val="0"/>
        <w:spacing w:line="400" w:lineRule="exact"/>
        <w:ind w:firstLine="440" w:firstLineChars="200"/>
        <w:rPr>
          <w:rFonts w:ascii="宋体" w:hAnsi="宋体" w:cs="Calibri"/>
          <w:kern w:val="0"/>
          <w:sz w:val="22"/>
        </w:rPr>
      </w:pPr>
      <w:r>
        <w:rPr>
          <w:rFonts w:hint="eastAsia" w:ascii="宋体" w:hAnsi="宋体" w:cs="Calibri"/>
          <w:kern w:val="0"/>
          <w:sz w:val="22"/>
        </w:rPr>
        <w:t>5.3 如发生投诉争议等情况时，经查实中标候选人存在违法、违规行为，不符合中标条件，且该行为在评标时是无法发现和确认的，招标人可以在其他中标候选人中按照推荐的排序确定中标人或重新招标。</w:t>
      </w:r>
    </w:p>
    <w:p>
      <w:pPr>
        <w:pStyle w:val="101"/>
        <w:numPr>
          <w:ilvl w:val="1"/>
          <w:numId w:val="11"/>
        </w:numPr>
        <w:adjustRightInd w:val="0"/>
        <w:snapToGrid w:val="0"/>
        <w:spacing w:line="400" w:lineRule="exact"/>
        <w:ind w:firstLineChars="0"/>
        <w:rPr>
          <w:rFonts w:ascii="宋体" w:hAnsi="宋体" w:cs="Calibri"/>
          <w:kern w:val="0"/>
          <w:sz w:val="22"/>
        </w:rPr>
      </w:pPr>
      <w:r>
        <w:rPr>
          <w:rFonts w:hint="eastAsia" w:ascii="宋体" w:hAnsi="宋体" w:cs="Calibri"/>
          <w:kern w:val="0"/>
          <w:sz w:val="22"/>
        </w:rPr>
        <w:t>招标人对评标、定标结果不负责解释。</w:t>
      </w:r>
      <w:bookmarkStart w:id="111" w:name="_Toc498694924"/>
    </w:p>
    <w:p>
      <w:pPr>
        <w:adjustRightInd w:val="0"/>
        <w:snapToGrid w:val="0"/>
        <w:spacing w:line="400" w:lineRule="exact"/>
        <w:rPr>
          <w:rFonts w:ascii="宋体" w:hAnsi="宋体" w:cs="Calibri"/>
          <w:b/>
          <w:kern w:val="0"/>
          <w:sz w:val="22"/>
        </w:rPr>
      </w:pPr>
      <w:r>
        <w:rPr>
          <w:rFonts w:hint="eastAsia" w:ascii="宋体" w:hAnsi="宋体" w:cs="Calibri"/>
          <w:b/>
          <w:bCs/>
          <w:sz w:val="22"/>
        </w:rPr>
        <w:t>6、其他</w:t>
      </w:r>
      <w:bookmarkEnd w:id="105"/>
      <w:bookmarkEnd w:id="106"/>
      <w:bookmarkEnd w:id="107"/>
      <w:bookmarkEnd w:id="108"/>
      <w:bookmarkEnd w:id="109"/>
      <w:bookmarkEnd w:id="110"/>
      <w:bookmarkEnd w:id="111"/>
    </w:p>
    <w:p>
      <w:pPr>
        <w:adjustRightInd w:val="0"/>
        <w:snapToGrid w:val="0"/>
        <w:spacing w:line="400" w:lineRule="exact"/>
        <w:ind w:firstLine="440" w:firstLineChars="200"/>
        <w:rPr>
          <w:rFonts w:ascii="宋体" w:hAnsi="宋体" w:cs="Calibri"/>
          <w:kern w:val="0"/>
          <w:sz w:val="22"/>
        </w:rPr>
      </w:pPr>
      <w:r>
        <w:rPr>
          <w:rFonts w:hint="eastAsia" w:ascii="宋体" w:hAnsi="宋体" w:cs="Calibri"/>
          <w:kern w:val="0"/>
          <w:sz w:val="22"/>
        </w:rPr>
        <w:t>为维护工程招标投标交易市场的正常秩序，进一步遏制串标、抬标行为，保护交易各方的合法权益，经研究，凡在同一招标项目的评标中，经评标委员会半数以上成员确认有串通投标行为的，其投标文件按无效标处理，予以废除，不再对其进行评审，也不影响招标工作继续评标。</w:t>
      </w:r>
    </w:p>
    <w:p>
      <w:pPr>
        <w:adjustRightInd w:val="0"/>
        <w:snapToGrid w:val="0"/>
        <w:spacing w:line="400" w:lineRule="exact"/>
        <w:ind w:firstLine="440" w:firstLineChars="200"/>
        <w:rPr>
          <w:rFonts w:ascii="宋体" w:hAnsi="宋体" w:cs="Calibri"/>
          <w:kern w:val="0"/>
          <w:sz w:val="22"/>
        </w:rPr>
      </w:pPr>
      <w:r>
        <w:rPr>
          <w:rFonts w:hint="eastAsia" w:ascii="宋体" w:hAnsi="宋体" w:cs="Calibri"/>
          <w:kern w:val="0"/>
          <w:sz w:val="22"/>
        </w:rPr>
        <w:t>即有下列情形之一的，应认定为串通投标行为：</w:t>
      </w:r>
      <w:r>
        <w:rPr>
          <w:rFonts w:hint="eastAsia" w:ascii="宋体" w:hAnsi="宋体" w:cs="Calibri"/>
          <w:kern w:val="0"/>
          <w:sz w:val="22"/>
        </w:rPr>
        <w:br w:type="textWrapping"/>
      </w:r>
      <w:r>
        <w:rPr>
          <w:rFonts w:hint="eastAsia" w:ascii="宋体" w:hAnsi="宋体" w:cs="Calibri"/>
          <w:kern w:val="0"/>
          <w:sz w:val="22"/>
        </w:rPr>
        <w:t>　　1.招标人在规定的提交投标文件截止时间后，协助投标人撤换投标文件、更改报价；</w:t>
      </w:r>
      <w:r>
        <w:rPr>
          <w:rFonts w:hint="eastAsia" w:ascii="宋体" w:hAnsi="宋体" w:cs="Calibri"/>
          <w:kern w:val="0"/>
          <w:sz w:val="22"/>
        </w:rPr>
        <w:br w:type="textWrapping"/>
      </w:r>
      <w:r>
        <w:rPr>
          <w:rFonts w:hint="eastAsia" w:ascii="宋体" w:hAnsi="宋体" w:cs="Calibri"/>
          <w:kern w:val="0"/>
          <w:sz w:val="22"/>
        </w:rPr>
        <w:t>　　2.招标人（或招标代理机构）泄露投标人名称、数量或联系方式等应当保密的事项；</w:t>
      </w:r>
      <w:r>
        <w:rPr>
          <w:rFonts w:hint="eastAsia" w:ascii="宋体" w:hAnsi="宋体" w:cs="Calibri"/>
          <w:kern w:val="0"/>
          <w:sz w:val="22"/>
        </w:rPr>
        <w:br w:type="textWrapping"/>
      </w:r>
      <w:r>
        <w:rPr>
          <w:rFonts w:hint="eastAsia" w:ascii="宋体" w:hAnsi="宋体" w:cs="Calibri"/>
          <w:kern w:val="0"/>
          <w:sz w:val="22"/>
        </w:rPr>
        <w:t>　　3.不同投标人的投标文件由同一单位（或个人）编制或提供投标咨询服务；</w:t>
      </w:r>
      <w:r>
        <w:rPr>
          <w:rFonts w:hint="eastAsia" w:ascii="宋体" w:hAnsi="宋体" w:cs="Calibri"/>
          <w:kern w:val="0"/>
          <w:sz w:val="22"/>
        </w:rPr>
        <w:br w:type="textWrapping"/>
      </w:r>
      <w:r>
        <w:rPr>
          <w:rFonts w:hint="eastAsia" w:ascii="宋体" w:hAnsi="宋体" w:cs="Calibri"/>
          <w:kern w:val="0"/>
          <w:sz w:val="22"/>
        </w:rPr>
        <w:t>　　4.不同投标人使用同一人或者同一单位的资金交纳投标保证金；</w:t>
      </w:r>
      <w:r>
        <w:rPr>
          <w:rFonts w:hint="eastAsia" w:ascii="宋体" w:hAnsi="宋体" w:cs="Calibri"/>
          <w:kern w:val="0"/>
          <w:sz w:val="22"/>
        </w:rPr>
        <w:br w:type="textWrapping"/>
      </w:r>
      <w:r>
        <w:rPr>
          <w:rFonts w:hint="eastAsia" w:ascii="宋体" w:hAnsi="宋体" w:cs="Calibri"/>
          <w:kern w:val="0"/>
          <w:sz w:val="22"/>
        </w:rPr>
        <w:t>　　5.不同投标人委托同一人办理投标事宜的或不同投标人与同一投标人联合投标的；</w:t>
      </w:r>
      <w:r>
        <w:rPr>
          <w:rFonts w:hint="eastAsia" w:ascii="宋体" w:hAnsi="宋体" w:cs="Calibri"/>
          <w:kern w:val="0"/>
          <w:sz w:val="22"/>
        </w:rPr>
        <w:br w:type="textWrapping"/>
      </w:r>
      <w:r>
        <w:rPr>
          <w:rFonts w:hint="eastAsia" w:ascii="宋体" w:hAnsi="宋体" w:cs="Calibri"/>
          <w:kern w:val="0"/>
          <w:sz w:val="22"/>
        </w:rPr>
        <w:t>　　6.不同投标人的投标文件内容出现非正常一致，或者报价细目呈明显规律性变化；</w:t>
      </w:r>
      <w:r>
        <w:rPr>
          <w:rFonts w:hint="eastAsia" w:ascii="宋体" w:hAnsi="宋体" w:cs="Calibri"/>
          <w:kern w:val="0"/>
          <w:sz w:val="22"/>
        </w:rPr>
        <w:br w:type="textWrapping"/>
      </w:r>
      <w:r>
        <w:rPr>
          <w:rFonts w:hint="eastAsia" w:ascii="宋体" w:hAnsi="宋体" w:cs="Calibri"/>
          <w:kern w:val="0"/>
          <w:sz w:val="22"/>
        </w:rPr>
        <w:t>　　7.不同投标人的投标文件载明的项目管理人员出现同一人的情况；</w:t>
      </w:r>
      <w:r>
        <w:rPr>
          <w:rFonts w:hint="eastAsia" w:ascii="宋体" w:hAnsi="宋体" w:cs="Calibri"/>
          <w:kern w:val="0"/>
          <w:sz w:val="22"/>
        </w:rPr>
        <w:br w:type="textWrapping"/>
      </w:r>
      <w:r>
        <w:rPr>
          <w:rFonts w:hint="eastAsia" w:ascii="宋体" w:hAnsi="宋体" w:cs="Calibri"/>
          <w:kern w:val="0"/>
          <w:sz w:val="22"/>
        </w:rPr>
        <w:t>　　8.不同投标人的投标文件相互混装；</w:t>
      </w:r>
      <w:r>
        <w:rPr>
          <w:rFonts w:hint="eastAsia" w:ascii="宋体" w:hAnsi="宋体" w:cs="Calibri"/>
          <w:kern w:val="0"/>
          <w:sz w:val="22"/>
        </w:rPr>
        <w:br w:type="textWrapping"/>
      </w:r>
      <w:r>
        <w:rPr>
          <w:rFonts w:hint="eastAsia" w:ascii="宋体" w:hAnsi="宋体" w:cs="Calibri"/>
          <w:kern w:val="0"/>
          <w:sz w:val="22"/>
        </w:rPr>
        <w:t>　　9.法律、法规或规章规定的其他串通投标行为。</w:t>
      </w:r>
    </w:p>
    <w:p>
      <w:pPr>
        <w:adjustRightInd w:val="0"/>
        <w:snapToGrid w:val="0"/>
        <w:spacing w:line="400" w:lineRule="exact"/>
        <w:ind w:firstLine="440" w:firstLineChars="200"/>
        <w:rPr>
          <w:rFonts w:ascii="宋体" w:hAnsi="宋体" w:cs="Calibri"/>
          <w:kern w:val="0"/>
          <w:sz w:val="22"/>
        </w:rPr>
      </w:pPr>
      <w:r>
        <w:rPr>
          <w:rFonts w:hint="eastAsia" w:ascii="宋体" w:hAnsi="宋体" w:cs="Calibri"/>
          <w:kern w:val="0"/>
          <w:sz w:val="22"/>
        </w:rPr>
        <w:t>评标结束后，评标专家应将有串通投标嫌疑的投标文件以及相关评标分析材料及时移交相关管理机构作进一步的调查处理，即使最终无法认定串通投标行为成立，也不影响其按无效标处理的结果。</w:t>
      </w:r>
    </w:p>
    <w:p>
      <w:pPr>
        <w:widowControl/>
        <w:spacing w:beforeAutospacing="1" w:afterAutospacing="1"/>
        <w:jc w:val="left"/>
        <w:rPr>
          <w:rFonts w:ascii="宋体" w:hAnsi="宋体" w:cs="Calibri"/>
          <w:kern w:val="0"/>
          <w:sz w:val="22"/>
        </w:rPr>
        <w:sectPr>
          <w:pgSz w:w="11906" w:h="16838"/>
          <w:pgMar w:top="1418" w:right="1134" w:bottom="1418" w:left="1134" w:header="851" w:footer="992" w:gutter="0"/>
          <w:cols w:space="720" w:num="1"/>
          <w:docGrid w:type="lines" w:linePitch="312" w:charSpace="0"/>
        </w:sectPr>
      </w:pPr>
    </w:p>
    <w:p>
      <w:pPr>
        <w:pStyle w:val="51"/>
      </w:pPr>
      <w:r>
        <w:rPr>
          <w:rFonts w:hint="eastAsia"/>
        </w:rPr>
        <w:t>第四章合同条款</w:t>
      </w:r>
    </w:p>
    <w:p>
      <w:pPr>
        <w:adjustRightInd w:val="0"/>
        <w:snapToGrid w:val="0"/>
        <w:spacing w:line="360" w:lineRule="exact"/>
        <w:ind w:firstLine="452"/>
        <w:jc w:val="left"/>
        <w:rPr>
          <w:rFonts w:ascii="宋体" w:hAnsi="宋体"/>
          <w:b/>
          <w:sz w:val="22"/>
        </w:rPr>
      </w:pPr>
    </w:p>
    <w:p>
      <w:pPr>
        <w:adjustRightInd w:val="0"/>
        <w:snapToGrid w:val="0"/>
        <w:spacing w:line="360" w:lineRule="exact"/>
        <w:ind w:firstLine="452"/>
        <w:jc w:val="left"/>
        <w:rPr>
          <w:rFonts w:ascii="宋体" w:hAnsi="宋体"/>
          <w:b/>
          <w:sz w:val="22"/>
        </w:rPr>
      </w:pPr>
      <w:r>
        <w:rPr>
          <w:rFonts w:hint="eastAsia" w:ascii="宋体" w:hAnsi="宋体"/>
          <w:b/>
          <w:sz w:val="22"/>
        </w:rPr>
        <w:t>甲方：杭州萧山国际机场有限公司</w:t>
      </w:r>
    </w:p>
    <w:p>
      <w:pPr>
        <w:adjustRightInd w:val="0"/>
        <w:snapToGrid w:val="0"/>
        <w:spacing w:line="360" w:lineRule="exact"/>
        <w:ind w:firstLine="452"/>
        <w:jc w:val="left"/>
        <w:rPr>
          <w:rFonts w:ascii="宋体" w:hAnsi="宋体"/>
          <w:b/>
          <w:sz w:val="22"/>
        </w:rPr>
      </w:pPr>
      <w:r>
        <w:rPr>
          <w:rFonts w:hint="eastAsia" w:ascii="宋体" w:hAnsi="宋体"/>
          <w:b/>
          <w:sz w:val="22"/>
        </w:rPr>
        <w:t>住所地：杭州萧山国际机场内</w:t>
      </w:r>
    </w:p>
    <w:p>
      <w:pPr>
        <w:adjustRightInd w:val="0"/>
        <w:snapToGrid w:val="0"/>
        <w:spacing w:line="360" w:lineRule="exact"/>
        <w:ind w:firstLine="452"/>
        <w:jc w:val="left"/>
        <w:rPr>
          <w:rFonts w:ascii="宋体" w:hAnsi="宋体"/>
          <w:b/>
          <w:sz w:val="22"/>
        </w:rPr>
      </w:pPr>
      <w:r>
        <w:rPr>
          <w:rFonts w:hint="eastAsia" w:ascii="宋体" w:hAnsi="宋体"/>
          <w:b/>
          <w:sz w:val="22"/>
        </w:rPr>
        <w:t>乙方：</w:t>
      </w:r>
    </w:p>
    <w:p>
      <w:pPr>
        <w:adjustRightInd w:val="0"/>
        <w:snapToGrid w:val="0"/>
        <w:spacing w:line="360" w:lineRule="exact"/>
        <w:ind w:firstLine="452"/>
        <w:jc w:val="left"/>
        <w:rPr>
          <w:rFonts w:ascii="宋体" w:hAnsi="宋体"/>
          <w:sz w:val="22"/>
        </w:rPr>
      </w:pPr>
      <w:r>
        <w:rPr>
          <w:rFonts w:hint="eastAsia" w:ascii="宋体" w:hAnsi="宋体"/>
          <w:b/>
          <w:sz w:val="22"/>
        </w:rPr>
        <w:t>住所地：</w:t>
      </w:r>
    </w:p>
    <w:p>
      <w:pPr>
        <w:adjustRightInd w:val="0"/>
        <w:snapToGrid w:val="0"/>
        <w:spacing w:line="360" w:lineRule="exact"/>
        <w:ind w:firstLine="450"/>
        <w:jc w:val="left"/>
        <w:rPr>
          <w:rFonts w:ascii="宋体" w:hAnsi="宋体"/>
          <w:sz w:val="22"/>
        </w:rPr>
      </w:pPr>
    </w:p>
    <w:p>
      <w:pPr>
        <w:adjustRightInd w:val="0"/>
        <w:snapToGrid w:val="0"/>
        <w:spacing w:line="360" w:lineRule="exact"/>
        <w:ind w:firstLine="440" w:firstLineChars="200"/>
        <w:jc w:val="left"/>
        <w:rPr>
          <w:rFonts w:ascii="宋体" w:hAnsi="宋体"/>
          <w:sz w:val="22"/>
        </w:rPr>
      </w:pPr>
      <w:r>
        <w:rPr>
          <w:rFonts w:hint="eastAsia" w:ascii="宋体" w:hAnsi="宋体"/>
          <w:sz w:val="22"/>
        </w:rPr>
        <w:t>甲、乙双方根据《中华人民共和国合同法》等相关法律法规，就相关产品采购事宜，在互利、平等的原则基础上，经协商一致，特签订本合同，以共同遵守。</w:t>
      </w:r>
    </w:p>
    <w:p>
      <w:pPr>
        <w:adjustRightInd w:val="0"/>
        <w:snapToGrid w:val="0"/>
        <w:spacing w:line="360" w:lineRule="exact"/>
        <w:ind w:firstLine="440" w:firstLineChars="200"/>
        <w:jc w:val="left"/>
        <w:rPr>
          <w:rFonts w:ascii="宋体" w:hAnsi="宋体"/>
          <w:sz w:val="22"/>
        </w:rPr>
      </w:pPr>
      <w:r>
        <w:rPr>
          <w:rFonts w:hint="eastAsia" w:ascii="宋体" w:hAnsi="宋体"/>
          <w:b/>
          <w:bCs/>
          <w:sz w:val="22"/>
        </w:rPr>
        <w:t>一、产品规格型号及参数</w:t>
      </w:r>
    </w:p>
    <w:tbl>
      <w:tblPr>
        <w:tblStyle w:val="56"/>
        <w:tblW w:w="850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7"/>
        <w:gridCol w:w="1530"/>
        <w:gridCol w:w="1015"/>
        <w:gridCol w:w="1979"/>
        <w:gridCol w:w="714"/>
        <w:gridCol w:w="1137"/>
        <w:gridCol w:w="11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jc w:val="center"/>
        </w:trPr>
        <w:tc>
          <w:tcPr>
            <w:tcW w:w="1007" w:type="dxa"/>
            <w:tcBorders>
              <w:top w:val="single" w:color="auto" w:sz="4" w:space="0"/>
              <w:left w:val="single" w:color="auto" w:sz="4" w:space="0"/>
              <w:bottom w:val="single" w:color="auto" w:sz="4" w:space="0"/>
              <w:right w:val="single" w:color="auto" w:sz="4" w:space="0"/>
            </w:tcBorders>
            <w:vAlign w:val="center"/>
          </w:tcPr>
          <w:p>
            <w:pPr>
              <w:pStyle w:val="126"/>
              <w:snapToGrid w:val="0"/>
              <w:jc w:val="left"/>
              <w:rPr>
                <w:rFonts w:ascii="宋体" w:hAnsi="宋体"/>
                <w:b/>
                <w:sz w:val="22"/>
              </w:rPr>
            </w:pPr>
            <w:r>
              <w:rPr>
                <w:rFonts w:hint="eastAsia" w:ascii="宋体" w:hAnsi="宋体"/>
                <w:b/>
                <w:sz w:val="22"/>
              </w:rPr>
              <w:t>序号</w:t>
            </w:r>
          </w:p>
        </w:tc>
        <w:tc>
          <w:tcPr>
            <w:tcW w:w="1530" w:type="dxa"/>
            <w:tcBorders>
              <w:top w:val="single" w:color="auto" w:sz="4" w:space="0"/>
              <w:left w:val="single" w:color="auto" w:sz="4" w:space="0"/>
              <w:bottom w:val="single" w:color="auto" w:sz="4" w:space="0"/>
              <w:right w:val="single" w:color="auto" w:sz="4" w:space="0"/>
            </w:tcBorders>
            <w:vAlign w:val="center"/>
          </w:tcPr>
          <w:p>
            <w:pPr>
              <w:pStyle w:val="126"/>
              <w:snapToGrid w:val="0"/>
              <w:jc w:val="left"/>
              <w:rPr>
                <w:rFonts w:ascii="宋体" w:hAnsi="宋体"/>
                <w:b/>
                <w:sz w:val="22"/>
              </w:rPr>
            </w:pPr>
            <w:r>
              <w:rPr>
                <w:rFonts w:hint="eastAsia" w:ascii="宋体" w:hAnsi="宋体"/>
                <w:b/>
                <w:sz w:val="22"/>
              </w:rPr>
              <w:t>产品名称</w:t>
            </w:r>
          </w:p>
        </w:tc>
        <w:tc>
          <w:tcPr>
            <w:tcW w:w="1015" w:type="dxa"/>
            <w:tcBorders>
              <w:top w:val="single" w:color="auto" w:sz="4" w:space="0"/>
              <w:left w:val="single" w:color="auto" w:sz="4" w:space="0"/>
              <w:bottom w:val="single" w:color="auto" w:sz="4" w:space="0"/>
              <w:right w:val="single" w:color="auto" w:sz="4" w:space="0"/>
            </w:tcBorders>
            <w:vAlign w:val="center"/>
          </w:tcPr>
          <w:p>
            <w:pPr>
              <w:pStyle w:val="126"/>
              <w:snapToGrid w:val="0"/>
              <w:jc w:val="left"/>
              <w:rPr>
                <w:rFonts w:ascii="宋体" w:hAnsi="宋体"/>
                <w:b/>
                <w:sz w:val="22"/>
              </w:rPr>
            </w:pPr>
            <w:r>
              <w:rPr>
                <w:rFonts w:hint="eastAsia" w:ascii="宋体" w:hAnsi="宋体"/>
                <w:b/>
                <w:sz w:val="22"/>
              </w:rPr>
              <w:t>品牌型号</w:t>
            </w:r>
          </w:p>
        </w:tc>
        <w:tc>
          <w:tcPr>
            <w:tcW w:w="1979" w:type="dxa"/>
            <w:tcBorders>
              <w:top w:val="single" w:color="auto" w:sz="4" w:space="0"/>
              <w:left w:val="single" w:color="auto" w:sz="4" w:space="0"/>
              <w:bottom w:val="single" w:color="auto" w:sz="4" w:space="0"/>
              <w:right w:val="single" w:color="auto" w:sz="4" w:space="0"/>
            </w:tcBorders>
            <w:vAlign w:val="center"/>
          </w:tcPr>
          <w:p>
            <w:pPr>
              <w:pStyle w:val="126"/>
              <w:snapToGrid w:val="0"/>
              <w:jc w:val="center"/>
              <w:rPr>
                <w:rFonts w:ascii="宋体" w:hAnsi="宋体"/>
                <w:b/>
                <w:sz w:val="22"/>
              </w:rPr>
            </w:pPr>
            <w:r>
              <w:rPr>
                <w:rFonts w:hint="eastAsia" w:ascii="宋体" w:hAnsi="宋体"/>
                <w:b/>
                <w:sz w:val="22"/>
              </w:rPr>
              <w:t>单位</w:t>
            </w:r>
          </w:p>
        </w:tc>
        <w:tc>
          <w:tcPr>
            <w:tcW w:w="714" w:type="dxa"/>
            <w:tcBorders>
              <w:top w:val="single" w:color="auto" w:sz="4" w:space="0"/>
              <w:left w:val="single" w:color="auto" w:sz="4" w:space="0"/>
              <w:bottom w:val="single" w:color="auto" w:sz="4" w:space="0"/>
              <w:right w:val="single" w:color="auto" w:sz="4" w:space="0"/>
            </w:tcBorders>
            <w:vAlign w:val="center"/>
          </w:tcPr>
          <w:p>
            <w:pPr>
              <w:pStyle w:val="126"/>
              <w:snapToGrid w:val="0"/>
              <w:jc w:val="left"/>
              <w:rPr>
                <w:rFonts w:ascii="宋体" w:hAnsi="宋体"/>
                <w:b/>
                <w:sz w:val="22"/>
              </w:rPr>
            </w:pPr>
            <w:r>
              <w:rPr>
                <w:rFonts w:hint="eastAsia" w:ascii="宋体" w:hAnsi="宋体"/>
                <w:b/>
                <w:sz w:val="22"/>
              </w:rPr>
              <w:t>数量</w:t>
            </w:r>
          </w:p>
        </w:tc>
        <w:tc>
          <w:tcPr>
            <w:tcW w:w="1137" w:type="dxa"/>
            <w:tcBorders>
              <w:top w:val="single" w:color="auto" w:sz="4" w:space="0"/>
              <w:left w:val="single" w:color="auto" w:sz="4" w:space="0"/>
              <w:bottom w:val="single" w:color="auto" w:sz="4" w:space="0"/>
              <w:right w:val="single" w:color="auto" w:sz="4" w:space="0"/>
            </w:tcBorders>
            <w:vAlign w:val="center"/>
          </w:tcPr>
          <w:p>
            <w:pPr>
              <w:pStyle w:val="126"/>
              <w:snapToGrid w:val="0"/>
              <w:jc w:val="center"/>
              <w:rPr>
                <w:rFonts w:ascii="宋体" w:hAnsi="宋体"/>
                <w:b/>
                <w:sz w:val="22"/>
              </w:rPr>
            </w:pPr>
            <w:r>
              <w:rPr>
                <w:rFonts w:hint="eastAsia" w:ascii="宋体" w:hAnsi="宋体"/>
                <w:b/>
                <w:sz w:val="22"/>
              </w:rPr>
              <w:t>单价（元）</w:t>
            </w:r>
          </w:p>
        </w:tc>
        <w:tc>
          <w:tcPr>
            <w:tcW w:w="1122" w:type="dxa"/>
            <w:tcBorders>
              <w:top w:val="single" w:color="auto" w:sz="4" w:space="0"/>
              <w:left w:val="single" w:color="auto" w:sz="4" w:space="0"/>
              <w:bottom w:val="single" w:color="auto" w:sz="4" w:space="0"/>
              <w:right w:val="single" w:color="auto" w:sz="4" w:space="0"/>
            </w:tcBorders>
            <w:vAlign w:val="center"/>
          </w:tcPr>
          <w:p>
            <w:pPr>
              <w:pStyle w:val="126"/>
              <w:snapToGrid w:val="0"/>
              <w:jc w:val="center"/>
              <w:rPr>
                <w:rFonts w:ascii="宋体" w:hAnsi="宋体"/>
                <w:b/>
                <w:sz w:val="22"/>
              </w:rPr>
            </w:pPr>
            <w:r>
              <w:rPr>
                <w:rFonts w:hint="eastAsia" w:ascii="宋体" w:hAnsi="宋体"/>
                <w:b/>
                <w:sz w:val="22"/>
              </w:rPr>
              <w:t>金额</w:t>
            </w:r>
          </w:p>
          <w:p>
            <w:pPr>
              <w:pStyle w:val="126"/>
              <w:snapToGrid w:val="0"/>
              <w:jc w:val="left"/>
              <w:rPr>
                <w:rFonts w:ascii="宋体" w:hAnsi="宋体"/>
                <w:b/>
                <w:sz w:val="22"/>
              </w:rPr>
            </w:pPr>
            <w:r>
              <w:rPr>
                <w:rFonts w:hint="eastAsia" w:ascii="宋体" w:hAnsi="宋体"/>
                <w:b/>
                <w:sz w:val="22"/>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7" w:type="dxa"/>
            <w:tcBorders>
              <w:top w:val="single" w:color="auto" w:sz="4" w:space="0"/>
              <w:left w:val="single" w:color="auto" w:sz="4" w:space="0"/>
              <w:bottom w:val="single" w:color="auto" w:sz="4" w:space="0"/>
              <w:right w:val="single" w:color="auto" w:sz="4" w:space="0"/>
            </w:tcBorders>
            <w:vAlign w:val="center"/>
          </w:tcPr>
          <w:p>
            <w:pPr>
              <w:pStyle w:val="126"/>
              <w:snapToGrid w:val="0"/>
              <w:ind w:firstLine="440" w:firstLineChars="200"/>
              <w:jc w:val="left"/>
              <w:rPr>
                <w:rFonts w:ascii="宋体" w:hAnsi="宋体"/>
                <w:sz w:val="22"/>
              </w:rPr>
            </w:pPr>
          </w:p>
        </w:tc>
        <w:tc>
          <w:tcPr>
            <w:tcW w:w="1530" w:type="dxa"/>
            <w:tcBorders>
              <w:top w:val="single" w:color="auto" w:sz="4" w:space="0"/>
              <w:left w:val="single" w:color="auto" w:sz="4" w:space="0"/>
              <w:bottom w:val="single" w:color="auto" w:sz="4" w:space="0"/>
              <w:right w:val="single" w:color="auto" w:sz="4" w:space="0"/>
            </w:tcBorders>
            <w:vAlign w:val="center"/>
          </w:tcPr>
          <w:p>
            <w:pPr>
              <w:pStyle w:val="126"/>
              <w:snapToGrid w:val="0"/>
              <w:ind w:firstLine="440" w:firstLineChars="200"/>
              <w:jc w:val="left"/>
              <w:rPr>
                <w:rFonts w:ascii="宋体" w:hAnsi="宋体"/>
                <w:sz w:val="22"/>
              </w:rPr>
            </w:pPr>
          </w:p>
        </w:tc>
        <w:tc>
          <w:tcPr>
            <w:tcW w:w="1015" w:type="dxa"/>
            <w:tcBorders>
              <w:top w:val="single" w:color="auto" w:sz="4" w:space="0"/>
              <w:left w:val="single" w:color="auto" w:sz="4" w:space="0"/>
              <w:bottom w:val="single" w:color="auto" w:sz="4" w:space="0"/>
              <w:right w:val="single" w:color="auto" w:sz="4" w:space="0"/>
            </w:tcBorders>
            <w:vAlign w:val="center"/>
          </w:tcPr>
          <w:p>
            <w:pPr>
              <w:pStyle w:val="126"/>
              <w:snapToGrid w:val="0"/>
              <w:ind w:firstLine="440" w:firstLineChars="200"/>
              <w:jc w:val="left"/>
              <w:rPr>
                <w:rFonts w:ascii="宋体" w:hAnsi="宋体"/>
                <w:sz w:val="22"/>
              </w:rPr>
            </w:pPr>
          </w:p>
        </w:tc>
        <w:tc>
          <w:tcPr>
            <w:tcW w:w="1979" w:type="dxa"/>
            <w:tcBorders>
              <w:top w:val="single" w:color="auto" w:sz="4" w:space="0"/>
              <w:left w:val="single" w:color="auto" w:sz="4" w:space="0"/>
              <w:bottom w:val="single" w:color="auto" w:sz="4" w:space="0"/>
              <w:right w:val="single" w:color="auto" w:sz="4" w:space="0"/>
            </w:tcBorders>
            <w:vAlign w:val="center"/>
          </w:tcPr>
          <w:p>
            <w:pPr>
              <w:pStyle w:val="126"/>
              <w:snapToGrid w:val="0"/>
              <w:ind w:firstLine="440" w:firstLineChars="200"/>
              <w:jc w:val="left"/>
              <w:rPr>
                <w:rFonts w:ascii="宋体" w:hAnsi="宋体"/>
                <w:sz w:val="22"/>
              </w:rPr>
            </w:pPr>
          </w:p>
        </w:tc>
        <w:tc>
          <w:tcPr>
            <w:tcW w:w="714" w:type="dxa"/>
            <w:tcBorders>
              <w:top w:val="single" w:color="auto" w:sz="4" w:space="0"/>
              <w:left w:val="single" w:color="auto" w:sz="4" w:space="0"/>
              <w:bottom w:val="single" w:color="auto" w:sz="4" w:space="0"/>
              <w:right w:val="single" w:color="auto" w:sz="4" w:space="0"/>
            </w:tcBorders>
            <w:vAlign w:val="center"/>
          </w:tcPr>
          <w:p>
            <w:pPr>
              <w:pStyle w:val="126"/>
              <w:snapToGrid w:val="0"/>
              <w:ind w:firstLine="440" w:firstLineChars="200"/>
              <w:jc w:val="left"/>
              <w:rPr>
                <w:rFonts w:ascii="宋体" w:hAnsi="宋体"/>
                <w:sz w:val="22"/>
              </w:rPr>
            </w:pPr>
          </w:p>
        </w:tc>
        <w:tc>
          <w:tcPr>
            <w:tcW w:w="1137" w:type="dxa"/>
            <w:tcBorders>
              <w:top w:val="single" w:color="auto" w:sz="4" w:space="0"/>
              <w:left w:val="single" w:color="auto" w:sz="4" w:space="0"/>
              <w:bottom w:val="single" w:color="auto" w:sz="4" w:space="0"/>
              <w:right w:val="single" w:color="auto" w:sz="4" w:space="0"/>
            </w:tcBorders>
            <w:vAlign w:val="center"/>
          </w:tcPr>
          <w:p>
            <w:pPr>
              <w:pStyle w:val="126"/>
              <w:snapToGrid w:val="0"/>
              <w:ind w:firstLine="440" w:firstLineChars="200"/>
              <w:jc w:val="left"/>
              <w:rPr>
                <w:rFonts w:ascii="宋体" w:hAnsi="宋体"/>
                <w:sz w:val="22"/>
              </w:rPr>
            </w:pPr>
          </w:p>
        </w:tc>
        <w:tc>
          <w:tcPr>
            <w:tcW w:w="1122" w:type="dxa"/>
            <w:tcBorders>
              <w:top w:val="single" w:color="auto" w:sz="4" w:space="0"/>
              <w:left w:val="single" w:color="auto" w:sz="4" w:space="0"/>
              <w:bottom w:val="single" w:color="auto" w:sz="4" w:space="0"/>
              <w:right w:val="single" w:color="auto" w:sz="4" w:space="0"/>
            </w:tcBorders>
            <w:vAlign w:val="center"/>
          </w:tcPr>
          <w:p>
            <w:pPr>
              <w:pStyle w:val="126"/>
              <w:snapToGrid w:val="0"/>
              <w:ind w:firstLine="440" w:firstLineChars="200"/>
              <w:jc w:val="lef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7" w:type="dxa"/>
            <w:tcBorders>
              <w:top w:val="single" w:color="auto" w:sz="4" w:space="0"/>
              <w:left w:val="single" w:color="auto" w:sz="4" w:space="0"/>
              <w:bottom w:val="single" w:color="auto" w:sz="4" w:space="0"/>
              <w:right w:val="single" w:color="auto" w:sz="4" w:space="0"/>
            </w:tcBorders>
            <w:vAlign w:val="center"/>
          </w:tcPr>
          <w:p>
            <w:pPr>
              <w:pStyle w:val="126"/>
              <w:snapToGrid w:val="0"/>
              <w:ind w:firstLine="440" w:firstLineChars="200"/>
              <w:jc w:val="left"/>
              <w:rPr>
                <w:rFonts w:ascii="宋体" w:hAnsi="宋体"/>
                <w:sz w:val="22"/>
              </w:rPr>
            </w:pPr>
          </w:p>
        </w:tc>
        <w:tc>
          <w:tcPr>
            <w:tcW w:w="1530" w:type="dxa"/>
            <w:tcBorders>
              <w:top w:val="single" w:color="auto" w:sz="4" w:space="0"/>
              <w:left w:val="single" w:color="auto" w:sz="4" w:space="0"/>
              <w:bottom w:val="single" w:color="auto" w:sz="4" w:space="0"/>
              <w:right w:val="single" w:color="auto" w:sz="4" w:space="0"/>
            </w:tcBorders>
            <w:vAlign w:val="center"/>
          </w:tcPr>
          <w:p>
            <w:pPr>
              <w:pStyle w:val="126"/>
              <w:snapToGrid w:val="0"/>
              <w:ind w:firstLine="440" w:firstLineChars="200"/>
              <w:jc w:val="left"/>
              <w:rPr>
                <w:rFonts w:ascii="宋体" w:hAnsi="宋体"/>
                <w:sz w:val="22"/>
              </w:rPr>
            </w:pPr>
          </w:p>
        </w:tc>
        <w:tc>
          <w:tcPr>
            <w:tcW w:w="1015" w:type="dxa"/>
            <w:tcBorders>
              <w:top w:val="single" w:color="auto" w:sz="4" w:space="0"/>
              <w:left w:val="single" w:color="auto" w:sz="4" w:space="0"/>
              <w:bottom w:val="single" w:color="auto" w:sz="4" w:space="0"/>
              <w:right w:val="single" w:color="auto" w:sz="4" w:space="0"/>
            </w:tcBorders>
            <w:vAlign w:val="center"/>
          </w:tcPr>
          <w:p>
            <w:pPr>
              <w:pStyle w:val="126"/>
              <w:snapToGrid w:val="0"/>
              <w:ind w:firstLine="440" w:firstLineChars="200"/>
              <w:jc w:val="left"/>
              <w:rPr>
                <w:rFonts w:ascii="宋体" w:hAnsi="宋体"/>
                <w:sz w:val="22"/>
              </w:rPr>
            </w:pPr>
          </w:p>
        </w:tc>
        <w:tc>
          <w:tcPr>
            <w:tcW w:w="1979" w:type="dxa"/>
            <w:tcBorders>
              <w:top w:val="single" w:color="auto" w:sz="4" w:space="0"/>
              <w:left w:val="single" w:color="auto" w:sz="4" w:space="0"/>
              <w:bottom w:val="single" w:color="auto" w:sz="4" w:space="0"/>
              <w:right w:val="single" w:color="auto" w:sz="4" w:space="0"/>
            </w:tcBorders>
            <w:vAlign w:val="center"/>
          </w:tcPr>
          <w:p>
            <w:pPr>
              <w:pStyle w:val="126"/>
              <w:snapToGrid w:val="0"/>
              <w:ind w:firstLine="440" w:firstLineChars="200"/>
              <w:jc w:val="left"/>
              <w:rPr>
                <w:rFonts w:ascii="宋体" w:hAnsi="宋体"/>
                <w:sz w:val="22"/>
              </w:rPr>
            </w:pPr>
          </w:p>
        </w:tc>
        <w:tc>
          <w:tcPr>
            <w:tcW w:w="714" w:type="dxa"/>
            <w:tcBorders>
              <w:top w:val="single" w:color="auto" w:sz="4" w:space="0"/>
              <w:left w:val="single" w:color="auto" w:sz="4" w:space="0"/>
              <w:bottom w:val="single" w:color="auto" w:sz="4" w:space="0"/>
              <w:right w:val="single" w:color="auto" w:sz="4" w:space="0"/>
            </w:tcBorders>
            <w:vAlign w:val="center"/>
          </w:tcPr>
          <w:p>
            <w:pPr>
              <w:pStyle w:val="126"/>
              <w:snapToGrid w:val="0"/>
              <w:ind w:firstLine="440" w:firstLineChars="200"/>
              <w:jc w:val="left"/>
              <w:rPr>
                <w:rFonts w:ascii="宋体" w:hAnsi="宋体"/>
                <w:sz w:val="22"/>
              </w:rPr>
            </w:pPr>
          </w:p>
        </w:tc>
        <w:tc>
          <w:tcPr>
            <w:tcW w:w="1137" w:type="dxa"/>
            <w:tcBorders>
              <w:top w:val="single" w:color="auto" w:sz="4" w:space="0"/>
              <w:left w:val="single" w:color="auto" w:sz="4" w:space="0"/>
              <w:bottom w:val="single" w:color="auto" w:sz="4" w:space="0"/>
              <w:right w:val="single" w:color="auto" w:sz="4" w:space="0"/>
            </w:tcBorders>
            <w:vAlign w:val="center"/>
          </w:tcPr>
          <w:p>
            <w:pPr>
              <w:pStyle w:val="126"/>
              <w:snapToGrid w:val="0"/>
              <w:ind w:firstLine="440" w:firstLineChars="200"/>
              <w:jc w:val="left"/>
              <w:rPr>
                <w:rFonts w:ascii="宋体" w:hAnsi="宋体"/>
                <w:sz w:val="22"/>
              </w:rPr>
            </w:pPr>
          </w:p>
        </w:tc>
        <w:tc>
          <w:tcPr>
            <w:tcW w:w="1122" w:type="dxa"/>
            <w:tcBorders>
              <w:top w:val="single" w:color="auto" w:sz="4" w:space="0"/>
              <w:left w:val="single" w:color="auto" w:sz="4" w:space="0"/>
              <w:bottom w:val="single" w:color="auto" w:sz="4" w:space="0"/>
              <w:right w:val="single" w:color="auto" w:sz="4" w:space="0"/>
            </w:tcBorders>
            <w:vAlign w:val="center"/>
          </w:tcPr>
          <w:p>
            <w:pPr>
              <w:pStyle w:val="126"/>
              <w:snapToGrid w:val="0"/>
              <w:ind w:firstLine="440" w:firstLineChars="200"/>
              <w:jc w:val="lef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7" w:type="dxa"/>
            <w:tcBorders>
              <w:top w:val="single" w:color="auto" w:sz="4" w:space="0"/>
              <w:left w:val="single" w:color="auto" w:sz="4" w:space="0"/>
              <w:bottom w:val="single" w:color="auto" w:sz="4" w:space="0"/>
              <w:right w:val="single" w:color="auto" w:sz="4" w:space="0"/>
            </w:tcBorders>
            <w:vAlign w:val="center"/>
          </w:tcPr>
          <w:p>
            <w:pPr>
              <w:pStyle w:val="126"/>
              <w:snapToGrid w:val="0"/>
              <w:ind w:firstLine="440" w:firstLineChars="200"/>
              <w:jc w:val="left"/>
              <w:rPr>
                <w:rFonts w:ascii="宋体" w:hAnsi="宋体"/>
                <w:sz w:val="22"/>
              </w:rPr>
            </w:pPr>
          </w:p>
        </w:tc>
        <w:tc>
          <w:tcPr>
            <w:tcW w:w="1530" w:type="dxa"/>
            <w:tcBorders>
              <w:top w:val="single" w:color="auto" w:sz="4" w:space="0"/>
              <w:left w:val="single" w:color="auto" w:sz="4" w:space="0"/>
              <w:bottom w:val="single" w:color="auto" w:sz="4" w:space="0"/>
              <w:right w:val="single" w:color="auto" w:sz="4" w:space="0"/>
            </w:tcBorders>
            <w:vAlign w:val="center"/>
          </w:tcPr>
          <w:p>
            <w:pPr>
              <w:pStyle w:val="126"/>
              <w:snapToGrid w:val="0"/>
              <w:ind w:firstLine="440" w:firstLineChars="200"/>
              <w:jc w:val="left"/>
              <w:rPr>
                <w:rFonts w:ascii="宋体" w:hAnsi="宋体"/>
                <w:sz w:val="22"/>
              </w:rPr>
            </w:pPr>
          </w:p>
        </w:tc>
        <w:tc>
          <w:tcPr>
            <w:tcW w:w="1015" w:type="dxa"/>
            <w:tcBorders>
              <w:top w:val="single" w:color="auto" w:sz="4" w:space="0"/>
              <w:left w:val="single" w:color="auto" w:sz="4" w:space="0"/>
              <w:bottom w:val="single" w:color="auto" w:sz="4" w:space="0"/>
              <w:right w:val="single" w:color="auto" w:sz="4" w:space="0"/>
            </w:tcBorders>
            <w:vAlign w:val="center"/>
          </w:tcPr>
          <w:p>
            <w:pPr>
              <w:pStyle w:val="126"/>
              <w:snapToGrid w:val="0"/>
              <w:ind w:firstLine="440" w:firstLineChars="200"/>
              <w:jc w:val="left"/>
              <w:rPr>
                <w:rFonts w:ascii="宋体" w:hAnsi="宋体"/>
                <w:sz w:val="22"/>
              </w:rPr>
            </w:pPr>
          </w:p>
        </w:tc>
        <w:tc>
          <w:tcPr>
            <w:tcW w:w="1979" w:type="dxa"/>
            <w:tcBorders>
              <w:top w:val="single" w:color="auto" w:sz="4" w:space="0"/>
              <w:left w:val="single" w:color="auto" w:sz="4" w:space="0"/>
              <w:bottom w:val="single" w:color="auto" w:sz="4" w:space="0"/>
              <w:right w:val="single" w:color="auto" w:sz="4" w:space="0"/>
            </w:tcBorders>
            <w:vAlign w:val="center"/>
          </w:tcPr>
          <w:p>
            <w:pPr>
              <w:pStyle w:val="126"/>
              <w:snapToGrid w:val="0"/>
              <w:ind w:firstLine="440" w:firstLineChars="200"/>
              <w:jc w:val="left"/>
              <w:rPr>
                <w:rFonts w:ascii="宋体" w:hAnsi="宋体"/>
                <w:sz w:val="22"/>
              </w:rPr>
            </w:pPr>
          </w:p>
        </w:tc>
        <w:tc>
          <w:tcPr>
            <w:tcW w:w="714" w:type="dxa"/>
            <w:tcBorders>
              <w:top w:val="single" w:color="auto" w:sz="4" w:space="0"/>
              <w:left w:val="single" w:color="auto" w:sz="4" w:space="0"/>
              <w:bottom w:val="single" w:color="auto" w:sz="4" w:space="0"/>
              <w:right w:val="single" w:color="auto" w:sz="4" w:space="0"/>
            </w:tcBorders>
            <w:vAlign w:val="center"/>
          </w:tcPr>
          <w:p>
            <w:pPr>
              <w:pStyle w:val="126"/>
              <w:snapToGrid w:val="0"/>
              <w:ind w:firstLine="440" w:firstLineChars="200"/>
              <w:jc w:val="left"/>
              <w:rPr>
                <w:rFonts w:ascii="宋体" w:hAnsi="宋体"/>
                <w:sz w:val="22"/>
              </w:rPr>
            </w:pPr>
          </w:p>
        </w:tc>
        <w:tc>
          <w:tcPr>
            <w:tcW w:w="1137" w:type="dxa"/>
            <w:tcBorders>
              <w:top w:val="single" w:color="auto" w:sz="4" w:space="0"/>
              <w:left w:val="single" w:color="auto" w:sz="4" w:space="0"/>
              <w:bottom w:val="single" w:color="auto" w:sz="4" w:space="0"/>
              <w:right w:val="single" w:color="auto" w:sz="4" w:space="0"/>
            </w:tcBorders>
            <w:vAlign w:val="center"/>
          </w:tcPr>
          <w:p>
            <w:pPr>
              <w:pStyle w:val="126"/>
              <w:snapToGrid w:val="0"/>
              <w:ind w:firstLine="440" w:firstLineChars="200"/>
              <w:jc w:val="left"/>
              <w:rPr>
                <w:rFonts w:ascii="宋体" w:hAnsi="宋体"/>
                <w:sz w:val="22"/>
              </w:rPr>
            </w:pPr>
          </w:p>
        </w:tc>
        <w:tc>
          <w:tcPr>
            <w:tcW w:w="1122" w:type="dxa"/>
            <w:tcBorders>
              <w:top w:val="single" w:color="auto" w:sz="4" w:space="0"/>
              <w:left w:val="single" w:color="auto" w:sz="4" w:space="0"/>
              <w:bottom w:val="single" w:color="auto" w:sz="4" w:space="0"/>
              <w:right w:val="single" w:color="auto" w:sz="4" w:space="0"/>
            </w:tcBorders>
            <w:vAlign w:val="center"/>
          </w:tcPr>
          <w:p>
            <w:pPr>
              <w:pStyle w:val="126"/>
              <w:snapToGrid w:val="0"/>
              <w:ind w:firstLine="440" w:firstLineChars="200"/>
              <w:jc w:val="lef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7" w:type="dxa"/>
            <w:tcBorders>
              <w:top w:val="single" w:color="auto" w:sz="4" w:space="0"/>
              <w:left w:val="single" w:color="auto" w:sz="4" w:space="0"/>
              <w:bottom w:val="single" w:color="auto" w:sz="4" w:space="0"/>
              <w:right w:val="single" w:color="auto" w:sz="4" w:space="0"/>
            </w:tcBorders>
            <w:vAlign w:val="center"/>
          </w:tcPr>
          <w:p>
            <w:pPr>
              <w:pStyle w:val="126"/>
              <w:snapToGrid w:val="0"/>
              <w:jc w:val="left"/>
              <w:rPr>
                <w:rFonts w:ascii="宋体" w:hAnsi="宋体"/>
                <w:sz w:val="22"/>
              </w:rPr>
            </w:pPr>
            <w:r>
              <w:rPr>
                <w:rFonts w:hint="eastAsia" w:ascii="宋体" w:hAnsi="宋体"/>
                <w:sz w:val="22"/>
              </w:rPr>
              <w:t>合计</w:t>
            </w:r>
          </w:p>
        </w:tc>
        <w:tc>
          <w:tcPr>
            <w:tcW w:w="1530" w:type="dxa"/>
            <w:tcBorders>
              <w:top w:val="single" w:color="auto" w:sz="4" w:space="0"/>
              <w:left w:val="single" w:color="auto" w:sz="4" w:space="0"/>
              <w:bottom w:val="single" w:color="auto" w:sz="4" w:space="0"/>
              <w:right w:val="single" w:color="auto" w:sz="4" w:space="0"/>
            </w:tcBorders>
            <w:vAlign w:val="center"/>
          </w:tcPr>
          <w:p>
            <w:pPr>
              <w:pStyle w:val="126"/>
              <w:snapToGrid w:val="0"/>
              <w:ind w:firstLine="440" w:firstLineChars="200"/>
              <w:jc w:val="left"/>
              <w:rPr>
                <w:rFonts w:ascii="宋体" w:hAnsi="宋体"/>
                <w:sz w:val="22"/>
              </w:rPr>
            </w:pPr>
          </w:p>
        </w:tc>
        <w:tc>
          <w:tcPr>
            <w:tcW w:w="1015" w:type="dxa"/>
            <w:tcBorders>
              <w:top w:val="single" w:color="auto" w:sz="4" w:space="0"/>
              <w:left w:val="single" w:color="auto" w:sz="4" w:space="0"/>
              <w:bottom w:val="single" w:color="auto" w:sz="4" w:space="0"/>
              <w:right w:val="single" w:color="auto" w:sz="4" w:space="0"/>
            </w:tcBorders>
            <w:vAlign w:val="center"/>
          </w:tcPr>
          <w:p>
            <w:pPr>
              <w:pStyle w:val="126"/>
              <w:snapToGrid w:val="0"/>
              <w:ind w:firstLine="440" w:firstLineChars="200"/>
              <w:jc w:val="left"/>
              <w:rPr>
                <w:rFonts w:ascii="宋体" w:hAnsi="宋体"/>
                <w:sz w:val="22"/>
              </w:rPr>
            </w:pPr>
          </w:p>
        </w:tc>
        <w:tc>
          <w:tcPr>
            <w:tcW w:w="1979" w:type="dxa"/>
            <w:tcBorders>
              <w:top w:val="single" w:color="auto" w:sz="4" w:space="0"/>
              <w:left w:val="single" w:color="auto" w:sz="4" w:space="0"/>
              <w:bottom w:val="single" w:color="auto" w:sz="4" w:space="0"/>
              <w:right w:val="single" w:color="auto" w:sz="4" w:space="0"/>
            </w:tcBorders>
            <w:vAlign w:val="center"/>
          </w:tcPr>
          <w:p>
            <w:pPr>
              <w:pStyle w:val="126"/>
              <w:snapToGrid w:val="0"/>
              <w:ind w:firstLine="440" w:firstLineChars="200"/>
              <w:jc w:val="left"/>
              <w:rPr>
                <w:rFonts w:ascii="宋体" w:hAnsi="宋体"/>
                <w:sz w:val="22"/>
              </w:rPr>
            </w:pPr>
          </w:p>
        </w:tc>
        <w:tc>
          <w:tcPr>
            <w:tcW w:w="714" w:type="dxa"/>
            <w:tcBorders>
              <w:top w:val="single" w:color="auto" w:sz="4" w:space="0"/>
              <w:left w:val="single" w:color="auto" w:sz="4" w:space="0"/>
              <w:bottom w:val="single" w:color="auto" w:sz="4" w:space="0"/>
              <w:right w:val="single" w:color="auto" w:sz="4" w:space="0"/>
            </w:tcBorders>
            <w:vAlign w:val="center"/>
          </w:tcPr>
          <w:p>
            <w:pPr>
              <w:pStyle w:val="126"/>
              <w:snapToGrid w:val="0"/>
              <w:ind w:firstLine="440" w:firstLineChars="200"/>
              <w:jc w:val="left"/>
              <w:rPr>
                <w:rFonts w:ascii="宋体" w:hAnsi="宋体"/>
                <w:sz w:val="22"/>
              </w:rPr>
            </w:pPr>
          </w:p>
        </w:tc>
        <w:tc>
          <w:tcPr>
            <w:tcW w:w="1137" w:type="dxa"/>
            <w:tcBorders>
              <w:top w:val="single" w:color="auto" w:sz="4" w:space="0"/>
              <w:left w:val="single" w:color="auto" w:sz="4" w:space="0"/>
              <w:bottom w:val="single" w:color="auto" w:sz="4" w:space="0"/>
              <w:right w:val="single" w:color="auto" w:sz="4" w:space="0"/>
            </w:tcBorders>
            <w:vAlign w:val="center"/>
          </w:tcPr>
          <w:p>
            <w:pPr>
              <w:pStyle w:val="126"/>
              <w:snapToGrid w:val="0"/>
              <w:ind w:firstLine="440" w:firstLineChars="200"/>
              <w:jc w:val="left"/>
              <w:rPr>
                <w:rFonts w:ascii="宋体" w:hAnsi="宋体"/>
                <w:sz w:val="22"/>
              </w:rPr>
            </w:pPr>
          </w:p>
        </w:tc>
        <w:tc>
          <w:tcPr>
            <w:tcW w:w="1122" w:type="dxa"/>
            <w:tcBorders>
              <w:top w:val="single" w:color="auto" w:sz="4" w:space="0"/>
              <w:left w:val="single" w:color="auto" w:sz="4" w:space="0"/>
              <w:bottom w:val="single" w:color="auto" w:sz="4" w:space="0"/>
              <w:right w:val="single" w:color="auto" w:sz="4" w:space="0"/>
            </w:tcBorders>
            <w:vAlign w:val="center"/>
          </w:tcPr>
          <w:p>
            <w:pPr>
              <w:pStyle w:val="126"/>
              <w:snapToGrid w:val="0"/>
              <w:ind w:firstLine="440" w:firstLineChars="200"/>
              <w:jc w:val="left"/>
              <w:rPr>
                <w:rFonts w:ascii="宋体" w:hAnsi="宋体"/>
                <w:sz w:val="22"/>
              </w:rPr>
            </w:pPr>
          </w:p>
        </w:tc>
      </w:tr>
    </w:tbl>
    <w:p>
      <w:pPr>
        <w:adjustRightInd w:val="0"/>
        <w:snapToGrid w:val="0"/>
        <w:spacing w:line="360" w:lineRule="exact"/>
        <w:ind w:firstLine="440" w:firstLineChars="200"/>
        <w:rPr>
          <w:rFonts w:ascii="宋体" w:hAnsi="宋体"/>
          <w:b/>
          <w:sz w:val="22"/>
        </w:rPr>
      </w:pPr>
      <w:r>
        <w:rPr>
          <w:rFonts w:hint="eastAsia" w:ascii="宋体" w:hAnsi="宋体"/>
          <w:b/>
          <w:sz w:val="22"/>
        </w:rPr>
        <w:t>二、合同金额</w:t>
      </w:r>
    </w:p>
    <w:p>
      <w:pPr>
        <w:adjustRightInd w:val="0"/>
        <w:snapToGrid w:val="0"/>
        <w:spacing w:line="360" w:lineRule="exact"/>
        <w:ind w:firstLine="440" w:firstLineChars="200"/>
        <w:rPr>
          <w:rFonts w:ascii="宋体" w:hAnsi="宋体"/>
          <w:sz w:val="22"/>
        </w:rPr>
      </w:pPr>
      <w:r>
        <w:rPr>
          <w:rFonts w:hint="eastAsia" w:ascii="宋体" w:hAnsi="宋体"/>
          <w:sz w:val="22"/>
        </w:rPr>
        <w:t>1、本合同采用固定总价合同。合同总价包括按合同范围及内容完成所列项目的全部费用，包括但不限于设计方案、原有T1问询台拆除，在新选址区域按要求建造综合服务柜台及配备柜内所有设施设备，并负责柜台及设施设备后期维护等（含图纸会审纪要、设计变更、现场洽商、后续维保等）产生的人工、材料、管理、乙方的利润、税金等费用。甲方不再承担其他任何费用。</w:t>
      </w:r>
    </w:p>
    <w:p>
      <w:pPr>
        <w:adjustRightInd w:val="0"/>
        <w:snapToGrid w:val="0"/>
        <w:spacing w:line="360" w:lineRule="exact"/>
        <w:ind w:firstLine="440" w:firstLineChars="200"/>
        <w:rPr>
          <w:rFonts w:ascii="宋体" w:hAnsi="宋体"/>
          <w:sz w:val="22"/>
        </w:rPr>
      </w:pPr>
      <w:r>
        <w:rPr>
          <w:rFonts w:hint="eastAsia" w:ascii="宋体" w:hAnsi="宋体"/>
          <w:sz w:val="22"/>
        </w:rPr>
        <w:t>2、本合同总价为人民币（¥:       元），清单见附件一：T3隔离区内问询柜台移位重设项目设备设施需求。</w:t>
      </w:r>
    </w:p>
    <w:p>
      <w:pPr>
        <w:adjustRightInd w:val="0"/>
        <w:snapToGrid w:val="0"/>
        <w:spacing w:line="360" w:lineRule="exact"/>
        <w:ind w:firstLine="440" w:firstLineChars="200"/>
        <w:rPr>
          <w:rFonts w:ascii="宋体" w:hAnsi="宋体"/>
          <w:b/>
          <w:sz w:val="22"/>
        </w:rPr>
      </w:pPr>
      <w:r>
        <w:rPr>
          <w:rFonts w:hint="eastAsia" w:ascii="宋体" w:hAnsi="宋体"/>
          <w:b/>
          <w:sz w:val="22"/>
        </w:rPr>
        <w:t>三、技术资料</w:t>
      </w:r>
    </w:p>
    <w:p>
      <w:pPr>
        <w:adjustRightInd w:val="0"/>
        <w:snapToGrid w:val="0"/>
        <w:spacing w:line="360" w:lineRule="exact"/>
        <w:ind w:firstLine="440" w:firstLineChars="200"/>
        <w:rPr>
          <w:rFonts w:ascii="宋体" w:hAnsi="宋体"/>
          <w:sz w:val="22"/>
        </w:rPr>
      </w:pPr>
      <w:r>
        <w:rPr>
          <w:rFonts w:hint="eastAsia" w:ascii="宋体" w:hAnsi="宋体"/>
          <w:b/>
          <w:sz w:val="22"/>
        </w:rPr>
        <w:t>1.</w:t>
      </w:r>
      <w:r>
        <w:rPr>
          <w:rFonts w:hint="eastAsia" w:ascii="宋体" w:hAnsi="宋体"/>
          <w:sz w:val="22"/>
        </w:rPr>
        <w:t>乙方应在移交合同货物时向甲方提供使用货物的有关技术资料。</w:t>
      </w:r>
    </w:p>
    <w:p>
      <w:pPr>
        <w:adjustRightInd w:val="0"/>
        <w:snapToGrid w:val="0"/>
        <w:spacing w:line="360" w:lineRule="exact"/>
        <w:ind w:firstLine="440" w:firstLineChars="200"/>
        <w:rPr>
          <w:rFonts w:ascii="宋体" w:hAnsi="宋体"/>
          <w:sz w:val="22"/>
        </w:rPr>
      </w:pPr>
      <w:r>
        <w:rPr>
          <w:rFonts w:hint="eastAsia" w:ascii="宋体" w:hAnsi="宋体"/>
          <w:b/>
          <w:sz w:val="22"/>
        </w:rPr>
        <w:t>2.</w:t>
      </w:r>
      <w:r>
        <w:rPr>
          <w:rFonts w:hint="eastAsia" w:ascii="宋体" w:hAnsi="宋体"/>
          <w:sz w:val="22"/>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如因乙方或前述与履行本合同相关的人员违反本条规定的保密义务而导致甲方遭受损失的，则乙方应向甲方承担赔偿责任。</w:t>
      </w:r>
    </w:p>
    <w:p>
      <w:pPr>
        <w:adjustRightInd w:val="0"/>
        <w:snapToGrid w:val="0"/>
        <w:spacing w:line="360" w:lineRule="exact"/>
        <w:ind w:firstLine="440" w:firstLineChars="200"/>
        <w:rPr>
          <w:rFonts w:ascii="宋体" w:hAnsi="宋体"/>
          <w:b/>
          <w:sz w:val="22"/>
        </w:rPr>
      </w:pPr>
      <w:r>
        <w:rPr>
          <w:rFonts w:hint="eastAsia" w:ascii="宋体" w:hAnsi="宋体"/>
          <w:b/>
          <w:sz w:val="22"/>
        </w:rPr>
        <w:t>四、知识产权</w:t>
      </w:r>
    </w:p>
    <w:p>
      <w:pPr>
        <w:adjustRightInd w:val="0"/>
        <w:snapToGrid w:val="0"/>
        <w:spacing w:line="360" w:lineRule="exact"/>
        <w:ind w:firstLine="440" w:firstLineChars="200"/>
        <w:rPr>
          <w:rFonts w:ascii="宋体" w:hAnsi="宋体"/>
          <w:sz w:val="22"/>
        </w:rPr>
      </w:pPr>
      <w:r>
        <w:rPr>
          <w:rFonts w:hint="eastAsia" w:ascii="宋体" w:hAnsi="宋体"/>
          <w:sz w:val="22"/>
        </w:rPr>
        <w:t>乙方应保证所提供的货物或其任何一部分均不会侵犯任何第三方的知识产权。如因乙方违反本条保证并导致甲方遭受损失的，乙方须向甲方承担赔偿责任。</w:t>
      </w:r>
    </w:p>
    <w:p>
      <w:pPr>
        <w:adjustRightInd w:val="0"/>
        <w:snapToGrid w:val="0"/>
        <w:spacing w:line="360" w:lineRule="exact"/>
        <w:ind w:firstLine="440" w:firstLineChars="200"/>
        <w:rPr>
          <w:rFonts w:ascii="宋体" w:hAnsi="宋体"/>
          <w:b/>
          <w:sz w:val="22"/>
        </w:rPr>
      </w:pPr>
      <w:r>
        <w:rPr>
          <w:rFonts w:hint="eastAsia" w:ascii="宋体" w:hAnsi="宋体"/>
          <w:b/>
          <w:sz w:val="22"/>
        </w:rPr>
        <w:t>五、产权担保</w:t>
      </w:r>
    </w:p>
    <w:p>
      <w:pPr>
        <w:adjustRightInd w:val="0"/>
        <w:snapToGrid w:val="0"/>
        <w:spacing w:line="360" w:lineRule="exact"/>
        <w:ind w:firstLine="440" w:firstLineChars="200"/>
        <w:rPr>
          <w:rFonts w:ascii="宋体" w:hAnsi="宋体"/>
          <w:sz w:val="22"/>
        </w:rPr>
      </w:pPr>
      <w:r>
        <w:rPr>
          <w:rFonts w:hint="eastAsia" w:ascii="宋体" w:hAnsi="宋体"/>
          <w:sz w:val="22"/>
        </w:rPr>
        <w:t>乙方保证所交付的货物的所有权完全属于乙方且无任何抵押、查封等产权障碍或瑕疵。如因乙方提供货物存在权属纠纷或担保物权的行使而导致甲方遭受任何损失的，乙方须就甲方遭受的该等损失承担赔偿责任。</w:t>
      </w:r>
    </w:p>
    <w:p>
      <w:pPr>
        <w:adjustRightInd w:val="0"/>
        <w:snapToGrid w:val="0"/>
        <w:spacing w:line="360" w:lineRule="exact"/>
        <w:ind w:firstLine="440" w:firstLineChars="200"/>
        <w:outlineLvl w:val="0"/>
        <w:rPr>
          <w:rFonts w:ascii="宋体" w:hAnsi="宋体"/>
          <w:b/>
          <w:sz w:val="22"/>
        </w:rPr>
      </w:pPr>
      <w:r>
        <w:rPr>
          <w:rFonts w:hint="eastAsia" w:ascii="宋体" w:hAnsi="宋体"/>
          <w:b/>
          <w:sz w:val="22"/>
        </w:rPr>
        <w:t>六、转包或分包</w:t>
      </w:r>
    </w:p>
    <w:p>
      <w:pPr>
        <w:adjustRightInd w:val="0"/>
        <w:snapToGrid w:val="0"/>
        <w:spacing w:line="360" w:lineRule="exact"/>
        <w:ind w:firstLine="440" w:firstLineChars="200"/>
        <w:rPr>
          <w:rFonts w:ascii="宋体" w:hAnsi="宋体"/>
          <w:sz w:val="22"/>
        </w:rPr>
      </w:pPr>
      <w:r>
        <w:rPr>
          <w:rFonts w:hint="eastAsia" w:ascii="宋体" w:hAnsi="宋体"/>
          <w:b/>
          <w:sz w:val="22"/>
        </w:rPr>
        <w:t>1.</w:t>
      </w:r>
      <w:r>
        <w:rPr>
          <w:rFonts w:hint="eastAsia" w:ascii="宋体" w:hAnsi="宋体"/>
          <w:sz w:val="22"/>
        </w:rPr>
        <w:t>本合同项下甲方采购的货物，必须由乙方直接供应；除非得到甲方的书面同意，乙方不得将本合同项下的货物全部或部分分包给第三方供应，不得将本合同项下权利义务转让给第三方；</w:t>
      </w:r>
    </w:p>
    <w:p>
      <w:pPr>
        <w:adjustRightInd w:val="0"/>
        <w:snapToGrid w:val="0"/>
        <w:spacing w:line="360" w:lineRule="exact"/>
        <w:ind w:firstLine="440" w:firstLineChars="200"/>
        <w:rPr>
          <w:rFonts w:ascii="宋体" w:hAnsi="宋体"/>
          <w:sz w:val="22"/>
        </w:rPr>
      </w:pPr>
      <w:r>
        <w:rPr>
          <w:rFonts w:hint="eastAsia" w:ascii="宋体" w:hAnsi="宋体"/>
          <w:b/>
          <w:sz w:val="22"/>
        </w:rPr>
        <w:t>2.</w:t>
      </w:r>
      <w:r>
        <w:rPr>
          <w:rFonts w:hint="eastAsia" w:ascii="宋体" w:hAnsi="宋体"/>
          <w:sz w:val="22"/>
        </w:rPr>
        <w:t>如有未经甲方书面同意的转让和分包行为，甲方有权解除合同，并追究乙方的违约责任。</w:t>
      </w:r>
    </w:p>
    <w:p>
      <w:pPr>
        <w:adjustRightInd w:val="0"/>
        <w:snapToGrid w:val="0"/>
        <w:spacing w:line="360" w:lineRule="exact"/>
        <w:ind w:firstLine="440" w:firstLineChars="200"/>
        <w:outlineLvl w:val="0"/>
        <w:rPr>
          <w:rFonts w:ascii="宋体" w:hAnsi="宋体"/>
          <w:b/>
          <w:sz w:val="22"/>
        </w:rPr>
      </w:pPr>
      <w:bookmarkStart w:id="112" w:name="_Toc422638513"/>
      <w:r>
        <w:rPr>
          <w:rFonts w:hint="eastAsia" w:ascii="宋体" w:hAnsi="宋体"/>
          <w:b/>
          <w:sz w:val="22"/>
        </w:rPr>
        <w:t>七、货物包装、发运及运输</w:t>
      </w:r>
      <w:bookmarkEnd w:id="112"/>
    </w:p>
    <w:p>
      <w:pPr>
        <w:adjustRightInd w:val="0"/>
        <w:snapToGrid w:val="0"/>
        <w:spacing w:line="360" w:lineRule="exact"/>
        <w:ind w:firstLine="440" w:firstLineChars="200"/>
        <w:rPr>
          <w:rFonts w:ascii="宋体" w:hAnsi="宋体"/>
          <w:sz w:val="22"/>
        </w:rPr>
      </w:pPr>
      <w:r>
        <w:rPr>
          <w:rFonts w:hint="eastAsia" w:ascii="宋体" w:hAnsi="宋体"/>
          <w:b/>
          <w:sz w:val="22"/>
        </w:rPr>
        <w:t>1.</w:t>
      </w:r>
      <w:r>
        <w:rPr>
          <w:rFonts w:hint="eastAsia" w:ascii="宋体" w:hAnsi="宋体"/>
          <w:sz w:val="22"/>
        </w:rPr>
        <w:t>乙方应在货物发运前对其按满足运输距离、防潮、防震、防锈和防破损装卸等要求进行包装，以保证货物安全运达甲方指定地点。</w:t>
      </w:r>
    </w:p>
    <w:p>
      <w:pPr>
        <w:adjustRightInd w:val="0"/>
        <w:snapToGrid w:val="0"/>
        <w:spacing w:line="360" w:lineRule="exact"/>
        <w:ind w:firstLine="440" w:firstLineChars="200"/>
        <w:rPr>
          <w:rFonts w:ascii="宋体" w:hAnsi="宋体"/>
          <w:sz w:val="22"/>
        </w:rPr>
      </w:pPr>
      <w:r>
        <w:rPr>
          <w:rFonts w:hint="eastAsia" w:ascii="宋体" w:hAnsi="宋体"/>
          <w:b/>
          <w:sz w:val="22"/>
        </w:rPr>
        <w:t>2.</w:t>
      </w:r>
      <w:r>
        <w:rPr>
          <w:rFonts w:hint="eastAsia" w:ascii="宋体" w:hAnsi="宋体"/>
          <w:sz w:val="22"/>
        </w:rPr>
        <w:t>使用说明书、质量检验证明书、随配附件和工具以及清单一并附于货物内。</w:t>
      </w:r>
    </w:p>
    <w:p>
      <w:pPr>
        <w:adjustRightInd w:val="0"/>
        <w:snapToGrid w:val="0"/>
        <w:spacing w:line="360" w:lineRule="exact"/>
        <w:ind w:firstLine="440" w:firstLineChars="200"/>
        <w:rPr>
          <w:rFonts w:ascii="宋体" w:hAnsi="宋体"/>
          <w:sz w:val="22"/>
        </w:rPr>
      </w:pPr>
      <w:r>
        <w:rPr>
          <w:rFonts w:hint="eastAsia" w:ascii="宋体" w:hAnsi="宋体"/>
          <w:b/>
          <w:sz w:val="22"/>
        </w:rPr>
        <w:t xml:space="preserve">3. </w:t>
      </w:r>
      <w:r>
        <w:rPr>
          <w:rFonts w:hint="eastAsia" w:ascii="宋体" w:hAnsi="宋体"/>
          <w:sz w:val="22"/>
        </w:rPr>
        <w:t>乙方在货物发运手续办理完毕后24小时内必须书面通知甲方，以便甲方准备接货。</w:t>
      </w:r>
    </w:p>
    <w:p>
      <w:pPr>
        <w:adjustRightInd w:val="0"/>
        <w:snapToGrid w:val="0"/>
        <w:spacing w:line="360" w:lineRule="exact"/>
        <w:ind w:firstLine="440" w:firstLineChars="200"/>
        <w:rPr>
          <w:rFonts w:ascii="宋体" w:hAnsi="宋体"/>
          <w:sz w:val="22"/>
        </w:rPr>
      </w:pPr>
      <w:r>
        <w:rPr>
          <w:rFonts w:hint="eastAsia" w:ascii="宋体" w:hAnsi="宋体"/>
          <w:b/>
          <w:sz w:val="22"/>
        </w:rPr>
        <w:t>4.</w:t>
      </w:r>
      <w:r>
        <w:rPr>
          <w:rFonts w:hint="eastAsia" w:ascii="宋体" w:hAnsi="宋体"/>
          <w:sz w:val="22"/>
        </w:rPr>
        <w:t>货物在本合同规定的交货地点交付甲方前发生的一切风险包括货物运输风险均由乙方负责。</w:t>
      </w:r>
    </w:p>
    <w:p>
      <w:pPr>
        <w:adjustRightInd w:val="0"/>
        <w:snapToGrid w:val="0"/>
        <w:spacing w:line="360" w:lineRule="exact"/>
        <w:ind w:firstLine="440" w:firstLineChars="200"/>
        <w:rPr>
          <w:rFonts w:ascii="宋体" w:hAnsi="宋体"/>
          <w:sz w:val="22"/>
        </w:rPr>
      </w:pPr>
      <w:r>
        <w:rPr>
          <w:rFonts w:hint="eastAsia" w:ascii="宋体" w:hAnsi="宋体"/>
          <w:b/>
          <w:sz w:val="22"/>
        </w:rPr>
        <w:t>5.</w:t>
      </w:r>
      <w:r>
        <w:rPr>
          <w:rFonts w:hint="eastAsia" w:ascii="宋体" w:hAnsi="宋体"/>
          <w:sz w:val="22"/>
        </w:rPr>
        <w:t>货物在规定的交付期限内由乙方送达甲方指定的交货地点并经甲方签收后视为交付，乙方同时必须在货物到达的当天立即通知甲方货物已送达。</w:t>
      </w:r>
    </w:p>
    <w:p>
      <w:pPr>
        <w:adjustRightInd w:val="0"/>
        <w:snapToGrid w:val="0"/>
        <w:spacing w:line="360" w:lineRule="exact"/>
        <w:ind w:firstLine="440" w:firstLineChars="200"/>
        <w:outlineLvl w:val="0"/>
        <w:rPr>
          <w:rFonts w:ascii="宋体" w:hAnsi="宋体"/>
          <w:b/>
          <w:sz w:val="22"/>
        </w:rPr>
      </w:pPr>
      <w:r>
        <w:rPr>
          <w:rFonts w:hint="eastAsia" w:ascii="宋体" w:hAnsi="宋体"/>
          <w:b/>
          <w:sz w:val="22"/>
        </w:rPr>
        <w:t>八、供货期、交货方式及交货地点</w:t>
      </w:r>
    </w:p>
    <w:p>
      <w:pPr>
        <w:adjustRightInd w:val="0"/>
        <w:snapToGrid w:val="0"/>
        <w:spacing w:line="360" w:lineRule="exact"/>
        <w:ind w:firstLine="440" w:firstLineChars="200"/>
        <w:rPr>
          <w:rFonts w:ascii="宋体" w:hAnsi="宋体"/>
          <w:sz w:val="22"/>
        </w:rPr>
      </w:pPr>
      <w:r>
        <w:rPr>
          <w:rFonts w:hint="eastAsia" w:ascii="宋体" w:hAnsi="宋体"/>
          <w:sz w:val="22"/>
        </w:rPr>
        <w:t>1、要求乙方于完成全部安装并满足设计效果图所示式样。</w:t>
      </w:r>
    </w:p>
    <w:p>
      <w:pPr>
        <w:adjustRightInd w:val="0"/>
        <w:snapToGrid w:val="0"/>
        <w:spacing w:line="360" w:lineRule="exact"/>
        <w:ind w:firstLine="440" w:firstLineChars="200"/>
        <w:rPr>
          <w:rFonts w:ascii="宋体" w:hAnsi="宋体"/>
          <w:sz w:val="22"/>
        </w:rPr>
      </w:pPr>
      <w:r>
        <w:rPr>
          <w:rFonts w:hint="eastAsia" w:ascii="宋体" w:hAnsi="宋体"/>
          <w:sz w:val="22"/>
        </w:rPr>
        <w:t>2、乙方于合同签订后15个工作日内完成设计详图并确认。</w:t>
      </w:r>
    </w:p>
    <w:p>
      <w:pPr>
        <w:adjustRightInd w:val="0"/>
        <w:snapToGrid w:val="0"/>
        <w:spacing w:line="360" w:lineRule="exact"/>
        <w:ind w:firstLine="440" w:firstLineChars="200"/>
        <w:rPr>
          <w:rFonts w:ascii="宋体" w:hAnsi="宋体"/>
          <w:sz w:val="22"/>
        </w:rPr>
      </w:pPr>
      <w:r>
        <w:rPr>
          <w:rFonts w:hint="eastAsia" w:ascii="宋体" w:hAnsi="宋体"/>
          <w:sz w:val="22"/>
        </w:rPr>
        <w:t>3、除甲方原因或不可抗力引起的工期延误外，其余一律不予顺延。</w:t>
      </w:r>
    </w:p>
    <w:p>
      <w:pPr>
        <w:adjustRightInd w:val="0"/>
        <w:snapToGrid w:val="0"/>
        <w:spacing w:line="360" w:lineRule="exact"/>
        <w:ind w:firstLine="440" w:firstLineChars="200"/>
        <w:rPr>
          <w:rFonts w:ascii="宋体" w:hAnsi="宋体"/>
          <w:sz w:val="22"/>
        </w:rPr>
      </w:pPr>
      <w:r>
        <w:rPr>
          <w:rFonts w:hint="eastAsia" w:ascii="宋体" w:hAnsi="宋体"/>
          <w:b/>
          <w:sz w:val="22"/>
        </w:rPr>
        <w:t>4.</w:t>
      </w:r>
      <w:r>
        <w:rPr>
          <w:rFonts w:hint="eastAsia" w:ascii="宋体" w:hAnsi="宋体"/>
          <w:sz w:val="22"/>
        </w:rPr>
        <w:t>全部安装完毕,设备设施到位：合同签订后90日历天内</w:t>
      </w:r>
    </w:p>
    <w:p>
      <w:pPr>
        <w:adjustRightInd w:val="0"/>
        <w:snapToGrid w:val="0"/>
        <w:spacing w:line="360" w:lineRule="exact"/>
        <w:ind w:firstLine="440" w:firstLineChars="200"/>
        <w:rPr>
          <w:rFonts w:ascii="宋体" w:hAnsi="宋体"/>
          <w:sz w:val="22"/>
        </w:rPr>
      </w:pPr>
      <w:r>
        <w:rPr>
          <w:rFonts w:hint="eastAsia" w:ascii="宋体" w:hAnsi="宋体"/>
          <w:b/>
          <w:sz w:val="22"/>
        </w:rPr>
        <w:t>5.</w:t>
      </w:r>
      <w:r>
        <w:rPr>
          <w:rFonts w:hint="eastAsia" w:ascii="宋体" w:hAnsi="宋体"/>
          <w:sz w:val="22"/>
        </w:rPr>
        <w:t>交货方式：乙方送货上门</w:t>
      </w:r>
    </w:p>
    <w:p>
      <w:pPr>
        <w:adjustRightInd w:val="0"/>
        <w:snapToGrid w:val="0"/>
        <w:spacing w:line="360" w:lineRule="exact"/>
        <w:ind w:firstLine="440" w:firstLineChars="200"/>
        <w:rPr>
          <w:rFonts w:ascii="宋体" w:hAnsi="宋体"/>
          <w:sz w:val="22"/>
        </w:rPr>
      </w:pPr>
      <w:r>
        <w:rPr>
          <w:rFonts w:hint="eastAsia" w:ascii="宋体" w:hAnsi="宋体"/>
          <w:b/>
          <w:sz w:val="22"/>
        </w:rPr>
        <w:t>6.</w:t>
      </w:r>
      <w:r>
        <w:rPr>
          <w:rFonts w:hint="eastAsia" w:ascii="宋体" w:hAnsi="宋体"/>
          <w:sz w:val="22"/>
        </w:rPr>
        <w:t>交货地点：杭州萧山国际机场内</w:t>
      </w:r>
    </w:p>
    <w:p>
      <w:pPr>
        <w:adjustRightInd w:val="0"/>
        <w:snapToGrid w:val="0"/>
        <w:spacing w:line="360" w:lineRule="exact"/>
        <w:ind w:firstLine="440" w:firstLineChars="200"/>
        <w:outlineLvl w:val="0"/>
        <w:rPr>
          <w:rFonts w:ascii="宋体" w:hAnsi="宋体"/>
          <w:b/>
          <w:sz w:val="22"/>
        </w:rPr>
      </w:pPr>
      <w:bookmarkStart w:id="113" w:name="_Toc422638515"/>
      <w:r>
        <w:rPr>
          <w:rFonts w:hint="eastAsia" w:ascii="宋体" w:hAnsi="宋体"/>
          <w:b/>
          <w:sz w:val="22"/>
        </w:rPr>
        <w:t>九、安装、调试及验收</w:t>
      </w:r>
      <w:bookmarkEnd w:id="113"/>
    </w:p>
    <w:p>
      <w:pPr>
        <w:adjustRightInd w:val="0"/>
        <w:snapToGrid w:val="0"/>
        <w:spacing w:line="360" w:lineRule="exact"/>
        <w:ind w:firstLine="440" w:firstLineChars="200"/>
        <w:rPr>
          <w:rFonts w:ascii="宋体" w:hAnsi="宋体"/>
          <w:sz w:val="22"/>
        </w:rPr>
      </w:pPr>
      <w:r>
        <w:rPr>
          <w:rFonts w:hint="eastAsia" w:ascii="宋体" w:hAnsi="宋体"/>
          <w:b/>
          <w:sz w:val="22"/>
        </w:rPr>
        <w:t>1.</w:t>
      </w:r>
      <w:r>
        <w:rPr>
          <w:rFonts w:hint="eastAsia" w:ascii="宋体" w:hAnsi="宋体"/>
          <w:sz w:val="22"/>
        </w:rPr>
        <w:t>甲方对乙方提交的货物依据甲方要求和国家有关质量标准进行现场初步验收，外观、说明书符合甲方要求的，给予签收，初步验收不合格的不予签收。乙方在甲方初步验收完毕后，负责在【七】日内完成现场安装、调试，确保设备正常运行。安装完毕由乙方提交甲方验收，双方代表应在通过验收之日签署安装验收报告，但此证书不能免除乙方在本合同项下应当承担的质量保证责任以及售后服务责任。</w:t>
      </w:r>
    </w:p>
    <w:p>
      <w:pPr>
        <w:adjustRightInd w:val="0"/>
        <w:snapToGrid w:val="0"/>
        <w:spacing w:line="360" w:lineRule="exact"/>
        <w:ind w:firstLine="440" w:firstLineChars="200"/>
        <w:rPr>
          <w:rFonts w:ascii="宋体" w:hAnsi="宋体"/>
          <w:sz w:val="22"/>
        </w:rPr>
      </w:pPr>
      <w:r>
        <w:rPr>
          <w:rFonts w:hint="eastAsia" w:ascii="宋体" w:hAnsi="宋体"/>
          <w:b/>
          <w:sz w:val="22"/>
        </w:rPr>
        <w:t xml:space="preserve">2. </w:t>
      </w:r>
      <w:r>
        <w:rPr>
          <w:rFonts w:hint="eastAsia" w:ascii="宋体" w:hAnsi="宋体"/>
          <w:sz w:val="22"/>
        </w:rPr>
        <w:t>乙方交货前应对产品作出全面检查和对验收文件进行整理，并列出清单，作为甲方收货验收和使用的技术条件依据，乙方检验的结果应随货物交甲方。</w:t>
      </w:r>
    </w:p>
    <w:p>
      <w:pPr>
        <w:adjustRightInd w:val="0"/>
        <w:snapToGrid w:val="0"/>
        <w:spacing w:line="360" w:lineRule="exact"/>
        <w:ind w:firstLine="440" w:firstLineChars="200"/>
        <w:outlineLvl w:val="0"/>
        <w:rPr>
          <w:rFonts w:ascii="宋体" w:hAnsi="宋体"/>
          <w:sz w:val="22"/>
        </w:rPr>
      </w:pPr>
      <w:r>
        <w:rPr>
          <w:rFonts w:hint="eastAsia" w:ascii="宋体" w:hAnsi="宋体"/>
          <w:sz w:val="22"/>
        </w:rPr>
        <w:t>3、乙方进行移位改设应由专业人员进行，符合航站楼规范，保持现场环境，杜绝因卫生、噪音影响航站楼正常运行。</w:t>
      </w:r>
    </w:p>
    <w:p>
      <w:pPr>
        <w:adjustRightInd w:val="0"/>
        <w:snapToGrid w:val="0"/>
        <w:spacing w:line="360" w:lineRule="exact"/>
        <w:ind w:firstLine="440" w:firstLineChars="200"/>
        <w:outlineLvl w:val="0"/>
        <w:rPr>
          <w:rFonts w:ascii="宋体" w:hAnsi="宋体"/>
          <w:sz w:val="22"/>
        </w:rPr>
      </w:pPr>
      <w:r>
        <w:rPr>
          <w:rFonts w:hint="eastAsia" w:ascii="宋体" w:hAnsi="宋体"/>
          <w:sz w:val="22"/>
        </w:rPr>
        <w:t>乙方应保持现场环境，即时清运垃圾，按规定路线将废料及时清运出航站楼，并负责废料的倾倒及其相应费用。</w:t>
      </w:r>
    </w:p>
    <w:p>
      <w:pPr>
        <w:adjustRightInd w:val="0"/>
        <w:snapToGrid w:val="0"/>
        <w:spacing w:line="360" w:lineRule="exact"/>
        <w:ind w:firstLine="440" w:firstLineChars="200"/>
        <w:outlineLvl w:val="0"/>
        <w:rPr>
          <w:rFonts w:ascii="宋体" w:hAnsi="宋体"/>
          <w:sz w:val="22"/>
        </w:rPr>
      </w:pPr>
      <w:r>
        <w:rPr>
          <w:rFonts w:hint="eastAsia" w:ascii="宋体" w:hAnsi="宋体"/>
          <w:sz w:val="22"/>
        </w:rPr>
        <w:t>乙方杜绝造成航站楼设施设备损坏、停水停电等人为事故，如造成机场损失的将承担赔偿直至追究法律责任。</w:t>
      </w:r>
    </w:p>
    <w:p>
      <w:pPr>
        <w:adjustRightInd w:val="0"/>
        <w:snapToGrid w:val="0"/>
        <w:spacing w:line="360" w:lineRule="exact"/>
        <w:ind w:firstLine="550" w:firstLineChars="250"/>
        <w:outlineLvl w:val="0"/>
        <w:rPr>
          <w:rFonts w:ascii="宋体" w:hAnsi="宋体"/>
          <w:sz w:val="22"/>
        </w:rPr>
      </w:pPr>
      <w:r>
        <w:rPr>
          <w:rFonts w:hint="eastAsia" w:ascii="宋体" w:hAnsi="宋体"/>
          <w:sz w:val="22"/>
        </w:rPr>
        <w:t>乙方新柜台区域建造应以成品拼接为主，严禁破坏区域内地板、墙面、柱子等，不得在地面进行钻孔施工，柜台具备可拆除搬迁功能，同时需满足柜台使用的稳固性。</w:t>
      </w:r>
    </w:p>
    <w:p>
      <w:pPr>
        <w:adjustRightInd w:val="0"/>
        <w:snapToGrid w:val="0"/>
        <w:spacing w:line="360" w:lineRule="exact"/>
        <w:ind w:firstLine="440" w:firstLineChars="200"/>
        <w:outlineLvl w:val="0"/>
        <w:rPr>
          <w:rFonts w:ascii="宋体" w:hAnsi="宋体"/>
          <w:sz w:val="22"/>
        </w:rPr>
      </w:pPr>
      <w:r>
        <w:rPr>
          <w:rFonts w:hint="eastAsia" w:ascii="宋体" w:hAnsi="宋体"/>
          <w:sz w:val="22"/>
        </w:rPr>
        <w:t>乙方原柜台拆除后，应对该区域地板进行整体复原，如有施工钻孔，需进行无色差填补，不得出现线路裸露、地板不平整、破损等情况。</w:t>
      </w:r>
    </w:p>
    <w:p>
      <w:pPr>
        <w:adjustRightInd w:val="0"/>
        <w:snapToGrid w:val="0"/>
        <w:spacing w:line="360" w:lineRule="exact"/>
        <w:ind w:firstLine="440" w:firstLineChars="200"/>
        <w:rPr>
          <w:rFonts w:ascii="宋体" w:hAnsi="宋体"/>
          <w:sz w:val="22"/>
        </w:rPr>
      </w:pPr>
      <w:r>
        <w:rPr>
          <w:rFonts w:hint="eastAsia" w:ascii="宋体" w:hAnsi="宋体"/>
          <w:b/>
          <w:sz w:val="22"/>
        </w:rPr>
        <w:t>4.</w:t>
      </w:r>
      <w:r>
        <w:rPr>
          <w:rFonts w:hint="eastAsia" w:ascii="宋体" w:hAnsi="宋体"/>
          <w:sz w:val="22"/>
        </w:rPr>
        <w:t>甲方在验收后如发现产品的品种、型号、规格、数量或质量不符合合同约定或相关质量要求，甲方应在验收之日起【七】日内以书面或电话形式向乙方提出异议；乙方应当在收到甲方异议之日起【三】日内作出答复或与甲方协商处理，或在【三】日内直接按甲方要求进行无偿换货、补发短缺部分或降低货价，并承担由此产生的相关费用。在上述异议期及产品质量问题的处理期间，甲方有权中止本合同项下的付款义务。</w:t>
      </w:r>
    </w:p>
    <w:p>
      <w:pPr>
        <w:adjustRightInd w:val="0"/>
        <w:snapToGrid w:val="0"/>
        <w:spacing w:line="360" w:lineRule="exact"/>
        <w:ind w:firstLine="440" w:firstLineChars="200"/>
        <w:rPr>
          <w:rFonts w:ascii="宋体" w:hAnsi="宋体"/>
          <w:sz w:val="22"/>
        </w:rPr>
      </w:pPr>
      <w:r>
        <w:rPr>
          <w:rFonts w:hint="eastAsia" w:ascii="宋体" w:hAnsi="宋体"/>
          <w:b/>
          <w:sz w:val="22"/>
        </w:rPr>
        <w:t>5.</w:t>
      </w:r>
      <w:r>
        <w:rPr>
          <w:rFonts w:hint="eastAsia" w:ascii="宋体" w:hAnsi="宋体"/>
          <w:sz w:val="22"/>
        </w:rPr>
        <w:t>如甲方未按上述规定期限提出质量异议的，视为乙方所交付的产品符合合同规定；乙方未按上述规定期限作出答复或负责处理的，则视为乙方同意甲方提出的异议和处理意见。</w:t>
      </w:r>
    </w:p>
    <w:p>
      <w:pPr>
        <w:adjustRightInd w:val="0"/>
        <w:snapToGrid w:val="0"/>
        <w:spacing w:line="360" w:lineRule="exact"/>
        <w:ind w:firstLine="440" w:firstLineChars="200"/>
        <w:rPr>
          <w:rFonts w:ascii="宋体" w:hAnsi="宋体"/>
          <w:sz w:val="22"/>
        </w:rPr>
      </w:pPr>
    </w:p>
    <w:p>
      <w:pPr>
        <w:adjustRightInd w:val="0"/>
        <w:snapToGrid w:val="0"/>
        <w:spacing w:line="360" w:lineRule="exact"/>
        <w:ind w:firstLine="440" w:firstLineChars="200"/>
        <w:outlineLvl w:val="0"/>
        <w:rPr>
          <w:rFonts w:ascii="宋体" w:hAnsi="宋体"/>
          <w:b/>
          <w:sz w:val="22"/>
        </w:rPr>
      </w:pPr>
      <w:r>
        <w:rPr>
          <w:rFonts w:hint="eastAsia" w:ascii="宋体" w:hAnsi="宋体"/>
          <w:b/>
          <w:sz w:val="22"/>
        </w:rPr>
        <w:t>十、货款支付</w:t>
      </w:r>
    </w:p>
    <w:p>
      <w:pPr>
        <w:pStyle w:val="49"/>
        <w:snapToGrid w:val="0"/>
        <w:spacing w:before="0" w:beforeAutospacing="0" w:after="0" w:afterAutospacing="0" w:line="360" w:lineRule="exact"/>
        <w:ind w:firstLine="442" w:firstLineChars="200"/>
        <w:jc w:val="both"/>
        <w:rPr>
          <w:rFonts w:ascii="宋体" w:hAnsi="宋体" w:eastAsia="宋体"/>
          <w:color w:val="auto"/>
          <w:sz w:val="22"/>
          <w:szCs w:val="22"/>
        </w:rPr>
      </w:pPr>
      <w:r>
        <w:rPr>
          <w:rFonts w:hint="eastAsia" w:ascii="宋体" w:hAnsi="宋体" w:eastAsia="宋体"/>
          <w:b/>
          <w:color w:val="auto"/>
          <w:sz w:val="22"/>
          <w:szCs w:val="22"/>
        </w:rPr>
        <w:t>1</w:t>
      </w:r>
      <w:r>
        <w:rPr>
          <w:rFonts w:hint="eastAsia" w:ascii="宋体" w:hAnsi="宋体" w:eastAsia="宋体"/>
          <w:color w:val="auto"/>
          <w:sz w:val="22"/>
          <w:szCs w:val="22"/>
        </w:rPr>
        <w:t>.经甲方验收合格后【15】个工作日内，支付至合同总金额的95%.</w:t>
      </w:r>
    </w:p>
    <w:p>
      <w:pPr>
        <w:pStyle w:val="49"/>
        <w:snapToGrid w:val="0"/>
        <w:spacing w:before="0" w:beforeAutospacing="0" w:after="0" w:afterAutospacing="0" w:line="360" w:lineRule="exact"/>
        <w:ind w:firstLine="442" w:firstLineChars="200"/>
        <w:jc w:val="both"/>
        <w:rPr>
          <w:rFonts w:ascii="宋体" w:hAnsi="宋体" w:eastAsia="宋体"/>
          <w:color w:val="auto"/>
          <w:sz w:val="22"/>
          <w:szCs w:val="22"/>
        </w:rPr>
      </w:pPr>
      <w:r>
        <w:rPr>
          <w:rFonts w:hint="eastAsia" w:ascii="宋体" w:hAnsi="宋体" w:eastAsia="宋体"/>
          <w:b/>
          <w:color w:val="auto"/>
          <w:sz w:val="22"/>
          <w:szCs w:val="22"/>
        </w:rPr>
        <w:t>2.</w:t>
      </w:r>
      <w:r>
        <w:rPr>
          <w:rFonts w:hint="eastAsia" w:ascii="宋体" w:hAnsi="宋体" w:eastAsia="宋体"/>
          <w:color w:val="auto"/>
          <w:sz w:val="22"/>
          <w:szCs w:val="22"/>
        </w:rPr>
        <w:t>质量保证金为合同总价5%，于质量保证期满后【十五】工作日内一并无息支付。</w:t>
      </w:r>
    </w:p>
    <w:p>
      <w:pPr>
        <w:pStyle w:val="49"/>
        <w:snapToGrid w:val="0"/>
        <w:spacing w:before="0" w:beforeAutospacing="0" w:after="0" w:afterAutospacing="0" w:line="360" w:lineRule="exact"/>
        <w:ind w:firstLine="442" w:firstLineChars="200"/>
        <w:jc w:val="both"/>
        <w:rPr>
          <w:rFonts w:ascii="宋体" w:hAnsi="宋体" w:eastAsia="宋体"/>
          <w:color w:val="auto"/>
          <w:sz w:val="22"/>
          <w:szCs w:val="22"/>
        </w:rPr>
      </w:pPr>
      <w:r>
        <w:rPr>
          <w:rFonts w:hint="eastAsia" w:ascii="宋体" w:hAnsi="宋体" w:eastAsia="宋体"/>
          <w:b/>
          <w:color w:val="auto"/>
          <w:sz w:val="22"/>
          <w:szCs w:val="22"/>
        </w:rPr>
        <w:t>3.</w:t>
      </w:r>
      <w:r>
        <w:rPr>
          <w:rFonts w:hint="eastAsia" w:ascii="宋体" w:hAnsi="宋体" w:eastAsia="宋体"/>
          <w:color w:val="auto"/>
          <w:sz w:val="22"/>
          <w:szCs w:val="22"/>
        </w:rPr>
        <w:t>乙方在甲方每次付款前开具正式增值税发票。</w:t>
      </w:r>
    </w:p>
    <w:p>
      <w:pPr>
        <w:pStyle w:val="49"/>
        <w:snapToGrid w:val="0"/>
        <w:spacing w:before="0" w:beforeAutospacing="0" w:after="0" w:afterAutospacing="0" w:line="360" w:lineRule="exact"/>
        <w:ind w:firstLine="442" w:firstLineChars="200"/>
        <w:jc w:val="both"/>
        <w:rPr>
          <w:rFonts w:ascii="宋体" w:hAnsi="宋体" w:eastAsia="宋体"/>
          <w:color w:val="auto"/>
          <w:sz w:val="22"/>
          <w:szCs w:val="22"/>
        </w:rPr>
      </w:pPr>
      <w:r>
        <w:rPr>
          <w:rFonts w:hint="eastAsia" w:ascii="宋体" w:hAnsi="宋体" w:eastAsia="宋体"/>
          <w:b/>
          <w:color w:val="auto"/>
          <w:sz w:val="22"/>
          <w:szCs w:val="22"/>
        </w:rPr>
        <w:t>4.</w:t>
      </w:r>
      <w:r>
        <w:rPr>
          <w:rFonts w:hint="eastAsia" w:ascii="宋体" w:hAnsi="宋体" w:eastAsia="宋体"/>
          <w:color w:val="auto"/>
          <w:sz w:val="22"/>
          <w:szCs w:val="22"/>
        </w:rPr>
        <w:t>履约保证金</w:t>
      </w:r>
    </w:p>
    <w:p>
      <w:pPr>
        <w:pStyle w:val="49"/>
        <w:snapToGrid w:val="0"/>
        <w:spacing w:before="0" w:beforeAutospacing="0" w:after="0" w:afterAutospacing="0" w:line="360" w:lineRule="exact"/>
        <w:ind w:firstLine="442" w:firstLineChars="200"/>
        <w:jc w:val="both"/>
        <w:rPr>
          <w:rFonts w:ascii="宋体" w:hAnsi="宋体" w:eastAsia="宋体"/>
          <w:color w:val="auto"/>
          <w:sz w:val="22"/>
          <w:szCs w:val="22"/>
        </w:rPr>
      </w:pPr>
      <w:r>
        <w:rPr>
          <w:rFonts w:hint="eastAsia" w:ascii="宋体" w:hAnsi="宋体" w:eastAsia="宋体"/>
          <w:b/>
          <w:color w:val="auto"/>
          <w:sz w:val="22"/>
          <w:szCs w:val="22"/>
        </w:rPr>
        <w:t>4.1</w:t>
      </w:r>
      <w:r>
        <w:rPr>
          <w:rFonts w:hint="eastAsia" w:ascii="宋体" w:hAnsi="宋体" w:eastAsia="宋体"/>
          <w:color w:val="auto"/>
          <w:sz w:val="22"/>
          <w:szCs w:val="22"/>
        </w:rPr>
        <w:t xml:space="preserve"> 乙方应在收到甲方中标通知书后10日内，向甲方支付合同价的10%作为履约保证金。如果逾期未缴纳，视为乙方违约，甲方有权不予签订合同，并有权追究乙方的违约责任。</w:t>
      </w:r>
    </w:p>
    <w:p>
      <w:pPr>
        <w:pStyle w:val="49"/>
        <w:snapToGrid w:val="0"/>
        <w:spacing w:before="0" w:beforeAutospacing="0" w:after="0" w:afterAutospacing="0" w:line="360" w:lineRule="exact"/>
        <w:ind w:firstLine="442" w:firstLineChars="200"/>
        <w:jc w:val="both"/>
        <w:rPr>
          <w:rFonts w:ascii="宋体" w:hAnsi="宋体" w:eastAsia="宋体"/>
          <w:color w:val="auto"/>
          <w:sz w:val="22"/>
          <w:szCs w:val="22"/>
        </w:rPr>
      </w:pPr>
      <w:r>
        <w:rPr>
          <w:rFonts w:hint="eastAsia" w:ascii="宋体" w:hAnsi="宋体" w:eastAsia="宋体"/>
          <w:b/>
          <w:color w:val="auto"/>
          <w:sz w:val="22"/>
          <w:szCs w:val="22"/>
        </w:rPr>
        <w:t>4.2</w:t>
      </w:r>
      <w:r>
        <w:rPr>
          <w:rFonts w:hint="eastAsia" w:ascii="宋体" w:hAnsi="宋体" w:eastAsia="宋体"/>
          <w:color w:val="auto"/>
          <w:sz w:val="22"/>
          <w:szCs w:val="22"/>
        </w:rPr>
        <w:t xml:space="preserve"> 在合同履行期间，如果乙方存在违约情形，甲方有权扣除相应款项，并书面通知乙方。乙方自收到书面通知之日起５日内提出异议并补足履约保证金，如果逾期未提出，视为同意。如果乙方不及时补足履约保证金，经甲方通知后３日内，仍未补足，视为乙方违约，甲方有权解除合同，并要求乙方承担相应的违约责任。待合同约定服务内容全部履行并取得甲方认可，乙方不存在任何违约情形，甲方在10日内无息返还履约保证金。</w:t>
      </w:r>
    </w:p>
    <w:p>
      <w:pPr>
        <w:adjustRightInd w:val="0"/>
        <w:snapToGrid w:val="0"/>
        <w:spacing w:line="360" w:lineRule="exact"/>
        <w:ind w:firstLine="440" w:firstLineChars="200"/>
        <w:outlineLvl w:val="0"/>
        <w:rPr>
          <w:rFonts w:ascii="宋体" w:hAnsi="宋体"/>
          <w:b/>
          <w:sz w:val="22"/>
        </w:rPr>
      </w:pPr>
      <w:bookmarkStart w:id="114" w:name="_Toc422638517"/>
      <w:r>
        <w:rPr>
          <w:rFonts w:hint="eastAsia" w:ascii="宋体" w:hAnsi="宋体"/>
          <w:b/>
          <w:sz w:val="22"/>
        </w:rPr>
        <w:t>十一、税费</w:t>
      </w:r>
      <w:bookmarkEnd w:id="114"/>
    </w:p>
    <w:p>
      <w:pPr>
        <w:adjustRightInd w:val="0"/>
        <w:snapToGrid w:val="0"/>
        <w:spacing w:line="360" w:lineRule="exact"/>
        <w:ind w:firstLine="440" w:firstLineChars="200"/>
        <w:rPr>
          <w:rFonts w:ascii="宋体" w:hAnsi="宋体"/>
          <w:sz w:val="22"/>
        </w:rPr>
      </w:pPr>
      <w:r>
        <w:rPr>
          <w:rFonts w:hint="eastAsia" w:ascii="宋体" w:hAnsi="宋体"/>
          <w:sz w:val="22"/>
        </w:rPr>
        <w:t>本合同执行中相关的一切税费均由乙方负担</w:t>
      </w:r>
    </w:p>
    <w:p>
      <w:pPr>
        <w:adjustRightInd w:val="0"/>
        <w:snapToGrid w:val="0"/>
        <w:spacing w:line="360" w:lineRule="exact"/>
        <w:ind w:firstLine="440" w:firstLineChars="200"/>
        <w:outlineLvl w:val="0"/>
        <w:rPr>
          <w:rFonts w:ascii="宋体" w:hAnsi="宋体"/>
          <w:b/>
          <w:sz w:val="22"/>
        </w:rPr>
      </w:pPr>
      <w:r>
        <w:rPr>
          <w:rFonts w:hint="eastAsia" w:ascii="宋体" w:hAnsi="宋体"/>
          <w:b/>
          <w:sz w:val="22"/>
        </w:rPr>
        <w:t>十二、质量保证及售后服务</w:t>
      </w:r>
    </w:p>
    <w:p>
      <w:pPr>
        <w:adjustRightInd w:val="0"/>
        <w:snapToGrid w:val="0"/>
        <w:spacing w:line="360" w:lineRule="exact"/>
        <w:ind w:firstLine="440" w:firstLineChars="200"/>
        <w:rPr>
          <w:rFonts w:ascii="宋体" w:hAnsi="宋体"/>
          <w:sz w:val="22"/>
        </w:rPr>
      </w:pPr>
      <w:r>
        <w:rPr>
          <w:rFonts w:hint="eastAsia" w:ascii="宋体" w:hAnsi="宋体"/>
          <w:b/>
          <w:sz w:val="22"/>
        </w:rPr>
        <w:t xml:space="preserve">1. </w:t>
      </w:r>
      <w:r>
        <w:rPr>
          <w:rFonts w:hint="eastAsia" w:ascii="宋体" w:hAnsi="宋体"/>
          <w:sz w:val="22"/>
        </w:rPr>
        <w:t>乙方保证其所供应的产品符合相关产品质量标准，不存在任何质量瑕疵或因质量瑕疵而导致的安全隐患，且为未经使用的全新产品。</w:t>
      </w:r>
    </w:p>
    <w:p>
      <w:pPr>
        <w:adjustRightInd w:val="0"/>
        <w:snapToGrid w:val="0"/>
        <w:spacing w:line="360" w:lineRule="exact"/>
        <w:ind w:firstLine="440" w:firstLineChars="200"/>
        <w:rPr>
          <w:rFonts w:ascii="宋体" w:hAnsi="宋体"/>
          <w:sz w:val="22"/>
        </w:rPr>
      </w:pPr>
      <w:r>
        <w:rPr>
          <w:rFonts w:hint="eastAsia" w:ascii="宋体" w:hAnsi="宋体"/>
          <w:b/>
          <w:sz w:val="22"/>
        </w:rPr>
        <w:t>2.</w:t>
      </w:r>
      <w:r>
        <w:rPr>
          <w:rFonts w:hint="eastAsia" w:ascii="宋体" w:hAnsi="宋体"/>
          <w:sz w:val="22"/>
        </w:rPr>
        <w:t>乙方应为设备提供【两】年的免费保修期，时间为甲方验收并接受货物之日起计算/（注：如涉及安装调试，则）或乙方安装调试完成，甲方在安装验收报告上签字确认之日起算。</w:t>
      </w:r>
    </w:p>
    <w:p>
      <w:pPr>
        <w:snapToGrid w:val="0"/>
        <w:spacing w:line="360" w:lineRule="exact"/>
        <w:ind w:firstLine="440" w:firstLineChars="200"/>
        <w:rPr>
          <w:rFonts w:ascii="宋体" w:hAnsi="宋体"/>
          <w:sz w:val="22"/>
        </w:rPr>
      </w:pPr>
      <w:r>
        <w:rPr>
          <w:rFonts w:hint="eastAsia" w:ascii="宋体" w:hAnsi="宋体"/>
          <w:b/>
          <w:sz w:val="22"/>
        </w:rPr>
        <w:t>3．</w:t>
      </w:r>
      <w:r>
        <w:rPr>
          <w:rFonts w:hint="eastAsia" w:ascii="宋体" w:hAnsi="宋体"/>
          <w:sz w:val="22"/>
        </w:rPr>
        <w:t>保修期内由于非甲方原因发生的故障或损坏，乙方免费提供维修和备件直至设备性能、状态等达到正常标准，可以正常安全使用为止。如无法修复，乙方应负责免费更换或由甲方退还乙方所供货物，乙方退还甲方支付的合同款，同时应承担该货物的直接费用（运输、保险、检验、货款利息及银行手续费等）以及由此给甲方造成的损失。</w:t>
      </w:r>
    </w:p>
    <w:p>
      <w:pPr>
        <w:snapToGrid w:val="0"/>
        <w:spacing w:line="360" w:lineRule="exact"/>
        <w:ind w:firstLine="440" w:firstLineChars="200"/>
        <w:rPr>
          <w:rFonts w:ascii="宋体" w:hAnsi="宋体"/>
          <w:sz w:val="22"/>
        </w:rPr>
      </w:pPr>
      <w:r>
        <w:rPr>
          <w:rFonts w:hint="eastAsia" w:ascii="宋体" w:hAnsi="宋体"/>
          <w:b/>
          <w:sz w:val="22"/>
        </w:rPr>
        <w:t>4．</w:t>
      </w:r>
      <w:r>
        <w:rPr>
          <w:rFonts w:hint="eastAsia" w:ascii="宋体" w:hAnsi="宋体"/>
          <w:sz w:val="22"/>
        </w:rPr>
        <w:t>乙方提供24小时售后服务，在接到报修通知后，维修人员应在【二十四】小时内赶到杭州萧山国际机场，并连续进行维修，直到设备恢复正常。</w:t>
      </w:r>
      <w:r>
        <w:rPr>
          <w:rFonts w:hint="eastAsia" w:ascii="宋体" w:hAnsi="宋体" w:cs="楷体_GB2312"/>
          <w:kern w:val="0"/>
          <w:sz w:val="22"/>
          <w:lang w:val="zh-CN"/>
        </w:rPr>
        <w:t>修复部分的质保期自修复之日起重新开始计算。</w:t>
      </w:r>
    </w:p>
    <w:p>
      <w:pPr>
        <w:snapToGrid w:val="0"/>
        <w:spacing w:line="360" w:lineRule="exact"/>
        <w:ind w:firstLine="440" w:firstLineChars="200"/>
        <w:rPr>
          <w:rFonts w:ascii="宋体" w:hAnsi="宋体"/>
          <w:sz w:val="22"/>
        </w:rPr>
      </w:pPr>
      <w:r>
        <w:rPr>
          <w:rFonts w:hint="eastAsia" w:ascii="宋体" w:hAnsi="宋体"/>
          <w:b/>
          <w:sz w:val="22"/>
        </w:rPr>
        <w:t>5．</w:t>
      </w:r>
      <w:r>
        <w:rPr>
          <w:rFonts w:hint="eastAsia" w:ascii="宋体" w:hAnsi="宋体"/>
          <w:sz w:val="22"/>
        </w:rPr>
        <w:t>保修期结束的【十五】天前，乙方负责对设备进行一次全面的检修和维护，并由甲方验收认可。</w:t>
      </w:r>
    </w:p>
    <w:p>
      <w:pPr>
        <w:adjustRightInd w:val="0"/>
        <w:snapToGrid w:val="0"/>
        <w:spacing w:line="360" w:lineRule="exact"/>
        <w:ind w:firstLine="440" w:firstLineChars="200"/>
        <w:outlineLvl w:val="0"/>
        <w:rPr>
          <w:rFonts w:ascii="宋体" w:hAnsi="宋体"/>
          <w:sz w:val="22"/>
        </w:rPr>
      </w:pPr>
      <w:r>
        <w:rPr>
          <w:rFonts w:hint="eastAsia" w:ascii="宋体" w:hAnsi="宋体"/>
          <w:sz w:val="22"/>
        </w:rPr>
        <w:t>(10)乙方应在移交合同货物时向甲方提供使用货物的有关技术资料。参加工程竣工验收，竣工验收合格后，应按甲方要求及时办理竣工资料的移交。</w:t>
      </w:r>
    </w:p>
    <w:p>
      <w:pPr>
        <w:adjustRightInd w:val="0"/>
        <w:snapToGrid w:val="0"/>
        <w:spacing w:line="360" w:lineRule="exact"/>
        <w:ind w:firstLine="440" w:firstLineChars="200"/>
        <w:outlineLvl w:val="0"/>
        <w:rPr>
          <w:rFonts w:ascii="宋体" w:hAnsi="宋体"/>
          <w:sz w:val="22"/>
        </w:rPr>
      </w:pPr>
      <w:r>
        <w:rPr>
          <w:rFonts w:hint="eastAsia" w:ascii="宋体" w:hAnsi="宋体"/>
          <w:sz w:val="22"/>
        </w:rPr>
        <w:t>(11)没有甲方事先书面同意，乙方不得将由甲方提供的有关合同或任何合同条文、规格、计划、图纸、样品或资料提供给与履行本合同无关的任何其他人。即使向履行本合同有关的人员提供，也应注意保密并限于履行合同的必需范围。如因乙方或前述与履行本合同相关的人员违反本条规定的保密义务而导致甲方遭受损失的，则乙方应向甲方承担赔偿责任。</w:t>
      </w:r>
    </w:p>
    <w:p>
      <w:pPr>
        <w:adjustRightInd w:val="0"/>
        <w:snapToGrid w:val="0"/>
        <w:spacing w:line="360" w:lineRule="exact"/>
        <w:ind w:firstLine="440" w:firstLineChars="200"/>
        <w:outlineLvl w:val="0"/>
        <w:rPr>
          <w:rFonts w:ascii="宋体" w:hAnsi="宋体"/>
          <w:sz w:val="22"/>
        </w:rPr>
      </w:pPr>
      <w:r>
        <w:rPr>
          <w:rFonts w:hint="eastAsia" w:ascii="宋体" w:hAnsi="宋体"/>
          <w:sz w:val="22"/>
        </w:rPr>
        <w:t>3、质保期内的日常养护维保服务：</w:t>
      </w:r>
    </w:p>
    <w:p>
      <w:pPr>
        <w:adjustRightInd w:val="0"/>
        <w:snapToGrid w:val="0"/>
        <w:spacing w:line="360" w:lineRule="exact"/>
        <w:ind w:firstLine="440" w:firstLineChars="200"/>
        <w:outlineLvl w:val="0"/>
        <w:rPr>
          <w:rFonts w:ascii="宋体" w:hAnsi="宋体"/>
          <w:sz w:val="22"/>
        </w:rPr>
      </w:pPr>
      <w:r>
        <w:rPr>
          <w:rFonts w:hint="eastAsia" w:ascii="宋体" w:hAnsi="宋体"/>
          <w:sz w:val="22"/>
        </w:rPr>
        <w:t>(1) 乙方保证其所供应的产品符合相关产品质量标准，不存在任何质量瑕疵或因质量瑕疵而导致的安全隐患，且为未经使用的全新产品。</w:t>
      </w:r>
    </w:p>
    <w:p>
      <w:pPr>
        <w:adjustRightInd w:val="0"/>
        <w:snapToGrid w:val="0"/>
        <w:spacing w:line="360" w:lineRule="exact"/>
        <w:ind w:firstLine="440" w:firstLineChars="200"/>
        <w:outlineLvl w:val="0"/>
        <w:rPr>
          <w:rFonts w:ascii="宋体" w:hAnsi="宋体"/>
          <w:sz w:val="22"/>
        </w:rPr>
      </w:pPr>
      <w:r>
        <w:rPr>
          <w:rFonts w:hint="eastAsia" w:ascii="宋体" w:hAnsi="宋体"/>
          <w:sz w:val="22"/>
        </w:rPr>
        <w:t>(2) 柜台主体及柜内所有设施设备的质量保修期以通过竣工验收之日起，免费保修期为年。</w:t>
      </w:r>
    </w:p>
    <w:p>
      <w:pPr>
        <w:adjustRightInd w:val="0"/>
        <w:snapToGrid w:val="0"/>
        <w:spacing w:line="360" w:lineRule="exact"/>
        <w:ind w:firstLine="440" w:firstLineChars="200"/>
        <w:outlineLvl w:val="0"/>
        <w:rPr>
          <w:rFonts w:ascii="宋体" w:hAnsi="宋体"/>
          <w:sz w:val="22"/>
        </w:rPr>
      </w:pPr>
      <w:r>
        <w:rPr>
          <w:rFonts w:hint="eastAsia" w:ascii="宋体" w:hAnsi="宋体"/>
          <w:sz w:val="22"/>
        </w:rPr>
        <w:t>(3) 乙方在质保期内，须对整体项目内所有设施设备提供日常维保服务，所需费用已包含于合同总价无需另行支付。</w:t>
      </w:r>
    </w:p>
    <w:p>
      <w:pPr>
        <w:adjustRightInd w:val="0"/>
        <w:snapToGrid w:val="0"/>
        <w:spacing w:line="360" w:lineRule="exact"/>
        <w:ind w:firstLine="440" w:firstLineChars="200"/>
        <w:outlineLvl w:val="0"/>
        <w:rPr>
          <w:rFonts w:ascii="宋体" w:hAnsi="宋体"/>
          <w:sz w:val="22"/>
        </w:rPr>
      </w:pPr>
      <w:r>
        <w:rPr>
          <w:rFonts w:hint="eastAsia" w:ascii="宋体" w:hAnsi="宋体"/>
          <w:sz w:val="22"/>
        </w:rPr>
        <w:t>(4) 保修期内由于非甲方原因发生的故障或损坏，乙方免费提供维修和备件直至设备性能、状态等达到正常标准，可以正常安全使用为止。如无法修复，乙方应负责免费更换或由甲方退还乙方所供货物，乙方退还甲方支付的合同款，同时应承担该货物的直接费用（运输、保险、检验、货款利息及银行手续费等）以及由此给甲方造成的损失。</w:t>
      </w:r>
    </w:p>
    <w:p>
      <w:pPr>
        <w:adjustRightInd w:val="0"/>
        <w:snapToGrid w:val="0"/>
        <w:spacing w:line="360" w:lineRule="exact"/>
        <w:ind w:firstLine="440" w:firstLineChars="200"/>
        <w:outlineLvl w:val="0"/>
        <w:rPr>
          <w:rFonts w:ascii="宋体" w:hAnsi="宋体"/>
          <w:sz w:val="22"/>
        </w:rPr>
      </w:pPr>
      <w:r>
        <w:rPr>
          <w:rFonts w:hint="eastAsia" w:ascii="宋体" w:hAnsi="宋体"/>
          <w:sz w:val="22"/>
        </w:rPr>
        <w:t>(5) 乙方提供24小时售后服务，在接到报修通知后，维修人员应在【二十四】小时内赶到杭州萧山国际机场，并连续进行维修，直到设备恢复正常。</w:t>
      </w:r>
    </w:p>
    <w:p>
      <w:pPr>
        <w:adjustRightInd w:val="0"/>
        <w:snapToGrid w:val="0"/>
        <w:spacing w:line="360" w:lineRule="exact"/>
        <w:ind w:firstLine="440" w:firstLineChars="200"/>
        <w:outlineLvl w:val="0"/>
        <w:rPr>
          <w:rFonts w:ascii="宋体" w:hAnsi="宋体"/>
          <w:b/>
          <w:sz w:val="22"/>
        </w:rPr>
      </w:pPr>
      <w:r>
        <w:rPr>
          <w:rFonts w:hint="eastAsia" w:ascii="宋体" w:hAnsi="宋体"/>
          <w:b/>
          <w:sz w:val="22"/>
        </w:rPr>
        <w:t>十三、违约责任</w:t>
      </w:r>
    </w:p>
    <w:p>
      <w:pPr>
        <w:adjustRightInd w:val="0"/>
        <w:snapToGrid w:val="0"/>
        <w:spacing w:line="360" w:lineRule="exact"/>
        <w:ind w:firstLine="440" w:firstLineChars="200"/>
        <w:rPr>
          <w:rFonts w:ascii="宋体" w:hAnsi="宋体"/>
          <w:sz w:val="22"/>
        </w:rPr>
      </w:pPr>
      <w:r>
        <w:rPr>
          <w:rFonts w:hint="eastAsia" w:ascii="宋体" w:hAnsi="宋体"/>
          <w:b/>
          <w:sz w:val="22"/>
        </w:rPr>
        <w:t>1.</w:t>
      </w:r>
      <w:r>
        <w:rPr>
          <w:rFonts w:hint="eastAsia" w:ascii="宋体" w:hAnsi="宋体"/>
          <w:sz w:val="22"/>
        </w:rPr>
        <w:t>甲方无正当理由拒收货物的，甲方向乙方偿付拒收货款总值的每日0.05%的违约金。</w:t>
      </w:r>
    </w:p>
    <w:p>
      <w:pPr>
        <w:adjustRightInd w:val="0"/>
        <w:snapToGrid w:val="0"/>
        <w:spacing w:line="360" w:lineRule="exact"/>
        <w:ind w:firstLine="440" w:firstLineChars="200"/>
        <w:rPr>
          <w:rFonts w:ascii="宋体" w:hAnsi="宋体"/>
          <w:sz w:val="22"/>
        </w:rPr>
      </w:pPr>
      <w:r>
        <w:rPr>
          <w:rFonts w:hint="eastAsia" w:ascii="宋体" w:hAnsi="宋体"/>
          <w:b/>
          <w:sz w:val="22"/>
        </w:rPr>
        <w:t>2.</w:t>
      </w:r>
      <w:r>
        <w:rPr>
          <w:rFonts w:hint="eastAsia" w:ascii="宋体" w:hAnsi="宋体"/>
          <w:sz w:val="22"/>
        </w:rPr>
        <w:t>甲方无故逾期验收和办理货款支付手续的,甲方应按逾期付款总额每日0.05%向乙方支付违约金。</w:t>
      </w:r>
    </w:p>
    <w:p>
      <w:pPr>
        <w:adjustRightInd w:val="0"/>
        <w:snapToGrid w:val="0"/>
        <w:spacing w:line="360" w:lineRule="exact"/>
        <w:ind w:firstLine="440" w:firstLineChars="200"/>
        <w:rPr>
          <w:rFonts w:ascii="宋体" w:hAnsi="宋体"/>
          <w:sz w:val="22"/>
        </w:rPr>
      </w:pPr>
      <w:r>
        <w:rPr>
          <w:rFonts w:hint="eastAsia" w:ascii="宋体" w:hAnsi="宋体"/>
          <w:b/>
          <w:sz w:val="22"/>
        </w:rPr>
        <w:t xml:space="preserve">3. </w:t>
      </w:r>
      <w:r>
        <w:rPr>
          <w:rFonts w:hint="eastAsia" w:ascii="宋体" w:hAnsi="宋体"/>
          <w:sz w:val="22"/>
        </w:rPr>
        <w:t>乙方逾期交付货物的未按甲方时间要求完成安装调试的，乙方应按合同总额每日0.6%向甲方支付违约金，由甲方从货款中扣除。逾期超过约定日期10个工作日的，甲方可解除本合同。乙方因逾期交货或因其他违约行为导致甲方解除合同的，乙方应向甲方支付合同总价5%的违约金，如造成甲方损失超过违约金的，超出部分由乙方继续承担赔偿责任。</w:t>
      </w:r>
    </w:p>
    <w:p>
      <w:pPr>
        <w:adjustRightInd w:val="0"/>
        <w:snapToGrid w:val="0"/>
        <w:spacing w:line="360" w:lineRule="exact"/>
        <w:ind w:firstLine="440" w:firstLineChars="200"/>
        <w:rPr>
          <w:rFonts w:ascii="宋体" w:hAnsi="宋体"/>
          <w:sz w:val="22"/>
        </w:rPr>
      </w:pPr>
      <w:r>
        <w:rPr>
          <w:rFonts w:hint="eastAsia" w:ascii="宋体" w:hAnsi="宋体"/>
          <w:b/>
          <w:sz w:val="22"/>
        </w:rPr>
        <w:t xml:space="preserve">4. </w:t>
      </w:r>
      <w:r>
        <w:rPr>
          <w:rFonts w:hint="eastAsia" w:ascii="宋体" w:hAnsi="宋体"/>
          <w:sz w:val="22"/>
        </w:rPr>
        <w:t>乙方所交的货物品种、型号、规格、技术参数、质量不符合合同规定及招标文件规定标准的，甲方有权拒收该货物，或要求乙方更换货物；乙方愿意更换货物但逾期交货的，按乙方逾期交货处理。乙方拒绝更换货物的，甲方可单方面解除合同。</w:t>
      </w:r>
    </w:p>
    <w:p>
      <w:pPr>
        <w:adjustRightInd w:val="0"/>
        <w:snapToGrid w:val="0"/>
        <w:spacing w:line="360" w:lineRule="exact"/>
        <w:ind w:firstLine="440" w:firstLineChars="200"/>
        <w:rPr>
          <w:rFonts w:ascii="宋体" w:hAnsi="宋体"/>
          <w:sz w:val="22"/>
        </w:rPr>
      </w:pPr>
      <w:r>
        <w:rPr>
          <w:rFonts w:hint="eastAsia" w:ascii="宋体" w:hAnsi="宋体"/>
          <w:b/>
          <w:sz w:val="22"/>
        </w:rPr>
        <w:t>5．</w:t>
      </w:r>
      <w:r>
        <w:rPr>
          <w:rFonts w:hint="eastAsia" w:ascii="宋体" w:hAnsi="宋体"/>
          <w:sz w:val="22"/>
        </w:rPr>
        <w:t>因乙方提供货物质量问题或者安装调试过程中因乙方原因导致甲方或第三方人身、财产损害的，乙方须依法承担全部赔偿责任；如因该等损害导致甲方向第三方承担赔偿责任的，乙方须在甲方赔偿范围内全额向甲方作出赔偿。</w:t>
      </w:r>
    </w:p>
    <w:p>
      <w:pPr>
        <w:adjustRightInd w:val="0"/>
        <w:snapToGrid w:val="0"/>
        <w:spacing w:line="360" w:lineRule="exact"/>
        <w:ind w:firstLine="440" w:firstLineChars="200"/>
        <w:rPr>
          <w:rFonts w:ascii="宋体" w:hAnsi="宋体"/>
          <w:sz w:val="22"/>
        </w:rPr>
      </w:pPr>
      <w:r>
        <w:rPr>
          <w:rFonts w:hint="eastAsia" w:ascii="宋体" w:hAnsi="宋体"/>
          <w:b/>
          <w:sz w:val="22"/>
        </w:rPr>
        <w:t>6.</w:t>
      </w:r>
      <w:r>
        <w:rPr>
          <w:rFonts w:hint="eastAsia" w:ascii="宋体" w:hAnsi="宋体"/>
          <w:sz w:val="22"/>
        </w:rPr>
        <w:t>乙方不在约定期限内派人维修或维修质量验收不合格的，甲方可以委托他人修理，费用由乙方承担，甲方与第三方确认后可直接从质保金中扣除。</w:t>
      </w:r>
    </w:p>
    <w:p>
      <w:pPr>
        <w:adjustRightInd w:val="0"/>
        <w:snapToGrid w:val="0"/>
        <w:spacing w:line="360" w:lineRule="exact"/>
        <w:ind w:firstLine="440" w:firstLineChars="200"/>
        <w:rPr>
          <w:rFonts w:ascii="宋体" w:hAnsi="宋体"/>
          <w:sz w:val="22"/>
        </w:rPr>
      </w:pPr>
      <w:r>
        <w:rPr>
          <w:rFonts w:hint="eastAsia" w:ascii="宋体" w:hAnsi="宋体"/>
          <w:b/>
          <w:sz w:val="22"/>
        </w:rPr>
        <w:t>7．</w:t>
      </w:r>
      <w:r>
        <w:rPr>
          <w:rFonts w:hint="eastAsia" w:ascii="宋体" w:hAnsi="宋体"/>
          <w:sz w:val="22"/>
        </w:rPr>
        <w:t>除本合同另有规定外，乙方违反其在本合同项下其他义务并给甲方造成损失的，须向甲方承担全部赔偿责任。</w:t>
      </w:r>
    </w:p>
    <w:p>
      <w:pPr>
        <w:adjustRightInd w:val="0"/>
        <w:snapToGrid w:val="0"/>
        <w:spacing w:line="360" w:lineRule="exact"/>
        <w:ind w:firstLine="440" w:firstLineChars="200"/>
        <w:outlineLvl w:val="0"/>
        <w:rPr>
          <w:rFonts w:ascii="宋体" w:hAnsi="宋体"/>
          <w:b/>
          <w:sz w:val="22"/>
        </w:rPr>
      </w:pPr>
      <w:r>
        <w:rPr>
          <w:rFonts w:hint="eastAsia" w:ascii="宋体" w:hAnsi="宋体"/>
          <w:b/>
          <w:sz w:val="22"/>
        </w:rPr>
        <w:t>十四、不可抗力事件处理</w:t>
      </w:r>
    </w:p>
    <w:p>
      <w:pPr>
        <w:adjustRightInd w:val="0"/>
        <w:snapToGrid w:val="0"/>
        <w:spacing w:line="360" w:lineRule="exact"/>
        <w:ind w:firstLine="440" w:firstLineChars="200"/>
        <w:rPr>
          <w:rFonts w:ascii="宋体" w:hAnsi="宋体"/>
          <w:sz w:val="22"/>
        </w:rPr>
      </w:pPr>
      <w:r>
        <w:rPr>
          <w:rFonts w:hint="eastAsia" w:ascii="宋体" w:hAnsi="宋体"/>
          <w:b/>
          <w:sz w:val="22"/>
        </w:rPr>
        <w:t>1.</w:t>
      </w:r>
      <w:r>
        <w:rPr>
          <w:rFonts w:hint="eastAsia" w:ascii="宋体" w:hAnsi="宋体"/>
          <w:sz w:val="22"/>
        </w:rPr>
        <w:t>在合同有效期内，任何一方因不可抗力事件导致不能履行合同，则合同履行期可延长，其延长期与不可抗力影响期相同。</w:t>
      </w:r>
    </w:p>
    <w:p>
      <w:pPr>
        <w:adjustRightInd w:val="0"/>
        <w:snapToGrid w:val="0"/>
        <w:spacing w:line="360" w:lineRule="exact"/>
        <w:ind w:firstLine="440" w:firstLineChars="200"/>
        <w:rPr>
          <w:rFonts w:ascii="宋体" w:hAnsi="宋体"/>
          <w:sz w:val="22"/>
        </w:rPr>
      </w:pPr>
      <w:r>
        <w:rPr>
          <w:rFonts w:hint="eastAsia" w:ascii="宋体" w:hAnsi="宋体"/>
          <w:b/>
          <w:sz w:val="22"/>
        </w:rPr>
        <w:t>2.</w:t>
      </w:r>
      <w:r>
        <w:rPr>
          <w:rFonts w:hint="eastAsia" w:ascii="宋体" w:hAnsi="宋体"/>
          <w:sz w:val="22"/>
        </w:rPr>
        <w:t>不可抗力事件发生后，遭遇不可抗力的一方应立即通知对方，并寄送有关官方权威机构出具的证明。</w:t>
      </w:r>
    </w:p>
    <w:p>
      <w:pPr>
        <w:snapToGrid w:val="0"/>
        <w:spacing w:line="360" w:lineRule="exact"/>
        <w:ind w:firstLine="440" w:firstLineChars="200"/>
        <w:rPr>
          <w:rFonts w:ascii="宋体" w:hAnsi="宋体"/>
          <w:sz w:val="22"/>
        </w:rPr>
      </w:pPr>
      <w:r>
        <w:rPr>
          <w:rFonts w:hint="eastAsia" w:ascii="宋体" w:hAnsi="宋体"/>
          <w:b/>
          <w:sz w:val="22"/>
        </w:rPr>
        <w:t xml:space="preserve">3. </w:t>
      </w:r>
      <w:r>
        <w:rPr>
          <w:rFonts w:hint="eastAsia" w:ascii="宋体" w:hAnsi="宋体"/>
          <w:sz w:val="22"/>
        </w:rPr>
        <w:t>不可抗力事件延续140天以上，双方应通过友好协商，确定是否继续履行合同；协商无法达成一致的，本合同自动终止，双方互不承担赔偿或违约责任。</w:t>
      </w:r>
    </w:p>
    <w:p>
      <w:pPr>
        <w:adjustRightInd w:val="0"/>
        <w:snapToGrid w:val="0"/>
        <w:spacing w:line="360" w:lineRule="exact"/>
        <w:ind w:firstLine="440" w:firstLineChars="200"/>
        <w:rPr>
          <w:rFonts w:ascii="宋体" w:hAnsi="宋体"/>
          <w:b/>
          <w:sz w:val="22"/>
        </w:rPr>
      </w:pPr>
      <w:r>
        <w:rPr>
          <w:rFonts w:hint="eastAsia" w:ascii="宋体" w:hAnsi="宋体"/>
          <w:b/>
          <w:sz w:val="22"/>
        </w:rPr>
        <w:t>十五、争议解决</w:t>
      </w:r>
    </w:p>
    <w:p>
      <w:pPr>
        <w:adjustRightInd w:val="0"/>
        <w:snapToGrid w:val="0"/>
        <w:spacing w:line="360" w:lineRule="exact"/>
        <w:ind w:firstLine="440" w:firstLineChars="200"/>
        <w:rPr>
          <w:rFonts w:ascii="宋体" w:hAnsi="宋体"/>
          <w:sz w:val="22"/>
        </w:rPr>
      </w:pPr>
      <w:r>
        <w:rPr>
          <w:rFonts w:hint="eastAsia" w:ascii="宋体" w:hAnsi="宋体"/>
          <w:sz w:val="22"/>
        </w:rPr>
        <w:t>双方在执行合同中所发生的一切争议，应通过协商解决。如协商不成，由甲方所在地的人民法院管辖审理。</w:t>
      </w:r>
    </w:p>
    <w:p>
      <w:pPr>
        <w:adjustRightInd w:val="0"/>
        <w:snapToGrid w:val="0"/>
        <w:spacing w:line="360" w:lineRule="exact"/>
        <w:ind w:firstLine="440" w:firstLineChars="200"/>
        <w:rPr>
          <w:rFonts w:ascii="宋体" w:hAnsi="宋体"/>
          <w:b/>
          <w:sz w:val="22"/>
        </w:rPr>
      </w:pPr>
      <w:r>
        <w:rPr>
          <w:rFonts w:hint="eastAsia" w:ascii="宋体" w:hAnsi="宋体"/>
          <w:b/>
          <w:sz w:val="22"/>
        </w:rPr>
        <w:t>十六、合同组成文件包含下列内容，合同与招投标文件不一致解释顺序如下：</w:t>
      </w:r>
    </w:p>
    <w:p>
      <w:pPr>
        <w:adjustRightInd w:val="0"/>
        <w:snapToGrid w:val="0"/>
        <w:spacing w:line="360" w:lineRule="exact"/>
        <w:ind w:firstLine="440" w:firstLineChars="200"/>
        <w:rPr>
          <w:rFonts w:ascii="宋体" w:hAnsi="宋体"/>
          <w:sz w:val="22"/>
        </w:rPr>
      </w:pPr>
      <w:r>
        <w:rPr>
          <w:rFonts w:hint="eastAsia" w:ascii="宋体" w:hAnsi="宋体"/>
          <w:b/>
          <w:sz w:val="22"/>
        </w:rPr>
        <w:t>1.</w:t>
      </w:r>
      <w:r>
        <w:rPr>
          <w:rFonts w:hint="eastAsia" w:ascii="宋体" w:hAnsi="宋体"/>
          <w:sz w:val="22"/>
        </w:rPr>
        <w:t>本合同协议书</w:t>
      </w:r>
    </w:p>
    <w:p>
      <w:pPr>
        <w:adjustRightInd w:val="0"/>
        <w:snapToGrid w:val="0"/>
        <w:spacing w:line="360" w:lineRule="exact"/>
        <w:ind w:firstLine="440" w:firstLineChars="200"/>
        <w:rPr>
          <w:rFonts w:ascii="宋体" w:hAnsi="宋体"/>
          <w:sz w:val="22"/>
        </w:rPr>
      </w:pPr>
      <w:r>
        <w:rPr>
          <w:rFonts w:hint="eastAsia" w:ascii="宋体" w:hAnsi="宋体"/>
          <w:b/>
          <w:sz w:val="22"/>
        </w:rPr>
        <w:t>2.</w:t>
      </w:r>
      <w:r>
        <w:rPr>
          <w:rFonts w:hint="eastAsia" w:ascii="宋体" w:hAnsi="宋体"/>
          <w:sz w:val="22"/>
        </w:rPr>
        <w:t>中标通知书</w:t>
      </w:r>
    </w:p>
    <w:p>
      <w:pPr>
        <w:adjustRightInd w:val="0"/>
        <w:snapToGrid w:val="0"/>
        <w:spacing w:line="360" w:lineRule="exact"/>
        <w:ind w:firstLine="440" w:firstLineChars="200"/>
        <w:rPr>
          <w:rFonts w:ascii="宋体" w:hAnsi="宋体"/>
          <w:sz w:val="22"/>
        </w:rPr>
      </w:pPr>
      <w:r>
        <w:rPr>
          <w:rFonts w:hint="eastAsia" w:ascii="宋体" w:hAnsi="宋体"/>
          <w:b/>
          <w:sz w:val="22"/>
        </w:rPr>
        <w:t>3.</w:t>
      </w:r>
      <w:r>
        <w:rPr>
          <w:rFonts w:hint="eastAsia" w:ascii="宋体" w:hAnsi="宋体"/>
          <w:sz w:val="22"/>
        </w:rPr>
        <w:t>投标书及其附件</w:t>
      </w:r>
    </w:p>
    <w:p>
      <w:pPr>
        <w:adjustRightInd w:val="0"/>
        <w:snapToGrid w:val="0"/>
        <w:spacing w:line="360" w:lineRule="exact"/>
        <w:ind w:firstLine="440" w:firstLineChars="200"/>
        <w:rPr>
          <w:rFonts w:ascii="宋体" w:hAnsi="宋体"/>
          <w:sz w:val="22"/>
        </w:rPr>
      </w:pPr>
      <w:r>
        <w:rPr>
          <w:rFonts w:hint="eastAsia" w:ascii="宋体" w:hAnsi="宋体"/>
          <w:b/>
          <w:sz w:val="22"/>
        </w:rPr>
        <w:t>4.</w:t>
      </w:r>
      <w:r>
        <w:rPr>
          <w:rFonts w:hint="eastAsia" w:ascii="宋体" w:hAnsi="宋体"/>
          <w:sz w:val="22"/>
        </w:rPr>
        <w:t>招标文件</w:t>
      </w:r>
    </w:p>
    <w:p>
      <w:pPr>
        <w:adjustRightInd w:val="0"/>
        <w:snapToGrid w:val="0"/>
        <w:spacing w:line="360" w:lineRule="exact"/>
        <w:ind w:firstLine="440" w:firstLineChars="200"/>
        <w:rPr>
          <w:rFonts w:ascii="宋体" w:hAnsi="宋体"/>
          <w:sz w:val="22"/>
        </w:rPr>
      </w:pPr>
      <w:r>
        <w:rPr>
          <w:rFonts w:hint="eastAsia" w:ascii="宋体" w:hAnsi="宋体"/>
          <w:b/>
          <w:sz w:val="22"/>
        </w:rPr>
        <w:t>5.</w:t>
      </w:r>
      <w:r>
        <w:rPr>
          <w:rFonts w:hint="eastAsia" w:ascii="宋体" w:hAnsi="宋体"/>
          <w:sz w:val="22"/>
        </w:rPr>
        <w:t>标准、规范及有关技术文件</w:t>
      </w:r>
    </w:p>
    <w:p>
      <w:pPr>
        <w:adjustRightInd w:val="0"/>
        <w:snapToGrid w:val="0"/>
        <w:spacing w:line="360" w:lineRule="exact"/>
        <w:ind w:firstLine="440" w:firstLineChars="200"/>
        <w:outlineLvl w:val="0"/>
        <w:rPr>
          <w:rFonts w:ascii="宋体" w:hAnsi="宋体"/>
          <w:b/>
          <w:sz w:val="22"/>
        </w:rPr>
      </w:pPr>
      <w:r>
        <w:rPr>
          <w:rFonts w:hint="eastAsia" w:ascii="宋体" w:hAnsi="宋体"/>
          <w:b/>
          <w:sz w:val="22"/>
        </w:rPr>
        <w:t>十七、合同生效及其它</w:t>
      </w:r>
    </w:p>
    <w:p>
      <w:pPr>
        <w:adjustRightInd w:val="0"/>
        <w:snapToGrid w:val="0"/>
        <w:spacing w:line="360" w:lineRule="exact"/>
        <w:ind w:firstLine="440" w:firstLineChars="200"/>
        <w:rPr>
          <w:rFonts w:ascii="宋体" w:hAnsi="宋体"/>
          <w:sz w:val="22"/>
        </w:rPr>
      </w:pPr>
      <w:r>
        <w:rPr>
          <w:rFonts w:hint="eastAsia" w:ascii="宋体" w:hAnsi="宋体"/>
          <w:b/>
          <w:sz w:val="22"/>
        </w:rPr>
        <w:t>1.</w:t>
      </w:r>
      <w:r>
        <w:rPr>
          <w:rFonts w:hint="eastAsia" w:ascii="宋体" w:hAnsi="宋体"/>
          <w:sz w:val="22"/>
        </w:rPr>
        <w:t>合同经双方法定代表人或授权代表签字并加盖单位公章之日起生效。</w:t>
      </w:r>
    </w:p>
    <w:p>
      <w:pPr>
        <w:adjustRightInd w:val="0"/>
        <w:snapToGrid w:val="0"/>
        <w:spacing w:line="360" w:lineRule="exact"/>
        <w:ind w:firstLine="440" w:firstLineChars="200"/>
        <w:rPr>
          <w:rFonts w:ascii="宋体" w:hAnsi="宋体"/>
          <w:sz w:val="22"/>
        </w:rPr>
      </w:pPr>
      <w:r>
        <w:rPr>
          <w:rFonts w:hint="eastAsia" w:ascii="宋体" w:hAnsi="宋体"/>
          <w:b/>
          <w:sz w:val="22"/>
        </w:rPr>
        <w:t>2.</w:t>
      </w:r>
      <w:r>
        <w:rPr>
          <w:rFonts w:hint="eastAsia" w:ascii="宋体" w:hAnsi="宋体"/>
          <w:sz w:val="22"/>
        </w:rPr>
        <w:t>本合同未尽事宜，双方可签订补充协议予以执行；未达成补充协议的，遵照《合同法》及有关法律法规执行。</w:t>
      </w:r>
    </w:p>
    <w:p>
      <w:pPr>
        <w:tabs>
          <w:tab w:val="right" w:pos="8306"/>
        </w:tabs>
        <w:adjustRightInd w:val="0"/>
        <w:snapToGrid w:val="0"/>
        <w:spacing w:line="360" w:lineRule="exact"/>
        <w:ind w:firstLine="440" w:firstLineChars="200"/>
        <w:rPr>
          <w:rFonts w:ascii="宋体" w:hAnsi="宋体"/>
          <w:sz w:val="22"/>
        </w:rPr>
      </w:pPr>
      <w:r>
        <w:rPr>
          <w:rFonts w:hint="eastAsia" w:ascii="宋体" w:hAnsi="宋体"/>
          <w:b/>
          <w:sz w:val="22"/>
        </w:rPr>
        <w:t>3.</w:t>
      </w:r>
      <w:r>
        <w:rPr>
          <w:rFonts w:hint="eastAsia" w:ascii="宋体" w:hAnsi="宋体"/>
          <w:sz w:val="22"/>
        </w:rPr>
        <w:t>本合同一式陆份，甲执四份，乙方持二份，具有同等法律效力。</w:t>
      </w:r>
    </w:p>
    <w:p>
      <w:pPr>
        <w:tabs>
          <w:tab w:val="right" w:pos="8306"/>
        </w:tabs>
        <w:adjustRightInd w:val="0"/>
        <w:snapToGrid w:val="0"/>
        <w:spacing w:line="360" w:lineRule="exact"/>
        <w:ind w:firstLine="440" w:firstLineChars="200"/>
        <w:jc w:val="left"/>
        <w:rPr>
          <w:rFonts w:ascii="宋体" w:hAnsi="宋体"/>
          <w:sz w:val="22"/>
        </w:rPr>
      </w:pPr>
      <w:r>
        <w:rPr>
          <w:rFonts w:hint="eastAsia" w:ascii="宋体" w:hAnsi="宋体"/>
          <w:sz w:val="22"/>
        </w:rPr>
        <w:tab/>
      </w:r>
    </w:p>
    <w:p>
      <w:pPr>
        <w:adjustRightInd w:val="0"/>
        <w:snapToGrid w:val="0"/>
        <w:spacing w:line="360" w:lineRule="exact"/>
        <w:jc w:val="left"/>
        <w:rPr>
          <w:rFonts w:ascii="宋体" w:hAnsi="宋体"/>
          <w:sz w:val="22"/>
        </w:rPr>
      </w:pPr>
      <w:r>
        <w:rPr>
          <w:rFonts w:hint="eastAsia" w:ascii="宋体" w:hAnsi="宋体"/>
          <w:sz w:val="22"/>
        </w:rPr>
        <w:t>甲方：杭州萧山国际机场有限公司乙方：</w:t>
      </w:r>
    </w:p>
    <w:p>
      <w:pPr>
        <w:adjustRightInd w:val="0"/>
        <w:snapToGrid w:val="0"/>
        <w:spacing w:line="360" w:lineRule="exact"/>
        <w:ind w:left="6750" w:hanging="6750"/>
        <w:jc w:val="left"/>
        <w:rPr>
          <w:rFonts w:ascii="宋体" w:hAnsi="宋体"/>
          <w:sz w:val="22"/>
        </w:rPr>
      </w:pPr>
      <w:r>
        <w:rPr>
          <w:rFonts w:hint="eastAsia" w:ascii="宋体" w:hAnsi="宋体"/>
          <w:sz w:val="22"/>
        </w:rPr>
        <w:t>地址：杭州萧山国际机场内地址：</w:t>
      </w:r>
    </w:p>
    <w:p>
      <w:pPr>
        <w:adjustRightInd w:val="0"/>
        <w:snapToGrid w:val="0"/>
        <w:spacing w:line="360" w:lineRule="exact"/>
        <w:ind w:left="6750" w:hanging="6750"/>
        <w:jc w:val="left"/>
        <w:rPr>
          <w:rFonts w:ascii="宋体" w:hAnsi="宋体"/>
          <w:sz w:val="22"/>
        </w:rPr>
      </w:pPr>
    </w:p>
    <w:p>
      <w:pPr>
        <w:adjustRightInd w:val="0"/>
        <w:snapToGrid w:val="0"/>
        <w:spacing w:line="360" w:lineRule="exact"/>
        <w:jc w:val="left"/>
        <w:rPr>
          <w:rFonts w:ascii="宋体" w:hAnsi="宋体"/>
          <w:sz w:val="22"/>
        </w:rPr>
      </w:pPr>
      <w:r>
        <w:rPr>
          <w:rFonts w:hint="eastAsia" w:ascii="宋体" w:hAnsi="宋体"/>
          <w:sz w:val="22"/>
        </w:rPr>
        <w:t>法定代表人（签字）：法定代表人（签字）：</w:t>
      </w:r>
    </w:p>
    <w:p>
      <w:pPr>
        <w:adjustRightInd w:val="0"/>
        <w:snapToGrid w:val="0"/>
        <w:spacing w:line="360" w:lineRule="exact"/>
        <w:jc w:val="left"/>
        <w:rPr>
          <w:rFonts w:ascii="宋体" w:hAnsi="宋体"/>
          <w:sz w:val="22"/>
        </w:rPr>
      </w:pPr>
      <w:r>
        <w:rPr>
          <w:rFonts w:hint="eastAsia" w:ascii="宋体" w:hAnsi="宋体"/>
          <w:sz w:val="22"/>
        </w:rPr>
        <w:t>或或</w:t>
      </w:r>
    </w:p>
    <w:p>
      <w:pPr>
        <w:adjustRightInd w:val="0"/>
        <w:snapToGrid w:val="0"/>
        <w:spacing w:line="360" w:lineRule="exact"/>
        <w:jc w:val="left"/>
        <w:rPr>
          <w:rFonts w:ascii="宋体" w:hAnsi="宋体"/>
          <w:sz w:val="22"/>
        </w:rPr>
      </w:pPr>
      <w:r>
        <w:rPr>
          <w:rFonts w:hint="eastAsia" w:ascii="宋体" w:hAnsi="宋体"/>
          <w:sz w:val="22"/>
        </w:rPr>
        <w:t>授权代表（签字）：授权代表（签字）：</w:t>
      </w:r>
    </w:p>
    <w:p>
      <w:pPr>
        <w:adjustRightInd w:val="0"/>
        <w:snapToGrid w:val="0"/>
        <w:spacing w:line="360" w:lineRule="exact"/>
        <w:jc w:val="left"/>
        <w:rPr>
          <w:rFonts w:ascii="宋体" w:hAnsi="宋体"/>
          <w:b/>
          <w:sz w:val="22"/>
        </w:rPr>
      </w:pPr>
      <w:r>
        <w:rPr>
          <w:rFonts w:hint="eastAsia" w:ascii="宋体" w:hAnsi="宋体"/>
          <w:sz w:val="22"/>
        </w:rPr>
        <w:t>签字日期：签字日期：</w:t>
      </w:r>
    </w:p>
    <w:p>
      <w:pPr>
        <w:adjustRightInd w:val="0"/>
        <w:snapToGrid w:val="0"/>
        <w:spacing w:line="360" w:lineRule="exact"/>
        <w:ind w:firstLine="440" w:firstLineChars="200"/>
        <w:jc w:val="left"/>
        <w:rPr>
          <w:rFonts w:ascii="宋体" w:hAnsi="宋体"/>
          <w:b/>
          <w:sz w:val="22"/>
        </w:rPr>
      </w:pPr>
      <w:r>
        <w:rPr>
          <w:rFonts w:hint="eastAsia" w:ascii="宋体" w:hAnsi="宋体"/>
          <w:sz w:val="22"/>
        </w:rPr>
        <w:t>年月日年月日</w:t>
      </w:r>
    </w:p>
    <w:p>
      <w:pPr>
        <w:snapToGrid w:val="0"/>
        <w:spacing w:line="360" w:lineRule="exact"/>
        <w:ind w:firstLine="440" w:firstLineChars="200"/>
        <w:jc w:val="left"/>
        <w:rPr>
          <w:rFonts w:ascii="宋体" w:hAnsi="宋体"/>
          <w:sz w:val="22"/>
        </w:rPr>
      </w:pPr>
    </w:p>
    <w:p>
      <w:pPr>
        <w:pStyle w:val="122"/>
        <w:spacing w:line="360" w:lineRule="exact"/>
        <w:ind w:firstLine="0" w:firstLineChars="0"/>
        <w:jc w:val="center"/>
      </w:pPr>
      <w:bookmarkStart w:id="115" w:name="_Toc321925456"/>
      <w:bookmarkStart w:id="116" w:name="_Toc448002987"/>
      <w:bookmarkStart w:id="117" w:name="_Toc275274581"/>
    </w:p>
    <w:p>
      <w:pPr>
        <w:pStyle w:val="122"/>
        <w:spacing w:line="360" w:lineRule="exact"/>
        <w:ind w:firstLine="0" w:firstLineChars="0"/>
        <w:jc w:val="center"/>
        <w:rPr>
          <w:rFonts w:ascii="Calibri" w:hAnsi="Calibri" w:eastAsia="黑体" w:cs="Calibri"/>
          <w:kern w:val="0"/>
          <w:sz w:val="32"/>
        </w:rPr>
      </w:pPr>
      <w:r>
        <w:rPr>
          <w:rFonts w:hint="eastAsia" w:ascii="Calibri" w:hAnsi="Calibri" w:eastAsia="黑体" w:cs="Calibri"/>
          <w:kern w:val="0"/>
          <w:sz w:val="32"/>
        </w:rPr>
        <w:t>第五章</w:t>
      </w:r>
      <w:bookmarkEnd w:id="115"/>
      <w:bookmarkEnd w:id="116"/>
      <w:r>
        <w:rPr>
          <w:rFonts w:hint="eastAsia" w:ascii="Calibri" w:hAnsi="Calibri" w:eastAsia="黑体" w:cs="Calibri"/>
          <w:kern w:val="0"/>
          <w:sz w:val="32"/>
        </w:rPr>
        <w:t>项目概况和要求</w:t>
      </w:r>
    </w:p>
    <w:p>
      <w:pPr>
        <w:pStyle w:val="122"/>
        <w:spacing w:line="360" w:lineRule="exact"/>
        <w:ind w:firstLine="0" w:firstLineChars="0"/>
        <w:jc w:val="center"/>
        <w:rPr>
          <w:rFonts w:ascii="Calibri" w:hAnsi="Calibri" w:eastAsia="黑体" w:cs="Calibri"/>
          <w:kern w:val="0"/>
          <w:sz w:val="32"/>
        </w:rPr>
      </w:pPr>
    </w:p>
    <w:p>
      <w:pPr>
        <w:pStyle w:val="122"/>
        <w:spacing w:line="360" w:lineRule="exact"/>
        <w:ind w:firstLine="0" w:firstLineChars="0"/>
        <w:jc w:val="center"/>
        <w:rPr>
          <w:rFonts w:ascii="宋体" w:hAnsi="宋体"/>
          <w:b/>
          <w:sz w:val="22"/>
          <w:szCs w:val="22"/>
        </w:rPr>
      </w:pPr>
    </w:p>
    <w:p>
      <w:pPr>
        <w:spacing w:line="360" w:lineRule="auto"/>
        <w:ind w:firstLine="420" w:firstLineChars="200"/>
        <w:rPr>
          <w:b/>
        </w:rPr>
      </w:pPr>
      <w:r>
        <w:rPr>
          <w:rFonts w:hint="eastAsia"/>
          <w:b/>
        </w:rPr>
        <w:t>一、项目总体目标</w:t>
      </w:r>
    </w:p>
    <w:p>
      <w:pPr>
        <w:spacing w:line="360" w:lineRule="auto"/>
        <w:ind w:firstLine="440" w:firstLineChars="200"/>
        <w:rPr>
          <w:bCs/>
        </w:rPr>
      </w:pPr>
      <w:r>
        <w:rPr>
          <w:rFonts w:hint="eastAsia" w:ascii="宋体" w:hAnsi="宋体"/>
          <w:sz w:val="22"/>
        </w:rPr>
        <w:t>投标人</w:t>
      </w:r>
      <w:r>
        <w:rPr>
          <w:rStyle w:val="153"/>
          <w:rFonts w:hint="eastAsia" w:ascii="宋体" w:hAnsi="宋体" w:cs="宋体"/>
          <w:sz w:val="22"/>
        </w:rPr>
        <w:t>应在项目需求基础上开展t3隔离区内问询柜台设计建造，包括设计方案、在新选址区域按要求建造综合服务柜台及配备柜内所有设施设备（详见</w:t>
      </w:r>
      <w:r>
        <w:rPr>
          <w:rFonts w:hint="eastAsia" w:ascii="宋体" w:hAnsi="宋体"/>
          <w:sz w:val="22"/>
        </w:rPr>
        <w:t>设备设施需求清单</w:t>
      </w:r>
      <w:r>
        <w:rPr>
          <w:rStyle w:val="153"/>
          <w:rFonts w:hint="eastAsia" w:ascii="宋体" w:hAnsi="宋体" w:cs="宋体"/>
          <w:sz w:val="22"/>
        </w:rPr>
        <w:t>），并负责柜台及设施设备后期维护等（含图纸会审纪要、设计变更、现场洽商、后续维保等）全部内容。</w:t>
      </w:r>
    </w:p>
    <w:p>
      <w:pPr>
        <w:spacing w:line="360" w:lineRule="auto"/>
        <w:ind w:firstLine="420" w:firstLineChars="200"/>
        <w:rPr>
          <w:b/>
        </w:rPr>
      </w:pPr>
      <w:r>
        <w:rPr>
          <w:rFonts w:hint="eastAsia"/>
          <w:b/>
        </w:rPr>
        <w:t>二、建设内容及要求</w:t>
      </w:r>
    </w:p>
    <w:p>
      <w:pPr>
        <w:widowControl/>
        <w:spacing w:line="360" w:lineRule="auto"/>
        <w:jc w:val="left"/>
      </w:pPr>
      <w:r>
        <w:rPr>
          <w:rFonts w:hint="eastAsia" w:ascii="宋体" w:hAnsi="宋体"/>
          <w:b/>
          <w:sz w:val="22"/>
        </w:rPr>
        <w:t xml:space="preserve">    1、选址区域：</w:t>
      </w:r>
    </w:p>
    <w:p>
      <w:pPr>
        <w:widowControl/>
        <w:spacing w:line="360" w:lineRule="auto"/>
        <w:jc w:val="left"/>
        <w:rPr>
          <w:rFonts w:ascii="宋体" w:hAnsi="宋体"/>
          <w:sz w:val="22"/>
        </w:rPr>
      </w:pPr>
      <w:r>
        <w:rPr>
          <w:rFonts w:hint="eastAsia" w:ascii="宋体" w:hAnsi="宋体"/>
          <w:sz w:val="22"/>
        </w:rPr>
        <w:t xml:space="preserve">    T3航站楼隔离区内，近安检通道处，具体以现场踏勘为准。</w:t>
      </w:r>
    </w:p>
    <w:p>
      <w:pPr>
        <w:widowControl/>
        <w:spacing w:line="360" w:lineRule="auto"/>
        <w:jc w:val="left"/>
        <w:rPr>
          <w:rFonts w:ascii="宋体" w:hAnsi="宋体"/>
          <w:b/>
          <w:sz w:val="22"/>
        </w:rPr>
      </w:pPr>
      <w:r>
        <w:rPr>
          <w:rFonts w:hint="eastAsia" w:ascii="宋体" w:hAnsi="宋体"/>
          <w:b/>
          <w:sz w:val="22"/>
        </w:rPr>
        <w:t xml:space="preserve">    2、项目对设计、设备采购、建设等要求</w:t>
      </w:r>
    </w:p>
    <w:p>
      <w:pPr>
        <w:widowControl/>
        <w:spacing w:line="360" w:lineRule="auto"/>
        <w:jc w:val="left"/>
        <w:rPr>
          <w:rFonts w:ascii="宋体" w:hAnsi="宋体"/>
          <w:b/>
          <w:sz w:val="22"/>
        </w:rPr>
      </w:pPr>
      <w:r>
        <w:rPr>
          <w:rFonts w:hint="eastAsia" w:ascii="宋体" w:hAnsi="宋体"/>
          <w:b/>
          <w:sz w:val="22"/>
        </w:rPr>
        <w:t xml:space="preserve">    2.1新柜台设计方案</w:t>
      </w:r>
    </w:p>
    <w:p>
      <w:pPr>
        <w:widowControl/>
        <w:spacing w:line="360" w:lineRule="auto"/>
        <w:ind w:firstLine="440" w:firstLineChars="200"/>
        <w:jc w:val="left"/>
        <w:rPr>
          <w:rFonts w:ascii="宋体" w:hAnsi="宋体"/>
          <w:sz w:val="22"/>
        </w:rPr>
      </w:pPr>
      <w:r>
        <w:rPr>
          <w:rFonts w:hint="eastAsia" w:ascii="宋体" w:hAnsi="宋体"/>
          <w:sz w:val="22"/>
        </w:rPr>
        <w:t>投标人应按照招标人的项目需求进行新柜台设计，包括主柜台及柜台内所有设施设备，并按照招标人修改需求，进行深化设计，满足招标人的需求。</w:t>
      </w:r>
    </w:p>
    <w:p>
      <w:pPr>
        <w:widowControl/>
        <w:spacing w:line="360" w:lineRule="auto"/>
        <w:jc w:val="left"/>
        <w:rPr>
          <w:rFonts w:ascii="宋体" w:hAnsi="宋体"/>
          <w:b/>
          <w:sz w:val="22"/>
        </w:rPr>
      </w:pPr>
      <w:r>
        <w:rPr>
          <w:rFonts w:hint="eastAsia" w:ascii="宋体" w:hAnsi="宋体"/>
          <w:b/>
          <w:sz w:val="22"/>
        </w:rPr>
        <w:t xml:space="preserve">    2.2柜台设计要求</w:t>
      </w:r>
    </w:p>
    <w:p>
      <w:pPr>
        <w:widowControl/>
        <w:spacing w:line="360" w:lineRule="auto"/>
        <w:jc w:val="left"/>
        <w:rPr>
          <w:rFonts w:ascii="宋体" w:hAnsi="宋体"/>
          <w:b/>
          <w:sz w:val="22"/>
        </w:rPr>
      </w:pPr>
      <w:r>
        <w:rPr>
          <w:rFonts w:hint="eastAsia" w:ascii="宋体" w:hAnsi="宋体"/>
          <w:sz w:val="22"/>
        </w:rPr>
        <w:t xml:space="preserve"> *（1）新问询柜台为全包围式柜台，面积大约为10平方米以内。</w:t>
      </w:r>
    </w:p>
    <w:p>
      <w:pPr>
        <w:widowControl/>
        <w:spacing w:line="360" w:lineRule="auto"/>
        <w:jc w:val="left"/>
        <w:rPr>
          <w:rFonts w:ascii="宋体" w:hAnsi="宋体"/>
          <w:sz w:val="22"/>
        </w:rPr>
      </w:pPr>
      <w:r>
        <w:rPr>
          <w:rFonts w:hint="eastAsia" w:ascii="宋体" w:hAnsi="宋体"/>
          <w:sz w:val="22"/>
        </w:rPr>
        <w:t xml:space="preserve"> *</w:t>
      </w:r>
      <w:r>
        <w:rPr>
          <w:rFonts w:hint="eastAsia" w:ascii="宋体" w:hAnsi="宋体"/>
          <w:b/>
          <w:sz w:val="22"/>
        </w:rPr>
        <w:t>（2）柜台整体效果需与候机楼整体色彩搭配并与T3航站楼问询台风格统一，</w:t>
      </w:r>
      <w:r>
        <w:rPr>
          <w:rFonts w:hint="eastAsia" w:ascii="宋体" w:hAnsi="宋体"/>
          <w:sz w:val="22"/>
        </w:rPr>
        <w:t>外观整洁、大方，并带有杭州本地文化特色，同时突出“空港百灵”问询服务品牌的服务理念。</w:t>
      </w:r>
    </w:p>
    <w:p>
      <w:pPr>
        <w:widowControl/>
        <w:spacing w:line="360" w:lineRule="auto"/>
        <w:ind w:firstLine="220" w:firstLineChars="100"/>
        <w:jc w:val="left"/>
        <w:rPr>
          <w:rFonts w:ascii="宋体" w:hAnsi="宋体"/>
          <w:sz w:val="22"/>
        </w:rPr>
      </w:pPr>
      <w:r>
        <w:rPr>
          <w:rFonts w:hint="eastAsia" w:ascii="宋体" w:hAnsi="宋体"/>
          <w:sz w:val="22"/>
        </w:rPr>
        <w:t>（3）柜台如设置背景展示墙，须突出杭州地域文化特色，同时不应遮挡旅客视线，便于旅客寻找后方航空公司售票服务柜台。</w:t>
      </w:r>
    </w:p>
    <w:p>
      <w:pPr>
        <w:widowControl/>
        <w:spacing w:line="360" w:lineRule="auto"/>
        <w:ind w:firstLine="220" w:firstLineChars="100"/>
        <w:jc w:val="left"/>
        <w:rPr>
          <w:rFonts w:ascii="宋体" w:hAnsi="宋体"/>
          <w:sz w:val="22"/>
        </w:rPr>
      </w:pPr>
      <w:r>
        <w:rPr>
          <w:rFonts w:hint="eastAsia" w:ascii="宋体" w:hAnsi="宋体"/>
          <w:sz w:val="22"/>
        </w:rPr>
        <w:t>（4）柜台仅一面为服务旅客柜面，需满足两名员工同时在岗工作的座席需求。</w:t>
      </w:r>
    </w:p>
    <w:p>
      <w:pPr>
        <w:widowControl/>
        <w:spacing w:line="360" w:lineRule="auto"/>
        <w:ind w:firstLine="220" w:firstLineChars="100"/>
        <w:jc w:val="left"/>
        <w:rPr>
          <w:rFonts w:ascii="宋体" w:hAnsi="宋体"/>
          <w:sz w:val="22"/>
        </w:rPr>
      </w:pPr>
      <w:r>
        <w:rPr>
          <w:rFonts w:hint="eastAsia" w:ascii="宋体" w:hAnsi="宋体"/>
          <w:sz w:val="22"/>
        </w:rPr>
        <w:t>（5）服务旅客柜台面为人造石材质，需包含残疾人服务柜台，柜台面需低于正常柜台，柜台外沿须配备防撞护栏。柜台面向旅客一侧应配备包含杭州元素渲染的防撞钢化玻璃，并辅以LED灯饰照明。</w:t>
      </w:r>
    </w:p>
    <w:p>
      <w:pPr>
        <w:widowControl/>
        <w:spacing w:line="360" w:lineRule="auto"/>
        <w:ind w:firstLine="220" w:firstLineChars="100"/>
        <w:jc w:val="left"/>
        <w:rPr>
          <w:rFonts w:ascii="宋体" w:hAnsi="宋体"/>
          <w:sz w:val="22"/>
        </w:rPr>
      </w:pPr>
      <w:r>
        <w:rPr>
          <w:rFonts w:hint="eastAsia" w:ascii="宋体" w:hAnsi="宋体"/>
          <w:sz w:val="22"/>
        </w:rPr>
        <w:t>（6）柜台需满足物品（轮椅、包、水杯、报纸、杂志和台账等）存储需求，存储柜需有柜门遮挡，柜台和抽屉需配锁，柜内物品不得直接外露，保持柜台目视化整洁、统一。</w:t>
      </w:r>
    </w:p>
    <w:p>
      <w:pPr>
        <w:widowControl/>
        <w:spacing w:line="360" w:lineRule="auto"/>
        <w:ind w:firstLine="220" w:firstLineChars="100"/>
        <w:jc w:val="left"/>
        <w:rPr>
          <w:rFonts w:ascii="宋体" w:hAnsi="宋体"/>
          <w:sz w:val="22"/>
        </w:rPr>
      </w:pPr>
      <w:r>
        <w:rPr>
          <w:rFonts w:hint="eastAsia" w:ascii="宋体" w:hAnsi="宋体"/>
          <w:sz w:val="22"/>
        </w:rPr>
        <w:t>（7）柜台高度需满足员工在岗服务期间的舒适性，在员工坐姿状态</w:t>
      </w:r>
      <w:r>
        <w:rPr>
          <w:rFonts w:hint="eastAsia" w:ascii="宋体" w:hAnsi="宋体"/>
          <w:b/>
          <w:sz w:val="22"/>
        </w:rPr>
        <w:t>（高脚凳）</w:t>
      </w:r>
      <w:r>
        <w:rPr>
          <w:rFonts w:hint="eastAsia" w:ascii="宋体" w:hAnsi="宋体"/>
          <w:sz w:val="22"/>
        </w:rPr>
        <w:t>下能舒适、方便地查询电脑，站姿状态下无需大角度弯腰查询电脑，且同时能与旅客顺畅沟通。避免因柜面高度问题，导致员工坐姿状态下被柜面掩盖，柜台外视角无法看到问询人员。</w:t>
      </w:r>
    </w:p>
    <w:p>
      <w:pPr>
        <w:widowControl/>
        <w:spacing w:line="360" w:lineRule="auto"/>
        <w:ind w:firstLine="220" w:firstLineChars="100"/>
        <w:jc w:val="left"/>
        <w:rPr>
          <w:rFonts w:ascii="宋体" w:hAnsi="宋体"/>
          <w:sz w:val="22"/>
        </w:rPr>
      </w:pPr>
      <w:r>
        <w:rPr>
          <w:rFonts w:hint="eastAsia" w:ascii="宋体" w:hAnsi="宋体"/>
          <w:sz w:val="22"/>
        </w:rPr>
        <w:t>（8）柜台宽度需人性化设计，使柜台内员工与旅客沟通时，保持合理的交流距离。</w:t>
      </w:r>
    </w:p>
    <w:p>
      <w:pPr>
        <w:widowControl/>
        <w:spacing w:line="360" w:lineRule="auto"/>
        <w:ind w:firstLine="220" w:firstLineChars="100"/>
        <w:jc w:val="left"/>
        <w:rPr>
          <w:rFonts w:ascii="宋体" w:hAnsi="宋体"/>
          <w:sz w:val="22"/>
        </w:rPr>
      </w:pPr>
      <w:r>
        <w:rPr>
          <w:rFonts w:hint="eastAsia" w:ascii="宋体" w:hAnsi="宋体"/>
          <w:sz w:val="22"/>
        </w:rPr>
        <w:t>（9）配备相关强弱电。</w:t>
      </w:r>
    </w:p>
    <w:p>
      <w:pPr>
        <w:widowControl/>
        <w:spacing w:line="360" w:lineRule="auto"/>
        <w:jc w:val="left"/>
        <w:rPr>
          <w:rFonts w:ascii="宋体" w:hAnsi="宋体"/>
          <w:b/>
          <w:sz w:val="22"/>
        </w:rPr>
      </w:pPr>
      <w:r>
        <w:rPr>
          <w:rFonts w:hint="eastAsia" w:ascii="宋体" w:hAnsi="宋体"/>
          <w:b/>
          <w:sz w:val="22"/>
        </w:rPr>
        <w:t xml:space="preserve">    2.3问询台标识标牌设计要求</w:t>
      </w:r>
    </w:p>
    <w:p>
      <w:pPr>
        <w:widowControl/>
        <w:spacing w:line="360" w:lineRule="auto"/>
        <w:jc w:val="left"/>
        <w:rPr>
          <w:rFonts w:ascii="宋体" w:hAnsi="宋体"/>
          <w:sz w:val="22"/>
        </w:rPr>
      </w:pPr>
      <w:r>
        <w:rPr>
          <w:rFonts w:hint="eastAsia" w:ascii="宋体" w:hAnsi="宋体"/>
          <w:sz w:val="22"/>
        </w:rPr>
        <w:t xml:space="preserve">    (1)问询柜台需有突出、醒目的问询台标志，便于旅客查找。字体格式、颜色与航站楼标识系统一致。</w:t>
      </w:r>
    </w:p>
    <w:p>
      <w:pPr>
        <w:widowControl/>
        <w:spacing w:line="360" w:lineRule="auto"/>
        <w:jc w:val="left"/>
        <w:rPr>
          <w:rFonts w:ascii="宋体" w:hAnsi="宋体"/>
          <w:sz w:val="22"/>
        </w:rPr>
      </w:pPr>
      <w:r>
        <w:rPr>
          <w:rFonts w:hint="eastAsia" w:ascii="宋体" w:hAnsi="宋体"/>
          <w:sz w:val="22"/>
        </w:rPr>
        <w:t xml:space="preserve">    (2)柜台主体需有“杭州萧山国际机场有限公司”LOGO及字样、“空港百灵”品牌字样。</w:t>
      </w:r>
    </w:p>
    <w:p>
      <w:pPr>
        <w:widowControl/>
        <w:spacing w:line="360" w:lineRule="auto"/>
        <w:jc w:val="left"/>
        <w:rPr>
          <w:rFonts w:ascii="宋体" w:hAnsi="宋体"/>
          <w:sz w:val="22"/>
        </w:rPr>
      </w:pPr>
      <w:r>
        <w:rPr>
          <w:rFonts w:hint="eastAsia" w:ascii="宋体" w:hAnsi="宋体"/>
          <w:sz w:val="22"/>
        </w:rPr>
        <w:t xml:space="preserve">    (3)残疾人服务柜台需配有醒目指示标志。</w:t>
      </w:r>
    </w:p>
    <w:p>
      <w:pPr>
        <w:widowControl/>
        <w:spacing w:line="360" w:lineRule="auto"/>
        <w:jc w:val="left"/>
        <w:rPr>
          <w:rFonts w:ascii="宋体" w:hAnsi="宋体"/>
          <w:b/>
          <w:sz w:val="22"/>
        </w:rPr>
      </w:pPr>
      <w:r>
        <w:rPr>
          <w:rFonts w:hint="eastAsia" w:ascii="宋体" w:hAnsi="宋体"/>
          <w:b/>
          <w:sz w:val="22"/>
        </w:rPr>
        <w:t xml:space="preserve">    2.4问询台内设施设备要求</w:t>
      </w:r>
    </w:p>
    <w:p>
      <w:pPr>
        <w:widowControl/>
        <w:spacing w:line="360" w:lineRule="auto"/>
        <w:jc w:val="left"/>
        <w:rPr>
          <w:rFonts w:ascii="宋体" w:hAnsi="宋体"/>
          <w:sz w:val="22"/>
        </w:rPr>
      </w:pPr>
      <w:r>
        <w:rPr>
          <w:rFonts w:hint="eastAsia" w:ascii="宋体" w:hAnsi="宋体"/>
          <w:sz w:val="22"/>
        </w:rPr>
        <w:t>（1）柜台内需设有配套两把座椅、一台内通对讲电话、一台传真复印打印一体机、两台电脑、一部电话。</w:t>
      </w:r>
    </w:p>
    <w:p>
      <w:pPr>
        <w:widowControl/>
        <w:spacing w:line="360" w:lineRule="auto"/>
        <w:jc w:val="left"/>
        <w:rPr>
          <w:rFonts w:ascii="宋体" w:hAnsi="宋体"/>
          <w:sz w:val="22"/>
        </w:rPr>
      </w:pPr>
      <w:r>
        <w:rPr>
          <w:rFonts w:hint="eastAsia" w:ascii="宋体" w:hAnsi="宋体"/>
          <w:sz w:val="22"/>
        </w:rPr>
        <w:t>（2）柜台内需设固定悬挂式监控监听设备，能无死角、清晰摄录柜台内情况，录音设备能清晰记录工作对话，并通过网络端保存摄录信息，可实时通过手机端查看监控。</w:t>
      </w:r>
    </w:p>
    <w:p>
      <w:pPr>
        <w:widowControl/>
        <w:spacing w:line="360" w:lineRule="auto"/>
        <w:jc w:val="left"/>
        <w:rPr>
          <w:rFonts w:ascii="宋体" w:hAnsi="宋体"/>
          <w:sz w:val="22"/>
        </w:rPr>
      </w:pPr>
      <w:r>
        <w:rPr>
          <w:rFonts w:hint="eastAsia" w:ascii="宋体" w:hAnsi="宋体"/>
          <w:sz w:val="22"/>
        </w:rPr>
        <w:t>（3）柜台内需设固定鹅颈式扩音话筒，方便问询员与旅客沟通。</w:t>
      </w:r>
    </w:p>
    <w:p>
      <w:pPr>
        <w:adjustRightInd w:val="0"/>
        <w:snapToGrid w:val="0"/>
        <w:spacing w:line="360" w:lineRule="auto"/>
        <w:rPr>
          <w:rFonts w:ascii="宋体" w:hAnsi="宋体" w:cs="宋体"/>
          <w:b/>
          <w:szCs w:val="21"/>
        </w:rPr>
      </w:pPr>
      <w:r>
        <w:rPr>
          <w:rFonts w:hint="eastAsia" w:ascii="宋体" w:hAnsi="宋体"/>
          <w:sz w:val="22"/>
        </w:rPr>
        <w:t>（4）设备设施需求清单</w:t>
      </w:r>
    </w:p>
    <w:tbl>
      <w:tblPr>
        <w:tblStyle w:val="5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1900"/>
        <w:gridCol w:w="4755"/>
        <w:gridCol w:w="11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8" w:type="dxa"/>
            <w:tcBorders>
              <w:top w:val="single" w:color="auto" w:sz="4" w:space="0"/>
              <w:left w:val="single" w:color="auto" w:sz="4" w:space="0"/>
              <w:bottom w:val="single" w:color="auto" w:sz="4" w:space="0"/>
              <w:right w:val="single" w:color="auto" w:sz="4" w:space="0"/>
            </w:tcBorders>
          </w:tcPr>
          <w:p>
            <w:pPr>
              <w:spacing w:line="360" w:lineRule="auto"/>
              <w:jc w:val="left"/>
              <w:rPr>
                <w:rFonts w:ascii="宋体" w:hAnsi="宋体" w:cs="宋体"/>
                <w:szCs w:val="21"/>
              </w:rPr>
            </w:pPr>
            <w:r>
              <w:rPr>
                <w:rFonts w:hint="eastAsia" w:ascii="宋体" w:hAnsi="宋体" w:cs="宋体"/>
                <w:szCs w:val="21"/>
              </w:rPr>
              <w:t>序号</w:t>
            </w:r>
          </w:p>
        </w:tc>
        <w:tc>
          <w:tcPr>
            <w:tcW w:w="6655" w:type="dxa"/>
            <w:gridSpan w:val="2"/>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szCs w:val="21"/>
              </w:rPr>
            </w:pPr>
            <w:r>
              <w:rPr>
                <w:rFonts w:hint="eastAsia" w:ascii="宋体" w:hAnsi="宋体" w:cs="宋体"/>
                <w:szCs w:val="21"/>
              </w:rPr>
              <w:t>需求类型</w:t>
            </w:r>
          </w:p>
        </w:tc>
        <w:tc>
          <w:tcPr>
            <w:tcW w:w="1159" w:type="dxa"/>
            <w:tcBorders>
              <w:top w:val="single" w:color="auto" w:sz="4" w:space="0"/>
              <w:left w:val="single" w:color="auto" w:sz="4" w:space="0"/>
              <w:bottom w:val="single" w:color="auto" w:sz="4" w:space="0"/>
              <w:right w:val="single" w:color="auto" w:sz="4" w:space="0"/>
            </w:tcBorders>
          </w:tcPr>
          <w:p>
            <w:pPr>
              <w:spacing w:line="360" w:lineRule="auto"/>
              <w:jc w:val="left"/>
              <w:rPr>
                <w:rFonts w:ascii="宋体" w:hAnsi="宋体" w:cs="宋体"/>
                <w:szCs w:val="21"/>
              </w:rPr>
            </w:pPr>
            <w:r>
              <w:rPr>
                <w:rFonts w:hint="eastAsia" w:ascii="宋体" w:hAnsi="宋体" w:cs="宋体"/>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2" w:hRule="atLeast"/>
        </w:trPr>
        <w:tc>
          <w:tcPr>
            <w:tcW w:w="708" w:type="dxa"/>
            <w:tcBorders>
              <w:top w:val="single" w:color="auto" w:sz="4" w:space="0"/>
              <w:left w:val="single" w:color="auto" w:sz="4" w:space="0"/>
              <w:bottom w:val="single" w:color="auto" w:sz="4" w:space="0"/>
              <w:right w:val="single" w:color="auto" w:sz="4" w:space="0"/>
            </w:tcBorders>
          </w:tcPr>
          <w:p>
            <w:pPr>
              <w:spacing w:line="360" w:lineRule="auto"/>
              <w:jc w:val="left"/>
              <w:rPr>
                <w:rFonts w:ascii="宋体" w:hAnsi="宋体" w:cs="宋体"/>
                <w:szCs w:val="21"/>
              </w:rPr>
            </w:pPr>
            <w:r>
              <w:rPr>
                <w:rFonts w:hint="eastAsia" w:ascii="宋体" w:hAnsi="宋体" w:cs="宋体"/>
                <w:szCs w:val="21"/>
              </w:rPr>
              <w:t>1</w:t>
            </w:r>
          </w:p>
        </w:tc>
        <w:tc>
          <w:tcPr>
            <w:tcW w:w="1900" w:type="dxa"/>
            <w:vMerge w:val="restart"/>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szCs w:val="21"/>
              </w:rPr>
            </w:pPr>
          </w:p>
          <w:p>
            <w:pPr>
              <w:spacing w:line="360" w:lineRule="auto"/>
              <w:jc w:val="center"/>
              <w:rPr>
                <w:rFonts w:ascii="宋体" w:hAnsi="宋体" w:cs="宋体"/>
                <w:szCs w:val="21"/>
              </w:rPr>
            </w:pPr>
          </w:p>
          <w:p>
            <w:pPr>
              <w:spacing w:line="360" w:lineRule="auto"/>
              <w:jc w:val="center"/>
              <w:rPr>
                <w:rFonts w:ascii="宋体" w:hAnsi="宋体" w:cs="宋体"/>
                <w:szCs w:val="21"/>
              </w:rPr>
            </w:pPr>
          </w:p>
          <w:p>
            <w:pPr>
              <w:spacing w:line="360" w:lineRule="auto"/>
              <w:jc w:val="center"/>
              <w:rPr>
                <w:rFonts w:ascii="宋体" w:hAnsi="宋体" w:cs="宋体"/>
                <w:szCs w:val="21"/>
              </w:rPr>
            </w:pPr>
          </w:p>
          <w:p>
            <w:pPr>
              <w:spacing w:line="360" w:lineRule="auto"/>
              <w:jc w:val="center"/>
              <w:rPr>
                <w:rFonts w:ascii="宋体" w:hAnsi="宋体" w:cs="宋体"/>
                <w:szCs w:val="21"/>
              </w:rPr>
            </w:pPr>
          </w:p>
          <w:p>
            <w:pPr>
              <w:spacing w:line="360" w:lineRule="auto"/>
              <w:jc w:val="center"/>
              <w:rPr>
                <w:rFonts w:ascii="宋体" w:hAnsi="宋体" w:cs="宋体"/>
                <w:szCs w:val="21"/>
              </w:rPr>
            </w:pPr>
          </w:p>
          <w:p>
            <w:pPr>
              <w:spacing w:line="360" w:lineRule="auto"/>
              <w:jc w:val="center"/>
              <w:rPr>
                <w:rFonts w:ascii="宋体" w:hAnsi="宋体" w:cs="宋体"/>
                <w:szCs w:val="21"/>
              </w:rPr>
            </w:pPr>
          </w:p>
          <w:p>
            <w:pPr>
              <w:spacing w:line="360" w:lineRule="auto"/>
              <w:jc w:val="center"/>
              <w:rPr>
                <w:rFonts w:ascii="宋体" w:hAnsi="宋体" w:cs="宋体"/>
                <w:szCs w:val="21"/>
              </w:rPr>
            </w:pPr>
            <w:r>
              <w:rPr>
                <w:rFonts w:hint="eastAsia" w:ascii="宋体" w:hAnsi="宋体" w:cs="宋体"/>
                <w:szCs w:val="21"/>
              </w:rPr>
              <w:t>设备需求</w:t>
            </w:r>
          </w:p>
        </w:tc>
        <w:tc>
          <w:tcPr>
            <w:tcW w:w="47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座椅(具备高地升降功能,有靠背,坐感舒适)</w:t>
            </w:r>
          </w:p>
        </w:tc>
        <w:tc>
          <w:tcPr>
            <w:tcW w:w="1159" w:type="dxa"/>
            <w:tcBorders>
              <w:top w:val="single" w:color="auto" w:sz="4" w:space="0"/>
              <w:left w:val="single" w:color="auto" w:sz="4" w:space="0"/>
              <w:bottom w:val="single" w:color="auto" w:sz="4" w:space="0"/>
              <w:right w:val="single" w:color="auto" w:sz="4" w:space="0"/>
            </w:tcBorders>
          </w:tcPr>
          <w:p>
            <w:pPr>
              <w:spacing w:line="360" w:lineRule="auto"/>
              <w:jc w:val="left"/>
              <w:rPr>
                <w:rFonts w:ascii="宋体" w:hAnsi="宋体" w:cs="宋体"/>
                <w:szCs w:val="21"/>
              </w:rPr>
            </w:pPr>
            <w:r>
              <w:rPr>
                <w:rFonts w:hint="eastAsia" w:ascii="宋体" w:hAnsi="宋体" w:cs="宋体"/>
                <w:szCs w:val="21"/>
              </w:rPr>
              <w:t>2把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3" w:hRule="atLeast"/>
        </w:trPr>
        <w:tc>
          <w:tcPr>
            <w:tcW w:w="708" w:type="dxa"/>
            <w:tcBorders>
              <w:top w:val="single" w:color="auto" w:sz="4" w:space="0"/>
              <w:left w:val="single" w:color="auto" w:sz="4" w:space="0"/>
              <w:bottom w:val="single" w:color="auto" w:sz="4" w:space="0"/>
              <w:right w:val="single" w:color="auto" w:sz="4" w:space="0"/>
            </w:tcBorders>
          </w:tcPr>
          <w:p>
            <w:pPr>
              <w:spacing w:line="360" w:lineRule="auto"/>
              <w:jc w:val="left"/>
              <w:rPr>
                <w:rFonts w:ascii="宋体" w:hAnsi="宋体" w:cs="宋体"/>
                <w:szCs w:val="21"/>
              </w:rPr>
            </w:pPr>
            <w:r>
              <w:rPr>
                <w:rFonts w:hint="eastAsia" w:ascii="宋体" w:hAnsi="宋体" w:cs="宋体"/>
                <w:szCs w:val="21"/>
              </w:rPr>
              <w:t>2</w:t>
            </w:r>
          </w:p>
        </w:tc>
        <w:tc>
          <w:tcPr>
            <w:tcW w:w="19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4755" w:type="dxa"/>
            <w:tcBorders>
              <w:top w:val="single" w:color="auto" w:sz="4" w:space="0"/>
              <w:left w:val="single" w:color="auto" w:sz="4" w:space="0"/>
              <w:bottom w:val="single" w:color="auto" w:sz="4" w:space="0"/>
              <w:right w:val="single" w:color="auto" w:sz="4" w:space="0"/>
            </w:tcBorders>
            <w:vAlign w:val="center"/>
          </w:tcPr>
          <w:p>
            <w:pPr>
              <w:pStyle w:val="2"/>
              <w:rPr>
                <w:rFonts w:ascii="宋体" w:hAnsi="宋体" w:cs="宋体"/>
                <w:b w:val="0"/>
                <w:szCs w:val="21"/>
              </w:rPr>
            </w:pPr>
            <w:r>
              <w:rPr>
                <w:rFonts w:hint="eastAsia" w:ascii="宋体" w:hAnsi="宋体" w:cs="宋体"/>
                <w:b w:val="0"/>
                <w:bCs w:val="0"/>
                <w:kern w:val="2"/>
                <w:sz w:val="21"/>
                <w:szCs w:val="21"/>
              </w:rPr>
              <w:t>办公电脑(DELL XPS台式机 (黑色),含显示屏</w:t>
            </w:r>
          </w:p>
        </w:tc>
        <w:tc>
          <w:tcPr>
            <w:tcW w:w="1159" w:type="dxa"/>
            <w:tcBorders>
              <w:top w:val="single" w:color="auto" w:sz="4" w:space="0"/>
              <w:left w:val="single" w:color="auto" w:sz="4" w:space="0"/>
              <w:bottom w:val="single" w:color="auto" w:sz="4" w:space="0"/>
              <w:right w:val="single" w:color="auto" w:sz="4" w:space="0"/>
            </w:tcBorders>
          </w:tcPr>
          <w:p>
            <w:pPr>
              <w:spacing w:line="360" w:lineRule="auto"/>
              <w:jc w:val="left"/>
              <w:rPr>
                <w:rFonts w:ascii="宋体" w:hAnsi="宋体" w:cs="宋体"/>
                <w:szCs w:val="21"/>
              </w:rPr>
            </w:pPr>
            <w:r>
              <w:rPr>
                <w:rFonts w:hint="eastAsia" w:ascii="宋体" w:hAnsi="宋体" w:cs="宋体"/>
                <w:szCs w:val="21"/>
              </w:rPr>
              <w:t>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8" w:type="dxa"/>
            <w:tcBorders>
              <w:top w:val="single" w:color="auto" w:sz="4" w:space="0"/>
              <w:left w:val="single" w:color="auto" w:sz="4" w:space="0"/>
              <w:bottom w:val="single" w:color="auto" w:sz="4" w:space="0"/>
              <w:right w:val="single" w:color="auto" w:sz="4" w:space="0"/>
            </w:tcBorders>
          </w:tcPr>
          <w:p>
            <w:pPr>
              <w:spacing w:line="360" w:lineRule="auto"/>
              <w:jc w:val="left"/>
              <w:rPr>
                <w:rFonts w:ascii="宋体" w:hAnsi="宋体" w:cs="宋体"/>
                <w:szCs w:val="21"/>
              </w:rPr>
            </w:pPr>
            <w:r>
              <w:rPr>
                <w:rFonts w:hint="eastAsia" w:ascii="宋体" w:hAnsi="宋体" w:cs="宋体"/>
                <w:szCs w:val="21"/>
              </w:rPr>
              <w:t>4</w:t>
            </w:r>
          </w:p>
        </w:tc>
        <w:tc>
          <w:tcPr>
            <w:tcW w:w="19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47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电话机</w:t>
            </w:r>
          </w:p>
        </w:tc>
        <w:tc>
          <w:tcPr>
            <w:tcW w:w="1159" w:type="dxa"/>
            <w:tcBorders>
              <w:top w:val="single" w:color="auto" w:sz="4" w:space="0"/>
              <w:left w:val="single" w:color="auto" w:sz="4" w:space="0"/>
              <w:bottom w:val="single" w:color="auto" w:sz="4" w:space="0"/>
              <w:right w:val="single" w:color="auto" w:sz="4" w:space="0"/>
            </w:tcBorders>
          </w:tcPr>
          <w:p>
            <w:pPr>
              <w:spacing w:line="360" w:lineRule="auto"/>
              <w:jc w:val="left"/>
              <w:rPr>
                <w:rFonts w:ascii="宋体" w:hAnsi="宋体" w:cs="宋体"/>
                <w:szCs w:val="21"/>
              </w:rPr>
            </w:pPr>
            <w:r>
              <w:rPr>
                <w:rFonts w:hint="eastAsia" w:ascii="宋体" w:hAnsi="宋体" w:cs="宋体"/>
                <w:szCs w:val="21"/>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8" w:type="dxa"/>
            <w:tcBorders>
              <w:top w:val="single" w:color="auto" w:sz="4" w:space="0"/>
              <w:left w:val="single" w:color="auto" w:sz="4" w:space="0"/>
              <w:bottom w:val="single" w:color="auto" w:sz="4" w:space="0"/>
              <w:right w:val="single" w:color="auto" w:sz="4" w:space="0"/>
            </w:tcBorders>
          </w:tcPr>
          <w:p>
            <w:pPr>
              <w:spacing w:line="360" w:lineRule="auto"/>
              <w:jc w:val="left"/>
              <w:rPr>
                <w:rFonts w:ascii="宋体" w:hAnsi="宋体" w:cs="宋体"/>
                <w:szCs w:val="21"/>
              </w:rPr>
            </w:pPr>
            <w:r>
              <w:rPr>
                <w:rFonts w:hint="eastAsia" w:ascii="宋体" w:hAnsi="宋体" w:cs="宋体"/>
                <w:szCs w:val="21"/>
              </w:rPr>
              <w:t>5</w:t>
            </w:r>
          </w:p>
        </w:tc>
        <w:tc>
          <w:tcPr>
            <w:tcW w:w="19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47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传真打印复印一体机</w:t>
            </w:r>
          </w:p>
        </w:tc>
        <w:tc>
          <w:tcPr>
            <w:tcW w:w="1159" w:type="dxa"/>
            <w:tcBorders>
              <w:top w:val="single" w:color="auto" w:sz="4" w:space="0"/>
              <w:left w:val="single" w:color="auto" w:sz="4" w:space="0"/>
              <w:bottom w:val="single" w:color="auto" w:sz="4" w:space="0"/>
              <w:right w:val="single" w:color="auto" w:sz="4" w:space="0"/>
            </w:tcBorders>
          </w:tcPr>
          <w:p>
            <w:pPr>
              <w:spacing w:line="360" w:lineRule="auto"/>
              <w:jc w:val="left"/>
              <w:rPr>
                <w:rFonts w:ascii="宋体" w:hAnsi="宋体" w:cs="宋体"/>
                <w:szCs w:val="21"/>
              </w:rPr>
            </w:pPr>
            <w:r>
              <w:rPr>
                <w:rFonts w:hint="eastAsia" w:ascii="宋体" w:hAnsi="宋体" w:cs="宋体"/>
                <w:szCs w:val="21"/>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8" w:type="dxa"/>
            <w:tcBorders>
              <w:top w:val="single" w:color="auto" w:sz="4" w:space="0"/>
              <w:left w:val="single" w:color="auto" w:sz="4" w:space="0"/>
              <w:bottom w:val="single" w:color="auto" w:sz="4" w:space="0"/>
              <w:right w:val="single" w:color="auto" w:sz="4" w:space="0"/>
            </w:tcBorders>
          </w:tcPr>
          <w:p>
            <w:pPr>
              <w:spacing w:line="360" w:lineRule="auto"/>
              <w:jc w:val="left"/>
              <w:rPr>
                <w:rFonts w:ascii="宋体" w:hAnsi="宋体" w:cs="宋体"/>
                <w:szCs w:val="21"/>
              </w:rPr>
            </w:pPr>
            <w:r>
              <w:rPr>
                <w:rFonts w:hint="eastAsia" w:ascii="宋体" w:hAnsi="宋体" w:cs="宋体"/>
                <w:szCs w:val="21"/>
              </w:rPr>
              <w:t>6</w:t>
            </w:r>
          </w:p>
        </w:tc>
        <w:tc>
          <w:tcPr>
            <w:tcW w:w="19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47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监控设备(品牌海康威视，内存在24小时以上,有手机监控功能，监控资料存储时间不少于24天)</w:t>
            </w:r>
          </w:p>
        </w:tc>
        <w:tc>
          <w:tcPr>
            <w:tcW w:w="1159" w:type="dxa"/>
            <w:tcBorders>
              <w:top w:val="single" w:color="auto" w:sz="4" w:space="0"/>
              <w:left w:val="single" w:color="auto" w:sz="4" w:space="0"/>
              <w:bottom w:val="single" w:color="auto" w:sz="4" w:space="0"/>
              <w:right w:val="single" w:color="auto" w:sz="4" w:space="0"/>
            </w:tcBorders>
          </w:tcPr>
          <w:p>
            <w:pPr>
              <w:spacing w:line="360" w:lineRule="auto"/>
              <w:jc w:val="left"/>
              <w:rPr>
                <w:rFonts w:ascii="宋体" w:hAnsi="宋体" w:cs="宋体"/>
                <w:szCs w:val="21"/>
              </w:rPr>
            </w:pPr>
            <w:r>
              <w:rPr>
                <w:rFonts w:hint="eastAsia" w:ascii="宋体" w:hAnsi="宋体" w:cs="宋体"/>
                <w:szCs w:val="21"/>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8" w:type="dxa"/>
            <w:tcBorders>
              <w:top w:val="single" w:color="auto" w:sz="4" w:space="0"/>
              <w:left w:val="single" w:color="auto" w:sz="4" w:space="0"/>
              <w:bottom w:val="single" w:color="auto" w:sz="4" w:space="0"/>
              <w:right w:val="single" w:color="auto" w:sz="4" w:space="0"/>
            </w:tcBorders>
          </w:tcPr>
          <w:p>
            <w:pPr>
              <w:spacing w:line="360" w:lineRule="auto"/>
              <w:jc w:val="left"/>
              <w:rPr>
                <w:rFonts w:ascii="宋体" w:hAnsi="宋体" w:cs="宋体"/>
                <w:szCs w:val="21"/>
              </w:rPr>
            </w:pPr>
            <w:r>
              <w:rPr>
                <w:rFonts w:hint="eastAsia" w:ascii="宋体" w:hAnsi="宋体" w:cs="宋体"/>
                <w:szCs w:val="21"/>
              </w:rPr>
              <w:t>8</w:t>
            </w:r>
          </w:p>
        </w:tc>
        <w:tc>
          <w:tcPr>
            <w:tcW w:w="19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47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扩音话筒</w:t>
            </w:r>
          </w:p>
        </w:tc>
        <w:tc>
          <w:tcPr>
            <w:tcW w:w="1159" w:type="dxa"/>
            <w:tcBorders>
              <w:top w:val="single" w:color="auto" w:sz="4" w:space="0"/>
              <w:left w:val="single" w:color="auto" w:sz="4" w:space="0"/>
              <w:bottom w:val="single" w:color="auto" w:sz="4" w:space="0"/>
              <w:right w:val="single" w:color="auto" w:sz="4" w:space="0"/>
            </w:tcBorders>
          </w:tcPr>
          <w:p>
            <w:pPr>
              <w:spacing w:line="360" w:lineRule="auto"/>
              <w:jc w:val="left"/>
              <w:rPr>
                <w:rFonts w:ascii="宋体" w:hAnsi="宋体" w:cs="宋体"/>
                <w:szCs w:val="21"/>
              </w:rPr>
            </w:pPr>
            <w:r>
              <w:rPr>
                <w:rFonts w:hint="eastAsia" w:ascii="宋体" w:hAnsi="宋体" w:cs="宋体"/>
                <w:szCs w:val="21"/>
              </w:rPr>
              <w:t>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8" w:type="dxa"/>
            <w:tcBorders>
              <w:top w:val="single" w:color="auto" w:sz="4" w:space="0"/>
              <w:left w:val="single" w:color="auto" w:sz="4" w:space="0"/>
              <w:bottom w:val="single" w:color="auto" w:sz="4" w:space="0"/>
              <w:right w:val="single" w:color="auto" w:sz="4" w:space="0"/>
            </w:tcBorders>
          </w:tcPr>
          <w:p>
            <w:pPr>
              <w:spacing w:line="360" w:lineRule="auto"/>
              <w:jc w:val="left"/>
              <w:rPr>
                <w:rFonts w:ascii="宋体" w:hAnsi="宋体" w:cs="宋体"/>
                <w:szCs w:val="21"/>
              </w:rPr>
            </w:pPr>
            <w:r>
              <w:rPr>
                <w:rFonts w:hint="eastAsia" w:ascii="宋体" w:hAnsi="宋体" w:cs="宋体"/>
                <w:szCs w:val="21"/>
              </w:rPr>
              <w:t>9</w:t>
            </w:r>
          </w:p>
        </w:tc>
        <w:tc>
          <w:tcPr>
            <w:tcW w:w="19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47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录音设备</w:t>
            </w:r>
          </w:p>
        </w:tc>
        <w:tc>
          <w:tcPr>
            <w:tcW w:w="1159" w:type="dxa"/>
            <w:tcBorders>
              <w:top w:val="single" w:color="auto" w:sz="4" w:space="0"/>
              <w:left w:val="single" w:color="auto" w:sz="4" w:space="0"/>
              <w:bottom w:val="single" w:color="auto" w:sz="4" w:space="0"/>
              <w:right w:val="single" w:color="auto" w:sz="4" w:space="0"/>
            </w:tcBorders>
          </w:tcPr>
          <w:p>
            <w:pPr>
              <w:spacing w:line="360" w:lineRule="auto"/>
              <w:jc w:val="left"/>
              <w:rPr>
                <w:rFonts w:ascii="宋体" w:hAnsi="宋体" w:cs="宋体"/>
                <w:szCs w:val="21"/>
              </w:rPr>
            </w:pPr>
            <w:r>
              <w:rPr>
                <w:rFonts w:hint="eastAsia" w:ascii="宋体" w:hAnsi="宋体" w:cs="宋体"/>
                <w:szCs w:val="21"/>
              </w:rPr>
              <w:t>2台</w:t>
            </w:r>
          </w:p>
        </w:tc>
      </w:tr>
    </w:tbl>
    <w:p>
      <w:pPr>
        <w:widowControl/>
        <w:spacing w:line="360" w:lineRule="auto"/>
        <w:jc w:val="left"/>
        <w:rPr>
          <w:rFonts w:ascii="宋体" w:hAnsi="宋体"/>
          <w:b/>
          <w:sz w:val="22"/>
        </w:rPr>
      </w:pPr>
      <w:r>
        <w:rPr>
          <w:rFonts w:hint="eastAsia" w:ascii="宋体" w:hAnsi="宋体"/>
          <w:b/>
          <w:sz w:val="22"/>
        </w:rPr>
        <w:t xml:space="preserve">    2.3柜台建设要求</w:t>
      </w:r>
    </w:p>
    <w:p>
      <w:pPr>
        <w:widowControl/>
        <w:spacing w:line="360" w:lineRule="auto"/>
        <w:jc w:val="left"/>
        <w:rPr>
          <w:rFonts w:ascii="宋体" w:hAnsi="宋体"/>
          <w:sz w:val="22"/>
        </w:rPr>
      </w:pPr>
      <w:r>
        <w:rPr>
          <w:rFonts w:hint="eastAsia" w:ascii="宋体" w:hAnsi="宋体"/>
          <w:sz w:val="22"/>
        </w:rPr>
        <w:t xml:space="preserve">   (1)工程建设应在不影响候机楼正常运行秩序的前提下进行，中标方应提前对柜台区域进行包围，并悬挂相应提醒标志。</w:t>
      </w:r>
    </w:p>
    <w:p>
      <w:pPr>
        <w:widowControl/>
        <w:spacing w:line="360" w:lineRule="auto"/>
        <w:ind w:firstLine="330" w:firstLineChars="150"/>
        <w:jc w:val="left"/>
        <w:rPr>
          <w:rFonts w:ascii="宋体" w:hAnsi="宋体"/>
          <w:sz w:val="22"/>
        </w:rPr>
      </w:pPr>
      <w:r>
        <w:rPr>
          <w:rFonts w:hint="eastAsia" w:ascii="宋体" w:hAnsi="宋体"/>
          <w:b/>
          <w:sz w:val="22"/>
        </w:rPr>
        <w:t>(2)新柜台区域建造应以成品拼接为主，</w:t>
      </w:r>
      <w:r>
        <w:rPr>
          <w:rFonts w:hint="eastAsia" w:ascii="宋体" w:hAnsi="宋体"/>
          <w:sz w:val="22"/>
        </w:rPr>
        <w:t>严禁破坏区域内地板、墙面、柱子等，不得在地面进行钻孔施工，柜台具备可拆除搬迁功能，同时需满足柜台使用的稳固性。</w:t>
      </w:r>
    </w:p>
    <w:p>
      <w:pPr>
        <w:widowControl/>
        <w:spacing w:line="360" w:lineRule="auto"/>
        <w:jc w:val="left"/>
        <w:rPr>
          <w:rFonts w:ascii="宋体" w:hAnsi="宋体"/>
          <w:sz w:val="22"/>
        </w:rPr>
      </w:pPr>
      <w:r>
        <w:rPr>
          <w:rFonts w:hint="eastAsia" w:ascii="宋体" w:hAnsi="宋体"/>
          <w:sz w:val="22"/>
        </w:rPr>
        <w:t xml:space="preserve">   (3)柜台建设完成后，应对该区域进行整体复原，不得出现线路裸露、地板不平整、破损等情况。</w:t>
      </w:r>
    </w:p>
    <w:p>
      <w:pPr>
        <w:widowControl/>
        <w:spacing w:line="360" w:lineRule="auto"/>
        <w:jc w:val="left"/>
        <w:rPr>
          <w:rFonts w:ascii="宋体" w:hAnsi="宋体"/>
          <w:sz w:val="22"/>
        </w:rPr>
      </w:pPr>
      <w:r>
        <w:rPr>
          <w:rFonts w:hint="eastAsia" w:ascii="宋体" w:hAnsi="宋体"/>
          <w:sz w:val="22"/>
        </w:rPr>
        <w:t xml:space="preserve">   (4)中标方按规定路线将废料及时清运出航站楼，并负责废料的倾倒及其相应费用。</w:t>
      </w:r>
    </w:p>
    <w:p>
      <w:pPr>
        <w:widowControl/>
        <w:spacing w:line="360" w:lineRule="auto"/>
        <w:jc w:val="left"/>
        <w:rPr>
          <w:rFonts w:ascii="宋体" w:hAnsi="宋体"/>
          <w:sz w:val="22"/>
        </w:rPr>
      </w:pPr>
      <w:r>
        <w:rPr>
          <w:rFonts w:hint="eastAsia" w:ascii="宋体" w:hAnsi="宋体"/>
          <w:sz w:val="22"/>
        </w:rPr>
        <w:t xml:space="preserve">   (5)杜绝因建设造成航站楼设施设备损坏、停水停电等人为事故，如造成机场损失的将承担赔偿直至追究法律责任。</w:t>
      </w:r>
    </w:p>
    <w:p>
      <w:pPr>
        <w:spacing w:line="360" w:lineRule="auto"/>
        <w:rPr>
          <w:rFonts w:ascii="宋体" w:hAnsi="宋体"/>
          <w:b/>
          <w:sz w:val="22"/>
        </w:rPr>
      </w:pPr>
      <w:r>
        <w:rPr>
          <w:rFonts w:hint="eastAsia" w:ascii="宋体" w:hAnsi="宋体"/>
          <w:b/>
          <w:sz w:val="22"/>
        </w:rPr>
        <w:t xml:space="preserve">    3、其他要求</w:t>
      </w:r>
    </w:p>
    <w:p>
      <w:pPr>
        <w:spacing w:line="360" w:lineRule="auto"/>
        <w:ind w:firstLine="440" w:firstLineChars="200"/>
        <w:rPr>
          <w:rFonts w:ascii="宋体" w:hAnsi="宋体"/>
          <w:sz w:val="22"/>
        </w:rPr>
      </w:pPr>
      <w:r>
        <w:rPr>
          <w:rFonts w:hint="eastAsia" w:ascii="宋体" w:hAnsi="宋体"/>
          <w:sz w:val="22"/>
        </w:rPr>
        <w:t>*投标人应提出T1综合服务柜台的总体设计方案和施工方案，并提供外观结构样式、装饰装修、选材用材、强弱电安装、设施设备安装、区域功能设计、标识标牌等详细说明并附至少3张设计效果图和5张不同角度的现场效果图。</w:t>
      </w:r>
    </w:p>
    <w:p>
      <w:pPr>
        <w:spacing w:line="360" w:lineRule="auto"/>
        <w:ind w:firstLine="420" w:firstLineChars="200"/>
        <w:rPr>
          <w:b/>
        </w:rPr>
      </w:pPr>
    </w:p>
    <w:p>
      <w:pPr>
        <w:spacing w:line="360" w:lineRule="auto"/>
        <w:ind w:firstLine="420" w:firstLineChars="200"/>
        <w:rPr>
          <w:b/>
        </w:rPr>
      </w:pPr>
      <w:r>
        <w:rPr>
          <w:rFonts w:hint="eastAsia"/>
          <w:b/>
        </w:rPr>
        <w:t>三、付款方式</w:t>
      </w:r>
    </w:p>
    <w:p>
      <w:pPr>
        <w:pStyle w:val="49"/>
        <w:snapToGrid w:val="0"/>
        <w:spacing w:before="0" w:beforeAutospacing="0" w:after="0" w:afterAutospacing="0" w:line="360" w:lineRule="auto"/>
        <w:ind w:firstLine="440" w:firstLineChars="200"/>
        <w:jc w:val="both"/>
        <w:rPr>
          <w:rFonts w:ascii="宋体" w:hAnsi="宋体" w:eastAsia="宋体" w:cs="Times New Roman"/>
          <w:color w:val="auto"/>
          <w:kern w:val="2"/>
          <w:sz w:val="22"/>
          <w:szCs w:val="22"/>
        </w:rPr>
      </w:pPr>
      <w:r>
        <w:rPr>
          <w:rFonts w:hint="eastAsia" w:ascii="宋体" w:hAnsi="宋体" w:eastAsia="宋体" w:cs="Times New Roman"/>
          <w:color w:val="auto"/>
          <w:kern w:val="2"/>
          <w:sz w:val="22"/>
          <w:szCs w:val="22"/>
        </w:rPr>
        <w:t>1.经甲方验收合格后【15】个工作日内，支付至合同总金额的95%.</w:t>
      </w:r>
    </w:p>
    <w:p>
      <w:pPr>
        <w:pStyle w:val="49"/>
        <w:snapToGrid w:val="0"/>
        <w:spacing w:before="0" w:beforeAutospacing="0" w:after="0" w:afterAutospacing="0" w:line="360" w:lineRule="auto"/>
        <w:ind w:firstLine="440" w:firstLineChars="200"/>
        <w:jc w:val="both"/>
        <w:rPr>
          <w:rFonts w:ascii="宋体" w:hAnsi="宋体" w:eastAsia="宋体" w:cs="Times New Roman"/>
          <w:color w:val="auto"/>
          <w:kern w:val="2"/>
          <w:sz w:val="22"/>
          <w:szCs w:val="22"/>
        </w:rPr>
      </w:pPr>
      <w:r>
        <w:rPr>
          <w:rFonts w:hint="eastAsia" w:ascii="宋体" w:hAnsi="宋体" w:eastAsia="宋体" w:cs="Times New Roman"/>
          <w:color w:val="auto"/>
          <w:kern w:val="2"/>
          <w:sz w:val="22"/>
          <w:szCs w:val="22"/>
        </w:rPr>
        <w:t>2.质量保证金为合同总价5%，质保期两年，于质量保证期满后【十五】工作日内一并无息支付。</w:t>
      </w:r>
    </w:p>
    <w:p>
      <w:pPr>
        <w:pStyle w:val="49"/>
        <w:snapToGrid w:val="0"/>
        <w:spacing w:before="0" w:beforeAutospacing="0" w:after="0" w:afterAutospacing="0" w:line="360" w:lineRule="auto"/>
        <w:ind w:firstLine="440" w:firstLineChars="200"/>
        <w:jc w:val="both"/>
        <w:rPr>
          <w:rFonts w:ascii="宋体" w:hAnsi="宋体" w:eastAsia="宋体" w:cs="Times New Roman"/>
          <w:color w:val="auto"/>
          <w:kern w:val="2"/>
          <w:sz w:val="22"/>
          <w:szCs w:val="22"/>
        </w:rPr>
      </w:pPr>
      <w:r>
        <w:rPr>
          <w:rFonts w:hint="eastAsia" w:ascii="宋体" w:hAnsi="宋体" w:eastAsia="宋体" w:cs="Times New Roman"/>
          <w:color w:val="auto"/>
          <w:kern w:val="2"/>
          <w:sz w:val="22"/>
          <w:szCs w:val="22"/>
        </w:rPr>
        <w:t>3.乙方在甲方每次付款前开具正式增值税发票。</w:t>
      </w:r>
    </w:p>
    <w:p>
      <w:pPr>
        <w:spacing w:line="360" w:lineRule="auto"/>
        <w:ind w:firstLine="420" w:firstLineChars="200"/>
        <w:rPr>
          <w:b/>
        </w:rPr>
      </w:pPr>
      <w:r>
        <w:rPr>
          <w:rFonts w:hint="eastAsia"/>
          <w:b/>
        </w:rPr>
        <w:t>四、交货期</w:t>
      </w:r>
    </w:p>
    <w:p>
      <w:pPr>
        <w:spacing w:line="360" w:lineRule="auto"/>
        <w:ind w:firstLine="440" w:firstLineChars="200"/>
        <w:rPr>
          <w:rFonts w:ascii="宋体" w:hAnsi="宋体" w:eastAsia="宋体" w:cs="Times New Roman"/>
          <w:sz w:val="22"/>
        </w:rPr>
      </w:pPr>
      <w:r>
        <w:rPr>
          <w:rFonts w:hint="eastAsia" w:ascii="宋体" w:hAnsi="宋体" w:eastAsia="宋体" w:cs="Times New Roman"/>
          <w:sz w:val="22"/>
        </w:rPr>
        <w:t>合同签订后3</w:t>
      </w:r>
      <w:r>
        <w:rPr>
          <w:rFonts w:ascii="宋体" w:hAnsi="宋体" w:eastAsia="宋体" w:cs="Times New Roman"/>
          <w:sz w:val="22"/>
        </w:rPr>
        <w:t>0</w:t>
      </w:r>
      <w:r>
        <w:rPr>
          <w:rFonts w:hint="eastAsia" w:ascii="宋体" w:hAnsi="宋体" w:eastAsia="宋体" w:cs="Times New Roman"/>
          <w:sz w:val="22"/>
        </w:rPr>
        <w:t>日历天内（含设备、软件供应、柜台建设等）。</w:t>
      </w:r>
    </w:p>
    <w:p>
      <w:pPr>
        <w:spacing w:line="440" w:lineRule="exact"/>
        <w:ind w:firstLine="440" w:firstLineChars="200"/>
        <w:rPr>
          <w:rFonts w:ascii="宋体" w:hAnsi="宋体"/>
          <w:sz w:val="22"/>
        </w:rPr>
      </w:pPr>
    </w:p>
    <w:p>
      <w:pPr>
        <w:spacing w:line="440" w:lineRule="exact"/>
        <w:rPr>
          <w:rFonts w:ascii="宋体" w:hAnsi="宋体"/>
          <w:sz w:val="22"/>
        </w:rPr>
      </w:pPr>
    </w:p>
    <w:p>
      <w:pPr>
        <w:widowControl/>
        <w:jc w:val="left"/>
        <w:rPr>
          <w:rFonts w:ascii="Cambria" w:hAnsi="Cambria" w:eastAsia="黑体"/>
          <w:b/>
          <w:bCs/>
          <w:kern w:val="0"/>
          <w:sz w:val="32"/>
          <w:szCs w:val="32"/>
        </w:rPr>
      </w:pPr>
      <w:r>
        <w:rPr>
          <w:rFonts w:hint="eastAsia" w:ascii="宋体" w:hAnsi="宋体"/>
          <w:sz w:val="22"/>
        </w:rPr>
        <w:br w:type="page"/>
      </w:r>
    </w:p>
    <w:p>
      <w:pPr>
        <w:pStyle w:val="51"/>
      </w:pPr>
      <w:bookmarkStart w:id="118" w:name="_Toc321925457"/>
      <w:r>
        <w:rPr>
          <w:rFonts w:hint="eastAsia"/>
        </w:rPr>
        <w:t>第六章投标文件格式</w:t>
      </w:r>
      <w:bookmarkEnd w:id="117"/>
      <w:bookmarkEnd w:id="118"/>
    </w:p>
    <w:p>
      <w:pPr>
        <w:spacing w:line="440" w:lineRule="exact"/>
        <w:jc w:val="center"/>
        <w:rPr>
          <w:rFonts w:cs="Calibri"/>
          <w:b/>
          <w:color w:val="000000"/>
          <w:sz w:val="28"/>
          <w:szCs w:val="28"/>
        </w:rPr>
      </w:pPr>
      <w:r>
        <w:rPr>
          <w:rFonts w:hint="eastAsia" w:cs="Calibri"/>
          <w:b/>
          <w:color w:val="000000"/>
          <w:sz w:val="28"/>
          <w:szCs w:val="28"/>
        </w:rPr>
        <w:t>目录</w:t>
      </w:r>
    </w:p>
    <w:p>
      <w:pPr>
        <w:spacing w:line="440" w:lineRule="exact"/>
        <w:ind w:firstLine="440" w:firstLineChars="200"/>
        <w:rPr>
          <w:rFonts w:ascii="宋体" w:hAnsi="宋体" w:cs="Calibri"/>
          <w:color w:val="000000"/>
          <w:sz w:val="22"/>
        </w:rPr>
      </w:pPr>
      <w:r>
        <w:rPr>
          <w:rFonts w:hint="eastAsia" w:ascii="宋体" w:hAnsi="宋体" w:cs="Calibri"/>
          <w:color w:val="000000"/>
          <w:sz w:val="22"/>
        </w:rPr>
        <w:t>封面</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一、投标函；</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二、法定代表人资格证明书；</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三、授权委托书；</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四、投标报价表；</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五、投标人资格证明文件：</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（1）</w:t>
      </w:r>
      <w:r>
        <w:rPr>
          <w:rFonts w:hint="eastAsia" w:ascii="宋体" w:hAnsi="宋体" w:cs="Calibri"/>
          <w:color w:val="000000"/>
          <w:sz w:val="22"/>
        </w:rPr>
        <w:t>投标人一般情况及有关证明投标人法律地位的文件</w:t>
      </w:r>
      <w:r>
        <w:rPr>
          <w:rFonts w:hint="eastAsia" w:ascii="宋体" w:hAnsi="宋体" w:cs="Calibri"/>
          <w:sz w:val="22"/>
        </w:rPr>
        <w:t>（附营业执照、税务登记证、一般纳税人证明材料、相关产品质量认证证书</w:t>
      </w:r>
      <w:r>
        <w:rPr>
          <w:rFonts w:hint="eastAsia" w:ascii="宋体" w:hAnsi="宋体" w:cs="Arial"/>
          <w:kern w:val="0"/>
          <w:sz w:val="22"/>
        </w:rPr>
        <w:t>、</w:t>
      </w:r>
      <w:r>
        <w:rPr>
          <w:rFonts w:hint="eastAsia" w:ascii="宋体" w:hAnsi="宋体" w:cs="Calibri"/>
          <w:sz w:val="22"/>
        </w:rPr>
        <w:t>相关产品鉴定证书等）。</w:t>
      </w:r>
    </w:p>
    <w:p>
      <w:pPr>
        <w:adjustRightInd w:val="0"/>
        <w:snapToGrid w:val="0"/>
        <w:spacing w:line="400" w:lineRule="exact"/>
        <w:ind w:firstLine="440" w:firstLineChars="200"/>
        <w:rPr>
          <w:rFonts w:ascii="宋体" w:hAnsi="宋体" w:cs="Arial"/>
          <w:kern w:val="0"/>
          <w:sz w:val="22"/>
        </w:rPr>
      </w:pPr>
      <w:r>
        <w:rPr>
          <w:rFonts w:hint="eastAsia" w:ascii="宋体" w:hAnsi="宋体" w:cs="Calibri"/>
          <w:sz w:val="22"/>
        </w:rPr>
        <w:t>（2）</w:t>
      </w:r>
      <w:r>
        <w:rPr>
          <w:rFonts w:hint="eastAsia" w:ascii="宋体" w:hAnsi="宋体" w:cs="宋体"/>
          <w:sz w:val="22"/>
        </w:rPr>
        <w:t>制造商资格声明</w:t>
      </w:r>
      <w:r>
        <w:rPr>
          <w:rFonts w:hint="eastAsia" w:ascii="宋体" w:hAnsi="宋体" w:cs="Arial"/>
          <w:kern w:val="0"/>
          <w:sz w:val="22"/>
        </w:rPr>
        <w:t>。</w:t>
      </w:r>
    </w:p>
    <w:p>
      <w:pPr>
        <w:adjustRightInd w:val="0"/>
        <w:snapToGrid w:val="0"/>
        <w:spacing w:line="400" w:lineRule="exact"/>
        <w:ind w:firstLine="440" w:firstLineChars="200"/>
        <w:rPr>
          <w:rFonts w:ascii="宋体" w:hAnsi="宋体" w:cs="Arial"/>
          <w:kern w:val="0"/>
          <w:sz w:val="22"/>
        </w:rPr>
      </w:pPr>
      <w:r>
        <w:rPr>
          <w:rFonts w:hint="eastAsia" w:ascii="宋体" w:hAnsi="宋体" w:cs="Arial"/>
          <w:kern w:val="0"/>
          <w:sz w:val="22"/>
        </w:rPr>
        <w:t>（3）</w:t>
      </w:r>
      <w:r>
        <w:rPr>
          <w:rFonts w:hint="eastAsia" w:ascii="宋体" w:hAnsi="宋体" w:cs="Calibri"/>
          <w:color w:val="000000"/>
          <w:sz w:val="22"/>
        </w:rPr>
        <w:t>设备制造商的授权书（代理商投标时提供）</w:t>
      </w:r>
    </w:p>
    <w:p>
      <w:pPr>
        <w:adjustRightInd w:val="0"/>
        <w:snapToGrid w:val="0"/>
        <w:spacing w:line="400" w:lineRule="exact"/>
        <w:ind w:firstLine="440" w:firstLineChars="200"/>
        <w:rPr>
          <w:rFonts w:ascii="宋体" w:hAnsi="宋体" w:cs="Calibri"/>
          <w:sz w:val="22"/>
        </w:rPr>
      </w:pPr>
      <w:r>
        <w:rPr>
          <w:rFonts w:hint="eastAsia" w:ascii="宋体" w:hAnsi="宋体" w:cs="Arial"/>
          <w:kern w:val="0"/>
          <w:sz w:val="22"/>
        </w:rPr>
        <w:t>（4）</w:t>
      </w:r>
      <w:r>
        <w:rPr>
          <w:rFonts w:hint="eastAsia" w:ascii="宋体" w:hAnsi="宋体" w:cs="Calibri"/>
          <w:sz w:val="22"/>
        </w:rPr>
        <w:t>投标产品近三年的销售业绩一览表（附业绩的合同）。</w:t>
      </w:r>
    </w:p>
    <w:p>
      <w:pPr>
        <w:adjustRightInd w:val="0"/>
        <w:snapToGrid w:val="0"/>
        <w:spacing w:line="400" w:lineRule="exact"/>
        <w:ind w:firstLine="440" w:firstLineChars="200"/>
        <w:rPr>
          <w:rFonts w:ascii="宋体" w:hAnsi="宋体" w:cs="宋体"/>
          <w:sz w:val="22"/>
        </w:rPr>
      </w:pPr>
      <w:r>
        <w:rPr>
          <w:rFonts w:hint="eastAsia" w:ascii="宋体" w:hAnsi="宋体" w:cs="Calibri"/>
          <w:sz w:val="22"/>
        </w:rPr>
        <w:t>六、</w:t>
      </w:r>
      <w:r>
        <w:rPr>
          <w:rFonts w:hint="eastAsia" w:ascii="宋体" w:hAnsi="宋体" w:cs="宋体"/>
          <w:sz w:val="22"/>
        </w:rPr>
        <w:t>技术规格偏离表；</w:t>
      </w:r>
    </w:p>
    <w:p>
      <w:pPr>
        <w:adjustRightInd w:val="0"/>
        <w:snapToGrid w:val="0"/>
        <w:spacing w:line="400" w:lineRule="exact"/>
        <w:ind w:firstLine="440" w:firstLineChars="200"/>
        <w:rPr>
          <w:rFonts w:ascii="宋体" w:hAnsi="宋体" w:cs="Calibri"/>
          <w:sz w:val="22"/>
        </w:rPr>
      </w:pPr>
      <w:r>
        <w:rPr>
          <w:rFonts w:hint="eastAsia" w:ascii="宋体" w:hAnsi="宋体" w:cs="宋体"/>
          <w:sz w:val="22"/>
        </w:rPr>
        <w:t>七、商务条款响应偏离表；</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八、系统设备供货范围（包括设备数量、型号规格、产地、品牌），进口零部件详细清单（需说明产地、品牌）；</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九、技术参数、结构及性能特点等产品技术规格书；</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十、主要原材料及部件性能和生产厂家；</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十一、产品制造、安装、验收标准和验收方法；</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十二、现场指导、调试；</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十三、产品的技术服务和售后服务的内容、措施、承诺；</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十四、提供详细的培训计划，包括培训内容、培训时间、培训人数等；</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十五、关于质量保证期的说明；</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十六、优惠条件：投标人承诺给予用户的其他优惠条款，包括付款条件、培训服务、质量保证期等方面的优惠；</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十七、</w:t>
      </w:r>
      <w:r>
        <w:rPr>
          <w:rFonts w:hint="eastAsia" w:ascii="宋体" w:hAnsi="宋体" w:cs="Arial"/>
          <w:color w:val="000000"/>
          <w:sz w:val="22"/>
        </w:rPr>
        <w:t>投标人认为应该提供的其他材料</w:t>
      </w:r>
      <w:r>
        <w:rPr>
          <w:rFonts w:hint="eastAsia" w:ascii="宋体" w:hAnsi="宋体" w:cs="宋体"/>
          <w:sz w:val="22"/>
        </w:rPr>
        <w:t>。</w:t>
      </w:r>
    </w:p>
    <w:p>
      <w:pPr>
        <w:adjustRightInd w:val="0"/>
        <w:snapToGrid w:val="0"/>
        <w:spacing w:line="400" w:lineRule="exact"/>
        <w:ind w:firstLine="440" w:firstLineChars="200"/>
        <w:rPr>
          <w:rFonts w:ascii="宋体" w:hAnsi="宋体" w:cs="Calibri"/>
          <w:color w:val="000000"/>
          <w:sz w:val="22"/>
        </w:rPr>
      </w:pPr>
    </w:p>
    <w:p>
      <w:pPr>
        <w:rPr>
          <w:rFonts w:ascii="宋体" w:hAnsi="宋体" w:cs="Calibri"/>
          <w:sz w:val="22"/>
        </w:rPr>
      </w:pPr>
    </w:p>
    <w:p>
      <w:pPr>
        <w:spacing w:line="440" w:lineRule="exact"/>
        <w:rPr>
          <w:rFonts w:ascii="宋体" w:hAnsi="宋体" w:cs="Calibri"/>
          <w:color w:val="000000"/>
          <w:sz w:val="22"/>
        </w:rPr>
      </w:pPr>
    </w:p>
    <w:p>
      <w:pPr>
        <w:widowControl/>
        <w:jc w:val="left"/>
        <w:rPr>
          <w:rFonts w:ascii="宋体" w:hAnsi="宋体" w:cs="Calibri"/>
          <w:color w:val="000000"/>
          <w:sz w:val="22"/>
        </w:rPr>
      </w:pPr>
      <w:r>
        <w:rPr>
          <w:rFonts w:hint="eastAsia" w:ascii="宋体" w:hAnsi="宋体" w:cs="Calibri"/>
          <w:color w:val="000000"/>
          <w:sz w:val="22"/>
        </w:rPr>
        <w:t>注：未提供格式的由投标人自行拟定格式。</w:t>
      </w:r>
    </w:p>
    <w:p>
      <w:pPr>
        <w:spacing w:line="440" w:lineRule="exact"/>
        <w:ind w:right="420"/>
        <w:jc w:val="right"/>
        <w:rPr>
          <w:rFonts w:cs="Calibri"/>
          <w:color w:val="000000"/>
        </w:rPr>
      </w:pPr>
    </w:p>
    <w:p>
      <w:pPr>
        <w:spacing w:line="440" w:lineRule="exact"/>
        <w:ind w:right="420"/>
        <w:jc w:val="right"/>
        <w:rPr>
          <w:rFonts w:cs="Calibri"/>
          <w:color w:val="000000"/>
        </w:rPr>
      </w:pPr>
    </w:p>
    <w:p>
      <w:pPr>
        <w:spacing w:line="440" w:lineRule="exact"/>
        <w:ind w:right="420"/>
        <w:jc w:val="right"/>
        <w:rPr>
          <w:rFonts w:cs="Calibri"/>
          <w:color w:val="000000"/>
        </w:rPr>
      </w:pPr>
    </w:p>
    <w:p>
      <w:pPr>
        <w:spacing w:line="440" w:lineRule="exact"/>
        <w:ind w:right="420"/>
        <w:jc w:val="right"/>
        <w:rPr>
          <w:rFonts w:cs="Calibri"/>
          <w:color w:val="000000"/>
        </w:rPr>
      </w:pPr>
    </w:p>
    <w:p>
      <w:pPr>
        <w:spacing w:line="440" w:lineRule="exact"/>
        <w:ind w:right="420"/>
        <w:jc w:val="right"/>
        <w:rPr>
          <w:rFonts w:cs="Calibri"/>
          <w:color w:val="000000"/>
        </w:rPr>
      </w:pPr>
      <w:r>
        <w:rPr>
          <w:rFonts w:hint="eastAsia" w:cs="Calibri"/>
          <w:color w:val="000000"/>
        </w:rPr>
        <w:t>正本（或副本）</w:t>
      </w:r>
    </w:p>
    <w:p>
      <w:pPr>
        <w:spacing w:line="440" w:lineRule="exact"/>
        <w:rPr>
          <w:rFonts w:cs="Calibri"/>
          <w:color w:val="000000"/>
          <w:u w:val="single"/>
        </w:rPr>
      </w:pPr>
      <w:bookmarkStart w:id="119" w:name="_Toc171421958"/>
      <w:r>
        <w:rPr>
          <w:rFonts w:hint="eastAsia" w:cs="Calibri"/>
          <w:color w:val="000000"/>
        </w:rPr>
        <w:t>封面</w:t>
      </w:r>
      <w:bookmarkEnd w:id="119"/>
    </w:p>
    <w:p>
      <w:pPr>
        <w:autoSpaceDE w:val="0"/>
        <w:autoSpaceDN w:val="0"/>
        <w:adjustRightInd w:val="0"/>
        <w:jc w:val="center"/>
        <w:rPr>
          <w:rFonts w:cs="Calibri"/>
          <w:b/>
          <w:spacing w:val="20"/>
          <w:kern w:val="0"/>
          <w:sz w:val="48"/>
          <w:szCs w:val="48"/>
        </w:rPr>
      </w:pPr>
    </w:p>
    <w:p>
      <w:pPr>
        <w:autoSpaceDE w:val="0"/>
        <w:autoSpaceDN w:val="0"/>
        <w:adjustRightInd w:val="0"/>
        <w:jc w:val="center"/>
        <w:rPr>
          <w:rFonts w:eastAsia="黑体" w:cs="Calibri"/>
          <w:b/>
          <w:sz w:val="44"/>
          <w:szCs w:val="44"/>
        </w:rPr>
      </w:pPr>
      <w:r>
        <w:rPr>
          <w:rFonts w:hint="eastAsia" w:eastAsia="黑体" w:cs="Calibri"/>
          <w:b/>
          <w:sz w:val="44"/>
          <w:szCs w:val="44"/>
        </w:rPr>
        <w:t>杭州萧山国际机场项目</w:t>
      </w:r>
    </w:p>
    <w:p>
      <w:pPr>
        <w:spacing w:line="440" w:lineRule="exact"/>
        <w:rPr>
          <w:rFonts w:cs="Calibri"/>
          <w:color w:val="000000"/>
          <w:sz w:val="36"/>
          <w:szCs w:val="36"/>
        </w:rPr>
      </w:pPr>
    </w:p>
    <w:p>
      <w:pPr>
        <w:spacing w:line="440" w:lineRule="exact"/>
        <w:ind w:firstLine="420" w:firstLineChars="200"/>
        <w:jc w:val="center"/>
        <w:rPr>
          <w:rFonts w:cs="Calibri"/>
          <w:color w:val="000000"/>
        </w:rPr>
      </w:pPr>
    </w:p>
    <w:p>
      <w:pPr>
        <w:spacing w:line="440" w:lineRule="exact"/>
        <w:rPr>
          <w:rFonts w:cs="Calibri"/>
          <w:color w:val="000000"/>
          <w:sz w:val="44"/>
          <w:szCs w:val="44"/>
        </w:rPr>
      </w:pPr>
    </w:p>
    <w:p>
      <w:pPr>
        <w:spacing w:beforeLines="200" w:afterLines="200" w:line="440" w:lineRule="exact"/>
        <w:jc w:val="center"/>
        <w:rPr>
          <w:rFonts w:cs="Calibri"/>
          <w:b/>
          <w:bCs/>
          <w:color w:val="000000"/>
          <w:sz w:val="84"/>
          <w:szCs w:val="84"/>
        </w:rPr>
      </w:pPr>
      <w:r>
        <w:rPr>
          <w:rFonts w:hint="eastAsia" w:cs="Calibri"/>
          <w:b/>
          <w:bCs/>
          <w:color w:val="000000"/>
          <w:sz w:val="84"/>
          <w:szCs w:val="84"/>
        </w:rPr>
        <w:t>投标文件</w:t>
      </w:r>
    </w:p>
    <w:p>
      <w:pPr>
        <w:spacing w:line="440" w:lineRule="exact"/>
        <w:ind w:firstLine="420" w:firstLineChars="200"/>
        <w:jc w:val="center"/>
        <w:rPr>
          <w:rFonts w:cs="Calibri"/>
          <w:color w:val="000000"/>
        </w:rPr>
      </w:pPr>
    </w:p>
    <w:p>
      <w:pPr>
        <w:spacing w:line="440" w:lineRule="exact"/>
        <w:ind w:firstLine="420" w:firstLineChars="200"/>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360" w:lineRule="auto"/>
        <w:ind w:firstLine="1400" w:firstLineChars="500"/>
        <w:rPr>
          <w:rFonts w:cs="Calibri"/>
          <w:color w:val="000000"/>
          <w:sz w:val="28"/>
          <w:szCs w:val="28"/>
          <w:u w:val="single"/>
        </w:rPr>
      </w:pPr>
      <w:r>
        <w:rPr>
          <w:rFonts w:hint="eastAsia" w:cs="Calibri"/>
          <w:color w:val="000000"/>
          <w:sz w:val="28"/>
          <w:szCs w:val="28"/>
        </w:rPr>
        <w:t>投标人：</w:t>
      </w:r>
      <w:r>
        <w:rPr>
          <w:rFonts w:hint="eastAsia" w:cs="Calibri"/>
          <w:color w:val="000000"/>
          <w:sz w:val="28"/>
          <w:szCs w:val="28"/>
          <w:u w:val="single"/>
        </w:rPr>
        <w:t>（盖单位章）</w:t>
      </w:r>
    </w:p>
    <w:p>
      <w:pPr>
        <w:spacing w:line="360" w:lineRule="auto"/>
        <w:ind w:firstLine="1400" w:firstLineChars="500"/>
        <w:rPr>
          <w:rFonts w:cs="Calibri"/>
          <w:color w:val="000000"/>
          <w:sz w:val="28"/>
          <w:szCs w:val="28"/>
        </w:rPr>
      </w:pPr>
      <w:r>
        <w:rPr>
          <w:rFonts w:hint="eastAsia" w:cs="Calibri"/>
          <w:color w:val="000000"/>
          <w:sz w:val="28"/>
          <w:szCs w:val="28"/>
        </w:rPr>
        <w:t>法定代表人或其委托代理人：</w:t>
      </w:r>
      <w:r>
        <w:rPr>
          <w:rFonts w:hint="eastAsia" w:cs="Calibri"/>
          <w:color w:val="000000"/>
          <w:sz w:val="28"/>
          <w:szCs w:val="28"/>
          <w:u w:val="single"/>
        </w:rPr>
        <w:t>（签字或盖章）</w:t>
      </w:r>
    </w:p>
    <w:p>
      <w:pPr>
        <w:spacing w:line="360" w:lineRule="auto"/>
        <w:ind w:firstLine="1400" w:firstLineChars="500"/>
        <w:rPr>
          <w:rFonts w:cs="Calibri"/>
          <w:color w:val="000000"/>
          <w:sz w:val="28"/>
          <w:szCs w:val="28"/>
        </w:rPr>
      </w:pPr>
      <w:r>
        <w:rPr>
          <w:rFonts w:hint="eastAsia" w:cs="Calibri"/>
          <w:color w:val="000000"/>
          <w:sz w:val="28"/>
          <w:szCs w:val="28"/>
        </w:rPr>
        <w:t>日期：年月日</w:t>
      </w:r>
    </w:p>
    <w:p>
      <w:pPr>
        <w:widowControl/>
        <w:jc w:val="left"/>
        <w:rPr>
          <w:rFonts w:ascii="宋体" w:hAnsi="宋体" w:cs="宋体"/>
          <w:b/>
          <w:szCs w:val="21"/>
        </w:rPr>
      </w:pPr>
    </w:p>
    <w:p>
      <w:pPr>
        <w:widowControl/>
        <w:jc w:val="left"/>
        <w:rPr>
          <w:rFonts w:ascii="宋体" w:hAnsi="宋体" w:cs="宋体"/>
          <w:b/>
          <w:szCs w:val="21"/>
        </w:rPr>
      </w:pPr>
      <w:r>
        <w:rPr>
          <w:rFonts w:hint="eastAsia" w:ascii="宋体" w:hAnsi="宋体" w:cs="宋体"/>
          <w:b/>
          <w:szCs w:val="21"/>
        </w:rPr>
        <w:br w:type="page"/>
      </w:r>
    </w:p>
    <w:p>
      <w:pPr>
        <w:spacing w:line="360" w:lineRule="auto"/>
        <w:jc w:val="center"/>
        <w:rPr>
          <w:rFonts w:ascii="宋体" w:hAnsi="宋体" w:cs="宋体"/>
          <w:b/>
          <w:sz w:val="32"/>
          <w:szCs w:val="32"/>
        </w:rPr>
      </w:pPr>
      <w:r>
        <w:rPr>
          <w:rFonts w:hint="eastAsia" w:ascii="宋体" w:hAnsi="宋体" w:cs="宋体"/>
          <w:b/>
          <w:sz w:val="32"/>
          <w:szCs w:val="32"/>
        </w:rPr>
        <w:t>一、投标函</w:t>
      </w:r>
    </w:p>
    <w:p>
      <w:pPr>
        <w:spacing w:line="440" w:lineRule="exact"/>
        <w:rPr>
          <w:rFonts w:ascii="宋体" w:hAnsi="宋体"/>
          <w:sz w:val="22"/>
        </w:rPr>
      </w:pPr>
      <w:r>
        <w:rPr>
          <w:rFonts w:hint="eastAsia" w:ascii="宋体" w:hAnsi="宋体"/>
          <w:sz w:val="22"/>
        </w:rPr>
        <w:t>致：杭州萧山国际机场有限公司</w:t>
      </w:r>
    </w:p>
    <w:p>
      <w:pPr>
        <w:overflowPunct w:val="0"/>
        <w:autoSpaceDE w:val="0"/>
        <w:autoSpaceDN w:val="0"/>
        <w:spacing w:line="440" w:lineRule="exact"/>
        <w:ind w:firstLine="440" w:firstLineChars="200"/>
        <w:rPr>
          <w:rFonts w:ascii="宋体" w:hAnsi="宋体"/>
          <w:sz w:val="22"/>
        </w:rPr>
      </w:pPr>
      <w:r>
        <w:rPr>
          <w:rFonts w:hint="eastAsia" w:ascii="宋体" w:hAnsi="宋体"/>
          <w:sz w:val="22"/>
        </w:rPr>
        <w:t>根据贵方杭州萧山国际机场项目的招标文件，授权代表(全名、职务)经正式授权，代表投标人(投标人名称、地址)递交下述文件正本一份、副本二份。</w:t>
      </w:r>
    </w:p>
    <w:p>
      <w:pPr>
        <w:overflowPunct w:val="0"/>
        <w:autoSpaceDE w:val="0"/>
        <w:autoSpaceDN w:val="0"/>
        <w:spacing w:line="440" w:lineRule="exact"/>
        <w:ind w:firstLine="440" w:firstLineChars="200"/>
        <w:rPr>
          <w:rFonts w:ascii="宋体" w:hAnsi="宋体" w:cs="Arial"/>
          <w:sz w:val="22"/>
        </w:rPr>
      </w:pPr>
      <w:r>
        <w:rPr>
          <w:rFonts w:hint="eastAsia" w:ascii="宋体" w:hAnsi="宋体" w:cs="Arial"/>
          <w:sz w:val="22"/>
        </w:rPr>
        <w:t>据此函，本授权代表宣布同意如下：</w:t>
      </w:r>
    </w:p>
    <w:p>
      <w:pPr>
        <w:numPr>
          <w:ilvl w:val="0"/>
          <w:numId w:val="12"/>
        </w:numPr>
        <w:tabs>
          <w:tab w:val="left" w:pos="840"/>
        </w:tabs>
        <w:overflowPunct w:val="0"/>
        <w:autoSpaceDE w:val="0"/>
        <w:autoSpaceDN w:val="0"/>
        <w:spacing w:line="440" w:lineRule="exact"/>
        <w:rPr>
          <w:rFonts w:ascii="宋体" w:hAnsi="宋体"/>
          <w:sz w:val="22"/>
        </w:rPr>
      </w:pPr>
      <w:r>
        <w:rPr>
          <w:rFonts w:hint="eastAsia" w:ascii="宋体" w:hAnsi="宋体"/>
          <w:sz w:val="22"/>
        </w:rPr>
        <w:t>所投标报价汇总表中规定的应提供的货物和服务，投标总价为人民币：</w:t>
      </w:r>
    </w:p>
    <w:p>
      <w:pPr>
        <w:overflowPunct w:val="0"/>
        <w:autoSpaceDE w:val="0"/>
        <w:autoSpaceDN w:val="0"/>
        <w:spacing w:line="440" w:lineRule="exact"/>
        <w:ind w:left="416" w:leftChars="198" w:firstLine="440" w:firstLineChars="200"/>
        <w:rPr>
          <w:rFonts w:ascii="宋体" w:hAnsi="宋体"/>
          <w:sz w:val="22"/>
        </w:rPr>
      </w:pPr>
      <w:r>
        <w:rPr>
          <w:rFonts w:hint="eastAsia" w:ascii="宋体" w:hAnsi="宋体"/>
          <w:sz w:val="22"/>
        </w:rPr>
        <w:t>(大写)(小写)。</w:t>
      </w:r>
    </w:p>
    <w:p>
      <w:pPr>
        <w:overflowPunct w:val="0"/>
        <w:autoSpaceDE w:val="0"/>
        <w:autoSpaceDN w:val="0"/>
        <w:spacing w:line="440" w:lineRule="exact"/>
        <w:ind w:left="416" w:leftChars="198" w:firstLine="440" w:firstLineChars="200"/>
        <w:rPr>
          <w:rFonts w:ascii="宋体" w:hAnsi="宋体"/>
          <w:sz w:val="22"/>
        </w:rPr>
      </w:pPr>
      <w:r>
        <w:rPr>
          <w:rFonts w:hint="eastAsia" w:ascii="宋体" w:hAnsi="宋体"/>
          <w:sz w:val="22"/>
        </w:rPr>
        <w:t>供货期：合同签订后日历天、投标品牌：</w:t>
      </w:r>
    </w:p>
    <w:p>
      <w:pPr>
        <w:numPr>
          <w:ilvl w:val="0"/>
          <w:numId w:val="12"/>
        </w:numPr>
        <w:tabs>
          <w:tab w:val="left" w:pos="840"/>
        </w:tabs>
        <w:overflowPunct w:val="0"/>
        <w:autoSpaceDE w:val="0"/>
        <w:autoSpaceDN w:val="0"/>
        <w:spacing w:line="440" w:lineRule="exact"/>
        <w:ind w:left="840" w:hanging="420"/>
        <w:rPr>
          <w:rFonts w:ascii="宋体" w:hAnsi="宋体"/>
          <w:sz w:val="22"/>
        </w:rPr>
      </w:pPr>
      <w:r>
        <w:rPr>
          <w:rFonts w:hint="eastAsia" w:ascii="宋体" w:hAnsi="宋体"/>
          <w:sz w:val="22"/>
        </w:rPr>
        <w:t>投标人将按投标文件的规定履行合同责任和义务。</w:t>
      </w:r>
    </w:p>
    <w:p>
      <w:pPr>
        <w:numPr>
          <w:ilvl w:val="0"/>
          <w:numId w:val="12"/>
        </w:numPr>
        <w:tabs>
          <w:tab w:val="left" w:pos="840"/>
        </w:tabs>
        <w:overflowPunct w:val="0"/>
        <w:autoSpaceDE w:val="0"/>
        <w:autoSpaceDN w:val="0"/>
        <w:spacing w:line="440" w:lineRule="exact"/>
        <w:ind w:left="840" w:hanging="420"/>
        <w:rPr>
          <w:rFonts w:ascii="宋体" w:hAnsi="宋体"/>
          <w:sz w:val="22"/>
        </w:rPr>
      </w:pPr>
      <w:r>
        <w:rPr>
          <w:rFonts w:hint="eastAsia" w:ascii="宋体" w:hAnsi="宋体"/>
          <w:sz w:val="22"/>
        </w:rPr>
        <w:t>投标人已详细审查全部招标文件包括澄清函和修改文件(如果有)、所有已提供的资料以及有关附件，</w:t>
      </w:r>
      <w:r>
        <w:rPr>
          <w:rFonts w:hint="eastAsia"/>
          <w:sz w:val="22"/>
        </w:rPr>
        <w:t>投标人已完全理解上述文件的全部内容，并放弃提出任何误解或不明作为抗辩的权利</w:t>
      </w:r>
      <w:r>
        <w:rPr>
          <w:rFonts w:hint="eastAsia" w:ascii="宋体" w:hAnsi="宋体"/>
          <w:sz w:val="22"/>
        </w:rPr>
        <w:t>。</w:t>
      </w:r>
    </w:p>
    <w:p>
      <w:pPr>
        <w:numPr>
          <w:ilvl w:val="0"/>
          <w:numId w:val="12"/>
        </w:numPr>
        <w:tabs>
          <w:tab w:val="left" w:pos="840"/>
        </w:tabs>
        <w:overflowPunct w:val="0"/>
        <w:autoSpaceDE w:val="0"/>
        <w:autoSpaceDN w:val="0"/>
        <w:spacing w:line="440" w:lineRule="exact"/>
        <w:ind w:left="840" w:hanging="420"/>
        <w:rPr>
          <w:rFonts w:ascii="宋体" w:hAnsi="宋体"/>
          <w:sz w:val="22"/>
        </w:rPr>
      </w:pPr>
      <w:r>
        <w:rPr>
          <w:rFonts w:hint="eastAsia" w:ascii="宋体" w:hAnsi="宋体"/>
          <w:sz w:val="22"/>
        </w:rPr>
        <w:t>本投标的投标有效期为自投标截止之日起120日内。</w:t>
      </w:r>
    </w:p>
    <w:p>
      <w:pPr>
        <w:numPr>
          <w:ilvl w:val="0"/>
          <w:numId w:val="12"/>
        </w:numPr>
        <w:tabs>
          <w:tab w:val="left" w:pos="840"/>
        </w:tabs>
        <w:overflowPunct w:val="0"/>
        <w:autoSpaceDE w:val="0"/>
        <w:autoSpaceDN w:val="0"/>
        <w:spacing w:line="440" w:lineRule="exact"/>
        <w:ind w:left="840" w:hanging="420"/>
        <w:rPr>
          <w:rFonts w:ascii="宋体" w:hAnsi="宋体"/>
          <w:sz w:val="22"/>
        </w:rPr>
      </w:pPr>
      <w:r>
        <w:rPr>
          <w:rFonts w:hint="eastAsia" w:ascii="宋体" w:hAnsi="宋体"/>
          <w:sz w:val="22"/>
        </w:rPr>
        <w:t>投标人完全清楚并理解在投标有效期期满之前撤回投标，招标人有权</w:t>
      </w:r>
      <w:r>
        <w:rPr>
          <w:rFonts w:hint="eastAsia" w:ascii="宋体" w:hAnsi="宋体" w:cs="宋体"/>
          <w:sz w:val="22"/>
        </w:rPr>
        <w:t>不予退还</w:t>
      </w:r>
      <w:r>
        <w:rPr>
          <w:rFonts w:hint="eastAsia" w:ascii="宋体" w:hAnsi="宋体"/>
          <w:sz w:val="22"/>
        </w:rPr>
        <w:t>投标人的投标保证金及银行同期存款利息。</w:t>
      </w:r>
    </w:p>
    <w:p>
      <w:pPr>
        <w:numPr>
          <w:ilvl w:val="0"/>
          <w:numId w:val="12"/>
        </w:numPr>
        <w:tabs>
          <w:tab w:val="left" w:pos="840"/>
        </w:tabs>
        <w:overflowPunct w:val="0"/>
        <w:autoSpaceDE w:val="0"/>
        <w:autoSpaceDN w:val="0"/>
        <w:spacing w:line="440" w:lineRule="exact"/>
        <w:ind w:left="840" w:hanging="420"/>
        <w:rPr>
          <w:rFonts w:ascii="宋体" w:hAnsi="宋体"/>
          <w:sz w:val="22"/>
        </w:rPr>
      </w:pPr>
      <w:r>
        <w:rPr>
          <w:rFonts w:hint="eastAsia" w:ascii="宋体" w:hAnsi="宋体"/>
          <w:sz w:val="22"/>
        </w:rPr>
        <w:t>投标人同意按照贵方可能提出的要求提供与其投标有关的任何其它数字或资料，并对贵方可能不接受最低价投标及任何投标表示理解。</w:t>
      </w:r>
    </w:p>
    <w:p>
      <w:pPr>
        <w:numPr>
          <w:ilvl w:val="0"/>
          <w:numId w:val="12"/>
        </w:numPr>
        <w:tabs>
          <w:tab w:val="left" w:pos="840"/>
        </w:tabs>
        <w:overflowPunct w:val="0"/>
        <w:autoSpaceDE w:val="0"/>
        <w:autoSpaceDN w:val="0"/>
        <w:spacing w:line="440" w:lineRule="exact"/>
        <w:ind w:left="840" w:hanging="420"/>
        <w:rPr>
          <w:rFonts w:ascii="宋体" w:hAnsi="宋体"/>
          <w:sz w:val="22"/>
        </w:rPr>
      </w:pPr>
      <w:r>
        <w:rPr>
          <w:rFonts w:hint="eastAsia" w:ascii="宋体" w:hAnsi="宋体"/>
          <w:sz w:val="22"/>
        </w:rPr>
        <w:t>如果我方中标，我方将提供金额相当于合同价的10%的履约保证金，作为履行合同的担保。</w:t>
      </w:r>
    </w:p>
    <w:p>
      <w:pPr>
        <w:snapToGrid w:val="0"/>
        <w:spacing w:line="440" w:lineRule="exact"/>
        <w:ind w:firstLine="3300" w:firstLineChars="1500"/>
        <w:rPr>
          <w:rFonts w:ascii="宋体" w:hAnsi="宋体"/>
          <w:sz w:val="22"/>
        </w:rPr>
      </w:pPr>
    </w:p>
    <w:p>
      <w:pPr>
        <w:snapToGrid w:val="0"/>
        <w:spacing w:line="440" w:lineRule="exact"/>
        <w:ind w:firstLine="3300" w:firstLineChars="1500"/>
        <w:rPr>
          <w:rFonts w:ascii="宋体" w:hAnsi="宋体"/>
          <w:sz w:val="22"/>
        </w:rPr>
      </w:pPr>
    </w:p>
    <w:p>
      <w:pPr>
        <w:snapToGrid w:val="0"/>
        <w:spacing w:line="440" w:lineRule="exact"/>
        <w:ind w:firstLine="3300" w:firstLineChars="1500"/>
        <w:rPr>
          <w:rFonts w:ascii="宋体" w:hAnsi="宋体" w:cs="Calibri"/>
          <w:color w:val="000000"/>
          <w:sz w:val="22"/>
        </w:rPr>
      </w:pPr>
      <w:r>
        <w:rPr>
          <w:rFonts w:hint="eastAsia" w:ascii="宋体" w:hAnsi="宋体" w:cs="Calibri"/>
          <w:color w:val="000000"/>
          <w:sz w:val="22"/>
        </w:rPr>
        <w:t>投标人：（盖单位章）</w:t>
      </w:r>
    </w:p>
    <w:p>
      <w:pPr>
        <w:snapToGrid w:val="0"/>
        <w:spacing w:line="440" w:lineRule="exact"/>
        <w:ind w:firstLine="3300" w:firstLineChars="1500"/>
        <w:rPr>
          <w:rFonts w:ascii="宋体" w:hAnsi="宋体" w:cs="Calibri"/>
          <w:color w:val="000000"/>
          <w:sz w:val="22"/>
        </w:rPr>
      </w:pPr>
      <w:r>
        <w:rPr>
          <w:rFonts w:hint="eastAsia" w:ascii="宋体" w:hAnsi="宋体" w:cs="Calibri"/>
          <w:color w:val="000000"/>
          <w:sz w:val="22"/>
        </w:rPr>
        <w:t>法定代表人或其委托代理人：（签字或盖章）</w:t>
      </w:r>
    </w:p>
    <w:p>
      <w:pPr>
        <w:snapToGrid w:val="0"/>
        <w:spacing w:line="440" w:lineRule="exact"/>
        <w:ind w:firstLine="3300" w:firstLineChars="1500"/>
        <w:rPr>
          <w:rFonts w:ascii="宋体" w:hAnsi="宋体" w:cs="Calibri"/>
          <w:color w:val="000000"/>
          <w:sz w:val="22"/>
        </w:rPr>
      </w:pPr>
      <w:r>
        <w:rPr>
          <w:rFonts w:hint="eastAsia" w:ascii="宋体" w:hAnsi="宋体" w:cs="Calibri"/>
          <w:color w:val="000000"/>
          <w:sz w:val="22"/>
        </w:rPr>
        <w:t>地址：</w:t>
      </w:r>
    </w:p>
    <w:p>
      <w:pPr>
        <w:snapToGrid w:val="0"/>
        <w:spacing w:line="440" w:lineRule="exact"/>
        <w:ind w:firstLine="3300" w:firstLineChars="1500"/>
        <w:rPr>
          <w:rFonts w:ascii="宋体" w:hAnsi="宋体" w:cs="Calibri"/>
          <w:color w:val="000000"/>
          <w:sz w:val="22"/>
        </w:rPr>
      </w:pPr>
      <w:r>
        <w:rPr>
          <w:rFonts w:hint="eastAsia" w:ascii="宋体" w:hAnsi="宋体" w:cs="Calibri"/>
          <w:color w:val="000000"/>
          <w:sz w:val="22"/>
        </w:rPr>
        <w:t>邮政编码：</w:t>
      </w:r>
    </w:p>
    <w:p>
      <w:pPr>
        <w:snapToGrid w:val="0"/>
        <w:spacing w:line="440" w:lineRule="exact"/>
        <w:ind w:firstLine="3300" w:firstLineChars="1500"/>
        <w:rPr>
          <w:rFonts w:ascii="宋体" w:hAnsi="宋体" w:cs="Calibri"/>
          <w:color w:val="000000"/>
          <w:sz w:val="22"/>
        </w:rPr>
      </w:pPr>
      <w:r>
        <w:rPr>
          <w:rFonts w:hint="eastAsia" w:ascii="宋体" w:hAnsi="宋体" w:cs="Calibri"/>
          <w:color w:val="000000"/>
          <w:sz w:val="22"/>
        </w:rPr>
        <w:t>电话：</w:t>
      </w:r>
    </w:p>
    <w:p>
      <w:pPr>
        <w:snapToGrid w:val="0"/>
        <w:spacing w:line="440" w:lineRule="exact"/>
        <w:ind w:firstLine="3300" w:firstLineChars="1500"/>
        <w:rPr>
          <w:rFonts w:ascii="宋体" w:hAnsi="宋体" w:cs="Calibri"/>
          <w:color w:val="000000"/>
          <w:sz w:val="22"/>
        </w:rPr>
      </w:pPr>
      <w:r>
        <w:rPr>
          <w:rFonts w:hint="eastAsia" w:ascii="宋体" w:hAnsi="宋体" w:cs="Calibri"/>
          <w:color w:val="000000"/>
          <w:sz w:val="22"/>
        </w:rPr>
        <w:t>传真：</w:t>
      </w:r>
    </w:p>
    <w:p>
      <w:pPr>
        <w:snapToGrid w:val="0"/>
        <w:spacing w:line="440" w:lineRule="exact"/>
        <w:ind w:firstLine="3300" w:firstLineChars="1500"/>
        <w:rPr>
          <w:rFonts w:ascii="宋体" w:hAnsi="宋体" w:cs="Calibri"/>
          <w:color w:val="000000"/>
          <w:sz w:val="22"/>
        </w:rPr>
      </w:pPr>
      <w:r>
        <w:rPr>
          <w:rFonts w:hint="eastAsia" w:ascii="宋体" w:hAnsi="宋体" w:cs="Calibri"/>
          <w:color w:val="000000"/>
          <w:sz w:val="22"/>
        </w:rPr>
        <w:t>开户银行：</w:t>
      </w:r>
    </w:p>
    <w:p>
      <w:pPr>
        <w:snapToGrid w:val="0"/>
        <w:spacing w:line="440" w:lineRule="exact"/>
        <w:ind w:firstLine="3300" w:firstLineChars="1500"/>
        <w:rPr>
          <w:rFonts w:ascii="宋体" w:hAnsi="宋体" w:cs="Calibri"/>
          <w:color w:val="000000"/>
          <w:sz w:val="22"/>
        </w:rPr>
      </w:pPr>
      <w:r>
        <w:rPr>
          <w:rFonts w:hint="eastAsia" w:ascii="宋体" w:hAnsi="宋体" w:cs="Calibri"/>
          <w:color w:val="000000"/>
          <w:sz w:val="22"/>
        </w:rPr>
        <w:t>账号：</w:t>
      </w:r>
    </w:p>
    <w:p>
      <w:pPr>
        <w:snapToGrid w:val="0"/>
        <w:spacing w:line="440" w:lineRule="exact"/>
        <w:ind w:firstLine="3300" w:firstLineChars="1500"/>
        <w:rPr>
          <w:rFonts w:ascii="宋体" w:hAnsi="宋体" w:cs="Calibri"/>
          <w:color w:val="000000"/>
          <w:sz w:val="22"/>
        </w:rPr>
      </w:pPr>
      <w:r>
        <w:rPr>
          <w:rFonts w:hint="eastAsia" w:ascii="宋体" w:hAnsi="宋体" w:cs="Calibri"/>
          <w:color w:val="000000"/>
          <w:sz w:val="22"/>
        </w:rPr>
        <w:t>日期：年月日</w:t>
      </w:r>
    </w:p>
    <w:p>
      <w:pPr>
        <w:adjustRightInd w:val="0"/>
        <w:snapToGrid w:val="0"/>
        <w:jc w:val="center"/>
        <w:rPr>
          <w:rFonts w:eastAsia="黑体" w:cs="Calibri"/>
          <w:color w:val="000000"/>
          <w:sz w:val="32"/>
          <w:szCs w:val="32"/>
        </w:rPr>
      </w:pPr>
      <w:r>
        <w:rPr>
          <w:rFonts w:hint="eastAsia" w:ascii="宋体" w:hAnsi="宋体" w:cs="Arial"/>
          <w:sz w:val="22"/>
        </w:rPr>
        <w:br w:type="page"/>
      </w:r>
      <w:r>
        <w:rPr>
          <w:rFonts w:hint="eastAsia" w:eastAsia="黑体" w:cs="Calibri"/>
          <w:color w:val="000000"/>
          <w:sz w:val="32"/>
          <w:szCs w:val="32"/>
        </w:rPr>
        <w:t>二、法定代表人身份证明</w:t>
      </w:r>
    </w:p>
    <w:p>
      <w:pPr>
        <w:spacing w:afterLines="50" w:line="440" w:lineRule="exact"/>
        <w:rPr>
          <w:rFonts w:cs="Calibri"/>
          <w:color w:val="000000"/>
        </w:rPr>
      </w:pPr>
    </w:p>
    <w:p>
      <w:pPr>
        <w:spacing w:afterLines="50" w:line="440" w:lineRule="exact"/>
        <w:rPr>
          <w:rFonts w:cs="Calibri"/>
          <w:color w:val="000000"/>
          <w:sz w:val="22"/>
          <w:u w:val="single"/>
        </w:rPr>
      </w:pPr>
      <w:r>
        <w:rPr>
          <w:rFonts w:hint="eastAsia" w:cs="Calibri"/>
          <w:color w:val="000000"/>
          <w:sz w:val="22"/>
        </w:rPr>
        <w:t>投标人名称：</w:t>
      </w:r>
    </w:p>
    <w:p>
      <w:pPr>
        <w:spacing w:afterLines="50" w:line="440" w:lineRule="exact"/>
        <w:rPr>
          <w:rFonts w:cs="Calibri"/>
          <w:color w:val="000000"/>
          <w:sz w:val="22"/>
          <w:u w:val="single"/>
        </w:rPr>
      </w:pPr>
      <w:r>
        <w:rPr>
          <w:rFonts w:hint="eastAsia" w:cs="Calibri"/>
          <w:color w:val="000000"/>
          <w:sz w:val="22"/>
        </w:rPr>
        <w:t>单位性质：</w:t>
      </w:r>
    </w:p>
    <w:p>
      <w:pPr>
        <w:spacing w:afterLines="50" w:line="440" w:lineRule="exact"/>
        <w:rPr>
          <w:rFonts w:cs="Calibri"/>
          <w:color w:val="000000"/>
          <w:sz w:val="22"/>
          <w:u w:val="single"/>
        </w:rPr>
      </w:pPr>
      <w:r>
        <w:rPr>
          <w:rFonts w:hint="eastAsia" w:cs="Calibri"/>
          <w:color w:val="000000"/>
          <w:sz w:val="22"/>
        </w:rPr>
        <w:t>地址：</w:t>
      </w:r>
    </w:p>
    <w:p>
      <w:pPr>
        <w:spacing w:afterLines="50" w:line="440" w:lineRule="exact"/>
        <w:rPr>
          <w:rFonts w:cs="Calibri"/>
          <w:color w:val="000000"/>
          <w:sz w:val="22"/>
          <w:u w:val="single"/>
        </w:rPr>
      </w:pPr>
      <w:r>
        <w:rPr>
          <w:rFonts w:hint="eastAsia" w:cs="Calibri"/>
          <w:color w:val="000000"/>
          <w:sz w:val="22"/>
        </w:rPr>
        <w:t>成立时间：年月日</w:t>
      </w:r>
    </w:p>
    <w:p>
      <w:pPr>
        <w:spacing w:afterLines="50" w:line="440" w:lineRule="exact"/>
        <w:rPr>
          <w:rFonts w:cs="Calibri"/>
          <w:color w:val="000000"/>
          <w:sz w:val="22"/>
          <w:u w:val="single"/>
        </w:rPr>
      </w:pPr>
      <w:r>
        <w:rPr>
          <w:rFonts w:hint="eastAsia" w:cs="Calibri"/>
          <w:color w:val="000000"/>
          <w:sz w:val="22"/>
        </w:rPr>
        <w:t>经营期限：</w:t>
      </w:r>
    </w:p>
    <w:p>
      <w:pPr>
        <w:spacing w:afterLines="50" w:line="440" w:lineRule="exact"/>
        <w:rPr>
          <w:rFonts w:cs="Calibri"/>
          <w:color w:val="000000"/>
          <w:sz w:val="22"/>
          <w:u w:val="single"/>
        </w:rPr>
      </w:pPr>
      <w:r>
        <w:rPr>
          <w:rFonts w:hint="eastAsia" w:cs="Calibri"/>
          <w:color w:val="000000"/>
          <w:sz w:val="22"/>
        </w:rPr>
        <w:t>姓名：性别：年龄：职务：</w:t>
      </w:r>
    </w:p>
    <w:p>
      <w:pPr>
        <w:spacing w:afterLines="50" w:line="440" w:lineRule="exact"/>
        <w:rPr>
          <w:rFonts w:cs="Calibri"/>
          <w:color w:val="000000"/>
          <w:sz w:val="22"/>
          <w:u w:val="single"/>
        </w:rPr>
      </w:pPr>
      <w:r>
        <w:rPr>
          <w:rFonts w:hint="eastAsia" w:cs="Calibri"/>
          <w:color w:val="000000"/>
          <w:sz w:val="22"/>
        </w:rPr>
        <w:t>身份证号码：</w:t>
      </w:r>
    </w:p>
    <w:p>
      <w:pPr>
        <w:spacing w:line="440" w:lineRule="exact"/>
        <w:ind w:firstLine="560"/>
        <w:rPr>
          <w:rFonts w:cs="Calibri"/>
          <w:color w:val="000000"/>
          <w:sz w:val="22"/>
        </w:rPr>
      </w:pPr>
    </w:p>
    <w:p>
      <w:pPr>
        <w:spacing w:line="440" w:lineRule="exact"/>
        <w:rPr>
          <w:rFonts w:cs="Calibri"/>
          <w:color w:val="000000"/>
          <w:sz w:val="22"/>
        </w:rPr>
      </w:pPr>
      <w:r>
        <w:rPr>
          <w:rFonts w:hint="eastAsia" w:cs="Calibri"/>
          <w:color w:val="000000"/>
          <w:sz w:val="22"/>
        </w:rPr>
        <w:t>系（投标人名称）的法定代表人。</w:t>
      </w:r>
    </w:p>
    <w:p>
      <w:pPr>
        <w:spacing w:line="440" w:lineRule="exact"/>
        <w:ind w:firstLine="560"/>
        <w:rPr>
          <w:rFonts w:cs="Calibri"/>
          <w:color w:val="000000"/>
          <w:sz w:val="22"/>
        </w:rPr>
      </w:pPr>
    </w:p>
    <w:p>
      <w:pPr>
        <w:spacing w:line="440" w:lineRule="exact"/>
        <w:rPr>
          <w:rFonts w:cs="Calibri"/>
          <w:color w:val="000000"/>
          <w:sz w:val="22"/>
        </w:rPr>
      </w:pPr>
      <w:r>
        <w:rPr>
          <w:rFonts w:hint="eastAsia" w:cs="Calibri"/>
          <w:color w:val="000000"/>
          <w:sz w:val="22"/>
        </w:rPr>
        <w:t>特此证明。</w:t>
      </w:r>
    </w:p>
    <w:p>
      <w:pPr>
        <w:spacing w:line="440" w:lineRule="exact"/>
        <w:rPr>
          <w:rFonts w:cs="Calibri"/>
          <w:color w:val="000000"/>
          <w:sz w:val="22"/>
        </w:rPr>
      </w:pPr>
      <w:r>
        <w:rPr>
          <w:rFonts w:hint="eastAsia" w:cs="Calibri"/>
          <w:color w:val="000000"/>
          <w:sz w:val="22"/>
        </w:rPr>
        <w:t>附：法定代表人身份证复印件</w:t>
      </w:r>
    </w:p>
    <w:p>
      <w:pPr>
        <w:spacing w:line="440" w:lineRule="exact"/>
        <w:rPr>
          <w:rFonts w:cs="Calibri"/>
          <w:color w:val="000000"/>
          <w:sz w:val="22"/>
        </w:rPr>
      </w:pPr>
      <w:r>
        <w:rPr>
          <w:rFonts w:hint="eastAsia" w:cs="Calibri"/>
          <w:color w:val="000000"/>
          <w:sz w:val="22"/>
        </w:rPr>
        <w:t>投标人：（盖单位章）</w:t>
      </w:r>
    </w:p>
    <w:p>
      <w:pPr>
        <w:spacing w:line="440" w:lineRule="exact"/>
        <w:ind w:firstLine="4693" w:firstLineChars="2235"/>
        <w:rPr>
          <w:rFonts w:cs="Calibri"/>
          <w:b/>
          <w:color w:val="000000"/>
          <w:sz w:val="22"/>
        </w:rPr>
      </w:pPr>
      <w:r>
        <w:rPr>
          <w:rFonts w:cs="Times New Roman"/>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803275</wp:posOffset>
                </wp:positionV>
                <wp:extent cx="5372100" cy="2179320"/>
                <wp:effectExtent l="5080" t="4445" r="13970" b="6985"/>
                <wp:wrapSquare wrapText="bothSides"/>
                <wp:docPr id="1" name="文本框 6"/>
                <wp:cNvGraphicFramePr/>
                <a:graphic xmlns:a="http://schemas.openxmlformats.org/drawingml/2006/main">
                  <a:graphicData uri="http://schemas.microsoft.com/office/word/2010/wordprocessingShape">
                    <wps:wsp>
                      <wps:cNvSpPr txBox="1"/>
                      <wps:spPr>
                        <a:xfrm>
                          <a:off x="0" y="0"/>
                          <a:ext cx="5372100" cy="21793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rFonts w:hint="eastAsia"/>
                                <w:szCs w:val="21"/>
                              </w:rPr>
                              <w:t>法定代表人身份证复印件粘贴处（正、反面）</w:t>
                            </w:r>
                          </w:p>
                        </w:txbxContent>
                      </wps:txbx>
                      <wps:bodyPr upright="1"/>
                    </wps:wsp>
                  </a:graphicData>
                </a:graphic>
              </wp:anchor>
            </w:drawing>
          </mc:Choice>
          <mc:Fallback>
            <w:pict>
              <v:shape id="文本框 6" o:spid="_x0000_s1026" o:spt="202" type="#_x0000_t202" style="position:absolute;left:0pt;margin-left:0pt;margin-top:63.25pt;height:171.6pt;width:423pt;mso-wrap-distance-bottom:0pt;mso-wrap-distance-left:9pt;mso-wrap-distance-right:9pt;mso-wrap-distance-top:0pt;z-index:251659264;mso-width-relative:page;mso-height-relative:page;" fillcolor="#FFFFFF" filled="t" stroked="t" coordsize="21600,21600" o:gfxdata="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MwvI9cAAAAIAQAADwAAAAAAAAABACAAAAAiAAAAZHJzL2Rvd25yZXYueG1sUEsBAhQA&#10;FAAAAAgAh07iQDWZKBbzAQAA6QMAAA4AAAAAAAAAAQAgAAAAJgEAAGRycy9lMm9Eb2MueG1sUEsF&#10;BgAAAAAGAAYAWQEAAIsFAAAAAA==&#10;">
                <v:fill on="t" focussize="0,0"/>
                <v:stroke color="#000000"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rFonts w:hint="eastAsia"/>
                          <w:szCs w:val="21"/>
                        </w:rPr>
                        <w:t>法定代表人身份证复印件粘贴处（正、反面）</w:t>
                      </w:r>
                    </w:p>
                  </w:txbxContent>
                </v:textbox>
                <w10:wrap type="square"/>
              </v:shape>
            </w:pict>
          </mc:Fallback>
        </mc:AlternateContent>
      </w:r>
      <w:bookmarkStart w:id="120" w:name="_top"/>
      <w:bookmarkEnd w:id="120"/>
      <w:r>
        <w:rPr>
          <w:rFonts w:hint="eastAsia" w:cs="Calibri"/>
          <w:color w:val="000000"/>
          <w:sz w:val="22"/>
        </w:rPr>
        <w:t>日期：年月日</w:t>
      </w:r>
    </w:p>
    <w:p>
      <w:pPr>
        <w:spacing w:line="440" w:lineRule="exact"/>
        <w:jc w:val="center"/>
        <w:rPr>
          <w:rFonts w:eastAsia="黑体" w:cs="Calibri"/>
          <w:color w:val="000000"/>
          <w:sz w:val="28"/>
          <w:szCs w:val="28"/>
        </w:rPr>
      </w:pPr>
      <w:r>
        <w:rPr>
          <w:rFonts w:cs="Calibri"/>
          <w:color w:val="000000"/>
          <w:szCs w:val="21"/>
        </w:rPr>
        <w:br w:type="page"/>
      </w:r>
      <w:r>
        <w:rPr>
          <w:rFonts w:hint="eastAsia" w:eastAsia="黑体" w:cs="Calibri"/>
          <w:color w:val="000000"/>
          <w:sz w:val="32"/>
          <w:szCs w:val="32"/>
        </w:rPr>
        <w:t>三、授权委托书</w:t>
      </w:r>
    </w:p>
    <w:p>
      <w:pPr>
        <w:spacing w:line="440" w:lineRule="exact"/>
        <w:ind w:firstLine="420" w:firstLineChars="200"/>
        <w:rPr>
          <w:rFonts w:cs="Calibri"/>
          <w:color w:val="000000"/>
          <w:szCs w:val="21"/>
        </w:rPr>
      </w:pPr>
    </w:p>
    <w:p>
      <w:pPr>
        <w:spacing w:line="440" w:lineRule="exact"/>
        <w:ind w:firstLine="440" w:firstLineChars="200"/>
        <w:rPr>
          <w:rFonts w:cs="Calibri"/>
          <w:color w:val="000000"/>
          <w:sz w:val="22"/>
        </w:rPr>
      </w:pPr>
      <w:r>
        <w:rPr>
          <w:rFonts w:hint="eastAsia" w:cs="Calibri"/>
          <w:color w:val="000000"/>
          <w:sz w:val="22"/>
        </w:rPr>
        <w:t>本人（姓名）系（投标人名称）的法定代表人，现委托（姓名）为我方代理人。代理人根据授权，以我方名义签署、澄清、说明、补正、递交、撤回、修改（项目名称）投标文件、签订合同和处理有关事宜，其法律后果由我方承担。</w:t>
      </w:r>
    </w:p>
    <w:p>
      <w:pPr>
        <w:spacing w:line="440" w:lineRule="exact"/>
        <w:ind w:firstLine="440" w:firstLineChars="200"/>
        <w:rPr>
          <w:rFonts w:cs="Calibri"/>
          <w:color w:val="000000"/>
          <w:sz w:val="22"/>
        </w:rPr>
      </w:pPr>
      <w:r>
        <w:rPr>
          <w:rFonts w:hint="eastAsia" w:cs="Calibri"/>
          <w:color w:val="000000"/>
          <w:sz w:val="22"/>
        </w:rPr>
        <w:t>代理人无转委托权。</w:t>
      </w:r>
    </w:p>
    <w:p>
      <w:pPr>
        <w:spacing w:line="440" w:lineRule="exact"/>
        <w:ind w:firstLine="440" w:firstLineChars="200"/>
        <w:rPr>
          <w:rFonts w:cs="Calibri"/>
          <w:color w:val="000000"/>
          <w:sz w:val="22"/>
        </w:rPr>
      </w:pPr>
      <w:r>
        <w:rPr>
          <w:rFonts w:hint="eastAsia" w:cs="Calibri"/>
          <w:color w:val="000000"/>
          <w:sz w:val="22"/>
        </w:rPr>
        <w:t>附：委托代理人身份证复印件</w:t>
      </w:r>
    </w:p>
    <w:p>
      <w:pPr>
        <w:spacing w:line="440" w:lineRule="exact"/>
        <w:rPr>
          <w:rFonts w:cs="Calibri"/>
          <w:color w:val="000000"/>
          <w:sz w:val="22"/>
        </w:rPr>
      </w:pPr>
    </w:p>
    <w:p>
      <w:pPr>
        <w:spacing w:line="440" w:lineRule="exact"/>
        <w:rPr>
          <w:rFonts w:cs="Calibri"/>
          <w:color w:val="000000"/>
          <w:sz w:val="22"/>
        </w:rPr>
      </w:pPr>
      <w:r>
        <w:rPr>
          <w:rFonts w:hint="eastAsia" w:cs="Calibri"/>
          <w:color w:val="000000"/>
          <w:sz w:val="22"/>
        </w:rPr>
        <w:t>投标人：（盖单位章）</w:t>
      </w:r>
    </w:p>
    <w:p>
      <w:pPr>
        <w:spacing w:line="440" w:lineRule="exact"/>
        <w:rPr>
          <w:rFonts w:cs="Calibri"/>
          <w:color w:val="000000"/>
          <w:sz w:val="22"/>
        </w:rPr>
      </w:pPr>
      <w:r>
        <w:rPr>
          <w:rFonts w:hint="eastAsia" w:cs="Calibri"/>
          <w:color w:val="000000"/>
          <w:sz w:val="22"/>
        </w:rPr>
        <w:t>法定代表人：（签字或盖章）</w:t>
      </w:r>
    </w:p>
    <w:p>
      <w:pPr>
        <w:spacing w:line="440" w:lineRule="exact"/>
        <w:rPr>
          <w:rFonts w:cs="Calibri"/>
          <w:color w:val="000000"/>
          <w:sz w:val="22"/>
        </w:rPr>
      </w:pPr>
      <w:r>
        <w:rPr>
          <w:rFonts w:hint="eastAsia" w:cs="Calibri"/>
          <w:color w:val="000000"/>
          <w:sz w:val="22"/>
        </w:rPr>
        <w:t>身份证号码：</w:t>
      </w:r>
    </w:p>
    <w:p>
      <w:pPr>
        <w:spacing w:line="440" w:lineRule="exact"/>
        <w:rPr>
          <w:rFonts w:cs="Calibri"/>
          <w:color w:val="000000"/>
          <w:sz w:val="22"/>
        </w:rPr>
      </w:pPr>
    </w:p>
    <w:p>
      <w:pPr>
        <w:spacing w:line="440" w:lineRule="exact"/>
        <w:rPr>
          <w:rFonts w:cs="Calibri"/>
          <w:color w:val="000000"/>
          <w:sz w:val="22"/>
        </w:rPr>
      </w:pPr>
      <w:r>
        <w:rPr>
          <w:rFonts w:hint="eastAsia" w:cs="Calibri"/>
          <w:color w:val="000000"/>
          <w:sz w:val="22"/>
        </w:rPr>
        <w:t>委托的代理人：（签字或盖章）</w:t>
      </w:r>
    </w:p>
    <w:p>
      <w:pPr>
        <w:spacing w:line="440" w:lineRule="exact"/>
        <w:rPr>
          <w:rFonts w:cs="Calibri"/>
          <w:color w:val="000000"/>
          <w:sz w:val="22"/>
        </w:rPr>
      </w:pPr>
      <w:r>
        <w:rPr>
          <w:rFonts w:hint="eastAsia" w:cs="Calibri"/>
          <w:color w:val="000000"/>
          <w:sz w:val="22"/>
        </w:rPr>
        <w:t>身份证号码：</w:t>
      </w:r>
    </w:p>
    <w:p>
      <w:pPr>
        <w:spacing w:line="440" w:lineRule="exact"/>
        <w:ind w:firstLine="4730" w:firstLineChars="2150"/>
        <w:rPr>
          <w:rFonts w:cs="Calibri"/>
          <w:color w:val="000000"/>
          <w:sz w:val="22"/>
        </w:rPr>
      </w:pPr>
      <w:r>
        <w:rPr>
          <w:rFonts w:hint="eastAsia" w:cs="Calibri"/>
          <w:color w:val="000000"/>
          <w:sz w:val="22"/>
        </w:rPr>
        <w:t>日期：年月日</w:t>
      </w:r>
    </w:p>
    <w:p>
      <w:pPr>
        <w:snapToGrid w:val="0"/>
        <w:spacing w:line="440" w:lineRule="exact"/>
        <w:rPr>
          <w:rFonts w:cs="Calibri"/>
          <w:color w:val="000000"/>
          <w:szCs w:val="21"/>
        </w:rPr>
      </w:pPr>
      <w:r>
        <w:rPr>
          <w:rFonts w:cs="Times New Roman"/>
        </w:rPr>
        <mc:AlternateContent>
          <mc:Choice Requires="wps">
            <w:drawing>
              <wp:anchor distT="0" distB="0" distL="114300" distR="114300" simplePos="0" relativeHeight="251660288" behindDoc="0" locked="0" layoutInCell="1" allowOverlap="1">
                <wp:simplePos x="0" y="0"/>
                <wp:positionH relativeFrom="column">
                  <wp:posOffset>116205</wp:posOffset>
                </wp:positionH>
                <wp:positionV relativeFrom="paragraph">
                  <wp:posOffset>264160</wp:posOffset>
                </wp:positionV>
                <wp:extent cx="5372100" cy="2179320"/>
                <wp:effectExtent l="5080" t="4445" r="13970" b="6985"/>
                <wp:wrapSquare wrapText="bothSides"/>
                <wp:docPr id="2" name="文本框 5"/>
                <wp:cNvGraphicFramePr/>
                <a:graphic xmlns:a="http://schemas.openxmlformats.org/drawingml/2006/main">
                  <a:graphicData uri="http://schemas.microsoft.com/office/word/2010/wordprocessingShape">
                    <wps:wsp>
                      <wps:cNvSpPr txBox="1"/>
                      <wps:spPr>
                        <a:xfrm>
                          <a:off x="0" y="0"/>
                          <a:ext cx="5372100" cy="21793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wps:txbx>
                      <wps:bodyPr upright="1"/>
                    </wps:wsp>
                  </a:graphicData>
                </a:graphic>
              </wp:anchor>
            </w:drawing>
          </mc:Choice>
          <mc:Fallback>
            <w:pict>
              <v:shape id="文本框 5" o:spid="_x0000_s1026" o:spt="202" type="#_x0000_t202" style="position:absolute;left:0pt;margin-left:9.15pt;margin-top:20.8pt;height:171.6pt;width:423pt;mso-wrap-distance-bottom:0pt;mso-wrap-distance-left:9pt;mso-wrap-distance-right:9pt;mso-wrap-distance-top:0pt;z-index:251660288;mso-width-relative:page;mso-height-relative:page;" fillcolor="#FFFFFF" filled="t" stroked="t"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6k96wdcAAAAJAQAADwAAAAAAAAABACAAAAAiAAAAZHJzL2Rvd25yZXYueG1sUEsBAhQA&#10;FAAAAAgAh07iQLB4u/HzAQAA6QMAAA4AAAAAAAAAAQAgAAAAJgEAAGRycy9lMm9Eb2MueG1sUEsF&#10;BgAAAAAGAAYAWQEAAIsFAAAAAA==&#10;">
                <v:fill on="t" focussize="0,0"/>
                <v:stroke color="#000000"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mc:Fallback>
        </mc:AlternateContent>
      </w:r>
    </w:p>
    <w:p>
      <w:pPr>
        <w:spacing w:line="440" w:lineRule="exact"/>
        <w:rPr>
          <w:rFonts w:cs="Calibri"/>
          <w:b/>
          <w:bCs/>
          <w:color w:val="000000"/>
          <w:szCs w:val="21"/>
        </w:rPr>
      </w:pPr>
    </w:p>
    <w:p>
      <w:pPr>
        <w:spacing w:line="440" w:lineRule="exact"/>
        <w:rPr>
          <w:rFonts w:cs="Calibri"/>
          <w:b/>
          <w:bCs/>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b/>
          <w:bCs/>
          <w:color w:val="000000"/>
          <w:sz w:val="22"/>
        </w:rPr>
      </w:pPr>
      <w:r>
        <w:rPr>
          <w:rFonts w:hint="eastAsia" w:cs="Calibri"/>
          <w:color w:val="000000"/>
          <w:sz w:val="22"/>
        </w:rPr>
        <w:t>注：如投标文件由委托代理人签字或盖章的，投标文件必须附此授权委托书。</w:t>
      </w:r>
    </w:p>
    <w:p>
      <w:pPr>
        <w:spacing w:line="360" w:lineRule="auto"/>
        <w:jc w:val="left"/>
        <w:rPr>
          <w:rFonts w:ascii="宋体" w:hAnsi="宋体" w:cs="宋体"/>
          <w:sz w:val="22"/>
        </w:rPr>
      </w:pPr>
    </w:p>
    <w:p>
      <w:pPr>
        <w:spacing w:afterLines="50" w:line="360" w:lineRule="auto"/>
        <w:jc w:val="left"/>
        <w:rPr>
          <w:rFonts w:ascii="宋体" w:hAnsi="宋体" w:cs="宋体"/>
          <w:b/>
          <w:kern w:val="0"/>
          <w:sz w:val="20"/>
          <w:szCs w:val="21"/>
        </w:rPr>
      </w:pPr>
      <w:r>
        <w:rPr>
          <w:rFonts w:hint="eastAsia" w:ascii="宋体" w:hAnsi="宋体" w:cs="宋体"/>
          <w:b/>
          <w:kern w:val="0"/>
          <w:sz w:val="20"/>
          <w:szCs w:val="21"/>
        </w:rPr>
        <w:br w:type="page"/>
      </w:r>
      <w:bookmarkStart w:id="121" w:name="_Toc144265958"/>
      <w:bookmarkStart w:id="122" w:name="_Toc137373398"/>
      <w:bookmarkStart w:id="123" w:name="_Toc133470542"/>
      <w:bookmarkStart w:id="124" w:name="_Toc133214309"/>
      <w:bookmarkStart w:id="125" w:name="_Toc133214102"/>
    </w:p>
    <w:p>
      <w:pPr>
        <w:spacing w:afterLines="50" w:line="360" w:lineRule="auto"/>
        <w:jc w:val="left"/>
        <w:rPr>
          <w:rFonts w:ascii="宋体" w:hAnsi="宋体" w:cs="宋体"/>
          <w:kern w:val="0"/>
          <w:sz w:val="22"/>
        </w:rPr>
      </w:pPr>
    </w:p>
    <w:p>
      <w:pPr>
        <w:spacing w:line="440" w:lineRule="exact"/>
        <w:jc w:val="center"/>
        <w:rPr>
          <w:rFonts w:eastAsia="黑体" w:cs="Calibri"/>
          <w:color w:val="000000"/>
          <w:sz w:val="32"/>
          <w:szCs w:val="32"/>
        </w:rPr>
      </w:pPr>
      <w:r>
        <w:rPr>
          <w:rFonts w:hint="eastAsia" w:eastAsia="黑体" w:cs="Calibri"/>
          <w:color w:val="000000"/>
          <w:sz w:val="32"/>
          <w:szCs w:val="32"/>
        </w:rPr>
        <w:t>四、投标报价表</w:t>
      </w:r>
    </w:p>
    <w:p>
      <w:pPr>
        <w:spacing w:afterLines="50" w:line="360" w:lineRule="auto"/>
        <w:jc w:val="center"/>
        <w:rPr>
          <w:rFonts w:ascii="宋体" w:hAnsi="宋体" w:cs="宋体"/>
          <w:kern w:val="0"/>
          <w:sz w:val="20"/>
          <w:szCs w:val="21"/>
        </w:rPr>
      </w:pPr>
    </w:p>
    <w:p>
      <w:pPr>
        <w:numPr>
          <w:ilvl w:val="1"/>
          <w:numId w:val="13"/>
        </w:numPr>
        <w:snapToGrid w:val="0"/>
        <w:spacing w:beforeLines="50" w:line="360" w:lineRule="exact"/>
        <w:rPr>
          <w:rFonts w:ascii="宋体" w:hAnsi="宋体" w:cs="宋体"/>
          <w:b/>
          <w:kern w:val="0"/>
          <w:sz w:val="22"/>
        </w:rPr>
      </w:pPr>
      <w:r>
        <w:rPr>
          <w:rFonts w:hint="eastAsia" w:ascii="宋体" w:hAnsi="宋体" w:cs="宋体"/>
          <w:b/>
          <w:kern w:val="0"/>
          <w:sz w:val="22"/>
        </w:rPr>
        <w:t>总则</w:t>
      </w:r>
    </w:p>
    <w:p>
      <w:pPr>
        <w:numPr>
          <w:ilvl w:val="1"/>
          <w:numId w:val="14"/>
        </w:numPr>
        <w:snapToGrid w:val="0"/>
        <w:spacing w:beforeLines="50" w:line="360" w:lineRule="exact"/>
        <w:rPr>
          <w:rFonts w:ascii="宋体" w:hAnsi="宋体" w:cs="宋体"/>
          <w:kern w:val="0"/>
          <w:sz w:val="22"/>
        </w:rPr>
      </w:pPr>
      <w:r>
        <w:rPr>
          <w:rFonts w:hint="eastAsia" w:ascii="宋体" w:hAnsi="宋体" w:cs="宋体"/>
          <w:kern w:val="0"/>
          <w:sz w:val="22"/>
        </w:rPr>
        <w:t>一旦投标人对本投标报价表作出报价并为招标人所接纳后，本投标报价表就成为一份具有约束力的合同文件的一部分，用来作为合同付款的依据。</w:t>
      </w:r>
    </w:p>
    <w:p>
      <w:pPr>
        <w:numPr>
          <w:ilvl w:val="1"/>
          <w:numId w:val="14"/>
        </w:numPr>
        <w:snapToGrid w:val="0"/>
        <w:spacing w:beforeLines="50" w:line="360" w:lineRule="exact"/>
        <w:rPr>
          <w:rFonts w:ascii="宋体" w:hAnsi="宋体" w:cs="宋体"/>
          <w:kern w:val="0"/>
          <w:sz w:val="22"/>
        </w:rPr>
      </w:pPr>
      <w:r>
        <w:rPr>
          <w:rFonts w:hint="eastAsia" w:ascii="宋体" w:hAnsi="宋体" w:cs="宋体"/>
          <w:kern w:val="0"/>
          <w:sz w:val="22"/>
        </w:rPr>
        <w:t>报价应包含本项目所有税项。如买方根据法规和国家有关规定获减免税或退税，利益完全归买方。</w:t>
      </w:r>
    </w:p>
    <w:p>
      <w:pPr>
        <w:numPr>
          <w:ilvl w:val="1"/>
          <w:numId w:val="14"/>
        </w:numPr>
        <w:snapToGrid w:val="0"/>
        <w:spacing w:beforeLines="50" w:line="360" w:lineRule="exact"/>
        <w:rPr>
          <w:rFonts w:ascii="宋体" w:hAnsi="宋体" w:cs="宋体"/>
          <w:kern w:val="0"/>
          <w:sz w:val="22"/>
        </w:rPr>
      </w:pPr>
      <w:r>
        <w:rPr>
          <w:rFonts w:hint="eastAsia" w:ascii="宋体" w:hAnsi="宋体" w:cs="宋体"/>
          <w:kern w:val="0"/>
          <w:sz w:val="22"/>
        </w:rPr>
        <w:t>投标人应仔细阅读所有招标文件，填报自己理解并认为正确的报价。除合同规定的调整外，投标人对实际工作及工作量的差异的索赔将不获考虑。</w:t>
      </w:r>
    </w:p>
    <w:p>
      <w:pPr>
        <w:numPr>
          <w:ilvl w:val="1"/>
          <w:numId w:val="14"/>
        </w:numPr>
        <w:snapToGrid w:val="0"/>
        <w:spacing w:beforeLines="50" w:line="360" w:lineRule="exact"/>
        <w:rPr>
          <w:rFonts w:ascii="宋体" w:hAnsi="宋体" w:cs="宋体"/>
          <w:kern w:val="0"/>
          <w:sz w:val="22"/>
        </w:rPr>
      </w:pPr>
      <w:r>
        <w:rPr>
          <w:rFonts w:hint="eastAsia" w:ascii="宋体" w:hAnsi="宋体" w:cs="宋体"/>
          <w:kern w:val="0"/>
          <w:sz w:val="22"/>
        </w:rPr>
        <w:t>本投标报价表中所有金额和单价以人民币结算。</w:t>
      </w:r>
    </w:p>
    <w:p>
      <w:pPr>
        <w:numPr>
          <w:ilvl w:val="1"/>
          <w:numId w:val="14"/>
        </w:numPr>
        <w:snapToGrid w:val="0"/>
        <w:spacing w:beforeLines="50" w:line="360" w:lineRule="exact"/>
        <w:rPr>
          <w:rFonts w:ascii="宋体" w:hAnsi="宋体" w:cs="宋体"/>
          <w:kern w:val="0"/>
          <w:sz w:val="22"/>
        </w:rPr>
      </w:pPr>
      <w:r>
        <w:rPr>
          <w:rFonts w:hint="eastAsia" w:ascii="宋体" w:hAnsi="宋体" w:cs="宋体"/>
          <w:kern w:val="0"/>
          <w:sz w:val="22"/>
        </w:rPr>
        <w:t>本投标报价表中的金额应包括在项目整个实施过程中，根据合同所需要的所有成本和费用。</w:t>
      </w:r>
    </w:p>
    <w:p>
      <w:pPr>
        <w:numPr>
          <w:ilvl w:val="1"/>
          <w:numId w:val="14"/>
        </w:numPr>
        <w:snapToGrid w:val="0"/>
        <w:spacing w:beforeLines="50" w:line="360" w:lineRule="exact"/>
        <w:rPr>
          <w:rFonts w:ascii="宋体" w:hAnsi="宋体" w:cs="宋体"/>
          <w:kern w:val="0"/>
          <w:sz w:val="22"/>
        </w:rPr>
      </w:pPr>
      <w:r>
        <w:rPr>
          <w:rFonts w:hint="eastAsia" w:ascii="宋体" w:hAnsi="宋体" w:cs="宋体"/>
          <w:kern w:val="0"/>
          <w:sz w:val="22"/>
        </w:rPr>
        <w:t>本总则上列各条中提及的“投标人”在合同执行过程中应作为“卖方”解释。</w:t>
      </w:r>
    </w:p>
    <w:p>
      <w:pPr>
        <w:numPr>
          <w:ilvl w:val="1"/>
          <w:numId w:val="13"/>
        </w:numPr>
        <w:snapToGrid w:val="0"/>
        <w:spacing w:beforeLines="50" w:line="360" w:lineRule="exact"/>
        <w:rPr>
          <w:rFonts w:ascii="宋体" w:hAnsi="宋体" w:cs="宋体"/>
          <w:kern w:val="0"/>
          <w:sz w:val="22"/>
        </w:rPr>
      </w:pPr>
      <w:r>
        <w:rPr>
          <w:rFonts w:hint="eastAsia" w:ascii="宋体" w:hAnsi="宋体" w:cs="宋体"/>
          <w:kern w:val="0"/>
          <w:sz w:val="22"/>
        </w:rPr>
        <w:t>投标报价表包含以下各表</w:t>
      </w:r>
    </w:p>
    <w:bookmarkEnd w:id="121"/>
    <w:bookmarkEnd w:id="122"/>
    <w:bookmarkEnd w:id="123"/>
    <w:bookmarkEnd w:id="124"/>
    <w:bookmarkEnd w:id="125"/>
    <w:p>
      <w:pPr>
        <w:snapToGrid w:val="0"/>
        <w:spacing w:beforeLines="50" w:line="360" w:lineRule="exact"/>
        <w:ind w:left="1134"/>
        <w:rPr>
          <w:rFonts w:ascii="宋体" w:hAnsi="宋体" w:cs="宋体"/>
          <w:sz w:val="22"/>
        </w:rPr>
      </w:pPr>
      <w:r>
        <w:rPr>
          <w:rFonts w:hint="eastAsia" w:ascii="宋体" w:hAnsi="宋体" w:cs="宋体"/>
          <w:sz w:val="22"/>
        </w:rPr>
        <w:t>(1)投标报价汇总表</w:t>
      </w:r>
    </w:p>
    <w:p>
      <w:pPr>
        <w:snapToGrid w:val="0"/>
        <w:spacing w:beforeLines="50" w:line="360" w:lineRule="exact"/>
        <w:ind w:left="1134"/>
        <w:rPr>
          <w:rFonts w:ascii="宋体" w:hAnsi="宋体" w:cs="宋体"/>
          <w:sz w:val="22"/>
        </w:rPr>
      </w:pPr>
      <w:r>
        <w:rPr>
          <w:rFonts w:hint="eastAsia" w:ascii="宋体" w:hAnsi="宋体" w:cs="宋体"/>
          <w:sz w:val="22"/>
        </w:rPr>
        <w:t>(2)设备费分项报价表</w:t>
      </w:r>
    </w:p>
    <w:p>
      <w:pPr>
        <w:snapToGrid w:val="0"/>
        <w:spacing w:beforeLines="50" w:line="360" w:lineRule="exact"/>
        <w:ind w:left="1134"/>
        <w:rPr>
          <w:rFonts w:ascii="宋体" w:hAnsi="宋体" w:cs="宋体"/>
          <w:sz w:val="22"/>
        </w:rPr>
      </w:pPr>
    </w:p>
    <w:p>
      <w:pPr>
        <w:spacing w:line="360" w:lineRule="auto"/>
        <w:jc w:val="center"/>
        <w:rPr>
          <w:rFonts w:ascii="宋体" w:hAnsi="宋体" w:cs="宋体"/>
          <w:b/>
          <w:sz w:val="32"/>
          <w:szCs w:val="32"/>
        </w:rPr>
      </w:pPr>
      <w:r>
        <w:rPr>
          <w:rFonts w:hint="eastAsia" w:ascii="宋体" w:hAnsi="宋体" w:cs="宋体"/>
          <w:sz w:val="22"/>
        </w:rPr>
        <w:br w:type="page"/>
      </w:r>
      <w:r>
        <w:rPr>
          <w:rFonts w:hint="eastAsia" w:ascii="宋体" w:hAnsi="宋体" w:cs="宋体"/>
          <w:b/>
          <w:sz w:val="32"/>
          <w:szCs w:val="32"/>
        </w:rPr>
        <w:t>4.1 投标报价汇总表</w:t>
      </w:r>
    </w:p>
    <w:p>
      <w:pPr>
        <w:spacing w:line="360" w:lineRule="auto"/>
        <w:rPr>
          <w:rFonts w:ascii="宋体" w:hAnsi="宋体" w:cs="宋体"/>
        </w:rPr>
      </w:pPr>
    </w:p>
    <w:p>
      <w:pPr>
        <w:spacing w:line="360" w:lineRule="auto"/>
        <w:jc w:val="right"/>
        <w:rPr>
          <w:rFonts w:ascii="宋体" w:hAnsi="宋体" w:cs="宋体"/>
          <w:sz w:val="22"/>
        </w:rPr>
      </w:pPr>
      <w:r>
        <w:rPr>
          <w:rFonts w:hint="eastAsia" w:ascii="宋体" w:hAnsi="宋体" w:cs="宋体"/>
          <w:sz w:val="22"/>
        </w:rPr>
        <w:t>[货币单位：人民币元]</w:t>
      </w:r>
    </w:p>
    <w:tbl>
      <w:tblPr>
        <w:tblStyle w:val="56"/>
        <w:tblW w:w="880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2976"/>
        <w:gridCol w:w="3544"/>
        <w:gridCol w:w="1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b/>
                <w:sz w:val="22"/>
              </w:rPr>
            </w:pPr>
            <w:r>
              <w:rPr>
                <w:rFonts w:hint="eastAsia" w:ascii="宋体" w:hAnsi="宋体" w:cs="宋体"/>
                <w:b/>
                <w:sz w:val="22"/>
              </w:rPr>
              <w:t>序号</w:t>
            </w:r>
          </w:p>
        </w:tc>
        <w:tc>
          <w:tcPr>
            <w:tcW w:w="297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b/>
                <w:sz w:val="22"/>
              </w:rPr>
            </w:pPr>
            <w:r>
              <w:rPr>
                <w:rFonts w:hint="eastAsia" w:ascii="宋体" w:hAnsi="宋体" w:cs="宋体"/>
                <w:b/>
                <w:sz w:val="22"/>
              </w:rPr>
              <w:t>内容</w:t>
            </w:r>
          </w:p>
        </w:tc>
        <w:tc>
          <w:tcPr>
            <w:tcW w:w="354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b/>
                <w:sz w:val="22"/>
              </w:rPr>
            </w:pPr>
            <w:r>
              <w:rPr>
                <w:rFonts w:hint="eastAsia" w:ascii="宋体" w:hAnsi="宋体" w:cs="宋体"/>
                <w:b/>
                <w:sz w:val="22"/>
              </w:rPr>
              <w:t>投标报价</w:t>
            </w:r>
          </w:p>
        </w:tc>
        <w:tc>
          <w:tcPr>
            <w:tcW w:w="142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b/>
                <w:sz w:val="22"/>
              </w:rPr>
            </w:pPr>
            <w:r>
              <w:rPr>
                <w:rFonts w:hint="eastAsia" w:ascii="宋体" w:hAnsi="宋体" w:cs="宋体"/>
                <w:b/>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宋体"/>
                <w:sz w:val="22"/>
              </w:rPr>
            </w:pPr>
            <w:r>
              <w:rPr>
                <w:rFonts w:hint="eastAsia" w:ascii="宋体" w:hAnsi="宋体" w:cs="宋体"/>
                <w:sz w:val="22"/>
              </w:rPr>
              <w:t>1</w:t>
            </w:r>
          </w:p>
        </w:tc>
        <w:tc>
          <w:tcPr>
            <w:tcW w:w="297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 w:val="22"/>
              </w:rPr>
            </w:pPr>
            <w:r>
              <w:rPr>
                <w:rFonts w:hint="eastAsia" w:ascii="宋体" w:hAnsi="宋体" w:cs="宋体"/>
                <w:sz w:val="22"/>
              </w:rPr>
              <w:t>设计费</w:t>
            </w:r>
          </w:p>
        </w:tc>
        <w:tc>
          <w:tcPr>
            <w:tcW w:w="3544"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sz w:val="22"/>
              </w:rPr>
            </w:pPr>
          </w:p>
        </w:tc>
        <w:tc>
          <w:tcPr>
            <w:tcW w:w="1423"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宋体"/>
                <w:sz w:val="22"/>
              </w:rPr>
            </w:pPr>
            <w:r>
              <w:rPr>
                <w:rFonts w:hint="eastAsia" w:ascii="宋体" w:hAnsi="宋体" w:cs="宋体"/>
                <w:sz w:val="22"/>
              </w:rPr>
              <w:t>2</w:t>
            </w:r>
          </w:p>
        </w:tc>
        <w:tc>
          <w:tcPr>
            <w:tcW w:w="297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 w:val="22"/>
              </w:rPr>
            </w:pPr>
            <w:r>
              <w:rPr>
                <w:rFonts w:hint="eastAsia" w:ascii="宋体" w:hAnsi="宋体" w:cs="宋体"/>
                <w:sz w:val="22"/>
              </w:rPr>
              <w:t>设备费(表4.2)</w:t>
            </w:r>
          </w:p>
        </w:tc>
        <w:tc>
          <w:tcPr>
            <w:tcW w:w="3544"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sz w:val="22"/>
              </w:rPr>
            </w:pPr>
          </w:p>
        </w:tc>
        <w:tc>
          <w:tcPr>
            <w:tcW w:w="1423"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宋体"/>
                <w:sz w:val="22"/>
              </w:rPr>
            </w:pPr>
            <w:r>
              <w:rPr>
                <w:rFonts w:hint="eastAsia" w:ascii="宋体" w:hAnsi="宋体" w:cs="宋体"/>
                <w:sz w:val="22"/>
              </w:rPr>
              <w:t>3</w:t>
            </w:r>
          </w:p>
        </w:tc>
        <w:tc>
          <w:tcPr>
            <w:tcW w:w="297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 w:val="22"/>
              </w:rPr>
            </w:pPr>
            <w:r>
              <w:rPr>
                <w:rFonts w:hint="eastAsia" w:ascii="宋体" w:hAnsi="宋体" w:cs="宋体"/>
                <w:sz w:val="22"/>
              </w:rPr>
              <w:t>拆除费及废料运输费</w:t>
            </w:r>
          </w:p>
        </w:tc>
        <w:tc>
          <w:tcPr>
            <w:tcW w:w="3544"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sz w:val="22"/>
              </w:rPr>
            </w:pPr>
          </w:p>
        </w:tc>
        <w:tc>
          <w:tcPr>
            <w:tcW w:w="1423"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宋体"/>
                <w:sz w:val="22"/>
              </w:rPr>
            </w:pPr>
            <w:r>
              <w:rPr>
                <w:rFonts w:hint="eastAsia" w:ascii="宋体" w:hAnsi="宋体" w:cs="宋体"/>
                <w:sz w:val="22"/>
              </w:rPr>
              <w:t>4</w:t>
            </w:r>
          </w:p>
        </w:tc>
        <w:tc>
          <w:tcPr>
            <w:tcW w:w="297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 w:val="22"/>
              </w:rPr>
            </w:pPr>
          </w:p>
        </w:tc>
        <w:tc>
          <w:tcPr>
            <w:tcW w:w="3544"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sz w:val="22"/>
              </w:rPr>
            </w:pPr>
          </w:p>
        </w:tc>
        <w:tc>
          <w:tcPr>
            <w:tcW w:w="1423"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宋体"/>
                <w:sz w:val="22"/>
              </w:rPr>
            </w:pPr>
            <w:r>
              <w:rPr>
                <w:rFonts w:hint="eastAsia" w:ascii="宋体" w:hAnsi="宋体" w:cs="宋体"/>
                <w:sz w:val="22"/>
              </w:rPr>
              <w:t>5</w:t>
            </w:r>
          </w:p>
        </w:tc>
        <w:tc>
          <w:tcPr>
            <w:tcW w:w="297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 w:val="22"/>
              </w:rPr>
            </w:pPr>
            <w:r>
              <w:rPr>
                <w:rFonts w:hint="eastAsia" w:ascii="宋体" w:hAnsi="宋体" w:cs="宋体"/>
                <w:sz w:val="22"/>
              </w:rPr>
              <w:t>...</w:t>
            </w:r>
          </w:p>
        </w:tc>
        <w:tc>
          <w:tcPr>
            <w:tcW w:w="3544"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sz w:val="22"/>
              </w:rPr>
            </w:pPr>
          </w:p>
        </w:tc>
        <w:tc>
          <w:tcPr>
            <w:tcW w:w="1423"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宋体"/>
                <w:sz w:val="22"/>
              </w:rPr>
            </w:pPr>
            <w:r>
              <w:rPr>
                <w:rFonts w:hint="eastAsia" w:ascii="宋体" w:hAnsi="宋体" w:cs="宋体"/>
                <w:sz w:val="22"/>
              </w:rPr>
              <w:t>6</w:t>
            </w:r>
          </w:p>
        </w:tc>
        <w:tc>
          <w:tcPr>
            <w:tcW w:w="297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 w:val="22"/>
              </w:rPr>
            </w:pPr>
            <w:r>
              <w:rPr>
                <w:rFonts w:hint="eastAsia" w:ascii="宋体" w:hAnsi="宋体" w:cs="宋体"/>
                <w:sz w:val="22"/>
              </w:rPr>
              <w:t>...</w:t>
            </w:r>
          </w:p>
        </w:tc>
        <w:tc>
          <w:tcPr>
            <w:tcW w:w="3544"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sz w:val="22"/>
              </w:rPr>
            </w:pPr>
          </w:p>
        </w:tc>
        <w:tc>
          <w:tcPr>
            <w:tcW w:w="1423"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宋体"/>
                <w:sz w:val="22"/>
              </w:rPr>
            </w:pPr>
          </w:p>
        </w:tc>
        <w:tc>
          <w:tcPr>
            <w:tcW w:w="297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 w:val="22"/>
              </w:rPr>
            </w:pPr>
          </w:p>
        </w:tc>
        <w:tc>
          <w:tcPr>
            <w:tcW w:w="3544"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sz w:val="22"/>
              </w:rPr>
            </w:pPr>
          </w:p>
        </w:tc>
        <w:tc>
          <w:tcPr>
            <w:tcW w:w="1423"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宋体"/>
                <w:sz w:val="22"/>
              </w:rPr>
            </w:pPr>
          </w:p>
        </w:tc>
        <w:tc>
          <w:tcPr>
            <w:tcW w:w="297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 w:val="22"/>
              </w:rPr>
            </w:pPr>
          </w:p>
        </w:tc>
        <w:tc>
          <w:tcPr>
            <w:tcW w:w="3544"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sz w:val="22"/>
              </w:rPr>
            </w:pPr>
          </w:p>
        </w:tc>
        <w:tc>
          <w:tcPr>
            <w:tcW w:w="1423"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 w:val="22"/>
              </w:rPr>
            </w:pPr>
          </w:p>
        </w:tc>
        <w:tc>
          <w:tcPr>
            <w:tcW w:w="297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b/>
                <w:sz w:val="22"/>
              </w:rPr>
            </w:pPr>
            <w:r>
              <w:rPr>
                <w:rFonts w:hint="eastAsia" w:ascii="宋体" w:hAnsi="宋体" w:cs="宋体"/>
                <w:b/>
                <w:sz w:val="22"/>
              </w:rPr>
              <w:t>总计</w:t>
            </w:r>
          </w:p>
        </w:tc>
        <w:tc>
          <w:tcPr>
            <w:tcW w:w="3544"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sz w:val="22"/>
              </w:rPr>
            </w:pPr>
          </w:p>
        </w:tc>
        <w:tc>
          <w:tcPr>
            <w:tcW w:w="1423"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sz w:val="22"/>
              </w:rPr>
            </w:pPr>
          </w:p>
        </w:tc>
      </w:tr>
    </w:tbl>
    <w:p>
      <w:pPr>
        <w:spacing w:line="360" w:lineRule="auto"/>
        <w:jc w:val="right"/>
        <w:rPr>
          <w:rFonts w:ascii="宋体" w:hAnsi="宋体" w:cs="宋体"/>
          <w:sz w:val="22"/>
        </w:rPr>
      </w:pPr>
    </w:p>
    <w:p>
      <w:pPr>
        <w:spacing w:line="360" w:lineRule="auto"/>
        <w:rPr>
          <w:rFonts w:ascii="宋体" w:hAnsi="宋体" w:cs="宋体"/>
          <w:sz w:val="22"/>
        </w:rPr>
      </w:pPr>
    </w:p>
    <w:p>
      <w:pPr>
        <w:spacing w:line="360" w:lineRule="auto"/>
        <w:rPr>
          <w:rFonts w:ascii="宋体" w:hAnsi="宋体" w:cs="宋体"/>
          <w:sz w:val="22"/>
        </w:rPr>
      </w:pPr>
      <w:r>
        <w:rPr>
          <w:rFonts w:hint="eastAsia" w:ascii="宋体" w:hAnsi="宋体" w:cs="宋体"/>
          <w:sz w:val="22"/>
        </w:rPr>
        <w:t>注：</w:t>
      </w:r>
    </w:p>
    <w:p>
      <w:pPr>
        <w:numPr>
          <w:ilvl w:val="2"/>
          <w:numId w:val="15"/>
        </w:numPr>
        <w:adjustRightInd w:val="0"/>
        <w:snapToGrid w:val="0"/>
        <w:spacing w:line="360" w:lineRule="auto"/>
        <w:jc w:val="left"/>
        <w:textAlignment w:val="baseline"/>
        <w:rPr>
          <w:rFonts w:ascii="宋体" w:hAnsi="宋体" w:cs="宋体"/>
          <w:sz w:val="22"/>
        </w:rPr>
      </w:pPr>
      <w:r>
        <w:rPr>
          <w:rFonts w:hint="eastAsia" w:ascii="宋体" w:hAnsi="宋体" w:cs="宋体"/>
          <w:sz w:val="22"/>
        </w:rPr>
        <w:t>此表的“总计”系所有需招标人支付的投标金额总数即投标总价，投标总价中已包含投标人完成本招标项目的一切费用包括税费。</w:t>
      </w:r>
    </w:p>
    <w:p>
      <w:pPr>
        <w:snapToGrid w:val="0"/>
        <w:spacing w:line="360" w:lineRule="auto"/>
        <w:rPr>
          <w:rFonts w:ascii="宋体" w:hAnsi="宋体" w:cs="宋体"/>
          <w:sz w:val="22"/>
        </w:rPr>
      </w:pPr>
    </w:p>
    <w:p>
      <w:pPr>
        <w:spacing w:beforeLines="50" w:line="360" w:lineRule="auto"/>
        <w:ind w:firstLine="3960"/>
        <w:rPr>
          <w:rFonts w:ascii="宋体" w:hAnsi="宋体" w:cs="宋体"/>
        </w:rPr>
      </w:pPr>
      <w:bookmarkStart w:id="126" w:name="_Toc133214310"/>
      <w:bookmarkStart w:id="127" w:name="_Toc133470544"/>
      <w:bookmarkStart w:id="128" w:name="_Toc137373399"/>
      <w:bookmarkStart w:id="129" w:name="_Toc133214103"/>
    </w:p>
    <w:p>
      <w:pPr>
        <w:spacing w:line="360" w:lineRule="auto"/>
        <w:jc w:val="center"/>
        <w:rPr>
          <w:rFonts w:ascii="宋体" w:hAnsi="宋体" w:cs="宋体"/>
          <w:b/>
          <w:sz w:val="32"/>
          <w:szCs w:val="32"/>
        </w:rPr>
      </w:pPr>
      <w:r>
        <w:rPr>
          <w:rFonts w:hint="eastAsia" w:ascii="宋体" w:hAnsi="宋体" w:cs="宋体"/>
          <w:b/>
          <w:sz w:val="32"/>
          <w:szCs w:val="32"/>
        </w:rPr>
        <w:br w:type="page"/>
      </w:r>
      <w:bookmarkStart w:id="130" w:name="_Toc144265959"/>
    </w:p>
    <w:bookmarkEnd w:id="126"/>
    <w:bookmarkEnd w:id="127"/>
    <w:bookmarkEnd w:id="128"/>
    <w:bookmarkEnd w:id="129"/>
    <w:bookmarkEnd w:id="130"/>
    <w:p>
      <w:pPr>
        <w:snapToGrid w:val="0"/>
        <w:spacing w:line="360" w:lineRule="auto"/>
        <w:jc w:val="center"/>
        <w:rPr>
          <w:rFonts w:ascii="宋体" w:hAnsi="宋体" w:cs="宋体"/>
          <w:b/>
          <w:sz w:val="32"/>
          <w:szCs w:val="32"/>
        </w:rPr>
      </w:pPr>
      <w:r>
        <w:rPr>
          <w:rFonts w:hint="eastAsia" w:ascii="宋体" w:hAnsi="宋体" w:cs="宋体"/>
          <w:b/>
          <w:sz w:val="32"/>
          <w:szCs w:val="32"/>
        </w:rPr>
        <w:t>4.2设备费分项报价表</w:t>
      </w:r>
    </w:p>
    <w:p>
      <w:pPr>
        <w:spacing w:line="360" w:lineRule="auto"/>
        <w:rPr>
          <w:rFonts w:ascii="宋体" w:hAnsi="宋体" w:cs="宋体"/>
          <w:bCs/>
          <w:sz w:val="22"/>
        </w:rPr>
      </w:pPr>
    </w:p>
    <w:tbl>
      <w:tblPr>
        <w:tblStyle w:val="56"/>
        <w:tblW w:w="9408"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1523"/>
        <w:gridCol w:w="1134"/>
        <w:gridCol w:w="1032"/>
        <w:gridCol w:w="755"/>
        <w:gridCol w:w="637"/>
        <w:gridCol w:w="578"/>
        <w:gridCol w:w="1533"/>
        <w:gridCol w:w="14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trPr>
        <w:tc>
          <w:tcPr>
            <w:tcW w:w="760"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ascii="宋体" w:hAnsi="宋体" w:cs="宋体"/>
                <w:b/>
                <w:bCs/>
                <w:kern w:val="0"/>
                <w:sz w:val="20"/>
              </w:rPr>
            </w:pPr>
            <w:r>
              <w:rPr>
                <w:rFonts w:hint="eastAsia" w:ascii="宋体" w:hAnsi="宋体" w:cs="宋体"/>
                <w:b/>
                <w:bCs/>
                <w:kern w:val="0"/>
                <w:sz w:val="20"/>
              </w:rPr>
              <w:t>序号</w:t>
            </w:r>
          </w:p>
        </w:tc>
        <w:tc>
          <w:tcPr>
            <w:tcW w:w="1523"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r>
              <w:rPr>
                <w:rFonts w:hint="eastAsia" w:ascii="宋体" w:hAnsi="宋体" w:cs="宋体"/>
                <w:b/>
                <w:bCs/>
                <w:kern w:val="0"/>
                <w:sz w:val="20"/>
              </w:rPr>
              <w:t>设备名称</w:t>
            </w:r>
          </w:p>
        </w:tc>
        <w:tc>
          <w:tcPr>
            <w:tcW w:w="1134"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1032"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r>
              <w:rPr>
                <w:rFonts w:hint="eastAsia" w:ascii="宋体" w:hAnsi="宋体" w:cs="宋体"/>
                <w:b/>
                <w:bCs/>
                <w:kern w:val="0"/>
                <w:sz w:val="20"/>
              </w:rPr>
              <w:t>品牌</w:t>
            </w:r>
          </w:p>
        </w:tc>
        <w:tc>
          <w:tcPr>
            <w:tcW w:w="755"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r>
              <w:rPr>
                <w:rFonts w:hint="eastAsia" w:ascii="宋体" w:hAnsi="宋体" w:cs="宋体"/>
                <w:b/>
                <w:bCs/>
                <w:kern w:val="0"/>
                <w:sz w:val="20"/>
              </w:rPr>
              <w:t>产地</w:t>
            </w:r>
          </w:p>
        </w:tc>
        <w:tc>
          <w:tcPr>
            <w:tcW w:w="637"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578"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153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r>
              <w:rPr>
                <w:rFonts w:hint="eastAsia" w:ascii="宋体" w:hAnsi="宋体" w:cs="宋体"/>
                <w:b/>
                <w:bCs/>
                <w:kern w:val="0"/>
                <w:sz w:val="20"/>
              </w:rPr>
              <w:t>单价</w:t>
            </w:r>
          </w:p>
        </w:tc>
        <w:tc>
          <w:tcPr>
            <w:tcW w:w="145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r>
              <w:rPr>
                <w:rFonts w:hint="eastAsia" w:ascii="宋体" w:hAnsi="宋体" w:cs="宋体"/>
                <w:b/>
                <w:bCs/>
                <w:kern w:val="0"/>
                <w:sz w:val="20"/>
              </w:rPr>
              <w:t>合价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20"/>
              </w:rPr>
            </w:pPr>
          </w:p>
        </w:tc>
        <w:tc>
          <w:tcPr>
            <w:tcW w:w="152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20"/>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20"/>
              </w:rPr>
            </w:pPr>
          </w:p>
        </w:tc>
        <w:tc>
          <w:tcPr>
            <w:tcW w:w="103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20"/>
              </w:rPr>
            </w:pPr>
          </w:p>
        </w:tc>
        <w:tc>
          <w:tcPr>
            <w:tcW w:w="75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20"/>
              </w:rPr>
            </w:pPr>
          </w:p>
        </w:tc>
        <w:tc>
          <w:tcPr>
            <w:tcW w:w="63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20"/>
              </w:rPr>
            </w:pPr>
          </w:p>
        </w:tc>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20"/>
              </w:rPr>
            </w:pPr>
          </w:p>
        </w:tc>
        <w:tc>
          <w:tcPr>
            <w:tcW w:w="153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145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ascii="宋体" w:hAnsi="宋体" w:cs="宋体"/>
                <w:b/>
                <w:bCs/>
                <w:kern w:val="0"/>
                <w:sz w:val="20"/>
              </w:rPr>
            </w:pPr>
            <w:r>
              <w:rPr>
                <w:rFonts w:hint="eastAsia" w:ascii="宋体" w:hAnsi="宋体" w:cs="宋体"/>
                <w:b/>
                <w:bCs/>
                <w:kern w:val="0"/>
                <w:sz w:val="20"/>
              </w:rPr>
              <w:t>1</w:t>
            </w:r>
          </w:p>
        </w:tc>
        <w:tc>
          <w:tcPr>
            <w:tcW w:w="152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103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75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rPr>
                <w:rFonts w:ascii="宋体" w:hAnsi="宋体" w:cs="宋体"/>
                <w:b/>
                <w:bCs/>
                <w:kern w:val="0"/>
                <w:sz w:val="20"/>
              </w:rPr>
            </w:pPr>
            <w:r>
              <w:rPr>
                <w:rFonts w:hint="eastAsia" w:ascii="宋体" w:hAnsi="宋体" w:cs="宋体"/>
                <w:b/>
                <w:bCs/>
                <w:kern w:val="0"/>
                <w:sz w:val="20"/>
              </w:rPr>
              <w:t>　</w:t>
            </w:r>
          </w:p>
        </w:tc>
        <w:tc>
          <w:tcPr>
            <w:tcW w:w="63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rPr>
                <w:rFonts w:ascii="宋体" w:hAnsi="宋体" w:cs="宋体"/>
                <w:b/>
                <w:bCs/>
                <w:kern w:val="0"/>
                <w:sz w:val="20"/>
              </w:rPr>
            </w:pPr>
            <w:r>
              <w:rPr>
                <w:rFonts w:hint="eastAsia" w:ascii="宋体" w:hAnsi="宋体" w:cs="宋体"/>
                <w:b/>
                <w:bCs/>
                <w:kern w:val="0"/>
                <w:sz w:val="20"/>
              </w:rPr>
              <w:t>　</w:t>
            </w:r>
          </w:p>
        </w:tc>
        <w:tc>
          <w:tcPr>
            <w:tcW w:w="57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c>
          <w:tcPr>
            <w:tcW w:w="153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145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ascii="宋体" w:hAnsi="宋体" w:cs="宋体"/>
                <w:b/>
                <w:bCs/>
                <w:kern w:val="0"/>
                <w:sz w:val="20"/>
              </w:rPr>
            </w:pPr>
            <w:r>
              <w:rPr>
                <w:rFonts w:hint="eastAsia" w:ascii="宋体" w:hAnsi="宋体" w:cs="宋体"/>
                <w:b/>
                <w:bCs/>
                <w:kern w:val="0"/>
                <w:sz w:val="20"/>
              </w:rPr>
              <w:t>2</w:t>
            </w:r>
          </w:p>
        </w:tc>
        <w:tc>
          <w:tcPr>
            <w:tcW w:w="152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b/>
                <w:bCs/>
                <w:kern w:val="0"/>
                <w:szCs w:val="21"/>
              </w:rPr>
            </w:pP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c>
          <w:tcPr>
            <w:tcW w:w="103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c>
          <w:tcPr>
            <w:tcW w:w="75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rPr>
                <w:rFonts w:ascii="宋体" w:hAnsi="宋体" w:cs="宋体"/>
                <w:b/>
                <w:bCs/>
                <w:kern w:val="0"/>
                <w:sz w:val="20"/>
              </w:rPr>
            </w:pPr>
          </w:p>
        </w:tc>
        <w:tc>
          <w:tcPr>
            <w:tcW w:w="63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rPr>
                <w:rFonts w:ascii="宋体" w:hAnsi="宋体" w:cs="宋体"/>
                <w:b/>
                <w:bCs/>
                <w:kern w:val="0"/>
                <w:sz w:val="20"/>
              </w:rPr>
            </w:pPr>
          </w:p>
        </w:tc>
        <w:tc>
          <w:tcPr>
            <w:tcW w:w="57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c>
          <w:tcPr>
            <w:tcW w:w="153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c>
          <w:tcPr>
            <w:tcW w:w="145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ascii="宋体" w:hAnsi="宋体" w:cs="宋体"/>
                <w:b/>
                <w:bCs/>
                <w:kern w:val="0"/>
                <w:sz w:val="20"/>
              </w:rPr>
            </w:pPr>
            <w:r>
              <w:rPr>
                <w:rFonts w:hint="eastAsia" w:ascii="宋体" w:hAnsi="宋体" w:cs="宋体"/>
                <w:b/>
                <w:bCs/>
                <w:kern w:val="0"/>
                <w:sz w:val="20"/>
              </w:rPr>
              <w:t>3</w:t>
            </w:r>
          </w:p>
        </w:tc>
        <w:tc>
          <w:tcPr>
            <w:tcW w:w="152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b/>
                <w:bCs/>
                <w:kern w:val="0"/>
                <w:szCs w:val="21"/>
              </w:rPr>
            </w:pP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c>
          <w:tcPr>
            <w:tcW w:w="103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c>
          <w:tcPr>
            <w:tcW w:w="75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rPr>
                <w:rFonts w:ascii="宋体" w:hAnsi="宋体" w:cs="宋体"/>
                <w:b/>
                <w:bCs/>
                <w:kern w:val="0"/>
                <w:sz w:val="20"/>
              </w:rPr>
            </w:pPr>
          </w:p>
        </w:tc>
        <w:tc>
          <w:tcPr>
            <w:tcW w:w="63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rPr>
                <w:rFonts w:ascii="宋体" w:hAnsi="宋体" w:cs="宋体"/>
                <w:b/>
                <w:bCs/>
                <w:kern w:val="0"/>
                <w:sz w:val="20"/>
              </w:rPr>
            </w:pPr>
          </w:p>
        </w:tc>
        <w:tc>
          <w:tcPr>
            <w:tcW w:w="57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c>
          <w:tcPr>
            <w:tcW w:w="153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c>
          <w:tcPr>
            <w:tcW w:w="145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ascii="宋体" w:hAnsi="宋体" w:cs="宋体"/>
                <w:b/>
                <w:bCs/>
                <w:kern w:val="0"/>
                <w:sz w:val="20"/>
              </w:rPr>
            </w:pPr>
            <w:r>
              <w:rPr>
                <w:rFonts w:hint="eastAsia" w:ascii="宋体" w:hAnsi="宋体" w:cs="宋体"/>
                <w:b/>
                <w:bCs/>
                <w:kern w:val="0"/>
                <w:sz w:val="20"/>
              </w:rPr>
              <w:t>4</w:t>
            </w:r>
          </w:p>
        </w:tc>
        <w:tc>
          <w:tcPr>
            <w:tcW w:w="152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b/>
                <w:bCs/>
                <w:kern w:val="0"/>
                <w:szCs w:val="21"/>
              </w:rPr>
            </w:pP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c>
          <w:tcPr>
            <w:tcW w:w="103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c>
          <w:tcPr>
            <w:tcW w:w="75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rPr>
                <w:rFonts w:ascii="宋体" w:hAnsi="宋体" w:cs="宋体"/>
                <w:b/>
                <w:bCs/>
                <w:kern w:val="0"/>
                <w:sz w:val="20"/>
              </w:rPr>
            </w:pPr>
          </w:p>
        </w:tc>
        <w:tc>
          <w:tcPr>
            <w:tcW w:w="63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rPr>
                <w:rFonts w:ascii="宋体" w:hAnsi="宋体" w:cs="宋体"/>
                <w:b/>
                <w:bCs/>
                <w:kern w:val="0"/>
                <w:sz w:val="20"/>
              </w:rPr>
            </w:pPr>
          </w:p>
        </w:tc>
        <w:tc>
          <w:tcPr>
            <w:tcW w:w="57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c>
          <w:tcPr>
            <w:tcW w:w="153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c>
          <w:tcPr>
            <w:tcW w:w="145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ascii="宋体" w:hAnsi="宋体" w:cs="宋体"/>
                <w:b/>
                <w:bCs/>
                <w:kern w:val="0"/>
                <w:sz w:val="20"/>
              </w:rPr>
            </w:pPr>
            <w:r>
              <w:rPr>
                <w:rFonts w:hint="eastAsia" w:ascii="宋体" w:hAnsi="宋体" w:cs="宋体"/>
                <w:b/>
                <w:bCs/>
                <w:kern w:val="0"/>
                <w:sz w:val="20"/>
              </w:rPr>
              <w:t>…</w:t>
            </w:r>
          </w:p>
        </w:tc>
        <w:tc>
          <w:tcPr>
            <w:tcW w:w="152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b/>
                <w:bCs/>
                <w:kern w:val="0"/>
                <w:szCs w:val="21"/>
              </w:rPr>
            </w:pP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c>
          <w:tcPr>
            <w:tcW w:w="103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c>
          <w:tcPr>
            <w:tcW w:w="75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rPr>
                <w:rFonts w:ascii="宋体" w:hAnsi="宋体" w:cs="宋体"/>
                <w:b/>
                <w:bCs/>
                <w:kern w:val="0"/>
                <w:sz w:val="20"/>
              </w:rPr>
            </w:pPr>
          </w:p>
        </w:tc>
        <w:tc>
          <w:tcPr>
            <w:tcW w:w="63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rPr>
                <w:rFonts w:ascii="宋体" w:hAnsi="宋体" w:cs="宋体"/>
                <w:b/>
                <w:bCs/>
                <w:kern w:val="0"/>
                <w:sz w:val="20"/>
              </w:rPr>
            </w:pPr>
          </w:p>
        </w:tc>
        <w:tc>
          <w:tcPr>
            <w:tcW w:w="57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c>
          <w:tcPr>
            <w:tcW w:w="153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c>
          <w:tcPr>
            <w:tcW w:w="145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ascii="宋体" w:hAnsi="宋体" w:cs="宋体"/>
                <w:b/>
                <w:bCs/>
                <w:kern w:val="0"/>
                <w:sz w:val="20"/>
              </w:rPr>
            </w:pPr>
          </w:p>
        </w:tc>
        <w:tc>
          <w:tcPr>
            <w:tcW w:w="152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c>
          <w:tcPr>
            <w:tcW w:w="103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c>
          <w:tcPr>
            <w:tcW w:w="75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rPr>
                <w:rFonts w:ascii="宋体" w:hAnsi="宋体" w:cs="宋体"/>
                <w:b/>
                <w:bCs/>
                <w:kern w:val="0"/>
                <w:sz w:val="20"/>
              </w:rPr>
            </w:pPr>
          </w:p>
        </w:tc>
        <w:tc>
          <w:tcPr>
            <w:tcW w:w="63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rPr>
                <w:rFonts w:ascii="宋体" w:hAnsi="宋体" w:cs="宋体"/>
                <w:b/>
                <w:bCs/>
                <w:kern w:val="0"/>
                <w:sz w:val="20"/>
              </w:rPr>
            </w:pPr>
          </w:p>
        </w:tc>
        <w:tc>
          <w:tcPr>
            <w:tcW w:w="57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c>
          <w:tcPr>
            <w:tcW w:w="153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c>
          <w:tcPr>
            <w:tcW w:w="145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ascii="宋体" w:hAnsi="宋体" w:cs="宋体"/>
                <w:b/>
                <w:bCs/>
                <w:kern w:val="0"/>
                <w:sz w:val="20"/>
              </w:rPr>
            </w:pPr>
          </w:p>
        </w:tc>
        <w:tc>
          <w:tcPr>
            <w:tcW w:w="152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c>
          <w:tcPr>
            <w:tcW w:w="103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c>
          <w:tcPr>
            <w:tcW w:w="75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rPr>
                <w:rFonts w:ascii="宋体" w:hAnsi="宋体" w:cs="宋体"/>
                <w:b/>
                <w:bCs/>
                <w:kern w:val="0"/>
                <w:sz w:val="20"/>
              </w:rPr>
            </w:pPr>
          </w:p>
        </w:tc>
        <w:tc>
          <w:tcPr>
            <w:tcW w:w="63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rPr>
                <w:rFonts w:ascii="宋体" w:hAnsi="宋体" w:cs="宋体"/>
                <w:b/>
                <w:bCs/>
                <w:kern w:val="0"/>
                <w:sz w:val="20"/>
              </w:rPr>
            </w:pPr>
          </w:p>
        </w:tc>
        <w:tc>
          <w:tcPr>
            <w:tcW w:w="57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c>
          <w:tcPr>
            <w:tcW w:w="153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c>
          <w:tcPr>
            <w:tcW w:w="145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ascii="宋体" w:hAnsi="宋体" w:cs="宋体"/>
                <w:b/>
                <w:bCs/>
                <w:kern w:val="0"/>
                <w:sz w:val="20"/>
              </w:rPr>
            </w:pPr>
          </w:p>
        </w:tc>
        <w:tc>
          <w:tcPr>
            <w:tcW w:w="152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c>
          <w:tcPr>
            <w:tcW w:w="103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c>
          <w:tcPr>
            <w:tcW w:w="75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rPr>
                <w:rFonts w:ascii="宋体" w:hAnsi="宋体" w:cs="宋体"/>
                <w:b/>
                <w:bCs/>
                <w:kern w:val="0"/>
                <w:sz w:val="20"/>
              </w:rPr>
            </w:pPr>
          </w:p>
        </w:tc>
        <w:tc>
          <w:tcPr>
            <w:tcW w:w="63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rPr>
                <w:rFonts w:ascii="宋体" w:hAnsi="宋体" w:cs="宋体"/>
                <w:b/>
                <w:bCs/>
                <w:kern w:val="0"/>
                <w:sz w:val="20"/>
              </w:rPr>
            </w:pPr>
          </w:p>
        </w:tc>
        <w:tc>
          <w:tcPr>
            <w:tcW w:w="57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c>
          <w:tcPr>
            <w:tcW w:w="153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c>
          <w:tcPr>
            <w:tcW w:w="145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ascii="宋体" w:hAnsi="宋体" w:cs="宋体"/>
                <w:b/>
                <w:bCs/>
                <w:kern w:val="0"/>
                <w:sz w:val="20"/>
              </w:rPr>
            </w:pPr>
          </w:p>
        </w:tc>
        <w:tc>
          <w:tcPr>
            <w:tcW w:w="152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c>
          <w:tcPr>
            <w:tcW w:w="103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c>
          <w:tcPr>
            <w:tcW w:w="75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rPr>
                <w:rFonts w:ascii="宋体" w:hAnsi="宋体" w:cs="宋体"/>
                <w:b/>
                <w:bCs/>
                <w:kern w:val="0"/>
                <w:sz w:val="20"/>
              </w:rPr>
            </w:pPr>
          </w:p>
        </w:tc>
        <w:tc>
          <w:tcPr>
            <w:tcW w:w="63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rPr>
                <w:rFonts w:ascii="宋体" w:hAnsi="宋体" w:cs="宋体"/>
                <w:b/>
                <w:bCs/>
                <w:kern w:val="0"/>
                <w:sz w:val="20"/>
              </w:rPr>
            </w:pPr>
          </w:p>
        </w:tc>
        <w:tc>
          <w:tcPr>
            <w:tcW w:w="57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c>
          <w:tcPr>
            <w:tcW w:w="153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c>
          <w:tcPr>
            <w:tcW w:w="145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ascii="宋体" w:hAnsi="宋体" w:cs="宋体"/>
                <w:b/>
                <w:bCs/>
                <w:kern w:val="0"/>
                <w:sz w:val="20"/>
              </w:rPr>
            </w:pPr>
          </w:p>
        </w:tc>
        <w:tc>
          <w:tcPr>
            <w:tcW w:w="152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c>
          <w:tcPr>
            <w:tcW w:w="103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c>
          <w:tcPr>
            <w:tcW w:w="75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rPr>
                <w:rFonts w:ascii="宋体" w:hAnsi="宋体" w:cs="宋体"/>
                <w:b/>
                <w:bCs/>
                <w:kern w:val="0"/>
                <w:sz w:val="20"/>
              </w:rPr>
            </w:pPr>
          </w:p>
        </w:tc>
        <w:tc>
          <w:tcPr>
            <w:tcW w:w="63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rPr>
                <w:rFonts w:ascii="宋体" w:hAnsi="宋体" w:cs="宋体"/>
                <w:b/>
                <w:bCs/>
                <w:kern w:val="0"/>
                <w:sz w:val="20"/>
              </w:rPr>
            </w:pPr>
          </w:p>
        </w:tc>
        <w:tc>
          <w:tcPr>
            <w:tcW w:w="57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c>
          <w:tcPr>
            <w:tcW w:w="153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c>
          <w:tcPr>
            <w:tcW w:w="145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ascii="宋体" w:hAnsi="宋体" w:cs="宋体"/>
                <w:b/>
                <w:bCs/>
                <w:kern w:val="0"/>
                <w:sz w:val="20"/>
              </w:rPr>
            </w:pPr>
          </w:p>
        </w:tc>
        <w:tc>
          <w:tcPr>
            <w:tcW w:w="152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r>
              <w:rPr>
                <w:rFonts w:hint="eastAsia" w:ascii="宋体" w:hAnsi="宋体" w:cs="宋体"/>
                <w:b/>
                <w:bCs/>
                <w:kern w:val="0"/>
                <w:sz w:val="20"/>
              </w:rPr>
              <w:t>合计</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c>
          <w:tcPr>
            <w:tcW w:w="103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c>
          <w:tcPr>
            <w:tcW w:w="75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rPr>
                <w:rFonts w:ascii="宋体" w:hAnsi="宋体" w:cs="宋体"/>
                <w:b/>
                <w:bCs/>
                <w:kern w:val="0"/>
                <w:sz w:val="20"/>
              </w:rPr>
            </w:pPr>
          </w:p>
        </w:tc>
        <w:tc>
          <w:tcPr>
            <w:tcW w:w="63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rPr>
                <w:rFonts w:ascii="宋体" w:hAnsi="宋体" w:cs="宋体"/>
                <w:b/>
                <w:bCs/>
                <w:kern w:val="0"/>
                <w:sz w:val="20"/>
              </w:rPr>
            </w:pPr>
          </w:p>
        </w:tc>
        <w:tc>
          <w:tcPr>
            <w:tcW w:w="57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c>
          <w:tcPr>
            <w:tcW w:w="153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c>
          <w:tcPr>
            <w:tcW w:w="145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r>
    </w:tbl>
    <w:p>
      <w:pPr>
        <w:widowControl/>
        <w:spacing w:line="300" w:lineRule="auto"/>
        <w:rPr>
          <w:rFonts w:ascii="宋体" w:hAnsi="宋体" w:cs="宋体"/>
          <w:sz w:val="22"/>
        </w:rPr>
      </w:pPr>
    </w:p>
    <w:p>
      <w:pPr>
        <w:widowControl/>
        <w:spacing w:line="300" w:lineRule="auto"/>
        <w:rPr>
          <w:rFonts w:ascii="宋体" w:hAnsi="宋体" w:cs="宋体"/>
          <w:sz w:val="22"/>
        </w:rPr>
      </w:pPr>
      <w:r>
        <w:rPr>
          <w:rFonts w:hint="eastAsia" w:ascii="宋体" w:hAnsi="宋体" w:cs="宋体"/>
          <w:sz w:val="22"/>
        </w:rPr>
        <w:t>注：</w:t>
      </w:r>
    </w:p>
    <w:p>
      <w:pPr>
        <w:widowControl/>
        <w:numPr>
          <w:ilvl w:val="0"/>
          <w:numId w:val="16"/>
        </w:numPr>
        <w:tabs>
          <w:tab w:val="left" w:pos="284"/>
        </w:tabs>
        <w:spacing w:line="300" w:lineRule="auto"/>
        <w:ind w:left="284" w:hanging="284"/>
        <w:rPr>
          <w:rFonts w:ascii="宋体" w:hAnsi="宋体" w:cs="宋体"/>
          <w:sz w:val="22"/>
        </w:rPr>
      </w:pPr>
      <w:r>
        <w:rPr>
          <w:rFonts w:hint="eastAsia" w:ascii="宋体" w:hAnsi="宋体" w:cs="宋体"/>
          <w:sz w:val="22"/>
        </w:rPr>
        <w:t>综合单价包括但不限于产品生产、包装、运至指定地点的运输、装卸、保险、安装、调试及各种税费及所有第三章要求的伴随服务等招标文件规定的全部相关费用。</w:t>
      </w:r>
    </w:p>
    <w:p>
      <w:pPr>
        <w:spacing w:line="360" w:lineRule="auto"/>
        <w:jc w:val="center"/>
        <w:rPr>
          <w:rFonts w:ascii="宋体" w:hAnsi="宋体" w:cs="宋体"/>
          <w:sz w:val="22"/>
        </w:rPr>
      </w:pPr>
      <w:r>
        <w:rPr>
          <w:rFonts w:hint="eastAsia" w:ascii="宋体" w:hAnsi="宋体" w:cs="宋体"/>
          <w:sz w:val="22"/>
        </w:rPr>
        <w:br w:type="page"/>
      </w:r>
    </w:p>
    <w:p>
      <w:pPr>
        <w:spacing w:line="440" w:lineRule="exact"/>
        <w:jc w:val="center"/>
        <w:rPr>
          <w:rFonts w:ascii="宋体" w:hAnsi="宋体" w:cs="Arial"/>
          <w:b/>
          <w:sz w:val="22"/>
        </w:rPr>
      </w:pPr>
    </w:p>
    <w:p>
      <w:pPr>
        <w:spacing w:line="440" w:lineRule="exact"/>
        <w:jc w:val="center"/>
        <w:rPr>
          <w:rFonts w:eastAsia="黑体" w:cs="Calibri"/>
          <w:color w:val="000000"/>
          <w:sz w:val="32"/>
          <w:szCs w:val="32"/>
        </w:rPr>
      </w:pPr>
      <w:r>
        <w:rPr>
          <w:rFonts w:hint="eastAsia" w:eastAsia="黑体" w:cs="Calibri"/>
          <w:color w:val="000000"/>
          <w:sz w:val="32"/>
          <w:szCs w:val="32"/>
        </w:rPr>
        <w:t>五、投标人资格证明文件</w:t>
      </w:r>
    </w:p>
    <w:p>
      <w:pPr>
        <w:overflowPunct w:val="0"/>
        <w:autoSpaceDE w:val="0"/>
        <w:autoSpaceDN w:val="0"/>
        <w:spacing w:line="440" w:lineRule="exact"/>
        <w:ind w:left="839" w:hanging="839"/>
        <w:jc w:val="center"/>
        <w:rPr>
          <w:rFonts w:ascii="宋体" w:hAnsi="宋体" w:cs="宋体"/>
          <w:b/>
          <w:sz w:val="32"/>
          <w:szCs w:val="32"/>
        </w:rPr>
      </w:pPr>
    </w:p>
    <w:p>
      <w:pPr>
        <w:spacing w:line="360" w:lineRule="auto"/>
        <w:jc w:val="center"/>
        <w:rPr>
          <w:rFonts w:ascii="宋体" w:hAnsi="宋体" w:cs="宋体"/>
          <w:b/>
          <w:sz w:val="32"/>
          <w:szCs w:val="32"/>
        </w:rPr>
      </w:pPr>
      <w:r>
        <w:rPr>
          <w:rFonts w:hint="eastAsia" w:ascii="宋体" w:hAnsi="宋体" w:cs="宋体"/>
          <w:b/>
          <w:sz w:val="32"/>
          <w:szCs w:val="32"/>
        </w:rPr>
        <w:t>（一）投标人一般情况</w:t>
      </w:r>
    </w:p>
    <w:tbl>
      <w:tblPr>
        <w:tblStyle w:val="56"/>
        <w:tblW w:w="9098" w:type="dxa"/>
        <w:tblInd w:w="1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5"/>
        <w:gridCol w:w="1028"/>
        <w:gridCol w:w="525"/>
        <w:gridCol w:w="187"/>
        <w:gridCol w:w="863"/>
        <w:gridCol w:w="562"/>
        <w:gridCol w:w="278"/>
        <w:gridCol w:w="1440"/>
        <w:gridCol w:w="30"/>
        <w:gridCol w:w="735"/>
        <w:gridCol w:w="1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tcBorders>
              <w:top w:val="single" w:color="auto" w:sz="4" w:space="0"/>
              <w:left w:val="single" w:color="auto" w:sz="4" w:space="0"/>
              <w:bottom w:val="single" w:color="auto" w:sz="4" w:space="0"/>
              <w:right w:val="single" w:color="auto" w:sz="4" w:space="0"/>
            </w:tcBorders>
            <w:vAlign w:val="center"/>
          </w:tcPr>
          <w:p>
            <w:pPr>
              <w:snapToGrid w:val="0"/>
              <w:ind w:left="-170" w:right="-170"/>
              <w:jc w:val="center"/>
              <w:rPr>
                <w:rFonts w:ascii="宋体" w:hAnsi="宋体" w:cs="宋体"/>
                <w:sz w:val="22"/>
              </w:rPr>
            </w:pPr>
            <w:r>
              <w:rPr>
                <w:rFonts w:hint="eastAsia" w:ascii="宋体" w:hAnsi="宋体" w:cs="宋体"/>
                <w:sz w:val="22"/>
              </w:rPr>
              <w:t>企业名称</w:t>
            </w:r>
          </w:p>
        </w:tc>
        <w:tc>
          <w:tcPr>
            <w:tcW w:w="3165" w:type="dxa"/>
            <w:gridSpan w:val="5"/>
            <w:tcBorders>
              <w:top w:val="single" w:color="auto" w:sz="4" w:space="0"/>
              <w:left w:val="single" w:color="auto" w:sz="4" w:space="0"/>
              <w:bottom w:val="single" w:color="auto" w:sz="4" w:space="0"/>
              <w:right w:val="single" w:color="auto" w:sz="4" w:space="0"/>
            </w:tcBorders>
            <w:vAlign w:val="center"/>
          </w:tcPr>
          <w:p>
            <w:pPr>
              <w:snapToGrid w:val="0"/>
              <w:ind w:left="-170" w:right="-170"/>
              <w:jc w:val="center"/>
              <w:rPr>
                <w:rFonts w:ascii="宋体" w:hAnsi="宋体" w:cs="宋体"/>
                <w:sz w:val="22"/>
              </w:rPr>
            </w:pPr>
          </w:p>
        </w:tc>
        <w:tc>
          <w:tcPr>
            <w:tcW w:w="1748" w:type="dxa"/>
            <w:gridSpan w:val="3"/>
            <w:tcBorders>
              <w:top w:val="single" w:color="auto" w:sz="4" w:space="0"/>
              <w:left w:val="single" w:color="auto" w:sz="4" w:space="0"/>
              <w:bottom w:val="single" w:color="auto" w:sz="4" w:space="0"/>
              <w:right w:val="single" w:color="auto" w:sz="4" w:space="0"/>
            </w:tcBorders>
            <w:vAlign w:val="center"/>
          </w:tcPr>
          <w:p>
            <w:pPr>
              <w:snapToGrid w:val="0"/>
              <w:ind w:left="-170" w:right="-170"/>
              <w:jc w:val="center"/>
              <w:rPr>
                <w:rFonts w:ascii="宋体" w:hAnsi="宋体" w:cs="宋体"/>
                <w:sz w:val="22"/>
              </w:rPr>
            </w:pPr>
            <w:r>
              <w:rPr>
                <w:rFonts w:hint="eastAsia" w:ascii="宋体" w:hAnsi="宋体" w:cs="宋体"/>
                <w:sz w:val="22"/>
              </w:rPr>
              <w:t>主管部门</w:t>
            </w:r>
          </w:p>
        </w:tc>
        <w:tc>
          <w:tcPr>
            <w:tcW w:w="2730" w:type="dxa"/>
            <w:gridSpan w:val="2"/>
            <w:tcBorders>
              <w:top w:val="single" w:color="auto" w:sz="4" w:space="0"/>
              <w:left w:val="single" w:color="auto" w:sz="4" w:space="0"/>
              <w:bottom w:val="single" w:color="auto" w:sz="4" w:space="0"/>
              <w:right w:val="single" w:color="auto" w:sz="4" w:space="0"/>
            </w:tcBorders>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tcBorders>
              <w:top w:val="single" w:color="auto" w:sz="4" w:space="0"/>
              <w:left w:val="single" w:color="auto" w:sz="4" w:space="0"/>
              <w:bottom w:val="single" w:color="auto" w:sz="4" w:space="0"/>
              <w:right w:val="single" w:color="auto" w:sz="4" w:space="0"/>
            </w:tcBorders>
            <w:vAlign w:val="center"/>
          </w:tcPr>
          <w:p>
            <w:pPr>
              <w:snapToGrid w:val="0"/>
              <w:ind w:left="-170" w:right="-170"/>
              <w:jc w:val="center"/>
              <w:rPr>
                <w:rFonts w:ascii="宋体" w:hAnsi="宋体" w:cs="宋体"/>
                <w:sz w:val="22"/>
              </w:rPr>
            </w:pPr>
            <w:r>
              <w:rPr>
                <w:rFonts w:hint="eastAsia" w:ascii="宋体" w:hAnsi="宋体" w:cs="宋体"/>
                <w:sz w:val="22"/>
              </w:rPr>
              <w:t>经济类型</w:t>
            </w:r>
          </w:p>
        </w:tc>
        <w:tc>
          <w:tcPr>
            <w:tcW w:w="3165" w:type="dxa"/>
            <w:gridSpan w:val="5"/>
            <w:tcBorders>
              <w:top w:val="single" w:color="auto" w:sz="4" w:space="0"/>
              <w:left w:val="single" w:color="auto" w:sz="4" w:space="0"/>
              <w:bottom w:val="single" w:color="auto" w:sz="4" w:space="0"/>
              <w:right w:val="single" w:color="auto" w:sz="4" w:space="0"/>
            </w:tcBorders>
            <w:vAlign w:val="center"/>
          </w:tcPr>
          <w:p>
            <w:pPr>
              <w:snapToGrid w:val="0"/>
              <w:ind w:left="-170" w:right="-170"/>
              <w:jc w:val="center"/>
              <w:rPr>
                <w:rFonts w:ascii="宋体" w:hAnsi="宋体" w:cs="宋体"/>
                <w:sz w:val="22"/>
              </w:rPr>
            </w:pPr>
          </w:p>
        </w:tc>
        <w:tc>
          <w:tcPr>
            <w:tcW w:w="1748" w:type="dxa"/>
            <w:gridSpan w:val="3"/>
            <w:tcBorders>
              <w:top w:val="single" w:color="auto" w:sz="4" w:space="0"/>
              <w:left w:val="single" w:color="auto" w:sz="4" w:space="0"/>
              <w:bottom w:val="single" w:color="auto" w:sz="4" w:space="0"/>
              <w:right w:val="single" w:color="auto" w:sz="4" w:space="0"/>
            </w:tcBorders>
            <w:vAlign w:val="center"/>
          </w:tcPr>
          <w:p>
            <w:pPr>
              <w:snapToGrid w:val="0"/>
              <w:ind w:left="-170" w:right="-170"/>
              <w:jc w:val="center"/>
              <w:rPr>
                <w:rFonts w:ascii="宋体" w:hAnsi="宋体" w:cs="宋体"/>
                <w:sz w:val="22"/>
              </w:rPr>
            </w:pPr>
            <w:r>
              <w:rPr>
                <w:rFonts w:hint="eastAsia" w:ascii="宋体" w:hAnsi="宋体" w:cs="宋体"/>
                <w:sz w:val="22"/>
              </w:rPr>
              <w:t>法定代表人</w:t>
            </w:r>
          </w:p>
        </w:tc>
        <w:tc>
          <w:tcPr>
            <w:tcW w:w="2730" w:type="dxa"/>
            <w:gridSpan w:val="2"/>
            <w:tcBorders>
              <w:top w:val="single" w:color="auto" w:sz="4" w:space="0"/>
              <w:left w:val="single" w:color="auto" w:sz="4" w:space="0"/>
              <w:bottom w:val="single" w:color="auto" w:sz="4" w:space="0"/>
              <w:right w:val="single" w:color="auto" w:sz="4" w:space="0"/>
            </w:tcBorders>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tcBorders>
              <w:top w:val="single" w:color="auto" w:sz="4" w:space="0"/>
              <w:left w:val="single" w:color="auto" w:sz="4" w:space="0"/>
              <w:bottom w:val="single" w:color="auto" w:sz="4" w:space="0"/>
              <w:right w:val="single" w:color="auto" w:sz="4" w:space="0"/>
            </w:tcBorders>
            <w:vAlign w:val="center"/>
          </w:tcPr>
          <w:p>
            <w:pPr>
              <w:snapToGrid w:val="0"/>
              <w:ind w:left="-170" w:right="-170"/>
              <w:jc w:val="center"/>
              <w:rPr>
                <w:rFonts w:ascii="宋体" w:hAnsi="宋体" w:cs="宋体"/>
                <w:sz w:val="22"/>
              </w:rPr>
            </w:pPr>
            <w:r>
              <w:rPr>
                <w:rFonts w:hint="eastAsia" w:ascii="宋体" w:hAnsi="宋体" w:cs="宋体"/>
                <w:sz w:val="22"/>
              </w:rPr>
              <w:t>单位简历</w:t>
            </w:r>
          </w:p>
        </w:tc>
        <w:tc>
          <w:tcPr>
            <w:tcW w:w="7643" w:type="dxa"/>
            <w:gridSpan w:val="10"/>
            <w:tcBorders>
              <w:top w:val="single" w:color="auto" w:sz="4" w:space="0"/>
              <w:left w:val="single" w:color="auto" w:sz="4" w:space="0"/>
              <w:bottom w:val="single" w:color="auto" w:sz="4" w:space="0"/>
              <w:right w:val="single" w:color="auto" w:sz="4" w:space="0"/>
            </w:tcBorders>
            <w:vAlign w:val="center"/>
          </w:tcPr>
          <w:p>
            <w:pPr>
              <w:snapToGrid w:val="0"/>
              <w:ind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tcBorders>
              <w:top w:val="single" w:color="auto" w:sz="4" w:space="0"/>
              <w:left w:val="single" w:color="auto" w:sz="4" w:space="0"/>
              <w:bottom w:val="single" w:color="auto" w:sz="4" w:space="0"/>
              <w:right w:val="single" w:color="auto" w:sz="4" w:space="0"/>
            </w:tcBorders>
            <w:vAlign w:val="center"/>
          </w:tcPr>
          <w:p>
            <w:pPr>
              <w:snapToGrid w:val="0"/>
              <w:ind w:left="-170" w:right="-170"/>
              <w:jc w:val="center"/>
              <w:rPr>
                <w:rFonts w:ascii="宋体" w:hAnsi="宋体" w:cs="宋体"/>
                <w:sz w:val="22"/>
              </w:rPr>
            </w:pPr>
            <w:r>
              <w:rPr>
                <w:rFonts w:hint="eastAsia" w:ascii="宋体" w:hAnsi="宋体" w:cs="宋体"/>
                <w:sz w:val="22"/>
              </w:rPr>
              <w:t>单位优势</w:t>
            </w:r>
          </w:p>
          <w:p>
            <w:pPr>
              <w:snapToGrid w:val="0"/>
              <w:ind w:left="-170" w:right="-170"/>
              <w:jc w:val="center"/>
              <w:rPr>
                <w:rFonts w:ascii="宋体" w:hAnsi="宋体" w:cs="宋体"/>
                <w:sz w:val="22"/>
              </w:rPr>
            </w:pPr>
            <w:r>
              <w:rPr>
                <w:rFonts w:hint="eastAsia" w:ascii="宋体" w:hAnsi="宋体" w:cs="宋体"/>
                <w:sz w:val="22"/>
              </w:rPr>
              <w:t>及特长</w:t>
            </w:r>
          </w:p>
        </w:tc>
        <w:tc>
          <w:tcPr>
            <w:tcW w:w="7643" w:type="dxa"/>
            <w:gridSpan w:val="10"/>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eastAsia="仿宋"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restart"/>
            <w:tcBorders>
              <w:top w:val="single" w:color="auto" w:sz="4" w:space="0"/>
              <w:left w:val="single" w:color="auto" w:sz="4" w:space="0"/>
              <w:bottom w:val="single" w:color="auto" w:sz="4" w:space="0"/>
              <w:right w:val="single" w:color="auto" w:sz="4" w:space="0"/>
            </w:tcBorders>
            <w:textDirection w:val="tbRlV"/>
            <w:vAlign w:val="center"/>
          </w:tcPr>
          <w:p>
            <w:pPr>
              <w:snapToGrid w:val="0"/>
              <w:ind w:left="-170" w:right="-170"/>
              <w:jc w:val="center"/>
              <w:rPr>
                <w:rFonts w:ascii="宋体" w:hAnsi="宋体" w:cs="宋体"/>
                <w:sz w:val="22"/>
              </w:rPr>
            </w:pPr>
            <w:r>
              <w:rPr>
                <w:rFonts w:hint="eastAsia" w:ascii="宋体" w:hAnsi="宋体" w:cs="宋体"/>
                <w:sz w:val="22"/>
              </w:rPr>
              <w:t>单位概况</w:t>
            </w:r>
          </w:p>
        </w:tc>
        <w:tc>
          <w:tcPr>
            <w:tcW w:w="1740" w:type="dxa"/>
            <w:gridSpan w:val="3"/>
            <w:tcBorders>
              <w:top w:val="single" w:color="auto" w:sz="4" w:space="0"/>
              <w:left w:val="single" w:color="auto" w:sz="4" w:space="0"/>
              <w:bottom w:val="single" w:color="auto" w:sz="4" w:space="0"/>
              <w:right w:val="single" w:color="auto" w:sz="4" w:space="0"/>
            </w:tcBorders>
            <w:vAlign w:val="center"/>
          </w:tcPr>
          <w:p>
            <w:pPr>
              <w:snapToGrid w:val="0"/>
              <w:ind w:left="-170" w:right="-170"/>
              <w:jc w:val="center"/>
              <w:rPr>
                <w:rFonts w:ascii="宋体" w:hAnsi="宋体" w:cs="宋体"/>
                <w:sz w:val="22"/>
              </w:rPr>
            </w:pPr>
            <w:r>
              <w:rPr>
                <w:rFonts w:hint="eastAsia" w:ascii="宋体" w:hAnsi="宋体" w:cs="宋体"/>
                <w:sz w:val="22"/>
              </w:rPr>
              <w:t>职工总人数</w:t>
            </w:r>
          </w:p>
        </w:tc>
        <w:tc>
          <w:tcPr>
            <w:tcW w:w="1703" w:type="dxa"/>
            <w:gridSpan w:val="3"/>
            <w:tcBorders>
              <w:top w:val="single" w:color="auto" w:sz="4" w:space="0"/>
              <w:left w:val="single" w:color="auto" w:sz="4" w:space="0"/>
              <w:bottom w:val="single" w:color="auto" w:sz="4" w:space="0"/>
              <w:right w:val="single" w:color="auto" w:sz="4" w:space="0"/>
            </w:tcBorders>
            <w:vAlign w:val="center"/>
          </w:tcPr>
          <w:p>
            <w:pPr>
              <w:snapToGrid w:val="0"/>
              <w:ind w:left="-170" w:right="-170"/>
              <w:jc w:val="center"/>
              <w:rPr>
                <w:rFonts w:ascii="宋体" w:hAnsi="宋体" w:cs="宋体"/>
                <w:sz w:val="22"/>
              </w:rPr>
            </w:pPr>
            <w:r>
              <w:rPr>
                <w:rFonts w:hint="eastAsia" w:ascii="宋体" w:hAnsi="宋体" w:cs="宋体"/>
                <w:sz w:val="22"/>
              </w:rPr>
              <w:t>人</w:t>
            </w:r>
          </w:p>
        </w:tc>
        <w:tc>
          <w:tcPr>
            <w:tcW w:w="2205" w:type="dxa"/>
            <w:gridSpan w:val="3"/>
            <w:tcBorders>
              <w:top w:val="single" w:color="auto" w:sz="4" w:space="0"/>
              <w:left w:val="single" w:color="auto" w:sz="4" w:space="0"/>
              <w:bottom w:val="single" w:color="auto" w:sz="4" w:space="0"/>
              <w:right w:val="single" w:color="auto" w:sz="4" w:space="0"/>
            </w:tcBorders>
            <w:vAlign w:val="center"/>
          </w:tcPr>
          <w:p>
            <w:pPr>
              <w:snapToGrid w:val="0"/>
              <w:ind w:left="-170" w:right="-170"/>
              <w:jc w:val="center"/>
              <w:rPr>
                <w:rFonts w:ascii="宋体" w:hAnsi="宋体" w:cs="宋体"/>
                <w:sz w:val="22"/>
              </w:rPr>
            </w:pPr>
            <w:r>
              <w:rPr>
                <w:rFonts w:hint="eastAsia" w:ascii="宋体" w:hAnsi="宋体" w:cs="宋体"/>
                <w:sz w:val="22"/>
              </w:rPr>
              <w:t>工程技术人员</w:t>
            </w:r>
          </w:p>
        </w:tc>
        <w:tc>
          <w:tcPr>
            <w:tcW w:w="1995" w:type="dxa"/>
            <w:tcBorders>
              <w:top w:val="single" w:color="auto" w:sz="4" w:space="0"/>
              <w:left w:val="single" w:color="auto" w:sz="4" w:space="0"/>
              <w:bottom w:val="single" w:color="auto" w:sz="4" w:space="0"/>
              <w:right w:val="single" w:color="auto" w:sz="4" w:space="0"/>
            </w:tcBorders>
            <w:vAlign w:val="center"/>
          </w:tcPr>
          <w:p>
            <w:pPr>
              <w:snapToGrid w:val="0"/>
              <w:ind w:left="-170" w:right="-17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22"/>
              </w:rPr>
            </w:pPr>
          </w:p>
        </w:tc>
        <w:tc>
          <w:tcPr>
            <w:tcW w:w="1740" w:type="dxa"/>
            <w:gridSpan w:val="3"/>
            <w:tcBorders>
              <w:top w:val="single" w:color="auto" w:sz="4" w:space="0"/>
              <w:left w:val="single" w:color="auto" w:sz="4" w:space="0"/>
              <w:bottom w:val="single" w:color="auto" w:sz="4" w:space="0"/>
              <w:right w:val="single" w:color="auto" w:sz="4" w:space="0"/>
            </w:tcBorders>
            <w:vAlign w:val="center"/>
          </w:tcPr>
          <w:p>
            <w:pPr>
              <w:snapToGrid w:val="0"/>
              <w:ind w:left="-170" w:right="-170"/>
              <w:jc w:val="center"/>
              <w:rPr>
                <w:rFonts w:ascii="宋体" w:hAnsi="宋体" w:cs="宋体"/>
                <w:sz w:val="22"/>
              </w:rPr>
            </w:pPr>
            <w:r>
              <w:rPr>
                <w:rFonts w:hint="eastAsia" w:ascii="宋体" w:hAnsi="宋体" w:cs="宋体"/>
                <w:sz w:val="22"/>
              </w:rPr>
              <w:t>生产工人</w:t>
            </w:r>
          </w:p>
        </w:tc>
        <w:tc>
          <w:tcPr>
            <w:tcW w:w="1703" w:type="dxa"/>
            <w:gridSpan w:val="3"/>
            <w:tcBorders>
              <w:top w:val="single" w:color="auto" w:sz="4" w:space="0"/>
              <w:left w:val="single" w:color="auto" w:sz="4" w:space="0"/>
              <w:bottom w:val="single" w:color="auto" w:sz="4" w:space="0"/>
              <w:right w:val="single" w:color="auto" w:sz="4" w:space="0"/>
            </w:tcBorders>
            <w:vAlign w:val="center"/>
          </w:tcPr>
          <w:p>
            <w:pPr>
              <w:snapToGrid w:val="0"/>
              <w:ind w:left="-170" w:right="-170"/>
              <w:jc w:val="center"/>
              <w:rPr>
                <w:rFonts w:ascii="宋体" w:hAnsi="宋体" w:cs="宋体"/>
                <w:sz w:val="22"/>
              </w:rPr>
            </w:pPr>
            <w:r>
              <w:rPr>
                <w:rFonts w:hint="eastAsia" w:ascii="宋体" w:hAnsi="宋体" w:cs="宋体"/>
                <w:sz w:val="22"/>
              </w:rPr>
              <w:t>人</w:t>
            </w:r>
          </w:p>
        </w:tc>
        <w:tc>
          <w:tcPr>
            <w:tcW w:w="2205" w:type="dxa"/>
            <w:gridSpan w:val="3"/>
            <w:tcBorders>
              <w:top w:val="single" w:color="auto" w:sz="4" w:space="0"/>
              <w:left w:val="single" w:color="auto" w:sz="4" w:space="0"/>
              <w:bottom w:val="single" w:color="auto" w:sz="4" w:space="0"/>
              <w:right w:val="single" w:color="auto" w:sz="4" w:space="0"/>
            </w:tcBorders>
            <w:vAlign w:val="center"/>
          </w:tcPr>
          <w:p>
            <w:pPr>
              <w:snapToGrid w:val="0"/>
              <w:ind w:left="-170" w:right="-170"/>
              <w:jc w:val="center"/>
              <w:rPr>
                <w:rFonts w:ascii="宋体" w:hAnsi="宋体" w:cs="宋体"/>
                <w:sz w:val="22"/>
              </w:rPr>
            </w:pPr>
            <w:r>
              <w:rPr>
                <w:rFonts w:hint="eastAsia" w:ascii="宋体" w:hAnsi="宋体" w:cs="宋体"/>
                <w:sz w:val="22"/>
              </w:rPr>
              <w:t>销售人员</w:t>
            </w:r>
          </w:p>
        </w:tc>
        <w:tc>
          <w:tcPr>
            <w:tcW w:w="1995" w:type="dxa"/>
            <w:tcBorders>
              <w:top w:val="single" w:color="auto" w:sz="4" w:space="0"/>
              <w:left w:val="single" w:color="auto" w:sz="4" w:space="0"/>
              <w:bottom w:val="single" w:color="auto" w:sz="4" w:space="0"/>
              <w:right w:val="single" w:color="auto" w:sz="4" w:space="0"/>
            </w:tcBorders>
            <w:vAlign w:val="center"/>
          </w:tcPr>
          <w:p>
            <w:pPr>
              <w:snapToGrid w:val="0"/>
              <w:ind w:left="-170" w:right="-17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22"/>
              </w:rPr>
            </w:pPr>
          </w:p>
        </w:tc>
        <w:tc>
          <w:tcPr>
            <w:tcW w:w="1028" w:type="dxa"/>
            <w:vMerge w:val="restart"/>
            <w:tcBorders>
              <w:top w:val="single" w:color="auto" w:sz="4" w:space="0"/>
              <w:left w:val="single" w:color="auto" w:sz="4" w:space="0"/>
              <w:bottom w:val="single" w:color="auto" w:sz="4" w:space="0"/>
              <w:right w:val="single" w:color="auto" w:sz="4" w:space="0"/>
            </w:tcBorders>
            <w:vAlign w:val="center"/>
          </w:tcPr>
          <w:p>
            <w:pPr>
              <w:snapToGrid w:val="0"/>
              <w:ind w:left="-170" w:right="-170"/>
              <w:jc w:val="center"/>
              <w:rPr>
                <w:rFonts w:ascii="宋体" w:hAnsi="宋体" w:cs="宋体"/>
                <w:sz w:val="22"/>
              </w:rPr>
            </w:pPr>
            <w:r>
              <w:rPr>
                <w:rFonts w:hint="eastAsia" w:ascii="宋体" w:hAnsi="宋体" w:cs="宋体"/>
                <w:sz w:val="22"/>
              </w:rPr>
              <w:t>固定</w:t>
            </w:r>
          </w:p>
          <w:p>
            <w:pPr>
              <w:snapToGrid w:val="0"/>
              <w:ind w:left="-170" w:right="-170"/>
              <w:jc w:val="center"/>
              <w:rPr>
                <w:rFonts w:ascii="宋体" w:hAnsi="宋体" w:cs="宋体"/>
                <w:sz w:val="22"/>
              </w:rPr>
            </w:pPr>
            <w:r>
              <w:rPr>
                <w:rFonts w:hint="eastAsia" w:ascii="宋体" w:hAnsi="宋体" w:cs="宋体"/>
                <w:sz w:val="22"/>
              </w:rPr>
              <w:t>资产</w:t>
            </w:r>
          </w:p>
        </w:tc>
        <w:tc>
          <w:tcPr>
            <w:tcW w:w="1575" w:type="dxa"/>
            <w:gridSpan w:val="3"/>
            <w:vMerge w:val="restart"/>
            <w:tcBorders>
              <w:top w:val="single" w:color="auto" w:sz="4" w:space="0"/>
              <w:left w:val="single" w:color="auto" w:sz="4" w:space="0"/>
              <w:bottom w:val="single" w:color="auto" w:sz="4" w:space="0"/>
              <w:right w:val="single" w:color="auto" w:sz="4" w:space="0"/>
            </w:tcBorders>
            <w:vAlign w:val="center"/>
          </w:tcPr>
          <w:p>
            <w:pPr>
              <w:snapToGrid w:val="0"/>
              <w:ind w:left="-170" w:right="-170"/>
              <w:jc w:val="center"/>
              <w:rPr>
                <w:rFonts w:ascii="宋体" w:hAnsi="宋体" w:cs="宋体"/>
                <w:sz w:val="22"/>
              </w:rPr>
            </w:pPr>
            <w:r>
              <w:rPr>
                <w:rFonts w:hint="eastAsia" w:ascii="宋体" w:hAnsi="宋体" w:cs="宋体"/>
                <w:sz w:val="22"/>
              </w:rPr>
              <w:t>万元</w:t>
            </w:r>
          </w:p>
        </w:tc>
        <w:tc>
          <w:tcPr>
            <w:tcW w:w="840" w:type="dxa"/>
            <w:gridSpan w:val="2"/>
            <w:vMerge w:val="restart"/>
            <w:tcBorders>
              <w:top w:val="single" w:color="auto" w:sz="4" w:space="0"/>
              <w:left w:val="single" w:color="auto" w:sz="4" w:space="0"/>
              <w:bottom w:val="single" w:color="auto" w:sz="4" w:space="0"/>
              <w:right w:val="single" w:color="auto" w:sz="4" w:space="0"/>
            </w:tcBorders>
            <w:vAlign w:val="center"/>
          </w:tcPr>
          <w:p>
            <w:pPr>
              <w:snapToGrid w:val="0"/>
              <w:ind w:left="-170" w:right="-170"/>
              <w:jc w:val="center"/>
              <w:rPr>
                <w:rFonts w:ascii="宋体" w:hAnsi="宋体" w:cs="宋体"/>
                <w:sz w:val="22"/>
              </w:rPr>
            </w:pPr>
            <w:r>
              <w:rPr>
                <w:rFonts w:hint="eastAsia" w:ascii="宋体" w:hAnsi="宋体" w:cs="宋体"/>
                <w:sz w:val="22"/>
              </w:rPr>
              <w:t>资金</w:t>
            </w:r>
          </w:p>
          <w:p>
            <w:pPr>
              <w:snapToGrid w:val="0"/>
              <w:ind w:left="-170" w:right="-170"/>
              <w:jc w:val="center"/>
              <w:rPr>
                <w:rFonts w:ascii="宋体" w:hAnsi="宋体" w:cs="宋体"/>
                <w:sz w:val="22"/>
              </w:rPr>
            </w:pPr>
            <w:r>
              <w:rPr>
                <w:rFonts w:hint="eastAsia" w:ascii="宋体" w:hAnsi="宋体" w:cs="宋体"/>
                <w:sz w:val="22"/>
              </w:rPr>
              <w:t>性质</w:t>
            </w:r>
          </w:p>
        </w:tc>
        <w:tc>
          <w:tcPr>
            <w:tcW w:w="1440" w:type="dxa"/>
            <w:tcBorders>
              <w:top w:val="single" w:color="auto" w:sz="4" w:space="0"/>
              <w:left w:val="single" w:color="auto" w:sz="4" w:space="0"/>
              <w:bottom w:val="single" w:color="auto" w:sz="4" w:space="0"/>
              <w:right w:val="single" w:color="auto" w:sz="4" w:space="0"/>
            </w:tcBorders>
            <w:vAlign w:val="center"/>
          </w:tcPr>
          <w:p>
            <w:pPr>
              <w:snapToGrid w:val="0"/>
              <w:ind w:left="-170" w:right="-170"/>
              <w:jc w:val="center"/>
              <w:rPr>
                <w:rFonts w:ascii="宋体" w:hAnsi="宋体" w:cs="宋体"/>
                <w:sz w:val="22"/>
              </w:rPr>
            </w:pPr>
            <w:r>
              <w:rPr>
                <w:rFonts w:hint="eastAsia" w:ascii="宋体" w:hAnsi="宋体" w:cs="宋体"/>
                <w:sz w:val="22"/>
              </w:rPr>
              <w:t>生产性</w:t>
            </w:r>
          </w:p>
        </w:tc>
        <w:tc>
          <w:tcPr>
            <w:tcW w:w="2760" w:type="dxa"/>
            <w:gridSpan w:val="3"/>
            <w:tcBorders>
              <w:top w:val="single" w:color="auto" w:sz="4" w:space="0"/>
              <w:left w:val="single" w:color="auto" w:sz="4" w:space="0"/>
              <w:bottom w:val="single" w:color="auto" w:sz="4" w:space="0"/>
              <w:right w:val="single" w:color="auto" w:sz="4" w:space="0"/>
            </w:tcBorders>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22"/>
              </w:rPr>
            </w:pPr>
          </w:p>
        </w:tc>
        <w:tc>
          <w:tcPr>
            <w:tcW w:w="102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22"/>
              </w:rPr>
            </w:pPr>
          </w:p>
        </w:tc>
        <w:tc>
          <w:tcPr>
            <w:tcW w:w="1575"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22"/>
              </w:rPr>
            </w:pPr>
          </w:p>
        </w:tc>
        <w:tc>
          <w:tcPr>
            <w:tcW w:w="84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22"/>
              </w:rPr>
            </w:pPr>
          </w:p>
        </w:tc>
        <w:tc>
          <w:tcPr>
            <w:tcW w:w="1440" w:type="dxa"/>
            <w:tcBorders>
              <w:top w:val="single" w:color="auto" w:sz="4" w:space="0"/>
              <w:left w:val="single" w:color="auto" w:sz="4" w:space="0"/>
              <w:bottom w:val="single" w:color="auto" w:sz="4" w:space="0"/>
              <w:right w:val="single" w:color="auto" w:sz="4" w:space="0"/>
            </w:tcBorders>
            <w:vAlign w:val="center"/>
          </w:tcPr>
          <w:p>
            <w:pPr>
              <w:snapToGrid w:val="0"/>
              <w:ind w:left="-170" w:right="-170"/>
              <w:jc w:val="center"/>
              <w:rPr>
                <w:rFonts w:ascii="宋体" w:hAnsi="宋体" w:cs="宋体"/>
                <w:sz w:val="22"/>
              </w:rPr>
            </w:pPr>
            <w:r>
              <w:rPr>
                <w:rFonts w:hint="eastAsia" w:ascii="宋体" w:hAnsi="宋体" w:cs="宋体"/>
                <w:sz w:val="22"/>
              </w:rPr>
              <w:t>非生产性</w:t>
            </w:r>
          </w:p>
        </w:tc>
        <w:tc>
          <w:tcPr>
            <w:tcW w:w="2760" w:type="dxa"/>
            <w:gridSpan w:val="3"/>
            <w:tcBorders>
              <w:top w:val="single" w:color="auto" w:sz="4" w:space="0"/>
              <w:left w:val="single" w:color="auto" w:sz="4" w:space="0"/>
              <w:bottom w:val="single" w:color="auto" w:sz="4" w:space="0"/>
              <w:right w:val="single" w:color="auto" w:sz="4" w:space="0"/>
            </w:tcBorders>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22"/>
              </w:rPr>
            </w:pPr>
          </w:p>
        </w:tc>
        <w:tc>
          <w:tcPr>
            <w:tcW w:w="1028" w:type="dxa"/>
            <w:vMerge w:val="restart"/>
            <w:tcBorders>
              <w:top w:val="single" w:color="auto" w:sz="4" w:space="0"/>
              <w:left w:val="single" w:color="auto" w:sz="4" w:space="0"/>
              <w:bottom w:val="single" w:color="auto" w:sz="4" w:space="0"/>
              <w:right w:val="single" w:color="auto" w:sz="4" w:space="0"/>
            </w:tcBorders>
            <w:vAlign w:val="center"/>
          </w:tcPr>
          <w:p>
            <w:pPr>
              <w:snapToGrid w:val="0"/>
              <w:ind w:left="-170" w:right="-170"/>
              <w:jc w:val="center"/>
              <w:rPr>
                <w:rFonts w:ascii="宋体" w:hAnsi="宋体" w:cs="宋体"/>
                <w:sz w:val="22"/>
              </w:rPr>
            </w:pPr>
            <w:r>
              <w:rPr>
                <w:rFonts w:hint="eastAsia" w:ascii="宋体" w:hAnsi="宋体" w:cs="宋体"/>
                <w:sz w:val="22"/>
              </w:rPr>
              <w:t>流动</w:t>
            </w:r>
          </w:p>
          <w:p>
            <w:pPr>
              <w:snapToGrid w:val="0"/>
              <w:ind w:left="-170" w:right="-170"/>
              <w:jc w:val="center"/>
              <w:rPr>
                <w:rFonts w:ascii="宋体" w:hAnsi="宋体" w:cs="宋体"/>
                <w:sz w:val="22"/>
              </w:rPr>
            </w:pPr>
            <w:r>
              <w:rPr>
                <w:rFonts w:hint="eastAsia" w:ascii="宋体" w:hAnsi="宋体" w:cs="宋体"/>
                <w:sz w:val="22"/>
              </w:rPr>
              <w:t>资金</w:t>
            </w:r>
          </w:p>
        </w:tc>
        <w:tc>
          <w:tcPr>
            <w:tcW w:w="1575" w:type="dxa"/>
            <w:gridSpan w:val="3"/>
            <w:vMerge w:val="restart"/>
            <w:tcBorders>
              <w:top w:val="single" w:color="auto" w:sz="4" w:space="0"/>
              <w:left w:val="single" w:color="auto" w:sz="4" w:space="0"/>
              <w:bottom w:val="single" w:color="auto" w:sz="4" w:space="0"/>
              <w:right w:val="single" w:color="auto" w:sz="4" w:space="0"/>
            </w:tcBorders>
            <w:vAlign w:val="center"/>
          </w:tcPr>
          <w:p>
            <w:pPr>
              <w:snapToGrid w:val="0"/>
              <w:ind w:left="-170" w:right="-170"/>
              <w:jc w:val="center"/>
              <w:rPr>
                <w:rFonts w:ascii="宋体" w:hAnsi="宋体" w:cs="宋体"/>
                <w:sz w:val="22"/>
              </w:rPr>
            </w:pPr>
            <w:r>
              <w:rPr>
                <w:rFonts w:hint="eastAsia" w:ascii="宋体" w:hAnsi="宋体" w:cs="宋体"/>
                <w:sz w:val="22"/>
              </w:rPr>
              <w:t>万元</w:t>
            </w:r>
          </w:p>
        </w:tc>
        <w:tc>
          <w:tcPr>
            <w:tcW w:w="840" w:type="dxa"/>
            <w:gridSpan w:val="2"/>
            <w:vMerge w:val="restart"/>
            <w:tcBorders>
              <w:top w:val="single" w:color="auto" w:sz="4" w:space="0"/>
              <w:left w:val="single" w:color="auto" w:sz="4" w:space="0"/>
              <w:bottom w:val="single" w:color="auto" w:sz="4" w:space="0"/>
              <w:right w:val="single" w:color="auto" w:sz="4" w:space="0"/>
            </w:tcBorders>
            <w:vAlign w:val="center"/>
          </w:tcPr>
          <w:p>
            <w:pPr>
              <w:snapToGrid w:val="0"/>
              <w:ind w:left="-170" w:right="-170"/>
              <w:jc w:val="center"/>
              <w:rPr>
                <w:rFonts w:ascii="宋体" w:hAnsi="宋体" w:cs="宋体"/>
                <w:sz w:val="22"/>
              </w:rPr>
            </w:pPr>
            <w:r>
              <w:rPr>
                <w:rFonts w:hint="eastAsia" w:ascii="宋体" w:hAnsi="宋体" w:cs="宋体"/>
                <w:sz w:val="22"/>
              </w:rPr>
              <w:t>资金</w:t>
            </w:r>
          </w:p>
          <w:p>
            <w:pPr>
              <w:snapToGrid w:val="0"/>
              <w:ind w:left="-170" w:right="-170"/>
              <w:jc w:val="center"/>
              <w:rPr>
                <w:rFonts w:ascii="宋体" w:hAnsi="宋体" w:cs="宋体"/>
                <w:sz w:val="22"/>
              </w:rPr>
            </w:pPr>
            <w:r>
              <w:rPr>
                <w:rFonts w:hint="eastAsia" w:ascii="宋体" w:hAnsi="宋体" w:cs="宋体"/>
                <w:sz w:val="22"/>
              </w:rPr>
              <w:t>来源</w:t>
            </w:r>
          </w:p>
        </w:tc>
        <w:tc>
          <w:tcPr>
            <w:tcW w:w="1440" w:type="dxa"/>
            <w:tcBorders>
              <w:top w:val="single" w:color="auto" w:sz="4" w:space="0"/>
              <w:left w:val="single" w:color="auto" w:sz="4" w:space="0"/>
              <w:bottom w:val="single" w:color="auto" w:sz="4" w:space="0"/>
              <w:right w:val="single" w:color="auto" w:sz="4" w:space="0"/>
            </w:tcBorders>
            <w:vAlign w:val="center"/>
          </w:tcPr>
          <w:p>
            <w:pPr>
              <w:snapToGrid w:val="0"/>
              <w:ind w:left="-170" w:right="-170"/>
              <w:jc w:val="center"/>
              <w:rPr>
                <w:rFonts w:ascii="宋体" w:hAnsi="宋体" w:cs="宋体"/>
                <w:sz w:val="22"/>
              </w:rPr>
            </w:pPr>
            <w:r>
              <w:rPr>
                <w:rFonts w:hint="eastAsia" w:ascii="宋体" w:hAnsi="宋体" w:cs="宋体"/>
                <w:sz w:val="22"/>
              </w:rPr>
              <w:t>自有资金</w:t>
            </w:r>
          </w:p>
        </w:tc>
        <w:tc>
          <w:tcPr>
            <w:tcW w:w="2760" w:type="dxa"/>
            <w:gridSpan w:val="3"/>
            <w:tcBorders>
              <w:top w:val="single" w:color="auto" w:sz="4" w:space="0"/>
              <w:left w:val="single" w:color="auto" w:sz="4" w:space="0"/>
              <w:bottom w:val="single" w:color="auto" w:sz="4" w:space="0"/>
              <w:right w:val="single" w:color="auto" w:sz="4" w:space="0"/>
            </w:tcBorders>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22"/>
              </w:rPr>
            </w:pPr>
          </w:p>
        </w:tc>
        <w:tc>
          <w:tcPr>
            <w:tcW w:w="102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22"/>
              </w:rPr>
            </w:pPr>
          </w:p>
        </w:tc>
        <w:tc>
          <w:tcPr>
            <w:tcW w:w="1575"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22"/>
              </w:rPr>
            </w:pPr>
          </w:p>
        </w:tc>
        <w:tc>
          <w:tcPr>
            <w:tcW w:w="84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22"/>
              </w:rPr>
            </w:pPr>
          </w:p>
        </w:tc>
        <w:tc>
          <w:tcPr>
            <w:tcW w:w="1440" w:type="dxa"/>
            <w:tcBorders>
              <w:top w:val="single" w:color="auto" w:sz="4" w:space="0"/>
              <w:left w:val="single" w:color="auto" w:sz="4" w:space="0"/>
              <w:bottom w:val="single" w:color="auto" w:sz="4" w:space="0"/>
              <w:right w:val="single" w:color="auto" w:sz="4" w:space="0"/>
            </w:tcBorders>
            <w:vAlign w:val="center"/>
          </w:tcPr>
          <w:p>
            <w:pPr>
              <w:snapToGrid w:val="0"/>
              <w:ind w:left="-170" w:right="-170"/>
              <w:jc w:val="center"/>
              <w:rPr>
                <w:rFonts w:ascii="宋体" w:hAnsi="宋体" w:cs="宋体"/>
                <w:sz w:val="22"/>
              </w:rPr>
            </w:pPr>
            <w:r>
              <w:rPr>
                <w:rFonts w:hint="eastAsia" w:ascii="宋体" w:hAnsi="宋体" w:cs="宋体"/>
                <w:sz w:val="22"/>
              </w:rPr>
              <w:t>银行贷款</w:t>
            </w:r>
          </w:p>
        </w:tc>
        <w:tc>
          <w:tcPr>
            <w:tcW w:w="2760" w:type="dxa"/>
            <w:gridSpan w:val="3"/>
            <w:tcBorders>
              <w:top w:val="single" w:color="auto" w:sz="4" w:space="0"/>
              <w:left w:val="single" w:color="auto" w:sz="4" w:space="0"/>
              <w:bottom w:val="single" w:color="auto" w:sz="4" w:space="0"/>
              <w:right w:val="single" w:color="auto" w:sz="4" w:space="0"/>
            </w:tcBorders>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34" w:hRule="atLeast"/>
        </w:trPr>
        <w:tc>
          <w:tcPr>
            <w:tcW w:w="1455" w:type="dxa"/>
            <w:tcBorders>
              <w:top w:val="single" w:color="auto" w:sz="4" w:space="0"/>
              <w:left w:val="single" w:color="auto" w:sz="4" w:space="0"/>
              <w:bottom w:val="single" w:color="auto" w:sz="4" w:space="0"/>
              <w:right w:val="single" w:color="auto" w:sz="4" w:space="0"/>
            </w:tcBorders>
            <w:vAlign w:val="center"/>
          </w:tcPr>
          <w:p>
            <w:pPr>
              <w:snapToGrid w:val="0"/>
              <w:ind w:left="-170" w:right="-170"/>
              <w:jc w:val="center"/>
              <w:rPr>
                <w:rFonts w:ascii="宋体" w:hAnsi="宋体" w:cs="宋体"/>
                <w:sz w:val="22"/>
              </w:rPr>
            </w:pPr>
            <w:r>
              <w:rPr>
                <w:rFonts w:hint="eastAsia" w:ascii="宋体" w:hAnsi="宋体" w:cs="宋体"/>
                <w:sz w:val="22"/>
              </w:rPr>
              <w:t>经营</w:t>
            </w:r>
          </w:p>
          <w:p>
            <w:pPr>
              <w:snapToGrid w:val="0"/>
              <w:ind w:left="-170" w:right="-170"/>
              <w:jc w:val="center"/>
              <w:rPr>
                <w:rFonts w:ascii="宋体" w:hAnsi="宋体" w:cs="宋体"/>
                <w:sz w:val="22"/>
              </w:rPr>
            </w:pPr>
            <w:r>
              <w:rPr>
                <w:rFonts w:hint="eastAsia" w:ascii="宋体" w:hAnsi="宋体" w:cs="宋体"/>
                <w:sz w:val="22"/>
              </w:rPr>
              <w:t>范围</w:t>
            </w:r>
          </w:p>
        </w:tc>
        <w:tc>
          <w:tcPr>
            <w:tcW w:w="7643" w:type="dxa"/>
            <w:gridSpan w:val="10"/>
            <w:tcBorders>
              <w:top w:val="single" w:color="auto" w:sz="4" w:space="0"/>
              <w:left w:val="single" w:color="auto" w:sz="4" w:space="0"/>
              <w:bottom w:val="single" w:color="auto" w:sz="4" w:space="0"/>
              <w:right w:val="single" w:color="auto" w:sz="4" w:space="0"/>
            </w:tcBorders>
            <w:vAlign w:val="center"/>
          </w:tcPr>
          <w:p>
            <w:pPr>
              <w:snapToGrid w:val="0"/>
              <w:ind w:left="-170" w:right="-170"/>
              <w:jc w:val="center"/>
              <w:rPr>
                <w:rFonts w:ascii="宋体" w:hAnsi="宋体" w:cs="宋体"/>
                <w:sz w:val="22"/>
              </w:rPr>
            </w:pPr>
          </w:p>
          <w:p>
            <w:pPr>
              <w:snapToGrid w:val="0"/>
              <w:ind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restart"/>
            <w:tcBorders>
              <w:top w:val="single" w:color="auto" w:sz="4" w:space="0"/>
              <w:left w:val="single" w:color="auto" w:sz="4" w:space="0"/>
              <w:bottom w:val="single" w:color="auto" w:sz="4" w:space="0"/>
              <w:right w:val="single" w:color="auto" w:sz="4" w:space="0"/>
            </w:tcBorders>
            <w:vAlign w:val="center"/>
          </w:tcPr>
          <w:p>
            <w:pPr>
              <w:snapToGrid w:val="0"/>
              <w:ind w:left="-170" w:right="-170"/>
              <w:jc w:val="center"/>
              <w:rPr>
                <w:rFonts w:ascii="宋体" w:hAnsi="宋体" w:cs="宋体"/>
                <w:sz w:val="22"/>
              </w:rPr>
            </w:pPr>
            <w:r>
              <w:rPr>
                <w:rFonts w:hint="eastAsia" w:ascii="宋体" w:hAnsi="宋体" w:cs="宋体"/>
                <w:sz w:val="22"/>
              </w:rPr>
              <w:t>经济</w:t>
            </w:r>
          </w:p>
          <w:p>
            <w:pPr>
              <w:snapToGrid w:val="0"/>
              <w:ind w:left="-170" w:right="-170"/>
              <w:jc w:val="center"/>
              <w:rPr>
                <w:rFonts w:ascii="宋体" w:hAnsi="宋体" w:cs="宋体"/>
                <w:sz w:val="22"/>
              </w:rPr>
            </w:pPr>
            <w:r>
              <w:rPr>
                <w:rFonts w:hint="eastAsia" w:ascii="宋体" w:hAnsi="宋体" w:cs="宋体"/>
                <w:sz w:val="22"/>
              </w:rPr>
              <w:t>指标</w:t>
            </w:r>
          </w:p>
        </w:tc>
        <w:tc>
          <w:tcPr>
            <w:tcW w:w="1553" w:type="dxa"/>
            <w:gridSpan w:val="2"/>
            <w:tcBorders>
              <w:top w:val="single" w:color="auto" w:sz="4" w:space="0"/>
              <w:left w:val="single" w:color="auto" w:sz="4" w:space="0"/>
              <w:bottom w:val="single" w:color="auto" w:sz="4" w:space="0"/>
              <w:right w:val="single" w:color="auto" w:sz="4" w:space="0"/>
            </w:tcBorders>
            <w:vAlign w:val="center"/>
          </w:tcPr>
          <w:p>
            <w:pPr>
              <w:snapToGrid w:val="0"/>
              <w:ind w:left="-170" w:right="-170"/>
              <w:jc w:val="center"/>
              <w:rPr>
                <w:rFonts w:ascii="宋体" w:hAnsi="宋体" w:cs="宋体"/>
                <w:sz w:val="22"/>
              </w:rPr>
            </w:pPr>
            <w:r>
              <w:rPr>
                <w:rFonts w:hint="eastAsia" w:ascii="宋体" w:hAnsi="宋体" w:cs="宋体"/>
                <w:sz w:val="22"/>
              </w:rPr>
              <w:t>年份</w:t>
            </w:r>
          </w:p>
        </w:tc>
        <w:tc>
          <w:tcPr>
            <w:tcW w:w="6090" w:type="dxa"/>
            <w:gridSpan w:val="8"/>
            <w:tcBorders>
              <w:top w:val="single" w:color="auto" w:sz="4" w:space="0"/>
              <w:left w:val="single" w:color="auto" w:sz="4" w:space="0"/>
              <w:bottom w:val="single" w:color="auto" w:sz="4" w:space="0"/>
              <w:right w:val="single" w:color="auto" w:sz="4" w:space="0"/>
            </w:tcBorders>
            <w:vAlign w:val="center"/>
          </w:tcPr>
          <w:p>
            <w:pPr>
              <w:snapToGrid w:val="0"/>
              <w:ind w:left="-170" w:right="-170"/>
              <w:jc w:val="center"/>
              <w:rPr>
                <w:rFonts w:ascii="宋体" w:hAnsi="宋体" w:cs="宋体"/>
                <w:sz w:val="22"/>
              </w:rPr>
            </w:pPr>
            <w:r>
              <w:rPr>
                <w:rFonts w:hint="eastAsia" w:ascii="宋体" w:hAnsi="宋体" w:cs="宋体"/>
                <w:sz w:val="22"/>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22"/>
              </w:rPr>
            </w:pPr>
          </w:p>
        </w:tc>
        <w:tc>
          <w:tcPr>
            <w:tcW w:w="1553" w:type="dxa"/>
            <w:gridSpan w:val="2"/>
            <w:tcBorders>
              <w:top w:val="single" w:color="auto" w:sz="4" w:space="0"/>
              <w:left w:val="single" w:color="auto" w:sz="4" w:space="0"/>
              <w:bottom w:val="single" w:color="auto" w:sz="4" w:space="0"/>
              <w:right w:val="single" w:color="auto" w:sz="4" w:space="0"/>
            </w:tcBorders>
            <w:vAlign w:val="center"/>
          </w:tcPr>
          <w:p>
            <w:pPr>
              <w:snapToGrid w:val="0"/>
              <w:ind w:left="-170" w:right="-170"/>
              <w:jc w:val="center"/>
              <w:rPr>
                <w:rFonts w:ascii="宋体" w:hAnsi="宋体" w:cs="宋体"/>
                <w:sz w:val="22"/>
              </w:rPr>
            </w:pPr>
          </w:p>
        </w:tc>
        <w:tc>
          <w:tcPr>
            <w:tcW w:w="6090" w:type="dxa"/>
            <w:gridSpan w:val="8"/>
            <w:tcBorders>
              <w:top w:val="single" w:color="auto" w:sz="4" w:space="0"/>
              <w:left w:val="single" w:color="auto" w:sz="4" w:space="0"/>
              <w:bottom w:val="single" w:color="auto" w:sz="4" w:space="0"/>
              <w:right w:val="single" w:color="auto" w:sz="4" w:space="0"/>
            </w:tcBorders>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22"/>
              </w:rPr>
            </w:pPr>
          </w:p>
        </w:tc>
        <w:tc>
          <w:tcPr>
            <w:tcW w:w="1553" w:type="dxa"/>
            <w:gridSpan w:val="2"/>
            <w:tcBorders>
              <w:top w:val="single" w:color="auto" w:sz="4" w:space="0"/>
              <w:left w:val="single" w:color="auto" w:sz="4" w:space="0"/>
              <w:bottom w:val="single" w:color="auto" w:sz="4" w:space="0"/>
              <w:right w:val="single" w:color="auto" w:sz="4" w:space="0"/>
            </w:tcBorders>
            <w:vAlign w:val="center"/>
          </w:tcPr>
          <w:p>
            <w:pPr>
              <w:snapToGrid w:val="0"/>
              <w:ind w:left="-170" w:right="-170"/>
              <w:jc w:val="center"/>
              <w:rPr>
                <w:rFonts w:ascii="宋体" w:hAnsi="宋体" w:cs="宋体"/>
                <w:sz w:val="22"/>
              </w:rPr>
            </w:pPr>
          </w:p>
        </w:tc>
        <w:tc>
          <w:tcPr>
            <w:tcW w:w="6090" w:type="dxa"/>
            <w:gridSpan w:val="8"/>
            <w:tcBorders>
              <w:top w:val="single" w:color="auto" w:sz="4" w:space="0"/>
              <w:left w:val="single" w:color="auto" w:sz="4" w:space="0"/>
              <w:bottom w:val="single" w:color="auto" w:sz="4" w:space="0"/>
              <w:right w:val="single" w:color="auto" w:sz="4" w:space="0"/>
            </w:tcBorders>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22"/>
              </w:rPr>
            </w:pPr>
          </w:p>
        </w:tc>
        <w:tc>
          <w:tcPr>
            <w:tcW w:w="1553" w:type="dxa"/>
            <w:gridSpan w:val="2"/>
            <w:tcBorders>
              <w:top w:val="single" w:color="auto" w:sz="4" w:space="0"/>
              <w:left w:val="single" w:color="auto" w:sz="4" w:space="0"/>
              <w:bottom w:val="single" w:color="auto" w:sz="4" w:space="0"/>
              <w:right w:val="single" w:color="auto" w:sz="4" w:space="0"/>
            </w:tcBorders>
            <w:vAlign w:val="center"/>
          </w:tcPr>
          <w:p>
            <w:pPr>
              <w:snapToGrid w:val="0"/>
              <w:ind w:left="-170" w:right="-170"/>
              <w:jc w:val="center"/>
              <w:rPr>
                <w:rFonts w:ascii="宋体" w:hAnsi="宋体" w:cs="宋体"/>
                <w:sz w:val="22"/>
              </w:rPr>
            </w:pPr>
          </w:p>
        </w:tc>
        <w:tc>
          <w:tcPr>
            <w:tcW w:w="6090" w:type="dxa"/>
            <w:gridSpan w:val="8"/>
            <w:tcBorders>
              <w:top w:val="single" w:color="auto" w:sz="4" w:space="0"/>
              <w:left w:val="single" w:color="auto" w:sz="4" w:space="0"/>
              <w:bottom w:val="single" w:color="auto" w:sz="4" w:space="0"/>
              <w:right w:val="single" w:color="auto" w:sz="4" w:space="0"/>
            </w:tcBorders>
            <w:vAlign w:val="center"/>
          </w:tcPr>
          <w:p>
            <w:pPr>
              <w:snapToGrid w:val="0"/>
              <w:ind w:left="-170" w:right="-170"/>
              <w:jc w:val="center"/>
              <w:rPr>
                <w:rFonts w:ascii="宋体" w:hAnsi="宋体" w:cs="宋体"/>
                <w:sz w:val="22"/>
              </w:rPr>
            </w:pPr>
          </w:p>
        </w:tc>
      </w:tr>
    </w:tbl>
    <w:p>
      <w:pPr>
        <w:overflowPunct w:val="0"/>
        <w:autoSpaceDE w:val="0"/>
        <w:autoSpaceDN w:val="0"/>
        <w:rPr>
          <w:rFonts w:ascii="宋体" w:hAnsi="宋体" w:cs="Calibri"/>
          <w:sz w:val="22"/>
        </w:rPr>
      </w:pPr>
      <w:r>
        <w:rPr>
          <w:rFonts w:hint="eastAsia" w:ascii="宋体" w:hAnsi="宋体" w:cs="Calibri"/>
          <w:sz w:val="22"/>
        </w:rPr>
        <w:t>附营业执照、税务登记证、一般纳税人证明材料、相关产品质量认证证书</w:t>
      </w:r>
      <w:r>
        <w:rPr>
          <w:rFonts w:hint="eastAsia" w:ascii="宋体" w:hAnsi="宋体" w:cs="Arial"/>
          <w:kern w:val="0"/>
          <w:sz w:val="22"/>
        </w:rPr>
        <w:t>、</w:t>
      </w:r>
      <w:r>
        <w:rPr>
          <w:rFonts w:hint="eastAsia" w:ascii="宋体" w:hAnsi="宋体" w:cs="Calibri"/>
          <w:sz w:val="22"/>
        </w:rPr>
        <w:t>相关产品鉴定证书等</w:t>
      </w:r>
    </w:p>
    <w:p>
      <w:pPr>
        <w:spacing w:line="360" w:lineRule="auto"/>
        <w:jc w:val="center"/>
        <w:rPr>
          <w:rFonts w:ascii="宋体" w:hAnsi="宋体" w:cs="宋体"/>
          <w:b/>
          <w:sz w:val="32"/>
          <w:szCs w:val="32"/>
        </w:rPr>
      </w:pPr>
      <w:r>
        <w:rPr>
          <w:rFonts w:hint="eastAsia" w:ascii="宋体" w:hAnsi="宋体" w:cs="Calibri"/>
          <w:sz w:val="22"/>
        </w:rPr>
        <w:br w:type="page"/>
      </w:r>
      <w:r>
        <w:rPr>
          <w:rFonts w:hint="eastAsia" w:ascii="宋体" w:hAnsi="宋体" w:cs="宋体"/>
          <w:b/>
          <w:sz w:val="32"/>
          <w:szCs w:val="32"/>
        </w:rPr>
        <w:t>（二）制造商资格声明</w:t>
      </w:r>
    </w:p>
    <w:p>
      <w:pPr>
        <w:numPr>
          <w:ilvl w:val="0"/>
          <w:numId w:val="17"/>
        </w:numPr>
        <w:adjustRightInd w:val="0"/>
        <w:spacing w:beforeLines="50" w:line="360" w:lineRule="auto"/>
        <w:textAlignment w:val="baseline"/>
        <w:rPr>
          <w:rFonts w:ascii="宋体" w:hAnsi="宋体" w:cs="宋体"/>
          <w:sz w:val="22"/>
        </w:rPr>
      </w:pPr>
      <w:r>
        <w:rPr>
          <w:rFonts w:hint="eastAsia" w:ascii="宋体" w:hAnsi="宋体" w:cs="宋体"/>
          <w:sz w:val="22"/>
        </w:rPr>
        <w:t>名称及概况：</w:t>
      </w:r>
    </w:p>
    <w:p>
      <w:pPr>
        <w:numPr>
          <w:ilvl w:val="0"/>
          <w:numId w:val="18"/>
        </w:numPr>
        <w:adjustRightInd w:val="0"/>
        <w:spacing w:line="360" w:lineRule="auto"/>
        <w:textAlignment w:val="baseline"/>
        <w:rPr>
          <w:rFonts w:ascii="宋体" w:hAnsi="宋体" w:cs="宋体"/>
          <w:sz w:val="22"/>
        </w:rPr>
      </w:pPr>
      <w:r>
        <w:rPr>
          <w:rFonts w:hint="eastAsia" w:ascii="宋体" w:hAnsi="宋体" w:cs="宋体"/>
          <w:sz w:val="22"/>
        </w:rPr>
        <w:t>制造商名称：</w:t>
      </w:r>
    </w:p>
    <w:p>
      <w:pPr>
        <w:numPr>
          <w:ilvl w:val="0"/>
          <w:numId w:val="18"/>
        </w:numPr>
        <w:adjustRightInd w:val="0"/>
        <w:spacing w:line="360" w:lineRule="auto"/>
        <w:textAlignment w:val="baseline"/>
        <w:rPr>
          <w:rFonts w:ascii="宋体" w:hAnsi="宋体" w:cs="宋体"/>
          <w:sz w:val="22"/>
        </w:rPr>
      </w:pPr>
      <w:r>
        <w:rPr>
          <w:rFonts w:hint="eastAsia" w:ascii="宋体" w:hAnsi="宋体" w:cs="宋体"/>
          <w:sz w:val="22"/>
        </w:rPr>
        <w:t>总部地址：</w:t>
      </w:r>
    </w:p>
    <w:p>
      <w:pPr>
        <w:spacing w:line="360" w:lineRule="auto"/>
        <w:ind w:left="840" w:firstLine="120"/>
        <w:rPr>
          <w:rFonts w:ascii="宋体" w:hAnsi="宋体" w:cs="宋体"/>
          <w:sz w:val="22"/>
          <w:u w:val="single"/>
        </w:rPr>
      </w:pPr>
      <w:r>
        <w:rPr>
          <w:rFonts w:hint="eastAsia" w:ascii="宋体" w:hAnsi="宋体" w:cs="宋体"/>
          <w:sz w:val="22"/>
        </w:rPr>
        <w:t>电传/传真/电话号码：</w:t>
      </w:r>
    </w:p>
    <w:p>
      <w:pPr>
        <w:numPr>
          <w:ilvl w:val="0"/>
          <w:numId w:val="18"/>
        </w:numPr>
        <w:adjustRightInd w:val="0"/>
        <w:spacing w:line="360" w:lineRule="auto"/>
        <w:textAlignment w:val="baseline"/>
        <w:rPr>
          <w:rFonts w:ascii="宋体" w:hAnsi="宋体" w:cs="宋体"/>
          <w:sz w:val="22"/>
          <w:u w:val="single"/>
        </w:rPr>
      </w:pPr>
      <w:r>
        <w:rPr>
          <w:rFonts w:hint="eastAsia" w:ascii="宋体" w:hAnsi="宋体" w:cs="宋体"/>
          <w:sz w:val="22"/>
        </w:rPr>
        <w:t>成立和/或注册日期：</w:t>
      </w:r>
    </w:p>
    <w:p>
      <w:pPr>
        <w:numPr>
          <w:ilvl w:val="0"/>
          <w:numId w:val="18"/>
        </w:numPr>
        <w:adjustRightInd w:val="0"/>
        <w:spacing w:line="360" w:lineRule="auto"/>
        <w:textAlignment w:val="baseline"/>
        <w:rPr>
          <w:rFonts w:ascii="宋体" w:hAnsi="宋体" w:cs="宋体"/>
          <w:sz w:val="22"/>
        </w:rPr>
      </w:pPr>
      <w:r>
        <w:rPr>
          <w:rFonts w:hint="eastAsia" w:ascii="宋体" w:hAnsi="宋体" w:cs="宋体"/>
          <w:sz w:val="22"/>
        </w:rPr>
        <w:t>实收资本：</w:t>
      </w:r>
    </w:p>
    <w:p>
      <w:pPr>
        <w:numPr>
          <w:ilvl w:val="0"/>
          <w:numId w:val="18"/>
        </w:numPr>
        <w:adjustRightInd w:val="0"/>
        <w:spacing w:line="360" w:lineRule="auto"/>
        <w:textAlignment w:val="baseline"/>
        <w:rPr>
          <w:rFonts w:ascii="宋体" w:hAnsi="宋体" w:cs="宋体"/>
          <w:sz w:val="22"/>
        </w:rPr>
      </w:pPr>
      <w:r>
        <w:rPr>
          <w:rFonts w:hint="eastAsia" w:ascii="宋体" w:hAnsi="宋体" w:cs="宋体"/>
          <w:sz w:val="22"/>
        </w:rPr>
        <w:t>近期资产负债表（到年月日止）</w:t>
      </w:r>
    </w:p>
    <w:p>
      <w:pPr>
        <w:numPr>
          <w:ilvl w:val="0"/>
          <w:numId w:val="19"/>
        </w:numPr>
        <w:adjustRightInd w:val="0"/>
        <w:spacing w:line="360" w:lineRule="auto"/>
        <w:textAlignment w:val="baseline"/>
        <w:rPr>
          <w:rFonts w:ascii="宋体" w:hAnsi="宋体" w:cs="宋体"/>
          <w:sz w:val="22"/>
        </w:rPr>
      </w:pPr>
      <w:r>
        <w:rPr>
          <w:rFonts w:hint="eastAsia" w:ascii="宋体" w:hAnsi="宋体" w:cs="宋体"/>
          <w:sz w:val="22"/>
        </w:rPr>
        <w:t>固定资产：</w:t>
      </w:r>
    </w:p>
    <w:p>
      <w:pPr>
        <w:numPr>
          <w:ilvl w:val="0"/>
          <w:numId w:val="19"/>
        </w:numPr>
        <w:adjustRightInd w:val="0"/>
        <w:spacing w:line="360" w:lineRule="auto"/>
        <w:textAlignment w:val="baseline"/>
        <w:rPr>
          <w:rFonts w:ascii="宋体" w:hAnsi="宋体" w:cs="宋体"/>
          <w:sz w:val="22"/>
        </w:rPr>
      </w:pPr>
      <w:r>
        <w:rPr>
          <w:rFonts w:hint="eastAsia" w:ascii="宋体" w:hAnsi="宋体" w:cs="宋体"/>
          <w:sz w:val="22"/>
        </w:rPr>
        <w:t>流动资产：</w:t>
      </w:r>
    </w:p>
    <w:p>
      <w:pPr>
        <w:numPr>
          <w:ilvl w:val="0"/>
          <w:numId w:val="19"/>
        </w:numPr>
        <w:adjustRightInd w:val="0"/>
        <w:spacing w:line="360" w:lineRule="auto"/>
        <w:textAlignment w:val="baseline"/>
        <w:rPr>
          <w:rFonts w:ascii="宋体" w:hAnsi="宋体" w:cs="宋体"/>
          <w:sz w:val="22"/>
        </w:rPr>
      </w:pPr>
      <w:r>
        <w:rPr>
          <w:rFonts w:hint="eastAsia" w:ascii="宋体" w:hAnsi="宋体" w:cs="宋体"/>
          <w:sz w:val="22"/>
        </w:rPr>
        <w:t>长期负债：</w:t>
      </w:r>
    </w:p>
    <w:p>
      <w:pPr>
        <w:numPr>
          <w:ilvl w:val="0"/>
          <w:numId w:val="19"/>
        </w:numPr>
        <w:adjustRightInd w:val="0"/>
        <w:spacing w:line="360" w:lineRule="auto"/>
        <w:textAlignment w:val="baseline"/>
        <w:rPr>
          <w:rFonts w:ascii="宋体" w:hAnsi="宋体" w:cs="宋体"/>
          <w:sz w:val="22"/>
        </w:rPr>
      </w:pPr>
      <w:r>
        <w:rPr>
          <w:rFonts w:hint="eastAsia" w:ascii="宋体" w:hAnsi="宋体" w:cs="宋体"/>
          <w:sz w:val="22"/>
        </w:rPr>
        <w:t>流动负债：</w:t>
      </w:r>
    </w:p>
    <w:p>
      <w:pPr>
        <w:numPr>
          <w:ilvl w:val="0"/>
          <w:numId w:val="19"/>
        </w:numPr>
        <w:adjustRightInd w:val="0"/>
        <w:spacing w:line="360" w:lineRule="auto"/>
        <w:textAlignment w:val="baseline"/>
        <w:rPr>
          <w:rFonts w:ascii="宋体" w:hAnsi="宋体" w:cs="宋体"/>
          <w:sz w:val="22"/>
        </w:rPr>
      </w:pPr>
      <w:r>
        <w:rPr>
          <w:rFonts w:hint="eastAsia" w:ascii="宋体" w:hAnsi="宋体" w:cs="宋体"/>
          <w:sz w:val="22"/>
        </w:rPr>
        <w:t>净值：</w:t>
      </w:r>
    </w:p>
    <w:p>
      <w:pPr>
        <w:numPr>
          <w:ilvl w:val="0"/>
          <w:numId w:val="20"/>
        </w:numPr>
        <w:adjustRightInd w:val="0"/>
        <w:spacing w:line="360" w:lineRule="auto"/>
        <w:textAlignment w:val="baseline"/>
        <w:rPr>
          <w:rFonts w:ascii="宋体" w:hAnsi="宋体" w:cs="宋体"/>
          <w:sz w:val="22"/>
        </w:rPr>
      </w:pPr>
      <w:r>
        <w:rPr>
          <w:rFonts w:hint="eastAsia" w:ascii="宋体" w:hAnsi="宋体" w:cs="宋体"/>
          <w:sz w:val="22"/>
        </w:rPr>
        <w:t>主要负责人姓名：（可选填）</w:t>
      </w:r>
    </w:p>
    <w:p>
      <w:pPr>
        <w:numPr>
          <w:ilvl w:val="0"/>
          <w:numId w:val="20"/>
        </w:numPr>
        <w:adjustRightInd w:val="0"/>
        <w:spacing w:line="360" w:lineRule="auto"/>
        <w:textAlignment w:val="baseline"/>
        <w:rPr>
          <w:rFonts w:ascii="宋体" w:hAnsi="宋体" w:cs="宋体"/>
          <w:sz w:val="22"/>
        </w:rPr>
      </w:pPr>
      <w:r>
        <w:rPr>
          <w:rFonts w:hint="eastAsia" w:ascii="宋体" w:hAnsi="宋体" w:cs="宋体"/>
          <w:sz w:val="22"/>
        </w:rPr>
        <w:t>制造商在中国的代表的姓名和地址：（如有的话）</w:t>
      </w:r>
    </w:p>
    <w:p>
      <w:pPr>
        <w:spacing w:line="360" w:lineRule="auto"/>
        <w:ind w:left="425"/>
        <w:rPr>
          <w:rFonts w:ascii="宋体" w:hAnsi="宋体" w:cs="宋体"/>
          <w:sz w:val="22"/>
        </w:rPr>
      </w:pPr>
    </w:p>
    <w:p>
      <w:pPr>
        <w:numPr>
          <w:ilvl w:val="0"/>
          <w:numId w:val="13"/>
        </w:numPr>
        <w:adjustRightInd w:val="0"/>
        <w:spacing w:line="360" w:lineRule="auto"/>
        <w:textAlignment w:val="baseline"/>
        <w:rPr>
          <w:rFonts w:ascii="宋体" w:hAnsi="宋体" w:cs="宋体"/>
          <w:sz w:val="22"/>
        </w:rPr>
      </w:pPr>
      <w:r>
        <w:rPr>
          <w:rFonts w:hint="eastAsia" w:ascii="宋体" w:hAnsi="宋体" w:cs="宋体"/>
          <w:sz w:val="22"/>
        </w:rPr>
        <w:t>(1) 关于制造投标货物的设施及其它情况：</w:t>
      </w:r>
    </w:p>
    <w:p>
      <w:pPr>
        <w:spacing w:line="360" w:lineRule="auto"/>
        <w:ind w:firstLine="360"/>
        <w:rPr>
          <w:rFonts w:ascii="宋体" w:hAnsi="宋体" w:cs="宋体"/>
          <w:sz w:val="22"/>
        </w:rPr>
      </w:pPr>
      <w:r>
        <w:rPr>
          <w:rFonts w:hint="eastAsia" w:ascii="宋体" w:hAnsi="宋体" w:cs="宋体"/>
          <w:sz w:val="22"/>
        </w:rPr>
        <w:t>工厂名称地址生产的项目年生产能力职工人数</w:t>
      </w:r>
    </w:p>
    <w:p>
      <w:pPr>
        <w:spacing w:line="360" w:lineRule="auto"/>
        <w:rPr>
          <w:rFonts w:ascii="宋体" w:hAnsi="宋体" w:cs="宋体"/>
          <w:sz w:val="22"/>
        </w:rPr>
      </w:pPr>
    </w:p>
    <w:p>
      <w:pPr>
        <w:spacing w:line="360" w:lineRule="auto"/>
        <w:rPr>
          <w:rFonts w:ascii="宋体" w:hAnsi="宋体" w:cs="宋体"/>
          <w:sz w:val="22"/>
        </w:rPr>
      </w:pPr>
    </w:p>
    <w:p>
      <w:pPr>
        <w:numPr>
          <w:ilvl w:val="1"/>
          <w:numId w:val="21"/>
        </w:numPr>
        <w:tabs>
          <w:tab w:val="left" w:pos="780"/>
        </w:tabs>
        <w:adjustRightInd w:val="0"/>
        <w:spacing w:line="360" w:lineRule="auto"/>
        <w:ind w:left="780" w:hanging="360"/>
        <w:textAlignment w:val="baseline"/>
        <w:rPr>
          <w:rFonts w:ascii="宋体" w:hAnsi="宋体" w:cs="宋体"/>
          <w:sz w:val="22"/>
        </w:rPr>
      </w:pPr>
      <w:r>
        <w:rPr>
          <w:rFonts w:hint="eastAsia" w:ascii="宋体" w:hAnsi="宋体" w:cs="宋体"/>
          <w:sz w:val="22"/>
        </w:rPr>
        <w:t>本制造商不生产，而需从其它制造商购买的主要零部件：</w:t>
      </w:r>
    </w:p>
    <w:p>
      <w:pPr>
        <w:spacing w:line="360" w:lineRule="auto"/>
        <w:ind w:firstLine="360"/>
        <w:rPr>
          <w:rFonts w:ascii="宋体" w:hAnsi="宋体" w:cs="宋体"/>
          <w:sz w:val="22"/>
        </w:rPr>
      </w:pPr>
      <w:r>
        <w:rPr>
          <w:rFonts w:hint="eastAsia" w:ascii="宋体" w:hAnsi="宋体" w:cs="宋体"/>
          <w:sz w:val="22"/>
        </w:rPr>
        <w:t>制造商名称和地址主要零部件名称</w:t>
      </w:r>
    </w:p>
    <w:p>
      <w:pPr>
        <w:spacing w:line="360" w:lineRule="auto"/>
        <w:rPr>
          <w:rFonts w:ascii="宋体" w:hAnsi="宋体" w:cs="宋体"/>
          <w:sz w:val="22"/>
          <w:u w:val="single"/>
        </w:rPr>
      </w:pPr>
    </w:p>
    <w:p>
      <w:pPr>
        <w:spacing w:line="360" w:lineRule="auto"/>
        <w:rPr>
          <w:rFonts w:ascii="宋体" w:hAnsi="宋体" w:cs="宋体"/>
          <w:sz w:val="22"/>
          <w:u w:val="single"/>
        </w:rPr>
      </w:pPr>
    </w:p>
    <w:p>
      <w:pPr>
        <w:numPr>
          <w:ilvl w:val="0"/>
          <w:numId w:val="22"/>
        </w:numPr>
        <w:adjustRightInd w:val="0"/>
        <w:spacing w:line="360" w:lineRule="auto"/>
        <w:ind w:right="443" w:rightChars="211"/>
        <w:textAlignment w:val="baseline"/>
        <w:rPr>
          <w:rFonts w:ascii="宋体" w:hAnsi="宋体" w:cs="宋体"/>
          <w:sz w:val="22"/>
        </w:rPr>
      </w:pPr>
      <w:r>
        <w:rPr>
          <w:rFonts w:hint="eastAsia" w:ascii="宋体" w:hAnsi="宋体" w:cs="宋体"/>
          <w:sz w:val="22"/>
        </w:rPr>
        <w:t>本制造商生产投标货物的经验（包括年限、项目业主、额定能力、商业运营的起始日期等）：</w:t>
      </w:r>
    </w:p>
    <w:p>
      <w:pPr>
        <w:spacing w:line="360" w:lineRule="auto"/>
        <w:ind w:firstLine="360"/>
        <w:rPr>
          <w:rFonts w:ascii="宋体" w:hAnsi="宋体" w:cs="宋体"/>
          <w:sz w:val="22"/>
        </w:rPr>
      </w:pPr>
    </w:p>
    <w:p>
      <w:pPr>
        <w:spacing w:line="360" w:lineRule="auto"/>
        <w:ind w:firstLine="360"/>
        <w:rPr>
          <w:rFonts w:ascii="宋体" w:hAnsi="宋体" w:cs="宋体"/>
          <w:sz w:val="22"/>
        </w:rPr>
      </w:pPr>
    </w:p>
    <w:p>
      <w:pPr>
        <w:numPr>
          <w:ilvl w:val="0"/>
          <w:numId w:val="22"/>
        </w:numPr>
        <w:adjustRightInd w:val="0"/>
        <w:spacing w:line="360" w:lineRule="auto"/>
        <w:textAlignment w:val="baseline"/>
        <w:rPr>
          <w:rFonts w:ascii="宋体" w:hAnsi="宋体" w:cs="宋体"/>
          <w:sz w:val="22"/>
        </w:rPr>
      </w:pPr>
      <w:r>
        <w:rPr>
          <w:rFonts w:hint="eastAsia" w:ascii="宋体" w:hAnsi="宋体" w:cs="宋体"/>
          <w:sz w:val="22"/>
        </w:rPr>
        <w:t>近3年该货物主要销售给国内、外主要客户的名称地址：</w:t>
      </w:r>
    </w:p>
    <w:p>
      <w:pPr>
        <w:numPr>
          <w:ilvl w:val="0"/>
          <w:numId w:val="23"/>
        </w:numPr>
        <w:adjustRightInd w:val="0"/>
        <w:spacing w:line="360" w:lineRule="auto"/>
        <w:textAlignment w:val="baseline"/>
        <w:rPr>
          <w:rFonts w:ascii="宋体" w:hAnsi="宋体" w:cs="宋体"/>
          <w:sz w:val="22"/>
        </w:rPr>
      </w:pPr>
      <w:r>
        <w:rPr>
          <w:rFonts w:hint="eastAsia" w:ascii="宋体" w:hAnsi="宋体" w:cs="宋体"/>
          <w:sz w:val="22"/>
        </w:rPr>
        <w:t>出口销售</w:t>
      </w:r>
    </w:p>
    <w:p>
      <w:pPr>
        <w:spacing w:line="360" w:lineRule="auto"/>
        <w:ind w:firstLine="840"/>
        <w:rPr>
          <w:rFonts w:ascii="宋体" w:hAnsi="宋体" w:cs="宋体"/>
          <w:sz w:val="22"/>
          <w:u w:val="single"/>
        </w:rPr>
      </w:pPr>
      <w:r>
        <w:rPr>
          <w:rFonts w:hint="eastAsia" w:ascii="宋体" w:hAnsi="宋体" w:cs="宋体"/>
          <w:sz w:val="22"/>
        </w:rPr>
        <w:t>（</w:t>
      </w:r>
      <w:r>
        <w:rPr>
          <w:rFonts w:hint="eastAsia" w:ascii="宋体" w:hAnsi="宋体" w:cs="宋体"/>
          <w:i/>
          <w:sz w:val="22"/>
          <w:u w:val="single"/>
        </w:rPr>
        <w:t>名称和地址</w:t>
      </w:r>
      <w:r>
        <w:rPr>
          <w:rFonts w:hint="eastAsia" w:ascii="宋体" w:hAnsi="宋体" w:cs="宋体"/>
          <w:sz w:val="22"/>
        </w:rPr>
        <w:t>）（</w:t>
      </w:r>
      <w:r>
        <w:rPr>
          <w:rFonts w:hint="eastAsia" w:ascii="宋体" w:hAnsi="宋体" w:cs="宋体"/>
          <w:i/>
          <w:sz w:val="22"/>
          <w:u w:val="single"/>
        </w:rPr>
        <w:t>销售项目</w:t>
      </w:r>
      <w:r>
        <w:rPr>
          <w:rFonts w:hint="eastAsia" w:ascii="宋体" w:hAnsi="宋体" w:cs="宋体"/>
          <w:sz w:val="22"/>
        </w:rPr>
        <w:t>）</w:t>
      </w:r>
    </w:p>
    <w:p>
      <w:pPr>
        <w:numPr>
          <w:ilvl w:val="0"/>
          <w:numId w:val="23"/>
        </w:numPr>
        <w:adjustRightInd w:val="0"/>
        <w:spacing w:line="360" w:lineRule="auto"/>
        <w:textAlignment w:val="baseline"/>
        <w:rPr>
          <w:rFonts w:ascii="宋体" w:hAnsi="宋体" w:cs="宋体"/>
          <w:sz w:val="22"/>
        </w:rPr>
      </w:pPr>
      <w:r>
        <w:rPr>
          <w:rFonts w:hint="eastAsia" w:ascii="宋体" w:hAnsi="宋体" w:cs="宋体"/>
          <w:sz w:val="22"/>
        </w:rPr>
        <w:t>国内销售</w:t>
      </w:r>
    </w:p>
    <w:p>
      <w:pPr>
        <w:spacing w:line="360" w:lineRule="auto"/>
        <w:ind w:firstLine="840"/>
        <w:rPr>
          <w:rFonts w:ascii="宋体" w:hAnsi="宋体" w:cs="宋体"/>
          <w:sz w:val="22"/>
          <w:u w:val="single"/>
        </w:rPr>
      </w:pPr>
      <w:r>
        <w:rPr>
          <w:rFonts w:hint="eastAsia" w:ascii="宋体" w:hAnsi="宋体" w:cs="宋体"/>
          <w:sz w:val="22"/>
        </w:rPr>
        <w:t>（</w:t>
      </w:r>
      <w:r>
        <w:rPr>
          <w:rFonts w:hint="eastAsia" w:ascii="宋体" w:hAnsi="宋体" w:cs="宋体"/>
          <w:i/>
          <w:sz w:val="22"/>
          <w:u w:val="single"/>
        </w:rPr>
        <w:t>名称和地址</w:t>
      </w:r>
      <w:r>
        <w:rPr>
          <w:rFonts w:hint="eastAsia" w:ascii="宋体" w:hAnsi="宋体" w:cs="宋体"/>
          <w:sz w:val="22"/>
        </w:rPr>
        <w:t>）（</w:t>
      </w:r>
      <w:r>
        <w:rPr>
          <w:rFonts w:hint="eastAsia" w:ascii="宋体" w:hAnsi="宋体" w:cs="宋体"/>
          <w:i/>
          <w:sz w:val="22"/>
          <w:u w:val="single"/>
        </w:rPr>
        <w:t>销售项目</w:t>
      </w:r>
      <w:r>
        <w:rPr>
          <w:rFonts w:hint="eastAsia" w:ascii="宋体" w:hAnsi="宋体" w:cs="宋体"/>
          <w:sz w:val="22"/>
        </w:rPr>
        <w:t>）</w:t>
      </w:r>
    </w:p>
    <w:p>
      <w:pPr>
        <w:numPr>
          <w:ilvl w:val="0"/>
          <w:numId w:val="24"/>
        </w:numPr>
        <w:adjustRightInd w:val="0"/>
        <w:spacing w:line="360" w:lineRule="auto"/>
        <w:textAlignment w:val="baseline"/>
        <w:rPr>
          <w:rFonts w:ascii="宋体" w:hAnsi="宋体" w:cs="宋体"/>
          <w:sz w:val="22"/>
        </w:rPr>
      </w:pPr>
      <w:r>
        <w:rPr>
          <w:rFonts w:hint="eastAsia" w:ascii="宋体" w:hAnsi="宋体" w:cs="宋体"/>
          <w:sz w:val="22"/>
        </w:rPr>
        <w:t>近三年的年营业额</w:t>
      </w:r>
    </w:p>
    <w:p>
      <w:pPr>
        <w:spacing w:line="360" w:lineRule="auto"/>
        <w:ind w:firstLine="480"/>
        <w:rPr>
          <w:rFonts w:ascii="宋体" w:hAnsi="宋体" w:cs="宋体"/>
          <w:sz w:val="22"/>
        </w:rPr>
      </w:pPr>
      <w:r>
        <w:rPr>
          <w:rFonts w:hint="eastAsia" w:ascii="宋体" w:hAnsi="宋体" w:cs="宋体"/>
          <w:sz w:val="22"/>
        </w:rPr>
        <w:t>年份国内出口总额</w:t>
      </w:r>
    </w:p>
    <w:p>
      <w:pPr>
        <w:spacing w:line="360" w:lineRule="auto"/>
        <w:ind w:left="360"/>
        <w:rPr>
          <w:rFonts w:ascii="宋体" w:hAnsi="宋体" w:cs="宋体"/>
          <w:sz w:val="22"/>
          <w:u w:val="single"/>
        </w:rPr>
      </w:pPr>
      <w:r>
        <w:rPr>
          <w:rFonts w:hint="eastAsia" w:ascii="宋体" w:hAnsi="宋体" w:cs="宋体"/>
          <w:sz w:val="22"/>
          <w:u w:val="single"/>
        </w:rPr>
        <w:br w:type="textWrapping"/>
      </w:r>
    </w:p>
    <w:p>
      <w:pPr>
        <w:numPr>
          <w:ilvl w:val="0"/>
          <w:numId w:val="24"/>
        </w:numPr>
        <w:adjustRightInd w:val="0"/>
        <w:spacing w:line="360" w:lineRule="auto"/>
        <w:textAlignment w:val="baseline"/>
        <w:rPr>
          <w:rFonts w:ascii="宋体" w:hAnsi="宋体" w:cs="宋体"/>
          <w:sz w:val="22"/>
        </w:rPr>
      </w:pPr>
      <w:r>
        <w:rPr>
          <w:rFonts w:hint="eastAsia" w:ascii="宋体" w:hAnsi="宋体" w:cs="宋体"/>
          <w:sz w:val="22"/>
        </w:rPr>
        <w:t>易损件供应商的名称和地址：</w:t>
      </w:r>
    </w:p>
    <w:p>
      <w:pPr>
        <w:spacing w:line="360" w:lineRule="auto"/>
        <w:ind w:firstLine="720"/>
        <w:rPr>
          <w:rFonts w:ascii="宋体" w:hAnsi="宋体" w:cs="宋体"/>
          <w:sz w:val="22"/>
        </w:rPr>
      </w:pPr>
      <w:r>
        <w:rPr>
          <w:rFonts w:hint="eastAsia" w:ascii="宋体" w:hAnsi="宋体" w:cs="宋体"/>
          <w:sz w:val="22"/>
        </w:rPr>
        <w:t>部件名称供应商</w:t>
      </w:r>
    </w:p>
    <w:p>
      <w:pPr>
        <w:spacing w:line="360" w:lineRule="auto"/>
        <w:ind w:firstLine="720"/>
        <w:rPr>
          <w:rFonts w:ascii="宋体" w:hAnsi="宋体" w:cs="宋体"/>
          <w:sz w:val="22"/>
          <w:u w:val="single"/>
        </w:rPr>
      </w:pPr>
    </w:p>
    <w:p>
      <w:pPr>
        <w:spacing w:line="360" w:lineRule="auto"/>
        <w:ind w:firstLine="720"/>
        <w:rPr>
          <w:rFonts w:ascii="宋体" w:hAnsi="宋体" w:cs="宋体"/>
          <w:sz w:val="22"/>
        </w:rPr>
      </w:pPr>
    </w:p>
    <w:p>
      <w:pPr>
        <w:numPr>
          <w:ilvl w:val="0"/>
          <w:numId w:val="24"/>
        </w:numPr>
        <w:adjustRightInd w:val="0"/>
        <w:spacing w:line="360" w:lineRule="auto"/>
        <w:textAlignment w:val="baseline"/>
        <w:rPr>
          <w:rFonts w:ascii="宋体" w:hAnsi="宋体" w:cs="宋体"/>
          <w:sz w:val="22"/>
        </w:rPr>
      </w:pPr>
      <w:r>
        <w:rPr>
          <w:rFonts w:hint="eastAsia" w:ascii="宋体" w:hAnsi="宋体" w:cs="宋体"/>
          <w:sz w:val="22"/>
        </w:rPr>
        <w:t>有关开户银行的名称和地址：</w:t>
      </w:r>
    </w:p>
    <w:p>
      <w:pPr>
        <w:numPr>
          <w:ilvl w:val="0"/>
          <w:numId w:val="24"/>
        </w:numPr>
        <w:adjustRightInd w:val="0"/>
        <w:spacing w:line="360" w:lineRule="auto"/>
        <w:textAlignment w:val="baseline"/>
        <w:rPr>
          <w:rFonts w:ascii="宋体" w:hAnsi="宋体" w:cs="宋体"/>
          <w:sz w:val="22"/>
        </w:rPr>
      </w:pPr>
      <w:r>
        <w:rPr>
          <w:rFonts w:hint="eastAsia" w:ascii="宋体" w:hAnsi="宋体" w:cs="宋体"/>
          <w:sz w:val="22"/>
        </w:rPr>
        <w:t>制造商所属的集团公司（如有的话）：</w:t>
      </w:r>
    </w:p>
    <w:p>
      <w:pPr>
        <w:numPr>
          <w:ilvl w:val="0"/>
          <w:numId w:val="24"/>
        </w:numPr>
        <w:adjustRightInd w:val="0"/>
        <w:spacing w:line="360" w:lineRule="auto"/>
        <w:textAlignment w:val="baseline"/>
        <w:rPr>
          <w:rFonts w:ascii="宋体" w:hAnsi="宋体" w:cs="宋体"/>
          <w:sz w:val="22"/>
        </w:rPr>
      </w:pPr>
      <w:r>
        <w:rPr>
          <w:rFonts w:hint="eastAsia" w:ascii="宋体" w:hAnsi="宋体" w:cs="宋体"/>
          <w:sz w:val="22"/>
        </w:rPr>
        <w:t>其他情况：</w:t>
      </w:r>
    </w:p>
    <w:p>
      <w:pPr>
        <w:spacing w:line="360" w:lineRule="auto"/>
        <w:ind w:left="425"/>
        <w:rPr>
          <w:rFonts w:ascii="宋体" w:hAnsi="宋体" w:cs="宋体"/>
          <w:sz w:val="22"/>
        </w:rPr>
      </w:pPr>
    </w:p>
    <w:p>
      <w:pPr>
        <w:spacing w:line="360" w:lineRule="auto"/>
        <w:ind w:firstLine="440" w:firstLineChars="200"/>
        <w:rPr>
          <w:rFonts w:ascii="宋体" w:hAnsi="宋体" w:cs="宋体"/>
          <w:sz w:val="22"/>
        </w:rPr>
      </w:pPr>
      <w:r>
        <w:rPr>
          <w:rFonts w:hint="eastAsia" w:ascii="宋体" w:hAnsi="宋体" w:cs="宋体"/>
          <w:sz w:val="22"/>
        </w:rPr>
        <w:t>兹证明上述声明是真实、正确的，并提供了全部能提供的资料和数据，我们同意遵照贵方要求出示有关证明文件。</w:t>
      </w:r>
    </w:p>
    <w:p>
      <w:pPr>
        <w:spacing w:line="360" w:lineRule="auto"/>
        <w:rPr>
          <w:rFonts w:ascii="宋体" w:hAnsi="宋体" w:cs="宋体"/>
          <w:sz w:val="22"/>
        </w:rPr>
      </w:pPr>
    </w:p>
    <w:p>
      <w:pPr>
        <w:spacing w:line="360" w:lineRule="auto"/>
        <w:rPr>
          <w:rFonts w:ascii="宋体" w:hAnsi="宋体" w:cs="宋体"/>
          <w:sz w:val="22"/>
        </w:rPr>
      </w:pPr>
    </w:p>
    <w:p>
      <w:pPr>
        <w:spacing w:beforeLines="50" w:line="360" w:lineRule="auto"/>
        <w:rPr>
          <w:rFonts w:ascii="宋体" w:hAnsi="宋体" w:cs="宋体"/>
          <w:sz w:val="22"/>
        </w:rPr>
      </w:pPr>
      <w:r>
        <w:rPr>
          <w:rFonts w:hint="eastAsia" w:ascii="宋体" w:hAnsi="宋体" w:cs="宋体"/>
          <w:sz w:val="22"/>
        </w:rPr>
        <w:t>制造商名称（公章）</w:t>
      </w:r>
    </w:p>
    <w:p>
      <w:pPr>
        <w:spacing w:beforeLines="50" w:line="360" w:lineRule="auto"/>
        <w:rPr>
          <w:rFonts w:ascii="宋体" w:hAnsi="宋体" w:cs="宋体"/>
          <w:sz w:val="22"/>
          <w:u w:val="single"/>
        </w:rPr>
      </w:pPr>
      <w:r>
        <w:rPr>
          <w:rFonts w:hint="eastAsia" w:ascii="宋体" w:hAnsi="宋体" w:cs="宋体"/>
          <w:sz w:val="22"/>
        </w:rPr>
        <w:t>签字人姓名和职务</w:t>
      </w:r>
    </w:p>
    <w:p>
      <w:pPr>
        <w:spacing w:beforeLines="50" w:line="360" w:lineRule="auto"/>
        <w:rPr>
          <w:rFonts w:ascii="宋体" w:hAnsi="宋体" w:cs="宋体"/>
          <w:sz w:val="22"/>
          <w:u w:val="single"/>
        </w:rPr>
      </w:pPr>
      <w:r>
        <w:rPr>
          <w:rFonts w:hint="eastAsia" w:ascii="宋体" w:hAnsi="宋体" w:cs="宋体"/>
          <w:sz w:val="22"/>
        </w:rPr>
        <w:t>签字人签字</w:t>
      </w:r>
    </w:p>
    <w:p>
      <w:pPr>
        <w:spacing w:beforeLines="50" w:line="360" w:lineRule="auto"/>
        <w:rPr>
          <w:rFonts w:ascii="宋体" w:hAnsi="宋体" w:cs="宋体"/>
          <w:sz w:val="22"/>
          <w:u w:val="single"/>
        </w:rPr>
      </w:pPr>
      <w:r>
        <w:rPr>
          <w:rFonts w:hint="eastAsia" w:ascii="宋体" w:hAnsi="宋体" w:cs="宋体"/>
          <w:sz w:val="22"/>
        </w:rPr>
        <w:t>签字日期</w:t>
      </w:r>
    </w:p>
    <w:p>
      <w:pPr>
        <w:spacing w:beforeLines="50" w:line="360" w:lineRule="auto"/>
        <w:rPr>
          <w:rFonts w:ascii="宋体" w:hAnsi="宋体" w:cs="宋体"/>
          <w:sz w:val="22"/>
          <w:u w:val="single"/>
        </w:rPr>
      </w:pPr>
      <w:r>
        <w:rPr>
          <w:rFonts w:hint="eastAsia" w:ascii="宋体" w:hAnsi="宋体" w:cs="宋体"/>
          <w:sz w:val="22"/>
        </w:rPr>
        <w:t>传真</w:t>
      </w:r>
    </w:p>
    <w:p>
      <w:pPr>
        <w:spacing w:beforeLines="50" w:line="360" w:lineRule="auto"/>
        <w:rPr>
          <w:rFonts w:ascii="宋体" w:hAnsi="宋体" w:cs="宋体"/>
          <w:sz w:val="22"/>
          <w:u w:val="single"/>
        </w:rPr>
      </w:pPr>
      <w:r>
        <w:rPr>
          <w:rFonts w:hint="eastAsia" w:ascii="宋体" w:hAnsi="宋体" w:cs="宋体"/>
          <w:sz w:val="22"/>
        </w:rPr>
        <w:t>电话</w:t>
      </w:r>
    </w:p>
    <w:p>
      <w:pPr>
        <w:spacing w:beforeLines="50" w:line="360" w:lineRule="auto"/>
        <w:rPr>
          <w:rFonts w:ascii="宋体" w:hAnsi="宋体" w:cs="宋体"/>
          <w:u w:val="single"/>
        </w:rPr>
      </w:pPr>
    </w:p>
    <w:p>
      <w:pPr>
        <w:overflowPunct w:val="0"/>
        <w:autoSpaceDE w:val="0"/>
        <w:autoSpaceDN w:val="0"/>
        <w:spacing w:line="440" w:lineRule="exact"/>
        <w:jc w:val="left"/>
        <w:rPr>
          <w:rFonts w:ascii="宋体" w:hAnsi="宋体" w:cs="Calibri"/>
          <w:sz w:val="22"/>
        </w:rPr>
      </w:pPr>
    </w:p>
    <w:p>
      <w:pPr>
        <w:spacing w:line="360" w:lineRule="auto"/>
        <w:jc w:val="center"/>
        <w:rPr>
          <w:rFonts w:ascii="宋体" w:hAnsi="宋体" w:cs="宋体"/>
          <w:b/>
          <w:sz w:val="32"/>
          <w:szCs w:val="32"/>
        </w:rPr>
      </w:pPr>
      <w:r>
        <w:rPr>
          <w:rFonts w:hint="eastAsia" w:ascii="宋体" w:hAnsi="宋体" w:cs="Calibri"/>
          <w:sz w:val="22"/>
        </w:rPr>
        <w:br w:type="page"/>
      </w: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r>
        <w:rPr>
          <w:rFonts w:hint="eastAsia" w:ascii="宋体" w:hAnsi="宋体" w:cs="宋体"/>
          <w:b/>
          <w:sz w:val="32"/>
          <w:szCs w:val="32"/>
        </w:rPr>
        <w:t>（三）设备制造商的授权书</w:t>
      </w:r>
    </w:p>
    <w:p>
      <w:pPr>
        <w:spacing w:line="360" w:lineRule="auto"/>
        <w:jc w:val="center"/>
        <w:rPr>
          <w:rFonts w:ascii="宋体" w:hAnsi="宋体" w:cs="宋体"/>
          <w:b/>
          <w:sz w:val="32"/>
          <w:szCs w:val="32"/>
        </w:rPr>
      </w:pPr>
      <w:r>
        <w:rPr>
          <w:rFonts w:hint="eastAsia" w:ascii="宋体" w:hAnsi="宋体" w:cs="宋体"/>
          <w:b/>
          <w:sz w:val="32"/>
          <w:szCs w:val="32"/>
        </w:rPr>
        <w:t>（代理商投标时提供，若有）</w:t>
      </w: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r>
        <w:rPr>
          <w:rFonts w:hint="eastAsia" w:ascii="宋体" w:hAnsi="宋体" w:cs="宋体"/>
          <w:b/>
          <w:sz w:val="32"/>
          <w:szCs w:val="32"/>
        </w:rPr>
        <w:t>（四）投标产品近三年的销售业绩一览表</w:t>
      </w:r>
    </w:p>
    <w:tbl>
      <w:tblPr>
        <w:tblStyle w:val="56"/>
        <w:tblW w:w="95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2"/>
        <w:gridCol w:w="1275"/>
        <w:gridCol w:w="1419"/>
        <w:gridCol w:w="1701"/>
        <w:gridCol w:w="1107"/>
        <w:gridCol w:w="1559"/>
        <w:gridCol w:w="12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业绩名称</w:t>
            </w: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项目业主</w:t>
            </w: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kern w:val="0"/>
                <w:szCs w:val="21"/>
              </w:rPr>
              <w:t>货物数量</w:t>
            </w: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合同签订日期</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宋体" w:hAnsi="宋体" w:cs="宋体"/>
                <w:szCs w:val="21"/>
              </w:rPr>
              <w:t>合同价</w:t>
            </w:r>
          </w:p>
        </w:tc>
        <w:tc>
          <w:tcPr>
            <w:tcW w:w="155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ˎ̥" w:hAnsi="ˎ̥" w:cs="宋体"/>
                <w:bCs/>
                <w:kern w:val="0"/>
                <w:szCs w:val="21"/>
              </w:rPr>
              <w:t>建设单位联系方式</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ˎ̥" w:hAnsi="ˎ̥" w:cs="宋体"/>
                <w:bCs/>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r>
    </w:tbl>
    <w:p>
      <w:pPr>
        <w:spacing w:line="360" w:lineRule="auto"/>
        <w:jc w:val="left"/>
        <w:rPr>
          <w:rFonts w:ascii="ˎ̥" w:hAnsi="ˎ̥" w:cs="宋体"/>
          <w:kern w:val="0"/>
          <w:szCs w:val="21"/>
        </w:rPr>
      </w:pPr>
      <w:r>
        <w:rPr>
          <w:rFonts w:hint="eastAsia" w:ascii="ˎ̥" w:hAnsi="ˎ̥" w:cs="宋体"/>
          <w:kern w:val="0"/>
          <w:szCs w:val="21"/>
        </w:rPr>
        <w:t>注：</w:t>
      </w:r>
      <w:r>
        <w:rPr>
          <w:rFonts w:hint="eastAsia" w:ascii="宋体" w:hAnsi="宋体" w:cs="宋体"/>
        </w:rPr>
        <w:t>本表只需填写符合“招标公告”资格条件和“评标办法”业绩评审标准的业绩。</w:t>
      </w:r>
      <w:r>
        <w:rPr>
          <w:rFonts w:hint="eastAsia" w:ascii="ˎ̥" w:hAnsi="ˎ̥" w:cs="宋体"/>
          <w:kern w:val="0"/>
          <w:szCs w:val="21"/>
        </w:rPr>
        <w:t>附业绩的销售合同。</w:t>
      </w:r>
    </w:p>
    <w:p>
      <w:pPr>
        <w:spacing w:line="360" w:lineRule="auto"/>
        <w:jc w:val="left"/>
        <w:rPr>
          <w:rFonts w:ascii="ˎ̥" w:hAnsi="ˎ̥" w:cs="宋体"/>
          <w:kern w:val="0"/>
          <w:szCs w:val="21"/>
        </w:rPr>
      </w:pPr>
    </w:p>
    <w:p>
      <w:pPr>
        <w:spacing w:line="360" w:lineRule="auto"/>
        <w:jc w:val="center"/>
        <w:rPr>
          <w:rFonts w:ascii="宋体" w:hAnsi="宋体" w:cs="宋体"/>
          <w:b/>
          <w:sz w:val="32"/>
          <w:szCs w:val="32"/>
        </w:rPr>
      </w:pPr>
    </w:p>
    <w:p>
      <w:pPr>
        <w:adjustRightInd w:val="0"/>
        <w:snapToGrid w:val="0"/>
        <w:spacing w:line="560" w:lineRule="exact"/>
        <w:rPr>
          <w:rFonts w:ascii="宋体" w:hAnsi="宋体"/>
          <w:b/>
          <w:kern w:val="0"/>
          <w:sz w:val="20"/>
          <w:szCs w:val="21"/>
        </w:rPr>
      </w:pPr>
      <w:r>
        <w:rPr>
          <w:rFonts w:hint="eastAsia" w:ascii="宋体" w:hAnsi="宋体" w:cs="宋体"/>
          <w:b/>
          <w:kern w:val="0"/>
          <w:sz w:val="32"/>
          <w:szCs w:val="32"/>
        </w:rPr>
        <w:br w:type="page"/>
      </w:r>
    </w:p>
    <w:p>
      <w:pPr>
        <w:spacing w:line="440" w:lineRule="exact"/>
        <w:jc w:val="center"/>
        <w:rPr>
          <w:rFonts w:ascii="宋体" w:hAnsi="宋体"/>
          <w:b/>
          <w:color w:val="000000"/>
          <w:sz w:val="24"/>
        </w:rPr>
      </w:pPr>
      <w:bookmarkStart w:id="131" w:name="_Toc411356149"/>
      <w:r>
        <w:rPr>
          <w:rFonts w:hint="eastAsia" w:ascii="宋体" w:hAnsi="宋体"/>
          <w:b/>
          <w:color w:val="000000"/>
          <w:sz w:val="36"/>
          <w:szCs w:val="36"/>
        </w:rPr>
        <w:t>七、技术文件</w:t>
      </w:r>
      <w:bookmarkEnd w:id="131"/>
    </w:p>
    <w:p>
      <w:pPr>
        <w:spacing w:line="440" w:lineRule="exact"/>
        <w:jc w:val="center"/>
        <w:rPr>
          <w:rFonts w:ascii="华文仿宋" w:hAnsi="华文仿宋" w:eastAsia="华文仿宋"/>
          <w:b/>
          <w:color w:val="000000"/>
          <w:sz w:val="32"/>
        </w:rPr>
      </w:pPr>
    </w:p>
    <w:p>
      <w:pPr>
        <w:spacing w:line="440" w:lineRule="exact"/>
        <w:jc w:val="center"/>
        <w:rPr>
          <w:rFonts w:ascii="宋体" w:hAnsi="宋体"/>
          <w:b/>
          <w:color w:val="000000"/>
          <w:sz w:val="32"/>
        </w:rPr>
      </w:pPr>
      <w:r>
        <w:rPr>
          <w:rFonts w:hint="eastAsia" w:ascii="宋体" w:hAnsi="宋体"/>
          <w:b/>
          <w:color w:val="000000"/>
          <w:sz w:val="32"/>
        </w:rPr>
        <w:t>1、项目设计与施工方案</w:t>
      </w:r>
    </w:p>
    <w:p>
      <w:pPr>
        <w:spacing w:line="440" w:lineRule="exact"/>
        <w:rPr>
          <w:rFonts w:ascii="华文仿宋" w:hAnsi="华文仿宋" w:eastAsia="华文仿宋"/>
          <w:color w:val="000000"/>
          <w:sz w:val="24"/>
        </w:rPr>
      </w:pPr>
    </w:p>
    <w:p>
      <w:pPr>
        <w:spacing w:line="440" w:lineRule="exact"/>
        <w:rPr>
          <w:rFonts w:ascii="宋体" w:hAnsi="宋体"/>
          <w:sz w:val="22"/>
        </w:rPr>
      </w:pPr>
      <w:r>
        <w:rPr>
          <w:rFonts w:hint="eastAsia" w:ascii="宋体" w:hAnsi="宋体"/>
          <w:sz w:val="22"/>
        </w:rPr>
        <w:t>投标人应提出T3隔离区内问询柜台移位并改设综合服务柜台的总体方案，并在投标文件中至少应提供如下文件：</w:t>
      </w:r>
    </w:p>
    <w:p>
      <w:pPr>
        <w:spacing w:line="440" w:lineRule="exact"/>
        <w:ind w:firstLine="440" w:firstLineChars="200"/>
        <w:rPr>
          <w:rFonts w:ascii="宋体" w:hAnsi="宋体"/>
          <w:sz w:val="22"/>
        </w:rPr>
      </w:pPr>
      <w:r>
        <w:rPr>
          <w:rFonts w:hint="eastAsia" w:ascii="宋体" w:hAnsi="宋体"/>
          <w:sz w:val="22"/>
        </w:rPr>
        <w:t>（1）综合服务柜台设计方案、施工图纸设计、费用概算；</w:t>
      </w:r>
    </w:p>
    <w:p>
      <w:pPr>
        <w:spacing w:line="440" w:lineRule="exact"/>
        <w:ind w:firstLine="440" w:firstLineChars="200"/>
        <w:rPr>
          <w:rFonts w:ascii="宋体" w:hAnsi="宋体"/>
          <w:sz w:val="22"/>
        </w:rPr>
      </w:pPr>
      <w:r>
        <w:rPr>
          <w:rFonts w:hint="eastAsia" w:ascii="宋体" w:hAnsi="宋体"/>
          <w:sz w:val="22"/>
        </w:rPr>
        <w:t>*（2）综合服务柜台结构样式、装饰装修、选材用材、强弱电安装、设施设备安装、区域功能设计、标识标牌等详细说明并附至少3张设计效果图和5张不同角度的现场效果图；</w:t>
      </w:r>
    </w:p>
    <w:p>
      <w:pPr>
        <w:spacing w:line="440" w:lineRule="exact"/>
        <w:ind w:firstLine="440" w:firstLineChars="200"/>
        <w:rPr>
          <w:rFonts w:ascii="宋体" w:hAnsi="宋体"/>
          <w:sz w:val="22"/>
        </w:rPr>
      </w:pPr>
      <w:r>
        <w:rPr>
          <w:rFonts w:hint="eastAsia" w:ascii="宋体" w:hAnsi="宋体"/>
          <w:sz w:val="22"/>
        </w:rPr>
        <w:t>（3）综合服务柜台施工工艺及说明、工程量清单、设施设备配置清单、主要材料补品清单等；</w:t>
      </w:r>
    </w:p>
    <w:p>
      <w:pPr>
        <w:spacing w:line="440" w:lineRule="exact"/>
        <w:ind w:firstLine="440" w:firstLineChars="200"/>
        <w:rPr>
          <w:rFonts w:ascii="宋体" w:hAnsi="宋体"/>
          <w:sz w:val="22"/>
        </w:rPr>
      </w:pPr>
      <w:r>
        <w:rPr>
          <w:rFonts w:hint="eastAsia" w:ascii="宋体" w:hAnsi="宋体"/>
          <w:sz w:val="22"/>
        </w:rPr>
        <w:t>（4）设计与施工工作安排进度表；</w:t>
      </w:r>
    </w:p>
    <w:p>
      <w:pPr>
        <w:spacing w:line="440" w:lineRule="exact"/>
        <w:ind w:firstLine="440" w:firstLineChars="200"/>
        <w:rPr>
          <w:rFonts w:ascii="宋体" w:hAnsi="宋体"/>
          <w:sz w:val="22"/>
        </w:rPr>
      </w:pPr>
      <w:r>
        <w:rPr>
          <w:rFonts w:hint="eastAsia" w:ascii="宋体" w:hAnsi="宋体"/>
          <w:sz w:val="22"/>
        </w:rPr>
        <w:t>（5）服务质量承诺及保证措施；</w:t>
      </w:r>
    </w:p>
    <w:p>
      <w:pPr>
        <w:spacing w:line="440" w:lineRule="exact"/>
        <w:ind w:firstLine="440" w:firstLineChars="200"/>
        <w:rPr>
          <w:rFonts w:ascii="宋体" w:hAnsi="宋体"/>
          <w:sz w:val="22"/>
        </w:rPr>
      </w:pPr>
      <w:r>
        <w:rPr>
          <w:rFonts w:hint="eastAsia" w:ascii="宋体" w:hAnsi="宋体"/>
          <w:sz w:val="22"/>
        </w:rPr>
        <w:t>（6）后续服务的安排及保证措施</w:t>
      </w:r>
    </w:p>
    <w:p>
      <w:pPr>
        <w:spacing w:line="440" w:lineRule="exact"/>
        <w:ind w:firstLine="640" w:firstLineChars="200"/>
        <w:jc w:val="center"/>
        <w:rPr>
          <w:rFonts w:ascii="宋体" w:hAnsi="宋体"/>
          <w:b/>
          <w:color w:val="000000"/>
          <w:sz w:val="24"/>
        </w:rPr>
      </w:pPr>
      <w:r>
        <w:rPr>
          <w:rFonts w:eastAsia="黑体" w:cs="Calibri"/>
          <w:color w:val="000000"/>
          <w:sz w:val="32"/>
          <w:szCs w:val="32"/>
        </w:rPr>
        <w:br w:type="page"/>
      </w:r>
      <w:r>
        <w:rPr>
          <w:rFonts w:hint="eastAsia" w:ascii="宋体" w:hAnsi="宋体"/>
          <w:b/>
          <w:color w:val="000000"/>
          <w:sz w:val="32"/>
        </w:rPr>
        <w:t>2、工作进度计划表</w:t>
      </w:r>
    </w:p>
    <w:p>
      <w:pPr>
        <w:spacing w:line="440" w:lineRule="exact"/>
        <w:jc w:val="center"/>
        <w:rPr>
          <w:rFonts w:eastAsia="黑体" w:cs="Calibri"/>
          <w:color w:val="000000"/>
          <w:sz w:val="32"/>
          <w:szCs w:val="32"/>
        </w:rPr>
      </w:pPr>
      <w:r>
        <w:rPr>
          <w:rFonts w:eastAsia="黑体" w:cs="Calibri"/>
          <w:color w:val="000000"/>
          <w:sz w:val="32"/>
          <w:szCs w:val="32"/>
        </w:rPr>
        <w:br w:type="page"/>
      </w:r>
      <w:r>
        <w:rPr>
          <w:rFonts w:hint="eastAsia" w:eastAsia="黑体" w:cs="Calibri"/>
          <w:color w:val="000000"/>
          <w:sz w:val="32"/>
          <w:szCs w:val="32"/>
        </w:rPr>
        <w:t>八、技术规格偏离表</w:t>
      </w:r>
    </w:p>
    <w:p>
      <w:pPr>
        <w:spacing w:line="560" w:lineRule="exact"/>
        <w:rPr>
          <w:rFonts w:ascii="宋体" w:hAnsi="宋体"/>
        </w:rPr>
      </w:pPr>
    </w:p>
    <w:tbl>
      <w:tblPr>
        <w:tblStyle w:val="56"/>
        <w:tblW w:w="9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365"/>
        <w:gridCol w:w="1260"/>
        <w:gridCol w:w="1361"/>
        <w:gridCol w:w="1236"/>
        <w:gridCol w:w="1890"/>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序号</w:t>
            </w:r>
          </w:p>
        </w:tc>
        <w:tc>
          <w:tcPr>
            <w:tcW w:w="136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货物名称</w:t>
            </w:r>
          </w:p>
        </w:tc>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招标文件条目号</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招标规格</w:t>
            </w:r>
          </w:p>
        </w:tc>
        <w:tc>
          <w:tcPr>
            <w:tcW w:w="123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投标规格</w:t>
            </w:r>
          </w:p>
        </w:tc>
        <w:tc>
          <w:tcPr>
            <w:tcW w:w="189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偏离</w:t>
            </w:r>
          </w:p>
        </w:tc>
        <w:tc>
          <w:tcPr>
            <w:tcW w:w="147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65"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260"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61"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236"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890"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470"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65"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260"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61"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236"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890"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470"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65"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260"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61"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236"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890"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470"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65"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260"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61"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236"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890"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470"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65"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260"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61"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236"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890"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470"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bl>
    <w:p>
      <w:pPr>
        <w:spacing w:line="560" w:lineRule="exact"/>
        <w:rPr>
          <w:rFonts w:ascii="宋体" w:hAnsi="宋体"/>
        </w:rPr>
      </w:pPr>
      <w:r>
        <w:rPr>
          <w:rFonts w:hint="eastAsia" w:hAnsi="宋体"/>
          <w:bCs/>
        </w:rPr>
        <w:t>注：如不填写，则视为完全响应招标文件的技术要求。</w:t>
      </w:r>
    </w:p>
    <w:p>
      <w:pPr>
        <w:spacing w:line="360" w:lineRule="auto"/>
        <w:jc w:val="center"/>
        <w:rPr>
          <w:rFonts w:hAnsi="宋体"/>
          <w:b/>
        </w:rPr>
      </w:pPr>
    </w:p>
    <w:p>
      <w:pPr>
        <w:adjustRightInd w:val="0"/>
        <w:snapToGrid w:val="0"/>
        <w:spacing w:line="560" w:lineRule="exact"/>
        <w:rPr>
          <w:rFonts w:ascii="宋体" w:hAnsi="宋体"/>
          <w:b/>
          <w:kern w:val="0"/>
          <w:sz w:val="20"/>
          <w:szCs w:val="21"/>
        </w:rPr>
      </w:pPr>
    </w:p>
    <w:p>
      <w:pPr>
        <w:spacing w:line="440" w:lineRule="exact"/>
        <w:jc w:val="center"/>
        <w:rPr>
          <w:rFonts w:eastAsia="黑体" w:cs="Calibri"/>
          <w:color w:val="000000"/>
          <w:sz w:val="32"/>
          <w:szCs w:val="32"/>
        </w:rPr>
      </w:pPr>
      <w:r>
        <w:rPr>
          <w:rFonts w:hint="eastAsia" w:eastAsia="黑体" w:cs="Calibri"/>
          <w:color w:val="000000"/>
          <w:sz w:val="32"/>
          <w:szCs w:val="32"/>
        </w:rPr>
        <w:t>九、商务条款响应偏离表</w:t>
      </w:r>
    </w:p>
    <w:tbl>
      <w:tblPr>
        <w:tblStyle w:val="56"/>
        <w:tblW w:w="93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900"/>
        <w:gridCol w:w="3510"/>
        <w:gridCol w:w="3510"/>
        <w:gridCol w:w="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Cs w:val="21"/>
              </w:rPr>
            </w:pPr>
            <w:r>
              <w:rPr>
                <w:rFonts w:hint="eastAsia" w:ascii="宋体" w:hAnsi="宋体"/>
                <w:szCs w:val="21"/>
              </w:rPr>
              <w:t>序号</w:t>
            </w:r>
          </w:p>
        </w:tc>
        <w:tc>
          <w:tcPr>
            <w:tcW w:w="90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Cs w:val="21"/>
              </w:rPr>
            </w:pPr>
            <w:r>
              <w:rPr>
                <w:rFonts w:hint="eastAsia" w:ascii="宋体" w:hAnsi="宋体"/>
                <w:szCs w:val="21"/>
              </w:rPr>
              <w:t>内容</w:t>
            </w:r>
          </w:p>
        </w:tc>
        <w:tc>
          <w:tcPr>
            <w:tcW w:w="351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Cs w:val="21"/>
              </w:rPr>
            </w:pPr>
            <w:r>
              <w:rPr>
                <w:rFonts w:hint="eastAsia" w:ascii="宋体" w:hAnsi="宋体"/>
                <w:szCs w:val="21"/>
              </w:rPr>
              <w:t>招标文件要求</w:t>
            </w:r>
          </w:p>
        </w:tc>
        <w:tc>
          <w:tcPr>
            <w:tcW w:w="351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Cs w:val="21"/>
              </w:rPr>
            </w:pPr>
            <w:r>
              <w:rPr>
                <w:rFonts w:hint="eastAsia" w:ascii="宋体" w:hAnsi="宋体"/>
                <w:szCs w:val="21"/>
              </w:rPr>
              <w:t>投标文件对应内容</w:t>
            </w:r>
          </w:p>
        </w:tc>
        <w:tc>
          <w:tcPr>
            <w:tcW w:w="82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Cs w:val="21"/>
              </w:rPr>
            </w:pPr>
          </w:p>
        </w:tc>
        <w:tc>
          <w:tcPr>
            <w:tcW w:w="90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Cs w:val="21"/>
              </w:rPr>
            </w:pPr>
          </w:p>
        </w:tc>
        <w:tc>
          <w:tcPr>
            <w:tcW w:w="351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Cs w:val="21"/>
              </w:rPr>
            </w:pPr>
          </w:p>
        </w:tc>
        <w:tc>
          <w:tcPr>
            <w:tcW w:w="351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Cs w:val="21"/>
              </w:rPr>
            </w:pPr>
          </w:p>
        </w:tc>
        <w:tc>
          <w:tcPr>
            <w:tcW w:w="82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Cs w:val="21"/>
              </w:rPr>
            </w:pPr>
          </w:p>
        </w:tc>
        <w:tc>
          <w:tcPr>
            <w:tcW w:w="90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Cs w:val="21"/>
              </w:rPr>
            </w:pPr>
          </w:p>
        </w:tc>
        <w:tc>
          <w:tcPr>
            <w:tcW w:w="351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Cs w:val="21"/>
              </w:rPr>
            </w:pPr>
          </w:p>
        </w:tc>
        <w:tc>
          <w:tcPr>
            <w:tcW w:w="351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Cs w:val="21"/>
              </w:rPr>
            </w:pPr>
          </w:p>
        </w:tc>
        <w:tc>
          <w:tcPr>
            <w:tcW w:w="82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Cs w:val="21"/>
              </w:rPr>
            </w:pPr>
          </w:p>
        </w:tc>
        <w:tc>
          <w:tcPr>
            <w:tcW w:w="90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Cs w:val="21"/>
              </w:rPr>
            </w:pPr>
          </w:p>
        </w:tc>
        <w:tc>
          <w:tcPr>
            <w:tcW w:w="351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Cs w:val="21"/>
              </w:rPr>
            </w:pPr>
          </w:p>
        </w:tc>
        <w:tc>
          <w:tcPr>
            <w:tcW w:w="351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Cs w:val="21"/>
              </w:rPr>
            </w:pPr>
          </w:p>
        </w:tc>
        <w:tc>
          <w:tcPr>
            <w:tcW w:w="82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Cs w:val="21"/>
              </w:rPr>
            </w:pPr>
          </w:p>
        </w:tc>
        <w:tc>
          <w:tcPr>
            <w:tcW w:w="90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Cs w:val="21"/>
              </w:rPr>
            </w:pPr>
          </w:p>
        </w:tc>
        <w:tc>
          <w:tcPr>
            <w:tcW w:w="351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Cs w:val="21"/>
              </w:rPr>
            </w:pPr>
          </w:p>
        </w:tc>
        <w:tc>
          <w:tcPr>
            <w:tcW w:w="351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Cs w:val="21"/>
              </w:rPr>
            </w:pPr>
          </w:p>
        </w:tc>
        <w:tc>
          <w:tcPr>
            <w:tcW w:w="82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Cs w:val="21"/>
              </w:rPr>
            </w:pPr>
          </w:p>
        </w:tc>
        <w:tc>
          <w:tcPr>
            <w:tcW w:w="90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Cs w:val="21"/>
              </w:rPr>
            </w:pPr>
          </w:p>
        </w:tc>
        <w:tc>
          <w:tcPr>
            <w:tcW w:w="351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Cs w:val="21"/>
              </w:rPr>
            </w:pPr>
          </w:p>
        </w:tc>
        <w:tc>
          <w:tcPr>
            <w:tcW w:w="351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Cs w:val="21"/>
              </w:rPr>
            </w:pPr>
          </w:p>
        </w:tc>
        <w:tc>
          <w:tcPr>
            <w:tcW w:w="82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Cs w:val="21"/>
              </w:rPr>
            </w:pPr>
          </w:p>
        </w:tc>
        <w:tc>
          <w:tcPr>
            <w:tcW w:w="90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Cs w:val="21"/>
              </w:rPr>
            </w:pPr>
          </w:p>
        </w:tc>
        <w:tc>
          <w:tcPr>
            <w:tcW w:w="351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Cs w:val="21"/>
              </w:rPr>
            </w:pPr>
          </w:p>
        </w:tc>
        <w:tc>
          <w:tcPr>
            <w:tcW w:w="351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Cs w:val="21"/>
              </w:rPr>
            </w:pPr>
          </w:p>
        </w:tc>
        <w:tc>
          <w:tcPr>
            <w:tcW w:w="82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Cs w:val="21"/>
              </w:rPr>
            </w:pPr>
          </w:p>
        </w:tc>
        <w:tc>
          <w:tcPr>
            <w:tcW w:w="90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Cs w:val="21"/>
              </w:rPr>
            </w:pPr>
          </w:p>
        </w:tc>
        <w:tc>
          <w:tcPr>
            <w:tcW w:w="351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Cs w:val="21"/>
              </w:rPr>
            </w:pPr>
          </w:p>
        </w:tc>
        <w:tc>
          <w:tcPr>
            <w:tcW w:w="351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Cs w:val="21"/>
              </w:rPr>
            </w:pPr>
          </w:p>
        </w:tc>
        <w:tc>
          <w:tcPr>
            <w:tcW w:w="82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Cs w:val="21"/>
              </w:rPr>
            </w:pPr>
          </w:p>
        </w:tc>
        <w:tc>
          <w:tcPr>
            <w:tcW w:w="90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Cs w:val="21"/>
              </w:rPr>
            </w:pPr>
          </w:p>
        </w:tc>
        <w:tc>
          <w:tcPr>
            <w:tcW w:w="351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Cs w:val="21"/>
              </w:rPr>
            </w:pPr>
          </w:p>
        </w:tc>
        <w:tc>
          <w:tcPr>
            <w:tcW w:w="351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Cs w:val="21"/>
              </w:rPr>
            </w:pPr>
          </w:p>
        </w:tc>
        <w:tc>
          <w:tcPr>
            <w:tcW w:w="82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Cs w:val="21"/>
              </w:rPr>
            </w:pPr>
          </w:p>
        </w:tc>
        <w:tc>
          <w:tcPr>
            <w:tcW w:w="90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Cs w:val="21"/>
              </w:rPr>
            </w:pPr>
          </w:p>
        </w:tc>
        <w:tc>
          <w:tcPr>
            <w:tcW w:w="351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Cs w:val="21"/>
              </w:rPr>
            </w:pPr>
          </w:p>
        </w:tc>
        <w:tc>
          <w:tcPr>
            <w:tcW w:w="351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Cs w:val="21"/>
              </w:rPr>
            </w:pPr>
          </w:p>
        </w:tc>
        <w:tc>
          <w:tcPr>
            <w:tcW w:w="82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Cs w:val="21"/>
              </w:rPr>
            </w:pPr>
          </w:p>
        </w:tc>
        <w:tc>
          <w:tcPr>
            <w:tcW w:w="90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Cs w:val="21"/>
              </w:rPr>
            </w:pPr>
          </w:p>
        </w:tc>
        <w:tc>
          <w:tcPr>
            <w:tcW w:w="351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Cs w:val="21"/>
              </w:rPr>
            </w:pPr>
          </w:p>
        </w:tc>
        <w:tc>
          <w:tcPr>
            <w:tcW w:w="351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Cs w:val="21"/>
              </w:rPr>
            </w:pPr>
          </w:p>
        </w:tc>
        <w:tc>
          <w:tcPr>
            <w:tcW w:w="82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Cs w:val="21"/>
              </w:rPr>
            </w:pPr>
          </w:p>
        </w:tc>
        <w:tc>
          <w:tcPr>
            <w:tcW w:w="90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Cs w:val="21"/>
              </w:rPr>
            </w:pPr>
          </w:p>
        </w:tc>
        <w:tc>
          <w:tcPr>
            <w:tcW w:w="351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Cs w:val="21"/>
              </w:rPr>
            </w:pPr>
          </w:p>
        </w:tc>
        <w:tc>
          <w:tcPr>
            <w:tcW w:w="351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Cs w:val="21"/>
              </w:rPr>
            </w:pPr>
          </w:p>
        </w:tc>
        <w:tc>
          <w:tcPr>
            <w:tcW w:w="82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Cs w:val="21"/>
              </w:rPr>
            </w:pPr>
          </w:p>
        </w:tc>
        <w:tc>
          <w:tcPr>
            <w:tcW w:w="90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Cs w:val="21"/>
              </w:rPr>
            </w:pPr>
          </w:p>
        </w:tc>
        <w:tc>
          <w:tcPr>
            <w:tcW w:w="351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Cs w:val="21"/>
              </w:rPr>
            </w:pPr>
          </w:p>
        </w:tc>
        <w:tc>
          <w:tcPr>
            <w:tcW w:w="351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Cs w:val="21"/>
              </w:rPr>
            </w:pPr>
          </w:p>
        </w:tc>
        <w:tc>
          <w:tcPr>
            <w:tcW w:w="82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Cs w:val="21"/>
              </w:rPr>
            </w:pPr>
          </w:p>
        </w:tc>
        <w:tc>
          <w:tcPr>
            <w:tcW w:w="90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Cs w:val="21"/>
              </w:rPr>
            </w:pPr>
          </w:p>
        </w:tc>
        <w:tc>
          <w:tcPr>
            <w:tcW w:w="351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Cs w:val="21"/>
              </w:rPr>
            </w:pPr>
          </w:p>
        </w:tc>
        <w:tc>
          <w:tcPr>
            <w:tcW w:w="351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Cs w:val="21"/>
              </w:rPr>
            </w:pPr>
          </w:p>
        </w:tc>
        <w:tc>
          <w:tcPr>
            <w:tcW w:w="82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Cs w:val="21"/>
              </w:rPr>
            </w:pPr>
          </w:p>
        </w:tc>
      </w:tr>
    </w:tbl>
    <w:p>
      <w:pPr>
        <w:adjustRightInd w:val="0"/>
        <w:snapToGrid w:val="0"/>
        <w:spacing w:line="560" w:lineRule="exact"/>
        <w:rPr>
          <w:rFonts w:ascii="宋体" w:hAnsi="宋体"/>
          <w:bCs/>
          <w:kern w:val="0"/>
        </w:rPr>
      </w:pPr>
    </w:p>
    <w:p>
      <w:pPr>
        <w:adjustRightInd w:val="0"/>
        <w:snapToGrid w:val="0"/>
        <w:spacing w:line="560" w:lineRule="exact"/>
        <w:rPr>
          <w:rFonts w:ascii="宋体" w:hAnsi="宋体"/>
          <w:bCs/>
          <w:kern w:val="0"/>
        </w:rPr>
      </w:pPr>
      <w:r>
        <w:rPr>
          <w:rFonts w:hint="eastAsia" w:ascii="宋体" w:hAnsi="宋体"/>
          <w:bCs/>
          <w:kern w:val="0"/>
        </w:rPr>
        <w:t>注：如不填写，则视为完全响应招标文件的商务要求。</w:t>
      </w:r>
    </w:p>
    <w:p>
      <w:pPr>
        <w:adjustRightInd w:val="0"/>
        <w:snapToGrid w:val="0"/>
        <w:spacing w:line="560" w:lineRule="exact"/>
        <w:rPr>
          <w:rFonts w:ascii="宋体" w:hAnsi="宋体"/>
          <w:bCs/>
          <w:kern w:val="0"/>
        </w:rPr>
      </w:pPr>
    </w:p>
    <w:p>
      <w:pPr>
        <w:widowControl/>
        <w:jc w:val="left"/>
        <w:rPr>
          <w:rFonts w:eastAsia="黑体" w:cs="Calibri"/>
          <w:color w:val="000000"/>
          <w:sz w:val="32"/>
          <w:szCs w:val="32"/>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jc w:val="left"/>
        <w:rPr>
          <w:rFonts w:ascii="黑体" w:hAnsi="黑体" w:eastAsia="黑体" w:cs="黑体"/>
          <w:sz w:val="36"/>
          <w:szCs w:val="36"/>
        </w:rPr>
      </w:pPr>
    </w:p>
    <w:p>
      <w:pPr>
        <w:spacing w:line="360" w:lineRule="auto"/>
        <w:jc w:val="left"/>
      </w:pP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AFF" w:usb1="C0007843" w:usb2="00000009" w:usb3="00000000" w:csb0="400001FF" w:csb1="FFFF0000"/>
  </w:font>
  <w:font w:name="Arial Unicode MS">
    <w:panose1 w:val="020B0604020202020204"/>
    <w:charset w:val="86"/>
    <w:family w:val="swiss"/>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Tms Rmn">
    <w:altName w:val="Segoe Print"/>
    <w:panose1 w:val="02020603040505020304"/>
    <w:charset w:val="00"/>
    <w:family w:val="roman"/>
    <w:pitch w:val="default"/>
    <w:sig w:usb0="00000000" w:usb1="00000000" w:usb2="00000000" w:usb3="00000000" w:csb0="00000001" w:csb1="00000000"/>
  </w:font>
  <w:font w:name="Heiti SC Light">
    <w:altName w:val="Arial Unicode MS"/>
    <w:panose1 w:val="00000000000000000000"/>
    <w:charset w:val="50"/>
    <w:family w:val="auto"/>
    <w:pitch w:val="default"/>
    <w:sig w:usb0="00000000" w:usb1="00000000" w:usb2="00000010" w:usb3="00000000" w:csb0="003E0000" w:csb1="00000000"/>
  </w:font>
  <w:font w:name="Courier">
    <w:altName w:val="Courier New"/>
    <w:panose1 w:val="02070409020205020404"/>
    <w:charset w:val="00"/>
    <w:family w:val="modern"/>
    <w:pitch w:val="default"/>
    <w:sig w:usb0="00000000" w:usb1="00000000" w:usb2="00000000" w:usb3="00000000" w:csb0="00000001" w:csb1="00000000"/>
  </w:font>
  <w:font w:name="ˎ̥">
    <w:altName w:val="微软雅黑"/>
    <w:panose1 w:val="00000000000000000000"/>
    <w:charset w:val="00"/>
    <w:family w:val="roman"/>
    <w:pitch w:val="default"/>
    <w:sig w:usb0="00000000" w:usb1="00000000" w:usb2="00000000" w:usb3="00000000" w:csb0="00040001" w:csb1="00000000"/>
  </w:font>
  <w:font w:name="华文仿宋">
    <w:panose1 w:val="02010600040101010101"/>
    <w:charset w:val="86"/>
    <w:family w:val="auto"/>
    <w:pitch w:val="default"/>
    <w:sig w:usb0="00000287" w:usb1="080F0000" w:usb2="00000000" w:usb3="00000000" w:csb0="0004009F" w:csb1="DFD7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FFFFFF83"/>
    <w:lvl w:ilvl="0" w:tentative="0">
      <w:start w:val="1"/>
      <w:numFmt w:val="bullet"/>
      <w:pStyle w:val="28"/>
      <w:lvlText w:val=""/>
      <w:lvlJc w:val="left"/>
      <w:pPr>
        <w:tabs>
          <w:tab w:val="left" w:pos="780"/>
        </w:tabs>
        <w:ind w:left="780" w:hanging="360"/>
      </w:pPr>
      <w:rPr>
        <w:rFonts w:hint="default" w:ascii="Wingdings" w:hAnsi="Wingdings"/>
      </w:rPr>
    </w:lvl>
  </w:abstractNum>
  <w:abstractNum w:abstractNumId="1">
    <w:nsid w:val="FFFFFF89"/>
    <w:multiLevelType w:val="singleLevel"/>
    <w:tmpl w:val="FFFFFF89"/>
    <w:lvl w:ilvl="0" w:tentative="0">
      <w:start w:val="1"/>
      <w:numFmt w:val="bullet"/>
      <w:pStyle w:val="21"/>
      <w:lvlText w:val=""/>
      <w:lvlJc w:val="left"/>
      <w:pPr>
        <w:tabs>
          <w:tab w:val="left" w:pos="360"/>
        </w:tabs>
        <w:ind w:left="360" w:hanging="360"/>
      </w:pPr>
      <w:rPr>
        <w:rFonts w:hint="default" w:ascii="Wingdings" w:hAnsi="Wingdings"/>
      </w:rPr>
    </w:lvl>
  </w:abstractNum>
  <w:abstractNum w:abstractNumId="2">
    <w:nsid w:val="00000008"/>
    <w:multiLevelType w:val="multilevel"/>
    <w:tmpl w:val="00000008"/>
    <w:lvl w:ilvl="0" w:tentative="0">
      <w:start w:val="1"/>
      <w:numFmt w:val="decimal"/>
      <w:lvlText w:val="%1."/>
      <w:lvlJc w:val="left"/>
      <w:pPr>
        <w:tabs>
          <w:tab w:val="left" w:pos="900"/>
        </w:tabs>
        <w:ind w:left="480" w:firstLine="420"/>
      </w:pPr>
      <w:rPr>
        <w:b w:val="0"/>
        <w:color w:val="000000"/>
        <w:sz w:val="21"/>
        <w:szCs w:val="24"/>
      </w:rPr>
    </w:lvl>
    <w:lvl w:ilvl="1" w:tentative="0">
      <w:start w:val="1"/>
      <w:numFmt w:val="decimal"/>
      <w:lvlText w:val="%2."/>
      <w:lvlJc w:val="left"/>
      <w:pPr>
        <w:tabs>
          <w:tab w:val="left" w:pos="426"/>
        </w:tabs>
        <w:ind w:left="6" w:firstLine="420"/>
      </w:pPr>
      <w:rPr>
        <w:b w:val="0"/>
        <w:color w:val="000000"/>
        <w:sz w:val="21"/>
        <w:szCs w:val="24"/>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9"/>
    <w:multiLevelType w:val="singleLevel"/>
    <w:tmpl w:val="00000009"/>
    <w:lvl w:ilvl="0" w:tentative="0">
      <w:start w:val="6"/>
      <w:numFmt w:val="decimal"/>
      <w:lvlText w:val="(%1)"/>
      <w:lvlJc w:val="left"/>
      <w:pPr>
        <w:tabs>
          <w:tab w:val="left" w:pos="907"/>
        </w:tabs>
        <w:ind w:left="907" w:hanging="482"/>
      </w:pPr>
      <w:rPr>
        <w:b w:val="0"/>
        <w:i w:val="0"/>
        <w:strike w:val="0"/>
        <w:dstrike w:val="0"/>
        <w:u w:val="none"/>
      </w:rPr>
    </w:lvl>
  </w:abstractNum>
  <w:abstractNum w:abstractNumId="4">
    <w:nsid w:val="0000000F"/>
    <w:multiLevelType w:val="multilevel"/>
    <w:tmpl w:val="0000000F"/>
    <w:lvl w:ilvl="0" w:tentative="0">
      <w:start w:val="1"/>
      <w:numFmt w:val="decimal"/>
      <w:lvlText w:val="%1."/>
      <w:lvlJc w:val="left"/>
      <w:pPr>
        <w:tabs>
          <w:tab w:val="left" w:pos="1200"/>
        </w:tabs>
        <w:ind w:left="1200" w:hanging="1200"/>
      </w:pPr>
      <w:rPr>
        <w:rFonts w:hint="eastAsia" w:ascii="Times New Roman" w:hAnsi="Times New Roman" w:eastAsia="黑体"/>
      </w:rPr>
    </w:lvl>
    <w:lvl w:ilvl="1" w:tentative="0">
      <w:start w:val="1"/>
      <w:numFmt w:val="decimal"/>
      <w:isLgl/>
      <w:lvlText w:val="%1.%2"/>
      <w:lvlJc w:val="left"/>
      <w:pPr>
        <w:tabs>
          <w:tab w:val="left" w:pos="360"/>
        </w:tabs>
        <w:ind w:left="360" w:hanging="360"/>
      </w:pPr>
    </w:lvl>
    <w:lvl w:ilvl="2" w:tentative="0">
      <w:start w:val="1"/>
      <w:numFmt w:val="decimal"/>
      <w:isLgl/>
      <w:lvlText w:val="%1.%2.%3"/>
      <w:lvlJc w:val="left"/>
      <w:pPr>
        <w:tabs>
          <w:tab w:val="left" w:pos="720"/>
        </w:tabs>
        <w:ind w:left="720" w:hanging="720"/>
      </w:pPr>
    </w:lvl>
    <w:lvl w:ilvl="3" w:tentative="0">
      <w:start w:val="1"/>
      <w:numFmt w:val="decimal"/>
      <w:isLgl/>
      <w:lvlText w:val="%1.%2.%3.%4"/>
      <w:lvlJc w:val="left"/>
      <w:pPr>
        <w:tabs>
          <w:tab w:val="left" w:pos="720"/>
        </w:tabs>
        <w:ind w:left="720" w:hanging="720"/>
      </w:pPr>
    </w:lvl>
    <w:lvl w:ilvl="4" w:tentative="0">
      <w:start w:val="1"/>
      <w:numFmt w:val="decimal"/>
      <w:isLgl/>
      <w:lvlText w:val="%1.%2.%3.%4.%5"/>
      <w:lvlJc w:val="left"/>
      <w:pPr>
        <w:tabs>
          <w:tab w:val="left" w:pos="1080"/>
        </w:tabs>
        <w:ind w:left="1080" w:hanging="1080"/>
      </w:pPr>
    </w:lvl>
    <w:lvl w:ilvl="5" w:tentative="0">
      <w:start w:val="1"/>
      <w:numFmt w:val="decimal"/>
      <w:isLgl/>
      <w:lvlText w:val="%1.%2.%3.%4.%5.%6"/>
      <w:lvlJc w:val="left"/>
      <w:pPr>
        <w:tabs>
          <w:tab w:val="left" w:pos="1080"/>
        </w:tabs>
        <w:ind w:left="1080" w:hanging="1080"/>
      </w:pPr>
    </w:lvl>
    <w:lvl w:ilvl="6" w:tentative="0">
      <w:start w:val="1"/>
      <w:numFmt w:val="decimal"/>
      <w:isLgl/>
      <w:lvlText w:val="%1.%2.%3.%4.%5.%6.%7"/>
      <w:lvlJc w:val="left"/>
      <w:pPr>
        <w:tabs>
          <w:tab w:val="left" w:pos="1080"/>
        </w:tabs>
        <w:ind w:left="1080" w:hanging="1080"/>
      </w:pPr>
    </w:lvl>
    <w:lvl w:ilvl="7" w:tentative="0">
      <w:start w:val="1"/>
      <w:numFmt w:val="decimal"/>
      <w:isLgl/>
      <w:lvlText w:val="%1.%2.%3.%4.%5.%6.%7.%8"/>
      <w:lvlJc w:val="left"/>
      <w:pPr>
        <w:tabs>
          <w:tab w:val="left" w:pos="1440"/>
        </w:tabs>
        <w:ind w:left="1440" w:hanging="1440"/>
      </w:pPr>
    </w:lvl>
    <w:lvl w:ilvl="8" w:tentative="0">
      <w:start w:val="1"/>
      <w:numFmt w:val="decimal"/>
      <w:isLgl/>
      <w:lvlText w:val="%1.%2.%3.%4.%5.%6.%7.%8.%9"/>
      <w:lvlJc w:val="left"/>
      <w:pPr>
        <w:tabs>
          <w:tab w:val="left" w:pos="1440"/>
        </w:tabs>
        <w:ind w:left="1440" w:hanging="1440"/>
      </w:pPr>
    </w:lvl>
  </w:abstractNum>
  <w:abstractNum w:abstractNumId="5">
    <w:nsid w:val="00000015"/>
    <w:multiLevelType w:val="multilevel"/>
    <w:tmpl w:val="00000015"/>
    <w:lvl w:ilvl="0" w:tentative="0">
      <w:start w:val="5"/>
      <w:numFmt w:val="decimal"/>
      <w:lvlText w:val="附件%1"/>
      <w:lvlJc w:val="left"/>
      <w:pPr>
        <w:tabs>
          <w:tab w:val="left" w:pos="1134"/>
        </w:tabs>
        <w:ind w:left="1134" w:hanging="1134"/>
      </w:pPr>
      <w:rPr>
        <w:rFonts w:hint="eastAsia" w:ascii="宋体" w:hAnsi="宋体" w:eastAsia="宋体"/>
        <w:b/>
        <w:i w:val="0"/>
        <w:sz w:val="24"/>
        <w:szCs w:val="2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45"/>
    <w:multiLevelType w:val="singleLevel"/>
    <w:tmpl w:val="00000045"/>
    <w:lvl w:ilvl="0" w:tentative="0">
      <w:start w:val="1"/>
      <w:numFmt w:val="decimal"/>
      <w:lvlText w:val="%1)"/>
      <w:lvlJc w:val="left"/>
      <w:pPr>
        <w:tabs>
          <w:tab w:val="left" w:pos="1304"/>
        </w:tabs>
        <w:ind w:left="1304" w:hanging="397"/>
      </w:pPr>
    </w:lvl>
  </w:abstractNum>
  <w:abstractNum w:abstractNumId="7">
    <w:nsid w:val="00000046"/>
    <w:multiLevelType w:val="multilevel"/>
    <w:tmpl w:val="00000046"/>
    <w:lvl w:ilvl="0" w:tentative="0">
      <w:start w:val="1"/>
      <w:numFmt w:val="decimal"/>
      <w:lvlText w:val="%1"/>
      <w:lvlJc w:val="left"/>
      <w:pPr>
        <w:tabs>
          <w:tab w:val="left" w:pos="360"/>
        </w:tabs>
        <w:ind w:left="360" w:hanging="360"/>
      </w:p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1080"/>
        </w:tabs>
        <w:ind w:left="1080" w:hanging="1080"/>
      </w:pPr>
    </w:lvl>
    <w:lvl w:ilvl="4" w:tentative="0">
      <w:start w:val="1"/>
      <w:numFmt w:val="decimal"/>
      <w:lvlText w:val="%1.%2.%3.%4.%5"/>
      <w:lvlJc w:val="left"/>
      <w:pPr>
        <w:tabs>
          <w:tab w:val="left" w:pos="1080"/>
        </w:tabs>
        <w:ind w:left="1080" w:hanging="1080"/>
      </w:pPr>
    </w:lvl>
    <w:lvl w:ilvl="5" w:tentative="0">
      <w:start w:val="1"/>
      <w:numFmt w:val="decimal"/>
      <w:lvlText w:val="%1.%2.%3.%4.%5.%6"/>
      <w:lvlJc w:val="left"/>
      <w:pPr>
        <w:tabs>
          <w:tab w:val="left" w:pos="1440"/>
        </w:tabs>
        <w:ind w:left="1440" w:hanging="1440"/>
      </w:pPr>
    </w:lvl>
    <w:lvl w:ilvl="6" w:tentative="0">
      <w:start w:val="1"/>
      <w:numFmt w:val="decimal"/>
      <w:lvlText w:val="%1.%2.%3.%4.%5.%6.%7"/>
      <w:lvlJc w:val="left"/>
      <w:pPr>
        <w:tabs>
          <w:tab w:val="left" w:pos="1800"/>
        </w:tabs>
        <w:ind w:left="1800" w:hanging="1800"/>
      </w:pPr>
    </w:lvl>
    <w:lvl w:ilvl="7" w:tentative="0">
      <w:start w:val="1"/>
      <w:numFmt w:val="decimal"/>
      <w:lvlText w:val="%1.%2.%3.%4.%5.%6.%7.%8"/>
      <w:lvlJc w:val="left"/>
      <w:pPr>
        <w:tabs>
          <w:tab w:val="left" w:pos="1800"/>
        </w:tabs>
        <w:ind w:left="1800" w:hanging="1800"/>
      </w:pPr>
    </w:lvl>
    <w:lvl w:ilvl="8" w:tentative="0">
      <w:start w:val="1"/>
      <w:numFmt w:val="decimal"/>
      <w:lvlText w:val="%1.%2.%3.%4.%5.%6.%7.%8.%9"/>
      <w:lvlJc w:val="left"/>
      <w:pPr>
        <w:tabs>
          <w:tab w:val="left" w:pos="2160"/>
        </w:tabs>
        <w:ind w:left="2160" w:hanging="2160"/>
      </w:pPr>
    </w:lvl>
  </w:abstractNum>
  <w:abstractNum w:abstractNumId="8">
    <w:nsid w:val="00000049"/>
    <w:multiLevelType w:val="singleLevel"/>
    <w:tmpl w:val="00000049"/>
    <w:lvl w:ilvl="0" w:tentative="0">
      <w:start w:val="1"/>
      <w:numFmt w:val="decimal"/>
      <w:lvlText w:val="%1."/>
      <w:lvlJc w:val="left"/>
      <w:pPr>
        <w:tabs>
          <w:tab w:val="left" w:pos="425"/>
        </w:tabs>
        <w:ind w:left="425" w:hanging="425"/>
      </w:pPr>
      <w:rPr>
        <w:rFonts w:hint="default" w:ascii="Times New Roman" w:hAnsi="Times New Roman" w:cs="Times New Roman"/>
      </w:rPr>
    </w:lvl>
  </w:abstractNum>
  <w:abstractNum w:abstractNumId="9">
    <w:nsid w:val="00000077"/>
    <w:multiLevelType w:val="singleLevel"/>
    <w:tmpl w:val="00000077"/>
    <w:lvl w:ilvl="0" w:tentative="0">
      <w:start w:val="1"/>
      <w:numFmt w:val="decimal"/>
      <w:lvlText w:val="(%1)"/>
      <w:lvlJc w:val="left"/>
      <w:pPr>
        <w:tabs>
          <w:tab w:val="left" w:pos="907"/>
        </w:tabs>
        <w:ind w:left="907" w:hanging="482"/>
      </w:pPr>
      <w:rPr>
        <w:rFonts w:hint="default" w:ascii="Times New Roman" w:hAnsi="Times New Roman" w:cs="Times New Roman"/>
        <w:b w:val="0"/>
        <w:i w:val="0"/>
        <w:strike w:val="0"/>
        <w:dstrike w:val="0"/>
        <w:u w:val="none"/>
      </w:rPr>
    </w:lvl>
  </w:abstractNum>
  <w:abstractNum w:abstractNumId="10">
    <w:nsid w:val="00000089"/>
    <w:multiLevelType w:val="singleLevel"/>
    <w:tmpl w:val="00000089"/>
    <w:lvl w:ilvl="0" w:tentative="0">
      <w:start w:val="1"/>
      <w:numFmt w:val="decimal"/>
      <w:lvlText w:val="(%1)"/>
      <w:lvlJc w:val="left"/>
      <w:pPr>
        <w:tabs>
          <w:tab w:val="left" w:pos="907"/>
        </w:tabs>
        <w:ind w:left="907" w:hanging="482"/>
      </w:pPr>
      <w:rPr>
        <w:b w:val="0"/>
        <w:i w:val="0"/>
        <w:strike w:val="0"/>
        <w:dstrike w:val="0"/>
        <w:u w:val="none"/>
      </w:rPr>
    </w:lvl>
  </w:abstractNum>
  <w:abstractNum w:abstractNumId="11">
    <w:nsid w:val="00000093"/>
    <w:multiLevelType w:val="singleLevel"/>
    <w:tmpl w:val="00000093"/>
    <w:lvl w:ilvl="0" w:tentative="0">
      <w:start w:val="5"/>
      <w:numFmt w:val="decimal"/>
      <w:lvlText w:val="%1."/>
      <w:lvlJc w:val="left"/>
      <w:pPr>
        <w:tabs>
          <w:tab w:val="left" w:pos="425"/>
        </w:tabs>
        <w:ind w:left="425" w:hanging="425"/>
      </w:pPr>
      <w:rPr>
        <w:rFonts w:hint="default" w:ascii="Times New Roman" w:hAnsi="Times New Roman" w:cs="Times New Roman"/>
      </w:rPr>
    </w:lvl>
  </w:abstractNum>
  <w:abstractNum w:abstractNumId="12">
    <w:nsid w:val="0000009C"/>
    <w:multiLevelType w:val="singleLevel"/>
    <w:tmpl w:val="0000009C"/>
    <w:lvl w:ilvl="0" w:tentative="0">
      <w:start w:val="3"/>
      <w:numFmt w:val="decimal"/>
      <w:lvlText w:val="%1."/>
      <w:lvlJc w:val="left"/>
      <w:pPr>
        <w:tabs>
          <w:tab w:val="left" w:pos="425"/>
        </w:tabs>
        <w:ind w:left="425" w:hanging="425"/>
      </w:pPr>
      <w:rPr>
        <w:rFonts w:hint="default" w:ascii="Times New Roman" w:hAnsi="Times New Roman" w:cs="Times New Roman"/>
      </w:rPr>
    </w:lvl>
  </w:abstractNum>
  <w:abstractNum w:abstractNumId="13">
    <w:nsid w:val="000000A3"/>
    <w:multiLevelType w:val="multilevel"/>
    <w:tmpl w:val="000000A3"/>
    <w:lvl w:ilvl="0" w:tentative="0">
      <w:start w:val="1"/>
      <w:numFmt w:val="decimal"/>
      <w:lvlText w:val="%1"/>
      <w:lvlJc w:val="left"/>
      <w:pPr>
        <w:tabs>
          <w:tab w:val="left" w:pos="360"/>
        </w:tabs>
        <w:ind w:left="360" w:hanging="360"/>
      </w:pPr>
    </w:lvl>
    <w:lvl w:ilvl="1" w:tentative="0">
      <w:start w:val="1"/>
      <w:numFmt w:val="decimal"/>
      <w:lvlText w:val="%2"/>
      <w:lvlJc w:val="left"/>
      <w:pPr>
        <w:tabs>
          <w:tab w:val="left" w:pos="1134"/>
        </w:tabs>
        <w:ind w:left="1134" w:hanging="1134"/>
      </w:pPr>
      <w:rPr>
        <w:rFonts w:hint="eastAsia" w:ascii="Times New Roman" w:hAnsi="Times New Roman" w:eastAsia="宋体"/>
        <w:b/>
        <w:i w:val="0"/>
        <w:sz w:val="21"/>
        <w:szCs w:val="28"/>
      </w:r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1080"/>
        </w:tabs>
        <w:ind w:left="1080" w:hanging="1080"/>
      </w:pPr>
    </w:lvl>
    <w:lvl w:ilvl="4" w:tentative="0">
      <w:start w:val="1"/>
      <w:numFmt w:val="decimal"/>
      <w:lvlText w:val="%1.%2.%3.%4.%5"/>
      <w:lvlJc w:val="left"/>
      <w:pPr>
        <w:tabs>
          <w:tab w:val="left" w:pos="1080"/>
        </w:tabs>
        <w:ind w:left="1080" w:hanging="1080"/>
      </w:pPr>
    </w:lvl>
    <w:lvl w:ilvl="5" w:tentative="0">
      <w:start w:val="1"/>
      <w:numFmt w:val="decimal"/>
      <w:lvlText w:val="%1.%2.%3.%4.%5.%6"/>
      <w:lvlJc w:val="left"/>
      <w:pPr>
        <w:tabs>
          <w:tab w:val="left" w:pos="1440"/>
        </w:tabs>
        <w:ind w:left="1440" w:hanging="1440"/>
      </w:pPr>
    </w:lvl>
    <w:lvl w:ilvl="6" w:tentative="0">
      <w:start w:val="1"/>
      <w:numFmt w:val="decimal"/>
      <w:lvlText w:val="%1.%2.%3.%4.%5.%6.%7"/>
      <w:lvlJc w:val="left"/>
      <w:pPr>
        <w:tabs>
          <w:tab w:val="left" w:pos="1800"/>
        </w:tabs>
        <w:ind w:left="1800" w:hanging="1800"/>
      </w:pPr>
    </w:lvl>
    <w:lvl w:ilvl="7" w:tentative="0">
      <w:start w:val="1"/>
      <w:numFmt w:val="decimal"/>
      <w:lvlText w:val="%1.%2.%3.%4.%5.%6.%7.%8"/>
      <w:lvlJc w:val="left"/>
      <w:pPr>
        <w:tabs>
          <w:tab w:val="left" w:pos="1800"/>
        </w:tabs>
        <w:ind w:left="1800" w:hanging="1800"/>
      </w:pPr>
    </w:lvl>
    <w:lvl w:ilvl="8" w:tentative="0">
      <w:start w:val="1"/>
      <w:numFmt w:val="decimal"/>
      <w:lvlText w:val="%1.%2.%3.%4.%5.%6.%7.%8.%9"/>
      <w:lvlJc w:val="left"/>
      <w:pPr>
        <w:tabs>
          <w:tab w:val="left" w:pos="2160"/>
        </w:tabs>
        <w:ind w:left="2160" w:hanging="2160"/>
      </w:pPr>
    </w:lvl>
  </w:abstractNum>
  <w:abstractNum w:abstractNumId="14">
    <w:nsid w:val="000000B6"/>
    <w:multiLevelType w:val="multilevel"/>
    <w:tmpl w:val="000000B6"/>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06576C37"/>
    <w:multiLevelType w:val="multilevel"/>
    <w:tmpl w:val="06576C37"/>
    <w:lvl w:ilvl="0" w:tentative="0">
      <w:start w:val="6"/>
      <w:numFmt w:val="decimal"/>
      <w:lvlText w:val="（%1）"/>
      <w:lvlJc w:val="left"/>
      <w:pPr>
        <w:ind w:left="1160" w:hanging="720"/>
      </w:pPr>
    </w:lvl>
    <w:lvl w:ilvl="1" w:tentative="0">
      <w:start w:val="1"/>
      <w:numFmt w:val="lowerLetter"/>
      <w:lvlText w:val="%2)"/>
      <w:lvlJc w:val="left"/>
      <w:pPr>
        <w:ind w:left="1280" w:hanging="420"/>
      </w:pPr>
    </w:lvl>
    <w:lvl w:ilvl="2" w:tentative="0">
      <w:start w:val="1"/>
      <w:numFmt w:val="lowerRoman"/>
      <w:lvlText w:val="%3."/>
      <w:lvlJc w:val="right"/>
      <w:pPr>
        <w:ind w:left="1700" w:hanging="420"/>
      </w:pPr>
    </w:lvl>
    <w:lvl w:ilvl="3" w:tentative="0">
      <w:start w:val="1"/>
      <w:numFmt w:val="decimal"/>
      <w:lvlText w:val="%4."/>
      <w:lvlJc w:val="left"/>
      <w:pPr>
        <w:ind w:left="2120" w:hanging="420"/>
      </w:pPr>
    </w:lvl>
    <w:lvl w:ilvl="4" w:tentative="0">
      <w:start w:val="1"/>
      <w:numFmt w:val="lowerLetter"/>
      <w:lvlText w:val="%5)"/>
      <w:lvlJc w:val="left"/>
      <w:pPr>
        <w:ind w:left="2540" w:hanging="420"/>
      </w:pPr>
    </w:lvl>
    <w:lvl w:ilvl="5" w:tentative="0">
      <w:start w:val="1"/>
      <w:numFmt w:val="lowerRoman"/>
      <w:lvlText w:val="%6."/>
      <w:lvlJc w:val="right"/>
      <w:pPr>
        <w:ind w:left="2960" w:hanging="420"/>
      </w:pPr>
    </w:lvl>
    <w:lvl w:ilvl="6" w:tentative="0">
      <w:start w:val="1"/>
      <w:numFmt w:val="decimal"/>
      <w:lvlText w:val="%7."/>
      <w:lvlJc w:val="left"/>
      <w:pPr>
        <w:ind w:left="3380" w:hanging="420"/>
      </w:pPr>
    </w:lvl>
    <w:lvl w:ilvl="7" w:tentative="0">
      <w:start w:val="1"/>
      <w:numFmt w:val="lowerLetter"/>
      <w:lvlText w:val="%8)"/>
      <w:lvlJc w:val="left"/>
      <w:pPr>
        <w:ind w:left="3800" w:hanging="420"/>
      </w:pPr>
    </w:lvl>
    <w:lvl w:ilvl="8" w:tentative="0">
      <w:start w:val="1"/>
      <w:numFmt w:val="lowerRoman"/>
      <w:lvlText w:val="%9."/>
      <w:lvlJc w:val="right"/>
      <w:pPr>
        <w:ind w:left="4220" w:hanging="420"/>
      </w:pPr>
    </w:lvl>
  </w:abstractNum>
  <w:abstractNum w:abstractNumId="16">
    <w:nsid w:val="09E12D2E"/>
    <w:multiLevelType w:val="multilevel"/>
    <w:tmpl w:val="09E12D2E"/>
    <w:lvl w:ilvl="0" w:tentative="0">
      <w:start w:val="2"/>
      <w:numFmt w:val="decimal"/>
      <w:lvlText w:val="%1、"/>
      <w:lvlJc w:val="left"/>
      <w:pPr>
        <w:ind w:left="360" w:hanging="3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180945DE"/>
    <w:multiLevelType w:val="multilevel"/>
    <w:tmpl w:val="180945DE"/>
    <w:lvl w:ilvl="0" w:tentative="0">
      <w:start w:val="3"/>
      <w:numFmt w:val="decimal"/>
      <w:lvlText w:val="（%1）"/>
      <w:lvlJc w:val="left"/>
      <w:pPr>
        <w:ind w:left="1160" w:hanging="720"/>
      </w:pPr>
    </w:lvl>
    <w:lvl w:ilvl="1" w:tentative="0">
      <w:start w:val="1"/>
      <w:numFmt w:val="lowerLetter"/>
      <w:lvlText w:val="%2)"/>
      <w:lvlJc w:val="left"/>
      <w:pPr>
        <w:ind w:left="1280" w:hanging="420"/>
      </w:pPr>
    </w:lvl>
    <w:lvl w:ilvl="2" w:tentative="0">
      <w:start w:val="1"/>
      <w:numFmt w:val="lowerRoman"/>
      <w:lvlText w:val="%3."/>
      <w:lvlJc w:val="right"/>
      <w:pPr>
        <w:ind w:left="1700" w:hanging="420"/>
      </w:pPr>
    </w:lvl>
    <w:lvl w:ilvl="3" w:tentative="0">
      <w:start w:val="1"/>
      <w:numFmt w:val="decimal"/>
      <w:lvlText w:val="%4."/>
      <w:lvlJc w:val="left"/>
      <w:pPr>
        <w:ind w:left="2120" w:hanging="420"/>
      </w:pPr>
    </w:lvl>
    <w:lvl w:ilvl="4" w:tentative="0">
      <w:start w:val="1"/>
      <w:numFmt w:val="lowerLetter"/>
      <w:lvlText w:val="%5)"/>
      <w:lvlJc w:val="left"/>
      <w:pPr>
        <w:ind w:left="2540" w:hanging="420"/>
      </w:pPr>
    </w:lvl>
    <w:lvl w:ilvl="5" w:tentative="0">
      <w:start w:val="1"/>
      <w:numFmt w:val="lowerRoman"/>
      <w:lvlText w:val="%6."/>
      <w:lvlJc w:val="right"/>
      <w:pPr>
        <w:ind w:left="2960" w:hanging="420"/>
      </w:pPr>
    </w:lvl>
    <w:lvl w:ilvl="6" w:tentative="0">
      <w:start w:val="1"/>
      <w:numFmt w:val="decimal"/>
      <w:lvlText w:val="%7."/>
      <w:lvlJc w:val="left"/>
      <w:pPr>
        <w:ind w:left="3380" w:hanging="420"/>
      </w:pPr>
    </w:lvl>
    <w:lvl w:ilvl="7" w:tentative="0">
      <w:start w:val="1"/>
      <w:numFmt w:val="lowerLetter"/>
      <w:lvlText w:val="%8)"/>
      <w:lvlJc w:val="left"/>
      <w:pPr>
        <w:ind w:left="3800" w:hanging="420"/>
      </w:pPr>
    </w:lvl>
    <w:lvl w:ilvl="8" w:tentative="0">
      <w:start w:val="1"/>
      <w:numFmt w:val="lowerRoman"/>
      <w:lvlText w:val="%9."/>
      <w:lvlJc w:val="right"/>
      <w:pPr>
        <w:ind w:left="4220" w:hanging="420"/>
      </w:pPr>
    </w:lvl>
  </w:abstractNum>
  <w:abstractNum w:abstractNumId="18">
    <w:nsid w:val="19063A6D"/>
    <w:multiLevelType w:val="singleLevel"/>
    <w:tmpl w:val="19063A6D"/>
    <w:lvl w:ilvl="0" w:tentative="0">
      <w:start w:val="1"/>
      <w:numFmt w:val="decimal"/>
      <w:lvlText w:val="(%1)"/>
      <w:lvlJc w:val="left"/>
      <w:pPr>
        <w:tabs>
          <w:tab w:val="left" w:pos="907"/>
        </w:tabs>
        <w:ind w:left="907" w:hanging="482"/>
      </w:pPr>
      <w:rPr>
        <w:b w:val="0"/>
        <w:i w:val="0"/>
        <w:strike w:val="0"/>
        <w:dstrike w:val="0"/>
        <w:u w:val="none"/>
      </w:rPr>
    </w:lvl>
  </w:abstractNum>
  <w:abstractNum w:abstractNumId="19">
    <w:nsid w:val="41440518"/>
    <w:multiLevelType w:val="multilevel"/>
    <w:tmpl w:val="41440518"/>
    <w:lvl w:ilvl="0" w:tentative="0">
      <w:start w:val="2"/>
      <w:numFmt w:val="decimal"/>
      <w:lvlText w:val="%1、"/>
      <w:lvlJc w:val="left"/>
      <w:pPr>
        <w:ind w:left="800" w:hanging="360"/>
      </w:pPr>
    </w:lvl>
    <w:lvl w:ilvl="1" w:tentative="0">
      <w:start w:val="1"/>
      <w:numFmt w:val="lowerLetter"/>
      <w:lvlText w:val="%2)"/>
      <w:lvlJc w:val="left"/>
      <w:pPr>
        <w:ind w:left="1280" w:hanging="420"/>
      </w:pPr>
    </w:lvl>
    <w:lvl w:ilvl="2" w:tentative="0">
      <w:start w:val="1"/>
      <w:numFmt w:val="lowerRoman"/>
      <w:lvlText w:val="%3."/>
      <w:lvlJc w:val="right"/>
      <w:pPr>
        <w:ind w:left="1700" w:hanging="420"/>
      </w:pPr>
    </w:lvl>
    <w:lvl w:ilvl="3" w:tentative="0">
      <w:start w:val="1"/>
      <w:numFmt w:val="decimal"/>
      <w:lvlText w:val="%4."/>
      <w:lvlJc w:val="left"/>
      <w:pPr>
        <w:ind w:left="2120" w:hanging="420"/>
      </w:pPr>
    </w:lvl>
    <w:lvl w:ilvl="4" w:tentative="0">
      <w:start w:val="1"/>
      <w:numFmt w:val="lowerLetter"/>
      <w:lvlText w:val="%5)"/>
      <w:lvlJc w:val="left"/>
      <w:pPr>
        <w:ind w:left="2540" w:hanging="420"/>
      </w:pPr>
    </w:lvl>
    <w:lvl w:ilvl="5" w:tentative="0">
      <w:start w:val="1"/>
      <w:numFmt w:val="lowerRoman"/>
      <w:lvlText w:val="%6."/>
      <w:lvlJc w:val="right"/>
      <w:pPr>
        <w:ind w:left="2960" w:hanging="420"/>
      </w:pPr>
    </w:lvl>
    <w:lvl w:ilvl="6" w:tentative="0">
      <w:start w:val="1"/>
      <w:numFmt w:val="decimal"/>
      <w:lvlText w:val="%7."/>
      <w:lvlJc w:val="left"/>
      <w:pPr>
        <w:ind w:left="3380" w:hanging="420"/>
      </w:pPr>
    </w:lvl>
    <w:lvl w:ilvl="7" w:tentative="0">
      <w:start w:val="1"/>
      <w:numFmt w:val="lowerLetter"/>
      <w:lvlText w:val="%8)"/>
      <w:lvlJc w:val="left"/>
      <w:pPr>
        <w:ind w:left="3800" w:hanging="420"/>
      </w:pPr>
    </w:lvl>
    <w:lvl w:ilvl="8" w:tentative="0">
      <w:start w:val="1"/>
      <w:numFmt w:val="lowerRoman"/>
      <w:lvlText w:val="%9."/>
      <w:lvlJc w:val="right"/>
      <w:pPr>
        <w:ind w:left="4220" w:hanging="420"/>
      </w:pPr>
    </w:lvl>
  </w:abstractNum>
  <w:abstractNum w:abstractNumId="20">
    <w:nsid w:val="466C6E1F"/>
    <w:multiLevelType w:val="multilevel"/>
    <w:tmpl w:val="466C6E1F"/>
    <w:lvl w:ilvl="0" w:tentative="0">
      <w:start w:val="1"/>
      <w:numFmt w:val="upperLetter"/>
      <w:pStyle w:val="4"/>
      <w:lvlText w:val="%1、"/>
      <w:lvlJc w:val="left"/>
      <w:pPr>
        <w:tabs>
          <w:tab w:val="left" w:pos="1275"/>
        </w:tabs>
        <w:ind w:left="1275" w:hanging="720"/>
      </w:pPr>
      <w:rPr>
        <w:rFonts w:hAnsi="宋体"/>
      </w:rPr>
    </w:lvl>
    <w:lvl w:ilvl="1" w:tentative="0">
      <w:start w:val="1"/>
      <w:numFmt w:val="decimalEnclosedCircle"/>
      <w:lvlText w:val="%2"/>
      <w:lvlJc w:val="left"/>
      <w:pPr>
        <w:tabs>
          <w:tab w:val="left" w:pos="1335"/>
        </w:tabs>
        <w:ind w:left="1335" w:hanging="360"/>
      </w:pPr>
      <w:rPr>
        <w:rFonts w:hAnsi="宋体"/>
      </w:rPr>
    </w:lvl>
    <w:lvl w:ilvl="2" w:tentative="0">
      <w:start w:val="1"/>
      <w:numFmt w:val="lowerRoman"/>
      <w:lvlText w:val="%3."/>
      <w:lvlJc w:val="right"/>
      <w:pPr>
        <w:tabs>
          <w:tab w:val="left" w:pos="420"/>
        </w:tabs>
        <w:ind w:left="420"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21">
    <w:nsid w:val="58F61B24"/>
    <w:multiLevelType w:val="multilevel"/>
    <w:tmpl w:val="58F61B24"/>
    <w:lvl w:ilvl="0" w:tentative="0">
      <w:start w:val="5"/>
      <w:numFmt w:val="decimal"/>
      <w:lvlText w:val="%1"/>
      <w:lvlJc w:val="left"/>
      <w:pPr>
        <w:ind w:left="360" w:hanging="360"/>
      </w:pPr>
    </w:lvl>
    <w:lvl w:ilvl="1" w:tentative="0">
      <w:start w:val="4"/>
      <w:numFmt w:val="decimal"/>
      <w:lvlText w:val="%1.%2"/>
      <w:lvlJc w:val="left"/>
      <w:pPr>
        <w:ind w:left="800" w:hanging="360"/>
      </w:pPr>
    </w:lvl>
    <w:lvl w:ilvl="2" w:tentative="0">
      <w:start w:val="1"/>
      <w:numFmt w:val="decimal"/>
      <w:lvlText w:val="%1.%2.%3"/>
      <w:lvlJc w:val="left"/>
      <w:pPr>
        <w:ind w:left="1600" w:hanging="720"/>
      </w:pPr>
    </w:lvl>
    <w:lvl w:ilvl="3" w:tentative="0">
      <w:start w:val="1"/>
      <w:numFmt w:val="decimal"/>
      <w:lvlText w:val="%1.%2.%3.%4"/>
      <w:lvlJc w:val="left"/>
      <w:pPr>
        <w:ind w:left="2400" w:hanging="1080"/>
      </w:pPr>
    </w:lvl>
    <w:lvl w:ilvl="4" w:tentative="0">
      <w:start w:val="1"/>
      <w:numFmt w:val="decimal"/>
      <w:lvlText w:val="%1.%2.%3.%4.%5"/>
      <w:lvlJc w:val="left"/>
      <w:pPr>
        <w:ind w:left="2840" w:hanging="1080"/>
      </w:pPr>
    </w:lvl>
    <w:lvl w:ilvl="5" w:tentative="0">
      <w:start w:val="1"/>
      <w:numFmt w:val="decimal"/>
      <w:lvlText w:val="%1.%2.%3.%4.%5.%6"/>
      <w:lvlJc w:val="left"/>
      <w:pPr>
        <w:ind w:left="3640" w:hanging="1440"/>
      </w:pPr>
    </w:lvl>
    <w:lvl w:ilvl="6" w:tentative="0">
      <w:start w:val="1"/>
      <w:numFmt w:val="decimal"/>
      <w:lvlText w:val="%1.%2.%3.%4.%5.%6.%7"/>
      <w:lvlJc w:val="left"/>
      <w:pPr>
        <w:ind w:left="4080" w:hanging="1440"/>
      </w:pPr>
    </w:lvl>
    <w:lvl w:ilvl="7" w:tentative="0">
      <w:start w:val="1"/>
      <w:numFmt w:val="decimal"/>
      <w:lvlText w:val="%1.%2.%3.%4.%5.%6.%7.%8"/>
      <w:lvlJc w:val="left"/>
      <w:pPr>
        <w:ind w:left="4880" w:hanging="1800"/>
      </w:pPr>
    </w:lvl>
    <w:lvl w:ilvl="8" w:tentative="0">
      <w:start w:val="1"/>
      <w:numFmt w:val="decimal"/>
      <w:lvlText w:val="%1.%2.%3.%4.%5.%6.%7.%8.%9"/>
      <w:lvlJc w:val="left"/>
      <w:pPr>
        <w:ind w:left="5680" w:hanging="2160"/>
      </w:pPr>
    </w:lvl>
  </w:abstractNum>
  <w:abstractNum w:abstractNumId="22">
    <w:nsid w:val="7CB61C1F"/>
    <w:multiLevelType w:val="multilevel"/>
    <w:tmpl w:val="7CB61C1F"/>
    <w:lvl w:ilvl="0" w:tentative="0">
      <w:start w:val="1"/>
      <w:numFmt w:val="bullet"/>
      <w:lvlText w:val=""/>
      <w:lvlJc w:val="left"/>
      <w:pPr>
        <w:tabs>
          <w:tab w:val="left" w:pos="624"/>
        </w:tabs>
        <w:ind w:left="454" w:hanging="454"/>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pStyle w:val="125"/>
      <w:lvlText w:val=""/>
      <w:lvlJc w:val="left"/>
      <w:pPr>
        <w:tabs>
          <w:tab w:val="left" w:pos="3780"/>
        </w:tabs>
        <w:ind w:left="3780" w:hanging="420"/>
      </w:pPr>
      <w:rPr>
        <w:rFonts w:hint="default" w:ascii="Wingdings" w:hAnsi="Wingdings"/>
      </w:rPr>
    </w:lvl>
  </w:abstractNum>
  <w:abstractNum w:abstractNumId="23">
    <w:nsid w:val="7D8E0138"/>
    <w:multiLevelType w:val="multilevel"/>
    <w:tmpl w:val="7D8E0138"/>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420"/>
        </w:tabs>
        <w:ind w:left="420" w:hanging="420"/>
      </w:pPr>
    </w:lvl>
    <w:lvl w:ilvl="2" w:tentative="0">
      <w:start w:val="1"/>
      <w:numFmt w:val="lowerRoman"/>
      <w:lvlText w:val="%3."/>
      <w:lvlJc w:val="right"/>
      <w:pPr>
        <w:tabs>
          <w:tab w:val="left" w:pos="840"/>
        </w:tabs>
        <w:ind w:left="840" w:hanging="420"/>
      </w:pPr>
    </w:lvl>
    <w:lvl w:ilvl="3" w:tentative="0">
      <w:start w:val="1"/>
      <w:numFmt w:val="decimal"/>
      <w:lvlText w:val="%4."/>
      <w:lvlJc w:val="left"/>
      <w:pPr>
        <w:tabs>
          <w:tab w:val="left" w:pos="1260"/>
        </w:tabs>
        <w:ind w:left="1260" w:hanging="420"/>
      </w:pPr>
    </w:lvl>
    <w:lvl w:ilvl="4" w:tentative="0">
      <w:start w:val="1"/>
      <w:numFmt w:val="lowerLetter"/>
      <w:lvlText w:val="%5)"/>
      <w:lvlJc w:val="left"/>
      <w:pPr>
        <w:tabs>
          <w:tab w:val="left" w:pos="1680"/>
        </w:tabs>
        <w:ind w:left="1680" w:hanging="420"/>
      </w:pPr>
    </w:lvl>
    <w:lvl w:ilvl="5" w:tentative="0">
      <w:start w:val="1"/>
      <w:numFmt w:val="lowerRoman"/>
      <w:lvlText w:val="%6."/>
      <w:lvlJc w:val="right"/>
      <w:pPr>
        <w:tabs>
          <w:tab w:val="left" w:pos="2100"/>
        </w:tabs>
        <w:ind w:left="2100" w:hanging="420"/>
      </w:pPr>
    </w:lvl>
    <w:lvl w:ilvl="6" w:tentative="0">
      <w:start w:val="1"/>
      <w:numFmt w:val="decimal"/>
      <w:lvlText w:val="%7."/>
      <w:lvlJc w:val="left"/>
      <w:pPr>
        <w:tabs>
          <w:tab w:val="left" w:pos="2520"/>
        </w:tabs>
        <w:ind w:left="2520" w:hanging="420"/>
      </w:pPr>
    </w:lvl>
    <w:lvl w:ilvl="7" w:tentative="0">
      <w:start w:val="1"/>
      <w:numFmt w:val="lowerLetter"/>
      <w:lvlText w:val="%8)"/>
      <w:lvlJc w:val="left"/>
      <w:pPr>
        <w:tabs>
          <w:tab w:val="left" w:pos="2940"/>
        </w:tabs>
        <w:ind w:left="2940" w:hanging="420"/>
      </w:pPr>
    </w:lvl>
    <w:lvl w:ilvl="8" w:tentative="0">
      <w:start w:val="1"/>
      <w:numFmt w:val="lowerRoman"/>
      <w:lvlText w:val="%9."/>
      <w:lvlJc w:val="right"/>
      <w:pPr>
        <w:tabs>
          <w:tab w:val="left" w:pos="3360"/>
        </w:tabs>
        <w:ind w:left="3360" w:hanging="420"/>
      </w:p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22"/>
  </w:num>
  <w:num w:numId="5">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lvlOverride w:ilvl="0">
      <w:startOverride w:val="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lvlOverride w:ilvl="0">
      <w:startOverride w:val="1"/>
    </w:lvlOverride>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num>
  <w:num w:numId="18">
    <w:abstractNumId w:val="10"/>
    <w:lvlOverride w:ilvl="0">
      <w:startOverride w:val="1"/>
    </w:lvlOverride>
  </w:num>
  <w:num w:numId="19">
    <w:abstractNumId w:val="6"/>
    <w:lvlOverride w:ilvl="0">
      <w:startOverride w:val="1"/>
    </w:lvlOverride>
  </w:num>
  <w:num w:numId="20">
    <w:abstractNumId w:val="3"/>
    <w:lvlOverride w:ilvl="0">
      <w:startOverride w:val="6"/>
    </w:lvlOverride>
  </w:num>
  <w:num w:numId="21">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3"/>
    </w:lvlOverride>
  </w:num>
  <w:num w:numId="23">
    <w:abstractNumId w:val="9"/>
    <w:lvlOverride w:ilvl="0">
      <w:startOverride w:val="1"/>
    </w:lvlOverride>
  </w:num>
  <w:num w:numId="24">
    <w:abstractNumId w:val="11"/>
    <w:lvlOverride w:ilvl="0">
      <w:startOverride w:val="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73A3"/>
    <w:rsid w:val="00055288"/>
    <w:rsid w:val="000D0896"/>
    <w:rsid w:val="000D321B"/>
    <w:rsid w:val="00223321"/>
    <w:rsid w:val="00256246"/>
    <w:rsid w:val="002D71BE"/>
    <w:rsid w:val="003F5FD5"/>
    <w:rsid w:val="00456D42"/>
    <w:rsid w:val="004A73A3"/>
    <w:rsid w:val="005C155A"/>
    <w:rsid w:val="007216EB"/>
    <w:rsid w:val="00963759"/>
    <w:rsid w:val="009C1897"/>
    <w:rsid w:val="00A46706"/>
    <w:rsid w:val="00AA3BA8"/>
    <w:rsid w:val="00F068C6"/>
    <w:rsid w:val="353816FC"/>
    <w:rsid w:val="76E2454E"/>
  </w:rsids>
  <m:mathPr>
    <m:lMargin m:val="0"/>
    <m:mathFont m:val="Cambria Math"/>
    <m:rMargin m:val="0"/>
    <m:wrapIndent m:val="1440"/>
    <m:brkBin m:val="before"/>
    <m:brkBinSub m:val="--"/>
    <m:defJc m:val="centerGroup"/>
    <m:intLim m:val="subSup"/>
    <m:naryLim m:val="undOvr"/>
    <m:smallFrac m:val=""/>
    <m:dispDef/>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99" w:semiHidden="0" w:name="heading 7"/>
    <w:lsdException w:qFormat="1" w:uiPriority="99" w:semiHidden="0" w:name="heading 8"/>
    <w:lsdException w:qFormat="1" w:uiPriority="99" w:semiHidden="0" w:name="heading 9"/>
    <w:lsdException w:qFormat="1" w:uiPriority="99" w:semiHidden="0" w:name="index 1"/>
    <w:lsdException w:uiPriority="99" w:name="index 2"/>
    <w:lsdException w:uiPriority="99" w:name="index 3"/>
    <w:lsdException w:uiPriority="99" w:name="index 4"/>
    <w:lsdException w:qFormat="1" w:uiPriority="99" w:semiHidden="0" w:name="index 5"/>
    <w:lsdException w:uiPriority="99" w:name="index 6"/>
    <w:lsdException w:uiPriority="99" w:name="index 7"/>
    <w:lsdException w:uiPriority="99" w:name="index 8"/>
    <w:lsdException w:uiPriority="99" w:name="index 9"/>
    <w:lsdException w:qFormat="1" w:uiPriority="39" w:semiHidden="0" w:name="toc 1"/>
    <w:lsdException w:qFormat="1" w:uiPriority="99" w:semiHidden="0" w:name="toc 2"/>
    <w:lsdException w:qFormat="1" w:uiPriority="99" w:semiHidden="0" w:name="toc 3"/>
    <w:lsdException w:qFormat="1" w:uiPriority="99" w:semiHidden="0" w:name="toc 4"/>
    <w:lsdException w:qFormat="1" w:uiPriority="99" w:semiHidden="0" w:name="toc 5"/>
    <w:lsdException w:qFormat="1" w:uiPriority="99" w:semiHidden="0" w:name="toc 6"/>
    <w:lsdException w:qFormat="1" w:uiPriority="99" w:semiHidden="0" w:name="toc 7"/>
    <w:lsdException w:qFormat="1" w:uiPriority="99" w:semiHidden="0" w:name="toc 8"/>
    <w:lsdException w:qFormat="1" w:uiPriority="99" w:semiHidden="0" w:name="toc 9"/>
    <w:lsdException w:qFormat="1"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99" w:semiHidden="0"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qFormat="1" w:uiPriority="99" w:semiHidden="0" w:name="table of authorities"/>
    <w:lsdException w:uiPriority="99" w:name="macro"/>
    <w:lsdException w:uiPriority="99" w:name="toa heading"/>
    <w:lsdException w:qFormat="1" w:uiPriority="99" w:semiHidden="0" w:name="List"/>
    <w:lsdException w:qFormat="1" w:uiPriority="99" w:semiHidden="0" w:name="List Bullet"/>
    <w:lsdException w:uiPriority="99" w:name="List Number"/>
    <w:lsdException w:qFormat="1" w:uiPriority="99" w:semiHidden="0" w:name="List 2"/>
    <w:lsdException w:qFormat="1" w:uiPriority="99" w:semiHidden="0" w:name="List 3"/>
    <w:lsdException w:qFormat="1" w:uiPriority="99" w:semiHidden="0" w:name="List 4"/>
    <w:lsdException w:uiPriority="99" w:name="List 5"/>
    <w:lsdException w:qFormat="1" w:uiPriority="99"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semiHidden="0" w:name="Default Paragraph Font"/>
    <w:lsdException w:qFormat="1" w:uiPriority="99" w:semiHidden="0" w:name="Body Text"/>
    <w:lsdException w:qFormat="1" w:uiPriority="99" w:semiHidden="0" w:name="Body Text Indent"/>
    <w:lsdException w:qFormat="1" w:uiPriority="99" w:semiHidden="0" w:name="List Continue"/>
    <w:lsdException w:qFormat="1" w:uiPriority="99"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iPriority="99" w:semiHidden="0" w:name="Body Text First Indent"/>
    <w:lsdException w:qFormat="1" w:uiPriority="99" w:semiHidden="0" w:name="Body Text First Indent 2"/>
    <w:lsdException w:uiPriority="99" w:name="Note Heading"/>
    <w:lsdException w:qFormat="1" w:uiPriority="99" w:semiHidden="0" w:name="Body Text 2"/>
    <w:lsdException w:qFormat="1" w:uiPriority="99" w:semiHidden="0" w:name="Body Text 3"/>
    <w:lsdException w:qFormat="1" w:uiPriority="99" w:semiHidden="0" w:name="Body Text Indent 2"/>
    <w:lsdException w:qFormat="1" w:uiPriority="99" w:semiHidden="0" w:name="Body Text Indent 3"/>
    <w:lsdException w:qFormat="1" w:uiPriority="99" w:semiHidden="0"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8"/>
    <w:qFormat/>
    <w:uiPriority w:val="0"/>
    <w:pPr>
      <w:keepNext/>
      <w:keepLines/>
      <w:spacing w:before="340" w:after="330" w:line="360" w:lineRule="auto"/>
      <w:jc w:val="center"/>
      <w:outlineLvl w:val="0"/>
    </w:pPr>
    <w:rPr>
      <w:rFonts w:ascii="Times New Roman" w:hAnsi="Times New Roman" w:eastAsia="宋体" w:cs="Times New Roman"/>
      <w:b/>
      <w:bCs/>
      <w:kern w:val="44"/>
      <w:sz w:val="30"/>
      <w:szCs w:val="44"/>
      <w:lang w:val="zh-CN"/>
    </w:rPr>
  </w:style>
  <w:style w:type="paragraph" w:styleId="3">
    <w:name w:val="heading 2"/>
    <w:basedOn w:val="1"/>
    <w:next w:val="1"/>
    <w:link w:val="59"/>
    <w:unhideWhenUsed/>
    <w:qFormat/>
    <w:uiPriority w:val="0"/>
    <w:pPr>
      <w:keepNext/>
      <w:keepLines/>
      <w:spacing w:before="260" w:after="260" w:line="360" w:lineRule="auto"/>
      <w:jc w:val="center"/>
      <w:outlineLvl w:val="1"/>
    </w:pPr>
    <w:rPr>
      <w:rFonts w:ascii="Arial" w:hAnsi="Arial" w:eastAsia="宋体" w:cs="Times New Roman"/>
      <w:b/>
      <w:bCs/>
      <w:kern w:val="0"/>
      <w:sz w:val="28"/>
      <w:szCs w:val="32"/>
      <w:lang w:val="zh-CN"/>
    </w:rPr>
  </w:style>
  <w:style w:type="paragraph" w:styleId="4">
    <w:name w:val="heading 3"/>
    <w:basedOn w:val="1"/>
    <w:next w:val="1"/>
    <w:link w:val="60"/>
    <w:unhideWhenUsed/>
    <w:qFormat/>
    <w:uiPriority w:val="0"/>
    <w:pPr>
      <w:keepNext/>
      <w:numPr>
        <w:ilvl w:val="0"/>
        <w:numId w:val="1"/>
      </w:numPr>
      <w:spacing w:line="216" w:lineRule="auto"/>
      <w:outlineLvl w:val="2"/>
    </w:pPr>
    <w:rPr>
      <w:rFonts w:ascii="宋体" w:hAnsi="Times New Roman" w:eastAsia="宋体" w:cs="Times New Roman"/>
      <w:b/>
      <w:kern w:val="0"/>
      <w:sz w:val="28"/>
      <w:szCs w:val="20"/>
      <w:lang w:val="zh-CN"/>
    </w:rPr>
  </w:style>
  <w:style w:type="paragraph" w:styleId="5">
    <w:name w:val="heading 4"/>
    <w:basedOn w:val="1"/>
    <w:next w:val="1"/>
    <w:link w:val="61"/>
    <w:unhideWhenUsed/>
    <w:qFormat/>
    <w:uiPriority w:val="0"/>
    <w:pPr>
      <w:keepNext/>
      <w:keepLines/>
      <w:spacing w:before="280" w:after="290" w:line="374" w:lineRule="auto"/>
      <w:outlineLvl w:val="3"/>
    </w:pPr>
    <w:rPr>
      <w:rFonts w:ascii="Arial" w:hAnsi="Arial" w:eastAsia="黑体" w:cs="Times New Roman"/>
      <w:b/>
      <w:bCs/>
      <w:kern w:val="0"/>
      <w:sz w:val="28"/>
      <w:szCs w:val="28"/>
      <w:lang w:val="zh-CN"/>
    </w:rPr>
  </w:style>
  <w:style w:type="paragraph" w:styleId="6">
    <w:name w:val="heading 5"/>
    <w:basedOn w:val="1"/>
    <w:next w:val="1"/>
    <w:link w:val="62"/>
    <w:unhideWhenUsed/>
    <w:qFormat/>
    <w:uiPriority w:val="0"/>
    <w:pPr>
      <w:keepNext/>
      <w:keepLines/>
      <w:spacing w:before="280" w:after="290" w:line="374" w:lineRule="auto"/>
      <w:outlineLvl w:val="4"/>
    </w:pPr>
    <w:rPr>
      <w:rFonts w:ascii="Times New Roman" w:hAnsi="Times New Roman" w:eastAsia="宋体" w:cs="Times New Roman"/>
      <w:b/>
      <w:bCs/>
      <w:kern w:val="0"/>
      <w:sz w:val="28"/>
      <w:szCs w:val="28"/>
      <w:lang w:val="zh-CN"/>
    </w:rPr>
  </w:style>
  <w:style w:type="paragraph" w:styleId="7">
    <w:name w:val="heading 6"/>
    <w:basedOn w:val="1"/>
    <w:next w:val="1"/>
    <w:link w:val="63"/>
    <w:unhideWhenUsed/>
    <w:qFormat/>
    <w:uiPriority w:val="0"/>
    <w:pPr>
      <w:keepNext/>
      <w:keepLines/>
      <w:spacing w:before="240" w:after="64" w:line="319" w:lineRule="auto"/>
      <w:outlineLvl w:val="5"/>
    </w:pPr>
    <w:rPr>
      <w:rFonts w:ascii="Arial" w:hAnsi="Arial" w:eastAsia="黑体" w:cs="Times New Roman"/>
      <w:b/>
      <w:bCs/>
      <w:kern w:val="0"/>
      <w:sz w:val="24"/>
      <w:szCs w:val="24"/>
      <w:lang w:val="zh-CN"/>
    </w:rPr>
  </w:style>
  <w:style w:type="paragraph" w:styleId="8">
    <w:name w:val="heading 7"/>
    <w:basedOn w:val="1"/>
    <w:next w:val="1"/>
    <w:link w:val="64"/>
    <w:unhideWhenUsed/>
    <w:qFormat/>
    <w:uiPriority w:val="99"/>
    <w:pPr>
      <w:keepNext/>
      <w:keepLines/>
      <w:tabs>
        <w:tab w:val="left" w:pos="1296"/>
      </w:tabs>
      <w:spacing w:before="240" w:after="64" w:line="319" w:lineRule="auto"/>
      <w:ind w:left="1296" w:hanging="1296"/>
      <w:outlineLvl w:val="6"/>
    </w:pPr>
    <w:rPr>
      <w:rFonts w:ascii="Times New Roman" w:hAnsi="Times New Roman" w:eastAsia="宋体" w:cs="Times New Roman"/>
      <w:b/>
      <w:bCs/>
      <w:kern w:val="0"/>
      <w:sz w:val="24"/>
      <w:szCs w:val="24"/>
      <w:lang w:val="zh-CN"/>
    </w:rPr>
  </w:style>
  <w:style w:type="paragraph" w:styleId="9">
    <w:name w:val="heading 8"/>
    <w:basedOn w:val="1"/>
    <w:next w:val="1"/>
    <w:link w:val="65"/>
    <w:unhideWhenUsed/>
    <w:qFormat/>
    <w:uiPriority w:val="99"/>
    <w:pPr>
      <w:keepNext/>
      <w:keepLines/>
      <w:tabs>
        <w:tab w:val="left" w:pos="1440"/>
      </w:tabs>
      <w:spacing w:before="240" w:after="64" w:line="319" w:lineRule="auto"/>
      <w:ind w:left="1440" w:hanging="1440"/>
      <w:outlineLvl w:val="7"/>
    </w:pPr>
    <w:rPr>
      <w:rFonts w:ascii="Arial" w:hAnsi="Arial" w:eastAsia="黑体" w:cs="Times New Roman"/>
      <w:kern w:val="0"/>
      <w:sz w:val="24"/>
      <w:szCs w:val="24"/>
      <w:lang w:val="zh-CN"/>
    </w:rPr>
  </w:style>
  <w:style w:type="paragraph" w:styleId="10">
    <w:name w:val="heading 9"/>
    <w:basedOn w:val="1"/>
    <w:next w:val="1"/>
    <w:link w:val="66"/>
    <w:unhideWhenUsed/>
    <w:qFormat/>
    <w:uiPriority w:val="99"/>
    <w:pPr>
      <w:keepNext/>
      <w:keepLines/>
      <w:tabs>
        <w:tab w:val="left" w:pos="1584"/>
      </w:tabs>
      <w:spacing w:before="240" w:after="64" w:line="319" w:lineRule="auto"/>
      <w:ind w:left="1584" w:hanging="1584"/>
      <w:outlineLvl w:val="8"/>
    </w:pPr>
    <w:rPr>
      <w:rFonts w:ascii="Arial" w:hAnsi="Arial" w:eastAsia="黑体" w:cs="Times New Roman"/>
      <w:kern w:val="0"/>
      <w:sz w:val="20"/>
      <w:szCs w:val="21"/>
      <w:lang w:val="zh-CN"/>
    </w:rPr>
  </w:style>
  <w:style w:type="character" w:default="1" w:styleId="52">
    <w:name w:val="Default Paragraph Font"/>
    <w:unhideWhenUsed/>
    <w:qFormat/>
    <w:uiPriority w:val="1"/>
  </w:style>
  <w:style w:type="table" w:default="1" w:styleId="56">
    <w:name w:val="Normal Table"/>
    <w:unhideWhenUsed/>
    <w:qFormat/>
    <w:uiPriority w:val="99"/>
    <w:tblPr>
      <w:tblLayout w:type="fixed"/>
      <w:tblCellMar>
        <w:top w:w="0" w:type="dxa"/>
        <w:left w:w="108" w:type="dxa"/>
        <w:bottom w:w="0" w:type="dxa"/>
        <w:right w:w="108" w:type="dxa"/>
      </w:tblCellMar>
    </w:tblPr>
  </w:style>
  <w:style w:type="paragraph" w:styleId="11">
    <w:name w:val="List 3"/>
    <w:basedOn w:val="1"/>
    <w:unhideWhenUsed/>
    <w:qFormat/>
    <w:uiPriority w:val="99"/>
    <w:pPr>
      <w:ind w:left="100" w:leftChars="400" w:hanging="200" w:hangingChars="200"/>
    </w:pPr>
    <w:rPr>
      <w:rFonts w:ascii="Times New Roman" w:hAnsi="Times New Roman" w:eastAsia="宋体" w:cs="Times New Roman"/>
      <w:szCs w:val="24"/>
    </w:rPr>
  </w:style>
  <w:style w:type="paragraph" w:styleId="12">
    <w:name w:val="annotation subject"/>
    <w:basedOn w:val="13"/>
    <w:next w:val="13"/>
    <w:link w:val="96"/>
    <w:unhideWhenUsed/>
    <w:qFormat/>
    <w:uiPriority w:val="99"/>
    <w:rPr>
      <w:rFonts w:ascii="Times New Roman" w:hAnsi="Times New Roman"/>
      <w:b/>
      <w:bCs/>
      <w:szCs w:val="24"/>
    </w:rPr>
  </w:style>
  <w:style w:type="paragraph" w:styleId="13">
    <w:name w:val="annotation text"/>
    <w:basedOn w:val="1"/>
    <w:link w:val="70"/>
    <w:unhideWhenUsed/>
    <w:qFormat/>
    <w:uiPriority w:val="99"/>
    <w:pPr>
      <w:jc w:val="left"/>
    </w:pPr>
    <w:rPr>
      <w:rFonts w:ascii="Calibri" w:hAnsi="Calibri" w:eastAsia="宋体" w:cs="Times New Roman"/>
    </w:rPr>
  </w:style>
  <w:style w:type="paragraph" w:styleId="14">
    <w:name w:val="toc 7"/>
    <w:basedOn w:val="1"/>
    <w:next w:val="1"/>
    <w:unhideWhenUsed/>
    <w:qFormat/>
    <w:uiPriority w:val="99"/>
    <w:pPr>
      <w:ind w:left="1260"/>
      <w:jc w:val="left"/>
    </w:pPr>
    <w:rPr>
      <w:rFonts w:ascii="Times New Roman" w:hAnsi="Times New Roman" w:eastAsia="宋体" w:cs="Times New Roman"/>
      <w:sz w:val="20"/>
      <w:szCs w:val="20"/>
    </w:rPr>
  </w:style>
  <w:style w:type="paragraph" w:styleId="15">
    <w:name w:val="Body Text First Indent"/>
    <w:basedOn w:val="16"/>
    <w:link w:val="80"/>
    <w:unhideWhenUsed/>
    <w:qFormat/>
    <w:uiPriority w:val="99"/>
    <w:pPr>
      <w:ind w:firstLine="420" w:firstLineChars="100"/>
    </w:pPr>
    <w:rPr>
      <w:rFonts w:ascii="Times New Roman" w:hAnsi="Times New Roman"/>
      <w:szCs w:val="24"/>
    </w:rPr>
  </w:style>
  <w:style w:type="paragraph" w:styleId="16">
    <w:name w:val="Body Text"/>
    <w:basedOn w:val="1"/>
    <w:link w:val="74"/>
    <w:unhideWhenUsed/>
    <w:qFormat/>
    <w:uiPriority w:val="99"/>
    <w:pPr>
      <w:spacing w:after="120"/>
    </w:pPr>
    <w:rPr>
      <w:rFonts w:ascii="Calibri" w:hAnsi="Calibri" w:eastAsia="宋体" w:cs="Times New Roman"/>
    </w:rPr>
  </w:style>
  <w:style w:type="paragraph" w:styleId="17">
    <w:name w:val="table of authorities"/>
    <w:basedOn w:val="1"/>
    <w:next w:val="1"/>
    <w:unhideWhenUsed/>
    <w:qFormat/>
    <w:uiPriority w:val="99"/>
    <w:pPr>
      <w:ind w:left="420" w:leftChars="200"/>
    </w:pPr>
    <w:rPr>
      <w:rFonts w:ascii="Times New Roman" w:hAnsi="Times New Roman" w:eastAsia="宋体" w:cs="Times New Roman"/>
      <w:szCs w:val="24"/>
    </w:rPr>
  </w:style>
  <w:style w:type="paragraph" w:styleId="18">
    <w:name w:val="Normal Indent"/>
    <w:basedOn w:val="1"/>
    <w:link w:val="69"/>
    <w:unhideWhenUsed/>
    <w:qFormat/>
    <w:uiPriority w:val="0"/>
    <w:pPr>
      <w:ind w:firstLine="420"/>
    </w:pPr>
    <w:rPr>
      <w:rFonts w:ascii="Times New Roman" w:hAnsi="Times New Roman" w:cs="Times New Roman"/>
    </w:rPr>
  </w:style>
  <w:style w:type="paragraph" w:styleId="19">
    <w:name w:val="caption"/>
    <w:basedOn w:val="1"/>
    <w:next w:val="1"/>
    <w:unhideWhenUsed/>
    <w:qFormat/>
    <w:uiPriority w:val="99"/>
    <w:rPr>
      <w:rFonts w:ascii="Arial" w:hAnsi="Arial" w:eastAsia="黑体" w:cs="Arial"/>
      <w:sz w:val="20"/>
      <w:szCs w:val="20"/>
    </w:rPr>
  </w:style>
  <w:style w:type="paragraph" w:styleId="20">
    <w:name w:val="index 5"/>
    <w:basedOn w:val="1"/>
    <w:next w:val="1"/>
    <w:unhideWhenUsed/>
    <w:qFormat/>
    <w:uiPriority w:val="99"/>
    <w:pPr>
      <w:ind w:left="800" w:leftChars="800"/>
    </w:pPr>
    <w:rPr>
      <w:rFonts w:ascii="Times New Roman" w:hAnsi="Times New Roman" w:eastAsia="宋体" w:cs="Times New Roman"/>
      <w:szCs w:val="24"/>
    </w:rPr>
  </w:style>
  <w:style w:type="paragraph" w:styleId="21">
    <w:name w:val="List Bullet"/>
    <w:basedOn w:val="1"/>
    <w:unhideWhenUsed/>
    <w:qFormat/>
    <w:uiPriority w:val="99"/>
    <w:pPr>
      <w:numPr>
        <w:ilvl w:val="0"/>
        <w:numId w:val="2"/>
      </w:numPr>
    </w:pPr>
    <w:rPr>
      <w:rFonts w:ascii="Times New Roman" w:hAnsi="Times New Roman" w:eastAsia="宋体" w:cs="Times New Roman"/>
      <w:szCs w:val="24"/>
    </w:rPr>
  </w:style>
  <w:style w:type="paragraph" w:styleId="22">
    <w:name w:val="Document Map"/>
    <w:basedOn w:val="1"/>
    <w:link w:val="92"/>
    <w:unhideWhenUsed/>
    <w:qFormat/>
    <w:uiPriority w:val="99"/>
    <w:pPr>
      <w:shd w:val="clear" w:color="auto" w:fill="000080"/>
    </w:pPr>
    <w:rPr>
      <w:rFonts w:ascii="Times New Roman" w:hAnsi="Times New Roman" w:eastAsia="宋体" w:cs="Times New Roman"/>
      <w:kern w:val="0"/>
      <w:sz w:val="20"/>
      <w:szCs w:val="24"/>
    </w:rPr>
  </w:style>
  <w:style w:type="paragraph" w:styleId="23">
    <w:name w:val="Body Text 3"/>
    <w:basedOn w:val="1"/>
    <w:link w:val="86"/>
    <w:unhideWhenUsed/>
    <w:qFormat/>
    <w:uiPriority w:val="99"/>
    <w:pPr>
      <w:adjustRightInd w:val="0"/>
      <w:spacing w:after="120" w:line="360" w:lineRule="atLeast"/>
    </w:pPr>
    <w:rPr>
      <w:rFonts w:ascii="Times New Roman" w:hAnsi="Times New Roman" w:eastAsia="宋体" w:cs="Times New Roman"/>
      <w:kern w:val="0"/>
      <w:sz w:val="16"/>
      <w:szCs w:val="16"/>
    </w:rPr>
  </w:style>
  <w:style w:type="paragraph" w:styleId="24">
    <w:name w:val="Body Text Indent"/>
    <w:basedOn w:val="1"/>
    <w:link w:val="76"/>
    <w:unhideWhenUsed/>
    <w:qFormat/>
    <w:uiPriority w:val="99"/>
    <w:pPr>
      <w:ind w:firstLine="560" w:firstLineChars="200"/>
    </w:pPr>
    <w:rPr>
      <w:rFonts w:ascii="宋体" w:hAnsi="宋体" w:eastAsia="宋体" w:cs="Times New Roman"/>
      <w:kern w:val="0"/>
      <w:sz w:val="28"/>
      <w:szCs w:val="28"/>
    </w:rPr>
  </w:style>
  <w:style w:type="paragraph" w:styleId="25">
    <w:name w:val="List 2"/>
    <w:basedOn w:val="1"/>
    <w:unhideWhenUsed/>
    <w:qFormat/>
    <w:uiPriority w:val="99"/>
    <w:pPr>
      <w:ind w:left="100" w:leftChars="200" w:hanging="200" w:hangingChars="200"/>
    </w:pPr>
    <w:rPr>
      <w:rFonts w:ascii="Times New Roman" w:hAnsi="Times New Roman" w:eastAsia="宋体" w:cs="Times New Roman"/>
      <w:szCs w:val="24"/>
    </w:rPr>
  </w:style>
  <w:style w:type="paragraph" w:styleId="26">
    <w:name w:val="List Continue"/>
    <w:basedOn w:val="1"/>
    <w:unhideWhenUsed/>
    <w:qFormat/>
    <w:uiPriority w:val="99"/>
    <w:pPr>
      <w:spacing w:after="120"/>
      <w:ind w:left="420" w:leftChars="200"/>
    </w:pPr>
    <w:rPr>
      <w:rFonts w:ascii="Times New Roman" w:hAnsi="Times New Roman" w:eastAsia="宋体" w:cs="Times New Roman"/>
      <w:szCs w:val="24"/>
    </w:rPr>
  </w:style>
  <w:style w:type="paragraph" w:styleId="27">
    <w:name w:val="Block Text"/>
    <w:basedOn w:val="1"/>
    <w:unhideWhenUsed/>
    <w:qFormat/>
    <w:uiPriority w:val="99"/>
    <w:pPr>
      <w:spacing w:before="120" w:after="120" w:line="360" w:lineRule="auto"/>
      <w:ind w:left="525" w:right="202"/>
    </w:pPr>
    <w:rPr>
      <w:rFonts w:ascii="宋体" w:hAnsi="宋体" w:eastAsia="宋体" w:cs="Times New Roman"/>
      <w:spacing w:val="-4"/>
      <w:sz w:val="24"/>
      <w:szCs w:val="24"/>
    </w:rPr>
  </w:style>
  <w:style w:type="paragraph" w:styleId="28">
    <w:name w:val="List Bullet 2"/>
    <w:basedOn w:val="1"/>
    <w:unhideWhenUsed/>
    <w:qFormat/>
    <w:uiPriority w:val="99"/>
    <w:pPr>
      <w:numPr>
        <w:ilvl w:val="0"/>
        <w:numId w:val="3"/>
      </w:numPr>
    </w:pPr>
    <w:rPr>
      <w:rFonts w:ascii="Times New Roman" w:hAnsi="Times New Roman" w:eastAsia="宋体" w:cs="Times New Roman"/>
      <w:szCs w:val="24"/>
    </w:rPr>
  </w:style>
  <w:style w:type="paragraph" w:styleId="29">
    <w:name w:val="toc 5"/>
    <w:basedOn w:val="1"/>
    <w:next w:val="1"/>
    <w:unhideWhenUsed/>
    <w:qFormat/>
    <w:uiPriority w:val="99"/>
    <w:pPr>
      <w:ind w:left="840"/>
      <w:jc w:val="left"/>
    </w:pPr>
    <w:rPr>
      <w:rFonts w:ascii="Times New Roman" w:hAnsi="Times New Roman" w:eastAsia="宋体" w:cs="Times New Roman"/>
      <w:sz w:val="20"/>
      <w:szCs w:val="20"/>
    </w:rPr>
  </w:style>
  <w:style w:type="paragraph" w:styleId="30">
    <w:name w:val="toc 3"/>
    <w:basedOn w:val="1"/>
    <w:next w:val="1"/>
    <w:unhideWhenUsed/>
    <w:qFormat/>
    <w:uiPriority w:val="99"/>
    <w:pPr>
      <w:tabs>
        <w:tab w:val="left" w:pos="1050"/>
        <w:tab w:val="right" w:leader="dot" w:pos="8636"/>
      </w:tabs>
      <w:spacing w:line="360" w:lineRule="auto"/>
      <w:jc w:val="left"/>
    </w:pPr>
    <w:rPr>
      <w:rFonts w:ascii="楷体_GB2312" w:hAnsi="黑体" w:eastAsia="楷体_GB2312" w:cs="Times New Roman"/>
      <w:sz w:val="28"/>
      <w:szCs w:val="20"/>
    </w:rPr>
  </w:style>
  <w:style w:type="paragraph" w:styleId="31">
    <w:name w:val="Plain Text"/>
    <w:basedOn w:val="1"/>
    <w:link w:val="94"/>
    <w:unhideWhenUsed/>
    <w:qFormat/>
    <w:uiPriority w:val="99"/>
    <w:rPr>
      <w:rFonts w:ascii="宋体" w:hAnsi="Courier New" w:eastAsia="宋体" w:cs="Times New Roman"/>
      <w:kern w:val="0"/>
      <w:sz w:val="20"/>
      <w:szCs w:val="21"/>
    </w:rPr>
  </w:style>
  <w:style w:type="paragraph" w:styleId="32">
    <w:name w:val="toc 8"/>
    <w:basedOn w:val="1"/>
    <w:next w:val="1"/>
    <w:unhideWhenUsed/>
    <w:qFormat/>
    <w:uiPriority w:val="99"/>
    <w:pPr>
      <w:ind w:left="1470"/>
      <w:jc w:val="left"/>
    </w:pPr>
    <w:rPr>
      <w:rFonts w:ascii="Times New Roman" w:hAnsi="Times New Roman" w:eastAsia="宋体" w:cs="Times New Roman"/>
      <w:sz w:val="20"/>
      <w:szCs w:val="20"/>
    </w:rPr>
  </w:style>
  <w:style w:type="paragraph" w:styleId="33">
    <w:name w:val="Date"/>
    <w:basedOn w:val="1"/>
    <w:next w:val="1"/>
    <w:link w:val="78"/>
    <w:unhideWhenUsed/>
    <w:qFormat/>
    <w:uiPriority w:val="99"/>
    <w:pPr>
      <w:ind w:left="100" w:leftChars="2500"/>
    </w:pPr>
    <w:rPr>
      <w:rFonts w:ascii="Times New Roman" w:hAnsi="Times New Roman" w:eastAsia="宋体" w:cs="Times New Roman"/>
      <w:kern w:val="0"/>
      <w:sz w:val="20"/>
      <w:szCs w:val="24"/>
    </w:rPr>
  </w:style>
  <w:style w:type="paragraph" w:styleId="34">
    <w:name w:val="Body Text Indent 2"/>
    <w:basedOn w:val="1"/>
    <w:link w:val="88"/>
    <w:unhideWhenUsed/>
    <w:qFormat/>
    <w:uiPriority w:val="99"/>
    <w:pPr>
      <w:spacing w:after="120" w:line="480" w:lineRule="auto"/>
      <w:ind w:left="420" w:leftChars="200"/>
    </w:pPr>
    <w:rPr>
      <w:rFonts w:ascii="Times New Roman" w:hAnsi="Times New Roman" w:eastAsia="宋体" w:cs="Times New Roman"/>
      <w:kern w:val="0"/>
      <w:sz w:val="20"/>
      <w:szCs w:val="24"/>
    </w:rPr>
  </w:style>
  <w:style w:type="paragraph" w:styleId="35">
    <w:name w:val="Balloon Text"/>
    <w:basedOn w:val="1"/>
    <w:link w:val="98"/>
    <w:unhideWhenUsed/>
    <w:qFormat/>
    <w:uiPriority w:val="99"/>
    <w:rPr>
      <w:rFonts w:ascii="Times New Roman" w:hAnsi="Times New Roman" w:eastAsia="宋体" w:cs="Times New Roman"/>
      <w:kern w:val="0"/>
      <w:sz w:val="18"/>
      <w:szCs w:val="18"/>
    </w:rPr>
  </w:style>
  <w:style w:type="paragraph" w:styleId="36">
    <w:name w:val="footer"/>
    <w:basedOn w:val="1"/>
    <w:link w:val="68"/>
    <w:unhideWhenUsed/>
    <w:qFormat/>
    <w:uiPriority w:val="99"/>
    <w:pPr>
      <w:tabs>
        <w:tab w:val="center" w:pos="4153"/>
        <w:tab w:val="right" w:pos="8306"/>
      </w:tabs>
      <w:snapToGrid w:val="0"/>
      <w:jc w:val="left"/>
    </w:pPr>
    <w:rPr>
      <w:rFonts w:ascii="Calibri" w:hAnsi="Calibri" w:eastAsia="宋体" w:cs="Times New Roman"/>
      <w:sz w:val="18"/>
      <w:szCs w:val="18"/>
    </w:rPr>
  </w:style>
  <w:style w:type="paragraph" w:styleId="37">
    <w:name w:val="Body Text First Indent 2"/>
    <w:basedOn w:val="24"/>
    <w:link w:val="82"/>
    <w:unhideWhenUsed/>
    <w:qFormat/>
    <w:uiPriority w:val="99"/>
    <w:pPr>
      <w:spacing w:after="120"/>
      <w:ind w:left="420" w:leftChars="200" w:firstLine="420"/>
    </w:pPr>
    <w:rPr>
      <w:szCs w:val="24"/>
    </w:rPr>
  </w:style>
  <w:style w:type="paragraph" w:styleId="38">
    <w:name w:val="header"/>
    <w:basedOn w:val="1"/>
    <w:link w:val="67"/>
    <w:unhideWhenUsed/>
    <w:qFormat/>
    <w:uiPriority w:val="99"/>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paragraph" w:styleId="39">
    <w:name w:val="toc 1"/>
    <w:basedOn w:val="1"/>
    <w:next w:val="1"/>
    <w:unhideWhenUsed/>
    <w:qFormat/>
    <w:uiPriority w:val="39"/>
    <w:pPr>
      <w:adjustRightInd w:val="0"/>
      <w:snapToGrid w:val="0"/>
    </w:pPr>
    <w:rPr>
      <w:rFonts w:ascii="Times New Roman" w:hAnsi="Times New Roman" w:eastAsia="仿宋" w:cs="Times New Roman"/>
      <w:szCs w:val="24"/>
    </w:rPr>
  </w:style>
  <w:style w:type="paragraph" w:styleId="40">
    <w:name w:val="toc 4"/>
    <w:basedOn w:val="1"/>
    <w:next w:val="1"/>
    <w:unhideWhenUsed/>
    <w:qFormat/>
    <w:uiPriority w:val="99"/>
    <w:pPr>
      <w:ind w:left="630"/>
      <w:jc w:val="left"/>
    </w:pPr>
    <w:rPr>
      <w:rFonts w:ascii="楷体_GB2312" w:hAnsi="Times New Roman" w:eastAsia="楷体_GB2312" w:cs="Times New Roman"/>
      <w:sz w:val="28"/>
      <w:szCs w:val="20"/>
    </w:rPr>
  </w:style>
  <w:style w:type="paragraph" w:styleId="41">
    <w:name w:val="List"/>
    <w:basedOn w:val="1"/>
    <w:unhideWhenUsed/>
    <w:qFormat/>
    <w:uiPriority w:val="99"/>
    <w:pPr>
      <w:ind w:left="200" w:hanging="200" w:hangingChars="200"/>
    </w:pPr>
    <w:rPr>
      <w:rFonts w:ascii="Times New Roman" w:hAnsi="Times New Roman" w:eastAsia="宋体" w:cs="Times New Roman"/>
      <w:szCs w:val="24"/>
    </w:rPr>
  </w:style>
  <w:style w:type="paragraph" w:styleId="42">
    <w:name w:val="toc 6"/>
    <w:basedOn w:val="1"/>
    <w:next w:val="1"/>
    <w:unhideWhenUsed/>
    <w:qFormat/>
    <w:uiPriority w:val="99"/>
    <w:pPr>
      <w:ind w:left="1050"/>
      <w:jc w:val="left"/>
    </w:pPr>
    <w:rPr>
      <w:rFonts w:ascii="Times New Roman" w:hAnsi="Times New Roman" w:eastAsia="宋体" w:cs="Times New Roman"/>
      <w:sz w:val="20"/>
      <w:szCs w:val="20"/>
    </w:rPr>
  </w:style>
  <w:style w:type="paragraph" w:styleId="43">
    <w:name w:val="Body Text Indent 3"/>
    <w:basedOn w:val="1"/>
    <w:link w:val="90"/>
    <w:unhideWhenUsed/>
    <w:qFormat/>
    <w:uiPriority w:val="99"/>
    <w:pPr>
      <w:spacing w:after="120"/>
      <w:ind w:left="420" w:leftChars="200"/>
    </w:pPr>
    <w:rPr>
      <w:rFonts w:ascii="Times New Roman" w:hAnsi="Times New Roman" w:eastAsia="宋体" w:cs="Times New Roman"/>
      <w:kern w:val="0"/>
      <w:sz w:val="16"/>
      <w:szCs w:val="16"/>
    </w:rPr>
  </w:style>
  <w:style w:type="paragraph" w:styleId="44">
    <w:name w:val="toc 2"/>
    <w:basedOn w:val="1"/>
    <w:next w:val="1"/>
    <w:unhideWhenUsed/>
    <w:qFormat/>
    <w:uiPriority w:val="99"/>
    <w:pPr>
      <w:tabs>
        <w:tab w:val="left" w:pos="0"/>
        <w:tab w:val="left" w:pos="840"/>
        <w:tab w:val="right" w:leader="dot" w:pos="8688"/>
      </w:tabs>
      <w:adjustRightInd w:val="0"/>
      <w:snapToGrid w:val="0"/>
      <w:spacing w:before="120"/>
      <w:jc w:val="left"/>
    </w:pPr>
    <w:rPr>
      <w:rFonts w:ascii="楷体_GB2312" w:hAnsi="Times New Roman" w:eastAsia="仿宋" w:cs="Times New Roman"/>
      <w:sz w:val="24"/>
      <w:szCs w:val="28"/>
    </w:rPr>
  </w:style>
  <w:style w:type="paragraph" w:styleId="45">
    <w:name w:val="toc 9"/>
    <w:basedOn w:val="1"/>
    <w:next w:val="1"/>
    <w:unhideWhenUsed/>
    <w:qFormat/>
    <w:uiPriority w:val="99"/>
    <w:pPr>
      <w:ind w:left="1680"/>
      <w:jc w:val="left"/>
    </w:pPr>
    <w:rPr>
      <w:rFonts w:ascii="Times New Roman" w:hAnsi="Times New Roman" w:eastAsia="宋体" w:cs="Times New Roman"/>
      <w:sz w:val="20"/>
      <w:szCs w:val="20"/>
    </w:rPr>
  </w:style>
  <w:style w:type="paragraph" w:styleId="46">
    <w:name w:val="Body Text 2"/>
    <w:basedOn w:val="1"/>
    <w:link w:val="84"/>
    <w:unhideWhenUsed/>
    <w:qFormat/>
    <w:uiPriority w:val="99"/>
    <w:pPr>
      <w:spacing w:after="120" w:line="480" w:lineRule="auto"/>
    </w:pPr>
    <w:rPr>
      <w:rFonts w:ascii="Times New Roman" w:hAnsi="Times New Roman" w:eastAsia="宋体" w:cs="Times New Roman"/>
      <w:kern w:val="0"/>
      <w:sz w:val="20"/>
      <w:szCs w:val="24"/>
    </w:rPr>
  </w:style>
  <w:style w:type="paragraph" w:styleId="47">
    <w:name w:val="List 4"/>
    <w:basedOn w:val="1"/>
    <w:unhideWhenUsed/>
    <w:qFormat/>
    <w:uiPriority w:val="99"/>
    <w:pPr>
      <w:ind w:left="100" w:leftChars="600" w:hanging="200" w:hangingChars="200"/>
    </w:pPr>
    <w:rPr>
      <w:rFonts w:ascii="Times New Roman" w:hAnsi="Times New Roman" w:eastAsia="宋体" w:cs="Times New Roman"/>
      <w:szCs w:val="24"/>
    </w:rPr>
  </w:style>
  <w:style w:type="paragraph" w:styleId="48">
    <w:name w:val="List Continue 2"/>
    <w:basedOn w:val="1"/>
    <w:unhideWhenUsed/>
    <w:qFormat/>
    <w:uiPriority w:val="99"/>
    <w:pPr>
      <w:spacing w:after="120"/>
      <w:ind w:left="840" w:leftChars="400"/>
    </w:pPr>
    <w:rPr>
      <w:rFonts w:ascii="Times New Roman" w:hAnsi="Times New Roman" w:eastAsia="宋体" w:cs="Times New Roman"/>
      <w:szCs w:val="24"/>
    </w:rPr>
  </w:style>
  <w:style w:type="paragraph" w:styleId="49">
    <w:name w:val="Normal (Web)"/>
    <w:basedOn w:val="1"/>
    <w:unhideWhenUsed/>
    <w:qFormat/>
    <w:uiPriority w:val="99"/>
    <w:pPr>
      <w:widowControl/>
      <w:spacing w:before="100" w:beforeAutospacing="1" w:after="100" w:afterAutospacing="1"/>
      <w:jc w:val="left"/>
    </w:pPr>
    <w:rPr>
      <w:rFonts w:ascii="Times New Roman" w:hAnsi="Times New Roman" w:eastAsia="Arial Unicode MS" w:cs="Arial Unicode MS"/>
      <w:color w:val="000000"/>
      <w:kern w:val="0"/>
      <w:sz w:val="18"/>
      <w:szCs w:val="18"/>
    </w:rPr>
  </w:style>
  <w:style w:type="paragraph" w:styleId="50">
    <w:name w:val="index 1"/>
    <w:basedOn w:val="1"/>
    <w:next w:val="1"/>
    <w:unhideWhenUsed/>
    <w:qFormat/>
    <w:uiPriority w:val="99"/>
    <w:pPr>
      <w:adjustRightInd w:val="0"/>
      <w:snapToGrid w:val="0"/>
      <w:jc w:val="center"/>
    </w:pPr>
    <w:rPr>
      <w:rFonts w:ascii="Times New Roman" w:hAnsi="Times New Roman" w:eastAsia="宋体" w:cs="Times New Roman"/>
      <w:szCs w:val="20"/>
    </w:rPr>
  </w:style>
  <w:style w:type="paragraph" w:styleId="51">
    <w:name w:val="Title"/>
    <w:basedOn w:val="1"/>
    <w:next w:val="1"/>
    <w:link w:val="72"/>
    <w:qFormat/>
    <w:uiPriority w:val="99"/>
    <w:pPr>
      <w:spacing w:before="60" w:after="60"/>
      <w:jc w:val="center"/>
      <w:outlineLvl w:val="0"/>
    </w:pPr>
    <w:rPr>
      <w:rFonts w:ascii="Cambria" w:hAnsi="Cambria" w:eastAsia="黑体" w:cs="Times New Roman"/>
      <w:b/>
      <w:bCs/>
      <w:kern w:val="0"/>
      <w:sz w:val="32"/>
      <w:szCs w:val="32"/>
    </w:rPr>
  </w:style>
  <w:style w:type="character" w:styleId="53">
    <w:name w:val="FollowedHyperlink"/>
    <w:unhideWhenUsed/>
    <w:qFormat/>
    <w:uiPriority w:val="99"/>
    <w:rPr>
      <w:color w:val="800080"/>
      <w:u w:val="single"/>
    </w:rPr>
  </w:style>
  <w:style w:type="character" w:styleId="54">
    <w:name w:val="Hyperlink"/>
    <w:unhideWhenUsed/>
    <w:qFormat/>
    <w:uiPriority w:val="99"/>
    <w:rPr>
      <w:color w:val="0000FF"/>
      <w:u w:val="single"/>
    </w:rPr>
  </w:style>
  <w:style w:type="character" w:styleId="55">
    <w:name w:val="annotation reference"/>
    <w:unhideWhenUsed/>
    <w:qFormat/>
    <w:uiPriority w:val="0"/>
    <w:rPr>
      <w:sz w:val="21"/>
      <w:szCs w:val="21"/>
    </w:rPr>
  </w:style>
  <w:style w:type="table" w:styleId="57">
    <w:name w:val="Table Grid"/>
    <w:basedOn w:val="56"/>
    <w:qFormat/>
    <w:uiPriority w:val="59"/>
    <w:rPr>
      <w:rFonts w:ascii="Cambria" w:hAnsi="Cambria"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58">
    <w:name w:val="标题 1 Char"/>
    <w:basedOn w:val="52"/>
    <w:link w:val="2"/>
    <w:qFormat/>
    <w:uiPriority w:val="0"/>
    <w:rPr>
      <w:rFonts w:ascii="Times New Roman" w:hAnsi="Times New Roman" w:eastAsia="宋体" w:cs="Times New Roman"/>
      <w:b/>
      <w:bCs/>
      <w:kern w:val="44"/>
      <w:sz w:val="30"/>
      <w:szCs w:val="44"/>
      <w:lang w:val="zh-CN"/>
    </w:rPr>
  </w:style>
  <w:style w:type="character" w:customStyle="1" w:styleId="59">
    <w:name w:val="标题 2 Char"/>
    <w:basedOn w:val="52"/>
    <w:link w:val="3"/>
    <w:semiHidden/>
    <w:qFormat/>
    <w:uiPriority w:val="0"/>
    <w:rPr>
      <w:rFonts w:ascii="Arial" w:hAnsi="Arial" w:eastAsia="宋体" w:cs="Times New Roman"/>
      <w:b/>
      <w:bCs/>
      <w:kern w:val="0"/>
      <w:sz w:val="28"/>
      <w:szCs w:val="32"/>
      <w:lang w:val="zh-CN"/>
    </w:rPr>
  </w:style>
  <w:style w:type="character" w:customStyle="1" w:styleId="60">
    <w:name w:val="标题 3 Char"/>
    <w:basedOn w:val="52"/>
    <w:link w:val="4"/>
    <w:semiHidden/>
    <w:qFormat/>
    <w:uiPriority w:val="0"/>
    <w:rPr>
      <w:rFonts w:ascii="宋体" w:hAnsi="Times New Roman" w:eastAsia="宋体" w:cs="Times New Roman"/>
      <w:b/>
      <w:kern w:val="0"/>
      <w:sz w:val="28"/>
      <w:szCs w:val="20"/>
      <w:lang w:val="zh-CN"/>
    </w:rPr>
  </w:style>
  <w:style w:type="character" w:customStyle="1" w:styleId="61">
    <w:name w:val="标题 4 Char"/>
    <w:basedOn w:val="52"/>
    <w:link w:val="5"/>
    <w:semiHidden/>
    <w:qFormat/>
    <w:uiPriority w:val="0"/>
    <w:rPr>
      <w:rFonts w:ascii="Arial" w:hAnsi="Arial" w:eastAsia="黑体" w:cs="Times New Roman"/>
      <w:b/>
      <w:bCs/>
      <w:kern w:val="0"/>
      <w:sz w:val="28"/>
      <w:szCs w:val="28"/>
      <w:lang w:val="zh-CN"/>
    </w:rPr>
  </w:style>
  <w:style w:type="character" w:customStyle="1" w:styleId="62">
    <w:name w:val="标题 5 Char"/>
    <w:basedOn w:val="52"/>
    <w:link w:val="6"/>
    <w:semiHidden/>
    <w:qFormat/>
    <w:uiPriority w:val="0"/>
    <w:rPr>
      <w:rFonts w:ascii="Times New Roman" w:hAnsi="Times New Roman" w:eastAsia="宋体" w:cs="Times New Roman"/>
      <w:b/>
      <w:bCs/>
      <w:kern w:val="0"/>
      <w:sz w:val="28"/>
      <w:szCs w:val="28"/>
      <w:lang w:val="zh-CN"/>
    </w:rPr>
  </w:style>
  <w:style w:type="character" w:customStyle="1" w:styleId="63">
    <w:name w:val="标题 6 Char"/>
    <w:basedOn w:val="52"/>
    <w:link w:val="7"/>
    <w:semiHidden/>
    <w:qFormat/>
    <w:uiPriority w:val="0"/>
    <w:rPr>
      <w:rFonts w:ascii="Arial" w:hAnsi="Arial" w:eastAsia="黑体" w:cs="Times New Roman"/>
      <w:b/>
      <w:bCs/>
      <w:kern w:val="0"/>
      <w:sz w:val="24"/>
      <w:szCs w:val="24"/>
      <w:lang w:val="zh-CN"/>
    </w:rPr>
  </w:style>
  <w:style w:type="character" w:customStyle="1" w:styleId="64">
    <w:name w:val="标题 7 Char"/>
    <w:basedOn w:val="52"/>
    <w:link w:val="8"/>
    <w:semiHidden/>
    <w:uiPriority w:val="99"/>
    <w:rPr>
      <w:rFonts w:ascii="Times New Roman" w:hAnsi="Times New Roman" w:eastAsia="宋体" w:cs="Times New Roman"/>
      <w:b/>
      <w:bCs/>
      <w:kern w:val="0"/>
      <w:sz w:val="24"/>
      <w:szCs w:val="24"/>
      <w:lang w:val="zh-CN"/>
    </w:rPr>
  </w:style>
  <w:style w:type="character" w:customStyle="1" w:styleId="65">
    <w:name w:val="标题 8 Char"/>
    <w:basedOn w:val="52"/>
    <w:link w:val="9"/>
    <w:semiHidden/>
    <w:qFormat/>
    <w:uiPriority w:val="99"/>
    <w:rPr>
      <w:rFonts w:ascii="Arial" w:hAnsi="Arial" w:eastAsia="黑体" w:cs="Times New Roman"/>
      <w:kern w:val="0"/>
      <w:sz w:val="24"/>
      <w:szCs w:val="24"/>
      <w:lang w:val="zh-CN"/>
    </w:rPr>
  </w:style>
  <w:style w:type="character" w:customStyle="1" w:styleId="66">
    <w:name w:val="标题 9 Char"/>
    <w:basedOn w:val="52"/>
    <w:link w:val="10"/>
    <w:semiHidden/>
    <w:qFormat/>
    <w:uiPriority w:val="99"/>
    <w:rPr>
      <w:rFonts w:ascii="Arial" w:hAnsi="Arial" w:eastAsia="黑体" w:cs="Times New Roman"/>
      <w:kern w:val="0"/>
      <w:sz w:val="20"/>
      <w:szCs w:val="21"/>
      <w:lang w:val="zh-CN"/>
    </w:rPr>
  </w:style>
  <w:style w:type="character" w:customStyle="1" w:styleId="67">
    <w:name w:val="页眉 Char"/>
    <w:basedOn w:val="52"/>
    <w:link w:val="38"/>
    <w:qFormat/>
    <w:uiPriority w:val="99"/>
    <w:rPr>
      <w:rFonts w:ascii="Calibri" w:hAnsi="Calibri" w:eastAsia="宋体" w:cs="Times New Roman"/>
      <w:sz w:val="18"/>
      <w:szCs w:val="18"/>
    </w:rPr>
  </w:style>
  <w:style w:type="character" w:customStyle="1" w:styleId="68">
    <w:name w:val="页脚 Char"/>
    <w:basedOn w:val="52"/>
    <w:link w:val="36"/>
    <w:qFormat/>
    <w:uiPriority w:val="99"/>
    <w:rPr>
      <w:rFonts w:ascii="Calibri" w:hAnsi="Calibri" w:eastAsia="宋体" w:cs="Times New Roman"/>
      <w:sz w:val="18"/>
      <w:szCs w:val="18"/>
    </w:rPr>
  </w:style>
  <w:style w:type="character" w:customStyle="1" w:styleId="69">
    <w:name w:val="正文缩进 Char"/>
    <w:link w:val="18"/>
    <w:semiHidden/>
    <w:qFormat/>
    <w:locked/>
    <w:uiPriority w:val="0"/>
    <w:rPr>
      <w:rFonts w:ascii="Times New Roman" w:hAnsi="Times New Roman" w:cs="Times New Roman"/>
    </w:rPr>
  </w:style>
  <w:style w:type="character" w:customStyle="1" w:styleId="70">
    <w:name w:val="批注文字 Char1"/>
    <w:basedOn w:val="52"/>
    <w:link w:val="13"/>
    <w:semiHidden/>
    <w:qFormat/>
    <w:uiPriority w:val="99"/>
    <w:rPr>
      <w:rFonts w:ascii="Calibri" w:hAnsi="Calibri" w:eastAsia="宋体" w:cs="Times New Roman"/>
    </w:rPr>
  </w:style>
  <w:style w:type="character" w:customStyle="1" w:styleId="71">
    <w:name w:val="批注文字 Char"/>
    <w:basedOn w:val="52"/>
    <w:semiHidden/>
    <w:qFormat/>
    <w:uiPriority w:val="99"/>
    <w:rPr>
      <w:rFonts w:ascii="Calibri" w:hAnsi="Calibri" w:eastAsia="宋体" w:cs="Times New Roman"/>
    </w:rPr>
  </w:style>
  <w:style w:type="character" w:customStyle="1" w:styleId="72">
    <w:name w:val="标题 Char1"/>
    <w:basedOn w:val="52"/>
    <w:link w:val="51"/>
    <w:qFormat/>
    <w:uiPriority w:val="99"/>
    <w:rPr>
      <w:rFonts w:ascii="Cambria" w:hAnsi="Cambria" w:eastAsia="黑体" w:cs="Times New Roman"/>
      <w:b/>
      <w:bCs/>
      <w:kern w:val="0"/>
      <w:sz w:val="32"/>
      <w:szCs w:val="32"/>
    </w:rPr>
  </w:style>
  <w:style w:type="character" w:customStyle="1" w:styleId="73">
    <w:name w:val="标题 Char"/>
    <w:basedOn w:val="52"/>
    <w:qFormat/>
    <w:uiPriority w:val="0"/>
    <w:rPr>
      <w:rFonts w:eastAsia="宋体" w:asciiTheme="majorHAnsi" w:hAnsiTheme="majorHAnsi" w:cstheme="majorBidi"/>
      <w:b/>
      <w:bCs/>
      <w:sz w:val="32"/>
      <w:szCs w:val="32"/>
    </w:rPr>
  </w:style>
  <w:style w:type="character" w:customStyle="1" w:styleId="74">
    <w:name w:val="正文文本 Char1"/>
    <w:basedOn w:val="52"/>
    <w:link w:val="16"/>
    <w:semiHidden/>
    <w:qFormat/>
    <w:uiPriority w:val="99"/>
    <w:rPr>
      <w:rFonts w:ascii="Calibri" w:hAnsi="Calibri" w:eastAsia="宋体" w:cs="Times New Roman"/>
    </w:rPr>
  </w:style>
  <w:style w:type="character" w:customStyle="1" w:styleId="75">
    <w:name w:val="正文文本 Char"/>
    <w:basedOn w:val="52"/>
    <w:semiHidden/>
    <w:qFormat/>
    <w:uiPriority w:val="99"/>
    <w:rPr>
      <w:rFonts w:ascii="Calibri" w:hAnsi="Calibri" w:eastAsia="宋体" w:cs="Times New Roman"/>
    </w:rPr>
  </w:style>
  <w:style w:type="character" w:customStyle="1" w:styleId="76">
    <w:name w:val="正文文本缩进 Char1"/>
    <w:basedOn w:val="52"/>
    <w:link w:val="24"/>
    <w:semiHidden/>
    <w:qFormat/>
    <w:uiPriority w:val="99"/>
    <w:rPr>
      <w:rFonts w:ascii="宋体" w:hAnsi="宋体" w:eastAsia="宋体" w:cs="Times New Roman"/>
      <w:kern w:val="0"/>
      <w:sz w:val="28"/>
      <w:szCs w:val="28"/>
    </w:rPr>
  </w:style>
  <w:style w:type="character" w:customStyle="1" w:styleId="77">
    <w:name w:val="正文文本缩进 Char"/>
    <w:basedOn w:val="52"/>
    <w:semiHidden/>
    <w:qFormat/>
    <w:uiPriority w:val="0"/>
    <w:rPr>
      <w:rFonts w:ascii="Calibri" w:hAnsi="Calibri" w:eastAsia="宋体" w:cs="Times New Roman"/>
    </w:rPr>
  </w:style>
  <w:style w:type="character" w:customStyle="1" w:styleId="78">
    <w:name w:val="日期 Char1"/>
    <w:basedOn w:val="52"/>
    <w:link w:val="33"/>
    <w:semiHidden/>
    <w:qFormat/>
    <w:uiPriority w:val="99"/>
    <w:rPr>
      <w:rFonts w:ascii="Times New Roman" w:hAnsi="Times New Roman" w:eastAsia="宋体" w:cs="Times New Roman"/>
      <w:kern w:val="0"/>
      <w:sz w:val="20"/>
      <w:szCs w:val="24"/>
    </w:rPr>
  </w:style>
  <w:style w:type="character" w:customStyle="1" w:styleId="79">
    <w:name w:val="日期 Char"/>
    <w:basedOn w:val="52"/>
    <w:semiHidden/>
    <w:qFormat/>
    <w:uiPriority w:val="0"/>
    <w:rPr>
      <w:rFonts w:ascii="Calibri" w:hAnsi="Calibri" w:eastAsia="宋体" w:cs="Times New Roman"/>
    </w:rPr>
  </w:style>
  <w:style w:type="character" w:customStyle="1" w:styleId="80">
    <w:name w:val="正文首行缩进 Char1"/>
    <w:basedOn w:val="74"/>
    <w:link w:val="15"/>
    <w:semiHidden/>
    <w:qFormat/>
    <w:uiPriority w:val="99"/>
    <w:rPr>
      <w:rFonts w:ascii="Times New Roman" w:hAnsi="Times New Roman" w:eastAsia="宋体" w:cs="Times New Roman"/>
      <w:szCs w:val="24"/>
    </w:rPr>
  </w:style>
  <w:style w:type="character" w:customStyle="1" w:styleId="81">
    <w:name w:val="正文首行缩进 Char"/>
    <w:basedOn w:val="75"/>
    <w:semiHidden/>
    <w:qFormat/>
    <w:uiPriority w:val="0"/>
    <w:rPr>
      <w:rFonts w:ascii="Calibri" w:hAnsi="Calibri" w:eastAsia="宋体" w:cs="Times New Roman"/>
    </w:rPr>
  </w:style>
  <w:style w:type="character" w:customStyle="1" w:styleId="82">
    <w:name w:val="正文首行缩进 2 Char1"/>
    <w:basedOn w:val="76"/>
    <w:link w:val="37"/>
    <w:semiHidden/>
    <w:qFormat/>
    <w:uiPriority w:val="99"/>
    <w:rPr>
      <w:rFonts w:ascii="宋体" w:hAnsi="宋体" w:eastAsia="宋体" w:cs="Times New Roman"/>
      <w:kern w:val="0"/>
      <w:sz w:val="28"/>
      <w:szCs w:val="24"/>
    </w:rPr>
  </w:style>
  <w:style w:type="character" w:customStyle="1" w:styleId="83">
    <w:name w:val="正文首行缩进 2 Char"/>
    <w:basedOn w:val="77"/>
    <w:semiHidden/>
    <w:qFormat/>
    <w:uiPriority w:val="0"/>
    <w:rPr>
      <w:rFonts w:ascii="Calibri" w:hAnsi="Calibri" w:eastAsia="宋体" w:cs="Times New Roman"/>
    </w:rPr>
  </w:style>
  <w:style w:type="character" w:customStyle="1" w:styleId="84">
    <w:name w:val="正文文本 2 Char1"/>
    <w:basedOn w:val="52"/>
    <w:link w:val="46"/>
    <w:semiHidden/>
    <w:qFormat/>
    <w:uiPriority w:val="99"/>
    <w:rPr>
      <w:rFonts w:ascii="Times New Roman" w:hAnsi="Times New Roman" w:eastAsia="宋体" w:cs="Times New Roman"/>
      <w:kern w:val="0"/>
      <w:sz w:val="20"/>
      <w:szCs w:val="24"/>
    </w:rPr>
  </w:style>
  <w:style w:type="character" w:customStyle="1" w:styleId="85">
    <w:name w:val="正文文本 2 Char"/>
    <w:basedOn w:val="52"/>
    <w:semiHidden/>
    <w:qFormat/>
    <w:uiPriority w:val="0"/>
    <w:rPr>
      <w:rFonts w:ascii="Calibri" w:hAnsi="Calibri" w:eastAsia="宋体" w:cs="Times New Roman"/>
    </w:rPr>
  </w:style>
  <w:style w:type="character" w:customStyle="1" w:styleId="86">
    <w:name w:val="正文文本 3 Char1"/>
    <w:basedOn w:val="52"/>
    <w:link w:val="23"/>
    <w:semiHidden/>
    <w:qFormat/>
    <w:uiPriority w:val="99"/>
    <w:rPr>
      <w:rFonts w:ascii="Times New Roman" w:hAnsi="Times New Roman" w:eastAsia="宋体" w:cs="Times New Roman"/>
      <w:kern w:val="0"/>
      <w:sz w:val="16"/>
      <w:szCs w:val="16"/>
    </w:rPr>
  </w:style>
  <w:style w:type="character" w:customStyle="1" w:styleId="87">
    <w:name w:val="正文文本 3 Char"/>
    <w:basedOn w:val="52"/>
    <w:semiHidden/>
    <w:qFormat/>
    <w:uiPriority w:val="0"/>
    <w:rPr>
      <w:rFonts w:ascii="Calibri" w:hAnsi="Calibri" w:eastAsia="宋体" w:cs="Times New Roman"/>
      <w:sz w:val="16"/>
      <w:szCs w:val="16"/>
    </w:rPr>
  </w:style>
  <w:style w:type="character" w:customStyle="1" w:styleId="88">
    <w:name w:val="正文文本缩进 2 Char1"/>
    <w:basedOn w:val="52"/>
    <w:link w:val="34"/>
    <w:semiHidden/>
    <w:qFormat/>
    <w:uiPriority w:val="99"/>
    <w:rPr>
      <w:rFonts w:ascii="Times New Roman" w:hAnsi="Times New Roman" w:eastAsia="宋体" w:cs="Times New Roman"/>
      <w:kern w:val="0"/>
      <w:sz w:val="20"/>
      <w:szCs w:val="24"/>
    </w:rPr>
  </w:style>
  <w:style w:type="character" w:customStyle="1" w:styleId="89">
    <w:name w:val="正文文本缩进 2 Char"/>
    <w:basedOn w:val="52"/>
    <w:semiHidden/>
    <w:qFormat/>
    <w:uiPriority w:val="0"/>
    <w:rPr>
      <w:rFonts w:ascii="Calibri" w:hAnsi="Calibri" w:eastAsia="宋体" w:cs="Times New Roman"/>
    </w:rPr>
  </w:style>
  <w:style w:type="character" w:customStyle="1" w:styleId="90">
    <w:name w:val="正文文本缩进 3 Char1"/>
    <w:basedOn w:val="52"/>
    <w:link w:val="43"/>
    <w:semiHidden/>
    <w:uiPriority w:val="99"/>
    <w:rPr>
      <w:rFonts w:ascii="Times New Roman" w:hAnsi="Times New Roman" w:eastAsia="宋体" w:cs="Times New Roman"/>
      <w:kern w:val="0"/>
      <w:sz w:val="16"/>
      <w:szCs w:val="16"/>
    </w:rPr>
  </w:style>
  <w:style w:type="character" w:customStyle="1" w:styleId="91">
    <w:name w:val="正文文本缩进 3 Char"/>
    <w:basedOn w:val="52"/>
    <w:semiHidden/>
    <w:qFormat/>
    <w:uiPriority w:val="0"/>
    <w:rPr>
      <w:rFonts w:ascii="Calibri" w:hAnsi="Calibri" w:eastAsia="宋体" w:cs="Times New Roman"/>
      <w:sz w:val="16"/>
      <w:szCs w:val="16"/>
    </w:rPr>
  </w:style>
  <w:style w:type="character" w:customStyle="1" w:styleId="92">
    <w:name w:val="文档结构图 Char1"/>
    <w:basedOn w:val="52"/>
    <w:link w:val="22"/>
    <w:semiHidden/>
    <w:qFormat/>
    <w:uiPriority w:val="99"/>
    <w:rPr>
      <w:rFonts w:ascii="Times New Roman" w:hAnsi="Times New Roman" w:eastAsia="宋体" w:cs="Times New Roman"/>
      <w:kern w:val="0"/>
      <w:sz w:val="20"/>
      <w:szCs w:val="24"/>
      <w:shd w:val="clear" w:color="auto" w:fill="000080"/>
    </w:rPr>
  </w:style>
  <w:style w:type="character" w:customStyle="1" w:styleId="93">
    <w:name w:val="文档结构图 Char"/>
    <w:basedOn w:val="52"/>
    <w:semiHidden/>
    <w:qFormat/>
    <w:uiPriority w:val="0"/>
    <w:rPr>
      <w:rFonts w:ascii="宋体" w:hAnsi="Calibri" w:eastAsia="宋体" w:cs="Times New Roman"/>
      <w:sz w:val="18"/>
      <w:szCs w:val="18"/>
    </w:rPr>
  </w:style>
  <w:style w:type="character" w:customStyle="1" w:styleId="94">
    <w:name w:val="纯文本 Char2"/>
    <w:basedOn w:val="52"/>
    <w:link w:val="31"/>
    <w:semiHidden/>
    <w:qFormat/>
    <w:uiPriority w:val="99"/>
    <w:rPr>
      <w:rFonts w:ascii="宋体" w:hAnsi="Courier New" w:eastAsia="宋体" w:cs="Times New Roman"/>
      <w:kern w:val="0"/>
      <w:sz w:val="20"/>
      <w:szCs w:val="21"/>
    </w:rPr>
  </w:style>
  <w:style w:type="character" w:customStyle="1" w:styleId="95">
    <w:name w:val="纯文本 Char"/>
    <w:basedOn w:val="52"/>
    <w:semiHidden/>
    <w:qFormat/>
    <w:uiPriority w:val="0"/>
    <w:rPr>
      <w:rFonts w:ascii="宋体" w:hAnsi="Courier New" w:eastAsia="宋体" w:cs="Courier New"/>
      <w:szCs w:val="21"/>
    </w:rPr>
  </w:style>
  <w:style w:type="character" w:customStyle="1" w:styleId="96">
    <w:name w:val="批注主题 Char1"/>
    <w:basedOn w:val="70"/>
    <w:link w:val="12"/>
    <w:semiHidden/>
    <w:qFormat/>
    <w:uiPriority w:val="99"/>
    <w:rPr>
      <w:rFonts w:ascii="Times New Roman" w:hAnsi="Times New Roman" w:eastAsia="宋体" w:cs="Times New Roman"/>
      <w:b/>
      <w:bCs/>
      <w:szCs w:val="24"/>
    </w:rPr>
  </w:style>
  <w:style w:type="character" w:customStyle="1" w:styleId="97">
    <w:name w:val="批注主题 Char"/>
    <w:basedOn w:val="71"/>
    <w:semiHidden/>
    <w:qFormat/>
    <w:uiPriority w:val="0"/>
    <w:rPr>
      <w:rFonts w:ascii="Calibri" w:hAnsi="Calibri" w:eastAsia="宋体" w:cs="Times New Roman"/>
      <w:b/>
      <w:bCs/>
    </w:rPr>
  </w:style>
  <w:style w:type="character" w:customStyle="1" w:styleId="98">
    <w:name w:val="批注框文本 Char1"/>
    <w:basedOn w:val="52"/>
    <w:link w:val="35"/>
    <w:semiHidden/>
    <w:uiPriority w:val="99"/>
    <w:rPr>
      <w:rFonts w:ascii="Times New Roman" w:hAnsi="Times New Roman" w:eastAsia="宋体" w:cs="Times New Roman"/>
      <w:kern w:val="0"/>
      <w:sz w:val="18"/>
      <w:szCs w:val="18"/>
    </w:rPr>
  </w:style>
  <w:style w:type="character" w:customStyle="1" w:styleId="99">
    <w:name w:val="批注框文本 Char"/>
    <w:basedOn w:val="52"/>
    <w:semiHidden/>
    <w:qFormat/>
    <w:uiPriority w:val="0"/>
    <w:rPr>
      <w:rFonts w:ascii="Calibri" w:hAnsi="Calibri" w:eastAsia="宋体" w:cs="Times New Roman"/>
      <w:sz w:val="18"/>
      <w:szCs w:val="18"/>
    </w:rPr>
  </w:style>
  <w:style w:type="paragraph" w:customStyle="1" w:styleId="100">
    <w:name w:val="Char Char Char1 Char Char Char Char"/>
    <w:basedOn w:val="1"/>
    <w:qFormat/>
    <w:uiPriority w:val="99"/>
    <w:rPr>
      <w:rFonts w:ascii="Times New Roman" w:hAnsi="Times New Roman" w:eastAsia="宋体" w:cs="Times New Roman"/>
      <w:szCs w:val="24"/>
    </w:rPr>
  </w:style>
  <w:style w:type="paragraph" w:customStyle="1" w:styleId="101">
    <w:name w:val="列出段落2"/>
    <w:basedOn w:val="1"/>
    <w:qFormat/>
    <w:uiPriority w:val="34"/>
    <w:pPr>
      <w:ind w:firstLine="420" w:firstLineChars="200"/>
    </w:pPr>
    <w:rPr>
      <w:rFonts w:ascii="Cambria" w:hAnsi="Cambria" w:eastAsia="宋体" w:cs="Times New Roman"/>
      <w:sz w:val="24"/>
      <w:szCs w:val="24"/>
    </w:rPr>
  </w:style>
  <w:style w:type="paragraph" w:customStyle="1" w:styleId="102">
    <w:name w:val="p16"/>
    <w:basedOn w:val="1"/>
    <w:qFormat/>
    <w:uiPriority w:val="99"/>
    <w:pPr>
      <w:widowControl/>
      <w:spacing w:line="360" w:lineRule="auto"/>
      <w:ind w:left="-2" w:firstLine="2"/>
      <w:jc w:val="left"/>
    </w:pPr>
    <w:rPr>
      <w:rFonts w:ascii="宋体" w:hAnsi="宋体" w:eastAsia="宋体" w:cs="宋体"/>
      <w:kern w:val="0"/>
      <w:sz w:val="30"/>
      <w:szCs w:val="30"/>
    </w:rPr>
  </w:style>
  <w:style w:type="paragraph" w:customStyle="1" w:styleId="103">
    <w:name w:val="列出段落1"/>
    <w:basedOn w:val="1"/>
    <w:qFormat/>
    <w:uiPriority w:val="99"/>
    <w:pPr>
      <w:ind w:firstLine="420" w:firstLineChars="200"/>
    </w:pPr>
    <w:rPr>
      <w:rFonts w:ascii="Calibri" w:hAnsi="Calibri" w:eastAsia="宋体" w:cs="Times New Roman"/>
    </w:rPr>
  </w:style>
  <w:style w:type="paragraph" w:customStyle="1" w:styleId="104">
    <w:name w:val="Char Char Char Char Char Char"/>
    <w:basedOn w:val="1"/>
    <w:qFormat/>
    <w:uiPriority w:val="99"/>
    <w:rPr>
      <w:rFonts w:ascii="Times New Roman" w:hAnsi="Times New Roman" w:eastAsia="宋体" w:cs="Times New Roman"/>
      <w:szCs w:val="24"/>
    </w:rPr>
  </w:style>
  <w:style w:type="paragraph" w:customStyle="1" w:styleId="105">
    <w:name w:val="标准有序列表（L1）"/>
    <w:basedOn w:val="18"/>
    <w:qFormat/>
    <w:uiPriority w:val="99"/>
  </w:style>
  <w:style w:type="paragraph" w:customStyle="1" w:styleId="106">
    <w:name w:val="1"/>
    <w:basedOn w:val="1"/>
    <w:qFormat/>
    <w:uiPriority w:val="99"/>
    <w:rPr>
      <w:rFonts w:ascii="仿宋_GB2312" w:hAnsi="Times New Roman" w:eastAsia="仿宋_GB2312" w:cs="Times New Roman"/>
      <w:b/>
      <w:sz w:val="32"/>
      <w:szCs w:val="32"/>
    </w:rPr>
  </w:style>
  <w:style w:type="paragraph" w:customStyle="1" w:styleId="107">
    <w:name w:val="_Style 41"/>
    <w:next w:val="1"/>
    <w:qFormat/>
    <w:uiPriority w:val="99"/>
    <w:pPr>
      <w:widowControl w:val="0"/>
      <w:jc w:val="both"/>
    </w:pPr>
    <w:rPr>
      <w:rFonts w:ascii="Calibri" w:hAnsi="Calibri" w:eastAsia="宋体" w:cs="Times New Roman"/>
      <w:kern w:val="2"/>
      <w:sz w:val="21"/>
      <w:szCs w:val="22"/>
      <w:lang w:val="en-US" w:eastAsia="zh-CN" w:bidi="ar-SA"/>
    </w:rPr>
  </w:style>
  <w:style w:type="paragraph" w:customStyle="1" w:styleId="108">
    <w:name w:val="表内文字"/>
    <w:basedOn w:val="1"/>
    <w:qFormat/>
    <w:uiPriority w:val="99"/>
    <w:pPr>
      <w:widowControl/>
      <w:ind w:firstLine="120" w:firstLineChars="50"/>
    </w:pPr>
    <w:rPr>
      <w:rFonts w:ascii="宋体" w:hAnsi="宋体" w:eastAsia="宋体" w:cs="Times New Roman"/>
      <w:sz w:val="24"/>
      <w:szCs w:val="20"/>
    </w:rPr>
  </w:style>
  <w:style w:type="paragraph" w:customStyle="1" w:styleId="109">
    <w:name w:val="样式 样式1 + 首行缩进:  2 字符"/>
    <w:basedOn w:val="1"/>
    <w:qFormat/>
    <w:uiPriority w:val="99"/>
    <w:pPr>
      <w:spacing w:line="360" w:lineRule="exact"/>
      <w:ind w:firstLine="420" w:firstLineChars="200"/>
    </w:pPr>
    <w:rPr>
      <w:rFonts w:ascii="Arial" w:hAnsi="Arial" w:eastAsia="宋体" w:cs="Times New Roman"/>
      <w:szCs w:val="20"/>
    </w:rPr>
  </w:style>
  <w:style w:type="paragraph" w:customStyle="1" w:styleId="110">
    <w:name w:val="Default"/>
    <w:qFormat/>
    <w:uiPriority w:val="99"/>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customStyle="1" w:styleId="111">
    <w:name w:val="Legal 4"/>
    <w:basedOn w:val="110"/>
    <w:next w:val="110"/>
    <w:qFormat/>
    <w:uiPriority w:val="99"/>
    <w:pPr>
      <w:spacing w:after="120"/>
    </w:pPr>
    <w:rPr>
      <w:rFonts w:cs="Times New Roman"/>
      <w:color w:val="auto"/>
    </w:rPr>
  </w:style>
  <w:style w:type="paragraph" w:customStyle="1" w:styleId="112">
    <w:name w:val="图表标题"/>
    <w:basedOn w:val="1"/>
    <w:next w:val="16"/>
    <w:qFormat/>
    <w:uiPriority w:val="99"/>
    <w:rPr>
      <w:rFonts w:ascii="Times New Roman" w:hAnsi="Times New Roman" w:eastAsia="宋体" w:cs="Times New Roman"/>
      <w:sz w:val="30"/>
      <w:szCs w:val="20"/>
    </w:rPr>
  </w:style>
  <w:style w:type="paragraph" w:customStyle="1" w:styleId="113">
    <w:name w:val="样式1"/>
    <w:basedOn w:val="5"/>
    <w:qFormat/>
    <w:uiPriority w:val="99"/>
    <w:pPr>
      <w:tabs>
        <w:tab w:val="left" w:pos="864"/>
      </w:tabs>
      <w:spacing w:before="120" w:after="120" w:line="360" w:lineRule="auto"/>
      <w:ind w:left="864" w:hanging="864"/>
    </w:pPr>
    <w:rPr>
      <w:b w:val="0"/>
      <w:bCs w:val="0"/>
    </w:rPr>
  </w:style>
  <w:style w:type="paragraph" w:customStyle="1" w:styleId="114">
    <w:name w:val="TOC 标题1"/>
    <w:basedOn w:val="2"/>
    <w:next w:val="1"/>
    <w:qFormat/>
    <w:uiPriority w:val="99"/>
    <w:pPr>
      <w:widowControl/>
      <w:spacing w:before="480" w:after="0" w:line="276" w:lineRule="auto"/>
      <w:jc w:val="left"/>
      <w:outlineLvl w:val="9"/>
    </w:pPr>
    <w:rPr>
      <w:rFonts w:ascii="Cambria" w:hAnsi="Cambria"/>
      <w:color w:val="365F91"/>
      <w:kern w:val="0"/>
      <w:sz w:val="28"/>
      <w:szCs w:val="28"/>
    </w:rPr>
  </w:style>
  <w:style w:type="paragraph" w:customStyle="1" w:styleId="115">
    <w:name w:val="样式 标题 3 + (中文) 黑体 小四 非加粗 段前: 7.8 磅 段后: 0 磅 行距: 固定值 20 磅"/>
    <w:basedOn w:val="4"/>
    <w:qFormat/>
    <w:uiPriority w:val="99"/>
    <w:pPr>
      <w:spacing w:line="400" w:lineRule="exact"/>
    </w:pPr>
    <w:rPr>
      <w:rFonts w:eastAsia="黑体" w:cs="宋体"/>
      <w:b w:val="0"/>
      <w:sz w:val="24"/>
    </w:rPr>
  </w:style>
  <w:style w:type="paragraph" w:customStyle="1" w:styleId="116">
    <w:name w:val="正文 New"/>
    <w:qFormat/>
    <w:uiPriority w:val="99"/>
    <w:pPr>
      <w:widowControl w:val="0"/>
      <w:spacing w:line="400" w:lineRule="atLeast"/>
      <w:jc w:val="both"/>
    </w:pPr>
    <w:rPr>
      <w:rFonts w:ascii="Times New Roman" w:hAnsi="Times New Roman" w:eastAsia="仿宋_GB2312" w:cs="Times New Roman"/>
      <w:kern w:val="2"/>
      <w:sz w:val="24"/>
      <w:szCs w:val="20"/>
      <w:lang w:val="en-US" w:eastAsia="zh-CN" w:bidi="ar-SA"/>
    </w:rPr>
  </w:style>
  <w:style w:type="paragraph" w:customStyle="1" w:styleId="117">
    <w:name w:val="正文文字3"/>
    <w:basedOn w:val="16"/>
    <w:qFormat/>
    <w:uiPriority w:val="99"/>
    <w:pPr>
      <w:adjustRightInd w:val="0"/>
      <w:spacing w:after="0" w:line="360" w:lineRule="atLeast"/>
      <w:ind w:left="30" w:leftChars="30" w:right="30" w:rightChars="30"/>
    </w:pPr>
    <w:rPr>
      <w:rFonts w:ascii="Times New Roman" w:hAnsi="Times New Roman"/>
      <w:kern w:val="0"/>
      <w:sz w:val="20"/>
      <w:szCs w:val="20"/>
    </w:rPr>
  </w:style>
  <w:style w:type="paragraph" w:customStyle="1" w:styleId="118">
    <w:name w:val="Char"/>
    <w:basedOn w:val="1"/>
    <w:qFormat/>
    <w:uiPriority w:val="99"/>
    <w:rPr>
      <w:rFonts w:ascii="仿宋_GB2312" w:hAnsi="Times New Roman" w:eastAsia="仿宋_GB2312" w:cs="Times New Roman"/>
      <w:b/>
      <w:sz w:val="32"/>
      <w:szCs w:val="32"/>
    </w:rPr>
  </w:style>
  <w:style w:type="paragraph" w:customStyle="1" w:styleId="119">
    <w:name w:val="p0"/>
    <w:basedOn w:val="1"/>
    <w:qFormat/>
    <w:uiPriority w:val="99"/>
    <w:pPr>
      <w:widowControl/>
    </w:pPr>
    <w:rPr>
      <w:rFonts w:ascii="Times New Roman" w:hAnsi="Times New Roman" w:eastAsia="宋体" w:cs="Times New Roman"/>
      <w:kern w:val="0"/>
      <w:szCs w:val="21"/>
    </w:rPr>
  </w:style>
  <w:style w:type="paragraph" w:customStyle="1" w:styleId="120">
    <w:name w:val="Char Char Char"/>
    <w:basedOn w:val="1"/>
    <w:qFormat/>
    <w:uiPriority w:val="99"/>
    <w:pPr>
      <w:ind w:firstLine="360" w:firstLineChars="150"/>
    </w:pPr>
    <w:rPr>
      <w:rFonts w:ascii="Tahoma" w:hAnsi="Tahoma" w:eastAsia="宋体" w:cs="Times New Roman"/>
      <w:sz w:val="24"/>
      <w:szCs w:val="20"/>
    </w:rPr>
  </w:style>
  <w:style w:type="paragraph" w:customStyle="1" w:styleId="121">
    <w:name w:val="Char Char Char Char"/>
    <w:basedOn w:val="1"/>
    <w:qFormat/>
    <w:uiPriority w:val="99"/>
    <w:rPr>
      <w:rFonts w:ascii="Times New Roman" w:hAnsi="Times New Roman" w:eastAsia="宋体" w:cs="Times New Roman"/>
      <w:szCs w:val="24"/>
    </w:rPr>
  </w:style>
  <w:style w:type="paragraph" w:customStyle="1" w:styleId="122">
    <w:name w:val="样式 正文文本"/>
    <w:basedOn w:val="1"/>
    <w:qFormat/>
    <w:uiPriority w:val="99"/>
    <w:pPr>
      <w:adjustRightInd w:val="0"/>
      <w:snapToGrid w:val="0"/>
      <w:spacing w:line="400" w:lineRule="exact"/>
      <w:ind w:firstLine="200" w:firstLineChars="200"/>
    </w:pPr>
    <w:rPr>
      <w:rFonts w:ascii="Arial" w:hAnsi="Arial" w:eastAsia="宋体" w:cs="Times New Roman"/>
      <w:color w:val="000000"/>
      <w:szCs w:val="20"/>
    </w:rPr>
  </w:style>
  <w:style w:type="paragraph" w:customStyle="1" w:styleId="123">
    <w:name w:val="Char4 Char Char Char"/>
    <w:basedOn w:val="22"/>
    <w:qFormat/>
    <w:uiPriority w:val="99"/>
  </w:style>
  <w:style w:type="paragraph" w:customStyle="1" w:styleId="124">
    <w:name w:val="legal 2"/>
    <w:basedOn w:val="110"/>
    <w:next w:val="110"/>
    <w:qFormat/>
    <w:uiPriority w:val="99"/>
    <w:pPr>
      <w:spacing w:after="120"/>
    </w:pPr>
    <w:rPr>
      <w:rFonts w:cs="Times New Roman"/>
      <w:color w:val="auto"/>
    </w:rPr>
  </w:style>
  <w:style w:type="paragraph" w:customStyle="1" w:styleId="125">
    <w:name w:val="列表延续"/>
    <w:basedOn w:val="1"/>
    <w:qFormat/>
    <w:uiPriority w:val="99"/>
    <w:pPr>
      <w:numPr>
        <w:ilvl w:val="8"/>
        <w:numId w:val="4"/>
      </w:numPr>
      <w:adjustRightInd w:val="0"/>
      <w:spacing w:line="360" w:lineRule="auto"/>
    </w:pPr>
    <w:rPr>
      <w:rFonts w:ascii="Times New Roman" w:hAnsi="Tms Rmn" w:eastAsia="楷体_GB2312" w:cs="Times New Roman"/>
      <w:kern w:val="28"/>
      <w:sz w:val="28"/>
      <w:szCs w:val="20"/>
    </w:rPr>
  </w:style>
  <w:style w:type="paragraph" w:customStyle="1" w:styleId="126">
    <w:name w:val="无间隔1"/>
    <w:qFormat/>
    <w:uiPriority w:val="99"/>
    <w:pPr>
      <w:widowControl w:val="0"/>
      <w:jc w:val="both"/>
    </w:pPr>
    <w:rPr>
      <w:rFonts w:ascii="Calibri" w:hAnsi="Calibri" w:eastAsia="宋体" w:cs="Times New Roman"/>
      <w:kern w:val="2"/>
      <w:sz w:val="21"/>
      <w:szCs w:val="22"/>
      <w:lang w:val="en-US" w:eastAsia="zh-CN" w:bidi="ar-SA"/>
    </w:rPr>
  </w:style>
  <w:style w:type="character" w:customStyle="1" w:styleId="127">
    <w:name w:val="批注框文本字符1"/>
    <w:semiHidden/>
    <w:qFormat/>
    <w:uiPriority w:val="99"/>
    <w:rPr>
      <w:rFonts w:hint="eastAsia" w:ascii="Heiti SC Light" w:eastAsia="Heiti SC Light"/>
      <w:sz w:val="18"/>
      <w:szCs w:val="18"/>
    </w:rPr>
  </w:style>
  <w:style w:type="character" w:customStyle="1" w:styleId="128">
    <w:name w:val="font51"/>
    <w:qFormat/>
    <w:uiPriority w:val="0"/>
    <w:rPr>
      <w:rFonts w:hint="default" w:ascii="Times New Roman" w:hAnsi="Times New Roman" w:cs="Times New Roman"/>
      <w:b/>
      <w:color w:val="000000"/>
      <w:sz w:val="24"/>
      <w:szCs w:val="24"/>
      <w:u w:val="none"/>
    </w:rPr>
  </w:style>
  <w:style w:type="character" w:customStyle="1" w:styleId="129">
    <w:name w:val="正文首行缩进 2字符1"/>
    <w:semiHidden/>
    <w:qFormat/>
    <w:uiPriority w:val="99"/>
  </w:style>
  <w:style w:type="character" w:customStyle="1" w:styleId="130">
    <w:name w:val="正文文本缩进 3字符1"/>
    <w:semiHidden/>
    <w:qFormat/>
    <w:uiPriority w:val="99"/>
    <w:rPr>
      <w:sz w:val="16"/>
      <w:szCs w:val="16"/>
    </w:rPr>
  </w:style>
  <w:style w:type="character" w:customStyle="1" w:styleId="131">
    <w:name w:val="纯文本 Char1"/>
    <w:qFormat/>
    <w:uiPriority w:val="0"/>
    <w:rPr>
      <w:rFonts w:hint="default" w:ascii="Courier New" w:hAnsi="Courier New" w:cs="Courier New"/>
      <w:kern w:val="2"/>
      <w:sz w:val="21"/>
    </w:rPr>
  </w:style>
  <w:style w:type="character" w:customStyle="1" w:styleId="132">
    <w:name w:val="font01"/>
    <w:qFormat/>
    <w:uiPriority w:val="0"/>
    <w:rPr>
      <w:rFonts w:hint="eastAsia" w:ascii="宋体" w:hAnsi="宋体" w:eastAsia="宋体" w:cs="宋体"/>
      <w:color w:val="000000"/>
      <w:sz w:val="21"/>
      <w:szCs w:val="21"/>
      <w:u w:val="none"/>
    </w:rPr>
  </w:style>
  <w:style w:type="character" w:customStyle="1" w:styleId="133">
    <w:name w:val="Char Char"/>
    <w:qFormat/>
    <w:uiPriority w:val="0"/>
    <w:rPr>
      <w:rFonts w:hint="eastAsia" w:ascii="宋体" w:hAnsi="Courier New" w:eastAsia="宋体" w:cs="Courier New"/>
      <w:kern w:val="2"/>
      <w:sz w:val="21"/>
      <w:szCs w:val="21"/>
      <w:lang w:val="en-US" w:eastAsia="zh-CN" w:bidi="ar-SA"/>
    </w:rPr>
  </w:style>
  <w:style w:type="character" w:customStyle="1" w:styleId="134">
    <w:name w:val="正文文本 2字符1"/>
    <w:semiHidden/>
    <w:qFormat/>
    <w:uiPriority w:val="99"/>
  </w:style>
  <w:style w:type="character" w:customStyle="1" w:styleId="135">
    <w:name w:val="font61"/>
    <w:qFormat/>
    <w:uiPriority w:val="0"/>
    <w:rPr>
      <w:rFonts w:hint="default" w:ascii="Times New Roman" w:hAnsi="Times New Roman" w:cs="Times New Roman"/>
      <w:color w:val="000000"/>
      <w:sz w:val="24"/>
      <w:szCs w:val="24"/>
      <w:u w:val="none"/>
    </w:rPr>
  </w:style>
  <w:style w:type="character" w:customStyle="1" w:styleId="136">
    <w:name w:val="正文文本字符"/>
    <w:qFormat/>
    <w:uiPriority w:val="0"/>
    <w:rPr>
      <w:rFonts w:hint="default" w:ascii="Times New Roman" w:hAnsi="Times New Roman" w:eastAsia="宋体" w:cs="Times New Roman"/>
      <w:kern w:val="0"/>
      <w:sz w:val="20"/>
      <w:szCs w:val="24"/>
    </w:rPr>
  </w:style>
  <w:style w:type="character" w:customStyle="1" w:styleId="137">
    <w:name w:val="正文首行缩进字符1"/>
    <w:semiHidden/>
    <w:qFormat/>
    <w:uiPriority w:val="99"/>
  </w:style>
  <w:style w:type="character" w:customStyle="1" w:styleId="138">
    <w:name w:val="批注主题字符1"/>
    <w:semiHidden/>
    <w:qFormat/>
    <w:uiPriority w:val="99"/>
    <w:rPr>
      <w:b/>
      <w:bCs/>
      <w:kern w:val="2"/>
      <w:sz w:val="21"/>
      <w:szCs w:val="22"/>
    </w:rPr>
  </w:style>
  <w:style w:type="character" w:customStyle="1" w:styleId="139">
    <w:name w:val="font21"/>
    <w:qFormat/>
    <w:uiPriority w:val="0"/>
    <w:rPr>
      <w:rFonts w:hint="default" w:ascii="Times New Roman" w:hAnsi="Times New Roman" w:cs="Times New Roman"/>
      <w:color w:val="000000"/>
      <w:sz w:val="24"/>
      <w:szCs w:val="24"/>
      <w:u w:val="none"/>
      <w:vertAlign w:val="superscript"/>
    </w:rPr>
  </w:style>
  <w:style w:type="character" w:customStyle="1" w:styleId="140">
    <w:name w:val="正文文本缩进 2字符1"/>
    <w:semiHidden/>
    <w:qFormat/>
    <w:uiPriority w:val="99"/>
  </w:style>
  <w:style w:type="character" w:customStyle="1" w:styleId="141">
    <w:name w:val="Char Char2"/>
    <w:qFormat/>
    <w:uiPriority w:val="0"/>
    <w:rPr>
      <w:rFonts w:hint="eastAsia" w:ascii="宋体" w:hAnsi="宋体" w:eastAsia="宋体"/>
      <w:kern w:val="2"/>
      <w:sz w:val="18"/>
      <w:szCs w:val="18"/>
      <w:lang w:val="en-US" w:eastAsia="zh-CN" w:bidi="ar-SA"/>
    </w:rPr>
  </w:style>
  <w:style w:type="character" w:customStyle="1" w:styleId="142">
    <w:name w:val="注释文本字符"/>
    <w:semiHidden/>
    <w:qFormat/>
    <w:uiPriority w:val="0"/>
    <w:rPr>
      <w:rFonts w:hint="default" w:ascii="Times New Roman" w:hAnsi="Times New Roman" w:eastAsia="宋体" w:cs="Times New Roman"/>
      <w:kern w:val="0"/>
      <w:sz w:val="20"/>
      <w:szCs w:val="24"/>
    </w:rPr>
  </w:style>
  <w:style w:type="character" w:customStyle="1" w:styleId="143">
    <w:name w:val="font11"/>
    <w:qFormat/>
    <w:uiPriority w:val="0"/>
    <w:rPr>
      <w:rFonts w:hint="default" w:ascii="Times New Roman" w:hAnsi="Times New Roman" w:cs="Times New Roman"/>
      <w:color w:val="000000"/>
      <w:sz w:val="21"/>
      <w:szCs w:val="21"/>
      <w:u w:val="none"/>
    </w:rPr>
  </w:style>
  <w:style w:type="character" w:customStyle="1" w:styleId="144">
    <w:name w:val="日期字符1"/>
    <w:semiHidden/>
    <w:qFormat/>
    <w:uiPriority w:val="99"/>
  </w:style>
  <w:style w:type="character" w:customStyle="1" w:styleId="145">
    <w:name w:val="纯文本字符1"/>
    <w:semiHidden/>
    <w:qFormat/>
    <w:uiPriority w:val="99"/>
    <w:rPr>
      <w:rFonts w:hint="eastAsia" w:ascii="宋体" w:hAnsi="Courier" w:eastAsia="宋体"/>
    </w:rPr>
  </w:style>
  <w:style w:type="character" w:customStyle="1" w:styleId="146">
    <w:name w:val="px1233"/>
    <w:qFormat/>
    <w:uiPriority w:val="0"/>
  </w:style>
  <w:style w:type="character" w:customStyle="1" w:styleId="147">
    <w:name w:val="正文文本缩进字符1"/>
    <w:semiHidden/>
    <w:qFormat/>
    <w:uiPriority w:val="99"/>
  </w:style>
  <w:style w:type="character" w:customStyle="1" w:styleId="148">
    <w:name w:val="标题字符1"/>
    <w:qFormat/>
    <w:uiPriority w:val="10"/>
    <w:rPr>
      <w:rFonts w:hint="default" w:ascii="Calibri" w:hAnsi="Calibri" w:eastAsia="宋体" w:cs="Times New Roman"/>
      <w:b/>
      <w:bCs/>
      <w:sz w:val="32"/>
      <w:szCs w:val="32"/>
    </w:rPr>
  </w:style>
  <w:style w:type="character" w:customStyle="1" w:styleId="149">
    <w:name w:val="Char Char3"/>
    <w:qFormat/>
    <w:uiPriority w:val="0"/>
    <w:rPr>
      <w:rFonts w:hint="eastAsia" w:ascii="宋体" w:hAnsi="宋体" w:eastAsia="宋体"/>
      <w:kern w:val="2"/>
      <w:sz w:val="18"/>
      <w:szCs w:val="18"/>
      <w:lang w:val="en-US" w:eastAsia="zh-CN" w:bidi="ar-SA"/>
    </w:rPr>
  </w:style>
  <w:style w:type="character" w:customStyle="1" w:styleId="150">
    <w:name w:val="font71"/>
    <w:qFormat/>
    <w:uiPriority w:val="0"/>
    <w:rPr>
      <w:rFonts w:hint="eastAsia" w:ascii="宋体" w:hAnsi="宋体" w:eastAsia="宋体" w:cs="宋体"/>
      <w:color w:val="000000"/>
      <w:sz w:val="24"/>
      <w:szCs w:val="24"/>
      <w:u w:val="none"/>
    </w:rPr>
  </w:style>
  <w:style w:type="character" w:customStyle="1" w:styleId="151">
    <w:name w:val="页脚字符1"/>
    <w:semiHidden/>
    <w:qFormat/>
    <w:uiPriority w:val="99"/>
    <w:rPr>
      <w:sz w:val="18"/>
      <w:szCs w:val="18"/>
    </w:rPr>
  </w:style>
  <w:style w:type="character" w:customStyle="1" w:styleId="152">
    <w:name w:val="font41"/>
    <w:qFormat/>
    <w:uiPriority w:val="0"/>
    <w:rPr>
      <w:rFonts w:hint="eastAsia" w:ascii="宋体" w:hAnsi="宋体" w:eastAsia="宋体" w:cs="宋体"/>
      <w:b/>
      <w:color w:val="000000"/>
      <w:sz w:val="24"/>
      <w:szCs w:val="24"/>
      <w:u w:val="none"/>
    </w:rPr>
  </w:style>
  <w:style w:type="character" w:customStyle="1" w:styleId="153">
    <w:name w:val="zbggmain style9"/>
    <w:qFormat/>
    <w:uiPriority w:val="0"/>
  </w:style>
  <w:style w:type="character" w:customStyle="1" w:styleId="154">
    <w:name w:val="页脚 Char1"/>
    <w:qFormat/>
    <w:locked/>
    <w:uiPriority w:val="0"/>
    <w:rPr>
      <w:rFonts w:hint="default" w:ascii="Times New Roman" w:hAnsi="Times New Roman" w:cs="Times New Roman"/>
      <w:sz w:val="18"/>
    </w:rPr>
  </w:style>
  <w:style w:type="character" w:customStyle="1" w:styleId="155">
    <w:name w:val="文档结构图 字符1"/>
    <w:semiHidden/>
    <w:qFormat/>
    <w:uiPriority w:val="99"/>
    <w:rPr>
      <w:rFonts w:hint="eastAsia" w:ascii="Heiti SC Light" w:eastAsia="Heiti SC Light"/>
    </w:rPr>
  </w:style>
  <w:style w:type="character" w:customStyle="1" w:styleId="156">
    <w:name w:val="正文文本 3字符1"/>
    <w:semiHidden/>
    <w:qFormat/>
    <w:uiPriority w:val="99"/>
    <w:rPr>
      <w:sz w:val="16"/>
      <w:szCs w:val="16"/>
    </w:rPr>
  </w:style>
  <w:style w:type="character" w:customStyle="1" w:styleId="157">
    <w:name w:val="页眉字符1"/>
    <w:semiHidden/>
    <w:qFormat/>
    <w:uiPriority w:val="99"/>
    <w:rPr>
      <w:sz w:val="18"/>
      <w:szCs w:val="18"/>
    </w:rPr>
  </w:style>
  <w:style w:type="character" w:customStyle="1" w:styleId="158">
    <w:name w:val="页脚 Char2"/>
    <w:basedOn w:val="52"/>
    <w:semiHidden/>
    <w:qFormat/>
    <w:locked/>
    <w:uiPriority w:val="99"/>
    <w:rPr>
      <w:rFonts w:ascii="Times New Roman" w:hAnsi="Times New Roman" w:eastAsia="宋体" w:cs="Times New Roman"/>
      <w:kern w:val="0"/>
      <w:sz w:val="18"/>
      <w:szCs w:val="20"/>
    </w:rPr>
  </w:style>
  <w:style w:type="character" w:customStyle="1" w:styleId="159">
    <w:name w:val="页眉 Char1"/>
    <w:basedOn w:val="52"/>
    <w:semiHidden/>
    <w:qFormat/>
    <w:locked/>
    <w:uiPriority w:val="99"/>
    <w:rPr>
      <w:rFonts w:ascii="Times New Roman" w:hAnsi="Times New Roman" w:eastAsia="宋体" w:cs="Times New Roman"/>
      <w:kern w:val="0"/>
      <w:sz w:val="18"/>
      <w:szCs w:val="20"/>
    </w:rPr>
  </w:style>
  <w:style w:type="paragraph" w:customStyle="1" w:styleId="160">
    <w:name w:val="Legal 5"/>
    <w:basedOn w:val="110"/>
    <w:next w:val="110"/>
    <w:qFormat/>
    <w:uiPriority w:val="99"/>
    <w:pPr>
      <w:spacing w:after="120"/>
    </w:pPr>
    <w:rPr>
      <w:rFonts w:cs="Times New Roman"/>
      <w:color w:val="auto"/>
    </w:rPr>
  </w:style>
  <w:style w:type="paragraph" w:customStyle="1" w:styleId="161">
    <w:name w:val="Legal 3"/>
    <w:basedOn w:val="110"/>
    <w:next w:val="110"/>
    <w:qFormat/>
    <w:uiPriority w:val="99"/>
    <w:pPr>
      <w:spacing w:after="120"/>
    </w:pPr>
    <w:rPr>
      <w:rFonts w:cs="Times New Roman"/>
      <w:color w:val="auto"/>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3560</Words>
  <Characters>20298</Characters>
  <Lines>169</Lines>
  <Paragraphs>47</Paragraphs>
  <ScaleCrop>false</ScaleCrop>
  <LinksUpToDate>false</LinksUpToDate>
  <CharactersWithSpaces>23811</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2018-07-23T04:25:00Z</dcterms:created>
  <dc:creator>张治</dc:creator>
  <cp:lastModifiedBy>贾思勰</cp:lastModifiedBy>
  <dcterms:modified xsi:type="dcterms:W3CDTF">2019-07-22T09:46:16Z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