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eastAsia="黑体" w:cs="Calibri"/>
          <w:b/>
          <w:sz w:val="44"/>
          <w:szCs w:val="44"/>
        </w:rPr>
      </w:pPr>
      <w:r>
        <w:rPr>
          <w:rFonts w:hint="eastAsia" w:ascii="黑体" w:hAnsi="黑体" w:eastAsia="黑体"/>
          <w:b/>
          <w:sz w:val="44"/>
          <w:szCs w:val="44"/>
        </w:rPr>
        <w:t>杭州萧山国际机场T1航站楼地下车库消防</w:t>
      </w:r>
      <w:r>
        <w:rPr>
          <w:rFonts w:hint="eastAsia" w:eastAsia="黑体" w:cs="Calibri"/>
          <w:b/>
          <w:sz w:val="44"/>
          <w:szCs w:val="44"/>
          <w:u w:val="single"/>
        </w:rPr>
        <w:t>喷淋头更换</w:t>
      </w:r>
      <w:r>
        <w:rPr>
          <w:rFonts w:hint="eastAsia" w:eastAsia="黑体" w:cs="Calibri"/>
          <w:b/>
          <w:sz w:val="44"/>
          <w:szCs w:val="44"/>
        </w:rPr>
        <w:t>项目</w:t>
      </w:r>
    </w:p>
    <w:p>
      <w:pPr>
        <w:widowControl/>
        <w:autoSpaceDE w:val="0"/>
        <w:autoSpaceDN w:val="0"/>
        <w:jc w:val="center"/>
        <w:textAlignment w:val="bottom"/>
        <w:rPr>
          <w:rFonts w:hint="eastAsia" w:eastAsia="黑体" w:cs="Calibri"/>
          <w:b/>
          <w:sz w:val="44"/>
          <w:szCs w:val="44"/>
          <w:lang w:eastAsia="zh-CN"/>
        </w:rPr>
      </w:pPr>
      <w:r>
        <w:rPr>
          <w:rFonts w:hint="eastAsia" w:eastAsia="黑体" w:cs="Calibri"/>
          <w:b/>
          <w:sz w:val="44"/>
          <w:szCs w:val="44"/>
          <w:lang w:eastAsia="zh-CN"/>
        </w:rPr>
        <w:t>（第三次招标）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七</w:t>
      </w:r>
      <w:r>
        <w:rPr>
          <w:rFonts w:ascii="Calibri" w:hAnsi="Calibri" w:eastAsia="黑体" w:cs="Calibri"/>
          <w:sz w:val="32"/>
          <w:szCs w:val="32"/>
        </w:rPr>
        <w:t>月</w:t>
      </w:r>
    </w:p>
    <w:p>
      <w:pPr>
        <w:spacing w:line="560" w:lineRule="exact"/>
        <w:rPr>
          <w:b/>
          <w:bCs/>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spacing w:line="560" w:lineRule="exact"/>
        <w:jc w:val="center"/>
        <w:rPr>
          <w:b/>
          <w:bCs/>
          <w:sz w:val="44"/>
          <w:szCs w:val="44"/>
        </w:rPr>
      </w:pP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8"/>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t>........-15-</w:t>
      </w:r>
    </w:p>
    <w:p>
      <w:pPr>
        <w:pStyle w:val="8"/>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t>-25-</w:t>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w:t>
      </w:r>
      <w:r>
        <w:rPr>
          <w:rFonts w:hint="eastAsia" w:ascii="黑体" w:hAnsi="黑体" w:eastAsia="黑体"/>
          <w:sz w:val="22"/>
          <w:szCs w:val="22"/>
        </w:rPr>
        <w:t>8</w:t>
      </w:r>
      <w:r>
        <w:rPr>
          <w:rFonts w:ascii="黑体" w:hAnsi="黑体" w:eastAsia="黑体"/>
          <w:sz w:val="22"/>
          <w:szCs w:val="22"/>
        </w:rPr>
        <w:t>-</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10" w:type="first"/>
          <w:footerReference r:id="rId9" w:type="default"/>
          <w:pgSz w:w="11900" w:h="16840"/>
          <w:pgMar w:top="1134" w:right="1800" w:bottom="1134" w:left="1800" w:header="851" w:footer="992" w:gutter="0"/>
          <w:pgNumType w:fmt="numberInDash" w:start="1"/>
          <w:cols w:space="720" w:num="1"/>
          <w:titlePg/>
          <w:docGrid w:linePitch="326" w:charSpace="0"/>
        </w:sectPr>
      </w:pPr>
    </w:p>
    <w:p>
      <w:pPr>
        <w:pStyle w:val="11"/>
      </w:pPr>
      <w:bookmarkStart w:id="0" w:name="_Toc321925451"/>
      <w:r>
        <w:rPr>
          <w:rFonts w:hint="eastAsia"/>
        </w:rPr>
        <w:t>第一章招标公告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T1航站楼地下车库消防喷淋头更换</w:t>
      </w:r>
      <w:r>
        <w:rPr>
          <w:rFonts w:ascii="宋体" w:hAnsi="宋体" w:cs="Arial"/>
          <w:kern w:val="0"/>
          <w:sz w:val="22"/>
        </w:rPr>
        <w:t>项</w:t>
      </w:r>
      <w:r>
        <w:rPr>
          <w:rFonts w:hint="eastAsia" w:ascii="宋体" w:hAnsi="宋体" w:cs="Arial"/>
          <w:kern w:val="0"/>
          <w:sz w:val="22"/>
        </w:rPr>
        <w:t>目进行公开招标，因目前地下车库处于满负荷运行的状态，项目实施只能采用分区、分时段来实施，并需要对停放车辆采取安全防护措施，欢迎符合资格要求的供应商参与投标。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内容包括：</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新</w:t>
      </w:r>
      <w:r>
        <w:rPr>
          <w:rFonts w:hint="eastAsia" w:ascii="宋体" w:hAnsi="宋体" w:cs="Arial"/>
          <w:kern w:val="0"/>
          <w:sz w:val="22"/>
        </w:rPr>
        <w:t>消防喷淋头</w:t>
      </w:r>
      <w:r>
        <w:rPr>
          <w:rFonts w:hint="eastAsia" w:ascii="宋体" w:hAnsi="宋体" w:cs="Calibri"/>
          <w:sz w:val="22"/>
        </w:rPr>
        <w:t>的采购、运输（送至招标人指定地点）、拆装更换、管路污垢清理、调试、其它安装时所需的配件材料、售后服务、维修及全部竣工验收资料的提供等工作；</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招标货物名称、数量、主要技术规格及相关要求</w:t>
      </w:r>
    </w:p>
    <w:tbl>
      <w:tblPr>
        <w:tblStyle w:val="14"/>
        <w:tblW w:w="9782" w:type="dxa"/>
        <w:tblInd w:w="-269" w:type="dxa"/>
        <w:tblLayout w:type="fixed"/>
        <w:tblCellMar>
          <w:top w:w="15" w:type="dxa"/>
          <w:left w:w="15" w:type="dxa"/>
          <w:bottom w:w="15" w:type="dxa"/>
          <w:right w:w="15" w:type="dxa"/>
        </w:tblCellMar>
      </w:tblPr>
      <w:tblGrid>
        <w:gridCol w:w="568"/>
        <w:gridCol w:w="850"/>
        <w:gridCol w:w="1843"/>
        <w:gridCol w:w="1559"/>
        <w:gridCol w:w="993"/>
        <w:gridCol w:w="992"/>
        <w:gridCol w:w="1134"/>
        <w:gridCol w:w="1843"/>
      </w:tblGrid>
      <w:tr>
        <w:tblPrEx>
          <w:tblLayout w:type="fixed"/>
          <w:tblCellMar>
            <w:top w:w="15" w:type="dxa"/>
            <w:left w:w="15" w:type="dxa"/>
            <w:bottom w:w="15" w:type="dxa"/>
            <w:right w:w="15" w:type="dxa"/>
          </w:tblCellMar>
        </w:tblPrEx>
        <w:trPr>
          <w:trHeight w:val="73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序号</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货物名称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规格型号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产品材质</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配置地点</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ind w:firstLine="660" w:firstLineChars="300"/>
              <w:jc w:val="center"/>
              <w:rPr>
                <w:rFonts w:ascii="宋体" w:hAnsi="宋体" w:cs="Arial"/>
                <w:kern w:val="0"/>
                <w:sz w:val="22"/>
              </w:rPr>
            </w:pPr>
            <w:r>
              <w:rPr>
                <w:rFonts w:hint="eastAsia" w:ascii="宋体" w:hAnsi="宋体" w:cs="Arial"/>
                <w:kern w:val="0"/>
                <w:sz w:val="22"/>
              </w:rPr>
              <w:t>备注</w:t>
            </w:r>
          </w:p>
        </w:tc>
      </w:tr>
      <w:tr>
        <w:tblPrEx>
          <w:tblLayout w:type="fixed"/>
          <w:tblCellMar>
            <w:top w:w="15" w:type="dxa"/>
            <w:left w:w="15" w:type="dxa"/>
            <w:bottom w:w="15" w:type="dxa"/>
            <w:right w:w="15" w:type="dxa"/>
          </w:tblCellMar>
        </w:tblPrEx>
        <w:trPr>
          <w:trHeight w:val="867"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消防喷淋头</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
              <w:shd w:val="clear" w:color="auto" w:fill="FFFFFF"/>
              <w:spacing w:before="0" w:after="0"/>
              <w:ind w:right="300"/>
              <w:rPr>
                <w:rFonts w:ascii="宋体" w:hAnsi="宋体" w:cs="Calibri"/>
                <w:b w:val="0"/>
                <w:bCs w:val="0"/>
                <w:kern w:val="2"/>
                <w:sz w:val="22"/>
                <w:szCs w:val="22"/>
              </w:rPr>
            </w:pPr>
            <w:r>
              <w:rPr>
                <w:rFonts w:hint="eastAsia" w:ascii="宋体" w:hAnsi="宋体" w:cs="Calibri"/>
                <w:b w:val="0"/>
                <w:bCs w:val="0"/>
                <w:kern w:val="2"/>
                <w:sz w:val="22"/>
                <w:szCs w:val="22"/>
              </w:rPr>
              <w:t>DN15下垂型（玻璃球闭式ESFR</w:t>
            </w:r>
          </w:p>
          <w:p>
            <w:pPr>
              <w:widowControl/>
              <w:adjustRightInd w:val="0"/>
              <w:snapToGrid w:val="0"/>
              <w:spacing w:line="360" w:lineRule="exact"/>
              <w:jc w:val="center"/>
              <w:rPr>
                <w:rFonts w:ascii="宋体" w:hAnsi="宋体" w:cs="Calibri"/>
                <w:sz w:val="22"/>
              </w:rPr>
            </w:pPr>
            <w:r>
              <w:rPr>
                <w:rFonts w:hint="eastAsia" w:ascii="宋体" w:hAnsi="宋体" w:cs="Calibri"/>
                <w:sz w:val="22"/>
              </w:rPr>
              <w:t>快速响应喷头）</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全铜框架、德国久保玻璃球</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1850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只</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T1航站楼地下车库</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送货至招标人指定地点并负责更换消防喷淋头。</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（1）投标人</w:t>
      </w:r>
      <w:r>
        <w:rPr>
          <w:rFonts w:hint="eastAsia" w:ascii="宋体" w:hAnsi="宋体" w:cs="Arial"/>
          <w:kern w:val="0"/>
        </w:rPr>
        <w:t>具有独立法人资格的制造商或代理商，公司营业执照的经营范围包含消防器材或设备的批发、零售，注册资金不少于人民币100万元或等值外币(按投标截止日中国人民银行公布的汇率中间价换算)</w:t>
      </w:r>
      <w:r>
        <w:rPr>
          <w:rFonts w:hint="eastAsia" w:ascii="宋体" w:hAnsi="宋体" w:cs="Arial"/>
          <w:kern w:val="0"/>
          <w:sz w:val="22"/>
        </w:rPr>
        <w:t>。需提供营业执照复印件并加盖投标人公章作为证明材料，原件备查；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，可提供税率为1</w:t>
      </w:r>
      <w:r>
        <w:rPr>
          <w:rFonts w:hint="eastAsia" w:ascii="宋体" w:hAnsi="宋体" w:cs="Arial"/>
          <w:kern w:val="0"/>
          <w:sz w:val="22"/>
        </w:rPr>
        <w:t>3</w:t>
      </w:r>
      <w:r>
        <w:rPr>
          <w:rFonts w:ascii="宋体" w:hAnsi="宋体" w:cs="Arial"/>
          <w:kern w:val="0"/>
          <w:sz w:val="22"/>
        </w:rPr>
        <w:t>%的增值税专用发票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产品必须通过“CCC”认证，且认证证书在有效期内（须提供认证证书复印件并加盖投标人公章作为证明材料，且该信息能够在中国消防产品质量信息查询系统中得到证实），还需提供投标产品的检验报告和合格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（5）需具备供货能力，2016年1月1日至投标截止日，有类似项目销售业绩（需提供中标通知书或合同复印件并加盖投标人公章作为证明材料，原件备查）；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cs="Arial"/>
          <w:color w:val="414141"/>
          <w:sz w:val="23"/>
          <w:szCs w:val="23"/>
        </w:rPr>
      </w:pPr>
      <w:r>
        <w:rPr>
          <w:rFonts w:hint="eastAsia" w:ascii="宋体" w:hAnsi="宋体" w:cs="Arial"/>
          <w:kern w:val="0"/>
          <w:sz w:val="22"/>
        </w:rPr>
        <w:t>（1）</w:t>
      </w:r>
      <w:r>
        <w:rPr>
          <w:rFonts w:hint="eastAsia" w:cs="Arial"/>
          <w:color w:val="414141"/>
          <w:sz w:val="23"/>
          <w:szCs w:val="23"/>
        </w:rPr>
        <w:t>投标文件递交截止时间：</w:t>
      </w:r>
      <w:r>
        <w:rPr>
          <w:rFonts w:hint="eastAsia" w:cs="Arial"/>
          <w:color w:val="414141"/>
          <w:sz w:val="23"/>
          <w:szCs w:val="23"/>
          <w:lang w:eastAsia="zh-CN"/>
        </w:rPr>
        <w:t>2019年7月30日下午13时45分</w:t>
      </w:r>
      <w:r>
        <w:rPr>
          <w:rFonts w:hint="eastAsia" w:cs="Arial"/>
          <w:color w:val="414141"/>
          <w:sz w:val="23"/>
          <w:szCs w:val="23"/>
        </w:rPr>
        <w:t>（北京时间）。投标文件在封口处加盖公章，并派专人于</w:t>
      </w:r>
      <w:r>
        <w:rPr>
          <w:rFonts w:hint="eastAsia" w:cs="Arial"/>
          <w:color w:val="414141"/>
          <w:sz w:val="23"/>
          <w:szCs w:val="23"/>
          <w:lang w:eastAsia="zh-CN"/>
        </w:rPr>
        <w:t>2019年7月30日下午13时45分</w:t>
      </w:r>
      <w:r>
        <w:rPr>
          <w:rFonts w:hint="eastAsia" w:cs="Arial"/>
          <w:color w:val="414141"/>
          <w:sz w:val="23"/>
          <w:szCs w:val="23"/>
        </w:rPr>
        <w:t>（北京时间）前送至杭州萧山国际机场翔越路综合服务楼园区招标中心，逾期无效；若采用投递方式的，请于</w:t>
      </w:r>
      <w:r>
        <w:rPr>
          <w:rFonts w:hint="eastAsia" w:cs="Arial"/>
          <w:color w:val="414141"/>
          <w:sz w:val="23"/>
          <w:szCs w:val="23"/>
          <w:lang w:eastAsia="zh-CN"/>
        </w:rPr>
        <w:t>2019年7月30日下午13时45分</w:t>
      </w:r>
      <w:r>
        <w:rPr>
          <w:rFonts w:hint="eastAsia" w:cs="Arial"/>
          <w:color w:val="414141"/>
          <w:sz w:val="23"/>
          <w:szCs w:val="23"/>
        </w:rPr>
        <w:t>（北京时间）前投递至杭州萧山国际机场综合楼213室，逾期无效。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cs="Arial"/>
          <w:color w:val="414141"/>
          <w:sz w:val="23"/>
          <w:szCs w:val="23"/>
        </w:rPr>
      </w:pPr>
      <w:r>
        <w:rPr>
          <w:rFonts w:hint="eastAsia" w:ascii="宋体" w:hAnsi="宋体"/>
          <w:sz w:val="22"/>
        </w:rPr>
        <w:t>投标联系人：贾思勰        联系电话：0571-8</w:t>
      </w:r>
      <w:r>
        <w:rPr>
          <w:rFonts w:hint="eastAsia" w:ascii="宋体" w:hAnsi="宋体"/>
          <w:sz w:val="22"/>
          <w:lang w:val="en-US" w:eastAsia="zh-CN"/>
        </w:rPr>
        <w:t>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 xml:space="preserve">招标监督人：阮周长        </w:t>
      </w:r>
      <w:r>
        <w:rPr>
          <w:rFonts w:hint="eastAsia" w:ascii="宋体" w:hAnsi="宋体"/>
          <w:bCs/>
          <w:sz w:val="22"/>
          <w:lang w:val="en-US" w:eastAsia="zh-CN"/>
        </w:rPr>
        <w:t xml:space="preserve">     </w:t>
      </w:r>
      <w:r>
        <w:rPr>
          <w:rFonts w:hint="eastAsia" w:ascii="宋体" w:hAnsi="宋体"/>
          <w:bCs/>
          <w:sz w:val="22"/>
        </w:rPr>
        <w:t xml:space="preserve"> 联系电话：0571-86662133</w:t>
      </w:r>
    </w:p>
    <w:p>
      <w:pPr>
        <w:rPr>
          <w:rFonts w:ascii="宋体" w:hAnsi="宋体"/>
          <w:sz w:val="22"/>
        </w:rPr>
        <w:sectPr>
          <w:headerReference r:id="rId11" w:type="default"/>
          <w:pgSz w:w="11906" w:h="16838"/>
          <w:pgMar w:top="1440" w:right="1800" w:bottom="1440" w:left="1800" w:header="851" w:footer="992" w:gutter="0"/>
          <w:pgNumType w:fmt="numberInDash"/>
          <w:cols w:space="720" w:num="1"/>
          <w:docGrid w:type="lines" w:linePitch="312" w:charSpace="0"/>
        </w:sectPr>
      </w:pPr>
    </w:p>
    <w:p>
      <w:pPr>
        <w:pStyle w:val="11"/>
      </w:pPr>
      <w:bookmarkStart w:id="1" w:name="_Toc321925452"/>
      <w:r>
        <w:t>第</w:t>
      </w:r>
      <w:r>
        <w:rPr>
          <w:rFonts w:hint="eastAsia"/>
        </w:rPr>
        <w:t>二</w:t>
      </w:r>
      <w:r>
        <w:t>章投标</w:t>
      </w:r>
      <w:r>
        <w:rPr>
          <w:rFonts w:hint="eastAsia"/>
        </w:rPr>
        <w:t>人须知</w:t>
      </w:r>
      <w:bookmarkEnd w:id="1"/>
    </w:p>
    <w:p>
      <w:pPr>
        <w:pStyle w:val="4"/>
        <w:spacing w:line="240" w:lineRule="auto"/>
        <w:jc w:val="center"/>
        <w:rPr>
          <w:b/>
          <w:sz w:val="28"/>
          <w:szCs w:val="28"/>
        </w:rPr>
      </w:pPr>
      <w:r>
        <w:rPr>
          <w:rFonts w:hint="eastAsia"/>
          <w:b/>
          <w:sz w:val="28"/>
          <w:szCs w:val="28"/>
        </w:rPr>
        <w:t>投标人须知前附表</w:t>
      </w:r>
    </w:p>
    <w:tbl>
      <w:tblPr>
        <w:tblStyle w:val="1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rPr>
              <w:t>杭州萧山国际机场</w:t>
            </w:r>
            <w:r>
              <w:rPr>
                <w:rFonts w:hint="eastAsia" w:ascii="宋体" w:hAnsi="宋体" w:cs="Arial"/>
                <w:kern w:val="0"/>
                <w:sz w:val="22"/>
              </w:rPr>
              <w:t>T1航站楼地下车库消防喷淋头更换</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90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rPr>
              <w:t>通过“CCC”认证，且认证证书在有效期内。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kern w:val="0"/>
                <w:sz w:val="22"/>
              </w:rPr>
            </w:pPr>
            <w:r>
              <w:rPr>
                <w:rFonts w:hint="eastAsia" w:ascii="宋体" w:hAnsi="宋体" w:cs="宋体"/>
                <w:kern w:val="0"/>
                <w:sz w:val="22"/>
              </w:rPr>
              <w:t>□不组织</w:t>
            </w:r>
          </w:p>
          <w:p>
            <w:pPr>
              <w:autoSpaceDE w:val="0"/>
              <w:autoSpaceDN w:val="0"/>
              <w:adjustRightInd w:val="0"/>
              <w:snapToGrid w:val="0"/>
              <w:rPr>
                <w:rFonts w:ascii="宋体"/>
                <w:kern w:val="0"/>
                <w:sz w:val="22"/>
              </w:rPr>
            </w:pPr>
            <w:r>
              <w:rPr>
                <w:rFonts w:hint="eastAsia" w:ascii="宋体" w:hAnsi="Wingdings"/>
                <w:kern w:val="0"/>
                <w:sz w:val="22"/>
              </w:rPr>
              <w:sym w:font="Wingdings" w:char="F0FE"/>
            </w:r>
            <w:r>
              <w:rPr>
                <w:rFonts w:hint="eastAsia" w:ascii="宋体" w:hAnsi="宋体" w:cs="宋体"/>
                <w:kern w:val="0"/>
                <w:sz w:val="22"/>
              </w:rPr>
              <w:t>组织，踏勘时间：</w:t>
            </w:r>
            <w:r>
              <w:rPr>
                <w:rFonts w:ascii="宋体" w:hAnsi="宋体" w:cs="宋体"/>
                <w:kern w:val="0"/>
                <w:sz w:val="22"/>
              </w:rPr>
              <w:t>2019</w:t>
            </w:r>
            <w:r>
              <w:rPr>
                <w:rFonts w:hint="eastAsia" w:ascii="宋体" w:hAnsi="宋体" w:cs="宋体"/>
                <w:kern w:val="0"/>
                <w:sz w:val="22"/>
              </w:rPr>
              <w:t>年</w:t>
            </w:r>
            <w:r>
              <w:rPr>
                <w:rFonts w:hint="eastAsia" w:ascii="宋体" w:hAnsi="宋体" w:cs="宋体"/>
                <w:kern w:val="0"/>
                <w:sz w:val="22"/>
                <w:lang w:val="en-US" w:eastAsia="zh-CN"/>
              </w:rPr>
              <w:t>6</w:t>
            </w:r>
            <w:r>
              <w:rPr>
                <w:rFonts w:hint="eastAsia" w:ascii="宋体" w:hAnsi="宋体" w:cs="宋体"/>
                <w:kern w:val="0"/>
                <w:sz w:val="22"/>
              </w:rPr>
              <w:t>月</w:t>
            </w:r>
            <w:r>
              <w:rPr>
                <w:rFonts w:hint="eastAsia" w:ascii="宋体" w:hAnsi="宋体" w:cs="宋体"/>
                <w:kern w:val="0"/>
                <w:sz w:val="22"/>
                <w:lang w:val="en-US" w:eastAsia="zh-CN"/>
              </w:rPr>
              <w:t>21</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kern w:val="0"/>
                <w:sz w:val="22"/>
              </w:rPr>
            </w:pPr>
            <w:r>
              <w:rPr>
                <w:rFonts w:hint="eastAsia" w:ascii="宋体" w:hAnsi="宋体" w:cs="宋体"/>
                <w:kern w:val="0"/>
                <w:sz w:val="22"/>
              </w:rPr>
              <w:t>踏勘集中地点：</w:t>
            </w:r>
            <w:r>
              <w:rPr>
                <w:rFonts w:hint="eastAsia" w:ascii="宋体" w:hAnsi="宋体" w:cs="Arial"/>
                <w:kern w:val="0"/>
                <w:sz w:val="22"/>
              </w:rPr>
              <w:t>杭州萧山国际机场翔越路综合服务楼园区招标中心</w:t>
            </w:r>
          </w:p>
          <w:p>
            <w:pPr>
              <w:widowControl/>
              <w:adjustRightInd w:val="0"/>
              <w:snapToGrid w:val="0"/>
              <w:spacing w:line="340" w:lineRule="exact"/>
              <w:rPr>
                <w:rFonts w:ascii="宋体"/>
                <w:sz w:val="22"/>
              </w:rPr>
            </w:pPr>
            <w:r>
              <w:rPr>
                <w:rFonts w:hint="eastAsia" w:ascii="宋体" w:hAnsi="宋体" w:cs="宋体"/>
                <w:sz w:val="22"/>
              </w:rPr>
              <w:t>联系人：贾思勰</w:t>
            </w:r>
            <w:r>
              <w:rPr>
                <w:rFonts w:hint="eastAsia" w:ascii="宋体" w:hAnsi="宋体" w:cs="宋体"/>
                <w:sz w:val="22"/>
                <w:lang w:val="en-US" w:eastAsia="zh-CN"/>
              </w:rPr>
              <w:t xml:space="preserve"> </w:t>
            </w:r>
            <w:r>
              <w:rPr>
                <w:rFonts w:hint="eastAsia" w:ascii="宋体" w:hAnsi="宋体" w:cs="宋体"/>
                <w:sz w:val="22"/>
              </w:rPr>
              <w:t>联系电话：</w:t>
            </w:r>
            <w:r>
              <w:rPr>
                <w:rFonts w:ascii="宋体" w:hAnsi="宋体" w:cs="宋体"/>
                <w:sz w:val="22"/>
              </w:rPr>
              <w:t>0571-86662723</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rPr>
              <w:t>（</w:t>
            </w:r>
            <w:r>
              <w:rPr>
                <w:rFonts w:hint="eastAsia" w:ascii="宋体" w:hAnsi="宋体" w:cs="宋体"/>
                <w:b/>
                <w:bCs/>
                <w:sz w:val="22"/>
              </w:rPr>
              <w:t>由于未参加现场踏勘引起的报价失误等责任由投标人自负</w:t>
            </w:r>
            <w:r>
              <w:rPr>
                <w:rFonts w:hint="eastAsia" w:ascii="宋体" w:hAnsi="宋体" w:cs="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26</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bookmarkStart w:id="74" w:name="_GoBack"/>
            <w:bookmarkEnd w:id="74"/>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lang w:eastAsia="zh-CN"/>
              </w:rPr>
              <w:t>2019年7月30日下午13时45分</w:t>
            </w:r>
            <w:r>
              <w:rPr>
                <w:rFonts w:hint="eastAsia" w:cs="Calibri" w:asciiTheme="minorEastAsia" w:hAnsi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kern w:val="0"/>
                <w:sz w:val="22"/>
              </w:rPr>
              <w:t>杭州萧山国际机场</w:t>
            </w:r>
            <w:r>
              <w:rPr>
                <w:rFonts w:hint="eastAsia" w:ascii="宋体" w:hAnsi="宋体" w:cs="Arial"/>
                <w:kern w:val="0"/>
                <w:sz w:val="22"/>
              </w:rPr>
              <w:t>T1航站楼地下车库消防喷淋头更换</w:t>
            </w:r>
            <w:r>
              <w:rPr>
                <w:rFonts w:hint="eastAsia" w:ascii="宋体" w:hAnsi="宋体" w:cs="宋体"/>
                <w:color w:val="000000"/>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cs="Calibri" w:asciiTheme="minorEastAsia" w:hAnsiTheme="minorEastAsia"/>
                <w:kern w:val="0"/>
                <w:sz w:val="22"/>
                <w:u w:val="single"/>
                <w:lang w:eastAsia="zh-CN"/>
              </w:rPr>
              <w:t>2019年7月30日下午13时45分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rPr>
          <w:rFonts w:ascii="宋体" w:hAnsi="宋体"/>
          <w:sz w:val="22"/>
        </w:rPr>
        <w:sectPr>
          <w:pgSz w:w="11906" w:h="16838"/>
          <w:pgMar w:top="1440" w:right="1800" w:bottom="1440" w:left="1800" w:header="851" w:footer="992" w:gutter="0"/>
          <w:pgNumType w:fmt="numberInDash"/>
          <w:cols w:space="720" w:num="1"/>
          <w:docGrid w:type="lines" w:linePitch="312" w:charSpace="0"/>
        </w:sect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sz w:val="22"/>
        </w:rPr>
      </w:pPr>
      <w:r>
        <w:rPr>
          <w:rFonts w:ascii="宋体" w:hAnsi="宋体" w:cs="Calibri"/>
          <w:kern w:val="0"/>
          <w:sz w:val="22"/>
        </w:rPr>
        <w:t>1.1.2项目</w:t>
      </w:r>
      <w:r>
        <w:rPr>
          <w:rFonts w:hint="eastAsia" w:ascii="宋体" w:hAnsi="宋体" w:cs="Calibri"/>
          <w:kern w:val="0"/>
          <w:sz w:val="22"/>
        </w:rPr>
        <w:t>交货</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2"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2"/>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
      <w:r>
        <w:rPr>
          <w:rFonts w:hint="eastAsia" w:ascii="宋体" w:hAnsi="宋体" w:cs="Calibri"/>
          <w:b/>
          <w:bCs/>
          <w:kern w:val="0"/>
          <w:sz w:val="22"/>
        </w:rPr>
        <w:t>内容</w:t>
      </w:r>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5"/>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6"/>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2796"/>
      <w:r>
        <w:rPr>
          <w:rFonts w:ascii="宋体" w:hAnsi="宋体" w:cs="Calibri"/>
          <w:b/>
          <w:bCs/>
          <w:kern w:val="0"/>
          <w:sz w:val="22"/>
        </w:rPr>
        <w:t>1.</w:t>
      </w:r>
      <w:r>
        <w:rPr>
          <w:rFonts w:hint="eastAsia" w:ascii="宋体" w:hAnsi="宋体" w:cs="Calibri"/>
          <w:b/>
          <w:bCs/>
          <w:kern w:val="0"/>
          <w:sz w:val="22"/>
        </w:rPr>
        <w:t>7供货</w:t>
      </w:r>
      <w:r>
        <w:rPr>
          <w:rFonts w:ascii="宋体" w:hAnsi="宋体" w:cs="Calibri"/>
          <w:b/>
          <w:bCs/>
          <w:kern w:val="0"/>
          <w:sz w:val="22"/>
        </w:rPr>
        <w:t>期</w:t>
      </w:r>
      <w:bookmarkEnd w:id="7"/>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sz w:val="22"/>
        </w:rPr>
      </w:pPr>
      <w:bookmarkStart w:id="8"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8"/>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9"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9"/>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0"/>
    </w:p>
    <w:p>
      <w:pPr>
        <w:adjustRightInd w:val="0"/>
        <w:snapToGrid w:val="0"/>
        <w:spacing w:line="360" w:lineRule="exact"/>
        <w:ind w:firstLine="44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11"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1"/>
    </w:p>
    <w:p>
      <w:pPr>
        <w:adjustRightInd w:val="0"/>
        <w:snapToGrid w:val="0"/>
        <w:spacing w:line="360" w:lineRule="exact"/>
        <w:ind w:firstLine="44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2" w:name="_Toc15241"/>
      <w:bookmarkStart w:id="13" w:name="_Toc143421657"/>
      <w:r>
        <w:rPr>
          <w:rFonts w:ascii="宋体" w:hAnsi="宋体" w:cs="Calibri"/>
          <w:b/>
          <w:bCs/>
          <w:kern w:val="0"/>
          <w:sz w:val="22"/>
        </w:rPr>
        <w:t>2.招标文件</w:t>
      </w:r>
      <w:bookmarkEnd w:id="12"/>
      <w:bookmarkEnd w:id="13"/>
    </w:p>
    <w:p>
      <w:pPr>
        <w:autoSpaceDE w:val="0"/>
        <w:autoSpaceDN w:val="0"/>
        <w:adjustRightInd w:val="0"/>
        <w:snapToGrid w:val="0"/>
        <w:spacing w:line="360" w:lineRule="exact"/>
        <w:rPr>
          <w:rFonts w:ascii="宋体" w:hAnsi="宋体" w:cs="Calibri"/>
          <w:b/>
          <w:bCs/>
          <w:kern w:val="0"/>
          <w:sz w:val="22"/>
        </w:rPr>
      </w:pPr>
      <w:bookmarkStart w:id="14" w:name="_Toc1426"/>
      <w:r>
        <w:rPr>
          <w:rFonts w:ascii="宋体" w:hAnsi="宋体" w:cs="Calibri"/>
          <w:b/>
          <w:bCs/>
          <w:kern w:val="0"/>
          <w:sz w:val="22"/>
        </w:rPr>
        <w:t>2.1 招标文件的组成</w:t>
      </w:r>
      <w:bookmarkEnd w:id="14"/>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5" w:name="_Toc18230"/>
      <w:r>
        <w:rPr>
          <w:rFonts w:ascii="宋体" w:hAnsi="宋体" w:cs="Calibri"/>
          <w:b/>
          <w:bCs/>
          <w:kern w:val="0"/>
          <w:sz w:val="22"/>
        </w:rPr>
        <w:t>2.2 招标文件的澄清</w:t>
      </w:r>
      <w:bookmarkEnd w:id="15"/>
    </w:p>
    <w:p>
      <w:pPr>
        <w:adjustRightInd w:val="0"/>
        <w:snapToGrid w:val="0"/>
        <w:spacing w:line="360" w:lineRule="exact"/>
        <w:ind w:firstLine="44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cs="Calibri"/>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6" w:name="_Toc18303"/>
      <w:r>
        <w:rPr>
          <w:rFonts w:ascii="宋体" w:hAnsi="宋体" w:cs="Calibri"/>
          <w:b/>
          <w:bCs/>
          <w:kern w:val="0"/>
          <w:sz w:val="22"/>
        </w:rPr>
        <w:t>2.3 招标文件的修改</w:t>
      </w:r>
      <w:bookmarkEnd w:id="16"/>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7" w:name="_Toc18870"/>
      <w:bookmarkStart w:id="18" w:name="_Toc143421658"/>
      <w:r>
        <w:rPr>
          <w:rFonts w:ascii="宋体" w:hAnsi="宋体" w:cs="Calibri"/>
          <w:b/>
          <w:bCs/>
          <w:kern w:val="0"/>
          <w:sz w:val="22"/>
        </w:rPr>
        <w:t>3.投标文件</w:t>
      </w:r>
      <w:bookmarkEnd w:id="17"/>
      <w:bookmarkEnd w:id="18"/>
    </w:p>
    <w:p>
      <w:pPr>
        <w:autoSpaceDE w:val="0"/>
        <w:autoSpaceDN w:val="0"/>
        <w:adjustRightInd w:val="0"/>
        <w:snapToGrid w:val="0"/>
        <w:spacing w:line="360" w:lineRule="exact"/>
        <w:rPr>
          <w:rFonts w:ascii="宋体" w:hAnsi="宋体" w:cs="Calibri"/>
          <w:b/>
          <w:bCs/>
          <w:kern w:val="0"/>
          <w:sz w:val="22"/>
        </w:rPr>
      </w:pPr>
      <w:bookmarkStart w:id="19" w:name="_Toc461"/>
      <w:r>
        <w:rPr>
          <w:rFonts w:ascii="宋体" w:hAnsi="宋体" w:cs="Calibri"/>
          <w:b/>
          <w:bCs/>
          <w:kern w:val="0"/>
          <w:sz w:val="22"/>
        </w:rPr>
        <w:t>3.1 投标文件的语言和计量单位</w:t>
      </w:r>
      <w:bookmarkEnd w:id="19"/>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0" w:name="_Toc1411"/>
      <w:r>
        <w:rPr>
          <w:rFonts w:ascii="宋体" w:hAnsi="宋体" w:cs="Calibri"/>
          <w:b/>
          <w:bCs/>
          <w:kern w:val="0"/>
          <w:sz w:val="22"/>
        </w:rPr>
        <w:t>3.2 投标文件的组成</w:t>
      </w:r>
      <w:bookmarkEnd w:id="20"/>
    </w:p>
    <w:p>
      <w:pPr>
        <w:adjustRightInd w:val="0"/>
        <w:snapToGrid w:val="0"/>
        <w:spacing w:line="360" w:lineRule="exact"/>
        <w:ind w:firstLine="440"/>
        <w:rPr>
          <w:rFonts w:ascii="宋体" w:hAnsi="宋体" w:cs="Calibri"/>
          <w:sz w:val="22"/>
        </w:rPr>
      </w:pPr>
      <w:bookmarkStart w:id="21" w:name="_Toc32225"/>
      <w:r>
        <w:rPr>
          <w:rFonts w:ascii="宋体" w:hAnsi="宋体" w:cs="Calibri"/>
          <w:sz w:val="22"/>
        </w:rPr>
        <w:t>3.2.1投标函；</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Calibri"/>
          <w:sz w:val="22"/>
        </w:rPr>
      </w:pPr>
      <w:r>
        <w:rPr>
          <w:rFonts w:hint="eastAsia" w:ascii="宋体" w:hAnsi="宋体" w:cs="Arial"/>
          <w:kern w:val="0"/>
          <w:sz w:val="22"/>
        </w:rPr>
        <w:t>（3）</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以及项目实施的具体方案（包含成品设施设备及停放车辆的安全防护措施）；</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1"/>
    </w:p>
    <w:p>
      <w:pPr>
        <w:adjustRightInd w:val="0"/>
        <w:snapToGrid w:val="0"/>
        <w:spacing w:line="360" w:lineRule="exact"/>
        <w:ind w:firstLine="440"/>
        <w:rPr>
          <w:rFonts w:ascii="宋体" w:hAnsi="宋体" w:cs="Calibri"/>
          <w:sz w:val="22"/>
        </w:rPr>
      </w:pPr>
      <w:bookmarkStart w:id="22"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w:t>
      </w:r>
      <w:r>
        <w:rPr>
          <w:rFonts w:hint="eastAsia" w:ascii="宋体" w:hAnsi="宋体" w:cs="Calibri"/>
          <w:sz w:val="22"/>
        </w:rPr>
        <w:t>更换拆装、管路污垢清理、</w:t>
      </w:r>
      <w:r>
        <w:rPr>
          <w:rFonts w:hint="eastAsia" w:ascii="宋体" w:hAnsi="宋体" w:cs="宋体"/>
          <w:sz w:val="22"/>
        </w:rPr>
        <w:t>零配件的更换费、人工费、保险费、税费、验收、技术培训及售后服务等）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（1）本项目在安装期间，应注意保护好招标人现有成品及车库内停放的车辆，如有损坏，须无条件修复至招标人满意，各投标人须自行考虑相关费用并计入投标总价且一次性包干。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djustRightInd w:val="0"/>
        <w:snapToGrid w:val="0"/>
        <w:spacing w:line="360" w:lineRule="exact"/>
        <w:ind w:firstLine="440"/>
        <w:rPr>
          <w:rFonts w:ascii="宋体" w:hAnsi="宋体" w:cs="Calibri"/>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2"/>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3" w:name="_Toc30464"/>
      <w:r>
        <w:rPr>
          <w:rFonts w:ascii="宋体" w:hAnsi="宋体" w:cs="Calibri"/>
          <w:b/>
          <w:bCs/>
          <w:kern w:val="0"/>
          <w:sz w:val="22"/>
        </w:rPr>
        <w:t>3.5 投标保证金</w:t>
      </w:r>
      <w:bookmarkEnd w:id="23"/>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sz w:val="22"/>
        </w:rPr>
        <w:t>附息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4" w:name="_Toc29989"/>
      <w:r>
        <w:rPr>
          <w:rFonts w:ascii="宋体" w:hAnsi="宋体" w:cs="Calibri"/>
          <w:b/>
          <w:bCs/>
          <w:kern w:val="0"/>
          <w:sz w:val="22"/>
        </w:rPr>
        <w:t>3.6 投标文件的编制</w:t>
      </w:r>
      <w:bookmarkEnd w:id="24"/>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5" w:name="_Toc143421659"/>
    </w:p>
    <w:p>
      <w:pPr>
        <w:autoSpaceDE w:val="0"/>
        <w:autoSpaceDN w:val="0"/>
        <w:adjustRightInd w:val="0"/>
        <w:snapToGrid w:val="0"/>
        <w:spacing w:line="360" w:lineRule="exact"/>
        <w:rPr>
          <w:rFonts w:ascii="宋体" w:hAnsi="宋体" w:cs="Calibri"/>
          <w:b/>
          <w:bCs/>
          <w:kern w:val="0"/>
          <w:sz w:val="22"/>
        </w:rPr>
      </w:pPr>
      <w:bookmarkStart w:id="26" w:name="_Toc32652"/>
      <w:r>
        <w:rPr>
          <w:rFonts w:ascii="宋体" w:hAnsi="宋体" w:cs="Calibri"/>
          <w:b/>
          <w:bCs/>
          <w:kern w:val="0"/>
          <w:sz w:val="22"/>
        </w:rPr>
        <w:t>4.投标</w:t>
      </w:r>
      <w:bookmarkEnd w:id="25"/>
      <w:bookmarkEnd w:id="26"/>
    </w:p>
    <w:p>
      <w:pPr>
        <w:autoSpaceDE w:val="0"/>
        <w:autoSpaceDN w:val="0"/>
        <w:adjustRightInd w:val="0"/>
        <w:snapToGrid w:val="0"/>
        <w:spacing w:line="360" w:lineRule="exact"/>
        <w:rPr>
          <w:rFonts w:ascii="宋体" w:hAnsi="宋体" w:cs="Calibri"/>
          <w:b/>
          <w:bCs/>
          <w:kern w:val="0"/>
          <w:sz w:val="22"/>
        </w:rPr>
      </w:pPr>
      <w:bookmarkStart w:id="27" w:name="_Toc649"/>
      <w:r>
        <w:rPr>
          <w:rFonts w:ascii="宋体" w:hAnsi="宋体" w:cs="Calibri"/>
          <w:b/>
          <w:bCs/>
          <w:kern w:val="0"/>
          <w:sz w:val="22"/>
        </w:rPr>
        <w:t>4.1 投标文件的密封和标识</w:t>
      </w:r>
      <w:bookmarkEnd w:id="27"/>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8" w:name="_Toc16616"/>
      <w:r>
        <w:rPr>
          <w:rFonts w:ascii="宋体" w:hAnsi="宋体" w:cs="Calibri"/>
          <w:b/>
          <w:bCs/>
          <w:kern w:val="0"/>
          <w:sz w:val="22"/>
        </w:rPr>
        <w:t xml:space="preserve">4.2 投标文件的递交 </w:t>
      </w:r>
      <w:bookmarkEnd w:id="28"/>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9" w:name="_Toc26099"/>
      <w:r>
        <w:rPr>
          <w:rFonts w:ascii="宋体" w:hAnsi="宋体" w:cs="Calibri"/>
          <w:b/>
          <w:bCs/>
          <w:kern w:val="0"/>
          <w:sz w:val="22"/>
        </w:rPr>
        <w:t>4.3 投标文件的修改和撤回</w:t>
      </w:r>
      <w:bookmarkEnd w:id="29"/>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0" w:name="_Toc29641"/>
      <w:r>
        <w:rPr>
          <w:rFonts w:ascii="宋体" w:hAnsi="宋体" w:cs="Calibri"/>
          <w:b/>
          <w:bCs/>
          <w:kern w:val="0"/>
          <w:sz w:val="22"/>
        </w:rPr>
        <w:t>5.开标</w:t>
      </w:r>
      <w:bookmarkEnd w:id="30"/>
    </w:p>
    <w:p>
      <w:pPr>
        <w:autoSpaceDE w:val="0"/>
        <w:autoSpaceDN w:val="0"/>
        <w:adjustRightInd w:val="0"/>
        <w:snapToGrid w:val="0"/>
        <w:spacing w:line="360" w:lineRule="exact"/>
        <w:rPr>
          <w:rFonts w:ascii="宋体" w:hAnsi="宋体" w:cs="Calibri"/>
          <w:b/>
          <w:bCs/>
          <w:kern w:val="0"/>
          <w:sz w:val="22"/>
        </w:rPr>
      </w:pPr>
      <w:bookmarkStart w:id="31" w:name="_Toc15123"/>
      <w:r>
        <w:rPr>
          <w:rFonts w:ascii="宋体" w:hAnsi="宋体" w:cs="Calibri"/>
          <w:b/>
          <w:bCs/>
          <w:kern w:val="0"/>
          <w:sz w:val="22"/>
        </w:rPr>
        <w:t>5.1 开标时间和地点</w:t>
      </w:r>
      <w:bookmarkEnd w:id="31"/>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2" w:name="_Toc7101"/>
      <w:r>
        <w:rPr>
          <w:rFonts w:ascii="宋体" w:hAnsi="宋体" w:cs="Calibri"/>
          <w:b/>
          <w:bCs/>
          <w:kern w:val="0"/>
          <w:sz w:val="22"/>
        </w:rPr>
        <w:t>5.2 开标程序</w:t>
      </w:r>
      <w:bookmarkEnd w:id="32"/>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3" w:name="_Toc31578"/>
      <w:r>
        <w:rPr>
          <w:rFonts w:ascii="宋体" w:hAnsi="宋体" w:cs="Calibri"/>
          <w:b/>
          <w:bCs/>
          <w:kern w:val="0"/>
          <w:sz w:val="22"/>
        </w:rPr>
        <w:t>6.评标</w:t>
      </w:r>
      <w:bookmarkEnd w:id="33"/>
    </w:p>
    <w:p>
      <w:pPr>
        <w:autoSpaceDE w:val="0"/>
        <w:autoSpaceDN w:val="0"/>
        <w:adjustRightInd w:val="0"/>
        <w:snapToGrid w:val="0"/>
        <w:spacing w:line="360" w:lineRule="exact"/>
        <w:rPr>
          <w:rFonts w:ascii="宋体" w:hAnsi="宋体" w:cs="Calibri"/>
          <w:b/>
          <w:bCs/>
          <w:kern w:val="0"/>
          <w:sz w:val="22"/>
        </w:rPr>
      </w:pPr>
      <w:bookmarkStart w:id="34" w:name="_Toc10279"/>
      <w:r>
        <w:rPr>
          <w:rFonts w:ascii="宋体" w:hAnsi="宋体" w:cs="Calibri"/>
          <w:b/>
          <w:bCs/>
          <w:kern w:val="0"/>
          <w:sz w:val="22"/>
        </w:rPr>
        <w:t>6.1 评标委员会</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5" w:name="_Toc3460"/>
      <w:r>
        <w:rPr>
          <w:rFonts w:ascii="宋体" w:hAnsi="宋体" w:cs="Calibri"/>
          <w:b/>
          <w:bCs/>
          <w:kern w:val="0"/>
          <w:sz w:val="22"/>
        </w:rPr>
        <w:t>6.2 评标原则</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6" w:name="_Toc28178"/>
      <w:r>
        <w:rPr>
          <w:rFonts w:ascii="宋体" w:hAnsi="宋体" w:cs="Calibri"/>
          <w:b/>
          <w:bCs/>
          <w:kern w:val="0"/>
          <w:sz w:val="22"/>
        </w:rPr>
        <w:t>6.3 评标</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7" w:name="_Toc24237"/>
      <w:r>
        <w:rPr>
          <w:rFonts w:ascii="宋体" w:hAnsi="宋体" w:cs="Calibri"/>
          <w:b/>
          <w:bCs/>
          <w:kern w:val="0"/>
          <w:sz w:val="22"/>
        </w:rPr>
        <w:t>7.合同授予</w:t>
      </w:r>
      <w:bookmarkEnd w:id="37"/>
    </w:p>
    <w:p>
      <w:pPr>
        <w:autoSpaceDE w:val="0"/>
        <w:autoSpaceDN w:val="0"/>
        <w:adjustRightInd w:val="0"/>
        <w:snapToGrid w:val="0"/>
        <w:spacing w:line="360" w:lineRule="exact"/>
        <w:rPr>
          <w:rFonts w:ascii="宋体" w:hAnsi="宋体" w:cs="Calibri"/>
          <w:b/>
          <w:bCs/>
          <w:kern w:val="0"/>
          <w:sz w:val="22"/>
        </w:rPr>
      </w:pPr>
      <w:bookmarkStart w:id="38" w:name="_Toc18809"/>
      <w:r>
        <w:rPr>
          <w:rFonts w:ascii="宋体" w:hAnsi="宋体" w:cs="Calibri"/>
          <w:b/>
          <w:bCs/>
          <w:kern w:val="0"/>
          <w:sz w:val="22"/>
        </w:rPr>
        <w:t>7.1 定标方式</w:t>
      </w:r>
      <w:bookmarkEnd w:id="38"/>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39" w:name="_Toc14573"/>
      <w:r>
        <w:rPr>
          <w:rFonts w:ascii="宋体" w:hAnsi="宋体" w:cs="Calibri"/>
          <w:b/>
          <w:bCs/>
          <w:kern w:val="0"/>
          <w:sz w:val="22"/>
        </w:rPr>
        <w:t>7.2 中标通知</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0" w:name="_Toc27132"/>
      <w:r>
        <w:rPr>
          <w:rFonts w:ascii="宋体" w:hAnsi="宋体" w:cs="Calibri"/>
          <w:b/>
          <w:bCs/>
          <w:kern w:val="0"/>
          <w:sz w:val="22"/>
        </w:rPr>
        <w:t>7.3 履约</w:t>
      </w:r>
      <w:r>
        <w:rPr>
          <w:rFonts w:hint="eastAsia" w:ascii="宋体" w:hAnsi="宋体" w:cs="Calibri"/>
          <w:b/>
          <w:bCs/>
          <w:kern w:val="0"/>
          <w:sz w:val="22"/>
        </w:rPr>
        <w:t>保证金</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1" w:name="_Toc27581"/>
      <w:r>
        <w:rPr>
          <w:rFonts w:ascii="宋体" w:hAnsi="宋体" w:cs="Calibri"/>
          <w:b/>
          <w:bCs/>
          <w:kern w:val="0"/>
          <w:sz w:val="22"/>
        </w:rPr>
        <w:t>7.4 签订合同</w:t>
      </w:r>
      <w:bookmarkEnd w:id="41"/>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2" w:name="_Toc219809801"/>
      <w:bookmarkStart w:id="43" w:name="_Toc11806"/>
      <w:bookmarkStart w:id="44"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djustRightInd w:val="0"/>
        <w:snapToGrid w:val="0"/>
        <w:spacing w:line="360" w:lineRule="exact"/>
        <w:ind w:firstLine="440"/>
        <w:rPr>
          <w:rFonts w:ascii="宋体" w:hAnsi="宋体" w:cs="Calibri"/>
          <w:kern w:val="0"/>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kern w:val="0"/>
          <w:sz w:val="22"/>
        </w:rPr>
      </w:pPr>
      <w:bookmarkStart w:id="45" w:name="_Toc219809802"/>
      <w:bookmarkStart w:id="46" w:name="_Toc220123242"/>
      <w:bookmarkStart w:id="47" w:name="_Toc15553"/>
      <w:r>
        <w:rPr>
          <w:rFonts w:ascii="宋体" w:hAnsi="宋体" w:cs="Calibri"/>
          <w:b/>
          <w:bCs/>
          <w:kern w:val="0"/>
          <w:sz w:val="22"/>
        </w:rPr>
        <w:t>8.1 重新招标</w:t>
      </w:r>
      <w:bookmarkEnd w:id="45"/>
      <w:bookmarkEnd w:id="46"/>
      <w:bookmarkEnd w:id="4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8" w:name="_Toc220123243"/>
      <w:bookmarkStart w:id="49" w:name="_Toc219809803"/>
      <w:bookmarkStart w:id="50" w:name="_Toc18806"/>
      <w:r>
        <w:rPr>
          <w:rFonts w:ascii="宋体" w:hAnsi="宋体" w:cs="Calibri"/>
          <w:b/>
          <w:bCs/>
          <w:kern w:val="0"/>
          <w:sz w:val="22"/>
        </w:rPr>
        <w:t>8.2 不再招标</w:t>
      </w:r>
      <w:bookmarkEnd w:id="48"/>
      <w:bookmarkEnd w:id="49"/>
      <w:bookmarkEnd w:id="50"/>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1" w:name="_Toc220123244"/>
      <w:bookmarkStart w:id="52" w:name="_Toc219809804"/>
      <w:bookmarkStart w:id="53" w:name="_Toc215941254"/>
      <w:bookmarkStart w:id="54" w:name="_Toc2986"/>
      <w:r>
        <w:rPr>
          <w:rFonts w:ascii="宋体" w:hAnsi="宋体" w:cs="Calibri"/>
          <w:b/>
          <w:bCs/>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220123245"/>
      <w:bookmarkStart w:id="56" w:name="_Toc219809805"/>
      <w:bookmarkStart w:id="57" w:name="_Toc5509"/>
      <w:r>
        <w:rPr>
          <w:rFonts w:ascii="宋体" w:hAnsi="宋体" w:cs="Calibri"/>
          <w:b/>
          <w:bCs/>
          <w:kern w:val="0"/>
          <w:sz w:val="22"/>
        </w:rPr>
        <w:t>9.1 对招标人的纪律要求</w:t>
      </w:r>
      <w:bookmarkEnd w:id="55"/>
      <w:bookmarkEnd w:id="56"/>
      <w:bookmarkEnd w:id="57"/>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8" w:name="_Toc219809806"/>
      <w:bookmarkStart w:id="59" w:name="_Toc10820"/>
      <w:bookmarkStart w:id="60" w:name="_Toc220123246"/>
      <w:r>
        <w:rPr>
          <w:rFonts w:ascii="宋体" w:hAnsi="宋体" w:cs="Calibri"/>
          <w:b/>
          <w:bCs/>
          <w:kern w:val="0"/>
          <w:sz w:val="22"/>
        </w:rPr>
        <w:t>9.2 对投标人的纪律要求</w:t>
      </w:r>
      <w:bookmarkEnd w:id="58"/>
      <w:bookmarkEnd w:id="59"/>
      <w:bookmarkEnd w:id="60"/>
    </w:p>
    <w:p>
      <w:pPr>
        <w:adjustRightInd w:val="0"/>
        <w:snapToGrid w:val="0"/>
        <w:spacing w:line="360" w:lineRule="exact"/>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1" w:name="_Toc219809807"/>
      <w:bookmarkStart w:id="62" w:name="_Toc220123247"/>
      <w:bookmarkStart w:id="63" w:name="_Toc10756"/>
      <w:r>
        <w:rPr>
          <w:rFonts w:ascii="宋体" w:hAnsi="宋体" w:cs="Calibri"/>
          <w:b/>
          <w:bCs/>
          <w:kern w:val="0"/>
          <w:sz w:val="22"/>
        </w:rPr>
        <w:t>9.3 对评标委员会成员的纪律要求</w:t>
      </w:r>
      <w:bookmarkEnd w:id="61"/>
      <w:bookmarkEnd w:id="62"/>
      <w:bookmarkEnd w:id="63"/>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4" w:name="_Toc219809808"/>
      <w:bookmarkStart w:id="65" w:name="_Toc12792"/>
      <w:bookmarkStart w:id="66" w:name="_Toc220123248"/>
      <w:r>
        <w:rPr>
          <w:rFonts w:ascii="宋体" w:hAnsi="宋体" w:cs="Calibri"/>
          <w:b/>
          <w:bCs/>
          <w:kern w:val="0"/>
          <w:sz w:val="22"/>
        </w:rPr>
        <w:t>9.4 对评标活动有关的工作人员的纪律要求</w:t>
      </w:r>
      <w:bookmarkEnd w:id="64"/>
      <w:bookmarkEnd w:id="65"/>
      <w:bookmarkEnd w:id="66"/>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7" w:name="_Toc220123249"/>
      <w:bookmarkStart w:id="68" w:name="_Toc239"/>
      <w:bookmarkStart w:id="69" w:name="_Toc219809809"/>
      <w:r>
        <w:rPr>
          <w:rFonts w:ascii="宋体" w:hAnsi="宋体" w:cs="Calibri"/>
          <w:b/>
          <w:bCs/>
          <w:kern w:val="0"/>
          <w:sz w:val="22"/>
        </w:rPr>
        <w:t>9.5 投诉</w:t>
      </w:r>
      <w:bookmarkEnd w:id="67"/>
      <w:bookmarkEnd w:id="68"/>
      <w:bookmarkEnd w:id="69"/>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0" w:name="_Toc10817"/>
      <w:r>
        <w:rPr>
          <w:rFonts w:ascii="宋体" w:hAnsi="宋体" w:cs="Calibri"/>
          <w:b/>
          <w:bCs/>
          <w:kern w:val="0"/>
          <w:sz w:val="22"/>
        </w:rPr>
        <w:t>10. 需要补充的其他内容</w:t>
      </w:r>
      <w:bookmarkEnd w:id="70"/>
    </w:p>
    <w:p>
      <w:pPr>
        <w:autoSpaceDE w:val="0"/>
        <w:autoSpaceDN w:val="0"/>
        <w:adjustRightInd w:val="0"/>
        <w:snapToGrid w:val="0"/>
        <w:spacing w:line="360" w:lineRule="exact"/>
        <w:ind w:firstLine="440"/>
        <w:jc w:val="left"/>
        <w:rPr>
          <w:rFonts w:ascii="宋体" w:hAnsi="宋体" w:cs="Calibri"/>
          <w:sz w:val="22"/>
        </w:rPr>
      </w:pPr>
      <w:r>
        <w:rPr>
          <w:rFonts w:ascii="宋体" w:hAnsi="宋体" w:cs="Calibri"/>
          <w:sz w:val="22"/>
        </w:rPr>
        <w:t>需要补充的其他内容：见投标人须知前附表。</w:t>
      </w:r>
    </w:p>
    <w:p>
      <w:pPr>
        <w:jc w:val="center"/>
        <w:rPr>
          <w:rFonts w:ascii="黑体" w:hAnsi="黑体" w:eastAsia="黑体" w:cs="黑体"/>
          <w:b/>
          <w:bCs/>
          <w:sz w:val="32"/>
          <w:szCs w:val="32"/>
        </w:rPr>
      </w:pPr>
      <w:r>
        <w:rPr>
          <w:rFonts w:ascii="宋体" w:hAnsi="宋体"/>
          <w:sz w:val="22"/>
        </w:rPr>
        <w:br w:type="page"/>
      </w:r>
      <w:bookmarkStart w:id="71" w:name="_Toc321925453"/>
      <w:r>
        <w:rPr>
          <w:rFonts w:hint="eastAsia" w:ascii="黑体" w:hAnsi="黑体" w:eastAsia="黑体" w:cs="黑体"/>
          <w:b/>
          <w:bCs/>
          <w:sz w:val="32"/>
          <w:szCs w:val="32"/>
        </w:rPr>
        <w:t>第三章货物需求一览表及技术规格</w:t>
      </w:r>
      <w:bookmarkEnd w:id="71"/>
    </w:p>
    <w:p>
      <w:pPr>
        <w:pStyle w:val="11"/>
        <w:rPr>
          <w:rFonts w:ascii="Calibri" w:hAnsi="Calibri" w:eastAsia="宋体"/>
          <w:b w:val="0"/>
          <w:bCs w:val="0"/>
          <w:sz w:val="24"/>
          <w:szCs w:val="24"/>
        </w:rPr>
      </w:pPr>
    </w:p>
    <w:p>
      <w:pPr>
        <w:widowControl/>
        <w:ind w:firstLine="372" w:firstLineChars="177"/>
        <w:jc w:val="left"/>
      </w:pPr>
      <w:r>
        <w:rPr>
          <w:rFonts w:hint="eastAsia"/>
        </w:rPr>
        <w:t>一、产品及规格</w:t>
      </w:r>
    </w:p>
    <w:tbl>
      <w:tblPr>
        <w:tblStyle w:val="14"/>
        <w:tblW w:w="9782" w:type="dxa"/>
        <w:tblInd w:w="-269" w:type="dxa"/>
        <w:tblLayout w:type="fixed"/>
        <w:tblCellMar>
          <w:top w:w="15" w:type="dxa"/>
          <w:left w:w="15" w:type="dxa"/>
          <w:bottom w:w="15" w:type="dxa"/>
          <w:right w:w="15" w:type="dxa"/>
        </w:tblCellMar>
      </w:tblPr>
      <w:tblGrid>
        <w:gridCol w:w="568"/>
        <w:gridCol w:w="850"/>
        <w:gridCol w:w="1843"/>
        <w:gridCol w:w="1559"/>
        <w:gridCol w:w="993"/>
        <w:gridCol w:w="992"/>
        <w:gridCol w:w="1134"/>
        <w:gridCol w:w="1843"/>
      </w:tblGrid>
      <w:tr>
        <w:tblPrEx>
          <w:tblLayout w:type="fixed"/>
          <w:tblCellMar>
            <w:top w:w="15" w:type="dxa"/>
            <w:left w:w="15" w:type="dxa"/>
            <w:bottom w:w="15" w:type="dxa"/>
            <w:right w:w="15" w:type="dxa"/>
          </w:tblCellMar>
        </w:tblPrEx>
        <w:trPr>
          <w:trHeight w:val="73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序号</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货物名称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规格型号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产品材质</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配置地点</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ind w:firstLine="660" w:firstLineChars="300"/>
              <w:jc w:val="center"/>
              <w:rPr>
                <w:rFonts w:ascii="宋体" w:hAnsi="宋体" w:cs="Arial"/>
                <w:kern w:val="0"/>
                <w:sz w:val="22"/>
              </w:rPr>
            </w:pPr>
            <w:r>
              <w:rPr>
                <w:rFonts w:hint="eastAsia" w:ascii="宋体" w:hAnsi="宋体" w:cs="Arial"/>
                <w:kern w:val="0"/>
                <w:sz w:val="22"/>
              </w:rPr>
              <w:t>备注</w:t>
            </w:r>
          </w:p>
        </w:tc>
      </w:tr>
      <w:tr>
        <w:tblPrEx>
          <w:tblLayout w:type="fixed"/>
          <w:tblCellMar>
            <w:top w:w="15" w:type="dxa"/>
            <w:left w:w="15" w:type="dxa"/>
            <w:bottom w:w="15" w:type="dxa"/>
            <w:right w:w="15" w:type="dxa"/>
          </w:tblCellMar>
        </w:tblPrEx>
        <w:trPr>
          <w:trHeight w:val="867"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消防喷淋头</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
              <w:shd w:val="clear" w:color="auto" w:fill="FFFFFF"/>
              <w:spacing w:before="0" w:after="0"/>
              <w:ind w:right="300"/>
              <w:rPr>
                <w:rFonts w:ascii="宋体" w:hAnsi="宋体" w:cs="Calibri"/>
                <w:b w:val="0"/>
                <w:bCs w:val="0"/>
                <w:kern w:val="2"/>
                <w:sz w:val="22"/>
                <w:szCs w:val="22"/>
              </w:rPr>
            </w:pPr>
            <w:r>
              <w:rPr>
                <w:rFonts w:hint="eastAsia" w:ascii="宋体" w:hAnsi="宋体" w:cs="Calibri"/>
                <w:b w:val="0"/>
                <w:bCs w:val="0"/>
                <w:kern w:val="2"/>
                <w:sz w:val="22"/>
                <w:szCs w:val="22"/>
              </w:rPr>
              <w:t>DN15下垂型（玻璃球闭式ESFR</w:t>
            </w:r>
          </w:p>
          <w:p>
            <w:pPr>
              <w:widowControl/>
              <w:adjustRightInd w:val="0"/>
              <w:snapToGrid w:val="0"/>
              <w:spacing w:line="360" w:lineRule="exact"/>
              <w:jc w:val="center"/>
              <w:rPr>
                <w:rFonts w:ascii="宋体" w:hAnsi="宋体" w:cs="Calibri"/>
                <w:sz w:val="22"/>
              </w:rPr>
            </w:pPr>
            <w:r>
              <w:rPr>
                <w:rFonts w:hint="eastAsia" w:ascii="宋体" w:hAnsi="宋体" w:cs="Calibri"/>
                <w:sz w:val="22"/>
              </w:rPr>
              <w:t>快速响应喷头）</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全铜框架、德国久保玻璃球</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1850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只</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T1航站楼地下车库</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送货至招标人指定地点并负责更换消防喷淋头。</w:t>
            </w:r>
          </w:p>
        </w:tc>
      </w:tr>
    </w:tbl>
    <w:p>
      <w:pPr>
        <w:widowControl/>
        <w:ind w:firstLine="465"/>
        <w:jc w:val="left"/>
      </w:pPr>
    </w:p>
    <w:p>
      <w:pPr>
        <w:adjustRightInd w:val="0"/>
        <w:snapToGrid w:val="0"/>
        <w:spacing w:line="360" w:lineRule="exact"/>
        <w:ind w:firstLine="440"/>
        <w:rPr>
          <w:rFonts w:ascii="宋体" w:hAnsi="宋体" w:cs="Calibri"/>
          <w:sz w:val="22"/>
        </w:rPr>
      </w:pPr>
      <w:r>
        <w:rPr>
          <w:rFonts w:hint="eastAsia" w:ascii="宋体" w:hAnsi="宋体" w:cs="Calibri"/>
          <w:sz w:val="22"/>
        </w:rPr>
        <w:t>二、招标内容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Calibri"/>
          <w:sz w:val="22"/>
        </w:rPr>
        <w:t>本次招标的内容为杭州萧山国际机场</w:t>
      </w:r>
      <w:r>
        <w:rPr>
          <w:rFonts w:hint="eastAsia" w:ascii="宋体" w:hAnsi="宋体" w:cs="Arial"/>
          <w:kern w:val="0"/>
          <w:sz w:val="22"/>
        </w:rPr>
        <w:t>T1航站楼地下车库消防喷淋头的</w:t>
      </w:r>
      <w:r>
        <w:rPr>
          <w:rFonts w:hint="eastAsia" w:ascii="宋体" w:hAnsi="宋体" w:cs="Calibri"/>
          <w:sz w:val="22"/>
        </w:rPr>
        <w:t>更换项目所涉及的新消防喷淋头的采购、更换拆装，</w:t>
      </w:r>
      <w:r>
        <w:rPr>
          <w:rFonts w:hint="eastAsia" w:ascii="宋体" w:hAnsi="宋体" w:cs="Arial"/>
          <w:kern w:val="0"/>
          <w:sz w:val="22"/>
        </w:rPr>
        <w:t>因目前地下车库处于满负荷运行的状态，项目实施只能采用分区、分时段来实施，并需要对停放车辆采取安全防护措施</w:t>
      </w:r>
      <w:r>
        <w:rPr>
          <w:rFonts w:hint="eastAsia" w:ascii="宋体" w:hAnsi="宋体" w:cs="Calibri"/>
          <w:sz w:val="22"/>
        </w:rPr>
        <w:t>。内容包括：新</w:t>
      </w:r>
      <w:r>
        <w:rPr>
          <w:rFonts w:hint="eastAsia" w:ascii="宋体" w:hAnsi="宋体" w:cs="Arial"/>
          <w:kern w:val="0"/>
          <w:sz w:val="22"/>
        </w:rPr>
        <w:t>消防喷淋头</w:t>
      </w:r>
      <w:r>
        <w:rPr>
          <w:rFonts w:hint="eastAsia" w:ascii="宋体" w:hAnsi="宋体" w:cs="Calibri"/>
          <w:sz w:val="22"/>
        </w:rPr>
        <w:t>的采购、运输（送至招标人指定地点）、更换拆装、管路污垢清理、调试、其它安装时所需的配件材料、售后服务、维修及全部竣工验收资料的提供等工作；</w:t>
      </w:r>
    </w:p>
    <w:p>
      <w:pPr>
        <w:adjustRightInd w:val="0"/>
        <w:snapToGrid w:val="0"/>
        <w:spacing w:line="360" w:lineRule="exact"/>
        <w:ind w:firstLine="440"/>
        <w:rPr>
          <w:rFonts w:ascii="宋体" w:hAnsi="宋体" w:cs="Calibri"/>
          <w:sz w:val="22"/>
        </w:rPr>
      </w:pPr>
      <w:r>
        <w:rPr>
          <w:rFonts w:hint="eastAsia" w:ascii="宋体" w:hAnsi="宋体" w:cs="Calibri"/>
          <w:sz w:val="22"/>
        </w:rPr>
        <w:t>三、质量标准及技术要求</w:t>
      </w:r>
    </w:p>
    <w:p>
      <w:pPr>
        <w:adjustRightInd w:val="0"/>
        <w:snapToGrid w:val="0"/>
        <w:spacing w:line="360" w:lineRule="exact"/>
        <w:ind w:firstLine="440"/>
        <w:rPr>
          <w:rFonts w:ascii="宋体" w:hAnsi="宋体" w:cs="Calibri"/>
          <w:sz w:val="22"/>
        </w:rPr>
      </w:pPr>
      <w:r>
        <w:rPr>
          <w:rFonts w:hint="eastAsia" w:ascii="宋体" w:hAnsi="宋体" w:cs="Calibri"/>
          <w:sz w:val="22"/>
        </w:rPr>
        <w:t>喷淋头规格型号为DN15下垂型（玻璃球闭式ESFR快速响应喷头），公称动作温度为68℃，产品材质采用全铜框架、德国久保玻璃球，产品通过国家“CCC”认证，且认证证书在有效期内（须提供认证证书复印件，且该信息能够在中国消防产品质量信息查询系统中得到证实）。安装符合国家现行《</w:t>
      </w:r>
      <w:r>
        <w:rPr>
          <w:rFonts w:ascii="宋体" w:hAnsi="宋体" w:cs="Calibri"/>
          <w:sz w:val="22"/>
        </w:rPr>
        <w:t>自动喷水灭火系统施工及验收规范</w:t>
      </w:r>
      <w:r>
        <w:rPr>
          <w:rFonts w:hint="eastAsia" w:ascii="宋体" w:hAnsi="宋体" w:cs="Calibri"/>
          <w:sz w:val="22"/>
        </w:rPr>
        <w:t>》</w:t>
      </w:r>
      <w:r>
        <w:rPr>
          <w:rFonts w:ascii="宋体" w:hAnsi="宋体" w:cs="Calibri"/>
          <w:sz w:val="22"/>
        </w:rPr>
        <w:t xml:space="preserve"> GB50261-2017</w:t>
      </w:r>
      <w:r>
        <w:rPr>
          <w:rFonts w:hint="eastAsia" w:ascii="宋体" w:hAnsi="宋体" w:cs="Calibri"/>
          <w:sz w:val="22"/>
        </w:rPr>
        <w:t>标准。</w:t>
      </w:r>
    </w:p>
    <w:p>
      <w:pPr>
        <w:adjustRightInd w:val="0"/>
        <w:snapToGrid w:val="0"/>
        <w:spacing w:line="360" w:lineRule="exact"/>
        <w:ind w:firstLine="440"/>
        <w:rPr>
          <w:rFonts w:ascii="宋体" w:hAnsi="宋体" w:cs="Calibri"/>
          <w:sz w:val="22"/>
        </w:rPr>
      </w:pPr>
      <w:r>
        <w:rPr>
          <w:rFonts w:hint="eastAsia" w:ascii="宋体" w:hAnsi="宋体" w:cs="Calibri"/>
          <w:sz w:val="22"/>
        </w:rPr>
        <w:t>四、质保期及质保金</w:t>
      </w:r>
    </w:p>
    <w:p>
      <w:pPr>
        <w:adjustRightInd w:val="0"/>
        <w:snapToGrid w:val="0"/>
        <w:spacing w:line="360" w:lineRule="exact"/>
        <w:ind w:firstLine="440"/>
        <w:rPr>
          <w:rFonts w:ascii="宋体" w:hAnsi="宋体" w:cs="Calibri"/>
          <w:sz w:val="22"/>
        </w:rPr>
      </w:pPr>
      <w:r>
        <w:rPr>
          <w:rFonts w:hint="eastAsia" w:ascii="宋体" w:hAnsi="宋体" w:cs="Calibri"/>
          <w:sz w:val="22"/>
        </w:rPr>
        <w:t>质保期：自验收合格之日起2年及以上。</w:t>
      </w:r>
    </w:p>
    <w:p>
      <w:pPr>
        <w:adjustRightInd w:val="0"/>
        <w:snapToGrid w:val="0"/>
        <w:spacing w:line="360" w:lineRule="exact"/>
        <w:ind w:firstLine="440"/>
        <w:rPr>
          <w:rFonts w:ascii="宋体" w:hAnsi="宋体" w:cs="Calibri"/>
          <w:sz w:val="22"/>
        </w:rPr>
      </w:pPr>
      <w:r>
        <w:rPr>
          <w:rFonts w:hint="eastAsia" w:ascii="宋体" w:hAnsi="宋体" w:cs="Calibri"/>
          <w:sz w:val="22"/>
        </w:rPr>
        <w:t>质保金：合同总价的5%作为质保金，在产品验收合格日起计算质保期满后15个工作日内无息支付。</w:t>
      </w:r>
    </w:p>
    <w:p>
      <w:pPr>
        <w:adjustRightInd w:val="0"/>
        <w:snapToGrid w:val="0"/>
        <w:spacing w:line="360" w:lineRule="exact"/>
        <w:ind w:firstLine="440"/>
        <w:rPr>
          <w:rFonts w:ascii="宋体" w:hAnsi="宋体" w:cs="Calibri"/>
          <w:sz w:val="22"/>
        </w:rPr>
      </w:pPr>
      <w:r>
        <w:rPr>
          <w:rFonts w:hint="eastAsia" w:ascii="宋体" w:hAnsi="宋体" w:cs="Calibri"/>
          <w:sz w:val="22"/>
        </w:rPr>
        <w:t>五、包装、标志</w:t>
      </w:r>
    </w:p>
    <w:p>
      <w:pPr>
        <w:adjustRightInd w:val="0"/>
        <w:snapToGrid w:val="0"/>
        <w:spacing w:line="360" w:lineRule="exact"/>
        <w:ind w:firstLine="440"/>
        <w:rPr>
          <w:rFonts w:ascii="宋体" w:hAnsi="宋体" w:cs="Calibri"/>
          <w:sz w:val="22"/>
        </w:rPr>
      </w:pPr>
      <w:r>
        <w:rPr>
          <w:rFonts w:hint="eastAsia" w:ascii="宋体" w:hAnsi="宋体" w:cs="Calibri"/>
          <w:sz w:val="22"/>
        </w:rPr>
        <w:t>1、喷淋头包装盒上应清晰地注明：</w:t>
      </w:r>
    </w:p>
    <w:p>
      <w:pPr>
        <w:adjustRightInd w:val="0"/>
        <w:snapToGrid w:val="0"/>
        <w:spacing w:line="360" w:lineRule="exact"/>
        <w:ind w:firstLine="440"/>
        <w:rPr>
          <w:rFonts w:ascii="宋体" w:hAnsi="宋体" w:cs="Calibri"/>
          <w:sz w:val="22"/>
        </w:rPr>
      </w:pPr>
      <w:r>
        <w:rPr>
          <w:rFonts w:hint="eastAsia" w:ascii="宋体" w:hAnsi="宋体" w:cs="Calibri"/>
          <w:sz w:val="22"/>
        </w:rPr>
        <w:t>（1）名称、规格型号、材质；</w:t>
      </w:r>
    </w:p>
    <w:p>
      <w:pPr>
        <w:adjustRightInd w:val="0"/>
        <w:snapToGrid w:val="0"/>
        <w:spacing w:line="360" w:lineRule="exact"/>
        <w:ind w:firstLine="440"/>
      </w:pPr>
      <w:r>
        <w:rPr>
          <w:rFonts w:hint="eastAsia" w:ascii="宋体" w:hAnsi="宋体" w:cs="Calibri"/>
          <w:sz w:val="22"/>
        </w:rPr>
        <w:t>（2）</w:t>
      </w:r>
      <w:r>
        <w:rPr>
          <w:rFonts w:hint="eastAsia"/>
        </w:rPr>
        <w:t>公称动作温度；</w:t>
      </w:r>
    </w:p>
    <w:p>
      <w:pPr>
        <w:adjustRightInd w:val="0"/>
        <w:snapToGrid w:val="0"/>
        <w:spacing w:line="360" w:lineRule="exact"/>
        <w:ind w:firstLine="440"/>
        <w:rPr>
          <w:rFonts w:ascii="宋体" w:hAnsi="宋体" w:cs="Calibri"/>
          <w:sz w:val="22"/>
        </w:rPr>
      </w:pPr>
      <w:r>
        <w:rPr>
          <w:rFonts w:hint="eastAsia" w:ascii="宋体" w:hAnsi="宋体" w:cs="Calibri"/>
          <w:sz w:val="22"/>
        </w:rPr>
        <w:t>（3）生产厂家名称和厂址。</w:t>
      </w:r>
    </w:p>
    <w:p>
      <w:pPr>
        <w:adjustRightInd w:val="0"/>
        <w:snapToGrid w:val="0"/>
        <w:spacing w:line="360" w:lineRule="exact"/>
        <w:ind w:firstLine="440"/>
        <w:rPr>
          <w:rFonts w:ascii="宋体" w:hAnsi="宋体" w:cs="Calibri"/>
          <w:sz w:val="22"/>
        </w:rPr>
      </w:pPr>
      <w:r>
        <w:rPr>
          <w:rFonts w:hint="eastAsia" w:ascii="宋体" w:hAnsi="宋体" w:cs="Calibri"/>
          <w:sz w:val="22"/>
        </w:rPr>
        <w:t>六、运输</w:t>
      </w:r>
    </w:p>
    <w:p>
      <w:pPr>
        <w:adjustRightInd w:val="0"/>
        <w:snapToGrid w:val="0"/>
        <w:spacing w:line="360" w:lineRule="exact"/>
        <w:ind w:firstLine="440"/>
        <w:rPr>
          <w:rFonts w:ascii="宋体" w:hAnsi="宋体" w:cs="Calibri"/>
          <w:sz w:val="22"/>
        </w:rPr>
      </w:pPr>
      <w:r>
        <w:rPr>
          <w:rFonts w:hint="eastAsia" w:ascii="宋体" w:hAnsi="宋体" w:cs="Calibri"/>
          <w:sz w:val="22"/>
        </w:rPr>
        <w:t>运输避免磕碰，防止包装受损。货物运送至招标人指定地点，投标人必须保证产品的质量和性能要求。</w:t>
      </w:r>
    </w:p>
    <w:p>
      <w:pPr>
        <w:adjustRightInd w:val="0"/>
        <w:snapToGrid w:val="0"/>
        <w:spacing w:line="360" w:lineRule="exact"/>
        <w:ind w:firstLine="440"/>
        <w:rPr>
          <w:rFonts w:ascii="宋体" w:hAnsi="宋体" w:cs="Calibri"/>
          <w:sz w:val="22"/>
        </w:rPr>
      </w:pPr>
      <w:r>
        <w:rPr>
          <w:rFonts w:hint="eastAsia" w:ascii="宋体" w:hAnsi="宋体" w:cs="Calibri"/>
          <w:sz w:val="22"/>
        </w:rPr>
        <w:t>七、产品验收合格的条件</w:t>
      </w:r>
    </w:p>
    <w:p>
      <w:pPr>
        <w:adjustRightInd w:val="0"/>
        <w:snapToGrid w:val="0"/>
        <w:spacing w:line="360" w:lineRule="exact"/>
        <w:ind w:firstLine="440"/>
        <w:rPr>
          <w:rFonts w:ascii="宋体" w:hAnsi="宋体" w:cs="Calibri"/>
          <w:sz w:val="22"/>
        </w:rPr>
      </w:pPr>
      <w:r>
        <w:rPr>
          <w:rFonts w:hint="eastAsia" w:ascii="宋体" w:hAnsi="宋体" w:cs="Calibri"/>
          <w:sz w:val="22"/>
        </w:rPr>
        <w:t>1、已交付产品的数量和质量满足合同约定的要求；</w:t>
      </w:r>
    </w:p>
    <w:p>
      <w:pPr>
        <w:adjustRightInd w:val="0"/>
        <w:snapToGrid w:val="0"/>
        <w:spacing w:line="360" w:lineRule="exact"/>
        <w:ind w:firstLine="440"/>
        <w:rPr>
          <w:rFonts w:ascii="宋体" w:hAnsi="宋体" w:cs="Calibri"/>
          <w:sz w:val="22"/>
        </w:rPr>
      </w:pPr>
      <w:r>
        <w:rPr>
          <w:rFonts w:hint="eastAsia" w:ascii="宋体" w:hAnsi="宋体" w:cs="Calibri"/>
          <w:sz w:val="22"/>
        </w:rPr>
        <w:t>2、提供了产品合格证和消防产品身份信息证明；</w:t>
      </w:r>
    </w:p>
    <w:p>
      <w:pPr>
        <w:adjustRightInd w:val="0"/>
        <w:snapToGrid w:val="0"/>
        <w:spacing w:line="360" w:lineRule="exact"/>
        <w:ind w:firstLine="440"/>
        <w:rPr>
          <w:rFonts w:ascii="宋体" w:hAnsi="宋体" w:cs="Calibri"/>
          <w:sz w:val="22"/>
        </w:rPr>
      </w:pPr>
      <w:r>
        <w:rPr>
          <w:rFonts w:hint="eastAsia" w:ascii="宋体" w:hAnsi="宋体" w:cs="Calibri"/>
          <w:sz w:val="22"/>
        </w:rPr>
        <w:t>3、更换安装符合规范要求。</w:t>
      </w:r>
    </w:p>
    <w:p>
      <w:pPr>
        <w:ind w:firstLine="442" w:firstLineChars="200"/>
        <w:rPr>
          <w:b/>
          <w:bCs/>
          <w:sz w:val="22"/>
        </w:rPr>
      </w:pPr>
      <w:r>
        <w:rPr>
          <w:rFonts w:hint="eastAsia" w:cs="宋体"/>
          <w:b/>
          <w:bCs/>
          <w:sz w:val="22"/>
        </w:rPr>
        <w:t>八、品牌推荐：</w:t>
      </w:r>
    </w:p>
    <w:p>
      <w:pPr>
        <w:ind w:firstLine="440" w:firstLineChars="200"/>
        <w:rPr>
          <w:rFonts w:cs="宋体"/>
          <w:sz w:val="22"/>
        </w:rPr>
      </w:pPr>
      <w:r>
        <w:rPr>
          <w:rFonts w:hint="eastAsia" w:cs="宋体"/>
          <w:sz w:val="22"/>
        </w:rPr>
        <w:t>喷淋头品牌：建安、闽山、上海金盾、恒安或同档次及以上品牌。</w:t>
      </w:r>
    </w:p>
    <w:p>
      <w:pPr>
        <w:adjustRightInd w:val="0"/>
        <w:snapToGrid w:val="0"/>
        <w:spacing w:line="360" w:lineRule="exact"/>
        <w:rPr>
          <w:rFonts w:ascii="宋体" w:hAnsi="宋体" w:cs="Calibri"/>
          <w:sz w:val="22"/>
        </w:rPr>
        <w:sectPr>
          <w:pgSz w:w="11906" w:h="16838"/>
          <w:pgMar w:top="1440" w:right="1800" w:bottom="1440" w:left="1800" w:header="851" w:footer="992" w:gutter="0"/>
          <w:pgNumType w:fmt="numberInDash"/>
          <w:cols w:space="720" w:num="1"/>
          <w:docGrid w:type="lines" w:linePitch="312" w:charSpace="0"/>
        </w:sectPr>
      </w:pPr>
    </w:p>
    <w:p>
      <w:pPr>
        <w:pStyle w:val="11"/>
      </w:pPr>
      <w:r>
        <w:rPr>
          <w:rFonts w:hint="eastAsia"/>
        </w:rPr>
        <w:t>第四章杭州萧山国际机场喷淋头采购合同</w:t>
      </w:r>
    </w:p>
    <w:p>
      <w:pPr>
        <w:spacing w:line="540" w:lineRule="exact"/>
        <w:rPr>
          <w:rFonts w:asciiTheme="minorEastAsia" w:hAnsiTheme="minorEastAsia" w:eastAsiaTheme="minorEastAsia"/>
          <w:b/>
          <w:sz w:val="24"/>
          <w:szCs w:val="24"/>
        </w:rPr>
      </w:pPr>
    </w:p>
    <w:p>
      <w:pPr>
        <w:adjustRightInd w:val="0"/>
        <w:snapToGrid w:val="0"/>
        <w:spacing w:line="540" w:lineRule="exact"/>
        <w:ind w:firstLine="452"/>
        <w:rPr>
          <w:rFonts w:asciiTheme="minorEastAsia" w:hAnsiTheme="minorEastAsia" w:eastAsiaTheme="minorEastAsia"/>
          <w:b/>
          <w:sz w:val="24"/>
          <w:szCs w:val="24"/>
        </w:rPr>
      </w:pPr>
      <w:r>
        <w:rPr>
          <w:rFonts w:hint="eastAsia" w:asciiTheme="minorEastAsia" w:hAnsiTheme="minorEastAsia" w:eastAsiaTheme="minorEastAsia"/>
          <w:b/>
          <w:sz w:val="24"/>
          <w:szCs w:val="24"/>
        </w:rPr>
        <w:t>甲方：杭州萧山国际机场有限公司</w:t>
      </w:r>
    </w:p>
    <w:p>
      <w:pPr>
        <w:adjustRightInd w:val="0"/>
        <w:snapToGrid w:val="0"/>
        <w:spacing w:line="540" w:lineRule="exact"/>
        <w:ind w:firstLine="452"/>
        <w:rPr>
          <w:rFonts w:asciiTheme="minorEastAsia" w:hAnsiTheme="minorEastAsia" w:eastAsiaTheme="minorEastAsia"/>
          <w:b/>
          <w:sz w:val="24"/>
          <w:szCs w:val="24"/>
        </w:rPr>
      </w:pPr>
      <w:r>
        <w:rPr>
          <w:rFonts w:hint="eastAsia" w:asciiTheme="minorEastAsia" w:hAnsiTheme="minorEastAsia" w:eastAsiaTheme="minorEastAsia"/>
          <w:b/>
          <w:sz w:val="24"/>
          <w:szCs w:val="24"/>
        </w:rPr>
        <w:t>住所地：杭州萧山国际机场内</w:t>
      </w:r>
    </w:p>
    <w:p>
      <w:pPr>
        <w:adjustRightInd w:val="0"/>
        <w:snapToGrid w:val="0"/>
        <w:spacing w:line="540" w:lineRule="exact"/>
        <w:rPr>
          <w:rFonts w:asciiTheme="minorEastAsia" w:hAnsiTheme="minorEastAsia" w:eastAsiaTheme="minorEastAsia"/>
          <w:b/>
          <w:sz w:val="24"/>
          <w:szCs w:val="24"/>
        </w:rPr>
      </w:pPr>
    </w:p>
    <w:p>
      <w:pPr>
        <w:adjustRightInd w:val="0"/>
        <w:snapToGrid w:val="0"/>
        <w:spacing w:line="540" w:lineRule="exact"/>
        <w:ind w:firstLine="452"/>
        <w:rPr>
          <w:rFonts w:asciiTheme="minorEastAsia" w:hAnsiTheme="minorEastAsia" w:eastAsiaTheme="minorEastAsia"/>
          <w:b/>
          <w:sz w:val="24"/>
          <w:szCs w:val="24"/>
        </w:rPr>
      </w:pPr>
      <w:r>
        <w:rPr>
          <w:rFonts w:hint="eastAsia" w:asciiTheme="minorEastAsia" w:hAnsiTheme="minorEastAsia" w:eastAsiaTheme="minorEastAsia"/>
          <w:b/>
          <w:sz w:val="24"/>
          <w:szCs w:val="24"/>
        </w:rPr>
        <w:t>乙方:</w:t>
      </w:r>
    </w:p>
    <w:p>
      <w:pPr>
        <w:adjustRightInd w:val="0"/>
        <w:snapToGrid w:val="0"/>
        <w:spacing w:line="540" w:lineRule="exact"/>
        <w:ind w:firstLine="452"/>
        <w:rPr>
          <w:rFonts w:asciiTheme="minorEastAsia" w:hAnsiTheme="minorEastAsia" w:eastAsiaTheme="minorEastAsia"/>
          <w:sz w:val="24"/>
          <w:szCs w:val="24"/>
        </w:rPr>
      </w:pPr>
      <w:r>
        <w:rPr>
          <w:rFonts w:hint="eastAsia" w:asciiTheme="minorEastAsia" w:hAnsiTheme="minorEastAsia" w:eastAsiaTheme="minorEastAsia"/>
          <w:b/>
          <w:sz w:val="24"/>
          <w:szCs w:val="24"/>
        </w:rPr>
        <w:t>住所地:</w:t>
      </w:r>
    </w:p>
    <w:p>
      <w:pPr>
        <w:adjustRightInd w:val="0"/>
        <w:snapToGrid w:val="0"/>
        <w:spacing w:line="540" w:lineRule="exact"/>
        <w:ind w:firstLine="450"/>
        <w:rPr>
          <w:rFonts w:asciiTheme="minorEastAsia" w:hAnsiTheme="minorEastAsia" w:eastAsiaTheme="minorEastAsia"/>
          <w:sz w:val="24"/>
          <w:szCs w:val="24"/>
        </w:rPr>
      </w:pP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甲、乙双方根据《中华人民共和国合同法》等相关法律法规，就相关产品采购事宜，在互利、平等的原则基础上，经协商一致，特签订本合同，以共同遵守。</w:t>
      </w:r>
    </w:p>
    <w:p>
      <w:pPr>
        <w:spacing w:line="540" w:lineRule="exact"/>
        <w:ind w:firstLine="593"/>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一、产品规格型号及参数</w:t>
      </w:r>
    </w:p>
    <w:tbl>
      <w:tblPr>
        <w:tblStyle w:val="14"/>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559"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产品名称</w:t>
            </w:r>
          </w:p>
        </w:tc>
        <w:tc>
          <w:tcPr>
            <w:tcW w:w="1820"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品牌型号</w:t>
            </w:r>
          </w:p>
        </w:tc>
        <w:tc>
          <w:tcPr>
            <w:tcW w:w="2150"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单位</w:t>
            </w:r>
          </w:p>
        </w:tc>
        <w:tc>
          <w:tcPr>
            <w:tcW w:w="1180"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134"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1476"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29"/>
              <w:spacing w:line="5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559" w:type="dxa"/>
            <w:vAlign w:val="center"/>
          </w:tcPr>
          <w:p>
            <w:pPr>
              <w:pStyle w:val="29"/>
              <w:spacing w:line="5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消防喷淋头</w:t>
            </w:r>
          </w:p>
        </w:tc>
        <w:tc>
          <w:tcPr>
            <w:tcW w:w="1820" w:type="dxa"/>
            <w:vAlign w:val="center"/>
          </w:tcPr>
          <w:p>
            <w:pPr>
              <w:pStyle w:val="29"/>
              <w:spacing w:line="540" w:lineRule="exact"/>
              <w:jc w:val="center"/>
              <w:rPr>
                <w:rFonts w:asciiTheme="minorEastAsia" w:hAnsiTheme="minorEastAsia" w:eastAsiaTheme="minorEastAsia"/>
                <w:sz w:val="24"/>
                <w:szCs w:val="24"/>
              </w:rPr>
            </w:pPr>
          </w:p>
        </w:tc>
        <w:tc>
          <w:tcPr>
            <w:tcW w:w="2150" w:type="dxa"/>
            <w:vAlign w:val="center"/>
          </w:tcPr>
          <w:p>
            <w:pPr>
              <w:pStyle w:val="29"/>
              <w:spacing w:line="540" w:lineRule="exact"/>
              <w:jc w:val="center"/>
              <w:rPr>
                <w:rFonts w:asciiTheme="minorEastAsia" w:hAnsiTheme="minorEastAsia" w:eastAsiaTheme="minorEastAsia"/>
                <w:sz w:val="24"/>
                <w:szCs w:val="24"/>
              </w:rPr>
            </w:pPr>
          </w:p>
        </w:tc>
        <w:tc>
          <w:tcPr>
            <w:tcW w:w="1180" w:type="dxa"/>
            <w:vAlign w:val="center"/>
          </w:tcPr>
          <w:p>
            <w:pPr>
              <w:pStyle w:val="29"/>
              <w:spacing w:line="540" w:lineRule="exact"/>
              <w:ind w:firstLine="120" w:firstLineChars="50"/>
              <w:jc w:val="center"/>
              <w:rPr>
                <w:rFonts w:asciiTheme="minorEastAsia" w:hAnsiTheme="minorEastAsia" w:eastAsiaTheme="minorEastAsia"/>
                <w:sz w:val="24"/>
                <w:szCs w:val="24"/>
              </w:rPr>
            </w:pPr>
          </w:p>
        </w:tc>
        <w:tc>
          <w:tcPr>
            <w:tcW w:w="1134" w:type="dxa"/>
            <w:vAlign w:val="center"/>
          </w:tcPr>
          <w:p>
            <w:pPr>
              <w:pStyle w:val="29"/>
              <w:spacing w:line="540" w:lineRule="exact"/>
              <w:jc w:val="center"/>
              <w:rPr>
                <w:rFonts w:asciiTheme="minorEastAsia" w:hAnsiTheme="minorEastAsia" w:eastAsiaTheme="minorEastAsia"/>
                <w:sz w:val="24"/>
                <w:szCs w:val="24"/>
              </w:rPr>
            </w:pPr>
          </w:p>
        </w:tc>
        <w:tc>
          <w:tcPr>
            <w:tcW w:w="1476" w:type="dxa"/>
            <w:vAlign w:val="center"/>
          </w:tcPr>
          <w:p>
            <w:pPr>
              <w:pStyle w:val="29"/>
              <w:spacing w:line="540" w:lineRule="exact"/>
              <w:ind w:firstLine="120" w:firstLineChars="5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29"/>
              <w:spacing w:line="5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9319" w:type="dxa"/>
            <w:gridSpan w:val="6"/>
          </w:tcPr>
          <w:p>
            <w:pPr>
              <w:pStyle w:val="29"/>
              <w:spacing w:line="540" w:lineRule="exact"/>
              <w:jc w:val="right"/>
              <w:rPr>
                <w:rFonts w:asciiTheme="minorEastAsia" w:hAnsiTheme="minorEastAsia" w:eastAsiaTheme="minorEastAsia"/>
                <w:sz w:val="24"/>
                <w:szCs w:val="24"/>
              </w:rPr>
            </w:pPr>
          </w:p>
        </w:tc>
      </w:tr>
    </w:tbl>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r>
        <w:rPr>
          <w:rFonts w:hint="eastAsia" w:cs="Calibri" w:asciiTheme="minorEastAsia" w:hAnsiTheme="minorEastAsia" w:eastAsiaTheme="minorEastAsia"/>
          <w:sz w:val="24"/>
          <w:szCs w:val="24"/>
        </w:rPr>
        <w:t>喷淋头规格型号为DN15下垂型（玻璃球闭式ESFR快速响应喷头），公称动作温度为68℃，产品材质采用全铜框架、德国久保玻璃球，产品通过国家“CCC”认证，且认证证书在有效期内（须提供认证证书复印件，且该信息能够在中国消防产品质量信息查询系统中得到证实）。</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二、合同金额</w:t>
      </w:r>
    </w:p>
    <w:p>
      <w:pPr>
        <w:spacing w:line="540" w:lineRule="exact"/>
        <w:ind w:firstLine="461" w:firstLineChars="192"/>
        <w:rPr>
          <w:rFonts w:cs="Calibri" w:asciiTheme="minorEastAsia" w:hAnsiTheme="minorEastAsia" w:eastAsiaTheme="minorEastAsia"/>
          <w:sz w:val="24"/>
          <w:szCs w:val="24"/>
        </w:rPr>
      </w:pPr>
      <w:r>
        <w:rPr>
          <w:rFonts w:hint="eastAsia" w:asciiTheme="minorEastAsia" w:hAnsiTheme="minorEastAsia" w:eastAsiaTheme="minorEastAsia"/>
          <w:sz w:val="24"/>
          <w:szCs w:val="24"/>
        </w:rPr>
        <w:t>本合同金额为固定总价合同，合同金额为（大写）：人民币    ，（小写）</w:t>
      </w:r>
      <w:r>
        <w:rPr>
          <w:rFonts w:hint="eastAsia" w:cs="Arial" w:asciiTheme="minorEastAsia" w:hAnsiTheme="minorEastAsia" w:eastAsiaTheme="minorEastAsia"/>
          <w:sz w:val="24"/>
          <w:szCs w:val="24"/>
        </w:rPr>
        <w:t xml:space="preserve">¥       </w:t>
      </w:r>
      <w:r>
        <w:rPr>
          <w:rFonts w:hint="eastAsia" w:asciiTheme="minorEastAsia" w:hAnsiTheme="minorEastAsia" w:eastAsiaTheme="minorEastAsia"/>
          <w:sz w:val="24"/>
          <w:szCs w:val="24"/>
        </w:rPr>
        <w:t>其中包含采购货物价为   元（￥元）人民</w:t>
      </w:r>
      <w:r>
        <w:rPr>
          <w:rFonts w:hint="eastAsia" w:cs="Calibri" w:asciiTheme="minorEastAsia" w:hAnsiTheme="minorEastAsia" w:eastAsiaTheme="minorEastAsia"/>
          <w:sz w:val="24"/>
          <w:szCs w:val="24"/>
        </w:rPr>
        <w:t xml:space="preserve">币，税费   </w:t>
      </w:r>
      <w:r>
        <w:rPr>
          <w:rFonts w:hint="eastAsia" w:asciiTheme="minorEastAsia" w:hAnsiTheme="minorEastAsia" w:eastAsiaTheme="minorEastAsia"/>
          <w:sz w:val="24"/>
          <w:szCs w:val="24"/>
        </w:rPr>
        <w:t>元（￥元）人民</w:t>
      </w:r>
      <w:r>
        <w:rPr>
          <w:rFonts w:hint="eastAsia" w:cs="Calibri" w:asciiTheme="minorEastAsia" w:hAnsiTheme="minorEastAsia" w:eastAsiaTheme="minorEastAsia"/>
          <w:sz w:val="24"/>
          <w:szCs w:val="24"/>
        </w:rPr>
        <w:t>币</w:t>
      </w:r>
      <w:r>
        <w:rPr>
          <w:rFonts w:hint="eastAsia" w:asciiTheme="minorEastAsia" w:hAnsiTheme="minorEastAsia" w:eastAsiaTheme="minorEastAsia"/>
          <w:sz w:val="24"/>
          <w:szCs w:val="24"/>
        </w:rPr>
        <w:t>。</w:t>
      </w:r>
      <w:r>
        <w:rPr>
          <w:rFonts w:hint="eastAsia" w:cs="Calibri" w:asciiTheme="minorEastAsia" w:hAnsiTheme="minorEastAsia" w:eastAsiaTheme="minorEastAsia"/>
          <w:sz w:val="24"/>
          <w:szCs w:val="24"/>
        </w:rPr>
        <w:t>本</w:t>
      </w:r>
      <w:r>
        <w:rPr>
          <w:rFonts w:hint="eastAsia" w:asciiTheme="minorEastAsia" w:hAnsiTheme="minorEastAsia" w:eastAsiaTheme="minorEastAsia"/>
          <w:sz w:val="24"/>
          <w:szCs w:val="24"/>
        </w:rPr>
        <w:t>合同价为杭州萧山国际机场内交货价，含产品价格、</w:t>
      </w:r>
      <w:r>
        <w:rPr>
          <w:rFonts w:hint="eastAsia" w:cs="宋体" w:asciiTheme="minorEastAsia" w:hAnsiTheme="minorEastAsia" w:eastAsiaTheme="minorEastAsia"/>
          <w:sz w:val="24"/>
          <w:szCs w:val="24"/>
        </w:rPr>
        <w:t>运输、包装费、</w:t>
      </w:r>
      <w:r>
        <w:rPr>
          <w:rFonts w:hint="eastAsia" w:cs="Calibri" w:asciiTheme="minorEastAsia" w:hAnsiTheme="minorEastAsia" w:eastAsiaTheme="minorEastAsia"/>
          <w:sz w:val="24"/>
          <w:szCs w:val="24"/>
        </w:rPr>
        <w:t>更换拆装、管路污垢清理</w:t>
      </w:r>
      <w:r>
        <w:rPr>
          <w:rFonts w:hint="eastAsia" w:cs="宋体" w:asciiTheme="minorEastAsia" w:hAnsiTheme="minorEastAsia" w:eastAsiaTheme="minorEastAsia"/>
          <w:sz w:val="24"/>
          <w:szCs w:val="24"/>
        </w:rPr>
        <w:t>、零配件的更换费、人工费、保险费、税费、验收、技术培训及售后服务等</w:t>
      </w:r>
      <w:r>
        <w:rPr>
          <w:rFonts w:hint="eastAsia" w:asciiTheme="minorEastAsia" w:hAnsiTheme="minorEastAsia" w:eastAsiaTheme="minorEastAsia"/>
          <w:sz w:val="24"/>
          <w:szCs w:val="24"/>
        </w:rPr>
        <w:t>等所有费用。甲方不再承担其他任何费用。</w:t>
      </w:r>
      <w:r>
        <w:rPr>
          <w:rFonts w:hint="eastAsia" w:cs="Calibri" w:asciiTheme="minorEastAsia" w:hAnsiTheme="minorEastAsia" w:eastAsiaTheme="minorEastAsia"/>
          <w:sz w:val="24"/>
          <w:szCs w:val="24"/>
        </w:rPr>
        <w:t>在合同有效期限内，若因国家税收政策调整而引起的增值税税率变化的，应按照国家税收政策调整，合同总金额变更为原合同不含增值税货物或劳务价格与调整后税率计算税额的合计金额。</w:t>
      </w:r>
    </w:p>
    <w:p>
      <w:pPr>
        <w:spacing w:line="540" w:lineRule="exact"/>
        <w:ind w:firstLine="463" w:firstLineChars="192"/>
        <w:rPr>
          <w:rFonts w:asciiTheme="minorEastAsia" w:hAnsiTheme="minorEastAsia" w:eastAsiaTheme="minorEastAsia"/>
          <w:b/>
          <w:sz w:val="24"/>
          <w:szCs w:val="24"/>
        </w:rPr>
      </w:pPr>
      <w:r>
        <w:rPr>
          <w:rFonts w:hint="eastAsia" w:asciiTheme="minorEastAsia" w:hAnsiTheme="minorEastAsia" w:eastAsiaTheme="minorEastAsia"/>
          <w:b/>
          <w:sz w:val="24"/>
          <w:szCs w:val="24"/>
        </w:rPr>
        <w:t>三、技术资料</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1.乙方应在交付合同产品时同时向甲方提供使用产品的有关技术资料。</w:t>
      </w:r>
    </w:p>
    <w:p>
      <w:pPr>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sz w:val="24"/>
          <w:szCs w:val="24"/>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四、知识产权</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五、产权担保</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六、转包或分包</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2.如有未经甲方书面同意的转让和分包行为，甲方有权解除合同，并有权要求乙方承担合同总金额10%的违约金。</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七、产品包装、发运及运输</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乙方应在产品发运前对其按满足运输距离、防潮、防震、防锈和防破损装卸等要求进行包装，以保证产品安全运达甲方指定地点。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使用说明书、质量检验证明书、技术资料、随配附件和工具以及清单一并附于产品内同时向甲方交付。如资料和工具、附件不全的，视为乙方未完全履行交付义务。</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乙方在产品发运手续办理完毕后24小时内必须书面通知甲方，以便甲方准备接货。</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 产品在本合同规定的交货地点交付甲方前发生的一切风险包括产品运输风险均由乙方负责。</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产品在规定的交付期限内由乙方送达甲方指定的交货地点并经甲方签收后视为交付，乙方同时必须在产品到达的当天立即通知甲方产品已送达。</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八、交货期、交货方式及交货地点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交货期：合同签订后</w:t>
      </w:r>
      <w:r>
        <w:rPr>
          <w:rFonts w:hint="eastAsia" w:asciiTheme="minorEastAsia" w:hAnsiTheme="minorEastAsia" w:eastAsiaTheme="minorEastAsia"/>
          <w:sz w:val="24"/>
          <w:szCs w:val="24"/>
          <w:u w:val="single"/>
        </w:rPr>
        <w:t>90</w:t>
      </w:r>
      <w:r>
        <w:rPr>
          <w:rFonts w:hint="eastAsia" w:asciiTheme="minorEastAsia" w:hAnsiTheme="minorEastAsia" w:eastAsiaTheme="minorEastAsia"/>
          <w:sz w:val="24"/>
          <w:szCs w:val="24"/>
        </w:rPr>
        <w:t>个日历天内</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交货方式：乙方送货至甲方指定地点并负责更换</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交货地点：杭州萧山国际机场内</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九、安装与验收</w:t>
      </w:r>
    </w:p>
    <w:p>
      <w:pPr>
        <w:pStyle w:val="33"/>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sz w:val="24"/>
          <w:szCs w:val="24"/>
        </w:rPr>
        <w:t>甲方对乙方交付的货物依据甲方要求和国家有关质量标准进行现场初步验收，产品外观、数量、品种、规格型号、材质和说明书等资料符合甲方要求的，视为初步验收合格，给予签收，初步验收不合格的不予签收并在到货之日起7日内以书面或电话形式向乙方提出异议。乙方在甲方初步验收完毕后，负责在60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33"/>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sz w:val="24"/>
          <w:szCs w:val="24"/>
        </w:rPr>
        <w:t>乙方交货前应对产品作出全面检查和对验收文件进行整理，并列出清单，作为甲方收货验收和使用的技术条件依据，乙方检验的结果应随货物交甲方。</w:t>
      </w:r>
    </w:p>
    <w:p>
      <w:pPr>
        <w:pStyle w:val="33"/>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3.</w:t>
      </w:r>
      <w:r>
        <w:rPr>
          <w:rFonts w:hint="eastAsia" w:asciiTheme="minorEastAsia" w:hAnsiTheme="minorEastAsia" w:eastAsiaTheme="minorEastAsia"/>
          <w:sz w:val="24"/>
          <w:szCs w:val="24"/>
        </w:rPr>
        <w:t>乙方应当在收到甲方前述第1款异议之日起7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4.具体的安装要求：</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（1）在拆装更换时，必须遵守甲方的规章制度和要求，并严格按照项目实施方案来执行。</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（2）安装符合国家现行《</w:t>
      </w:r>
      <w:r>
        <w:rPr>
          <w:rFonts w:asciiTheme="minorEastAsia" w:hAnsiTheme="minorEastAsia" w:eastAsiaTheme="minorEastAsia"/>
          <w:sz w:val="24"/>
          <w:szCs w:val="24"/>
        </w:rPr>
        <w:t>自动喷水灭火系统施工及验收规范</w:t>
      </w:r>
      <w:r>
        <w:rPr>
          <w:rFonts w:hint="eastAsia" w:asciiTheme="minorEastAsia" w:hAnsiTheme="minorEastAsia" w:eastAsiaTheme="minorEastAsia"/>
          <w:sz w:val="24"/>
          <w:szCs w:val="24"/>
        </w:rPr>
        <w:t>》</w:t>
      </w:r>
      <w:r>
        <w:rPr>
          <w:rFonts w:asciiTheme="minorEastAsia" w:hAnsiTheme="minorEastAsia" w:eastAsiaTheme="minorEastAsia"/>
          <w:sz w:val="24"/>
          <w:szCs w:val="24"/>
        </w:rPr>
        <w:t>GB50261-2017</w:t>
      </w:r>
      <w:r>
        <w:rPr>
          <w:rFonts w:hint="eastAsia" w:asciiTheme="minorEastAsia" w:hAnsiTheme="minorEastAsia" w:eastAsiaTheme="minorEastAsia"/>
          <w:sz w:val="24"/>
          <w:szCs w:val="24"/>
        </w:rPr>
        <w:t>标准。</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5.具体的验收要求：</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（1）产品外观、数量、品种、规格型号、技术参数、材质等符合甲方要求；</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（2）更换安装完成后不存在漏水、破损及其它故障等情况。</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十、货款支付</w:t>
      </w:r>
    </w:p>
    <w:p>
      <w:pPr>
        <w:pStyle w:val="9"/>
        <w:snapToGrid w:val="0"/>
        <w:spacing w:before="0" w:beforeAutospacing="0" w:after="0" w:afterAutospacing="0" w:line="540" w:lineRule="exact"/>
        <w:ind w:firstLine="480" w:firstLineChars="200"/>
        <w:jc w:val="both"/>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1.甲方收货验收合格并收到乙方合同全额增值税专用发票后20个工作日内，支付至合同总金额的95%；</w:t>
      </w:r>
    </w:p>
    <w:p>
      <w:pPr>
        <w:adjustRightInd w:val="0"/>
        <w:snapToGrid w:val="0"/>
        <w:spacing w:line="5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2.质量保证金为合同总价5</w:t>
      </w:r>
      <w:r>
        <w:rPr>
          <w:rFonts w:asciiTheme="minorEastAsia" w:hAnsiTheme="minorEastAsia" w:eastAsiaTheme="minorEastAsia"/>
          <w:sz w:val="24"/>
          <w:szCs w:val="24"/>
        </w:rPr>
        <w:t>%，</w:t>
      </w:r>
      <w:r>
        <w:rPr>
          <w:rFonts w:hint="eastAsia" w:asciiTheme="minorEastAsia" w:hAnsiTheme="minorEastAsia" w:eastAsiaTheme="minorEastAsia"/>
          <w:sz w:val="24"/>
          <w:szCs w:val="24"/>
        </w:rPr>
        <w:t>如无产品质量问题，质量保证金在产品验收合格日起计算质保期满后15个工作日内无息支付。</w:t>
      </w:r>
    </w:p>
    <w:p>
      <w:pPr>
        <w:adjustRightInd w:val="0"/>
        <w:snapToGrid w:val="0"/>
        <w:spacing w:line="540" w:lineRule="exact"/>
        <w:ind w:firstLine="482" w:firstLineChars="200"/>
        <w:rPr>
          <w:rFonts w:asciiTheme="minorEastAsia" w:hAnsiTheme="minorEastAsia" w:eastAsiaTheme="minorEastAsia"/>
          <w:b/>
          <w:color w:val="444444"/>
          <w:sz w:val="24"/>
          <w:szCs w:val="24"/>
          <w:lang w:val="zh-CN"/>
        </w:rPr>
      </w:pPr>
      <w:r>
        <w:rPr>
          <w:rFonts w:hint="eastAsia" w:asciiTheme="minorEastAsia" w:hAnsiTheme="minorEastAsia" w:eastAsiaTheme="minorEastAsia"/>
          <w:b/>
          <w:color w:val="444444"/>
          <w:sz w:val="24"/>
          <w:szCs w:val="24"/>
        </w:rPr>
        <w:t>十一、</w:t>
      </w:r>
      <w:r>
        <w:rPr>
          <w:rFonts w:hint="eastAsia" w:asciiTheme="minorEastAsia" w:hAnsiTheme="minorEastAsia" w:eastAsiaTheme="minorEastAsia"/>
          <w:b/>
          <w:color w:val="444444"/>
          <w:sz w:val="24"/>
          <w:szCs w:val="24"/>
          <w:lang w:val="zh-CN"/>
        </w:rPr>
        <w:t>履约保证金</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十二、税费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本合同执行中相关的一切税费均由乙方负担。</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十三、免费质保期及服务内容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乙方保证其所供应的产品符合相关产品质量标准，不存在任何质量瑕疵或因质量瑕疵而导致的安全隐患，且为未经使用的全新产品。</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乙方应为产品提供24个月的免费质保期(含工时费和零部件费)，时间自甲方最终签署安装验收合格报告之日起计算。</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免费质保期结束的10天前，乙方负责对产品进行一次全面的检修和维护，并由甲方验收认可。甲方验收认可并不免除乙方对于验收认可后发生的但尚在质保期限内的产品故障或损坏的维修、退换货义务。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6、若乙方提供的产品属于伪劣产品或者假冒产品或者欺诈甲方，使得甲方遭受损失，乙方应向甲方承担违约责任，同时，甲方可依法寻求其他法律救济。</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十四、违约责任</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甲方无故逾期支付货款的,甲方应按逾期付款总额每日0.1%向乙方支付违约金。</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 乙方逾期交付产品和本合同规定的文件资料的，或者未按甲方时间要求完成安装调试并通过甲方终验收的，乙方应按合同总额每日0.1%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因乙方提供产品质量问题或者安装调试、维修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7.对于本合同项下乙方应支付的赔偿款或违约金，甲方有权从应付乙方的货款及履约保证金中直接扣除，不足的部分，继续向乙方追偿。</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十五、不可抗力事件处理</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在合同有效期内，任何一方因不可抗力事件导致不能履行合同，则合同履行期可延长，其延长期与不可抗力影响期相同。</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不可抗力事件发生后，遭遇不可抗力的一方应立即通知对方，并寄送有关官方权威机构出具的证明。</w:t>
      </w:r>
    </w:p>
    <w:p>
      <w:pPr>
        <w:spacing w:line="540" w:lineRule="exact"/>
        <w:ind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3. 不可抗力事件延续140天以上，双方应通过友好协商，确定是否继续履行合同；协商无法达成一致的，本合同自动终止，双方互不承担赔偿或违约责任。</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十六、争议解决</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双方在执行合同中所发生的一切争议，应通过协商解决。如协商不成，由甲方所在地的人民法院管辖审理。</w:t>
      </w:r>
    </w:p>
    <w:p>
      <w:pPr>
        <w:adjustRightInd w:val="0"/>
        <w:snapToGrid w:val="0"/>
        <w:spacing w:line="5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十七、合同组成文件包含下列内容，且解释顺序如下：</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1.本合同协议书</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2.中标通知书</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4.投标书及其附件</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5.标准、规范及有关技术文件</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十八、合同生效及其它</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合同经双方法定代表人或授权代表签字（包含签章）并加盖单位公章或者合同章之日起生效。</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2.本合同未尽事宜，双方可签订补充协议予以执行；未达成补充协议的，遵照《合同法》及有关法律法规执行。</w:t>
      </w: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3.本合同一式陆份，甲执四份，乙方持二份，具有同等法律效力。</w:t>
      </w: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rPr>
          <w:rFonts w:asciiTheme="minorEastAsia" w:hAnsiTheme="minorEastAsia" w:eastAsiaTheme="minorEastAsia"/>
          <w:sz w:val="24"/>
          <w:szCs w:val="24"/>
        </w:rPr>
      </w:pPr>
    </w:p>
    <w:p>
      <w:pPr>
        <w:tabs>
          <w:tab w:val="right" w:pos="8306"/>
        </w:tabs>
        <w:adjustRightInd w:val="0"/>
        <w:snapToGrid w:val="0"/>
        <w:spacing w:line="540" w:lineRule="exact"/>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（以下为签署页）</w:t>
      </w:r>
    </w:p>
    <w:p>
      <w:pPr>
        <w:tabs>
          <w:tab w:val="right" w:pos="8306"/>
        </w:tabs>
        <w:adjustRightInd w:val="0"/>
        <w:snapToGrid w:val="0"/>
        <w:spacing w:line="540" w:lineRule="exact"/>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ab/>
      </w:r>
    </w:p>
    <w:p>
      <w:pPr>
        <w:adjustRightInd w:val="0"/>
        <w:snapToGrid w:val="0"/>
        <w:spacing w:line="540" w:lineRule="exact"/>
        <w:ind w:left="3840" w:hanging="3840" w:hangingChars="1600"/>
        <w:rPr>
          <w:rFonts w:asciiTheme="minorEastAsia" w:hAnsiTheme="minorEastAsia" w:eastAsiaTheme="minorEastAsia"/>
          <w:sz w:val="24"/>
          <w:szCs w:val="24"/>
        </w:rPr>
      </w:pPr>
      <w:r>
        <w:rPr>
          <w:rFonts w:hint="eastAsia" w:asciiTheme="minorEastAsia" w:hAnsiTheme="minorEastAsia" w:eastAsiaTheme="minorEastAsia"/>
          <w:sz w:val="24"/>
          <w:szCs w:val="24"/>
        </w:rPr>
        <w:t>甲方：杭州萧山国际机场有限公司  乙方：</w:t>
      </w:r>
    </w:p>
    <w:p>
      <w:pPr>
        <w:adjustRightInd w:val="0"/>
        <w:snapToGrid w:val="0"/>
        <w:spacing w:line="540" w:lineRule="exact"/>
        <w:ind w:left="6750" w:hanging="6750"/>
        <w:rPr>
          <w:rFonts w:asciiTheme="minorEastAsia" w:hAnsiTheme="minorEastAsia" w:eastAsiaTheme="minorEastAsia"/>
          <w:sz w:val="24"/>
          <w:szCs w:val="24"/>
        </w:rPr>
      </w:pPr>
      <w:r>
        <w:rPr>
          <w:rFonts w:hint="eastAsia" w:asciiTheme="minorEastAsia" w:hAnsiTheme="minorEastAsia" w:eastAsiaTheme="minorEastAsia"/>
          <w:sz w:val="24"/>
          <w:szCs w:val="24"/>
        </w:rPr>
        <w:t>地址：杭州萧山国际机场内        地址：</w:t>
      </w:r>
    </w:p>
    <w:p>
      <w:pPr>
        <w:adjustRightInd w:val="0"/>
        <w:snapToGrid w:val="0"/>
        <w:spacing w:line="540" w:lineRule="exact"/>
        <w:ind w:left="6750" w:hanging="6750"/>
        <w:rPr>
          <w:rFonts w:asciiTheme="minorEastAsia" w:hAnsiTheme="minorEastAsia" w:eastAsiaTheme="minorEastAsia"/>
          <w:sz w:val="24"/>
          <w:szCs w:val="24"/>
        </w:rPr>
      </w:pPr>
    </w:p>
    <w:p>
      <w:pPr>
        <w:adjustRightInd w:val="0"/>
        <w:snapToGrid w:val="0"/>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                     法定代表人：</w:t>
      </w:r>
    </w:p>
    <w:p>
      <w:pPr>
        <w:adjustRightInd w:val="0"/>
        <w:snapToGrid w:val="0"/>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或                               或</w:t>
      </w:r>
    </w:p>
    <w:p>
      <w:pPr>
        <w:adjustRightInd w:val="0"/>
        <w:snapToGrid w:val="0"/>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授权代表：                       授权代表：</w:t>
      </w:r>
    </w:p>
    <w:p>
      <w:pPr>
        <w:adjustRightInd w:val="0"/>
        <w:snapToGrid w:val="0"/>
        <w:spacing w:line="54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签字日期：                       签字日期： </w:t>
      </w:r>
    </w:p>
    <w:p>
      <w:pPr>
        <w:adjustRightInd w:val="0"/>
        <w:snapToGrid w:val="0"/>
        <w:spacing w:line="5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年  月  日                      年  月  日</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p>
    <w:p>
      <w:pPr>
        <w:spacing w:line="540" w:lineRule="exact"/>
        <w:rPr>
          <w:rFonts w:asciiTheme="minorEastAsia" w:hAnsiTheme="minorEastAsia" w:eastAsiaTheme="minorEastAsia"/>
          <w:sz w:val="24"/>
          <w:szCs w:val="24"/>
        </w:rPr>
      </w:pPr>
    </w:p>
    <w:p>
      <w:pPr>
        <w:pStyle w:val="30"/>
        <w:spacing w:line="540" w:lineRule="exact"/>
        <w:ind w:firstLine="482"/>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杭州萧山国际机场有限公司廉洁自律承诺书</w:t>
      </w:r>
    </w:p>
    <w:p>
      <w:pPr>
        <w:pStyle w:val="31"/>
        <w:adjustRightInd w:val="0"/>
        <w:snapToGrid w:val="0"/>
        <w:spacing w:line="540" w:lineRule="exact"/>
        <w:ind w:firstLine="482"/>
        <w:rPr>
          <w:rFonts w:asciiTheme="minorEastAsia" w:hAnsiTheme="minorEastAsia" w:eastAsiaTheme="minorEastAsia"/>
          <w:b/>
          <w:sz w:val="24"/>
          <w:szCs w:val="24"/>
        </w:rPr>
      </w:pPr>
    </w:p>
    <w:p>
      <w:pPr>
        <w:pStyle w:val="31"/>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31"/>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31"/>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1"/>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31"/>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31"/>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31"/>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31"/>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31"/>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31"/>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31"/>
        <w:adjustRightInd w:val="0"/>
        <w:snapToGrid w:val="0"/>
        <w:ind w:firstLine="600"/>
        <w:jc w:val="left"/>
        <w:rPr>
          <w:rFonts w:ascii="宋体" w:hAnsi="宋体"/>
          <w:sz w:val="30"/>
          <w:szCs w:val="30"/>
        </w:rPr>
      </w:pPr>
    </w:p>
    <w:p>
      <w:pPr>
        <w:pStyle w:val="31"/>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31"/>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31"/>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31"/>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31"/>
        <w:adjustRightInd w:val="0"/>
        <w:snapToGrid w:val="0"/>
        <w:ind w:firstLine="602"/>
        <w:jc w:val="left"/>
        <w:rPr>
          <w:rFonts w:ascii="宋体" w:hAnsi="宋体"/>
          <w:b/>
          <w:sz w:val="30"/>
          <w:szCs w:val="30"/>
        </w:rPr>
      </w:pPr>
    </w:p>
    <w:p>
      <w:pPr>
        <w:pStyle w:val="11"/>
        <w:rPr>
          <w:rFonts w:ascii="宋体" w:hAnsi="宋体" w:eastAsia="宋体"/>
          <w:b w:val="0"/>
          <w:sz w:val="30"/>
          <w:szCs w:val="30"/>
        </w:rPr>
      </w:pPr>
      <w:r>
        <w:rPr>
          <w:rFonts w:hint="eastAsia" w:ascii="宋体" w:hAnsi="宋体" w:eastAsia="宋体"/>
          <w:b w:val="0"/>
          <w:sz w:val="30"/>
          <w:szCs w:val="30"/>
        </w:rPr>
        <w:t xml:space="preserve">                           年     月     日</w:t>
      </w:r>
    </w:p>
    <w:p>
      <w:pPr>
        <w:pStyle w:val="31"/>
        <w:adjustRightInd w:val="0"/>
        <w:snapToGrid w:val="0"/>
        <w:spacing w:line="540" w:lineRule="exact"/>
        <w:ind w:firstLine="480"/>
        <w:rPr>
          <w:rFonts w:asciiTheme="minorEastAsia" w:hAnsiTheme="minorEastAsia" w:eastAsiaTheme="minorEastAsia"/>
          <w:sz w:val="24"/>
          <w:szCs w:val="24"/>
        </w:rPr>
      </w:pPr>
    </w:p>
    <w:p>
      <w:pPr>
        <w:adjustRightInd w:val="0"/>
        <w:snapToGrid w:val="0"/>
        <w:spacing w:line="360" w:lineRule="exact"/>
        <w:jc w:val="left"/>
        <w:rPr>
          <w:rFonts w:ascii="宋体" w:hAnsi="宋体"/>
          <w:b/>
          <w:sz w:val="22"/>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p>
    <w:p>
      <w:pPr>
        <w:snapToGrid w:val="0"/>
        <w:ind w:firstLine="480" w:firstLineChars="200"/>
        <w:rPr>
          <w:rFonts w:ascii="宋体" w:hAnsi="宋体"/>
          <w:kern w:val="0"/>
          <w:sz w:val="24"/>
        </w:rPr>
      </w:pPr>
      <w:r>
        <w:rPr>
          <w:rFonts w:ascii="宋体" w:hAnsi="宋体"/>
          <w:sz w:val="24"/>
        </w:rPr>
        <w:t>根据《中华人民共和国招标投标法》、《中华人民共和国招标投标法实施条例》、《浙江省招标投标条例》、《评标委员会和评标办法暂行规定》（国家发展计划委员会第12号）、《浙江省综合性评标专家库管理办法实施细则》、《浙江省人民政府关于进一步严格规范工程建设项目招标投标活动的意见》(浙政发〔2014〕39号)等有关规定，制定本办法。</w:t>
      </w:r>
    </w:p>
    <w:p>
      <w:pPr>
        <w:snapToGrid w:val="0"/>
        <w:ind w:firstLine="472" w:firstLineChars="196"/>
        <w:rPr>
          <w:rFonts w:ascii="宋体" w:hAnsi="宋体"/>
          <w:b/>
          <w:kern w:val="0"/>
          <w:sz w:val="24"/>
        </w:rPr>
      </w:pPr>
      <w:r>
        <w:rPr>
          <w:rFonts w:ascii="宋体" w:hAnsi="宋体"/>
          <w:b/>
          <w:kern w:val="0"/>
          <w:sz w:val="24"/>
        </w:rPr>
        <w:t>一、评标原则</w:t>
      </w:r>
    </w:p>
    <w:p>
      <w:pPr>
        <w:snapToGrid w:val="0"/>
        <w:ind w:firstLine="540" w:firstLineChars="225"/>
        <w:rPr>
          <w:rFonts w:ascii="宋体" w:hAnsi="宋体"/>
          <w:kern w:val="0"/>
          <w:sz w:val="24"/>
        </w:rPr>
      </w:pPr>
      <w:r>
        <w:rPr>
          <w:rFonts w:hint="eastAsia" w:ascii="宋体" w:hAnsi="宋体"/>
          <w:kern w:val="0"/>
          <w:sz w:val="24"/>
        </w:rPr>
        <w:t>本次评标采用</w:t>
      </w:r>
      <w:r>
        <w:rPr>
          <w:rFonts w:hint="eastAsia" w:ascii="宋体" w:hAnsi="宋体"/>
          <w:b/>
          <w:kern w:val="0"/>
          <w:sz w:val="24"/>
        </w:rPr>
        <w:t>经评审的最低投标价法</w:t>
      </w:r>
      <w:r>
        <w:rPr>
          <w:rFonts w:hint="eastAsia" w:ascii="宋体" w:hAnsi="宋体"/>
          <w:kern w:val="0"/>
          <w:sz w:val="24"/>
        </w:rPr>
        <w:t>，</w:t>
      </w:r>
      <w:r>
        <w:rPr>
          <w:rFonts w:ascii="宋体" w:hAnsi="宋体"/>
          <w:kern w:val="0"/>
          <w:sz w:val="24"/>
        </w:rPr>
        <w:t>评标应遵循公平、公正、科学、择优的原则。</w:t>
      </w:r>
    </w:p>
    <w:p>
      <w:pPr>
        <w:snapToGrid w:val="0"/>
        <w:ind w:firstLine="472" w:firstLineChars="196"/>
        <w:rPr>
          <w:rFonts w:ascii="宋体" w:hAnsi="宋体"/>
          <w:b/>
          <w:kern w:val="0"/>
          <w:sz w:val="24"/>
        </w:rPr>
      </w:pPr>
      <w:r>
        <w:rPr>
          <w:rFonts w:ascii="宋体" w:hAnsi="宋体"/>
          <w:b/>
          <w:kern w:val="0"/>
          <w:sz w:val="24"/>
        </w:rPr>
        <w:t>二、评标组织</w:t>
      </w:r>
    </w:p>
    <w:p>
      <w:pPr>
        <w:adjustRightInd w:val="0"/>
        <w:snapToGrid w:val="0"/>
        <w:ind w:firstLine="480" w:firstLineChars="200"/>
        <w:rPr>
          <w:rFonts w:ascii="宋体" w:hAnsi="宋体"/>
          <w:sz w:val="24"/>
        </w:rPr>
      </w:pPr>
      <w:r>
        <w:rPr>
          <w:rFonts w:hint="eastAsia" w:ascii="宋体" w:hAnsi="宋体"/>
          <w:sz w:val="24"/>
        </w:rPr>
        <w:t>评标工作由招标人依法组建的评标委员会负责。评标委员会成员为3人及以上单数，评标委员会由招标人自行组建。</w:t>
      </w:r>
    </w:p>
    <w:p>
      <w:pPr>
        <w:adjustRightInd w:val="0"/>
        <w:snapToGrid w:val="0"/>
        <w:ind w:firstLine="480" w:firstLineChars="200"/>
        <w:rPr>
          <w:rFonts w:ascii="宋体" w:hAnsi="宋体"/>
          <w:sz w:val="24"/>
        </w:rPr>
      </w:pPr>
      <w:r>
        <w:rPr>
          <w:rFonts w:ascii="宋体" w:hAnsi="宋体"/>
          <w:sz w:val="24"/>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ind w:firstLine="480" w:firstLineChars="200"/>
        <w:rPr>
          <w:rFonts w:ascii="宋体" w:hAnsi="宋体"/>
          <w:sz w:val="24"/>
        </w:rPr>
      </w:pPr>
      <w:r>
        <w:rPr>
          <w:rFonts w:ascii="宋体" w:hAnsi="宋体"/>
          <w:sz w:val="24"/>
        </w:rPr>
        <w:t>评标委员会应当按照招标文件确定的评标标准和方法，客观、公正对投标文件进行评审和比较，招标文件没有规定的评标标准和方法不得作为评标的依据。</w:t>
      </w:r>
    </w:p>
    <w:p>
      <w:pPr>
        <w:adjustRightInd w:val="0"/>
        <w:snapToGrid w:val="0"/>
        <w:ind w:firstLine="480" w:firstLineChars="200"/>
        <w:rPr>
          <w:rFonts w:ascii="宋体" w:hAnsi="宋体"/>
          <w:sz w:val="24"/>
        </w:rPr>
      </w:pPr>
      <w:r>
        <w:rPr>
          <w:rFonts w:ascii="宋体" w:hAnsi="宋体"/>
          <w:sz w:val="24"/>
        </w:rPr>
        <w:t>评标委员会对投标文件作出的评审结论，应当符合有关法律、法规、规章和招标文件的规定。</w:t>
      </w:r>
    </w:p>
    <w:p>
      <w:pPr>
        <w:snapToGrid w:val="0"/>
        <w:ind w:firstLine="559" w:firstLineChars="232"/>
        <w:rPr>
          <w:rFonts w:ascii="宋体" w:hAnsi="宋体"/>
          <w:b/>
          <w:kern w:val="0"/>
          <w:sz w:val="24"/>
        </w:rPr>
      </w:pPr>
      <w:r>
        <w:rPr>
          <w:rFonts w:ascii="宋体" w:hAnsi="宋体"/>
          <w:b/>
          <w:kern w:val="0"/>
          <w:sz w:val="24"/>
        </w:rPr>
        <w:t>三、评标程序和内容</w:t>
      </w:r>
    </w:p>
    <w:p>
      <w:pPr>
        <w:adjustRightInd w:val="0"/>
        <w:snapToGrid w:val="0"/>
        <w:ind w:firstLine="480" w:firstLineChars="200"/>
        <w:rPr>
          <w:rFonts w:ascii="宋体" w:hAnsi="宋体"/>
          <w:sz w:val="24"/>
        </w:rPr>
      </w:pPr>
      <w:r>
        <w:rPr>
          <w:rFonts w:ascii="宋体" w:hAnsi="宋体"/>
          <w:sz w:val="24"/>
        </w:rPr>
        <w:t>（一）熟悉招标文件和评标办法；</w:t>
      </w:r>
    </w:p>
    <w:p>
      <w:pPr>
        <w:adjustRightInd w:val="0"/>
        <w:snapToGrid w:val="0"/>
        <w:ind w:firstLine="480" w:firstLineChars="200"/>
        <w:rPr>
          <w:rFonts w:ascii="宋体" w:hAnsi="宋体"/>
          <w:sz w:val="24"/>
        </w:rPr>
      </w:pPr>
      <w:r>
        <w:rPr>
          <w:rFonts w:ascii="宋体" w:hAnsi="宋体"/>
          <w:sz w:val="24"/>
        </w:rPr>
        <w:t>（二）投标文件的符合性评审；</w:t>
      </w:r>
    </w:p>
    <w:p>
      <w:pPr>
        <w:adjustRightInd w:val="0"/>
        <w:snapToGrid w:val="0"/>
        <w:ind w:firstLine="480" w:firstLineChars="200"/>
        <w:rPr>
          <w:rFonts w:ascii="宋体" w:hAnsi="宋体"/>
          <w:sz w:val="24"/>
        </w:rPr>
      </w:pPr>
      <w:r>
        <w:rPr>
          <w:rFonts w:ascii="宋体" w:hAnsi="宋体"/>
          <w:sz w:val="24"/>
        </w:rPr>
        <w:t>（三）投标文件的资信、业绩评审；</w:t>
      </w:r>
    </w:p>
    <w:p>
      <w:pPr>
        <w:adjustRightInd w:val="0"/>
        <w:snapToGrid w:val="0"/>
        <w:ind w:firstLine="480" w:firstLineChars="200"/>
        <w:rPr>
          <w:rFonts w:ascii="宋体" w:hAnsi="宋体"/>
          <w:sz w:val="24"/>
        </w:rPr>
      </w:pPr>
      <w:r>
        <w:rPr>
          <w:rFonts w:ascii="宋体" w:hAnsi="宋体"/>
          <w:sz w:val="24"/>
        </w:rPr>
        <w:t>（四）投标文件的</w:t>
      </w:r>
      <w:r>
        <w:rPr>
          <w:rFonts w:hint="eastAsia" w:ascii="宋体" w:hAnsi="宋体"/>
          <w:sz w:val="24"/>
        </w:rPr>
        <w:t>技术标</w:t>
      </w:r>
      <w:r>
        <w:rPr>
          <w:rFonts w:ascii="宋体" w:hAnsi="宋体"/>
          <w:sz w:val="24"/>
        </w:rPr>
        <w:t>评审；</w:t>
      </w:r>
    </w:p>
    <w:p>
      <w:pPr>
        <w:adjustRightInd w:val="0"/>
        <w:snapToGrid w:val="0"/>
        <w:ind w:firstLine="480" w:firstLineChars="200"/>
        <w:rPr>
          <w:rFonts w:ascii="宋体" w:hAnsi="宋体"/>
          <w:sz w:val="24"/>
        </w:rPr>
      </w:pPr>
      <w:r>
        <w:rPr>
          <w:rFonts w:ascii="宋体" w:hAnsi="宋体"/>
          <w:sz w:val="24"/>
        </w:rPr>
        <w:t>（五）投标文件的</w:t>
      </w:r>
      <w:r>
        <w:rPr>
          <w:rFonts w:hint="eastAsia" w:ascii="宋体" w:hAnsi="宋体"/>
          <w:sz w:val="24"/>
        </w:rPr>
        <w:t>商务标</w:t>
      </w:r>
      <w:r>
        <w:rPr>
          <w:rFonts w:ascii="宋体" w:hAnsi="宋体"/>
          <w:sz w:val="24"/>
        </w:rPr>
        <w:t>评审；</w:t>
      </w:r>
    </w:p>
    <w:p>
      <w:pPr>
        <w:adjustRightInd w:val="0"/>
        <w:snapToGrid w:val="0"/>
        <w:ind w:firstLine="480" w:firstLineChars="200"/>
        <w:rPr>
          <w:rFonts w:ascii="宋体" w:hAnsi="宋体"/>
          <w:sz w:val="24"/>
        </w:rPr>
      </w:pPr>
      <w:r>
        <w:rPr>
          <w:rFonts w:ascii="宋体" w:hAnsi="宋体"/>
          <w:sz w:val="24"/>
        </w:rPr>
        <w:t>（六）必要时对投标文件中的问题进行询标，包括拟作出否决投标决定前对相关投标人进行的询问核实；</w:t>
      </w:r>
    </w:p>
    <w:p>
      <w:pPr>
        <w:adjustRightInd w:val="0"/>
        <w:snapToGrid w:val="0"/>
        <w:ind w:firstLine="480" w:firstLineChars="200"/>
        <w:rPr>
          <w:rFonts w:ascii="宋体" w:hAnsi="宋体"/>
          <w:sz w:val="24"/>
        </w:rPr>
      </w:pPr>
      <w:r>
        <w:rPr>
          <w:rFonts w:ascii="宋体" w:hAnsi="宋体"/>
          <w:sz w:val="24"/>
        </w:rPr>
        <w:t>（七）根据评标办法和标准对投标文件进行综合评分、排序；</w:t>
      </w:r>
    </w:p>
    <w:p>
      <w:pPr>
        <w:adjustRightInd w:val="0"/>
        <w:snapToGrid w:val="0"/>
        <w:ind w:firstLine="480" w:firstLineChars="200"/>
        <w:rPr>
          <w:rFonts w:ascii="宋体" w:hAnsi="宋体"/>
          <w:sz w:val="24"/>
        </w:rPr>
      </w:pPr>
      <w:r>
        <w:rPr>
          <w:rFonts w:ascii="宋体" w:hAnsi="宋体"/>
          <w:sz w:val="24"/>
        </w:rPr>
        <w:t>（八）完成评标报告，推荐中标候选人。</w:t>
      </w:r>
    </w:p>
    <w:p>
      <w:pPr>
        <w:adjustRightInd w:val="0"/>
        <w:snapToGrid w:val="0"/>
        <w:ind w:firstLine="482" w:firstLineChars="200"/>
        <w:rPr>
          <w:rFonts w:ascii="宋体" w:hAnsi="宋体"/>
          <w:b/>
          <w:sz w:val="24"/>
        </w:rPr>
      </w:pPr>
      <w:r>
        <w:rPr>
          <w:rFonts w:ascii="宋体" w:hAnsi="宋体"/>
          <w:b/>
          <w:sz w:val="24"/>
        </w:rPr>
        <w:t>四、评审细则</w:t>
      </w:r>
    </w:p>
    <w:p>
      <w:pPr>
        <w:adjustRightInd w:val="0"/>
        <w:snapToGrid w:val="0"/>
        <w:ind w:firstLine="482" w:firstLineChars="200"/>
        <w:rPr>
          <w:rFonts w:ascii="宋体" w:hAnsi="宋体"/>
          <w:b/>
          <w:sz w:val="24"/>
        </w:rPr>
      </w:pPr>
      <w:r>
        <w:rPr>
          <w:rFonts w:ascii="宋体" w:hAnsi="宋体"/>
          <w:b/>
          <w:sz w:val="24"/>
        </w:rPr>
        <w:t>（一）符合性评审</w:t>
      </w:r>
    </w:p>
    <w:p>
      <w:pPr>
        <w:adjustRightInd w:val="0"/>
        <w:snapToGrid w:val="0"/>
        <w:ind w:firstLine="480" w:firstLineChars="200"/>
        <w:rPr>
          <w:rFonts w:ascii="宋体" w:hAnsi="宋体"/>
          <w:sz w:val="24"/>
        </w:rPr>
      </w:pPr>
      <w:r>
        <w:rPr>
          <w:rFonts w:hint="eastAsia" w:ascii="宋体" w:hAnsi="宋体"/>
          <w:sz w:val="24"/>
        </w:rPr>
        <w:t>评标委员会应依照招标文件的要求和规定首先对投标人的投标资格和投标文件进行符合性评审，</w:t>
      </w:r>
      <w:r>
        <w:rPr>
          <w:rFonts w:hint="eastAsia" w:ascii="宋体" w:hAnsi="宋体"/>
          <w:b/>
          <w:sz w:val="24"/>
        </w:rPr>
        <w:t>审查过程中评标委员会可以要求投标人提交下列审查项所需的有关证明和证件的原件，以便核验。</w:t>
      </w:r>
      <w:r>
        <w:rPr>
          <w:rFonts w:hint="eastAsia" w:ascii="宋体" w:hAnsi="宋体"/>
          <w:sz w:val="24"/>
        </w:rPr>
        <w:t>投标文件如存在以下情况之一的，经评标委员会三分之二以上的成员认定，符合性审查不予通过，</w:t>
      </w:r>
      <w:r>
        <w:rPr>
          <w:rFonts w:hint="eastAsia" w:ascii="宋体" w:hAnsi="宋体"/>
          <w:b/>
          <w:sz w:val="24"/>
        </w:rPr>
        <w:t>作否决投标处理，</w:t>
      </w:r>
      <w:r>
        <w:rPr>
          <w:rFonts w:hint="eastAsia" w:ascii="宋体" w:hAnsi="宋体"/>
          <w:sz w:val="24"/>
        </w:rPr>
        <w:t>不再进行详细评审：</w:t>
      </w:r>
    </w:p>
    <w:p>
      <w:pPr>
        <w:adjustRightInd w:val="0"/>
        <w:snapToGrid w:val="0"/>
        <w:ind w:firstLine="480" w:firstLineChars="200"/>
        <w:rPr>
          <w:rFonts w:ascii="宋体" w:hAnsi="宋体"/>
          <w:sz w:val="24"/>
        </w:rPr>
      </w:pPr>
      <w:r>
        <w:rPr>
          <w:rFonts w:hint="eastAsia" w:ascii="宋体" w:hAnsi="宋体"/>
          <w:sz w:val="24"/>
        </w:rPr>
        <w:t>（1）投标人的投标资格不满足国家有关规定或招标文件载明的投标资格条件的；</w:t>
      </w:r>
    </w:p>
    <w:p>
      <w:pPr>
        <w:adjustRightInd w:val="0"/>
        <w:snapToGrid w:val="0"/>
        <w:ind w:firstLine="480" w:firstLineChars="200"/>
        <w:rPr>
          <w:rFonts w:ascii="宋体" w:hAnsi="宋体"/>
          <w:sz w:val="24"/>
        </w:rPr>
      </w:pPr>
      <w:r>
        <w:rPr>
          <w:rFonts w:hint="eastAsia" w:ascii="宋体" w:hAnsi="宋体"/>
          <w:sz w:val="24"/>
        </w:rPr>
        <w:t>（2）投标文件未按招标文件的要求签署和盖章的（仅限于单位印章和法定代表人或其委托代理人签字或盖章）；</w:t>
      </w:r>
    </w:p>
    <w:p>
      <w:pPr>
        <w:adjustRightInd w:val="0"/>
        <w:snapToGrid w:val="0"/>
        <w:ind w:firstLine="480" w:firstLineChars="200"/>
        <w:rPr>
          <w:rFonts w:ascii="宋体" w:hAnsi="宋体"/>
          <w:sz w:val="24"/>
        </w:rPr>
      </w:pPr>
      <w:r>
        <w:rPr>
          <w:rFonts w:hint="eastAsia" w:ascii="宋体" w:hAnsi="宋体"/>
          <w:sz w:val="24"/>
        </w:rPr>
        <w:t>（3）投标文件未按规定的格式填写，内容不全或关键字迹模糊、无法辨认的；</w:t>
      </w:r>
    </w:p>
    <w:p>
      <w:pPr>
        <w:adjustRightInd w:val="0"/>
        <w:snapToGrid w:val="0"/>
        <w:ind w:firstLine="480" w:firstLineChars="200"/>
        <w:rPr>
          <w:rFonts w:ascii="宋体" w:hAnsi="宋体"/>
          <w:sz w:val="24"/>
        </w:rPr>
      </w:pPr>
      <w:r>
        <w:rPr>
          <w:rFonts w:hint="eastAsia" w:ascii="宋体" w:hAnsi="宋体"/>
          <w:sz w:val="24"/>
        </w:rPr>
        <w:t>（4）投标人递交两份或多份内容不同的投标文件，或在一份投标文件中对同一招标项目报有两个或多个报价，且未声明哪一个有效；</w:t>
      </w:r>
    </w:p>
    <w:p>
      <w:pPr>
        <w:adjustRightInd w:val="0"/>
        <w:snapToGrid w:val="0"/>
        <w:ind w:firstLine="480" w:firstLineChars="200"/>
        <w:rPr>
          <w:rFonts w:ascii="宋体" w:hAnsi="宋体"/>
          <w:sz w:val="24"/>
        </w:rPr>
      </w:pPr>
      <w:r>
        <w:rPr>
          <w:rFonts w:hint="eastAsia" w:ascii="宋体" w:hAnsi="宋体"/>
          <w:sz w:val="24"/>
        </w:rPr>
        <w:t>（5）供货期不满足招标文件要求的；</w:t>
      </w:r>
    </w:p>
    <w:p>
      <w:pPr>
        <w:adjustRightInd w:val="0"/>
        <w:snapToGrid w:val="0"/>
        <w:ind w:firstLine="480" w:firstLineChars="200"/>
        <w:rPr>
          <w:rFonts w:ascii="宋体" w:hAnsi="宋体"/>
          <w:sz w:val="24"/>
        </w:rPr>
      </w:pPr>
      <w:r>
        <w:rPr>
          <w:rFonts w:hint="eastAsia" w:ascii="宋体" w:hAnsi="宋体"/>
          <w:sz w:val="24"/>
        </w:rPr>
        <w:t>（6）不响应招标文件规定的实质性要求（包括具体条文前用“★”标示的）</w:t>
      </w:r>
    </w:p>
    <w:p>
      <w:pPr>
        <w:adjustRightInd w:val="0"/>
        <w:snapToGrid w:val="0"/>
        <w:ind w:firstLine="480" w:firstLineChars="200"/>
        <w:rPr>
          <w:rFonts w:ascii="宋体" w:hAnsi="宋体"/>
          <w:sz w:val="24"/>
        </w:rPr>
      </w:pPr>
      <w:r>
        <w:rPr>
          <w:rFonts w:hint="eastAsia" w:ascii="宋体" w:hAnsi="宋体"/>
          <w:sz w:val="24"/>
        </w:rPr>
        <w:t>（7）投标人不以自己的名义或未按招标文件的要求提供投标保证金或提供的保证金有缺陷而不能接受的；</w:t>
      </w:r>
    </w:p>
    <w:p>
      <w:pPr>
        <w:adjustRightInd w:val="0"/>
        <w:snapToGrid w:val="0"/>
        <w:ind w:firstLine="480" w:firstLineChars="200"/>
        <w:rPr>
          <w:rFonts w:ascii="宋体" w:hAnsi="宋体"/>
          <w:sz w:val="24"/>
        </w:rPr>
      </w:pPr>
      <w:r>
        <w:rPr>
          <w:rFonts w:hint="eastAsia" w:ascii="宋体" w:hAnsi="宋体"/>
          <w:sz w:val="24"/>
        </w:rPr>
        <w:t>（8）投标人以他人名义投标、或与他人串通投标、或以行贿手段谋取中标，或弄虚作假的；</w:t>
      </w:r>
    </w:p>
    <w:p>
      <w:pPr>
        <w:adjustRightInd w:val="0"/>
        <w:snapToGrid w:val="0"/>
        <w:ind w:firstLine="480" w:firstLineChars="200"/>
        <w:rPr>
          <w:rFonts w:ascii="宋体" w:hAnsi="宋体"/>
          <w:sz w:val="24"/>
        </w:rPr>
      </w:pPr>
      <w:r>
        <w:rPr>
          <w:rFonts w:hint="eastAsia" w:ascii="宋体" w:hAnsi="宋体"/>
          <w:sz w:val="24"/>
        </w:rPr>
        <w:t>（9）存在法律、法规、规章规定的其它无效投标情况的。</w:t>
      </w:r>
    </w:p>
    <w:p>
      <w:pPr>
        <w:adjustRightInd w:val="0"/>
        <w:snapToGrid w:val="0"/>
        <w:ind w:firstLine="482" w:firstLineChars="200"/>
        <w:rPr>
          <w:rFonts w:ascii="宋体" w:hAnsi="宋体"/>
          <w:b/>
          <w:sz w:val="24"/>
        </w:rPr>
      </w:pPr>
      <w:r>
        <w:rPr>
          <w:rFonts w:hint="eastAsia" w:ascii="宋体" w:hAnsi="宋体"/>
          <w:b/>
          <w:sz w:val="24"/>
        </w:rPr>
        <w:t>（二）</w:t>
      </w:r>
      <w:r>
        <w:rPr>
          <w:rFonts w:ascii="宋体" w:hAnsi="宋体"/>
          <w:b/>
          <w:sz w:val="24"/>
        </w:rPr>
        <w:t>询标</w:t>
      </w:r>
    </w:p>
    <w:p>
      <w:pPr>
        <w:adjustRightInd w:val="0"/>
        <w:snapToGrid w:val="0"/>
        <w:ind w:firstLine="480" w:firstLineChars="200"/>
        <w:rPr>
          <w:rFonts w:ascii="宋体" w:hAnsi="宋体"/>
          <w:sz w:val="24"/>
        </w:rPr>
      </w:pPr>
      <w:r>
        <w:rPr>
          <w:rFonts w:ascii="宋体" w:hAnsi="宋体"/>
          <w:sz w:val="24"/>
        </w:rPr>
        <w:t>（1）投标文件中有含义不明确的内容、明显文字或计算错误，评标委员会认为需要投标人作出必要澄清、说明的，应当组织询标。</w:t>
      </w:r>
    </w:p>
    <w:p>
      <w:pPr>
        <w:adjustRightInd w:val="0"/>
        <w:snapToGrid w:val="0"/>
        <w:ind w:firstLine="480" w:firstLineChars="200"/>
        <w:rPr>
          <w:rFonts w:ascii="宋体" w:hAnsi="宋体"/>
          <w:sz w:val="24"/>
        </w:rPr>
      </w:pPr>
    </w:p>
    <w:p>
      <w:pPr>
        <w:adjustRightInd w:val="0"/>
        <w:snapToGrid w:val="0"/>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询标问题及投标人的澄清、说明不得超出投标文件的范围或者改变投标文件的实质性内容</w:t>
      </w:r>
      <w:r>
        <w:rPr>
          <w:rFonts w:ascii="宋体" w:hAnsi="宋体"/>
          <w:sz w:val="24"/>
        </w:rPr>
        <w:t>。</w:t>
      </w:r>
    </w:p>
    <w:p>
      <w:pPr>
        <w:adjustRightInd w:val="0"/>
        <w:snapToGrid w:val="0"/>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）评标委员会不得暗示或者诱导投标人作出澄清、说明，不得接受投标人主动提出的澄清、说明。</w:t>
      </w:r>
    </w:p>
    <w:p>
      <w:pPr>
        <w:adjustRightInd w:val="0"/>
        <w:snapToGrid w:val="0"/>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）投标人不得通过补充、修改或撤消投标文件中的内容使其成为实质性响应的投标，投标人在投标截止时间以后不得提交任何资料作为评标依据。</w:t>
      </w:r>
    </w:p>
    <w:p>
      <w:pPr>
        <w:adjustRightInd w:val="0"/>
        <w:snapToGrid w:val="0"/>
        <w:ind w:firstLine="480" w:firstLineChars="200"/>
        <w:rPr>
          <w:rFonts w:ascii="宋体" w:hAnsi="宋体"/>
          <w:sz w:val="24"/>
        </w:rPr>
      </w:pPr>
      <w:r>
        <w:rPr>
          <w:rFonts w:hint="eastAsia" w:ascii="宋体" w:hAnsi="宋体"/>
          <w:sz w:val="24"/>
        </w:rPr>
        <w:t>（5）评标委员会对投标人提交的澄清、说明或补正有疑问的，可以要求投标人进一步澄清、说明或补正，直至满足评标委员会的要求。</w:t>
      </w:r>
    </w:p>
    <w:p>
      <w:pPr>
        <w:adjustRightInd w:val="0"/>
        <w:snapToGrid w:val="0"/>
        <w:ind w:firstLine="482" w:firstLineChars="200"/>
        <w:rPr>
          <w:rFonts w:ascii="宋体" w:hAnsi="宋体"/>
          <w:b/>
          <w:sz w:val="24"/>
        </w:rPr>
      </w:pPr>
      <w:r>
        <w:rPr>
          <w:rFonts w:hint="eastAsia" w:ascii="宋体" w:hAnsi="宋体"/>
          <w:b/>
          <w:sz w:val="24"/>
        </w:rPr>
        <w:t>（三） 报价算术性修正</w:t>
      </w:r>
    </w:p>
    <w:p>
      <w:pPr>
        <w:adjustRightInd w:val="0"/>
        <w:snapToGrid w:val="0"/>
        <w:ind w:firstLine="480" w:firstLineChars="200"/>
        <w:rPr>
          <w:rFonts w:ascii="宋体" w:hAnsi="宋体"/>
          <w:sz w:val="24"/>
        </w:rPr>
      </w:pPr>
      <w:r>
        <w:rPr>
          <w:rFonts w:hint="eastAsia" w:ascii="宋体" w:hAnsi="宋体"/>
          <w:sz w:val="24"/>
        </w:rPr>
        <w:t>评标委员会按以下原则对通过符合性审查的投标文件报价进行算术性修正：</w:t>
      </w:r>
    </w:p>
    <w:p>
      <w:pPr>
        <w:adjustRightInd w:val="0"/>
        <w:snapToGrid w:val="0"/>
        <w:ind w:firstLine="480" w:firstLineChars="200"/>
        <w:rPr>
          <w:rFonts w:ascii="宋体" w:hAnsi="宋体"/>
          <w:sz w:val="24"/>
        </w:rPr>
      </w:pPr>
      <w:r>
        <w:rPr>
          <w:rFonts w:hint="eastAsia" w:ascii="宋体" w:hAnsi="宋体"/>
          <w:sz w:val="24"/>
        </w:rPr>
        <w:t>(1）投标文件中的大写金额与小写金额不一致的，以大写金额为准；</w:t>
      </w:r>
    </w:p>
    <w:p>
      <w:pPr>
        <w:adjustRightInd w:val="0"/>
        <w:snapToGrid w:val="0"/>
        <w:ind w:firstLine="480" w:firstLineChars="200"/>
        <w:rPr>
          <w:rFonts w:ascii="宋体" w:hAnsi="宋体"/>
          <w:sz w:val="24"/>
        </w:rPr>
      </w:pPr>
      <w:r>
        <w:rPr>
          <w:rFonts w:hint="eastAsia" w:ascii="宋体" w:hAnsi="宋体"/>
          <w:sz w:val="24"/>
        </w:rPr>
        <w:t>(2）总价金额与依据单价（或各分项合计）计算出的结果不一致的，以单价金额（或各分项合计）为准修正总价，但单价金额小数点有明显错误的除外。</w:t>
      </w:r>
    </w:p>
    <w:p>
      <w:pPr>
        <w:adjustRightInd w:val="0"/>
        <w:snapToGrid w:val="0"/>
        <w:ind w:firstLine="480" w:firstLineChars="200"/>
        <w:rPr>
          <w:rFonts w:ascii="宋体" w:hAnsi="宋体"/>
          <w:sz w:val="24"/>
        </w:rPr>
      </w:pPr>
      <w:r>
        <w:rPr>
          <w:rFonts w:hint="eastAsia" w:ascii="宋体" w:hAnsi="宋体"/>
          <w:sz w:val="24"/>
        </w:rPr>
        <w:t>★修正的价格经投标人书面确认后具有约束力。投标人不接受修正价格的，其投标作废标处理。</w:t>
      </w:r>
    </w:p>
    <w:p>
      <w:pPr>
        <w:adjustRightInd w:val="0"/>
        <w:snapToGrid w:val="0"/>
        <w:ind w:firstLine="480" w:firstLineChars="200"/>
        <w:rPr>
          <w:rFonts w:ascii="宋体" w:hAnsi="宋体"/>
          <w:sz w:val="24"/>
        </w:rPr>
      </w:pPr>
      <w:r>
        <w:rPr>
          <w:rFonts w:hint="eastAsia" w:ascii="宋体" w:hAnsi="宋体"/>
          <w:sz w:val="24"/>
        </w:rPr>
        <w:t>当通过符合性评审的单位少于三家时（不包括三家），应由评标委员会确认是否具有竞争性，如果有竞争性，则评标继续进行。</w:t>
      </w:r>
    </w:p>
    <w:p>
      <w:pPr>
        <w:adjustRightInd w:val="0"/>
        <w:snapToGrid w:val="0"/>
        <w:ind w:firstLine="482" w:firstLineChars="200"/>
        <w:rPr>
          <w:rFonts w:ascii="宋体" w:hAnsi="宋体"/>
          <w:sz w:val="24"/>
        </w:rPr>
      </w:pPr>
      <w:r>
        <w:rPr>
          <w:rFonts w:ascii="宋体" w:hAnsi="宋体"/>
          <w:b/>
          <w:sz w:val="24"/>
        </w:rPr>
        <w:t>（</w:t>
      </w:r>
      <w:r>
        <w:rPr>
          <w:rFonts w:hint="eastAsia" w:ascii="宋体" w:hAnsi="宋体"/>
          <w:b/>
          <w:sz w:val="24"/>
        </w:rPr>
        <w:t>四</w:t>
      </w:r>
      <w:r>
        <w:rPr>
          <w:rFonts w:ascii="宋体" w:hAnsi="宋体"/>
          <w:b/>
          <w:sz w:val="24"/>
        </w:rPr>
        <w:t>）对投标人进行排序，推荐中标候选人</w:t>
      </w:r>
    </w:p>
    <w:p>
      <w:pPr>
        <w:adjustRightInd w:val="0"/>
        <w:snapToGrid w:val="0"/>
        <w:ind w:firstLine="480" w:firstLineChars="200"/>
        <w:rPr>
          <w:rFonts w:ascii="宋体" w:hAnsi="宋体"/>
          <w:sz w:val="24"/>
        </w:rPr>
      </w:pPr>
      <w:r>
        <w:rPr>
          <w:rFonts w:hint="eastAsia" w:ascii="宋体" w:hAnsi="宋体"/>
          <w:sz w:val="24"/>
        </w:rPr>
        <w:t>1、评标委员会按照经评审的价格由低到高的顺序推荐中标候选人，本项目推荐2名中标候选人。</w:t>
      </w:r>
    </w:p>
    <w:p>
      <w:pPr>
        <w:adjustRightInd w:val="0"/>
        <w:snapToGrid w:val="0"/>
        <w:ind w:firstLine="480" w:firstLineChars="200"/>
        <w:rPr>
          <w:rFonts w:ascii="宋体" w:hAnsi="宋体"/>
          <w:sz w:val="24"/>
        </w:rPr>
      </w:pPr>
      <w:r>
        <w:rPr>
          <w:rFonts w:hint="eastAsia" w:ascii="宋体" w:hAnsi="宋体"/>
          <w:sz w:val="24"/>
        </w:rPr>
        <w:t>2、当有效投标文件只有一名时，则由评标委员会确定是否推荐为中标候选人。</w:t>
      </w:r>
    </w:p>
    <w:p>
      <w:pPr>
        <w:adjustRightInd w:val="0"/>
        <w:snapToGrid w:val="0"/>
        <w:ind w:firstLine="480" w:firstLineChars="200"/>
        <w:rPr>
          <w:rFonts w:ascii="宋体" w:hAnsi="宋体"/>
          <w:sz w:val="24"/>
        </w:rPr>
      </w:pPr>
      <w:r>
        <w:rPr>
          <w:rFonts w:ascii="宋体" w:hAnsi="宋体"/>
          <w:sz w:val="24"/>
        </w:rPr>
        <w:t>3、评标委员会根据投标人须知前附表7.1规定，确定中标人或推荐中标候选人。</w:t>
      </w:r>
    </w:p>
    <w:p>
      <w:pPr>
        <w:adjustRightInd w:val="0"/>
        <w:snapToGrid w:val="0"/>
        <w:ind w:firstLine="482" w:firstLineChars="200"/>
        <w:rPr>
          <w:rFonts w:ascii="宋体" w:hAnsi="宋体"/>
          <w:b/>
          <w:sz w:val="24"/>
        </w:rPr>
      </w:pPr>
      <w:r>
        <w:rPr>
          <w:rFonts w:ascii="宋体" w:hAnsi="宋体"/>
          <w:b/>
          <w:sz w:val="24"/>
        </w:rPr>
        <w:t>五、完成评标报告</w:t>
      </w:r>
    </w:p>
    <w:p>
      <w:pPr>
        <w:adjustRightInd w:val="0"/>
        <w:snapToGrid w:val="0"/>
        <w:ind w:firstLine="482" w:firstLineChars="200"/>
        <w:rPr>
          <w:rFonts w:ascii="宋体" w:hAnsi="宋体"/>
          <w:sz w:val="24"/>
        </w:rPr>
      </w:pPr>
      <w:r>
        <w:rPr>
          <w:rFonts w:ascii="宋体" w:hAnsi="宋体"/>
          <w:b/>
          <w:sz w:val="24"/>
        </w:rPr>
        <w:t>（一）评标委员会应当向招标人提交书面评标报告。</w:t>
      </w:r>
      <w:r>
        <w:rPr>
          <w:rFonts w:ascii="宋体" w:hAnsi="宋体"/>
          <w:sz w:val="24"/>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rPr>
          <w:rFonts w:ascii="宋体" w:hAnsi="宋体"/>
          <w:b/>
          <w:sz w:val="24"/>
        </w:rPr>
      </w:pPr>
      <w:r>
        <w:rPr>
          <w:rFonts w:ascii="宋体" w:hAnsi="宋体"/>
          <w:b/>
          <w:sz w:val="24"/>
        </w:rPr>
        <w:t>（二）评标报告应包括以下内容：</w:t>
      </w:r>
    </w:p>
    <w:p>
      <w:pPr>
        <w:adjustRightInd w:val="0"/>
        <w:snapToGrid w:val="0"/>
        <w:ind w:firstLine="480" w:firstLineChars="200"/>
        <w:rPr>
          <w:rFonts w:ascii="宋体" w:hAnsi="宋体"/>
          <w:sz w:val="24"/>
        </w:rPr>
      </w:pPr>
      <w:r>
        <w:rPr>
          <w:rFonts w:ascii="宋体" w:hAnsi="宋体"/>
          <w:sz w:val="24"/>
        </w:rPr>
        <w:t>1、开标记录；</w:t>
      </w:r>
    </w:p>
    <w:p>
      <w:pPr>
        <w:adjustRightInd w:val="0"/>
        <w:snapToGrid w:val="0"/>
        <w:ind w:firstLine="480" w:firstLineChars="200"/>
        <w:rPr>
          <w:rFonts w:ascii="宋体" w:hAnsi="宋体"/>
          <w:sz w:val="24"/>
        </w:rPr>
      </w:pPr>
      <w:r>
        <w:rPr>
          <w:rFonts w:ascii="宋体" w:hAnsi="宋体"/>
          <w:sz w:val="24"/>
        </w:rPr>
        <w:t>2、评标内容、过程和结果；</w:t>
      </w:r>
    </w:p>
    <w:p>
      <w:pPr>
        <w:adjustRightInd w:val="0"/>
        <w:snapToGrid w:val="0"/>
        <w:ind w:firstLine="480" w:firstLineChars="200"/>
        <w:rPr>
          <w:rFonts w:ascii="宋体" w:hAnsi="宋体"/>
          <w:sz w:val="24"/>
        </w:rPr>
      </w:pPr>
      <w:r>
        <w:rPr>
          <w:rFonts w:ascii="宋体" w:hAnsi="宋体"/>
          <w:sz w:val="24"/>
        </w:rPr>
        <w:t>3、询标澄清纪要；</w:t>
      </w:r>
    </w:p>
    <w:p>
      <w:pPr>
        <w:adjustRightInd w:val="0"/>
        <w:snapToGrid w:val="0"/>
        <w:ind w:firstLine="480" w:firstLineChars="200"/>
        <w:rPr>
          <w:rFonts w:ascii="宋体" w:hAnsi="宋体"/>
          <w:sz w:val="24"/>
        </w:rPr>
      </w:pPr>
      <w:r>
        <w:rPr>
          <w:rFonts w:ascii="宋体" w:hAnsi="宋体"/>
          <w:sz w:val="24"/>
        </w:rPr>
        <w:t>4、否决投标情况说明及依据；</w:t>
      </w:r>
    </w:p>
    <w:p>
      <w:pPr>
        <w:adjustRightInd w:val="0"/>
        <w:snapToGrid w:val="0"/>
        <w:ind w:firstLine="480" w:firstLineChars="200"/>
        <w:rPr>
          <w:rFonts w:ascii="宋体" w:hAnsi="宋体"/>
          <w:sz w:val="24"/>
        </w:rPr>
      </w:pPr>
      <w:r>
        <w:rPr>
          <w:rFonts w:ascii="宋体" w:hAnsi="宋体"/>
          <w:sz w:val="24"/>
        </w:rPr>
        <w:t>5、推荐中标候选人；</w:t>
      </w:r>
    </w:p>
    <w:p>
      <w:pPr>
        <w:adjustRightInd w:val="0"/>
        <w:snapToGrid w:val="0"/>
        <w:ind w:firstLine="480" w:firstLineChars="200"/>
        <w:rPr>
          <w:rFonts w:ascii="宋体" w:hAnsi="宋体"/>
          <w:sz w:val="24"/>
        </w:rPr>
      </w:pPr>
      <w:r>
        <w:rPr>
          <w:rFonts w:ascii="宋体" w:hAnsi="宋体"/>
          <w:sz w:val="24"/>
        </w:rPr>
        <w:t>6、其他建议。</w:t>
      </w:r>
    </w:p>
    <w:p>
      <w:pPr>
        <w:adjustRightInd w:val="0"/>
        <w:snapToGrid w:val="0"/>
        <w:ind w:firstLine="482" w:firstLineChars="200"/>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定</w:t>
      </w:r>
      <w:r>
        <w:rPr>
          <w:rFonts w:ascii="宋体" w:hAnsi="宋体"/>
          <w:b/>
          <w:sz w:val="24"/>
        </w:rPr>
        <w:t>标</w:t>
      </w:r>
    </w:p>
    <w:p>
      <w:pPr>
        <w:adjustRightInd w:val="0"/>
        <w:snapToGrid w:val="0"/>
        <w:ind w:firstLine="480" w:firstLineChars="200"/>
        <w:rPr>
          <w:rFonts w:ascii="宋体" w:hAnsi="宋体"/>
          <w:sz w:val="24"/>
        </w:rPr>
      </w:pPr>
      <w:r>
        <w:rPr>
          <w:rFonts w:hint="eastAsia" w:ascii="宋体" w:hAnsi="宋体"/>
          <w:sz w:val="24"/>
        </w:rPr>
        <w:t>1、</w:t>
      </w:r>
      <w:r>
        <w:rPr>
          <w:rFonts w:ascii="宋体" w:hAnsi="宋体"/>
          <w:sz w:val="24"/>
        </w:rPr>
        <w:t>招标人将确定评标委员会推荐的</w:t>
      </w:r>
      <w:r>
        <w:rPr>
          <w:rFonts w:hint="eastAsia" w:ascii="宋体" w:hAnsi="宋体"/>
          <w:sz w:val="24"/>
        </w:rPr>
        <w:t>第一</w:t>
      </w:r>
      <w:r>
        <w:rPr>
          <w:rFonts w:ascii="宋体" w:hAnsi="宋体"/>
          <w:sz w:val="24"/>
        </w:rPr>
        <w:t>中标候选人为中标人。</w:t>
      </w:r>
      <w:r>
        <w:rPr>
          <w:rFonts w:hint="eastAsia" w:ascii="宋体" w:hAnsi="宋体"/>
          <w:sz w:val="24"/>
        </w:rPr>
        <w:t>第一</w:t>
      </w:r>
      <w:r>
        <w:rPr>
          <w:rFonts w:ascii="宋体" w:hAnsi="宋体"/>
          <w:sz w:val="24"/>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sz w:val="24"/>
        </w:rPr>
        <w:t>或</w:t>
      </w:r>
      <w:r>
        <w:rPr>
          <w:rFonts w:ascii="宋体" w:hAnsi="宋体"/>
          <w:sz w:val="24"/>
        </w:rPr>
        <w:t>重新招标。</w:t>
      </w:r>
    </w:p>
    <w:p>
      <w:pPr>
        <w:adjustRightInd w:val="0"/>
        <w:snapToGrid w:val="0"/>
        <w:ind w:firstLine="480" w:firstLineChars="200"/>
        <w:rPr>
          <w:rFonts w:ascii="宋体" w:hAnsi="宋体"/>
          <w:sz w:val="24"/>
        </w:rPr>
      </w:pPr>
      <w:r>
        <w:rPr>
          <w:rFonts w:hint="eastAsia" w:ascii="宋体" w:hAnsi="宋体"/>
          <w:sz w:val="24"/>
        </w:rPr>
        <w:t>2、</w:t>
      </w:r>
      <w:r>
        <w:rPr>
          <w:rFonts w:ascii="宋体" w:hAnsi="宋体"/>
          <w:sz w:val="24"/>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ind w:firstLine="480" w:firstLineChars="200"/>
        <w:rPr>
          <w:rFonts w:ascii="宋体" w:hAnsi="宋体"/>
          <w:sz w:val="24"/>
        </w:rPr>
      </w:pPr>
      <w:r>
        <w:rPr>
          <w:rFonts w:hint="eastAsia" w:ascii="宋体" w:hAnsi="宋体"/>
          <w:sz w:val="24"/>
        </w:rPr>
        <w:t>3、</w:t>
      </w:r>
      <w:r>
        <w:rPr>
          <w:rFonts w:ascii="宋体" w:hAnsi="宋体"/>
          <w:sz w:val="24"/>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sz w:val="24"/>
        </w:rPr>
        <w:t>或</w:t>
      </w:r>
      <w:r>
        <w:rPr>
          <w:rFonts w:ascii="宋体" w:hAnsi="宋体"/>
          <w:sz w:val="24"/>
        </w:rPr>
        <w:t>重新招标。</w:t>
      </w:r>
    </w:p>
    <w:p>
      <w:pPr>
        <w:pStyle w:val="3"/>
        <w:adjustRightInd w:val="0"/>
        <w:snapToGrid w:val="0"/>
        <w:spacing w:line="360" w:lineRule="exact"/>
        <w:ind w:firstLine="482" w:firstLineChars="200"/>
        <w:rPr>
          <w:rFonts w:hAnsi="宋体" w:cs="Calibri"/>
          <w:sz w:val="22"/>
          <w:szCs w:val="22"/>
        </w:rPr>
      </w:pPr>
      <w:r>
        <w:rPr>
          <w:rFonts w:hint="eastAsia" w:hAnsi="宋体"/>
          <w:b/>
          <w:sz w:val="24"/>
        </w:rPr>
        <w:t>4、招标人对评标、定标结果不负责解释。</w:t>
      </w:r>
    </w:p>
    <w:p>
      <w:pPr>
        <w:widowControl/>
        <w:jc w:val="left"/>
        <w:rPr>
          <w:rFonts w:eastAsia="黑体"/>
          <w:b/>
          <w:bCs/>
          <w:kern w:val="0"/>
          <w:sz w:val="32"/>
          <w:szCs w:val="32"/>
        </w:rPr>
      </w:pPr>
      <w:r>
        <w:rPr>
          <w:rFonts w:hint="eastAsia" w:eastAsia="黑体"/>
          <w:b/>
          <w:bCs/>
          <w:kern w:val="0"/>
          <w:sz w:val="32"/>
          <w:szCs w:val="32"/>
        </w:rPr>
        <w:br w:type="page"/>
      </w:r>
    </w:p>
    <w:p>
      <w:pPr>
        <w:pStyle w:val="11"/>
      </w:pPr>
      <w:bookmarkStart w:id="72" w:name="_Toc321925457"/>
      <w:r>
        <w:t>第</w:t>
      </w:r>
      <w:r>
        <w:rPr>
          <w:rFonts w:hint="eastAsia"/>
        </w:rPr>
        <w:t>六</w:t>
      </w:r>
      <w:r>
        <w:t>章投标文件格式</w:t>
      </w:r>
      <w:bookmarkEnd w:id="72"/>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以及项目实施的具体方案（包含停放车辆以及成品设施设备的安全防护措施）；</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ascii="宋体" w:hAnsi="宋体" w:cs="Calibri"/>
          <w:sz w:val="22"/>
        </w:rPr>
      </w:pPr>
      <w:r>
        <w:rPr>
          <w:rFonts w:hint="eastAsia" w:ascii="宋体" w:hAnsi="宋体" w:cs="Calibri"/>
          <w:sz w:val="22"/>
        </w:rPr>
        <w:t>注：未提供格式的由投标人自行拟定格式。</w:t>
      </w:r>
    </w:p>
    <w:p>
      <w:pPr>
        <w:spacing w:line="440" w:lineRule="exact"/>
        <w:ind w:right="420"/>
        <w:jc w:val="right"/>
        <w:rPr>
          <w:rFonts w:cs="Calibri"/>
        </w:rPr>
      </w:pPr>
      <w:r>
        <w:rPr>
          <w:rFonts w:ascii="宋体" w:hAnsi="宋体" w:cs="Calibri"/>
        </w:rPr>
        <w:br w:type="page"/>
      </w:r>
      <w:r>
        <w:rPr>
          <w:rFonts w:cs="Calibri"/>
        </w:rPr>
        <w:t>正本（或副本）</w:t>
      </w:r>
    </w:p>
    <w:p>
      <w:pPr>
        <w:spacing w:line="440" w:lineRule="exact"/>
        <w:rPr>
          <w:rFonts w:cs="Calibri"/>
          <w:u w:val="single"/>
        </w:rPr>
      </w:pPr>
      <w:bookmarkStart w:id="73" w:name="_Toc171421958"/>
      <w:r>
        <w:rPr>
          <w:rFonts w:cs="Calibri"/>
        </w:rPr>
        <w:t>封面</w:t>
      </w:r>
      <w:bookmarkEnd w:id="7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20" w:firstLineChars="200"/>
        <w:jc w:val="center"/>
        <w:rPr>
          <w:rFonts w:cs="Calibri"/>
        </w:rPr>
      </w:pPr>
    </w:p>
    <w:p>
      <w:pPr>
        <w:spacing w:line="440" w:lineRule="exact"/>
        <w:rPr>
          <w:rFonts w:cs="Calibri"/>
          <w:sz w:val="44"/>
          <w:szCs w:val="44"/>
        </w:rPr>
      </w:pPr>
    </w:p>
    <w:p>
      <w:pPr>
        <w:spacing w:before="624" w:beforeLines="200" w:after="624" w:afterLines="200" w:line="440" w:lineRule="exact"/>
        <w:jc w:val="center"/>
        <w:rPr>
          <w:rFonts w:cs="Calibri"/>
          <w:b/>
          <w:bCs/>
          <w:sz w:val="84"/>
          <w:szCs w:val="84"/>
        </w:rPr>
      </w:pPr>
      <w:r>
        <w:rPr>
          <w:rFonts w:cs="Calibri"/>
          <w:b/>
          <w:bCs/>
          <w:sz w:val="84"/>
          <w:szCs w:val="84"/>
        </w:rPr>
        <w:t>投标文件</w:t>
      </w:r>
    </w:p>
    <w:p>
      <w:pPr>
        <w:spacing w:line="440" w:lineRule="exact"/>
        <w:ind w:firstLine="420" w:firstLineChars="200"/>
        <w:jc w:val="center"/>
        <w:rPr>
          <w:rFonts w:cs="Calibri"/>
        </w:rPr>
      </w:pPr>
    </w:p>
    <w:p>
      <w:pPr>
        <w:spacing w:line="440" w:lineRule="exact"/>
        <w:ind w:firstLine="420" w:firstLineChars="200"/>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（盖单位章）</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（签字或盖章）</w:t>
      </w:r>
    </w:p>
    <w:p>
      <w:pPr>
        <w:spacing w:line="360" w:lineRule="auto"/>
        <w:ind w:firstLine="1400" w:firstLineChars="500"/>
        <w:rPr>
          <w:rFonts w:cs="Calibri"/>
          <w:sz w:val="28"/>
          <w:szCs w:val="28"/>
        </w:rPr>
      </w:pPr>
      <w:r>
        <w:rPr>
          <w:rFonts w:cs="Calibri"/>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，授权代表(全名、职务)经正式授权</w:t>
      </w:r>
      <w:r>
        <w:rPr>
          <w:rFonts w:hint="eastAsia" w:ascii="宋体" w:hAnsi="宋体"/>
          <w:sz w:val="22"/>
        </w:rPr>
        <w:t>，</w:t>
      </w:r>
      <w:r>
        <w:rPr>
          <w:rFonts w:ascii="宋体" w:hAnsi="宋体"/>
          <w:sz w:val="22"/>
        </w:rPr>
        <w:t>代表投标人(投标人名称、地址)递交下述文件正本一份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hint="eastAsia"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sz w:val="22"/>
        </w:rPr>
      </w:pPr>
      <w:r>
        <w:rPr>
          <w:rFonts w:ascii="宋体" w:hAnsi="宋体" w:cs="Calibri"/>
          <w:sz w:val="22"/>
        </w:rPr>
        <w:t>投标人：（盖单位章）</w:t>
      </w:r>
    </w:p>
    <w:p>
      <w:pPr>
        <w:snapToGrid w:val="0"/>
        <w:spacing w:line="440" w:lineRule="exact"/>
        <w:ind w:firstLine="3300" w:firstLineChars="1500"/>
        <w:rPr>
          <w:rFonts w:ascii="宋体" w:hAnsi="宋体" w:cs="Calibri"/>
          <w:sz w:val="22"/>
        </w:rPr>
      </w:pPr>
      <w:r>
        <w:rPr>
          <w:rFonts w:ascii="宋体" w:hAnsi="宋体" w:cs="Calibri"/>
          <w:sz w:val="22"/>
        </w:rPr>
        <w:t>法定代表人或其委托代理人：（签字或盖章）</w:t>
      </w:r>
    </w:p>
    <w:p>
      <w:pPr>
        <w:snapToGrid w:val="0"/>
        <w:spacing w:line="440" w:lineRule="exact"/>
        <w:ind w:firstLine="3300" w:firstLineChars="1500"/>
        <w:rPr>
          <w:rFonts w:ascii="宋体" w:hAnsi="宋体" w:cs="Calibri"/>
          <w:sz w:val="22"/>
        </w:rPr>
      </w:pPr>
      <w:r>
        <w:rPr>
          <w:rFonts w:ascii="宋体" w:hAnsi="宋体" w:cs="Calibri"/>
          <w:sz w:val="22"/>
        </w:rPr>
        <w:t>地    址：</w:t>
      </w:r>
    </w:p>
    <w:p>
      <w:pPr>
        <w:snapToGrid w:val="0"/>
        <w:spacing w:line="440" w:lineRule="exact"/>
        <w:ind w:firstLine="3300" w:firstLineChars="1500"/>
        <w:rPr>
          <w:rFonts w:ascii="宋体" w:hAnsi="宋体" w:cs="Calibri"/>
          <w:sz w:val="22"/>
        </w:rPr>
      </w:pPr>
      <w:r>
        <w:rPr>
          <w:rFonts w:ascii="宋体" w:hAnsi="宋体" w:cs="Calibri"/>
          <w:sz w:val="22"/>
        </w:rPr>
        <w:t>邮政编码：</w:t>
      </w:r>
    </w:p>
    <w:p>
      <w:pPr>
        <w:snapToGrid w:val="0"/>
        <w:spacing w:line="440" w:lineRule="exact"/>
        <w:ind w:firstLine="3300" w:firstLineChars="1500"/>
        <w:rPr>
          <w:rFonts w:ascii="宋体" w:hAnsi="宋体" w:cs="Calibri"/>
          <w:sz w:val="22"/>
        </w:rPr>
      </w:pPr>
      <w:r>
        <w:rPr>
          <w:rFonts w:ascii="宋体" w:hAnsi="宋体" w:cs="Calibri"/>
          <w:sz w:val="22"/>
        </w:rPr>
        <w:t>电    话：</w:t>
      </w:r>
    </w:p>
    <w:p>
      <w:pPr>
        <w:snapToGrid w:val="0"/>
        <w:spacing w:line="440" w:lineRule="exact"/>
        <w:ind w:firstLine="3300" w:firstLineChars="1500"/>
        <w:rPr>
          <w:rFonts w:ascii="宋体" w:hAnsi="宋体" w:cs="Calibri"/>
          <w:sz w:val="22"/>
        </w:rPr>
      </w:pPr>
      <w:r>
        <w:rPr>
          <w:rFonts w:ascii="宋体" w:hAnsi="宋体" w:cs="Calibri"/>
          <w:sz w:val="22"/>
        </w:rPr>
        <w:t>传    真：</w:t>
      </w:r>
    </w:p>
    <w:p>
      <w:pPr>
        <w:snapToGrid w:val="0"/>
        <w:spacing w:line="440" w:lineRule="exact"/>
        <w:ind w:firstLine="3300" w:firstLineChars="1500"/>
        <w:rPr>
          <w:rFonts w:ascii="宋体" w:hAnsi="宋体" w:cs="Calibri"/>
          <w:sz w:val="22"/>
        </w:rPr>
      </w:pPr>
      <w:r>
        <w:rPr>
          <w:rFonts w:ascii="宋体" w:hAnsi="宋体" w:cs="Calibri"/>
          <w:sz w:val="22"/>
        </w:rPr>
        <w:t>开户银行：</w:t>
      </w:r>
    </w:p>
    <w:p>
      <w:pPr>
        <w:snapToGrid w:val="0"/>
        <w:spacing w:line="440" w:lineRule="exact"/>
        <w:ind w:firstLine="3300" w:firstLineChars="1500"/>
        <w:rPr>
          <w:rFonts w:ascii="宋体" w:hAnsi="宋体" w:cs="Calibri"/>
          <w:sz w:val="22"/>
        </w:rPr>
      </w:pPr>
      <w:r>
        <w:rPr>
          <w:rFonts w:ascii="宋体" w:hAnsi="宋体" w:cs="Calibri"/>
          <w:sz w:val="22"/>
        </w:rPr>
        <w:t>账    号：</w:t>
      </w:r>
    </w:p>
    <w:p>
      <w:pPr>
        <w:snapToGrid w:val="0"/>
        <w:spacing w:line="440" w:lineRule="exact"/>
        <w:ind w:firstLine="3300" w:firstLineChars="1500"/>
        <w:rPr>
          <w:rFonts w:ascii="宋体" w:hAnsi="宋体" w:cs="Calibri"/>
          <w:sz w:val="22"/>
        </w:rPr>
      </w:pPr>
      <w:r>
        <w:rPr>
          <w:rFonts w:ascii="宋体" w:hAnsi="宋体" w:cs="Calibri"/>
          <w:sz w:val="22"/>
        </w:rPr>
        <w:t>日    期：    年     月     日</w:t>
      </w:r>
    </w:p>
    <w:p>
      <w:pPr>
        <w:adjustRightInd w:val="0"/>
        <w:snapToGrid w:val="0"/>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156" w:afterLines="50" w:line="440" w:lineRule="exact"/>
        <w:rPr>
          <w:rFonts w:cs="Calibri"/>
        </w:rPr>
      </w:pPr>
    </w:p>
    <w:p>
      <w:pPr>
        <w:spacing w:after="156" w:afterLines="50" w:line="440" w:lineRule="exact"/>
        <w:rPr>
          <w:rFonts w:cs="Calibri"/>
          <w:sz w:val="22"/>
          <w:u w:val="single"/>
        </w:rPr>
      </w:pPr>
      <w:r>
        <w:rPr>
          <w:rFonts w:cs="Calibri"/>
          <w:sz w:val="22"/>
        </w:rPr>
        <w:t>投标人名称：</w:t>
      </w:r>
    </w:p>
    <w:p>
      <w:pPr>
        <w:spacing w:after="156" w:afterLines="50" w:line="440" w:lineRule="exact"/>
        <w:rPr>
          <w:rFonts w:cs="Calibri"/>
          <w:sz w:val="22"/>
          <w:u w:val="single"/>
        </w:rPr>
      </w:pPr>
      <w:r>
        <w:rPr>
          <w:rFonts w:cs="Calibri"/>
          <w:sz w:val="22"/>
        </w:rPr>
        <w:t>单位性质：</w:t>
      </w:r>
    </w:p>
    <w:p>
      <w:pPr>
        <w:spacing w:after="156" w:afterLines="50" w:line="440" w:lineRule="exact"/>
        <w:rPr>
          <w:rFonts w:cs="Calibri"/>
          <w:sz w:val="22"/>
          <w:u w:val="single"/>
        </w:rPr>
      </w:pPr>
      <w:r>
        <w:rPr>
          <w:rFonts w:cs="Calibri"/>
          <w:sz w:val="22"/>
        </w:rPr>
        <w:t>地址：</w:t>
      </w:r>
    </w:p>
    <w:p>
      <w:pPr>
        <w:spacing w:after="156" w:afterLines="50" w:line="440" w:lineRule="exact"/>
        <w:rPr>
          <w:rFonts w:cs="Calibri"/>
          <w:sz w:val="22"/>
          <w:u w:val="single"/>
        </w:rPr>
      </w:pPr>
      <w:r>
        <w:rPr>
          <w:rFonts w:cs="Calibri"/>
          <w:sz w:val="22"/>
        </w:rPr>
        <w:t>成立时间：年月日</w:t>
      </w:r>
    </w:p>
    <w:p>
      <w:pPr>
        <w:spacing w:after="156" w:afterLines="50" w:line="440" w:lineRule="exact"/>
        <w:rPr>
          <w:rFonts w:cs="Calibri"/>
          <w:sz w:val="22"/>
          <w:u w:val="single"/>
        </w:rPr>
      </w:pPr>
      <w:r>
        <w:rPr>
          <w:rFonts w:cs="Calibri"/>
          <w:sz w:val="22"/>
        </w:rPr>
        <w:t>经营期限：</w:t>
      </w:r>
    </w:p>
    <w:p>
      <w:pPr>
        <w:spacing w:after="156" w:afterLines="50" w:line="440" w:lineRule="exact"/>
        <w:rPr>
          <w:rFonts w:cs="Calibri"/>
          <w:sz w:val="22"/>
          <w:u w:val="single"/>
        </w:rPr>
      </w:pPr>
      <w:r>
        <w:rPr>
          <w:rFonts w:cs="Calibri"/>
          <w:sz w:val="22"/>
        </w:rPr>
        <w:t>姓名：性别：年龄：职务：</w:t>
      </w:r>
    </w:p>
    <w:p>
      <w:pPr>
        <w:spacing w:after="156" w:afterLines="50" w:line="440" w:lineRule="exact"/>
        <w:rPr>
          <w:rFonts w:cs="Calibri"/>
          <w:sz w:val="22"/>
          <w:u w:val="single"/>
        </w:rPr>
      </w:pPr>
      <w:r>
        <w:rPr>
          <w:rFonts w:cs="Calibri"/>
          <w:sz w:val="22"/>
        </w:rPr>
        <w:t>身份证号码：</w:t>
      </w:r>
    </w:p>
    <w:p>
      <w:pPr>
        <w:spacing w:line="440" w:lineRule="exact"/>
        <w:ind w:firstLine="560"/>
        <w:rPr>
          <w:rFonts w:cs="Calibri"/>
          <w:sz w:val="22"/>
        </w:rPr>
      </w:pPr>
    </w:p>
    <w:p>
      <w:pPr>
        <w:spacing w:line="440" w:lineRule="exact"/>
        <w:rPr>
          <w:rFonts w:cs="Calibri"/>
          <w:sz w:val="22"/>
        </w:rPr>
      </w:pPr>
      <w:r>
        <w:rPr>
          <w:rFonts w:cs="Calibri"/>
          <w:sz w:val="22"/>
        </w:rPr>
        <w:t>系（投标人名称）的法定代表人。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投标人：（盖单位章）</w:t>
      </w:r>
    </w:p>
    <w:p>
      <w:pPr>
        <w:spacing w:line="440" w:lineRule="exact"/>
        <w:ind w:firstLine="4936" w:firstLineChars="2235"/>
        <w:rPr>
          <w:rFonts w:cs="Calibri"/>
          <w:b/>
          <w:sz w:val="22"/>
        </w:rPr>
      </w:pPr>
      <w:r>
        <w:rPr>
          <w:rFonts w:cs="Calibri"/>
          <w:b/>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rPr>
        <w:t>日期：年月日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身份证号码：日期：年月日</w:t>
      </w:r>
    </w:p>
    <w:p>
      <w:pPr>
        <w:spacing w:line="440" w:lineRule="exact"/>
        <w:ind w:firstLine="4533" w:firstLineChars="2150"/>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sz w:val="22"/>
        </w:rPr>
      </w:pPr>
      <w:r>
        <w:rPr>
          <w:rFonts w:cs="Calibri"/>
          <w:sz w:val="22"/>
        </w:rPr>
        <w:t>注：如投标文件由委托代理人签字或盖章的，投标文件必须附此授权委托书。</w:t>
      </w:r>
    </w:p>
    <w:p>
      <w:pPr>
        <w:spacing w:line="360" w:lineRule="auto"/>
        <w:jc w:val="left"/>
        <w:rPr>
          <w:rFonts w:ascii="宋体" w:hAnsi="宋体" w:cs="宋体"/>
          <w:sz w:val="22"/>
        </w:rPr>
      </w:pPr>
    </w:p>
    <w:p>
      <w:pPr>
        <w:pStyle w:val="3"/>
        <w:spacing w:after="156" w:afterLines="50" w:line="360" w:lineRule="auto"/>
        <w:jc w:val="left"/>
        <w:rPr>
          <w:rFonts w:hAnsi="宋体" w:cs="宋体"/>
          <w:b/>
        </w:rPr>
      </w:pPr>
      <w:r>
        <w:rPr>
          <w:rFonts w:hAnsi="宋体" w:cs="宋体"/>
          <w:b/>
        </w:rPr>
        <w:br w:type="page"/>
      </w:r>
    </w:p>
    <w:p>
      <w:pPr>
        <w:spacing w:line="440" w:lineRule="exact"/>
        <w:jc w:val="center"/>
        <w:rPr>
          <w:rFonts w:eastAsia="黑体" w:cs="Calibri"/>
          <w:sz w:val="32"/>
          <w:szCs w:val="32"/>
        </w:rPr>
      </w:pPr>
      <w:r>
        <w:rPr>
          <w:rFonts w:hint="eastAsia" w:eastAsia="黑体" w:cs="Calibri"/>
          <w:sz w:val="32"/>
          <w:szCs w:val="32"/>
        </w:rPr>
        <w:t>四、投标报价表</w:t>
      </w:r>
    </w:p>
    <w:p>
      <w:pPr>
        <w:pStyle w:val="3"/>
        <w:spacing w:after="156" w:afterLines="50" w:line="360" w:lineRule="auto"/>
        <w:jc w:val="center"/>
        <w:rPr>
          <w:rFonts w:hAnsi="宋体" w:cs="宋体"/>
        </w:rPr>
      </w:pPr>
    </w:p>
    <w:p>
      <w:pPr>
        <w:pStyle w:val="3"/>
        <w:numPr>
          <w:ilvl w:val="1"/>
          <w:numId w:val="3"/>
        </w:numPr>
        <w:snapToGrid w:val="0"/>
        <w:spacing w:before="156" w:beforeLines="50" w:line="360" w:lineRule="exact"/>
        <w:rPr>
          <w:rFonts w:hAnsi="宋体" w:cs="宋体"/>
          <w:b/>
          <w:sz w:val="22"/>
          <w:szCs w:val="22"/>
        </w:rPr>
      </w:pPr>
      <w:r>
        <w:rPr>
          <w:rFonts w:hint="eastAsia" w:hAnsi="宋体" w:cs="宋体"/>
          <w:b/>
          <w:sz w:val="22"/>
          <w:szCs w:val="22"/>
        </w:rPr>
        <w:t>总则</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本投标报价表中的金额应包括在项目整个实施过程中，根据合同所需要的所有成本和费用，如含有旧设备回收需填设备回收报价表，其金额计入总报价。</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
        <w:numPr>
          <w:ilvl w:val="1"/>
          <w:numId w:val="3"/>
        </w:numPr>
        <w:snapToGrid w:val="0"/>
        <w:spacing w:before="156" w:beforeLines="50" w:line="360" w:lineRule="exact"/>
        <w:rPr>
          <w:rFonts w:hAnsi="宋体" w:cs="宋体"/>
          <w:sz w:val="22"/>
          <w:szCs w:val="22"/>
        </w:rPr>
      </w:pPr>
      <w:r>
        <w:rPr>
          <w:rFonts w:hint="eastAsia" w:hAnsi="宋体" w:cs="宋体"/>
          <w:sz w:val="22"/>
          <w:szCs w:val="22"/>
        </w:rPr>
        <w:t>投标报价表包含以下各表</w:t>
      </w:r>
    </w:p>
    <w:p>
      <w:pPr>
        <w:snapToGrid w:val="0"/>
        <w:spacing w:before="156"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56"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56"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56" w:beforeLines="50" w:line="360" w:lineRule="exact"/>
        <w:ind w:left="1134"/>
        <w:rPr>
          <w:rFonts w:ascii="宋体" w:hAnsi="宋体" w:cs="宋体"/>
          <w:sz w:val="22"/>
        </w:rPr>
      </w:pPr>
    </w:p>
    <w:p>
      <w:pPr>
        <w:adjustRightInd w:val="0"/>
        <w:snapToGrid w:val="0"/>
        <w:spacing w:line="360" w:lineRule="exact"/>
        <w:ind w:firstLine="440"/>
        <w:rPr>
          <w:rFonts w:ascii="宋体" w:hAnsi="宋体" w:cs="Calibri"/>
          <w:sz w:val="22"/>
        </w:rPr>
        <w:sectPr>
          <w:pgSz w:w="11906" w:h="16838"/>
          <w:pgMar w:top="1440" w:right="1800" w:bottom="1440" w:left="1800" w:header="851" w:footer="992" w:gutter="0"/>
          <w:pgNumType w:fmt="numberInDash"/>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4"/>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此表的“总计”系所有需招标人支付的投标金额总数即投标总价，旧设备回收报价直接从中扣除并生成投标总价，投标总价中已包含投标人完成本招标项目的一切费用包括税费。</w:t>
      </w:r>
    </w:p>
    <w:p>
      <w:pPr>
        <w:numPr>
          <w:ilvl w:val="2"/>
          <w:numId w:val="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jc w:val="center"/>
        <w:rPr>
          <w:rFonts w:ascii="宋体" w:hAnsi="宋体" w:cs="宋体"/>
          <w:b/>
          <w:sz w:val="32"/>
          <w:szCs w:val="32"/>
        </w:rPr>
      </w:pPr>
      <w:r>
        <w:rPr>
          <w:rFonts w:hint="eastAsia" w:ascii="宋体" w:hAnsi="宋体" w:cs="宋体"/>
          <w:b/>
          <w:sz w:val="32"/>
          <w:szCs w:val="32"/>
        </w:rPr>
        <w:br w:type="page"/>
      </w:r>
    </w:p>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4"/>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w:t>
      </w:r>
      <w:r>
        <w:rPr>
          <w:rFonts w:hint="eastAsia" w:ascii="宋体" w:hAnsi="宋体" w:cs="Calibri"/>
          <w:sz w:val="22"/>
        </w:rPr>
        <w:t>更换拆装</w:t>
      </w:r>
      <w:r>
        <w:rPr>
          <w:rFonts w:hint="eastAsia" w:ascii="宋体" w:hAnsi="宋体" w:cs="宋体"/>
          <w:sz w:val="22"/>
        </w:rPr>
        <w:t>、调试、管道污垢清理及所有第三章要求的伴随服务等招标文件规定的全部相关费用。</w:t>
      </w:r>
    </w:p>
    <w:p>
      <w:pPr>
        <w:adjustRightInd w:val="0"/>
        <w:snapToGrid w:val="0"/>
        <w:spacing w:line="360" w:lineRule="exact"/>
        <w:ind w:firstLine="440"/>
        <w:rPr>
          <w:rFonts w:ascii="宋体" w:hAnsi="宋体" w:cs="Calibri"/>
          <w:sz w:val="22"/>
        </w:rPr>
      </w:pPr>
      <w:r>
        <w:rPr>
          <w:rFonts w:hint="eastAsia" w:ascii="宋体" w:hAnsi="宋体" w:cs="Calibri"/>
          <w:sz w:val="22"/>
        </w:rPr>
        <w:br w:type="page"/>
      </w:r>
    </w:p>
    <w:p>
      <w:pPr>
        <w:spacing w:line="360" w:lineRule="auto"/>
        <w:jc w:val="center"/>
        <w:rPr>
          <w:rFonts w:ascii="宋体" w:hAnsi="宋体" w:cs="宋体"/>
          <w:b/>
          <w:sz w:val="32"/>
          <w:szCs w:val="32"/>
        </w:rPr>
      </w:pPr>
      <w:r>
        <w:rPr>
          <w:rFonts w:hint="eastAsia" w:ascii="宋体" w:hAnsi="宋体" w:cs="宋体"/>
          <w:b/>
          <w:sz w:val="32"/>
          <w:szCs w:val="32"/>
        </w:rPr>
        <w:t>4.3随机配件和专用工具分项报价表</w:t>
      </w:r>
    </w:p>
    <w:tbl>
      <w:tblPr>
        <w:tblStyle w:val="14"/>
        <w:tblpPr w:leftFromText="180" w:rightFromText="180" w:vertAnchor="text" w:tblpY="1"/>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tbl>
            <w:tblPr>
              <w:tblStyle w:val="14"/>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2"/>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jc w:val="center"/>
              <w:rPr>
                <w:rFonts w:ascii="宋体" w:hAnsi="宋体" w:cs="宋体"/>
                <w:b/>
                <w:bCs/>
                <w:kern w:val="0"/>
                <w:sz w:val="20"/>
              </w:rPr>
            </w:pPr>
          </w:p>
        </w:tc>
        <w:tc>
          <w:tcPr>
            <w:tcW w:w="1134" w:type="dxa"/>
          </w:tcPr>
          <w:tbl>
            <w:tblPr>
              <w:tblStyle w:val="14"/>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2"/>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adjustRightInd w:val="0"/>
        <w:snapToGrid w:val="0"/>
        <w:spacing w:line="360" w:lineRule="exact"/>
        <w:jc w:val="center"/>
        <w:rPr>
          <w:rFonts w:ascii="宋体" w:hAnsi="宋体"/>
          <w:sz w:val="22"/>
        </w:rPr>
      </w:pPr>
      <w:r>
        <w:rPr>
          <w:rFonts w:ascii="宋体" w:hAnsi="宋体"/>
          <w:sz w:val="22"/>
        </w:rPr>
        <w:br w:type="page"/>
      </w:r>
      <w:r>
        <w:rPr>
          <w:rFonts w:hint="eastAsia" w:eastAsia="黑体" w:cs="Calibri"/>
          <w:sz w:val="32"/>
          <w:szCs w:val="32"/>
        </w:rPr>
        <w:t>五、</w:t>
      </w:r>
      <w:r>
        <w:rPr>
          <w:rFonts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4"/>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8"/>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2016年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2017年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2018年</w:t>
            </w: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7"/>
        </w:numPr>
        <w:adjustRightInd w:val="0"/>
        <w:spacing w:before="156"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制造商名称：</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8"/>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p>
    <w:p>
      <w:pPr>
        <w:numPr>
          <w:ilvl w:val="0"/>
          <w:numId w:val="3"/>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p>
    <w:p>
      <w:pPr>
        <w:spacing w:line="360" w:lineRule="auto"/>
        <w:rPr>
          <w:rFonts w:ascii="宋体" w:hAnsi="宋体" w:cs="宋体"/>
          <w:sz w:val="22"/>
        </w:rPr>
      </w:pPr>
    </w:p>
    <w:p>
      <w:pPr>
        <w:numPr>
          <w:ilvl w:val="1"/>
          <w:numId w:val="11"/>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12"/>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p>
    <w:p>
      <w:pPr>
        <w:spacing w:line="360" w:lineRule="auto"/>
        <w:ind w:firstLine="720"/>
        <w:rPr>
          <w:rFonts w:ascii="宋体" w:hAnsi="宋体" w:cs="宋体"/>
          <w:sz w:val="22"/>
        </w:rPr>
      </w:pP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56" w:beforeLines="50" w:line="360" w:lineRule="auto"/>
        <w:rPr>
          <w:rFonts w:ascii="宋体" w:hAnsi="宋体" w:cs="宋体"/>
          <w:sz w:val="22"/>
        </w:rPr>
      </w:pPr>
      <w:r>
        <w:rPr>
          <w:rFonts w:hint="eastAsia" w:ascii="宋体" w:hAnsi="宋体" w:cs="宋体"/>
          <w:sz w:val="22"/>
        </w:rPr>
        <w:t>制造商名称 （公章）</w:t>
      </w:r>
    </w:p>
    <w:p>
      <w:pPr>
        <w:spacing w:before="156" w:beforeLines="50" w:line="360" w:lineRule="auto"/>
        <w:rPr>
          <w:rFonts w:ascii="宋体" w:hAnsi="宋体" w:cs="宋体"/>
          <w:sz w:val="22"/>
          <w:u w:val="single"/>
        </w:rPr>
      </w:pPr>
      <w:r>
        <w:rPr>
          <w:rFonts w:hint="eastAsia" w:ascii="宋体" w:hAnsi="宋体" w:cs="宋体"/>
          <w:sz w:val="22"/>
        </w:rPr>
        <w:t>签字人姓名和职务</w:t>
      </w:r>
    </w:p>
    <w:p>
      <w:pPr>
        <w:spacing w:before="156" w:beforeLines="50" w:line="360" w:lineRule="auto"/>
        <w:rPr>
          <w:rFonts w:ascii="宋体" w:hAnsi="宋体" w:cs="宋体"/>
          <w:sz w:val="22"/>
          <w:u w:val="single"/>
        </w:rPr>
      </w:pPr>
      <w:r>
        <w:rPr>
          <w:rFonts w:hint="eastAsia" w:ascii="宋体" w:hAnsi="宋体" w:cs="宋体"/>
          <w:sz w:val="22"/>
        </w:rPr>
        <w:t>签字人签字</w:t>
      </w:r>
    </w:p>
    <w:p>
      <w:pPr>
        <w:spacing w:before="156" w:beforeLines="50" w:line="360" w:lineRule="auto"/>
        <w:rPr>
          <w:rFonts w:ascii="宋体" w:hAnsi="宋体" w:cs="宋体"/>
          <w:sz w:val="22"/>
          <w:u w:val="single"/>
        </w:rPr>
      </w:pPr>
      <w:r>
        <w:rPr>
          <w:rFonts w:hint="eastAsia" w:ascii="宋体" w:hAnsi="宋体" w:cs="宋体"/>
          <w:sz w:val="22"/>
        </w:rPr>
        <w:t>签字日期</w:t>
      </w:r>
    </w:p>
    <w:p>
      <w:pPr>
        <w:spacing w:before="156" w:beforeLines="50" w:line="360" w:lineRule="auto"/>
        <w:rPr>
          <w:rFonts w:ascii="宋体" w:hAnsi="宋体" w:cs="宋体"/>
          <w:sz w:val="22"/>
          <w:u w:val="single"/>
        </w:rPr>
      </w:pPr>
      <w:r>
        <w:rPr>
          <w:rFonts w:hint="eastAsia" w:ascii="宋体" w:hAnsi="宋体" w:cs="宋体"/>
          <w:sz w:val="22"/>
        </w:rPr>
        <w:t>传真</w:t>
      </w:r>
    </w:p>
    <w:p>
      <w:pPr>
        <w:spacing w:before="156" w:beforeLines="50" w:line="360" w:lineRule="auto"/>
        <w:rPr>
          <w:rFonts w:ascii="宋体" w:hAnsi="宋体" w:cs="宋体"/>
          <w:sz w:val="22"/>
          <w:u w:val="single"/>
        </w:rPr>
      </w:pPr>
      <w:r>
        <w:rPr>
          <w:rFonts w:hint="eastAsia" w:ascii="宋体" w:hAnsi="宋体" w:cs="宋体"/>
          <w:sz w:val="22"/>
        </w:rPr>
        <w:t>电话</w:t>
      </w:r>
    </w:p>
    <w:p>
      <w:pPr>
        <w:spacing w:before="156" w:beforeLines="50" w:line="360" w:lineRule="auto"/>
        <w:rPr>
          <w:rFonts w:ascii="宋体" w:hAnsi="宋体" w:cs="宋体"/>
          <w:u w:val="single"/>
        </w:rPr>
      </w:pPr>
    </w:p>
    <w:p>
      <w:pPr>
        <w:spacing w:line="360" w:lineRule="auto"/>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sz w:val="32"/>
          <w:szCs w:val="32"/>
        </w:rPr>
      </w:pPr>
      <w:r>
        <w:rPr>
          <w:rFonts w:hint="eastAsia" w:eastAsia="黑体" w:cs="Calibri"/>
          <w:sz w:val="32"/>
          <w:szCs w:val="32"/>
        </w:rPr>
        <w:t>六、技术规格偏离表</w:t>
      </w:r>
    </w:p>
    <w:p>
      <w:pPr>
        <w:spacing w:line="560" w:lineRule="exact"/>
        <w:rPr>
          <w:rFonts w:ascii="宋体" w:hAnsi="宋体"/>
        </w:rPr>
      </w:pPr>
    </w:p>
    <w:tbl>
      <w:tblPr>
        <w:tblStyle w:val="1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
        <w:adjustRightInd w:val="0"/>
        <w:snapToGrid w:val="0"/>
        <w:spacing w:line="560" w:lineRule="exact"/>
        <w:rPr>
          <w:rFonts w:hAnsi="宋体"/>
          <w:b/>
        </w:rPr>
      </w:pPr>
    </w:p>
    <w:p>
      <w:pPr>
        <w:spacing w:line="440" w:lineRule="exact"/>
        <w:jc w:val="center"/>
        <w:rPr>
          <w:rFonts w:eastAsia="黑体" w:cs="Calibri"/>
          <w:sz w:val="32"/>
          <w:szCs w:val="32"/>
        </w:rPr>
      </w:pPr>
      <w:r>
        <w:rPr>
          <w:rFonts w:hint="eastAsia" w:eastAsia="黑体" w:cs="Calibri"/>
          <w:sz w:val="32"/>
          <w:szCs w:val="32"/>
        </w:rPr>
        <w:t>七、</w:t>
      </w:r>
      <w:r>
        <w:rPr>
          <w:rFonts w:eastAsia="黑体" w:cs="Calibri"/>
          <w:sz w:val="32"/>
          <w:szCs w:val="32"/>
        </w:rPr>
        <w:t>商务条款响应</w:t>
      </w:r>
      <w:r>
        <w:rPr>
          <w:rFonts w:hint="eastAsia" w:eastAsia="黑体" w:cs="Calibri"/>
          <w:sz w:val="32"/>
          <w:szCs w:val="32"/>
        </w:rPr>
        <w:t>偏离</w:t>
      </w:r>
      <w:r>
        <w:rPr>
          <w:rFonts w:eastAsia="黑体" w:cs="Calibri"/>
          <w:sz w:val="32"/>
          <w:szCs w:val="32"/>
        </w:rPr>
        <w:t>表</w:t>
      </w:r>
    </w:p>
    <w:tbl>
      <w:tblPr>
        <w:tblStyle w:val="1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r>
              <w:rPr>
                <w:rFonts w:hAnsi="宋体"/>
              </w:rPr>
              <w:t>序号</w:t>
            </w:r>
          </w:p>
        </w:tc>
        <w:tc>
          <w:tcPr>
            <w:tcW w:w="900" w:type="dxa"/>
            <w:vAlign w:val="center"/>
          </w:tcPr>
          <w:p>
            <w:pPr>
              <w:pStyle w:val="3"/>
              <w:adjustRightInd w:val="0"/>
              <w:snapToGrid w:val="0"/>
              <w:jc w:val="center"/>
              <w:rPr>
                <w:rFonts w:hAnsi="宋体"/>
              </w:rPr>
            </w:pPr>
            <w:r>
              <w:rPr>
                <w:rFonts w:hAnsi="宋体"/>
              </w:rPr>
              <w:t>内容</w:t>
            </w:r>
          </w:p>
        </w:tc>
        <w:tc>
          <w:tcPr>
            <w:tcW w:w="3510" w:type="dxa"/>
            <w:vAlign w:val="center"/>
          </w:tcPr>
          <w:p>
            <w:pPr>
              <w:pStyle w:val="3"/>
              <w:adjustRightInd w:val="0"/>
              <w:snapToGrid w:val="0"/>
              <w:jc w:val="center"/>
              <w:rPr>
                <w:rFonts w:hAnsi="宋体"/>
              </w:rPr>
            </w:pPr>
            <w:r>
              <w:rPr>
                <w:rFonts w:hAnsi="宋体"/>
              </w:rPr>
              <w:t>招标文件要求</w:t>
            </w:r>
          </w:p>
        </w:tc>
        <w:tc>
          <w:tcPr>
            <w:tcW w:w="3510" w:type="dxa"/>
            <w:vAlign w:val="center"/>
          </w:tcPr>
          <w:p>
            <w:pPr>
              <w:pStyle w:val="3"/>
              <w:adjustRightInd w:val="0"/>
              <w:snapToGrid w:val="0"/>
              <w:jc w:val="center"/>
              <w:rPr>
                <w:rFonts w:hAnsi="宋体"/>
              </w:rPr>
            </w:pPr>
            <w:r>
              <w:rPr>
                <w:rFonts w:hAnsi="宋体"/>
              </w:rPr>
              <w:t>投标文件对应内容</w:t>
            </w:r>
          </w:p>
        </w:tc>
        <w:tc>
          <w:tcPr>
            <w:tcW w:w="827" w:type="dxa"/>
            <w:vAlign w:val="center"/>
          </w:tcPr>
          <w:p>
            <w:pPr>
              <w:pStyle w:val="3"/>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bl>
    <w:p>
      <w:pPr>
        <w:pStyle w:val="3"/>
        <w:adjustRightInd w:val="0"/>
        <w:snapToGrid w:val="0"/>
        <w:spacing w:line="560" w:lineRule="exact"/>
        <w:rPr>
          <w:rFonts w:hAnsi="宋体"/>
          <w:bCs/>
          <w:sz w:val="24"/>
          <w:szCs w:val="24"/>
        </w:rPr>
      </w:pPr>
    </w:p>
    <w:p>
      <w:pPr>
        <w:pStyle w:val="3"/>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
        <w:adjustRightInd w:val="0"/>
        <w:snapToGrid w:val="0"/>
        <w:spacing w:line="560" w:lineRule="exact"/>
        <w:rPr>
          <w:rFonts w:hAnsi="宋体"/>
          <w:bCs/>
          <w:sz w:val="24"/>
          <w:szCs w:val="24"/>
        </w:rPr>
      </w:pPr>
    </w:p>
    <w:p>
      <w:pPr>
        <w:spacing w:line="360" w:lineRule="auto"/>
        <w:rPr>
          <w:rFonts w:ascii="宋体" w:hAnsi="宋体"/>
          <w:sz w:val="22"/>
        </w:rPr>
      </w:pPr>
    </w:p>
    <w:p>
      <w:pPr>
        <w:adjustRightInd w:val="0"/>
        <w:snapToGrid w:val="0"/>
        <w:spacing w:line="360" w:lineRule="exact"/>
        <w:rPr>
          <w:rFonts w:ascii="宋体" w:hAnsi="宋体" w:cs="Calibri"/>
          <w:sz w:val="22"/>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rFonts w:hint="eastAsia"/>
        <w:lang w:val="zh-CN"/>
      </w:rPr>
      <w:t>-</w:t>
    </w:r>
    <w:r>
      <w:rPr>
        <w:rFonts w:hint="eastAsia"/>
      </w:rPr>
      <w:t xml:space="preserve"> 1 -</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jc w:val="center"/>
                </w:pPr>
                <w:r>
                  <w:fldChar w:fldCharType="begin"/>
                </w:r>
                <w:r>
                  <w:instrText xml:space="preserve"> PAGE   \* MERGEFORMAT </w:instrText>
                </w:r>
                <w:r>
                  <w:fldChar w:fldCharType="separate"/>
                </w:r>
                <w:r>
                  <w:rPr>
                    <w:lang w:val="zh-CN"/>
                  </w:rPr>
                  <w:t>-</w:t>
                </w:r>
                <w:r>
                  <w:t xml:space="preserve"> 43 -</w:t>
                </w:r>
                <w:r>
                  <w:fldChar w:fldCharType="end"/>
                </w:r>
              </w:p>
              <w:p/>
            </w:txbxContent>
          </v:textbox>
        </v:shape>
      </w:pict>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1</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杭州萧山国际机场T1航站楼地下车库消防喷淋头更换项目招标文件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杭州萧山国际机场T1航站楼地下车库消防喷淋头更换项目招标文件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3"/>
  </w:num>
  <w:num w:numId="2">
    <w:abstractNumId w:val="12"/>
  </w:num>
  <w:num w:numId="3">
    <w:abstractNumId w:val="10"/>
  </w:num>
  <w:num w:numId="4">
    <w:abstractNumId w:val="4"/>
  </w:num>
  <w:num w:numId="5">
    <w:abstractNumId w:val="11"/>
  </w:num>
  <w:num w:numId="6">
    <w:abstractNumId w:val="1"/>
  </w:num>
  <w:num w:numId="7">
    <w:abstractNumId w:val="5"/>
  </w:num>
  <w:num w:numId="8">
    <w:abstractNumId w:val="7"/>
  </w:num>
  <w:num w:numId="9">
    <w:abstractNumId w:val="3"/>
  </w:num>
  <w:num w:numId="10">
    <w:abstractNumId w:val="0"/>
  </w:num>
  <w:num w:numId="11">
    <w:abstractNumId w:val="2"/>
  </w:num>
  <w:num w:numId="12">
    <w:abstractNumId w:val="9"/>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93547"/>
    <w:rsid w:val="0EF70A4B"/>
    <w:rsid w:val="18F1368F"/>
    <w:rsid w:val="2748750E"/>
    <w:rsid w:val="4AE41175"/>
    <w:rsid w:val="6DAA6F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360" w:lineRule="auto"/>
      <w:jc w:val="center"/>
      <w:outlineLvl w:val="0"/>
    </w:pPr>
    <w:rPr>
      <w:rFonts w:ascii="Times New Roman" w:hAnsi="Times New Roman"/>
      <w:b/>
      <w:bCs/>
      <w:kern w:val="44"/>
      <w:sz w:val="30"/>
      <w:szCs w:val="44"/>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27"/>
    <w:qFormat/>
    <w:uiPriority w:val="0"/>
    <w:rPr>
      <w:rFonts w:ascii="宋体" w:hAnsi="Courier New" w:eastAsiaTheme="minorEastAsia" w:cstheme="minorBidi"/>
      <w:szCs w:val="21"/>
    </w:rPr>
  </w:style>
  <w:style w:type="paragraph" w:styleId="4">
    <w:name w:val="Body Text Indent 2"/>
    <w:basedOn w:val="1"/>
    <w:link w:val="26"/>
    <w:qFormat/>
    <w:uiPriority w:val="0"/>
    <w:pPr>
      <w:spacing w:after="120" w:line="480" w:lineRule="auto"/>
      <w:ind w:left="420" w:leftChars="200"/>
    </w:pPr>
    <w:rPr>
      <w:rFonts w:ascii="Times New Roman" w:hAnsi="Times New Roman" w:eastAsiaTheme="minorEastAsia" w:cstheme="minorBidi"/>
      <w:szCs w:val="24"/>
    </w:rPr>
  </w:style>
  <w:style w:type="paragraph" w:styleId="5">
    <w:name w:val="Balloon Text"/>
    <w:basedOn w:val="1"/>
    <w:link w:val="25"/>
    <w:uiPriority w:val="0"/>
    <w:rPr>
      <w:rFonts w:asciiTheme="minorHAnsi" w:hAnsiTheme="minorHAnsi" w:eastAsiaTheme="minorEastAsia" w:cstheme="minorBidi"/>
      <w:sz w:val="18"/>
      <w:szCs w:val="18"/>
    </w:rPr>
  </w:style>
  <w:style w:type="paragraph" w:styleId="6">
    <w:name w:val="footer"/>
    <w:basedOn w:val="1"/>
    <w:link w:val="24"/>
    <w:qFormat/>
    <w:uiPriority w:val="0"/>
    <w:pPr>
      <w:tabs>
        <w:tab w:val="center" w:pos="4153"/>
        <w:tab w:val="right" w:pos="8306"/>
      </w:tabs>
      <w:snapToGrid w:val="0"/>
      <w:jc w:val="left"/>
    </w:pPr>
    <w:rPr>
      <w:rFonts w:asciiTheme="minorHAnsi" w:hAnsiTheme="minorHAnsi" w:eastAsiaTheme="minorEastAsia" w:cstheme="minorBidi"/>
      <w:sz w:val="18"/>
      <w:szCs w:val="24"/>
    </w:rPr>
  </w:style>
  <w:style w:type="paragraph" w:styleId="7">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szCs w:val="24"/>
    </w:rPr>
  </w:style>
  <w:style w:type="paragraph" w:styleId="8">
    <w:name w:val="toc 1"/>
    <w:basedOn w:val="1"/>
    <w:next w:val="1"/>
    <w:qFormat/>
    <w:uiPriority w:val="0"/>
    <w:pPr>
      <w:adjustRightInd w:val="0"/>
      <w:snapToGrid w:val="0"/>
    </w:pPr>
    <w:rPr>
      <w:rFonts w:ascii="Times New Roman" w:hAnsi="Times New Roman" w:eastAsia="仿宋"/>
      <w:szCs w:val="24"/>
    </w:rPr>
  </w:style>
  <w:style w:type="paragraph" w:styleId="9">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0">
    <w:name w:val="index 1"/>
    <w:basedOn w:val="1"/>
    <w:next w:val="1"/>
    <w:qFormat/>
    <w:uiPriority w:val="0"/>
    <w:pPr>
      <w:adjustRightInd w:val="0"/>
      <w:snapToGrid w:val="0"/>
      <w:jc w:val="center"/>
    </w:pPr>
    <w:rPr>
      <w:rFonts w:ascii="Times New Roman" w:hAnsi="Times New Roman"/>
      <w:szCs w:val="20"/>
    </w:rPr>
  </w:style>
  <w:style w:type="paragraph" w:styleId="11">
    <w:name w:val="Title"/>
    <w:basedOn w:val="1"/>
    <w:next w:val="1"/>
    <w:link w:val="28"/>
    <w:qFormat/>
    <w:uiPriority w:val="0"/>
    <w:pPr>
      <w:spacing w:before="60" w:after="60"/>
      <w:jc w:val="center"/>
      <w:outlineLvl w:val="0"/>
    </w:pPr>
    <w:rPr>
      <w:rFonts w:ascii="Cambria" w:hAnsi="Cambria" w:eastAsia="黑体" w:cstheme="minorBidi"/>
      <w:b/>
      <w:bCs/>
      <w:sz w:val="32"/>
      <w:szCs w:val="32"/>
    </w:rPr>
  </w:style>
  <w:style w:type="character" w:styleId="13">
    <w:name w:val="page number"/>
    <w:qFormat/>
    <w:uiPriority w:val="0"/>
    <w:rPr>
      <w:rFonts w:asciiTheme="minorHAnsi" w:hAnsiTheme="minorHAnsi" w:eastAsiaTheme="minorEastAsia" w:cstheme="minorBidi"/>
      <w:lang w:val="en-US" w:eastAsia="zh-CN" w:bidi="ar-SA"/>
    </w:rPr>
  </w:style>
  <w:style w:type="character" w:customStyle="1" w:styleId="15">
    <w:name w:val="标题 1 Char"/>
    <w:basedOn w:val="12"/>
    <w:link w:val="2"/>
    <w:qFormat/>
    <w:uiPriority w:val="0"/>
    <w:rPr>
      <w:rFonts w:ascii="Times New Roman" w:hAnsi="Times New Roman" w:eastAsiaTheme="minorEastAsia" w:cstheme="minorBidi"/>
      <w:b/>
      <w:bCs/>
      <w:kern w:val="44"/>
      <w:sz w:val="30"/>
      <w:szCs w:val="44"/>
      <w:lang w:val="en-US" w:eastAsia="zh-CN" w:bidi="ar-SA"/>
    </w:rPr>
  </w:style>
  <w:style w:type="character" w:customStyle="1" w:styleId="16">
    <w:name w:val="批注框文本 Char"/>
    <w:qFormat/>
    <w:uiPriority w:val="0"/>
    <w:rPr>
      <w:rFonts w:asciiTheme="minorHAnsi" w:hAnsiTheme="minorHAnsi" w:eastAsiaTheme="minorEastAsia" w:cstheme="minorBidi"/>
      <w:sz w:val="18"/>
      <w:szCs w:val="18"/>
      <w:lang w:val="en-US" w:eastAsia="zh-CN" w:bidi="ar-SA"/>
    </w:rPr>
  </w:style>
  <w:style w:type="character" w:customStyle="1" w:styleId="17">
    <w:name w:val="zbggmain style9"/>
    <w:qFormat/>
    <w:uiPriority w:val="0"/>
    <w:rPr>
      <w:rFonts w:asciiTheme="minorHAnsi" w:hAnsiTheme="minorHAnsi" w:eastAsiaTheme="minorEastAsia" w:cstheme="minorBidi"/>
      <w:lang w:val="en-US" w:eastAsia="zh-CN" w:bidi="ar-SA"/>
    </w:rPr>
  </w:style>
  <w:style w:type="character" w:customStyle="1" w:styleId="18">
    <w:name w:val="纯文本 Char"/>
    <w:qFormat/>
    <w:uiPriority w:val="0"/>
    <w:rPr>
      <w:rFonts w:ascii="宋体" w:hAnsi="Courier New" w:eastAsiaTheme="minorEastAsia" w:cstheme="minorBidi"/>
      <w:szCs w:val="21"/>
      <w:lang w:val="en-US" w:eastAsia="zh-CN" w:bidi="ar-SA"/>
    </w:rPr>
  </w:style>
  <w:style w:type="character" w:customStyle="1" w:styleId="19">
    <w:name w:val="页脚 Char"/>
    <w:qFormat/>
    <w:uiPriority w:val="0"/>
    <w:rPr>
      <w:rFonts w:asciiTheme="minorHAnsi" w:hAnsiTheme="minorHAnsi" w:eastAsiaTheme="minorEastAsia" w:cstheme="minorBidi"/>
      <w:sz w:val="18"/>
      <w:szCs w:val="24"/>
      <w:lang w:val="en-US" w:eastAsia="zh-CN" w:bidi="ar-SA"/>
    </w:rPr>
  </w:style>
  <w:style w:type="character" w:customStyle="1" w:styleId="20">
    <w:name w:val="正文文本缩进 2 Char"/>
    <w:qFormat/>
    <w:uiPriority w:val="0"/>
    <w:rPr>
      <w:rFonts w:ascii="Times New Roman" w:hAnsi="Times New Roman" w:eastAsiaTheme="minorEastAsia" w:cstheme="minorBidi"/>
      <w:szCs w:val="24"/>
      <w:lang w:val="en-US" w:eastAsia="zh-CN" w:bidi="ar-SA"/>
    </w:rPr>
  </w:style>
  <w:style w:type="character" w:customStyle="1" w:styleId="21">
    <w:name w:val="页眉 Char"/>
    <w:qFormat/>
    <w:uiPriority w:val="0"/>
    <w:rPr>
      <w:rFonts w:asciiTheme="minorHAnsi" w:hAnsiTheme="minorHAnsi" w:eastAsiaTheme="minorEastAsia" w:cstheme="minorBidi"/>
      <w:sz w:val="18"/>
      <w:szCs w:val="24"/>
      <w:lang w:val="en-US" w:eastAsia="zh-CN" w:bidi="ar-SA"/>
    </w:rPr>
  </w:style>
  <w:style w:type="character" w:customStyle="1" w:styleId="22">
    <w:name w:val="标题 Char"/>
    <w:qFormat/>
    <w:uiPriority w:val="0"/>
    <w:rPr>
      <w:rFonts w:ascii="Cambria" w:hAnsi="Cambria" w:eastAsia="黑体" w:cstheme="minorBidi"/>
      <w:b/>
      <w:bCs/>
      <w:sz w:val="32"/>
      <w:szCs w:val="32"/>
      <w:lang w:val="en-US" w:eastAsia="zh-CN" w:bidi="ar-SA"/>
    </w:rPr>
  </w:style>
  <w:style w:type="character" w:customStyle="1" w:styleId="23">
    <w:name w:val="页眉 Char1"/>
    <w:basedOn w:val="12"/>
    <w:link w:val="7"/>
    <w:semiHidden/>
    <w:uiPriority w:val="99"/>
    <w:rPr>
      <w:rFonts w:asciiTheme="minorHAnsi" w:hAnsiTheme="minorHAnsi" w:eastAsiaTheme="minorEastAsia" w:cstheme="minorBidi"/>
      <w:sz w:val="18"/>
      <w:szCs w:val="24"/>
      <w:lang w:val="en-US" w:eastAsia="zh-CN" w:bidi="ar-SA"/>
    </w:rPr>
  </w:style>
  <w:style w:type="character" w:customStyle="1" w:styleId="24">
    <w:name w:val="页脚 Char1"/>
    <w:basedOn w:val="12"/>
    <w:link w:val="6"/>
    <w:semiHidden/>
    <w:qFormat/>
    <w:uiPriority w:val="99"/>
    <w:rPr>
      <w:rFonts w:asciiTheme="minorHAnsi" w:hAnsiTheme="minorHAnsi" w:eastAsiaTheme="minorEastAsia" w:cstheme="minorBidi"/>
      <w:sz w:val="18"/>
      <w:szCs w:val="24"/>
      <w:lang w:val="en-US" w:eastAsia="zh-CN" w:bidi="ar-SA"/>
    </w:rPr>
  </w:style>
  <w:style w:type="character" w:customStyle="1" w:styleId="25">
    <w:name w:val="批注框文本 Char1"/>
    <w:basedOn w:val="12"/>
    <w:link w:val="5"/>
    <w:semiHidden/>
    <w:uiPriority w:val="99"/>
    <w:rPr>
      <w:rFonts w:asciiTheme="minorHAnsi" w:hAnsiTheme="minorHAnsi" w:eastAsiaTheme="minorEastAsia" w:cstheme="minorBidi"/>
      <w:sz w:val="18"/>
      <w:szCs w:val="18"/>
      <w:lang w:val="en-US" w:eastAsia="zh-CN" w:bidi="ar-SA"/>
    </w:rPr>
  </w:style>
  <w:style w:type="character" w:customStyle="1" w:styleId="26">
    <w:name w:val="正文文本缩进 2 Char1"/>
    <w:basedOn w:val="12"/>
    <w:link w:val="4"/>
    <w:semiHidden/>
    <w:uiPriority w:val="99"/>
    <w:rPr>
      <w:rFonts w:ascii="Times New Roman" w:hAnsi="Times New Roman" w:eastAsiaTheme="minorEastAsia" w:cstheme="minorBidi"/>
      <w:szCs w:val="24"/>
      <w:lang w:val="en-US" w:eastAsia="zh-CN" w:bidi="ar-SA"/>
    </w:rPr>
  </w:style>
  <w:style w:type="character" w:customStyle="1" w:styleId="27">
    <w:name w:val="纯文本 Char1"/>
    <w:basedOn w:val="12"/>
    <w:link w:val="3"/>
    <w:semiHidden/>
    <w:qFormat/>
    <w:uiPriority w:val="99"/>
    <w:rPr>
      <w:rFonts w:ascii="宋体" w:hAnsi="Courier New" w:eastAsiaTheme="minorEastAsia" w:cstheme="minorBidi"/>
      <w:szCs w:val="21"/>
      <w:lang w:val="en-US" w:eastAsia="zh-CN" w:bidi="ar-SA"/>
    </w:rPr>
  </w:style>
  <w:style w:type="character" w:customStyle="1" w:styleId="28">
    <w:name w:val="标题 Char1"/>
    <w:basedOn w:val="12"/>
    <w:link w:val="11"/>
    <w:uiPriority w:val="10"/>
    <w:rPr>
      <w:rFonts w:ascii="Cambria" w:hAnsi="Cambria" w:eastAsia="黑体" w:cstheme="minorBidi"/>
      <w:b/>
      <w:bCs/>
      <w:sz w:val="32"/>
      <w:szCs w:val="32"/>
      <w:lang w:val="en-US" w:eastAsia="zh-CN" w:bidi="ar-SA"/>
    </w:rPr>
  </w:style>
  <w:style w:type="paragraph" w:customStyle="1" w:styleId="2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1">
    <w:name w:val="样式 样式1 + 首行缩进:  2 字符"/>
    <w:basedOn w:val="1"/>
    <w:qFormat/>
    <w:uiPriority w:val="0"/>
    <w:pPr>
      <w:spacing w:line="360" w:lineRule="exact"/>
      <w:ind w:firstLine="420" w:firstLineChars="200"/>
    </w:pPr>
    <w:rPr>
      <w:rFonts w:ascii="Arial" w:hAnsi="Arial"/>
      <w:szCs w:val="20"/>
    </w:rPr>
  </w:style>
  <w:style w:type="character" w:customStyle="1" w:styleId="32">
    <w:name w:val="ask-title"/>
    <w:basedOn w:val="12"/>
    <w:uiPriority w:val="0"/>
    <w:rPr>
      <w:rFonts w:asciiTheme="minorHAnsi" w:hAnsiTheme="minorHAnsi" w:eastAsiaTheme="minorEastAsia" w:cstheme="minorBidi"/>
      <w:lang w:val="en-US" w:eastAsia="zh-CN" w:bidi="ar-SA"/>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3602</Words>
  <Characters>20538</Characters>
  <Lines>171</Lines>
  <Paragraphs>48</Paragraphs>
  <ScaleCrop>false</ScaleCrop>
  <LinksUpToDate>false</LinksUpToDate>
  <CharactersWithSpaces>24092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2019-04-22T07:16:00Z</dcterms:created>
  <dc:creator>Administrator</dc:creator>
  <cp:lastModifiedBy>贾思勰</cp:lastModifiedBy>
  <cp:lastPrinted>2019-05-13T02:42:00Z</cp:lastPrinted>
  <dcterms:modified xsi:type="dcterms:W3CDTF">2019-07-23T13:41:42Z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