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杭州萧山国际机场AOC楼9楼应急会议系统视频矩阵采购及相关服务项目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lang w:val="en-US" w:eastAsia="zh-CN"/>
        </w:rPr>
        <w:t>7</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68"/>
        <w:ind w:firstLine="0" w:firstLineChars="0"/>
        <w:rPr>
          <w:rFonts w:hint="eastAsia" w:ascii="Calibri" w:hAnsi="Calibri" w:eastAsia="楷体_GB2312" w:cs="Calibri"/>
          <w:kern w:val="0"/>
          <w:sz w:val="24"/>
          <w:szCs w:val="24"/>
          <w:u w:val="single"/>
        </w:rPr>
      </w:pPr>
      <w:bookmarkStart w:id="3" w:name="_Toc349007685"/>
      <w:bookmarkStart w:id="4" w:name="_Toc349011855"/>
      <w:bookmarkStart w:id="5" w:name="_Toc386359390"/>
      <w:bookmarkStart w:id="6" w:name="_Toc386363314"/>
    </w:p>
    <w:p>
      <w:pPr>
        <w:pStyle w:val="68"/>
        <w:ind w:firstLine="0" w:firstLineChars="0"/>
        <w:rPr>
          <w:rFonts w:ascii="Calibri" w:hAnsi="Calibri" w:eastAsia="楷体_GB2312" w:cs="Calibri"/>
          <w:kern w:val="0"/>
          <w:sz w:val="24"/>
          <w:szCs w:val="24"/>
          <w:u w:val="single"/>
        </w:rPr>
      </w:pPr>
    </w:p>
    <w:p>
      <w:pPr>
        <w:pStyle w:val="68"/>
        <w:ind w:firstLine="0" w:firstLineChars="0"/>
        <w:rPr>
          <w:rFonts w:ascii="Calibri" w:hAnsi="Calibri" w:eastAsia="楷体_GB2312" w:cs="Calibri"/>
          <w:kern w:val="0"/>
          <w:sz w:val="24"/>
          <w:szCs w:val="24"/>
          <w:u w:val="single"/>
        </w:rPr>
      </w:pPr>
    </w:p>
    <w:p>
      <w:pPr>
        <w:pStyle w:val="68"/>
        <w:ind w:firstLine="0" w:firstLineChars="0"/>
        <w:rPr>
          <w:rFonts w:hint="eastAsia"/>
        </w:rPr>
      </w:pPr>
    </w:p>
    <w:p>
      <w:pPr>
        <w:pStyle w:val="30"/>
        <w:rPr>
          <w:rFonts w:ascii="Calibri" w:hAnsi="Calibri" w:cs="Calibri"/>
          <w:b/>
          <w:sz w:val="44"/>
        </w:rPr>
      </w:pPr>
      <w:bookmarkStart w:id="7" w:name="_Toc400369182"/>
      <w:bookmarkStart w:id="8" w:name="_Toc444173456"/>
      <w:bookmarkStart w:id="9" w:name="_Toc444174976"/>
      <w:bookmarkStart w:id="10" w:name="_Toc444811406"/>
      <w:bookmarkStart w:id="11" w:name="_Toc448002981"/>
      <w:bookmarkStart w:id="12" w:name="_Toc478453289"/>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p>
    <w:p>
      <w:pPr>
        <w:pStyle w:val="30"/>
        <w:rPr>
          <w:rFonts w:ascii="Calibri" w:hAnsi="Calibri"/>
          <w:bCs w:val="0"/>
          <w:kern w:val="2"/>
          <w:szCs w:val="22"/>
          <w:lang/>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rPr>
          <w:lang/>
        </w:rPr>
        <w:fldChar w:fldCharType="begin"/>
      </w:r>
      <w:r>
        <w:rPr>
          <w:rStyle w:val="50"/>
          <w:color w:val="auto"/>
          <w:u w:val="none"/>
          <w:lang/>
        </w:rPr>
        <w:instrText xml:space="preserve"> </w:instrText>
      </w:r>
      <w:r>
        <w:rPr>
          <w:lang/>
        </w:rPr>
        <w:instrText xml:space="preserve">HYPERLINK \l "_Toc478453290"</w:instrText>
      </w:r>
      <w:r>
        <w:rPr>
          <w:rStyle w:val="50"/>
          <w:color w:val="auto"/>
          <w:u w:val="none"/>
          <w:lang/>
        </w:rPr>
        <w:instrText xml:space="preserve"> </w:instrText>
      </w:r>
      <w:r>
        <w:rPr>
          <w:lang/>
        </w:rPr>
        <w:fldChar w:fldCharType="separate"/>
      </w:r>
      <w:r>
        <w:rPr>
          <w:rStyle w:val="50"/>
          <w:rFonts w:hint="eastAsia" w:ascii="Calibri" w:eastAsia="黑体" w:cs="Calibri"/>
          <w:color w:val="auto"/>
          <w:kern w:val="0"/>
          <w:u w:val="none"/>
          <w:lang/>
        </w:rPr>
        <w:t>第一章</w:t>
      </w:r>
      <w:r>
        <w:rPr>
          <w:rStyle w:val="50"/>
          <w:rFonts w:ascii="Calibri" w:hAnsi="Calibri" w:eastAsia="黑体" w:cs="Calibri"/>
          <w:color w:val="auto"/>
          <w:kern w:val="0"/>
          <w:u w:val="none"/>
          <w:lang/>
        </w:rPr>
        <w:t xml:space="preserve"> </w:t>
      </w:r>
      <w:r>
        <w:rPr>
          <w:rStyle w:val="50"/>
          <w:rFonts w:hint="eastAsia" w:ascii="Calibri" w:eastAsia="黑体" w:cs="Calibri"/>
          <w:color w:val="auto"/>
          <w:kern w:val="0"/>
          <w:u w:val="none"/>
          <w:lang/>
        </w:rPr>
        <w:t>招标公告</w:t>
      </w:r>
      <w:r>
        <w:rPr>
          <w:lang/>
        </w:rPr>
        <w:tab/>
      </w:r>
      <w:r>
        <w:rPr>
          <w:lang/>
        </w:rPr>
        <w:fldChar w:fldCharType="begin"/>
      </w:r>
      <w:r>
        <w:rPr>
          <w:lang/>
        </w:rPr>
        <w:instrText xml:space="preserve"> PAGEREF _Toc478453290 \h </w:instrText>
      </w:r>
      <w:r>
        <w:rPr>
          <w:lang/>
        </w:rPr>
        <w:fldChar w:fldCharType="separate"/>
      </w:r>
      <w:r>
        <w:rPr>
          <w:lang/>
        </w:rPr>
        <w:t>-</w:t>
      </w:r>
      <w:r>
        <w:rPr>
          <w:rFonts w:hint="eastAsia"/>
          <w:lang w:val="en-US" w:eastAsia="zh-CN"/>
        </w:rPr>
        <w:t>3</w:t>
      </w:r>
      <w:r>
        <w:rPr>
          <w:lang/>
        </w:rPr>
        <w:t xml:space="preserve"> -</w:t>
      </w:r>
      <w:r>
        <w:rPr>
          <w:lang/>
        </w:rPr>
        <w:fldChar w:fldCharType="end"/>
      </w:r>
      <w:r>
        <w:rPr>
          <w:lang/>
        </w:rPr>
        <w:fldChar w:fldCharType="end"/>
      </w:r>
    </w:p>
    <w:p>
      <w:pPr>
        <w:pStyle w:val="30"/>
        <w:rPr>
          <w:rFonts w:ascii="Calibri" w:hAnsi="Calibri"/>
          <w:bCs w:val="0"/>
          <w:kern w:val="2"/>
          <w:szCs w:val="22"/>
          <w:lang/>
        </w:rPr>
      </w:pPr>
      <w:r>
        <w:rPr>
          <w:lang/>
        </w:rPr>
        <w:fldChar w:fldCharType="begin"/>
      </w:r>
      <w:r>
        <w:rPr>
          <w:rStyle w:val="50"/>
          <w:color w:val="auto"/>
          <w:u w:val="none"/>
          <w:lang/>
        </w:rPr>
        <w:instrText xml:space="preserve"> </w:instrText>
      </w:r>
      <w:r>
        <w:rPr>
          <w:lang/>
        </w:rPr>
        <w:instrText xml:space="preserve">HYPERLINK \l "_Toc478453291"</w:instrText>
      </w:r>
      <w:r>
        <w:rPr>
          <w:rStyle w:val="50"/>
          <w:color w:val="auto"/>
          <w:u w:val="none"/>
          <w:lang/>
        </w:rPr>
        <w:instrText xml:space="preserve"> </w:instrText>
      </w:r>
      <w:r>
        <w:rPr>
          <w:lang/>
        </w:rPr>
        <w:fldChar w:fldCharType="separate"/>
      </w:r>
      <w:r>
        <w:rPr>
          <w:rStyle w:val="50"/>
          <w:rFonts w:hint="eastAsia" w:ascii="Calibri" w:eastAsia="黑体" w:cs="Calibri"/>
          <w:color w:val="auto"/>
          <w:kern w:val="0"/>
          <w:u w:val="none"/>
          <w:lang/>
        </w:rPr>
        <w:t>第二章</w:t>
      </w:r>
      <w:r>
        <w:rPr>
          <w:rStyle w:val="50"/>
          <w:rFonts w:ascii="Calibri" w:hAnsi="Calibri" w:eastAsia="黑体" w:cs="Calibri"/>
          <w:color w:val="auto"/>
          <w:kern w:val="0"/>
          <w:u w:val="none"/>
          <w:lang/>
        </w:rPr>
        <w:t xml:space="preserve">  </w:t>
      </w:r>
      <w:r>
        <w:rPr>
          <w:rStyle w:val="50"/>
          <w:rFonts w:hint="eastAsia" w:ascii="Calibri" w:eastAsia="黑体" w:cs="Calibri"/>
          <w:color w:val="auto"/>
          <w:kern w:val="0"/>
          <w:u w:val="none"/>
          <w:lang/>
        </w:rPr>
        <w:t>投标人须知</w:t>
      </w:r>
      <w:r>
        <w:rPr>
          <w:lang/>
        </w:rPr>
        <w:tab/>
      </w:r>
      <w:r>
        <w:rPr>
          <w:lang/>
        </w:rPr>
        <w:fldChar w:fldCharType="begin"/>
      </w:r>
      <w:r>
        <w:rPr>
          <w:lang/>
        </w:rPr>
        <w:instrText xml:space="preserve"> PAGEREF _Toc478453291 \h </w:instrText>
      </w:r>
      <w:r>
        <w:rPr>
          <w:lang/>
        </w:rPr>
        <w:fldChar w:fldCharType="separate"/>
      </w:r>
      <w:r>
        <w:rPr>
          <w:lang/>
        </w:rPr>
        <w:t xml:space="preserve">- </w:t>
      </w:r>
      <w:r>
        <w:rPr>
          <w:rFonts w:hint="eastAsia"/>
          <w:lang w:val="en-US" w:eastAsia="zh-CN"/>
        </w:rPr>
        <w:t>5</w:t>
      </w:r>
      <w:r>
        <w:rPr>
          <w:lang/>
        </w:rPr>
        <w:t xml:space="preserve"> -</w:t>
      </w:r>
      <w:r>
        <w:rPr>
          <w:lang/>
        </w:rPr>
        <w:fldChar w:fldCharType="end"/>
      </w:r>
      <w:r>
        <w:rPr>
          <w:lang/>
        </w:rPr>
        <w:fldChar w:fldCharType="end"/>
      </w:r>
    </w:p>
    <w:p>
      <w:pPr>
        <w:pStyle w:val="30"/>
        <w:rPr>
          <w:rFonts w:ascii="Calibri" w:hAnsi="Calibri"/>
          <w:bCs w:val="0"/>
          <w:kern w:val="2"/>
          <w:szCs w:val="22"/>
          <w:lang/>
        </w:rPr>
      </w:pPr>
      <w:r>
        <w:rPr>
          <w:lang/>
        </w:rPr>
        <w:fldChar w:fldCharType="begin"/>
      </w:r>
      <w:r>
        <w:rPr>
          <w:rStyle w:val="50"/>
          <w:color w:val="auto"/>
          <w:u w:val="none"/>
          <w:lang/>
        </w:rPr>
        <w:instrText xml:space="preserve"> </w:instrText>
      </w:r>
      <w:r>
        <w:rPr>
          <w:lang/>
        </w:rPr>
        <w:instrText xml:space="preserve">HYPERLINK \l "_Toc478453292"</w:instrText>
      </w:r>
      <w:r>
        <w:rPr>
          <w:rStyle w:val="50"/>
          <w:color w:val="auto"/>
          <w:u w:val="none"/>
          <w:lang/>
        </w:rPr>
        <w:instrText xml:space="preserve"> </w:instrText>
      </w:r>
      <w:r>
        <w:rPr>
          <w:lang/>
        </w:rPr>
        <w:fldChar w:fldCharType="separate"/>
      </w:r>
      <w:r>
        <w:rPr>
          <w:rStyle w:val="50"/>
          <w:rFonts w:hint="eastAsia" w:ascii="Calibri" w:hAnsi="Arial" w:eastAsia="黑体" w:cs="Calibri"/>
          <w:color w:val="auto"/>
          <w:u w:val="none"/>
          <w:lang/>
        </w:rPr>
        <w:t>投标人须知前附表</w:t>
      </w:r>
      <w:r>
        <w:rPr>
          <w:lang/>
        </w:rPr>
        <w:tab/>
      </w:r>
      <w:r>
        <w:rPr>
          <w:lang/>
        </w:rPr>
        <w:fldChar w:fldCharType="begin"/>
      </w:r>
      <w:r>
        <w:rPr>
          <w:lang/>
        </w:rPr>
        <w:instrText xml:space="preserve"> PAGEREF _Toc478453292 \h </w:instrText>
      </w:r>
      <w:r>
        <w:rPr>
          <w:lang/>
        </w:rPr>
        <w:fldChar w:fldCharType="separate"/>
      </w:r>
      <w:r>
        <w:rPr>
          <w:lang/>
        </w:rPr>
        <w:t xml:space="preserve">- </w:t>
      </w:r>
      <w:r>
        <w:rPr>
          <w:rFonts w:hint="eastAsia"/>
          <w:lang w:val="en-US" w:eastAsia="zh-CN"/>
        </w:rPr>
        <w:t>5</w:t>
      </w:r>
      <w:r>
        <w:rPr>
          <w:lang/>
        </w:rPr>
        <w:t xml:space="preserve"> -</w:t>
      </w:r>
      <w:r>
        <w:rPr>
          <w:lang/>
        </w:rPr>
        <w:fldChar w:fldCharType="end"/>
      </w:r>
      <w:r>
        <w:rPr>
          <w:lang/>
        </w:rPr>
        <w:fldChar w:fldCharType="end"/>
      </w:r>
    </w:p>
    <w:p>
      <w:pPr>
        <w:pStyle w:val="30"/>
        <w:rPr>
          <w:rFonts w:ascii="Calibri" w:hAnsi="Calibri"/>
          <w:bCs w:val="0"/>
          <w:kern w:val="2"/>
          <w:szCs w:val="22"/>
          <w:lang/>
        </w:rPr>
      </w:pPr>
      <w:r>
        <w:rPr>
          <w:lang/>
        </w:rPr>
        <w:fldChar w:fldCharType="begin"/>
      </w:r>
      <w:r>
        <w:rPr>
          <w:rStyle w:val="50"/>
          <w:color w:val="auto"/>
          <w:u w:val="none"/>
          <w:lang/>
        </w:rPr>
        <w:instrText xml:space="preserve"> </w:instrText>
      </w:r>
      <w:r>
        <w:rPr>
          <w:lang/>
        </w:rPr>
        <w:instrText xml:space="preserve">HYPERLINK \l "_Toc478453293"</w:instrText>
      </w:r>
      <w:r>
        <w:rPr>
          <w:rStyle w:val="50"/>
          <w:color w:val="auto"/>
          <w:u w:val="none"/>
          <w:lang/>
        </w:rPr>
        <w:instrText xml:space="preserve"> </w:instrText>
      </w:r>
      <w:r>
        <w:rPr>
          <w:lang/>
        </w:rPr>
        <w:fldChar w:fldCharType="separate"/>
      </w:r>
      <w:r>
        <w:rPr>
          <w:rStyle w:val="50"/>
          <w:rFonts w:hint="eastAsia" w:ascii="Calibri" w:hAnsi="Calibri" w:eastAsia="黑体" w:cs="Calibri"/>
          <w:color w:val="auto"/>
          <w:kern w:val="0"/>
          <w:u w:val="none"/>
          <w:lang/>
        </w:rPr>
        <w:t>第三章</w:t>
      </w:r>
      <w:r>
        <w:rPr>
          <w:rStyle w:val="50"/>
          <w:rFonts w:ascii="Calibri" w:hAnsi="Calibri" w:eastAsia="黑体" w:cs="Calibri"/>
          <w:color w:val="auto"/>
          <w:kern w:val="0"/>
          <w:u w:val="none"/>
          <w:lang/>
        </w:rPr>
        <w:t xml:space="preserve">  </w:t>
      </w:r>
      <w:r>
        <w:rPr>
          <w:rStyle w:val="50"/>
          <w:rFonts w:hint="eastAsia" w:ascii="Calibri" w:hAnsi="Calibri" w:eastAsia="黑体" w:cs="Calibri"/>
          <w:color w:val="auto"/>
          <w:kern w:val="0"/>
          <w:u w:val="none"/>
          <w:lang/>
        </w:rPr>
        <w:t>货物需求一览表及技术规格</w:t>
      </w:r>
      <w:r>
        <w:rPr>
          <w:lang/>
        </w:rPr>
        <w:tab/>
      </w:r>
      <w:r>
        <w:rPr>
          <w:lang/>
        </w:rPr>
        <w:fldChar w:fldCharType="begin"/>
      </w:r>
      <w:r>
        <w:rPr>
          <w:lang/>
        </w:rPr>
        <w:instrText xml:space="preserve"> PAGEREF _Toc478453293 \h </w:instrText>
      </w:r>
      <w:r>
        <w:rPr>
          <w:lang/>
        </w:rPr>
        <w:fldChar w:fldCharType="separate"/>
      </w:r>
      <w:r>
        <w:rPr>
          <w:lang/>
        </w:rPr>
        <w:t>- 1</w:t>
      </w:r>
      <w:r>
        <w:rPr>
          <w:rFonts w:hint="eastAsia"/>
          <w:lang w:val="en-US" w:eastAsia="zh-CN"/>
        </w:rPr>
        <w:t>4</w:t>
      </w:r>
      <w:r>
        <w:rPr>
          <w:lang/>
        </w:rPr>
        <w:t xml:space="preserve"> -</w:t>
      </w:r>
      <w:r>
        <w:rPr>
          <w:lang/>
        </w:rPr>
        <w:fldChar w:fldCharType="end"/>
      </w:r>
      <w:r>
        <w:rPr>
          <w:lang/>
        </w:rPr>
        <w:fldChar w:fldCharType="end"/>
      </w:r>
    </w:p>
    <w:p>
      <w:pPr>
        <w:pStyle w:val="30"/>
        <w:rPr>
          <w:rFonts w:ascii="Calibri" w:hAnsi="Calibri"/>
          <w:bCs w:val="0"/>
          <w:kern w:val="2"/>
          <w:szCs w:val="22"/>
          <w:lang/>
        </w:rPr>
      </w:pPr>
      <w:r>
        <w:rPr>
          <w:lang/>
        </w:rPr>
        <w:fldChar w:fldCharType="begin"/>
      </w:r>
      <w:r>
        <w:rPr>
          <w:rStyle w:val="50"/>
          <w:color w:val="auto"/>
          <w:u w:val="none"/>
          <w:lang/>
        </w:rPr>
        <w:instrText xml:space="preserve"> </w:instrText>
      </w:r>
      <w:r>
        <w:rPr>
          <w:lang/>
        </w:rPr>
        <w:instrText xml:space="preserve">HYPERLINK \l "_Toc478453294"</w:instrText>
      </w:r>
      <w:r>
        <w:rPr>
          <w:rStyle w:val="50"/>
          <w:color w:val="auto"/>
          <w:u w:val="none"/>
          <w:lang/>
        </w:rPr>
        <w:instrText xml:space="preserve"> </w:instrText>
      </w:r>
      <w:r>
        <w:rPr>
          <w:lang/>
        </w:rPr>
        <w:fldChar w:fldCharType="separate"/>
      </w:r>
      <w:r>
        <w:rPr>
          <w:rStyle w:val="50"/>
          <w:rFonts w:hint="eastAsia" w:ascii="Calibri" w:hAnsi="Calibri" w:eastAsia="黑体" w:cs="Calibri"/>
          <w:color w:val="auto"/>
          <w:kern w:val="0"/>
          <w:u w:val="none"/>
          <w:lang/>
        </w:rPr>
        <w:t>第四章</w:t>
      </w:r>
      <w:r>
        <w:rPr>
          <w:rStyle w:val="50"/>
          <w:rFonts w:ascii="Calibri" w:hAnsi="Calibri" w:eastAsia="黑体" w:cs="Calibri"/>
          <w:color w:val="auto"/>
          <w:kern w:val="0"/>
          <w:u w:val="none"/>
          <w:lang/>
        </w:rPr>
        <w:t xml:space="preserve">  </w:t>
      </w:r>
      <w:r>
        <w:rPr>
          <w:rStyle w:val="50"/>
          <w:rFonts w:hint="eastAsia" w:ascii="Calibri" w:hAnsi="Calibri" w:eastAsia="黑体" w:cs="Calibri"/>
          <w:color w:val="auto"/>
          <w:kern w:val="0"/>
          <w:u w:val="none"/>
          <w:lang/>
        </w:rPr>
        <w:t>合同条款</w:t>
      </w:r>
      <w:r>
        <w:rPr>
          <w:lang/>
        </w:rPr>
        <w:tab/>
      </w:r>
      <w:r>
        <w:rPr>
          <w:lang/>
        </w:rPr>
        <w:fldChar w:fldCharType="begin"/>
      </w:r>
      <w:r>
        <w:rPr>
          <w:lang/>
        </w:rPr>
        <w:instrText xml:space="preserve"> PAGEREF _Toc478453294 \h </w:instrText>
      </w:r>
      <w:r>
        <w:rPr>
          <w:lang/>
        </w:rPr>
        <w:fldChar w:fldCharType="separate"/>
      </w:r>
      <w:r>
        <w:rPr>
          <w:lang/>
        </w:rPr>
        <w:t>- 1</w:t>
      </w:r>
      <w:r>
        <w:rPr>
          <w:rFonts w:hint="eastAsia"/>
          <w:lang w:val="en-US" w:eastAsia="zh-CN"/>
        </w:rPr>
        <w:t>6</w:t>
      </w:r>
      <w:r>
        <w:rPr>
          <w:lang/>
        </w:rPr>
        <w:t xml:space="preserve"> -</w:t>
      </w:r>
      <w:r>
        <w:rPr>
          <w:lang/>
        </w:rPr>
        <w:fldChar w:fldCharType="end"/>
      </w:r>
      <w:r>
        <w:rPr>
          <w:lang/>
        </w:rPr>
        <w:fldChar w:fldCharType="end"/>
      </w:r>
    </w:p>
    <w:p>
      <w:pPr>
        <w:pStyle w:val="30"/>
        <w:rPr>
          <w:lang/>
        </w:rPr>
      </w:pPr>
      <w:r>
        <w:rPr>
          <w:lang/>
        </w:rPr>
        <w:fldChar w:fldCharType="begin"/>
      </w:r>
      <w:r>
        <w:rPr>
          <w:rStyle w:val="50"/>
          <w:color w:val="auto"/>
          <w:u w:val="none"/>
          <w:lang/>
        </w:rPr>
        <w:instrText xml:space="preserve"> </w:instrText>
      </w:r>
      <w:r>
        <w:rPr>
          <w:lang/>
        </w:rPr>
        <w:instrText xml:space="preserve">HYPERLINK \l "_Toc478453303"</w:instrText>
      </w:r>
      <w:r>
        <w:rPr>
          <w:rStyle w:val="50"/>
          <w:color w:val="auto"/>
          <w:u w:val="none"/>
          <w:lang/>
        </w:rPr>
        <w:instrText xml:space="preserve"> </w:instrText>
      </w:r>
      <w:r>
        <w:rPr>
          <w:lang/>
        </w:rPr>
        <w:fldChar w:fldCharType="separate"/>
      </w:r>
      <w:r>
        <w:rPr>
          <w:rStyle w:val="50"/>
          <w:rFonts w:hint="eastAsia" w:ascii="Calibri" w:hAnsi="Calibri" w:eastAsia="黑体" w:cs="Calibri"/>
          <w:color w:val="auto"/>
          <w:kern w:val="0"/>
          <w:u w:val="none"/>
          <w:lang/>
        </w:rPr>
        <w:t>第五章</w:t>
      </w:r>
      <w:r>
        <w:rPr>
          <w:rStyle w:val="50"/>
          <w:rFonts w:ascii="Calibri" w:hAnsi="Calibri" w:eastAsia="黑体" w:cs="Calibri"/>
          <w:color w:val="auto"/>
          <w:kern w:val="0"/>
          <w:u w:val="none"/>
          <w:lang/>
        </w:rPr>
        <w:t xml:space="preserve">  </w:t>
      </w:r>
      <w:r>
        <w:rPr>
          <w:rStyle w:val="50"/>
          <w:rFonts w:hint="eastAsia" w:ascii="Calibri" w:hAnsi="Calibri" w:eastAsia="黑体" w:cs="Calibri"/>
          <w:color w:val="auto"/>
          <w:kern w:val="0"/>
          <w:u w:val="none"/>
          <w:lang/>
        </w:rPr>
        <w:t>评标方法及标准</w:t>
      </w:r>
      <w:r>
        <w:rPr>
          <w:lang/>
        </w:rPr>
        <w:tab/>
      </w:r>
      <w:r>
        <w:rPr>
          <w:lang/>
        </w:rPr>
        <w:fldChar w:fldCharType="begin"/>
      </w:r>
      <w:r>
        <w:rPr>
          <w:lang/>
        </w:rPr>
        <w:instrText xml:space="preserve"> PAGEREF _Toc478453303 \h </w:instrText>
      </w:r>
      <w:r>
        <w:rPr>
          <w:lang/>
        </w:rPr>
        <w:fldChar w:fldCharType="separate"/>
      </w:r>
      <w:r>
        <w:rPr>
          <w:lang/>
        </w:rPr>
        <w:t xml:space="preserve">- </w:t>
      </w:r>
      <w:r>
        <w:rPr>
          <w:rFonts w:hint="eastAsia"/>
          <w:lang w:val="en-US" w:eastAsia="zh-CN"/>
        </w:rPr>
        <w:t>22</w:t>
      </w:r>
      <w:r>
        <w:rPr>
          <w:lang/>
        </w:rPr>
        <w:t>-</w:t>
      </w:r>
      <w:r>
        <w:rPr>
          <w:lang/>
        </w:rPr>
        <w:fldChar w:fldCharType="end"/>
      </w:r>
      <w:r>
        <w:rPr>
          <w:lang/>
        </w:rPr>
        <w:fldChar w:fldCharType="end"/>
      </w:r>
    </w:p>
    <w:p>
      <w:pPr>
        <w:pStyle w:val="30"/>
        <w:jc w:val="left"/>
        <w:rPr>
          <w:rStyle w:val="50"/>
          <w:rFonts w:ascii="Calibri" w:hAnsi="Calibri" w:eastAsia="黑体" w:cs="Calibri"/>
          <w:color w:val="auto"/>
          <w:kern w:val="0"/>
          <w:u w:val="none"/>
          <w:lang/>
        </w:rPr>
      </w:pPr>
      <w:r>
        <w:rPr>
          <w:rStyle w:val="50"/>
          <w:rFonts w:hint="eastAsia" w:ascii="Calibri" w:hAnsi="Calibri" w:eastAsia="黑体" w:cs="Calibri"/>
          <w:color w:val="auto"/>
          <w:kern w:val="0"/>
          <w:u w:val="none"/>
          <w:lang/>
        </w:rPr>
        <w:t>第六章  投标文件格式</w:t>
      </w:r>
      <w:r>
        <w:rPr>
          <w:rStyle w:val="50"/>
          <w:rFonts w:ascii="Calibri" w:hAnsi="Calibri" w:eastAsia="黑体" w:cs="Calibri"/>
          <w:color w:val="auto"/>
          <w:kern w:val="0"/>
          <w:u w:val="none"/>
          <w:lang/>
        </w:rPr>
        <w:tab/>
      </w:r>
      <w:r>
        <w:rPr>
          <w:rFonts w:ascii="Calibri" w:hAnsi="Calibri" w:eastAsia="黑体" w:cs="Calibri"/>
          <w:kern w:val="0"/>
          <w:lang/>
        </w:rPr>
        <w:fldChar w:fldCharType="begin"/>
      </w:r>
      <w:r>
        <w:rPr>
          <w:rStyle w:val="50"/>
          <w:rFonts w:ascii="Calibri" w:hAnsi="Calibri" w:eastAsia="黑体" w:cs="Calibri"/>
          <w:color w:val="auto"/>
          <w:kern w:val="0"/>
          <w:u w:val="none"/>
          <w:lang/>
        </w:rPr>
        <w:instrText xml:space="preserve"> PAGEREF _Toc478453303 \h </w:instrText>
      </w:r>
      <w:r>
        <w:rPr>
          <w:rFonts w:ascii="Calibri" w:hAnsi="Calibri" w:eastAsia="黑体" w:cs="Calibri"/>
          <w:kern w:val="0"/>
          <w:lang/>
        </w:rPr>
        <w:fldChar w:fldCharType="separate"/>
      </w:r>
      <w:r>
        <w:rPr>
          <w:rStyle w:val="50"/>
          <w:rFonts w:ascii="Calibri" w:hAnsi="Calibri" w:eastAsia="黑体" w:cs="Calibri"/>
          <w:color w:val="auto"/>
          <w:kern w:val="0"/>
          <w:u w:val="none"/>
          <w:lang/>
        </w:rPr>
        <w:t xml:space="preserve">- </w:t>
      </w:r>
      <w:r>
        <w:rPr>
          <w:rStyle w:val="50"/>
          <w:rFonts w:hint="eastAsia" w:ascii="Calibri" w:hAnsi="Calibri" w:eastAsia="黑体" w:cs="Calibri"/>
          <w:color w:val="auto"/>
          <w:kern w:val="0"/>
          <w:u w:val="none"/>
          <w:lang w:val="en-US" w:eastAsia="zh-CN"/>
        </w:rPr>
        <w:t>24</w:t>
      </w:r>
      <w:r>
        <w:rPr>
          <w:rStyle w:val="50"/>
          <w:rFonts w:ascii="Calibri" w:hAnsi="Calibri" w:eastAsia="黑体" w:cs="Calibri"/>
          <w:color w:val="auto"/>
          <w:kern w:val="0"/>
          <w:u w:val="none"/>
          <w:lang/>
        </w:rPr>
        <w:t xml:space="preserve"> -</w:t>
      </w:r>
      <w:r>
        <w:rPr>
          <w:rFonts w:ascii="Calibri" w:hAnsi="Calibri" w:eastAsia="黑体" w:cs="Calibri"/>
          <w:kern w:val="0"/>
          <w:lang/>
        </w:rPr>
        <w:fldChar w:fldCharType="end"/>
      </w:r>
    </w:p>
    <w:p>
      <w:pPr>
        <w:spacing w:line="480" w:lineRule="auto"/>
        <w:rPr>
          <w:rFonts w:cs="Calibri"/>
          <w:sz w:val="24"/>
        </w:rPr>
      </w:pPr>
      <w:r>
        <w:rPr>
          <w:rFonts w:hint="eastAsia" w:ascii="黑体" w:hAnsi="黑体" w:eastAsia="黑体" w:cs="Calibri"/>
          <w:sz w:val="22"/>
        </w:rPr>
        <w:fldChar w:fldCharType="end"/>
      </w:r>
    </w:p>
    <w:p>
      <w:pPr>
        <w:pStyle w:val="2"/>
        <w:numPr>
          <w:ilvl w:val="0"/>
          <w:numId w:val="1"/>
        </w:numPr>
        <w:spacing w:before="0" w:after="0" w:line="360" w:lineRule="auto"/>
        <w:jc w:val="center"/>
        <w:rPr>
          <w:rFonts w:hint="eastAsia" w:ascii="Calibri" w:eastAsia="黑体" w:cs="Calibri"/>
          <w:kern w:val="0"/>
          <w:sz w:val="32"/>
        </w:rPr>
      </w:pPr>
      <w:r>
        <w:rPr>
          <w:rFonts w:ascii="Calibri" w:hAnsi="Calibri" w:cs="Calibri"/>
        </w:rPr>
        <w:br w:type="page"/>
      </w:r>
      <w:bookmarkStart w:id="13" w:name="_Toc478453290"/>
      <w:bookmarkStart w:id="14" w:name="_Toc248766631"/>
      <w:bookmarkStart w:id="15" w:name="_Toc249322950"/>
      <w:r>
        <w:rPr>
          <w:rFonts w:hint="eastAsia" w:ascii="Calibri" w:eastAsia="黑体" w:cs="Calibri"/>
          <w:kern w:val="0"/>
          <w:sz w:val="32"/>
        </w:rPr>
        <w:t>招标公告</w:t>
      </w:r>
      <w:bookmarkEnd w:id="13"/>
    </w:p>
    <w:p>
      <w:pPr>
        <w:widowControl/>
        <w:numPr>
          <w:numId w:val="0"/>
        </w:numPr>
        <w:snapToGrid w:val="0"/>
        <w:spacing w:line="340" w:lineRule="exact"/>
        <w:ind w:leftChars="0"/>
        <w:jc w:val="left"/>
        <w:rPr>
          <w:rFonts w:ascii="Arial" w:hAnsi="Arial" w:cs="Arial"/>
          <w:b/>
          <w:bCs/>
          <w:kern w:val="0"/>
          <w:sz w:val="22"/>
        </w:rPr>
      </w:pPr>
      <w:bookmarkStart w:id="122" w:name="_GoBack"/>
      <w:r>
        <w:rPr>
          <w:rFonts w:hint="eastAsia" w:ascii="Arial" w:hAnsi="Arial" w:cs="Arial"/>
          <w:b/>
          <w:bCs/>
          <w:kern w:val="0"/>
          <w:sz w:val="22"/>
          <w:lang w:eastAsia="zh-CN"/>
        </w:rPr>
        <w:t>一、</w:t>
      </w:r>
      <w:r>
        <w:rPr>
          <w:rFonts w:hint="eastAsia" w:ascii="Arial" w:hAnsi="Arial" w:cs="Arial"/>
          <w:b/>
          <w:bCs/>
          <w:kern w:val="0"/>
          <w:sz w:val="22"/>
        </w:rPr>
        <w:t>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1.项目概况：杭州萧山国际机场对AOC楼9楼应急会议系统现有的视频矩阵进行更新，满足会议需求。服务内容包含所有设备采购、运输、安装、调试以及对机场工作人员使用培训等工作。</w:t>
      </w:r>
    </w:p>
    <w:p>
      <w:pPr>
        <w:widowControl/>
        <w:adjustRightInd w:val="0"/>
        <w:snapToGrid w:val="0"/>
        <w:spacing w:line="340" w:lineRule="exact"/>
        <w:ind w:firstLine="440" w:firstLineChars="200"/>
        <w:rPr>
          <w:rStyle w:val="51"/>
        </w:rPr>
      </w:pPr>
      <w:r>
        <w:rPr>
          <w:rFonts w:hint="eastAsia" w:ascii="宋体" w:hAnsi="宋体" w:cs="Arial"/>
          <w:kern w:val="0"/>
          <w:sz w:val="22"/>
        </w:rPr>
        <w:t>2.招标货物名称、数量及主要技术规格, 详见第三章 “货物需求一览表及技术规格”。</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1</w:t>
      </w:r>
      <w:r>
        <w:rPr>
          <w:rFonts w:hint="eastAsia" w:ascii="宋体" w:hAnsi="宋体" w:cs="Arial"/>
          <w:kern w:val="0"/>
          <w:sz w:val="22"/>
          <w:lang w:eastAsia="zh-CN"/>
        </w:rPr>
        <w:t>）</w:t>
      </w:r>
      <w:r>
        <w:rPr>
          <w:rFonts w:hint="eastAsia" w:ascii="宋体" w:hAnsi="宋体" w:cs="Arial"/>
          <w:kern w:val="0"/>
          <w:sz w:val="22"/>
        </w:rPr>
        <w:t>具有独立法人资格的企业，注册资本金不低于人民币100万元或等值外币(按投标截止日中国人民银行公布的汇率中间价换算)，需提供营业执照复印件并加盖公章；</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（2）依据最</w:t>
      </w:r>
      <w:r>
        <w:rPr>
          <w:rFonts w:hint="eastAsia" w:ascii="宋体" w:hAnsi="宋体" w:cs="Arial"/>
          <w:kern w:val="0"/>
          <w:sz w:val="22"/>
        </w:rPr>
        <w:t xml:space="preserve">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u w:val="single"/>
        </w:rPr>
        <w:t>：2019年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15</w:t>
      </w:r>
      <w:r>
        <w:rPr>
          <w:rFonts w:hint="eastAsia" w:ascii="宋体" w:hAnsi="宋体" w:cs="Arial"/>
          <w:kern w:val="0"/>
          <w:sz w:val="22"/>
          <w:u w:val="single"/>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u w:val="single"/>
        </w:rPr>
        <w:t>2019年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15</w:t>
      </w:r>
      <w:r>
        <w:rPr>
          <w:rFonts w:hint="eastAsia" w:ascii="宋体" w:hAnsi="宋体" w:cs="Arial"/>
          <w:kern w:val="0"/>
          <w:sz w:val="22"/>
          <w:u w:val="single"/>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u w:val="single"/>
        </w:rPr>
        <w:t>2019年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15</w:t>
      </w:r>
      <w:r>
        <w:rPr>
          <w:rFonts w:hint="eastAsia" w:ascii="宋体" w:hAnsi="宋体" w:cs="Arial"/>
          <w:kern w:val="0"/>
          <w:sz w:val="22"/>
          <w:u w:val="single"/>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snapToGrid w:val="0"/>
        <w:spacing w:line="340" w:lineRule="exact"/>
        <w:jc w:val="left"/>
        <w:rPr>
          <w:rFonts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bookmarkStart w:id="16" w:name="_Toc478453291"/>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w:t>
      </w:r>
      <w:r>
        <w:rPr>
          <w:rFonts w:ascii="宋体" w:hAnsi="宋体"/>
          <w:sz w:val="22"/>
        </w:rPr>
        <w:t>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bookmarkEnd w:id="122"/>
    <w:p>
      <w:pPr>
        <w:pStyle w:val="68"/>
        <w:ind w:firstLine="640"/>
      </w:pPr>
    </w:p>
    <w:p>
      <w:pPr>
        <w:pStyle w:val="2"/>
        <w:spacing w:before="0" w:after="0" w:line="360" w:lineRule="auto"/>
        <w:rPr>
          <w:rFonts w:ascii="Calibri" w:eastAsia="黑体" w:cs="Calibri"/>
          <w:kern w:val="0"/>
          <w:sz w:val="32"/>
        </w:rPr>
      </w:pPr>
    </w:p>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
    <w:p/>
    <w:p/>
    <w:p>
      <w:pPr>
        <w:pStyle w:val="2"/>
        <w:spacing w:before="0" w:after="0" w:line="36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pStyle w:val="2"/>
        <w:spacing w:before="0" w:after="0" w:line="360" w:lineRule="auto"/>
        <w:jc w:val="center"/>
        <w:rPr>
          <w:rFonts w:ascii="Calibri" w:hAnsi="Calibri" w:eastAsia="黑体" w:cs="Calibri"/>
          <w:kern w:val="0"/>
          <w:sz w:val="32"/>
        </w:rPr>
      </w:pPr>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14"/>
      <w:bookmarkEnd w:id="15"/>
      <w:bookmarkEnd w:id="16"/>
      <w:bookmarkStart w:id="17" w:name="_Toc143421654"/>
    </w:p>
    <w:p>
      <w:pPr>
        <w:pStyle w:val="90"/>
        <w:jc w:val="center"/>
        <w:rPr>
          <w:rFonts w:ascii="Calibri" w:hAnsi="Calibri" w:eastAsia="黑体" w:cs="Calibri"/>
          <w:kern w:val="2"/>
          <w:sz w:val="28"/>
          <w:szCs w:val="32"/>
        </w:rPr>
      </w:pPr>
      <w:bookmarkStart w:id="18" w:name="_Toc386363317"/>
      <w:bookmarkStart w:id="19" w:name="_Toc444173459"/>
      <w:bookmarkStart w:id="20" w:name="_Toc444811409"/>
      <w:bookmarkStart w:id="21" w:name="_Toc349007688"/>
      <w:bookmarkStart w:id="22" w:name="_Toc349011858"/>
      <w:bookmarkStart w:id="23" w:name="_Toc448002984"/>
      <w:bookmarkStart w:id="24" w:name="_Toc386359393"/>
      <w:bookmarkStart w:id="25" w:name="_Toc400369185"/>
      <w:bookmarkStart w:id="26" w:name="_Toc478453292"/>
      <w:bookmarkStart w:id="27" w:name="_Toc444174979"/>
      <w:bookmarkStart w:id="28" w:name="_Toc11881"/>
      <w:r>
        <w:rPr>
          <w:rFonts w:ascii="Calibri" w:hAnsi="Arial" w:eastAsia="黑体" w:cs="Calibri"/>
          <w:kern w:val="2"/>
          <w:sz w:val="28"/>
          <w:szCs w:val="32"/>
        </w:rPr>
        <w:t>投标人须知前附表</w:t>
      </w:r>
      <w:bookmarkEnd w:id="17"/>
      <w:bookmarkEnd w:id="18"/>
      <w:bookmarkEnd w:id="19"/>
      <w:bookmarkEnd w:id="20"/>
      <w:bookmarkEnd w:id="21"/>
      <w:bookmarkEnd w:id="22"/>
      <w:bookmarkEnd w:id="23"/>
      <w:bookmarkEnd w:id="24"/>
      <w:bookmarkEnd w:id="25"/>
      <w:bookmarkEnd w:id="26"/>
      <w:bookmarkEnd w:id="27"/>
      <w:bookmarkEnd w:id="28"/>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eastAsia" w:ascii="宋体" w:hAnsi="宋体" w:cs="Calibri"/>
                <w:kern w:val="0"/>
                <w:sz w:val="22"/>
              </w:rPr>
            </w:pPr>
            <w:r>
              <w:rPr>
                <w:rFonts w:hint="eastAsia" w:ascii="宋体" w:hAnsi="宋体" w:cs="Calibri"/>
                <w:kern w:val="0"/>
                <w:sz w:val="22"/>
              </w:rPr>
              <w:t>杭州萧山国际机场AOC楼9楼应急会议系统视频矩阵采购及相关服务项目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rPr>
                <w:rFonts w:ascii="宋体" w:hAnsi="宋体"/>
                <w:sz w:val="22"/>
                <w:u w:val="single"/>
              </w:rPr>
            </w:pPr>
            <w:r>
              <w:rPr>
                <w:rFonts w:hint="eastAsia" w:ascii="宋体" w:hAnsi="宋体"/>
                <w:sz w:val="22"/>
                <w:u w:val="single"/>
              </w:rPr>
              <w:t>合同生效之日起30日历天内（含安装调试）</w:t>
            </w:r>
          </w:p>
          <w:p>
            <w:pPr>
              <w:rPr>
                <w:rFonts w:hint="eastAsia" w:ascii="宋体" w:hAnsi="宋体"/>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szCs w:val="21"/>
              </w:rPr>
              <w:t>符合国家相关标准。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u w:val="single"/>
              </w:rPr>
              <w:t>2019年</w:t>
            </w:r>
            <w:r>
              <w:rPr>
                <w:rFonts w:hint="eastAsia" w:ascii="宋体" w:hAnsi="宋体" w:cs="Calibri"/>
                <w:kern w:val="0"/>
                <w:sz w:val="22"/>
                <w:u w:val="single"/>
                <w:lang w:val="en-US" w:eastAsia="zh-CN"/>
              </w:rPr>
              <w:t>8</w:t>
            </w:r>
            <w:r>
              <w:rPr>
                <w:rFonts w:hint="eastAsia" w:ascii="宋体" w:hAnsi="宋体" w:cs="Calibri"/>
                <w:kern w:val="0"/>
                <w:sz w:val="22"/>
                <w:u w:val="single"/>
              </w:rPr>
              <w:t>月</w:t>
            </w:r>
            <w:r>
              <w:rPr>
                <w:rFonts w:hint="eastAsia" w:ascii="宋体" w:hAnsi="宋体" w:cs="Calibri"/>
                <w:kern w:val="0"/>
                <w:sz w:val="22"/>
                <w:u w:val="single"/>
                <w:lang w:val="en-US" w:eastAsia="zh-CN"/>
              </w:rPr>
              <w:t>7</w:t>
            </w:r>
            <w:r>
              <w:rPr>
                <w:rFonts w:hint="eastAsia" w:ascii="宋体" w:hAnsi="宋体" w:cs="Calibri"/>
                <w:kern w:val="0"/>
                <w:sz w:val="22"/>
                <w:u w:val="single"/>
              </w:rPr>
              <w:t>日</w:t>
            </w:r>
            <w:r>
              <w:rPr>
                <w:rFonts w:hint="eastAsia" w:ascii="宋体" w:hAnsi="宋体" w:cs="Calibri"/>
                <w:kern w:val="0"/>
                <w:sz w:val="22"/>
              </w:rPr>
              <w:t>11：30前，以书面加盖公章的形式通过E-mail或传真提交给招标人（投标联系人:贾工，电话0571-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u w:val="single"/>
              </w:rPr>
              <w:t>2019年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15</w:t>
            </w:r>
            <w:r>
              <w:rPr>
                <w:rFonts w:hint="eastAsia" w:ascii="宋体" w:hAnsi="宋体" w:cs="Arial"/>
                <w:kern w:val="0"/>
                <w:sz w:val="22"/>
                <w:u w:val="single"/>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 xml:space="preserve"> </w:t>
            </w:r>
            <w:r>
              <w:rPr>
                <w:rFonts w:ascii="宋体" w:hAnsi="宋体" w:cs="Calibri"/>
                <w:kern w:val="0"/>
                <w:sz w:val="22"/>
                <w:u w:val="single"/>
              </w:rPr>
              <w:t xml:space="preserve">                    </w:t>
            </w:r>
            <w:r>
              <w:rPr>
                <w:rFonts w:hint="eastAsia"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cs="Calibri"/>
                <w:kern w:val="0"/>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hint="eastAsia"/>
              </w:rPr>
            </w:pPr>
            <w:r>
              <w:rPr>
                <w:rFonts w:ascii="宋体" w:hAnsi="宋体"/>
                <w:sz w:val="22"/>
              </w:rPr>
              <w:t>履约担保的金额：</w:t>
            </w:r>
            <w:r>
              <w:rPr>
                <w:rFonts w:hint="eastAsia" w:ascii="宋体" w:hAnsi="宋体"/>
                <w:sz w:val="22"/>
              </w:rPr>
              <w:t>合同总价1</w:t>
            </w:r>
            <w:r>
              <w:rPr>
                <w:rFonts w:ascii="宋体" w:hAnsi="宋体"/>
                <w:sz w:val="22"/>
              </w:rPr>
              <w:t>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kern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snapToGrid/>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kern w:val="0"/>
                <w:sz w:val="22"/>
              </w:rPr>
            </w:pPr>
            <w:r>
              <w:rPr>
                <w:rFonts w:ascii="宋体" w:hAnsi="宋体" w:cs="Calibri"/>
                <w:snapToGrid w:val="0"/>
                <w:kern w:val="0"/>
                <w:sz w:val="22"/>
              </w:rPr>
              <w:t>2、本前附表内容与招标文件其他内容不一致之处，以本前附表为准。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9" w:name="_Toc143421656"/>
      <w:bookmarkStart w:id="30"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bookmarkEnd w:id="29"/>
      <w:bookmarkEnd w:id="30"/>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bookmarkStart w:id="31" w:name="_Toc26216"/>
      <w:r>
        <w:rPr>
          <w:rFonts w:ascii="宋体" w:hAnsi="宋体" w:cs="Calibri"/>
          <w:b/>
          <w:bCs/>
          <w:kern w:val="0"/>
          <w:sz w:val="22"/>
        </w:rPr>
        <w:t>1.1 项目</w:t>
      </w:r>
      <w:bookmarkEnd w:id="31"/>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w:t>
      </w:r>
      <w:r>
        <w:rPr>
          <w:rFonts w:hint="eastAsia" w:ascii="宋体" w:hAnsi="宋体" w:cs="Calibri"/>
          <w:kern w:val="0"/>
          <w:sz w:val="22"/>
        </w:rPr>
        <w:t>《浙江省招投标条例》</w:t>
      </w:r>
      <w:r>
        <w:rPr>
          <w:rFonts w:ascii="宋体" w:hAnsi="宋体" w:cs="Calibri"/>
          <w:kern w:val="0"/>
          <w:sz w:val="22"/>
        </w:rPr>
        <w:t>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3"/>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3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3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7"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3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3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38"/>
    </w:p>
    <w:p>
      <w:pPr>
        <w:adjustRightInd w:val="0"/>
        <w:snapToGrid w:val="0"/>
        <w:spacing w:line="360" w:lineRule="exact"/>
        <w:ind w:firstLine="440" w:firstLineChars="200"/>
        <w:rPr>
          <w:rFonts w:ascii="宋体" w:hAnsi="宋体" w:cs="Calibri"/>
          <w:sz w:val="22"/>
        </w:rPr>
      </w:pPr>
      <w:bookmarkStart w:id="39" w:name="_Toc4199"/>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3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0"/>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不允许。</w:t>
      </w:r>
    </w:p>
    <w:p>
      <w:pPr>
        <w:autoSpaceDE w:val="0"/>
        <w:autoSpaceDN w:val="0"/>
        <w:adjustRightInd w:val="0"/>
        <w:snapToGrid w:val="0"/>
        <w:spacing w:line="360" w:lineRule="exact"/>
        <w:rPr>
          <w:rFonts w:ascii="宋体" w:hAnsi="宋体" w:cs="Calibri"/>
          <w:b/>
          <w:bCs/>
          <w:kern w:val="0"/>
          <w:sz w:val="22"/>
        </w:rPr>
      </w:pPr>
      <w:bookmarkStart w:id="4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1"/>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2" w:name="_Toc143421657"/>
      <w:bookmarkStart w:id="43" w:name="_Toc15241"/>
      <w:r>
        <w:rPr>
          <w:rFonts w:ascii="宋体" w:hAnsi="宋体" w:cs="Calibri"/>
          <w:b/>
          <w:bCs/>
          <w:kern w:val="0"/>
          <w:sz w:val="22"/>
        </w:rPr>
        <w:t>2.招标文件</w:t>
      </w:r>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1426"/>
      <w:r>
        <w:rPr>
          <w:rFonts w:ascii="宋体" w:hAnsi="宋体" w:cs="Calibri"/>
          <w:b/>
          <w:bCs/>
          <w:kern w:val="0"/>
          <w:sz w:val="22"/>
        </w:rPr>
        <w:t>2.1 招标文件的组成</w:t>
      </w:r>
      <w:bookmarkEnd w:id="4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采购内容、技术标准及要求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45" w:name="_Toc18230"/>
      <w:r>
        <w:rPr>
          <w:rFonts w:ascii="宋体" w:hAnsi="宋体" w:cs="Calibri"/>
          <w:b/>
          <w:bCs/>
          <w:kern w:val="0"/>
          <w:sz w:val="22"/>
        </w:rPr>
        <w:t>2.2 招标文件的澄清</w:t>
      </w:r>
      <w:bookmarkEnd w:id="45"/>
    </w:p>
    <w:p>
      <w:pPr>
        <w:adjustRightInd w:val="0"/>
        <w:snapToGrid w:val="0"/>
        <w:spacing w:line="360" w:lineRule="exact"/>
        <w:ind w:firstLine="440"/>
        <w:rPr>
          <w:rFonts w:ascii="宋体" w:hAnsi="宋体" w:cs="Calibri"/>
          <w:sz w:val="22"/>
        </w:rPr>
      </w:pPr>
      <w:bookmarkStart w:id="46"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4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47" w:name="_Toc143421658"/>
      <w:bookmarkStart w:id="48" w:name="_Toc18870"/>
      <w:r>
        <w:rPr>
          <w:rFonts w:ascii="宋体" w:hAnsi="宋体" w:cs="Calibri"/>
          <w:b/>
          <w:bCs/>
          <w:kern w:val="0"/>
          <w:sz w:val="22"/>
        </w:rPr>
        <w:t>3.投标文件</w:t>
      </w:r>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461"/>
      <w:r>
        <w:rPr>
          <w:rFonts w:ascii="宋体" w:hAnsi="宋体" w:cs="Calibri"/>
          <w:b/>
          <w:bCs/>
          <w:kern w:val="0"/>
          <w:sz w:val="22"/>
        </w:rPr>
        <w:t>3.1 投标文件的语言和计量单位</w:t>
      </w:r>
      <w:bookmarkEnd w:id="49"/>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采购</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50" w:name="_Toc1411"/>
      <w:r>
        <w:rPr>
          <w:rFonts w:ascii="宋体" w:hAnsi="宋体" w:cs="Calibri"/>
          <w:b/>
          <w:bCs/>
          <w:kern w:val="0"/>
          <w:sz w:val="22"/>
        </w:rPr>
        <w:t>3.2 投标文件的组成</w:t>
      </w:r>
      <w:bookmarkEnd w:id="50"/>
    </w:p>
    <w:p>
      <w:pPr>
        <w:adjustRightInd w:val="0"/>
        <w:snapToGrid w:val="0"/>
        <w:spacing w:line="276" w:lineRule="auto"/>
        <w:ind w:firstLine="440"/>
        <w:rPr>
          <w:rFonts w:ascii="宋体" w:hAnsi="宋体" w:cs="Calibri"/>
          <w:sz w:val="22"/>
        </w:rPr>
      </w:pPr>
      <w:bookmarkStart w:id="51" w:name="_Toc32225"/>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1"/>
    </w:p>
    <w:p>
      <w:pPr>
        <w:adjustRightInd w:val="0"/>
        <w:snapToGrid w:val="0"/>
        <w:spacing w:line="276" w:lineRule="auto"/>
        <w:ind w:firstLine="440"/>
        <w:rPr>
          <w:rFonts w:ascii="宋体" w:hAnsi="宋体" w:cs="Calibri"/>
          <w:sz w:val="22"/>
        </w:rPr>
      </w:pPr>
      <w:bookmarkStart w:id="52"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3" w:name="_Toc30464"/>
      <w:r>
        <w:rPr>
          <w:rFonts w:ascii="宋体" w:hAnsi="宋体" w:cs="Calibri"/>
          <w:b/>
          <w:bCs/>
          <w:kern w:val="0"/>
          <w:sz w:val="22"/>
        </w:rPr>
        <w:t>3.5 投标保证金</w:t>
      </w:r>
      <w:bookmarkEnd w:id="5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54"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54"/>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55" w:name="_Toc143421659"/>
    </w:p>
    <w:p>
      <w:pPr>
        <w:autoSpaceDE w:val="0"/>
        <w:autoSpaceDN w:val="0"/>
        <w:adjustRightInd w:val="0"/>
        <w:snapToGrid w:val="0"/>
        <w:spacing w:line="360" w:lineRule="exact"/>
        <w:rPr>
          <w:rFonts w:ascii="宋体" w:hAnsi="宋体" w:cs="Calibri"/>
          <w:b/>
          <w:bCs/>
          <w:kern w:val="0"/>
          <w:sz w:val="22"/>
        </w:rPr>
      </w:pPr>
      <w:bookmarkStart w:id="56" w:name="_Toc32652"/>
      <w:r>
        <w:rPr>
          <w:rFonts w:ascii="宋体" w:hAnsi="宋体" w:cs="Calibri"/>
          <w:b/>
          <w:bCs/>
          <w:kern w:val="0"/>
          <w:sz w:val="22"/>
        </w:rPr>
        <w:t>4.投标</w:t>
      </w:r>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649"/>
      <w:r>
        <w:rPr>
          <w:rFonts w:ascii="宋体" w:hAnsi="宋体" w:cs="Calibri"/>
          <w:b/>
          <w:bCs/>
          <w:kern w:val="0"/>
          <w:sz w:val="22"/>
        </w:rPr>
        <w:t>4.1 投标文件的密封和标识</w:t>
      </w:r>
      <w:bookmarkEnd w:id="57"/>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58" w:name="_Toc16616"/>
      <w:r>
        <w:rPr>
          <w:rFonts w:ascii="宋体" w:hAnsi="宋体" w:cs="Calibri"/>
          <w:b/>
          <w:bCs/>
          <w:kern w:val="0"/>
          <w:sz w:val="22"/>
        </w:rPr>
        <w:t xml:space="preserve">4.2 投标文件的递交 </w:t>
      </w:r>
      <w:bookmarkEnd w:id="58"/>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59" w:name="_Toc26099"/>
      <w:r>
        <w:rPr>
          <w:rFonts w:ascii="宋体" w:hAnsi="宋体" w:cs="Calibri"/>
          <w:b/>
          <w:bCs/>
          <w:kern w:val="0"/>
          <w:sz w:val="22"/>
        </w:rPr>
        <w:t>4.3 投标文件的修改和撤回</w:t>
      </w:r>
      <w:bookmarkEnd w:id="5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0" w:name="_Toc29641"/>
      <w:r>
        <w:rPr>
          <w:rFonts w:ascii="宋体" w:hAnsi="宋体" w:cs="Calibri"/>
          <w:b/>
          <w:bCs/>
          <w:kern w:val="0"/>
          <w:sz w:val="22"/>
        </w:rPr>
        <w:t>5.开标</w:t>
      </w:r>
      <w:bookmarkEnd w:id="60"/>
    </w:p>
    <w:p>
      <w:pPr>
        <w:autoSpaceDE w:val="0"/>
        <w:autoSpaceDN w:val="0"/>
        <w:adjustRightInd w:val="0"/>
        <w:snapToGrid w:val="0"/>
        <w:spacing w:line="360" w:lineRule="exact"/>
        <w:rPr>
          <w:rFonts w:ascii="宋体" w:hAnsi="宋体" w:cs="Calibri"/>
          <w:b/>
          <w:bCs/>
          <w:kern w:val="0"/>
          <w:sz w:val="22"/>
        </w:rPr>
      </w:pPr>
      <w:bookmarkStart w:id="61" w:name="_Toc15123"/>
      <w:r>
        <w:rPr>
          <w:rFonts w:ascii="宋体" w:hAnsi="宋体" w:cs="Calibri"/>
          <w:b/>
          <w:bCs/>
          <w:kern w:val="0"/>
          <w:sz w:val="22"/>
        </w:rPr>
        <w:t>5.1 开标时间和地点</w:t>
      </w:r>
      <w:bookmarkEnd w:id="61"/>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2"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3" w:name="_Toc31578"/>
      <w:r>
        <w:rPr>
          <w:rFonts w:ascii="宋体" w:hAnsi="宋体" w:cs="Calibri"/>
          <w:b/>
          <w:bCs/>
          <w:kern w:val="0"/>
          <w:sz w:val="22"/>
        </w:rPr>
        <w:t>6.评标</w:t>
      </w:r>
      <w:bookmarkEnd w:id="63"/>
    </w:p>
    <w:p>
      <w:pPr>
        <w:autoSpaceDE w:val="0"/>
        <w:autoSpaceDN w:val="0"/>
        <w:adjustRightInd w:val="0"/>
        <w:snapToGrid w:val="0"/>
        <w:spacing w:line="360" w:lineRule="exact"/>
        <w:rPr>
          <w:rFonts w:ascii="宋体" w:hAnsi="宋体" w:cs="Calibri"/>
          <w:b/>
          <w:bCs/>
          <w:kern w:val="0"/>
          <w:sz w:val="22"/>
        </w:rPr>
      </w:pPr>
      <w:bookmarkStart w:id="64" w:name="_Toc10279"/>
      <w:r>
        <w:rPr>
          <w:rFonts w:ascii="宋体" w:hAnsi="宋体" w:cs="Calibri"/>
          <w:b/>
          <w:bCs/>
          <w:kern w:val="0"/>
          <w:sz w:val="22"/>
        </w:rPr>
        <w:t>6.1 评标委员会</w:t>
      </w:r>
      <w:bookmarkEnd w:id="6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65" w:name="_Toc3460"/>
      <w:r>
        <w:rPr>
          <w:rFonts w:ascii="宋体" w:hAnsi="宋体" w:cs="Calibri"/>
          <w:b/>
          <w:bCs/>
          <w:kern w:val="0"/>
          <w:sz w:val="22"/>
        </w:rPr>
        <w:t>6.2 评标原则</w:t>
      </w:r>
      <w:bookmarkEnd w:id="6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66" w:name="_Toc28178"/>
      <w:r>
        <w:rPr>
          <w:rFonts w:ascii="宋体" w:hAnsi="宋体" w:cs="Calibri"/>
          <w:b/>
          <w:bCs/>
          <w:kern w:val="0"/>
          <w:sz w:val="22"/>
        </w:rPr>
        <w:t>6.3 评标</w:t>
      </w:r>
      <w:bookmarkEnd w:id="66"/>
    </w:p>
    <w:p>
      <w:pPr>
        <w:adjustRightInd w:val="0"/>
        <w:snapToGrid w:val="0"/>
        <w:spacing w:line="360" w:lineRule="exact"/>
        <w:ind w:firstLine="442" w:firstLineChars="200"/>
        <w:rPr>
          <w:rFonts w:ascii="宋体" w:hAnsi="宋体" w:cs="Calibri"/>
          <w:kern w:val="0"/>
          <w:sz w:val="22"/>
        </w:rPr>
      </w:pPr>
      <w:r>
        <w:rPr>
          <w:rFonts w:ascii="宋体" w:hAnsi="宋体" w:cs="Calibri"/>
          <w:b/>
          <w:kern w:val="0"/>
          <w:sz w:val="22"/>
        </w:rPr>
        <w:t>评标委员会按照第</w:t>
      </w:r>
      <w:r>
        <w:rPr>
          <w:rFonts w:hint="eastAsia" w:ascii="宋体" w:hAnsi="宋体" w:cs="Calibri"/>
          <w:b/>
          <w:kern w:val="0"/>
          <w:sz w:val="22"/>
        </w:rPr>
        <w:t>五</w:t>
      </w:r>
      <w:r>
        <w:rPr>
          <w:rFonts w:ascii="宋体" w:hAnsi="宋体" w:cs="Calibri"/>
          <w:b/>
          <w:kern w:val="0"/>
          <w:sz w:val="22"/>
        </w:rPr>
        <w:t>章“评标方法及标准”对投标文件进行评审。</w:t>
      </w:r>
      <w:r>
        <w:rPr>
          <w:rFonts w:ascii="宋体" w:hAnsi="宋体" w:cs="Calibri"/>
          <w:kern w:val="0"/>
          <w:sz w:val="22"/>
        </w:rPr>
        <w:t>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67" w:name="_Toc24237"/>
      <w:r>
        <w:rPr>
          <w:rFonts w:ascii="宋体" w:hAnsi="宋体" w:cs="Calibri"/>
          <w:b/>
          <w:bCs/>
          <w:kern w:val="0"/>
          <w:sz w:val="22"/>
        </w:rPr>
        <w:t>7.合同授予</w:t>
      </w:r>
      <w:bookmarkEnd w:id="67"/>
    </w:p>
    <w:p>
      <w:pPr>
        <w:autoSpaceDE w:val="0"/>
        <w:autoSpaceDN w:val="0"/>
        <w:adjustRightInd w:val="0"/>
        <w:snapToGrid w:val="0"/>
        <w:spacing w:line="360" w:lineRule="exact"/>
        <w:rPr>
          <w:rFonts w:ascii="宋体" w:hAnsi="宋体" w:cs="Calibri"/>
          <w:b/>
          <w:bCs/>
          <w:kern w:val="0"/>
          <w:sz w:val="22"/>
        </w:rPr>
      </w:pPr>
      <w:bookmarkStart w:id="68" w:name="_Toc18809"/>
      <w:r>
        <w:rPr>
          <w:rFonts w:ascii="宋体" w:hAnsi="宋体" w:cs="Calibri"/>
          <w:b/>
          <w:bCs/>
          <w:kern w:val="0"/>
          <w:sz w:val="22"/>
        </w:rPr>
        <w:t>7.1 定标方式</w:t>
      </w:r>
      <w:bookmarkEnd w:id="68"/>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69" w:name="_Toc14573"/>
      <w:r>
        <w:rPr>
          <w:rFonts w:ascii="宋体" w:hAnsi="宋体" w:cs="Calibri"/>
          <w:b/>
          <w:bCs/>
          <w:kern w:val="0"/>
          <w:sz w:val="22"/>
        </w:rPr>
        <w:t>7.2 中标通知</w:t>
      </w:r>
      <w:bookmarkEnd w:id="6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0" w:name="_Toc27132"/>
      <w:bookmarkStart w:id="71" w:name="_Toc27581"/>
      <w:r>
        <w:rPr>
          <w:rFonts w:ascii="宋体" w:hAnsi="宋体" w:cs="Calibri"/>
          <w:b/>
          <w:bCs/>
          <w:kern w:val="0"/>
          <w:sz w:val="22"/>
        </w:rPr>
        <w:t>7.3 履约</w:t>
      </w:r>
      <w:r>
        <w:rPr>
          <w:rFonts w:hint="eastAsia" w:ascii="宋体" w:hAnsi="宋体" w:cs="Calibri"/>
          <w:b/>
          <w:bCs/>
          <w:kern w:val="0"/>
          <w:sz w:val="22"/>
        </w:rPr>
        <w:t>保证金</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1"/>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72" w:name="_Toc219809801"/>
      <w:bookmarkStart w:id="73" w:name="_Toc220123241"/>
      <w:bookmarkStart w:id="74"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hint="eastAsia" w:ascii="宋体" w:hAnsi="宋体" w:cs="Calibri"/>
          <w:kern w:val="0"/>
          <w:sz w:val="22"/>
        </w:rPr>
      </w:pPr>
      <w:r>
        <w:rPr>
          <w:rFonts w:hint="eastAsia" w:ascii="宋体" w:hAnsi="宋体" w:cs="Calibri"/>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2"/>
      <w:bookmarkEnd w:id="73"/>
      <w:bookmarkEnd w:id="74"/>
    </w:p>
    <w:p>
      <w:pPr>
        <w:autoSpaceDE w:val="0"/>
        <w:autoSpaceDN w:val="0"/>
        <w:adjustRightInd w:val="0"/>
        <w:snapToGrid w:val="0"/>
        <w:spacing w:line="360" w:lineRule="exact"/>
        <w:rPr>
          <w:rFonts w:ascii="宋体" w:hAnsi="宋体" w:cs="Calibri"/>
          <w:b/>
          <w:bCs/>
          <w:kern w:val="0"/>
          <w:sz w:val="22"/>
        </w:rPr>
      </w:pPr>
      <w:bookmarkStart w:id="75" w:name="_Toc219809802"/>
      <w:bookmarkStart w:id="76" w:name="_Toc220123242"/>
      <w:bookmarkStart w:id="77" w:name="_Toc15553"/>
      <w:r>
        <w:rPr>
          <w:rFonts w:ascii="宋体" w:hAnsi="宋体" w:cs="Calibri"/>
          <w:b/>
          <w:bCs/>
          <w:kern w:val="0"/>
          <w:sz w:val="22"/>
        </w:rPr>
        <w:t>8.1 重新招标</w:t>
      </w:r>
      <w:bookmarkEnd w:id="75"/>
      <w:bookmarkEnd w:id="76"/>
      <w:bookmarkEnd w:id="77"/>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hint="eastAsia"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78" w:name="_Toc219809803"/>
      <w:bookmarkStart w:id="79" w:name="_Toc220123243"/>
      <w:bookmarkStart w:id="80" w:name="_Toc18806"/>
      <w:r>
        <w:rPr>
          <w:rFonts w:ascii="宋体" w:hAnsi="宋体" w:cs="Calibri"/>
          <w:b/>
          <w:bCs/>
          <w:kern w:val="0"/>
          <w:sz w:val="22"/>
        </w:rPr>
        <w:t>8.2 不再招标</w:t>
      </w:r>
      <w:bookmarkEnd w:id="78"/>
      <w:bookmarkEnd w:id="79"/>
      <w:bookmarkEnd w:id="80"/>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1" w:name="_Toc215941254"/>
      <w:bookmarkStart w:id="82" w:name="_Toc219809804"/>
      <w:bookmarkStart w:id="83" w:name="_Toc220123244"/>
      <w:bookmarkStart w:id="84" w:name="_Toc2986"/>
      <w:r>
        <w:rPr>
          <w:rFonts w:ascii="宋体" w:hAnsi="宋体" w:cs="Calibri"/>
          <w:b/>
          <w:bCs/>
          <w:kern w:val="0"/>
          <w:sz w:val="22"/>
        </w:rPr>
        <w:t>9.纪律和监督</w:t>
      </w:r>
      <w:bookmarkEnd w:id="81"/>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19809805"/>
      <w:bookmarkStart w:id="86" w:name="_Toc220123245"/>
      <w:bookmarkStart w:id="87" w:name="_Toc5509"/>
      <w:r>
        <w:rPr>
          <w:rFonts w:ascii="宋体" w:hAnsi="宋体" w:cs="Calibri"/>
          <w:b/>
          <w:bCs/>
          <w:kern w:val="0"/>
          <w:sz w:val="22"/>
        </w:rPr>
        <w:t>9.1 对招标人的纪律要求</w:t>
      </w:r>
      <w:bookmarkEnd w:id="85"/>
      <w:bookmarkEnd w:id="86"/>
      <w:bookmarkEnd w:id="87"/>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88" w:name="_Toc219809806"/>
      <w:bookmarkStart w:id="89" w:name="_Toc220123246"/>
      <w:bookmarkStart w:id="90" w:name="_Toc10820"/>
      <w:r>
        <w:rPr>
          <w:rFonts w:ascii="宋体" w:hAnsi="宋体" w:cs="Calibri"/>
          <w:b/>
          <w:bCs/>
          <w:kern w:val="0"/>
          <w:sz w:val="22"/>
        </w:rPr>
        <w:t>9.2 对投标人的纪律要求</w:t>
      </w:r>
      <w:bookmarkEnd w:id="88"/>
      <w:bookmarkEnd w:id="89"/>
      <w:bookmarkEnd w:id="90"/>
    </w:p>
    <w:p>
      <w:pPr>
        <w:adjustRightInd w:val="0"/>
        <w:snapToGrid w:val="0"/>
        <w:spacing w:line="360" w:lineRule="exact"/>
        <w:ind w:firstLine="440" w:firstLineChars="20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91" w:name="_Toc219809807"/>
      <w:bookmarkStart w:id="92" w:name="_Toc220123247"/>
      <w:bookmarkStart w:id="93" w:name="_Toc10756"/>
      <w:r>
        <w:rPr>
          <w:rFonts w:ascii="宋体" w:hAnsi="宋体" w:cs="Calibri"/>
          <w:b/>
          <w:bCs/>
          <w:kern w:val="0"/>
          <w:sz w:val="22"/>
        </w:rPr>
        <w:t>9.3 对评标委员会成员的纪律要求</w:t>
      </w:r>
      <w:bookmarkEnd w:id="91"/>
      <w:bookmarkEnd w:id="92"/>
      <w:bookmarkEnd w:id="93"/>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94" w:name="_Toc219809808"/>
      <w:bookmarkStart w:id="95" w:name="_Toc220123248"/>
      <w:bookmarkStart w:id="96" w:name="_Toc12792"/>
      <w:r>
        <w:rPr>
          <w:rFonts w:ascii="宋体" w:hAnsi="宋体" w:cs="Calibri"/>
          <w:b/>
          <w:bCs/>
          <w:kern w:val="0"/>
          <w:sz w:val="22"/>
        </w:rPr>
        <w:t>9.4 对评标活动有关的工作人员的纪律要求</w:t>
      </w:r>
      <w:bookmarkEnd w:id="94"/>
      <w:bookmarkEnd w:id="95"/>
      <w:bookmarkEnd w:id="96"/>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97" w:name="_Toc219809809"/>
      <w:bookmarkStart w:id="98" w:name="_Toc220123249"/>
      <w:bookmarkStart w:id="99" w:name="_Toc239"/>
      <w:r>
        <w:rPr>
          <w:rFonts w:ascii="宋体" w:hAnsi="宋体" w:cs="Calibri"/>
          <w:b/>
          <w:bCs/>
          <w:kern w:val="0"/>
          <w:sz w:val="22"/>
        </w:rPr>
        <w:t>9.5 投诉</w:t>
      </w:r>
      <w:bookmarkEnd w:id="97"/>
      <w:bookmarkEnd w:id="98"/>
      <w:bookmarkEnd w:id="99"/>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0" w:name="_Toc10817"/>
      <w:r>
        <w:rPr>
          <w:rFonts w:ascii="宋体" w:hAnsi="宋体" w:cs="Calibri"/>
          <w:b/>
          <w:bCs/>
          <w:kern w:val="0"/>
          <w:sz w:val="22"/>
        </w:rPr>
        <w:t>10. 需要补充的其他内容</w:t>
      </w:r>
      <w:bookmarkEnd w:id="100"/>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autoSpaceDE w:val="0"/>
        <w:autoSpaceDN w:val="0"/>
        <w:adjustRightInd w:val="0"/>
        <w:snapToGrid w:val="0"/>
        <w:spacing w:line="360" w:lineRule="exac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1" w:name="_Toc223327527"/>
      <w:bookmarkStart w:id="102" w:name="_Toc213036227"/>
    </w:p>
    <w:p>
      <w:pPr>
        <w:pStyle w:val="2"/>
        <w:spacing w:before="0" w:after="0" w:line="360" w:lineRule="auto"/>
        <w:jc w:val="center"/>
        <w:rPr>
          <w:rFonts w:ascii="Calibri" w:hAnsi="Calibri" w:eastAsia="黑体" w:cs="Calibri"/>
          <w:kern w:val="0"/>
          <w:sz w:val="32"/>
          <w:lang w:val="en-US" w:eastAsia="zh-CN"/>
        </w:rPr>
      </w:pPr>
      <w:bookmarkStart w:id="103" w:name="_Toc47845329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r>
        <w:rPr>
          <w:rFonts w:hint="eastAsia" w:ascii="Calibri" w:hAnsi="Calibri" w:eastAsia="黑体" w:cs="Calibri"/>
          <w:kern w:val="0"/>
          <w:sz w:val="32"/>
        </w:rPr>
        <w:t>货物需求一览表及技术规格</w:t>
      </w:r>
      <w:bookmarkEnd w:id="101"/>
      <w:bookmarkEnd w:id="102"/>
      <w:bookmarkEnd w:id="103"/>
    </w:p>
    <w:p>
      <w:pPr>
        <w:widowControl/>
        <w:jc w:val="left"/>
        <w:rPr>
          <w:rFonts w:ascii="宋体" w:hAnsi="宋体" w:cs="Calibri"/>
          <w:b/>
          <w:kern w:val="0"/>
          <w:sz w:val="22"/>
        </w:rPr>
      </w:pPr>
      <w:r>
        <w:rPr>
          <w:rFonts w:hint="eastAsia" w:ascii="宋体" w:hAnsi="宋体" w:cs="Calibri"/>
          <w:b/>
          <w:kern w:val="0"/>
          <w:sz w:val="22"/>
        </w:rPr>
        <w:t>一、货物需求一览表</w:t>
      </w:r>
    </w:p>
    <w:tbl>
      <w:tblPr>
        <w:tblStyle w:val="53"/>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38"/>
        <w:gridCol w:w="1410"/>
        <w:gridCol w:w="93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59" w:type="dxa"/>
            <w:vAlign w:val="center"/>
          </w:tcPr>
          <w:p>
            <w:pPr>
              <w:adjustRightInd w:val="0"/>
              <w:snapToGrid w:val="0"/>
              <w:jc w:val="center"/>
              <w:rPr>
                <w:rFonts w:hint="eastAsia" w:ascii="宋体" w:hAnsi="宋体"/>
                <w:caps/>
                <w:sz w:val="22"/>
              </w:rPr>
            </w:pPr>
            <w:r>
              <w:rPr>
                <w:rFonts w:hint="eastAsia" w:ascii="宋体" w:hAnsi="宋体"/>
                <w:caps/>
                <w:sz w:val="22"/>
              </w:rPr>
              <w:t>序号</w:t>
            </w:r>
          </w:p>
        </w:tc>
        <w:tc>
          <w:tcPr>
            <w:tcW w:w="2438" w:type="dxa"/>
            <w:vAlign w:val="center"/>
          </w:tcPr>
          <w:p>
            <w:pPr>
              <w:adjustRightInd w:val="0"/>
              <w:snapToGrid w:val="0"/>
              <w:jc w:val="center"/>
              <w:rPr>
                <w:rFonts w:ascii="宋体" w:hAnsi="宋体"/>
                <w:caps/>
                <w:sz w:val="22"/>
              </w:rPr>
            </w:pPr>
            <w:r>
              <w:rPr>
                <w:rFonts w:ascii="宋体" w:hAnsi="宋体"/>
                <w:caps/>
                <w:sz w:val="22"/>
              </w:rPr>
              <w:t>货物名称</w:t>
            </w:r>
          </w:p>
        </w:tc>
        <w:tc>
          <w:tcPr>
            <w:tcW w:w="1410" w:type="dxa"/>
            <w:vAlign w:val="center"/>
          </w:tcPr>
          <w:p>
            <w:pPr>
              <w:adjustRightInd w:val="0"/>
              <w:snapToGrid w:val="0"/>
              <w:jc w:val="center"/>
              <w:rPr>
                <w:rFonts w:ascii="宋体" w:hAnsi="宋体"/>
                <w:caps/>
                <w:sz w:val="22"/>
              </w:rPr>
            </w:pPr>
            <w:r>
              <w:rPr>
                <w:rFonts w:ascii="宋体" w:hAnsi="宋体"/>
                <w:caps/>
                <w:sz w:val="22"/>
              </w:rPr>
              <w:t>数 量</w:t>
            </w:r>
          </w:p>
        </w:tc>
        <w:tc>
          <w:tcPr>
            <w:tcW w:w="930" w:type="dxa"/>
            <w:vAlign w:val="center"/>
          </w:tcPr>
          <w:p>
            <w:pPr>
              <w:adjustRightInd w:val="0"/>
              <w:snapToGrid w:val="0"/>
              <w:jc w:val="center"/>
              <w:rPr>
                <w:rFonts w:hint="eastAsia" w:ascii="宋体" w:hAnsi="宋体"/>
                <w:caps/>
                <w:sz w:val="22"/>
              </w:rPr>
            </w:pPr>
            <w:r>
              <w:rPr>
                <w:rFonts w:hint="eastAsia" w:ascii="宋体" w:hAnsi="宋体"/>
                <w:caps/>
                <w:sz w:val="22"/>
              </w:rPr>
              <w:t>单位</w:t>
            </w:r>
          </w:p>
        </w:tc>
        <w:tc>
          <w:tcPr>
            <w:tcW w:w="3487" w:type="dxa"/>
            <w:vAlign w:val="center"/>
          </w:tcPr>
          <w:p>
            <w:pPr>
              <w:adjustRightInd w:val="0"/>
              <w:snapToGrid w:val="0"/>
              <w:jc w:val="center"/>
              <w:rPr>
                <w:rFonts w:hint="eastAsia"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59" w:type="dxa"/>
            <w:vAlign w:val="center"/>
          </w:tcPr>
          <w:p>
            <w:pPr>
              <w:snapToGrid w:val="0"/>
              <w:jc w:val="center"/>
              <w:rPr>
                <w:rFonts w:hint="eastAsia" w:ascii="宋体" w:hAnsi="宋体"/>
                <w:sz w:val="22"/>
              </w:rPr>
            </w:pPr>
            <w:r>
              <w:rPr>
                <w:rFonts w:hint="eastAsia" w:ascii="宋体" w:hAnsi="宋体"/>
                <w:sz w:val="22"/>
              </w:rPr>
              <w:t>1</w:t>
            </w:r>
          </w:p>
        </w:tc>
        <w:tc>
          <w:tcPr>
            <w:tcW w:w="2438" w:type="dxa"/>
            <w:vAlign w:val="center"/>
          </w:tcPr>
          <w:p>
            <w:pPr>
              <w:snapToGrid w:val="0"/>
              <w:jc w:val="center"/>
              <w:rPr>
                <w:rFonts w:hint="eastAsia" w:ascii="宋体" w:hAnsi="宋体"/>
                <w:sz w:val="22"/>
              </w:rPr>
            </w:pPr>
            <w:r>
              <w:rPr>
                <w:rFonts w:hint="eastAsia" w:ascii="宋体" w:hAnsi="宋体"/>
                <w:sz w:val="22"/>
              </w:rPr>
              <w:t>高清混合矩阵</w:t>
            </w:r>
          </w:p>
        </w:tc>
        <w:tc>
          <w:tcPr>
            <w:tcW w:w="1410" w:type="dxa"/>
            <w:vAlign w:val="center"/>
          </w:tcPr>
          <w:p>
            <w:pPr>
              <w:snapToGrid w:val="0"/>
              <w:jc w:val="center"/>
              <w:rPr>
                <w:rFonts w:hint="eastAsia" w:ascii="宋体" w:hAnsi="宋体"/>
                <w:sz w:val="22"/>
              </w:rPr>
            </w:pPr>
            <w:r>
              <w:rPr>
                <w:rFonts w:hint="eastAsia" w:ascii="宋体" w:hAnsi="宋体"/>
                <w:sz w:val="22"/>
              </w:rPr>
              <w:t>1</w:t>
            </w:r>
          </w:p>
        </w:tc>
        <w:tc>
          <w:tcPr>
            <w:tcW w:w="930" w:type="dxa"/>
            <w:vAlign w:val="center"/>
          </w:tcPr>
          <w:p>
            <w:pPr>
              <w:snapToGrid w:val="0"/>
              <w:jc w:val="center"/>
              <w:rPr>
                <w:rFonts w:hint="eastAsia" w:ascii="宋体" w:hAnsi="宋体"/>
                <w:sz w:val="22"/>
              </w:rPr>
            </w:pPr>
            <w:r>
              <w:rPr>
                <w:rFonts w:hint="eastAsia" w:ascii="宋体" w:hAnsi="宋体"/>
                <w:sz w:val="22"/>
              </w:rPr>
              <w:t>台</w:t>
            </w:r>
          </w:p>
        </w:tc>
        <w:tc>
          <w:tcPr>
            <w:tcW w:w="3487" w:type="dxa"/>
            <w:vAlign w:val="top"/>
          </w:tcPr>
          <w:p>
            <w:pPr>
              <w:pStyle w:val="9"/>
              <w:snapToGrid w:val="0"/>
              <w:rPr>
                <w:rFonts w:hint="eastAsia" w:ascii="宋体" w:hAnsi="宋体" w:cs="Arial"/>
                <w:kern w:val="0"/>
                <w:sz w:val="22"/>
                <w:lang w:val="en-US" w:eastAsia="zh-CN"/>
              </w:rPr>
            </w:pPr>
            <w:r>
              <w:rPr>
                <w:rFonts w:hint="eastAsia" w:ascii="宋体" w:hAnsi="宋体" w:cs="Arial"/>
                <w:kern w:val="0"/>
                <w:sz w:val="22"/>
                <w:lang w:val="en-US" w:eastAsia="zh-CN"/>
              </w:rPr>
              <w:t>DVI输入不少于8路，DVI输出不少于8路，HDMI输入不少于4路，HDMI输出不少于4路。矩阵可扩容，总量不少于16路输入，16路输出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59" w:type="dxa"/>
            <w:vAlign w:val="center"/>
          </w:tcPr>
          <w:p>
            <w:pPr>
              <w:snapToGrid w:val="0"/>
              <w:jc w:val="center"/>
              <w:rPr>
                <w:rFonts w:hint="eastAsia" w:ascii="宋体" w:hAnsi="宋体"/>
                <w:sz w:val="22"/>
              </w:rPr>
            </w:pPr>
            <w:r>
              <w:rPr>
                <w:rFonts w:hint="eastAsia" w:ascii="宋体" w:hAnsi="宋体"/>
                <w:sz w:val="22"/>
              </w:rPr>
              <w:t>2</w:t>
            </w:r>
          </w:p>
        </w:tc>
        <w:tc>
          <w:tcPr>
            <w:tcW w:w="2438" w:type="dxa"/>
            <w:vAlign w:val="center"/>
          </w:tcPr>
          <w:p>
            <w:pPr>
              <w:snapToGrid w:val="0"/>
              <w:jc w:val="center"/>
              <w:rPr>
                <w:rFonts w:ascii="宋体" w:hAnsi="宋体"/>
                <w:sz w:val="22"/>
              </w:rPr>
            </w:pPr>
            <w:r>
              <w:rPr>
                <w:rFonts w:hint="eastAsia" w:ascii="宋体" w:hAnsi="宋体"/>
                <w:sz w:val="22"/>
              </w:rPr>
              <w:t>线缆及辅材</w:t>
            </w:r>
          </w:p>
        </w:tc>
        <w:tc>
          <w:tcPr>
            <w:tcW w:w="1410" w:type="dxa"/>
            <w:vAlign w:val="center"/>
          </w:tcPr>
          <w:p>
            <w:pPr>
              <w:snapToGrid w:val="0"/>
              <w:jc w:val="center"/>
              <w:rPr>
                <w:rFonts w:hint="eastAsia" w:ascii="宋体" w:hAnsi="宋体"/>
                <w:sz w:val="22"/>
              </w:rPr>
            </w:pPr>
            <w:r>
              <w:rPr>
                <w:rFonts w:hint="eastAsia" w:ascii="宋体" w:hAnsi="宋体"/>
                <w:sz w:val="22"/>
              </w:rPr>
              <w:t>1</w:t>
            </w:r>
          </w:p>
        </w:tc>
        <w:tc>
          <w:tcPr>
            <w:tcW w:w="930" w:type="dxa"/>
            <w:vAlign w:val="center"/>
          </w:tcPr>
          <w:p>
            <w:pPr>
              <w:snapToGrid w:val="0"/>
              <w:jc w:val="center"/>
              <w:rPr>
                <w:rFonts w:hint="eastAsia" w:ascii="宋体" w:hAnsi="宋体"/>
                <w:sz w:val="22"/>
              </w:rPr>
            </w:pPr>
            <w:r>
              <w:rPr>
                <w:rFonts w:hint="eastAsia" w:ascii="宋体" w:hAnsi="宋体"/>
                <w:sz w:val="22"/>
              </w:rPr>
              <w:t>批</w:t>
            </w:r>
          </w:p>
        </w:tc>
        <w:tc>
          <w:tcPr>
            <w:tcW w:w="3487" w:type="dxa"/>
            <w:vAlign w:val="center"/>
          </w:tcPr>
          <w:p>
            <w:pPr>
              <w:pStyle w:val="9"/>
              <w:snapToGrid w:val="0"/>
              <w:jc w:val="center"/>
              <w:rPr>
                <w:rFonts w:ascii="仿宋_GB2312" w:eastAsia="仿宋_GB2312"/>
                <w:sz w:val="24"/>
                <w:szCs w:val="24"/>
                <w:lang w:val="en-US" w:eastAsia="zh-CN"/>
              </w:rPr>
            </w:pPr>
          </w:p>
        </w:tc>
      </w:tr>
    </w:tbl>
    <w:p>
      <w:pPr>
        <w:pStyle w:val="25"/>
        <w:spacing w:after="0" w:line="240" w:lineRule="auto"/>
        <w:ind w:left="0" w:leftChars="0"/>
        <w:jc w:val="left"/>
        <w:rPr>
          <w:rFonts w:hint="eastAsia" w:ascii="宋体" w:hAnsi="宋体" w:cs="Arial"/>
          <w:b/>
          <w:bCs/>
          <w:sz w:val="22"/>
          <w:szCs w:val="22"/>
        </w:rPr>
      </w:pPr>
      <w:r>
        <w:rPr>
          <w:rFonts w:hint="eastAsia" w:ascii="宋体" w:hAnsi="宋体" w:cs="Arial"/>
          <w:b/>
          <w:bCs/>
          <w:sz w:val="22"/>
          <w:szCs w:val="22"/>
        </w:rPr>
        <w:t>1、技术规格</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1.1 高清混合矩阵</w:t>
      </w:r>
    </w:p>
    <w:p>
      <w:pPr>
        <w:pStyle w:val="25"/>
        <w:spacing w:after="0" w:line="240" w:lineRule="auto"/>
        <w:ind w:left="0" w:leftChars="0"/>
        <w:jc w:val="left"/>
        <w:rPr>
          <w:rFonts w:hint="eastAsia" w:ascii="宋体" w:hAnsi="宋体" w:cs="Arial"/>
          <w:b/>
          <w:bCs/>
          <w:sz w:val="22"/>
          <w:szCs w:val="22"/>
        </w:rPr>
      </w:pPr>
      <w:r>
        <w:rPr>
          <w:rFonts w:hint="eastAsia" w:ascii="宋体" w:hAnsi="宋体" w:cs="Arial"/>
          <w:b/>
          <w:bCs/>
          <w:sz w:val="22"/>
          <w:szCs w:val="22"/>
        </w:rPr>
        <w:t xml:space="preserve">• </w:t>
      </w:r>
      <w:r>
        <w:rPr>
          <w:rFonts w:hint="eastAsia" w:ascii="宋体" w:hAnsi="宋体" w:cs="Arial"/>
          <w:b/>
          <w:bCs/>
          <w:sz w:val="22"/>
          <w:szCs w:val="22"/>
          <w:lang w:eastAsia="zh-CN"/>
        </w:rPr>
        <w:t>推荐</w:t>
      </w:r>
      <w:r>
        <w:rPr>
          <w:rFonts w:hint="eastAsia" w:ascii="宋体" w:hAnsi="宋体" w:cs="Arial"/>
          <w:b/>
          <w:bCs/>
          <w:sz w:val="22"/>
          <w:szCs w:val="22"/>
        </w:rPr>
        <w:t>品牌：CRESTRON、EXTRON、KRAMER或</w:t>
      </w:r>
      <w:r>
        <w:rPr>
          <w:rFonts w:hint="eastAsia" w:ascii="宋体" w:hAnsi="宋体" w:cs="Arial"/>
          <w:b/>
          <w:bCs/>
          <w:sz w:val="22"/>
          <w:szCs w:val="22"/>
          <w:lang w:eastAsia="zh-CN"/>
        </w:rPr>
        <w:t>同档次以上</w:t>
      </w:r>
    </w:p>
    <w:p>
      <w:pPr>
        <w:pStyle w:val="25"/>
        <w:spacing w:after="0" w:line="240" w:lineRule="auto"/>
        <w:ind w:left="0" w:leftChars="0"/>
        <w:jc w:val="left"/>
        <w:rPr>
          <w:rFonts w:hint="eastAsia" w:ascii="宋体" w:hAnsi="宋体" w:cs="Arial"/>
          <w:b/>
          <w:bCs/>
          <w:sz w:val="22"/>
          <w:szCs w:val="22"/>
        </w:rPr>
      </w:pPr>
      <w:r>
        <w:rPr>
          <w:rFonts w:hint="eastAsia" w:ascii="宋体" w:hAnsi="宋体" w:cs="Arial"/>
          <w:b/>
          <w:bCs/>
          <w:sz w:val="22"/>
          <w:szCs w:val="22"/>
        </w:rPr>
        <w:t xml:space="preserve">• </w:t>
      </w:r>
      <w:r>
        <w:rPr>
          <w:rFonts w:hint="eastAsia" w:ascii="宋体" w:hAnsi="宋体" w:cs="Arial"/>
          <w:sz w:val="22"/>
        </w:rPr>
        <w:t>矩阵最少支持16路输入，16路输出</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提供了基于铜缆双绞线或光纤的无损高清音视频信号路由</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通过一根线缆或光纤上集成视频，音频，网络和控制信号</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支持任意高达1080P 或WUXGA 信号源输出高性能H.264 流媒体</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xml:space="preserve">• </w:t>
      </w:r>
      <w:r>
        <w:rPr>
          <w:rFonts w:ascii="宋体" w:hAnsi="宋体" w:cs="Arial"/>
          <w:sz w:val="22"/>
          <w:szCs w:val="22"/>
        </w:rPr>
        <w:t>完全支持矩阵切换功能</w:t>
      </w:r>
      <w:r>
        <w:rPr>
          <w:rFonts w:hint="eastAsia" w:ascii="宋体" w:hAnsi="宋体" w:cs="Arial"/>
          <w:sz w:val="22"/>
          <w:szCs w:val="22"/>
        </w:rPr>
        <w:t xml:space="preserve"> </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支持4K 输入输出，并兼容HDCP 2.2标准</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支持 HDR 视频</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支持IP 网络流媒体传输1080p 信号，传输距离无限制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实现自动音视频信号格式管理</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支持分配和路由USB HID 接口的鼠标键盘信号</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完全支持音频和USB 信号分离切换</w:t>
      </w:r>
    </w:p>
    <w:p>
      <w:pPr>
        <w:pStyle w:val="25"/>
        <w:spacing w:after="0" w:line="240" w:lineRule="auto"/>
        <w:ind w:left="0" w:leftChars="0"/>
        <w:jc w:val="left"/>
        <w:rPr>
          <w:rFonts w:hint="eastAsia" w:ascii="宋体" w:hAnsi="宋体" w:cs="Arial"/>
          <w:sz w:val="22"/>
          <w:szCs w:val="22"/>
        </w:rPr>
      </w:pPr>
      <w:r>
        <w:rPr>
          <w:rFonts w:hint="eastAsia" w:ascii="宋体" w:hAnsi="宋体" w:cs="Arial"/>
          <w:sz w:val="22"/>
          <w:szCs w:val="22"/>
        </w:rPr>
        <w:t xml:space="preserve">• </w:t>
      </w:r>
      <w:r>
        <w:rPr>
          <w:rFonts w:ascii="宋体" w:hAnsi="宋体" w:cs="Arial"/>
          <w:sz w:val="22"/>
          <w:szCs w:val="22"/>
        </w:rPr>
        <w:t>支持模拟音频的加嵌和解嵌</w:t>
      </w:r>
    </w:p>
    <w:p>
      <w:pPr>
        <w:pStyle w:val="25"/>
        <w:spacing w:after="0" w:line="240" w:lineRule="auto"/>
        <w:ind w:left="0" w:leftChars="0"/>
        <w:jc w:val="left"/>
        <w:rPr>
          <w:rFonts w:ascii="宋体" w:hAnsi="宋体" w:cs="Arial"/>
          <w:b/>
          <w:bCs/>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2、要求</w:t>
      </w:r>
    </w:p>
    <w:p>
      <w:pPr>
        <w:widowControl/>
        <w:jc w:val="left"/>
        <w:rPr>
          <w:rFonts w:hint="eastAsia" w:ascii="宋体" w:hAnsi="宋体" w:cs="Arial"/>
          <w:bCs/>
          <w:kern w:val="0"/>
          <w:sz w:val="22"/>
        </w:rPr>
      </w:pPr>
      <w:r>
        <w:rPr>
          <w:rFonts w:hint="eastAsia" w:ascii="宋体" w:hAnsi="宋体" w:cs="Arial"/>
          <w:bCs/>
          <w:kern w:val="0"/>
          <w:sz w:val="22"/>
        </w:rPr>
        <w:t>2.1投标方负责所有设备采购、运输、安装、调试以及对机场工作人员使用培训等工作。</w:t>
      </w:r>
    </w:p>
    <w:p>
      <w:pPr>
        <w:widowControl/>
        <w:adjustRightInd w:val="0"/>
        <w:snapToGrid w:val="0"/>
        <w:spacing w:line="340" w:lineRule="exact"/>
        <w:rPr>
          <w:rFonts w:hint="eastAsia" w:ascii="宋体" w:hAnsi="宋体" w:cs="Arial"/>
          <w:kern w:val="0"/>
          <w:sz w:val="22"/>
        </w:rPr>
      </w:pPr>
      <w:r>
        <w:rPr>
          <w:rFonts w:hint="eastAsia" w:ascii="宋体" w:hAnsi="宋体" w:cs="Arial"/>
          <w:kern w:val="0"/>
          <w:sz w:val="22"/>
        </w:rPr>
        <w:t>2.2将现有AOC9楼会议系统一台视频矩阵 DVI</w:t>
      </w:r>
      <w:r>
        <w:rPr>
          <w:rFonts w:ascii="宋体" w:hAnsi="宋体" w:cs="Arial"/>
          <w:kern w:val="0"/>
          <w:sz w:val="22"/>
        </w:rPr>
        <w:t>8*8</w:t>
      </w:r>
      <w:r>
        <w:rPr>
          <w:rFonts w:hint="eastAsia" w:ascii="宋体" w:hAnsi="宋体" w:cs="Arial"/>
          <w:kern w:val="0"/>
          <w:sz w:val="22"/>
        </w:rPr>
        <w:t>进行更新,更新后高清视频矩阵DVI的实际输入、输出各不少于8路，HDMI的实际输入、输出各不少于4路,视频矩阵具有可扩容性，扩容后总量不少于16路输入，16路输出。</w:t>
      </w:r>
    </w:p>
    <w:p>
      <w:pPr>
        <w:widowControl/>
        <w:adjustRightInd w:val="0"/>
        <w:snapToGrid w:val="0"/>
        <w:spacing w:line="340" w:lineRule="exact"/>
        <w:rPr>
          <w:rFonts w:ascii="宋体" w:hAnsi="宋体" w:cs="Arial"/>
          <w:kern w:val="0"/>
          <w:sz w:val="22"/>
        </w:rPr>
      </w:pPr>
      <w:r>
        <w:rPr>
          <w:rFonts w:hint="eastAsia" w:ascii="宋体" w:hAnsi="宋体" w:cs="Arial"/>
          <w:kern w:val="0"/>
          <w:sz w:val="22"/>
        </w:rPr>
        <w:t>2.3</w:t>
      </w:r>
      <w:r>
        <w:rPr>
          <w:rFonts w:hint="eastAsia" w:ascii="宋体" w:hAnsi="宋体" w:cs="Arial"/>
          <w:bCs/>
          <w:kern w:val="0"/>
          <w:sz w:val="22"/>
        </w:rPr>
        <w:t>矩阵更新后，投标人须对现有快思聪中控主机AV3和TPS-4L操作面板进行重新编程（原代码程序需投标人自行从主机中读取），会议系统操作界面风格保持不变，会议系统所有功能保持不变。TPS-4L操作面板主界面中DVI矩阵改为高清混合矩阵，通过操作面板将</w:t>
      </w:r>
      <w:r>
        <w:rPr>
          <w:rFonts w:hint="eastAsia" w:ascii="Arial" w:hAnsi="Arial" w:cs="Arial"/>
          <w:bCs/>
          <w:kern w:val="0"/>
          <w:sz w:val="22"/>
        </w:rPr>
        <w:t>华东管理局视频会议、省应急办视频会议、云视讯会议、省物联网视频会议的视频信号切换至</w:t>
      </w:r>
      <w:r>
        <w:rPr>
          <w:rFonts w:hint="eastAsia" w:ascii="宋体" w:hAnsi="宋体" w:cs="Arial"/>
          <w:bCs/>
          <w:kern w:val="0"/>
          <w:sz w:val="22"/>
        </w:rPr>
        <w:t>5</w:t>
      </w:r>
      <w:r>
        <w:rPr>
          <w:rFonts w:hint="eastAsia" w:ascii="Arial" w:hAnsi="Arial" w:cs="Arial"/>
          <w:bCs/>
          <w:kern w:val="0"/>
          <w:sz w:val="22"/>
        </w:rPr>
        <w:t>块显示屏</w:t>
      </w:r>
      <w:r>
        <w:rPr>
          <w:rFonts w:hint="eastAsia" w:ascii="宋体" w:hAnsi="宋体" w:cs="Arial"/>
          <w:kern w:val="0"/>
          <w:sz w:val="22"/>
        </w:rPr>
        <w:t>。</w:t>
      </w:r>
    </w:p>
    <w:p>
      <w:pPr>
        <w:widowControl/>
        <w:adjustRightInd w:val="0"/>
        <w:snapToGrid w:val="0"/>
        <w:spacing w:line="340" w:lineRule="exact"/>
        <w:rPr>
          <w:rFonts w:hint="eastAsia" w:ascii="宋体" w:hAnsi="宋体" w:cs="Arial"/>
          <w:kern w:val="0"/>
          <w:sz w:val="22"/>
        </w:rPr>
      </w:pPr>
      <w:r>
        <w:rPr>
          <w:rFonts w:ascii="宋体" w:hAnsi="宋体" w:cs="Arial"/>
          <w:kern w:val="0"/>
          <w:sz w:val="22"/>
        </w:rPr>
        <w:t>2.</w:t>
      </w:r>
      <w:r>
        <w:rPr>
          <w:rFonts w:hint="eastAsia" w:ascii="宋体" w:hAnsi="宋体" w:cs="Arial"/>
          <w:kern w:val="0"/>
          <w:sz w:val="22"/>
        </w:rPr>
        <w:t>4重新敷设一根</w:t>
      </w:r>
      <w:r>
        <w:rPr>
          <w:rFonts w:hint="eastAsia" w:ascii="Arial" w:hAnsi="Arial" w:cs="Arial"/>
          <w:bCs/>
          <w:kern w:val="0"/>
          <w:sz w:val="22"/>
        </w:rPr>
        <w:t>省物联网视频会议主机摄像机HDMI和电源线。</w:t>
      </w:r>
    </w:p>
    <w:p>
      <w:pPr>
        <w:widowControl/>
        <w:adjustRightInd w:val="0"/>
        <w:snapToGrid w:val="0"/>
        <w:spacing w:line="340" w:lineRule="exact"/>
        <w:rPr>
          <w:rFonts w:hint="eastAsia" w:ascii="宋体" w:hAnsi="宋体" w:cs="Arial"/>
          <w:kern w:val="0"/>
          <w:sz w:val="22"/>
        </w:rPr>
      </w:pPr>
      <w:r>
        <w:rPr>
          <w:rFonts w:hint="eastAsia" w:ascii="宋体" w:hAnsi="宋体" w:cs="Arial"/>
          <w:kern w:val="0"/>
          <w:sz w:val="22"/>
        </w:rPr>
        <w:t>2.5整理机房内新增的设备及线缆，制作标示，将</w:t>
      </w:r>
      <w:r>
        <w:rPr>
          <w:rFonts w:hint="eastAsia" w:ascii="宋体" w:hAnsi="宋体" w:cs="Arial"/>
          <w:bCs/>
          <w:kern w:val="0"/>
          <w:sz w:val="22"/>
        </w:rPr>
        <w:t>原有的视频矩阵 DVI8*8及相关线缆进行拆除</w:t>
      </w:r>
      <w:r>
        <w:rPr>
          <w:rFonts w:hint="eastAsia" w:ascii="宋体" w:hAnsi="宋体" w:cs="Arial"/>
          <w:kern w:val="0"/>
          <w:sz w:val="22"/>
        </w:rPr>
        <w:t>。</w:t>
      </w:r>
    </w:p>
    <w:p>
      <w:pPr>
        <w:widowControl/>
        <w:jc w:val="left"/>
        <w:rPr>
          <w:rFonts w:hint="eastAsia" w:ascii="宋体" w:hAnsi="宋体" w:cs="Arial"/>
          <w:b/>
          <w:kern w:val="0"/>
          <w:sz w:val="22"/>
        </w:rPr>
      </w:pPr>
    </w:p>
    <w:p>
      <w:pPr>
        <w:widowControl/>
        <w:jc w:val="left"/>
        <w:rPr>
          <w:rFonts w:ascii="宋体" w:hAnsi="宋体" w:cs="Arial"/>
          <w:b/>
          <w:kern w:val="0"/>
          <w:sz w:val="22"/>
        </w:rPr>
      </w:pPr>
      <w:r>
        <w:rPr>
          <w:rFonts w:hint="eastAsia" w:ascii="宋体" w:hAnsi="宋体" w:cs="Arial"/>
          <w:b/>
          <w:kern w:val="0"/>
          <w:sz w:val="22"/>
        </w:rPr>
        <w:t>二、售后服务</w:t>
      </w:r>
    </w:p>
    <w:p>
      <w:pPr>
        <w:widowControl/>
        <w:ind w:firstLine="555"/>
        <w:jc w:val="left"/>
        <w:rPr>
          <w:rFonts w:hint="eastAsia"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本项目产品的质量保修期默认为自验收通过之日起，所投产品原厂（整机）免费上门保修，保修三年。</w:t>
      </w:r>
    </w:p>
    <w:p>
      <w:pPr>
        <w:widowControl/>
        <w:ind w:firstLine="555"/>
        <w:jc w:val="left"/>
        <w:rPr>
          <w:rFonts w:hint="eastAsia" w:ascii="宋体" w:hAnsi="宋体" w:cs="Arial"/>
          <w:kern w:val="0"/>
          <w:sz w:val="22"/>
        </w:rPr>
      </w:pPr>
      <w:r>
        <w:rPr>
          <w:rFonts w:hint="eastAsia" w:ascii="宋体" w:hAnsi="宋体" w:cs="Arial"/>
          <w:kern w:val="0"/>
          <w:sz w:val="22"/>
        </w:rPr>
        <w:t>2.经投标人重新编程后，中控主机、操作面板、控制程序出现异常情况，无法正常使用时，投标人应在接到报修后远程技术支持，协助解决故障，若远程协助时间超过一小时仍未解决，则必须在四小时内赶到现场解决故障。</w:t>
      </w:r>
    </w:p>
    <w:p>
      <w:pPr>
        <w:widowControl/>
        <w:ind w:firstLine="555"/>
        <w:jc w:val="left"/>
        <w:rPr>
          <w:rFonts w:ascii="宋体" w:hAnsi="宋体" w:cs="Arial"/>
          <w:kern w:val="0"/>
          <w:sz w:val="22"/>
        </w:rPr>
      </w:pPr>
      <w:r>
        <w:rPr>
          <w:rFonts w:hint="eastAsia" w:ascii="宋体" w:hAnsi="宋体" w:cs="Arial"/>
          <w:kern w:val="0"/>
          <w:sz w:val="22"/>
        </w:rPr>
        <w:t xml:space="preserve">3.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widowControl/>
        <w:ind w:firstLine="555"/>
        <w:jc w:val="left"/>
        <w:rPr>
          <w:rFonts w:ascii="宋体" w:hAnsi="宋体" w:cs="Arial"/>
          <w:kern w:val="0"/>
          <w:sz w:val="22"/>
        </w:rPr>
      </w:pPr>
      <w:r>
        <w:rPr>
          <w:rFonts w:hint="eastAsia" w:ascii="宋体" w:hAnsi="宋体" w:cs="Arial"/>
          <w:kern w:val="0"/>
          <w:sz w:val="22"/>
        </w:rPr>
        <w:t>4.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5.在质保期内，投标人应对货物出现的质量及安全问题负责处理解决并承担一切费用。</w:t>
      </w:r>
    </w:p>
    <w:p>
      <w:pPr>
        <w:widowControl/>
        <w:ind w:firstLine="555"/>
        <w:jc w:val="left"/>
        <w:rPr>
          <w:rFonts w:ascii="宋体" w:hAnsi="宋体" w:cs="Calibri"/>
          <w:bCs/>
          <w:kern w:val="0"/>
          <w:sz w:val="24"/>
          <w:szCs w:val="24"/>
        </w:rPr>
      </w:pPr>
      <w:r>
        <w:rPr>
          <w:rFonts w:hint="eastAsia" w:ascii="宋体" w:hAnsi="宋体" w:cs="Arial"/>
          <w:kern w:val="0"/>
          <w:sz w:val="22"/>
        </w:rPr>
        <w:t>6</w:t>
      </w:r>
      <w:r>
        <w:rPr>
          <w:rFonts w:ascii="宋体" w:hAnsi="宋体" w:cs="Arial"/>
          <w:kern w:val="0"/>
          <w:sz w:val="22"/>
        </w:rPr>
        <w:t>.</w:t>
      </w:r>
      <w:r>
        <w:rPr>
          <w:rFonts w:hint="eastAsia" w:ascii="宋体" w:hAnsi="宋体" w:cs="Arial"/>
          <w:kern w:val="0"/>
          <w:sz w:val="22"/>
        </w:rPr>
        <w:t>产品故障报修的响应时间：应在接到产品故障报修后一小时内响应，四小时内到达现场，直到故障修复。若故障短时间内无法修复，投标人应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p>
    <w:p>
      <w:pPr>
        <w:widowControl/>
        <w:ind w:firstLine="555"/>
        <w:jc w:val="left"/>
        <w:rPr>
          <w:rFonts w:ascii="宋体" w:hAnsi="宋体" w:cs="Calibri"/>
          <w:bCs/>
          <w:kern w:val="0"/>
          <w:sz w:val="24"/>
          <w:szCs w:val="24"/>
        </w:rPr>
      </w:pPr>
    </w:p>
    <w:p>
      <w:pPr>
        <w:widowControl/>
        <w:ind w:firstLine="555"/>
        <w:jc w:val="left"/>
        <w:rPr>
          <w:rFonts w:ascii="宋体" w:hAnsi="宋体" w:cs="Calibri"/>
          <w:bCs/>
          <w:kern w:val="0"/>
          <w:sz w:val="24"/>
          <w:szCs w:val="24"/>
        </w:rPr>
      </w:pPr>
    </w:p>
    <w:p>
      <w:pPr>
        <w:widowControl/>
        <w:ind w:firstLine="555"/>
        <w:jc w:val="left"/>
        <w:rPr>
          <w:rFonts w:ascii="宋体" w:hAnsi="宋体" w:cs="Calibri"/>
          <w:bCs/>
          <w:kern w:val="0"/>
          <w:sz w:val="24"/>
          <w:szCs w:val="24"/>
        </w:rPr>
      </w:pPr>
    </w:p>
    <w:p>
      <w:pPr>
        <w:widowControl/>
        <w:jc w:val="left"/>
        <w:rPr>
          <w:rFonts w:hint="eastAsia" w:ascii="宋体" w:hAnsi="宋体" w:cs="Arial"/>
          <w:kern w:val="0"/>
          <w:sz w:val="22"/>
        </w:rPr>
      </w:pPr>
    </w:p>
    <w:p>
      <w:pPr>
        <w:widowControl/>
        <w:ind w:firstLine="555"/>
        <w:jc w:val="left"/>
        <w:rPr>
          <w:rFonts w:ascii="宋体" w:hAnsi="宋体" w:cs="Arial"/>
          <w:kern w:val="0"/>
          <w:sz w:val="22"/>
        </w:rPr>
      </w:pPr>
      <w:r>
        <w:rPr>
          <w:rFonts w:ascii="宋体" w:hAnsi="宋体" w:cs="Arial"/>
          <w:kern w:val="0"/>
          <w:sz w:val="22"/>
        </w:rPr>
        <w:br w:type="page"/>
      </w: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p>
    <w:p>
      <w:pPr>
        <w:adjustRightInd w:val="0"/>
        <w:snapToGrid w:val="0"/>
        <w:ind w:firstLine="452"/>
        <w:jc w:val="center"/>
        <w:rPr>
          <w:rFonts w:ascii="宋体" w:hAnsi="宋体"/>
          <w:b/>
          <w:sz w:val="22"/>
        </w:rPr>
      </w:pPr>
    </w:p>
    <w:p>
      <w:pPr>
        <w:pStyle w:val="21"/>
        <w:ind w:right="200" w:firstLine="420"/>
        <w:jc w:val="center"/>
        <w:rPr>
          <w:rFonts w:hint="eastAsia" w:hAnsi="宋体"/>
          <w:b/>
          <w:sz w:val="32"/>
        </w:rPr>
      </w:pPr>
      <w:r>
        <w:rPr>
          <w:rFonts w:hint="eastAsia" w:hAnsi="宋体"/>
          <w:b/>
          <w:sz w:val="32"/>
        </w:rPr>
        <w:t>杭州萧山国际机场AOC楼9楼应急会议系统视频矩阵采购及相关服务项目合同</w:t>
      </w:r>
    </w:p>
    <w:p>
      <w:pPr>
        <w:pStyle w:val="21"/>
        <w:ind w:right="200" w:firstLine="420"/>
        <w:jc w:val="center"/>
        <w:rPr>
          <w:rFonts w:hint="eastAsia" w:hAnsi="宋体"/>
          <w:b/>
          <w:sz w:val="32"/>
        </w:rPr>
      </w:pPr>
    </w:p>
    <w:p>
      <w:pPr>
        <w:adjustRightInd w:val="0"/>
        <w:snapToGrid w:val="0"/>
        <w:ind w:firstLine="452"/>
        <w:jc w:val="lef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r>
        <w:rPr>
          <w:rFonts w:hint="eastAsia" w:ascii="宋体" w:hAnsi="宋体"/>
          <w:b/>
          <w:sz w:val="22"/>
        </w:rPr>
        <w:t xml:space="preserve">乙方： </w:t>
      </w:r>
      <w:r>
        <w:rPr>
          <w:rFonts w:ascii="宋体" w:hAnsi="宋体"/>
          <w:b/>
          <w:sz w:val="22"/>
          <w:u w:val="single"/>
        </w:rPr>
        <w:t xml:space="preserve">                       </w:t>
      </w:r>
    </w:p>
    <w:p>
      <w:pPr>
        <w:adjustRightInd w:val="0"/>
        <w:snapToGrid w:val="0"/>
        <w:ind w:firstLine="452"/>
        <w:jc w:val="left"/>
        <w:rPr>
          <w:rFonts w:ascii="宋体" w:hAnsi="宋体"/>
          <w:sz w:val="22"/>
          <w:u w:val="single"/>
        </w:rPr>
      </w:pPr>
      <w:r>
        <w:rPr>
          <w:rFonts w:hint="eastAsia" w:ascii="宋体" w:hAnsi="宋体"/>
          <w:b/>
          <w:sz w:val="22"/>
        </w:rPr>
        <w:t>住所地：</w:t>
      </w:r>
      <w:r>
        <w:rPr>
          <w:rFonts w:ascii="宋体" w:hAnsi="宋体"/>
          <w:sz w:val="22"/>
          <w:u w:val="single"/>
        </w:rPr>
        <w:t xml:space="preserve">                      </w:t>
      </w:r>
    </w:p>
    <w:p>
      <w:pPr>
        <w:adjustRightInd w:val="0"/>
        <w:snapToGrid w:val="0"/>
        <w:ind w:firstLine="450"/>
        <w:jc w:val="left"/>
        <w:rPr>
          <w:rFonts w:ascii="宋体" w:hAnsi="宋体"/>
          <w:sz w:val="22"/>
        </w:rPr>
      </w:pPr>
    </w:p>
    <w:p>
      <w:pPr>
        <w:adjustRightInd w:val="0"/>
        <w:snapToGrid w:val="0"/>
        <w:spacing w:line="276" w:lineRule="auto"/>
        <w:ind w:firstLine="420" w:firstLineChars="200"/>
        <w:jc w:val="left"/>
        <w:rPr>
          <w:rFonts w:ascii="宋体" w:hAnsi="宋体" w:cs="仿宋_GB2312"/>
          <w:szCs w:val="21"/>
        </w:rPr>
      </w:pPr>
      <w:r>
        <w:rPr>
          <w:rFonts w:hint="eastAsia" w:ascii="宋体" w:hAnsi="宋体" w:cs="仿宋_GB2312"/>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hint="eastAsia"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hint="eastAsia" w:ascii="宋体" w:hAnsi="宋体"/>
          <w:b/>
          <w:szCs w:val="21"/>
        </w:rPr>
      </w:pPr>
      <w:r>
        <w:rPr>
          <w:rFonts w:hint="eastAsia" w:ascii="宋体" w:hAnsi="宋体"/>
          <w:b/>
          <w:szCs w:val="21"/>
        </w:rPr>
        <w:t>备注：1、</w:t>
      </w:r>
    </w:p>
    <w:p>
      <w:pPr>
        <w:adjustRightInd w:val="0"/>
        <w:snapToGrid w:val="0"/>
        <w:spacing w:line="276" w:lineRule="auto"/>
        <w:ind w:firstLine="602"/>
        <w:rPr>
          <w:rFonts w:hint="eastAsia" w:ascii="宋体" w:hAnsi="宋体"/>
          <w:b/>
          <w:szCs w:val="21"/>
        </w:rPr>
      </w:pPr>
      <w:r>
        <w:rPr>
          <w:rFonts w:hint="eastAsia" w:ascii="宋体" w:hAnsi="宋体"/>
          <w:b/>
          <w:szCs w:val="21"/>
        </w:rPr>
        <w:t xml:space="preserve">      2、</w:t>
      </w:r>
    </w:p>
    <w:p>
      <w:pPr>
        <w:snapToGrid w:val="0"/>
        <w:spacing w:line="276" w:lineRule="auto"/>
        <w:jc w:val="left"/>
        <w:rPr>
          <w:rFonts w:ascii="宋体" w:hAnsi="宋体" w:cs="仿宋_GB2312"/>
          <w:b/>
          <w:kern w:val="0"/>
          <w:szCs w:val="21"/>
        </w:rPr>
      </w:pP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276" w:lineRule="auto"/>
        <w:ind w:firstLine="422" w:firstLineChars="200"/>
        <w:jc w:val="left"/>
        <w:rPr>
          <w:rFonts w:hint="eastAsia" w:ascii="宋体" w:hAnsi="宋体" w:cs="仿宋_GB2312"/>
          <w:b/>
          <w:kern w:val="0"/>
          <w:szCs w:val="21"/>
        </w:rPr>
      </w:pP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三、技术资料</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1.乙方应在项目</w:t>
      </w:r>
      <w:r>
        <w:rPr>
          <w:rFonts w:ascii="宋体" w:hAnsi="宋体" w:cs="仿宋_GB2312"/>
          <w:kern w:val="0"/>
          <w:szCs w:val="21"/>
        </w:rPr>
        <w:t>最终验收前三日内</w:t>
      </w:r>
      <w:r>
        <w:rPr>
          <w:rFonts w:hint="eastAsia" w:ascii="宋体" w:hAnsi="宋体" w:cs="仿宋_GB2312"/>
          <w:kern w:val="0"/>
          <w:szCs w:val="21"/>
        </w:rPr>
        <w:t>向甲方提供使用货物的有关技术资料、</w:t>
      </w:r>
      <w:r>
        <w:rPr>
          <w:rFonts w:ascii="宋体" w:hAnsi="宋体" w:cs="仿宋_GB2312"/>
          <w:kern w:val="0"/>
          <w:szCs w:val="21"/>
        </w:rPr>
        <w:t>操作文档等</w:t>
      </w:r>
      <w:r>
        <w:rPr>
          <w:rFonts w:hint="eastAsia" w:ascii="宋体" w:hAnsi="宋体" w:cs="仿宋_GB2312"/>
          <w:kern w:val="0"/>
          <w:szCs w:val="21"/>
        </w:rPr>
        <w:t>。</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 没有甲方事先书面同意，乙方不得将由甲方提供的有关合同或任何合同条文、计划或资料提供给与履行本合同无关的任何其他人。即使向履行本合同有关的人员提供，也应遵守保密并限于履行合同的必需范围。如因乙方或前述与履行本合同相关的人员违反本条规定的保密义务而导致甲方损失的，则乙方应向甲方承担赔偿责任。</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四、知识产权</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乙方应保证所提供的货物、</w:t>
      </w:r>
      <w:r>
        <w:rPr>
          <w:rFonts w:ascii="宋体" w:hAnsi="宋体" w:cs="仿宋_GB2312"/>
          <w:kern w:val="0"/>
          <w:szCs w:val="21"/>
        </w:rPr>
        <w:t>服务</w:t>
      </w:r>
      <w:r>
        <w:rPr>
          <w:rFonts w:hint="eastAsia" w:ascii="宋体" w:hAnsi="宋体" w:cs="仿宋_GB2312"/>
          <w:kern w:val="0"/>
          <w:szCs w:val="21"/>
        </w:rPr>
        <w:t>其任何一部分均不会侵犯任何第三方的知识产权。如因乙方违反本条保证并导致甲方遭受损失的，乙方须向甲方承担赔偿责任。</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五、产权担保</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六、转包或分包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104" w:name="_Toc9351385"/>
      <w:r>
        <w:rPr>
          <w:rFonts w:hint="eastAsia" w:ascii="宋体" w:hAnsi="宋体"/>
          <w:b/>
          <w:szCs w:val="21"/>
        </w:rPr>
        <w:t>七、产品包装、发运及运输</w:t>
      </w:r>
      <w:bookmarkEnd w:id="104"/>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105" w:name="_Toc9351386"/>
      <w:r>
        <w:rPr>
          <w:rFonts w:hint="eastAsia" w:ascii="宋体" w:hAnsi="宋体"/>
          <w:b/>
          <w:szCs w:val="21"/>
        </w:rPr>
        <w:t>八、交货期、交货方式及交货地点</w:t>
      </w:r>
      <w:bookmarkEnd w:id="105"/>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】个日历天（含安装调试）</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106" w:name="_Toc9351387"/>
      <w:r>
        <w:rPr>
          <w:rFonts w:hint="eastAsia" w:ascii="宋体" w:hAnsi="宋体"/>
          <w:b/>
          <w:szCs w:val="21"/>
        </w:rPr>
        <w:t>九、安装与验收</w:t>
      </w:r>
      <w:bookmarkEnd w:id="106"/>
    </w:p>
    <w:p>
      <w:pPr>
        <w:pStyle w:val="84"/>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84"/>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84"/>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84"/>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cs="Arial"/>
          <w:bCs/>
          <w:kern w:val="0"/>
          <w:sz w:val="22"/>
        </w:rPr>
        <w:t>会议系统操作界面风格保持不变，会议系统所有功能保持不变。TPS-4L操作面板主界面中DVI矩阵改为高清混合矩阵，通过操作面板将</w:t>
      </w:r>
      <w:r>
        <w:rPr>
          <w:rFonts w:hint="eastAsia" w:ascii="Arial" w:hAnsi="Arial" w:cs="Arial"/>
          <w:bCs/>
          <w:kern w:val="0"/>
          <w:sz w:val="22"/>
        </w:rPr>
        <w:t>华东管理局视频会议、省应急办视频会议、云视讯会议、省物联网视频会议的视频信号切换至</w:t>
      </w:r>
      <w:r>
        <w:rPr>
          <w:rFonts w:hint="eastAsia" w:ascii="宋体" w:hAnsi="宋体" w:cs="Arial"/>
          <w:bCs/>
          <w:kern w:val="0"/>
          <w:sz w:val="22"/>
        </w:rPr>
        <w:t>5</w:t>
      </w:r>
      <w:r>
        <w:rPr>
          <w:rFonts w:hint="eastAsia" w:ascii="Arial" w:hAnsi="Arial" w:cs="Arial"/>
          <w:bCs/>
          <w:kern w:val="0"/>
          <w:sz w:val="22"/>
        </w:rPr>
        <w:t>块显示屏</w:t>
      </w:r>
      <w:r>
        <w:rPr>
          <w:rFonts w:hint="eastAsia" w:ascii="宋体" w:hAnsi="宋体"/>
          <w:szCs w:val="21"/>
          <w:u w:val="single"/>
        </w:rPr>
        <w:t>，系统工作稳定。</w:t>
      </w:r>
      <w:r>
        <w:rPr>
          <w:rFonts w:hint="eastAsia" w:ascii="宋体" w:hAnsi="宋体" w:cs="Arial"/>
          <w:kern w:val="0"/>
          <w:sz w:val="22"/>
        </w:rPr>
        <w:t>重新敷设</w:t>
      </w:r>
      <w:r>
        <w:rPr>
          <w:rFonts w:hint="eastAsia" w:ascii="Arial" w:hAnsi="Arial" w:cs="Arial"/>
          <w:bCs/>
          <w:kern w:val="0"/>
          <w:sz w:val="22"/>
        </w:rPr>
        <w:t>HDMI和电源线后，省物联网视频会议主机摄像机正常工作。</w:t>
      </w:r>
    </w:p>
    <w:p>
      <w:pPr>
        <w:adjustRightInd w:val="0"/>
        <w:snapToGrid w:val="0"/>
        <w:spacing w:line="276" w:lineRule="auto"/>
        <w:ind w:firstLine="422" w:firstLineChars="200"/>
        <w:outlineLvl w:val="0"/>
        <w:rPr>
          <w:rFonts w:hint="eastAsia" w:ascii="宋体" w:hAnsi="宋体"/>
          <w:b/>
          <w:szCs w:val="21"/>
        </w:rPr>
      </w:pPr>
      <w:bookmarkStart w:id="107" w:name="_Toc9351388"/>
      <w:r>
        <w:rPr>
          <w:rFonts w:hint="eastAsia" w:ascii="宋体" w:hAnsi="宋体"/>
          <w:b/>
          <w:szCs w:val="21"/>
        </w:rPr>
        <w:t>十、货款支付</w:t>
      </w:r>
      <w:bookmarkEnd w:id="107"/>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设备在到货、安装调试完成且经甲方最终验收合格后1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hint="eastAsia" w:ascii="宋体" w:hAnsi="宋体"/>
          <w:szCs w:val="21"/>
          <w:u w:val="single"/>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42"/>
        <w:spacing w:before="150" w:after="150" w:line="276" w:lineRule="auto"/>
        <w:ind w:firstLine="422" w:firstLineChars="200"/>
        <w:rPr>
          <w:rFonts w:hint="eastAsia"/>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108" w:name="_Toc9351389"/>
      <w:r>
        <w:rPr>
          <w:rFonts w:hint="eastAsia" w:ascii="宋体" w:hAnsi="宋体"/>
          <w:b/>
          <w:szCs w:val="21"/>
        </w:rPr>
        <w:t>十二、免费质保期及服务内容</w:t>
      </w:r>
      <w:bookmarkEnd w:id="108"/>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2.乙方应为产品提供【 12】个月的免费质保期(含工时费和零部件费)，时间自甲方最终签署安装验收合格报告之日起计算。</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109" w:name="_Toc9351390"/>
      <w:r>
        <w:rPr>
          <w:rFonts w:hint="eastAsia" w:ascii="宋体" w:hAnsi="宋体"/>
          <w:b/>
          <w:szCs w:val="21"/>
        </w:rPr>
        <w:t>十三、违约责任</w:t>
      </w:r>
      <w:bookmarkEnd w:id="109"/>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110" w:name="_Toc9351391"/>
      <w:r>
        <w:rPr>
          <w:rFonts w:hint="eastAsia" w:ascii="宋体" w:hAnsi="宋体"/>
          <w:b/>
          <w:szCs w:val="21"/>
        </w:rPr>
        <w:t>十四、不可抗力事件处理</w:t>
      </w:r>
      <w:bookmarkEnd w:id="110"/>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不可抗力事件延续【30】天以上，双方应通过友好协商，确定是否继续履行合同；协商无法达成一致的，本合同自动终止，双方互不承担赔偿或违约责任。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111" w:name="_Toc9351392"/>
      <w:r>
        <w:rPr>
          <w:rFonts w:hint="eastAsia" w:ascii="宋体" w:hAnsi="宋体"/>
          <w:b/>
          <w:szCs w:val="21"/>
        </w:rPr>
        <w:t>十七、合同生效及其它</w:t>
      </w:r>
      <w:bookmarkEnd w:id="111"/>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hanging="3360" w:hangingChars="1600"/>
        <w:rPr>
          <w:rFonts w:hint="eastAsia"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hint="eastAsia"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hint="eastAsia" w:ascii="宋体" w:hAnsi="宋体"/>
          <w:szCs w:val="21"/>
        </w:rPr>
      </w:pPr>
    </w:p>
    <w:p>
      <w:pPr>
        <w:adjustRightInd w:val="0"/>
        <w:snapToGrid w:val="0"/>
        <w:spacing w:line="276" w:lineRule="auto"/>
        <w:rPr>
          <w:rFonts w:hint="eastAsia" w:ascii="宋体" w:hAnsi="宋体"/>
          <w:szCs w:val="21"/>
        </w:rPr>
      </w:pPr>
      <w:r>
        <w:rPr>
          <w:rFonts w:hint="eastAsia" w:ascii="宋体" w:hAnsi="宋体"/>
          <w:szCs w:val="21"/>
        </w:rPr>
        <w:t>法定代表人：                     法定代表人：</w:t>
      </w:r>
    </w:p>
    <w:p>
      <w:pPr>
        <w:adjustRightInd w:val="0"/>
        <w:snapToGrid w:val="0"/>
        <w:spacing w:line="276" w:lineRule="auto"/>
        <w:rPr>
          <w:rFonts w:hint="eastAsia" w:ascii="宋体" w:hAnsi="宋体"/>
          <w:szCs w:val="21"/>
        </w:rPr>
      </w:pPr>
      <w:r>
        <w:rPr>
          <w:rFonts w:hint="eastAsia" w:ascii="宋体" w:hAnsi="宋体"/>
          <w:szCs w:val="21"/>
        </w:rPr>
        <w:t>或                               或</w:t>
      </w:r>
    </w:p>
    <w:p>
      <w:pPr>
        <w:adjustRightInd w:val="0"/>
        <w:snapToGrid w:val="0"/>
        <w:spacing w:line="276" w:lineRule="auto"/>
        <w:rPr>
          <w:rFonts w:hint="eastAsia" w:ascii="宋体" w:hAnsi="宋体"/>
          <w:szCs w:val="21"/>
        </w:rPr>
      </w:pPr>
      <w:r>
        <w:rPr>
          <w:rFonts w:hint="eastAsia" w:ascii="宋体" w:hAnsi="宋体"/>
          <w:szCs w:val="21"/>
        </w:rPr>
        <w:t>授权代表：                       授权代表：</w:t>
      </w:r>
    </w:p>
    <w:p>
      <w:pPr>
        <w:adjustRightInd w:val="0"/>
        <w:snapToGrid w:val="0"/>
        <w:spacing w:line="276" w:lineRule="auto"/>
        <w:rPr>
          <w:rFonts w:hint="eastAsia"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hint="eastAsia" w:ascii="宋体" w:hAnsi="宋体"/>
          <w:b/>
          <w:szCs w:val="21"/>
        </w:rPr>
      </w:pPr>
      <w:r>
        <w:rPr>
          <w:rFonts w:hint="eastAsia" w:ascii="宋体" w:hAnsi="宋体"/>
          <w:szCs w:val="21"/>
        </w:rPr>
        <w:t>年  月  日                      年  月  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int="eastAsia"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21"/>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cs="Calibri"/>
          <w:bCs/>
          <w:sz w:val="22"/>
          <w:szCs w:val="22"/>
        </w:rPr>
      </w:pPr>
      <w:r>
        <w:rPr>
          <w:rFonts w:hint="eastAsia" w:hAnsi="宋体" w:cs="Calibri"/>
          <w:bCs/>
          <w:sz w:val="22"/>
          <w:szCs w:val="22"/>
        </w:rPr>
        <w:t>1.商业秘密</w:t>
      </w:r>
    </w:p>
    <w:p>
      <w:pPr>
        <w:pStyle w:val="21"/>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8、违约责任</w:t>
      </w:r>
    </w:p>
    <w:p>
      <w:pPr>
        <w:pStyle w:val="21"/>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112" w:name="_Toc9351393"/>
      <w:bookmarkStart w:id="113"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2"/>
      <w:bookmarkEnd w:id="113"/>
    </w:p>
    <w:p>
      <w:pPr>
        <w:pStyle w:val="21"/>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bookmarkEnd w:id="114"/>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spacing w:line="360" w:lineRule="exact"/>
        <w:rPr>
          <w:rFonts w:ascii="宋体" w:hAnsi="宋体"/>
          <w:szCs w:val="21"/>
        </w:rPr>
      </w:pPr>
    </w:p>
    <w:p>
      <w:pPr>
        <w:pStyle w:val="2"/>
        <w:spacing w:before="0" w:after="0"/>
        <w:jc w:val="center"/>
        <w:rPr>
          <w:rFonts w:ascii="Cambria" w:hAnsi="Cambria" w:eastAsia="黑体"/>
          <w:b w:val="0"/>
          <w:bCs w:val="0"/>
          <w:kern w:val="0"/>
          <w:sz w:val="32"/>
          <w:szCs w:val="32"/>
        </w:rPr>
      </w:pPr>
      <w:r>
        <w:br w:type="page"/>
      </w:r>
      <w:bookmarkStart w:id="115" w:name="_Toc9351394"/>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116" w:name="_Toc171421958"/>
      <w:r>
        <w:rPr>
          <w:rFonts w:cs="Calibri"/>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117" w:name="_Toc133214102"/>
      <w:bookmarkStart w:id="118" w:name="_Toc133470542"/>
      <w:bookmarkStart w:id="119" w:name="_Toc137373398"/>
      <w:bookmarkStart w:id="120" w:name="_Toc144265958"/>
      <w:bookmarkStart w:id="121" w:name="_Toc133214309"/>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17"/>
    <w:bookmarkEnd w:id="118"/>
    <w:bookmarkEnd w:id="119"/>
    <w:bookmarkEnd w:id="120"/>
    <w:bookmarkEnd w:id="121"/>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jc w:val="center"/>
        <w:rPr>
          <w:rFonts w:cs="Calibri"/>
          <w:b/>
          <w:bCs/>
          <w:sz w:val="32"/>
        </w:rPr>
      </w:pPr>
      <w:r>
        <w:rPr>
          <w:rFonts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440" w:lineRule="exact"/>
        <w:jc w:val="center"/>
        <w:rPr>
          <w:rFonts w:hint="eastAsia" w:eastAsia="黑体" w:cs="Calibri"/>
          <w:sz w:val="32"/>
          <w:szCs w:val="32"/>
        </w:rPr>
      </w:pPr>
    </w:p>
    <w:p>
      <w:pPr>
        <w:pStyle w:val="74"/>
        <w:adjustRightInd w:val="0"/>
        <w:snapToGrid w:val="0"/>
        <w:ind w:firstLine="0" w:firstLineChars="0"/>
        <w:rPr>
          <w:rFonts w:hint="eastAsia" w:ascii="宋体" w:hAnsi="宋体"/>
          <w:sz w:val="2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1" w:usb1="0807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2</w:t>
    </w:r>
    <w:r>
      <w:rPr>
        <w:lang/>
      </w:rP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69942092"/>
    <w:multiLevelType w:val="multilevel"/>
    <w:tmpl w:val="69942092"/>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003A1D"/>
    <w:rsid w:val="000237BF"/>
    <w:rsid w:val="00050661"/>
    <w:rsid w:val="00057B65"/>
    <w:rsid w:val="00090818"/>
    <w:rsid w:val="000A2F1B"/>
    <w:rsid w:val="000A4C53"/>
    <w:rsid w:val="000A74CD"/>
    <w:rsid w:val="000B27DF"/>
    <w:rsid w:val="000B39F8"/>
    <w:rsid w:val="000C1C86"/>
    <w:rsid w:val="000D047E"/>
    <w:rsid w:val="000E4CF3"/>
    <w:rsid w:val="000E526D"/>
    <w:rsid w:val="000F09A1"/>
    <w:rsid w:val="0012181D"/>
    <w:rsid w:val="001260E9"/>
    <w:rsid w:val="00131BBF"/>
    <w:rsid w:val="00136D95"/>
    <w:rsid w:val="00137036"/>
    <w:rsid w:val="00172090"/>
    <w:rsid w:val="00183ACC"/>
    <w:rsid w:val="001930B4"/>
    <w:rsid w:val="001A570A"/>
    <w:rsid w:val="001A63C2"/>
    <w:rsid w:val="001B0EF2"/>
    <w:rsid w:val="001C6C13"/>
    <w:rsid w:val="001D1278"/>
    <w:rsid w:val="001E131A"/>
    <w:rsid w:val="001E2347"/>
    <w:rsid w:val="001E7E95"/>
    <w:rsid w:val="001F6E0D"/>
    <w:rsid w:val="001F6FB1"/>
    <w:rsid w:val="00202942"/>
    <w:rsid w:val="0022678D"/>
    <w:rsid w:val="002407E4"/>
    <w:rsid w:val="002573B3"/>
    <w:rsid w:val="0026797B"/>
    <w:rsid w:val="00271AD1"/>
    <w:rsid w:val="002731D1"/>
    <w:rsid w:val="00274F21"/>
    <w:rsid w:val="0028372A"/>
    <w:rsid w:val="00286563"/>
    <w:rsid w:val="00293B69"/>
    <w:rsid w:val="002B5AB2"/>
    <w:rsid w:val="002C65D5"/>
    <w:rsid w:val="002D3FD5"/>
    <w:rsid w:val="002F1383"/>
    <w:rsid w:val="002F589F"/>
    <w:rsid w:val="002F6639"/>
    <w:rsid w:val="003061A7"/>
    <w:rsid w:val="003140F1"/>
    <w:rsid w:val="00315FA7"/>
    <w:rsid w:val="00320365"/>
    <w:rsid w:val="003463BA"/>
    <w:rsid w:val="00346D6E"/>
    <w:rsid w:val="003579AA"/>
    <w:rsid w:val="00370476"/>
    <w:rsid w:val="0037605F"/>
    <w:rsid w:val="00382106"/>
    <w:rsid w:val="003A216C"/>
    <w:rsid w:val="003A7540"/>
    <w:rsid w:val="003B1C32"/>
    <w:rsid w:val="003B5091"/>
    <w:rsid w:val="003C1E14"/>
    <w:rsid w:val="003E226E"/>
    <w:rsid w:val="003F6933"/>
    <w:rsid w:val="0040785D"/>
    <w:rsid w:val="00415A36"/>
    <w:rsid w:val="00422C77"/>
    <w:rsid w:val="00461712"/>
    <w:rsid w:val="004627D7"/>
    <w:rsid w:val="004676C7"/>
    <w:rsid w:val="004938BF"/>
    <w:rsid w:val="004A5E19"/>
    <w:rsid w:val="004F4EF9"/>
    <w:rsid w:val="004F6139"/>
    <w:rsid w:val="004F6BB6"/>
    <w:rsid w:val="005030D5"/>
    <w:rsid w:val="00505971"/>
    <w:rsid w:val="005060DE"/>
    <w:rsid w:val="005117F7"/>
    <w:rsid w:val="0052429B"/>
    <w:rsid w:val="0054614A"/>
    <w:rsid w:val="00546AD4"/>
    <w:rsid w:val="00564E37"/>
    <w:rsid w:val="00595CF3"/>
    <w:rsid w:val="005B2161"/>
    <w:rsid w:val="005D3840"/>
    <w:rsid w:val="005E03C8"/>
    <w:rsid w:val="006168AA"/>
    <w:rsid w:val="00624C7C"/>
    <w:rsid w:val="00643530"/>
    <w:rsid w:val="00651948"/>
    <w:rsid w:val="00675DA7"/>
    <w:rsid w:val="00680792"/>
    <w:rsid w:val="00680CC5"/>
    <w:rsid w:val="00691B5A"/>
    <w:rsid w:val="006A3A0E"/>
    <w:rsid w:val="006A6439"/>
    <w:rsid w:val="006B6B96"/>
    <w:rsid w:val="006D5F1F"/>
    <w:rsid w:val="006E0121"/>
    <w:rsid w:val="006E0F9D"/>
    <w:rsid w:val="006E2EED"/>
    <w:rsid w:val="006E39AF"/>
    <w:rsid w:val="006E3F1E"/>
    <w:rsid w:val="006E5AF4"/>
    <w:rsid w:val="00703043"/>
    <w:rsid w:val="00724FDA"/>
    <w:rsid w:val="007341F6"/>
    <w:rsid w:val="00753E87"/>
    <w:rsid w:val="00770AAB"/>
    <w:rsid w:val="00771E91"/>
    <w:rsid w:val="00780BB0"/>
    <w:rsid w:val="007915A6"/>
    <w:rsid w:val="00793249"/>
    <w:rsid w:val="007A1C7C"/>
    <w:rsid w:val="007A590B"/>
    <w:rsid w:val="007B2701"/>
    <w:rsid w:val="007E0F51"/>
    <w:rsid w:val="007F0319"/>
    <w:rsid w:val="007F7839"/>
    <w:rsid w:val="0081562B"/>
    <w:rsid w:val="00823FED"/>
    <w:rsid w:val="008379C3"/>
    <w:rsid w:val="00844EC4"/>
    <w:rsid w:val="00845742"/>
    <w:rsid w:val="0084721D"/>
    <w:rsid w:val="008674B6"/>
    <w:rsid w:val="0086797C"/>
    <w:rsid w:val="00870579"/>
    <w:rsid w:val="00897D3F"/>
    <w:rsid w:val="008B5EE8"/>
    <w:rsid w:val="008D1202"/>
    <w:rsid w:val="0091134B"/>
    <w:rsid w:val="00960177"/>
    <w:rsid w:val="0096722E"/>
    <w:rsid w:val="00972E0E"/>
    <w:rsid w:val="00973F32"/>
    <w:rsid w:val="00974BC2"/>
    <w:rsid w:val="009F4351"/>
    <w:rsid w:val="009F581A"/>
    <w:rsid w:val="009F73C3"/>
    <w:rsid w:val="00A23BC8"/>
    <w:rsid w:val="00A44D72"/>
    <w:rsid w:val="00A51377"/>
    <w:rsid w:val="00A51801"/>
    <w:rsid w:val="00A812B1"/>
    <w:rsid w:val="00AA2980"/>
    <w:rsid w:val="00AA7D3D"/>
    <w:rsid w:val="00AC2ACB"/>
    <w:rsid w:val="00AD32D6"/>
    <w:rsid w:val="00AE2E16"/>
    <w:rsid w:val="00AF0C5D"/>
    <w:rsid w:val="00B43C9D"/>
    <w:rsid w:val="00B5144E"/>
    <w:rsid w:val="00B6071E"/>
    <w:rsid w:val="00B875A6"/>
    <w:rsid w:val="00B97C92"/>
    <w:rsid w:val="00BA3F19"/>
    <w:rsid w:val="00BB621E"/>
    <w:rsid w:val="00BC48C7"/>
    <w:rsid w:val="00BF3795"/>
    <w:rsid w:val="00BF5512"/>
    <w:rsid w:val="00C07024"/>
    <w:rsid w:val="00C11CF9"/>
    <w:rsid w:val="00C1680F"/>
    <w:rsid w:val="00C4021E"/>
    <w:rsid w:val="00C56A61"/>
    <w:rsid w:val="00C72F85"/>
    <w:rsid w:val="00CB1AD8"/>
    <w:rsid w:val="00CB61DB"/>
    <w:rsid w:val="00CC0D56"/>
    <w:rsid w:val="00CC4E92"/>
    <w:rsid w:val="00CE66B9"/>
    <w:rsid w:val="00CF3E30"/>
    <w:rsid w:val="00D16128"/>
    <w:rsid w:val="00D1614F"/>
    <w:rsid w:val="00D16795"/>
    <w:rsid w:val="00D17F7E"/>
    <w:rsid w:val="00D31AC1"/>
    <w:rsid w:val="00D31C05"/>
    <w:rsid w:val="00D438A3"/>
    <w:rsid w:val="00D518F0"/>
    <w:rsid w:val="00D7255A"/>
    <w:rsid w:val="00D7461B"/>
    <w:rsid w:val="00D8524A"/>
    <w:rsid w:val="00D87FED"/>
    <w:rsid w:val="00D90E39"/>
    <w:rsid w:val="00D9217A"/>
    <w:rsid w:val="00DA113F"/>
    <w:rsid w:val="00DC768D"/>
    <w:rsid w:val="00DE3D4E"/>
    <w:rsid w:val="00E01D3C"/>
    <w:rsid w:val="00E0349E"/>
    <w:rsid w:val="00E20FB2"/>
    <w:rsid w:val="00E268A8"/>
    <w:rsid w:val="00E43B16"/>
    <w:rsid w:val="00E45140"/>
    <w:rsid w:val="00E47B86"/>
    <w:rsid w:val="00E97CF2"/>
    <w:rsid w:val="00EC00A4"/>
    <w:rsid w:val="00EC2FF3"/>
    <w:rsid w:val="00ED0A11"/>
    <w:rsid w:val="00EE2E40"/>
    <w:rsid w:val="00EF3E1A"/>
    <w:rsid w:val="00EF6EB3"/>
    <w:rsid w:val="00F06C47"/>
    <w:rsid w:val="00F2519C"/>
    <w:rsid w:val="00F532E5"/>
    <w:rsid w:val="00F6675A"/>
    <w:rsid w:val="00F87D7B"/>
    <w:rsid w:val="00F9180A"/>
    <w:rsid w:val="00F92094"/>
    <w:rsid w:val="00F951BF"/>
    <w:rsid w:val="00F9716E"/>
    <w:rsid w:val="00FA562A"/>
    <w:rsid w:val="00FB19F5"/>
    <w:rsid w:val="00FB5DDB"/>
    <w:rsid w:val="00FC0FB0"/>
    <w:rsid w:val="00FC703F"/>
    <w:rsid w:val="00FD637B"/>
    <w:rsid w:val="00FE25D3"/>
    <w:rsid w:val="00FE3621"/>
    <w:rsid w:val="00FF2C8D"/>
    <w:rsid w:val="012A046C"/>
    <w:rsid w:val="02A70540"/>
    <w:rsid w:val="02AA1839"/>
    <w:rsid w:val="02B44360"/>
    <w:rsid w:val="02BD6B50"/>
    <w:rsid w:val="02CB3C83"/>
    <w:rsid w:val="0387759E"/>
    <w:rsid w:val="04877F29"/>
    <w:rsid w:val="04996DC1"/>
    <w:rsid w:val="04B00045"/>
    <w:rsid w:val="05AA4E45"/>
    <w:rsid w:val="06287496"/>
    <w:rsid w:val="073E0513"/>
    <w:rsid w:val="0835047C"/>
    <w:rsid w:val="083F28E3"/>
    <w:rsid w:val="08B1319C"/>
    <w:rsid w:val="09044A1E"/>
    <w:rsid w:val="094D53E5"/>
    <w:rsid w:val="097D55C6"/>
    <w:rsid w:val="0AA26A2A"/>
    <w:rsid w:val="0BDC4275"/>
    <w:rsid w:val="0CB12D2A"/>
    <w:rsid w:val="0CF200FA"/>
    <w:rsid w:val="0D362B8E"/>
    <w:rsid w:val="0DB111A4"/>
    <w:rsid w:val="0E671034"/>
    <w:rsid w:val="0EA131AD"/>
    <w:rsid w:val="0F1339B3"/>
    <w:rsid w:val="0FB764D2"/>
    <w:rsid w:val="0FE11D12"/>
    <w:rsid w:val="103846A9"/>
    <w:rsid w:val="10573696"/>
    <w:rsid w:val="10A97578"/>
    <w:rsid w:val="119D5D6A"/>
    <w:rsid w:val="125B0AF4"/>
    <w:rsid w:val="12BE3400"/>
    <w:rsid w:val="13151ACD"/>
    <w:rsid w:val="136E004F"/>
    <w:rsid w:val="14443B0F"/>
    <w:rsid w:val="14B275EA"/>
    <w:rsid w:val="152C6ECA"/>
    <w:rsid w:val="157F368F"/>
    <w:rsid w:val="16350E42"/>
    <w:rsid w:val="168104ED"/>
    <w:rsid w:val="169206BD"/>
    <w:rsid w:val="180901CB"/>
    <w:rsid w:val="18F65C7A"/>
    <w:rsid w:val="1B23010E"/>
    <w:rsid w:val="1BED22BF"/>
    <w:rsid w:val="1C514E6E"/>
    <w:rsid w:val="1F9B2966"/>
    <w:rsid w:val="1FB615E3"/>
    <w:rsid w:val="206D474B"/>
    <w:rsid w:val="20D04905"/>
    <w:rsid w:val="21484095"/>
    <w:rsid w:val="21583922"/>
    <w:rsid w:val="216D1595"/>
    <w:rsid w:val="21BF1997"/>
    <w:rsid w:val="22C9454E"/>
    <w:rsid w:val="249C5479"/>
    <w:rsid w:val="25A0769C"/>
    <w:rsid w:val="25EE3DD7"/>
    <w:rsid w:val="262B28D4"/>
    <w:rsid w:val="262C3C6C"/>
    <w:rsid w:val="2671496B"/>
    <w:rsid w:val="26866496"/>
    <w:rsid w:val="27D0353A"/>
    <w:rsid w:val="29090142"/>
    <w:rsid w:val="29A85C62"/>
    <w:rsid w:val="2CA65367"/>
    <w:rsid w:val="2CFB0244"/>
    <w:rsid w:val="2DC27BE4"/>
    <w:rsid w:val="2EE8066F"/>
    <w:rsid w:val="2FB403FA"/>
    <w:rsid w:val="306B512A"/>
    <w:rsid w:val="30821889"/>
    <w:rsid w:val="30E97EDB"/>
    <w:rsid w:val="32A07B95"/>
    <w:rsid w:val="333A17BC"/>
    <w:rsid w:val="33707A07"/>
    <w:rsid w:val="33935535"/>
    <w:rsid w:val="34D81688"/>
    <w:rsid w:val="352F0D1F"/>
    <w:rsid w:val="366C2203"/>
    <w:rsid w:val="36942965"/>
    <w:rsid w:val="36E41BE9"/>
    <w:rsid w:val="36E57D9B"/>
    <w:rsid w:val="36E97520"/>
    <w:rsid w:val="376C694A"/>
    <w:rsid w:val="38683FF1"/>
    <w:rsid w:val="38AA4556"/>
    <w:rsid w:val="38E57CC2"/>
    <w:rsid w:val="39A74E32"/>
    <w:rsid w:val="39DC2170"/>
    <w:rsid w:val="39DF35F4"/>
    <w:rsid w:val="39F170CB"/>
    <w:rsid w:val="3A567C89"/>
    <w:rsid w:val="3A6D0F79"/>
    <w:rsid w:val="3C5F1722"/>
    <w:rsid w:val="3C6B12CA"/>
    <w:rsid w:val="3DFC4B3B"/>
    <w:rsid w:val="3EA364C7"/>
    <w:rsid w:val="3F6E6454"/>
    <w:rsid w:val="407B7BF0"/>
    <w:rsid w:val="409837AC"/>
    <w:rsid w:val="40994215"/>
    <w:rsid w:val="40F74BF3"/>
    <w:rsid w:val="42425A55"/>
    <w:rsid w:val="42737F78"/>
    <w:rsid w:val="429717D4"/>
    <w:rsid w:val="433C76CD"/>
    <w:rsid w:val="43543B31"/>
    <w:rsid w:val="439914B4"/>
    <w:rsid w:val="43A314DE"/>
    <w:rsid w:val="43DE500C"/>
    <w:rsid w:val="44F86E23"/>
    <w:rsid w:val="451302D2"/>
    <w:rsid w:val="452B1121"/>
    <w:rsid w:val="468B3A9D"/>
    <w:rsid w:val="46BA405A"/>
    <w:rsid w:val="46E26BD4"/>
    <w:rsid w:val="46F40921"/>
    <w:rsid w:val="475C3285"/>
    <w:rsid w:val="476D14DE"/>
    <w:rsid w:val="48551274"/>
    <w:rsid w:val="48790FDA"/>
    <w:rsid w:val="48D30E1E"/>
    <w:rsid w:val="48F35CB9"/>
    <w:rsid w:val="49272D0F"/>
    <w:rsid w:val="496D2D2D"/>
    <w:rsid w:val="49805917"/>
    <w:rsid w:val="49BE0CAA"/>
    <w:rsid w:val="49F1303F"/>
    <w:rsid w:val="4AF47055"/>
    <w:rsid w:val="4BA00E2D"/>
    <w:rsid w:val="4C1E4E12"/>
    <w:rsid w:val="4C486D6D"/>
    <w:rsid w:val="4D634661"/>
    <w:rsid w:val="4DAF0B22"/>
    <w:rsid w:val="4DDA5B15"/>
    <w:rsid w:val="4F3460FB"/>
    <w:rsid w:val="4F5C7273"/>
    <w:rsid w:val="516E6901"/>
    <w:rsid w:val="51AE3EF9"/>
    <w:rsid w:val="523203DE"/>
    <w:rsid w:val="54FC17F3"/>
    <w:rsid w:val="550B724F"/>
    <w:rsid w:val="553E6E3D"/>
    <w:rsid w:val="56042923"/>
    <w:rsid w:val="56065E6A"/>
    <w:rsid w:val="56846DBC"/>
    <w:rsid w:val="56F279EE"/>
    <w:rsid w:val="579C2167"/>
    <w:rsid w:val="57B12607"/>
    <w:rsid w:val="57F50009"/>
    <w:rsid w:val="585D4163"/>
    <w:rsid w:val="58BA63D2"/>
    <w:rsid w:val="590E5902"/>
    <w:rsid w:val="596E7B78"/>
    <w:rsid w:val="596F22AC"/>
    <w:rsid w:val="5AF61706"/>
    <w:rsid w:val="5B10173E"/>
    <w:rsid w:val="5B1A3190"/>
    <w:rsid w:val="5BE32831"/>
    <w:rsid w:val="5BF96D0E"/>
    <w:rsid w:val="5C156AF8"/>
    <w:rsid w:val="5C806EC4"/>
    <w:rsid w:val="5CE57ECE"/>
    <w:rsid w:val="5D141AF9"/>
    <w:rsid w:val="5D2563E1"/>
    <w:rsid w:val="5D864F48"/>
    <w:rsid w:val="5DED065E"/>
    <w:rsid w:val="5E530C3E"/>
    <w:rsid w:val="5EA75EBD"/>
    <w:rsid w:val="5ECA2370"/>
    <w:rsid w:val="5FD57E31"/>
    <w:rsid w:val="601B0547"/>
    <w:rsid w:val="615A162F"/>
    <w:rsid w:val="62C8567B"/>
    <w:rsid w:val="62DC0EE0"/>
    <w:rsid w:val="6329660A"/>
    <w:rsid w:val="63633C96"/>
    <w:rsid w:val="637C3DD4"/>
    <w:rsid w:val="644E02F2"/>
    <w:rsid w:val="64AF4FD5"/>
    <w:rsid w:val="66114D0D"/>
    <w:rsid w:val="66D1793B"/>
    <w:rsid w:val="67573598"/>
    <w:rsid w:val="67D55E0D"/>
    <w:rsid w:val="67E17ACB"/>
    <w:rsid w:val="68251B4D"/>
    <w:rsid w:val="68816FE4"/>
    <w:rsid w:val="68935A3F"/>
    <w:rsid w:val="68B6457E"/>
    <w:rsid w:val="68F81687"/>
    <w:rsid w:val="6A345AD5"/>
    <w:rsid w:val="6ACA47D8"/>
    <w:rsid w:val="6B994D2F"/>
    <w:rsid w:val="6BC0526C"/>
    <w:rsid w:val="6BC12215"/>
    <w:rsid w:val="6C703A04"/>
    <w:rsid w:val="6E67719F"/>
    <w:rsid w:val="6E876888"/>
    <w:rsid w:val="6EC03839"/>
    <w:rsid w:val="6F371C7A"/>
    <w:rsid w:val="7092353B"/>
    <w:rsid w:val="70A10273"/>
    <w:rsid w:val="70FE13B3"/>
    <w:rsid w:val="72070A42"/>
    <w:rsid w:val="721E3094"/>
    <w:rsid w:val="72AC033B"/>
    <w:rsid w:val="72FB415D"/>
    <w:rsid w:val="73F94B9E"/>
    <w:rsid w:val="753C1F53"/>
    <w:rsid w:val="762B38A8"/>
    <w:rsid w:val="76497C4C"/>
    <w:rsid w:val="76935A18"/>
    <w:rsid w:val="77510DF4"/>
    <w:rsid w:val="77EA50A3"/>
    <w:rsid w:val="77FE4C61"/>
    <w:rsid w:val="78351EEF"/>
    <w:rsid w:val="787B058D"/>
    <w:rsid w:val="788B52AB"/>
    <w:rsid w:val="78BD6E17"/>
    <w:rsid w:val="79C443B9"/>
    <w:rsid w:val="7A4374D2"/>
    <w:rsid w:val="7BAF3B0B"/>
    <w:rsid w:val="7C352321"/>
    <w:rsid w:val="7D1F583C"/>
    <w:rsid w:val="7F7A5B58"/>
    <w:rsid w:val="7FB7616E"/>
    <w:rsid w:val="7FEA34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47"/>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19"/>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0"/>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04"/>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17"/>
    <w:uiPriority w:val="0"/>
    <w:rPr>
      <w:rFonts w:ascii="Times New Roman" w:hAnsi="Times New Roman"/>
      <w:b/>
      <w:bCs/>
      <w:kern w:val="0"/>
      <w:sz w:val="20"/>
      <w:szCs w:val="24"/>
    </w:rPr>
  </w:style>
  <w:style w:type="paragraph" w:styleId="9">
    <w:name w:val="annotation text"/>
    <w:basedOn w:val="1"/>
    <w:link w:val="102"/>
    <w:uiPriority w:val="0"/>
    <w:pPr>
      <w:jc w:val="left"/>
    </w:p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32"/>
    <w:uiPriority w:val="0"/>
    <w:pPr>
      <w:ind w:firstLine="420" w:firstLineChars="100"/>
    </w:pPr>
    <w:rPr>
      <w:rFonts w:ascii="Times New Roman" w:hAnsi="Times New Roman"/>
      <w:szCs w:val="24"/>
    </w:rPr>
  </w:style>
  <w:style w:type="paragraph" w:styleId="12">
    <w:name w:val="Body Text"/>
    <w:basedOn w:val="1"/>
    <w:link w:val="129"/>
    <w:uiPriority w:val="0"/>
    <w:pPr>
      <w:spacing w:after="120"/>
    </w:pPr>
    <w:rPr>
      <w:kern w:val="0"/>
      <w:sz w:val="20"/>
      <w:szCs w:val="20"/>
    </w:rPr>
  </w:style>
  <w:style w:type="paragraph" w:styleId="13">
    <w:name w:val="Normal Indent"/>
    <w:basedOn w:val="1"/>
    <w:link w:val="145"/>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37"/>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99"/>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01"/>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113"/>
    <w:uiPriority w:val="0"/>
    <w:pPr>
      <w:ind w:left="100" w:leftChars="2500"/>
    </w:pPr>
    <w:rPr>
      <w:rFonts w:ascii="Times New Roman" w:hAnsi="Times New Roman"/>
      <w:b/>
      <w:bCs/>
      <w:kern w:val="0"/>
      <w:sz w:val="36"/>
      <w:szCs w:val="24"/>
    </w:rPr>
  </w:style>
  <w:style w:type="paragraph" w:styleId="25">
    <w:name w:val="Body Text Indent 2"/>
    <w:basedOn w:val="1"/>
    <w:link w:val="141"/>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3"/>
    <w:uiPriority w:val="0"/>
    <w:rPr>
      <w:rFonts w:ascii="Times New Roman" w:hAnsi="Times New Roman"/>
      <w:kern w:val="0"/>
      <w:sz w:val="18"/>
      <w:szCs w:val="18"/>
    </w:rPr>
  </w:style>
  <w:style w:type="paragraph" w:styleId="27">
    <w:name w:val="footer"/>
    <w:basedOn w:val="1"/>
    <w:link w:val="111"/>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25"/>
    <w:uiPriority w:val="0"/>
    <w:pPr>
      <w:ind w:firstLine="420" w:firstLineChars="200"/>
    </w:pPr>
    <w:rPr>
      <w:rFonts w:ascii="Times New Roman" w:hAnsi="Times New Roman"/>
      <w:szCs w:val="24"/>
    </w:rPr>
  </w:style>
  <w:style w:type="paragraph" w:styleId="29">
    <w:name w:val="header"/>
    <w:basedOn w:val="1"/>
    <w:link w:val="108"/>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110"/>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112"/>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31"/>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21"/>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55">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56">
    <w:name w:val="样式1"/>
    <w:basedOn w:val="1"/>
    <w:uiPriority w:val="0"/>
    <w:pPr>
      <w:spacing w:line="360" w:lineRule="auto"/>
      <w:jc w:val="center"/>
    </w:pPr>
    <w:rPr>
      <w:rFonts w:ascii="宋体" w:hAnsi="宋体"/>
      <w:sz w:val="32"/>
      <w:szCs w:val="30"/>
    </w:rPr>
  </w:style>
  <w:style w:type="paragraph" w:customStyle="1" w:styleId="57">
    <w:name w:val="0"/>
    <w:basedOn w:val="1"/>
    <w:uiPriority w:val="0"/>
    <w:pPr>
      <w:widowControl/>
    </w:pPr>
    <w:rPr>
      <w:rFonts w:ascii="Times New Roman" w:hAnsi="Times New Roman"/>
      <w:kern w:val="0"/>
      <w:szCs w:val="20"/>
    </w:rPr>
  </w:style>
  <w:style w:type="paragraph" w:customStyle="1" w:styleId="58">
    <w:name w:val="样式 一号 加粗 居中"/>
    <w:basedOn w:val="1"/>
    <w:uiPriority w:val="0"/>
    <w:pPr>
      <w:jc w:val="center"/>
    </w:pPr>
    <w:rPr>
      <w:rFonts w:ascii="Times New Roman" w:hAnsi="Times New Roman" w:cs="宋体"/>
      <w:bCs/>
      <w:sz w:val="52"/>
      <w:szCs w:val="20"/>
    </w:rPr>
  </w:style>
  <w:style w:type="paragraph" w:customStyle="1" w:styleId="59">
    <w:name w:val="标题5"/>
    <w:basedOn w:val="60"/>
    <w:next w:val="1"/>
    <w:uiPriority w:val="0"/>
    <w:pPr>
      <w:outlineLvl w:val="4"/>
    </w:pPr>
    <w:rPr>
      <w:b w:val="0"/>
      <w:sz w:val="24"/>
    </w:rPr>
  </w:style>
  <w:style w:type="paragraph" w:customStyle="1" w:styleId="60">
    <w:name w:val="标题4"/>
    <w:next w:val="1"/>
    <w:link w:val="124"/>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1">
    <w:name w:val="正文段"/>
    <w:basedOn w:val="1"/>
    <w:uiPriority w:val="0"/>
    <w:pPr>
      <w:spacing w:line="360" w:lineRule="auto"/>
      <w:ind w:firstLine="420"/>
    </w:pPr>
    <w:rPr>
      <w:rFonts w:ascii="宋体" w:hAnsi="Times New Roman"/>
      <w:sz w:val="24"/>
      <w:szCs w:val="24"/>
    </w:rPr>
  </w:style>
  <w:style w:type="paragraph" w:styleId="62">
    <w:name w:val=""/>
    <w:basedOn w:val="1"/>
    <w:next w:val="1"/>
    <w:link w:val="98"/>
    <w:uiPriority w:val="0"/>
    <w:pPr>
      <w:pBdr>
        <w:top w:val="single" w:color="auto" w:sz="6" w:space="1"/>
      </w:pBdr>
      <w:jc w:val="center"/>
    </w:pPr>
    <w:rPr>
      <w:rFonts w:ascii="Arial" w:hAnsi="Arial"/>
      <w:vanish/>
      <w:kern w:val="0"/>
      <w:sz w:val="16"/>
      <w:szCs w:val="16"/>
    </w:rPr>
  </w:style>
  <w:style w:type="paragraph" w:customStyle="1" w:styleId="63">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64">
    <w:name w:val="表格一"/>
    <w:basedOn w:val="1"/>
    <w:uiPriority w:val="0"/>
    <w:pPr>
      <w:spacing w:line="240" w:lineRule="exact"/>
      <w:ind w:left="105" w:leftChars="50"/>
    </w:pPr>
    <w:rPr>
      <w:rFonts w:ascii="Times New Roman" w:hAnsi="Times New Roman"/>
      <w:sz w:val="18"/>
      <w:szCs w:val="21"/>
    </w:rPr>
  </w:style>
  <w:style w:type="paragraph" w:customStyle="1" w:styleId="65">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66">
    <w:name w:val="Char Char Char Char"/>
    <w:basedOn w:val="1"/>
    <w:uiPriority w:val="0"/>
    <w:rPr>
      <w:rFonts w:ascii="仿宋_GB2312" w:hAnsi="Times New Roman" w:eastAsia="仿宋_GB2312"/>
      <w:b/>
      <w:sz w:val="32"/>
      <w:szCs w:val="32"/>
    </w:rPr>
  </w:style>
  <w:style w:type="paragraph" w:customStyle="1" w:styleId="67">
    <w:name w:val="样式 样式1 + 首行缩进:  2 字符"/>
    <w:basedOn w:val="56"/>
    <w:link w:val="139"/>
    <w:uiPriority w:val="0"/>
    <w:pPr>
      <w:spacing w:line="360" w:lineRule="exact"/>
      <w:ind w:firstLine="420" w:firstLineChars="200"/>
      <w:jc w:val="both"/>
    </w:pPr>
    <w:rPr>
      <w:rFonts w:ascii="Arial" w:hAnsi="Arial"/>
      <w:kern w:val="0"/>
      <w:sz w:val="24"/>
      <w:szCs w:val="20"/>
    </w:rPr>
  </w:style>
  <w:style w:type="paragraph" w:customStyle="1" w:styleId="68">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69">
    <w:name w:val="表"/>
    <w:basedOn w:val="1"/>
    <w:uiPriority w:val="0"/>
    <w:pPr>
      <w:spacing w:line="360" w:lineRule="auto"/>
      <w:jc w:val="center"/>
    </w:pPr>
    <w:rPr>
      <w:rFonts w:ascii="Times New Roman" w:hAnsi="Times New Roman"/>
      <w:color w:val="000000"/>
      <w:szCs w:val="21"/>
    </w:rPr>
  </w:style>
  <w:style w:type="paragraph" w:customStyle="1" w:styleId="70">
    <w:name w:val="样式2"/>
    <w:basedOn w:val="36"/>
    <w:uiPriority w:val="0"/>
    <w:pPr>
      <w:ind w:firstLine="2720"/>
    </w:pPr>
    <w:rPr>
      <w:bCs/>
    </w:rPr>
  </w:style>
  <w:style w:type="paragraph" w:customStyle="1" w:styleId="71">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2">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7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74">
    <w:name w:val="列出段落1"/>
    <w:basedOn w:val="1"/>
    <w:qFormat/>
    <w:uiPriority w:val="34"/>
    <w:pPr>
      <w:ind w:firstLine="420" w:firstLineChars="200"/>
    </w:pPr>
  </w:style>
  <w:style w:type="paragraph" w:customStyle="1" w:styleId="75">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76">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77">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78">
    <w:name w:val="_Style 10"/>
    <w:basedOn w:val="1"/>
    <w:next w:val="1"/>
    <w:uiPriority w:val="0"/>
    <w:rPr>
      <w:rFonts w:ascii="Times New Roman" w:hAnsi="Times New Roman"/>
      <w:szCs w:val="24"/>
    </w:rPr>
  </w:style>
  <w:style w:type="paragraph" w:customStyle="1" w:styleId="79">
    <w:name w:val="_Style 5"/>
    <w:basedOn w:val="1"/>
    <w:next w:val="1"/>
    <w:uiPriority w:val="0"/>
    <w:rPr>
      <w:rFonts w:ascii="Times New Roman" w:hAnsi="Times New Roman"/>
      <w:szCs w:val="20"/>
    </w:rPr>
  </w:style>
  <w:style w:type="paragraph" w:customStyle="1" w:styleId="80">
    <w:name w:val="Char Char"/>
    <w:basedOn w:val="1"/>
    <w:uiPriority w:val="0"/>
    <w:rPr>
      <w:rFonts w:ascii="Tahoma" w:hAnsi="Tahoma"/>
      <w:sz w:val="24"/>
      <w:szCs w:val="20"/>
    </w:rPr>
  </w:style>
  <w:style w:type="paragraph" w:customStyle="1" w:styleId="81">
    <w:name w:val="Char"/>
    <w:basedOn w:val="1"/>
    <w:uiPriority w:val="0"/>
    <w:pPr>
      <w:spacing w:line="360" w:lineRule="auto"/>
    </w:pPr>
    <w:rPr>
      <w:rFonts w:ascii="黑体" w:hAnsi="黑体"/>
      <w:sz w:val="24"/>
      <w:szCs w:val="24"/>
      <w:lang w:val="zh-CN"/>
    </w:rPr>
  </w:style>
  <w:style w:type="paragraph" w:customStyle="1" w:styleId="82">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83">
    <w:name w:val=""/>
    <w:basedOn w:val="1"/>
    <w:next w:val="1"/>
    <w:link w:val="144"/>
    <w:uiPriority w:val="0"/>
    <w:pPr>
      <w:pBdr>
        <w:bottom w:val="single" w:color="auto" w:sz="6" w:space="1"/>
      </w:pBdr>
      <w:jc w:val="center"/>
    </w:pPr>
    <w:rPr>
      <w:rFonts w:ascii="Arial" w:hAnsi="Arial"/>
      <w:vanish/>
      <w:kern w:val="0"/>
      <w:sz w:val="16"/>
      <w:szCs w:val="16"/>
    </w:rPr>
  </w:style>
  <w:style w:type="paragraph" w:customStyle="1" w:styleId="8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6">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88">
    <w:name w:val="小正文"/>
    <w:basedOn w:val="81"/>
    <w:link w:val="136"/>
    <w:qFormat/>
    <w:uiPriority w:val="0"/>
    <w:pPr>
      <w:spacing w:line="560" w:lineRule="exact"/>
      <w:ind w:firstLine="560" w:firstLineChars="200"/>
      <w:jc w:val="left"/>
    </w:pPr>
    <w:rPr>
      <w:rFonts w:ascii="仿宋_GB2312" w:hAnsi="宋体" w:eastAsia="仿宋_GB2312"/>
      <w:kern w:val="0"/>
      <w:sz w:val="28"/>
      <w:szCs w:val="28"/>
    </w:rPr>
  </w:style>
  <w:style w:type="paragraph" w:styleId="89">
    <w:name w:val=""/>
    <w:basedOn w:val="1"/>
    <w:qFormat/>
    <w:uiPriority w:val="0"/>
    <w:pPr>
      <w:spacing w:before="100" w:beforeAutospacing="1" w:after="100" w:afterAutospacing="1" w:line="300" w:lineRule="auto"/>
      <w:ind w:firstLine="420" w:firstLineChars="200"/>
    </w:pPr>
  </w:style>
  <w:style w:type="paragraph" w:customStyle="1" w:styleId="90">
    <w:name w:val="样式 标题 1 + (符号) Arial 三号"/>
    <w:basedOn w:val="2"/>
    <w:uiPriority w:val="0"/>
    <w:pPr>
      <w:snapToGrid w:val="0"/>
      <w:spacing w:before="0" w:after="0" w:line="360" w:lineRule="auto"/>
    </w:pPr>
    <w:rPr>
      <w:sz w:val="32"/>
    </w:rPr>
  </w:style>
  <w:style w:type="paragraph" w:customStyle="1" w:styleId="91">
    <w:name w:val="样式3"/>
    <w:basedOn w:val="4"/>
    <w:uiPriority w:val="0"/>
    <w:pPr>
      <w:keepNext/>
      <w:keepLines/>
      <w:spacing w:before="120" w:after="120" w:line="360" w:lineRule="auto"/>
    </w:pPr>
    <w:rPr>
      <w:rFonts w:eastAsia="宋体"/>
      <w:sz w:val="24"/>
      <w:szCs w:val="24"/>
    </w:rPr>
  </w:style>
  <w:style w:type="paragraph" w:customStyle="1" w:styleId="92">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93">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character" w:customStyle="1" w:styleId="94">
    <w:name w:val="标题 1 Char"/>
    <w:link w:val="2"/>
    <w:uiPriority w:val="0"/>
    <w:rPr>
      <w:rFonts w:ascii="Times New Roman" w:hAnsi="Times New Roman" w:eastAsia="宋体" w:cs="Times New Roman"/>
      <w:b/>
      <w:bCs/>
      <w:kern w:val="44"/>
      <w:sz w:val="44"/>
      <w:szCs w:val="44"/>
    </w:rPr>
  </w:style>
  <w:style w:type="character" w:customStyle="1" w:styleId="95">
    <w:name w:val="日期 字符"/>
    <w:semiHidden/>
    <w:uiPriority w:val="99"/>
    <w:rPr>
      <w:rFonts w:ascii="Calibri" w:hAnsi="Calibri" w:eastAsia="宋体" w:cs="Times New Roman"/>
    </w:rPr>
  </w:style>
  <w:style w:type="character" w:customStyle="1" w:styleId="96">
    <w:name w:val="标题 1 字符"/>
    <w:uiPriority w:val="9"/>
    <w:rPr>
      <w:rFonts w:ascii="Calibri" w:hAnsi="Calibri" w:eastAsia="宋体" w:cs="Times New Roman"/>
      <w:b/>
      <w:bCs/>
      <w:kern w:val="44"/>
      <w:sz w:val="44"/>
      <w:szCs w:val="44"/>
    </w:rPr>
  </w:style>
  <w:style w:type="character" w:customStyle="1" w:styleId="97">
    <w:name w:val="zbggmain style9"/>
    <w:uiPriority w:val="0"/>
    <w:rPr>
      <w:rFonts w:ascii="Calibri" w:hAnsi="Calibri" w:eastAsia="宋体" w:cs="Times New Roman"/>
    </w:rPr>
  </w:style>
  <w:style w:type="character" w:customStyle="1" w:styleId="98">
    <w:name w:val="z-窗体底端 Char"/>
    <w:link w:val="62"/>
    <w:uiPriority w:val="0"/>
    <w:rPr>
      <w:rFonts w:ascii="Arial" w:hAnsi="Arial" w:eastAsia="宋体" w:cs="Times New Roman"/>
      <w:vanish/>
      <w:sz w:val="16"/>
      <w:szCs w:val="16"/>
    </w:rPr>
  </w:style>
  <w:style w:type="character" w:customStyle="1" w:styleId="99">
    <w:name w:val="正文文本缩进 Char"/>
    <w:basedOn w:val="46"/>
    <w:link w:val="17"/>
    <w:uiPriority w:val="0"/>
    <w:rPr>
      <w:rFonts w:ascii="Calibri" w:hAnsi="Calibri" w:eastAsia="宋体" w:cs="Times New Roman"/>
    </w:rPr>
  </w:style>
  <w:style w:type="character" w:customStyle="1" w:styleId="100">
    <w:name w:val="页脚 字符"/>
    <w:semiHidden/>
    <w:uiPriority w:val="99"/>
    <w:rPr>
      <w:rFonts w:ascii="Calibri" w:hAnsi="Calibri" w:eastAsia="宋体" w:cs="Times New Roman"/>
      <w:sz w:val="18"/>
      <w:szCs w:val="18"/>
    </w:rPr>
  </w:style>
  <w:style w:type="character" w:customStyle="1" w:styleId="101">
    <w:name w:val="纯文本 Char"/>
    <w:link w:val="21"/>
    <w:uiPriority w:val="0"/>
    <w:rPr>
      <w:rFonts w:ascii="宋体" w:hAnsi="Courier New" w:eastAsia="宋体" w:cs="Times New Roman"/>
      <w:szCs w:val="21"/>
    </w:rPr>
  </w:style>
  <w:style w:type="character" w:customStyle="1" w:styleId="102">
    <w:name w:val="批注文字 Char"/>
    <w:link w:val="9"/>
    <w:uiPriority w:val="99"/>
    <w:rPr>
      <w:rFonts w:ascii="Calibri" w:hAnsi="Calibri" w:eastAsia="宋体" w:cs="Times New Roman"/>
      <w:kern w:val="2"/>
      <w:sz w:val="21"/>
      <w:szCs w:val="22"/>
    </w:rPr>
  </w:style>
  <w:style w:type="character" w:customStyle="1" w:styleId="103">
    <w:name w:val="正文文本缩进 2 字符"/>
    <w:semiHidden/>
    <w:uiPriority w:val="99"/>
    <w:rPr>
      <w:rFonts w:ascii="Calibri" w:hAnsi="Calibri" w:eastAsia="宋体" w:cs="Times New Roman"/>
    </w:rPr>
  </w:style>
  <w:style w:type="character" w:customStyle="1" w:styleId="104">
    <w:name w:val="标题 5 Char"/>
    <w:link w:val="6"/>
    <w:uiPriority w:val="0"/>
    <w:rPr>
      <w:rFonts w:ascii="Times New Roman" w:hAnsi="Times New Roman" w:eastAsia="宋体" w:cs="Times New Roman"/>
      <w:b/>
      <w:bCs/>
      <w:sz w:val="28"/>
      <w:szCs w:val="28"/>
    </w:rPr>
  </w:style>
  <w:style w:type="character" w:customStyle="1" w:styleId="105">
    <w:name w:val="批注主题 Char1"/>
    <w:semiHidden/>
    <w:uiPriority w:val="99"/>
    <w:rPr>
      <w:rFonts w:ascii="Calibri" w:hAnsi="Calibri" w:eastAsia="宋体" w:cs="Times New Roman"/>
      <w:b/>
      <w:bCs/>
      <w:kern w:val="2"/>
      <w:sz w:val="21"/>
      <w:szCs w:val="22"/>
    </w:rPr>
  </w:style>
  <w:style w:type="character" w:customStyle="1" w:styleId="106">
    <w:name w:val="z-窗体底端 字符"/>
    <w:semiHidden/>
    <w:uiPriority w:val="99"/>
    <w:rPr>
      <w:rFonts w:ascii="Arial" w:hAnsi="Arial" w:eastAsia="宋体" w:cs="Arial"/>
      <w:vanish/>
      <w:sz w:val="16"/>
      <w:szCs w:val="16"/>
    </w:rPr>
  </w:style>
  <w:style w:type="character" w:customStyle="1" w:styleId="107">
    <w:name w:val="批注框文本 字符"/>
    <w:semiHidden/>
    <w:uiPriority w:val="99"/>
    <w:rPr>
      <w:rFonts w:ascii="Calibri" w:hAnsi="Calibri" w:eastAsia="宋体" w:cs="Times New Roman"/>
      <w:sz w:val="18"/>
      <w:szCs w:val="18"/>
    </w:rPr>
  </w:style>
  <w:style w:type="character" w:customStyle="1" w:styleId="108">
    <w:name w:val="页眉 Char"/>
    <w:link w:val="29"/>
    <w:uiPriority w:val="99"/>
    <w:rPr>
      <w:rFonts w:ascii="Times New Roman" w:hAnsi="Times New Roman" w:eastAsia="宋体" w:cs="Times New Roman"/>
      <w:sz w:val="18"/>
      <w:szCs w:val="18"/>
    </w:rPr>
  </w:style>
  <w:style w:type="character" w:customStyle="1" w:styleId="109">
    <w:name w:val="z-窗体顶端 字符"/>
    <w:semiHidden/>
    <w:uiPriority w:val="99"/>
    <w:rPr>
      <w:rFonts w:ascii="Arial" w:hAnsi="Arial" w:eastAsia="宋体" w:cs="Arial"/>
      <w:vanish/>
      <w:sz w:val="16"/>
      <w:szCs w:val="16"/>
    </w:rPr>
  </w:style>
  <w:style w:type="character" w:customStyle="1" w:styleId="110">
    <w:name w:val="脚注文本 Char"/>
    <w:link w:val="33"/>
    <w:uiPriority w:val="0"/>
    <w:rPr>
      <w:rFonts w:ascii="Times New Roman" w:hAnsi="Times New Roman" w:eastAsia="宋体" w:cs="Times New Roman"/>
      <w:sz w:val="18"/>
      <w:szCs w:val="18"/>
    </w:rPr>
  </w:style>
  <w:style w:type="character" w:customStyle="1" w:styleId="111">
    <w:name w:val="页脚 Char"/>
    <w:link w:val="27"/>
    <w:uiPriority w:val="99"/>
    <w:rPr>
      <w:rFonts w:ascii="Times New Roman" w:hAnsi="Times New Roman" w:eastAsia="宋体" w:cs="Times New Roman"/>
      <w:sz w:val="18"/>
      <w:szCs w:val="18"/>
    </w:rPr>
  </w:style>
  <w:style w:type="character" w:customStyle="1" w:styleId="112">
    <w:name w:val="正文文本缩进 3 Char"/>
    <w:link w:val="35"/>
    <w:uiPriority w:val="0"/>
    <w:rPr>
      <w:rFonts w:ascii="Times New Roman" w:hAnsi="Times New Roman" w:eastAsia="宋体" w:cs="Times New Roman"/>
      <w:sz w:val="24"/>
      <w:szCs w:val="24"/>
    </w:rPr>
  </w:style>
  <w:style w:type="character" w:customStyle="1" w:styleId="113">
    <w:name w:val="日期 Char"/>
    <w:link w:val="24"/>
    <w:uiPriority w:val="0"/>
    <w:rPr>
      <w:rFonts w:ascii="Times New Roman" w:hAnsi="Times New Roman" w:eastAsia="宋体" w:cs="Times New Roman"/>
      <w:b/>
      <w:bCs/>
      <w:sz w:val="36"/>
      <w:szCs w:val="24"/>
    </w:rPr>
  </w:style>
  <w:style w:type="character" w:customStyle="1" w:styleId="114">
    <w:name w:val="正文文本缩进 3 字符"/>
    <w:semiHidden/>
    <w:uiPriority w:val="99"/>
    <w:rPr>
      <w:rFonts w:ascii="Calibri" w:hAnsi="Calibri" w:eastAsia="宋体" w:cs="Times New Roman"/>
      <w:sz w:val="16"/>
      <w:szCs w:val="16"/>
    </w:rPr>
  </w:style>
  <w:style w:type="character" w:customStyle="1" w:styleId="115">
    <w:name w:val="正文首行缩进 2 字符"/>
    <w:semiHidden/>
    <w:uiPriority w:val="99"/>
    <w:rPr>
      <w:rFonts w:ascii="Calibri" w:hAnsi="Calibri" w:eastAsia="宋体" w:cs="Times New Roman"/>
    </w:rPr>
  </w:style>
  <w:style w:type="character" w:customStyle="1" w:styleId="116">
    <w:name w:val="Char Char14"/>
    <w:uiPriority w:val="0"/>
    <w:rPr>
      <w:rFonts w:ascii="宋体" w:hAnsi="Courier New" w:eastAsia="宋体" w:cs="Courier New"/>
      <w:kern w:val="2"/>
      <w:sz w:val="21"/>
      <w:szCs w:val="21"/>
      <w:lang w:val="en-US" w:eastAsia="zh-CN" w:bidi="ar-SA"/>
    </w:rPr>
  </w:style>
  <w:style w:type="character" w:customStyle="1" w:styleId="117">
    <w:name w:val="批注主题 Char"/>
    <w:link w:val="8"/>
    <w:semiHidden/>
    <w:uiPriority w:val="0"/>
    <w:rPr>
      <w:rFonts w:ascii="Times New Roman" w:hAnsi="Times New Roman" w:eastAsia="宋体" w:cs="Times New Roman"/>
      <w:b/>
      <w:bCs/>
      <w:szCs w:val="24"/>
    </w:rPr>
  </w:style>
  <w:style w:type="character" w:customStyle="1" w:styleId="118">
    <w:name w:val="标题 2 字符"/>
    <w:semiHidden/>
    <w:uiPriority w:val="9"/>
    <w:rPr>
      <w:rFonts w:ascii="Calibri Light" w:hAnsi="Calibri Light" w:eastAsia="宋体" w:cs="Times New Roman"/>
      <w:b/>
      <w:bCs/>
      <w:sz w:val="32"/>
      <w:szCs w:val="32"/>
    </w:rPr>
  </w:style>
  <w:style w:type="character" w:customStyle="1" w:styleId="119">
    <w:name w:val="标题 3 Char"/>
    <w:link w:val="4"/>
    <w:uiPriority w:val="0"/>
    <w:rPr>
      <w:rFonts w:ascii="Times New Roman" w:hAnsi="Times New Roman" w:eastAsia="楷体_GB2312" w:cs="Times New Roman"/>
      <w:sz w:val="28"/>
    </w:rPr>
  </w:style>
  <w:style w:type="character" w:customStyle="1" w:styleId="120">
    <w:name w:val="文档结构图 字符"/>
    <w:semiHidden/>
    <w:uiPriority w:val="99"/>
    <w:rPr>
      <w:rFonts w:ascii="Microsoft YaHei UI" w:hAnsi="Calibri" w:eastAsia="Microsoft YaHei UI" w:cs="Times New Roman"/>
      <w:sz w:val="18"/>
      <w:szCs w:val="18"/>
    </w:rPr>
  </w:style>
  <w:style w:type="character" w:customStyle="1" w:styleId="121">
    <w:name w:val="标题 Char"/>
    <w:link w:val="45"/>
    <w:uiPriority w:val="0"/>
    <w:rPr>
      <w:rFonts w:ascii="Arial" w:hAnsi="Arial" w:eastAsia="宋体" w:cs="Times New Roman"/>
      <w:b/>
      <w:bCs/>
      <w:sz w:val="32"/>
      <w:szCs w:val="32"/>
    </w:rPr>
  </w:style>
  <w:style w:type="character" w:customStyle="1" w:styleId="122">
    <w:name w:val="标题 5 字符"/>
    <w:semiHidden/>
    <w:uiPriority w:val="9"/>
    <w:rPr>
      <w:rFonts w:ascii="Calibri" w:hAnsi="Calibri" w:eastAsia="宋体" w:cs="Times New Roman"/>
      <w:b/>
      <w:bCs/>
      <w:sz w:val="28"/>
      <w:szCs w:val="28"/>
    </w:rPr>
  </w:style>
  <w:style w:type="character" w:customStyle="1" w:styleId="123">
    <w:name w:val="批注框文本 Char"/>
    <w:link w:val="26"/>
    <w:uiPriority w:val="0"/>
    <w:rPr>
      <w:rFonts w:ascii="Times New Roman" w:hAnsi="Times New Roman" w:eastAsia="宋体" w:cs="Times New Roman"/>
      <w:sz w:val="18"/>
      <w:szCs w:val="18"/>
    </w:rPr>
  </w:style>
  <w:style w:type="character" w:customStyle="1" w:styleId="124">
    <w:name w:val="标题4 Char Char"/>
    <w:link w:val="60"/>
    <w:uiPriority w:val="0"/>
    <w:rPr>
      <w:rFonts w:ascii="Calibri" w:hAnsi="Calibri" w:eastAsia="宋体" w:cs="Times New Roman"/>
      <w:b/>
      <w:kern w:val="2"/>
      <w:sz w:val="28"/>
      <w:szCs w:val="24"/>
      <w:lang w:val="en-US" w:eastAsia="zh-CN" w:bidi="ar-SA"/>
    </w:rPr>
  </w:style>
  <w:style w:type="character" w:customStyle="1" w:styleId="125">
    <w:name w:val="正文首行缩进 2 Char"/>
    <w:link w:val="28"/>
    <w:uiPriority w:val="0"/>
    <w:rPr>
      <w:rFonts w:ascii="Times New Roman" w:hAnsi="Times New Roman" w:eastAsia="宋体" w:cs="Times New Roman"/>
      <w:szCs w:val="24"/>
    </w:rPr>
  </w:style>
  <w:style w:type="character" w:customStyle="1" w:styleId="126">
    <w:name w:val="标题 4 字符"/>
    <w:semiHidden/>
    <w:uiPriority w:val="9"/>
    <w:rPr>
      <w:rFonts w:ascii="Calibri Light" w:hAnsi="Calibri Light" w:eastAsia="宋体" w:cs="Times New Roman"/>
      <w:b/>
      <w:bCs/>
      <w:sz w:val="28"/>
      <w:szCs w:val="28"/>
    </w:rPr>
  </w:style>
  <w:style w:type="character" w:customStyle="1" w:styleId="127">
    <w:name w:val="正文文本缩进 2 Char1"/>
    <w:uiPriority w:val="0"/>
    <w:rPr>
      <w:rFonts w:ascii="Times New Roman" w:hAnsi="Times New Roman" w:eastAsia="宋体" w:cs="Times New Roman"/>
      <w:kern w:val="0"/>
      <w:sz w:val="20"/>
      <w:szCs w:val="24"/>
    </w:rPr>
  </w:style>
  <w:style w:type="character" w:customStyle="1" w:styleId="128">
    <w:name w:val="正文首行缩进 字符"/>
    <w:semiHidden/>
    <w:uiPriority w:val="99"/>
    <w:rPr>
      <w:rFonts w:ascii="Calibri" w:hAnsi="Calibri" w:eastAsia="宋体" w:cs="Times New Roman"/>
    </w:rPr>
  </w:style>
  <w:style w:type="character" w:customStyle="1" w:styleId="129">
    <w:name w:val="正文文本 Char"/>
    <w:basedOn w:val="46"/>
    <w:link w:val="12"/>
    <w:uiPriority w:val="0"/>
    <w:rPr>
      <w:rFonts w:ascii="Calibri" w:hAnsi="Calibri" w:eastAsia="宋体" w:cs="Times New Roman"/>
    </w:rPr>
  </w:style>
  <w:style w:type="character" w:customStyle="1" w:styleId="130">
    <w:name w:val="px1233"/>
    <w:uiPriority w:val="0"/>
    <w:rPr>
      <w:rFonts w:ascii="Calibri" w:hAnsi="Calibri" w:eastAsia="宋体" w:cs="Times New Roman"/>
    </w:rPr>
  </w:style>
  <w:style w:type="character" w:customStyle="1" w:styleId="131">
    <w:name w:val="正文文本 2 Char"/>
    <w:link w:val="39"/>
    <w:uiPriority w:val="0"/>
    <w:rPr>
      <w:rFonts w:ascii="Times New Roman" w:hAnsi="Times New Roman" w:eastAsia="宋体" w:cs="Times New Roman"/>
      <w:szCs w:val="24"/>
    </w:rPr>
  </w:style>
  <w:style w:type="character" w:customStyle="1" w:styleId="132">
    <w:name w:val="正文首行缩进 Char"/>
    <w:link w:val="11"/>
    <w:uiPriority w:val="0"/>
    <w:rPr>
      <w:rFonts w:ascii="Times New Roman" w:hAnsi="Times New Roman" w:eastAsia="宋体" w:cs="Times New Roman"/>
      <w:szCs w:val="24"/>
    </w:rPr>
  </w:style>
  <w:style w:type="character" w:customStyle="1" w:styleId="133">
    <w:name w:val="正文文本 字符"/>
    <w:semiHidden/>
    <w:uiPriority w:val="99"/>
    <w:rPr>
      <w:rFonts w:ascii="Calibri" w:hAnsi="Calibri" w:eastAsia="宋体" w:cs="Times New Roman"/>
    </w:rPr>
  </w:style>
  <w:style w:type="character" w:customStyle="1" w:styleId="134">
    <w:name w:val="标题 3 字符"/>
    <w:semiHidden/>
    <w:uiPriority w:val="9"/>
    <w:rPr>
      <w:rFonts w:ascii="Calibri" w:hAnsi="Calibri" w:eastAsia="宋体" w:cs="Times New Roman"/>
      <w:b/>
      <w:bCs/>
      <w:sz w:val="32"/>
      <w:szCs w:val="32"/>
    </w:rPr>
  </w:style>
  <w:style w:type="character" w:customStyle="1" w:styleId="135">
    <w:name w:val="页眉 字符"/>
    <w:semiHidden/>
    <w:uiPriority w:val="99"/>
    <w:rPr>
      <w:rFonts w:ascii="Calibri" w:hAnsi="Calibri" w:eastAsia="宋体" w:cs="Times New Roman"/>
      <w:sz w:val="18"/>
      <w:szCs w:val="18"/>
    </w:rPr>
  </w:style>
  <w:style w:type="character" w:customStyle="1" w:styleId="136">
    <w:name w:val="小正文 Char"/>
    <w:link w:val="88"/>
    <w:qFormat/>
    <w:uiPriority w:val="0"/>
    <w:rPr>
      <w:rFonts w:ascii="仿宋_GB2312" w:hAnsi="宋体" w:eastAsia="仿宋_GB2312" w:cs="Times New Roman"/>
      <w:sz w:val="28"/>
      <w:szCs w:val="28"/>
    </w:rPr>
  </w:style>
  <w:style w:type="character" w:customStyle="1" w:styleId="137">
    <w:name w:val="文档结构图 Char"/>
    <w:link w:val="15"/>
    <w:uiPriority w:val="0"/>
    <w:rPr>
      <w:rFonts w:ascii="Times New Roman" w:hAnsi="Times New Roman" w:eastAsia="宋体" w:cs="Times New Roman"/>
      <w:szCs w:val="24"/>
      <w:shd w:val="clear" w:color="auto" w:fill="000080"/>
    </w:rPr>
  </w:style>
  <w:style w:type="character" w:customStyle="1" w:styleId="138">
    <w:name w:val="正文文本 2 字符"/>
    <w:semiHidden/>
    <w:uiPriority w:val="99"/>
    <w:rPr>
      <w:rFonts w:ascii="Calibri" w:hAnsi="Calibri" w:eastAsia="宋体" w:cs="Times New Roman"/>
    </w:rPr>
  </w:style>
  <w:style w:type="character" w:customStyle="1" w:styleId="139">
    <w:name w:val="样式 样式1 + 首行缩进:  2 字符 Char"/>
    <w:link w:val="67"/>
    <w:uiPriority w:val="0"/>
    <w:rPr>
      <w:rFonts w:ascii="Arial" w:hAnsi="Arial" w:eastAsia="宋体" w:cs="Times New Roman"/>
      <w:sz w:val="24"/>
    </w:rPr>
  </w:style>
  <w:style w:type="character" w:customStyle="1" w:styleId="140">
    <w:name w:val="标题 4 Char"/>
    <w:link w:val="5"/>
    <w:uiPriority w:val="0"/>
    <w:rPr>
      <w:rFonts w:ascii="Arial" w:hAnsi="Arial" w:eastAsia="黑体" w:cs="Times New Roman"/>
      <w:b/>
      <w:bCs/>
      <w:sz w:val="28"/>
      <w:szCs w:val="28"/>
    </w:rPr>
  </w:style>
  <w:style w:type="character" w:customStyle="1" w:styleId="141">
    <w:name w:val="正文文本缩进 2 Char"/>
    <w:link w:val="25"/>
    <w:uiPriority w:val="0"/>
    <w:rPr>
      <w:rFonts w:ascii="Times New Roman" w:hAnsi="Times New Roman" w:eastAsia="宋体" w:cs="Times New Roman"/>
      <w:szCs w:val="24"/>
    </w:rPr>
  </w:style>
  <w:style w:type="character" w:customStyle="1" w:styleId="142">
    <w:name w:val="纯文本 字符"/>
    <w:semiHidden/>
    <w:uiPriority w:val="99"/>
    <w:rPr>
      <w:rFonts w:ascii="宋体" w:hAnsi="Courier New" w:eastAsia="宋体" w:cs="Courier New"/>
    </w:rPr>
  </w:style>
  <w:style w:type="character" w:customStyle="1" w:styleId="143">
    <w:name w:val="标题 字符"/>
    <w:uiPriority w:val="10"/>
    <w:rPr>
      <w:rFonts w:ascii="Calibri Light" w:hAnsi="Calibri Light" w:eastAsia="宋体" w:cs="Times New Roman"/>
      <w:b/>
      <w:bCs/>
      <w:sz w:val="32"/>
      <w:szCs w:val="32"/>
    </w:rPr>
  </w:style>
  <w:style w:type="character" w:customStyle="1" w:styleId="144">
    <w:name w:val="z-窗体顶端 Char"/>
    <w:link w:val="83"/>
    <w:uiPriority w:val="0"/>
    <w:rPr>
      <w:rFonts w:ascii="Arial" w:hAnsi="Arial" w:eastAsia="宋体" w:cs="Times New Roman"/>
      <w:vanish/>
      <w:sz w:val="16"/>
      <w:szCs w:val="16"/>
    </w:rPr>
  </w:style>
  <w:style w:type="character" w:customStyle="1" w:styleId="145">
    <w:name w:val="正文缩进 Char"/>
    <w:link w:val="13"/>
    <w:uiPriority w:val="0"/>
    <w:rPr>
      <w:rFonts w:ascii="宋体" w:hAnsi="Times New Roman" w:eastAsia="宋体" w:cs="Times New Roman"/>
      <w:sz w:val="34"/>
    </w:rPr>
  </w:style>
  <w:style w:type="character" w:customStyle="1" w:styleId="146">
    <w:name w:val="脚注文本 字符"/>
    <w:semiHidden/>
    <w:uiPriority w:val="99"/>
    <w:rPr>
      <w:rFonts w:ascii="Calibri" w:hAnsi="Calibri" w:eastAsia="宋体" w:cs="Times New Roman"/>
      <w:sz w:val="18"/>
      <w:szCs w:val="18"/>
    </w:rPr>
  </w:style>
  <w:style w:type="character" w:customStyle="1" w:styleId="147">
    <w:name w:val="标题 2 Char"/>
    <w:link w:val="3"/>
    <w:uiPriority w:val="0"/>
    <w:rPr>
      <w:rFonts w:ascii="Arial" w:hAnsi="Arial" w:eastAsia="黑体" w:cs="Times New Roman"/>
      <w:b/>
      <w:bCs/>
      <w:sz w:val="32"/>
      <w:szCs w:val="32"/>
    </w:rPr>
  </w:style>
  <w:style w:type="character" w:customStyle="1" w:styleId="148">
    <w:name w:val="正文文本缩进 字符"/>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2019-07-26T06:17:38Z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