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jc w:val="center"/>
        <w:rPr>
          <w:rFonts w:hint="eastAsia" w:eastAsia="黑体" w:cs="Calibri"/>
          <w:b/>
          <w:sz w:val="44"/>
          <w:szCs w:val="44"/>
        </w:rPr>
      </w:pPr>
      <w:r>
        <w:rPr>
          <w:rFonts w:hint="eastAsia" w:ascii="方正小标宋简体" w:hAnsi="宋体" w:eastAsia="方正小标宋简体"/>
          <w:b/>
          <w:sz w:val="44"/>
          <w:szCs w:val="44"/>
        </w:rPr>
        <w:t>跑道摩擦系数车专用测试轮</w:t>
      </w:r>
      <w:r>
        <w:rPr>
          <w:rFonts w:hint="eastAsia" w:ascii="方正小标宋简体" w:eastAsia="方正小标宋简体" w:cs="Calibri"/>
          <w:b/>
          <w:sz w:val="44"/>
          <w:szCs w:val="44"/>
        </w:rPr>
        <w:t>采购项</w:t>
      </w:r>
      <w:r>
        <w:rPr>
          <w:rFonts w:hint="eastAsia" w:eastAsia="黑体" w:cs="Calibri"/>
          <w:b/>
          <w:sz w:val="44"/>
          <w:szCs w:val="44"/>
        </w:rPr>
        <w:t>目</w:t>
      </w:r>
    </w:p>
    <w:p>
      <w:pPr>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hint="eastAsia" w:eastAsia="黑体" w:cs="Calibri"/>
          <w:b/>
          <w:bCs/>
          <w:spacing w:val="60"/>
          <w:sz w:val="82"/>
          <w:szCs w:val="82"/>
        </w:rPr>
        <w:t>招标文件</w:t>
      </w:r>
    </w:p>
    <w:p>
      <w:pPr>
        <w:autoSpaceDE w:val="0"/>
        <w:autoSpaceDN w:val="0"/>
        <w:adjustRightInd w:val="0"/>
        <w:jc w:val="center"/>
        <w:rPr>
          <w:rFonts w:cs="Calibri"/>
          <w:b/>
          <w:kern w:val="0"/>
          <w:sz w:val="44"/>
          <w:szCs w:val="44"/>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pStyle w:val="23"/>
        <w:spacing w:line="480" w:lineRule="auto"/>
        <w:jc w:val="center"/>
        <w:rPr>
          <w:rFonts w:ascii="Calibri" w:hAnsi="Calibri" w:eastAsia="隶书" w:cs="Calibri"/>
          <w:sz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23"/>
        <w:spacing w:line="480" w:lineRule="auto"/>
        <w:jc w:val="center"/>
        <w:rPr>
          <w:rFonts w:ascii="Calibri" w:hAnsi="Calibri" w:eastAsia="黑体" w:cs="Calibri"/>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七</w:t>
      </w:r>
      <w:r>
        <w:rPr>
          <w:rFonts w:hint="eastAsia" w:ascii="Calibri" w:hAnsi="Calibri" w:eastAsia="黑体" w:cs="Calibri"/>
          <w:sz w:val="32"/>
          <w:szCs w:val="32"/>
        </w:rPr>
        <w:t>月</w:t>
      </w:r>
    </w:p>
    <w:p>
      <w:pPr>
        <w:pStyle w:val="23"/>
        <w:spacing w:line="480" w:lineRule="auto"/>
        <w:jc w:val="center"/>
        <w:rPr>
          <w:rFonts w:ascii="Calibri" w:hAnsi="Calibri" w:eastAsia="黑体" w:cs="Calibri"/>
          <w:sz w:val="32"/>
          <w:szCs w:val="32"/>
        </w:rPr>
      </w:pPr>
    </w:p>
    <w:p>
      <w:pPr>
        <w:pStyle w:val="32"/>
        <w:rPr>
          <w:rFonts w:ascii="Calibri" w:hAnsi="Calibri" w:cs="Calibri"/>
          <w:b/>
          <w:color w:val="000000"/>
          <w:sz w:val="44"/>
        </w:rPr>
      </w:pPr>
      <w:bookmarkStart w:id="3" w:name="_Toc444174976"/>
      <w:bookmarkStart w:id="4" w:name="_Toc448002981"/>
      <w:bookmarkStart w:id="5" w:name="_Toc349007685"/>
      <w:bookmarkStart w:id="6" w:name="_Toc386359390"/>
      <w:bookmarkStart w:id="7" w:name="_Toc349011855"/>
      <w:bookmarkStart w:id="8" w:name="_Toc444811406"/>
      <w:bookmarkStart w:id="9" w:name="_Toc386363314"/>
      <w:bookmarkStart w:id="10" w:name="_Toc444173456"/>
      <w:bookmarkStart w:id="11" w:name="_Toc400369182"/>
      <w:r>
        <w:rPr>
          <w:rFonts w:hint="eastAsia" w:ascii="Calibri" w:cs="Calibri"/>
          <w:b/>
          <w:color w:val="000000"/>
          <w:sz w:val="44"/>
        </w:rPr>
        <w:t>目录</w:t>
      </w:r>
      <w:bookmarkEnd w:id="3"/>
      <w:bookmarkEnd w:id="4"/>
      <w:bookmarkEnd w:id="5"/>
      <w:bookmarkEnd w:id="6"/>
      <w:bookmarkEnd w:id="7"/>
      <w:bookmarkEnd w:id="8"/>
      <w:bookmarkEnd w:id="9"/>
      <w:bookmarkEnd w:id="10"/>
      <w:bookmarkEnd w:id="11"/>
    </w:p>
    <w:p>
      <w:pPr>
        <w:pStyle w:val="32"/>
        <w:spacing w:line="480" w:lineRule="auto"/>
        <w:rPr>
          <w:rFonts w:ascii="黑体" w:hAnsi="黑体" w:eastAsia="黑体"/>
          <w:bCs/>
          <w:kern w:val="2"/>
          <w:sz w:val="22"/>
          <w:szCs w:val="22"/>
        </w:rPr>
      </w:pPr>
      <w:r>
        <w:rPr>
          <w:rFonts w:ascii="黑体" w:hAnsi="黑体" w:eastAsia="黑体" w:cs="Calibri"/>
          <w:color w:val="000000"/>
          <w:sz w:val="22"/>
          <w:szCs w:val="22"/>
        </w:rPr>
        <w:fldChar w:fldCharType="begin"/>
      </w:r>
      <w:r>
        <w:rPr>
          <w:rFonts w:ascii="黑体" w:hAnsi="黑体" w:eastAsia="黑体" w:cs="Calibri"/>
          <w:color w:val="000000"/>
          <w:sz w:val="22"/>
          <w:szCs w:val="22"/>
        </w:rPr>
        <w:instrText xml:space="preserve"> TOC \o "1-3" \h \z \u </w:instrText>
      </w:r>
      <w:r>
        <w:rPr>
          <w:rFonts w:ascii="黑体" w:hAnsi="黑体" w:eastAsia="黑体" w:cs="Calibri"/>
          <w:color w:val="000000"/>
          <w:sz w:val="22"/>
          <w:szCs w:val="22"/>
        </w:rPr>
        <w:fldChar w:fldCharType="separate"/>
      </w:r>
    </w:p>
    <w:p>
      <w:pPr>
        <w:pStyle w:val="32"/>
        <w:spacing w:line="480" w:lineRule="auto"/>
        <w:rPr>
          <w:rFonts w:ascii="黑体" w:hAnsi="黑体" w:eastAsia="黑体"/>
          <w:bCs/>
          <w:kern w:val="2"/>
          <w:sz w:val="22"/>
          <w:szCs w:val="22"/>
        </w:rPr>
      </w:pPr>
      <w:r>
        <w:fldChar w:fldCharType="begin"/>
      </w:r>
      <w:r>
        <w:instrText xml:space="preserve"> HYPERLINK \l "_Toc448002982" </w:instrText>
      </w:r>
      <w:r>
        <w:fldChar w:fldCharType="separate"/>
      </w:r>
      <w:r>
        <w:rPr>
          <w:rStyle w:val="53"/>
          <w:rFonts w:hint="eastAsia" w:ascii="黑体" w:hAnsi="黑体" w:eastAsia="黑体" w:cs="Calibri"/>
          <w:kern w:val="0"/>
          <w:sz w:val="22"/>
          <w:szCs w:val="22"/>
        </w:rPr>
        <w:t>第一章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w:t>
      </w:r>
      <w:r>
        <w:rPr>
          <w:rFonts w:ascii="黑体" w:hAnsi="黑体" w:eastAsia="黑体"/>
          <w:sz w:val="22"/>
          <w:szCs w:val="22"/>
        </w:rPr>
        <w:t xml:space="preserve">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"_Toc448002983" </w:instrText>
      </w:r>
      <w:r>
        <w:fldChar w:fldCharType="separate"/>
      </w:r>
      <w:r>
        <w:rPr>
          <w:rStyle w:val="53"/>
          <w:rFonts w:hint="eastAsia" w:ascii="黑体" w:hAnsi="黑体" w:eastAsia="黑体" w:cs="Calibri"/>
          <w:kern w:val="0"/>
          <w:sz w:val="22"/>
          <w:szCs w:val="22"/>
        </w:rPr>
        <w:t>第二章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_Toc448002983 \h </w:instrText>
      </w:r>
      <w:r>
        <w:rPr>
          <w:rFonts w:ascii="黑体" w:hAnsi="黑体" w:eastAsia="黑体"/>
          <w:sz w:val="22"/>
          <w:szCs w:val="22"/>
        </w:rPr>
        <w:fldChar w:fldCharType="separate"/>
      </w:r>
      <w:r>
        <w:rPr>
          <w:rFonts w:ascii="黑体" w:hAnsi="黑体" w:eastAsia="黑体"/>
          <w:sz w:val="22"/>
          <w:szCs w:val="22"/>
        </w:rPr>
        <w:t>- 4 -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ind w:firstLine="420" w:firstLineChars="200"/>
        <w:jc w:val="left"/>
        <w:rPr>
          <w:rFonts w:ascii="黑体" w:hAnsi="黑体" w:eastAsia="黑体"/>
          <w:bCs/>
          <w:kern w:val="2"/>
          <w:sz w:val="22"/>
          <w:szCs w:val="22"/>
        </w:rPr>
      </w:pPr>
      <w:r>
        <w:fldChar w:fldCharType="begin"/>
      </w:r>
      <w:r>
        <w:instrText xml:space="preserve"> HYPERLINK \l "_Toc448002985" </w:instrText>
      </w:r>
      <w:r>
        <w:fldChar w:fldCharType="separate"/>
      </w:r>
      <w:r>
        <w:rPr>
          <w:rStyle w:val="53"/>
          <w:rFonts w:hint="eastAsia" w:ascii="黑体" w:hAnsi="黑体" w:eastAsia="黑体" w:cs="Calibri"/>
          <w:kern w:val="0"/>
          <w:sz w:val="22"/>
          <w:szCs w:val="22"/>
        </w:rPr>
        <w:t>第三章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服务技术标准及要求...</w:t>
      </w:r>
      <w:r>
        <w:rPr>
          <w:rStyle w:val="53"/>
          <w:rFonts w:ascii="黑体" w:hAnsi="黑体" w:eastAsia="黑体" w:cs="Calibri"/>
          <w:kern w:val="0"/>
          <w:sz w:val="22"/>
          <w:szCs w:val="22"/>
        </w:rPr>
        <w:tab/>
      </w:r>
      <w:r>
        <w:rPr>
          <w:rStyle w:val="53"/>
          <w:rFonts w:hint="eastAsia" w:ascii="黑体" w:hAnsi="黑体" w:eastAsia="黑体" w:cs="Calibri"/>
          <w:kern w:val="0"/>
          <w:sz w:val="22"/>
          <w:szCs w:val="22"/>
        </w:rPr>
        <w:t>.</w:t>
      </w:r>
      <w:r>
        <w:rPr>
          <w:rFonts w:ascii="黑体" w:hAnsi="黑体" w:eastAsia="黑体"/>
          <w:sz w:val="22"/>
          <w:szCs w:val="22"/>
        </w:rPr>
        <w:fldChar w:fldCharType="begin"/>
      </w:r>
      <w:r>
        <w:rPr>
          <w:rFonts w:ascii="黑体" w:hAnsi="黑体" w:eastAsia="黑体"/>
          <w:sz w:val="22"/>
          <w:szCs w:val="22"/>
        </w:rPr>
        <w:instrText xml:space="preserve"> PAGEREF _Toc448002985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"_Toc448002986" </w:instrText>
      </w:r>
      <w:r>
        <w:fldChar w:fldCharType="separate"/>
      </w:r>
      <w:r>
        <w:rPr>
          <w:rStyle w:val="53"/>
          <w:rFonts w:hint="eastAsia" w:ascii="黑体" w:hAnsi="黑体" w:eastAsia="黑体" w:cs="Calibri"/>
          <w:kern w:val="0"/>
          <w:sz w:val="22"/>
          <w:szCs w:val="22"/>
        </w:rPr>
        <w:t>第四章</w:t>
      </w:r>
      <w:r>
        <w:rPr>
          <w:rStyle w:val="53"/>
          <w:rFonts w:ascii="黑体" w:hAnsi="黑体" w:eastAsia="黑体" w:cs="Calibri"/>
          <w:kern w:val="0"/>
          <w:sz w:val="22"/>
          <w:szCs w:val="22"/>
        </w:rPr>
        <w:t xml:space="preserve">  </w:t>
      </w:r>
      <w:r>
        <w:rPr>
          <w:rStyle w:val="53"/>
          <w:rFonts w:ascii="黑体" w:hAnsi="黑体" w:eastAsia="黑体" w:cs="Calibri"/>
          <w:kern w:val="0"/>
          <w:sz w:val="22"/>
          <w:szCs w:val="22"/>
        </w:rPr>
        <w:fldChar w:fldCharType="end"/>
      </w:r>
      <w:r>
        <w:fldChar w:fldCharType="begin"/>
      </w:r>
      <w:r>
        <w:instrText xml:space="preserve"> HYPERLINK \l "_Toc448002987" </w:instrText>
      </w:r>
      <w:r>
        <w:fldChar w:fldCharType="separate"/>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_Toc448002987 \h </w:instrText>
      </w:r>
      <w:r>
        <w:rPr>
          <w:rFonts w:ascii="黑体" w:hAnsi="黑体" w:eastAsia="黑体"/>
          <w:sz w:val="22"/>
          <w:szCs w:val="22"/>
        </w:rPr>
        <w:fldChar w:fldCharType="separate"/>
      </w:r>
      <w:r>
        <w:rPr>
          <w:rFonts w:ascii="黑体" w:hAnsi="黑体" w:eastAsia="黑体"/>
          <w:sz w:val="22"/>
          <w:szCs w:val="22"/>
        </w:rPr>
        <w:t>- 14 -</w:t>
      </w:r>
      <w:r>
        <w:rPr>
          <w:rFonts w:ascii="黑体" w:hAnsi="黑体" w:eastAsia="黑体"/>
          <w:sz w:val="22"/>
          <w:szCs w:val="22"/>
        </w:rPr>
        <w:fldChar w:fldCharType="end"/>
      </w:r>
      <w:r>
        <w:rPr>
          <w:rFonts w:ascii="黑体" w:hAnsi="黑体" w:eastAsia="黑体"/>
          <w:sz w:val="22"/>
          <w:szCs w:val="22"/>
        </w:rPr>
        <w:fldChar w:fldCharType="end"/>
      </w:r>
    </w:p>
    <w:p>
      <w:pPr>
        <w:pStyle w:val="32"/>
        <w:spacing w:line="480" w:lineRule="auto"/>
        <w:rPr>
          <w:rFonts w:ascii="黑体" w:hAnsi="黑体" w:eastAsia="黑体"/>
          <w:bCs/>
          <w:kern w:val="2"/>
          <w:sz w:val="22"/>
          <w:szCs w:val="22"/>
        </w:rPr>
      </w:pPr>
      <w:r>
        <w:fldChar w:fldCharType="begin"/>
      </w:r>
      <w:r>
        <w:instrText xml:space="preserve"> HYPERLINK \l "_Toc448002988" </w:instrText>
      </w:r>
      <w:r>
        <w:fldChar w:fldCharType="separate"/>
      </w:r>
      <w:r>
        <w:rPr>
          <w:rStyle w:val="53"/>
          <w:rFonts w:hint="eastAsia" w:ascii="黑体" w:hAnsi="黑体" w:eastAsia="黑体" w:cs="Calibri"/>
          <w:kern w:val="0"/>
          <w:sz w:val="22"/>
          <w:szCs w:val="22"/>
        </w:rPr>
        <w:t>第五章</w:t>
      </w:r>
      <w:r>
        <w:rPr>
          <w:rStyle w:val="53"/>
          <w:rFonts w:ascii="黑体" w:hAnsi="黑体" w:eastAsia="黑体" w:cs="Calibri"/>
          <w:kern w:val="0"/>
          <w:sz w:val="22"/>
          <w:szCs w:val="22"/>
        </w:rPr>
        <w:t xml:space="preserve">  </w:t>
      </w:r>
      <w:r>
        <w:rPr>
          <w:rStyle w:val="53"/>
          <w:rFonts w:hint="eastAsia" w:ascii="黑体" w:hAnsi="黑体" w:eastAsia="黑体" w:cs="Calibri"/>
          <w:kern w:val="0"/>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_Toc448002988 \h </w:instrText>
      </w:r>
      <w:r>
        <w:rPr>
          <w:rFonts w:ascii="黑体" w:hAnsi="黑体" w:eastAsia="黑体"/>
          <w:sz w:val="22"/>
          <w:szCs w:val="22"/>
        </w:rPr>
        <w:fldChar w:fldCharType="separate"/>
      </w:r>
      <w:r>
        <w:rPr>
          <w:rFonts w:ascii="黑体" w:hAnsi="黑体" w:eastAsia="黑体"/>
          <w:sz w:val="22"/>
          <w:szCs w:val="22"/>
        </w:rPr>
        <w:t>- 17 -</w:t>
      </w:r>
      <w:r>
        <w:rPr>
          <w:rFonts w:ascii="黑体" w:hAnsi="黑体" w:eastAsia="黑体"/>
          <w:sz w:val="22"/>
          <w:szCs w:val="22"/>
        </w:rPr>
        <w:fldChar w:fldCharType="end"/>
      </w:r>
      <w:r>
        <w:rPr>
          <w:rFonts w:ascii="黑体" w:hAnsi="黑体" w:eastAsia="黑体"/>
          <w:sz w:val="22"/>
          <w:szCs w:val="22"/>
        </w:rPr>
        <w:fldChar w:fldCharType="end"/>
      </w:r>
    </w:p>
    <w:p>
      <w:pPr>
        <w:pStyle w:val="2"/>
        <w:spacing w:before="0" w:after="0" w:line="360" w:lineRule="auto"/>
        <w:jc w:val="center"/>
        <w:rPr>
          <w:rFonts w:ascii="黑体" w:hAnsi="黑体" w:eastAsia="黑体" w:cs="Calibri"/>
          <w:color w:val="000000"/>
          <w:sz w:val="22"/>
        </w:rPr>
      </w:pPr>
      <w:r>
        <w:rPr>
          <w:rFonts w:ascii="黑体" w:hAnsi="黑体" w:eastAsia="黑体" w:cs="Calibri"/>
          <w:color w:val="000000"/>
          <w:sz w:val="22"/>
        </w:rPr>
        <w:fldChar w:fldCharType="end"/>
      </w:r>
    </w:p>
    <w:p>
      <w:pPr>
        <w:jc w:val="left"/>
      </w:pPr>
      <w:r>
        <w:br w:type="page"/>
      </w:r>
    </w:p>
    <w:p>
      <w:pPr>
        <w:pStyle w:val="2"/>
        <w:spacing w:before="0" w:after="0" w:line="360" w:lineRule="auto"/>
        <w:jc w:val="center"/>
        <w:rPr>
          <w:rFonts w:ascii="Calibri" w:eastAsia="黑体" w:cs="Calibri"/>
          <w:kern w:val="0"/>
          <w:sz w:val="32"/>
        </w:rPr>
      </w:pPr>
      <w:r>
        <w:rPr>
          <w:rFonts w:hint="eastAsia" w:eastAsia="黑体" w:cs="Calibri"/>
          <w:kern w:val="0"/>
          <w:sz w:val="32"/>
        </w:rPr>
        <w:t>第一章招标公告</w:t>
      </w:r>
      <w:bookmarkStart w:id="12" w:name="_Toc249322950"/>
      <w:bookmarkStart w:id="13" w:name="_Toc248766631"/>
    </w:p>
    <w:p>
      <w:pPr>
        <w:widowControl/>
        <w:snapToGrid w:val="0"/>
        <w:spacing w:line="340" w:lineRule="exact"/>
        <w:jc w:val="left"/>
        <w:rPr>
          <w:rFonts w:ascii="Arial" w:hAnsi="Arial" w:cs="Arial"/>
          <w:b/>
          <w:bCs/>
          <w:kern w:val="0"/>
          <w:sz w:val="22"/>
        </w:rPr>
      </w:pPr>
      <w:bookmarkStart w:id="118"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）杭州萧山国际机场</w:t>
      </w:r>
      <w:r>
        <w:rPr>
          <w:rFonts w:hint="eastAsia" w:ascii="宋体" w:hAnsi="宋体"/>
          <w:sz w:val="22"/>
        </w:rPr>
        <w:t>跑道摩擦系数车专用测试轮</w:t>
      </w:r>
      <w:r>
        <w:rPr>
          <w:rFonts w:hint="eastAsia" w:ascii="宋体" w:hAnsi="宋体" w:cs="Arial"/>
          <w:kern w:val="0"/>
          <w:sz w:val="22"/>
        </w:rPr>
        <w:t>采购项目已批准，项目业主为杭州萧山国际机场有限公司，资金来源为自筹。项目已具备招标条件，现对本项目进行公开招标。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）项目概况：</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本项目位于杭州萧山国际机场内，具体要求详见第三章“服务技术标准及要求”。</w:t>
      </w:r>
    </w:p>
    <w:p>
      <w:pPr>
        <w:widowControl/>
        <w:tabs>
          <w:tab w:val="center" w:pos="4926"/>
        </w:tabs>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）招标内容：</w:t>
      </w:r>
    </w:p>
    <w:p>
      <w:pPr>
        <w:widowControl/>
        <w:adjustRightInd w:val="0"/>
        <w:snapToGrid w:val="0"/>
        <w:spacing w:line="340" w:lineRule="exact"/>
        <w:ind w:firstLine="440" w:firstLineChars="200"/>
        <w:rPr>
          <w:rFonts w:ascii="宋体" w:hAnsi="宋体"/>
          <w:sz w:val="22"/>
        </w:rPr>
      </w:pPr>
      <w:r>
        <w:rPr>
          <w:rFonts w:hint="eastAsia" w:ascii="宋体" w:hAnsi="宋体"/>
          <w:sz w:val="22"/>
        </w:rPr>
        <w:t>跑道摩擦系数车专用测试轮若干</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）交货时间：</w:t>
      </w:r>
    </w:p>
    <w:p>
      <w:pPr>
        <w:widowControl/>
        <w:adjustRightInd w:val="0"/>
        <w:snapToGrid w:val="0"/>
        <w:spacing w:line="340" w:lineRule="exact"/>
        <w:ind w:firstLine="440" w:firstLineChars="200"/>
        <w:rPr>
          <w:rFonts w:ascii="宋体" w:cs="Calibri"/>
          <w:sz w:val="22"/>
        </w:rPr>
      </w:pPr>
      <w:r>
        <w:rPr>
          <w:rFonts w:hint="eastAsia" w:ascii="宋体" w:hAnsi="宋体" w:cs="Calibri"/>
          <w:sz w:val="22"/>
        </w:rPr>
        <w:t>自甲方通知之日起</w:t>
      </w:r>
      <w:r>
        <w:rPr>
          <w:rFonts w:ascii="宋体" w:hAnsi="宋体" w:cs="Calibri"/>
          <w:sz w:val="22"/>
        </w:rPr>
        <w:t>90</w:t>
      </w:r>
      <w:r>
        <w:rPr>
          <w:rFonts w:hint="eastAsia" w:ascii="宋体" w:hAnsi="宋体" w:cs="Calibri"/>
          <w:sz w:val="22"/>
        </w:rPr>
        <w:t>日历天内</w:t>
      </w:r>
    </w:p>
    <w:p>
      <w:pPr>
        <w:widowControl/>
        <w:adjustRightInd w:val="0"/>
        <w:snapToGrid w:val="0"/>
        <w:spacing w:line="340" w:lineRule="exact"/>
        <w:ind w:firstLine="442" w:firstLineChars="200"/>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）具有独立法人资格，持有有效营业执照；</w:t>
      </w:r>
      <w:r>
        <w:rPr>
          <w:rFonts w:hint="eastAsia" w:ascii="宋体" w:hAnsi="宋体" w:cs="宋体"/>
          <w:sz w:val="22"/>
        </w:rPr>
        <w:t>要求为具有独立法人资格的设备制造商或代理商，代理商需提供设备制造商的授权。</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）能独立承担民事责任和履行合同能力，具有良好的商业信誉和健全的财务会计管理制度，有依法缴纳税收和社会保障资金的良好记录，</w:t>
      </w:r>
      <w:r>
        <w:rPr>
          <w:rFonts w:ascii="宋体" w:hAnsi="宋体" w:cs="Arial"/>
          <w:kern w:val="0"/>
          <w:sz w:val="22"/>
        </w:rPr>
        <w:t>201</w:t>
      </w:r>
      <w:r>
        <w:rPr>
          <w:rFonts w:hint="eastAsia" w:ascii="宋体" w:hAnsi="宋体" w:cs="Arial"/>
          <w:kern w:val="0"/>
          <w:sz w:val="22"/>
        </w:rPr>
        <w:t>6年</w:t>
      </w:r>
      <w:r>
        <w:rPr>
          <w:rFonts w:ascii="宋体" w:hAnsi="宋体" w:cs="Arial"/>
          <w:kern w:val="0"/>
          <w:sz w:val="22"/>
        </w:rPr>
        <w:t>1</w:t>
      </w:r>
      <w:r>
        <w:rPr>
          <w:rFonts w:hint="eastAsia" w:ascii="宋体" w:hAnsi="宋体" w:cs="Arial"/>
          <w:kern w:val="0"/>
          <w:sz w:val="22"/>
        </w:rPr>
        <w:t>月</w:t>
      </w:r>
      <w:r>
        <w:rPr>
          <w:rFonts w:ascii="宋体" w:hAnsi="宋体" w:cs="Arial"/>
          <w:kern w:val="0"/>
          <w:sz w:val="22"/>
        </w:rPr>
        <w:t>1</w:t>
      </w:r>
      <w:r>
        <w:rPr>
          <w:rFonts w:hint="eastAsia" w:ascii="宋体" w:hAnsi="宋体" w:cs="Arial"/>
          <w:kern w:val="0"/>
          <w:sz w:val="22"/>
        </w:rPr>
        <w:t>日的经营活动中没有重大违法记录和不良记录；需提供承诺书，格式自拟。</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）投标人具有一般纳税人资格，可提供税率为</w:t>
      </w:r>
      <w:r>
        <w:rPr>
          <w:rFonts w:ascii="宋体" w:hAnsi="宋体" w:cs="Arial"/>
          <w:kern w:val="0"/>
          <w:sz w:val="22"/>
        </w:rPr>
        <w:t>13%</w:t>
      </w:r>
      <w:r>
        <w:rPr>
          <w:rFonts w:hint="eastAsia" w:ascii="宋体" w:hAnsi="宋体" w:cs="Arial"/>
          <w:kern w:val="0"/>
          <w:sz w:val="22"/>
        </w:rPr>
        <w:t>的增值税专用发票；</w:t>
      </w:r>
    </w:p>
    <w:p>
      <w:pPr>
        <w:widowControl/>
        <w:adjustRightInd w:val="0"/>
        <w:snapToGrid w:val="0"/>
        <w:spacing w:line="340" w:lineRule="exact"/>
        <w:ind w:firstLine="440" w:firstLineChars="200"/>
        <w:rPr>
          <w:rFonts w:ascii="宋体" w:cs="宋体"/>
          <w:color w:val="000000"/>
          <w:kern w:val="0"/>
          <w:sz w:val="22"/>
          <w:shd w:val="clear" w:color="auto" w:fill="FFFFFF"/>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）投标人须具备企业法人资质，并在人员、设备、资金等方面具有相应的能力；</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分（北京时间）。投标文件在封口处加盖公章，并派专人于</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分（北京时间）前送至杭州萧山国际机场翔越路综合服务楼园区招标中心，逾期无效；若采用投递方式的，</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分（北京时间）前投递至杭州萧山国际机场AOC楼813室，逾期无效。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投标联系人：朱芸           联系电话： 0571-83837787</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技术联系人：田斌           联系电话： 0571-86662382</w:t>
      </w:r>
    </w:p>
    <w:p>
      <w:pPr>
        <w:pStyle w:val="2"/>
        <w:spacing w:before="0" w:after="0" w:line="360" w:lineRule="auto"/>
        <w:rPr>
          <w:rFonts w:ascii="Calibri" w:eastAsia="黑体" w:cs="Calibri"/>
          <w:b w:val="0"/>
          <w:kern w:val="0"/>
          <w:sz w:val="22"/>
          <w:szCs w:val="22"/>
        </w:rPr>
      </w:pPr>
      <w:r>
        <w:rPr>
          <w:rFonts w:hint="eastAsia" w:ascii="宋体" w:hAnsi="宋体"/>
          <w:b w:val="0"/>
          <w:sz w:val="22"/>
          <w:szCs w:val="22"/>
        </w:rPr>
        <w:t xml:space="preserve">    招标监督人：邓飞           联系电话： 0571-83837891</w:t>
      </w:r>
      <w:bookmarkStart w:id="14" w:name="_Toc448002983"/>
    </w:p>
    <w:bookmarkEnd w:id="118"/>
    <w:p/>
    <w:p>
      <w:pPr>
        <w:pStyle w:val="2"/>
        <w:spacing w:before="0" w:after="0" w:line="360" w:lineRule="auto"/>
        <w:jc w:val="center"/>
        <w:rPr>
          <w:rFonts w:ascii="Calibri" w:hAnsi="Calibri" w:eastAsia="黑体" w:cs="Calibri"/>
          <w:kern w:val="0"/>
          <w:sz w:val="32"/>
        </w:rPr>
      </w:pPr>
      <w:r>
        <w:rPr>
          <w:rFonts w:hint="eastAsia" w:ascii="Calibri" w:eastAsia="黑体" w:cs="Calibri"/>
          <w:kern w:val="0"/>
          <w:sz w:val="32"/>
        </w:rPr>
        <w:t>第二章投标人须知</w:t>
      </w:r>
      <w:bookmarkEnd w:id="0"/>
      <w:bookmarkEnd w:id="12"/>
      <w:bookmarkEnd w:id="13"/>
      <w:bookmarkEnd w:id="14"/>
      <w:bookmarkStart w:id="15" w:name="_Toc143421654"/>
    </w:p>
    <w:p>
      <w:pPr>
        <w:pStyle w:val="118"/>
        <w:jc w:val="center"/>
        <w:rPr>
          <w:rFonts w:ascii="Calibri" w:hAnsi="Calibri" w:eastAsia="黑体" w:cs="Calibri"/>
          <w:kern w:val="2"/>
          <w:sz w:val="28"/>
          <w:szCs w:val="32"/>
        </w:rPr>
      </w:pPr>
      <w:bookmarkStart w:id="16" w:name="_Toc448002984"/>
      <w:bookmarkStart w:id="17" w:name="_Toc349011858"/>
      <w:bookmarkStart w:id="18" w:name="_Toc444173459"/>
      <w:bookmarkStart w:id="19" w:name="_Toc400369185"/>
      <w:bookmarkStart w:id="20" w:name="_Toc444811409"/>
      <w:bookmarkStart w:id="21" w:name="_Toc11881"/>
      <w:bookmarkStart w:id="22" w:name="_Toc349007688"/>
      <w:bookmarkStart w:id="23" w:name="_Toc444174979"/>
      <w:bookmarkStart w:id="24" w:name="_Toc386359393"/>
      <w:bookmarkStart w:id="25" w:name="_Toc386363317"/>
      <w:r>
        <w:rPr>
          <w:rFonts w:hint="eastAsia" w:ascii="Calibri" w:hAnsi="Arial" w:eastAsia="黑体" w:cs="Calibri"/>
          <w:kern w:val="2"/>
          <w:sz w:val="28"/>
          <w:szCs w:val="32"/>
        </w:rPr>
        <w:t>投标人须知前附表</w:t>
      </w:r>
      <w:bookmarkEnd w:id="15"/>
      <w:bookmarkEnd w:id="16"/>
      <w:bookmarkEnd w:id="17"/>
      <w:bookmarkEnd w:id="18"/>
      <w:bookmarkEnd w:id="19"/>
      <w:bookmarkEnd w:id="20"/>
      <w:bookmarkEnd w:id="21"/>
      <w:bookmarkEnd w:id="22"/>
      <w:bookmarkEnd w:id="23"/>
      <w:bookmarkEnd w:id="24"/>
      <w:bookmarkEnd w:id="25"/>
    </w:p>
    <w:tbl>
      <w:tblPr>
        <w:tblStyle w:val="5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w:t>
            </w:r>
            <w:r>
              <w:rPr>
                <w:rFonts w:ascii="宋体" w:hAnsi="宋体" w:cs="Calibri"/>
                <w:kern w:val="0"/>
                <w:sz w:val="22"/>
              </w:rPr>
              <w:t xml:space="preserve"> </w:t>
            </w:r>
            <w:r>
              <w:rPr>
                <w:rFonts w:hint="eastAsia" w:ascii="宋体" w:hAnsi="宋体" w:cs="Calibri"/>
                <w:kern w:val="0"/>
                <w:sz w:val="22"/>
              </w:rPr>
              <w:t>款</w:t>
            </w:r>
            <w:r>
              <w:rPr>
                <w:rFonts w:ascii="宋体" w:hAnsi="宋体" w:cs="Calibri"/>
                <w:kern w:val="0"/>
                <w:sz w:val="22"/>
              </w:rPr>
              <w:t xml:space="preserve"> </w:t>
            </w:r>
            <w:r>
              <w:rPr>
                <w:rFonts w:hint="eastAsia" w:ascii="宋体" w:hAnsi="宋体" w:cs="Calibri"/>
                <w:kern w:val="0"/>
                <w:sz w:val="22"/>
              </w:rPr>
              <w:t>名</w:t>
            </w:r>
            <w:r>
              <w:rPr>
                <w:rFonts w:ascii="宋体" w:hAnsi="宋体" w:cs="Calibri"/>
                <w:kern w:val="0"/>
                <w:sz w:val="22"/>
              </w:rPr>
              <w:t xml:space="preserve"> </w:t>
            </w:r>
            <w:r>
              <w:rPr>
                <w:rFonts w:hint="eastAsia" w:ascii="宋体" w:hAnsi="宋体" w:cs="Calibri"/>
                <w:kern w:val="0"/>
                <w:sz w:val="22"/>
              </w:rPr>
              <w:t>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w:t>
            </w:r>
            <w:r>
              <w:rPr>
                <w:rFonts w:ascii="宋体" w:hAnsi="宋体" w:cs="Calibri"/>
                <w:kern w:val="0"/>
                <w:sz w:val="22"/>
              </w:rPr>
              <w:t xml:space="preserve"> </w:t>
            </w:r>
            <w:r>
              <w:rPr>
                <w:rFonts w:hint="eastAsia" w:ascii="宋体" w:hAnsi="宋体" w:cs="Calibri"/>
                <w:kern w:val="0"/>
                <w:sz w:val="22"/>
              </w:rPr>
              <w:t>列</w:t>
            </w:r>
            <w:r>
              <w:rPr>
                <w:rFonts w:ascii="宋体" w:hAnsi="宋体" w:cs="Calibri"/>
                <w:kern w:val="0"/>
                <w:sz w:val="22"/>
              </w:rPr>
              <w:t xml:space="preserve"> </w:t>
            </w:r>
            <w:r>
              <w:rPr>
                <w:rFonts w:hint="eastAsia" w:ascii="宋体" w:hAnsi="宋体" w:cs="Calibri"/>
                <w:kern w:val="0"/>
                <w:sz w:val="22"/>
              </w:rPr>
              <w:t>内</w:t>
            </w:r>
            <w:r>
              <w:rPr>
                <w:rFonts w:ascii="宋体" w:hAnsi="宋体" w:cs="Calibri"/>
                <w:kern w:val="0"/>
                <w:sz w:val="22"/>
              </w:rPr>
              <w:t xml:space="preserve"> </w:t>
            </w:r>
            <w:r>
              <w:rPr>
                <w:rFonts w:hint="eastAsia" w:ascii="宋体" w:hAnsi="宋体" w:cs="Calibri"/>
                <w:kern w:val="0"/>
                <w:sz w:val="22"/>
              </w:rPr>
              <w:t>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w:t>
            </w:r>
            <w:r>
              <w:rPr>
                <w:rFonts w:hint="eastAsia" w:ascii="宋体" w:hAnsi="宋体"/>
                <w:sz w:val="22"/>
              </w:rPr>
              <w:t>跑道摩擦系数车专用测试轮</w:t>
            </w:r>
            <w:r>
              <w:rPr>
                <w:rFonts w:hint="eastAsia" w:ascii="宋体" w:hAnsi="宋体" w:cs="Calibri"/>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实施地点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8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服务期</w:t>
            </w:r>
          </w:p>
        </w:tc>
        <w:tc>
          <w:tcPr>
            <w:tcW w:w="6487" w:type="dxa"/>
            <w:vAlign w:val="center"/>
          </w:tcPr>
          <w:p>
            <w:pPr>
              <w:widowControl/>
              <w:adjustRightInd w:val="0"/>
              <w:snapToGrid w:val="0"/>
              <w:spacing w:line="340" w:lineRule="exact"/>
              <w:rPr>
                <w:rFonts w:ascii="宋体" w:cs="Calibri"/>
                <w:sz w:val="22"/>
              </w:rPr>
            </w:pPr>
            <w:r>
              <w:rPr>
                <w:rFonts w:ascii="宋体" w:hAnsi="宋体" w:cs="Calibri"/>
                <w:sz w:val="22"/>
              </w:rPr>
              <w:t>90</w:t>
            </w:r>
            <w:r>
              <w:rPr>
                <w:rFonts w:hint="eastAsia" w:ascii="宋体" w:hAnsi="宋体" w:cs="Calibri"/>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sz w:val="22"/>
              </w:rPr>
            </w:pPr>
            <w:r>
              <w:rPr>
                <w:rFonts w:hint="eastAsia" w:ascii="宋体" w:hAnsi="宋体"/>
                <w:iCs/>
                <w:sz w:val="22"/>
              </w:rPr>
              <w:t>符</w:t>
            </w:r>
            <w:r>
              <w:rPr>
                <w:rFonts w:hint="eastAsia" w:ascii="宋体" w:hAnsi="宋体"/>
                <w:sz w:val="22"/>
              </w:rPr>
              <w:t>合国家现行标准及行业技术标准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r>
              <w:rPr>
                <w:rFonts w:ascii="宋体" w:hAnsi="宋体" w:cs="Calibri"/>
                <w:kern w:val="0"/>
                <w:sz w:val="22"/>
              </w:rPr>
              <w:t>2019</w:t>
            </w:r>
            <w:r>
              <w:rPr>
                <w:rFonts w:hint="eastAsia" w:ascii="宋体" w:hAnsi="宋体" w:cs="Calibri"/>
                <w:kern w:val="0"/>
                <w:sz w:val="22"/>
              </w:rPr>
              <w:t>年</w:t>
            </w:r>
            <w:r>
              <w:rPr>
                <w:rFonts w:ascii="宋体" w:hAnsi="宋体" w:cs="Calibri"/>
                <w:kern w:val="0"/>
                <w:sz w:val="22"/>
              </w:rPr>
              <w:t xml:space="preserve">  </w:t>
            </w:r>
            <w:r>
              <w:rPr>
                <w:rFonts w:hint="eastAsia" w:ascii="宋体" w:hAnsi="宋体" w:cs="Calibri"/>
                <w:kern w:val="0"/>
                <w:sz w:val="22"/>
              </w:rPr>
              <w:t>月</w:t>
            </w:r>
            <w:r>
              <w:rPr>
                <w:rFonts w:ascii="宋体" w:hAnsi="宋体" w:cs="Calibri"/>
                <w:kern w:val="0"/>
                <w:sz w:val="22"/>
              </w:rPr>
              <w:t xml:space="preserve">  </w:t>
            </w:r>
            <w:r>
              <w:rPr>
                <w:rFonts w:hint="eastAsia" w:ascii="宋体" w:hAnsi="宋体" w:cs="Calibri"/>
                <w:kern w:val="0"/>
                <w:sz w:val="22"/>
              </w:rPr>
              <w:t>日上午</w:t>
            </w:r>
            <w:r>
              <w:rPr>
                <w:rFonts w:ascii="宋体" w:hAnsi="宋体" w:cs="Calibri"/>
                <w:kern w:val="0"/>
                <w:sz w:val="22"/>
              </w:rPr>
              <w:t>9:00</w:t>
            </w:r>
          </w:p>
          <w:p>
            <w:pPr>
              <w:autoSpaceDE w:val="0"/>
              <w:autoSpaceDN w:val="0"/>
              <w:adjustRightInd w:val="0"/>
              <w:snapToGrid w:val="0"/>
              <w:rPr>
                <w:rFonts w:ascii="宋体" w:cs="Calibri"/>
                <w:kern w:val="0"/>
                <w:sz w:val="22"/>
              </w:rPr>
            </w:pPr>
            <w:r>
              <w:rPr>
                <w:rFonts w:hint="eastAsia" w:ascii="宋体" w:hAnsi="宋体" w:cs="Calibri"/>
                <w:kern w:val="0"/>
                <w:sz w:val="22"/>
              </w:rPr>
              <w:t>踏勘集中地点：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cs="Calibri"/>
                <w:kern w:val="0"/>
                <w:sz w:val="22"/>
              </w:rPr>
            </w:pPr>
            <w:r>
              <w:rPr>
                <w:rFonts w:hint="eastAsia" w:ascii="宋体" w:hAnsi="宋体" w:cs="Calibri"/>
                <w:kern w:val="0"/>
                <w:sz w:val="22"/>
              </w:rPr>
              <w:t>召开地点：</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30</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w:t>
            </w:r>
            <w:r>
              <w:rPr>
                <w:rFonts w:ascii="宋体" w:hAnsi="宋体" w:cs="Calibri"/>
                <w:kern w:val="0"/>
                <w:sz w:val="22"/>
              </w:rPr>
              <w:t>E-mail</w:t>
            </w:r>
            <w:r>
              <w:rPr>
                <w:rFonts w:hint="eastAsia" w:ascii="宋体" w:hAnsi="宋体" w:cs="Calibri"/>
                <w:kern w:val="0"/>
                <w:sz w:val="22"/>
              </w:rPr>
              <w:t>或传真提交给招标人</w:t>
            </w:r>
            <w:r>
              <w:rPr>
                <w:rFonts w:hint="eastAsia" w:ascii="宋体" w:hAnsi="宋体" w:cs="Calibri"/>
                <w:kern w:val="0"/>
                <w:sz w:val="22"/>
                <w:lang w:eastAsia="zh-CN"/>
              </w:rPr>
              <w:t>，</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color w:val="FF0000"/>
                <w:kern w:val="0"/>
                <w:sz w:val="22"/>
              </w:rPr>
            </w:pP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snapToGrid w:val="0"/>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投标文件副本份数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ascii="宋体" w:hAnsi="宋体" w:cs="Calibri"/>
                <w:kern w:val="0"/>
                <w:sz w:val="22"/>
                <w:u w:val="single"/>
              </w:rPr>
              <w:t xml:space="preserve"> </w:t>
            </w:r>
            <w:r>
              <w:rPr>
                <w:rFonts w:hint="eastAsia" w:ascii="宋体" w:hAnsi="宋体" w:cs="Calibri"/>
                <w:kern w:val="0"/>
                <w:sz w:val="22"/>
                <w:u w:val="single"/>
              </w:rPr>
              <w:t>胶装</w:t>
            </w:r>
            <w:r>
              <w:rPr>
                <w:rFonts w:ascii="宋体" w:hAnsi="宋体" w:cs="Calibri"/>
                <w:kern w:val="0"/>
                <w:sz w:val="22"/>
                <w:u w:val="single"/>
              </w:rPr>
              <w:t xml:space="preserve">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sz w:val="22"/>
              </w:rPr>
              <w:t>跑道摩擦系数车专用测试轮</w:t>
            </w:r>
            <w:r>
              <w:rPr>
                <w:rFonts w:hint="eastAsia" w:ascii="宋体" w:hAnsi="宋体" w:cs="Calibri"/>
                <w:kern w:val="0"/>
                <w:sz w:val="22"/>
                <w:u w:val="single"/>
              </w:rPr>
              <w:t>采购项目</w:t>
            </w:r>
            <w:r>
              <w:rPr>
                <w:rFonts w:hint="eastAsia" w:ascii="宋体" w:hAnsi="宋体" w:cs="宋体"/>
                <w:sz w:val="22"/>
              </w:rPr>
              <w:t>投标文件</w:t>
            </w:r>
          </w:p>
          <w:p>
            <w:pPr>
              <w:autoSpaceDE w:val="0"/>
              <w:autoSpaceDN w:val="0"/>
              <w:adjustRightInd w:val="0"/>
              <w:snapToGrid w:val="0"/>
              <w:rPr>
                <w:rFonts w:ascii="宋体" w:cs="Calibri"/>
                <w:color w:val="000000"/>
                <w:kern w:val="0"/>
                <w:sz w:val="22"/>
              </w:rPr>
            </w:pPr>
            <w:r>
              <w:rPr>
                <w:rFonts w:hint="eastAsia" w:ascii="宋体" w:hAnsi="宋体" w:cs="Calibri"/>
                <w:color w:val="000000"/>
                <w:kern w:val="0"/>
                <w:sz w:val="22"/>
                <w:shd w:val="clear" w:color="auto" w:fill="FFFFFF"/>
              </w:rPr>
              <w:t>在</w:t>
            </w:r>
            <w:r>
              <w:rPr>
                <w:rFonts w:ascii="宋体" w:hAnsi="宋体" w:cs="Arial"/>
                <w:kern w:val="0"/>
                <w:sz w:val="22"/>
              </w:rPr>
              <w:t>2019</w:t>
            </w:r>
            <w:r>
              <w:rPr>
                <w:rFonts w:hint="eastAsia" w:ascii="宋体" w:hAnsi="宋体" w:cs="Arial"/>
                <w:kern w:val="0"/>
                <w:sz w:val="22"/>
              </w:rPr>
              <w:t>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2</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cs="Arial"/>
                <w:kern w:val="0"/>
                <w:sz w:val="22"/>
              </w:rPr>
              <w:t>00</w:t>
            </w:r>
            <w:r>
              <w:rPr>
                <w:rFonts w:hint="eastAsia" w:ascii="宋体" w:hAnsi="宋体" w:cs="Arial"/>
                <w:kern w:val="0"/>
                <w:sz w:val="22"/>
              </w:rPr>
              <w:t>分</w:t>
            </w:r>
            <w:r>
              <w:rPr>
                <w:rFonts w:hint="eastAsia" w:ascii="宋体" w:hAnsi="宋体" w:cs="Calibri"/>
                <w:color w:val="000000"/>
                <w:kern w:val="0"/>
                <w:sz w:val="22"/>
                <w:shd w:val="clear" w:color="auto" w:fill="FFFFFF"/>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color w:val="FF0000"/>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履约担保</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10.2</w:t>
            </w:r>
          </w:p>
        </w:tc>
        <w:tc>
          <w:tcPr>
            <w:tcW w:w="2004" w:type="dxa"/>
            <w:vAlign w:val="center"/>
          </w:tcPr>
          <w:p>
            <w:pPr>
              <w:pStyle w:val="45"/>
              <w:adjustRightInd w:val="0"/>
              <w:snapToGrid w:val="0"/>
              <w:spacing w:line="240" w:lineRule="auto"/>
              <w:jc w:val="center"/>
              <w:rPr>
                <w:rFonts w:ascii="宋体" w:cs="Calibri"/>
                <w:color w:val="auto"/>
                <w:sz w:val="22"/>
                <w:szCs w:val="22"/>
              </w:rPr>
            </w:pPr>
            <w:r>
              <w:rPr>
                <w:rFonts w:hint="eastAsia" w:ascii="宋体" w:hAnsi="宋体" w:cs="Calibri"/>
                <w:color w:val="auto"/>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tcBorders>
              <w:bottom w:val="single" w:color="auto" w:sz="12" w:space="0"/>
            </w:tcBorders>
            <w:vAlign w:val="center"/>
          </w:tcPr>
          <w:p>
            <w:pPr>
              <w:autoSpaceDE w:val="0"/>
              <w:autoSpaceDN w:val="0"/>
              <w:adjustRightInd w:val="0"/>
              <w:snapToGrid w:val="0"/>
              <w:jc w:val="center"/>
              <w:rPr>
                <w:rFonts w:ascii="宋体" w:cs="Calibri"/>
                <w:kern w:val="0"/>
                <w:sz w:val="22"/>
              </w:rPr>
            </w:pPr>
            <w:r>
              <w:rPr>
                <w:rFonts w:ascii="宋体" w:hAnsi="宋体" w:cs="Calibri"/>
                <w:kern w:val="0"/>
                <w:sz w:val="22"/>
              </w:rPr>
              <w:t>10.3</w:t>
            </w:r>
          </w:p>
        </w:tc>
        <w:tc>
          <w:tcPr>
            <w:tcW w:w="2004" w:type="dxa"/>
            <w:tcBorders>
              <w:bottom w:val="single" w:color="auto" w:sz="12" w:space="0"/>
            </w:tcBorders>
            <w:vAlign w:val="center"/>
          </w:tcPr>
          <w:p>
            <w:pPr>
              <w:pStyle w:val="45"/>
              <w:spacing w:line="240" w:lineRule="auto"/>
              <w:jc w:val="center"/>
              <w:rPr>
                <w:rFonts w:ascii="宋体" w:cs="Calibri"/>
                <w:color w:val="auto"/>
                <w:sz w:val="22"/>
                <w:szCs w:val="22"/>
              </w:rPr>
            </w:pPr>
            <w:r>
              <w:rPr>
                <w:rFonts w:hint="eastAsia" w:ascii="宋体" w:hAnsi="宋体" w:cs="Calibri"/>
                <w:color w:val="auto"/>
                <w:sz w:val="22"/>
                <w:szCs w:val="22"/>
              </w:rPr>
              <w:t>备注</w:t>
            </w:r>
          </w:p>
        </w:tc>
        <w:tc>
          <w:tcPr>
            <w:tcW w:w="6487" w:type="dxa"/>
            <w:tcBorders>
              <w:bottom w:val="single" w:color="auto" w:sz="12" w:space="0"/>
            </w:tcBorders>
            <w:shd w:val="clear" w:color="auto" w:fill="FFFFFF"/>
            <w:vAlign w:val="center"/>
          </w:tcPr>
          <w:p>
            <w:pPr>
              <w:adjustRightInd w:val="0"/>
              <w:snapToGrid w:val="0"/>
              <w:rPr>
                <w:rFonts w:ascii="宋体" w:cs="Calibri"/>
                <w:kern w:val="0"/>
                <w:sz w:val="22"/>
              </w:rPr>
            </w:pPr>
            <w:r>
              <w:rPr>
                <w:rFonts w:hint="eastAsia"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26" w:name="_Toc11067"/>
      <w:bookmarkStart w:id="27" w:name="_Toc143421656"/>
    </w:p>
    <w:bookmarkEnd w:id="26"/>
    <w:bookmarkEnd w:id="27"/>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eastAsia="黑体" w:cs="Calibri"/>
          <w:b/>
          <w:bCs/>
          <w:kern w:val="0"/>
          <w:szCs w:val="21"/>
        </w:rPr>
      </w:pP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bookmarkStart w:id="28" w:name="_Toc26216"/>
      <w:r>
        <w:rPr>
          <w:rFonts w:ascii="宋体" w:hAnsi="宋体" w:cs="Calibri"/>
          <w:b/>
          <w:bCs/>
          <w:kern w:val="0"/>
          <w:sz w:val="22"/>
        </w:rPr>
        <w:t xml:space="preserve">1.1 </w:t>
      </w:r>
      <w:r>
        <w:rPr>
          <w:rFonts w:hint="eastAsia" w:ascii="宋体" w:hAnsi="宋体" w:cs="Calibri"/>
          <w:b/>
          <w:bCs/>
          <w:kern w:val="0"/>
          <w:sz w:val="22"/>
        </w:rPr>
        <w:t>项目</w:t>
      </w:r>
      <w:bookmarkEnd w:id="28"/>
      <w:r>
        <w:rPr>
          <w:rFonts w:hint="eastAsia" w:ascii="宋体" w:hAnsi="宋体" w:cs="Calibri"/>
          <w:b/>
          <w:bCs/>
          <w:kern w:val="0"/>
          <w:sz w:val="22"/>
        </w:rPr>
        <w:t>概况</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项目实施地点见投标人须知前附表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29" w:name="_Toc9136"/>
      <w:r>
        <w:rPr>
          <w:rFonts w:ascii="宋体" w:hAnsi="宋体" w:cs="Calibri"/>
          <w:b/>
          <w:bCs/>
          <w:kern w:val="0"/>
          <w:sz w:val="22"/>
        </w:rPr>
        <w:t xml:space="preserve">1.2 </w:t>
      </w:r>
      <w:r>
        <w:rPr>
          <w:rFonts w:hint="eastAsia" w:ascii="宋体" w:hAnsi="宋体" w:cs="Calibri"/>
          <w:b/>
          <w:bCs/>
          <w:kern w:val="0"/>
          <w:sz w:val="22"/>
        </w:rPr>
        <w:t>资金来源</w:t>
      </w:r>
      <w:bookmarkEnd w:id="29"/>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0" w:name="_Toc10673"/>
      <w:r>
        <w:rPr>
          <w:rFonts w:ascii="宋体" w:hAnsi="宋体" w:cs="Calibri"/>
          <w:b/>
          <w:bCs/>
          <w:kern w:val="0"/>
          <w:sz w:val="22"/>
        </w:rPr>
        <w:t xml:space="preserve">1.3 </w:t>
      </w:r>
      <w:r>
        <w:rPr>
          <w:rFonts w:hint="eastAsia" w:ascii="宋体" w:hAnsi="宋体" w:cs="Calibri"/>
          <w:b/>
          <w:bCs/>
          <w:kern w:val="0"/>
          <w:sz w:val="22"/>
        </w:rPr>
        <w:t>招标</w:t>
      </w:r>
      <w:bookmarkEnd w:id="30"/>
      <w:r>
        <w:rPr>
          <w:rFonts w:hint="eastAsia" w:ascii="宋体" w:hAnsi="宋体" w:cs="Calibri"/>
          <w:b/>
          <w:bCs/>
          <w:kern w:val="0"/>
          <w:sz w:val="22"/>
        </w:rPr>
        <w:t>内容</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1" w:name="_Toc718"/>
      <w:r>
        <w:rPr>
          <w:rFonts w:ascii="宋体" w:hAnsi="宋体" w:cs="Calibri"/>
          <w:b/>
          <w:bCs/>
          <w:kern w:val="0"/>
          <w:sz w:val="22"/>
        </w:rPr>
        <w:t xml:space="preserve">1.4 </w:t>
      </w:r>
      <w:r>
        <w:rPr>
          <w:rFonts w:hint="eastAsia" w:ascii="宋体" w:hAnsi="宋体" w:cs="Calibri"/>
          <w:b/>
          <w:bCs/>
          <w:kern w:val="0"/>
          <w:sz w:val="22"/>
        </w:rPr>
        <w:t>招标方式</w:t>
      </w:r>
      <w:bookmarkEnd w:id="31"/>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2" w:name="_Toc9161"/>
      <w:r>
        <w:rPr>
          <w:rFonts w:ascii="宋体" w:hAnsi="宋体" w:cs="Calibri"/>
          <w:b/>
          <w:bCs/>
          <w:kern w:val="0"/>
          <w:sz w:val="22"/>
        </w:rPr>
        <w:t xml:space="preserve">1.5 </w:t>
      </w:r>
      <w:r>
        <w:rPr>
          <w:rFonts w:hint="eastAsia" w:ascii="宋体" w:hAnsi="宋体" w:cs="Calibri"/>
          <w:b/>
          <w:bCs/>
          <w:kern w:val="0"/>
          <w:sz w:val="22"/>
        </w:rPr>
        <w:t>资格审查</w:t>
      </w:r>
      <w:bookmarkEnd w:id="32"/>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3"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3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4" w:name="_Toc2796"/>
      <w:r>
        <w:rPr>
          <w:rFonts w:ascii="宋体" w:hAnsi="宋体" w:cs="Calibri"/>
          <w:b/>
          <w:bCs/>
          <w:kern w:val="0"/>
          <w:sz w:val="22"/>
        </w:rPr>
        <w:t>1.7</w:t>
      </w:r>
      <w:r>
        <w:rPr>
          <w:rFonts w:hint="eastAsia" w:ascii="宋体" w:hAnsi="宋体" w:cs="Calibri"/>
          <w:b/>
          <w:bCs/>
          <w:kern w:val="0"/>
          <w:sz w:val="22"/>
        </w:rPr>
        <w:t>服务期</w:t>
      </w:r>
      <w:bookmarkEnd w:id="3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firstLineChars="200"/>
        <w:rPr>
          <w:rFonts w:ascii="宋体" w:cs="Calibri"/>
          <w:color w:val="000000"/>
          <w:sz w:val="22"/>
        </w:rPr>
      </w:pPr>
      <w:bookmarkStart w:id="35"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35"/>
    </w:p>
    <w:p>
      <w:pPr>
        <w:adjustRightInd w:val="0"/>
        <w:snapToGrid w:val="0"/>
        <w:spacing w:line="360" w:lineRule="exact"/>
        <w:ind w:firstLine="440" w:firstLineChars="20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招标人向投标人提供的有关现场的数据和资料，仅供投标人在编制投标文件时参考，招标人不对投标人据此做出的判断和决策负责。</w:t>
      </w:r>
    </w:p>
    <w:p>
      <w:pPr>
        <w:autoSpaceDE w:val="0"/>
        <w:autoSpaceDN w:val="0"/>
        <w:adjustRightInd w:val="0"/>
        <w:snapToGrid w:val="0"/>
        <w:spacing w:line="360" w:lineRule="exact"/>
        <w:rPr>
          <w:rFonts w:ascii="宋体" w:cs="Calibri"/>
          <w:b/>
          <w:bCs/>
          <w:kern w:val="0"/>
          <w:sz w:val="22"/>
        </w:rPr>
      </w:pPr>
      <w:bookmarkStart w:id="36" w:name="_Toc4199"/>
      <w:r>
        <w:rPr>
          <w:rFonts w:ascii="宋体" w:hAnsi="宋体" w:cs="Calibri"/>
          <w:b/>
          <w:bCs/>
          <w:kern w:val="0"/>
          <w:sz w:val="22"/>
        </w:rPr>
        <w:t xml:space="preserve">1.10 </w:t>
      </w:r>
      <w:r>
        <w:rPr>
          <w:rFonts w:hint="eastAsia" w:ascii="宋体" w:hAnsi="宋体" w:cs="Calibri"/>
          <w:b/>
          <w:bCs/>
          <w:kern w:val="0"/>
          <w:sz w:val="22"/>
        </w:rPr>
        <w:t>投标预备会</w:t>
      </w:r>
      <w:bookmarkEnd w:id="36"/>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37" w:name="_Toc4584"/>
      <w:r>
        <w:rPr>
          <w:rFonts w:ascii="宋体" w:hAnsi="宋体" w:cs="Calibri"/>
          <w:b/>
          <w:bCs/>
          <w:kern w:val="0"/>
          <w:sz w:val="22"/>
        </w:rPr>
        <w:t xml:space="preserve">1.11 </w:t>
      </w:r>
      <w:r>
        <w:rPr>
          <w:rFonts w:hint="eastAsia" w:ascii="宋体" w:hAnsi="宋体" w:cs="Calibri"/>
          <w:b/>
          <w:bCs/>
          <w:kern w:val="0"/>
          <w:sz w:val="22"/>
        </w:rPr>
        <w:t>分包</w:t>
      </w:r>
      <w:bookmarkEnd w:id="37"/>
    </w:p>
    <w:p>
      <w:pPr>
        <w:adjustRightInd w:val="0"/>
        <w:snapToGrid w:val="0"/>
        <w:spacing w:line="360" w:lineRule="exact"/>
        <w:ind w:firstLine="440" w:firstLineChars="200"/>
        <w:rPr>
          <w:rFonts w:ascii="宋体" w:cs="Calibri"/>
          <w:sz w:val="22"/>
        </w:rPr>
      </w:pPr>
      <w:r>
        <w:rPr>
          <w:rFonts w:hint="eastAsia" w:ascii="宋体" w:hAnsi="宋体" w:cs="Calibri"/>
          <w:sz w:val="22"/>
        </w:rPr>
        <w:t>本项目不允许分包。</w:t>
      </w:r>
    </w:p>
    <w:p>
      <w:pPr>
        <w:autoSpaceDE w:val="0"/>
        <w:autoSpaceDN w:val="0"/>
        <w:adjustRightInd w:val="0"/>
        <w:snapToGrid w:val="0"/>
        <w:spacing w:line="360" w:lineRule="exact"/>
        <w:rPr>
          <w:rFonts w:ascii="宋体" w:cs="Calibri"/>
          <w:b/>
          <w:bCs/>
          <w:kern w:val="0"/>
          <w:sz w:val="22"/>
        </w:rPr>
      </w:pPr>
      <w:bookmarkStart w:id="38" w:name="_Toc3996"/>
      <w:r>
        <w:rPr>
          <w:rFonts w:ascii="宋体" w:hAnsi="宋体" w:cs="Calibri"/>
          <w:b/>
          <w:bCs/>
          <w:kern w:val="0"/>
          <w:sz w:val="22"/>
        </w:rPr>
        <w:t xml:space="preserve">1.12 </w:t>
      </w:r>
      <w:r>
        <w:rPr>
          <w:rFonts w:hint="eastAsia" w:ascii="宋体" w:hAnsi="宋体" w:cs="Calibri"/>
          <w:b/>
          <w:bCs/>
          <w:kern w:val="0"/>
          <w:sz w:val="22"/>
        </w:rPr>
        <w:t>投标费用</w:t>
      </w:r>
      <w:bookmarkEnd w:id="38"/>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39" w:name="_Toc15241"/>
      <w:bookmarkStart w:id="40" w:name="_Toc143421657"/>
      <w:r>
        <w:rPr>
          <w:rFonts w:ascii="宋体" w:hAnsi="宋体" w:cs="Calibri"/>
          <w:b/>
          <w:bCs/>
          <w:kern w:val="0"/>
          <w:sz w:val="22"/>
        </w:rPr>
        <w:t>2.</w:t>
      </w:r>
      <w:r>
        <w:rPr>
          <w:rFonts w:hint="eastAsia" w:ascii="宋体" w:hAnsi="宋体" w:cs="Calibri"/>
          <w:b/>
          <w:bCs/>
          <w:kern w:val="0"/>
          <w:sz w:val="22"/>
        </w:rPr>
        <w:t>招标文件</w:t>
      </w:r>
      <w:bookmarkEnd w:id="39"/>
      <w:bookmarkEnd w:id="40"/>
    </w:p>
    <w:p>
      <w:pPr>
        <w:autoSpaceDE w:val="0"/>
        <w:autoSpaceDN w:val="0"/>
        <w:adjustRightInd w:val="0"/>
        <w:snapToGrid w:val="0"/>
        <w:spacing w:line="360" w:lineRule="exact"/>
        <w:rPr>
          <w:rFonts w:ascii="宋体" w:cs="Calibri"/>
          <w:b/>
          <w:bCs/>
          <w:kern w:val="0"/>
          <w:sz w:val="22"/>
        </w:rPr>
      </w:pPr>
      <w:bookmarkStart w:id="41"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41"/>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本招标文件包括：</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）招标公告</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）投标人须知</w:t>
      </w:r>
    </w:p>
    <w:p>
      <w:pPr>
        <w:adjustRightInd w:val="0"/>
        <w:snapToGrid w:val="0"/>
        <w:spacing w:line="360" w:lineRule="exact"/>
        <w:ind w:firstLine="440" w:firstLineChars="200"/>
        <w:rPr>
          <w:rFonts w:ascii="宋体" w:cs="Calibri"/>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）合同条款</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）评标办法及标准</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）投标文件格式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sz w:val="22"/>
        </w:rPr>
        <w:t>根据本须知第</w:t>
      </w:r>
      <w:r>
        <w:rPr>
          <w:rFonts w:ascii="宋体" w:hAnsi="宋体" w:cs="Calibri"/>
          <w:color w:val="000000"/>
          <w:sz w:val="22"/>
        </w:rPr>
        <w:t>2.2</w:t>
      </w:r>
      <w:r>
        <w:rPr>
          <w:rFonts w:hint="eastAsia" w:ascii="宋体" w:hAnsi="宋体" w:cs="Calibri"/>
          <w:color w:val="000000"/>
          <w:sz w:val="22"/>
        </w:rPr>
        <w:t>款和</w:t>
      </w:r>
      <w:r>
        <w:rPr>
          <w:rFonts w:ascii="宋体" w:hAnsi="宋体" w:cs="Calibri"/>
          <w:color w:val="000000"/>
          <w:sz w:val="22"/>
        </w:rPr>
        <w:t>2.3</w:t>
      </w:r>
      <w:r>
        <w:rPr>
          <w:rFonts w:hint="eastAsia" w:ascii="宋体" w:hAnsi="宋体" w:cs="Calibri"/>
          <w:color w:val="000000"/>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42"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42"/>
    </w:p>
    <w:p>
      <w:pPr>
        <w:adjustRightInd w:val="0"/>
        <w:snapToGrid w:val="0"/>
        <w:spacing w:line="360" w:lineRule="exact"/>
        <w:ind w:firstLine="440"/>
        <w:rPr>
          <w:rFonts w:ascii="宋体" w:cs="Calibri"/>
          <w:color w:val="000000"/>
          <w:sz w:val="22"/>
        </w:rPr>
      </w:pPr>
      <w:bookmarkStart w:id="43" w:name="_Toc18303"/>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2.3 </w:t>
      </w:r>
      <w:r>
        <w:rPr>
          <w:rFonts w:hint="eastAsia" w:ascii="宋体" w:hAnsi="宋体" w:cs="Calibri"/>
          <w:b/>
          <w:bCs/>
          <w:kern w:val="0"/>
          <w:sz w:val="22"/>
        </w:rPr>
        <w:t>招标文件的修改</w:t>
      </w:r>
      <w:bookmarkEnd w:id="43"/>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cs="Calibri"/>
          <w:b/>
          <w:bCs/>
          <w:kern w:val="0"/>
          <w:sz w:val="22"/>
        </w:rPr>
      </w:pPr>
      <w:bookmarkStart w:id="44" w:name="_Toc18870"/>
      <w:bookmarkStart w:id="45" w:name="_Toc143421658"/>
      <w:r>
        <w:rPr>
          <w:rFonts w:ascii="宋体" w:hAnsi="宋体" w:cs="Calibri"/>
          <w:b/>
          <w:bCs/>
          <w:kern w:val="0"/>
          <w:sz w:val="22"/>
        </w:rPr>
        <w:t>3.</w:t>
      </w:r>
      <w:r>
        <w:rPr>
          <w:rFonts w:hint="eastAsia" w:ascii="宋体" w:hAnsi="宋体" w:cs="Calibri"/>
          <w:b/>
          <w:bCs/>
          <w:kern w:val="0"/>
          <w:sz w:val="22"/>
        </w:rPr>
        <w:t>投标文件</w:t>
      </w:r>
      <w:bookmarkEnd w:id="44"/>
      <w:bookmarkEnd w:id="45"/>
    </w:p>
    <w:p>
      <w:pPr>
        <w:autoSpaceDE w:val="0"/>
        <w:autoSpaceDN w:val="0"/>
        <w:adjustRightInd w:val="0"/>
        <w:snapToGrid w:val="0"/>
        <w:spacing w:line="360" w:lineRule="exact"/>
        <w:rPr>
          <w:rFonts w:ascii="宋体" w:cs="Calibri"/>
          <w:b/>
          <w:bCs/>
          <w:kern w:val="0"/>
          <w:sz w:val="22"/>
        </w:rPr>
      </w:pPr>
      <w:bookmarkStart w:id="46"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4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3.1.1</w:t>
      </w:r>
      <w:r>
        <w:rPr>
          <w:rFonts w:hint="eastAsia" w:ascii="宋体" w:hAnsi="宋体" w:cs="Calibri"/>
          <w:color w:val="000000"/>
          <w:sz w:val="22"/>
        </w:rPr>
        <w:t>投标文件与投标有关的所有文件均应使用中文。</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3.1.2</w:t>
      </w:r>
      <w:r>
        <w:rPr>
          <w:rFonts w:hint="eastAsia" w:ascii="宋体" w:hAnsi="宋体" w:cs="Calibri"/>
          <w:color w:val="000000"/>
          <w:kern w:val="0"/>
          <w:sz w:val="22"/>
        </w:rPr>
        <w:t>除规范另有规定外，投标文件使用的度量衡单位，均采用中华人民共和国法定计量单位。</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3.1.3</w:t>
      </w:r>
      <w:r>
        <w:rPr>
          <w:rFonts w:hint="eastAsia" w:ascii="宋体" w:hAnsi="宋体" w:cs="Calibri"/>
          <w:color w:val="000000"/>
          <w:kern w:val="0"/>
          <w:sz w:val="22"/>
        </w:rPr>
        <w:t>招标文件中的“天”除特别说明外，均为日历天。</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3.1.4</w:t>
      </w:r>
      <w:r>
        <w:rPr>
          <w:rFonts w:hint="eastAsia" w:ascii="宋体" w:hAnsi="宋体" w:cs="Calibri"/>
          <w:color w:val="000000"/>
          <w:kern w:val="0"/>
          <w:sz w:val="22"/>
        </w:rPr>
        <w:t>招标文件中所指的“合同”除特别说明外，指</w:t>
      </w:r>
      <w:r>
        <w:rPr>
          <w:rFonts w:ascii="宋体" w:hAnsi="宋体" w:cs="Calibri"/>
          <w:color w:val="000000"/>
          <w:kern w:val="0"/>
          <w:sz w:val="22"/>
        </w:rPr>
        <w:t xml:space="preserve"> </w:t>
      </w:r>
      <w:r>
        <w:rPr>
          <w:rFonts w:hint="eastAsia" w:ascii="宋体" w:hAnsi="宋体" w:cs="Calibri"/>
          <w:color w:val="000000"/>
          <w:kern w:val="0"/>
          <w:sz w:val="22"/>
        </w:rPr>
        <w:t>“服务合同”。</w:t>
      </w:r>
    </w:p>
    <w:p>
      <w:pPr>
        <w:autoSpaceDE w:val="0"/>
        <w:autoSpaceDN w:val="0"/>
        <w:adjustRightInd w:val="0"/>
        <w:snapToGrid w:val="0"/>
        <w:spacing w:line="360" w:lineRule="exact"/>
        <w:rPr>
          <w:rFonts w:ascii="宋体" w:cs="Calibri"/>
          <w:b/>
          <w:bCs/>
          <w:kern w:val="0"/>
          <w:sz w:val="22"/>
        </w:rPr>
      </w:pPr>
      <w:bookmarkStart w:id="47"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47"/>
    </w:p>
    <w:p>
      <w:pPr>
        <w:adjustRightInd w:val="0"/>
        <w:snapToGrid w:val="0"/>
        <w:spacing w:line="360" w:lineRule="exact"/>
        <w:ind w:firstLine="440" w:firstLineChars="200"/>
        <w:rPr>
          <w:rFonts w:ascii="宋体" w:cs="Calibri"/>
          <w:color w:val="000000"/>
          <w:sz w:val="22"/>
        </w:rPr>
      </w:pPr>
      <w:bookmarkStart w:id="48" w:name="_Toc32225"/>
      <w:r>
        <w:rPr>
          <w:rFonts w:ascii="宋体" w:hAnsi="宋体" w:cs="Calibri"/>
          <w:color w:val="000000"/>
          <w:sz w:val="22"/>
        </w:rPr>
        <w:t>3.2.1</w:t>
      </w:r>
      <w:r>
        <w:rPr>
          <w:rFonts w:hint="eastAsia" w:ascii="宋体" w:hAnsi="宋体" w:cs="Calibri"/>
          <w:color w:val="000000"/>
          <w:sz w:val="22"/>
        </w:rPr>
        <w:t>投标函；</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3.2.2</w:t>
      </w:r>
      <w:r>
        <w:rPr>
          <w:rFonts w:hint="eastAsia" w:ascii="宋体" w:hAnsi="宋体" w:cs="Calibri"/>
          <w:color w:val="000000"/>
          <w:sz w:val="22"/>
        </w:rPr>
        <w:t>法定代表人资格证明书；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3.2.3</w:t>
      </w:r>
      <w:r>
        <w:rPr>
          <w:rFonts w:hint="eastAsia" w:ascii="宋体" w:hAnsi="宋体" w:cs="Calibri"/>
          <w:color w:val="000000"/>
          <w:sz w:val="22"/>
        </w:rPr>
        <w:t>授权委托书；</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3.2.4 </w:t>
      </w:r>
      <w:r>
        <w:rPr>
          <w:rFonts w:hint="eastAsia" w:ascii="宋体" w:hAnsi="宋体" w:cs="Calibri"/>
          <w:color w:val="000000"/>
          <w:sz w:val="22"/>
        </w:rPr>
        <w:t>投标报价表；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3.2.5</w:t>
      </w:r>
      <w:r>
        <w:rPr>
          <w:rFonts w:hint="eastAsia" w:ascii="宋体" w:hAnsi="宋体" w:cs="Calibri"/>
          <w:color w:val="000000"/>
          <w:sz w:val="22"/>
        </w:rPr>
        <w:t>投标人资格证明文件：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）有关证明投标人的企业信誉及获得各种奖励等资料；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）投标人经济实力：包括企业注册资金、财务报告与报表中反映的财务状况；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）近三年完成类似项目业绩情况。</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3.2.6</w:t>
      </w:r>
      <w:r>
        <w:rPr>
          <w:rFonts w:hint="eastAsia" w:ascii="宋体" w:hAnsi="宋体" w:cs="Calibri"/>
          <w:color w:val="000000"/>
          <w:sz w:val="22"/>
        </w:rPr>
        <w:t>服务大纲</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）本项目概况；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）工作内容和依据；</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3</w:t>
      </w:r>
      <w:r>
        <w:rPr>
          <w:rFonts w:hint="eastAsia" w:ascii="宋体" w:hAnsi="宋体" w:cs="Calibri"/>
          <w:color w:val="000000"/>
          <w:sz w:val="22"/>
        </w:rPr>
        <w:t>）服务管理班子的组织结构形式；</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4</w:t>
      </w:r>
      <w:r>
        <w:rPr>
          <w:rFonts w:hint="eastAsia" w:ascii="宋体" w:hAnsi="宋体" w:cs="Calibri"/>
          <w:color w:val="000000"/>
          <w:sz w:val="22"/>
        </w:rPr>
        <w:t>）服务人员的作业安排和进场计划；</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5</w:t>
      </w:r>
      <w:r>
        <w:rPr>
          <w:rFonts w:hint="eastAsia" w:ascii="宋体" w:hAnsi="宋体" w:cs="Calibri"/>
          <w:color w:val="000000"/>
          <w:sz w:val="22"/>
        </w:rPr>
        <w:t>）服务人员工作守则；</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6</w:t>
      </w:r>
      <w:r>
        <w:rPr>
          <w:rFonts w:hint="eastAsia" w:ascii="宋体" w:hAnsi="宋体" w:cs="Calibri"/>
          <w:color w:val="000000"/>
          <w:sz w:val="22"/>
        </w:rPr>
        <w:t>）对本项目的实施意见及重点、难点控制；</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7</w:t>
      </w:r>
      <w:r>
        <w:rPr>
          <w:rFonts w:hint="eastAsia"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8</w:t>
      </w:r>
      <w:r>
        <w:rPr>
          <w:rFonts w:hint="eastAsia" w:ascii="宋体" w:hAnsi="宋体" w:cs="Calibri"/>
          <w:color w:val="000000"/>
          <w:sz w:val="22"/>
        </w:rPr>
        <w:t>）投入本项目服务的仪器、仪表、设备及交通工具汇总表。</w:t>
      </w:r>
    </w:p>
    <w:p>
      <w:pPr>
        <w:adjustRightInd w:val="0"/>
        <w:snapToGrid w:val="0"/>
        <w:spacing w:line="360" w:lineRule="exact"/>
        <w:ind w:firstLine="440" w:firstLineChars="200"/>
        <w:rPr>
          <w:rFonts w:ascii="宋体"/>
          <w:sz w:val="22"/>
        </w:rPr>
      </w:pPr>
      <w:r>
        <w:rPr>
          <w:rFonts w:ascii="宋体" w:hAnsi="宋体" w:cs="Calibri"/>
          <w:color w:val="000000"/>
          <w:sz w:val="22"/>
        </w:rPr>
        <w:t>3.2.7</w:t>
      </w:r>
      <w:r>
        <w:rPr>
          <w:rFonts w:hint="eastAsia" w:ascii="宋体" w:hAnsi="宋体" w:cs="Arial"/>
          <w:color w:val="000000"/>
          <w:sz w:val="22"/>
        </w:rPr>
        <w:t>投标人认为应该提供的其他材料。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48"/>
    </w:p>
    <w:p>
      <w:pPr>
        <w:adjustRightInd w:val="0"/>
        <w:snapToGrid w:val="0"/>
        <w:spacing w:line="360" w:lineRule="exact"/>
        <w:ind w:firstLine="440"/>
        <w:rPr>
          <w:rFonts w:ascii="宋体" w:cs="Calibri"/>
          <w:sz w:val="22"/>
        </w:rPr>
      </w:pPr>
      <w:bookmarkStart w:id="49" w:name="_Toc13307"/>
      <w:r>
        <w:rPr>
          <w:rFonts w:ascii="宋体" w:hAnsi="宋体" w:cs="Calibri"/>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宋体" w:hAnsi="宋体" w:cs="Calibri"/>
          <w:sz w:val="22"/>
        </w:rPr>
        <w:t>3.3.2</w:t>
      </w:r>
      <w:r>
        <w:rPr>
          <w:rFonts w:hint="eastAsia" w:ascii="宋体" w:hAnsi="宋体" w:cs="宋体"/>
          <w:sz w:val="22"/>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宋体" w:hAnsi="宋体" w:cs="Calibri"/>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宋体" w:hAnsi="宋体" w:cs="Calibri"/>
          <w:sz w:val="22"/>
        </w:rPr>
        <w:t>3.3.4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宋体" w:hAnsi="宋体" w:cs="Calibri"/>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宋体" w:hAnsi="宋体" w:cs="Calibri"/>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宋体" w:hAnsi="宋体" w:cs="Calibri"/>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宋体" w:hAnsi="宋体" w:cs="Calibri"/>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宋体" w:hAnsi="宋体" w:cs="Calibri"/>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b/>
          <w:color w:val="000000"/>
          <w:kern w:val="0"/>
          <w:sz w:val="22"/>
          <w:u w:val="single"/>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49"/>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3.4.1</w:t>
      </w:r>
      <w:r>
        <w:rPr>
          <w:rFonts w:hint="eastAsia" w:ascii="宋体" w:hAnsi="宋体" w:cs="Calibri"/>
          <w:color w:val="000000"/>
          <w:kern w:val="0"/>
          <w:sz w:val="22"/>
        </w:rPr>
        <w:t>在投标人须知前附表规定的投标有效期内，投标人不得要求撤销和修改其投标文件。</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3.4.2</w:t>
      </w:r>
      <w:r>
        <w:rPr>
          <w:rFonts w:hint="eastAsia" w:ascii="宋体" w:hAnsi="宋体" w:cs="Calibri"/>
          <w:color w:val="000000"/>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50" w:name="_Toc30464"/>
      <w:r>
        <w:rPr>
          <w:rFonts w:ascii="宋体" w:hAnsi="宋体" w:cs="Calibri"/>
          <w:b/>
          <w:bCs/>
          <w:kern w:val="0"/>
          <w:sz w:val="22"/>
        </w:rPr>
        <w:t xml:space="preserve">3.5 </w:t>
      </w:r>
      <w:r>
        <w:rPr>
          <w:rFonts w:hint="eastAsia" w:ascii="宋体" w:hAnsi="宋体" w:cs="Calibri"/>
          <w:b/>
          <w:bCs/>
          <w:kern w:val="0"/>
          <w:sz w:val="22"/>
        </w:rPr>
        <w:t>投标保证金</w:t>
      </w:r>
      <w:bookmarkEnd w:id="50"/>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bookmarkStart w:id="51" w:name="_Toc29989"/>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10</w:t>
      </w:r>
      <w:r>
        <w:rPr>
          <w:rFonts w:hint="eastAsia" w:ascii="宋体" w:hAnsi="宋体" w:cs="Calibri"/>
          <w:kern w:val="0"/>
          <w:sz w:val="22"/>
        </w:rPr>
        <w:t>个工作日内无息退还（以银行转账方式）；未中标的投标保证金，将在中标公示结束后</w:t>
      </w:r>
      <w:r>
        <w:rPr>
          <w:rFonts w:ascii="宋体" w:hAnsi="宋体" w:cs="Calibri"/>
          <w:kern w:val="0"/>
          <w:sz w:val="22"/>
        </w:rPr>
        <w:t>15</w:t>
      </w:r>
      <w:r>
        <w:rPr>
          <w:rFonts w:hint="eastAsia" w:ascii="宋体" w:hAnsi="宋体" w:cs="Calibri"/>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3.6 </w:t>
      </w:r>
      <w:r>
        <w:rPr>
          <w:rFonts w:hint="eastAsia" w:ascii="宋体" w:hAnsi="宋体" w:cs="Calibri"/>
          <w:b/>
          <w:bCs/>
          <w:kern w:val="0"/>
          <w:sz w:val="22"/>
        </w:rPr>
        <w:t>投标文件的编制</w:t>
      </w:r>
      <w:bookmarkEnd w:id="51"/>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3.6.1 </w:t>
      </w:r>
      <w:r>
        <w:rPr>
          <w:rFonts w:hint="eastAsia" w:ascii="宋体" w:hAnsi="宋体" w:cs="Calibri"/>
          <w:color w:val="000000"/>
          <w:sz w:val="22"/>
        </w:rPr>
        <w:t>投标文件应按本须知第</w:t>
      </w:r>
      <w:r>
        <w:rPr>
          <w:rFonts w:ascii="宋体" w:hAnsi="宋体" w:cs="Calibri"/>
          <w:color w:val="000000"/>
          <w:sz w:val="22"/>
        </w:rPr>
        <w:t>3.2</w:t>
      </w:r>
      <w:r>
        <w:rPr>
          <w:rFonts w:hint="eastAsia" w:ascii="宋体" w:hAnsi="宋体" w:cs="Calibri"/>
          <w:color w:val="000000"/>
          <w:sz w:val="22"/>
        </w:rPr>
        <w:t>款规定的内容和第六章“投标文件格式”进行编写，如有必要，可以增加附页，作为投标文件的组成部分，“投标文件格式”中没有规定的可自行编制格式。其中，</w:t>
      </w:r>
      <w:r>
        <w:rPr>
          <w:rFonts w:hint="eastAsia" w:ascii="宋体" w:hAnsi="宋体" w:cs="Calibri"/>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 xml:space="preserve">3.6.2 </w:t>
      </w:r>
      <w:r>
        <w:rPr>
          <w:rFonts w:hint="eastAsia" w:ascii="宋体" w:hAnsi="宋体" w:cs="Calibri"/>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3.6.3 </w:t>
      </w:r>
      <w:r>
        <w:rPr>
          <w:rFonts w:hint="eastAsia" w:ascii="宋体" w:hAnsi="宋体" w:cs="Calibri"/>
          <w:color w:val="000000"/>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3.6.4</w:t>
      </w:r>
      <w:r>
        <w:rPr>
          <w:rFonts w:hint="eastAsia" w:ascii="宋体" w:hAnsi="宋体" w:cs="Calibri"/>
          <w:color w:val="000000"/>
          <w:sz w:val="22"/>
        </w:rPr>
        <w:t>投标文件正本一份，</w:t>
      </w:r>
      <w:r>
        <w:rPr>
          <w:rFonts w:ascii="宋体" w:hAnsi="宋体" w:cs="Calibri"/>
          <w:color w:val="000000"/>
          <w:sz w:val="22"/>
        </w:rPr>
        <w:t xml:space="preserve"> </w:t>
      </w:r>
      <w:r>
        <w:rPr>
          <w:rFonts w:hint="eastAsia" w:ascii="宋体" w:hAnsi="宋体" w:cs="Calibri"/>
          <w:color w:val="000000"/>
          <w:sz w:val="22"/>
        </w:rPr>
        <w:t>副本份数见投标人须知前附表。正本、副本的封面上应清楚地标记</w:t>
      </w:r>
      <w:r>
        <w:rPr>
          <w:rFonts w:hint="eastAsia" w:ascii="宋体" w:hAnsi="宋体" w:cs="Calibri"/>
          <w:b/>
          <w:bCs/>
          <w:color w:val="000000"/>
          <w:sz w:val="22"/>
        </w:rPr>
        <w:t>“正本</w:t>
      </w:r>
      <w:r>
        <w:rPr>
          <w:rFonts w:hint="eastAsia" w:ascii="宋体" w:hAnsi="宋体" w:cs="Calibri"/>
          <w:color w:val="000000"/>
          <w:sz w:val="22"/>
        </w:rPr>
        <w:t>”或“</w:t>
      </w:r>
      <w:r>
        <w:rPr>
          <w:rFonts w:hint="eastAsia" w:ascii="宋体" w:hAnsi="宋体" w:cs="Calibri"/>
          <w:b/>
          <w:bCs/>
          <w:color w:val="000000"/>
          <w:sz w:val="22"/>
        </w:rPr>
        <w:t>副本</w:t>
      </w:r>
      <w:r>
        <w:rPr>
          <w:rFonts w:hint="eastAsia"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3.6.5</w:t>
      </w:r>
      <w:r>
        <w:rPr>
          <w:rFonts w:hint="eastAsia" w:ascii="宋体" w:hAnsi="宋体" w:cs="Calibri"/>
          <w:color w:val="000000"/>
          <w:sz w:val="22"/>
        </w:rPr>
        <w:t>投标文件的正本与副本应分别按</w:t>
      </w:r>
      <w:r>
        <w:rPr>
          <w:rFonts w:ascii="宋体" w:hAnsi="宋体" w:cs="Calibri"/>
          <w:color w:val="000000"/>
          <w:sz w:val="22"/>
        </w:rPr>
        <w:t>A4</w:t>
      </w:r>
      <w:r>
        <w:rPr>
          <w:rFonts w:hint="eastAsia" w:ascii="宋体" w:hAnsi="宋体" w:cs="Calibri"/>
          <w:color w:val="000000"/>
          <w:sz w:val="22"/>
        </w:rPr>
        <w:t>规格装订成册，具体装订要求见投标人须知前附表规定。</w:t>
      </w:r>
      <w:bookmarkStart w:id="52" w:name="_Toc143421659"/>
    </w:p>
    <w:p>
      <w:pPr>
        <w:autoSpaceDE w:val="0"/>
        <w:autoSpaceDN w:val="0"/>
        <w:adjustRightInd w:val="0"/>
        <w:snapToGrid w:val="0"/>
        <w:spacing w:line="360" w:lineRule="exact"/>
        <w:rPr>
          <w:rFonts w:ascii="宋体" w:cs="Calibri"/>
          <w:b/>
          <w:bCs/>
          <w:kern w:val="0"/>
          <w:sz w:val="22"/>
        </w:rPr>
      </w:pPr>
      <w:bookmarkStart w:id="53" w:name="_Toc32652"/>
      <w:r>
        <w:rPr>
          <w:rFonts w:ascii="宋体" w:hAnsi="宋体" w:cs="Calibri"/>
          <w:b/>
          <w:bCs/>
          <w:kern w:val="0"/>
          <w:sz w:val="22"/>
        </w:rPr>
        <w:t>4.</w:t>
      </w:r>
      <w:r>
        <w:rPr>
          <w:rFonts w:hint="eastAsia" w:ascii="宋体" w:hAnsi="宋体" w:cs="Calibri"/>
          <w:b/>
          <w:bCs/>
          <w:kern w:val="0"/>
          <w:sz w:val="22"/>
        </w:rPr>
        <w:t>投标</w:t>
      </w:r>
      <w:bookmarkEnd w:id="52"/>
      <w:bookmarkEnd w:id="53"/>
    </w:p>
    <w:p>
      <w:pPr>
        <w:autoSpaceDE w:val="0"/>
        <w:autoSpaceDN w:val="0"/>
        <w:adjustRightInd w:val="0"/>
        <w:snapToGrid w:val="0"/>
        <w:spacing w:line="360" w:lineRule="exact"/>
        <w:rPr>
          <w:rFonts w:ascii="宋体" w:cs="Calibri"/>
          <w:b/>
          <w:bCs/>
          <w:kern w:val="0"/>
          <w:sz w:val="22"/>
        </w:rPr>
      </w:pPr>
      <w:bookmarkStart w:id="54"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54"/>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4.1.1</w:t>
      </w:r>
      <w:r>
        <w:rPr>
          <w:rFonts w:hint="eastAsia" w:ascii="宋体" w:hAnsi="宋体" w:cs="Calibri"/>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4.1.2 </w:t>
      </w:r>
      <w:r>
        <w:rPr>
          <w:rFonts w:hint="eastAsia" w:ascii="宋体" w:hAnsi="宋体" w:cs="Calibri"/>
          <w:color w:val="000000"/>
          <w:sz w:val="22"/>
        </w:rPr>
        <w:t>投标文件的封套上应清楚地标记“投标文件”字样，封套上应写明的其他内容见投标人须知前附表。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 xml:space="preserve">4.1.3 </w:t>
      </w:r>
      <w:r>
        <w:rPr>
          <w:rFonts w:hint="eastAsia" w:ascii="宋体" w:hAnsi="宋体" w:cs="Calibri"/>
          <w:color w:val="000000"/>
          <w:sz w:val="22"/>
        </w:rPr>
        <w:t>未按本章第</w:t>
      </w:r>
      <w:r>
        <w:rPr>
          <w:rFonts w:ascii="宋体" w:hAnsi="宋体" w:cs="Calibri"/>
          <w:color w:val="000000"/>
          <w:sz w:val="22"/>
        </w:rPr>
        <w:t>4.1.1</w:t>
      </w:r>
      <w:r>
        <w:rPr>
          <w:rFonts w:hint="eastAsia" w:ascii="宋体" w:hAnsi="宋体" w:cs="Calibri"/>
          <w:color w:val="000000"/>
          <w:sz w:val="22"/>
        </w:rPr>
        <w:t>项或第</w:t>
      </w:r>
      <w:r>
        <w:rPr>
          <w:rFonts w:ascii="宋体" w:hAnsi="宋体" w:cs="Calibri"/>
          <w:color w:val="000000"/>
          <w:sz w:val="22"/>
        </w:rPr>
        <w:t>4.1.2</w:t>
      </w:r>
      <w:r>
        <w:rPr>
          <w:rFonts w:hint="eastAsia" w:ascii="宋体" w:hAnsi="宋体" w:cs="Calibri"/>
          <w:color w:val="000000"/>
          <w:sz w:val="22"/>
        </w:rPr>
        <w:t>项要求密封和加写标记的投标文件，招标人不予受理。</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cs="Calibri"/>
          <w:b/>
          <w:bCs/>
          <w:kern w:val="0"/>
          <w:sz w:val="22"/>
        </w:rPr>
      </w:pPr>
      <w:bookmarkStart w:id="55" w:name="_Toc16616"/>
      <w:r>
        <w:rPr>
          <w:rFonts w:ascii="宋体" w:hAnsi="宋体" w:cs="Calibri"/>
          <w:b/>
          <w:bCs/>
          <w:kern w:val="0"/>
          <w:sz w:val="22"/>
        </w:rPr>
        <w:t xml:space="preserve">4.2 </w:t>
      </w:r>
      <w:r>
        <w:rPr>
          <w:rFonts w:hint="eastAsia" w:ascii="宋体" w:hAnsi="宋体" w:cs="Calibri"/>
          <w:b/>
          <w:bCs/>
          <w:kern w:val="0"/>
          <w:sz w:val="22"/>
        </w:rPr>
        <w:t>投标文件的递交</w:t>
      </w:r>
      <w:r>
        <w:rPr>
          <w:rFonts w:ascii="宋体" w:hAnsi="宋体" w:cs="Calibri"/>
          <w:b/>
          <w:bCs/>
          <w:kern w:val="0"/>
          <w:sz w:val="22"/>
        </w:rPr>
        <w:t xml:space="preserve"> </w:t>
      </w:r>
      <w:bookmarkEnd w:id="55"/>
    </w:p>
    <w:p>
      <w:pPr>
        <w:autoSpaceDE w:val="0"/>
        <w:autoSpaceDN w:val="0"/>
        <w:adjustRightInd w:val="0"/>
        <w:snapToGrid w:val="0"/>
        <w:spacing w:line="360" w:lineRule="exact"/>
        <w:ind w:firstLine="442" w:firstLineChars="200"/>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4.2.2</w:t>
      </w:r>
      <w:r>
        <w:rPr>
          <w:rFonts w:hint="eastAsia" w:ascii="宋体" w:hAnsi="宋体" w:cs="Calibri"/>
          <w:color w:val="000000"/>
          <w:sz w:val="22"/>
        </w:rPr>
        <w:t>投标人送达投标文件的地点：见投标人须知前附表。</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4.2.3</w:t>
      </w:r>
      <w:r>
        <w:rPr>
          <w:rFonts w:hint="eastAsia" w:ascii="宋体" w:hAnsi="宋体" w:cs="Calibri"/>
          <w:color w:val="000000"/>
          <w:sz w:val="22"/>
        </w:rPr>
        <w:t>除投标人须知前附表另有规定外，投标人所递交的投标文件不予退还。</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4.2.4</w:t>
      </w:r>
      <w:r>
        <w:rPr>
          <w:rFonts w:hint="eastAsia"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56"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56"/>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4.3.1</w:t>
      </w:r>
      <w:r>
        <w:rPr>
          <w:rFonts w:hint="eastAsia" w:ascii="宋体" w:hAnsi="宋体" w:cs="Calibri"/>
          <w:color w:val="000000"/>
          <w:kern w:val="0"/>
          <w:sz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4.3.2</w:t>
      </w:r>
      <w:r>
        <w:rPr>
          <w:rFonts w:hint="eastAsia" w:ascii="宋体" w:hAnsi="宋体" w:cs="Calibri"/>
          <w:color w:val="000000"/>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4.3.3</w:t>
      </w:r>
      <w:r>
        <w:rPr>
          <w:rFonts w:hint="eastAsia" w:ascii="宋体" w:hAnsi="宋体" w:cs="Calibri"/>
          <w:color w:val="000000"/>
          <w:kern w:val="0"/>
          <w:sz w:val="22"/>
        </w:rPr>
        <w:t>修改的内容为投标文件的组成部分。修改的投标文件应按照本须知</w:t>
      </w:r>
      <w:r>
        <w:rPr>
          <w:rFonts w:ascii="宋体" w:hAnsi="宋体" w:cs="Calibri"/>
          <w:color w:val="000000"/>
          <w:kern w:val="0"/>
          <w:sz w:val="22"/>
        </w:rPr>
        <w:t>3</w:t>
      </w: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规定进行编制、密封、标识和递交，并标明“修改”字样。</w:t>
      </w:r>
    </w:p>
    <w:p>
      <w:pPr>
        <w:autoSpaceDE w:val="0"/>
        <w:autoSpaceDN w:val="0"/>
        <w:adjustRightInd w:val="0"/>
        <w:snapToGrid w:val="0"/>
        <w:spacing w:line="360" w:lineRule="exact"/>
        <w:rPr>
          <w:rFonts w:ascii="宋体" w:cs="Calibri"/>
          <w:b/>
          <w:bCs/>
          <w:kern w:val="0"/>
          <w:sz w:val="22"/>
        </w:rPr>
      </w:pPr>
      <w:bookmarkStart w:id="57" w:name="_Toc29641"/>
      <w:r>
        <w:rPr>
          <w:rFonts w:ascii="宋体" w:hAnsi="宋体" w:cs="Calibri"/>
          <w:b/>
          <w:bCs/>
          <w:kern w:val="0"/>
          <w:sz w:val="22"/>
        </w:rPr>
        <w:t>5.</w:t>
      </w:r>
      <w:r>
        <w:rPr>
          <w:rFonts w:hint="eastAsia" w:ascii="宋体" w:hAnsi="宋体" w:cs="Calibri"/>
          <w:b/>
          <w:bCs/>
          <w:kern w:val="0"/>
          <w:sz w:val="22"/>
        </w:rPr>
        <w:t>开标</w:t>
      </w:r>
      <w:bookmarkEnd w:id="57"/>
    </w:p>
    <w:p>
      <w:pPr>
        <w:autoSpaceDE w:val="0"/>
        <w:autoSpaceDN w:val="0"/>
        <w:adjustRightInd w:val="0"/>
        <w:snapToGrid w:val="0"/>
        <w:spacing w:line="360" w:lineRule="exact"/>
        <w:rPr>
          <w:rFonts w:ascii="宋体" w:cs="Calibri"/>
          <w:b/>
          <w:bCs/>
          <w:kern w:val="0"/>
          <w:sz w:val="22"/>
        </w:rPr>
      </w:pPr>
      <w:bookmarkStart w:id="58"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58"/>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cs="Calibri"/>
          <w:color w:val="000000"/>
          <w:sz w:val="22"/>
        </w:rPr>
      </w:pPr>
      <w:r>
        <w:rPr>
          <w:rFonts w:ascii="宋体" w:hAnsi="宋体" w:cs="Calibri"/>
          <w:color w:val="000000"/>
          <w:sz w:val="22"/>
        </w:rPr>
        <w:t>5.1.2</w:t>
      </w:r>
      <w:r>
        <w:rPr>
          <w:rFonts w:hint="eastAsia" w:ascii="宋体" w:hAnsi="宋体" w:cs="Calibri"/>
          <w:color w:val="000000"/>
          <w:sz w:val="22"/>
        </w:rPr>
        <w:t>投标人在投标时应随身携带下列资料提交招标人</w:t>
      </w:r>
    </w:p>
    <w:p>
      <w:pPr>
        <w:adjustRightInd w:val="0"/>
        <w:snapToGrid w:val="0"/>
        <w:spacing w:line="360" w:lineRule="exact"/>
        <w:ind w:firstLine="440" w:firstLineChars="200"/>
        <w:rPr>
          <w:rFonts w:ascii="宋体" w:cs="Calibri"/>
          <w:sz w:val="22"/>
        </w:rPr>
      </w:pPr>
      <w:bookmarkStart w:id="59" w:name="_Toc7101"/>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firstLineChars="20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5.2 </w:t>
      </w:r>
      <w:r>
        <w:rPr>
          <w:rFonts w:hint="eastAsia" w:ascii="宋体" w:hAnsi="宋体" w:cs="Calibri"/>
          <w:b/>
          <w:bCs/>
          <w:kern w:val="0"/>
          <w:sz w:val="22"/>
        </w:rPr>
        <w:t>开标程序</w:t>
      </w:r>
      <w:bookmarkEnd w:id="59"/>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主持人按下列程序进行开标：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）宣布开标纪律；</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）公布在投标截止时间前递交投标文件的投标人名称，并点名确认投标人是否派人到场；</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）宣布开标人、唱标人、记录人、监标人等有关人员姓名；</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）按照投标人须知前附表规定检查投标文件的密封情况；</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5</w:t>
      </w:r>
      <w:r>
        <w:rPr>
          <w:rFonts w:hint="eastAsia" w:ascii="宋体" w:hAnsi="宋体" w:cs="Calibri"/>
          <w:color w:val="000000"/>
          <w:kern w:val="0"/>
          <w:sz w:val="22"/>
        </w:rPr>
        <w:t>）按照投标人须知前附表的规定确定并宣布投标文件开标顺序；</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6</w:t>
      </w:r>
      <w:r>
        <w:rPr>
          <w:rFonts w:hint="eastAsia" w:ascii="宋体" w:hAnsi="宋体" w:cs="Calibri"/>
          <w:color w:val="000000"/>
          <w:kern w:val="0"/>
          <w:sz w:val="22"/>
        </w:rPr>
        <w:t>）</w:t>
      </w:r>
      <w:r>
        <w:rPr>
          <w:rFonts w:hint="eastAsia" w:ascii="宋体" w:hAnsi="宋体" w:cs="Calibri"/>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7</w:t>
      </w:r>
      <w:r>
        <w:rPr>
          <w:rFonts w:hint="eastAsia" w:ascii="宋体" w:hAnsi="宋体" w:cs="Calibri"/>
          <w:color w:val="000000"/>
          <w:kern w:val="0"/>
          <w:sz w:val="22"/>
        </w:rPr>
        <w:t>）投标人代表、招标人代表、监标人、记录人等有关人员在开标记录上签字确认；</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8</w:t>
      </w:r>
      <w:r>
        <w:rPr>
          <w:rFonts w:hint="eastAsia" w:ascii="宋体" w:hAnsi="宋体" w:cs="Calibri"/>
          <w:color w:val="000000"/>
          <w:kern w:val="0"/>
          <w:sz w:val="22"/>
        </w:rPr>
        <w:t>）开标结束。</w:t>
      </w:r>
    </w:p>
    <w:p>
      <w:pPr>
        <w:autoSpaceDE w:val="0"/>
        <w:autoSpaceDN w:val="0"/>
        <w:adjustRightInd w:val="0"/>
        <w:snapToGrid w:val="0"/>
        <w:spacing w:line="360" w:lineRule="exact"/>
        <w:rPr>
          <w:rFonts w:ascii="宋体" w:cs="Calibri"/>
          <w:b/>
          <w:bCs/>
          <w:kern w:val="0"/>
          <w:sz w:val="22"/>
        </w:rPr>
      </w:pPr>
      <w:bookmarkStart w:id="60" w:name="_Toc31578"/>
      <w:r>
        <w:rPr>
          <w:rFonts w:ascii="宋体" w:hAnsi="宋体" w:cs="Calibri"/>
          <w:b/>
          <w:bCs/>
          <w:kern w:val="0"/>
          <w:sz w:val="22"/>
        </w:rPr>
        <w:t>6.</w:t>
      </w:r>
      <w:r>
        <w:rPr>
          <w:rFonts w:hint="eastAsia" w:ascii="宋体" w:hAnsi="宋体" w:cs="Calibri"/>
          <w:b/>
          <w:bCs/>
          <w:kern w:val="0"/>
          <w:sz w:val="22"/>
        </w:rPr>
        <w:t>评标</w:t>
      </w:r>
      <w:bookmarkEnd w:id="60"/>
    </w:p>
    <w:p>
      <w:pPr>
        <w:autoSpaceDE w:val="0"/>
        <w:autoSpaceDN w:val="0"/>
        <w:adjustRightInd w:val="0"/>
        <w:snapToGrid w:val="0"/>
        <w:spacing w:line="360" w:lineRule="exact"/>
        <w:rPr>
          <w:rFonts w:ascii="宋体" w:cs="Calibri"/>
          <w:b/>
          <w:bCs/>
          <w:kern w:val="0"/>
          <w:sz w:val="22"/>
        </w:rPr>
      </w:pPr>
      <w:bookmarkStart w:id="61" w:name="_Toc10279"/>
      <w:r>
        <w:rPr>
          <w:rFonts w:ascii="宋体" w:hAnsi="宋体" w:cs="Calibri"/>
          <w:b/>
          <w:bCs/>
          <w:kern w:val="0"/>
          <w:sz w:val="22"/>
        </w:rPr>
        <w:t xml:space="preserve">6.1 </w:t>
      </w:r>
      <w:r>
        <w:rPr>
          <w:rFonts w:hint="eastAsia" w:ascii="宋体" w:hAnsi="宋体" w:cs="Calibri"/>
          <w:b/>
          <w:bCs/>
          <w:kern w:val="0"/>
          <w:sz w:val="22"/>
        </w:rPr>
        <w:t>评标委员会</w:t>
      </w:r>
      <w:bookmarkEnd w:id="61"/>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6.1.2</w:t>
      </w:r>
      <w:r>
        <w:rPr>
          <w:rFonts w:hint="eastAsia" w:ascii="宋体" w:hAnsi="宋体" w:cs="Calibri"/>
          <w:color w:val="000000"/>
          <w:kern w:val="0"/>
          <w:sz w:val="22"/>
        </w:rPr>
        <w:t>评标委员会成员有下列情形之一的，应当回避：</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）招标人或投标人的主要负责人的近亲属；</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）项目主管部门或者行政监督部门的人员；</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）与投标人有经济利益关系，可能影响对投标公正评审的；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4</w:t>
      </w:r>
      <w:r>
        <w:rPr>
          <w:rFonts w:hint="eastAsia" w:ascii="宋体" w:hAnsi="宋体" w:cs="Calibri"/>
          <w:color w:val="000000"/>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62" w:name="_Toc3460"/>
      <w:r>
        <w:rPr>
          <w:rFonts w:ascii="宋体" w:hAnsi="宋体" w:cs="Calibri"/>
          <w:b/>
          <w:bCs/>
          <w:kern w:val="0"/>
          <w:sz w:val="22"/>
        </w:rPr>
        <w:t xml:space="preserve">6.2 </w:t>
      </w:r>
      <w:r>
        <w:rPr>
          <w:rFonts w:hint="eastAsia" w:ascii="宋体" w:hAnsi="宋体" w:cs="Calibri"/>
          <w:b/>
          <w:bCs/>
          <w:kern w:val="0"/>
          <w:sz w:val="22"/>
        </w:rPr>
        <w:t>评标原则</w:t>
      </w:r>
      <w:bookmarkEnd w:id="62"/>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63" w:name="_Toc28178"/>
      <w:r>
        <w:rPr>
          <w:rFonts w:ascii="宋体" w:hAnsi="宋体" w:cs="Calibri"/>
          <w:b/>
          <w:bCs/>
          <w:kern w:val="0"/>
          <w:sz w:val="22"/>
        </w:rPr>
        <w:t xml:space="preserve">6.3 </w:t>
      </w:r>
      <w:r>
        <w:rPr>
          <w:rFonts w:hint="eastAsia" w:ascii="宋体" w:hAnsi="宋体" w:cs="Calibri"/>
          <w:b/>
          <w:bCs/>
          <w:kern w:val="0"/>
          <w:sz w:val="22"/>
        </w:rPr>
        <w:t>评标</w:t>
      </w:r>
      <w:bookmarkEnd w:id="63"/>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64" w:name="_Toc24237"/>
      <w:r>
        <w:rPr>
          <w:rFonts w:ascii="宋体" w:hAnsi="宋体" w:cs="Calibri"/>
          <w:b/>
          <w:bCs/>
          <w:kern w:val="0"/>
          <w:sz w:val="22"/>
        </w:rPr>
        <w:t>7.</w:t>
      </w:r>
      <w:r>
        <w:rPr>
          <w:rFonts w:hint="eastAsia" w:ascii="宋体" w:hAnsi="宋体" w:cs="Calibri"/>
          <w:b/>
          <w:bCs/>
          <w:kern w:val="0"/>
          <w:sz w:val="22"/>
        </w:rPr>
        <w:t>合同授予</w:t>
      </w:r>
      <w:bookmarkEnd w:id="64"/>
    </w:p>
    <w:p>
      <w:pPr>
        <w:autoSpaceDE w:val="0"/>
        <w:autoSpaceDN w:val="0"/>
        <w:adjustRightInd w:val="0"/>
        <w:snapToGrid w:val="0"/>
        <w:spacing w:line="360" w:lineRule="exact"/>
        <w:rPr>
          <w:rFonts w:ascii="宋体" w:cs="Calibri"/>
          <w:b/>
          <w:bCs/>
          <w:kern w:val="0"/>
          <w:sz w:val="22"/>
        </w:rPr>
      </w:pPr>
      <w:bookmarkStart w:id="65" w:name="_Toc18809"/>
      <w:r>
        <w:rPr>
          <w:rFonts w:ascii="宋体" w:hAnsi="宋体" w:cs="Calibri"/>
          <w:b/>
          <w:bCs/>
          <w:kern w:val="0"/>
          <w:sz w:val="22"/>
        </w:rPr>
        <w:t xml:space="preserve">7.1 </w:t>
      </w:r>
      <w:r>
        <w:rPr>
          <w:rFonts w:hint="eastAsia" w:ascii="宋体" w:hAnsi="宋体" w:cs="Calibri"/>
          <w:b/>
          <w:bCs/>
          <w:kern w:val="0"/>
          <w:sz w:val="22"/>
        </w:rPr>
        <w:t>定标方式</w:t>
      </w:r>
      <w:bookmarkEnd w:id="65"/>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66" w:name="_Toc14573"/>
      <w:r>
        <w:rPr>
          <w:rFonts w:ascii="宋体" w:hAnsi="宋体" w:cs="Calibri"/>
          <w:b/>
          <w:bCs/>
          <w:kern w:val="0"/>
          <w:sz w:val="22"/>
        </w:rPr>
        <w:t xml:space="preserve">7.2 </w:t>
      </w:r>
      <w:r>
        <w:rPr>
          <w:rFonts w:hint="eastAsia" w:ascii="宋体" w:hAnsi="宋体" w:cs="Calibri"/>
          <w:b/>
          <w:bCs/>
          <w:kern w:val="0"/>
          <w:sz w:val="22"/>
        </w:rPr>
        <w:t>中标通知</w:t>
      </w:r>
      <w:bookmarkEnd w:id="66"/>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在投标人须知第</w:t>
      </w:r>
      <w:r>
        <w:rPr>
          <w:rFonts w:ascii="宋体" w:hAnsi="宋体" w:cs="Calibri"/>
          <w:color w:val="000000"/>
          <w:kern w:val="0"/>
          <w:sz w:val="22"/>
        </w:rPr>
        <w:t>3.4</w:t>
      </w:r>
      <w:r>
        <w:rPr>
          <w:rFonts w:hint="eastAsia" w:ascii="宋体" w:hAnsi="宋体" w:cs="Calibri"/>
          <w:color w:val="000000"/>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67" w:name="_Toc27132"/>
      <w:bookmarkStart w:id="68" w:name="_Toc27581"/>
      <w:r>
        <w:rPr>
          <w:rFonts w:ascii="宋体" w:hAnsi="宋体" w:cs="Calibri"/>
          <w:b/>
          <w:bCs/>
          <w:kern w:val="0"/>
          <w:sz w:val="22"/>
        </w:rPr>
        <w:t xml:space="preserve">7.3 </w:t>
      </w:r>
      <w:r>
        <w:rPr>
          <w:rFonts w:hint="eastAsia" w:ascii="宋体" w:hAnsi="宋体" w:cs="Calibri"/>
          <w:b/>
          <w:bCs/>
          <w:kern w:val="0"/>
          <w:sz w:val="22"/>
        </w:rPr>
        <w:t>履约保证金</w:t>
      </w:r>
      <w:bookmarkEnd w:id="67"/>
      <w:r>
        <w:rPr>
          <w:rFonts w:hint="eastAsia" w:ascii="宋体" w:hAnsi="宋体" w:cs="Calibri"/>
          <w:b/>
          <w:bCs/>
          <w:kern w:val="0"/>
          <w:sz w:val="22"/>
        </w:rPr>
        <w:t>（如有）</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7.3.1</w:t>
      </w:r>
      <w:r>
        <w:rPr>
          <w:rFonts w:hint="eastAsia" w:ascii="宋体" w:hAnsi="宋体" w:cs="Calibri"/>
          <w:kern w:val="0"/>
          <w:sz w:val="22"/>
        </w:rPr>
        <w:t>在签订合同前，如有履约保证金，中标人应按投标人须知前附表规定的金额和担保形式向招标人提交履约保证金。</w:t>
      </w:r>
    </w:p>
    <w:p>
      <w:pPr>
        <w:adjustRightInd w:val="0"/>
        <w:snapToGrid w:val="0"/>
        <w:spacing w:line="360" w:lineRule="exact"/>
        <w:ind w:firstLine="440" w:firstLineChars="20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7.4 </w:t>
      </w:r>
      <w:r>
        <w:rPr>
          <w:rFonts w:hint="eastAsia" w:ascii="宋体" w:hAnsi="宋体" w:cs="Calibri"/>
          <w:b/>
          <w:bCs/>
          <w:kern w:val="0"/>
          <w:sz w:val="22"/>
        </w:rPr>
        <w:t>签订合同</w:t>
      </w:r>
      <w:bookmarkEnd w:id="68"/>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sz w:val="22"/>
        </w:rPr>
        <w:t>7</w:t>
      </w:r>
      <w:bookmarkStart w:id="69" w:name="_Toc219809801"/>
      <w:bookmarkStart w:id="70" w:name="_Toc220123241"/>
      <w:bookmarkStart w:id="71" w:name="_Toc11806"/>
      <w:r>
        <w:rPr>
          <w:rFonts w:ascii="宋体" w:hAnsi="宋体" w:cs="Calibri"/>
          <w:color w:val="000000"/>
          <w:kern w:val="0"/>
          <w:sz w:val="22"/>
        </w:rPr>
        <w:t>.4.1</w:t>
      </w:r>
      <w:r>
        <w:rPr>
          <w:rFonts w:hint="eastAsia" w:ascii="宋体" w:hAnsi="宋体" w:cs="Calibri"/>
          <w:color w:val="000000"/>
          <w:kern w:val="0"/>
          <w:sz w:val="22"/>
        </w:rPr>
        <w:t>招标人和中标人应当自中标通知书发出之日起</w:t>
      </w:r>
      <w:r>
        <w:rPr>
          <w:rFonts w:ascii="宋体" w:hAnsi="宋体" w:cs="Calibri"/>
          <w:color w:val="000000"/>
          <w:kern w:val="0"/>
          <w:sz w:val="22"/>
        </w:rPr>
        <w:t>30</w:t>
      </w:r>
      <w:r>
        <w:rPr>
          <w:rFonts w:hint="eastAsia" w:ascii="宋体" w:hAnsi="宋体" w:cs="Calibri"/>
          <w:color w:val="000000"/>
          <w:kern w:val="0"/>
          <w:sz w:val="22"/>
        </w:rPr>
        <w:t>个工作日内订立书面合同（合同条款按第四章</w:t>
      </w:r>
      <w:r>
        <w:rPr>
          <w:rFonts w:hint="eastAsia" w:ascii="宋体" w:hAnsi="宋体" w:cs="Calibri"/>
          <w:kern w:val="0"/>
          <w:sz w:val="22"/>
        </w:rPr>
        <w:t>“合同条款”</w:t>
      </w:r>
      <w:r>
        <w:rPr>
          <w:rFonts w:hint="eastAsia"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7.4.2 </w:t>
      </w:r>
      <w:r>
        <w:rPr>
          <w:rFonts w:hint="eastAsia" w:ascii="宋体" w:hAnsi="宋体" w:cs="Calibri"/>
          <w:color w:val="000000"/>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firstLineChars="200"/>
        <w:rPr>
          <w:rFonts w:ascii="宋体" w:cs="Calibri"/>
          <w:color w:val="000000"/>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69"/>
      <w:bookmarkEnd w:id="70"/>
      <w:bookmarkEnd w:id="71"/>
    </w:p>
    <w:p>
      <w:pPr>
        <w:autoSpaceDE w:val="0"/>
        <w:autoSpaceDN w:val="0"/>
        <w:adjustRightInd w:val="0"/>
        <w:snapToGrid w:val="0"/>
        <w:spacing w:line="360" w:lineRule="exact"/>
        <w:rPr>
          <w:rFonts w:ascii="宋体" w:cs="Calibri"/>
          <w:b/>
          <w:bCs/>
          <w:kern w:val="0"/>
          <w:sz w:val="22"/>
        </w:rPr>
      </w:pPr>
      <w:bookmarkStart w:id="72" w:name="_Toc219809802"/>
      <w:bookmarkStart w:id="73" w:name="_Toc220123242"/>
      <w:bookmarkStart w:id="74" w:name="_Toc15553"/>
      <w:r>
        <w:rPr>
          <w:rFonts w:ascii="宋体" w:hAnsi="宋体" w:cs="Calibri"/>
          <w:b/>
          <w:bCs/>
          <w:kern w:val="0"/>
          <w:sz w:val="22"/>
        </w:rPr>
        <w:t xml:space="preserve">8.1 </w:t>
      </w:r>
      <w:r>
        <w:rPr>
          <w:rFonts w:hint="eastAsia" w:ascii="宋体" w:hAnsi="宋体" w:cs="Calibri"/>
          <w:b/>
          <w:bCs/>
          <w:kern w:val="0"/>
          <w:sz w:val="22"/>
        </w:rPr>
        <w:t>重新招标</w:t>
      </w:r>
      <w:bookmarkEnd w:id="72"/>
      <w:bookmarkEnd w:id="73"/>
      <w:bookmarkEnd w:id="7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有下列情形之一的，招标人将重新招标；</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1</w:t>
      </w:r>
      <w:r>
        <w:rPr>
          <w:rFonts w:hint="eastAsia" w:ascii="宋体" w:hAnsi="宋体" w:cs="Calibri"/>
          <w:color w:val="000000"/>
          <w:kern w:val="0"/>
          <w:sz w:val="22"/>
        </w:rPr>
        <w:t>）投标截止时间止，投标人少于</w:t>
      </w:r>
      <w:r>
        <w:rPr>
          <w:rFonts w:ascii="宋体" w:hAnsi="宋体" w:cs="Calibri"/>
          <w:color w:val="000000"/>
          <w:kern w:val="0"/>
          <w:sz w:val="22"/>
        </w:rPr>
        <w:t>3</w:t>
      </w:r>
      <w:r>
        <w:rPr>
          <w:rFonts w:hint="eastAsia" w:ascii="宋体" w:hAnsi="宋体" w:cs="Calibri"/>
          <w:color w:val="000000"/>
          <w:kern w:val="0"/>
          <w:sz w:val="22"/>
        </w:rPr>
        <w:t>个的；</w:t>
      </w:r>
    </w:p>
    <w:p>
      <w:pPr>
        <w:adjustRightInd w:val="0"/>
        <w:snapToGrid w:val="0"/>
        <w:spacing w:line="360" w:lineRule="exact"/>
        <w:ind w:firstLine="440" w:firstLineChars="200"/>
        <w:rPr>
          <w:rFonts w:ascii="宋体" w:cs="Calibri"/>
          <w:color w:val="000000"/>
          <w:kern w:val="0"/>
          <w:sz w:val="22"/>
        </w:rPr>
      </w:pPr>
      <w:r>
        <w:rPr>
          <w:rFonts w:hint="eastAsia" w:ascii="宋体" w:hAnsi="宋体" w:cs="Calibri"/>
          <w:color w:val="000000"/>
          <w:kern w:val="0"/>
          <w:sz w:val="22"/>
        </w:rPr>
        <w:t>（</w:t>
      </w:r>
      <w:r>
        <w:rPr>
          <w:rFonts w:ascii="宋体" w:hAnsi="宋体" w:cs="Calibri"/>
          <w:color w:val="000000"/>
          <w:kern w:val="0"/>
          <w:sz w:val="22"/>
        </w:rPr>
        <w:t>2</w:t>
      </w:r>
      <w:r>
        <w:rPr>
          <w:rFonts w:hint="eastAsia" w:ascii="宋体" w:hAnsi="宋体" w:cs="Calibri"/>
          <w:color w:val="000000"/>
          <w:kern w:val="0"/>
          <w:sz w:val="22"/>
        </w:rPr>
        <w:t>）</w:t>
      </w:r>
      <w:r>
        <w:rPr>
          <w:rFonts w:hint="eastAsia" w:ascii="宋体" w:hAnsi="宋体"/>
          <w:bCs/>
          <w:sz w:val="22"/>
        </w:rPr>
        <w:t>所有投标人的报价均偏高，招标人无法接受的；</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kern w:val="0"/>
          <w:sz w:val="22"/>
        </w:rPr>
        <w:t>（</w:t>
      </w:r>
      <w:r>
        <w:rPr>
          <w:rFonts w:ascii="宋体" w:hAnsi="宋体" w:cs="Calibri"/>
          <w:color w:val="000000"/>
          <w:kern w:val="0"/>
          <w:sz w:val="22"/>
        </w:rPr>
        <w:t>3</w:t>
      </w:r>
      <w:r>
        <w:rPr>
          <w:rFonts w:hint="eastAsia"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75" w:name="_Toc219809803"/>
      <w:bookmarkStart w:id="76" w:name="_Toc18806"/>
      <w:bookmarkStart w:id="77" w:name="_Toc220123243"/>
      <w:r>
        <w:rPr>
          <w:rFonts w:ascii="宋体" w:hAnsi="宋体" w:cs="Calibri"/>
          <w:b/>
          <w:bCs/>
          <w:kern w:val="0"/>
          <w:sz w:val="22"/>
        </w:rPr>
        <w:t xml:space="preserve">8.2 </w:t>
      </w:r>
      <w:r>
        <w:rPr>
          <w:rFonts w:hint="eastAsia" w:ascii="宋体" w:hAnsi="宋体" w:cs="Calibri"/>
          <w:b/>
          <w:bCs/>
          <w:kern w:val="0"/>
          <w:sz w:val="22"/>
        </w:rPr>
        <w:t>不再招标</w:t>
      </w:r>
      <w:bookmarkEnd w:id="75"/>
      <w:bookmarkEnd w:id="76"/>
      <w:bookmarkEnd w:id="7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重新招标后投标人仍少于</w:t>
      </w:r>
      <w:r>
        <w:rPr>
          <w:rFonts w:ascii="宋体" w:hAnsi="宋体" w:cs="Calibri"/>
          <w:color w:val="000000"/>
          <w:sz w:val="22"/>
        </w:rPr>
        <w:t>3</w:t>
      </w:r>
      <w:r>
        <w:rPr>
          <w:rFonts w:hint="eastAsia" w:ascii="宋体" w:hAnsi="宋体" w:cs="Calibri"/>
          <w:color w:val="000000"/>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78" w:name="_Toc2986"/>
      <w:bookmarkStart w:id="79" w:name="_Toc219809804"/>
      <w:bookmarkStart w:id="80" w:name="_Toc220123244"/>
      <w:bookmarkStart w:id="81" w:name="_Toc215941254"/>
      <w:r>
        <w:rPr>
          <w:rFonts w:ascii="宋体" w:hAnsi="宋体" w:cs="Calibri"/>
          <w:b/>
          <w:bCs/>
          <w:kern w:val="0"/>
          <w:sz w:val="22"/>
        </w:rPr>
        <w:t>9.</w:t>
      </w:r>
      <w:r>
        <w:rPr>
          <w:rFonts w:hint="eastAsia" w:ascii="宋体" w:hAnsi="宋体" w:cs="Calibri"/>
          <w:b/>
          <w:bCs/>
          <w:kern w:val="0"/>
          <w:sz w:val="22"/>
        </w:rPr>
        <w:t>纪律和监督</w:t>
      </w:r>
      <w:bookmarkEnd w:id="78"/>
      <w:bookmarkEnd w:id="79"/>
      <w:bookmarkEnd w:id="80"/>
      <w:bookmarkEnd w:id="81"/>
    </w:p>
    <w:p>
      <w:pPr>
        <w:autoSpaceDE w:val="0"/>
        <w:autoSpaceDN w:val="0"/>
        <w:adjustRightInd w:val="0"/>
        <w:snapToGrid w:val="0"/>
        <w:spacing w:line="360" w:lineRule="exact"/>
        <w:rPr>
          <w:rFonts w:ascii="宋体" w:cs="Calibri"/>
          <w:b/>
          <w:bCs/>
          <w:kern w:val="0"/>
          <w:sz w:val="22"/>
        </w:rPr>
      </w:pPr>
      <w:bookmarkStart w:id="82" w:name="_Toc220123245"/>
      <w:bookmarkStart w:id="83" w:name="_Toc5509"/>
      <w:bookmarkStart w:id="84"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82"/>
      <w:bookmarkEnd w:id="83"/>
      <w:bookmarkEnd w:id="84"/>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85" w:name="_Toc10820"/>
      <w:bookmarkStart w:id="86" w:name="_Toc220123246"/>
      <w:bookmarkStart w:id="87"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85"/>
      <w:bookmarkEnd w:id="86"/>
      <w:bookmarkEnd w:id="87"/>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cs="Calibri"/>
          <w:b/>
          <w:bCs/>
          <w:kern w:val="0"/>
          <w:sz w:val="22"/>
        </w:rPr>
      </w:pPr>
      <w:bookmarkStart w:id="88" w:name="_Toc10756"/>
      <w:bookmarkStart w:id="89" w:name="_Toc220123247"/>
      <w:bookmarkStart w:id="90" w:name="_Toc219809807"/>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88"/>
      <w:bookmarkEnd w:id="89"/>
      <w:bookmarkEnd w:id="90"/>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cs="Calibri"/>
          <w:b/>
          <w:bCs/>
          <w:kern w:val="0"/>
          <w:sz w:val="22"/>
        </w:rPr>
      </w:pPr>
      <w:bookmarkStart w:id="91" w:name="_Toc220123248"/>
      <w:bookmarkStart w:id="92" w:name="_Toc12792"/>
      <w:bookmarkStart w:id="93" w:name="_Toc219809808"/>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91"/>
      <w:bookmarkEnd w:id="92"/>
      <w:bookmarkEnd w:id="93"/>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94" w:name="_Toc239"/>
      <w:bookmarkStart w:id="95" w:name="_Toc220123249"/>
      <w:bookmarkStart w:id="96" w:name="_Toc219809809"/>
      <w:r>
        <w:rPr>
          <w:rFonts w:ascii="宋体" w:hAnsi="宋体" w:cs="Calibri"/>
          <w:b/>
          <w:bCs/>
          <w:kern w:val="0"/>
          <w:sz w:val="22"/>
        </w:rPr>
        <w:t xml:space="preserve">9.5 </w:t>
      </w:r>
      <w:r>
        <w:rPr>
          <w:rFonts w:hint="eastAsia" w:ascii="宋体" w:hAnsi="宋体" w:cs="Calibri"/>
          <w:b/>
          <w:bCs/>
          <w:kern w:val="0"/>
          <w:sz w:val="22"/>
        </w:rPr>
        <w:t>投诉</w:t>
      </w:r>
      <w:bookmarkEnd w:id="94"/>
      <w:bookmarkEnd w:id="95"/>
      <w:bookmarkEnd w:id="96"/>
    </w:p>
    <w:p>
      <w:pPr>
        <w:adjustRightInd w:val="0"/>
        <w:snapToGrid w:val="0"/>
        <w:spacing w:line="360" w:lineRule="exact"/>
        <w:ind w:firstLine="440" w:firstLineChars="200"/>
        <w:rPr>
          <w:rFonts w:ascii="宋体"/>
          <w:color w:val="000000"/>
          <w:sz w:val="22"/>
        </w:rPr>
      </w:pPr>
      <w:r>
        <w:rPr>
          <w:rFonts w:hint="eastAsia" w:ascii="宋体" w:hAnsi="宋体" w:cs="Calibri"/>
          <w:color w:val="000000"/>
          <w:sz w:val="22"/>
        </w:rPr>
        <w:t>投标人和</w:t>
      </w:r>
      <w:r>
        <w:rPr>
          <w:rFonts w:hint="eastAsia" w:ascii="宋体" w:hAnsi="宋体"/>
          <w:color w:val="000000"/>
          <w:sz w:val="22"/>
        </w:rPr>
        <w:t>其他利害关系人认为本次招标活动违反法律、法规和规章规定的，有权向有关行政监督部门投诉。</w:t>
      </w:r>
    </w:p>
    <w:p>
      <w:bookmarkStart w:id="97"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97"/>
    </w:p>
    <w:p>
      <w:pPr>
        <w:adjustRightInd w:val="0"/>
        <w:snapToGrid w:val="0"/>
        <w:spacing w:line="360" w:lineRule="exact"/>
        <w:ind w:firstLine="440" w:firstLineChars="200"/>
        <w:rPr>
          <w:rFonts w:ascii="宋体" w:hAnsi="宋体"/>
          <w:color w:val="000000"/>
          <w:sz w:val="22"/>
        </w:rPr>
      </w:pPr>
      <w:r>
        <w:rPr>
          <w:rFonts w:hint="eastAsia" w:ascii="宋体" w:hAnsi="宋体"/>
          <w:color w:val="000000"/>
          <w:sz w:val="22"/>
        </w:rPr>
        <w:t>需要补充的其他内容：见投标人须知前附表。</w:t>
      </w:r>
      <w:bookmarkStart w:id="98" w:name="_Toc223327527"/>
      <w:bookmarkStart w:id="99" w:name="_Toc213036227"/>
      <w:bookmarkStart w:id="100" w:name="_Toc448002985"/>
    </w:p>
    <w:p>
      <w:pPr>
        <w:rPr>
          <w:kern w:val="0"/>
        </w:rPr>
      </w:pPr>
      <w:r>
        <w:br w:type="page"/>
      </w:r>
    </w:p>
    <w:p>
      <w:pPr>
        <w:jc w:val="center"/>
        <w:rPr>
          <w:rFonts w:ascii="黑体" w:hAnsi="黑体" w:eastAsia="黑体"/>
          <w:kern w:val="0"/>
          <w:sz w:val="32"/>
          <w:szCs w:val="32"/>
        </w:rPr>
      </w:pPr>
      <w:r>
        <w:rPr>
          <w:rFonts w:hint="eastAsia" w:ascii="黑体" w:hAnsi="黑体" w:eastAsia="黑体"/>
          <w:kern w:val="0"/>
          <w:sz w:val="32"/>
          <w:szCs w:val="32"/>
        </w:rPr>
        <w:t xml:space="preserve">第三章  </w:t>
      </w:r>
      <w:bookmarkEnd w:id="98"/>
      <w:bookmarkEnd w:id="99"/>
      <w:r>
        <w:rPr>
          <w:rFonts w:hint="eastAsia" w:ascii="黑体" w:hAnsi="黑体" w:eastAsia="黑体"/>
          <w:kern w:val="0"/>
          <w:sz w:val="32"/>
          <w:szCs w:val="32"/>
        </w:rPr>
        <w:t>服务技术标准及要求</w:t>
      </w:r>
      <w:bookmarkEnd w:id="100"/>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一、项目概况</w:t>
      </w:r>
    </w:p>
    <w:p>
      <w:pPr>
        <w:adjustRightInd w:val="0"/>
        <w:snapToGrid w:val="0"/>
        <w:spacing w:line="360" w:lineRule="exact"/>
        <w:ind w:firstLine="440" w:firstLineChars="200"/>
        <w:rPr>
          <w:rFonts w:ascii="宋体" w:cs="Calibri"/>
          <w:color w:val="000000"/>
          <w:sz w:val="22"/>
        </w:rPr>
      </w:pPr>
      <w:r>
        <w:rPr>
          <w:rFonts w:hint="eastAsia" w:ascii="宋体" w:hAnsi="宋体" w:cs="Calibri"/>
          <w:color w:val="000000"/>
          <w:sz w:val="22"/>
        </w:rPr>
        <w:t>杭州萧山国际机场（以下简称招标人）</w:t>
      </w:r>
      <w:r>
        <w:rPr>
          <w:rFonts w:hint="eastAsia" w:ascii="宋体" w:hAnsi="宋体"/>
          <w:sz w:val="22"/>
        </w:rPr>
        <w:t>跑道摩擦系数车专用测试轮</w:t>
      </w:r>
      <w:r>
        <w:rPr>
          <w:rFonts w:hint="eastAsia" w:ascii="宋体" w:hAnsi="宋体" w:cs="Calibri"/>
          <w:color w:val="000000"/>
          <w:sz w:val="22"/>
        </w:rPr>
        <w:t>采购项目，实施公开招标，详情请见招标文件。</w:t>
      </w:r>
    </w:p>
    <w:p>
      <w:pPr>
        <w:adjustRightInd w:val="0"/>
        <w:snapToGrid w:val="0"/>
        <w:spacing w:line="360" w:lineRule="exact"/>
        <w:ind w:firstLine="442" w:firstLineChars="200"/>
        <w:rPr>
          <w:rFonts w:ascii="宋体" w:cs="Calibri"/>
          <w:b/>
          <w:color w:val="000000"/>
          <w:sz w:val="22"/>
        </w:rPr>
      </w:pPr>
      <w:r>
        <w:rPr>
          <w:rFonts w:hint="eastAsia" w:ascii="宋体" w:hAnsi="宋体" w:cs="Calibri"/>
          <w:b/>
          <w:color w:val="000000"/>
          <w:sz w:val="22"/>
        </w:rPr>
        <w:t>二、货物需求一览表</w:t>
      </w:r>
    </w:p>
    <w:p>
      <w:pPr>
        <w:adjustRightInd w:val="0"/>
        <w:snapToGrid w:val="0"/>
        <w:spacing w:line="360" w:lineRule="exact"/>
        <w:ind w:firstLine="440" w:firstLineChars="200"/>
        <w:rPr>
          <w:rFonts w:ascii="宋体" w:cs="Calibri"/>
          <w:sz w:val="22"/>
        </w:rPr>
      </w:pPr>
    </w:p>
    <w:tbl>
      <w:tblPr>
        <w:tblStyle w:val="56"/>
        <w:tblpPr w:leftFromText="180" w:rightFromText="180" w:vertAnchor="text" w:horzAnchor="margin" w:tblpXSpec="center" w:tblpY="-8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867"/>
        <w:gridCol w:w="1434"/>
        <w:gridCol w:w="1003"/>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26" w:type="dxa"/>
            <w:vAlign w:val="center"/>
          </w:tcPr>
          <w:p>
            <w:pPr>
              <w:jc w:val="center"/>
              <w:rPr>
                <w:rFonts w:ascii="宋体" w:hAnsi="宋体"/>
                <w:sz w:val="22"/>
              </w:rPr>
            </w:pPr>
            <w:r>
              <w:rPr>
                <w:rFonts w:hint="eastAsia" w:ascii="宋体" w:hAnsi="宋体"/>
                <w:bCs/>
                <w:kern w:val="0"/>
                <w:sz w:val="22"/>
              </w:rPr>
              <w:t>序号</w:t>
            </w:r>
          </w:p>
        </w:tc>
        <w:tc>
          <w:tcPr>
            <w:tcW w:w="2867" w:type="dxa"/>
            <w:vAlign w:val="center"/>
          </w:tcPr>
          <w:p>
            <w:pPr>
              <w:jc w:val="center"/>
              <w:rPr>
                <w:rFonts w:ascii="宋体" w:hAnsi="宋体"/>
                <w:sz w:val="22"/>
              </w:rPr>
            </w:pPr>
            <w:r>
              <w:rPr>
                <w:rFonts w:hint="eastAsia" w:ascii="宋体" w:hAnsi="宋体"/>
                <w:bCs/>
                <w:kern w:val="0"/>
                <w:sz w:val="22"/>
              </w:rPr>
              <w:t>项目名称</w:t>
            </w:r>
          </w:p>
        </w:tc>
        <w:tc>
          <w:tcPr>
            <w:tcW w:w="1434" w:type="dxa"/>
            <w:vAlign w:val="center"/>
          </w:tcPr>
          <w:p>
            <w:pPr>
              <w:jc w:val="center"/>
              <w:rPr>
                <w:rFonts w:ascii="宋体" w:hAnsi="宋体"/>
                <w:sz w:val="22"/>
              </w:rPr>
            </w:pPr>
            <w:r>
              <w:rPr>
                <w:rFonts w:hint="eastAsia" w:ascii="宋体" w:hAnsi="宋体"/>
                <w:bCs/>
                <w:kern w:val="0"/>
                <w:sz w:val="22"/>
              </w:rPr>
              <w:t>型号配置</w:t>
            </w:r>
          </w:p>
        </w:tc>
        <w:tc>
          <w:tcPr>
            <w:tcW w:w="1003" w:type="dxa"/>
            <w:vAlign w:val="center"/>
          </w:tcPr>
          <w:p>
            <w:pPr>
              <w:jc w:val="center"/>
              <w:rPr>
                <w:rFonts w:ascii="宋体" w:hAnsi="宋体"/>
                <w:sz w:val="22"/>
              </w:rPr>
            </w:pPr>
            <w:r>
              <w:rPr>
                <w:rFonts w:hint="eastAsia" w:ascii="宋体" w:hAnsi="宋体"/>
                <w:bCs/>
                <w:kern w:val="0"/>
                <w:sz w:val="22"/>
              </w:rPr>
              <w:t>数量</w:t>
            </w:r>
          </w:p>
        </w:tc>
        <w:tc>
          <w:tcPr>
            <w:tcW w:w="2006" w:type="dxa"/>
            <w:vAlign w:val="center"/>
          </w:tcPr>
          <w:p>
            <w:pPr>
              <w:jc w:val="center"/>
              <w:rPr>
                <w:rFonts w:ascii="宋体" w:hAnsi="宋体"/>
                <w:sz w:val="22"/>
              </w:rPr>
            </w:pPr>
            <w:r>
              <w:rPr>
                <w:rFonts w:hint="eastAsia" w:ascii="宋体" w:hAnsi="宋体"/>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26" w:type="dxa"/>
            <w:vAlign w:val="center"/>
          </w:tcPr>
          <w:p>
            <w:pPr>
              <w:jc w:val="center"/>
              <w:rPr>
                <w:rFonts w:ascii="宋体" w:hAnsi="宋体"/>
                <w:sz w:val="22"/>
              </w:rPr>
            </w:pPr>
            <w:r>
              <w:rPr>
                <w:rFonts w:ascii="宋体" w:hAnsi="宋体"/>
                <w:sz w:val="22"/>
              </w:rPr>
              <w:t>1</w:t>
            </w:r>
          </w:p>
        </w:tc>
        <w:tc>
          <w:tcPr>
            <w:tcW w:w="2867" w:type="dxa"/>
            <w:vAlign w:val="center"/>
          </w:tcPr>
          <w:p>
            <w:pPr>
              <w:jc w:val="center"/>
              <w:rPr>
                <w:rFonts w:ascii="宋体" w:hAnsi="宋体"/>
                <w:sz w:val="22"/>
              </w:rPr>
            </w:pPr>
            <w:r>
              <w:rPr>
                <w:rFonts w:hint="eastAsia" w:ascii="宋体" w:hAnsi="宋体"/>
                <w:sz w:val="22"/>
              </w:rPr>
              <w:t>摩擦系数测试轮外胎</w:t>
            </w:r>
          </w:p>
        </w:tc>
        <w:tc>
          <w:tcPr>
            <w:tcW w:w="1434" w:type="dxa"/>
            <w:vAlign w:val="center"/>
          </w:tcPr>
          <w:p>
            <w:pPr>
              <w:jc w:val="center"/>
              <w:rPr>
                <w:rFonts w:ascii="宋体" w:hAnsi="宋体"/>
                <w:sz w:val="22"/>
              </w:rPr>
            </w:pPr>
            <w:r>
              <w:rPr>
                <w:rFonts w:ascii="宋体" w:hAnsi="宋体"/>
                <w:sz w:val="22"/>
              </w:rPr>
              <w:t>4.0-8 6P.R</w:t>
            </w:r>
          </w:p>
        </w:tc>
        <w:tc>
          <w:tcPr>
            <w:tcW w:w="1003" w:type="dxa"/>
            <w:vAlign w:val="center"/>
          </w:tcPr>
          <w:p>
            <w:pPr>
              <w:ind w:firstLine="110" w:firstLineChars="50"/>
              <w:jc w:val="center"/>
              <w:rPr>
                <w:rFonts w:ascii="宋体" w:hAnsi="宋体"/>
                <w:sz w:val="22"/>
              </w:rPr>
            </w:pPr>
            <w:r>
              <w:rPr>
                <w:rFonts w:ascii="宋体" w:hAnsi="宋体"/>
                <w:sz w:val="22"/>
              </w:rPr>
              <w:t>8</w:t>
            </w:r>
          </w:p>
        </w:tc>
        <w:tc>
          <w:tcPr>
            <w:tcW w:w="2006" w:type="dxa"/>
            <w:vMerge w:val="restart"/>
            <w:vAlign w:val="center"/>
          </w:tcPr>
          <w:p>
            <w:pPr>
              <w:jc w:val="center"/>
              <w:rPr>
                <w:rFonts w:ascii="宋体" w:hAnsi="宋体"/>
                <w:sz w:val="22"/>
              </w:rPr>
            </w:pPr>
            <w:r>
              <w:rPr>
                <w:rFonts w:hint="eastAsia" w:ascii="宋体" w:hAnsi="宋体"/>
                <w:sz w:val="22"/>
              </w:rPr>
              <w:t>采用经评审的最低价法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26" w:type="dxa"/>
            <w:vAlign w:val="center"/>
          </w:tcPr>
          <w:p>
            <w:pPr>
              <w:jc w:val="center"/>
              <w:rPr>
                <w:rFonts w:ascii="宋体" w:hAnsi="宋体"/>
                <w:sz w:val="22"/>
              </w:rPr>
            </w:pPr>
            <w:r>
              <w:rPr>
                <w:rFonts w:ascii="宋体" w:hAnsi="宋体"/>
                <w:sz w:val="22"/>
              </w:rPr>
              <w:t>2</w:t>
            </w:r>
          </w:p>
        </w:tc>
        <w:tc>
          <w:tcPr>
            <w:tcW w:w="2867" w:type="dxa"/>
            <w:vAlign w:val="center"/>
          </w:tcPr>
          <w:p>
            <w:pPr>
              <w:jc w:val="center"/>
              <w:rPr>
                <w:rFonts w:ascii="宋体" w:hAnsi="宋体"/>
                <w:sz w:val="22"/>
              </w:rPr>
            </w:pPr>
            <w:r>
              <w:rPr>
                <w:rFonts w:hint="eastAsia" w:ascii="宋体" w:hAnsi="宋体"/>
                <w:sz w:val="22"/>
              </w:rPr>
              <w:t>摩擦系数测试轮内胎</w:t>
            </w:r>
          </w:p>
        </w:tc>
        <w:tc>
          <w:tcPr>
            <w:tcW w:w="1434" w:type="dxa"/>
            <w:vAlign w:val="center"/>
          </w:tcPr>
          <w:p>
            <w:pPr>
              <w:jc w:val="center"/>
              <w:rPr>
                <w:rFonts w:ascii="宋体" w:hAnsi="宋体"/>
                <w:sz w:val="22"/>
              </w:rPr>
            </w:pPr>
          </w:p>
        </w:tc>
        <w:tc>
          <w:tcPr>
            <w:tcW w:w="1003" w:type="dxa"/>
            <w:vAlign w:val="center"/>
          </w:tcPr>
          <w:p>
            <w:pPr>
              <w:ind w:firstLine="110" w:firstLineChars="50"/>
              <w:jc w:val="center"/>
              <w:rPr>
                <w:rFonts w:ascii="宋体" w:hAnsi="宋体"/>
                <w:sz w:val="22"/>
              </w:rPr>
            </w:pPr>
            <w:r>
              <w:rPr>
                <w:rFonts w:ascii="宋体" w:hAnsi="宋体"/>
                <w:sz w:val="22"/>
              </w:rPr>
              <w:t>5</w:t>
            </w:r>
          </w:p>
        </w:tc>
        <w:tc>
          <w:tcPr>
            <w:tcW w:w="2006" w:type="dxa"/>
            <w:vMerge w:val="continue"/>
            <w:vAlign w:val="center"/>
          </w:tcPr>
          <w:p>
            <w:pPr>
              <w:jc w:val="center"/>
              <w:rPr>
                <w:rFonts w:ascii="宋体" w:hAnsi="宋体"/>
                <w:sz w:val="22"/>
              </w:rPr>
            </w:pPr>
          </w:p>
        </w:tc>
      </w:tr>
    </w:tbl>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exact"/>
        <w:ind w:firstLine="440" w:firstLineChars="200"/>
        <w:rPr>
          <w:rFonts w:ascii="宋体" w:cs="Calibri"/>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cs="Calibri"/>
          <w:b/>
          <w:color w:val="000000"/>
          <w:sz w:val="22"/>
        </w:rPr>
      </w:pPr>
    </w:p>
    <w:p>
      <w:pPr>
        <w:adjustRightInd w:val="0"/>
        <w:snapToGrid w:val="0"/>
        <w:spacing w:line="360" w:lineRule="auto"/>
        <w:ind w:firstLine="442" w:firstLineChars="200"/>
        <w:rPr>
          <w:rFonts w:ascii="宋体" w:hAnsi="宋体"/>
          <w:sz w:val="22"/>
        </w:rPr>
      </w:pPr>
      <w:r>
        <w:rPr>
          <w:rFonts w:hint="eastAsia" w:ascii="宋体" w:hAnsi="宋体" w:cs="Calibri"/>
          <w:b/>
          <w:color w:val="000000"/>
          <w:sz w:val="22"/>
        </w:rPr>
        <w:t>三、技术标准及要求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、主要性能：</w:t>
      </w:r>
      <w:r>
        <w:rPr>
          <w:rFonts w:ascii="宋体" w:hAnsi="宋体" w:cs="Calibri"/>
          <w:color w:val="000000"/>
          <w:sz w:val="22"/>
        </w:rPr>
        <w:t xml:space="preserve"> </w:t>
      </w:r>
      <w:r>
        <w:rPr>
          <w:rFonts w:hint="eastAsia" w:ascii="宋体" w:hAnsi="宋体" w:cs="Calibri"/>
          <w:color w:val="000000"/>
          <w:sz w:val="22"/>
        </w:rPr>
        <w:t>满足</w:t>
      </w:r>
      <w:r>
        <w:rPr>
          <w:rFonts w:ascii="宋体" w:hAnsi="宋体" w:cs="Calibri"/>
          <w:color w:val="000000"/>
          <w:sz w:val="22"/>
        </w:rPr>
        <w:t>ASFT/SFT</w:t>
      </w:r>
      <w:r>
        <w:rPr>
          <w:rFonts w:hint="eastAsia" w:ascii="宋体" w:hAnsi="宋体" w:cs="Calibri"/>
          <w:color w:val="000000"/>
          <w:sz w:val="22"/>
        </w:rPr>
        <w:t>跑道摩擦系数测试车在雨雪等各类天气条件下的测试要求。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、技术指标参数：瑞典</w:t>
      </w:r>
      <w:r>
        <w:rPr>
          <w:rFonts w:ascii="宋体" w:hAnsi="宋体" w:cs="Calibri"/>
          <w:color w:val="000000"/>
          <w:sz w:val="22"/>
        </w:rPr>
        <w:t>TRELLEBORG</w:t>
      </w:r>
      <w:r>
        <w:rPr>
          <w:rFonts w:hint="eastAsia" w:ascii="宋体" w:hAnsi="宋体" w:cs="Calibri"/>
          <w:color w:val="000000"/>
          <w:sz w:val="22"/>
        </w:rPr>
        <w:t>牌跑道摩擦系数车专用测试轮，尺寸为</w:t>
      </w:r>
      <w:r>
        <w:rPr>
          <w:rFonts w:ascii="宋体" w:hAnsi="宋体" w:cs="Calibri"/>
          <w:color w:val="000000"/>
          <w:sz w:val="22"/>
        </w:rPr>
        <w:t>4.0-8 6P.R</w:t>
      </w:r>
      <w:r>
        <w:rPr>
          <w:rFonts w:hint="eastAsia" w:ascii="宋体" w:hAnsi="宋体" w:cs="Calibri"/>
          <w:color w:val="000000"/>
          <w:sz w:val="22"/>
        </w:rPr>
        <w:t>，胎面宽度</w:t>
      </w:r>
      <w:r>
        <w:rPr>
          <w:rFonts w:ascii="宋体" w:hAnsi="宋体" w:cs="Calibri"/>
          <w:color w:val="000000"/>
          <w:sz w:val="22"/>
        </w:rPr>
        <w:t>4</w:t>
      </w:r>
      <w:r>
        <w:rPr>
          <w:rFonts w:hint="eastAsia" w:ascii="宋体" w:hAnsi="宋体" w:cs="Calibri"/>
          <w:color w:val="000000"/>
          <w:sz w:val="22"/>
        </w:rPr>
        <w:t>英寸，钢圈直径</w:t>
      </w:r>
      <w:r>
        <w:rPr>
          <w:rFonts w:ascii="宋体" w:hAnsi="宋体" w:cs="Calibri"/>
          <w:color w:val="000000"/>
          <w:sz w:val="22"/>
        </w:rPr>
        <w:t>8</w:t>
      </w:r>
      <w:r>
        <w:rPr>
          <w:rFonts w:hint="eastAsia" w:ascii="宋体" w:hAnsi="宋体" w:cs="Calibri"/>
          <w:color w:val="000000"/>
          <w:sz w:val="22"/>
        </w:rPr>
        <w:t>英寸，充气压力</w:t>
      </w:r>
      <w:r>
        <w:rPr>
          <w:rFonts w:ascii="宋体" w:hAnsi="宋体" w:cs="Calibri"/>
          <w:color w:val="000000"/>
          <w:sz w:val="22"/>
        </w:rPr>
        <w:t>7</w:t>
      </w:r>
      <w:r>
        <w:rPr>
          <w:rFonts w:hint="eastAsia" w:ascii="宋体" w:hAnsi="宋体" w:cs="Calibri"/>
          <w:color w:val="000000"/>
          <w:sz w:val="22"/>
        </w:rPr>
        <w:t>公斤。</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、材质：天然橡胶。</w:t>
      </w:r>
    </w:p>
    <w:p>
      <w:pPr>
        <w:spacing w:line="360" w:lineRule="auto"/>
        <w:ind w:firstLine="433" w:firstLineChars="196"/>
        <w:rPr>
          <w:rFonts w:ascii="宋体"/>
          <w:b/>
          <w:sz w:val="24"/>
        </w:rPr>
      </w:pPr>
      <w:bookmarkStart w:id="101" w:name="_Toc141083018"/>
      <w:bookmarkStart w:id="102" w:name="_Toc141030424"/>
      <w:r>
        <w:rPr>
          <w:rFonts w:hint="eastAsia" w:ascii="宋体" w:hAnsi="宋体" w:cs="Calibri"/>
          <w:b/>
          <w:color w:val="000000"/>
          <w:sz w:val="22"/>
        </w:rPr>
        <w:t>四、</w:t>
      </w:r>
      <w:r>
        <w:rPr>
          <w:rFonts w:hint="eastAsia" w:ascii="宋体" w:hAnsi="宋体"/>
          <w:b/>
          <w:sz w:val="24"/>
        </w:rPr>
        <w:t>资料要求</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、产品说明书、质量检验证明书、随配附件一并附于货物内。</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、参与投标产品的外形图片或外形技术图纸。</w:t>
      </w:r>
    </w:p>
    <w:bookmarkEnd w:id="101"/>
    <w:bookmarkEnd w:id="102"/>
    <w:p>
      <w:pPr>
        <w:adjustRightInd w:val="0"/>
        <w:snapToGrid w:val="0"/>
        <w:spacing w:line="360" w:lineRule="auto"/>
        <w:ind w:firstLine="442" w:firstLineChars="200"/>
        <w:rPr>
          <w:rFonts w:ascii="宋体" w:hAnsi="宋体" w:cs="Calibri"/>
          <w:b/>
          <w:color w:val="000000"/>
          <w:sz w:val="22"/>
        </w:rPr>
      </w:pPr>
      <w:bookmarkStart w:id="103" w:name="_Toc122780471"/>
      <w:bookmarkStart w:id="104" w:name="_Toc104571229"/>
      <w:bookmarkStart w:id="105" w:name="_Toc89572619"/>
      <w:bookmarkStart w:id="106" w:name="_Toc141030414"/>
      <w:bookmarkStart w:id="107" w:name="_Toc141083008"/>
      <w:bookmarkStart w:id="108" w:name="_Toc106102209"/>
      <w:bookmarkStart w:id="109" w:name="_Toc106101433"/>
      <w:bookmarkStart w:id="110" w:name="_Toc104541547"/>
      <w:bookmarkStart w:id="111" w:name="_Toc123748294"/>
      <w:r>
        <w:rPr>
          <w:rFonts w:hint="eastAsia" w:ascii="宋体" w:hAnsi="宋体" w:cs="Calibri"/>
          <w:b/>
          <w:color w:val="000000"/>
          <w:sz w:val="22"/>
        </w:rPr>
        <w:t>五、运输、包装</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、投标人所提供设备的包装应适合运输和装卸，一切由于包装和运输过程中而引起的任何破损和毁坏均由投标人负责。</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w:t>
      </w:r>
      <w:r>
        <w:rPr>
          <w:rFonts w:hint="eastAsia" w:ascii="宋体" w:hAnsi="宋体" w:cs="Calibri"/>
          <w:color w:val="000000"/>
          <w:sz w:val="22"/>
        </w:rPr>
        <w:t>、备件和检测维修设备及工具应与设备分开包装。这些包装箱盒应适合储存，储存年限应在包装上予以说明。所有备件和检测维修设备及工具应有中文标示。</w:t>
      </w:r>
    </w:p>
    <w:bookmarkEnd w:id="103"/>
    <w:bookmarkEnd w:id="104"/>
    <w:bookmarkEnd w:id="105"/>
    <w:bookmarkEnd w:id="106"/>
    <w:bookmarkEnd w:id="107"/>
    <w:bookmarkEnd w:id="108"/>
    <w:bookmarkEnd w:id="109"/>
    <w:bookmarkEnd w:id="110"/>
    <w:bookmarkEnd w:id="111"/>
    <w:p>
      <w:pPr>
        <w:adjustRightInd w:val="0"/>
        <w:snapToGrid w:val="0"/>
        <w:spacing w:line="360" w:lineRule="auto"/>
        <w:ind w:firstLine="442" w:firstLineChars="200"/>
        <w:rPr>
          <w:rFonts w:ascii="宋体"/>
          <w:b/>
          <w:sz w:val="24"/>
        </w:rPr>
      </w:pPr>
      <w:bookmarkStart w:id="112" w:name="_Toc141030416"/>
      <w:bookmarkStart w:id="113" w:name="_Toc141083010"/>
      <w:r>
        <w:rPr>
          <w:rFonts w:hint="eastAsia" w:ascii="宋体" w:hAnsi="宋体" w:cs="Calibri"/>
          <w:b/>
          <w:color w:val="000000"/>
          <w:sz w:val="22"/>
        </w:rPr>
        <w:t>六、</w:t>
      </w:r>
      <w:r>
        <w:rPr>
          <w:rFonts w:hint="eastAsia" w:ascii="宋体" w:hAnsi="宋体"/>
          <w:b/>
          <w:sz w:val="24"/>
        </w:rPr>
        <w:t>验收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验收标准：现场验收。验收将现场进行测量，如不能满足规格要求的，招标人有权拒绝收货。</w:t>
      </w:r>
    </w:p>
    <w:bookmarkEnd w:id="112"/>
    <w:bookmarkEnd w:id="113"/>
    <w:p>
      <w:pPr>
        <w:adjustRightInd w:val="0"/>
        <w:snapToGrid w:val="0"/>
        <w:spacing w:line="360" w:lineRule="auto"/>
        <w:ind w:firstLine="442" w:firstLineChars="200"/>
        <w:rPr>
          <w:rFonts w:ascii="宋体" w:cs="Calibri"/>
          <w:b/>
          <w:color w:val="000000"/>
          <w:sz w:val="22"/>
        </w:rPr>
      </w:pPr>
      <w:r>
        <w:rPr>
          <w:rFonts w:hint="eastAsia" w:ascii="宋体" w:hAnsi="宋体" w:cs="Calibri"/>
          <w:b/>
          <w:color w:val="000000"/>
          <w:sz w:val="22"/>
        </w:rPr>
        <w:t>七、产品质量</w:t>
      </w:r>
    </w:p>
    <w:p>
      <w:pPr>
        <w:adjustRightInd w:val="0"/>
        <w:snapToGrid w:val="0"/>
        <w:spacing w:line="360" w:lineRule="auto"/>
        <w:ind w:firstLine="440" w:firstLineChars="200"/>
        <w:rPr>
          <w:rFonts w:ascii="宋体" w:cs="Calibri"/>
          <w:color w:val="000000"/>
          <w:sz w:val="22"/>
        </w:rPr>
      </w:pPr>
      <w:r>
        <w:rPr>
          <w:rFonts w:hint="eastAsia" w:ascii="宋体" w:hAnsi="宋体" w:cs="Calibri"/>
          <w:color w:val="000000"/>
          <w:sz w:val="22"/>
        </w:rPr>
        <w:t>1、项目所有产品均为</w:t>
      </w:r>
      <w:r>
        <w:rPr>
          <w:rFonts w:hint="eastAsia" w:ascii="宋体" w:hAnsi="宋体"/>
          <w:sz w:val="22"/>
        </w:rPr>
        <w:t>瑞典</w:t>
      </w:r>
      <w:r>
        <w:rPr>
          <w:rFonts w:ascii="宋体" w:hAnsi="宋体"/>
          <w:sz w:val="22"/>
        </w:rPr>
        <w:t>TRELLEBORG</w:t>
      </w:r>
      <w:r>
        <w:rPr>
          <w:rFonts w:hint="eastAsia" w:ascii="宋体" w:hAnsi="宋体" w:cs="Calibri"/>
          <w:color w:val="000000"/>
          <w:sz w:val="22"/>
        </w:rPr>
        <w:t>生产。</w:t>
      </w:r>
    </w:p>
    <w:p>
      <w:pPr>
        <w:adjustRightInd w:val="0"/>
        <w:snapToGrid w:val="0"/>
        <w:spacing w:line="360" w:lineRule="auto"/>
        <w:ind w:firstLine="440" w:firstLineChars="200"/>
        <w:rPr>
          <w:rFonts w:eastAsia="黑体" w:cs="Calibri"/>
          <w:b/>
          <w:bCs/>
          <w:kern w:val="0"/>
          <w:sz w:val="32"/>
          <w:szCs w:val="44"/>
        </w:rPr>
      </w:pPr>
      <w:r>
        <w:rPr>
          <w:rFonts w:hint="eastAsia" w:ascii="宋体" w:hAnsi="宋体" w:cs="Calibri"/>
          <w:vanish/>
          <w:color w:val="000000"/>
          <w:sz w:val="22"/>
        </w:rPr>
        <w:cr/>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vanish/>
          <w:color w:val="000000"/>
          <w:sz w:val="22"/>
        </w:rPr>
        <w:pgNum/>
      </w:r>
      <w:r>
        <w:rPr>
          <w:rFonts w:hint="eastAsia" w:ascii="宋体" w:hAnsi="宋体" w:cs="Calibri"/>
          <w:color w:val="000000"/>
          <w:sz w:val="22"/>
        </w:rPr>
        <w:t>2、质保期：产品最终验收合格后，乙方对所有产品提供</w:t>
      </w:r>
      <w:r>
        <w:rPr>
          <w:rFonts w:hint="eastAsia" w:ascii="宋体" w:hAnsi="宋体" w:cs="Calibri"/>
          <w:sz w:val="22"/>
        </w:rPr>
        <w:t>为期</w:t>
      </w:r>
      <w:r>
        <w:rPr>
          <w:rFonts w:hint="eastAsia" w:ascii="宋体" w:hAnsi="宋体"/>
          <w:sz w:val="22"/>
        </w:rPr>
        <w:t>【壹】年的</w:t>
      </w:r>
      <w:r>
        <w:rPr>
          <w:rFonts w:hint="eastAsia" w:ascii="宋体" w:hAnsi="宋体" w:cs="Calibri"/>
          <w:color w:val="000000"/>
          <w:sz w:val="22"/>
        </w:rPr>
        <w:t>免费质保期，质保期内，正常使用维护保养条件下出现的任何故障，乙方负责免费维修服务。</w:t>
      </w:r>
    </w:p>
    <w:p>
      <w:pPr>
        <w:widowControl/>
        <w:adjustRightInd w:val="0"/>
        <w:snapToGrid w:val="0"/>
        <w:spacing w:after="160" w:line="360" w:lineRule="exact"/>
        <w:ind w:firstLine="442" w:firstLineChars="200"/>
        <w:rPr>
          <w:rFonts w:ascii="微软雅黑" w:hAnsi="微软雅黑" w:eastAsia="微软雅黑" w:cs="宋体"/>
          <w:b/>
          <w:sz w:val="22"/>
        </w:rPr>
      </w:pPr>
      <w:r>
        <w:rPr>
          <w:rFonts w:hint="eastAsia" w:ascii="宋体" w:hAnsi="宋体"/>
          <w:b/>
          <w:sz w:val="22"/>
        </w:rPr>
        <w:t>八、</w:t>
      </w:r>
      <w:r>
        <w:rPr>
          <w:rFonts w:hint="eastAsia" w:ascii="微软雅黑" w:hAnsi="微软雅黑" w:eastAsia="微软雅黑" w:cs="宋体"/>
          <w:b/>
          <w:sz w:val="22"/>
        </w:rPr>
        <w:t>货款支付</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货到货物并经安装、验收合格，且收到乙方开具的税率为</w:t>
      </w:r>
      <w:r>
        <w:rPr>
          <w:rFonts w:ascii="宋体" w:hAnsi="宋体" w:cs="Calibri"/>
          <w:color w:val="000000"/>
          <w:sz w:val="22"/>
        </w:rPr>
        <w:t>13%</w:t>
      </w:r>
      <w:r>
        <w:rPr>
          <w:rFonts w:hint="eastAsia" w:ascii="宋体" w:hAnsi="宋体" w:cs="Calibri"/>
          <w:color w:val="000000"/>
          <w:sz w:val="22"/>
        </w:rPr>
        <w:t>的增值税专用发票后，甲方在</w:t>
      </w:r>
      <w:r>
        <w:rPr>
          <w:rFonts w:ascii="宋体" w:hAnsi="宋体" w:cs="Calibri"/>
          <w:color w:val="000000"/>
          <w:sz w:val="22"/>
        </w:rPr>
        <w:t>20</w:t>
      </w:r>
      <w:r>
        <w:rPr>
          <w:rFonts w:hint="eastAsia" w:ascii="宋体" w:hAnsi="宋体" w:cs="Calibri"/>
          <w:color w:val="000000"/>
          <w:sz w:val="22"/>
        </w:rPr>
        <w:t>个工作日内支付费用。</w:t>
      </w:r>
    </w:p>
    <w:p>
      <w:pPr>
        <w:adjustRightInd w:val="0"/>
        <w:snapToGrid w:val="0"/>
        <w:spacing w:line="360" w:lineRule="auto"/>
        <w:ind w:firstLine="331" w:firstLineChars="150"/>
        <w:rPr>
          <w:rFonts w:ascii="宋体"/>
          <w:b/>
          <w:sz w:val="22"/>
        </w:rPr>
      </w:pPr>
      <w:r>
        <w:rPr>
          <w:rFonts w:hint="eastAsia" w:ascii="宋体" w:hAnsi="宋体"/>
          <w:b/>
          <w:sz w:val="22"/>
        </w:rPr>
        <w:t>九、税费</w:t>
      </w:r>
    </w:p>
    <w:p>
      <w:pPr>
        <w:adjustRightInd w:val="0"/>
        <w:snapToGrid w:val="0"/>
        <w:spacing w:line="360" w:lineRule="auto"/>
        <w:ind w:firstLine="440" w:firstLineChars="200"/>
        <w:rPr>
          <w:rFonts w:ascii="宋体" w:hAnsi="宋体"/>
          <w:sz w:val="22"/>
        </w:rPr>
      </w:pPr>
      <w:r>
        <w:rPr>
          <w:rFonts w:hint="eastAsia" w:ascii="宋体" w:hAnsi="宋体"/>
          <w:sz w:val="22"/>
        </w:rPr>
        <w:t>本项目执行中相关的一切税费均由乙方负担。</w:t>
      </w:r>
    </w:p>
    <w:p>
      <w:pPr>
        <w:adjustRightInd w:val="0"/>
        <w:snapToGrid w:val="0"/>
        <w:spacing w:line="360" w:lineRule="auto"/>
        <w:ind w:firstLine="440" w:firstLineChars="200"/>
        <w:rPr>
          <w:rFonts w:ascii="宋体" w:hAnsi="宋体"/>
          <w:sz w:val="22"/>
        </w:rPr>
      </w:pPr>
    </w:p>
    <w:p>
      <w:pPr>
        <w:adjustRightInd w:val="0"/>
        <w:snapToGrid w:val="0"/>
        <w:spacing w:line="360" w:lineRule="auto"/>
        <w:ind w:firstLine="440" w:firstLineChars="200"/>
        <w:rPr>
          <w:rFonts w:ascii="宋体" w:hAnsi="宋体"/>
          <w:sz w:val="22"/>
        </w:rPr>
      </w:pPr>
    </w:p>
    <w:p>
      <w:pPr>
        <w:pStyle w:val="23"/>
        <w:spacing w:line="360" w:lineRule="exact"/>
        <w:ind w:firstLine="440"/>
        <w:jc w:val="center"/>
        <w:rPr>
          <w:rFonts w:ascii="黑体" w:hAnsi="黑体" w:eastAsia="黑体"/>
          <w:sz w:val="32"/>
          <w:szCs w:val="32"/>
        </w:rPr>
      </w:pPr>
      <w:bookmarkStart w:id="114" w:name="_Toc448002987"/>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评标方法及标准</w:t>
      </w:r>
      <w:bookmarkEnd w:id="114"/>
      <w:bookmarkStart w:id="115" w:name="_Toc29892"/>
    </w:p>
    <w:p>
      <w:pPr>
        <w:pStyle w:val="23"/>
        <w:spacing w:line="360" w:lineRule="exact"/>
        <w:ind w:firstLine="440"/>
        <w:jc w:val="left"/>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sz w:val="22"/>
          <w:szCs w:val="22"/>
        </w:rPr>
        <w:t xml:space="preserve"> </w:t>
      </w:r>
      <w:r>
        <w:rPr>
          <w:rFonts w:hint="eastAsia" w:hAnsi="宋体" w:cs="Calibri"/>
          <w:bCs/>
          <w:sz w:val="22"/>
          <w:szCs w:val="22"/>
        </w:rPr>
        <w:t>第</w:t>
      </w:r>
      <w:r>
        <w:rPr>
          <w:rFonts w:hAnsi="宋体" w:cs="Calibri"/>
          <w:bCs/>
          <w:sz w:val="22"/>
          <w:szCs w:val="22"/>
        </w:rPr>
        <w:t>12</w:t>
      </w:r>
      <w:r>
        <w:rPr>
          <w:rFonts w:hint="eastAsia" w:hAnsi="宋体" w:cs="Calibri"/>
          <w:bCs/>
          <w:sz w:val="22"/>
          <w:szCs w:val="22"/>
        </w:rPr>
        <w:t>号令）等有关规定，制定本办法。</w:t>
      </w:r>
    </w:p>
    <w:p>
      <w:pPr>
        <w:pStyle w:val="23"/>
        <w:spacing w:line="360" w:lineRule="exact"/>
        <w:rPr>
          <w:rFonts w:hAnsi="宋体" w:cs="Calibri"/>
          <w:b/>
          <w:bCs/>
          <w:sz w:val="22"/>
          <w:szCs w:val="22"/>
        </w:rPr>
      </w:pPr>
      <w:r>
        <w:rPr>
          <w:rFonts w:hint="eastAsia" w:hAnsi="宋体" w:cs="Calibri"/>
          <w:b/>
          <w:bCs/>
          <w:sz w:val="22"/>
          <w:szCs w:val="22"/>
        </w:rPr>
        <w:t>一、评标原则</w:t>
      </w:r>
    </w:p>
    <w:p>
      <w:pPr>
        <w:pStyle w:val="23"/>
        <w:spacing w:line="360" w:lineRule="exact"/>
        <w:ind w:firstLine="420"/>
        <w:rPr>
          <w:rFonts w:hAnsi="宋体" w:cs="Calibri"/>
          <w:sz w:val="22"/>
          <w:szCs w:val="22"/>
        </w:rPr>
      </w:pPr>
      <w:r>
        <w:rPr>
          <w:rFonts w:hint="eastAsia" w:hAnsi="宋体" w:cs="Calibri"/>
          <w:bCs/>
          <w:sz w:val="22"/>
          <w:szCs w:val="22"/>
        </w:rPr>
        <w:t>本次评标采用经评审的最低投标价法执行，评标应遵循公平、公正、科学、择优的原则。</w:t>
      </w:r>
    </w:p>
    <w:p>
      <w:pPr>
        <w:pStyle w:val="23"/>
        <w:spacing w:line="360" w:lineRule="exact"/>
        <w:rPr>
          <w:rFonts w:hAnsi="宋体" w:cs="Calibri"/>
          <w:b/>
          <w:bCs/>
          <w:sz w:val="22"/>
          <w:szCs w:val="22"/>
        </w:rPr>
      </w:pPr>
      <w:r>
        <w:rPr>
          <w:rFonts w:hint="eastAsia" w:hAnsi="宋体" w:cs="Calibri"/>
          <w:b/>
          <w:bCs/>
          <w:sz w:val="22"/>
          <w:szCs w:val="22"/>
        </w:rPr>
        <w:t>二、评标组织</w:t>
      </w:r>
    </w:p>
    <w:p>
      <w:pPr>
        <w:pStyle w:val="23"/>
        <w:spacing w:line="360" w:lineRule="exact"/>
        <w:rPr>
          <w:rFonts w:hAnsi="宋体"/>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23"/>
        <w:spacing w:line="360" w:lineRule="exact"/>
        <w:rPr>
          <w:rFonts w:hAnsi="宋体" w:cs="Calibri"/>
          <w:b/>
          <w:bCs/>
          <w:sz w:val="22"/>
          <w:szCs w:val="22"/>
        </w:rPr>
      </w:pPr>
      <w:r>
        <w:rPr>
          <w:rFonts w:hint="eastAsia" w:hAnsi="宋体" w:cs="Calibri"/>
          <w:b/>
          <w:bCs/>
          <w:sz w:val="22"/>
          <w:szCs w:val="22"/>
        </w:rPr>
        <w:t>三、投标文件的评审</w:t>
      </w:r>
    </w:p>
    <w:p>
      <w:pPr>
        <w:spacing w:line="360" w:lineRule="auto"/>
        <w:ind w:firstLine="550" w:firstLineChars="250"/>
        <w:rPr>
          <w:rFonts w:ascii="宋体" w:hAnsi="宋体" w:cs="Calibri"/>
          <w:kern w:val="0"/>
          <w:sz w:val="22"/>
        </w:rPr>
      </w:pPr>
      <w:r>
        <w:rPr>
          <w:rFonts w:ascii="宋体" w:hAnsi="宋体" w:cs="Calibri"/>
          <w:kern w:val="0"/>
          <w:sz w:val="22"/>
        </w:rPr>
        <w:t>3.1评标的一般程序为</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1）熟悉招标文件和评标办法；</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2）投标文件的符合性审查；</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3）投标文件的技术、资信评审；</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4）投标文件的商务评审；</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5）必要时对投标文件中的问题进行询标；</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6）根据评标办法对投标文件进行评分；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7）完成评标报告，推荐中标候选人。</w:t>
      </w:r>
    </w:p>
    <w:p>
      <w:pPr>
        <w:spacing w:line="360" w:lineRule="auto"/>
        <w:ind w:firstLine="550" w:firstLineChars="250"/>
        <w:rPr>
          <w:rFonts w:ascii="宋体" w:hAnsi="宋体" w:cs="Calibri"/>
          <w:kern w:val="0"/>
          <w:sz w:val="22"/>
        </w:rPr>
      </w:pPr>
      <w:r>
        <w:rPr>
          <w:rFonts w:ascii="宋体" w:hAnsi="宋体" w:cs="Calibri"/>
          <w:kern w:val="0"/>
          <w:sz w:val="22"/>
        </w:rPr>
        <w:t>3.2投标文件的符合性审查</w:t>
      </w:r>
    </w:p>
    <w:p>
      <w:pPr>
        <w:spacing w:line="360" w:lineRule="auto"/>
        <w:ind w:firstLine="550" w:firstLineChars="250"/>
        <w:rPr>
          <w:rFonts w:ascii="宋体" w:hAnsi="宋体" w:cs="Calibri"/>
          <w:kern w:val="0"/>
          <w:sz w:val="22"/>
        </w:rPr>
      </w:pPr>
      <w:r>
        <w:rPr>
          <w:rFonts w:hint="eastAsia" w:ascii="宋体" w:hAnsi="宋体" w:cs="Calibri"/>
          <w:kern w:val="0"/>
          <w:sz w:val="22"/>
        </w:rPr>
        <w:t>评标委员会应依照招标文件的要求和规定，首先对投标人的投标资格和投标文件进行符合性审查。符合性审查应包括三个方面内容：投标人资格审查、投标文件实质性格式要求响应性审查、投标文件实质性内容要求响应性审查。</w:t>
      </w:r>
    </w:p>
    <w:p>
      <w:pPr>
        <w:spacing w:line="360" w:lineRule="auto"/>
        <w:ind w:firstLine="550" w:firstLineChars="250"/>
        <w:rPr>
          <w:rFonts w:ascii="宋体" w:hAnsi="宋体" w:cs="Calibri"/>
          <w:kern w:val="0"/>
          <w:sz w:val="22"/>
        </w:rPr>
      </w:pPr>
      <w:r>
        <w:rPr>
          <w:rFonts w:hint="eastAsia" w:ascii="宋体" w:hAnsi="宋体" w:cs="Calibri"/>
          <w:kern w:val="0"/>
          <w:sz w:val="22"/>
        </w:rPr>
        <w:t>投标人不得通过补充、修改或撤消投标文件中的内容使其成为实质性响应的投标。投标人在投标截止以后不得提交任何资料作为评标依据。</w:t>
      </w:r>
    </w:p>
    <w:p>
      <w:pPr>
        <w:spacing w:line="360" w:lineRule="auto"/>
        <w:ind w:firstLine="550" w:firstLineChars="250"/>
        <w:rPr>
          <w:rFonts w:ascii="宋体" w:hAnsi="宋体" w:cs="Calibri"/>
          <w:kern w:val="0"/>
          <w:sz w:val="22"/>
        </w:rPr>
      </w:pPr>
      <w:r>
        <w:rPr>
          <w:rFonts w:hint="eastAsia" w:ascii="宋体" w:hAnsi="宋体" w:cs="Calibri"/>
          <w:kern w:val="0"/>
          <w:sz w:val="22"/>
        </w:rPr>
        <w:t>投标文件如存在以下情况之一的，经评标委员会审核认定，作为符合性审查未通过予以废除，不再进行商务标和技术标的评审：</w:t>
      </w:r>
    </w:p>
    <w:p>
      <w:pPr>
        <w:spacing w:line="360" w:lineRule="auto"/>
        <w:ind w:firstLine="550" w:firstLineChars="250"/>
        <w:rPr>
          <w:rFonts w:ascii="宋体" w:hAnsi="宋体" w:cs="Calibri"/>
          <w:kern w:val="0"/>
          <w:sz w:val="22"/>
        </w:rPr>
      </w:pPr>
      <w:r>
        <w:rPr>
          <w:rFonts w:ascii="宋体" w:hAnsi="宋体" w:cs="Calibri"/>
          <w:kern w:val="0"/>
          <w:sz w:val="22"/>
        </w:rPr>
        <w:t>1.</w:t>
      </w:r>
      <w:r>
        <w:rPr>
          <w:rFonts w:ascii="宋体" w:hAnsi="宋体" w:cs="Calibri"/>
          <w:kern w:val="0"/>
          <w:sz w:val="22"/>
        </w:rPr>
        <w:tab/>
      </w:r>
      <w:r>
        <w:rPr>
          <w:rFonts w:ascii="宋体" w:hAnsi="宋体" w:cs="Calibri"/>
          <w:kern w:val="0"/>
          <w:sz w:val="22"/>
        </w:rPr>
        <w:t>投标人的投标资格条件不满足招标公告载明的强制性要求的；</w:t>
      </w:r>
    </w:p>
    <w:p>
      <w:pPr>
        <w:spacing w:line="360" w:lineRule="auto"/>
        <w:ind w:firstLine="550" w:firstLineChars="250"/>
        <w:rPr>
          <w:rFonts w:ascii="宋体" w:hAnsi="宋体" w:cs="Calibri"/>
          <w:kern w:val="0"/>
          <w:sz w:val="22"/>
        </w:rPr>
      </w:pPr>
      <w:r>
        <w:rPr>
          <w:rFonts w:ascii="宋体" w:hAnsi="宋体" w:cs="Calibri"/>
          <w:kern w:val="0"/>
          <w:sz w:val="22"/>
        </w:rPr>
        <w:t>2.</w:t>
      </w:r>
      <w:r>
        <w:rPr>
          <w:rFonts w:ascii="宋体" w:hAnsi="宋体" w:cs="Calibri"/>
          <w:kern w:val="0"/>
          <w:sz w:val="22"/>
        </w:rPr>
        <w:tab/>
      </w:r>
      <w:r>
        <w:rPr>
          <w:rFonts w:ascii="宋体" w:hAnsi="宋体" w:cs="Calibri"/>
          <w:kern w:val="0"/>
          <w:sz w:val="22"/>
        </w:rPr>
        <w:t>未按招标文件的要求签署和盖章的（仅限于单位印章和法定代表人或其委托代理人签字或盖章）；</w:t>
      </w:r>
    </w:p>
    <w:p>
      <w:pPr>
        <w:spacing w:line="360" w:lineRule="auto"/>
        <w:ind w:firstLine="550" w:firstLineChars="250"/>
        <w:rPr>
          <w:rFonts w:ascii="宋体" w:hAnsi="宋体" w:cs="Calibri"/>
          <w:kern w:val="0"/>
          <w:sz w:val="22"/>
        </w:rPr>
      </w:pPr>
      <w:r>
        <w:rPr>
          <w:rFonts w:ascii="宋体" w:hAnsi="宋体" w:cs="Calibri"/>
          <w:kern w:val="0"/>
          <w:sz w:val="22"/>
        </w:rPr>
        <w:t>3.</w:t>
      </w:r>
      <w:r>
        <w:rPr>
          <w:rFonts w:ascii="宋体" w:hAnsi="宋体" w:cs="Calibri"/>
          <w:kern w:val="0"/>
          <w:sz w:val="22"/>
        </w:rPr>
        <w:tab/>
      </w:r>
      <w:r>
        <w:rPr>
          <w:rFonts w:ascii="宋体" w:hAnsi="宋体" w:cs="Calibri"/>
          <w:kern w:val="0"/>
          <w:sz w:val="22"/>
        </w:rPr>
        <w:t>投标人提交两份或多份内容不同的投标文件，或在一份投标文件中对同一招标货物报有两个或多个报价，且未声明哪一个为最终报价的；</w:t>
      </w:r>
    </w:p>
    <w:p>
      <w:pPr>
        <w:spacing w:line="360" w:lineRule="auto"/>
        <w:ind w:firstLine="550" w:firstLineChars="250"/>
        <w:rPr>
          <w:rFonts w:ascii="宋体" w:hAnsi="宋体" w:cs="Calibri"/>
          <w:kern w:val="0"/>
          <w:sz w:val="22"/>
        </w:rPr>
      </w:pPr>
      <w:r>
        <w:rPr>
          <w:rFonts w:ascii="宋体" w:hAnsi="宋体" w:cs="Calibri"/>
          <w:kern w:val="0"/>
          <w:sz w:val="22"/>
        </w:rPr>
        <w:t>4.</w:t>
      </w:r>
      <w:r>
        <w:rPr>
          <w:rFonts w:ascii="宋体" w:hAnsi="宋体" w:cs="Calibri"/>
          <w:kern w:val="0"/>
          <w:sz w:val="22"/>
        </w:rPr>
        <w:tab/>
      </w:r>
      <w:r>
        <w:rPr>
          <w:rFonts w:ascii="宋体" w:hAnsi="宋体" w:cs="Calibri"/>
          <w:kern w:val="0"/>
          <w:sz w:val="22"/>
        </w:rPr>
        <w:t>不响应服务期的；</w:t>
      </w:r>
    </w:p>
    <w:p>
      <w:pPr>
        <w:spacing w:line="360" w:lineRule="auto"/>
        <w:ind w:firstLine="550" w:firstLineChars="250"/>
        <w:rPr>
          <w:rFonts w:ascii="宋体" w:hAnsi="宋体" w:cs="Calibri"/>
          <w:kern w:val="0"/>
          <w:sz w:val="22"/>
        </w:rPr>
      </w:pPr>
      <w:r>
        <w:rPr>
          <w:rFonts w:ascii="宋体" w:hAnsi="宋体" w:cs="Calibri"/>
          <w:kern w:val="0"/>
          <w:sz w:val="22"/>
        </w:rPr>
        <w:t>5.</w:t>
      </w:r>
      <w:r>
        <w:rPr>
          <w:rFonts w:ascii="宋体" w:hAnsi="宋体" w:cs="Calibri"/>
          <w:kern w:val="0"/>
          <w:sz w:val="22"/>
        </w:rPr>
        <w:tab/>
      </w:r>
      <w:r>
        <w:rPr>
          <w:rFonts w:ascii="宋体" w:hAnsi="宋体" w:cs="Calibri"/>
          <w:kern w:val="0"/>
          <w:sz w:val="22"/>
        </w:rPr>
        <w:t>投标人不以自己的名义或未按招标文件要求提供投标保证金或提供的投标保证金有缺陷而不能接受的；</w:t>
      </w:r>
    </w:p>
    <w:p>
      <w:pPr>
        <w:spacing w:line="360" w:lineRule="auto"/>
        <w:ind w:firstLine="550" w:firstLineChars="250"/>
        <w:rPr>
          <w:rFonts w:ascii="宋体" w:hAnsi="宋体" w:cs="Calibri"/>
          <w:kern w:val="0"/>
          <w:sz w:val="22"/>
        </w:rPr>
      </w:pPr>
      <w:r>
        <w:rPr>
          <w:rFonts w:ascii="宋体" w:hAnsi="宋体" w:cs="Calibri"/>
          <w:kern w:val="0"/>
          <w:sz w:val="22"/>
        </w:rPr>
        <w:t>6.</w:t>
      </w:r>
      <w:r>
        <w:rPr>
          <w:rFonts w:ascii="宋体" w:hAnsi="宋体" w:cs="Calibri"/>
          <w:kern w:val="0"/>
          <w:sz w:val="22"/>
        </w:rPr>
        <w:tab/>
      </w:r>
      <w:r>
        <w:rPr>
          <w:rFonts w:ascii="宋体" w:hAnsi="宋体" w:cs="Calibri"/>
          <w:kern w:val="0"/>
          <w:sz w:val="22"/>
        </w:rPr>
        <w:t>投标人名称或组织机构与购买招标文件时不一致且未提供有效证明的；</w:t>
      </w:r>
    </w:p>
    <w:p>
      <w:pPr>
        <w:spacing w:line="360" w:lineRule="auto"/>
        <w:ind w:firstLine="550" w:firstLineChars="250"/>
        <w:rPr>
          <w:rFonts w:ascii="宋体" w:hAnsi="宋体" w:cs="Calibri"/>
          <w:kern w:val="0"/>
          <w:sz w:val="22"/>
        </w:rPr>
      </w:pPr>
      <w:r>
        <w:rPr>
          <w:rFonts w:ascii="宋体" w:hAnsi="宋体" w:cs="Calibri"/>
          <w:kern w:val="0"/>
          <w:sz w:val="22"/>
        </w:rPr>
        <w:t>7.</w:t>
      </w:r>
      <w:r>
        <w:rPr>
          <w:rFonts w:ascii="宋体" w:hAnsi="宋体" w:cs="Calibri"/>
          <w:kern w:val="0"/>
          <w:sz w:val="22"/>
        </w:rPr>
        <w:tab/>
      </w:r>
      <w:r>
        <w:rPr>
          <w:rFonts w:ascii="宋体" w:hAnsi="宋体" w:cs="Calibri"/>
          <w:kern w:val="0"/>
          <w:sz w:val="22"/>
        </w:rPr>
        <w:t>投标有效期不满足招标文件要求的；</w:t>
      </w:r>
    </w:p>
    <w:p>
      <w:pPr>
        <w:spacing w:line="360" w:lineRule="auto"/>
        <w:ind w:firstLine="550" w:firstLineChars="250"/>
        <w:rPr>
          <w:rFonts w:ascii="宋体" w:hAnsi="宋体" w:cs="Calibri"/>
          <w:kern w:val="0"/>
          <w:sz w:val="22"/>
        </w:rPr>
      </w:pPr>
      <w:r>
        <w:rPr>
          <w:rFonts w:ascii="宋体" w:hAnsi="宋体" w:cs="Calibri"/>
          <w:kern w:val="0"/>
          <w:sz w:val="22"/>
        </w:rPr>
        <w:t>8.</w:t>
      </w:r>
      <w:r>
        <w:rPr>
          <w:rFonts w:ascii="宋体" w:hAnsi="宋体" w:cs="Calibri"/>
          <w:kern w:val="0"/>
          <w:sz w:val="22"/>
        </w:rPr>
        <w:tab/>
      </w:r>
      <w:r>
        <w:rPr>
          <w:rFonts w:ascii="宋体" w:hAnsi="宋体" w:cs="Calibri"/>
          <w:kern w:val="0"/>
          <w:sz w:val="22"/>
        </w:rPr>
        <w:t>与招标文件中打“★”号的内容要求有偏离的；</w:t>
      </w:r>
    </w:p>
    <w:p>
      <w:pPr>
        <w:spacing w:line="360" w:lineRule="auto"/>
        <w:ind w:firstLine="550" w:firstLineChars="250"/>
        <w:rPr>
          <w:rFonts w:ascii="宋体" w:hAnsi="宋体" w:cs="Calibri"/>
          <w:kern w:val="0"/>
          <w:sz w:val="22"/>
        </w:rPr>
      </w:pPr>
      <w:r>
        <w:rPr>
          <w:rFonts w:ascii="宋体" w:hAnsi="宋体" w:cs="Calibri"/>
          <w:kern w:val="0"/>
          <w:sz w:val="22"/>
        </w:rPr>
        <w:t>9.</w:t>
      </w:r>
      <w:r>
        <w:rPr>
          <w:rFonts w:ascii="宋体" w:hAnsi="宋体" w:cs="Calibri"/>
          <w:kern w:val="0"/>
          <w:sz w:val="22"/>
        </w:rPr>
        <w:tab/>
      </w:r>
      <w:r>
        <w:rPr>
          <w:rFonts w:ascii="宋体" w:hAnsi="宋体" w:cs="Calibri"/>
          <w:kern w:val="0"/>
          <w:sz w:val="22"/>
        </w:rPr>
        <w:t>有欺诈行为进行投标的；</w:t>
      </w:r>
    </w:p>
    <w:p>
      <w:pPr>
        <w:spacing w:line="360" w:lineRule="auto"/>
        <w:ind w:firstLine="550" w:firstLineChars="250"/>
        <w:rPr>
          <w:rFonts w:ascii="宋体" w:hAnsi="宋体" w:cs="Calibri"/>
          <w:kern w:val="0"/>
          <w:sz w:val="22"/>
        </w:rPr>
      </w:pPr>
      <w:r>
        <w:rPr>
          <w:rFonts w:ascii="宋体" w:hAnsi="宋体" w:cs="Calibri"/>
          <w:kern w:val="0"/>
          <w:sz w:val="22"/>
        </w:rPr>
        <w:t>10.投标文件附有招标人不能接受的条件；</w:t>
      </w:r>
    </w:p>
    <w:p>
      <w:pPr>
        <w:spacing w:line="360" w:lineRule="auto"/>
        <w:ind w:firstLine="550" w:firstLineChars="250"/>
        <w:rPr>
          <w:rFonts w:ascii="宋体" w:hAnsi="宋体" w:cs="Calibri"/>
          <w:kern w:val="0"/>
          <w:sz w:val="22"/>
        </w:rPr>
      </w:pPr>
      <w:r>
        <w:rPr>
          <w:rFonts w:ascii="宋体" w:hAnsi="宋体" w:cs="Calibri"/>
          <w:kern w:val="0"/>
          <w:sz w:val="22"/>
        </w:rPr>
        <w:t>11.招标文件中或法律、法规、规章规定的其它无效投标情况的。</w:t>
      </w:r>
    </w:p>
    <w:p>
      <w:pPr>
        <w:spacing w:line="360" w:lineRule="auto"/>
        <w:ind w:firstLine="550" w:firstLineChars="250"/>
        <w:rPr>
          <w:rFonts w:ascii="宋体" w:hAnsi="宋体" w:cs="Calibri"/>
          <w:kern w:val="0"/>
          <w:sz w:val="22"/>
        </w:rPr>
      </w:pPr>
      <w:r>
        <w:rPr>
          <w:rFonts w:ascii="宋体" w:hAnsi="宋体" w:cs="Calibri"/>
          <w:kern w:val="0"/>
          <w:sz w:val="22"/>
        </w:rPr>
        <w:t>3.4评标委员会对通过符合性检查且技术标评审合格的投标文件进行商务评审。评标委员会应对商务报价的范围、数量、费用组成和总价等进行全面审阅和对比分析，找出报价差异的原因及存在的问题。报价评审应以报价口径范围一致的评标价为依据。评标价应在最终报价的基础上，按照下列约定的因素和方法进行计算（投标人如拒绝下述修正的，则属重大偏差，按废标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1）如果数字表示的金额和用文字表示的金额不一致时，应以文字表示的金额为准；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2）当单价与数量的乘积与合价不一致时，以合价为准，并调整单价（按比例）；</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3）当合价与投标总价不一致时，以投标总价为准，调整相关合价（按比例）；</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4）当有缺项、漏项(含报价为零的项)时，经投标人澄清视为该内容已纳入投标价，如投标人拒绝纳入投标价，则该投标视为未实质性响应而作废标处理；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5）按上述修正错误的原则及方法调整投标文件的评标价，调整后的评标价将作为评标依据；</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6）评标期间，评标委员会不接受任何投标人主动提出的对投标报价及单价、合价的调整；</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7）投标报价的口径应与招标文件要求一致。由于招标人原因造成投标人的报价口径不一致者，应在评标价中统一；</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8）评标时调整的评标价仅作为评标依据，如中标仍以其投标价作为中标合同价。</w:t>
      </w:r>
    </w:p>
    <w:p>
      <w:pPr>
        <w:spacing w:line="360" w:lineRule="auto"/>
        <w:ind w:firstLine="550" w:firstLineChars="250"/>
        <w:rPr>
          <w:rFonts w:ascii="宋体" w:hAnsi="宋体" w:cs="Calibri"/>
          <w:kern w:val="0"/>
          <w:sz w:val="22"/>
        </w:rPr>
      </w:pPr>
      <w:r>
        <w:rPr>
          <w:rFonts w:hint="eastAsia" w:ascii="宋体" w:hAnsi="宋体" w:cs="Calibri"/>
          <w:kern w:val="0"/>
          <w:sz w:val="22"/>
        </w:rPr>
        <w:t>凡属招标文件的原因造成报价口径范围不一致的，应调整投标人报价，但因投标人自身失误造成多算、少算、漏算的，不得调整。</w:t>
      </w:r>
    </w:p>
    <w:p>
      <w:pPr>
        <w:spacing w:line="360" w:lineRule="auto"/>
        <w:ind w:firstLine="550" w:firstLineChars="250"/>
        <w:rPr>
          <w:rFonts w:ascii="宋体" w:hAnsi="宋体" w:cs="Calibri"/>
          <w:kern w:val="0"/>
          <w:sz w:val="22"/>
        </w:rPr>
      </w:pPr>
      <w:r>
        <w:rPr>
          <w:rFonts w:hint="eastAsia" w:ascii="宋体" w:hAnsi="宋体" w:cs="Calibri"/>
          <w:kern w:val="0"/>
          <w:sz w:val="22"/>
        </w:rPr>
        <w:t>如商务报价中有以下情况之一的，按商务标评审不合格处理：</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1）投标人未按招标文件实质性规定要求进行报价，拒绝修正不平衡报价，拒绝提供报价分析说明和证明材料的；</w:t>
      </w:r>
    </w:p>
    <w:p>
      <w:pPr>
        <w:spacing w:line="360" w:lineRule="auto"/>
        <w:ind w:firstLine="550" w:firstLineChars="250"/>
        <w:rPr>
          <w:rFonts w:ascii="宋体" w:hAnsi="宋体" w:cs="Calibri"/>
          <w:kern w:val="0"/>
          <w:sz w:val="22"/>
        </w:rPr>
      </w:pPr>
      <w:r>
        <w:rPr>
          <w:rFonts w:hint="eastAsia" w:ascii="宋体" w:hAnsi="宋体" w:cs="Calibri"/>
          <w:kern w:val="0"/>
          <w:sz w:val="22"/>
        </w:rPr>
        <w:t>（</w:t>
      </w:r>
      <w:r>
        <w:rPr>
          <w:rFonts w:ascii="宋体" w:hAnsi="宋体" w:cs="Calibri"/>
          <w:kern w:val="0"/>
          <w:sz w:val="22"/>
        </w:rPr>
        <w:t>2）评标委员会认定属投标人自身原因有重大漏项的（漏项内容应参照全部投标人中对应内容最高报价计算，其金额合价达到其自身投标总价≥5%时，可判定为重大偏离）。</w:t>
      </w:r>
    </w:p>
    <w:p>
      <w:pPr>
        <w:spacing w:line="360" w:lineRule="auto"/>
        <w:ind w:firstLine="550" w:firstLineChars="250"/>
        <w:rPr>
          <w:rFonts w:ascii="宋体" w:hAnsi="宋体" w:cs="Calibri"/>
          <w:kern w:val="0"/>
          <w:sz w:val="22"/>
        </w:rPr>
      </w:pPr>
      <w:r>
        <w:rPr>
          <w:rFonts w:ascii="宋体" w:hAnsi="宋体" w:cs="Calibri"/>
          <w:kern w:val="0"/>
          <w:sz w:val="22"/>
        </w:rPr>
        <w:t>3.5评标委员会对通过符合性审查且技术、商务评审合格的投标人按照报价由低至高的顺序推荐前2名投标人作为中标候选人，报价相同时，由评标委员会通过记名投票表决的方式排序。当有效标不足三家时，由评标委员会认定投标是否具有竞争性，如认定具有竞争性，则继续评标并根据得分推荐剩余家数为中标候选人。同时评标委员会在评标报告中，记述招标过程，投标人的优劣分析，评标结论及存在的不同意见，经评标委员会全体成员签字确认后，报送招标领导小组决标。</w:t>
      </w:r>
    </w:p>
    <w:p>
      <w:pPr>
        <w:spacing w:line="360" w:lineRule="auto"/>
        <w:ind w:firstLine="550" w:firstLineChars="250"/>
        <w:rPr>
          <w:rFonts w:ascii="宋体" w:hAnsi="宋体" w:cs="Calibri"/>
          <w:kern w:val="0"/>
          <w:sz w:val="22"/>
        </w:rPr>
      </w:pPr>
      <w:r>
        <w:rPr>
          <w:rFonts w:hint="eastAsia" w:ascii="宋体" w:hAnsi="宋体" w:cs="Calibri"/>
          <w:kern w:val="0"/>
          <w:sz w:val="22"/>
        </w:rPr>
        <w:t>四、决标</w:t>
      </w:r>
    </w:p>
    <w:p>
      <w:pPr>
        <w:spacing w:line="360" w:lineRule="auto"/>
        <w:ind w:firstLine="550" w:firstLineChars="250"/>
        <w:rPr>
          <w:rFonts w:ascii="宋体" w:hAnsi="宋体" w:cs="Calibri"/>
          <w:kern w:val="0"/>
          <w:sz w:val="22"/>
        </w:rPr>
      </w:pPr>
      <w:r>
        <w:rPr>
          <w:rFonts w:hint="eastAsia" w:ascii="宋体" w:hAnsi="宋体" w:cs="Calibri"/>
          <w:kern w:val="0"/>
          <w:sz w:val="22"/>
        </w:rPr>
        <w:t>决标按照国家七部委令和招标文件的有关规定确定中标人。中标候选人因不可抗力之外的原因放弃中标权的，需赔偿招标人由此而造成的经济损失。在招投标过程中，投标人对招标人施加影响的任何行为，都将导致取消投标或中标资格。招标人对决标结果不负责解释，也不保证最低报价者中标。</w:t>
      </w:r>
    </w:p>
    <w:p>
      <w:pPr>
        <w:spacing w:line="360" w:lineRule="auto"/>
        <w:ind w:firstLine="550" w:firstLineChars="250"/>
        <w:rPr>
          <w:rFonts w:ascii="宋体" w:hAnsi="宋体" w:cs="Calibri"/>
          <w:kern w:val="0"/>
          <w:sz w:val="22"/>
        </w:rPr>
      </w:pPr>
      <w:r>
        <w:rPr>
          <w:rFonts w:hint="eastAsia" w:ascii="宋体" w:hAnsi="宋体" w:cs="Calibri"/>
          <w:kern w:val="0"/>
          <w:sz w:val="22"/>
        </w:rPr>
        <w:t>五、其他</w:t>
      </w:r>
    </w:p>
    <w:p>
      <w:pPr>
        <w:spacing w:line="360" w:lineRule="auto"/>
        <w:ind w:firstLine="550" w:firstLineChars="250"/>
        <w:rPr>
          <w:rFonts w:ascii="宋体" w:hAnsi="宋体" w:cs="Calibri"/>
          <w:kern w:val="0"/>
          <w:sz w:val="22"/>
        </w:rPr>
      </w:pPr>
      <w:r>
        <w:rPr>
          <w:rFonts w:hint="eastAsia" w:ascii="宋体" w:hAnsi="宋体" w:cs="Calibri"/>
          <w:kern w:val="0"/>
          <w:sz w:val="22"/>
        </w:rPr>
        <w:t>为维护招标投标交易市场的正常秩序，进一步遏制串标、抬标行为，保护交易各方的合法权益，经研究，凡在同一招标项目的评标中，经评标委员会半数以上成员确认有串通投标行为的，其投标文件按无效标处理，予以废除，不再对其进行评审，也不影响招标工作继续评标及按无效标处理的结果。</w:t>
      </w:r>
    </w:p>
    <w:p>
      <w:pPr>
        <w:widowControl/>
        <w:jc w:val="left"/>
        <w:rPr>
          <w:rFonts w:ascii="宋体" w:hAnsi="宋体" w:cs="Calibri"/>
          <w:kern w:val="0"/>
          <w:sz w:val="22"/>
        </w:rPr>
      </w:pPr>
      <w:r>
        <w:rPr>
          <w:rFonts w:ascii="宋体" w:hAnsi="宋体" w:cs="Calibri"/>
          <w:kern w:val="0"/>
          <w:sz w:val="22"/>
        </w:rPr>
        <w:br w:type="page"/>
      </w:r>
    </w:p>
    <w:bookmarkEnd w:id="115"/>
    <w:p>
      <w:pPr>
        <w:spacing w:line="360" w:lineRule="auto"/>
        <w:ind w:firstLine="800" w:firstLineChars="250"/>
        <w:jc w:val="center"/>
        <w:rPr>
          <w:rFonts w:eastAsia="黑体" w:cs="Calibri"/>
          <w:kern w:val="0"/>
          <w:sz w:val="32"/>
        </w:rPr>
      </w:pPr>
      <w:bookmarkStart w:id="116" w:name="_Toc448002988"/>
      <w:r>
        <w:rPr>
          <w:rFonts w:hint="eastAsia" w:eastAsia="黑体" w:cs="Calibri"/>
          <w:kern w:val="0"/>
          <w:sz w:val="32"/>
        </w:rPr>
        <w:t>第五章</w:t>
      </w:r>
      <w:r>
        <w:rPr>
          <w:rFonts w:eastAsia="黑体" w:cs="Calibri"/>
          <w:kern w:val="0"/>
          <w:sz w:val="32"/>
        </w:rPr>
        <w:t xml:space="preserve">  </w:t>
      </w:r>
      <w:r>
        <w:rPr>
          <w:rFonts w:hint="eastAsia" w:eastAsia="黑体" w:cs="Calibri"/>
          <w:kern w:val="0"/>
          <w:sz w:val="32"/>
        </w:rPr>
        <w:t>投标文件格式</w:t>
      </w:r>
      <w:bookmarkEnd w:id="116"/>
    </w:p>
    <w:p>
      <w:pPr>
        <w:spacing w:line="440" w:lineRule="exact"/>
        <w:jc w:val="center"/>
        <w:rPr>
          <w:rFonts w:cs="Calibri"/>
          <w:b/>
          <w:color w:val="000000"/>
          <w:sz w:val="28"/>
          <w:szCs w:val="28"/>
        </w:rPr>
      </w:pPr>
      <w:r>
        <w:rPr>
          <w:rFonts w:hint="eastAsia" w:cs="Calibri"/>
          <w:b/>
          <w:color w:val="000000"/>
          <w:sz w:val="28"/>
          <w:szCs w:val="28"/>
        </w:rPr>
        <w:t>目</w:t>
      </w:r>
      <w:r>
        <w:rPr>
          <w:rFonts w:cs="Calibri"/>
          <w:b/>
          <w:color w:val="000000"/>
          <w:sz w:val="28"/>
          <w:szCs w:val="28"/>
        </w:rPr>
        <w:t xml:space="preserve">   </w:t>
      </w:r>
      <w:r>
        <w:rPr>
          <w:rFonts w:hint="eastAsia" w:cs="Calibri"/>
          <w:b/>
          <w:color w:val="000000"/>
          <w:sz w:val="28"/>
          <w:szCs w:val="28"/>
        </w:rPr>
        <w:t>录</w:t>
      </w: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二、法定代表人身份证明</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spacing w:line="440" w:lineRule="exact"/>
        <w:ind w:firstLine="440" w:firstLineChars="200"/>
        <w:jc w:val="left"/>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五、投标人资格证明文件：</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1</w:t>
      </w:r>
      <w:r>
        <w:rPr>
          <w:rFonts w:hint="eastAsia" w:ascii="宋体" w:hAnsi="宋体" w:cs="Calibri"/>
          <w:color w:val="000000"/>
          <w:sz w:val="22"/>
        </w:rPr>
        <w:t>）投标人一般情况及有关证明投标人法律地位的文件（包括营业执照、</w:t>
      </w:r>
      <w:r>
        <w:rPr>
          <w:rFonts w:hint="eastAsia" w:ascii="宋体" w:hAnsi="宋体" w:cs="Calibri"/>
          <w:sz w:val="22"/>
        </w:rPr>
        <w:t>税务登记证、一般纳税人证明材料、</w:t>
      </w:r>
      <w:r>
        <w:rPr>
          <w:rFonts w:hint="eastAsia" w:ascii="宋体" w:hAnsi="宋体" w:cs="Calibri"/>
          <w:color w:val="000000"/>
          <w:sz w:val="22"/>
        </w:rPr>
        <w:t>资质证书等），说明投标人的注册地点和主要经营范围；</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w:t>
      </w:r>
      <w:r>
        <w:rPr>
          <w:rFonts w:ascii="宋体" w:hAnsi="宋体" w:cs="Calibri"/>
          <w:color w:val="000000"/>
          <w:sz w:val="22"/>
        </w:rPr>
        <w:t>2</w:t>
      </w:r>
      <w:r>
        <w:rPr>
          <w:rFonts w:hint="eastAsia" w:ascii="宋体" w:hAnsi="宋体" w:cs="Calibri"/>
          <w:color w:val="000000"/>
          <w:sz w:val="22"/>
        </w:rPr>
        <w:t>）</w:t>
      </w:r>
      <w:r>
        <w:rPr>
          <w:rFonts w:hint="eastAsia" w:ascii="宋体" w:hAnsi="宋体" w:cs="宋体"/>
          <w:sz w:val="22"/>
        </w:rPr>
        <w:t>投标产品自</w:t>
      </w:r>
      <w:r>
        <w:rPr>
          <w:rFonts w:ascii="宋体" w:hAnsi="宋体" w:cs="宋体"/>
          <w:sz w:val="22"/>
        </w:rPr>
        <w:t>201</w:t>
      </w:r>
      <w:r>
        <w:rPr>
          <w:rFonts w:hint="eastAsia" w:ascii="宋体" w:hAnsi="宋体" w:cs="宋体"/>
          <w:sz w:val="22"/>
        </w:rPr>
        <w:t>6年</w:t>
      </w:r>
      <w:r>
        <w:rPr>
          <w:rFonts w:ascii="宋体" w:hAnsi="宋体" w:cs="宋体"/>
          <w:sz w:val="22"/>
        </w:rPr>
        <w:t>1</w:t>
      </w:r>
      <w:r>
        <w:rPr>
          <w:rFonts w:hint="eastAsia" w:ascii="宋体" w:hAnsi="宋体" w:cs="宋体"/>
          <w:sz w:val="22"/>
        </w:rPr>
        <w:t>月</w:t>
      </w:r>
      <w:r>
        <w:rPr>
          <w:rFonts w:ascii="宋体" w:hAnsi="宋体" w:cs="宋体"/>
          <w:sz w:val="22"/>
        </w:rPr>
        <w:t>1</w:t>
      </w:r>
      <w:r>
        <w:rPr>
          <w:rFonts w:hint="eastAsia" w:ascii="宋体" w:hAnsi="宋体" w:cs="宋体"/>
          <w:sz w:val="22"/>
        </w:rPr>
        <w:t>日以来的销售业绩一览表</w:t>
      </w:r>
      <w:r>
        <w:rPr>
          <w:rFonts w:hint="eastAsia" w:ascii="宋体" w:hAnsi="宋体" w:cs="Calibri"/>
          <w:color w:val="000000"/>
          <w:sz w:val="22"/>
        </w:rPr>
        <w:t>。</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宋体"/>
          <w:sz w:val="22"/>
        </w:rPr>
        <w:t>商务条款响应偏离表；</w:t>
      </w:r>
    </w:p>
    <w:p>
      <w:pPr>
        <w:adjustRightInd w:val="0"/>
        <w:snapToGrid w:val="0"/>
        <w:spacing w:line="400" w:lineRule="exact"/>
        <w:ind w:firstLine="440" w:firstLineChars="200"/>
        <w:rPr>
          <w:rFonts w:ascii="宋体" w:cs="Calibri"/>
          <w:color w:val="000000"/>
          <w:sz w:val="22"/>
        </w:rPr>
      </w:pPr>
      <w:r>
        <w:rPr>
          <w:rFonts w:hint="eastAsia" w:ascii="宋体" w:hAnsi="宋体" w:cs="Arial"/>
          <w:color w:val="000000"/>
          <w:sz w:val="22"/>
        </w:rPr>
        <w:t>八、投标人认为应该提供的其他材料。</w:t>
      </w:r>
    </w:p>
    <w:p>
      <w:pPr>
        <w:rPr>
          <w:rFonts w:ascii="宋体" w:cs="Calibri"/>
          <w:sz w:val="22"/>
        </w:rPr>
      </w:pPr>
    </w:p>
    <w:p>
      <w:pPr>
        <w:spacing w:line="440" w:lineRule="exact"/>
        <w:rPr>
          <w:rFonts w:ascii="宋体" w:cs="Calibri"/>
          <w:color w:val="000000"/>
          <w:sz w:val="22"/>
        </w:rPr>
      </w:pPr>
    </w:p>
    <w:p>
      <w:pPr>
        <w:spacing w:line="440" w:lineRule="exact"/>
        <w:ind w:right="420"/>
        <w:rPr>
          <w:rFonts w:asci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cs="Calibri"/>
          <w:color w:val="000000"/>
        </w:rPr>
      </w:pPr>
    </w:p>
    <w:p>
      <w:pPr>
        <w:spacing w:line="440" w:lineRule="exact"/>
        <w:ind w:right="420"/>
        <w:rPr>
          <w:rFonts w:cs="Calibri"/>
          <w:color w:val="000000"/>
        </w:rPr>
      </w:pPr>
    </w:p>
    <w:p>
      <w:pPr>
        <w:spacing w:line="440" w:lineRule="exact"/>
        <w:rPr>
          <w:rFonts w:cs="Calibri"/>
          <w:color w:val="000000"/>
        </w:rPr>
      </w:pPr>
      <w:r>
        <w:rPr>
          <w:rFonts w:cs="Calibri"/>
          <w:color w:val="000000"/>
        </w:rPr>
        <w:br w:type="page"/>
      </w:r>
      <w:bookmarkStart w:id="117" w:name="_Toc171421958"/>
      <w:r>
        <w:rPr>
          <w:rFonts w:hint="eastAsia" w:cs="Calibri"/>
          <w:color w:val="000000"/>
        </w:rPr>
        <w:t>封面</w:t>
      </w:r>
      <w:bookmarkEnd w:id="117"/>
      <w:r>
        <w:rPr>
          <w:rFonts w:hint="eastAsia" w:cs="Calibri"/>
          <w:color w:val="000000"/>
        </w:rPr>
        <w:t>正本（或副本）</w:t>
      </w:r>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ascii="方正小标宋简体" w:hAnsi="宋体" w:eastAsia="方正小标宋简体"/>
          <w:b/>
          <w:sz w:val="44"/>
          <w:szCs w:val="44"/>
        </w:rPr>
        <w:t>跑道摩擦系数车专用测试轮</w:t>
      </w:r>
      <w:r>
        <w:rPr>
          <w:rFonts w:hint="eastAsia" w:eastAsia="黑体" w:cs="Calibri"/>
          <w:b/>
          <w:sz w:val="44"/>
          <w:szCs w:val="44"/>
        </w:rPr>
        <w:t>采购项目</w:t>
      </w:r>
    </w:p>
    <w:p>
      <w:pPr>
        <w:autoSpaceDE w:val="0"/>
        <w:autoSpaceDN w:val="0"/>
        <w:adjustRightInd w:val="0"/>
        <w:jc w:val="center"/>
        <w:rPr>
          <w:rFonts w:ascii="黑体" w:hAnsi="黑体" w:eastAsia="黑体" w:cs="Calibri"/>
          <w:b/>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cs="Calibri"/>
          <w:color w:val="000000"/>
          <w:sz w:val="28"/>
          <w:szCs w:val="28"/>
          <w:u w:val="single"/>
        </w:rPr>
        <w:t xml:space="preserve">                </w:t>
      </w:r>
      <w:r>
        <w:rPr>
          <w:rFonts w:hint="eastAsia" w:cs="Calibri"/>
          <w:color w:val="000000"/>
          <w:sz w:val="28"/>
          <w:szCs w:val="28"/>
          <w:u w:val="single"/>
        </w:rPr>
        <w:t>（盖单位章）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cs="Calibri"/>
          <w:color w:val="000000"/>
          <w:sz w:val="28"/>
          <w:szCs w:val="28"/>
          <w:u w:val="single"/>
        </w:rPr>
        <w:t xml:space="preserve">   </w:t>
      </w:r>
      <w:r>
        <w:rPr>
          <w:rFonts w:hint="eastAsia" w:cs="Calibri"/>
          <w:color w:val="000000"/>
          <w:sz w:val="28"/>
          <w:szCs w:val="28"/>
          <w:u w:val="single"/>
        </w:rPr>
        <w:t>（签字或盖章）</w:t>
      </w:r>
      <w:r>
        <w:rPr>
          <w:rFonts w:cs="Calibri"/>
          <w:color w:val="000000"/>
          <w:sz w:val="28"/>
          <w:szCs w:val="28"/>
          <w:u w:val="single"/>
        </w:rPr>
        <w:t xml:space="preserve">   </w:t>
      </w:r>
    </w:p>
    <w:p>
      <w:pPr>
        <w:spacing w:line="360" w:lineRule="auto"/>
        <w:ind w:firstLine="1400" w:firstLineChars="500"/>
        <w:rPr>
          <w:rFonts w:cs="Calibri"/>
          <w:color w:val="000000"/>
          <w:sz w:val="28"/>
          <w:szCs w:val="28"/>
        </w:rPr>
      </w:pPr>
      <w:r>
        <w:rPr>
          <w:rFonts w:hint="eastAsia" w:cs="Calibri"/>
          <w:color w:val="000000"/>
          <w:sz w:val="28"/>
          <w:szCs w:val="28"/>
        </w:rPr>
        <w:t>日</w:t>
      </w:r>
      <w:r>
        <w:rPr>
          <w:rFonts w:cs="Calibri"/>
          <w:color w:val="000000"/>
          <w:sz w:val="28"/>
          <w:szCs w:val="28"/>
        </w:rPr>
        <w:t xml:space="preserve">  </w:t>
      </w:r>
      <w:r>
        <w:rPr>
          <w:rFonts w:hint="eastAsia" w:cs="Calibri"/>
          <w:color w:val="000000"/>
          <w:sz w:val="28"/>
          <w:szCs w:val="28"/>
        </w:rPr>
        <w:t>期：年月日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hint="eastAsia" w:eastAsia="黑体" w:cs="Calibri"/>
          <w:bCs/>
          <w:color w:val="000000"/>
          <w:sz w:val="32"/>
          <w:szCs w:val="32"/>
        </w:rPr>
        <w:t>一、投</w:t>
      </w:r>
      <w:r>
        <w:rPr>
          <w:rFonts w:eastAsia="黑体" w:cs="Calibri"/>
          <w:bCs/>
          <w:color w:val="000000"/>
          <w:sz w:val="32"/>
          <w:szCs w:val="32"/>
        </w:rPr>
        <w:t xml:space="preserve"> </w:t>
      </w:r>
      <w:r>
        <w:rPr>
          <w:rFonts w:hint="eastAsia" w:eastAsia="黑体" w:cs="Calibri"/>
          <w:bCs/>
          <w:color w:val="000000"/>
          <w:sz w:val="32"/>
          <w:szCs w:val="32"/>
        </w:rPr>
        <w:t>标</w:t>
      </w:r>
      <w:r>
        <w:rPr>
          <w:rFonts w:eastAsia="黑体" w:cs="Calibri"/>
          <w:bCs/>
          <w:color w:val="000000"/>
          <w:sz w:val="32"/>
          <w:szCs w:val="32"/>
        </w:rPr>
        <w:t xml:space="preserve"> </w:t>
      </w:r>
      <w:r>
        <w:rPr>
          <w:rFonts w:hint="eastAsia" w:eastAsia="黑体" w:cs="Calibri"/>
          <w:bCs/>
          <w:color w:val="000000"/>
          <w:sz w:val="32"/>
          <w:szCs w:val="32"/>
        </w:rPr>
        <w:t>函</w:t>
      </w:r>
    </w:p>
    <w:p>
      <w:pPr>
        <w:spacing w:line="440" w:lineRule="exact"/>
        <w:jc w:val="center"/>
        <w:rPr>
          <w:rFonts w:cs="Calibri"/>
          <w:b/>
          <w:bCs/>
          <w:color w:val="000000"/>
          <w:sz w:val="28"/>
          <w:szCs w:val="28"/>
        </w:rPr>
      </w:pPr>
    </w:p>
    <w:p>
      <w:pPr>
        <w:spacing w:line="440" w:lineRule="exact"/>
        <w:rPr>
          <w:rFonts w:ascii="宋体" w:hAnsi="宋体" w:cs="宋体"/>
          <w:sz w:val="22"/>
        </w:rPr>
      </w:pPr>
      <w:r>
        <w:rPr>
          <w:rFonts w:hint="eastAsia" w:ascii="宋体" w:hAnsi="宋体" w:cs="宋体"/>
          <w:sz w:val="22"/>
          <w:lang w:bidi="ar"/>
        </w:rPr>
        <w:t>致：杭州萧山国际机场有限公司</w:t>
      </w:r>
    </w:p>
    <w:p>
      <w:pPr>
        <w:overflowPunct w:val="0"/>
        <w:autoSpaceDE w:val="0"/>
        <w:autoSpaceDN w:val="0"/>
        <w:spacing w:line="440" w:lineRule="exact"/>
        <w:ind w:firstLine="440" w:firstLineChars="200"/>
        <w:rPr>
          <w:rFonts w:ascii="宋体" w:hAnsi="宋体" w:cs="宋体"/>
          <w:sz w:val="22"/>
        </w:rPr>
      </w:pPr>
      <w:r>
        <w:rPr>
          <w:rFonts w:hint="eastAsia" w:ascii="宋体" w:hAnsi="宋体" w:cs="宋体"/>
          <w:sz w:val="22"/>
          <w:lang w:bidi="ar"/>
        </w:rPr>
        <w:t>根据贵方杭州萧山国际机场</w:t>
      </w:r>
      <w:r>
        <w:rPr>
          <w:rFonts w:hint="eastAsia" w:ascii="宋体" w:hAnsi="宋体" w:cs="宋体"/>
          <w:sz w:val="22"/>
          <w:u w:val="single"/>
          <w:lang w:bidi="ar"/>
        </w:rPr>
        <w:t xml:space="preserve">             </w:t>
      </w:r>
      <w:r>
        <w:rPr>
          <w:rFonts w:hint="eastAsia" w:ascii="宋体" w:hAnsi="宋体" w:cs="宋体"/>
          <w:sz w:val="22"/>
          <w:lang w:bidi="ar"/>
        </w:rPr>
        <w:t>采购项目的招标文件，授权代表</w:t>
      </w:r>
      <w:r>
        <w:rPr>
          <w:rFonts w:hint="eastAsia" w:ascii="宋体" w:hAnsi="宋体" w:cs="Arial"/>
          <w:sz w:val="22"/>
          <w:u w:val="single"/>
          <w:lang w:bidi="ar"/>
        </w:rPr>
        <w:t xml:space="preserve">        </w:t>
      </w:r>
      <w:r>
        <w:rPr>
          <w:rFonts w:hint="eastAsia" w:ascii="宋体" w:hAnsi="宋体" w:cs="宋体"/>
          <w:sz w:val="22"/>
          <w:lang w:bidi="ar"/>
        </w:rPr>
        <w:t>(全名、职务)经正式授权，代表投标人</w:t>
      </w:r>
      <w:r>
        <w:rPr>
          <w:rFonts w:hint="eastAsia" w:ascii="宋体" w:hAnsi="宋体" w:cs="Arial"/>
          <w:sz w:val="22"/>
          <w:u w:val="single"/>
          <w:lang w:bidi="ar"/>
        </w:rPr>
        <w:t xml:space="preserve">                    </w:t>
      </w:r>
      <w:r>
        <w:rPr>
          <w:rFonts w:hint="eastAsia" w:ascii="宋体" w:hAnsi="宋体" w:cs="宋体"/>
          <w:sz w:val="22"/>
          <w:lang w:bidi="ar"/>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lang w:bidi="ar"/>
        </w:rPr>
        <w:t>据此函，本授权代表宣布同意如下：</w:t>
      </w:r>
    </w:p>
    <w:p>
      <w:pPr>
        <w:numPr>
          <w:ilvl w:val="0"/>
          <w:numId w:val="1"/>
        </w:numPr>
        <w:tabs>
          <w:tab w:val="left" w:pos="840"/>
        </w:tabs>
        <w:overflowPunct w:val="0"/>
        <w:autoSpaceDE w:val="0"/>
        <w:autoSpaceDN w:val="0"/>
        <w:spacing w:line="440" w:lineRule="exact"/>
        <w:rPr>
          <w:rFonts w:ascii="宋体" w:hAnsi="宋体"/>
          <w:sz w:val="22"/>
        </w:rPr>
      </w:pPr>
      <w:r>
        <w:rPr>
          <w:rFonts w:hint="eastAsia" w:ascii="宋体" w:hAnsi="宋体" w:cs="宋体"/>
          <w:sz w:val="22"/>
          <w:lang w:bidi="ar"/>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cs="宋体"/>
          <w:sz w:val="22"/>
        </w:rPr>
      </w:pPr>
      <w:r>
        <w:rPr>
          <w:rFonts w:hint="eastAsia" w:ascii="宋体" w:hAnsi="宋体" w:cs="宋体"/>
          <w:sz w:val="22"/>
          <w:lang w:bidi="ar"/>
        </w:rPr>
        <w:t>(大写)</w:t>
      </w:r>
      <w:r>
        <w:rPr>
          <w:rFonts w:hint="eastAsia" w:ascii="宋体" w:hAnsi="宋体" w:cs="宋体"/>
          <w:sz w:val="22"/>
          <w:u w:val="single"/>
          <w:lang w:bidi="ar"/>
        </w:rPr>
        <w:t xml:space="preserve">                   </w:t>
      </w:r>
      <w:r>
        <w:rPr>
          <w:rFonts w:hint="eastAsia" w:ascii="宋体" w:hAnsi="宋体" w:cs="宋体"/>
          <w:sz w:val="22"/>
          <w:lang w:bidi="ar"/>
        </w:rPr>
        <w:t>(小写)</w:t>
      </w:r>
      <w:r>
        <w:rPr>
          <w:rFonts w:hint="eastAsia" w:ascii="宋体" w:hAnsi="宋体" w:cs="宋体"/>
          <w:sz w:val="22"/>
          <w:u w:val="single"/>
          <w:lang w:bidi="ar"/>
        </w:rPr>
        <w:t xml:space="preserve">             </w:t>
      </w:r>
      <w:r>
        <w:rPr>
          <w:rFonts w:hint="eastAsia" w:ascii="宋体" w:hAnsi="宋体" w:cs="宋体"/>
          <w:sz w:val="22"/>
          <w:lang w:bidi="ar"/>
        </w:rPr>
        <w:t>。</w:t>
      </w:r>
    </w:p>
    <w:p>
      <w:pPr>
        <w:overflowPunct w:val="0"/>
        <w:autoSpaceDE w:val="0"/>
        <w:autoSpaceDN w:val="0"/>
        <w:spacing w:line="440" w:lineRule="exact"/>
        <w:ind w:left="416" w:leftChars="198" w:firstLine="440" w:firstLineChars="200"/>
        <w:rPr>
          <w:rFonts w:ascii="宋体" w:hAnsi="宋体" w:cs="宋体"/>
          <w:sz w:val="22"/>
        </w:rPr>
      </w:pPr>
      <w:r>
        <w:rPr>
          <w:rFonts w:hint="eastAsia" w:ascii="宋体" w:hAnsi="宋体" w:cs="宋体"/>
          <w:sz w:val="22"/>
          <w:lang w:bidi="ar"/>
        </w:rPr>
        <w:t>供货期：合同签订后</w:t>
      </w:r>
      <w:r>
        <w:rPr>
          <w:rFonts w:hint="eastAsia" w:ascii="宋体" w:hAnsi="宋体" w:cs="宋体"/>
          <w:sz w:val="22"/>
          <w:u w:val="single"/>
          <w:lang w:bidi="ar"/>
        </w:rPr>
        <w:t xml:space="preserve">      </w:t>
      </w:r>
      <w:r>
        <w:rPr>
          <w:rFonts w:hint="eastAsia" w:ascii="宋体" w:hAnsi="宋体" w:cs="宋体"/>
          <w:sz w:val="22"/>
          <w:lang w:bidi="ar"/>
        </w:rPr>
        <w:t>日历天、投标品牌：</w:t>
      </w:r>
      <w:r>
        <w:rPr>
          <w:rFonts w:hint="eastAsia" w:ascii="宋体" w:hAnsi="宋体" w:cs="宋体"/>
          <w:sz w:val="22"/>
          <w:u w:val="single"/>
          <w:lang w:bidi="ar"/>
        </w:rPr>
        <w:t xml:space="preserve">        </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投标人将按投标文件的规定履行合同责任和义务。</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投标人已详细审查全部招标文件包括澄清函和修改文件(如果有)、所有已提供的资料以及有关附件，</w:t>
      </w:r>
      <w:r>
        <w:rPr>
          <w:rFonts w:hint="eastAsia" w:cs="宋体"/>
          <w:sz w:val="22"/>
          <w:lang w:bidi="ar"/>
        </w:rPr>
        <w:t>投标人已完全理解上述文件的全部内容，并放弃提出任何误解或不明作为抗辩的权利</w:t>
      </w:r>
      <w:r>
        <w:rPr>
          <w:rFonts w:hint="eastAsia" w:ascii="宋体" w:hAnsi="宋体" w:cs="宋体"/>
          <w:sz w:val="22"/>
          <w:lang w:bidi="ar"/>
        </w:rPr>
        <w:t>。</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本投标的投标有效期为自投标截止之日起120日内。</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投标人完全清楚并理解在投标有效期期满之前撤回投标，招标人有权不予退还投标人的投标保证金及银行同期存款利息。</w:t>
      </w:r>
    </w:p>
    <w:p>
      <w:pPr>
        <w:numPr>
          <w:ilvl w:val="0"/>
          <w:numId w:val="1"/>
        </w:numPr>
        <w:tabs>
          <w:tab w:val="left" w:pos="840"/>
        </w:tabs>
        <w:overflowPunct w:val="0"/>
        <w:autoSpaceDE w:val="0"/>
        <w:autoSpaceDN w:val="0"/>
        <w:spacing w:line="440" w:lineRule="exact"/>
        <w:ind w:left="840" w:hanging="420"/>
        <w:rPr>
          <w:rFonts w:ascii="宋体" w:hAnsi="宋体" w:cs="宋体"/>
          <w:sz w:val="22"/>
        </w:rPr>
      </w:pPr>
      <w:r>
        <w:rPr>
          <w:rFonts w:hint="eastAsia" w:ascii="宋体" w:hAnsi="宋体" w:cs="宋体"/>
          <w:sz w:val="22"/>
          <w:lang w:bidi="ar"/>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cs="宋体"/>
          <w:sz w:val="22"/>
        </w:rPr>
      </w:pPr>
    </w:p>
    <w:p>
      <w:pPr>
        <w:snapToGrid w:val="0"/>
        <w:spacing w:line="440" w:lineRule="exact"/>
        <w:ind w:firstLine="3300" w:firstLineChars="1500"/>
        <w:rPr>
          <w:rFonts w:ascii="宋体" w:hAnsi="宋体" w:cs="宋体"/>
          <w:sz w:val="22"/>
        </w:rPr>
      </w:pP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投标人：（盖单位章）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法定代表人或其委托代理人：（签字或盖章）</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地    址：</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邮政编码：</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电    话：</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传    真：</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开户银行：</w:t>
      </w:r>
    </w:p>
    <w:p>
      <w:pPr>
        <w:snapToGrid w:val="0"/>
        <w:spacing w:line="440" w:lineRule="exact"/>
        <w:ind w:firstLine="3300" w:firstLineChars="1500"/>
        <w:rPr>
          <w:rFonts w:ascii="宋体" w:hAnsi="宋体" w:cs="Calibri"/>
          <w:color w:val="000000"/>
          <w:sz w:val="22"/>
        </w:rPr>
      </w:pPr>
      <w:r>
        <w:rPr>
          <w:rFonts w:hint="eastAsia" w:ascii="宋体" w:hAnsi="宋体" w:cs="Calibri"/>
          <w:color w:val="000000"/>
          <w:sz w:val="22"/>
          <w:lang w:bidi="ar"/>
        </w:rPr>
        <w:t>账    号：</w:t>
      </w:r>
    </w:p>
    <w:p>
      <w:pPr>
        <w:widowControl/>
        <w:spacing w:line="440" w:lineRule="exact"/>
      </w:pPr>
      <w:r>
        <w:rPr>
          <w:rFonts w:hint="eastAsia" w:ascii="宋体" w:hAnsi="宋体" w:cs="Calibri"/>
          <w:color w:val="000000"/>
          <w:sz w:val="22"/>
          <w:lang w:bidi="ar"/>
        </w:rPr>
        <w:t xml:space="preserve">                              日    期：    年     月     日</w:t>
      </w:r>
    </w:p>
    <w:p>
      <w:pPr>
        <w:snapToGrid w:val="0"/>
        <w:spacing w:line="440" w:lineRule="exact"/>
        <w:ind w:firstLine="3150" w:firstLineChars="1500"/>
        <w:rPr>
          <w:rFonts w:cs="Calibri"/>
          <w:color w:val="000000"/>
          <w:szCs w:val="21"/>
        </w:rPr>
      </w:pPr>
    </w:p>
    <w:p>
      <w:pPr>
        <w:snapToGrid w:val="0"/>
        <w:spacing w:line="440" w:lineRule="exact"/>
        <w:ind w:firstLine="3150" w:firstLineChars="1500"/>
        <w:rPr>
          <w:rFonts w:cs="Calibri"/>
          <w:color w:val="000000"/>
          <w:szCs w:val="21"/>
        </w:rPr>
      </w:pPr>
    </w:p>
    <w:p>
      <w:pPr>
        <w:spacing w:line="440" w:lineRule="exact"/>
        <w:jc w:val="center"/>
        <w:rPr>
          <w:rFonts w:eastAsia="黑体" w:cs="Calibri"/>
          <w:color w:val="000000"/>
          <w:sz w:val="32"/>
          <w:szCs w:val="32"/>
        </w:rPr>
      </w:pPr>
    </w:p>
    <w:p>
      <w:pPr>
        <w:adjustRightInd w:val="0"/>
        <w:snapToGrid w:val="0"/>
        <w:jc w:val="center"/>
        <w:rPr>
          <w:rFonts w:eastAsia="黑体" w:cs="Calibri"/>
          <w:color w:val="000000"/>
          <w:sz w:val="32"/>
          <w:szCs w:val="32"/>
        </w:rPr>
      </w:pPr>
      <w:r>
        <w:rPr>
          <w:rFonts w:hint="eastAsia" w:eastAsia="黑体" w:cs="Calibri"/>
          <w:color w:val="000000"/>
          <w:sz w:val="32"/>
          <w:szCs w:val="32"/>
        </w:rPr>
        <w:t>二、法定代表人身份证明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hint="eastAsia" w:cs="Calibri"/>
          <w:color w:val="000000"/>
          <w:szCs w:val="21"/>
        </w:rPr>
        <w:t>投标人名称：</w:t>
      </w:r>
    </w:p>
    <w:p>
      <w:pPr>
        <w:spacing w:after="120" w:afterLines="50" w:line="440" w:lineRule="exact"/>
        <w:rPr>
          <w:rFonts w:cs="Calibri"/>
          <w:color w:val="000000"/>
          <w:szCs w:val="21"/>
          <w:u w:val="single"/>
        </w:rPr>
      </w:pPr>
      <w:r>
        <w:rPr>
          <w:rFonts w:hint="eastAsia" w:cs="Calibri"/>
          <w:color w:val="000000"/>
          <w:szCs w:val="21"/>
        </w:rPr>
        <w:t>单位性质：</w:t>
      </w:r>
    </w:p>
    <w:p>
      <w:pPr>
        <w:spacing w:after="120" w:afterLines="50" w:line="440" w:lineRule="exact"/>
        <w:rPr>
          <w:rFonts w:cs="Calibri"/>
          <w:color w:val="000000"/>
          <w:szCs w:val="21"/>
          <w:u w:val="single"/>
        </w:rPr>
      </w:pPr>
      <w:r>
        <w:rPr>
          <w:rFonts w:hint="eastAsia" w:cs="Calibri"/>
          <w:color w:val="000000"/>
          <w:szCs w:val="21"/>
        </w:rPr>
        <w:t>地址：</w:t>
      </w:r>
    </w:p>
    <w:p>
      <w:pPr>
        <w:spacing w:after="120" w:afterLines="50" w:line="440" w:lineRule="exact"/>
        <w:rPr>
          <w:rFonts w:cs="Calibri"/>
          <w:color w:val="000000"/>
          <w:szCs w:val="21"/>
          <w:u w:val="single"/>
        </w:rPr>
      </w:pPr>
      <w:r>
        <w:rPr>
          <w:rFonts w:hint="eastAsia" w:cs="Calibri"/>
          <w:color w:val="000000"/>
          <w:szCs w:val="21"/>
        </w:rPr>
        <w:t>成立时间：年月日</w:t>
      </w:r>
    </w:p>
    <w:p>
      <w:pPr>
        <w:spacing w:after="120" w:afterLines="50" w:line="440" w:lineRule="exact"/>
        <w:rPr>
          <w:rFonts w:cs="Calibri"/>
          <w:color w:val="000000"/>
          <w:szCs w:val="21"/>
          <w:u w:val="single"/>
        </w:rPr>
      </w:pPr>
      <w:r>
        <w:rPr>
          <w:rFonts w:hint="eastAsia" w:cs="Calibri"/>
          <w:color w:val="000000"/>
          <w:szCs w:val="21"/>
        </w:rPr>
        <w:t>经营期限：</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rPr>
        <w:t xml:space="preserve">  </w:t>
      </w:r>
      <w:r>
        <w:rPr>
          <w:rFonts w:hint="eastAsia" w:cs="Calibri"/>
          <w:color w:val="000000"/>
          <w:szCs w:val="21"/>
        </w:rPr>
        <w:t>性别：</w:t>
      </w:r>
      <w:r>
        <w:rPr>
          <w:rFonts w:cs="Calibri"/>
          <w:color w:val="000000"/>
          <w:szCs w:val="21"/>
        </w:rPr>
        <w:t xml:space="preserve">  </w:t>
      </w:r>
      <w:r>
        <w:rPr>
          <w:rFonts w:hint="eastAsia" w:cs="Calibri"/>
          <w:color w:val="000000"/>
          <w:szCs w:val="21"/>
        </w:rPr>
        <w:t>年龄：</w:t>
      </w:r>
      <w:r>
        <w:rPr>
          <w:rFonts w:cs="Calibri"/>
          <w:color w:val="000000"/>
          <w:szCs w:val="21"/>
        </w:rPr>
        <w:t xml:space="preserve">  </w:t>
      </w:r>
      <w:r>
        <w:rPr>
          <w:rFonts w:hint="eastAsia" w:cs="Calibri"/>
          <w:color w:val="000000"/>
          <w:szCs w:val="21"/>
        </w:rPr>
        <w:t>职务：</w:t>
      </w:r>
    </w:p>
    <w:p>
      <w:pPr>
        <w:spacing w:after="120" w:afterLines="50" w:line="440" w:lineRule="exact"/>
        <w:rPr>
          <w:rFonts w:cs="Calibri"/>
          <w:color w:val="000000"/>
          <w:szCs w:val="21"/>
          <w:u w:val="single"/>
        </w:rPr>
      </w:pPr>
      <w:r>
        <w:rPr>
          <w:rFonts w:hint="eastAsia" w:cs="Calibri"/>
          <w:color w:val="000000"/>
          <w:szCs w:val="21"/>
        </w:rPr>
        <w:t>身份证号码：</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w:pict>
          <v:shape id="Text Box 6" o:spid="_x0000_s1026" o:spt="202" type="#_x0000_t202" style="position:absolute;left:0pt;margin-left:0pt;margin-top:31.2pt;height:171.6pt;width:423pt;mso-wrap-distance-bottom:0pt;mso-wrap-distance-left:9pt;mso-wrap-distance-right:9pt;mso-wrap-distance-top:0pt;z-index:251660288;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hint="eastAsia" w:cs="Calibri"/>
          <w:color w:val="000000"/>
          <w:szCs w:val="21"/>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委托的代理人：（签字或盖章）</w:t>
      </w:r>
    </w:p>
    <w:p>
      <w:pPr>
        <w:spacing w:line="440" w:lineRule="exact"/>
        <w:rPr>
          <w:rFonts w:cs="Calibri"/>
          <w:color w:val="000000"/>
          <w:szCs w:val="21"/>
        </w:rPr>
      </w:pPr>
      <w:r>
        <w:rPr>
          <w:rFonts w:hint="eastAsia" w:cs="Calibri"/>
          <w:color w:val="000000"/>
          <w:szCs w:val="21"/>
        </w:rPr>
        <w:t>身份证号码：</w:t>
      </w:r>
    </w:p>
    <w:p>
      <w:pPr>
        <w:spacing w:line="440" w:lineRule="exact"/>
        <w:ind w:firstLine="4515" w:firstLineChars="2150"/>
        <w:rPr>
          <w:rFonts w:cs="Calibri"/>
          <w:color w:val="000000"/>
          <w:szCs w:val="21"/>
        </w:rPr>
      </w:pPr>
      <w:r>
        <w:rPr>
          <w:rFonts w:hint="eastAsia" w:cs="Calibri"/>
          <w:color w:val="000000"/>
          <w:szCs w:val="21"/>
        </w:rPr>
        <w:t>日期：年月日</w:t>
      </w:r>
    </w:p>
    <w:p>
      <w:pPr>
        <w:snapToGrid w:val="0"/>
        <w:spacing w:line="440" w:lineRule="exact"/>
        <w:rPr>
          <w:rFonts w:cs="Calibri"/>
          <w:color w:val="000000"/>
          <w:szCs w:val="21"/>
        </w:rPr>
      </w:pPr>
      <w: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hint="eastAsia" w:cs="Calibri"/>
          <w:color w:val="000000"/>
          <w:szCs w:val="21"/>
        </w:rPr>
        <w:t>注：如投标文件由委托代理人签字或盖章的，投标文件必须附此授权委托书。</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spacing w:line="440" w:lineRule="exact"/>
        <w:jc w:val="center"/>
        <w:rPr>
          <w:rFonts w:eastAsia="黑体" w:cs="Calibri"/>
          <w:color w:val="000000"/>
          <w:sz w:val="32"/>
          <w:szCs w:val="32"/>
        </w:rPr>
      </w:pPr>
    </w:p>
    <w:p>
      <w:pPr>
        <w:pStyle w:val="23"/>
        <w:numPr>
          <w:ilvl w:val="1"/>
          <w:numId w:val="2"/>
        </w:numPr>
        <w:snapToGrid w:val="0"/>
        <w:spacing w:before="120" w:beforeLines="50" w:line="360" w:lineRule="exact"/>
        <w:rPr>
          <w:rFonts w:hAnsi="宋体" w:cs="宋体"/>
          <w:sz w:val="22"/>
          <w:szCs w:val="22"/>
        </w:rPr>
      </w:pPr>
      <w:r>
        <w:rPr>
          <w:rFonts w:hint="eastAsia" w:hAnsi="宋体" w:cs="宋体"/>
          <w:sz w:val="22"/>
          <w:szCs w:val="22"/>
        </w:rPr>
        <w:t>总则</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3"/>
        <w:numPr>
          <w:ilvl w:val="1"/>
          <w:numId w:val="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sz w:val="22"/>
        </w:rPr>
      </w:pPr>
    </w:p>
    <w:tbl>
      <w:tblPr>
        <w:tblStyle w:val="56"/>
        <w:tblpPr w:leftFromText="180" w:rightFromText="180" w:vertAnchor="text" w:horzAnchor="margin" w:tblpXSpec="center" w:tblpYSpec="center"/>
        <w:tblOverlap w:val="never"/>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463"/>
        <w:gridCol w:w="1463"/>
        <w:gridCol w:w="1463"/>
        <w:gridCol w:w="1463"/>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r>
              <w:rPr>
                <w:rFonts w:hint="eastAsia" w:ascii="宋体" w:hAnsi="宋体"/>
                <w:sz w:val="22"/>
              </w:rPr>
              <w:t>项目</w:t>
            </w:r>
          </w:p>
        </w:tc>
        <w:tc>
          <w:tcPr>
            <w:tcW w:w="1463" w:type="dxa"/>
          </w:tcPr>
          <w:p>
            <w:pPr>
              <w:spacing w:line="340" w:lineRule="exact"/>
              <w:jc w:val="center"/>
              <w:rPr>
                <w:rFonts w:ascii="宋体"/>
                <w:sz w:val="22"/>
              </w:rPr>
            </w:pPr>
            <w:r>
              <w:rPr>
                <w:rFonts w:hint="eastAsia" w:ascii="宋体" w:hAnsi="宋体"/>
                <w:sz w:val="22"/>
              </w:rPr>
              <w:t>数量</w:t>
            </w:r>
          </w:p>
        </w:tc>
        <w:tc>
          <w:tcPr>
            <w:tcW w:w="1463" w:type="dxa"/>
          </w:tcPr>
          <w:p>
            <w:pPr>
              <w:spacing w:line="340" w:lineRule="exact"/>
              <w:jc w:val="center"/>
              <w:rPr>
                <w:rFonts w:ascii="宋体"/>
                <w:sz w:val="22"/>
              </w:rPr>
            </w:pPr>
            <w:r>
              <w:rPr>
                <w:rFonts w:hint="eastAsia" w:ascii="宋体" w:hAnsi="宋体"/>
                <w:sz w:val="22"/>
              </w:rPr>
              <w:t>不含税单价（元）</w:t>
            </w:r>
          </w:p>
        </w:tc>
        <w:tc>
          <w:tcPr>
            <w:tcW w:w="1463" w:type="dxa"/>
          </w:tcPr>
          <w:p>
            <w:pPr>
              <w:spacing w:line="340" w:lineRule="exact"/>
              <w:jc w:val="center"/>
              <w:rPr>
                <w:rFonts w:ascii="宋体"/>
                <w:sz w:val="22"/>
              </w:rPr>
            </w:pPr>
            <w:r>
              <w:rPr>
                <w:rFonts w:hint="eastAsia" w:ascii="宋体" w:hAnsi="宋体"/>
                <w:sz w:val="22"/>
              </w:rPr>
              <w:t>不含税总价（元）</w:t>
            </w:r>
          </w:p>
        </w:tc>
        <w:tc>
          <w:tcPr>
            <w:tcW w:w="1463" w:type="dxa"/>
          </w:tcPr>
          <w:p>
            <w:pPr>
              <w:spacing w:line="340" w:lineRule="exact"/>
              <w:jc w:val="center"/>
              <w:rPr>
                <w:rFonts w:ascii="宋体"/>
                <w:sz w:val="22"/>
              </w:rPr>
            </w:pPr>
            <w:r>
              <w:rPr>
                <w:rFonts w:hint="eastAsia" w:ascii="宋体"/>
                <w:sz w:val="22"/>
              </w:rPr>
              <w:t>税率</w:t>
            </w:r>
          </w:p>
        </w:tc>
        <w:tc>
          <w:tcPr>
            <w:tcW w:w="1463" w:type="dxa"/>
          </w:tcPr>
          <w:p>
            <w:pPr>
              <w:spacing w:line="340" w:lineRule="exact"/>
              <w:jc w:val="center"/>
              <w:rPr>
                <w:rFonts w:ascii="宋体"/>
                <w:sz w:val="22"/>
              </w:rPr>
            </w:pPr>
            <w:r>
              <w:rPr>
                <w:rFonts w:hint="eastAsia" w:ascii="宋体"/>
                <w:sz w:val="22"/>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c>
          <w:tcPr>
            <w:tcW w:w="1463" w:type="dxa"/>
          </w:tcPr>
          <w:p>
            <w:pPr>
              <w:spacing w:line="340" w:lineRule="exact"/>
              <w:jc w:val="center"/>
              <w:rPr>
                <w:rFonts w:ascii="宋体"/>
                <w:sz w:val="22"/>
              </w:rPr>
            </w:pPr>
          </w:p>
        </w:tc>
      </w:tr>
    </w:tbl>
    <w:p>
      <w:pPr>
        <w:spacing w:line="360" w:lineRule="auto"/>
        <w:rPr>
          <w:rFonts w:ascii="宋体" w:cs="宋体"/>
          <w:sz w:val="22"/>
        </w:rPr>
      </w:pPr>
      <w:r>
        <w:rPr>
          <w:rFonts w:hint="eastAsia" w:ascii="宋体" w:hAnsi="宋体" w:cs="宋体"/>
          <w:sz w:val="22"/>
        </w:rPr>
        <w:t>注：</w:t>
      </w:r>
    </w:p>
    <w:p>
      <w:pPr>
        <w:spacing w:line="360" w:lineRule="auto"/>
        <w:rPr>
          <w:rFonts w:ascii="宋体" w:cs="宋体"/>
          <w:sz w:val="22"/>
        </w:rPr>
      </w:pPr>
      <w:r>
        <w:rPr>
          <w:rFonts w:ascii="宋体" w:hAnsi="宋体" w:cs="宋体"/>
          <w:sz w:val="22"/>
        </w:rPr>
        <w:t>1</w:t>
      </w:r>
      <w:r>
        <w:rPr>
          <w:rFonts w:hint="eastAsia" w:ascii="宋体" w:hAnsi="宋体" w:cs="宋体"/>
          <w:sz w:val="22"/>
        </w:rPr>
        <w:t>、此表的“总价”系所有需招标人支付的投标金额总数即投标总价，投标总价中已包含投标人完成本招标项目的一切费用包括税费。</w:t>
      </w:r>
    </w:p>
    <w:p>
      <w:pPr>
        <w:adjustRightInd w:val="0"/>
        <w:snapToGrid w:val="0"/>
        <w:spacing w:line="360" w:lineRule="auto"/>
        <w:jc w:val="left"/>
        <w:textAlignment w:val="baseline"/>
        <w:rPr>
          <w:rFonts w:ascii="宋体" w:cs="宋体"/>
          <w:sz w:val="22"/>
        </w:rPr>
      </w:pPr>
      <w:r>
        <w:rPr>
          <w:rFonts w:ascii="宋体" w:hAnsi="宋体" w:cs="宋体"/>
          <w:sz w:val="22"/>
        </w:rPr>
        <w:t>2</w:t>
      </w:r>
      <w:r>
        <w:rPr>
          <w:rFonts w:hint="eastAsia" w:ascii="宋体" w:hAnsi="宋体" w:cs="宋体"/>
          <w:sz w:val="22"/>
        </w:rPr>
        <w:t>、此表为表</w:t>
      </w:r>
      <w:r>
        <w:rPr>
          <w:rFonts w:ascii="宋体" w:hAnsi="宋体" w:cs="宋体"/>
          <w:sz w:val="22"/>
        </w:rPr>
        <w:t>4.2</w:t>
      </w:r>
      <w:r>
        <w:rPr>
          <w:rFonts w:hint="eastAsia" w:ascii="宋体" w:hAnsi="宋体" w:cs="宋体"/>
          <w:sz w:val="22"/>
        </w:rPr>
        <w:t>的汇总表。</w:t>
      </w:r>
    </w:p>
    <w:p>
      <w:pPr>
        <w:snapToGrid w:val="0"/>
        <w:spacing w:line="360" w:lineRule="auto"/>
        <w:rPr>
          <w:rFonts w:ascii="宋体" w:cs="宋体"/>
          <w:sz w:val="22"/>
        </w:rPr>
      </w:pPr>
    </w:p>
    <w:p>
      <w:pPr>
        <w:snapToGrid w:val="0"/>
        <w:spacing w:before="120" w:beforeLines="50" w:line="360" w:lineRule="exact"/>
        <w:ind w:left="1134"/>
        <w:rPr>
          <w:rFonts w:ascii="宋体" w:cs="宋体"/>
          <w:sz w:val="2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cs="Calibri"/>
          <w:b/>
          <w:bCs/>
          <w:color w:val="000000"/>
          <w:sz w:val="32"/>
        </w:rPr>
      </w:pPr>
    </w:p>
    <w:p>
      <w:pPr>
        <w:spacing w:line="440" w:lineRule="exact"/>
        <w:rPr>
          <w:rFonts w:ascii="宋体" w:cs="宋体"/>
          <w:sz w:val="22"/>
        </w:rPr>
      </w:pPr>
      <w:r>
        <w:rPr>
          <w:rFonts w:ascii="宋体" w:cs="宋体"/>
          <w:sz w:val="2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hint="eastAsia" w:eastAsia="黑体" w:cs="Calibri"/>
          <w:color w:val="000000"/>
          <w:sz w:val="32"/>
          <w:szCs w:val="32"/>
        </w:rPr>
        <w:t>（一）投标人一般情况</w:t>
      </w:r>
    </w:p>
    <w:tbl>
      <w:tblPr>
        <w:tblStyle w:val="5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
        <w:gridCol w:w="1455"/>
        <w:gridCol w:w="380"/>
        <w:gridCol w:w="648"/>
        <w:gridCol w:w="382"/>
        <w:gridCol w:w="143"/>
        <w:gridCol w:w="72"/>
        <w:gridCol w:w="115"/>
        <w:gridCol w:w="863"/>
        <w:gridCol w:w="33"/>
        <w:gridCol w:w="360"/>
        <w:gridCol w:w="169"/>
        <w:gridCol w:w="278"/>
        <w:gridCol w:w="262"/>
        <w:gridCol w:w="95"/>
        <w:gridCol w:w="620"/>
        <w:gridCol w:w="215"/>
        <w:gridCol w:w="248"/>
        <w:gridCol w:w="30"/>
        <w:gridCol w:w="493"/>
        <w:gridCol w:w="126"/>
        <w:gridCol w:w="116"/>
        <w:gridCol w:w="892"/>
        <w:gridCol w:w="30"/>
        <w:gridCol w:w="1073"/>
        <w:gridCol w:w="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03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010" w:type="dxa"/>
            <w:gridSpan w:val="11"/>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112"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256"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125" w:type="dxa"/>
            <w:gridSpan w:val="9"/>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124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011"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897"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228"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tcPr>
          <w:p>
            <w:pPr>
              <w:snapToGrid w:val="0"/>
              <w:ind w:firstLine="220" w:firstLineChars="10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3420" w:type="dxa"/>
            <w:gridSpan w:val="1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3960" w:type="dxa"/>
            <w:gridSpan w:val="11"/>
            <w:tcBorders>
              <w:top w:val="single" w:color="auto" w:sz="4" w:space="0"/>
              <w:left w:val="single" w:color="auto" w:sz="4" w:space="0"/>
              <w:bottom w:val="single" w:color="auto" w:sz="4" w:space="0"/>
            </w:tcBorders>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ind w:firstLine="220" w:firstLineChars="10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616" w:type="dxa"/>
            <w:gridSpan w:val="8"/>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709"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701" w:type="dxa"/>
            <w:gridSpan w:val="6"/>
            <w:tcBorders>
              <w:top w:val="single" w:color="auto" w:sz="4" w:space="0"/>
              <w:left w:val="single" w:color="auto" w:sz="4" w:space="0"/>
              <w:bottom w:val="single" w:color="auto" w:sz="4" w:space="0"/>
              <w:right w:val="single" w:color="auto" w:sz="4" w:space="0"/>
            </w:tcBorders>
          </w:tcPr>
          <w:p>
            <w:pPr>
              <w:snapToGrid w:val="0"/>
              <w:jc w:val="center"/>
              <w:rPr>
                <w:rFonts w:cs="Calibri"/>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220" w:type="dxa"/>
            <w:gridSpan w:val="3"/>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7380" w:type="dxa"/>
            <w:gridSpan w:val="23"/>
            <w:tcBorders>
              <w:top w:val="single" w:color="auto" w:sz="4" w:space="0"/>
              <w:left w:val="single" w:color="auto" w:sz="4" w:space="0"/>
              <w:bottom w:val="single" w:color="auto" w:sz="4" w:space="0"/>
            </w:tcBorders>
            <w:vAlign w:val="center"/>
          </w:tcPr>
          <w:p>
            <w:pPr>
              <w:snapToGrid w:val="0"/>
              <w:jc w:val="center"/>
              <w:rPr>
                <w:rFonts w:cs="Calibri"/>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restart"/>
            <w:tcBorders>
              <w:top w:val="single" w:color="auto" w:sz="4" w:space="0"/>
              <w:bottom w:val="single" w:color="auto" w:sz="4" w:space="0"/>
              <w:right w:val="single" w:color="auto" w:sz="4" w:space="0"/>
            </w:tcBorders>
            <w:vAlign w:val="center"/>
          </w:tcPr>
          <w:p>
            <w:pPr>
              <w:snapToGrid w:val="0"/>
              <w:jc w:val="center"/>
              <w:rPr>
                <w:rFonts w:cs="Calibri"/>
                <w:sz w:val="22"/>
              </w:rPr>
            </w:pPr>
          </w:p>
        </w:tc>
        <w:tc>
          <w:tcPr>
            <w:tcW w:w="2256"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99"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p>
        </w:tc>
        <w:tc>
          <w:tcPr>
            <w:tcW w:w="1935"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gridSpan w:val="2"/>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gridSpan w:val="3"/>
            <w:vMerge w:val="continue"/>
            <w:tcBorders>
              <w:top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7"/>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10"/>
            <w:vAlign w:val="center"/>
          </w:tcPr>
          <w:p>
            <w:pPr>
              <w:snapToGrid w:val="0"/>
              <w:spacing w:line="400" w:lineRule="exact"/>
              <w:ind w:left="-170" w:right="-170"/>
              <w:jc w:val="center"/>
              <w:rPr>
                <w:rFonts w:ascii="宋体" w:hAnsi="宋体" w:cs="宋体"/>
                <w:sz w:val="22"/>
              </w:rPr>
            </w:pPr>
          </w:p>
        </w:tc>
        <w:tc>
          <w:tcPr>
            <w:tcW w:w="1748"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6"/>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10"/>
            <w:vAlign w:val="center"/>
          </w:tcPr>
          <w:p>
            <w:pPr>
              <w:snapToGrid w:val="0"/>
              <w:spacing w:line="400" w:lineRule="exact"/>
              <w:ind w:left="-170" w:right="-170"/>
              <w:jc w:val="center"/>
              <w:rPr>
                <w:rFonts w:ascii="宋体" w:hAnsi="宋体" w:cs="宋体"/>
                <w:sz w:val="22"/>
              </w:rPr>
            </w:pPr>
          </w:p>
        </w:tc>
        <w:tc>
          <w:tcPr>
            <w:tcW w:w="1748"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6"/>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23"/>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trHeight w:val="45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23"/>
            <w:vAlign w:val="center"/>
          </w:tcPr>
          <w:p>
            <w:pPr>
              <w:pStyle w:val="32"/>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6"/>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9"/>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6"/>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9"/>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5"/>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4"/>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continue"/>
            <w:vAlign w:val="center"/>
          </w:tcPr>
          <w:p>
            <w:pPr>
              <w:snapToGrid w:val="0"/>
              <w:spacing w:line="400" w:lineRule="exact"/>
              <w:ind w:left="-170" w:right="-170"/>
              <w:jc w:val="center"/>
              <w:rPr>
                <w:rFonts w:ascii="宋体" w:hAnsi="宋体" w:cs="宋体"/>
                <w:sz w:val="22"/>
              </w:rPr>
            </w:pPr>
          </w:p>
        </w:tc>
        <w:tc>
          <w:tcPr>
            <w:tcW w:w="1575" w:type="dxa"/>
            <w:gridSpan w:val="5"/>
            <w:vMerge w:val="continue"/>
            <w:vAlign w:val="center"/>
          </w:tcPr>
          <w:p>
            <w:pPr>
              <w:snapToGrid w:val="0"/>
              <w:spacing w:line="400" w:lineRule="exact"/>
              <w:ind w:left="-170" w:right="-170"/>
              <w:jc w:val="center"/>
              <w:rPr>
                <w:rFonts w:ascii="宋体" w:hAnsi="宋体" w:cs="宋体"/>
                <w:sz w:val="22"/>
              </w:rPr>
            </w:pPr>
          </w:p>
        </w:tc>
        <w:tc>
          <w:tcPr>
            <w:tcW w:w="840" w:type="dxa"/>
            <w:gridSpan w:val="4"/>
            <w:vMerge w:val="continue"/>
            <w:vAlign w:val="center"/>
          </w:tcPr>
          <w:p>
            <w:pPr>
              <w:snapToGrid w:val="0"/>
              <w:spacing w:line="400" w:lineRule="exact"/>
              <w:ind w:left="-170" w:right="-170"/>
              <w:jc w:val="center"/>
              <w:rPr>
                <w:rFonts w:ascii="宋体" w:hAnsi="宋体" w:cs="宋体"/>
                <w:sz w:val="22"/>
              </w:rPr>
            </w:pP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5"/>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4"/>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gridSpan w:val="2"/>
            <w:vMerge w:val="continue"/>
            <w:vAlign w:val="center"/>
          </w:tcPr>
          <w:p>
            <w:pPr>
              <w:snapToGrid w:val="0"/>
              <w:spacing w:line="400" w:lineRule="exact"/>
              <w:ind w:left="-170" w:right="-170"/>
              <w:jc w:val="center"/>
              <w:rPr>
                <w:rFonts w:ascii="宋体" w:hAnsi="宋体" w:cs="宋体"/>
                <w:sz w:val="22"/>
              </w:rPr>
            </w:pPr>
          </w:p>
        </w:tc>
        <w:tc>
          <w:tcPr>
            <w:tcW w:w="1575" w:type="dxa"/>
            <w:gridSpan w:val="5"/>
            <w:vMerge w:val="continue"/>
            <w:vAlign w:val="center"/>
          </w:tcPr>
          <w:p>
            <w:pPr>
              <w:snapToGrid w:val="0"/>
              <w:spacing w:line="400" w:lineRule="exact"/>
              <w:ind w:left="-170" w:right="-170"/>
              <w:jc w:val="center"/>
              <w:rPr>
                <w:rFonts w:ascii="宋体" w:hAnsi="宋体" w:cs="宋体"/>
                <w:sz w:val="22"/>
              </w:rPr>
            </w:pPr>
          </w:p>
        </w:tc>
        <w:tc>
          <w:tcPr>
            <w:tcW w:w="840" w:type="dxa"/>
            <w:gridSpan w:val="4"/>
            <w:vMerge w:val="continue"/>
            <w:vAlign w:val="center"/>
          </w:tcPr>
          <w:p>
            <w:pPr>
              <w:snapToGrid w:val="0"/>
              <w:spacing w:line="400" w:lineRule="exact"/>
              <w:ind w:left="-170" w:right="-170"/>
              <w:jc w:val="center"/>
              <w:rPr>
                <w:rFonts w:ascii="宋体" w:hAnsi="宋体" w:cs="宋体"/>
                <w:sz w:val="22"/>
              </w:rPr>
            </w:pPr>
          </w:p>
        </w:tc>
        <w:tc>
          <w:tcPr>
            <w:tcW w:w="1440" w:type="dxa"/>
            <w:gridSpan w:val="5"/>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7"/>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1634" w:hRule="atLeast"/>
          <w:jc w:val="center"/>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23"/>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4"/>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19"/>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4"/>
            <w:vAlign w:val="center"/>
          </w:tcPr>
          <w:p>
            <w:pPr>
              <w:snapToGrid w:val="0"/>
              <w:spacing w:line="400" w:lineRule="exact"/>
              <w:ind w:left="-170" w:right="-170"/>
              <w:jc w:val="center"/>
              <w:rPr>
                <w:rFonts w:ascii="宋体" w:hAnsi="宋体" w:cs="宋体"/>
                <w:sz w:val="22"/>
              </w:rPr>
            </w:pPr>
          </w:p>
        </w:tc>
        <w:tc>
          <w:tcPr>
            <w:tcW w:w="6090" w:type="dxa"/>
            <w:gridSpan w:val="19"/>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4"/>
            <w:vAlign w:val="center"/>
          </w:tcPr>
          <w:p>
            <w:pPr>
              <w:snapToGrid w:val="0"/>
              <w:spacing w:line="400" w:lineRule="exact"/>
              <w:ind w:left="-170" w:right="-170"/>
              <w:jc w:val="center"/>
              <w:rPr>
                <w:rFonts w:ascii="宋体" w:hAnsi="宋体" w:cs="宋体"/>
                <w:sz w:val="22"/>
              </w:rPr>
            </w:pPr>
          </w:p>
        </w:tc>
        <w:tc>
          <w:tcPr>
            <w:tcW w:w="6090" w:type="dxa"/>
            <w:gridSpan w:val="19"/>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5" w:type="dxa"/>
          <w:wAfter w:w="117" w:type="dxa"/>
          <w:cantSplit/>
          <w:trHeight w:val="454" w:hRule="atLeast"/>
          <w:jc w:val="center"/>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4"/>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19"/>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spacing w:line="360" w:lineRule="auto"/>
        <w:jc w:val="center"/>
        <w:rPr>
          <w:rFonts w:cs="Calibri"/>
          <w:b/>
          <w:sz w:val="36"/>
          <w:szCs w:val="36"/>
        </w:rPr>
      </w:pPr>
    </w:p>
    <w:p>
      <w:pPr>
        <w:spacing w:line="360" w:lineRule="auto"/>
        <w:jc w:val="center"/>
        <w:rPr>
          <w:rFonts w:ascii="宋体" w:cs="宋体"/>
          <w:b/>
          <w:sz w:val="32"/>
          <w:szCs w:val="32"/>
        </w:rPr>
      </w:pPr>
      <w:r>
        <w:rPr>
          <w:rFonts w:hint="eastAsia" w:ascii="宋体" w:hAnsi="宋体" w:cs="宋体"/>
          <w:b/>
          <w:sz w:val="32"/>
          <w:szCs w:val="32"/>
        </w:rPr>
        <w:t>（二）投标产品的销售业绩一览表</w:t>
      </w:r>
    </w:p>
    <w:tbl>
      <w:tblPr>
        <w:tblStyle w:val="5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kern w:val="0"/>
                <w:sz w:val="22"/>
              </w:rPr>
            </w:pPr>
            <w:r>
              <w:rPr>
                <w:rFonts w:hint="eastAsia" w:ascii="??" w:hAnsi="??" w:cs="宋体"/>
                <w:bCs/>
                <w:kern w:val="0"/>
                <w:sz w:val="22"/>
              </w:rPr>
              <w:t>业绩名称</w:t>
            </w:r>
          </w:p>
        </w:tc>
        <w:tc>
          <w:tcPr>
            <w:tcW w:w="1275" w:type="dxa"/>
            <w:vAlign w:val="center"/>
          </w:tcPr>
          <w:p>
            <w:pPr>
              <w:jc w:val="center"/>
              <w:rPr>
                <w:rFonts w:ascii="??" w:hAnsi="??" w:cs="宋体"/>
                <w:kern w:val="0"/>
                <w:sz w:val="22"/>
              </w:rPr>
            </w:pPr>
            <w:r>
              <w:rPr>
                <w:rFonts w:ascii="??" w:hAnsi="??" w:cs="宋体"/>
                <w:bCs/>
                <w:kern w:val="0"/>
                <w:sz w:val="22"/>
              </w:rPr>
              <w:t xml:space="preserve"> </w:t>
            </w:r>
            <w:r>
              <w:rPr>
                <w:rFonts w:hint="eastAsia" w:ascii="??" w:hAnsi="??" w:cs="宋体"/>
                <w:bCs/>
                <w:kern w:val="0"/>
                <w:sz w:val="22"/>
              </w:rPr>
              <w:t>项目业主</w:t>
            </w:r>
          </w:p>
        </w:tc>
        <w:tc>
          <w:tcPr>
            <w:tcW w:w="1419" w:type="dxa"/>
            <w:vAlign w:val="center"/>
          </w:tcPr>
          <w:p>
            <w:pPr>
              <w:jc w:val="center"/>
              <w:rPr>
                <w:rFonts w:ascii="??" w:hAnsi="??" w:cs="宋体"/>
                <w:kern w:val="0"/>
                <w:sz w:val="22"/>
              </w:rPr>
            </w:pPr>
            <w:r>
              <w:rPr>
                <w:rFonts w:hint="eastAsia" w:ascii="??" w:hAnsi="??" w:cs="宋体"/>
                <w:kern w:val="0"/>
                <w:sz w:val="22"/>
              </w:rPr>
              <w:t>货物数量</w:t>
            </w:r>
          </w:p>
        </w:tc>
        <w:tc>
          <w:tcPr>
            <w:tcW w:w="1701" w:type="dxa"/>
            <w:vAlign w:val="center"/>
          </w:tcPr>
          <w:p>
            <w:pPr>
              <w:jc w:val="center"/>
              <w:rPr>
                <w:rFonts w:ascii="??" w:hAnsi="??" w:cs="宋体"/>
                <w:kern w:val="0"/>
                <w:sz w:val="22"/>
              </w:rPr>
            </w:pPr>
            <w:r>
              <w:rPr>
                <w:rFonts w:hint="eastAsia" w:ascii="??" w:hAnsi="??" w:cs="宋体"/>
                <w:bCs/>
                <w:kern w:val="0"/>
                <w:sz w:val="22"/>
              </w:rPr>
              <w:t>合同签订日期</w:t>
            </w:r>
          </w:p>
        </w:tc>
        <w:tc>
          <w:tcPr>
            <w:tcW w:w="1107" w:type="dxa"/>
            <w:vAlign w:val="center"/>
          </w:tcPr>
          <w:p>
            <w:pPr>
              <w:jc w:val="center"/>
              <w:rPr>
                <w:rFonts w:ascii="??" w:hAnsi="??" w:cs="宋体"/>
                <w:bCs/>
                <w:kern w:val="0"/>
                <w:sz w:val="22"/>
              </w:rPr>
            </w:pPr>
            <w:r>
              <w:rPr>
                <w:rFonts w:hint="eastAsia" w:ascii="宋体" w:hAnsi="宋体" w:cs="宋体"/>
                <w:sz w:val="22"/>
              </w:rPr>
              <w:t>合同价</w:t>
            </w:r>
          </w:p>
        </w:tc>
        <w:tc>
          <w:tcPr>
            <w:tcW w:w="1559" w:type="dxa"/>
            <w:vAlign w:val="center"/>
          </w:tcPr>
          <w:p>
            <w:pPr>
              <w:jc w:val="center"/>
              <w:rPr>
                <w:rFonts w:ascii="??" w:hAnsi="??" w:cs="宋体"/>
                <w:bCs/>
                <w:kern w:val="0"/>
                <w:sz w:val="22"/>
              </w:rPr>
            </w:pPr>
            <w:r>
              <w:rPr>
                <w:rFonts w:hint="eastAsia" w:ascii="??" w:hAnsi="??" w:cs="宋体"/>
                <w:bCs/>
                <w:kern w:val="0"/>
                <w:sz w:val="22"/>
              </w:rPr>
              <w:t>业主联系方式</w:t>
            </w:r>
          </w:p>
        </w:tc>
        <w:tc>
          <w:tcPr>
            <w:tcW w:w="1276" w:type="dxa"/>
            <w:vAlign w:val="center"/>
          </w:tcPr>
          <w:p>
            <w:pPr>
              <w:jc w:val="center"/>
              <w:rPr>
                <w:rFonts w:ascii="??" w:hAnsi="??" w:cs="宋体"/>
                <w:bCs/>
                <w:kern w:val="0"/>
                <w:sz w:val="22"/>
              </w:rPr>
            </w:pPr>
            <w:r>
              <w:rPr>
                <w:rFonts w:hint="eastAsia" w:ascii="??" w:hAnsi="??" w:cs="宋体"/>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center"/>
          </w:tcPr>
          <w:p>
            <w:pPr>
              <w:jc w:val="center"/>
              <w:rPr>
                <w:rFonts w:ascii="??" w:hAnsi="??" w:cs="宋体"/>
                <w:bCs/>
                <w:kern w:val="0"/>
                <w:sz w:val="22"/>
              </w:rPr>
            </w:pPr>
          </w:p>
        </w:tc>
        <w:tc>
          <w:tcPr>
            <w:tcW w:w="1275" w:type="dxa"/>
            <w:vAlign w:val="center"/>
          </w:tcPr>
          <w:p>
            <w:pPr>
              <w:jc w:val="center"/>
              <w:rPr>
                <w:rFonts w:ascii="??" w:hAnsi="??" w:cs="宋体"/>
                <w:bCs/>
                <w:kern w:val="0"/>
                <w:sz w:val="22"/>
              </w:rPr>
            </w:pPr>
          </w:p>
        </w:tc>
        <w:tc>
          <w:tcPr>
            <w:tcW w:w="1419" w:type="dxa"/>
            <w:vAlign w:val="center"/>
          </w:tcPr>
          <w:p>
            <w:pPr>
              <w:jc w:val="center"/>
              <w:rPr>
                <w:rFonts w:ascii="??" w:hAnsi="??" w:cs="宋体"/>
                <w:bCs/>
                <w:kern w:val="0"/>
                <w:sz w:val="22"/>
              </w:rPr>
            </w:pPr>
          </w:p>
        </w:tc>
        <w:tc>
          <w:tcPr>
            <w:tcW w:w="1701" w:type="dxa"/>
            <w:vAlign w:val="center"/>
          </w:tcPr>
          <w:p>
            <w:pPr>
              <w:jc w:val="center"/>
              <w:rPr>
                <w:rFonts w:ascii="??" w:hAnsi="??" w:cs="宋体"/>
                <w:bCs/>
                <w:kern w:val="0"/>
                <w:sz w:val="22"/>
              </w:rPr>
            </w:pPr>
          </w:p>
        </w:tc>
        <w:tc>
          <w:tcPr>
            <w:tcW w:w="1107" w:type="dxa"/>
          </w:tcPr>
          <w:p>
            <w:pPr>
              <w:jc w:val="center"/>
              <w:rPr>
                <w:rFonts w:ascii="??" w:hAnsi="??" w:cs="宋体"/>
                <w:bCs/>
                <w:kern w:val="0"/>
                <w:sz w:val="22"/>
              </w:rPr>
            </w:pPr>
          </w:p>
        </w:tc>
        <w:tc>
          <w:tcPr>
            <w:tcW w:w="1559" w:type="dxa"/>
          </w:tcPr>
          <w:p>
            <w:pPr>
              <w:jc w:val="center"/>
              <w:rPr>
                <w:rFonts w:ascii="??" w:hAnsi="??" w:cs="宋体"/>
                <w:bCs/>
                <w:kern w:val="0"/>
                <w:sz w:val="22"/>
              </w:rPr>
            </w:pPr>
          </w:p>
        </w:tc>
        <w:tc>
          <w:tcPr>
            <w:tcW w:w="1276" w:type="dxa"/>
          </w:tcPr>
          <w:p>
            <w:pPr>
              <w:jc w:val="center"/>
              <w:rPr>
                <w:rFonts w:ascii="??" w:hAnsi="??" w:cs="宋体"/>
                <w:bCs/>
                <w:kern w:val="0"/>
                <w:sz w:val="22"/>
              </w:rPr>
            </w:pPr>
          </w:p>
        </w:tc>
      </w:tr>
    </w:tbl>
    <w:p>
      <w:pPr>
        <w:spacing w:line="360" w:lineRule="auto"/>
        <w:jc w:val="left"/>
        <w:rPr>
          <w:rFonts w:ascii="??" w:hAnsi="??" w:cs="宋体"/>
          <w:kern w:val="0"/>
          <w:sz w:val="22"/>
        </w:rPr>
      </w:pPr>
      <w:r>
        <w:rPr>
          <w:rFonts w:hint="eastAsia" w:ascii="??" w:hAnsi="??" w:cs="宋体"/>
          <w:kern w:val="0"/>
          <w:sz w:val="22"/>
        </w:rPr>
        <w:t>注：</w:t>
      </w:r>
      <w:r>
        <w:rPr>
          <w:rFonts w:hint="eastAsia" w:ascii="宋体" w:hAnsi="宋体" w:cs="宋体"/>
          <w:sz w:val="22"/>
        </w:rPr>
        <w:t>本表只需填写符合“招标公告”资格条件和“评标办法”业绩评审标准的业绩。</w:t>
      </w:r>
      <w:r>
        <w:rPr>
          <w:rFonts w:hint="eastAsia" w:ascii="??" w:hAnsi="??" w:cs="宋体"/>
          <w:kern w:val="0"/>
          <w:sz w:val="22"/>
        </w:rPr>
        <w:t>附业绩的销售合同。</w:t>
      </w:r>
    </w:p>
    <w:p>
      <w:pPr>
        <w:spacing w:line="360" w:lineRule="auto"/>
        <w:jc w:val="left"/>
        <w:rPr>
          <w:rFonts w:ascii="??" w:hAnsi="??" w:cs="宋体"/>
          <w:kern w:val="0"/>
          <w:szCs w:val="21"/>
        </w:rPr>
      </w:pP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440" w:lineRule="exact"/>
        <w:jc w:val="center"/>
        <w:rPr>
          <w:rFonts w:ascii="宋体"/>
        </w:rPr>
      </w:pPr>
    </w:p>
    <w:tbl>
      <w:tblPr>
        <w:tblStyle w:val="5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 w:val="22"/>
              </w:rPr>
            </w:pPr>
            <w:r>
              <w:rPr>
                <w:rFonts w:hint="eastAsia" w:ascii="宋体" w:hAnsi="宋体"/>
                <w:sz w:val="22"/>
              </w:rPr>
              <w:t>序号</w:t>
            </w:r>
          </w:p>
        </w:tc>
        <w:tc>
          <w:tcPr>
            <w:tcW w:w="1365" w:type="dxa"/>
            <w:vAlign w:val="center"/>
          </w:tcPr>
          <w:p>
            <w:pPr>
              <w:jc w:val="center"/>
              <w:rPr>
                <w:rFonts w:ascii="宋体"/>
                <w:sz w:val="22"/>
              </w:rPr>
            </w:pPr>
            <w:r>
              <w:rPr>
                <w:rFonts w:hint="eastAsia" w:ascii="宋体" w:hAnsi="宋体"/>
                <w:sz w:val="22"/>
              </w:rPr>
              <w:t>货物名称</w:t>
            </w:r>
          </w:p>
        </w:tc>
        <w:tc>
          <w:tcPr>
            <w:tcW w:w="1260" w:type="dxa"/>
            <w:vAlign w:val="center"/>
          </w:tcPr>
          <w:p>
            <w:pPr>
              <w:jc w:val="center"/>
              <w:rPr>
                <w:rFonts w:ascii="宋体"/>
                <w:sz w:val="22"/>
              </w:rPr>
            </w:pPr>
            <w:r>
              <w:rPr>
                <w:rFonts w:hint="eastAsia" w:ascii="宋体" w:hAnsi="宋体"/>
                <w:sz w:val="22"/>
              </w:rPr>
              <w:t>招标文件条目号</w:t>
            </w:r>
          </w:p>
        </w:tc>
        <w:tc>
          <w:tcPr>
            <w:tcW w:w="1361" w:type="dxa"/>
            <w:vAlign w:val="center"/>
          </w:tcPr>
          <w:p>
            <w:pPr>
              <w:jc w:val="center"/>
              <w:rPr>
                <w:rFonts w:ascii="宋体"/>
                <w:sz w:val="22"/>
              </w:rPr>
            </w:pPr>
            <w:r>
              <w:rPr>
                <w:rFonts w:hint="eastAsia" w:ascii="宋体" w:hAnsi="宋体"/>
                <w:sz w:val="22"/>
              </w:rPr>
              <w:t>招标规格</w:t>
            </w:r>
          </w:p>
        </w:tc>
        <w:tc>
          <w:tcPr>
            <w:tcW w:w="1236" w:type="dxa"/>
            <w:vAlign w:val="center"/>
          </w:tcPr>
          <w:p>
            <w:pPr>
              <w:jc w:val="center"/>
              <w:rPr>
                <w:rFonts w:ascii="宋体"/>
                <w:sz w:val="22"/>
              </w:rPr>
            </w:pPr>
            <w:r>
              <w:rPr>
                <w:rFonts w:hint="eastAsia" w:ascii="宋体" w:hAnsi="宋体"/>
                <w:sz w:val="22"/>
              </w:rPr>
              <w:t>投标规格</w:t>
            </w:r>
          </w:p>
        </w:tc>
        <w:tc>
          <w:tcPr>
            <w:tcW w:w="1890" w:type="dxa"/>
            <w:vAlign w:val="center"/>
          </w:tcPr>
          <w:p>
            <w:pPr>
              <w:jc w:val="center"/>
              <w:rPr>
                <w:rFonts w:ascii="宋体"/>
                <w:sz w:val="22"/>
              </w:rPr>
            </w:pPr>
            <w:r>
              <w:rPr>
                <w:rFonts w:hint="eastAsia" w:ascii="宋体" w:hAnsi="宋体"/>
                <w:sz w:val="22"/>
              </w:rPr>
              <w:t>偏离</w:t>
            </w:r>
          </w:p>
        </w:tc>
        <w:tc>
          <w:tcPr>
            <w:tcW w:w="1470" w:type="dxa"/>
            <w:vAlign w:val="center"/>
          </w:tcPr>
          <w:p>
            <w:pPr>
              <w:jc w:val="center"/>
              <w:rPr>
                <w:rFonts w:ascii="宋体"/>
                <w:sz w:val="22"/>
              </w:rPr>
            </w:pPr>
            <w:r>
              <w:rPr>
                <w:rFonts w:hint="eastAsia" w:ascii="宋体" w:hAnsi="宋体"/>
                <w:sz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 w:val="22"/>
              </w:rPr>
            </w:pPr>
          </w:p>
        </w:tc>
        <w:tc>
          <w:tcPr>
            <w:tcW w:w="1365" w:type="dxa"/>
          </w:tcPr>
          <w:p>
            <w:pPr>
              <w:rPr>
                <w:rFonts w:ascii="宋体"/>
                <w:sz w:val="22"/>
              </w:rPr>
            </w:pPr>
          </w:p>
        </w:tc>
        <w:tc>
          <w:tcPr>
            <w:tcW w:w="1260" w:type="dxa"/>
          </w:tcPr>
          <w:p>
            <w:pPr>
              <w:rPr>
                <w:rFonts w:ascii="宋体"/>
                <w:sz w:val="22"/>
              </w:rPr>
            </w:pPr>
          </w:p>
        </w:tc>
        <w:tc>
          <w:tcPr>
            <w:tcW w:w="1361" w:type="dxa"/>
          </w:tcPr>
          <w:p>
            <w:pPr>
              <w:rPr>
                <w:rFonts w:ascii="宋体"/>
                <w:sz w:val="22"/>
              </w:rPr>
            </w:pPr>
          </w:p>
        </w:tc>
        <w:tc>
          <w:tcPr>
            <w:tcW w:w="1236" w:type="dxa"/>
          </w:tcPr>
          <w:p>
            <w:pPr>
              <w:rPr>
                <w:rFonts w:ascii="宋体"/>
                <w:sz w:val="22"/>
              </w:rPr>
            </w:pPr>
          </w:p>
        </w:tc>
        <w:tc>
          <w:tcPr>
            <w:tcW w:w="1890" w:type="dxa"/>
          </w:tcPr>
          <w:p>
            <w:pPr>
              <w:rPr>
                <w:rFonts w:ascii="宋体"/>
                <w:sz w:val="22"/>
              </w:rPr>
            </w:pPr>
          </w:p>
        </w:tc>
        <w:tc>
          <w:tcPr>
            <w:tcW w:w="1470" w:type="dxa"/>
          </w:tcPr>
          <w:p>
            <w:pPr>
              <w:rPr>
                <w:rFonts w:ascii="宋体"/>
                <w:sz w:val="22"/>
              </w:rPr>
            </w:pPr>
          </w:p>
        </w:tc>
      </w:tr>
    </w:tbl>
    <w:p>
      <w:pPr>
        <w:spacing w:line="560" w:lineRule="exact"/>
        <w:rPr>
          <w:rFonts w:hAnsi="宋体"/>
          <w:bCs/>
          <w:sz w:val="22"/>
        </w:rPr>
      </w:pPr>
      <w:r>
        <w:rPr>
          <w:rFonts w:hint="eastAsia" w:hAnsi="宋体"/>
          <w:bCs/>
          <w:sz w:val="22"/>
        </w:rPr>
        <w:t>注：如不填写，则视为完全响应招标文件的技术要求。</w:t>
      </w:r>
    </w:p>
    <w:p>
      <w:pPr>
        <w:spacing w:line="560" w:lineRule="exact"/>
        <w:rPr>
          <w:rFonts w:ascii="宋体"/>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七、商务条款响应偏离表</w:t>
      </w:r>
    </w:p>
    <w:tbl>
      <w:tblPr>
        <w:tblStyle w:val="5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r>
              <w:rPr>
                <w:rFonts w:hint="eastAsia" w:hAnsi="宋体"/>
                <w:kern w:val="2"/>
                <w:sz w:val="22"/>
                <w:szCs w:val="22"/>
              </w:rPr>
              <w:t>序号</w:t>
            </w:r>
          </w:p>
        </w:tc>
        <w:tc>
          <w:tcPr>
            <w:tcW w:w="900" w:type="dxa"/>
            <w:vAlign w:val="center"/>
          </w:tcPr>
          <w:p>
            <w:pPr>
              <w:pStyle w:val="23"/>
              <w:adjustRightInd w:val="0"/>
              <w:snapToGrid w:val="0"/>
              <w:jc w:val="center"/>
              <w:rPr>
                <w:rFonts w:hAnsi="宋体"/>
                <w:kern w:val="2"/>
                <w:sz w:val="22"/>
                <w:szCs w:val="22"/>
              </w:rPr>
            </w:pPr>
            <w:r>
              <w:rPr>
                <w:rFonts w:hint="eastAsia" w:hAnsi="宋体"/>
                <w:kern w:val="2"/>
                <w:sz w:val="22"/>
                <w:szCs w:val="22"/>
              </w:rPr>
              <w:t>内容</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招标文件要求</w:t>
            </w:r>
          </w:p>
        </w:tc>
        <w:tc>
          <w:tcPr>
            <w:tcW w:w="3510" w:type="dxa"/>
            <w:vAlign w:val="center"/>
          </w:tcPr>
          <w:p>
            <w:pPr>
              <w:pStyle w:val="23"/>
              <w:adjustRightInd w:val="0"/>
              <w:snapToGrid w:val="0"/>
              <w:jc w:val="center"/>
              <w:rPr>
                <w:rFonts w:hAnsi="宋体"/>
                <w:kern w:val="2"/>
                <w:sz w:val="22"/>
                <w:szCs w:val="22"/>
              </w:rPr>
            </w:pPr>
            <w:r>
              <w:rPr>
                <w:rFonts w:hint="eastAsia" w:hAnsi="宋体"/>
                <w:kern w:val="2"/>
                <w:sz w:val="22"/>
                <w:szCs w:val="22"/>
              </w:rPr>
              <w:t>投标文件对应内容</w:t>
            </w:r>
          </w:p>
        </w:tc>
        <w:tc>
          <w:tcPr>
            <w:tcW w:w="827" w:type="dxa"/>
            <w:vAlign w:val="center"/>
          </w:tcPr>
          <w:p>
            <w:pPr>
              <w:pStyle w:val="23"/>
              <w:adjustRightInd w:val="0"/>
              <w:snapToGrid w:val="0"/>
              <w:jc w:val="center"/>
              <w:rPr>
                <w:rFonts w:hAnsi="宋体"/>
                <w:kern w:val="2"/>
                <w:sz w:val="22"/>
                <w:szCs w:val="22"/>
              </w:rPr>
            </w:pPr>
            <w:r>
              <w:rPr>
                <w:rFonts w:hint="eastAsia" w:hAnsi="宋体"/>
                <w:kern w:val="2"/>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3"/>
              <w:adjustRightInd w:val="0"/>
              <w:snapToGrid w:val="0"/>
              <w:jc w:val="center"/>
              <w:rPr>
                <w:rFonts w:hAnsi="宋体"/>
                <w:kern w:val="2"/>
                <w:sz w:val="22"/>
                <w:szCs w:val="22"/>
              </w:rPr>
            </w:pPr>
          </w:p>
        </w:tc>
        <w:tc>
          <w:tcPr>
            <w:tcW w:w="90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3510" w:type="dxa"/>
            <w:vAlign w:val="center"/>
          </w:tcPr>
          <w:p>
            <w:pPr>
              <w:pStyle w:val="23"/>
              <w:adjustRightInd w:val="0"/>
              <w:snapToGrid w:val="0"/>
              <w:jc w:val="center"/>
              <w:rPr>
                <w:rFonts w:hAnsi="宋体"/>
                <w:kern w:val="2"/>
                <w:sz w:val="22"/>
                <w:szCs w:val="22"/>
              </w:rPr>
            </w:pPr>
          </w:p>
        </w:tc>
        <w:tc>
          <w:tcPr>
            <w:tcW w:w="827" w:type="dxa"/>
            <w:vAlign w:val="center"/>
          </w:tcPr>
          <w:p>
            <w:pPr>
              <w:pStyle w:val="23"/>
              <w:adjustRightInd w:val="0"/>
              <w:snapToGrid w:val="0"/>
              <w:jc w:val="center"/>
              <w:rPr>
                <w:rFonts w:hAnsi="宋体"/>
                <w:kern w:val="2"/>
                <w:sz w:val="22"/>
                <w:szCs w:val="22"/>
              </w:rPr>
            </w:pPr>
          </w:p>
        </w:tc>
      </w:tr>
    </w:tbl>
    <w:p>
      <w:pPr>
        <w:pStyle w:val="23"/>
        <w:adjustRightInd w:val="0"/>
        <w:snapToGrid w:val="0"/>
        <w:spacing w:line="560" w:lineRule="exact"/>
        <w:rPr>
          <w:rFonts w:hAnsi="宋体"/>
          <w:bCs/>
          <w:sz w:val="22"/>
          <w:szCs w:val="22"/>
        </w:rPr>
      </w:pPr>
    </w:p>
    <w:p>
      <w:pPr>
        <w:pStyle w:val="23"/>
        <w:adjustRightInd w:val="0"/>
        <w:snapToGrid w:val="0"/>
        <w:spacing w:line="560" w:lineRule="exact"/>
        <w:rPr>
          <w:rFonts w:hAnsi="宋体"/>
          <w:bCs/>
          <w:sz w:val="22"/>
          <w:szCs w:val="22"/>
        </w:rPr>
      </w:pPr>
      <w:r>
        <w:rPr>
          <w:rFonts w:hint="eastAsia" w:hAnsi="宋体"/>
          <w:bCs/>
          <w:sz w:val="22"/>
          <w:szCs w:val="22"/>
        </w:rPr>
        <w:t>注：如不填写，则视为完全响应招标文件的商务要求。</w:t>
      </w:r>
    </w:p>
    <w:p>
      <w:pPr>
        <w:pStyle w:val="23"/>
        <w:adjustRightInd w:val="0"/>
        <w:snapToGrid w:val="0"/>
        <w:spacing w:line="560" w:lineRule="exact"/>
        <w:rPr>
          <w:rFonts w:hAnsi="宋体"/>
          <w:bCs/>
          <w:sz w:val="24"/>
          <w:szCs w:val="24"/>
        </w:rPr>
      </w:pPr>
    </w:p>
    <w:p>
      <w:pPr>
        <w:widowControl/>
        <w:jc w:val="left"/>
        <w:rPr>
          <w:rFonts w:eastAsia="黑体" w:cs="Calibri"/>
          <w:color w:val="000000"/>
          <w:sz w:val="32"/>
          <w:szCs w:val="32"/>
        </w:rPr>
      </w:pPr>
    </w:p>
    <w:p>
      <w:pPr>
        <w:spacing w:line="440" w:lineRule="exact"/>
        <w:jc w:val="center"/>
      </w:pPr>
      <w:r>
        <w:rPr>
          <w:rFonts w:hint="eastAsia" w:eastAsia="黑体" w:cs="Calibri"/>
          <w:color w:val="000000"/>
          <w:sz w:val="32"/>
          <w:szCs w:val="32"/>
        </w:rPr>
        <w:t>八、投标人认为应该提供的其他材料</w:t>
      </w:r>
    </w:p>
    <w:p/>
    <w:p/>
    <w:sectPr>
      <w:footerReference r:id="rId3"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方正小标宋简体">
    <w:panose1 w:val="03000509000000000000"/>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outside" w:y="1"/>
      <w:rPr>
        <w:rStyle w:val="50"/>
      </w:rPr>
    </w:pPr>
    <w:r>
      <w:rPr>
        <w:rStyle w:val="50"/>
      </w:rPr>
      <w:fldChar w:fldCharType="begin"/>
    </w:r>
    <w:r>
      <w:rPr>
        <w:rStyle w:val="50"/>
      </w:rPr>
      <w:instrText xml:space="preserve">PAGE  </w:instrText>
    </w:r>
    <w:r>
      <w:rPr>
        <w:rStyle w:val="50"/>
      </w:rPr>
      <w:fldChar w:fldCharType="separate"/>
    </w:r>
    <w:r>
      <w:rPr>
        <w:rStyle w:val="50"/>
      </w:rPr>
      <w:t>0</w:t>
    </w:r>
    <w:r>
      <w:rPr>
        <w:rStyle w:val="50"/>
      </w:rPr>
      <w:fldChar w:fldCharType="end"/>
    </w:r>
  </w:p>
  <w:p>
    <w:pPr>
      <w:pStyle w:val="2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5D22DDEE"/>
    <w:multiLevelType w:val="multilevel"/>
    <w:tmpl w:val="5D22DDEE"/>
    <w:lvl w:ilvl="0" w:tentative="0">
      <w:start w:val="1"/>
      <w:numFmt w:val="decimal"/>
      <w:lvlText w:val="(%1)"/>
      <w:lvlJc w:val="left"/>
      <w:pPr>
        <w:tabs>
          <w:tab w:val="left" w:pos="907"/>
        </w:tabs>
        <w:ind w:left="907" w:hanging="482"/>
      </w:pPr>
      <w:rPr>
        <w:b w:val="0"/>
        <w:strike w:val="0"/>
        <w:dstrike w:val="0"/>
        <w:u w:val="none"/>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D7ADF"/>
    <w:rsid w:val="000D79DB"/>
    <w:rsid w:val="002810E6"/>
    <w:rsid w:val="002E5F35"/>
    <w:rsid w:val="003154B5"/>
    <w:rsid w:val="004B4FF6"/>
    <w:rsid w:val="00626380"/>
    <w:rsid w:val="00695913"/>
    <w:rsid w:val="00695E3B"/>
    <w:rsid w:val="006D7ADF"/>
    <w:rsid w:val="006F66CD"/>
    <w:rsid w:val="007018A4"/>
    <w:rsid w:val="007F4F4D"/>
    <w:rsid w:val="008242E5"/>
    <w:rsid w:val="008978A6"/>
    <w:rsid w:val="00906501"/>
    <w:rsid w:val="00907B31"/>
    <w:rsid w:val="00970F85"/>
    <w:rsid w:val="00A529F7"/>
    <w:rsid w:val="00AC0335"/>
    <w:rsid w:val="00AF21A6"/>
    <w:rsid w:val="00B268A0"/>
    <w:rsid w:val="00BC7893"/>
    <w:rsid w:val="00C65BE3"/>
    <w:rsid w:val="00CD1A21"/>
    <w:rsid w:val="00D1514C"/>
    <w:rsid w:val="00D55BEA"/>
    <w:rsid w:val="00D72B53"/>
    <w:rsid w:val="00DD3AB7"/>
    <w:rsid w:val="00E14825"/>
    <w:rsid w:val="00F051C8"/>
    <w:rsid w:val="00F357CC"/>
    <w:rsid w:val="00F529A8"/>
    <w:rsid w:val="07F510EE"/>
    <w:rsid w:val="2A2829A6"/>
    <w:rsid w:val="368A2E6C"/>
    <w:rsid w:val="56606361"/>
    <w:rsid w:val="669734BA"/>
    <w:rsid w:val="70D61E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semiHidden="0" w:name="heading 6"/>
    <w:lsdException w:qFormat="1"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59"/>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60"/>
    <w:qFormat/>
    <w:uiPriority w:val="0"/>
    <w:pPr>
      <w:spacing w:line="440" w:lineRule="atLeast"/>
      <w:outlineLvl w:val="2"/>
    </w:pPr>
    <w:rPr>
      <w:rFonts w:ascii="Times New Roman" w:hAnsi="Times New Roman" w:eastAsia="楷体_GB2312"/>
      <w:kern w:val="0"/>
      <w:sz w:val="20"/>
      <w:szCs w:val="20"/>
    </w:rPr>
  </w:style>
  <w:style w:type="paragraph" w:styleId="5">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5"/>
    <w:basedOn w:val="1"/>
    <w:next w:val="1"/>
    <w:link w:val="62"/>
    <w:qFormat/>
    <w:uiPriority w:val="0"/>
    <w:pPr>
      <w:keepNext/>
      <w:keepLines/>
      <w:spacing w:before="280" w:after="290" w:line="372" w:lineRule="auto"/>
      <w:outlineLvl w:val="4"/>
    </w:pPr>
    <w:rPr>
      <w:rFonts w:ascii="Times New Roman" w:hAnsi="Times New Roman"/>
      <w:b/>
      <w:kern w:val="0"/>
      <w:sz w:val="28"/>
      <w:szCs w:val="20"/>
    </w:rPr>
  </w:style>
  <w:style w:type="paragraph" w:styleId="7">
    <w:name w:val="heading 6"/>
    <w:basedOn w:val="1"/>
    <w:next w:val="1"/>
    <w:link w:val="63"/>
    <w:unhideWhenUsed/>
    <w:qFormat/>
    <w:uiPriority w:val="0"/>
    <w:pPr>
      <w:keepNext/>
      <w:keepLines/>
      <w:spacing w:before="240" w:after="64" w:line="320" w:lineRule="auto"/>
      <w:outlineLvl w:val="5"/>
    </w:pPr>
    <w:rPr>
      <w:rFonts w:ascii="Cambria" w:hAnsi="Cambria"/>
      <w:b/>
      <w:bCs/>
      <w:sz w:val="24"/>
      <w:szCs w:val="24"/>
    </w:rPr>
  </w:style>
  <w:style w:type="paragraph" w:styleId="8">
    <w:name w:val="heading 7"/>
    <w:basedOn w:val="1"/>
    <w:next w:val="1"/>
    <w:link w:val="64"/>
    <w:unhideWhenUsed/>
    <w:qFormat/>
    <w:uiPriority w:val="0"/>
    <w:pPr>
      <w:keepNext/>
      <w:keepLines/>
      <w:spacing w:before="240" w:after="64" w:line="320" w:lineRule="auto"/>
      <w:outlineLvl w:val="6"/>
    </w:pPr>
    <w:rPr>
      <w:b/>
      <w:bCs/>
      <w:sz w:val="24"/>
      <w:szCs w:val="24"/>
    </w:rPr>
  </w:style>
  <w:style w:type="character" w:default="1" w:styleId="48">
    <w:name w:val="Default Paragraph Font"/>
    <w:unhideWhenUsed/>
    <w:uiPriority w:val="1"/>
  </w:style>
  <w:style w:type="table" w:default="1" w:styleId="56">
    <w:name w:val="Normal Table"/>
    <w:unhideWhenUsed/>
    <w:qFormat/>
    <w:uiPriority w:val="99"/>
    <w:tblPr>
      <w:tblLayout w:type="fixed"/>
      <w:tblCellMar>
        <w:top w:w="0" w:type="dxa"/>
        <w:left w:w="108" w:type="dxa"/>
        <w:bottom w:w="0" w:type="dxa"/>
        <w:right w:w="108" w:type="dxa"/>
      </w:tblCellMar>
    </w:tbl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82"/>
    <w:semiHidden/>
    <w:qFormat/>
    <w:uiPriority w:val="0"/>
  </w:style>
  <w:style w:type="paragraph" w:styleId="11">
    <w:name w:val="annotation text"/>
    <w:basedOn w:val="1"/>
    <w:link w:val="65"/>
    <w:qFormat/>
    <w:uiPriority w:val="0"/>
    <w:pPr>
      <w:jc w:val="left"/>
    </w:pPr>
    <w:rPr>
      <w:kern w:val="0"/>
      <w:sz w:val="20"/>
      <w:szCs w:val="20"/>
    </w:rPr>
  </w:style>
  <w:style w:type="paragraph" w:styleId="12">
    <w:name w:val="toc 7"/>
    <w:basedOn w:val="1"/>
    <w:next w:val="1"/>
    <w:qFormat/>
    <w:uiPriority w:val="0"/>
    <w:pPr>
      <w:ind w:left="2520"/>
    </w:pPr>
    <w:rPr>
      <w:rFonts w:ascii="Times New Roman" w:hAnsi="Times New Roman"/>
      <w:szCs w:val="24"/>
    </w:rPr>
  </w:style>
  <w:style w:type="paragraph" w:styleId="13">
    <w:name w:val="Body Text First Indent"/>
    <w:basedOn w:val="14"/>
    <w:link w:val="68"/>
    <w:qFormat/>
    <w:uiPriority w:val="0"/>
    <w:pPr>
      <w:ind w:firstLine="420" w:firstLineChars="100"/>
    </w:pPr>
    <w:rPr>
      <w:rFonts w:ascii="Times New Roman" w:hAnsi="Times New Roman"/>
      <w:sz w:val="24"/>
    </w:rPr>
  </w:style>
  <w:style w:type="paragraph" w:styleId="14">
    <w:name w:val="Body Text"/>
    <w:basedOn w:val="1"/>
    <w:link w:val="67"/>
    <w:qFormat/>
    <w:uiPriority w:val="0"/>
    <w:pPr>
      <w:spacing w:after="120"/>
    </w:pPr>
    <w:rPr>
      <w:kern w:val="0"/>
      <w:sz w:val="20"/>
      <w:szCs w:val="20"/>
    </w:rPr>
  </w:style>
  <w:style w:type="paragraph" w:styleId="15">
    <w:name w:val="Normal Indent"/>
    <w:basedOn w:val="1"/>
    <w:link w:val="109"/>
    <w:qFormat/>
    <w:uiPriority w:val="0"/>
    <w:pPr>
      <w:autoSpaceDE w:val="0"/>
      <w:autoSpaceDN w:val="0"/>
      <w:adjustRightInd w:val="0"/>
      <w:ind w:firstLine="420"/>
      <w:jc w:val="left"/>
    </w:pPr>
    <w:rPr>
      <w:rFonts w:ascii="宋体" w:hAnsi="Times New Roman"/>
      <w:kern w:val="0"/>
      <w:sz w:val="20"/>
      <w:szCs w:val="20"/>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9"/>
    <w:qFormat/>
    <w:uiPriority w:val="0"/>
    <w:pPr>
      <w:shd w:val="clear" w:color="auto" w:fill="000080"/>
    </w:pPr>
    <w:rPr>
      <w:rFonts w:ascii="Times New Roman" w:hAnsi="Times New Roman"/>
      <w:kern w:val="0"/>
      <w:sz w:val="24"/>
      <w:szCs w:val="20"/>
    </w:rPr>
  </w:style>
  <w:style w:type="paragraph" w:styleId="18">
    <w:name w:val="toa heading"/>
    <w:basedOn w:val="1"/>
    <w:next w:val="1"/>
    <w:qFormat/>
    <w:uiPriority w:val="0"/>
    <w:pPr>
      <w:spacing w:before="120"/>
    </w:pPr>
    <w:rPr>
      <w:rFonts w:ascii="Arial" w:hAnsi="Arial" w:cs="Arial"/>
      <w:sz w:val="24"/>
      <w:szCs w:val="24"/>
    </w:rPr>
  </w:style>
  <w:style w:type="paragraph" w:styleId="19">
    <w:name w:val="Body Text Indent"/>
    <w:basedOn w:val="1"/>
    <w:link w:val="70"/>
    <w:qFormat/>
    <w:uiPriority w:val="0"/>
    <w:pPr>
      <w:spacing w:after="120"/>
      <w:ind w:left="420" w:leftChars="200"/>
    </w:pPr>
    <w:rPr>
      <w:kern w:val="0"/>
      <w:sz w:val="20"/>
      <w:szCs w:val="20"/>
    </w:rPr>
  </w:style>
  <w:style w:type="paragraph" w:styleId="20">
    <w:name w:val="List 2"/>
    <w:basedOn w:val="1"/>
    <w:qFormat/>
    <w:uiPriority w:val="0"/>
    <w:pPr>
      <w:ind w:left="100" w:leftChars="200" w:hanging="200" w:hangingChars="200"/>
    </w:pPr>
    <w:rPr>
      <w:rFonts w:ascii="Times New Roman" w:hAnsi="Times New Roman"/>
      <w:szCs w:val="24"/>
    </w:rPr>
  </w:style>
  <w:style w:type="paragraph" w:styleId="21">
    <w:name w:val="toc 5"/>
    <w:basedOn w:val="1"/>
    <w:next w:val="1"/>
    <w:qFormat/>
    <w:uiPriority w:val="0"/>
    <w:pPr>
      <w:ind w:left="1680"/>
    </w:pPr>
    <w:rPr>
      <w:rFonts w:ascii="Times New Roman" w:hAnsi="Times New Roman"/>
      <w:szCs w:val="24"/>
    </w:rPr>
  </w:style>
  <w:style w:type="paragraph" w:styleId="22">
    <w:name w:val="toc 3"/>
    <w:basedOn w:val="1"/>
    <w:next w:val="1"/>
    <w:qFormat/>
    <w:uiPriority w:val="0"/>
    <w:pPr>
      <w:spacing w:line="360" w:lineRule="auto"/>
      <w:ind w:left="400" w:leftChars="400"/>
    </w:pPr>
    <w:rPr>
      <w:rFonts w:ascii="Times New Roman" w:hAnsi="Times New Roman"/>
      <w:szCs w:val="24"/>
    </w:rPr>
  </w:style>
  <w:style w:type="paragraph" w:styleId="23">
    <w:name w:val="Plain Text"/>
    <w:basedOn w:val="1"/>
    <w:link w:val="71"/>
    <w:qFormat/>
    <w:uiPriority w:val="0"/>
    <w:rPr>
      <w:rFonts w:ascii="宋体" w:hAnsi="Courier New"/>
      <w:kern w:val="0"/>
      <w:szCs w:val="20"/>
    </w:rPr>
  </w:style>
  <w:style w:type="paragraph" w:styleId="24">
    <w:name w:val="toc 8"/>
    <w:basedOn w:val="1"/>
    <w:next w:val="1"/>
    <w:qFormat/>
    <w:uiPriority w:val="0"/>
    <w:pPr>
      <w:ind w:left="2940"/>
    </w:pPr>
    <w:rPr>
      <w:rFonts w:ascii="Times New Roman" w:hAnsi="Times New Roman"/>
      <w:szCs w:val="24"/>
    </w:rPr>
  </w:style>
  <w:style w:type="paragraph" w:styleId="25">
    <w:name w:val="index 3"/>
    <w:basedOn w:val="1"/>
    <w:next w:val="1"/>
    <w:qFormat/>
    <w:uiPriority w:val="0"/>
    <w:pPr>
      <w:ind w:left="400" w:leftChars="400"/>
    </w:pPr>
    <w:rPr>
      <w:rFonts w:ascii="Times New Roman" w:hAnsi="Times New Roman"/>
      <w:szCs w:val="24"/>
    </w:rPr>
  </w:style>
  <w:style w:type="paragraph" w:styleId="26">
    <w:name w:val="Date"/>
    <w:basedOn w:val="1"/>
    <w:next w:val="1"/>
    <w:link w:val="72"/>
    <w:qFormat/>
    <w:uiPriority w:val="0"/>
    <w:pPr>
      <w:ind w:left="100" w:leftChars="2500"/>
    </w:pPr>
    <w:rPr>
      <w:rFonts w:ascii="Times New Roman" w:hAnsi="Times New Roman"/>
      <w:b/>
      <w:kern w:val="0"/>
      <w:sz w:val="24"/>
      <w:szCs w:val="20"/>
    </w:rPr>
  </w:style>
  <w:style w:type="paragraph" w:styleId="27">
    <w:name w:val="Body Text Indent 2"/>
    <w:basedOn w:val="1"/>
    <w:link w:val="73"/>
    <w:qFormat/>
    <w:uiPriority w:val="0"/>
    <w:pPr>
      <w:spacing w:after="120" w:line="480" w:lineRule="auto"/>
      <w:ind w:left="420" w:leftChars="200"/>
    </w:pPr>
    <w:rPr>
      <w:rFonts w:ascii="Times New Roman" w:hAnsi="Times New Roman"/>
      <w:kern w:val="0"/>
      <w:sz w:val="24"/>
      <w:szCs w:val="20"/>
    </w:rPr>
  </w:style>
  <w:style w:type="paragraph" w:styleId="28">
    <w:name w:val="Balloon Text"/>
    <w:basedOn w:val="1"/>
    <w:link w:val="74"/>
    <w:qFormat/>
    <w:uiPriority w:val="0"/>
    <w:rPr>
      <w:rFonts w:ascii="Times New Roman" w:hAnsi="Times New Roman"/>
      <w:kern w:val="0"/>
      <w:sz w:val="18"/>
      <w:szCs w:val="20"/>
    </w:rPr>
  </w:style>
  <w:style w:type="paragraph" w:styleId="29">
    <w:name w:val="footer"/>
    <w:basedOn w:val="1"/>
    <w:link w:val="75"/>
    <w:qFormat/>
    <w:uiPriority w:val="0"/>
    <w:pPr>
      <w:tabs>
        <w:tab w:val="center" w:pos="4153"/>
        <w:tab w:val="right" w:pos="8306"/>
      </w:tabs>
      <w:snapToGrid w:val="0"/>
      <w:jc w:val="left"/>
    </w:pPr>
    <w:rPr>
      <w:rFonts w:ascii="Times New Roman" w:hAnsi="Times New Roman"/>
      <w:kern w:val="0"/>
      <w:sz w:val="18"/>
      <w:szCs w:val="20"/>
    </w:rPr>
  </w:style>
  <w:style w:type="paragraph" w:styleId="30">
    <w:name w:val="Body Text First Indent 2"/>
    <w:basedOn w:val="19"/>
    <w:link w:val="76"/>
    <w:qFormat/>
    <w:uiPriority w:val="0"/>
    <w:pPr>
      <w:ind w:firstLine="420" w:firstLineChars="200"/>
    </w:pPr>
    <w:rPr>
      <w:rFonts w:ascii="Times New Roman" w:hAnsi="Times New Roman"/>
      <w:sz w:val="24"/>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rFonts w:ascii="Times New Roman" w:hAnsi="Times New Roman"/>
      <w:kern w:val="0"/>
      <w:sz w:val="18"/>
      <w:szCs w:val="20"/>
    </w:rPr>
  </w:style>
  <w:style w:type="paragraph" w:styleId="32">
    <w:name w:val="toc 1"/>
    <w:basedOn w:val="2"/>
    <w:next w:val="1"/>
    <w:qFormat/>
    <w:uiPriority w:val="0"/>
    <w:pPr>
      <w:tabs>
        <w:tab w:val="right" w:leader="dot" w:pos="8659"/>
      </w:tabs>
      <w:spacing w:before="0" w:after="0" w:line="240" w:lineRule="auto"/>
      <w:jc w:val="center"/>
    </w:pPr>
    <w:rPr>
      <w:b w:val="0"/>
      <w:sz w:val="21"/>
    </w:rPr>
  </w:style>
  <w:style w:type="paragraph" w:styleId="33">
    <w:name w:val="toc 4"/>
    <w:basedOn w:val="1"/>
    <w:next w:val="1"/>
    <w:qFormat/>
    <w:uiPriority w:val="0"/>
    <w:pPr>
      <w:ind w:left="1260"/>
    </w:pPr>
    <w:rPr>
      <w:rFonts w:ascii="Times New Roman" w:hAnsi="Times New Roman"/>
      <w:szCs w:val="24"/>
    </w:rPr>
  </w:style>
  <w:style w:type="paragraph" w:styleId="34">
    <w:name w:val="List"/>
    <w:basedOn w:val="1"/>
    <w:qFormat/>
    <w:uiPriority w:val="0"/>
    <w:pPr>
      <w:ind w:left="200" w:hanging="200" w:hangingChars="200"/>
    </w:pPr>
    <w:rPr>
      <w:rFonts w:ascii="Times New Roman" w:hAnsi="Times New Roman"/>
      <w:szCs w:val="24"/>
    </w:rPr>
  </w:style>
  <w:style w:type="paragraph" w:styleId="35">
    <w:name w:val="footnote text"/>
    <w:basedOn w:val="1"/>
    <w:link w:val="78"/>
    <w:qFormat/>
    <w:uiPriority w:val="0"/>
    <w:pPr>
      <w:snapToGrid w:val="0"/>
      <w:jc w:val="left"/>
    </w:pPr>
    <w:rPr>
      <w:rFonts w:ascii="Times New Roman" w:hAnsi="Times New Roman"/>
      <w:kern w:val="0"/>
      <w:sz w:val="18"/>
      <w:szCs w:val="20"/>
    </w:rPr>
  </w:style>
  <w:style w:type="paragraph" w:styleId="36">
    <w:name w:val="toc 6"/>
    <w:basedOn w:val="1"/>
    <w:next w:val="1"/>
    <w:qFormat/>
    <w:uiPriority w:val="0"/>
    <w:pPr>
      <w:ind w:left="2100"/>
    </w:pPr>
    <w:rPr>
      <w:rFonts w:ascii="Times New Roman" w:hAnsi="Times New Roman"/>
      <w:szCs w:val="24"/>
    </w:rPr>
  </w:style>
  <w:style w:type="paragraph" w:styleId="37">
    <w:name w:val="Body Text Indent 3"/>
    <w:basedOn w:val="1"/>
    <w:link w:val="79"/>
    <w:qFormat/>
    <w:uiPriority w:val="0"/>
    <w:pPr>
      <w:spacing w:line="540" w:lineRule="atLeast"/>
      <w:ind w:firstLine="480" w:firstLineChars="200"/>
    </w:pPr>
    <w:rPr>
      <w:rFonts w:ascii="Times New Roman" w:hAnsi="Times New Roman"/>
      <w:kern w:val="0"/>
      <w:sz w:val="24"/>
      <w:szCs w:val="20"/>
    </w:rPr>
  </w:style>
  <w:style w:type="paragraph" w:styleId="38">
    <w:name w:val="table of figures"/>
    <w:basedOn w:val="1"/>
    <w:next w:val="1"/>
    <w:qFormat/>
    <w:uiPriority w:val="0"/>
    <w:pPr>
      <w:ind w:left="200" w:leftChars="200" w:hanging="200" w:hangingChars="200"/>
    </w:pPr>
    <w:rPr>
      <w:rFonts w:ascii="Times New Roman" w:hAnsi="Times New Roman"/>
      <w:szCs w:val="24"/>
    </w:rPr>
  </w:style>
  <w:style w:type="paragraph" w:styleId="39">
    <w:name w:val="toc 2"/>
    <w:basedOn w:val="1"/>
    <w:next w:val="1"/>
    <w:qFormat/>
    <w:uiPriority w:val="0"/>
    <w:pPr>
      <w:spacing w:line="360" w:lineRule="auto"/>
      <w:ind w:left="200" w:leftChars="200"/>
    </w:pPr>
    <w:rPr>
      <w:rFonts w:ascii="Times New Roman" w:hAnsi="Times New Roman"/>
      <w:szCs w:val="24"/>
    </w:rPr>
  </w:style>
  <w:style w:type="paragraph" w:styleId="40">
    <w:name w:val="toc 9"/>
    <w:basedOn w:val="1"/>
    <w:next w:val="1"/>
    <w:qFormat/>
    <w:uiPriority w:val="0"/>
    <w:pPr>
      <w:ind w:left="3360"/>
    </w:pPr>
    <w:rPr>
      <w:rFonts w:ascii="Times New Roman" w:hAnsi="Times New Roman"/>
      <w:szCs w:val="24"/>
    </w:rPr>
  </w:style>
  <w:style w:type="paragraph" w:styleId="41">
    <w:name w:val="Body Text 2"/>
    <w:basedOn w:val="1"/>
    <w:link w:val="80"/>
    <w:qFormat/>
    <w:uiPriority w:val="0"/>
    <w:pPr>
      <w:spacing w:after="120" w:line="480" w:lineRule="auto"/>
    </w:pPr>
    <w:rPr>
      <w:rFonts w:ascii="Times New Roman" w:hAnsi="Times New Roman"/>
      <w:kern w:val="0"/>
      <w:sz w:val="24"/>
      <w:szCs w:val="20"/>
    </w:rPr>
  </w:style>
  <w:style w:type="paragraph" w:styleId="42">
    <w:name w:val="List 4"/>
    <w:basedOn w:val="1"/>
    <w:qFormat/>
    <w:uiPriority w:val="0"/>
    <w:pPr>
      <w:ind w:left="100" w:leftChars="600" w:hanging="200" w:hangingChars="200"/>
    </w:pPr>
    <w:rPr>
      <w:rFonts w:ascii="Times New Roman" w:hAnsi="Times New Roman"/>
      <w:szCs w:val="24"/>
    </w:rPr>
  </w:style>
  <w:style w:type="paragraph" w:styleId="43">
    <w:name w:val="List Continue 2"/>
    <w:basedOn w:val="1"/>
    <w:qFormat/>
    <w:uiPriority w:val="0"/>
    <w:pPr>
      <w:spacing w:after="120"/>
      <w:ind w:left="840" w:leftChars="400"/>
    </w:pPr>
    <w:rPr>
      <w:rFonts w:ascii="Times New Roman" w:hAnsi="Times New Roman"/>
      <w:szCs w:val="24"/>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pPr>
      <w:spacing w:line="320" w:lineRule="exact"/>
    </w:pPr>
    <w:rPr>
      <w:rFonts w:ascii="Times New Roman" w:hAnsi="Times New Roman"/>
      <w:color w:val="FF6600"/>
      <w:kern w:val="0"/>
      <w:sz w:val="18"/>
      <w:szCs w:val="21"/>
    </w:rPr>
  </w:style>
  <w:style w:type="paragraph" w:styleId="46">
    <w:name w:val="index 2"/>
    <w:basedOn w:val="1"/>
    <w:next w:val="1"/>
    <w:qFormat/>
    <w:uiPriority w:val="0"/>
    <w:pPr>
      <w:ind w:left="200" w:leftChars="200"/>
    </w:pPr>
    <w:rPr>
      <w:rFonts w:ascii="Times New Roman" w:hAnsi="Times New Roman"/>
      <w:szCs w:val="24"/>
    </w:rPr>
  </w:style>
  <w:style w:type="paragraph" w:styleId="47">
    <w:name w:val="Title"/>
    <w:basedOn w:val="1"/>
    <w:link w:val="81"/>
    <w:qFormat/>
    <w:uiPriority w:val="0"/>
    <w:pPr>
      <w:spacing w:before="240" w:after="60"/>
      <w:jc w:val="center"/>
      <w:outlineLvl w:val="0"/>
    </w:pPr>
    <w:rPr>
      <w:rFonts w:ascii="Arial" w:hAnsi="Arial"/>
      <w:b/>
      <w:kern w:val="0"/>
      <w:sz w:val="32"/>
      <w:szCs w:val="20"/>
    </w:rPr>
  </w:style>
  <w:style w:type="character" w:styleId="49">
    <w:name w:val="Strong"/>
    <w:basedOn w:val="48"/>
    <w:qFormat/>
    <w:uiPriority w:val="0"/>
    <w:rPr>
      <w:b/>
    </w:rPr>
  </w:style>
  <w:style w:type="character" w:styleId="50">
    <w:name w:val="page number"/>
    <w:basedOn w:val="48"/>
    <w:qFormat/>
    <w:uiPriority w:val="0"/>
  </w:style>
  <w:style w:type="character" w:styleId="51">
    <w:name w:val="FollowedHyperlink"/>
    <w:basedOn w:val="48"/>
    <w:qFormat/>
    <w:uiPriority w:val="0"/>
    <w:rPr>
      <w:color w:val="800080"/>
      <w:u w:val="single"/>
    </w:rPr>
  </w:style>
  <w:style w:type="character" w:styleId="52">
    <w:name w:val="Emphasis"/>
    <w:basedOn w:val="48"/>
    <w:qFormat/>
    <w:uiPriority w:val="0"/>
    <w:rPr>
      <w:i/>
    </w:rPr>
  </w:style>
  <w:style w:type="character" w:styleId="53">
    <w:name w:val="Hyperlink"/>
    <w:basedOn w:val="48"/>
    <w:qFormat/>
    <w:uiPriority w:val="0"/>
    <w:rPr>
      <w:color w:val="0000FF"/>
      <w:u w:val="single"/>
    </w:rPr>
  </w:style>
  <w:style w:type="character" w:styleId="54">
    <w:name w:val="annotation reference"/>
    <w:basedOn w:val="48"/>
    <w:qFormat/>
    <w:uiPriority w:val="0"/>
    <w:rPr>
      <w:sz w:val="21"/>
    </w:rPr>
  </w:style>
  <w:style w:type="character" w:styleId="55">
    <w:name w:val="footnote reference"/>
    <w:basedOn w:val="48"/>
    <w:qFormat/>
    <w:uiPriority w:val="0"/>
    <w:rPr>
      <w:vertAlign w:val="superscript"/>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8">
    <w:name w:val="标题 1 Char"/>
    <w:basedOn w:val="48"/>
    <w:link w:val="2"/>
    <w:qFormat/>
    <w:uiPriority w:val="0"/>
    <w:rPr>
      <w:rFonts w:ascii="Times New Roman" w:hAnsi="Times New Roman" w:eastAsia="宋体" w:cs="Times New Roman"/>
      <w:b/>
      <w:kern w:val="44"/>
      <w:sz w:val="44"/>
      <w:szCs w:val="20"/>
    </w:rPr>
  </w:style>
  <w:style w:type="character" w:customStyle="1" w:styleId="59">
    <w:name w:val="标题 2 Char"/>
    <w:basedOn w:val="48"/>
    <w:link w:val="3"/>
    <w:qFormat/>
    <w:uiPriority w:val="0"/>
    <w:rPr>
      <w:rFonts w:ascii="Arial" w:hAnsi="Arial" w:eastAsia="黑体" w:cs="Times New Roman"/>
      <w:b/>
      <w:kern w:val="0"/>
      <w:sz w:val="32"/>
      <w:szCs w:val="20"/>
    </w:rPr>
  </w:style>
  <w:style w:type="character" w:customStyle="1" w:styleId="60">
    <w:name w:val="标题 3 Char"/>
    <w:basedOn w:val="48"/>
    <w:link w:val="4"/>
    <w:qFormat/>
    <w:uiPriority w:val="0"/>
    <w:rPr>
      <w:rFonts w:ascii="Times New Roman" w:hAnsi="Times New Roman" w:eastAsia="楷体_GB2312" w:cs="Times New Roman"/>
      <w:kern w:val="0"/>
      <w:sz w:val="20"/>
      <w:szCs w:val="20"/>
    </w:rPr>
  </w:style>
  <w:style w:type="character" w:customStyle="1" w:styleId="61">
    <w:name w:val="标题 4 Char"/>
    <w:basedOn w:val="48"/>
    <w:link w:val="5"/>
    <w:qFormat/>
    <w:uiPriority w:val="0"/>
    <w:rPr>
      <w:rFonts w:ascii="Arial" w:hAnsi="Arial" w:eastAsia="黑体" w:cs="Times New Roman"/>
      <w:b/>
      <w:kern w:val="0"/>
      <w:sz w:val="28"/>
      <w:szCs w:val="20"/>
    </w:rPr>
  </w:style>
  <w:style w:type="character" w:customStyle="1" w:styleId="62">
    <w:name w:val="标题 5 Char"/>
    <w:basedOn w:val="48"/>
    <w:link w:val="6"/>
    <w:qFormat/>
    <w:uiPriority w:val="0"/>
    <w:rPr>
      <w:rFonts w:ascii="Times New Roman" w:hAnsi="Times New Roman" w:eastAsia="宋体" w:cs="Times New Roman"/>
      <w:b/>
      <w:kern w:val="0"/>
      <w:sz w:val="28"/>
      <w:szCs w:val="20"/>
    </w:rPr>
  </w:style>
  <w:style w:type="character" w:customStyle="1" w:styleId="63">
    <w:name w:val="标题 6 Char"/>
    <w:basedOn w:val="48"/>
    <w:link w:val="7"/>
    <w:qFormat/>
    <w:uiPriority w:val="0"/>
    <w:rPr>
      <w:rFonts w:ascii="Cambria" w:hAnsi="Cambria" w:eastAsia="宋体" w:cs="Times New Roman"/>
      <w:b/>
      <w:bCs/>
      <w:sz w:val="24"/>
      <w:szCs w:val="24"/>
    </w:rPr>
  </w:style>
  <w:style w:type="character" w:customStyle="1" w:styleId="64">
    <w:name w:val="标题 7 Char"/>
    <w:basedOn w:val="48"/>
    <w:link w:val="8"/>
    <w:qFormat/>
    <w:uiPriority w:val="0"/>
    <w:rPr>
      <w:rFonts w:ascii="Calibri" w:hAnsi="Calibri" w:eastAsia="宋体" w:cs="Times New Roman"/>
      <w:b/>
      <w:bCs/>
      <w:sz w:val="24"/>
      <w:szCs w:val="24"/>
    </w:rPr>
  </w:style>
  <w:style w:type="character" w:customStyle="1" w:styleId="65">
    <w:name w:val="批注文字 Char"/>
    <w:basedOn w:val="48"/>
    <w:link w:val="11"/>
    <w:qFormat/>
    <w:uiPriority w:val="0"/>
    <w:rPr>
      <w:rFonts w:ascii="Calibri" w:hAnsi="Calibri" w:eastAsia="宋体" w:cs="Times New Roman"/>
      <w:kern w:val="0"/>
      <w:sz w:val="20"/>
      <w:szCs w:val="20"/>
    </w:rPr>
  </w:style>
  <w:style w:type="character" w:customStyle="1" w:styleId="66">
    <w:name w:val="批注主题 Char"/>
    <w:basedOn w:val="65"/>
    <w:semiHidden/>
    <w:qFormat/>
    <w:uiPriority w:val="0"/>
    <w:rPr>
      <w:rFonts w:ascii="Calibri" w:hAnsi="Calibri" w:eastAsia="宋体" w:cs="Times New Roman"/>
      <w:b/>
      <w:bCs/>
      <w:kern w:val="0"/>
      <w:sz w:val="20"/>
      <w:szCs w:val="20"/>
    </w:rPr>
  </w:style>
  <w:style w:type="character" w:customStyle="1" w:styleId="67">
    <w:name w:val="正文文本 Char"/>
    <w:basedOn w:val="48"/>
    <w:link w:val="14"/>
    <w:qFormat/>
    <w:uiPriority w:val="0"/>
    <w:rPr>
      <w:rFonts w:ascii="Calibri" w:hAnsi="Calibri" w:eastAsia="宋体" w:cs="Times New Roman"/>
      <w:kern w:val="0"/>
      <w:sz w:val="20"/>
      <w:szCs w:val="20"/>
    </w:rPr>
  </w:style>
  <w:style w:type="character" w:customStyle="1" w:styleId="68">
    <w:name w:val="正文首行缩进 Char"/>
    <w:basedOn w:val="67"/>
    <w:link w:val="13"/>
    <w:qFormat/>
    <w:uiPriority w:val="0"/>
    <w:rPr>
      <w:rFonts w:ascii="Times New Roman" w:hAnsi="Times New Roman" w:eastAsia="宋体" w:cs="Times New Roman"/>
      <w:kern w:val="0"/>
      <w:sz w:val="24"/>
      <w:szCs w:val="20"/>
    </w:rPr>
  </w:style>
  <w:style w:type="character" w:customStyle="1" w:styleId="69">
    <w:name w:val="文档结构图 Char"/>
    <w:basedOn w:val="48"/>
    <w:link w:val="17"/>
    <w:qFormat/>
    <w:uiPriority w:val="0"/>
    <w:rPr>
      <w:rFonts w:ascii="Times New Roman" w:hAnsi="Times New Roman" w:eastAsia="宋体" w:cs="Times New Roman"/>
      <w:kern w:val="0"/>
      <w:sz w:val="24"/>
      <w:szCs w:val="20"/>
      <w:shd w:val="clear" w:color="auto" w:fill="000080"/>
    </w:rPr>
  </w:style>
  <w:style w:type="character" w:customStyle="1" w:styleId="70">
    <w:name w:val="正文文本缩进 Char"/>
    <w:basedOn w:val="48"/>
    <w:link w:val="19"/>
    <w:qFormat/>
    <w:uiPriority w:val="0"/>
    <w:rPr>
      <w:rFonts w:ascii="Calibri" w:hAnsi="Calibri" w:eastAsia="宋体" w:cs="Times New Roman"/>
      <w:kern w:val="0"/>
      <w:sz w:val="20"/>
      <w:szCs w:val="20"/>
    </w:rPr>
  </w:style>
  <w:style w:type="character" w:customStyle="1" w:styleId="71">
    <w:name w:val="纯文本 Char"/>
    <w:basedOn w:val="48"/>
    <w:link w:val="23"/>
    <w:qFormat/>
    <w:uiPriority w:val="0"/>
    <w:rPr>
      <w:rFonts w:ascii="宋体" w:hAnsi="Courier New" w:eastAsia="宋体" w:cs="Times New Roman"/>
      <w:kern w:val="0"/>
      <w:szCs w:val="20"/>
    </w:rPr>
  </w:style>
  <w:style w:type="character" w:customStyle="1" w:styleId="72">
    <w:name w:val="日期 Char"/>
    <w:basedOn w:val="48"/>
    <w:link w:val="26"/>
    <w:qFormat/>
    <w:uiPriority w:val="0"/>
    <w:rPr>
      <w:rFonts w:ascii="Times New Roman" w:hAnsi="Times New Roman" w:eastAsia="宋体" w:cs="Times New Roman"/>
      <w:b/>
      <w:kern w:val="0"/>
      <w:sz w:val="24"/>
      <w:szCs w:val="20"/>
    </w:rPr>
  </w:style>
  <w:style w:type="character" w:customStyle="1" w:styleId="73">
    <w:name w:val="正文文本缩进 2 Char"/>
    <w:basedOn w:val="48"/>
    <w:link w:val="27"/>
    <w:qFormat/>
    <w:uiPriority w:val="0"/>
    <w:rPr>
      <w:rFonts w:ascii="Times New Roman" w:hAnsi="Times New Roman" w:eastAsia="宋体" w:cs="Times New Roman"/>
      <w:kern w:val="0"/>
      <w:sz w:val="24"/>
      <w:szCs w:val="20"/>
    </w:rPr>
  </w:style>
  <w:style w:type="character" w:customStyle="1" w:styleId="74">
    <w:name w:val="批注框文本 Char"/>
    <w:basedOn w:val="48"/>
    <w:link w:val="28"/>
    <w:qFormat/>
    <w:uiPriority w:val="0"/>
    <w:rPr>
      <w:rFonts w:ascii="Times New Roman" w:hAnsi="Times New Roman" w:eastAsia="宋体" w:cs="Times New Roman"/>
      <w:kern w:val="0"/>
      <w:sz w:val="18"/>
      <w:szCs w:val="20"/>
    </w:rPr>
  </w:style>
  <w:style w:type="character" w:customStyle="1" w:styleId="75">
    <w:name w:val="页脚 Char"/>
    <w:basedOn w:val="48"/>
    <w:link w:val="29"/>
    <w:qFormat/>
    <w:uiPriority w:val="0"/>
    <w:rPr>
      <w:rFonts w:ascii="Times New Roman" w:hAnsi="Times New Roman" w:eastAsia="宋体" w:cs="Times New Roman"/>
      <w:kern w:val="0"/>
      <w:sz w:val="18"/>
      <w:szCs w:val="20"/>
    </w:rPr>
  </w:style>
  <w:style w:type="character" w:customStyle="1" w:styleId="76">
    <w:name w:val="正文首行缩进 2 Char"/>
    <w:basedOn w:val="70"/>
    <w:link w:val="30"/>
    <w:qFormat/>
    <w:uiPriority w:val="0"/>
    <w:rPr>
      <w:rFonts w:ascii="Times New Roman" w:hAnsi="Times New Roman" w:eastAsia="宋体" w:cs="Times New Roman"/>
      <w:kern w:val="0"/>
      <w:sz w:val="24"/>
      <w:szCs w:val="20"/>
    </w:rPr>
  </w:style>
  <w:style w:type="character" w:customStyle="1" w:styleId="77">
    <w:name w:val="页眉 Char"/>
    <w:basedOn w:val="48"/>
    <w:link w:val="31"/>
    <w:qFormat/>
    <w:uiPriority w:val="0"/>
    <w:rPr>
      <w:rFonts w:ascii="Times New Roman" w:hAnsi="Times New Roman" w:eastAsia="宋体" w:cs="Times New Roman"/>
      <w:kern w:val="0"/>
      <w:sz w:val="18"/>
      <w:szCs w:val="20"/>
    </w:rPr>
  </w:style>
  <w:style w:type="character" w:customStyle="1" w:styleId="78">
    <w:name w:val="脚注文本 Char"/>
    <w:basedOn w:val="48"/>
    <w:link w:val="35"/>
    <w:qFormat/>
    <w:uiPriority w:val="0"/>
    <w:rPr>
      <w:rFonts w:ascii="Times New Roman" w:hAnsi="Times New Roman" w:eastAsia="宋体" w:cs="Times New Roman"/>
      <w:kern w:val="0"/>
      <w:sz w:val="18"/>
      <w:szCs w:val="20"/>
    </w:rPr>
  </w:style>
  <w:style w:type="character" w:customStyle="1" w:styleId="79">
    <w:name w:val="正文文本缩进 3 Char"/>
    <w:basedOn w:val="48"/>
    <w:link w:val="37"/>
    <w:qFormat/>
    <w:uiPriority w:val="0"/>
    <w:rPr>
      <w:rFonts w:ascii="Times New Roman" w:hAnsi="Times New Roman" w:eastAsia="宋体" w:cs="Times New Roman"/>
      <w:kern w:val="0"/>
      <w:sz w:val="24"/>
      <w:szCs w:val="20"/>
    </w:rPr>
  </w:style>
  <w:style w:type="character" w:customStyle="1" w:styleId="80">
    <w:name w:val="正文文本 2 Char"/>
    <w:basedOn w:val="48"/>
    <w:link w:val="41"/>
    <w:qFormat/>
    <w:uiPriority w:val="0"/>
    <w:rPr>
      <w:rFonts w:ascii="Times New Roman" w:hAnsi="Times New Roman" w:eastAsia="宋体" w:cs="Times New Roman"/>
      <w:kern w:val="0"/>
      <w:sz w:val="24"/>
      <w:szCs w:val="20"/>
    </w:rPr>
  </w:style>
  <w:style w:type="character" w:customStyle="1" w:styleId="81">
    <w:name w:val="标题 Char"/>
    <w:basedOn w:val="48"/>
    <w:link w:val="47"/>
    <w:qFormat/>
    <w:uiPriority w:val="0"/>
    <w:rPr>
      <w:rFonts w:ascii="Arial" w:hAnsi="Arial" w:eastAsia="宋体" w:cs="Times New Roman"/>
      <w:b/>
      <w:kern w:val="0"/>
      <w:sz w:val="32"/>
      <w:szCs w:val="20"/>
    </w:rPr>
  </w:style>
  <w:style w:type="character" w:customStyle="1" w:styleId="82">
    <w:name w:val="批注主题 Char1"/>
    <w:link w:val="10"/>
    <w:semiHidden/>
    <w:qFormat/>
    <w:locked/>
    <w:uiPriority w:val="0"/>
    <w:rPr>
      <w:rFonts w:ascii="Calibri" w:hAnsi="Calibri" w:eastAsia="宋体" w:cs="Times New Roman"/>
      <w:kern w:val="0"/>
      <w:sz w:val="20"/>
      <w:szCs w:val="20"/>
    </w:rPr>
  </w:style>
  <w:style w:type="character" w:customStyle="1" w:styleId="83">
    <w:name w:val="标题 1 字符"/>
    <w:qFormat/>
    <w:uiPriority w:val="0"/>
    <w:rPr>
      <w:b/>
      <w:kern w:val="44"/>
      <w:sz w:val="44"/>
    </w:rPr>
  </w:style>
  <w:style w:type="character" w:customStyle="1" w:styleId="84">
    <w:name w:val="zbggmain style9"/>
    <w:qFormat/>
    <w:uiPriority w:val="0"/>
  </w:style>
  <w:style w:type="character" w:customStyle="1" w:styleId="85">
    <w:name w:val="标题 字符"/>
    <w:qFormat/>
    <w:uiPriority w:val="0"/>
    <w:rPr>
      <w:rFonts w:ascii="Calibri Light" w:hAnsi="Calibri Light" w:eastAsia="宋体"/>
      <w:b/>
      <w:sz w:val="32"/>
    </w:rPr>
  </w:style>
  <w:style w:type="paragraph" w:customStyle="1" w:styleId="86">
    <w:name w:val="样式2"/>
    <w:basedOn w:val="38"/>
    <w:qFormat/>
    <w:uiPriority w:val="0"/>
    <w:pPr>
      <w:ind w:firstLine="2720"/>
    </w:pPr>
    <w:rPr>
      <w:bCs/>
    </w:rPr>
  </w:style>
  <w:style w:type="paragraph" w:customStyle="1" w:styleId="87">
    <w:name w:val="0"/>
    <w:basedOn w:val="1"/>
    <w:qFormat/>
    <w:uiPriority w:val="0"/>
    <w:pPr>
      <w:widowControl/>
    </w:pPr>
    <w:rPr>
      <w:rFonts w:ascii="Times New Roman" w:hAnsi="Times New Roman"/>
      <w:kern w:val="0"/>
      <w:szCs w:val="20"/>
    </w:rPr>
  </w:style>
  <w:style w:type="paragraph" w:customStyle="1" w:styleId="88">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0">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91">
    <w:name w:val="Char"/>
    <w:basedOn w:val="1"/>
    <w:qFormat/>
    <w:uiPriority w:val="0"/>
    <w:pPr>
      <w:spacing w:line="360" w:lineRule="auto"/>
    </w:pPr>
    <w:rPr>
      <w:rFonts w:ascii="黑体" w:hAnsi="黑体"/>
      <w:sz w:val="24"/>
      <w:szCs w:val="24"/>
      <w:lang w:val="zh-CN"/>
    </w:rPr>
  </w:style>
  <w:style w:type="paragraph" w:customStyle="1" w:styleId="92">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93">
    <w:name w:val="z-窗体顶端1"/>
    <w:basedOn w:val="1"/>
    <w:next w:val="1"/>
    <w:link w:val="94"/>
    <w:qFormat/>
    <w:uiPriority w:val="0"/>
    <w:pPr>
      <w:pBdr>
        <w:bottom w:val="single" w:color="auto" w:sz="6" w:space="1"/>
      </w:pBdr>
      <w:jc w:val="center"/>
    </w:pPr>
    <w:rPr>
      <w:rFonts w:ascii="Arial" w:hAnsi="Arial"/>
      <w:vanish/>
      <w:kern w:val="0"/>
      <w:sz w:val="16"/>
      <w:szCs w:val="20"/>
    </w:rPr>
  </w:style>
  <w:style w:type="character" w:customStyle="1" w:styleId="94">
    <w:name w:val="z-窗体顶端 Char"/>
    <w:link w:val="93"/>
    <w:qFormat/>
    <w:locked/>
    <w:uiPriority w:val="0"/>
    <w:rPr>
      <w:rFonts w:ascii="Arial" w:hAnsi="Arial" w:eastAsia="宋体" w:cs="Times New Roman"/>
      <w:vanish/>
      <w:kern w:val="0"/>
      <w:sz w:val="16"/>
      <w:szCs w:val="20"/>
    </w:rPr>
  </w:style>
  <w:style w:type="paragraph" w:customStyle="1" w:styleId="95">
    <w:name w:val="_Style 10"/>
    <w:basedOn w:val="1"/>
    <w:next w:val="1"/>
    <w:qFormat/>
    <w:uiPriority w:val="0"/>
    <w:rPr>
      <w:rFonts w:ascii="Times New Roman" w:hAnsi="Times New Roman"/>
      <w:szCs w:val="24"/>
    </w:rPr>
  </w:style>
  <w:style w:type="paragraph" w:customStyle="1" w:styleId="96">
    <w:name w:val="Char Char"/>
    <w:basedOn w:val="1"/>
    <w:qFormat/>
    <w:uiPriority w:val="0"/>
    <w:rPr>
      <w:rFonts w:ascii="Tahoma" w:hAnsi="Tahoma"/>
      <w:sz w:val="24"/>
      <w:szCs w:val="20"/>
    </w:rPr>
  </w:style>
  <w:style w:type="paragraph" w:customStyle="1" w:styleId="97">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8">
    <w:name w:val="Char Char Char Char"/>
    <w:basedOn w:val="1"/>
    <w:qFormat/>
    <w:uiPriority w:val="0"/>
    <w:rPr>
      <w:rFonts w:ascii="仿宋_GB2312" w:hAnsi="Times New Roman" w:eastAsia="仿宋_GB2312"/>
      <w:b/>
      <w:sz w:val="32"/>
      <w:szCs w:val="32"/>
    </w:rPr>
  </w:style>
  <w:style w:type="paragraph" w:customStyle="1" w:styleId="99">
    <w:name w:val="末级"/>
    <w:basedOn w:val="1"/>
    <w:uiPriority w:val="0"/>
    <w:pPr>
      <w:tabs>
        <w:tab w:val="left" w:pos="851"/>
      </w:tabs>
      <w:spacing w:line="360" w:lineRule="auto"/>
      <w:ind w:firstLine="510"/>
    </w:pPr>
    <w:rPr>
      <w:rFonts w:ascii="Times New Roman" w:hAnsi="Times New Roman"/>
      <w:sz w:val="24"/>
      <w:szCs w:val="24"/>
    </w:rPr>
  </w:style>
  <w:style w:type="paragraph" w:customStyle="1" w:styleId="100">
    <w:name w:val="样式1"/>
    <w:basedOn w:val="1"/>
    <w:qFormat/>
    <w:uiPriority w:val="0"/>
    <w:pPr>
      <w:spacing w:line="360" w:lineRule="auto"/>
      <w:jc w:val="center"/>
    </w:pPr>
    <w:rPr>
      <w:rFonts w:ascii="宋体" w:hAnsi="宋体"/>
      <w:sz w:val="32"/>
      <w:szCs w:val="30"/>
    </w:rPr>
  </w:style>
  <w:style w:type="paragraph" w:customStyle="1" w:styleId="101">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103">
    <w:name w:val="正文段"/>
    <w:basedOn w:val="1"/>
    <w:qFormat/>
    <w:uiPriority w:val="0"/>
    <w:pPr>
      <w:spacing w:line="360" w:lineRule="auto"/>
      <w:ind w:firstLine="420"/>
    </w:pPr>
    <w:rPr>
      <w:rFonts w:ascii="宋体" w:hAnsi="Times New Roman"/>
      <w:sz w:val="24"/>
      <w:szCs w:val="24"/>
    </w:rPr>
  </w:style>
  <w:style w:type="paragraph" w:customStyle="1" w:styleId="104">
    <w:name w:val="表格一"/>
    <w:basedOn w:val="1"/>
    <w:qFormat/>
    <w:uiPriority w:val="0"/>
    <w:pPr>
      <w:spacing w:line="240" w:lineRule="exact"/>
      <w:ind w:left="105" w:leftChars="50"/>
    </w:pPr>
    <w:rPr>
      <w:rFonts w:ascii="Times New Roman" w:hAnsi="Times New Roman"/>
      <w:sz w:val="18"/>
      <w:szCs w:val="21"/>
    </w:rPr>
  </w:style>
  <w:style w:type="paragraph" w:customStyle="1" w:styleId="105">
    <w:name w:val="样式 一号 加粗 居中"/>
    <w:basedOn w:val="1"/>
    <w:uiPriority w:val="0"/>
    <w:pPr>
      <w:jc w:val="center"/>
    </w:pPr>
    <w:rPr>
      <w:rFonts w:ascii="Times New Roman" w:hAnsi="Times New Roman" w:cs="宋体"/>
      <w:bCs/>
      <w:sz w:val="52"/>
      <w:szCs w:val="20"/>
    </w:rPr>
  </w:style>
  <w:style w:type="paragraph" w:customStyle="1" w:styleId="106">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7">
    <w:name w:val="z-窗体底端1"/>
    <w:basedOn w:val="1"/>
    <w:next w:val="1"/>
    <w:link w:val="108"/>
    <w:qFormat/>
    <w:uiPriority w:val="0"/>
    <w:pPr>
      <w:pBdr>
        <w:top w:val="single" w:color="auto" w:sz="6" w:space="1"/>
      </w:pBdr>
      <w:jc w:val="center"/>
    </w:pPr>
    <w:rPr>
      <w:rFonts w:ascii="Arial" w:hAnsi="Arial"/>
      <w:vanish/>
      <w:kern w:val="0"/>
      <w:sz w:val="16"/>
      <w:szCs w:val="20"/>
    </w:rPr>
  </w:style>
  <w:style w:type="character" w:customStyle="1" w:styleId="108">
    <w:name w:val="z-窗体底端 Char"/>
    <w:link w:val="107"/>
    <w:qFormat/>
    <w:locked/>
    <w:uiPriority w:val="0"/>
    <w:rPr>
      <w:rFonts w:ascii="Arial" w:hAnsi="Arial" w:eastAsia="宋体" w:cs="Times New Roman"/>
      <w:vanish/>
      <w:kern w:val="0"/>
      <w:sz w:val="16"/>
      <w:szCs w:val="20"/>
    </w:rPr>
  </w:style>
  <w:style w:type="character" w:customStyle="1" w:styleId="109">
    <w:name w:val="正文缩进 Char"/>
    <w:link w:val="15"/>
    <w:locked/>
    <w:uiPriority w:val="0"/>
    <w:rPr>
      <w:rFonts w:ascii="宋体" w:hAnsi="Times New Roman" w:eastAsia="宋体" w:cs="Times New Roman"/>
      <w:kern w:val="0"/>
      <w:sz w:val="20"/>
      <w:szCs w:val="20"/>
    </w:rPr>
  </w:style>
  <w:style w:type="paragraph" w:customStyle="1" w:styleId="110">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1">
    <w:name w:val="样式3"/>
    <w:basedOn w:val="4"/>
    <w:uiPriority w:val="0"/>
    <w:pPr>
      <w:keepNext/>
      <w:keepLines/>
      <w:spacing w:before="120" w:after="120" w:line="360" w:lineRule="auto"/>
    </w:pPr>
    <w:rPr>
      <w:rFonts w:eastAsia="宋体"/>
      <w:sz w:val="24"/>
      <w:szCs w:val="24"/>
    </w:rPr>
  </w:style>
  <w:style w:type="paragraph" w:customStyle="1" w:styleId="112">
    <w:name w:val="表"/>
    <w:basedOn w:val="1"/>
    <w:uiPriority w:val="0"/>
    <w:pPr>
      <w:spacing w:line="360" w:lineRule="auto"/>
      <w:jc w:val="center"/>
    </w:pPr>
    <w:rPr>
      <w:rFonts w:ascii="Times New Roman" w:hAnsi="Times New Roman"/>
      <w:color w:val="000000"/>
      <w:szCs w:val="21"/>
    </w:rPr>
  </w:style>
  <w:style w:type="paragraph" w:customStyle="1" w:styleId="113">
    <w:name w:val="列出段落1"/>
    <w:basedOn w:val="1"/>
    <w:qFormat/>
    <w:uiPriority w:val="0"/>
    <w:pPr>
      <w:spacing w:before="100" w:beforeAutospacing="1" w:after="100" w:afterAutospacing="1" w:line="300" w:lineRule="auto"/>
      <w:ind w:firstLine="420" w:firstLineChars="200"/>
    </w:pPr>
  </w:style>
  <w:style w:type="paragraph" w:customStyle="1" w:styleId="1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1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16">
    <w:name w:val="样式 样式1 + 首行缩进:  2 字符 Char"/>
    <w:link w:val="117"/>
    <w:locked/>
    <w:uiPriority w:val="0"/>
    <w:rPr>
      <w:rFonts w:ascii="Arial" w:hAnsi="Arial"/>
      <w:sz w:val="24"/>
    </w:rPr>
  </w:style>
  <w:style w:type="paragraph" w:customStyle="1" w:styleId="117">
    <w:name w:val="样式 样式1 + 首行缩进:  2 字符"/>
    <w:basedOn w:val="100"/>
    <w:link w:val="116"/>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8">
    <w:name w:val="样式 标题 1 + (符号) Arial 三号"/>
    <w:basedOn w:val="2"/>
    <w:uiPriority w:val="0"/>
    <w:pPr>
      <w:snapToGrid w:val="0"/>
      <w:spacing w:before="0" w:after="0" w:line="360" w:lineRule="auto"/>
    </w:pPr>
    <w:rPr>
      <w:sz w:val="32"/>
    </w:rPr>
  </w:style>
  <w:style w:type="paragraph" w:customStyle="1" w:styleId="119">
    <w:name w:val="列出段落11"/>
    <w:basedOn w:val="1"/>
    <w:uiPriority w:val="0"/>
    <w:pPr>
      <w:ind w:firstLine="420" w:firstLineChars="200"/>
    </w:pPr>
  </w:style>
  <w:style w:type="character" w:customStyle="1" w:styleId="120">
    <w:name w:val="Char Char14"/>
    <w:qFormat/>
    <w:uiPriority w:val="0"/>
    <w:rPr>
      <w:rFonts w:ascii="宋体" w:hAnsi="Courier New" w:eastAsia="宋体"/>
      <w:kern w:val="2"/>
      <w:sz w:val="21"/>
      <w:lang w:val="en-US" w:eastAsia="zh-CN"/>
    </w:rPr>
  </w:style>
  <w:style w:type="paragraph" w:customStyle="1" w:styleId="121">
    <w:name w:val="_Style 5"/>
    <w:basedOn w:val="1"/>
    <w:next w:val="1"/>
    <w:qFormat/>
    <w:uiPriority w:val="0"/>
    <w:rPr>
      <w:rFonts w:ascii="Times New Roman" w:hAnsi="Times New Roman"/>
      <w:szCs w:val="20"/>
    </w:rPr>
  </w:style>
  <w:style w:type="paragraph" w:customStyle="1" w:styleId="12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机场正文"/>
    <w:basedOn w:val="1"/>
    <w:uiPriority w:val="0"/>
    <w:pPr>
      <w:spacing w:line="560" w:lineRule="exact"/>
      <w:ind w:firstLine="200" w:firstLineChars="200"/>
    </w:pPr>
    <w:rPr>
      <w:rFonts w:ascii="仿宋_GB2312" w:hAnsi="仿宋_GB2312" w:eastAsia="仿宋_GB2312"/>
      <w:sz w:val="32"/>
    </w:rPr>
  </w:style>
  <w:style w:type="paragraph" w:customStyle="1" w:styleId="124">
    <w:name w:val="Char Char2"/>
    <w:basedOn w:val="17"/>
    <w:qFormat/>
    <w:uiPriority w:val="0"/>
    <w:rPr>
      <w:kern w:val="2"/>
      <w:sz w:val="21"/>
    </w:rPr>
  </w:style>
  <w:style w:type="paragraph" w:customStyle="1" w:styleId="12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27">
    <w:name w:val="Char Char1"/>
    <w:qFormat/>
    <w:uiPriority w:val="0"/>
    <w:rPr>
      <w:rFonts w:ascii="Cambria" w:hAnsi="Cambria" w:eastAsia="黑体"/>
      <w:b/>
      <w:sz w:val="32"/>
    </w:rPr>
  </w:style>
  <w:style w:type="paragraph" w:customStyle="1" w:styleId="128">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2270</Words>
  <Characters>12939</Characters>
  <Lines>107</Lines>
  <Paragraphs>30</Paragraphs>
  <ScaleCrop>false</ScaleCrop>
  <LinksUpToDate>false</LinksUpToDate>
  <CharactersWithSpaces>15179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2019-06-11T02:15:00Z</dcterms:created>
  <dc:creator>DELL</dc:creator>
  <cp:lastModifiedBy>贾思勰</cp:lastModifiedBy>
  <dcterms:modified xsi:type="dcterms:W3CDTF">2019-07-26T08:32:46Z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