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cs="Calibri"/>
          <w:b/>
          <w:sz w:val="44"/>
          <w:szCs w:val="44"/>
          <w:u w:val="single"/>
        </w:rPr>
      </w:pPr>
      <w:r>
        <w:rPr>
          <w:rFonts w:hint="eastAsia" w:ascii="黑体" w:hAnsi="黑体" w:eastAsia="黑体" w:cs="Calibri"/>
          <w:b/>
          <w:sz w:val="44"/>
          <w:szCs w:val="44"/>
          <w:u w:val="single"/>
        </w:rPr>
        <w:t>T3航站楼座椅皮面采购项目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七</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68"/>
        <w:tabs>
          <w:tab w:val="right" w:leader="dot" w:pos="8290"/>
        </w:tabs>
        <w:spacing w:line="480" w:lineRule="auto"/>
        <w:ind w:firstLine="442"/>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2"/>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T3航站楼座椅皮面</w:t>
      </w:r>
      <w:r>
        <w:rPr>
          <w:rFonts w:ascii="宋体" w:hAnsi="宋体" w:cs="Arial"/>
          <w:kern w:val="0"/>
          <w:sz w:val="22"/>
        </w:rPr>
        <w:t>采购项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4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数 量</w:t>
            </w:r>
          </w:p>
        </w:tc>
        <w:tc>
          <w:tcPr>
            <w:tcW w:w="20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主要技术规格</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供货期</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T</w:t>
            </w:r>
            <w:r>
              <w:rPr>
                <w:rFonts w:hint="eastAsia" w:ascii="宋体" w:hAnsi="宋体"/>
                <w:caps/>
                <w:sz w:val="22"/>
              </w:rPr>
              <w:t>3航站楼款式座椅皮面（座垫）</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hint="eastAsia" w:ascii="宋体" w:hAnsi="宋体"/>
                <w:caps/>
                <w:sz w:val="22"/>
              </w:rPr>
              <w:t>2850块</w:t>
            </w:r>
          </w:p>
        </w:tc>
        <w:tc>
          <w:tcPr>
            <w:tcW w:w="2078" w:type="dxa"/>
            <w:vMerge w:val="restart"/>
            <w:tcBorders>
              <w:top w:val="single" w:color="auto" w:sz="4" w:space="0"/>
              <w:left w:val="single" w:color="auto" w:sz="4" w:space="0"/>
              <w:right w:val="single" w:color="auto" w:sz="4" w:space="0"/>
            </w:tcBorders>
            <w:vAlign w:val="center"/>
          </w:tcPr>
          <w:p>
            <w:pPr>
              <w:adjustRightInd w:val="0"/>
              <w:rPr>
                <w:rFonts w:ascii="宋体" w:hAnsi="宋体"/>
                <w:caps/>
                <w:sz w:val="22"/>
              </w:rPr>
            </w:pPr>
            <w:r>
              <w:rPr>
                <w:rFonts w:hint="eastAsia" w:ascii="宋体" w:hAnsi="宋体"/>
                <w:caps/>
                <w:sz w:val="22"/>
              </w:rPr>
              <w:t>具体技术规格及要求详见招标文件第三部分</w:t>
            </w:r>
          </w:p>
        </w:tc>
        <w:tc>
          <w:tcPr>
            <w:tcW w:w="244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aps/>
                <w:sz w:val="22"/>
              </w:rPr>
            </w:pPr>
            <w:r>
              <w:rPr>
                <w:rFonts w:hint="eastAsia" w:ascii="宋体" w:hAnsi="宋体"/>
                <w:caps/>
                <w:sz w:val="22"/>
              </w:rPr>
              <w:t>合同签订后70日历天</w:t>
            </w:r>
          </w:p>
        </w:tc>
        <w:tc>
          <w:tcPr>
            <w:tcW w:w="134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T</w:t>
            </w:r>
            <w:r>
              <w:rPr>
                <w:rFonts w:hint="eastAsia" w:ascii="宋体" w:hAnsi="宋体"/>
                <w:caps/>
                <w:sz w:val="22"/>
              </w:rPr>
              <w:t>3航站楼款式座椅皮面（靠垫）</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hint="eastAsia" w:ascii="宋体" w:hAnsi="宋体"/>
                <w:caps/>
                <w:sz w:val="22"/>
              </w:rPr>
              <w:t>150块</w:t>
            </w:r>
          </w:p>
        </w:tc>
        <w:tc>
          <w:tcPr>
            <w:tcW w:w="2078" w:type="dxa"/>
            <w:vMerge w:val="continue"/>
            <w:tcBorders>
              <w:left w:val="single" w:color="auto" w:sz="4" w:space="0"/>
              <w:bottom w:val="single" w:color="auto" w:sz="4" w:space="0"/>
              <w:right w:val="single" w:color="auto" w:sz="4" w:space="0"/>
            </w:tcBorders>
            <w:vAlign w:val="center"/>
          </w:tcPr>
          <w:p>
            <w:pPr>
              <w:adjustRightInd w:val="0"/>
              <w:rPr>
                <w:rFonts w:ascii="宋体" w:hAnsi="宋体"/>
                <w:caps/>
                <w:sz w:val="22"/>
              </w:rPr>
            </w:pPr>
          </w:p>
        </w:tc>
        <w:tc>
          <w:tcPr>
            <w:tcW w:w="24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p>
        </w:tc>
        <w:tc>
          <w:tcPr>
            <w:tcW w:w="1340"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90"/>
          <w:rFonts w:hint="eastAsia" w:ascii="宋体" w:hAnsi="宋体" w:cs="宋体"/>
          <w:sz w:val="22"/>
        </w:rPr>
        <w:t>具有独立法人资格的制造商或代理商，注册资金不少于人民币</w:t>
      </w:r>
      <w:r>
        <w:rPr>
          <w:rStyle w:val="90"/>
          <w:rFonts w:hint="eastAsia" w:cs="宋体"/>
          <w:sz w:val="22"/>
          <w:u w:val="single"/>
        </w:rPr>
        <w:t>50</w:t>
      </w:r>
      <w:r>
        <w:rPr>
          <w:rStyle w:val="90"/>
          <w:rFonts w:hint="eastAsia" w:ascii="宋体" w:hAnsi="宋体" w:cs="宋体"/>
          <w:sz w:val="22"/>
        </w:rPr>
        <w:t>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w:t>
      </w:r>
      <w:r>
        <w:rPr>
          <w:rFonts w:hint="eastAsia" w:ascii="宋体" w:hAnsi="宋体" w:cs="Arial"/>
          <w:kern w:val="0"/>
          <w:sz w:val="22"/>
        </w:rPr>
        <w:t>3</w:t>
      </w:r>
      <w:r>
        <w:rPr>
          <w:rFonts w:ascii="宋体" w:hAnsi="宋体" w:cs="Arial"/>
          <w:kern w:val="0"/>
          <w:sz w:val="22"/>
        </w:rPr>
        <w:t>%的增值税专用发票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代理商需具有招标设备制造商的授权书</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投标联系人：贾工        联系电话： 0571-</w:t>
      </w:r>
      <w:r>
        <w:rPr>
          <w:rFonts w:ascii="宋体" w:hAnsi="宋体"/>
          <w:sz w:val="22"/>
        </w:rPr>
        <w:t>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招标监督人：阮工         联系电话： 0571-86662133</w:t>
      </w:r>
    </w:p>
    <w:p>
      <w:pPr>
        <w:pStyle w:val="42"/>
      </w:pPr>
      <w:r>
        <w:rPr>
          <w:rFonts w:ascii="宋体" w:hAnsi="宋体"/>
          <w:bCs w:val="0"/>
          <w:sz w:val="22"/>
          <w:szCs w:val="22"/>
        </w:rPr>
        <w:br w:type="page"/>
      </w:r>
      <w:bookmarkStart w:id="1" w:name="_Toc321925452"/>
      <w:r>
        <w:t>第</w:t>
      </w:r>
      <w:r>
        <w:rPr>
          <w:rFonts w:hint="eastAsia"/>
        </w:rPr>
        <w:t>二</w:t>
      </w:r>
      <w:r>
        <w:t>章  投标</w:t>
      </w:r>
      <w:r>
        <w:rPr>
          <w:rFonts w:hint="eastAsia"/>
        </w:rPr>
        <w:t>人须知</w:t>
      </w:r>
      <w:bookmarkEnd w:id="1"/>
    </w:p>
    <w:p>
      <w:pPr>
        <w:pStyle w:val="30"/>
        <w:spacing w:line="240" w:lineRule="auto"/>
        <w:jc w:val="center"/>
        <w:rPr>
          <w:b/>
          <w:sz w:val="28"/>
          <w:szCs w:val="28"/>
        </w:rPr>
      </w:pPr>
      <w:r>
        <w:rPr>
          <w:rFonts w:hint="eastAsia"/>
          <w:b/>
          <w:sz w:val="28"/>
          <w:szCs w:val="28"/>
        </w:rPr>
        <w:t>投标人须知前附表</w:t>
      </w:r>
    </w:p>
    <w:tbl>
      <w:tblPr>
        <w:tblStyle w:val="4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T3航站楼座椅皮面</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70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合国家现行相关专业验收标准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8</w:t>
            </w:r>
            <w:r>
              <w:rPr>
                <w:rFonts w:ascii="宋体" w:hAnsi="宋体" w:cs="Calibri"/>
                <w:kern w:val="0"/>
                <w:sz w:val="22"/>
              </w:rPr>
              <w:t>月</w:t>
            </w:r>
            <w:r>
              <w:rPr>
                <w:rFonts w:hint="eastAsia" w:ascii="宋体" w:hAnsi="宋体" w:cs="Calibri"/>
                <w:kern w:val="0"/>
                <w:sz w:val="22"/>
                <w:lang w:val="en-US" w:eastAsia="zh-CN"/>
              </w:rPr>
              <w:t>8</w:t>
            </w:r>
            <w:r>
              <w:rPr>
                <w:rFonts w:ascii="宋体" w:hAnsi="宋体" w:cs="Calibri"/>
                <w:kern w:val="0"/>
                <w:sz w:val="22"/>
              </w:rPr>
              <w:t>日</w:t>
            </w:r>
            <w:r>
              <w:rPr>
                <w:rFonts w:hint="eastAsia" w:ascii="宋体" w:hAnsi="宋体" w:cs="Calibri"/>
                <w:kern w:val="0"/>
                <w:sz w:val="22"/>
                <w:lang w:val="en-US" w:eastAsia="zh-CN"/>
              </w:rPr>
              <w:t>11:30</w:t>
            </w:r>
            <w:r>
              <w:rPr>
                <w:rFonts w:ascii="宋体" w:hAnsi="宋体" w:cs="Calibri"/>
                <w:kern w:val="0"/>
                <w:sz w:val="22"/>
              </w:rPr>
              <w:t>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贾思勰</w:t>
            </w:r>
            <w:bookmarkStart w:id="96" w:name="_GoBack"/>
            <w:bookmarkEnd w:id="96"/>
            <w:r>
              <w:rPr>
                <w:rFonts w:hint="eastAsia" w:ascii="宋体" w:hAnsi="宋体" w:cs="Calibri"/>
                <w:kern w:val="0"/>
                <w:sz w:val="22"/>
              </w:rPr>
              <w:t>，电话0571-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杭州萧山国际机场T3航站楼座椅皮面采购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1"/>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2"/>
      </w:pPr>
      <w:r>
        <w:rPr>
          <w:sz w:val="24"/>
        </w:rPr>
        <w:br w:type="page"/>
      </w:r>
      <w:bookmarkStart w:id="72" w:name="_Toc321925453"/>
      <w:r>
        <w:t>第</w:t>
      </w:r>
      <w:r>
        <w:rPr>
          <w:rFonts w:hint="eastAsia"/>
        </w:rPr>
        <w:t>三</w:t>
      </w:r>
      <w:r>
        <w:t>章  货物需求一览表及技术规格</w:t>
      </w:r>
      <w:bookmarkEnd w:id="72"/>
    </w:p>
    <w:p>
      <w:pPr>
        <w:spacing w:line="360" w:lineRule="auto"/>
        <w:rPr>
          <w:rFonts w:ascii="宋体" w:hAnsi="宋体"/>
          <w:b/>
          <w:sz w:val="22"/>
        </w:rPr>
      </w:pPr>
      <w:r>
        <w:rPr>
          <w:rFonts w:hint="eastAsia" w:ascii="宋体" w:hAnsi="宋体"/>
          <w:b/>
          <w:sz w:val="22"/>
        </w:rPr>
        <w:t>一、招标内容</w:t>
      </w:r>
    </w:p>
    <w:p>
      <w:pPr>
        <w:spacing w:line="360" w:lineRule="auto"/>
        <w:rPr>
          <w:rFonts w:ascii="宋体" w:hAnsi="宋体"/>
          <w:sz w:val="22"/>
        </w:rPr>
      </w:pPr>
      <w:r>
        <w:rPr>
          <w:rFonts w:hint="eastAsia" w:ascii="宋体" w:hAnsi="宋体"/>
          <w:sz w:val="22"/>
        </w:rPr>
        <w:t xml:space="preserve">    杭州萧山国际机场</w:t>
      </w:r>
      <w:r>
        <w:rPr>
          <w:rFonts w:hint="eastAsia" w:ascii="宋体" w:hAnsi="宋体" w:cs="Arial"/>
          <w:kern w:val="0"/>
          <w:sz w:val="22"/>
        </w:rPr>
        <w:t>航站楼座椅皮面</w:t>
      </w:r>
      <w:r>
        <w:rPr>
          <w:rFonts w:hint="eastAsia" w:ascii="宋体" w:hAnsi="宋体"/>
          <w:sz w:val="22"/>
        </w:rPr>
        <w:t>采购及安装。</w:t>
      </w:r>
    </w:p>
    <w:p>
      <w:pPr>
        <w:spacing w:line="360" w:lineRule="auto"/>
        <w:ind w:firstLine="440" w:firstLineChars="200"/>
        <w:rPr>
          <w:rFonts w:ascii="宋体" w:hAnsi="宋体"/>
          <w:sz w:val="22"/>
        </w:rPr>
      </w:pPr>
      <w:r>
        <w:rPr>
          <w:rFonts w:hint="eastAsia" w:ascii="宋体" w:hAnsi="宋体"/>
          <w:sz w:val="22"/>
        </w:rPr>
        <w:t>招标人将从深化设计、设备制造、供货、安装、验收、备品备件、技术培训及售后服务等各个方面进行评价。</w:t>
      </w:r>
    </w:p>
    <w:p>
      <w:pPr>
        <w:spacing w:line="360" w:lineRule="auto"/>
        <w:rPr>
          <w:rFonts w:ascii="宋体" w:hAnsi="宋体"/>
          <w:b/>
          <w:sz w:val="22"/>
        </w:rPr>
      </w:pPr>
      <w:r>
        <w:rPr>
          <w:rFonts w:hint="eastAsia" w:ascii="宋体" w:hAnsi="宋体"/>
          <w:b/>
          <w:sz w:val="22"/>
        </w:rPr>
        <w:t>二、货物需求一览表</w:t>
      </w:r>
    </w:p>
    <w:tbl>
      <w:tblPr>
        <w:tblStyle w:val="49"/>
        <w:tblW w:w="9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4776"/>
        <w:gridCol w:w="3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tcPr>
          <w:p>
            <w:pPr>
              <w:spacing w:line="360" w:lineRule="auto"/>
              <w:jc w:val="center"/>
              <w:rPr>
                <w:rFonts w:ascii="宋体" w:hAnsi="宋体"/>
                <w:sz w:val="22"/>
              </w:rPr>
            </w:pPr>
            <w:r>
              <w:rPr>
                <w:rFonts w:hint="eastAsia" w:ascii="宋体" w:hAnsi="宋体"/>
                <w:sz w:val="22"/>
              </w:rPr>
              <w:t>序号</w:t>
            </w:r>
          </w:p>
        </w:tc>
        <w:tc>
          <w:tcPr>
            <w:tcW w:w="4776" w:type="dxa"/>
            <w:vAlign w:val="center"/>
          </w:tcPr>
          <w:p>
            <w:pPr>
              <w:spacing w:line="360" w:lineRule="auto"/>
              <w:jc w:val="center"/>
              <w:rPr>
                <w:rFonts w:ascii="宋体" w:hAnsi="宋体"/>
                <w:sz w:val="22"/>
              </w:rPr>
            </w:pPr>
            <w:r>
              <w:rPr>
                <w:rFonts w:hint="eastAsia" w:ascii="宋体" w:hAnsi="宋体"/>
                <w:sz w:val="22"/>
              </w:rPr>
              <w:t>货物品名</w:t>
            </w:r>
          </w:p>
        </w:tc>
        <w:tc>
          <w:tcPr>
            <w:tcW w:w="3070" w:type="dxa"/>
            <w:vAlign w:val="center"/>
          </w:tcPr>
          <w:p>
            <w:pPr>
              <w:spacing w:line="360" w:lineRule="auto"/>
              <w:jc w:val="center"/>
              <w:rPr>
                <w:rFonts w:ascii="宋体" w:hAnsi="宋体"/>
                <w:sz w:val="22"/>
              </w:rPr>
            </w:pPr>
            <w:r>
              <w:rPr>
                <w:rFonts w:hint="eastAsia" w:ascii="宋体" w:hAnsi="宋体"/>
                <w:sz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trPr>
        <w:tc>
          <w:tcPr>
            <w:tcW w:w="1668" w:type="dxa"/>
            <w:vAlign w:val="center"/>
          </w:tcPr>
          <w:p>
            <w:pPr>
              <w:spacing w:line="360" w:lineRule="auto"/>
              <w:jc w:val="center"/>
              <w:rPr>
                <w:rFonts w:ascii="宋体" w:hAnsi="宋体"/>
                <w:sz w:val="22"/>
              </w:rPr>
            </w:pPr>
            <w:r>
              <w:rPr>
                <w:rFonts w:hint="eastAsia" w:ascii="宋体" w:hAnsi="宋体"/>
                <w:sz w:val="22"/>
              </w:rPr>
              <w:t>1</w:t>
            </w:r>
          </w:p>
        </w:tc>
        <w:tc>
          <w:tcPr>
            <w:tcW w:w="4776" w:type="dxa"/>
            <w:vAlign w:val="center"/>
          </w:tcPr>
          <w:p>
            <w:pPr>
              <w:spacing w:line="360" w:lineRule="auto"/>
              <w:jc w:val="center"/>
              <w:rPr>
                <w:rFonts w:ascii="宋体" w:hAnsi="宋体"/>
                <w:sz w:val="22"/>
              </w:rPr>
            </w:pPr>
            <w:r>
              <w:rPr>
                <w:rFonts w:hint="eastAsia" w:ascii="宋体" w:hAnsi="宋体"/>
                <w:sz w:val="22"/>
              </w:rPr>
              <w:t>T3航站楼座椅皮面（座垫）</w:t>
            </w:r>
          </w:p>
        </w:tc>
        <w:tc>
          <w:tcPr>
            <w:tcW w:w="3070" w:type="dxa"/>
            <w:vAlign w:val="center"/>
          </w:tcPr>
          <w:p>
            <w:pPr>
              <w:spacing w:line="360" w:lineRule="auto"/>
              <w:jc w:val="center"/>
              <w:rPr>
                <w:rFonts w:ascii="宋体" w:hAnsi="宋体"/>
                <w:sz w:val="22"/>
              </w:rPr>
            </w:pPr>
            <w:r>
              <w:rPr>
                <w:rFonts w:hint="eastAsia" w:ascii="宋体" w:hAnsi="宋体"/>
                <w:sz w:val="22"/>
              </w:rPr>
              <w:t>2850块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trPr>
        <w:tc>
          <w:tcPr>
            <w:tcW w:w="1668" w:type="dxa"/>
            <w:vAlign w:val="center"/>
          </w:tcPr>
          <w:p>
            <w:pPr>
              <w:spacing w:line="360" w:lineRule="auto"/>
              <w:jc w:val="center"/>
              <w:rPr>
                <w:rFonts w:ascii="宋体" w:hAnsi="宋体"/>
                <w:sz w:val="22"/>
              </w:rPr>
            </w:pPr>
            <w:r>
              <w:rPr>
                <w:rFonts w:hint="eastAsia" w:ascii="宋体" w:hAnsi="宋体"/>
                <w:sz w:val="22"/>
              </w:rPr>
              <w:t>2</w:t>
            </w:r>
          </w:p>
        </w:tc>
        <w:tc>
          <w:tcPr>
            <w:tcW w:w="4776" w:type="dxa"/>
            <w:vAlign w:val="center"/>
          </w:tcPr>
          <w:p>
            <w:pPr>
              <w:spacing w:line="360" w:lineRule="auto"/>
              <w:jc w:val="center"/>
              <w:rPr>
                <w:rFonts w:ascii="宋体" w:hAnsi="宋体"/>
                <w:sz w:val="22"/>
              </w:rPr>
            </w:pPr>
            <w:r>
              <w:rPr>
                <w:rFonts w:hint="eastAsia" w:ascii="宋体" w:hAnsi="宋体"/>
                <w:sz w:val="22"/>
              </w:rPr>
              <w:t>T3航站楼座椅皮面（靠垫）</w:t>
            </w:r>
          </w:p>
        </w:tc>
        <w:tc>
          <w:tcPr>
            <w:tcW w:w="3070" w:type="dxa"/>
            <w:vAlign w:val="center"/>
          </w:tcPr>
          <w:p>
            <w:pPr>
              <w:spacing w:line="360" w:lineRule="auto"/>
              <w:jc w:val="center"/>
              <w:rPr>
                <w:rFonts w:ascii="宋体" w:hAnsi="宋体"/>
                <w:sz w:val="22"/>
              </w:rPr>
            </w:pPr>
            <w:r>
              <w:rPr>
                <w:rFonts w:hint="eastAsia" w:ascii="宋体" w:hAnsi="宋体"/>
                <w:sz w:val="22"/>
              </w:rPr>
              <w:t>150块</w:t>
            </w:r>
          </w:p>
        </w:tc>
      </w:tr>
    </w:tbl>
    <w:p>
      <w:pPr>
        <w:spacing w:line="360" w:lineRule="auto"/>
        <w:rPr>
          <w:rFonts w:ascii="宋体" w:hAnsi="宋体"/>
          <w:b/>
          <w:sz w:val="22"/>
        </w:rPr>
      </w:pPr>
      <w:r>
        <w:rPr>
          <w:rFonts w:hint="eastAsia" w:ascii="宋体" w:hAnsi="宋体"/>
          <w:sz w:val="22"/>
        </w:rPr>
        <w:t>备注：投标人报价为杭州萧山国际机场内交货价，包含但不限于产品价格、运输费、包装费、安装费、旧座椅皮面拆除费、旧座椅皮面清运费、施工现场监管费、保险费、税费等所有费用。甲方不再承担其他任何费用。</w:t>
      </w:r>
    </w:p>
    <w:p>
      <w:pPr>
        <w:spacing w:line="360" w:lineRule="auto"/>
        <w:rPr>
          <w:rFonts w:ascii="宋体" w:hAnsi="宋体"/>
          <w:b/>
          <w:sz w:val="22"/>
        </w:rPr>
      </w:pPr>
      <w:r>
        <w:rPr>
          <w:rFonts w:hint="eastAsia" w:ascii="宋体" w:hAnsi="宋体"/>
          <w:b/>
          <w:sz w:val="22"/>
        </w:rPr>
        <w:t>三、</w:t>
      </w:r>
      <w:r>
        <w:rPr>
          <w:rFonts w:ascii="宋体" w:hAnsi="宋体"/>
          <w:b/>
          <w:sz w:val="22"/>
        </w:rPr>
        <w:t xml:space="preserve"> </w:t>
      </w:r>
      <w:r>
        <w:rPr>
          <w:rFonts w:hint="eastAsia" w:ascii="宋体" w:hAnsi="宋体"/>
          <w:b/>
          <w:sz w:val="22"/>
        </w:rPr>
        <w:t>技术规格及其它要求</w:t>
      </w:r>
    </w:p>
    <w:p>
      <w:pPr>
        <w:spacing w:line="360" w:lineRule="auto"/>
        <w:ind w:firstLine="431" w:firstLineChars="196"/>
        <w:rPr>
          <w:rFonts w:ascii="宋体" w:hAnsi="宋体"/>
          <w:b/>
          <w:sz w:val="22"/>
        </w:rPr>
      </w:pPr>
      <w:r>
        <w:rPr>
          <w:rFonts w:hint="eastAsia" w:ascii="宋体" w:hAnsi="宋体"/>
          <w:b/>
          <w:sz w:val="22"/>
        </w:rPr>
        <w:t>1.技术规格</w:t>
      </w:r>
    </w:p>
    <w:p>
      <w:pPr>
        <w:pStyle w:val="139"/>
        <w:spacing w:line="520" w:lineRule="exact"/>
        <w:ind w:firstLine="440"/>
        <w:rPr>
          <w:rFonts w:ascii="宋体" w:hAnsi="宋体"/>
          <w:sz w:val="22"/>
        </w:rPr>
      </w:pPr>
      <w:r>
        <w:rPr>
          <w:rFonts w:ascii="宋体" w:hAnsi="宋体"/>
          <w:sz w:val="22"/>
        </w:rPr>
        <w:t>1.2.1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139"/>
        <w:spacing w:line="520" w:lineRule="exact"/>
        <w:ind w:firstLine="440"/>
        <w:rPr>
          <w:rFonts w:ascii="宋体" w:hAnsi="宋体"/>
          <w:sz w:val="22"/>
        </w:rPr>
      </w:pPr>
      <w:r>
        <w:rPr>
          <w:rFonts w:ascii="宋体" w:hAnsi="宋体"/>
          <w:sz w:val="22"/>
        </w:rPr>
        <w:t>1.2.2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139"/>
        <w:spacing w:line="520" w:lineRule="exact"/>
        <w:ind w:firstLine="440"/>
        <w:rPr>
          <w:rFonts w:ascii="宋体" w:hAnsi="宋体"/>
          <w:sz w:val="22"/>
        </w:rPr>
      </w:pPr>
      <w:r>
        <w:rPr>
          <w:rFonts w:ascii="宋体" w:hAnsi="宋体"/>
          <w:sz w:val="22"/>
        </w:rPr>
        <w:t>1.2.3所有应答均不得照抄、复制本章所列条款、指标和参数。非量化指标可以直接进行应答，量化指标必须应答具体数值，主要技术指标必须提供检测报告或样本。</w:t>
      </w:r>
    </w:p>
    <w:p>
      <w:pPr>
        <w:pStyle w:val="139"/>
        <w:spacing w:line="520" w:lineRule="exact"/>
        <w:ind w:firstLine="440"/>
        <w:rPr>
          <w:rFonts w:ascii="宋体" w:hAnsi="宋体"/>
          <w:sz w:val="22"/>
        </w:rPr>
      </w:pPr>
      <w:r>
        <w:rPr>
          <w:rFonts w:ascii="宋体" w:hAnsi="宋体"/>
          <w:sz w:val="22"/>
        </w:rPr>
        <w:t>1.2.4本技术规格仅指出产品的基本要求，不应作为</w:t>
      </w:r>
      <w:r>
        <w:rPr>
          <w:rFonts w:hint="eastAsia" w:ascii="宋体" w:hAnsi="宋体"/>
          <w:sz w:val="22"/>
        </w:rPr>
        <w:t>航站楼座椅皮面</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hint="eastAsia" w:ascii="宋体" w:hAnsi="宋体"/>
          <w:sz w:val="22"/>
        </w:rPr>
        <w:t>航站楼座椅皮面</w:t>
      </w:r>
      <w:r>
        <w:rPr>
          <w:rFonts w:ascii="宋体" w:hAnsi="宋体"/>
          <w:sz w:val="22"/>
        </w:rPr>
        <w:t>能正常有效使用，保证质量所需要的部件、材料配置、资料等，并包括在投标总价内。</w:t>
      </w:r>
    </w:p>
    <w:p>
      <w:pPr>
        <w:spacing w:line="520" w:lineRule="exact"/>
        <w:ind w:firstLine="436" w:firstLineChars="198"/>
        <w:rPr>
          <w:rFonts w:ascii="宋体" w:hAnsi="宋体"/>
          <w:sz w:val="22"/>
        </w:rPr>
      </w:pPr>
      <w:r>
        <w:rPr>
          <w:rFonts w:ascii="宋体" w:hAnsi="宋体"/>
          <w:sz w:val="22"/>
        </w:rPr>
        <w:t>1.2.</w:t>
      </w:r>
      <w:r>
        <w:rPr>
          <w:rFonts w:hint="eastAsia" w:ascii="宋体" w:hAnsi="宋体"/>
          <w:sz w:val="22"/>
        </w:rPr>
        <w:t>5</w:t>
      </w:r>
      <w:r>
        <w:rPr>
          <w:rFonts w:ascii="宋体" w:hAnsi="宋体"/>
          <w:sz w:val="22"/>
        </w:rPr>
        <w:t>数量的调整</w:t>
      </w:r>
    </w:p>
    <w:p>
      <w:pPr>
        <w:pStyle w:val="139"/>
        <w:spacing w:line="520" w:lineRule="exact"/>
        <w:ind w:firstLine="440"/>
        <w:rPr>
          <w:rFonts w:ascii="宋体" w:hAnsi="宋体"/>
          <w:sz w:val="22"/>
        </w:rPr>
      </w:pPr>
      <w:r>
        <w:rPr>
          <w:rFonts w:ascii="宋体" w:hAnsi="宋体"/>
          <w:sz w:val="22"/>
        </w:rPr>
        <w:t>招标人在签约时保留在</w:t>
      </w:r>
      <w:r>
        <w:rPr>
          <w:rFonts w:hint="eastAsia" w:ascii="宋体" w:hAnsi="宋体"/>
          <w:sz w:val="22"/>
        </w:rPr>
        <w:t>航站楼座椅皮面价格</w:t>
      </w:r>
      <w:r>
        <w:rPr>
          <w:rFonts w:ascii="宋体" w:hAnsi="宋体"/>
          <w:sz w:val="22"/>
        </w:rPr>
        <w:t>不变的条件下，</w:t>
      </w:r>
      <w:r>
        <w:rPr>
          <w:rFonts w:hint="eastAsia" w:ascii="宋体" w:hAnsi="宋体"/>
          <w:sz w:val="22"/>
        </w:rPr>
        <w:t>对皮面</w:t>
      </w:r>
      <w:r>
        <w:rPr>
          <w:rFonts w:ascii="宋体" w:hAnsi="宋体"/>
          <w:sz w:val="22"/>
        </w:rPr>
        <w:t>数量调整的权利。</w:t>
      </w:r>
    </w:p>
    <w:p>
      <w:pPr>
        <w:pStyle w:val="139"/>
        <w:spacing w:line="520" w:lineRule="exact"/>
        <w:ind w:firstLine="440"/>
        <w:rPr>
          <w:rFonts w:ascii="宋体" w:hAnsi="宋体"/>
          <w:sz w:val="22"/>
        </w:rPr>
      </w:pPr>
      <w:r>
        <w:rPr>
          <w:rFonts w:hint="eastAsia" w:ascii="宋体" w:hAnsi="宋体"/>
          <w:sz w:val="22"/>
        </w:rPr>
        <w:t>1.2.6货品检测</w:t>
      </w:r>
    </w:p>
    <w:p>
      <w:pPr>
        <w:pStyle w:val="139"/>
        <w:spacing w:line="520" w:lineRule="exact"/>
        <w:ind w:firstLine="440"/>
        <w:rPr>
          <w:rFonts w:ascii="宋体" w:hAnsi="宋体"/>
          <w:sz w:val="22"/>
        </w:rPr>
      </w:pPr>
      <w:r>
        <w:rPr>
          <w:rFonts w:hint="eastAsia" w:ascii="宋体" w:hAnsi="宋体"/>
          <w:sz w:val="22"/>
        </w:rPr>
        <w:t>招标人有权对中标人所提供货品进行抽样，送专业机构检测，检测费用由中标人承担，货品检测结果不符合招标文件相关技术要求的则视为违约，并承担相应违约责任。</w:t>
      </w:r>
    </w:p>
    <w:p>
      <w:pPr>
        <w:pStyle w:val="139"/>
        <w:spacing w:line="520" w:lineRule="exact"/>
        <w:ind w:firstLine="440"/>
        <w:rPr>
          <w:rFonts w:ascii="宋体" w:hAnsi="宋体"/>
          <w:sz w:val="22"/>
        </w:rPr>
      </w:pPr>
      <w:r>
        <w:rPr>
          <w:rFonts w:ascii="宋体" w:hAnsi="宋体"/>
          <w:sz w:val="22"/>
        </w:rPr>
        <w:t>1.3现场条件</w:t>
      </w:r>
    </w:p>
    <w:p>
      <w:pPr>
        <w:pStyle w:val="139"/>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pPr>
        <w:pStyle w:val="139"/>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.1 室外环境温度：-20°C -- +60°C</w:t>
      </w:r>
    </w:p>
    <w:p>
      <w:pPr>
        <w:pStyle w:val="139"/>
        <w:spacing w:line="520" w:lineRule="exact"/>
        <w:ind w:firstLine="1100" w:firstLineChars="500"/>
        <w:rPr>
          <w:rFonts w:ascii="宋体" w:hAnsi="宋体"/>
          <w:sz w:val="22"/>
        </w:rPr>
      </w:pPr>
      <w:r>
        <w:rPr>
          <w:rFonts w:ascii="宋体" w:hAnsi="宋体"/>
          <w:sz w:val="22"/>
        </w:rPr>
        <w:t>室外环境相对湿度：95%</w:t>
      </w:r>
    </w:p>
    <w:p>
      <w:pPr>
        <w:pStyle w:val="139"/>
        <w:spacing w:line="520" w:lineRule="exact"/>
        <w:ind w:firstLine="1100" w:firstLineChars="500"/>
        <w:rPr>
          <w:rFonts w:ascii="宋体" w:hAnsi="宋体"/>
          <w:sz w:val="22"/>
        </w:rPr>
      </w:pPr>
      <w:r>
        <w:rPr>
          <w:rFonts w:ascii="宋体" w:hAnsi="宋体"/>
          <w:sz w:val="22"/>
        </w:rPr>
        <w:t>室内最大相对湿度：日平均不大于95%(25</w:t>
      </w:r>
      <w:r>
        <w:rPr>
          <w:rFonts w:hint="eastAsia" w:ascii="宋体" w:hAnsi="宋体"/>
          <w:sz w:val="22"/>
        </w:rPr>
        <w:t>℃</w:t>
      </w:r>
      <w:r>
        <w:rPr>
          <w:rFonts w:ascii="宋体" w:hAnsi="宋体"/>
          <w:sz w:val="22"/>
        </w:rPr>
        <w:t>时)，月平均不大于90%(25</w:t>
      </w:r>
      <w:r>
        <w:rPr>
          <w:rFonts w:hint="eastAsia" w:ascii="宋体" w:hAnsi="宋体"/>
          <w:sz w:val="22"/>
        </w:rPr>
        <w:t>℃</w:t>
      </w:r>
      <w:r>
        <w:rPr>
          <w:rFonts w:ascii="宋体" w:hAnsi="宋体"/>
          <w:sz w:val="22"/>
        </w:rPr>
        <w:t>时)</w:t>
      </w:r>
    </w:p>
    <w:p>
      <w:pPr>
        <w:pStyle w:val="139"/>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.2饱和蒸汽压：日平均不大于22mbar，月平均不大于18mbar。</w:t>
      </w:r>
    </w:p>
    <w:p>
      <w:pPr>
        <w:pStyle w:val="139"/>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.3腐蚀性：有轻度盐雾。</w:t>
      </w:r>
    </w:p>
    <w:p>
      <w:pPr>
        <w:pStyle w:val="139"/>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w:t>
      </w:r>
      <w:r>
        <w:rPr>
          <w:rFonts w:hint="eastAsia" w:ascii="宋体" w:hAnsi="宋体"/>
          <w:sz w:val="22"/>
        </w:rPr>
        <w:t>4</w:t>
      </w:r>
      <w:r>
        <w:rPr>
          <w:rFonts w:ascii="宋体" w:hAnsi="宋体"/>
          <w:sz w:val="22"/>
        </w:rPr>
        <w:t>连续工作时间：全年每天连续使用24小时。</w:t>
      </w:r>
    </w:p>
    <w:p>
      <w:pPr>
        <w:pStyle w:val="139"/>
        <w:spacing w:line="520" w:lineRule="exact"/>
        <w:ind w:firstLine="440"/>
        <w:rPr>
          <w:rFonts w:ascii="宋体" w:hAnsi="宋体"/>
          <w:sz w:val="22"/>
        </w:rPr>
      </w:pPr>
      <w:r>
        <w:rPr>
          <w:rFonts w:ascii="宋体" w:hAnsi="宋体"/>
          <w:sz w:val="22"/>
        </w:rPr>
        <w:t>1.</w:t>
      </w:r>
      <w:r>
        <w:rPr>
          <w:rFonts w:hint="eastAsia" w:ascii="宋体" w:hAnsi="宋体"/>
          <w:sz w:val="22"/>
        </w:rPr>
        <w:t>4</w:t>
      </w:r>
      <w:r>
        <w:rPr>
          <w:rFonts w:ascii="宋体" w:hAnsi="宋体"/>
          <w:sz w:val="22"/>
        </w:rPr>
        <w:t>产品标准和规范</w:t>
      </w:r>
    </w:p>
    <w:p>
      <w:pPr>
        <w:spacing w:line="520" w:lineRule="exact"/>
        <w:ind w:firstLine="440" w:firstLineChars="200"/>
        <w:rPr>
          <w:rFonts w:ascii="宋体" w:hAnsi="宋体"/>
          <w:sz w:val="22"/>
        </w:rPr>
      </w:pPr>
      <w:r>
        <w:rPr>
          <w:rFonts w:hint="eastAsia" w:ascii="宋体" w:hAnsi="宋体"/>
          <w:sz w:val="22"/>
        </w:rPr>
        <w:t>1.4.1投标人提供的所有座椅应符合招标时已颁布的现行最新的国家标准。若技术规范在合同中没有提及有关标准，执行国家标准。</w:t>
      </w:r>
    </w:p>
    <w:p>
      <w:pPr>
        <w:pStyle w:val="68"/>
        <w:spacing w:line="520" w:lineRule="exact"/>
        <w:ind w:firstLineChars="0"/>
        <w:rPr>
          <w:rFonts w:ascii="宋体" w:hAnsi="宋体"/>
          <w:sz w:val="22"/>
          <w:szCs w:val="22"/>
        </w:rPr>
      </w:pPr>
      <w:r>
        <w:rPr>
          <w:rFonts w:hint="eastAsia" w:ascii="宋体" w:hAnsi="宋体"/>
          <w:sz w:val="22"/>
          <w:szCs w:val="22"/>
        </w:rPr>
        <w:t>1.4.2投标人应采用的标准和规范，包括但不限于：</w:t>
      </w:r>
    </w:p>
    <w:p>
      <w:pPr>
        <w:adjustRightInd w:val="0"/>
        <w:snapToGrid w:val="0"/>
        <w:spacing w:line="520" w:lineRule="exact"/>
        <w:ind w:firstLine="440" w:firstLineChars="200"/>
        <w:rPr>
          <w:rFonts w:ascii="宋体" w:hAnsi="宋体"/>
          <w:sz w:val="22"/>
        </w:rPr>
      </w:pPr>
      <w:r>
        <w:rPr>
          <w:rFonts w:hint="eastAsia" w:ascii="宋体" w:hAnsi="宋体"/>
          <w:sz w:val="22"/>
        </w:rPr>
        <w:t>家具用皮革                           GB/T16799-1997</w:t>
      </w:r>
    </w:p>
    <w:p>
      <w:pPr>
        <w:adjustRightInd w:val="0"/>
        <w:snapToGrid w:val="0"/>
        <w:spacing w:line="520" w:lineRule="exact"/>
        <w:ind w:firstLine="440" w:firstLineChars="200"/>
        <w:rPr>
          <w:rFonts w:ascii="宋体" w:hAnsi="宋体"/>
          <w:sz w:val="22"/>
        </w:rPr>
      </w:pPr>
      <w:r>
        <w:rPr>
          <w:rFonts w:hint="eastAsia" w:ascii="宋体" w:hAnsi="宋体"/>
          <w:sz w:val="22"/>
        </w:rPr>
        <w:t>建筑设计防火规范                     GBJ16</w:t>
      </w:r>
    </w:p>
    <w:p>
      <w:pPr>
        <w:adjustRightInd w:val="0"/>
        <w:snapToGrid w:val="0"/>
        <w:spacing w:line="520" w:lineRule="exact"/>
        <w:ind w:firstLine="440" w:firstLineChars="200"/>
        <w:rPr>
          <w:rFonts w:ascii="宋体" w:hAnsi="宋体"/>
          <w:sz w:val="22"/>
        </w:rPr>
      </w:pPr>
      <w:r>
        <w:rPr>
          <w:rFonts w:hint="eastAsia" w:ascii="宋体" w:hAnsi="宋体"/>
          <w:sz w:val="22"/>
        </w:rPr>
        <w:t>建筑内部装修设计防火规范             GB50222-1995</w:t>
      </w:r>
    </w:p>
    <w:p>
      <w:pPr>
        <w:adjustRightInd w:val="0"/>
        <w:snapToGrid w:val="0"/>
        <w:spacing w:line="520" w:lineRule="exact"/>
        <w:ind w:firstLine="440" w:firstLineChars="200"/>
        <w:rPr>
          <w:rFonts w:ascii="宋体" w:hAnsi="宋体"/>
          <w:sz w:val="22"/>
        </w:rPr>
      </w:pPr>
      <w:r>
        <w:rPr>
          <w:rFonts w:hint="eastAsia" w:ascii="宋体" w:hAnsi="宋体"/>
          <w:sz w:val="22"/>
        </w:rPr>
        <w:t>建筑装饰工程施工及验收规范           JGJ73-91</w:t>
      </w:r>
    </w:p>
    <w:p>
      <w:pPr>
        <w:adjustRightInd w:val="0"/>
        <w:snapToGrid w:val="0"/>
        <w:spacing w:line="520" w:lineRule="exact"/>
        <w:ind w:firstLine="440" w:firstLineChars="200"/>
        <w:rPr>
          <w:rFonts w:ascii="宋体" w:hAnsi="宋体"/>
          <w:sz w:val="22"/>
        </w:rPr>
      </w:pPr>
      <w:r>
        <w:rPr>
          <w:rFonts w:hint="eastAsia" w:ascii="宋体" w:hAnsi="宋体"/>
          <w:sz w:val="22"/>
        </w:rPr>
        <w:t>室内装饰工程质量规范                 QB1838-93</w:t>
      </w:r>
    </w:p>
    <w:p>
      <w:pPr>
        <w:adjustRightInd w:val="0"/>
        <w:snapToGrid w:val="0"/>
        <w:spacing w:line="520" w:lineRule="exact"/>
        <w:ind w:firstLine="440" w:firstLineChars="200"/>
        <w:rPr>
          <w:rFonts w:ascii="宋体" w:hAnsi="宋体"/>
          <w:sz w:val="22"/>
        </w:rPr>
      </w:pPr>
      <w:r>
        <w:rPr>
          <w:rFonts w:hint="eastAsia" w:ascii="宋体" w:hAnsi="宋体"/>
          <w:sz w:val="22"/>
        </w:rPr>
        <w:t>建筑工程质量检验评定标准             GBJ301</w:t>
      </w:r>
    </w:p>
    <w:p>
      <w:pPr>
        <w:adjustRightInd w:val="0"/>
        <w:snapToGrid w:val="0"/>
        <w:spacing w:line="520" w:lineRule="exact"/>
        <w:ind w:firstLine="440" w:firstLineChars="200"/>
        <w:rPr>
          <w:rFonts w:ascii="宋体" w:hAnsi="宋体"/>
          <w:sz w:val="22"/>
        </w:rPr>
      </w:pPr>
      <w:r>
        <w:rPr>
          <w:rFonts w:hint="eastAsia" w:ascii="宋体" w:hAnsi="宋体"/>
          <w:sz w:val="22"/>
        </w:rPr>
        <w:t>海棉甲醛释放限量标准                GB/T10802-1989</w:t>
      </w:r>
    </w:p>
    <w:p>
      <w:pPr>
        <w:adjustRightInd w:val="0"/>
        <w:snapToGrid w:val="0"/>
        <w:spacing w:line="520" w:lineRule="exact"/>
        <w:ind w:firstLine="440" w:firstLineChars="200"/>
        <w:rPr>
          <w:rFonts w:ascii="宋体" w:hAnsi="宋体"/>
          <w:sz w:val="22"/>
        </w:rPr>
      </w:pPr>
      <w:r>
        <w:rPr>
          <w:rFonts w:hint="eastAsia" w:ascii="宋体" w:hAnsi="宋体"/>
          <w:sz w:val="22"/>
        </w:rPr>
        <w:t>泡沫材料测试标准                    BS4443</w:t>
      </w:r>
    </w:p>
    <w:p>
      <w:pPr>
        <w:adjustRightInd w:val="0"/>
        <w:snapToGrid w:val="0"/>
        <w:spacing w:line="520" w:lineRule="exact"/>
        <w:ind w:firstLine="440" w:firstLineChars="200"/>
        <w:rPr>
          <w:rFonts w:ascii="宋体" w:hAnsi="宋体"/>
          <w:sz w:val="22"/>
        </w:rPr>
      </w:pPr>
      <w:r>
        <w:rPr>
          <w:rFonts w:hint="eastAsia" w:ascii="宋体" w:hAnsi="宋体"/>
          <w:sz w:val="22"/>
        </w:rPr>
        <w:t>消防测试标准                        UNE23727、BS5852</w:t>
      </w:r>
    </w:p>
    <w:p>
      <w:pPr>
        <w:adjustRightInd w:val="0"/>
        <w:snapToGrid w:val="0"/>
        <w:spacing w:line="520" w:lineRule="exact"/>
        <w:ind w:firstLine="440" w:firstLineChars="200"/>
        <w:rPr>
          <w:rFonts w:ascii="宋体" w:hAnsi="宋体"/>
          <w:sz w:val="22"/>
        </w:rPr>
      </w:pPr>
      <w:r>
        <w:rPr>
          <w:rFonts w:hint="eastAsia" w:ascii="宋体" w:hAnsi="宋体"/>
          <w:sz w:val="22"/>
        </w:rPr>
        <w:t>英国抗磨损测试标准                  BS5811</w:t>
      </w:r>
    </w:p>
    <w:p>
      <w:pPr>
        <w:adjustRightInd w:val="0"/>
        <w:snapToGrid w:val="0"/>
        <w:spacing w:line="520" w:lineRule="exact"/>
        <w:ind w:firstLine="440" w:firstLineChars="200"/>
        <w:rPr>
          <w:rFonts w:ascii="宋体" w:hAnsi="宋体"/>
          <w:sz w:val="22"/>
        </w:rPr>
      </w:pPr>
      <w:r>
        <w:rPr>
          <w:rFonts w:hint="eastAsia" w:ascii="宋体" w:hAnsi="宋体"/>
          <w:sz w:val="22"/>
        </w:rPr>
        <w:t>标书中提及的所有标准均应是最新且已实施的版本。</w:t>
      </w:r>
    </w:p>
    <w:p>
      <w:pPr>
        <w:spacing w:line="520" w:lineRule="exact"/>
        <w:ind w:firstLine="440" w:firstLineChars="200"/>
        <w:rPr>
          <w:rFonts w:ascii="宋体" w:hAnsi="宋体"/>
          <w:sz w:val="22"/>
        </w:rPr>
      </w:pPr>
      <w:r>
        <w:rPr>
          <w:rFonts w:hint="eastAsia" w:ascii="宋体" w:hAnsi="宋体"/>
          <w:sz w:val="22"/>
        </w:rPr>
        <w:t>1.4.3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pPr>
        <w:spacing w:line="520" w:lineRule="exact"/>
        <w:ind w:firstLine="440" w:firstLineChars="200"/>
        <w:rPr>
          <w:rFonts w:ascii="宋体" w:hAnsi="宋体"/>
          <w:sz w:val="22"/>
        </w:rPr>
      </w:pPr>
    </w:p>
    <w:p>
      <w:pPr>
        <w:pStyle w:val="2"/>
        <w:keepNext w:val="0"/>
        <w:keepLines w:val="0"/>
        <w:snapToGrid w:val="0"/>
        <w:spacing w:before="0" w:after="0" w:line="520" w:lineRule="exact"/>
        <w:jc w:val="both"/>
        <w:rPr>
          <w:rFonts w:ascii="宋体" w:hAnsi="宋体"/>
          <w:b w:val="0"/>
          <w:bCs w:val="0"/>
          <w:kern w:val="2"/>
          <w:sz w:val="22"/>
          <w:szCs w:val="22"/>
        </w:rPr>
      </w:pPr>
      <w:r>
        <w:rPr>
          <w:rFonts w:hint="eastAsia" w:ascii="宋体" w:hAnsi="宋体"/>
          <w:b w:val="0"/>
          <w:bCs w:val="0"/>
          <w:kern w:val="2"/>
          <w:sz w:val="22"/>
          <w:szCs w:val="22"/>
        </w:rPr>
        <w:t>二、技术要求</w:t>
      </w:r>
    </w:p>
    <w:p>
      <w:pPr>
        <w:pStyle w:val="3"/>
        <w:keepNext w:val="0"/>
        <w:keepLines w:val="0"/>
        <w:spacing w:before="0" w:after="0" w:line="520" w:lineRule="exact"/>
        <w:ind w:left="410" w:leftChars="150" w:hanging="95" w:hangingChars="43"/>
        <w:jc w:val="both"/>
        <w:rPr>
          <w:rFonts w:ascii="宋体" w:hAnsi="宋体"/>
          <w:b w:val="0"/>
          <w:bCs w:val="0"/>
          <w:sz w:val="22"/>
          <w:szCs w:val="22"/>
        </w:rPr>
      </w:pPr>
      <w:bookmarkStart w:id="73" w:name="_Toc157870550"/>
      <w:r>
        <w:rPr>
          <w:rFonts w:hint="eastAsia" w:ascii="宋体" w:hAnsi="宋体"/>
          <w:b w:val="0"/>
          <w:bCs w:val="0"/>
          <w:sz w:val="22"/>
          <w:szCs w:val="22"/>
        </w:rPr>
        <w:t>(一)总述</w:t>
      </w:r>
      <w:bookmarkEnd w:id="73"/>
    </w:p>
    <w:p>
      <w:pPr>
        <w:pStyle w:val="68"/>
        <w:spacing w:line="520" w:lineRule="exact"/>
        <w:ind w:left="-359" w:leftChars="-171" w:firstLine="550" w:firstLineChars="250"/>
        <w:rPr>
          <w:rFonts w:ascii="宋体" w:hAnsi="宋体"/>
          <w:sz w:val="22"/>
          <w:szCs w:val="22"/>
        </w:rPr>
      </w:pPr>
      <w:r>
        <w:rPr>
          <w:rFonts w:hint="eastAsia" w:ascii="宋体" w:hAnsi="宋体"/>
          <w:sz w:val="22"/>
          <w:szCs w:val="22"/>
        </w:rPr>
        <w:t>1、投标人所提供的座椅皮面应符合本章节对技术规范和标准的要求。</w:t>
      </w:r>
    </w:p>
    <w:p>
      <w:pPr>
        <w:spacing w:line="520" w:lineRule="exact"/>
        <w:ind w:firstLine="110" w:firstLineChars="50"/>
        <w:rPr>
          <w:rFonts w:ascii="宋体" w:hAnsi="宋体"/>
          <w:sz w:val="22"/>
        </w:rPr>
      </w:pPr>
      <w:r>
        <w:rPr>
          <w:rFonts w:hint="eastAsia" w:ascii="宋体" w:hAnsi="宋体"/>
          <w:sz w:val="22"/>
        </w:rPr>
        <w:t>2、招标文件的图示作为椅座皮面的造型参考，具体皮面造型以实样为准。</w:t>
      </w:r>
    </w:p>
    <w:p>
      <w:pPr>
        <w:spacing w:line="520" w:lineRule="exact"/>
        <w:ind w:firstLine="110" w:firstLineChars="50"/>
        <w:rPr>
          <w:rFonts w:ascii="宋体" w:hAnsi="宋体"/>
          <w:sz w:val="22"/>
        </w:rPr>
      </w:pPr>
      <w:r>
        <w:rPr>
          <w:rFonts w:hint="eastAsia" w:ascii="宋体" w:hAnsi="宋体"/>
          <w:sz w:val="22"/>
        </w:rPr>
        <w:t>3、座椅皮面造型参考图</w:t>
      </w:r>
    </w:p>
    <w:p>
      <w:pPr>
        <w:spacing w:line="520" w:lineRule="exact"/>
        <w:ind w:firstLine="110" w:firstLineChars="50"/>
        <w:rPr>
          <w:rFonts w:ascii="宋体" w:hAnsi="宋体"/>
          <w:sz w:val="22"/>
        </w:rPr>
      </w:pPr>
    </w:p>
    <w:p>
      <w:pPr>
        <w:pStyle w:val="68"/>
        <w:tabs>
          <w:tab w:val="left" w:pos="6090"/>
        </w:tabs>
        <w:spacing w:line="360" w:lineRule="auto"/>
        <w:ind w:firstLine="0" w:firstLineChars="0"/>
        <w:jc w:val="left"/>
        <w:rPr>
          <w:rFonts w:ascii="宋体" w:hAnsi="宋体"/>
          <w:sz w:val="22"/>
          <w:szCs w:val="22"/>
        </w:rPr>
      </w:pPr>
      <w:r>
        <w:rPr>
          <w:rFonts w:ascii="宋体" w:hAnsi="宋体"/>
          <w:sz w:val="22"/>
        </w:rPr>
        <w:pict>
          <v:shape id="图片 1" o:spid="_x0000_s1026" o:spt="75" alt="QQ图片20140505172525.jpg" type="#_x0000_t75" style="position:absolute;left:0pt;margin-left:9pt;margin-top:25.95pt;height:256.2pt;width:429.65pt;mso-wrap-distance-bottom:0pt;mso-wrap-distance-top:0pt;z-index:251661312;mso-width-relative:page;mso-height-relative:page;" filled="f" o:preferrelative="t" stroked="f" coordsize="21600,21600">
            <v:path/>
            <v:fill on="f" focussize="0,0"/>
            <v:stroke on="f" joinstyle="miter"/>
            <v:imagedata r:id="rId8" o:title="QQ图片20140505172525"/>
            <o:lock v:ext="edit" aspectratio="t"/>
            <w10:wrap type="topAndBottom"/>
          </v:shape>
        </w:pict>
      </w:r>
      <w:r>
        <w:rPr>
          <w:rFonts w:hint="eastAsia" w:ascii="宋体" w:hAnsi="宋体"/>
          <w:sz w:val="22"/>
          <w:szCs w:val="22"/>
        </w:rPr>
        <w:t xml:space="preserve"> </w:t>
      </w:r>
    </w:p>
    <w:p>
      <w:pPr>
        <w:pStyle w:val="139"/>
        <w:spacing w:line="520" w:lineRule="exact"/>
        <w:ind w:firstLine="440"/>
        <w:rPr>
          <w:rFonts w:ascii="宋体" w:hAnsi="宋体"/>
          <w:sz w:val="22"/>
        </w:rPr>
      </w:pPr>
      <w:bookmarkStart w:id="74" w:name="_Toc157870551"/>
      <w:r>
        <w:rPr>
          <w:rFonts w:hAnsi="宋体" w:cs="Calibri"/>
          <w:sz w:val="22"/>
        </w:rPr>
        <w:t>★</w:t>
      </w:r>
      <w:r>
        <w:rPr>
          <w:rFonts w:hint="eastAsia" w:ascii="宋体" w:hAnsi="宋体"/>
          <w:sz w:val="22"/>
        </w:rPr>
        <w:t>4、</w:t>
      </w:r>
      <w:r>
        <w:rPr>
          <w:rFonts w:hint="eastAsia" w:ascii="宋体" w:hAnsi="宋体" w:cs="Arial"/>
          <w:kern w:val="0"/>
          <w:sz w:val="22"/>
          <w:u w:val="single"/>
        </w:rPr>
        <w:t>投标人须在投标文件递交时按招标文件相关要求，提供航站楼座椅皮面座垫及靠垫样品各一块，皮面颜色不限。</w:t>
      </w:r>
    </w:p>
    <w:p>
      <w:pPr>
        <w:pStyle w:val="139"/>
        <w:spacing w:line="520" w:lineRule="exact"/>
        <w:ind w:firstLine="440"/>
        <w:rPr>
          <w:rFonts w:ascii="宋体" w:hAnsi="宋体"/>
          <w:sz w:val="22"/>
        </w:rPr>
      </w:pPr>
      <w:r>
        <w:rPr>
          <w:rFonts w:hint="eastAsia" w:ascii="宋体" w:hAnsi="宋体"/>
          <w:sz w:val="22"/>
        </w:rPr>
        <w:t>(二)座椅皮面的设计要求</w:t>
      </w:r>
      <w:bookmarkEnd w:id="74"/>
    </w:p>
    <w:p>
      <w:pPr>
        <w:pStyle w:val="139"/>
        <w:spacing w:line="520" w:lineRule="exact"/>
        <w:ind w:firstLine="440"/>
        <w:rPr>
          <w:rFonts w:ascii="宋体" w:hAnsi="宋体"/>
          <w:sz w:val="22"/>
        </w:rPr>
      </w:pPr>
      <w:r>
        <w:rPr>
          <w:rFonts w:hint="eastAsia" w:ascii="宋体" w:hAnsi="宋体"/>
          <w:sz w:val="22"/>
        </w:rPr>
        <w:t>1、椅垫可以用清水或普通清洁剂清洁。</w:t>
      </w:r>
    </w:p>
    <w:p>
      <w:pPr>
        <w:pStyle w:val="139"/>
        <w:spacing w:line="520" w:lineRule="exact"/>
        <w:ind w:firstLine="440"/>
        <w:rPr>
          <w:rFonts w:ascii="宋体" w:hAnsi="宋体"/>
          <w:sz w:val="22"/>
        </w:rPr>
      </w:pPr>
      <w:r>
        <w:rPr>
          <w:rFonts w:hint="eastAsia" w:ascii="宋体" w:hAnsi="宋体"/>
          <w:sz w:val="22"/>
        </w:rPr>
        <w:t>2、充分考虑部件的标准化、通用化，尽量减少配件的规格。</w:t>
      </w:r>
    </w:p>
    <w:p>
      <w:pPr>
        <w:pStyle w:val="139"/>
        <w:spacing w:line="520" w:lineRule="exact"/>
        <w:ind w:firstLine="440"/>
        <w:rPr>
          <w:rFonts w:ascii="宋体" w:hAnsi="宋体"/>
          <w:sz w:val="22"/>
        </w:rPr>
      </w:pPr>
      <w:r>
        <w:rPr>
          <w:rFonts w:hint="eastAsia" w:ascii="宋体" w:hAnsi="宋体"/>
          <w:sz w:val="22"/>
        </w:rPr>
        <w:t>3、座垫及背垫可以方便地在现场拆卸更换维修。</w:t>
      </w:r>
    </w:p>
    <w:p>
      <w:pPr>
        <w:pStyle w:val="139"/>
        <w:spacing w:line="520" w:lineRule="exact"/>
        <w:ind w:firstLine="440"/>
        <w:rPr>
          <w:rFonts w:ascii="宋体" w:hAnsi="宋体"/>
          <w:sz w:val="22"/>
        </w:rPr>
      </w:pPr>
      <w:r>
        <w:rPr>
          <w:rFonts w:hint="eastAsia" w:ascii="宋体" w:hAnsi="宋体"/>
          <w:sz w:val="22"/>
        </w:rPr>
        <w:t>4、座椅皮面整体外表面光滑。所有转角部位均呈弧形结构或倒角形结构，无锐角。</w:t>
      </w:r>
    </w:p>
    <w:p>
      <w:pPr>
        <w:pStyle w:val="139"/>
        <w:spacing w:line="520" w:lineRule="exact"/>
        <w:ind w:firstLine="440"/>
        <w:rPr>
          <w:rFonts w:ascii="宋体" w:hAnsi="宋体"/>
          <w:sz w:val="22"/>
        </w:rPr>
      </w:pPr>
      <w:bookmarkStart w:id="75" w:name="_Toc157870552"/>
      <w:r>
        <w:rPr>
          <w:rFonts w:hint="eastAsia" w:ascii="宋体" w:hAnsi="宋体"/>
          <w:sz w:val="22"/>
        </w:rPr>
        <w:t xml:space="preserve"> (三)座椅皮面的颜色</w:t>
      </w:r>
      <w:bookmarkEnd w:id="75"/>
    </w:p>
    <w:p>
      <w:pPr>
        <w:pStyle w:val="139"/>
        <w:spacing w:line="520" w:lineRule="exact"/>
        <w:ind w:firstLine="440"/>
        <w:rPr>
          <w:rFonts w:ascii="宋体" w:hAnsi="宋体"/>
          <w:sz w:val="22"/>
        </w:rPr>
      </w:pPr>
      <w:r>
        <w:rPr>
          <w:rFonts w:hint="eastAsia" w:ascii="宋体" w:hAnsi="宋体"/>
          <w:sz w:val="22"/>
        </w:rPr>
        <w:t>1．座垫及背垫颜色由投标人在投标时提出建议方案，由招标人选择并确认。颜色的变化，不得改变材料的材质。招标人在签定合同时保留选择其他任何颜色的权力，投标人不得因此提出合同价格的增加。</w:t>
      </w:r>
    </w:p>
    <w:p>
      <w:pPr>
        <w:pStyle w:val="139"/>
        <w:spacing w:line="520" w:lineRule="exact"/>
        <w:ind w:firstLine="440"/>
        <w:rPr>
          <w:rFonts w:ascii="宋体" w:hAnsi="宋体"/>
          <w:sz w:val="22"/>
        </w:rPr>
      </w:pPr>
      <w:bookmarkStart w:id="76" w:name="_Toc157870553"/>
      <w:r>
        <w:rPr>
          <w:rFonts w:hint="eastAsia" w:ascii="宋体" w:hAnsi="宋体"/>
          <w:sz w:val="22"/>
        </w:rPr>
        <w:t>(四)使用寿命</w:t>
      </w:r>
      <w:bookmarkEnd w:id="76"/>
    </w:p>
    <w:p>
      <w:pPr>
        <w:pStyle w:val="139"/>
        <w:spacing w:line="520" w:lineRule="exact"/>
        <w:ind w:firstLine="440"/>
        <w:rPr>
          <w:rFonts w:ascii="宋体" w:hAnsi="宋体"/>
          <w:sz w:val="22"/>
        </w:rPr>
      </w:pPr>
      <w:r>
        <w:rPr>
          <w:rFonts w:hint="eastAsia" w:ascii="宋体" w:hAnsi="宋体"/>
          <w:sz w:val="22"/>
        </w:rPr>
        <w:t>1.座垫和靠垫的使用寿命：≥3年</w:t>
      </w:r>
    </w:p>
    <w:p>
      <w:pPr>
        <w:pStyle w:val="139"/>
        <w:spacing w:line="520" w:lineRule="exact"/>
        <w:ind w:firstLine="440"/>
        <w:rPr>
          <w:rFonts w:ascii="宋体" w:hAnsi="宋体"/>
          <w:sz w:val="22"/>
        </w:rPr>
      </w:pPr>
      <w:bookmarkStart w:id="77" w:name="_Toc157870558"/>
      <w:r>
        <w:rPr>
          <w:rFonts w:hint="eastAsia" w:ascii="宋体" w:hAnsi="宋体"/>
          <w:sz w:val="22"/>
        </w:rPr>
        <w:t xml:space="preserve"> (五)座垫和背垫</w:t>
      </w:r>
      <w:bookmarkEnd w:id="77"/>
    </w:p>
    <w:p>
      <w:pPr>
        <w:pStyle w:val="139"/>
        <w:spacing w:line="520" w:lineRule="exact"/>
        <w:ind w:firstLine="440"/>
        <w:rPr>
          <w:rFonts w:ascii="宋体" w:hAnsi="宋体"/>
          <w:sz w:val="22"/>
        </w:rPr>
      </w:pPr>
      <w:r>
        <w:rPr>
          <w:rFonts w:hint="eastAsia" w:ascii="宋体" w:hAnsi="宋体"/>
          <w:sz w:val="22"/>
        </w:rPr>
        <w:t>1．座垫和背垫为分开式。座垫包至椅座的外沿，背垫包至椅背的上沿，可方便拆卸。</w:t>
      </w:r>
    </w:p>
    <w:p>
      <w:pPr>
        <w:pStyle w:val="139"/>
        <w:spacing w:line="520" w:lineRule="exact"/>
        <w:ind w:firstLine="440"/>
        <w:rPr>
          <w:rFonts w:ascii="宋体" w:hAnsi="宋体"/>
          <w:sz w:val="22"/>
        </w:rPr>
      </w:pPr>
      <w:r>
        <w:rPr>
          <w:rFonts w:hint="eastAsia" w:ascii="宋体" w:hAnsi="宋体"/>
          <w:sz w:val="22"/>
        </w:rPr>
        <w:t>2．座垫和背垫的外包材料和填充物应紧密结合，并有良好的韧性和弹性，长期使用不能出现变形或起皱。</w:t>
      </w:r>
    </w:p>
    <w:p>
      <w:pPr>
        <w:pStyle w:val="139"/>
        <w:spacing w:line="520" w:lineRule="exact"/>
        <w:ind w:firstLine="440"/>
        <w:rPr>
          <w:rFonts w:ascii="宋体" w:hAnsi="宋体"/>
          <w:sz w:val="22"/>
        </w:rPr>
      </w:pPr>
      <w:r>
        <w:rPr>
          <w:rFonts w:hint="eastAsia" w:ascii="宋体" w:hAnsi="宋体"/>
          <w:sz w:val="22"/>
        </w:rPr>
        <w:t>3．座垫和背垫与椅座及椅背的连接须紧密，不能有明显的缝隙和空洞的感觉。</w:t>
      </w:r>
    </w:p>
    <w:p>
      <w:pPr>
        <w:pStyle w:val="139"/>
        <w:spacing w:line="520" w:lineRule="exact"/>
        <w:ind w:firstLine="440"/>
        <w:rPr>
          <w:rFonts w:ascii="宋体" w:hAnsi="宋体"/>
          <w:sz w:val="22"/>
        </w:rPr>
      </w:pPr>
      <w:bookmarkStart w:id="78" w:name="_Toc157870559"/>
      <w:r>
        <w:rPr>
          <w:rFonts w:hint="eastAsia" w:ascii="宋体" w:hAnsi="宋体"/>
          <w:sz w:val="22"/>
        </w:rPr>
        <w:t xml:space="preserve"> (六)座垫和背垫的外包材料</w:t>
      </w:r>
      <w:bookmarkEnd w:id="78"/>
    </w:p>
    <w:p>
      <w:pPr>
        <w:pStyle w:val="139"/>
        <w:spacing w:line="520" w:lineRule="exact"/>
        <w:ind w:firstLine="440"/>
        <w:rPr>
          <w:rFonts w:ascii="宋体" w:hAnsi="宋体"/>
          <w:sz w:val="22"/>
        </w:rPr>
      </w:pPr>
      <w:r>
        <w:rPr>
          <w:rFonts w:hint="eastAsia" w:ascii="宋体" w:hAnsi="宋体"/>
          <w:sz w:val="22"/>
        </w:rPr>
        <w:t>1．外包材料超纤；</w:t>
      </w:r>
    </w:p>
    <w:p>
      <w:pPr>
        <w:tabs>
          <w:tab w:val="left" w:pos="720"/>
        </w:tabs>
        <w:autoSpaceDE w:val="0"/>
        <w:autoSpaceDN w:val="0"/>
        <w:adjustRightInd w:val="0"/>
        <w:spacing w:line="360" w:lineRule="auto"/>
        <w:ind w:left="400"/>
        <w:jc w:val="left"/>
        <w:rPr>
          <w:rFonts w:ascii="宋体" w:hAnsi="宋体"/>
          <w:sz w:val="22"/>
        </w:rPr>
      </w:pPr>
      <w:r>
        <w:rPr>
          <w:rFonts w:hint="eastAsia" w:ascii="宋体" w:hAnsi="宋体"/>
          <w:sz w:val="22"/>
        </w:rPr>
        <w:t>2. *外包超纤材料须采用</w:t>
      </w:r>
      <w:r>
        <w:fldChar w:fldCharType="begin"/>
      </w:r>
      <w:r>
        <w:instrText xml:space="preserve"> HYPERLINK "http://baike.baidu.com/subview/4774712/4774712.htm" \t "_blank" </w:instrText>
      </w:r>
      <w:r>
        <w:fldChar w:fldCharType="separate"/>
      </w:r>
      <w:r>
        <w:rPr>
          <w:rFonts w:ascii="宋体" w:hAnsi="宋体"/>
          <w:sz w:val="22"/>
        </w:rPr>
        <w:t>上海华峰超纤</w:t>
      </w:r>
      <w:r>
        <w:rPr>
          <w:rFonts w:hint="eastAsia" w:ascii="宋体" w:hAnsi="宋体"/>
          <w:sz w:val="22"/>
        </w:rPr>
        <w:t>、</w:t>
      </w:r>
      <w:r>
        <w:rPr>
          <w:rFonts w:hint="eastAsia" w:ascii="宋体" w:hAnsi="宋体"/>
          <w:sz w:val="22"/>
        </w:rPr>
        <w:fldChar w:fldCharType="end"/>
      </w:r>
      <w:r>
        <w:rPr>
          <w:rFonts w:ascii="宋体" w:hAnsi="宋体"/>
          <w:sz w:val="22"/>
        </w:rPr>
        <w:t>山东同大海岛</w:t>
      </w:r>
      <w:r>
        <w:rPr>
          <w:rFonts w:hint="eastAsia" w:ascii="宋体" w:hAnsi="宋体"/>
          <w:sz w:val="22"/>
        </w:rPr>
        <w:t>、浙江禾欣可乐丽、无锡双象公司生产的超纤皮革。未列入以上品牌推荐表的超纤皮革，投标人在投标报价时应选择市场同类档次品牌，合同签订时需得到发包人的认可，如承包人选定的产品不能满足以上要求，招标人保留更换的权利，且中标价不予调整。</w:t>
      </w:r>
      <w:r>
        <w:rPr>
          <w:rFonts w:ascii="宋体" w:hAnsi="宋体"/>
          <w:sz w:val="22"/>
        </w:rPr>
        <w:t xml:space="preserve"> </w:t>
      </w:r>
    </w:p>
    <w:p>
      <w:pPr>
        <w:pStyle w:val="139"/>
        <w:spacing w:line="520" w:lineRule="exact"/>
        <w:ind w:firstLine="440"/>
        <w:rPr>
          <w:rFonts w:ascii="宋体" w:hAnsi="宋体"/>
          <w:sz w:val="22"/>
        </w:rPr>
      </w:pPr>
      <w:r>
        <w:rPr>
          <w:rFonts w:hint="eastAsia" w:ascii="宋体" w:hAnsi="宋体"/>
          <w:sz w:val="22"/>
        </w:rPr>
        <w:t>3．性能指标</w:t>
      </w:r>
    </w:p>
    <w:p>
      <w:pPr>
        <w:pStyle w:val="139"/>
        <w:spacing w:line="520" w:lineRule="exact"/>
        <w:ind w:firstLine="440"/>
        <w:rPr>
          <w:rFonts w:ascii="宋体" w:hAnsi="宋体"/>
          <w:sz w:val="22"/>
        </w:rPr>
      </w:pPr>
      <w:r>
        <w:rPr>
          <w:rFonts w:hint="eastAsia" w:ascii="宋体" w:hAnsi="宋体"/>
          <w:sz w:val="22"/>
        </w:rPr>
        <w:t>耐光色牢度：&gt;5级（ISO 105-B02:1994(2000)标准）</w:t>
      </w:r>
    </w:p>
    <w:p>
      <w:pPr>
        <w:pStyle w:val="139"/>
        <w:spacing w:line="520" w:lineRule="exact"/>
        <w:ind w:firstLine="440"/>
        <w:rPr>
          <w:rFonts w:ascii="宋体" w:hAnsi="宋体"/>
          <w:sz w:val="22"/>
        </w:rPr>
      </w:pPr>
      <w:r>
        <w:rPr>
          <w:rFonts w:hint="eastAsia" w:ascii="宋体" w:hAnsi="宋体"/>
          <w:sz w:val="22"/>
        </w:rPr>
        <w:t xml:space="preserve">摩擦色牢度：4-5级（ISO 11640:1993标准） </w:t>
      </w:r>
    </w:p>
    <w:p>
      <w:pPr>
        <w:pStyle w:val="139"/>
        <w:spacing w:line="520" w:lineRule="exact"/>
        <w:ind w:firstLine="440"/>
        <w:rPr>
          <w:rFonts w:ascii="宋体" w:hAnsi="宋体"/>
          <w:sz w:val="22"/>
        </w:rPr>
      </w:pPr>
      <w:r>
        <w:rPr>
          <w:rFonts w:hint="eastAsia" w:ascii="宋体" w:hAnsi="宋体"/>
          <w:sz w:val="22"/>
        </w:rPr>
        <w:t>耐皂洗色牢度：4-5级（GB/T3921-2008标准）</w:t>
      </w:r>
    </w:p>
    <w:p>
      <w:pPr>
        <w:pStyle w:val="139"/>
        <w:spacing w:line="520" w:lineRule="exact"/>
        <w:ind w:firstLine="440"/>
        <w:rPr>
          <w:rFonts w:ascii="宋体" w:hAnsi="宋体"/>
          <w:sz w:val="22"/>
        </w:rPr>
      </w:pPr>
      <w:r>
        <w:rPr>
          <w:rFonts w:hint="eastAsia" w:ascii="宋体" w:hAnsi="宋体"/>
          <w:sz w:val="22"/>
        </w:rPr>
        <w:t>拉伸强度：经向≥11N/mm2 ;纬向≥1.5N/mm2（ISO 3376:2002标准</w:t>
      </w:r>
      <w:r>
        <w:rPr>
          <w:rFonts w:ascii="宋体" w:hAnsi="宋体"/>
          <w:sz w:val="22"/>
        </w:rPr>
        <w:t>）</w:t>
      </w:r>
    </w:p>
    <w:p>
      <w:pPr>
        <w:pStyle w:val="139"/>
        <w:spacing w:line="520" w:lineRule="exact"/>
        <w:ind w:firstLine="440"/>
        <w:rPr>
          <w:rFonts w:ascii="宋体" w:hAnsi="宋体"/>
          <w:sz w:val="22"/>
        </w:rPr>
      </w:pPr>
      <w:r>
        <w:rPr>
          <w:rFonts w:hint="eastAsia" w:ascii="宋体" w:hAnsi="宋体"/>
          <w:sz w:val="22"/>
        </w:rPr>
        <w:t>撕裂强度：≥15N/mm（ISO 3377-1:2002标准</w:t>
      </w:r>
      <w:r>
        <w:rPr>
          <w:rFonts w:ascii="宋体" w:hAnsi="宋体"/>
          <w:sz w:val="22"/>
        </w:rPr>
        <w:t>）</w:t>
      </w:r>
    </w:p>
    <w:p>
      <w:pPr>
        <w:pStyle w:val="139"/>
        <w:spacing w:line="520" w:lineRule="exact"/>
        <w:ind w:firstLine="440"/>
        <w:rPr>
          <w:rFonts w:ascii="宋体" w:hAnsi="宋体"/>
          <w:sz w:val="22"/>
        </w:rPr>
      </w:pPr>
      <w:r>
        <w:rPr>
          <w:rFonts w:hint="eastAsia" w:ascii="宋体" w:hAnsi="宋体"/>
          <w:sz w:val="22"/>
        </w:rPr>
        <w:t>撕破强力：经向≥21N;纬向≥19N（GB/T3917.2-1997标准</w:t>
      </w:r>
      <w:r>
        <w:rPr>
          <w:rFonts w:ascii="宋体" w:hAnsi="宋体"/>
          <w:sz w:val="22"/>
        </w:rPr>
        <w:t>）</w:t>
      </w:r>
    </w:p>
    <w:p>
      <w:pPr>
        <w:pStyle w:val="139"/>
        <w:spacing w:line="520" w:lineRule="exact"/>
        <w:ind w:firstLine="440"/>
        <w:rPr>
          <w:rFonts w:ascii="宋体" w:hAnsi="宋体"/>
          <w:sz w:val="22"/>
        </w:rPr>
      </w:pPr>
      <w:r>
        <w:rPr>
          <w:rFonts w:hint="eastAsia" w:ascii="宋体" w:hAnsi="宋体"/>
          <w:sz w:val="22"/>
        </w:rPr>
        <w:t>抗张强度：≥15N/mm2（ISO 3376:2002标准</w:t>
      </w:r>
      <w:r>
        <w:rPr>
          <w:rFonts w:ascii="宋体" w:hAnsi="宋体"/>
          <w:sz w:val="22"/>
        </w:rPr>
        <w:t>）</w:t>
      </w:r>
    </w:p>
    <w:p>
      <w:pPr>
        <w:pStyle w:val="139"/>
        <w:spacing w:line="520" w:lineRule="exact"/>
        <w:ind w:firstLine="440"/>
        <w:rPr>
          <w:rFonts w:ascii="宋体" w:hAnsi="宋体"/>
          <w:sz w:val="22"/>
        </w:rPr>
      </w:pPr>
      <w:r>
        <w:rPr>
          <w:rFonts w:hint="eastAsia" w:ascii="宋体" w:hAnsi="宋体"/>
          <w:sz w:val="22"/>
        </w:rPr>
        <w:t>收缩温度：&gt;90°（ISO 3380:2002标准</w:t>
      </w:r>
      <w:r>
        <w:rPr>
          <w:rFonts w:ascii="宋体" w:hAnsi="宋体"/>
          <w:sz w:val="22"/>
        </w:rPr>
        <w:t>）</w:t>
      </w:r>
    </w:p>
    <w:p>
      <w:pPr>
        <w:pStyle w:val="139"/>
        <w:spacing w:line="520" w:lineRule="exact"/>
        <w:ind w:firstLine="440"/>
        <w:rPr>
          <w:rFonts w:ascii="宋体" w:hAnsi="宋体"/>
          <w:sz w:val="22"/>
        </w:rPr>
      </w:pPr>
      <w:r>
        <w:rPr>
          <w:rFonts w:hint="eastAsia" w:ascii="宋体" w:hAnsi="宋体"/>
          <w:sz w:val="22"/>
        </w:rPr>
        <w:t>断裂伸长率：≥40％</w:t>
      </w:r>
    </w:p>
    <w:p>
      <w:pPr>
        <w:pStyle w:val="139"/>
        <w:spacing w:line="520" w:lineRule="exact"/>
        <w:ind w:firstLine="440"/>
        <w:rPr>
          <w:rFonts w:ascii="宋体" w:hAnsi="宋体"/>
          <w:sz w:val="22"/>
        </w:rPr>
      </w:pPr>
      <w:r>
        <w:rPr>
          <w:rFonts w:hint="eastAsia" w:ascii="宋体" w:hAnsi="宋体"/>
          <w:sz w:val="22"/>
        </w:rPr>
        <w:t>耐磨性能：负荷595g   耐磨次数7500次</w:t>
      </w:r>
    </w:p>
    <w:p>
      <w:pPr>
        <w:pStyle w:val="139"/>
        <w:spacing w:line="520" w:lineRule="exact"/>
        <w:ind w:firstLine="440"/>
        <w:rPr>
          <w:rFonts w:ascii="宋体" w:hAnsi="宋体"/>
          <w:sz w:val="22"/>
        </w:rPr>
      </w:pPr>
      <w:r>
        <w:rPr>
          <w:rFonts w:hint="eastAsia" w:ascii="宋体" w:hAnsi="宋体"/>
          <w:sz w:val="22"/>
        </w:rPr>
        <w:t>上述指标需在投标文件中提供相关检测报告。</w:t>
      </w:r>
    </w:p>
    <w:p>
      <w:pPr>
        <w:pStyle w:val="139"/>
        <w:spacing w:line="520" w:lineRule="exact"/>
        <w:ind w:firstLine="440"/>
        <w:rPr>
          <w:rFonts w:ascii="宋体" w:hAnsi="宋体"/>
          <w:sz w:val="22"/>
        </w:rPr>
      </w:pPr>
      <w:r>
        <w:rPr>
          <w:rFonts w:hint="eastAsia" w:ascii="宋体" w:hAnsi="宋体"/>
          <w:sz w:val="22"/>
        </w:rPr>
        <w:t>4.外包材料颜色以买方指定颜色为准。</w:t>
      </w:r>
    </w:p>
    <w:p>
      <w:pPr>
        <w:pStyle w:val="139"/>
        <w:spacing w:line="520" w:lineRule="exact"/>
        <w:ind w:firstLine="440"/>
        <w:rPr>
          <w:rFonts w:ascii="宋体" w:hAnsi="宋体"/>
          <w:sz w:val="22"/>
        </w:rPr>
      </w:pPr>
      <w:bookmarkStart w:id="79" w:name="_Toc157870560"/>
      <w:r>
        <w:rPr>
          <w:rFonts w:hint="eastAsia" w:ascii="宋体" w:hAnsi="宋体"/>
          <w:sz w:val="22"/>
        </w:rPr>
        <w:t>(七)座垫和背垫的填充材料</w:t>
      </w:r>
      <w:bookmarkEnd w:id="79"/>
    </w:p>
    <w:p>
      <w:pPr>
        <w:pStyle w:val="139"/>
        <w:spacing w:line="520" w:lineRule="exact"/>
        <w:ind w:firstLine="440"/>
        <w:rPr>
          <w:rFonts w:ascii="宋体" w:hAnsi="宋体"/>
          <w:sz w:val="22"/>
        </w:rPr>
      </w:pPr>
      <w:r>
        <w:rPr>
          <w:rFonts w:hint="eastAsia" w:ascii="宋体" w:hAnsi="宋体"/>
          <w:sz w:val="22"/>
        </w:rPr>
        <w:t>1．材质：≥25mm厚高恢复力的泡沫海绵，聚氨酯泡沫海棉或氨基甲酸乙脂泡沫；</w:t>
      </w:r>
    </w:p>
    <w:p>
      <w:pPr>
        <w:pStyle w:val="139"/>
        <w:spacing w:line="520" w:lineRule="exact"/>
        <w:ind w:firstLine="440"/>
        <w:rPr>
          <w:rFonts w:ascii="宋体" w:hAnsi="宋体"/>
          <w:sz w:val="22"/>
        </w:rPr>
      </w:pPr>
      <w:r>
        <w:rPr>
          <w:rFonts w:hint="eastAsia" w:ascii="宋体" w:hAnsi="宋体"/>
          <w:sz w:val="22"/>
        </w:rPr>
        <w:t>2．有良好的弹性，与外包材料结合紧密，频繁使用不会引起变形、起皱、断裂、破碎；</w:t>
      </w:r>
    </w:p>
    <w:p>
      <w:pPr>
        <w:pStyle w:val="139"/>
        <w:spacing w:line="520" w:lineRule="exact"/>
        <w:ind w:firstLine="440"/>
        <w:rPr>
          <w:rFonts w:ascii="宋体" w:hAnsi="宋体"/>
          <w:sz w:val="22"/>
        </w:rPr>
      </w:pPr>
      <w:r>
        <w:rPr>
          <w:rFonts w:hint="eastAsia" w:ascii="宋体" w:hAnsi="宋体"/>
          <w:sz w:val="22"/>
        </w:rPr>
        <w:t>3．防火要求符合国家标准。</w:t>
      </w:r>
    </w:p>
    <w:p>
      <w:pPr>
        <w:pStyle w:val="139"/>
        <w:spacing w:line="520" w:lineRule="exact"/>
        <w:ind w:firstLine="440"/>
        <w:rPr>
          <w:rFonts w:ascii="宋体" w:hAnsi="宋体"/>
          <w:sz w:val="22"/>
        </w:rPr>
      </w:pPr>
      <w:r>
        <w:rPr>
          <w:rFonts w:hint="eastAsia" w:ascii="宋体" w:hAnsi="宋体"/>
          <w:sz w:val="22"/>
        </w:rPr>
        <w:t>4．甲醛释放量符合GB/T10802-1989标准。</w:t>
      </w:r>
    </w:p>
    <w:p>
      <w:pPr>
        <w:pStyle w:val="139"/>
        <w:spacing w:line="520" w:lineRule="exact"/>
        <w:ind w:firstLine="440"/>
        <w:rPr>
          <w:rFonts w:ascii="宋体" w:hAnsi="宋体"/>
          <w:sz w:val="22"/>
        </w:rPr>
      </w:pPr>
      <w:r>
        <w:rPr>
          <w:rFonts w:hint="eastAsia" w:ascii="宋体" w:hAnsi="宋体"/>
          <w:sz w:val="22"/>
        </w:rPr>
        <w:t>5．密度：35-45kg/m3</w:t>
      </w:r>
    </w:p>
    <w:p>
      <w:pPr>
        <w:pStyle w:val="139"/>
        <w:spacing w:line="520" w:lineRule="exact"/>
        <w:ind w:firstLine="440"/>
        <w:rPr>
          <w:rFonts w:ascii="宋体" w:hAnsi="宋体"/>
          <w:sz w:val="22"/>
        </w:rPr>
      </w:pPr>
      <w:r>
        <w:rPr>
          <w:rFonts w:hint="eastAsia" w:ascii="宋体" w:hAnsi="宋体"/>
          <w:sz w:val="22"/>
        </w:rPr>
        <w:t>上述指标需在投标文件中提供相关检测报告，甲方将在验收时随机抽取部分产品送政府相关检测部门检测，费用由投标方支付。</w:t>
      </w:r>
    </w:p>
    <w:p>
      <w:pPr>
        <w:pStyle w:val="139"/>
        <w:spacing w:line="520" w:lineRule="exact"/>
        <w:ind w:firstLine="440"/>
        <w:rPr>
          <w:rFonts w:ascii="宋体" w:hAnsi="宋体"/>
          <w:sz w:val="22"/>
        </w:rPr>
      </w:pPr>
      <w:r>
        <w:rPr>
          <w:rFonts w:hint="eastAsia" w:ascii="宋体" w:hAnsi="宋体"/>
          <w:sz w:val="22"/>
        </w:rPr>
        <w:t>四、工程要求</w:t>
      </w:r>
    </w:p>
    <w:p>
      <w:pPr>
        <w:pStyle w:val="139"/>
        <w:spacing w:line="520" w:lineRule="exact"/>
        <w:ind w:firstLine="440"/>
        <w:rPr>
          <w:rFonts w:ascii="宋体" w:hAnsi="宋体"/>
          <w:sz w:val="22"/>
        </w:rPr>
      </w:pPr>
      <w:r>
        <w:rPr>
          <w:rFonts w:ascii="宋体" w:hAnsi="宋体"/>
          <w:sz w:val="22"/>
        </w:rPr>
        <w:t>1</w:t>
      </w:r>
      <w:r>
        <w:rPr>
          <w:rFonts w:hint="eastAsia" w:ascii="宋体" w:hAnsi="宋体"/>
          <w:sz w:val="22"/>
        </w:rPr>
        <w:t>、</w:t>
      </w:r>
      <w:r>
        <w:rPr>
          <w:rFonts w:ascii="宋体" w:hAnsi="宋体"/>
          <w:sz w:val="22"/>
        </w:rPr>
        <w:t>货物运输要求</w:t>
      </w:r>
    </w:p>
    <w:p>
      <w:pPr>
        <w:pStyle w:val="139"/>
        <w:spacing w:line="520" w:lineRule="exact"/>
        <w:ind w:firstLine="440"/>
        <w:rPr>
          <w:rFonts w:ascii="宋体" w:hAnsi="宋体"/>
          <w:sz w:val="22"/>
        </w:rPr>
      </w:pPr>
      <w:r>
        <w:rPr>
          <w:rFonts w:ascii="宋体" w:hAnsi="宋体"/>
          <w:sz w:val="22"/>
        </w:rPr>
        <w:t>1.1货物从起运地点运到招标人指定的到货地点这段时间内，投标人必须进行货物总价110%保险。</w:t>
      </w:r>
    </w:p>
    <w:p>
      <w:pPr>
        <w:pStyle w:val="139"/>
        <w:spacing w:line="520" w:lineRule="exact"/>
        <w:ind w:firstLine="440"/>
        <w:rPr>
          <w:rFonts w:ascii="宋体" w:hAnsi="宋体"/>
          <w:sz w:val="22"/>
        </w:rPr>
      </w:pPr>
      <w:r>
        <w:rPr>
          <w:rFonts w:ascii="宋体" w:hAnsi="宋体"/>
          <w:sz w:val="22"/>
        </w:rPr>
        <w:t>1.2对于有特殊运输要求的货物（如温度、易碎、易变形、易受潮等），投标人必须加强包装保护措施,在包装箱上印有醒目标记,并在投标文件里提供注意事项说明书。</w:t>
      </w:r>
    </w:p>
    <w:p>
      <w:pPr>
        <w:pStyle w:val="139"/>
        <w:spacing w:line="520" w:lineRule="exact"/>
        <w:ind w:firstLine="440"/>
        <w:rPr>
          <w:rFonts w:ascii="宋体" w:hAnsi="宋体"/>
          <w:sz w:val="22"/>
        </w:rPr>
      </w:pPr>
      <w:r>
        <w:rPr>
          <w:rFonts w:ascii="宋体" w:hAnsi="宋体"/>
          <w:sz w:val="22"/>
        </w:rPr>
        <w:t>2货物包装要求</w:t>
      </w:r>
    </w:p>
    <w:p>
      <w:pPr>
        <w:pStyle w:val="139"/>
        <w:spacing w:line="520" w:lineRule="exact"/>
        <w:ind w:firstLine="440"/>
        <w:rPr>
          <w:rFonts w:ascii="宋体" w:hAnsi="宋体"/>
          <w:sz w:val="22"/>
        </w:rPr>
      </w:pPr>
      <w:r>
        <w:rPr>
          <w:rFonts w:ascii="宋体" w:hAnsi="宋体"/>
          <w:sz w:val="22"/>
        </w:rPr>
        <w:t>2.1座椅</w:t>
      </w:r>
      <w:r>
        <w:rPr>
          <w:rFonts w:hint="eastAsia" w:ascii="宋体" w:hAnsi="宋体"/>
          <w:sz w:val="22"/>
        </w:rPr>
        <w:t>皮面</w:t>
      </w:r>
      <w:r>
        <w:rPr>
          <w:rFonts w:ascii="宋体" w:hAnsi="宋体"/>
          <w:sz w:val="22"/>
        </w:rPr>
        <w:t>、备品备件、专用工具必须按招标人要求单独分箱包装，并在外包装上标明与装箱单上一致的货物名称、编号，易于被区分。备品备件与专用工具的包装箱不得开启取用，必须直接交给最终用户。</w:t>
      </w:r>
    </w:p>
    <w:p>
      <w:pPr>
        <w:pStyle w:val="139"/>
        <w:spacing w:line="520" w:lineRule="exact"/>
        <w:ind w:firstLine="440"/>
        <w:rPr>
          <w:rFonts w:ascii="宋体" w:hAnsi="宋体"/>
          <w:sz w:val="22"/>
        </w:rPr>
      </w:pPr>
      <w:r>
        <w:rPr>
          <w:rFonts w:ascii="宋体" w:hAnsi="宋体"/>
          <w:sz w:val="22"/>
        </w:rPr>
        <w:t>2.2货物中的易压和易变形的零部件等应分箱单独包装,并在木箱空隙内充填海绵之类发泡料,以免运输中颠簸受损。</w:t>
      </w:r>
    </w:p>
    <w:p>
      <w:pPr>
        <w:pStyle w:val="139"/>
        <w:spacing w:line="520" w:lineRule="exact"/>
        <w:ind w:firstLine="440"/>
        <w:rPr>
          <w:rFonts w:ascii="宋体" w:hAnsi="宋体"/>
          <w:sz w:val="22"/>
        </w:rPr>
      </w:pPr>
      <w:r>
        <w:rPr>
          <w:rFonts w:ascii="宋体" w:hAnsi="宋体"/>
          <w:sz w:val="22"/>
        </w:rPr>
        <w:t>2.3包装必须符合国际上关于海运、空运、内陆运输的有关规定。投标时提供一份适合本系列组合座椅的运输包装要求。</w:t>
      </w:r>
    </w:p>
    <w:p>
      <w:pPr>
        <w:pStyle w:val="139"/>
        <w:spacing w:line="520" w:lineRule="exact"/>
        <w:ind w:firstLine="440"/>
        <w:rPr>
          <w:rFonts w:ascii="宋体" w:hAnsi="宋体"/>
          <w:sz w:val="22"/>
        </w:rPr>
      </w:pPr>
      <w:r>
        <w:rPr>
          <w:rFonts w:ascii="宋体" w:hAnsi="宋体"/>
          <w:sz w:val="22"/>
        </w:rPr>
        <w:t>2.4包装应适合于储存。投标时提供一份座椅</w:t>
      </w:r>
      <w:r>
        <w:rPr>
          <w:rFonts w:hint="eastAsia" w:ascii="宋体" w:hAnsi="宋体"/>
          <w:sz w:val="22"/>
        </w:rPr>
        <w:t>皮面</w:t>
      </w:r>
      <w:r>
        <w:rPr>
          <w:rFonts w:ascii="宋体" w:hAnsi="宋体"/>
          <w:sz w:val="22"/>
        </w:rPr>
        <w:t>仓储要求。</w:t>
      </w:r>
    </w:p>
    <w:p>
      <w:pPr>
        <w:pStyle w:val="139"/>
        <w:spacing w:line="520" w:lineRule="exact"/>
        <w:ind w:firstLine="440"/>
        <w:rPr>
          <w:rFonts w:ascii="宋体" w:hAnsi="宋体"/>
          <w:sz w:val="22"/>
        </w:rPr>
      </w:pPr>
      <w:r>
        <w:rPr>
          <w:rFonts w:ascii="宋体" w:hAnsi="宋体"/>
          <w:sz w:val="22"/>
        </w:rPr>
        <w:t>a.组合座椅包装箱内应有下列随箱资料一式二份：装箱单、产品合格证、产品检验记录、产品使用说明书、随箱清单、易损件图纸。</w:t>
      </w:r>
    </w:p>
    <w:p>
      <w:pPr>
        <w:pStyle w:val="139"/>
        <w:spacing w:line="520" w:lineRule="exact"/>
        <w:ind w:firstLine="440"/>
        <w:rPr>
          <w:rFonts w:ascii="宋体" w:hAnsi="宋体"/>
          <w:sz w:val="22"/>
        </w:rPr>
      </w:pPr>
      <w:r>
        <w:rPr>
          <w:rFonts w:ascii="宋体" w:hAnsi="宋体"/>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宋体" w:hAnsi="宋体"/>
          <w:sz w:val="22"/>
        </w:rPr>
        <w:sym w:font="Courier New" w:char="00AB"/>
      </w:r>
      <w:r>
        <w:rPr>
          <w:rFonts w:ascii="宋体" w:hAnsi="宋体"/>
          <w:sz w:val="22"/>
        </w:rPr>
        <w:t>机电产品包装通用技术条件</w:t>
      </w:r>
      <w:r>
        <w:rPr>
          <w:rFonts w:ascii="宋体" w:hAnsi="宋体"/>
          <w:sz w:val="22"/>
        </w:rPr>
        <w:sym w:font="Courier New" w:char="00BB"/>
      </w:r>
      <w:r>
        <w:rPr>
          <w:rFonts w:ascii="宋体" w:hAnsi="宋体"/>
          <w:sz w:val="22"/>
        </w:rPr>
        <w:t>或等同的规定,具有足够的强度,有安全起吊标志,能保证多次搬运和装卸,并安全可靠的抵达目的地。每个包装箱外表面必须标有与装箱单一致的合同号和货物清单编号。</w:t>
      </w:r>
    </w:p>
    <w:p>
      <w:pPr>
        <w:pStyle w:val="139"/>
        <w:spacing w:line="520" w:lineRule="exact"/>
        <w:ind w:firstLine="440"/>
        <w:rPr>
          <w:rFonts w:ascii="宋体" w:hAnsi="宋体"/>
          <w:sz w:val="22"/>
        </w:rPr>
      </w:pPr>
      <w:r>
        <w:rPr>
          <w:rFonts w:ascii="宋体" w:hAnsi="宋体"/>
          <w:sz w:val="22"/>
        </w:rPr>
        <w:t>3</w:t>
      </w:r>
      <w:r>
        <w:rPr>
          <w:rFonts w:hint="eastAsia" w:ascii="宋体" w:hAnsi="宋体"/>
          <w:sz w:val="22"/>
        </w:rPr>
        <w:t>、</w:t>
      </w:r>
      <w:r>
        <w:rPr>
          <w:rFonts w:ascii="宋体" w:hAnsi="宋体"/>
          <w:sz w:val="22"/>
        </w:rPr>
        <w:t>货物开箱要求</w:t>
      </w:r>
    </w:p>
    <w:p>
      <w:pPr>
        <w:pStyle w:val="139"/>
        <w:spacing w:line="520" w:lineRule="exact"/>
        <w:ind w:firstLine="440"/>
        <w:rPr>
          <w:rFonts w:ascii="宋体" w:hAnsi="宋体"/>
          <w:sz w:val="22"/>
        </w:rPr>
      </w:pPr>
      <w:r>
        <w:rPr>
          <w:rFonts w:ascii="宋体" w:hAnsi="宋体"/>
          <w:sz w:val="22"/>
        </w:rPr>
        <w:t>3.1货物在开箱验收时，中标人必须派员参加，并负责解决开箱验收发现的问题和赔偿。</w:t>
      </w:r>
    </w:p>
    <w:p>
      <w:pPr>
        <w:pStyle w:val="139"/>
        <w:spacing w:line="520" w:lineRule="exact"/>
        <w:ind w:firstLine="440"/>
        <w:rPr>
          <w:rFonts w:ascii="宋体" w:hAnsi="宋体"/>
          <w:sz w:val="22"/>
        </w:rPr>
      </w:pPr>
      <w:r>
        <w:rPr>
          <w:rFonts w:ascii="宋体" w:hAnsi="宋体"/>
          <w:sz w:val="22"/>
        </w:rPr>
        <w:t>3.2由于产品缺陷而引起的开箱费和重新包装费均由投标人负责。</w:t>
      </w:r>
    </w:p>
    <w:p>
      <w:pPr>
        <w:pStyle w:val="139"/>
        <w:spacing w:line="520" w:lineRule="exact"/>
        <w:ind w:firstLine="440"/>
        <w:rPr>
          <w:rFonts w:ascii="宋体" w:hAnsi="宋体"/>
          <w:sz w:val="22"/>
        </w:rPr>
      </w:pPr>
      <w:r>
        <w:rPr>
          <w:rFonts w:hint="eastAsia" w:ascii="宋体" w:hAnsi="宋体"/>
          <w:sz w:val="22"/>
        </w:rPr>
        <w:t>4、安装</w:t>
      </w:r>
    </w:p>
    <w:p>
      <w:pPr>
        <w:pStyle w:val="139"/>
        <w:spacing w:line="520" w:lineRule="exact"/>
        <w:ind w:firstLine="440"/>
        <w:rPr>
          <w:rFonts w:ascii="宋体" w:hAnsi="宋体"/>
          <w:sz w:val="22"/>
        </w:rPr>
      </w:pPr>
      <w:r>
        <w:rPr>
          <w:rFonts w:hint="eastAsia" w:ascii="宋体" w:hAnsi="宋体"/>
          <w:sz w:val="22"/>
        </w:rPr>
        <w:t>4.1</w:t>
      </w:r>
      <w:r>
        <w:rPr>
          <w:rFonts w:ascii="宋体" w:hAnsi="宋体"/>
          <w:sz w:val="22"/>
        </w:rPr>
        <w:t>中标人应负责整套组合座椅的现场安装施工安全和产品保护。</w:t>
      </w:r>
    </w:p>
    <w:p>
      <w:pPr>
        <w:pStyle w:val="139"/>
        <w:spacing w:line="520" w:lineRule="exact"/>
        <w:ind w:firstLine="440"/>
        <w:rPr>
          <w:rFonts w:ascii="宋体" w:hAnsi="宋体"/>
          <w:sz w:val="22"/>
        </w:rPr>
      </w:pPr>
      <w:r>
        <w:rPr>
          <w:rFonts w:hint="eastAsia" w:ascii="宋体" w:hAnsi="宋体"/>
          <w:sz w:val="22"/>
        </w:rPr>
        <w:t>4.2</w:t>
      </w:r>
      <w:r>
        <w:rPr>
          <w:rFonts w:ascii="宋体" w:hAnsi="宋体"/>
          <w:sz w:val="22"/>
        </w:rPr>
        <w:t>由中标人负责运输、仓储、安装、检验、试运行、产品保护等工作。为完成本项目必需的证明、执照等所有文件，由中标人负责向有关管理部门办理有关手续，招标人给予协助配合，发生的相关费用由中标人承担。</w:t>
      </w:r>
    </w:p>
    <w:p>
      <w:pPr>
        <w:adjustRightInd w:val="0"/>
        <w:snapToGrid w:val="0"/>
        <w:spacing w:line="360" w:lineRule="exact"/>
        <w:ind w:firstLine="440" w:firstLineChars="200"/>
        <w:rPr>
          <w:rFonts w:ascii="宋体" w:hAnsi="宋体"/>
          <w:sz w:val="22"/>
        </w:rPr>
      </w:pPr>
      <w:r>
        <w:rPr>
          <w:rFonts w:hint="eastAsia" w:ascii="宋体" w:hAnsi="宋体"/>
          <w:sz w:val="22"/>
        </w:rPr>
        <w:t>4.3</w:t>
      </w:r>
      <w:r>
        <w:rPr>
          <w:rFonts w:ascii="宋体" w:hAnsi="宋体"/>
          <w:sz w:val="22"/>
        </w:rPr>
        <w:t>中标人在座椅</w:t>
      </w:r>
      <w:r>
        <w:rPr>
          <w:rFonts w:hint="eastAsia" w:ascii="宋体" w:hAnsi="宋体"/>
          <w:sz w:val="22"/>
        </w:rPr>
        <w:t>皮面</w:t>
      </w:r>
      <w:r>
        <w:rPr>
          <w:rFonts w:ascii="宋体" w:hAnsi="宋体"/>
          <w:sz w:val="22"/>
        </w:rPr>
        <w:t>安装期间，必须委派1名现场专业技术人员负责本项目货物安装、检验、试运行，并负责及时与招标人人员联系有关工作。该批技术人员必须为制造厂的专业</w:t>
      </w:r>
      <w:r>
        <w:rPr>
          <w:rFonts w:hint="eastAsia" w:ascii="宋体" w:hAnsi="宋体"/>
          <w:sz w:val="22"/>
        </w:rPr>
        <w:t>人员</w:t>
      </w:r>
      <w:r>
        <w:rPr>
          <w:rFonts w:ascii="宋体" w:hAnsi="宋体"/>
          <w:sz w:val="22"/>
        </w:rPr>
        <w:t>，有安装同类座椅</w:t>
      </w:r>
      <w:r>
        <w:rPr>
          <w:rFonts w:hint="eastAsia" w:ascii="宋体" w:hAnsi="宋体"/>
          <w:sz w:val="22"/>
        </w:rPr>
        <w:t>皮面</w:t>
      </w:r>
      <w:r>
        <w:rPr>
          <w:rFonts w:ascii="宋体" w:hAnsi="宋体"/>
          <w:sz w:val="22"/>
        </w:rPr>
        <w:t>3年以上工作经验。招标人有权要求中标人更换不称职现场专业技术人员，中标人应按招标人的要求立即予以更换。</w:t>
      </w:r>
      <w:r>
        <w:rPr>
          <w:rFonts w:hint="eastAsia" w:ascii="宋体" w:hAnsi="宋体"/>
          <w:sz w:val="22"/>
        </w:rPr>
        <w:t>招标人有权随机抽取座椅皮面及填充物送交相关检测机构检测，检测费用由中标人负责。</w:t>
      </w:r>
    </w:p>
    <w:p>
      <w:pPr>
        <w:pStyle w:val="139"/>
        <w:spacing w:line="520" w:lineRule="exact"/>
        <w:ind w:firstLine="440"/>
        <w:rPr>
          <w:rFonts w:ascii="宋体" w:hAnsi="宋体"/>
          <w:sz w:val="22"/>
        </w:rPr>
      </w:pPr>
      <w:r>
        <w:rPr>
          <w:rFonts w:hint="eastAsia" w:ascii="宋体" w:hAnsi="宋体"/>
          <w:sz w:val="22"/>
        </w:rPr>
        <w:t>4.</w:t>
      </w:r>
      <w:r>
        <w:rPr>
          <w:rFonts w:ascii="宋体" w:hAnsi="宋体"/>
          <w:sz w:val="22"/>
        </w:rPr>
        <w:t>4安装计划</w:t>
      </w:r>
      <w:r>
        <w:rPr>
          <w:rFonts w:hint="eastAsia" w:ascii="宋体" w:hAnsi="宋体"/>
          <w:sz w:val="22"/>
        </w:rPr>
        <w:t>:</w:t>
      </w:r>
      <w:r>
        <w:rPr>
          <w:rFonts w:ascii="宋体" w:hAnsi="宋体"/>
          <w:sz w:val="22"/>
        </w:rPr>
        <w:t>由中标人制定详细安装计划，该计划必须服从和配合本工程项目总的施工进度计划，须由招标人认可，招标人在实施过程中随总进度计划的变化作相应调整，中标人不能为此而提出任何附加费用。</w:t>
      </w:r>
    </w:p>
    <w:p>
      <w:pPr>
        <w:pStyle w:val="139"/>
        <w:spacing w:line="520" w:lineRule="exact"/>
        <w:ind w:firstLine="440"/>
        <w:rPr>
          <w:rFonts w:ascii="宋体" w:hAnsi="宋体"/>
          <w:sz w:val="22"/>
        </w:rPr>
      </w:pPr>
      <w:r>
        <w:rPr>
          <w:rFonts w:hint="eastAsia" w:ascii="宋体" w:hAnsi="宋体"/>
          <w:sz w:val="22"/>
        </w:rPr>
        <w:t>4.5</w:t>
      </w:r>
      <w:r>
        <w:rPr>
          <w:rFonts w:ascii="宋体" w:hAnsi="宋体"/>
          <w:sz w:val="22"/>
        </w:rPr>
        <w:t>安装</w:t>
      </w:r>
      <w:r>
        <w:rPr>
          <w:rFonts w:hint="eastAsia" w:ascii="宋体" w:hAnsi="宋体"/>
          <w:sz w:val="22"/>
        </w:rPr>
        <w:t>验收</w:t>
      </w:r>
    </w:p>
    <w:p>
      <w:pPr>
        <w:pStyle w:val="139"/>
        <w:spacing w:line="520" w:lineRule="exact"/>
        <w:ind w:firstLine="440"/>
        <w:rPr>
          <w:rFonts w:ascii="宋体" w:hAnsi="宋体"/>
          <w:sz w:val="22"/>
        </w:rPr>
      </w:pPr>
      <w:r>
        <w:rPr>
          <w:rFonts w:hint="eastAsia" w:ascii="宋体" w:hAnsi="宋体"/>
          <w:sz w:val="22"/>
        </w:rPr>
        <w:t>4.5.1</w:t>
      </w:r>
      <w:r>
        <w:rPr>
          <w:rFonts w:ascii="宋体" w:hAnsi="宋体"/>
          <w:sz w:val="22"/>
        </w:rPr>
        <w:t>安装工作必须符合中国的有关条例</w:t>
      </w:r>
      <w:r>
        <w:rPr>
          <w:rFonts w:hint="eastAsia" w:ascii="宋体" w:hAnsi="宋体"/>
          <w:sz w:val="22"/>
        </w:rPr>
        <w:t>。</w:t>
      </w:r>
      <w:r>
        <w:rPr>
          <w:rFonts w:ascii="宋体" w:hAnsi="宋体"/>
          <w:sz w:val="22"/>
        </w:rPr>
        <w:t>中标人必须在合同执行期间，无条件按招标人要求委派有3年以上工作经验的，并曾有管理类似工程的工程师常驻现场参加设计联络、协调，负责安装监管。</w:t>
      </w:r>
    </w:p>
    <w:p>
      <w:pPr>
        <w:pStyle w:val="139"/>
        <w:spacing w:line="520" w:lineRule="exact"/>
        <w:ind w:firstLine="440"/>
        <w:rPr>
          <w:rFonts w:ascii="宋体" w:hAnsi="宋体"/>
          <w:sz w:val="22"/>
        </w:rPr>
      </w:pPr>
      <w:r>
        <w:rPr>
          <w:rFonts w:hint="eastAsia" w:ascii="宋体" w:hAnsi="宋体"/>
          <w:sz w:val="22"/>
        </w:rPr>
        <w:t>4.5.2</w:t>
      </w:r>
      <w:r>
        <w:rPr>
          <w:rFonts w:ascii="宋体" w:hAnsi="宋体"/>
          <w:sz w:val="22"/>
        </w:rPr>
        <w:t>中标人应服从招标人的安排，实施材料堆放、临时设施搭设、现场运输、临时水电接通等事宜，安装垃圾堆放至招标人指定地点。</w:t>
      </w:r>
    </w:p>
    <w:p>
      <w:pPr>
        <w:pStyle w:val="139"/>
        <w:spacing w:line="520" w:lineRule="exact"/>
        <w:ind w:firstLine="440"/>
        <w:rPr>
          <w:rFonts w:ascii="宋体" w:hAnsi="宋体"/>
          <w:sz w:val="22"/>
        </w:rPr>
      </w:pPr>
      <w:r>
        <w:rPr>
          <w:rFonts w:hint="eastAsia" w:ascii="宋体" w:hAnsi="宋体"/>
          <w:sz w:val="22"/>
        </w:rPr>
        <w:t>4.5.3</w:t>
      </w:r>
      <w:r>
        <w:rPr>
          <w:rFonts w:ascii="宋体" w:hAnsi="宋体"/>
          <w:sz w:val="22"/>
        </w:rPr>
        <w:t>所有组合座椅</w:t>
      </w:r>
      <w:r>
        <w:rPr>
          <w:rFonts w:hint="eastAsia" w:ascii="宋体" w:hAnsi="宋体"/>
          <w:sz w:val="22"/>
        </w:rPr>
        <w:t>皮面</w:t>
      </w:r>
      <w:r>
        <w:rPr>
          <w:rFonts w:ascii="宋体" w:hAnsi="宋体"/>
          <w:sz w:val="22"/>
        </w:rPr>
        <w:t>装置起重运送时须保证安全。</w:t>
      </w:r>
    </w:p>
    <w:p>
      <w:pPr>
        <w:pStyle w:val="139"/>
        <w:spacing w:line="520" w:lineRule="exact"/>
        <w:ind w:firstLine="440"/>
        <w:rPr>
          <w:rFonts w:ascii="宋体" w:hAnsi="宋体"/>
          <w:sz w:val="22"/>
        </w:rPr>
      </w:pPr>
      <w:r>
        <w:rPr>
          <w:rFonts w:hint="eastAsia" w:ascii="宋体" w:hAnsi="宋体"/>
          <w:sz w:val="22"/>
        </w:rPr>
        <w:t>4.5.4</w:t>
      </w:r>
      <w:r>
        <w:rPr>
          <w:rFonts w:ascii="宋体" w:hAnsi="宋体"/>
          <w:sz w:val="22"/>
        </w:rPr>
        <w:t>中标人必须负责提供采购、运输和安装过程中所有的辅助货物，所有辅助货物须符合安全要求。</w:t>
      </w:r>
    </w:p>
    <w:p>
      <w:pPr>
        <w:pStyle w:val="139"/>
        <w:spacing w:line="520" w:lineRule="exact"/>
        <w:ind w:firstLine="440"/>
        <w:rPr>
          <w:rFonts w:ascii="宋体" w:hAnsi="宋体"/>
          <w:sz w:val="22"/>
        </w:rPr>
      </w:pPr>
      <w:r>
        <w:rPr>
          <w:rFonts w:hint="eastAsia" w:ascii="宋体" w:hAnsi="宋体"/>
          <w:sz w:val="22"/>
        </w:rPr>
        <w:t>4.5</w:t>
      </w:r>
      <w:r>
        <w:rPr>
          <w:rFonts w:ascii="宋体" w:hAnsi="宋体"/>
          <w:sz w:val="22"/>
        </w:rPr>
        <w:t>.</w:t>
      </w:r>
      <w:r>
        <w:rPr>
          <w:rFonts w:hint="eastAsia" w:ascii="宋体" w:hAnsi="宋体"/>
          <w:sz w:val="22"/>
        </w:rPr>
        <w:t>5</w:t>
      </w:r>
      <w:r>
        <w:rPr>
          <w:rFonts w:ascii="宋体" w:hAnsi="宋体"/>
          <w:sz w:val="22"/>
        </w:rPr>
        <w:t>安装须包括但不局限于以下内容：</w:t>
      </w:r>
    </w:p>
    <w:p>
      <w:pPr>
        <w:pStyle w:val="139"/>
        <w:spacing w:line="520" w:lineRule="exact"/>
        <w:ind w:firstLine="440"/>
        <w:rPr>
          <w:rFonts w:ascii="宋体" w:hAnsi="宋体"/>
          <w:sz w:val="22"/>
        </w:rPr>
      </w:pPr>
      <w:r>
        <w:rPr>
          <w:rFonts w:ascii="宋体" w:hAnsi="宋体"/>
          <w:sz w:val="22"/>
        </w:rPr>
        <w:t>a.配合最终用户(或其委托方)清点并接收卸放到现场的货物。</w:t>
      </w:r>
    </w:p>
    <w:p>
      <w:pPr>
        <w:pStyle w:val="139"/>
        <w:spacing w:line="520" w:lineRule="exact"/>
        <w:ind w:firstLine="440"/>
        <w:rPr>
          <w:rFonts w:ascii="宋体" w:hAnsi="宋体"/>
          <w:sz w:val="22"/>
        </w:rPr>
      </w:pPr>
      <w:r>
        <w:rPr>
          <w:rFonts w:ascii="宋体" w:hAnsi="宋体"/>
          <w:sz w:val="22"/>
        </w:rPr>
        <w:t>b.货物的现场运输、仓储、保护及安装。</w:t>
      </w:r>
    </w:p>
    <w:p>
      <w:pPr>
        <w:pStyle w:val="139"/>
        <w:spacing w:line="520" w:lineRule="exact"/>
        <w:ind w:firstLine="440"/>
        <w:rPr>
          <w:rFonts w:ascii="宋体" w:hAnsi="宋体"/>
          <w:sz w:val="22"/>
        </w:rPr>
      </w:pPr>
      <w:r>
        <w:rPr>
          <w:rFonts w:ascii="宋体" w:hAnsi="宋体"/>
          <w:sz w:val="22"/>
        </w:rPr>
        <w:t>c.检验和试运转。</w:t>
      </w:r>
    </w:p>
    <w:p>
      <w:pPr>
        <w:pStyle w:val="139"/>
        <w:spacing w:line="520" w:lineRule="exact"/>
        <w:ind w:firstLine="440"/>
        <w:rPr>
          <w:rFonts w:ascii="宋体" w:hAnsi="宋体"/>
          <w:sz w:val="22"/>
        </w:rPr>
      </w:pPr>
      <w:r>
        <w:rPr>
          <w:rFonts w:ascii="宋体" w:hAnsi="宋体"/>
          <w:sz w:val="22"/>
        </w:rPr>
        <w:t>d.附有关部门验收证明。</w:t>
      </w:r>
    </w:p>
    <w:p>
      <w:pPr>
        <w:pStyle w:val="139"/>
        <w:spacing w:line="520" w:lineRule="exact"/>
        <w:ind w:firstLine="440"/>
        <w:rPr>
          <w:rFonts w:ascii="宋体" w:hAnsi="宋体"/>
          <w:sz w:val="22"/>
        </w:rPr>
      </w:pPr>
      <w:r>
        <w:rPr>
          <w:rFonts w:ascii="宋体" w:hAnsi="宋体"/>
          <w:sz w:val="22"/>
        </w:rPr>
        <w:t>e.移交前的产品保护。</w:t>
      </w:r>
    </w:p>
    <w:p>
      <w:pPr>
        <w:pStyle w:val="139"/>
        <w:spacing w:line="520" w:lineRule="exact"/>
        <w:ind w:firstLine="440"/>
        <w:rPr>
          <w:rFonts w:ascii="宋体" w:hAnsi="宋体"/>
          <w:sz w:val="22"/>
        </w:rPr>
      </w:pPr>
      <w:r>
        <w:rPr>
          <w:rFonts w:ascii="宋体" w:hAnsi="宋体"/>
          <w:sz w:val="22"/>
        </w:rPr>
        <w:t>f.修补任何缺陷。</w:t>
      </w:r>
    </w:p>
    <w:p>
      <w:pPr>
        <w:pStyle w:val="139"/>
        <w:spacing w:line="520" w:lineRule="exact"/>
        <w:ind w:firstLine="440"/>
        <w:rPr>
          <w:rFonts w:ascii="宋体" w:hAnsi="宋体"/>
          <w:sz w:val="22"/>
        </w:rPr>
      </w:pPr>
      <w:r>
        <w:rPr>
          <w:rFonts w:ascii="宋体" w:hAnsi="宋体"/>
          <w:sz w:val="22"/>
        </w:rPr>
        <w:t>g.实施过程中与其他施工单位的协调和配合。</w:t>
      </w:r>
    </w:p>
    <w:p>
      <w:pPr>
        <w:pStyle w:val="139"/>
        <w:spacing w:line="520" w:lineRule="exact"/>
        <w:ind w:firstLine="440"/>
        <w:rPr>
          <w:rFonts w:ascii="宋体" w:hAnsi="宋体"/>
          <w:sz w:val="22"/>
        </w:rPr>
      </w:pPr>
      <w:r>
        <w:rPr>
          <w:rFonts w:ascii="宋体" w:hAnsi="宋体"/>
          <w:sz w:val="22"/>
        </w:rPr>
        <w:t>h.协助招标人对项目进行最终验收。</w:t>
      </w:r>
    </w:p>
    <w:p>
      <w:pPr>
        <w:pStyle w:val="139"/>
        <w:spacing w:line="520" w:lineRule="exact"/>
        <w:ind w:firstLine="440"/>
        <w:rPr>
          <w:rFonts w:ascii="宋体" w:hAnsi="宋体"/>
          <w:sz w:val="22"/>
        </w:rPr>
      </w:pPr>
      <w:r>
        <w:rPr>
          <w:rFonts w:hint="eastAsia" w:ascii="宋体" w:hAnsi="宋体"/>
          <w:sz w:val="22"/>
        </w:rPr>
        <w:t>4.5</w:t>
      </w:r>
      <w:r>
        <w:rPr>
          <w:rFonts w:ascii="宋体" w:hAnsi="宋体"/>
          <w:sz w:val="22"/>
        </w:rPr>
        <w:t>.</w:t>
      </w:r>
      <w:r>
        <w:rPr>
          <w:rFonts w:hint="eastAsia" w:ascii="宋体" w:hAnsi="宋体"/>
          <w:sz w:val="22"/>
        </w:rPr>
        <w:t>7</w:t>
      </w:r>
      <w:r>
        <w:rPr>
          <w:rFonts w:ascii="宋体" w:hAnsi="宋体"/>
          <w:sz w:val="22"/>
        </w:rPr>
        <w:t>产品保护</w:t>
      </w:r>
    </w:p>
    <w:p>
      <w:pPr>
        <w:pStyle w:val="139"/>
        <w:spacing w:line="520" w:lineRule="exact"/>
        <w:ind w:firstLine="440"/>
        <w:rPr>
          <w:rFonts w:ascii="宋体" w:hAnsi="宋体"/>
          <w:sz w:val="22"/>
        </w:rPr>
      </w:pPr>
      <w:r>
        <w:rPr>
          <w:rFonts w:ascii="宋体" w:hAnsi="宋体"/>
          <w:sz w:val="22"/>
        </w:rPr>
        <w:t>安装完成后，中标人应配合进行座椅</w:t>
      </w:r>
      <w:r>
        <w:rPr>
          <w:rFonts w:hint="eastAsia" w:ascii="宋体" w:hAnsi="宋体"/>
          <w:sz w:val="22"/>
        </w:rPr>
        <w:t>皮面</w:t>
      </w:r>
      <w:r>
        <w:rPr>
          <w:rFonts w:ascii="宋体" w:hAnsi="宋体"/>
          <w:sz w:val="22"/>
        </w:rPr>
        <w:t>的保护和清洁工作直至项目全部验收合格并正式运转二周后为止。中标人如果在组合座椅安装、检验过程中，对招标人的建筑主体或其它货物造成损坏，应负责修理或给予赔偿。</w:t>
      </w:r>
    </w:p>
    <w:p>
      <w:pPr>
        <w:pStyle w:val="139"/>
        <w:spacing w:line="520" w:lineRule="exact"/>
        <w:ind w:firstLine="440"/>
        <w:rPr>
          <w:rFonts w:ascii="宋体" w:hAnsi="宋体"/>
          <w:sz w:val="22"/>
        </w:rPr>
      </w:pPr>
      <w:r>
        <w:rPr>
          <w:rFonts w:hint="eastAsia" w:ascii="宋体" w:hAnsi="宋体"/>
          <w:sz w:val="22"/>
        </w:rPr>
        <w:t>4.6</w:t>
      </w:r>
      <w:r>
        <w:rPr>
          <w:rFonts w:ascii="宋体" w:hAnsi="宋体"/>
          <w:sz w:val="22"/>
        </w:rPr>
        <w:t>验收合格条件</w:t>
      </w:r>
    </w:p>
    <w:p>
      <w:pPr>
        <w:pStyle w:val="139"/>
        <w:spacing w:line="520" w:lineRule="exact"/>
        <w:ind w:firstLine="440"/>
        <w:rPr>
          <w:rFonts w:ascii="宋体" w:hAnsi="宋体"/>
          <w:sz w:val="22"/>
        </w:rPr>
      </w:pPr>
      <w:r>
        <w:rPr>
          <w:rFonts w:ascii="宋体" w:hAnsi="宋体"/>
          <w:sz w:val="22"/>
        </w:rPr>
        <w:t>a.试运行时性能满足合同及本招标书的技术要求；</w:t>
      </w:r>
    </w:p>
    <w:p>
      <w:pPr>
        <w:pStyle w:val="139"/>
        <w:spacing w:line="520" w:lineRule="exact"/>
        <w:ind w:firstLine="440"/>
        <w:rPr>
          <w:rFonts w:ascii="宋体" w:hAnsi="宋体"/>
          <w:sz w:val="22"/>
        </w:rPr>
      </w:pPr>
      <w:r>
        <w:rPr>
          <w:rFonts w:ascii="宋体" w:hAnsi="宋体"/>
          <w:sz w:val="22"/>
        </w:rPr>
        <w:t>b.性能测试和试运行验收时出现的问题已被解决至招标人满意；</w:t>
      </w:r>
    </w:p>
    <w:p>
      <w:pPr>
        <w:pStyle w:val="139"/>
        <w:spacing w:line="520" w:lineRule="exact"/>
        <w:ind w:firstLine="440"/>
        <w:rPr>
          <w:rFonts w:ascii="宋体" w:hAnsi="宋体"/>
          <w:sz w:val="22"/>
        </w:rPr>
      </w:pPr>
      <w:r>
        <w:rPr>
          <w:rFonts w:ascii="宋体" w:hAnsi="宋体"/>
          <w:sz w:val="22"/>
        </w:rPr>
        <w:t>c.已提供了合同的全部货物和资料；</w:t>
      </w:r>
    </w:p>
    <w:p>
      <w:pPr>
        <w:pStyle w:val="139"/>
        <w:spacing w:line="520" w:lineRule="exact"/>
        <w:ind w:firstLine="440"/>
        <w:rPr>
          <w:rFonts w:ascii="宋体" w:hAnsi="宋体"/>
          <w:sz w:val="22"/>
        </w:rPr>
      </w:pPr>
      <w:r>
        <w:rPr>
          <w:rFonts w:ascii="宋体" w:hAnsi="宋体"/>
          <w:sz w:val="22"/>
        </w:rPr>
        <w:t>d.经过</w:t>
      </w:r>
      <w:r>
        <w:rPr>
          <w:rFonts w:hint="eastAsia" w:ascii="宋体" w:hAnsi="宋体"/>
          <w:sz w:val="22"/>
        </w:rPr>
        <w:t>买方组织</w:t>
      </w:r>
      <w:r>
        <w:rPr>
          <w:rFonts w:ascii="宋体" w:hAnsi="宋体"/>
          <w:sz w:val="22"/>
        </w:rPr>
        <w:t>的检测、</w:t>
      </w:r>
      <w:r>
        <w:rPr>
          <w:rFonts w:hint="eastAsia" w:ascii="宋体" w:hAnsi="宋体"/>
          <w:sz w:val="22"/>
        </w:rPr>
        <w:t>检测</w:t>
      </w:r>
      <w:r>
        <w:rPr>
          <w:rFonts w:ascii="宋体" w:hAnsi="宋体"/>
          <w:sz w:val="22"/>
        </w:rPr>
        <w:t>合格并已提交书面合格文件。</w:t>
      </w:r>
    </w:p>
    <w:p>
      <w:pPr>
        <w:pStyle w:val="139"/>
        <w:spacing w:line="520" w:lineRule="exact"/>
        <w:ind w:firstLine="440"/>
        <w:rPr>
          <w:rFonts w:ascii="宋体" w:hAnsi="宋体"/>
          <w:sz w:val="22"/>
        </w:rPr>
      </w:pPr>
    </w:p>
    <w:p>
      <w:pPr>
        <w:pStyle w:val="139"/>
        <w:spacing w:line="520" w:lineRule="exact"/>
        <w:ind w:firstLine="440"/>
        <w:rPr>
          <w:rFonts w:ascii="宋体" w:hAnsi="宋体"/>
          <w:sz w:val="22"/>
        </w:rPr>
      </w:pPr>
      <w:r>
        <w:rPr>
          <w:rFonts w:hint="eastAsia" w:ascii="宋体" w:hAnsi="宋体"/>
          <w:sz w:val="22"/>
        </w:rPr>
        <w:t>五、售后服务</w:t>
      </w:r>
    </w:p>
    <w:p>
      <w:pPr>
        <w:pStyle w:val="139"/>
        <w:spacing w:line="520" w:lineRule="exact"/>
        <w:ind w:firstLine="440"/>
        <w:rPr>
          <w:rFonts w:ascii="宋体" w:hAnsi="宋体"/>
          <w:sz w:val="22"/>
        </w:rPr>
      </w:pPr>
      <w:r>
        <w:rPr>
          <w:rFonts w:hint="eastAsia" w:ascii="宋体" w:hAnsi="宋体"/>
          <w:sz w:val="22"/>
        </w:rPr>
        <w:t>1.售后服务保障要求</w:t>
      </w:r>
    </w:p>
    <w:p>
      <w:pPr>
        <w:pStyle w:val="139"/>
        <w:spacing w:line="520" w:lineRule="exact"/>
        <w:ind w:firstLine="440"/>
        <w:rPr>
          <w:rFonts w:ascii="宋体" w:hAnsi="宋体"/>
          <w:sz w:val="22"/>
        </w:rPr>
      </w:pPr>
      <w:r>
        <w:rPr>
          <w:rFonts w:hint="eastAsia" w:ascii="宋体" w:hAnsi="宋体"/>
          <w:sz w:val="22"/>
        </w:rPr>
        <w:t>1.1</w:t>
      </w:r>
      <w:r>
        <w:rPr>
          <w:rFonts w:ascii="宋体" w:hAnsi="宋体"/>
          <w:sz w:val="22"/>
        </w:rPr>
        <w:t>维修服务机构：在</w:t>
      </w:r>
      <w:r>
        <w:rPr>
          <w:rFonts w:hint="eastAsia" w:ascii="宋体" w:hAnsi="宋体"/>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139"/>
        <w:spacing w:line="520" w:lineRule="exact"/>
        <w:ind w:firstLine="440"/>
        <w:rPr>
          <w:rFonts w:ascii="宋体" w:hAnsi="宋体"/>
          <w:sz w:val="22"/>
        </w:rPr>
      </w:pPr>
      <w:r>
        <w:rPr>
          <w:rFonts w:hint="eastAsia" w:ascii="宋体" w:hAnsi="宋体"/>
          <w:sz w:val="22"/>
        </w:rPr>
        <w:t>1</w:t>
      </w:r>
      <w:r>
        <w:rPr>
          <w:rFonts w:ascii="宋体" w:hAnsi="宋体"/>
          <w:sz w:val="22"/>
        </w:rPr>
        <w:t>.2保修期：投标人在投标时必须承诺提供为期</w:t>
      </w:r>
      <w:r>
        <w:rPr>
          <w:rFonts w:hint="eastAsia" w:ascii="宋体" w:hAnsi="宋体"/>
          <w:sz w:val="22"/>
        </w:rPr>
        <w:t>36</w:t>
      </w:r>
      <w:r>
        <w:rPr>
          <w:rFonts w:ascii="宋体" w:hAnsi="宋体"/>
          <w:sz w:val="22"/>
        </w:rPr>
        <w:t>个月的保修，时间从最终验收合格之日起计算。</w:t>
      </w:r>
    </w:p>
    <w:p>
      <w:pPr>
        <w:pStyle w:val="139"/>
        <w:spacing w:line="520" w:lineRule="exact"/>
        <w:ind w:firstLine="440"/>
        <w:rPr>
          <w:rFonts w:ascii="宋体" w:hAnsi="宋体"/>
          <w:sz w:val="22"/>
        </w:rPr>
      </w:pPr>
      <w:r>
        <w:rPr>
          <w:rFonts w:hint="eastAsia" w:ascii="宋体" w:hAnsi="宋体"/>
          <w:sz w:val="22"/>
        </w:rPr>
        <w:t>1</w:t>
      </w:r>
      <w:r>
        <w:rPr>
          <w:rFonts w:ascii="宋体" w:hAnsi="宋体"/>
          <w:sz w:val="22"/>
        </w:rPr>
        <w:t>.3保修期内的义务：</w:t>
      </w:r>
    </w:p>
    <w:p>
      <w:pPr>
        <w:pStyle w:val="139"/>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3.1</w:t>
      </w:r>
      <w:r>
        <w:rPr>
          <w:rFonts w:ascii="宋体" w:hAnsi="宋体"/>
          <w:sz w:val="22"/>
        </w:rPr>
        <w:t>在保修期内由于组合座椅</w:t>
      </w:r>
      <w:r>
        <w:rPr>
          <w:rFonts w:hint="eastAsia" w:ascii="宋体" w:hAnsi="宋体"/>
          <w:sz w:val="22"/>
        </w:rPr>
        <w:t>垫</w:t>
      </w:r>
      <w:r>
        <w:rPr>
          <w:rFonts w:ascii="宋体" w:hAnsi="宋体"/>
          <w:sz w:val="22"/>
        </w:rPr>
        <w:t>本身质量原因造成的任何损伤或损坏，投标人须免费负责修理或更换。在保修期内，中标人必须对所提供的组合座椅</w:t>
      </w:r>
      <w:r>
        <w:rPr>
          <w:rFonts w:hint="eastAsia" w:ascii="宋体" w:hAnsi="宋体"/>
          <w:sz w:val="22"/>
        </w:rPr>
        <w:t>垫</w:t>
      </w:r>
      <w:r>
        <w:rPr>
          <w:rFonts w:ascii="宋体" w:hAnsi="宋体"/>
          <w:sz w:val="22"/>
        </w:rPr>
        <w:t>做定期检查和保养。</w:t>
      </w:r>
    </w:p>
    <w:p>
      <w:pPr>
        <w:pStyle w:val="139"/>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3.2</w:t>
      </w:r>
      <w:r>
        <w:rPr>
          <w:rFonts w:ascii="宋体" w:hAnsi="宋体"/>
          <w:sz w:val="22"/>
        </w:rPr>
        <w:t>在保修期结束前，须由中标人</w:t>
      </w:r>
      <w:r>
        <w:rPr>
          <w:rFonts w:hint="eastAsia" w:ascii="宋体" w:hAnsi="宋体"/>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pPr>
        <w:pStyle w:val="139"/>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3.3</w:t>
      </w:r>
      <w:r>
        <w:rPr>
          <w:rFonts w:ascii="宋体" w:hAnsi="宋体"/>
          <w:sz w:val="22"/>
        </w:rPr>
        <w:t>保修期内，由于组合座椅质量因素而造成的损坏，均由中标人负责免费维修和更换备件。</w:t>
      </w:r>
    </w:p>
    <w:p>
      <w:pPr>
        <w:pStyle w:val="139"/>
        <w:spacing w:line="520" w:lineRule="exact"/>
        <w:ind w:firstLine="440"/>
        <w:rPr>
          <w:rFonts w:ascii="宋体" w:hAnsi="宋体"/>
          <w:sz w:val="22"/>
        </w:rPr>
      </w:pPr>
      <w:r>
        <w:rPr>
          <w:rFonts w:hint="eastAsia" w:ascii="宋体" w:hAnsi="宋体"/>
          <w:sz w:val="22"/>
        </w:rPr>
        <w:t>2. 交货时间及地点</w:t>
      </w:r>
    </w:p>
    <w:p>
      <w:pPr>
        <w:pStyle w:val="139"/>
        <w:spacing w:line="520" w:lineRule="exact"/>
        <w:ind w:firstLine="440"/>
        <w:rPr>
          <w:rFonts w:ascii="宋体" w:hAnsi="宋体"/>
          <w:sz w:val="22"/>
        </w:rPr>
      </w:pPr>
      <w:r>
        <w:rPr>
          <w:rFonts w:hint="eastAsia" w:ascii="宋体" w:hAnsi="宋体"/>
          <w:sz w:val="22"/>
        </w:rPr>
        <w:t xml:space="preserve">   2.1交货时间：中标人在收到由招标人所出具的中标通知书，且签订采购合同后75日内，完成货物的生产、运输、现场安装等工作。</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2.2交货地点：中标人在货物生产完成前10日，书面通知招标人，最终交货及货物安装地点以招标人书面通知为准。</w:t>
      </w: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center"/>
        <w:rPr>
          <w:rFonts w:ascii="宋体" w:hAnsi="宋体"/>
          <w:szCs w:val="21"/>
        </w:rPr>
      </w:pPr>
    </w:p>
    <w:p>
      <w:pPr>
        <w:pStyle w:val="42"/>
      </w:pPr>
      <w:bookmarkStart w:id="80" w:name="_Toc321925454"/>
      <w:r>
        <w:rPr>
          <w:rFonts w:hint="eastAsia"/>
        </w:rPr>
        <w:t xml:space="preserve">第四章  </w:t>
      </w:r>
      <w:r>
        <w:t>合同条款</w:t>
      </w:r>
      <w:bookmarkEnd w:id="80"/>
    </w:p>
    <w:p>
      <w:pPr>
        <w:adjustRightInd w:val="0"/>
        <w:snapToGrid w:val="0"/>
        <w:spacing w:line="360" w:lineRule="exact"/>
        <w:ind w:firstLine="452"/>
        <w:jc w:val="left"/>
        <w:rPr>
          <w:rFonts w:ascii="宋体" w:hAnsi="宋体"/>
          <w:b/>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甲方：杭州萧山国际机场有限公司</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住所地：杭州萧山国际机场内</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乙方: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住所地:</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52"/>
        <w:jc w:val="left"/>
        <w:rPr>
          <w:rFonts w:ascii="宋体" w:hAnsi="宋体" w:eastAsia="等线" w:cs="Times New Roman"/>
          <w:bCs/>
          <w:sz w:val="22"/>
          <w:lang w:bidi="en-US"/>
        </w:rPr>
      </w:pPr>
      <w:r>
        <w:rPr>
          <w:rFonts w:hint="eastAsia" w:ascii="宋体" w:hAnsi="宋体" w:eastAsia="等线" w:cs="Times New Roman"/>
          <w:bCs/>
          <w:sz w:val="22"/>
          <w:lang w:bidi="en-US"/>
        </w:rPr>
        <w:t>一、产品规格型号及参数</w:t>
      </w:r>
    </w:p>
    <w:tbl>
      <w:tblPr>
        <w:tblStyle w:val="49"/>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序号</w:t>
            </w:r>
          </w:p>
        </w:tc>
        <w:tc>
          <w:tcPr>
            <w:tcW w:w="1559"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产品名称</w:t>
            </w:r>
          </w:p>
        </w:tc>
        <w:tc>
          <w:tcPr>
            <w:tcW w:w="1820"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品牌型号</w:t>
            </w:r>
          </w:p>
        </w:tc>
        <w:tc>
          <w:tcPr>
            <w:tcW w:w="2150"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单位</w:t>
            </w:r>
          </w:p>
        </w:tc>
        <w:tc>
          <w:tcPr>
            <w:tcW w:w="1180"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数量</w:t>
            </w:r>
          </w:p>
        </w:tc>
        <w:tc>
          <w:tcPr>
            <w:tcW w:w="1134"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单价</w:t>
            </w:r>
          </w:p>
        </w:tc>
        <w:tc>
          <w:tcPr>
            <w:tcW w:w="1476"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adjustRightInd w:val="0"/>
              <w:snapToGrid w:val="0"/>
              <w:spacing w:line="360" w:lineRule="exact"/>
              <w:ind w:firstLine="452"/>
              <w:jc w:val="left"/>
              <w:rPr>
                <w:rFonts w:ascii="宋体" w:hAnsi="宋体" w:eastAsia="等线" w:cs="Times New Roman"/>
                <w:sz w:val="22"/>
              </w:rPr>
            </w:pPr>
          </w:p>
        </w:tc>
        <w:tc>
          <w:tcPr>
            <w:tcW w:w="1559" w:type="dxa"/>
            <w:vAlign w:val="center"/>
          </w:tcPr>
          <w:p>
            <w:pPr>
              <w:adjustRightInd w:val="0"/>
              <w:snapToGrid w:val="0"/>
              <w:spacing w:line="360" w:lineRule="exact"/>
              <w:ind w:firstLine="452"/>
              <w:jc w:val="left"/>
              <w:rPr>
                <w:rFonts w:ascii="宋体" w:hAnsi="宋体" w:eastAsia="等线" w:cs="Times New Roman"/>
                <w:sz w:val="22"/>
              </w:rPr>
            </w:pPr>
          </w:p>
        </w:tc>
        <w:tc>
          <w:tcPr>
            <w:tcW w:w="1820" w:type="dxa"/>
            <w:vAlign w:val="center"/>
          </w:tcPr>
          <w:p>
            <w:pPr>
              <w:adjustRightInd w:val="0"/>
              <w:snapToGrid w:val="0"/>
              <w:spacing w:line="360" w:lineRule="exact"/>
              <w:ind w:firstLine="452"/>
              <w:jc w:val="left"/>
              <w:rPr>
                <w:rFonts w:ascii="宋体" w:hAnsi="宋体" w:eastAsia="等线" w:cs="Times New Roman"/>
                <w:sz w:val="22"/>
              </w:rPr>
            </w:pPr>
          </w:p>
        </w:tc>
        <w:tc>
          <w:tcPr>
            <w:tcW w:w="2150" w:type="dxa"/>
            <w:vAlign w:val="center"/>
          </w:tcPr>
          <w:p>
            <w:pPr>
              <w:adjustRightInd w:val="0"/>
              <w:snapToGrid w:val="0"/>
              <w:spacing w:line="360" w:lineRule="exact"/>
              <w:ind w:firstLine="452"/>
              <w:jc w:val="left"/>
              <w:rPr>
                <w:rFonts w:ascii="宋体" w:hAnsi="宋体" w:eastAsia="等线" w:cs="Times New Roman"/>
                <w:sz w:val="22"/>
              </w:rPr>
            </w:pPr>
          </w:p>
        </w:tc>
        <w:tc>
          <w:tcPr>
            <w:tcW w:w="1180" w:type="dxa"/>
            <w:vAlign w:val="center"/>
          </w:tcPr>
          <w:p>
            <w:pPr>
              <w:adjustRightInd w:val="0"/>
              <w:snapToGrid w:val="0"/>
              <w:spacing w:line="360" w:lineRule="exact"/>
              <w:ind w:firstLine="452"/>
              <w:jc w:val="left"/>
              <w:rPr>
                <w:rFonts w:ascii="宋体" w:hAnsi="宋体" w:eastAsia="等线" w:cs="Times New Roman"/>
                <w:sz w:val="22"/>
              </w:rPr>
            </w:pPr>
          </w:p>
        </w:tc>
        <w:tc>
          <w:tcPr>
            <w:tcW w:w="1134" w:type="dxa"/>
            <w:vAlign w:val="center"/>
          </w:tcPr>
          <w:p>
            <w:pPr>
              <w:adjustRightInd w:val="0"/>
              <w:snapToGrid w:val="0"/>
              <w:spacing w:line="360" w:lineRule="exact"/>
              <w:ind w:firstLine="452"/>
              <w:jc w:val="left"/>
              <w:rPr>
                <w:rFonts w:ascii="宋体" w:hAnsi="宋体" w:eastAsia="等线" w:cs="Times New Roman"/>
                <w:sz w:val="22"/>
              </w:rPr>
            </w:pPr>
          </w:p>
        </w:tc>
        <w:tc>
          <w:tcPr>
            <w:tcW w:w="1476" w:type="dxa"/>
            <w:vAlign w:val="center"/>
          </w:tcPr>
          <w:p>
            <w:pPr>
              <w:adjustRightInd w:val="0"/>
              <w:snapToGrid w:val="0"/>
              <w:spacing w:line="360" w:lineRule="exact"/>
              <w:ind w:firstLine="452"/>
              <w:jc w:val="left"/>
              <w:rPr>
                <w:rFonts w:ascii="宋体" w:hAnsi="宋体" w:eastAsia="等线"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合计</w:t>
            </w:r>
          </w:p>
        </w:tc>
        <w:tc>
          <w:tcPr>
            <w:tcW w:w="9319" w:type="dxa"/>
            <w:gridSpan w:val="6"/>
          </w:tcPr>
          <w:p>
            <w:pPr>
              <w:adjustRightInd w:val="0"/>
              <w:snapToGrid w:val="0"/>
              <w:spacing w:line="360" w:lineRule="exact"/>
              <w:ind w:firstLine="452"/>
              <w:jc w:val="left"/>
              <w:rPr>
                <w:rFonts w:ascii="宋体" w:hAnsi="宋体" w:eastAsia="等线" w:cs="Times New Roman"/>
                <w:sz w:val="22"/>
              </w:rPr>
            </w:pPr>
          </w:p>
        </w:tc>
      </w:tr>
    </w:tbl>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备注：1、</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2、</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二、合同金额</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本合同金额为固定总价合同，合同金额为（大写）：人民币    ，（小写）¥       。本合同价为杭州萧山国际机场内交货价，含产品价格、运输费、包装费、保险费、税费等所有费用。甲方不再承担其他任何费用。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三、技术资料</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1.乙方应在交付合同产品时同时向甲方提供使用产品的有关技术资料。</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四、知识产权</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五、产权担保</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六、转包或分包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2.如有未经甲方书面同意的转让和分包行为，甲方有权解除合同，并有权要求乙方承担合同总金额【</w:t>
      </w:r>
      <w:r>
        <w:rPr>
          <w:rFonts w:hint="eastAsia" w:ascii="宋体" w:hAnsi="宋体"/>
          <w:sz w:val="22"/>
          <w:lang w:bidi="en-US"/>
        </w:rPr>
        <w:t>5%</w:t>
      </w:r>
      <w:r>
        <w:rPr>
          <w:rFonts w:hint="eastAsia" w:ascii="宋体" w:hAnsi="宋体" w:eastAsia="等线" w:cs="Times New Roman"/>
          <w:sz w:val="22"/>
          <w:lang w:bidi="en-US"/>
        </w:rPr>
        <w:t>】的违约金。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七、产品包装、发运及运输</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乙方应在产品发运前对其按满足运输距离、防潮、防震、防锈和防破损装卸等要求进行包装，以保证产品安全运达甲方指定地点。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 乙方在产品发运手续办理完毕后【24】小时内必须书面通知甲方，以便甲方准备接货。</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 产品在本合同规定的交货地点交付甲方前发生的一切风险包括产品运输风险均由乙方负责。</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 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八、交货期、交货方式及交货地点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交货期：</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 交货方式：</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 交货地点：杭州萧山国际机场内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九、安装与验收</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3】日内以书面或电话形式向乙方提出异议。乙方在甲方初步验收完毕后，负责在【40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2.乙方交货前应对产品作出全面检查和对验收文件进行整理，并列出清单，作为甲方收货验收和使用的技术条件依据，乙方检验的结果应随货物交甲方。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3.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4.具体的安装要求：</w:t>
      </w:r>
    </w:p>
    <w:p>
      <w:pPr>
        <w:spacing w:line="400" w:lineRule="exact"/>
        <w:ind w:firstLine="440" w:firstLineChars="200"/>
        <w:rPr>
          <w:rFonts w:ascii="宋体" w:hAnsi="宋体" w:eastAsia="等线" w:cs="Times New Roman"/>
          <w:sz w:val="22"/>
        </w:rPr>
      </w:pPr>
      <w:r>
        <w:rPr>
          <w:rFonts w:hint="eastAsia" w:ascii="宋体" w:hAnsi="宋体" w:eastAsia="等线" w:cs="Times New Roman"/>
          <w:sz w:val="22"/>
        </w:rPr>
        <w:t>4.1按旅客座椅造型完成皮面；</w:t>
      </w:r>
    </w:p>
    <w:p>
      <w:pPr>
        <w:spacing w:line="400" w:lineRule="exact"/>
        <w:ind w:firstLine="440" w:firstLineChars="200"/>
        <w:rPr>
          <w:rFonts w:ascii="宋体" w:hAnsi="宋体" w:eastAsia="等线" w:cs="Times New Roman"/>
          <w:sz w:val="22"/>
        </w:rPr>
      </w:pPr>
      <w:r>
        <w:rPr>
          <w:rFonts w:hint="eastAsia" w:ascii="宋体" w:hAnsi="宋体" w:eastAsia="等线" w:cs="Times New Roman"/>
          <w:sz w:val="22"/>
        </w:rPr>
        <w:t>4.2座椅皮面安装平整、牢固，无固定螺丝穿透座椅皮面衬板。</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5.具体的验收要求：</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.1各项性能指标满足</w:t>
      </w:r>
      <w:r>
        <w:rPr>
          <w:rFonts w:hint="eastAsia" w:asciiTheme="minorEastAsia" w:hAnsiTheme="minorEastAsia"/>
          <w:color w:val="000000"/>
          <w:szCs w:val="21"/>
          <w:shd w:val="clear" w:color="auto" w:fill="FFFFFF"/>
        </w:rPr>
        <w:t>招标文件</w:t>
      </w:r>
      <w:r>
        <w:rPr>
          <w:rFonts w:asciiTheme="minorEastAsia" w:hAnsiTheme="minorEastAsia"/>
          <w:color w:val="000000"/>
          <w:szCs w:val="21"/>
          <w:shd w:val="clear" w:color="auto" w:fill="FFFFFF"/>
        </w:rPr>
        <w:t>中的技术要求</w:t>
      </w:r>
      <w:r>
        <w:rPr>
          <w:rFonts w:hint="eastAsia" w:asciiTheme="minorEastAsia" w:hAnsiTheme="minorEastAsia"/>
          <w:color w:val="000000"/>
          <w:szCs w:val="21"/>
          <w:shd w:val="clear" w:color="auto" w:fill="FFFFFF"/>
        </w:rPr>
        <w:t>；</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 xml:space="preserve">.2 </w:t>
      </w:r>
      <w:r>
        <w:rPr>
          <w:rFonts w:hint="eastAsia" w:asciiTheme="minorEastAsia" w:hAnsiTheme="minorEastAsia"/>
          <w:color w:val="000000"/>
          <w:szCs w:val="21"/>
          <w:shd w:val="clear" w:color="auto" w:fill="FFFFFF"/>
        </w:rPr>
        <w:t>安装</w:t>
      </w:r>
      <w:r>
        <w:rPr>
          <w:rFonts w:asciiTheme="minorEastAsia" w:hAnsiTheme="minorEastAsia"/>
          <w:color w:val="000000"/>
          <w:szCs w:val="21"/>
          <w:shd w:val="clear" w:color="auto" w:fill="FFFFFF"/>
        </w:rPr>
        <w:t>时出现的问题已被解决至甲方认可</w:t>
      </w:r>
      <w:r>
        <w:rPr>
          <w:rFonts w:hint="eastAsia" w:asciiTheme="minorEastAsia" w:hAnsiTheme="minorEastAsia"/>
          <w:color w:val="000000"/>
          <w:szCs w:val="21"/>
          <w:shd w:val="clear" w:color="auto" w:fill="FFFFFF"/>
        </w:rPr>
        <w:t>，并提供书面报告；</w:t>
      </w:r>
    </w:p>
    <w:p>
      <w:pPr>
        <w:adjustRightInd w:val="0"/>
        <w:snapToGrid w:val="0"/>
        <w:spacing w:line="360" w:lineRule="exact"/>
        <w:ind w:firstLine="420" w:firstLineChars="200"/>
        <w:jc w:val="left"/>
        <w:rPr>
          <w:rFonts w:ascii="宋体" w:hAnsi="宋体"/>
          <w:color w:val="000000"/>
          <w:sz w:val="22"/>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w:t>
      </w:r>
      <w:r>
        <w:rPr>
          <w:rFonts w:hint="eastAsia" w:asciiTheme="minorEastAsia" w:hAnsiTheme="minorEastAsia"/>
          <w:color w:val="000000"/>
          <w:szCs w:val="21"/>
          <w:shd w:val="clear" w:color="auto" w:fill="FFFFFF"/>
        </w:rPr>
        <w:t>3</w:t>
      </w:r>
      <w:r>
        <w:rPr>
          <w:rFonts w:asciiTheme="minorEastAsia" w:hAnsiTheme="minorEastAsia"/>
          <w:color w:val="000000"/>
          <w:szCs w:val="21"/>
          <w:shd w:val="clear" w:color="auto" w:fill="FFFFFF"/>
        </w:rPr>
        <w:t xml:space="preserve"> 已提供了合同范围内的全部货物和资料</w:t>
      </w:r>
      <w:r>
        <w:rPr>
          <w:rFonts w:ascii="宋体" w:hAnsi="宋体"/>
          <w:color w:val="000000"/>
          <w:sz w:val="22"/>
        </w:rPr>
        <w:t>。</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十、货款支付</w:t>
      </w:r>
    </w:p>
    <w:p>
      <w:pPr>
        <w:pStyle w:val="40"/>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 合同签订之日起15个工作日内甲方向乙方支付合同总金额的10%。设备安装完成后，并经甲方验收合格后【15】个工作日内，支付合同总金额的85%。</w:t>
      </w:r>
    </w:p>
    <w:p>
      <w:pPr>
        <w:pStyle w:val="40"/>
        <w:snapToGrid w:val="0"/>
        <w:spacing w:before="0" w:beforeAutospacing="0" w:after="0" w:afterAutospacing="0" w:line="360" w:lineRule="exact"/>
        <w:ind w:left="42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乙方在甲方每次付款前开具增值税专用发票。</w:t>
      </w:r>
    </w:p>
    <w:p>
      <w:pPr>
        <w:pStyle w:val="40"/>
        <w:snapToGrid w:val="0"/>
        <w:spacing w:before="0" w:beforeAutospacing="0" w:after="0" w:afterAutospacing="0" w:line="360" w:lineRule="exact"/>
        <w:ind w:left="420" w:leftChars="200"/>
        <w:jc w:val="both"/>
        <w:rPr>
          <w:rFonts w:ascii="宋体" w:hAnsi="宋体" w:eastAsia="宋体"/>
          <w:color w:val="auto"/>
          <w:sz w:val="22"/>
          <w:szCs w:val="22"/>
        </w:rPr>
      </w:pPr>
      <w:r>
        <w:rPr>
          <w:rFonts w:hint="eastAsia" w:ascii="宋体" w:hAnsi="宋体" w:eastAsia="等线" w:cs="Times New Roman"/>
          <w:sz w:val="22"/>
          <w:lang w:bidi="en-US"/>
        </w:rPr>
        <w:t>十一、</w:t>
      </w:r>
      <w:r>
        <w:rPr>
          <w:rFonts w:hint="eastAsia" w:ascii="宋体" w:hAnsi="宋体" w:eastAsia="等线" w:cs="Times New Roman"/>
          <w:sz w:val="22"/>
        </w:rPr>
        <w:t>履约保证金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甲方在支付货款同时无息返还履约保证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十二、免费质保期及服务内容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1、乙方保证其所供应的产品符合相关产品质量标准，不存在任何质量瑕疵或因质量瑕疵而导致的安全隐患，且为未经使用的全新产品。</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2、乙方应为产品提供【24】个月的免费质保期(含工时费和零部件费)，时间自甲方最终签署安装验收合格报告之日起计算。</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 免费质保期结束的【30】天前，乙方负责对产品进行一次全面的检修和维护，并由甲方验收认可。甲方验收认可并不免除乙方对于验收认可后发生的但尚在质保期限内的产品故障或损坏的维修、退换货义务。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十三、违约责任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甲方无故逾期支付货款的,甲方应按逾期付款总额每日【0.05】%向乙方支付违约金。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2. 乙方逾期交付产品和本合同规定的文件资料的，或者未按甲方时间要求完成安装调试并通过甲方终验收的，乙方应按合同总额每日【0.05】%向甲方支付违约金，由甲方从货款中扣除。逾期超过约定日期【10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7．对于本合同项下乙方应支付的赔偿款或违约金，甲方有权从应付乙方的货款及履约保证金中直接扣除，不足的部分，继续向乙方追偿。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十四、不可抗力事件处理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在合同有效期内，任何一方因不可抗力事件导致不能履行合同，则合同履行期可延长，其延长期与不可抗力影响期相同。</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 不可抗力事件发生后，遭遇不可抗力的一方应立即通知对方，并寄送有关官方权威机构出具的证明。</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十五、争议解决</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双方在执行合同中所发生的一切争议，应通过协商解决。如协商不成，由甲方所在地的人民法院管辖审理。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十六、合同组成文件包含下列内容，且解释顺序如下：</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1.本合同协议书</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2.中标通知书</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3.投标书及其附件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4.招标文件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5.标准、规范及有关技术文件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十七、合同生效及其它</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合同经双方法定代表人或授权代表签字（包含签章）并加盖单位公章或者合同章之日起生效。</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2.本合同未尽事宜，双方可签订补充协议予以执行；未达成补充协议的，遵照《合同法》及有关法律法规执行。</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3.本合同一式陆份，甲执四份，乙方持二份，具有同等法律效力。</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（以下为签署页）</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ab/>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甲方：杭州萧山国际机场有限公司  乙方：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地址：杭州萧山国际机场内        地址：</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法定代表人：                     法定代表人：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或                               或</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授权代表：                       授权代表：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签字日期：                       签字日期：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年  月  日                      年  月  日</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0"/>
        <w:jc w:val="left"/>
        <w:rPr>
          <w:rFonts w:ascii="宋体" w:hAnsi="宋体" w:eastAsia="等线" w:cs="Times New Roman"/>
          <w:sz w:val="22"/>
          <w:lang w:bidi="en-US"/>
        </w:rPr>
      </w:pPr>
      <w:r>
        <w:rPr>
          <w:rFonts w:hint="eastAsia" w:ascii="宋体" w:hAnsi="宋体" w:eastAsia="等线" w:cs="Times New Roman"/>
          <w:sz w:val="22"/>
          <w:lang w:bidi="en-US"/>
        </w:rPr>
        <w:t>附件1：</w:t>
      </w:r>
    </w:p>
    <w:p>
      <w:pPr>
        <w:adjustRightInd w:val="0"/>
        <w:snapToGrid w:val="0"/>
        <w:spacing w:line="360" w:lineRule="exact"/>
        <w:ind w:firstLine="452"/>
        <w:jc w:val="center"/>
        <w:rPr>
          <w:rFonts w:ascii="黑体" w:hAnsi="黑体" w:eastAsia="黑体" w:cs="Times New Roman"/>
          <w:sz w:val="30"/>
          <w:szCs w:val="30"/>
          <w:lang w:bidi="en-US"/>
        </w:rPr>
      </w:pPr>
      <w:r>
        <w:rPr>
          <w:rFonts w:hint="eastAsia" w:ascii="黑体" w:hAnsi="黑体" w:eastAsia="黑体" w:cs="Times New Roman"/>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杭州萧山国际机场有限公司：</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八、如违反上述廉洁自律承诺，贵公司有权：</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（1）立即取消我单位投标、中标或在建项目的实施资格；</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（4）由此引起的相应损失均由我单位承担。</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承诺人单位名称（盖章）：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法定代表人 ：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或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委托代理人：                   </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年     月     日</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附件2： </w:t>
      </w:r>
    </w:p>
    <w:p>
      <w:pPr>
        <w:adjustRightInd w:val="0"/>
        <w:snapToGrid w:val="0"/>
        <w:spacing w:line="360" w:lineRule="exact"/>
        <w:ind w:firstLine="452"/>
        <w:jc w:val="left"/>
        <w:rPr>
          <w:rFonts w:ascii="宋体" w:hAnsi="宋体" w:eastAsia="等线" w:cs="Times New Roman"/>
          <w:bCs/>
          <w:sz w:val="22"/>
          <w:lang w:bidi="en-US"/>
        </w:rPr>
      </w:pPr>
      <w:r>
        <w:rPr>
          <w:rFonts w:hint="eastAsia" w:ascii="宋体" w:hAnsi="宋体" w:eastAsia="等线" w:cs="Times New Roman"/>
          <w:bCs/>
          <w:sz w:val="22"/>
          <w:lang w:bidi="en-US"/>
        </w:rPr>
        <w:t>保密承诺书</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（4）财务信息（财务收支、固定资产、流动资金、成本核算等）；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1.4、以下资料不属于本承诺所指的商业秘密：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8、违约责任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供应商(盖章):</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法定代表人或授权代表：</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电话/传真：</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地址：</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kern w:val="0"/>
        </w:rPr>
      </w:pPr>
      <w:r>
        <w:rPr>
          <w:rFonts w:hint="eastAsia" w:ascii="宋体" w:hAnsi="宋体" w:eastAsia="等线" w:cs="Times New Roman"/>
          <w:sz w:val="22"/>
          <w:lang w:bidi="en-US"/>
        </w:rPr>
        <w:t xml:space="preserve">日期：     年   月   </w:t>
      </w:r>
      <w:bookmarkStart w:id="81" w:name="_Toc321925456"/>
      <w:bookmarkStart w:id="82" w:name="_Toc448002987"/>
      <w:bookmarkStart w:id="83" w:name="_Toc275274581"/>
    </w:p>
    <w:p/>
    <w:p/>
    <w:p/>
    <w:p/>
    <w:p/>
    <w:p/>
    <w:p/>
    <w:p/>
    <w:p/>
    <w:p/>
    <w:p/>
    <w:p/>
    <w:p/>
    <w:p/>
    <w:p/>
    <w:p/>
    <w:p/>
    <w:p/>
    <w:p/>
    <w:p/>
    <w:p>
      <w:pPr>
        <w:rPr>
          <w:rFonts w:ascii="Calibri" w:hAnsi="Calibri" w:eastAsia="黑体" w:cs="Calibri"/>
          <w:kern w:val="0"/>
          <w:sz w:val="32"/>
        </w:rPr>
      </w:pPr>
    </w:p>
    <w:p>
      <w:pPr>
        <w:pStyle w:val="2"/>
        <w:spacing w:before="0" w:after="0"/>
        <w:jc w:val="both"/>
        <w:rPr>
          <w:rFonts w:ascii="Calibri" w:hAnsi="Calibri" w:eastAsia="黑体" w:cs="Calibri"/>
          <w:kern w:val="0"/>
          <w:sz w:val="32"/>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1"/>
      <w:bookmarkEnd w:id="82"/>
    </w:p>
    <w:p>
      <w:pPr>
        <w:pStyle w:val="28"/>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8"/>
        <w:spacing w:line="360" w:lineRule="exact"/>
        <w:rPr>
          <w:rFonts w:hAnsi="宋体" w:cs="Calibri"/>
          <w:b/>
          <w:bCs/>
          <w:sz w:val="22"/>
          <w:szCs w:val="22"/>
        </w:rPr>
      </w:pPr>
      <w:r>
        <w:rPr>
          <w:rFonts w:hAnsi="宋体" w:cs="Calibri"/>
          <w:b/>
          <w:bCs/>
          <w:sz w:val="22"/>
          <w:szCs w:val="22"/>
        </w:rPr>
        <w:t>一、评标原则</w:t>
      </w:r>
    </w:p>
    <w:p>
      <w:pPr>
        <w:pStyle w:val="28"/>
        <w:spacing w:line="360" w:lineRule="exact"/>
        <w:ind w:firstLine="420"/>
        <w:rPr>
          <w:rFonts w:hAnsi="宋体" w:cs="Calibri"/>
          <w:sz w:val="22"/>
          <w:szCs w:val="22"/>
        </w:rPr>
      </w:pPr>
      <w:r>
        <w:rPr>
          <w:rFonts w:hAnsi="宋体" w:cs="Calibri"/>
          <w:bCs/>
          <w:sz w:val="22"/>
          <w:szCs w:val="22"/>
        </w:rPr>
        <w:t>评标应遵循公平、公正、科学、择优的原则。</w:t>
      </w:r>
    </w:p>
    <w:p>
      <w:pPr>
        <w:pStyle w:val="28"/>
        <w:spacing w:line="360" w:lineRule="exact"/>
        <w:rPr>
          <w:rFonts w:hAnsi="宋体" w:cs="Calibri"/>
          <w:b/>
          <w:bCs/>
          <w:sz w:val="22"/>
          <w:szCs w:val="22"/>
        </w:rPr>
      </w:pPr>
      <w:r>
        <w:rPr>
          <w:rFonts w:hAnsi="宋体" w:cs="Calibri"/>
          <w:b/>
          <w:bCs/>
          <w:sz w:val="22"/>
          <w:szCs w:val="22"/>
        </w:rPr>
        <w:t>二、评标组织</w:t>
      </w:r>
    </w:p>
    <w:p>
      <w:pPr>
        <w:pStyle w:val="28"/>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8"/>
        <w:spacing w:line="360" w:lineRule="exact"/>
        <w:rPr>
          <w:rFonts w:hAnsi="宋体" w:cs="Calibri"/>
          <w:b/>
          <w:bCs/>
          <w:sz w:val="22"/>
          <w:szCs w:val="22"/>
        </w:rPr>
      </w:pPr>
      <w:r>
        <w:rPr>
          <w:rFonts w:hAnsi="宋体" w:cs="Calibri"/>
          <w:b/>
          <w:bCs/>
          <w:sz w:val="22"/>
          <w:szCs w:val="22"/>
        </w:rPr>
        <w:t>三、投标文件的评审</w:t>
      </w:r>
    </w:p>
    <w:p>
      <w:pPr>
        <w:pStyle w:val="28"/>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28"/>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8"/>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8"/>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8"/>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8"/>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8"/>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8"/>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8"/>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8"/>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49"/>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restart"/>
            <w:tcBorders>
              <w:top w:val="single" w:color="auto" w:sz="4" w:space="0"/>
              <w:left w:val="single" w:color="auto" w:sz="4" w:space="0"/>
              <w:right w:val="single" w:color="auto" w:sz="4" w:space="0"/>
            </w:tcBorders>
            <w:vAlign w:val="center"/>
          </w:tcPr>
          <w:p>
            <w:pPr>
              <w:pStyle w:val="28"/>
              <w:spacing w:line="360" w:lineRule="exact"/>
              <w:jc w:val="center"/>
              <w:rPr>
                <w:rFonts w:hAnsi="宋体" w:cs="宋体"/>
                <w:b/>
                <w:sz w:val="21"/>
              </w:rPr>
            </w:pPr>
            <w:r>
              <w:rPr>
                <w:rFonts w:hint="eastAsia" w:hAnsi="宋体" w:cs="宋体"/>
                <w:b/>
                <w:sz w:val="21"/>
              </w:rPr>
              <w:t>1</w:t>
            </w:r>
          </w:p>
        </w:tc>
        <w:tc>
          <w:tcPr>
            <w:tcW w:w="1598" w:type="dxa"/>
            <w:vMerge w:val="restart"/>
            <w:tcBorders>
              <w:top w:val="single" w:color="auto" w:sz="4" w:space="0"/>
              <w:left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资信情况</w:t>
            </w:r>
          </w:p>
          <w:p>
            <w:pPr>
              <w:pStyle w:val="28"/>
              <w:spacing w:line="360" w:lineRule="exact"/>
              <w:rPr>
                <w:rFonts w:hAnsi="宋体" w:cs="宋体"/>
                <w:b/>
                <w:sz w:val="21"/>
              </w:rPr>
            </w:pPr>
            <w:r>
              <w:rPr>
                <w:rFonts w:hint="eastAsia" w:hAnsi="宋体" w:cs="宋体"/>
                <w:b/>
                <w:sz w:val="21"/>
              </w:rPr>
              <w:t>（滿分6分）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adjustRightInd w:val="0"/>
              <w:spacing w:line="360" w:lineRule="exact"/>
              <w:rPr>
                <w:rFonts w:hAnsi="宋体" w:cs="宋体"/>
                <w:b/>
                <w:sz w:val="21"/>
              </w:rPr>
            </w:pPr>
            <w:r>
              <w:rPr>
                <w:rFonts w:hint="eastAsia" w:hAnsi="宋体" w:cs="宋体"/>
                <w:b/>
                <w:sz w:val="21"/>
              </w:rPr>
              <w:t>获得国家环保认证证书得1分（厂家提供复印件）；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continue"/>
            <w:tcBorders>
              <w:left w:val="single" w:color="auto" w:sz="4" w:space="0"/>
              <w:right w:val="single" w:color="auto" w:sz="4" w:space="0"/>
            </w:tcBorders>
            <w:vAlign w:val="center"/>
          </w:tcPr>
          <w:p>
            <w:pPr>
              <w:pStyle w:val="28"/>
              <w:spacing w:line="360" w:lineRule="exact"/>
              <w:jc w:val="center"/>
              <w:rPr>
                <w:rFonts w:hAnsi="宋体" w:cs="宋体"/>
                <w:b/>
                <w:sz w:val="21"/>
              </w:rPr>
            </w:pPr>
          </w:p>
        </w:tc>
        <w:tc>
          <w:tcPr>
            <w:tcW w:w="1598" w:type="dxa"/>
            <w:vMerge w:val="continue"/>
            <w:tcBorders>
              <w:left w:val="single" w:color="auto" w:sz="4" w:space="0"/>
              <w:right w:val="single" w:color="auto" w:sz="4" w:space="0"/>
            </w:tcBorders>
            <w:vAlign w:val="center"/>
          </w:tcPr>
          <w:p>
            <w:pPr>
              <w:pStyle w:val="28"/>
              <w:spacing w:line="360" w:lineRule="exact"/>
              <w:rPr>
                <w:rFonts w:hAnsi="宋体" w:cs="宋体"/>
                <w:b/>
                <w:sz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adjustRightInd w:val="0"/>
              <w:spacing w:line="360" w:lineRule="exact"/>
              <w:rPr>
                <w:rFonts w:hAnsi="宋体" w:cs="宋体"/>
                <w:b/>
                <w:sz w:val="21"/>
              </w:rPr>
            </w:pPr>
            <w:r>
              <w:rPr>
                <w:rFonts w:hint="eastAsia" w:hAnsi="宋体" w:cs="宋体"/>
                <w:b/>
                <w:sz w:val="21"/>
              </w:rPr>
              <w:t>公司具有信用等级“A”及以上证书得1分（工商部门颁发）；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continue"/>
            <w:tcBorders>
              <w:left w:val="single" w:color="auto" w:sz="4" w:space="0"/>
              <w:bottom w:val="single" w:color="auto" w:sz="4" w:space="0"/>
              <w:right w:val="single" w:color="auto" w:sz="4" w:space="0"/>
            </w:tcBorders>
            <w:vAlign w:val="center"/>
          </w:tcPr>
          <w:p>
            <w:pPr>
              <w:pStyle w:val="28"/>
              <w:spacing w:line="360" w:lineRule="exact"/>
              <w:jc w:val="center"/>
              <w:rPr>
                <w:rFonts w:hAnsi="宋体" w:cs="宋体"/>
                <w:b/>
                <w:sz w:val="21"/>
              </w:rPr>
            </w:pPr>
          </w:p>
        </w:tc>
        <w:tc>
          <w:tcPr>
            <w:tcW w:w="1598" w:type="dxa"/>
            <w:vMerge w:val="continue"/>
            <w:tcBorders>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0～4分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adjustRightInd w:val="0"/>
              <w:spacing w:line="360" w:lineRule="exact"/>
              <w:rPr>
                <w:rFonts w:hAnsi="宋体" w:cs="宋体"/>
                <w:b/>
                <w:sz w:val="21"/>
              </w:rPr>
            </w:pPr>
            <w:r>
              <w:rPr>
                <w:rFonts w:hint="eastAsia" w:hAnsi="宋体" w:cs="宋体"/>
                <w:b/>
                <w:sz w:val="21"/>
              </w:rPr>
              <w:t>以往类似项目经验0-4分；</w:t>
            </w:r>
          </w:p>
          <w:p>
            <w:pPr>
              <w:pStyle w:val="28"/>
              <w:adjustRightInd w:val="0"/>
              <w:spacing w:line="360" w:lineRule="exact"/>
              <w:rPr>
                <w:rFonts w:hAnsi="宋体" w:cs="宋体"/>
                <w:b/>
                <w:sz w:val="21"/>
              </w:rPr>
            </w:pPr>
            <w:r>
              <w:rPr>
                <w:rFonts w:hint="eastAsia" w:hAnsi="宋体" w:cs="宋体"/>
                <w:b/>
                <w:sz w:val="21"/>
              </w:rPr>
              <w:t>提供两年内（自</w:t>
            </w:r>
            <w:r>
              <w:rPr>
                <w:rFonts w:hAnsi="宋体" w:cs="宋体"/>
                <w:b/>
                <w:sz w:val="21"/>
              </w:rPr>
              <w:t>2017年1月1日起至投标截止日止）</w:t>
            </w:r>
            <w:r>
              <w:rPr>
                <w:rFonts w:hint="eastAsia" w:hAnsi="宋体" w:cs="宋体"/>
                <w:b/>
                <w:sz w:val="21"/>
              </w:rPr>
              <w:t>类似项目合作成功案例，每一个项目得1分，得分合计不超过4分。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restart"/>
            <w:tcBorders>
              <w:top w:val="single" w:color="auto" w:sz="4" w:space="0"/>
              <w:left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2</w:t>
            </w:r>
          </w:p>
        </w:tc>
        <w:tc>
          <w:tcPr>
            <w:tcW w:w="1598" w:type="dxa"/>
            <w:vMerge w:val="restart"/>
            <w:tcBorders>
              <w:top w:val="single" w:color="auto" w:sz="4" w:space="0"/>
              <w:left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技术方案</w:t>
            </w:r>
          </w:p>
          <w:p>
            <w:pPr>
              <w:pStyle w:val="28"/>
              <w:adjustRightInd w:val="0"/>
              <w:spacing w:line="360" w:lineRule="exact"/>
              <w:rPr>
                <w:rFonts w:hAnsi="宋体" w:cs="宋体"/>
                <w:b/>
                <w:sz w:val="21"/>
              </w:rPr>
            </w:pPr>
            <w:r>
              <w:rPr>
                <w:rFonts w:hint="eastAsia" w:hAnsi="宋体" w:cs="宋体"/>
                <w:b/>
                <w:sz w:val="21"/>
              </w:rPr>
              <w:t>（滿分11分）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28"/>
              <w:adjustRightInd w:val="0"/>
              <w:spacing w:line="360" w:lineRule="exact"/>
              <w:rPr>
                <w:rFonts w:hAnsi="宋体" w:cs="宋体"/>
                <w:b/>
                <w:sz w:val="21"/>
              </w:rPr>
            </w:pPr>
            <w:r>
              <w:rPr>
                <w:rFonts w:hint="eastAsia" w:hAnsi="宋体" w:cs="宋体"/>
                <w:b/>
                <w:sz w:val="21"/>
              </w:rPr>
              <w:t>0～6分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样品工艺质量情况；座垫、靠垫造型完全符合旅客座椅造型，安装后无缝隙；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continue"/>
            <w:tcBorders>
              <w:left w:val="single" w:color="auto" w:sz="4" w:space="0"/>
              <w:right w:val="single" w:color="auto" w:sz="4" w:space="0"/>
            </w:tcBorders>
            <w:vAlign w:val="center"/>
          </w:tcPr>
          <w:p>
            <w:pPr>
              <w:pStyle w:val="28"/>
              <w:spacing w:line="360" w:lineRule="exact"/>
              <w:rPr>
                <w:rFonts w:hAnsi="宋体" w:cs="宋体"/>
                <w:b/>
                <w:sz w:val="21"/>
              </w:rPr>
            </w:pPr>
          </w:p>
        </w:tc>
        <w:tc>
          <w:tcPr>
            <w:tcW w:w="1598" w:type="dxa"/>
            <w:vMerge w:val="continue"/>
            <w:tcBorders>
              <w:left w:val="single" w:color="auto" w:sz="4" w:space="0"/>
              <w:right w:val="single" w:color="auto" w:sz="4" w:space="0"/>
            </w:tcBorders>
            <w:vAlign w:val="center"/>
          </w:tcPr>
          <w:p>
            <w:pPr>
              <w:pStyle w:val="28"/>
              <w:spacing w:line="360" w:lineRule="exact"/>
              <w:rPr>
                <w:rFonts w:hAnsi="宋体" w:cs="宋体"/>
                <w:b/>
                <w:sz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0～2分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座垫、靠垫安装方便、快捷；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continue"/>
            <w:tcBorders>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p>
        </w:tc>
        <w:tc>
          <w:tcPr>
            <w:tcW w:w="1598" w:type="dxa"/>
            <w:vMerge w:val="continue"/>
            <w:tcBorders>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0～3分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座垫、靠垫相关安装配件无锐角；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3</w:t>
            </w:r>
          </w:p>
        </w:tc>
        <w:tc>
          <w:tcPr>
            <w:tcW w:w="1598" w:type="dxa"/>
            <w:tcBorders>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样品</w:t>
            </w:r>
          </w:p>
          <w:p>
            <w:pPr>
              <w:pStyle w:val="28"/>
              <w:spacing w:line="360" w:lineRule="exact"/>
              <w:rPr>
                <w:rFonts w:hAnsi="宋体" w:cs="宋体"/>
                <w:b/>
                <w:sz w:val="21"/>
              </w:rPr>
            </w:pPr>
            <w:r>
              <w:rPr>
                <w:rFonts w:hint="eastAsia" w:hAnsi="宋体" w:cs="宋体"/>
                <w:b/>
                <w:sz w:val="21"/>
              </w:rPr>
              <w:t>（滿分5分）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0～5分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座垫外包超纤平整、服帖，无褶皱；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3</w:t>
            </w:r>
          </w:p>
        </w:tc>
        <w:tc>
          <w:tcPr>
            <w:tcW w:w="1598"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服务承诺</w:t>
            </w: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0～7分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依据投标文件所体现的“三包”、免费保修及售后服务措施和方案情况，横比较后进行评分。其中，质保年限0-3分、服务措施0-4分（包括售后回访、本地化服务等）；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4</w:t>
            </w:r>
          </w:p>
        </w:tc>
        <w:tc>
          <w:tcPr>
            <w:tcW w:w="1598"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标书制作</w:t>
            </w:r>
          </w:p>
        </w:tc>
        <w:tc>
          <w:tcPr>
            <w:tcW w:w="1085"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sz w:val="21"/>
              </w:rPr>
            </w:pPr>
            <w:r>
              <w:rPr>
                <w:rFonts w:hint="eastAsia" w:hAnsi="宋体" w:cs="宋体"/>
                <w:b/>
                <w:sz w:val="21"/>
              </w:rPr>
              <w:t>各投标文件横向比较后酌情评分。</w:t>
            </w:r>
          </w:p>
        </w:tc>
      </w:tr>
    </w:tbl>
    <w:p>
      <w:pPr>
        <w:pStyle w:val="28"/>
        <w:adjustRightInd w:val="0"/>
        <w:snapToGrid w:val="0"/>
        <w:spacing w:line="360" w:lineRule="exact"/>
        <w:ind w:firstLine="440" w:firstLineChars="200"/>
        <w:rPr>
          <w:rFonts w:hAnsi="宋体" w:cs="Calibri"/>
          <w:sz w:val="22"/>
          <w:szCs w:val="22"/>
        </w:rPr>
      </w:pPr>
    </w:p>
    <w:p>
      <w:pPr>
        <w:pStyle w:val="28"/>
        <w:spacing w:line="360" w:lineRule="exact"/>
        <w:rPr>
          <w:rFonts w:hAnsi="宋体" w:cs="Calibri"/>
          <w:b/>
          <w:sz w:val="22"/>
          <w:szCs w:val="22"/>
        </w:rPr>
      </w:pPr>
      <w:r>
        <w:rPr>
          <w:rFonts w:hAnsi="宋体" w:cs="Calibri"/>
          <w:b/>
          <w:sz w:val="22"/>
          <w:szCs w:val="22"/>
        </w:rPr>
        <w:t>3.4推荐中标候选人</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8"/>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8"/>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42"/>
      </w:pPr>
      <w:bookmarkStart w:id="84" w:name="_Toc321925457"/>
      <w:r>
        <w:t>第</w:t>
      </w:r>
      <w:r>
        <w:rPr>
          <w:rFonts w:hint="eastAsia"/>
        </w:rPr>
        <w:t>六</w:t>
      </w:r>
      <w:r>
        <w:t>章  投标文件格式</w:t>
      </w:r>
      <w:bookmarkEnd w:id="83"/>
      <w:bookmarkEnd w:id="84"/>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5" w:name="_Toc171421958"/>
      <w:r>
        <w:rPr>
          <w:rFonts w:cs="Calibri"/>
          <w:color w:val="000000"/>
        </w:rPr>
        <w:t>封面</w:t>
      </w:r>
      <w:bookmarkEnd w:id="8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7" w:firstLineChars="2235"/>
        <w:rPr>
          <w:rFonts w:cs="Calibri"/>
          <w:b/>
          <w:color w:val="000000"/>
          <w:sz w:val="22"/>
        </w:rPr>
      </w:pPr>
      <w:r>
        <w:rPr>
          <w:rFonts w:cs="Calibri"/>
          <w:b/>
          <w:color w:val="000000"/>
          <w:sz w:val="22"/>
        </w:rPr>
        <w:pict>
          <v:shape id="Text Box 6" o:spid="_x0000_s1027"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8"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8"/>
        <w:spacing w:after="120" w:afterLines="50" w:line="360" w:lineRule="auto"/>
        <w:jc w:val="left"/>
        <w:rPr>
          <w:rFonts w:hAnsi="宋体" w:cs="宋体"/>
          <w:b/>
        </w:rPr>
      </w:pPr>
      <w:r>
        <w:rPr>
          <w:rFonts w:hAnsi="宋体" w:cs="宋体"/>
          <w:b/>
        </w:rPr>
        <w:br w:type="page"/>
      </w:r>
      <w:bookmarkStart w:id="86" w:name="_Toc133214102"/>
      <w:bookmarkStart w:id="87" w:name="_Toc133214309"/>
      <w:bookmarkStart w:id="88" w:name="_Toc133470542"/>
      <w:bookmarkStart w:id="89" w:name="_Toc137373398"/>
      <w:bookmarkStart w:id="90" w:name="_Toc144265958"/>
    </w:p>
    <w:p>
      <w:pPr>
        <w:pStyle w:val="28"/>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8"/>
        <w:spacing w:after="120" w:afterLines="50" w:line="360" w:lineRule="auto"/>
        <w:jc w:val="center"/>
        <w:rPr>
          <w:rFonts w:hAnsi="宋体" w:cs="宋体"/>
        </w:rPr>
      </w:pPr>
    </w:p>
    <w:p>
      <w:pPr>
        <w:pStyle w:val="28"/>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6"/>
    <w:bookmarkEnd w:id="87"/>
    <w:bookmarkEnd w:id="88"/>
    <w:bookmarkEnd w:id="89"/>
    <w:bookmarkEnd w:id="90"/>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1" w:name="_Toc133214310"/>
      <w:bookmarkStart w:id="92" w:name="_Toc137373399"/>
      <w:bookmarkStart w:id="93" w:name="_Toc133470544"/>
      <w:bookmarkStart w:id="94" w:name="_Toc133214103"/>
    </w:p>
    <w:p>
      <w:pPr>
        <w:spacing w:line="360" w:lineRule="auto"/>
        <w:jc w:val="center"/>
        <w:rPr>
          <w:rFonts w:ascii="宋体" w:hAnsi="宋体" w:cs="宋体"/>
          <w:b/>
          <w:sz w:val="32"/>
          <w:szCs w:val="32"/>
        </w:rPr>
      </w:pPr>
      <w:bookmarkStart w:id="95" w:name="_Toc144265959"/>
      <w:r>
        <w:rPr>
          <w:rFonts w:hint="eastAsia" w:ascii="宋体" w:hAnsi="宋体" w:cs="宋体"/>
          <w:b/>
          <w:sz w:val="32"/>
          <w:szCs w:val="32"/>
        </w:rPr>
        <w:br w:type="page"/>
      </w:r>
    </w:p>
    <w:bookmarkEnd w:id="91"/>
    <w:bookmarkEnd w:id="92"/>
    <w:bookmarkEnd w:id="93"/>
    <w:bookmarkEnd w:id="94"/>
    <w:bookmarkEnd w:id="9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9"/>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4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9"/>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68"/>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7"/>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4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8"/>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4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8"/>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9"/>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r>
              <w:rPr>
                <w:rFonts w:hAnsi="宋体"/>
                <w:kern w:val="2"/>
                <w:sz w:val="21"/>
              </w:rPr>
              <w:t>序号</w:t>
            </w:r>
          </w:p>
        </w:tc>
        <w:tc>
          <w:tcPr>
            <w:tcW w:w="900" w:type="dxa"/>
            <w:vAlign w:val="center"/>
          </w:tcPr>
          <w:p>
            <w:pPr>
              <w:pStyle w:val="28"/>
              <w:adjustRightInd w:val="0"/>
              <w:snapToGrid w:val="0"/>
              <w:jc w:val="center"/>
              <w:rPr>
                <w:rFonts w:hAnsi="宋体"/>
                <w:kern w:val="2"/>
                <w:sz w:val="21"/>
              </w:rPr>
            </w:pPr>
            <w:r>
              <w:rPr>
                <w:rFonts w:hAnsi="宋体"/>
                <w:kern w:val="2"/>
                <w:sz w:val="21"/>
              </w:rPr>
              <w:t>内容</w:t>
            </w:r>
          </w:p>
        </w:tc>
        <w:tc>
          <w:tcPr>
            <w:tcW w:w="3510" w:type="dxa"/>
            <w:vAlign w:val="center"/>
          </w:tcPr>
          <w:p>
            <w:pPr>
              <w:pStyle w:val="28"/>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8"/>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8"/>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kern w:val="2"/>
                <w:sz w:val="21"/>
              </w:rPr>
            </w:pPr>
          </w:p>
        </w:tc>
        <w:tc>
          <w:tcPr>
            <w:tcW w:w="90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3510" w:type="dxa"/>
            <w:vAlign w:val="center"/>
          </w:tcPr>
          <w:p>
            <w:pPr>
              <w:pStyle w:val="28"/>
              <w:adjustRightInd w:val="0"/>
              <w:snapToGrid w:val="0"/>
              <w:jc w:val="center"/>
              <w:rPr>
                <w:rFonts w:hAnsi="宋体"/>
                <w:kern w:val="2"/>
                <w:sz w:val="21"/>
              </w:rPr>
            </w:pPr>
          </w:p>
        </w:tc>
        <w:tc>
          <w:tcPr>
            <w:tcW w:w="827" w:type="dxa"/>
            <w:vAlign w:val="center"/>
          </w:tcPr>
          <w:p>
            <w:pPr>
              <w:pStyle w:val="28"/>
              <w:adjustRightInd w:val="0"/>
              <w:snapToGrid w:val="0"/>
              <w:jc w:val="center"/>
              <w:rPr>
                <w:rFonts w:hAnsi="宋体"/>
                <w:kern w:val="2"/>
                <w:sz w:val="21"/>
              </w:rPr>
            </w:pPr>
          </w:p>
        </w:tc>
      </w:tr>
    </w:tbl>
    <w:p>
      <w:pPr>
        <w:pStyle w:val="28"/>
        <w:adjustRightInd w:val="0"/>
        <w:snapToGrid w:val="0"/>
        <w:spacing w:line="560" w:lineRule="exact"/>
        <w:rPr>
          <w:rFonts w:hAnsi="宋体"/>
          <w:bCs/>
          <w:sz w:val="24"/>
          <w:szCs w:val="24"/>
        </w:rPr>
      </w:pPr>
    </w:p>
    <w:p>
      <w:pPr>
        <w:pStyle w:val="28"/>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8"/>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w:t>
    </w:r>
    <w:r>
      <w:t xml:space="preserve"> 17 -</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5"/>
      </w:rPr>
    </w:pPr>
    <w:r>
      <w:fldChar w:fldCharType="begin"/>
    </w:r>
    <w:r>
      <w:rPr>
        <w:rStyle w:val="45"/>
      </w:rPr>
      <w:instrText xml:space="preserve">PAGE  </w:instrTex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杭州萧山国际机场T3航站楼座椅皮面采购项目招标文件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D3AC037"/>
    <w:multiLevelType w:val="singleLevel"/>
    <w:tmpl w:val="5D3AC037"/>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6">
    <w:nsid w:val="5D3AC058"/>
    <w:multiLevelType w:val="singleLevel"/>
    <w:tmpl w:val="5D3AC058"/>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8"/>
      <w:lvlText w:val=""/>
      <w:lvlJc w:val="left"/>
      <w:pPr>
        <w:tabs>
          <w:tab w:val="left" w:pos="3780"/>
        </w:tabs>
        <w:ind w:left="3780" w:hanging="420"/>
      </w:pPr>
      <w:rPr>
        <w:rFonts w:hint="default" w:ascii="Wingdings" w:hAnsi="Wingdings"/>
      </w:rPr>
    </w:lvl>
  </w:abstractNum>
  <w:num w:numId="1">
    <w:abstractNumId w:val="14"/>
  </w:num>
  <w:num w:numId="2">
    <w:abstractNumId w:val="15"/>
  </w:num>
  <w:num w:numId="3">
    <w:abstractNumId w:val="16"/>
  </w:num>
  <w:num w:numId="4">
    <w:abstractNumId w:val="17"/>
  </w:num>
  <w:num w:numId="5">
    <w:abstractNumId w:val="2"/>
  </w:num>
  <w:num w:numId="6">
    <w:abstractNumId w:val="13"/>
  </w:num>
  <w:num w:numId="7">
    <w:abstractNumId w:val="11"/>
  </w:num>
  <w:num w:numId="8">
    <w:abstractNumId w:val="5"/>
  </w:num>
  <w:num w:numId="9">
    <w:abstractNumId w:val="12"/>
  </w:num>
  <w:num w:numId="10">
    <w:abstractNumId w:val="1"/>
  </w:num>
  <w:num w:numId="11">
    <w:abstractNumId w:val="6"/>
  </w:num>
  <w:num w:numId="12">
    <w:abstractNumId w:val="8"/>
  </w:num>
  <w:num w:numId="13">
    <w:abstractNumId w:val="4"/>
  </w:num>
  <w:num w:numId="14">
    <w:abstractNumId w:val="0"/>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74A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0"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iPriority="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3">
    <w:name w:val="Default Paragraph Font"/>
    <w:unhideWhenUsed/>
    <w:uiPriority w:val="1"/>
  </w:style>
  <w:style w:type="table" w:default="1" w:styleId="4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110"/>
    <w:unhideWhenUsed/>
    <w:uiPriority w:val="0"/>
    <w:rPr>
      <w:rFonts w:ascii="Times New Roman" w:hAnsi="Times New Roman" w:eastAsia="宋体" w:cs="Times New Roman"/>
      <w:b/>
      <w:bCs/>
      <w:kern w:val="0"/>
      <w:sz w:val="20"/>
    </w:rPr>
  </w:style>
  <w:style w:type="paragraph" w:styleId="13">
    <w:name w:val="annotation text"/>
    <w:basedOn w:val="1"/>
    <w:link w:val="111"/>
    <w:unhideWhenUsed/>
    <w:uiPriority w:val="0"/>
    <w:pPr>
      <w:jc w:val="left"/>
    </w:pPr>
  </w:style>
  <w:style w:type="paragraph" w:styleId="14">
    <w:name w:val="Body Text First Indent"/>
    <w:basedOn w:val="15"/>
    <w:link w:val="102"/>
    <w:unhideWhenUsed/>
    <w:uiPriority w:val="99"/>
    <w:pPr>
      <w:ind w:firstLine="420" w:firstLineChars="100"/>
    </w:pPr>
    <w:rPr>
      <w:rFonts w:ascii="Times New Roman" w:hAnsi="Times New Roman"/>
      <w:kern w:val="0"/>
      <w:sz w:val="20"/>
    </w:rPr>
  </w:style>
  <w:style w:type="paragraph" w:styleId="15">
    <w:name w:val="Body Text"/>
    <w:basedOn w:val="1"/>
    <w:link w:val="105"/>
    <w:unhideWhenUsed/>
    <w:uiPriority w:val="0"/>
    <w:pPr>
      <w:spacing w:after="120"/>
    </w:pPr>
    <w:rPr>
      <w:rFonts w:ascii="Calibri" w:hAnsi="Calibri" w:eastAsia="宋体" w:cs="Times New Roman"/>
      <w:sz w:val="24"/>
      <w:szCs w:val="24"/>
    </w:rPr>
  </w:style>
  <w:style w:type="paragraph" w:styleId="16">
    <w:name w:val="table of authorities"/>
    <w:basedOn w:val="1"/>
    <w:next w:val="1"/>
    <w:unhideWhenUsed/>
    <w:uiPriority w:val="0"/>
    <w:pPr>
      <w:ind w:left="420" w:leftChars="200"/>
    </w:pPr>
    <w:rPr>
      <w:rFonts w:ascii="Times New Roman" w:hAnsi="Times New Roman" w:eastAsia="宋体" w:cs="Times New Roman"/>
      <w:szCs w:val="24"/>
    </w:rPr>
  </w:style>
  <w:style w:type="paragraph" w:styleId="17">
    <w:name w:val="Normal Indent"/>
    <w:basedOn w:val="1"/>
    <w:unhideWhenUsed/>
    <w:uiPriority w:val="0"/>
    <w:pPr>
      <w:ind w:firstLine="420"/>
    </w:pPr>
    <w:rPr>
      <w:rFonts w:ascii="Times New Roman" w:hAnsi="Times New Roman" w:eastAsia="宋体" w:cs="Times New Roman"/>
      <w:szCs w:val="20"/>
    </w:rPr>
  </w:style>
  <w:style w:type="paragraph" w:styleId="18">
    <w:name w:val="caption"/>
    <w:basedOn w:val="1"/>
    <w:next w:val="1"/>
    <w:unhideWhenUsed/>
    <w:qFormat/>
    <w:uiPriority w:val="0"/>
    <w:rPr>
      <w:rFonts w:ascii="Arial" w:hAnsi="Arial" w:eastAsia="黑体" w:cs="Arial"/>
      <w:sz w:val="20"/>
      <w:szCs w:val="20"/>
    </w:rPr>
  </w:style>
  <w:style w:type="paragraph" w:styleId="19">
    <w:name w:val="index 5"/>
    <w:basedOn w:val="1"/>
    <w:next w:val="1"/>
    <w:unhideWhenUsed/>
    <w:uiPriority w:val="0"/>
    <w:pPr>
      <w:ind w:left="800" w:leftChars="800"/>
    </w:pPr>
    <w:rPr>
      <w:rFonts w:ascii="Times New Roman" w:hAnsi="Times New Roman" w:eastAsia="宋体" w:cs="Times New Roman"/>
      <w:szCs w:val="24"/>
    </w:rPr>
  </w:style>
  <w:style w:type="paragraph" w:styleId="20">
    <w:name w:val="List Bullet"/>
    <w:basedOn w:val="1"/>
    <w:unhideWhenUsed/>
    <w:uiPriority w:val="0"/>
    <w:pPr>
      <w:numPr>
        <w:ilvl w:val="0"/>
        <w:numId w:val="2"/>
      </w:numPr>
    </w:pPr>
  </w:style>
  <w:style w:type="paragraph" w:styleId="21">
    <w:name w:val="Document Map"/>
    <w:basedOn w:val="1"/>
    <w:link w:val="76"/>
    <w:unhideWhenUsed/>
    <w:uiPriority w:val="0"/>
    <w:pPr>
      <w:shd w:val="clear" w:color="auto" w:fill="000080"/>
    </w:pPr>
    <w:rPr>
      <w:rFonts w:ascii="Times New Roman" w:hAnsi="Times New Roman" w:eastAsia="宋体" w:cs="Times New Roman"/>
      <w:kern w:val="0"/>
      <w:sz w:val="20"/>
    </w:rPr>
  </w:style>
  <w:style w:type="paragraph" w:styleId="22">
    <w:name w:val="Body Text 3"/>
    <w:basedOn w:val="1"/>
    <w:link w:val="91"/>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3">
    <w:name w:val="Body Text Indent"/>
    <w:basedOn w:val="1"/>
    <w:link w:val="87"/>
    <w:unhideWhenUsed/>
    <w:uiPriority w:val="0"/>
    <w:pPr>
      <w:ind w:firstLine="560" w:firstLineChars="200"/>
    </w:pPr>
    <w:rPr>
      <w:rFonts w:ascii="宋体" w:hAnsi="宋体" w:eastAsia="宋体" w:cs="Times New Roman"/>
      <w:kern w:val="0"/>
      <w:sz w:val="28"/>
      <w:szCs w:val="28"/>
    </w:rPr>
  </w:style>
  <w:style w:type="paragraph" w:styleId="24">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5">
    <w:name w:val="List Continue"/>
    <w:basedOn w:val="1"/>
    <w:unhideWhenUsed/>
    <w:uiPriority w:val="0"/>
    <w:pPr>
      <w:spacing w:after="120"/>
      <w:ind w:left="420" w:leftChars="200"/>
    </w:pPr>
    <w:rPr>
      <w:rFonts w:ascii="Times New Roman" w:hAnsi="Times New Roman" w:eastAsia="宋体" w:cs="Times New Roman"/>
      <w:szCs w:val="24"/>
    </w:rPr>
  </w:style>
  <w:style w:type="paragraph" w:styleId="26">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unhideWhenUsed/>
    <w:uiPriority w:val="0"/>
    <w:pPr>
      <w:numPr>
        <w:ilvl w:val="0"/>
        <w:numId w:val="3"/>
      </w:numPr>
    </w:pPr>
  </w:style>
  <w:style w:type="paragraph" w:styleId="28">
    <w:name w:val="Plain Text"/>
    <w:basedOn w:val="1"/>
    <w:link w:val="80"/>
    <w:unhideWhenUsed/>
    <w:uiPriority w:val="0"/>
    <w:rPr>
      <w:rFonts w:ascii="宋体" w:hAnsi="Courier New" w:eastAsia="宋体" w:cs="Times New Roman"/>
      <w:kern w:val="0"/>
      <w:sz w:val="20"/>
      <w:szCs w:val="21"/>
    </w:rPr>
  </w:style>
  <w:style w:type="paragraph" w:styleId="29">
    <w:name w:val="Date"/>
    <w:basedOn w:val="1"/>
    <w:next w:val="1"/>
    <w:link w:val="70"/>
    <w:unhideWhenUsed/>
    <w:uiPriority w:val="0"/>
    <w:pPr>
      <w:ind w:left="100" w:leftChars="2500"/>
    </w:pPr>
    <w:rPr>
      <w:rFonts w:ascii="Times New Roman" w:hAnsi="Times New Roman" w:eastAsia="宋体" w:cs="Times New Roman"/>
      <w:kern w:val="0"/>
      <w:sz w:val="20"/>
    </w:rPr>
  </w:style>
  <w:style w:type="paragraph" w:styleId="30">
    <w:name w:val="Body Text Indent 2"/>
    <w:basedOn w:val="1"/>
    <w:link w:val="108"/>
    <w:unhideWhenUsed/>
    <w:uiPriority w:val="0"/>
    <w:pPr>
      <w:spacing w:after="120" w:line="480" w:lineRule="auto"/>
      <w:ind w:left="420" w:leftChars="200"/>
    </w:pPr>
    <w:rPr>
      <w:rFonts w:ascii="Times New Roman" w:hAnsi="Times New Roman" w:eastAsia="宋体" w:cs="Times New Roman"/>
      <w:kern w:val="0"/>
      <w:sz w:val="20"/>
    </w:rPr>
  </w:style>
  <w:style w:type="paragraph" w:styleId="31">
    <w:name w:val="Balloon Text"/>
    <w:basedOn w:val="1"/>
    <w:link w:val="72"/>
    <w:unhideWhenUsed/>
    <w:uiPriority w:val="0"/>
    <w:rPr>
      <w:rFonts w:ascii="Times New Roman" w:hAnsi="Times New Roman" w:eastAsia="宋体" w:cs="Times New Roman"/>
      <w:kern w:val="0"/>
      <w:sz w:val="18"/>
      <w:szCs w:val="18"/>
    </w:rPr>
  </w:style>
  <w:style w:type="paragraph" w:styleId="32">
    <w:name w:val="footer"/>
    <w:basedOn w:val="1"/>
    <w:link w:val="97"/>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3">
    <w:name w:val="Body Text First Indent 2"/>
    <w:basedOn w:val="23"/>
    <w:link w:val="85"/>
    <w:unhideWhenUsed/>
    <w:uiPriority w:val="99"/>
    <w:pPr>
      <w:spacing w:after="120"/>
      <w:ind w:left="420" w:leftChars="200" w:firstLine="420"/>
    </w:pPr>
    <w:rPr>
      <w:szCs w:val="22"/>
    </w:rPr>
  </w:style>
  <w:style w:type="paragraph" w:styleId="34">
    <w:name w:val="header"/>
    <w:basedOn w:val="1"/>
    <w:link w:val="95"/>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5">
    <w:name w:val="List"/>
    <w:basedOn w:val="1"/>
    <w:unhideWhenUsed/>
    <w:uiPriority w:val="0"/>
    <w:pPr>
      <w:ind w:left="200" w:hanging="200" w:hangingChars="200"/>
    </w:pPr>
    <w:rPr>
      <w:rFonts w:ascii="Times New Roman" w:hAnsi="Times New Roman" w:eastAsia="宋体" w:cs="Times New Roman"/>
      <w:szCs w:val="24"/>
    </w:rPr>
  </w:style>
  <w:style w:type="paragraph" w:styleId="36">
    <w:name w:val="Body Text Indent 3"/>
    <w:basedOn w:val="1"/>
    <w:link w:val="100"/>
    <w:unhideWhenUsed/>
    <w:uiPriority w:val="0"/>
    <w:pPr>
      <w:spacing w:after="120"/>
      <w:ind w:left="420" w:leftChars="200"/>
    </w:pPr>
    <w:rPr>
      <w:rFonts w:ascii="Times New Roman" w:hAnsi="Times New Roman" w:eastAsia="宋体" w:cs="Times New Roman"/>
      <w:kern w:val="0"/>
      <w:sz w:val="16"/>
      <w:szCs w:val="16"/>
    </w:rPr>
  </w:style>
  <w:style w:type="paragraph" w:styleId="37">
    <w:name w:val="Body Text 2"/>
    <w:basedOn w:val="1"/>
    <w:link w:val="74"/>
    <w:unhideWhenUsed/>
    <w:uiPriority w:val="0"/>
    <w:pPr>
      <w:spacing w:after="120" w:line="480" w:lineRule="auto"/>
    </w:pPr>
    <w:rPr>
      <w:rFonts w:ascii="Times New Roman" w:hAnsi="Times New Roman" w:eastAsia="宋体" w:cs="Times New Roman"/>
      <w:kern w:val="0"/>
      <w:sz w:val="20"/>
    </w:rPr>
  </w:style>
  <w:style w:type="paragraph" w:styleId="38">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39">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0">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1">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42">
    <w:name w:val="Title"/>
    <w:basedOn w:val="1"/>
    <w:next w:val="1"/>
    <w:link w:val="114"/>
    <w:qFormat/>
    <w:uiPriority w:val="0"/>
    <w:pPr>
      <w:spacing w:before="60" w:after="60"/>
      <w:jc w:val="center"/>
      <w:outlineLvl w:val="0"/>
    </w:pPr>
    <w:rPr>
      <w:rFonts w:ascii="Cambria" w:hAnsi="Cambria" w:eastAsia="黑体" w:cs="Times New Roman"/>
      <w:b/>
      <w:bCs/>
      <w:kern w:val="0"/>
      <w:sz w:val="32"/>
      <w:szCs w:val="32"/>
    </w:rPr>
  </w:style>
  <w:style w:type="character" w:styleId="44">
    <w:name w:val="Strong"/>
    <w:qFormat/>
    <w:uiPriority w:val="0"/>
    <w:rPr>
      <w:rFonts w:asciiTheme="minorHAnsi" w:hAnsiTheme="minorHAnsi" w:eastAsiaTheme="minorEastAsia" w:cstheme="minorBidi"/>
      <w:b/>
      <w:bCs/>
      <w:kern w:val="2"/>
      <w:sz w:val="21"/>
      <w:szCs w:val="22"/>
      <w:lang w:val="en-US" w:eastAsia="zh-CN" w:bidi="ar-SA"/>
    </w:rPr>
  </w:style>
  <w:style w:type="character" w:styleId="45">
    <w:name w:val="page number"/>
    <w:basedOn w:val="43"/>
    <w:unhideWhenUsed/>
    <w:uiPriority w:val="0"/>
    <w:rPr>
      <w:rFonts w:asciiTheme="minorHAnsi" w:hAnsiTheme="minorHAnsi" w:eastAsiaTheme="minorEastAsia" w:cstheme="minorBidi"/>
      <w:kern w:val="2"/>
      <w:sz w:val="21"/>
      <w:szCs w:val="22"/>
      <w:lang w:val="en-US" w:eastAsia="zh-CN" w:bidi="ar-SA"/>
    </w:rPr>
  </w:style>
  <w:style w:type="character" w:styleId="46">
    <w:name w:val="FollowedHyperlink"/>
    <w:basedOn w:val="43"/>
    <w:unhideWhenUsed/>
    <w:uiPriority w:val="99"/>
    <w:rPr>
      <w:rFonts w:asciiTheme="minorHAnsi" w:hAnsiTheme="minorHAnsi" w:eastAsiaTheme="minorEastAsia" w:cstheme="minorBidi"/>
      <w:color w:val="954F72" w:themeColor="followedHyperlink"/>
      <w:kern w:val="2"/>
      <w:sz w:val="21"/>
      <w:szCs w:val="22"/>
      <w:u w:val="single"/>
      <w:lang w:val="en-US" w:eastAsia="zh-CN" w:bidi="ar-SA"/>
      <w14:textFill>
        <w14:solidFill>
          <w14:schemeClr w14:val="folHlink"/>
        </w14:solidFill>
      </w14:textFill>
    </w:rPr>
  </w:style>
  <w:style w:type="character" w:styleId="47">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48">
    <w:name w:val="annotation reference"/>
    <w:unhideWhenUsed/>
    <w:uiPriority w:val="0"/>
    <w:rPr>
      <w:rFonts w:asciiTheme="minorHAnsi" w:hAnsiTheme="minorHAnsi" w:eastAsiaTheme="minorEastAsia" w:cstheme="minorBidi"/>
      <w:kern w:val="2"/>
      <w:sz w:val="21"/>
      <w:szCs w:val="21"/>
      <w:lang w:val="en-US" w:eastAsia="zh-CN" w:bidi="ar-SA"/>
    </w:rPr>
  </w:style>
  <w:style w:type="character" w:customStyle="1" w:styleId="50">
    <w:name w:val="标题 1 字符"/>
    <w:basedOn w:val="43"/>
    <w:uiPriority w:val="9"/>
    <w:rPr>
      <w:rFonts w:asciiTheme="minorHAnsi" w:hAnsiTheme="minorHAnsi" w:eastAsiaTheme="minorEastAsia" w:cstheme="minorBidi"/>
      <w:b/>
      <w:bCs/>
      <w:kern w:val="44"/>
      <w:sz w:val="44"/>
      <w:szCs w:val="44"/>
      <w:lang w:val="en-US" w:eastAsia="zh-CN" w:bidi="ar-SA"/>
    </w:rPr>
  </w:style>
  <w:style w:type="character" w:customStyle="1" w:styleId="51">
    <w:name w:val="标题 2 字符"/>
    <w:basedOn w:val="43"/>
    <w:semiHidden/>
    <w:uiPriority w:val="9"/>
    <w:rPr>
      <w:rFonts w:asciiTheme="majorHAnsi" w:hAnsiTheme="majorHAnsi" w:eastAsiaTheme="majorEastAsia" w:cstheme="majorBidi"/>
      <w:b/>
      <w:bCs/>
      <w:kern w:val="2"/>
      <w:sz w:val="32"/>
      <w:szCs w:val="32"/>
      <w:lang w:val="en-US" w:eastAsia="zh-CN" w:bidi="ar-SA"/>
    </w:rPr>
  </w:style>
  <w:style w:type="character" w:customStyle="1" w:styleId="52">
    <w:name w:val="标题 3 字符"/>
    <w:basedOn w:val="43"/>
    <w:semiHidden/>
    <w:uiPriority w:val="9"/>
    <w:rPr>
      <w:rFonts w:asciiTheme="minorHAnsi" w:hAnsiTheme="minorHAnsi" w:eastAsiaTheme="minorEastAsia" w:cstheme="minorBidi"/>
      <w:b/>
      <w:bCs/>
      <w:kern w:val="2"/>
      <w:sz w:val="32"/>
      <w:szCs w:val="32"/>
      <w:lang w:val="en-US" w:eastAsia="zh-CN" w:bidi="ar-SA"/>
    </w:rPr>
  </w:style>
  <w:style w:type="character" w:customStyle="1" w:styleId="53">
    <w:name w:val="标题 4 字符"/>
    <w:basedOn w:val="43"/>
    <w:semiHidden/>
    <w:uiPriority w:val="9"/>
    <w:rPr>
      <w:rFonts w:asciiTheme="majorHAnsi" w:hAnsiTheme="majorHAnsi" w:eastAsiaTheme="majorEastAsia" w:cstheme="majorBidi"/>
      <w:b/>
      <w:bCs/>
      <w:kern w:val="2"/>
      <w:sz w:val="28"/>
      <w:szCs w:val="28"/>
      <w:lang w:val="en-US" w:eastAsia="zh-CN" w:bidi="ar-SA"/>
    </w:rPr>
  </w:style>
  <w:style w:type="character" w:customStyle="1" w:styleId="54">
    <w:name w:val="标题 5 字符"/>
    <w:basedOn w:val="43"/>
    <w:semiHidden/>
    <w:uiPriority w:val="9"/>
    <w:rPr>
      <w:rFonts w:asciiTheme="minorHAnsi" w:hAnsiTheme="minorHAnsi" w:eastAsiaTheme="minorEastAsia" w:cstheme="minorBidi"/>
      <w:b/>
      <w:bCs/>
      <w:kern w:val="2"/>
      <w:sz w:val="28"/>
      <w:szCs w:val="28"/>
      <w:lang w:val="en-US" w:eastAsia="zh-CN" w:bidi="ar-SA"/>
    </w:rPr>
  </w:style>
  <w:style w:type="character" w:customStyle="1" w:styleId="55">
    <w:name w:val="标题 6 字符"/>
    <w:basedOn w:val="43"/>
    <w:semiHidden/>
    <w:uiPriority w:val="9"/>
    <w:rPr>
      <w:rFonts w:asciiTheme="majorHAnsi" w:hAnsiTheme="majorHAnsi" w:eastAsiaTheme="majorEastAsia" w:cstheme="majorBidi"/>
      <w:b/>
      <w:bCs/>
      <w:kern w:val="2"/>
      <w:sz w:val="24"/>
      <w:szCs w:val="24"/>
      <w:lang w:val="en-US" w:eastAsia="zh-CN" w:bidi="ar-SA"/>
    </w:rPr>
  </w:style>
  <w:style w:type="character" w:customStyle="1" w:styleId="56">
    <w:name w:val="标题 7 字符"/>
    <w:basedOn w:val="43"/>
    <w:semiHidden/>
    <w:uiPriority w:val="9"/>
    <w:rPr>
      <w:rFonts w:asciiTheme="minorHAnsi" w:hAnsiTheme="minorHAnsi" w:eastAsiaTheme="minorEastAsia" w:cstheme="minorBidi"/>
      <w:b/>
      <w:bCs/>
      <w:kern w:val="2"/>
      <w:sz w:val="24"/>
      <w:szCs w:val="24"/>
      <w:lang w:val="en-US" w:eastAsia="zh-CN" w:bidi="ar-SA"/>
    </w:rPr>
  </w:style>
  <w:style w:type="character" w:customStyle="1" w:styleId="57">
    <w:name w:val="标题 8 字符"/>
    <w:basedOn w:val="43"/>
    <w:semiHidden/>
    <w:uiPriority w:val="9"/>
    <w:rPr>
      <w:rFonts w:asciiTheme="majorHAnsi" w:hAnsiTheme="majorHAnsi" w:eastAsiaTheme="majorEastAsia" w:cstheme="majorBidi"/>
      <w:kern w:val="2"/>
      <w:sz w:val="24"/>
      <w:szCs w:val="24"/>
      <w:lang w:val="en-US" w:eastAsia="zh-CN" w:bidi="ar-SA"/>
    </w:rPr>
  </w:style>
  <w:style w:type="character" w:customStyle="1" w:styleId="58">
    <w:name w:val="标题 9 字符"/>
    <w:basedOn w:val="43"/>
    <w:semiHidden/>
    <w:uiPriority w:val="9"/>
    <w:rPr>
      <w:rFonts w:asciiTheme="majorHAnsi" w:hAnsiTheme="majorHAnsi" w:eastAsiaTheme="majorEastAsia" w:cstheme="majorBidi"/>
      <w:kern w:val="2"/>
      <w:sz w:val="21"/>
      <w:szCs w:val="21"/>
      <w:lang w:val="en-US" w:eastAsia="zh-CN" w:bidi="ar-SA"/>
    </w:rPr>
  </w:style>
  <w:style w:type="character" w:customStyle="1" w:styleId="59">
    <w:name w:val="标题 1 字符1"/>
    <w:link w:val="2"/>
    <w:uiPriority w:val="0"/>
    <w:rPr>
      <w:rFonts w:ascii="Times New Roman" w:hAnsi="Times New Roman" w:eastAsia="宋体" w:cs="Times New Roman"/>
      <w:b/>
      <w:bCs/>
      <w:kern w:val="44"/>
      <w:sz w:val="30"/>
      <w:szCs w:val="44"/>
      <w:lang w:val="en-US" w:eastAsia="zh-CN" w:bidi="ar-SA"/>
    </w:rPr>
  </w:style>
  <w:style w:type="character" w:customStyle="1" w:styleId="60">
    <w:name w:val="标题 2 字符1"/>
    <w:link w:val="3"/>
    <w:uiPriority w:val="0"/>
    <w:rPr>
      <w:rFonts w:ascii="Arial" w:hAnsi="Arial" w:eastAsia="宋体" w:cs="Times New Roman"/>
      <w:b/>
      <w:bCs/>
      <w:kern w:val="0"/>
      <w:sz w:val="28"/>
      <w:szCs w:val="32"/>
      <w:lang w:val="en-US" w:eastAsia="zh-CN" w:bidi="ar-SA"/>
    </w:rPr>
  </w:style>
  <w:style w:type="character" w:customStyle="1" w:styleId="61">
    <w:name w:val="标题 3 字符1"/>
    <w:link w:val="4"/>
    <w:uiPriority w:val="0"/>
    <w:rPr>
      <w:rFonts w:ascii="宋体" w:hAnsi="Times New Roman" w:eastAsia="宋体" w:cs="Times New Roman"/>
      <w:b/>
      <w:kern w:val="0"/>
      <w:sz w:val="28"/>
      <w:szCs w:val="20"/>
      <w:lang w:val="en-US" w:eastAsia="zh-CN" w:bidi="ar-SA"/>
    </w:rPr>
  </w:style>
  <w:style w:type="character" w:customStyle="1" w:styleId="62">
    <w:name w:val="标题 4 字符1"/>
    <w:link w:val="5"/>
    <w:uiPriority w:val="0"/>
    <w:rPr>
      <w:rFonts w:ascii="Arial" w:hAnsi="Arial" w:eastAsia="黑体" w:cs="Times New Roman"/>
      <w:b/>
      <w:bCs/>
      <w:kern w:val="0"/>
      <w:sz w:val="28"/>
      <w:szCs w:val="28"/>
      <w:lang w:val="en-US" w:eastAsia="zh-CN" w:bidi="ar-SA"/>
    </w:rPr>
  </w:style>
  <w:style w:type="character" w:customStyle="1" w:styleId="63">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1"/>
    <w:link w:val="7"/>
    <w:qFormat/>
    <w:uiPriority w:val="0"/>
    <w:rPr>
      <w:rFonts w:ascii="Arial" w:hAnsi="Arial" w:eastAsia="黑体" w:cs="Times New Roman"/>
      <w:b/>
      <w:bCs/>
      <w:kern w:val="0"/>
      <w:sz w:val="24"/>
      <w:szCs w:val="24"/>
      <w:lang w:val="en-US" w:eastAsia="zh-CN" w:bidi="ar-SA"/>
    </w:rPr>
  </w:style>
  <w:style w:type="character" w:customStyle="1" w:styleId="65">
    <w:name w:val="标题 7 字符1"/>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字符1"/>
    <w:link w:val="9"/>
    <w:qFormat/>
    <w:uiPriority w:val="0"/>
    <w:rPr>
      <w:rFonts w:ascii="Arial" w:hAnsi="Arial" w:eastAsia="黑体" w:cs="Times New Roman"/>
      <w:kern w:val="0"/>
      <w:sz w:val="24"/>
      <w:szCs w:val="24"/>
      <w:lang w:val="en-US" w:eastAsia="zh-CN" w:bidi="ar-SA"/>
    </w:rPr>
  </w:style>
  <w:style w:type="character" w:customStyle="1" w:styleId="67">
    <w:name w:val="标题 9 字符1"/>
    <w:link w:val="10"/>
    <w:qFormat/>
    <w:uiPriority w:val="0"/>
    <w:rPr>
      <w:rFonts w:ascii="Arial" w:hAnsi="Arial" w:eastAsia="黑体" w:cs="Times New Roman"/>
      <w:kern w:val="0"/>
      <w:sz w:val="20"/>
      <w:szCs w:val="21"/>
      <w:lang w:val="en-US" w:eastAsia="zh-CN" w:bidi="ar-SA"/>
    </w:rPr>
  </w:style>
  <w:style w:type="paragraph" w:customStyle="1" w:styleId="68">
    <w:name w:val="_Style 30"/>
    <w:basedOn w:val="1"/>
    <w:next w:val="69"/>
    <w:qFormat/>
    <w:uiPriority w:val="0"/>
    <w:pPr>
      <w:ind w:firstLine="420" w:firstLineChars="200"/>
    </w:pPr>
    <w:rPr>
      <w:rFonts w:ascii="Times New Roman" w:hAnsi="Times New Roman" w:eastAsia="宋体" w:cs="Times New Roman"/>
      <w:szCs w:val="20"/>
    </w:rPr>
  </w:style>
  <w:style w:type="paragraph" w:customStyle="1" w:styleId="69">
    <w:name w:val="List Paragraph"/>
    <w:basedOn w:val="1"/>
    <w:qFormat/>
    <w:uiPriority w:val="34"/>
    <w:pPr>
      <w:ind w:firstLine="420" w:firstLineChars="200"/>
    </w:pPr>
  </w:style>
  <w:style w:type="character" w:customStyle="1" w:styleId="70">
    <w:name w:val="日期 字符1"/>
    <w:link w:val="29"/>
    <w:qFormat/>
    <w:uiPriority w:val="0"/>
    <w:rPr>
      <w:rFonts w:ascii="Times New Roman" w:hAnsi="Times New Roman" w:eastAsia="宋体" w:cs="Times New Roman"/>
      <w:kern w:val="0"/>
      <w:sz w:val="20"/>
      <w:szCs w:val="22"/>
      <w:lang w:val="en-US" w:eastAsia="zh-CN" w:bidi="ar-SA"/>
    </w:rPr>
  </w:style>
  <w:style w:type="character" w:customStyle="1" w:styleId="71">
    <w:name w:val="日期 字符"/>
    <w:basedOn w:val="43"/>
    <w:semiHidden/>
    <w:qFormat/>
    <w:uiPriority w:val="99"/>
    <w:rPr>
      <w:rFonts w:asciiTheme="minorHAnsi" w:hAnsiTheme="minorHAnsi" w:eastAsiaTheme="minorEastAsia" w:cstheme="minorBidi"/>
      <w:kern w:val="2"/>
      <w:sz w:val="21"/>
      <w:szCs w:val="22"/>
      <w:lang w:val="en-US" w:eastAsia="zh-CN" w:bidi="ar-SA"/>
    </w:rPr>
  </w:style>
  <w:style w:type="character" w:customStyle="1" w:styleId="72">
    <w:name w:val="批注框文本 字符1"/>
    <w:link w:val="31"/>
    <w:semiHidden/>
    <w:qFormat/>
    <w:uiPriority w:val="0"/>
    <w:rPr>
      <w:rFonts w:ascii="Times New Roman" w:hAnsi="Times New Roman" w:eastAsia="宋体" w:cs="Times New Roman"/>
      <w:kern w:val="0"/>
      <w:sz w:val="18"/>
      <w:szCs w:val="18"/>
      <w:lang w:val="en-US" w:eastAsia="zh-CN" w:bidi="ar-SA"/>
    </w:rPr>
  </w:style>
  <w:style w:type="character" w:customStyle="1" w:styleId="73">
    <w:name w:val="批注框文本 字符"/>
    <w:basedOn w:val="43"/>
    <w:semiHidden/>
    <w:qFormat/>
    <w:uiPriority w:val="99"/>
    <w:rPr>
      <w:rFonts w:asciiTheme="minorHAnsi" w:hAnsiTheme="minorHAnsi" w:eastAsiaTheme="minorEastAsia" w:cstheme="minorBidi"/>
      <w:kern w:val="2"/>
      <w:sz w:val="18"/>
      <w:szCs w:val="18"/>
      <w:lang w:val="en-US" w:eastAsia="zh-CN" w:bidi="ar-SA"/>
    </w:rPr>
  </w:style>
  <w:style w:type="character" w:customStyle="1" w:styleId="74">
    <w:name w:val="正文文本 2 字符1"/>
    <w:link w:val="37"/>
    <w:qFormat/>
    <w:uiPriority w:val="0"/>
    <w:rPr>
      <w:rFonts w:ascii="Times New Roman" w:hAnsi="Times New Roman" w:eastAsia="宋体" w:cs="Times New Roman"/>
      <w:kern w:val="0"/>
      <w:sz w:val="20"/>
      <w:szCs w:val="22"/>
      <w:lang w:val="en-US" w:eastAsia="zh-CN" w:bidi="ar-SA"/>
    </w:rPr>
  </w:style>
  <w:style w:type="character" w:customStyle="1" w:styleId="75">
    <w:name w:val="正文文本 2 字符"/>
    <w:basedOn w:val="43"/>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文档结构图 字符1"/>
    <w:link w:val="21"/>
    <w:qFormat/>
    <w:uiPriority w:val="0"/>
    <w:rPr>
      <w:rFonts w:ascii="Times New Roman" w:hAnsi="Times New Roman" w:eastAsia="宋体" w:cs="Times New Roman"/>
      <w:kern w:val="0"/>
      <w:sz w:val="20"/>
      <w:szCs w:val="22"/>
      <w:lang w:val="en-US" w:eastAsia="zh-CN" w:bidi="ar-SA"/>
    </w:rPr>
  </w:style>
  <w:style w:type="character" w:customStyle="1" w:styleId="77">
    <w:name w:val="文档结构图 字符"/>
    <w:basedOn w:val="43"/>
    <w:semiHidden/>
    <w:qFormat/>
    <w:uiPriority w:val="99"/>
    <w:rPr>
      <w:rFonts w:ascii="Microsoft YaHei UI" w:eastAsia="Microsoft YaHei UI" w:hAnsiTheme="minorHAnsi" w:cstheme="minorBidi"/>
      <w:kern w:val="2"/>
      <w:sz w:val="18"/>
      <w:szCs w:val="18"/>
      <w:lang w:val="en-US" w:eastAsia="zh-CN" w:bidi="ar-SA"/>
    </w:rPr>
  </w:style>
  <w:style w:type="character" w:customStyle="1" w:styleId="78">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9">
    <w:name w:val="Char Char"/>
    <w:qFormat/>
    <w:uiPriority w:val="0"/>
    <w:rPr>
      <w:rFonts w:ascii="宋体" w:hAnsi="Courier New" w:eastAsia="宋体" w:cs="Courier New"/>
      <w:kern w:val="2"/>
      <w:sz w:val="21"/>
      <w:szCs w:val="21"/>
      <w:lang w:val="en-US" w:eastAsia="zh-CN" w:bidi="ar-SA"/>
    </w:rPr>
  </w:style>
  <w:style w:type="character" w:customStyle="1" w:styleId="80">
    <w:name w:val="纯文本 字符1"/>
    <w:link w:val="28"/>
    <w:qFormat/>
    <w:uiPriority w:val="0"/>
    <w:rPr>
      <w:rFonts w:ascii="宋体" w:hAnsi="Courier New" w:eastAsia="宋体" w:cs="Times New Roman"/>
      <w:kern w:val="0"/>
      <w:sz w:val="20"/>
      <w:szCs w:val="21"/>
      <w:lang w:val="en-US" w:eastAsia="zh-CN" w:bidi="ar-SA"/>
    </w:rPr>
  </w:style>
  <w:style w:type="character" w:customStyle="1" w:styleId="81">
    <w:name w:val="纯文本 字符"/>
    <w:basedOn w:val="43"/>
    <w:semiHidden/>
    <w:qFormat/>
    <w:uiPriority w:val="99"/>
    <w:rPr>
      <w:rFonts w:hAnsi="Courier New" w:cs="Courier New" w:asciiTheme="minorEastAsia" w:eastAsiaTheme="minorEastAsia"/>
      <w:kern w:val="2"/>
      <w:sz w:val="21"/>
      <w:szCs w:val="22"/>
      <w:lang w:val="en-US" w:eastAsia="zh-CN" w:bidi="ar-SA"/>
    </w:rPr>
  </w:style>
  <w:style w:type="character" w:customStyle="1" w:styleId="82">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3">
    <w:name w:val="Char Char3"/>
    <w:qFormat/>
    <w:uiPriority w:val="0"/>
    <w:rPr>
      <w:rFonts w:eastAsia="宋体" w:asciiTheme="minorHAnsi" w:hAnsiTheme="minorHAnsi" w:cstheme="minorBidi"/>
      <w:kern w:val="2"/>
      <w:sz w:val="18"/>
      <w:szCs w:val="18"/>
      <w:lang w:val="en-US" w:eastAsia="zh-CN" w:bidi="ar-SA"/>
    </w:rPr>
  </w:style>
  <w:style w:type="character" w:customStyle="1" w:styleId="84">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85">
    <w:name w:val="正文文本首行缩进 2 字符1"/>
    <w:link w:val="33"/>
    <w:qFormat/>
    <w:uiPriority w:val="0"/>
    <w:rPr>
      <w:rFonts w:asciiTheme="minorHAnsi" w:hAnsiTheme="minorHAnsi" w:eastAsiaTheme="minorEastAsia" w:cstheme="minorBidi"/>
      <w:kern w:val="2"/>
      <w:sz w:val="21"/>
      <w:szCs w:val="22"/>
      <w:lang w:val="en-US" w:eastAsia="zh-CN" w:bidi="ar-SA"/>
    </w:rPr>
  </w:style>
  <w:style w:type="character" w:customStyle="1" w:styleId="86">
    <w:name w:val="正文文本缩进 字符"/>
    <w:basedOn w:val="43"/>
    <w:semiHidden/>
    <w:qFormat/>
    <w:uiPriority w:val="99"/>
    <w:rPr>
      <w:rFonts w:asciiTheme="minorHAnsi" w:hAnsiTheme="minorHAnsi" w:eastAsiaTheme="minorEastAsia" w:cstheme="minorBidi"/>
      <w:kern w:val="2"/>
      <w:sz w:val="21"/>
      <w:szCs w:val="22"/>
      <w:lang w:val="en-US" w:eastAsia="zh-CN" w:bidi="ar-SA"/>
    </w:rPr>
  </w:style>
  <w:style w:type="character" w:customStyle="1" w:styleId="87">
    <w:name w:val="正文文本缩进 字符1"/>
    <w:link w:val="23"/>
    <w:qFormat/>
    <w:uiPriority w:val="0"/>
    <w:rPr>
      <w:rFonts w:ascii="宋体" w:hAnsi="宋体" w:eastAsia="宋体" w:cs="Times New Roman"/>
      <w:kern w:val="0"/>
      <w:sz w:val="28"/>
      <w:szCs w:val="28"/>
      <w:lang w:val="en-US" w:eastAsia="zh-CN" w:bidi="ar-SA"/>
    </w:rPr>
  </w:style>
  <w:style w:type="character" w:customStyle="1" w:styleId="88">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9">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0">
    <w:name w:val="zbggmain style9"/>
    <w:basedOn w:val="43"/>
    <w:qFormat/>
    <w:uiPriority w:val="0"/>
    <w:rPr>
      <w:rFonts w:asciiTheme="minorHAnsi" w:hAnsiTheme="minorHAnsi" w:eastAsiaTheme="minorEastAsia" w:cstheme="minorBidi"/>
      <w:kern w:val="2"/>
      <w:sz w:val="21"/>
      <w:szCs w:val="22"/>
      <w:lang w:val="en-US" w:eastAsia="zh-CN" w:bidi="ar-SA"/>
    </w:rPr>
  </w:style>
  <w:style w:type="character" w:customStyle="1" w:styleId="91">
    <w:name w:val="正文文本 3 字符1"/>
    <w:link w:val="22"/>
    <w:qFormat/>
    <w:uiPriority w:val="0"/>
    <w:rPr>
      <w:rFonts w:ascii="Times New Roman" w:hAnsi="Times New Roman" w:eastAsia="宋体" w:cs="Times New Roman"/>
      <w:kern w:val="0"/>
      <w:sz w:val="16"/>
      <w:szCs w:val="16"/>
      <w:lang w:val="en-US" w:eastAsia="zh-CN" w:bidi="ar-SA"/>
    </w:rPr>
  </w:style>
  <w:style w:type="character" w:customStyle="1" w:styleId="92">
    <w:name w:val="正文文本 3 字符"/>
    <w:basedOn w:val="43"/>
    <w:semiHidden/>
    <w:qFormat/>
    <w:uiPriority w:val="99"/>
    <w:rPr>
      <w:rFonts w:asciiTheme="minorHAnsi" w:hAnsiTheme="minorHAnsi" w:eastAsiaTheme="minorEastAsia" w:cstheme="minorBidi"/>
      <w:kern w:val="2"/>
      <w:sz w:val="16"/>
      <w:szCs w:val="16"/>
      <w:lang w:val="en-US" w:eastAsia="zh-CN" w:bidi="ar-SA"/>
    </w:rPr>
  </w:style>
  <w:style w:type="character" w:customStyle="1" w:styleId="93">
    <w:name w:val="px1233"/>
    <w:basedOn w:val="43"/>
    <w:qFormat/>
    <w:uiPriority w:val="0"/>
    <w:rPr>
      <w:rFonts w:asciiTheme="minorHAnsi" w:hAnsiTheme="minorHAnsi" w:eastAsiaTheme="minorEastAsia" w:cstheme="minorBidi"/>
      <w:kern w:val="2"/>
      <w:sz w:val="21"/>
      <w:szCs w:val="22"/>
      <w:lang w:val="en-US" w:eastAsia="zh-CN" w:bidi="ar-SA"/>
    </w:rPr>
  </w:style>
  <w:style w:type="character" w:customStyle="1" w:styleId="94">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5">
    <w:name w:val="页眉 字符1"/>
    <w:link w:val="34"/>
    <w:qFormat/>
    <w:uiPriority w:val="0"/>
    <w:rPr>
      <w:rFonts w:ascii="Times New Roman" w:hAnsi="Times New Roman" w:eastAsia="宋体" w:cs="Times New Roman"/>
      <w:kern w:val="0"/>
      <w:sz w:val="18"/>
      <w:szCs w:val="20"/>
      <w:lang w:val="en-US" w:eastAsia="zh-CN" w:bidi="ar-SA"/>
    </w:rPr>
  </w:style>
  <w:style w:type="character" w:customStyle="1" w:styleId="96">
    <w:name w:val="页眉 字符"/>
    <w:basedOn w:val="43"/>
    <w:semiHidden/>
    <w:qFormat/>
    <w:uiPriority w:val="99"/>
    <w:rPr>
      <w:rFonts w:asciiTheme="minorHAnsi" w:hAnsiTheme="minorHAnsi" w:eastAsiaTheme="minorEastAsia" w:cstheme="minorBidi"/>
      <w:kern w:val="2"/>
      <w:sz w:val="18"/>
      <w:szCs w:val="18"/>
      <w:lang w:val="en-US" w:eastAsia="zh-CN" w:bidi="ar-SA"/>
    </w:rPr>
  </w:style>
  <w:style w:type="character" w:customStyle="1" w:styleId="97">
    <w:name w:val="页脚 字符1"/>
    <w:link w:val="32"/>
    <w:qFormat/>
    <w:uiPriority w:val="99"/>
    <w:rPr>
      <w:rFonts w:ascii="Times New Roman" w:hAnsi="Times New Roman" w:eastAsia="宋体" w:cs="Times New Roman"/>
      <w:kern w:val="0"/>
      <w:sz w:val="18"/>
      <w:szCs w:val="20"/>
      <w:lang w:val="en-US" w:eastAsia="zh-CN" w:bidi="ar-SA"/>
    </w:rPr>
  </w:style>
  <w:style w:type="character" w:customStyle="1" w:styleId="98">
    <w:name w:val="页脚 字符"/>
    <w:basedOn w:val="43"/>
    <w:semiHidden/>
    <w:qFormat/>
    <w:uiPriority w:val="99"/>
    <w:rPr>
      <w:rFonts w:asciiTheme="minorHAnsi" w:hAnsiTheme="minorHAnsi" w:eastAsiaTheme="minorEastAsia" w:cstheme="minorBidi"/>
      <w:kern w:val="2"/>
      <w:sz w:val="18"/>
      <w:szCs w:val="18"/>
      <w:lang w:val="en-US" w:eastAsia="zh-CN" w:bidi="ar-SA"/>
    </w:rPr>
  </w:style>
  <w:style w:type="character" w:customStyle="1" w:styleId="99">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100">
    <w:name w:val="正文文本缩进 3 字符1"/>
    <w:link w:val="36"/>
    <w:qFormat/>
    <w:uiPriority w:val="0"/>
    <w:rPr>
      <w:rFonts w:ascii="Times New Roman" w:hAnsi="Times New Roman" w:eastAsia="宋体" w:cs="Times New Roman"/>
      <w:kern w:val="0"/>
      <w:sz w:val="16"/>
      <w:szCs w:val="16"/>
      <w:lang w:val="en-US" w:eastAsia="zh-CN" w:bidi="ar-SA"/>
    </w:rPr>
  </w:style>
  <w:style w:type="character" w:customStyle="1" w:styleId="101">
    <w:name w:val="正文文本缩进 3 字符"/>
    <w:basedOn w:val="43"/>
    <w:semiHidden/>
    <w:uiPriority w:val="99"/>
    <w:rPr>
      <w:rFonts w:asciiTheme="minorHAnsi" w:hAnsiTheme="minorHAnsi" w:eastAsiaTheme="minorEastAsia" w:cstheme="minorBidi"/>
      <w:kern w:val="2"/>
      <w:sz w:val="16"/>
      <w:szCs w:val="16"/>
      <w:lang w:val="en-US" w:eastAsia="zh-CN" w:bidi="ar-SA"/>
    </w:rPr>
  </w:style>
  <w:style w:type="character" w:customStyle="1" w:styleId="102">
    <w:name w:val="正文文本首行缩进 字符1"/>
    <w:basedOn w:val="103"/>
    <w:link w:val="14"/>
    <w:uiPriority w:val="0"/>
    <w:rPr>
      <w:rFonts w:ascii="Times New Roman" w:hAnsi="Times New Roman"/>
      <w:kern w:val="0"/>
      <w:sz w:val="20"/>
    </w:rPr>
  </w:style>
  <w:style w:type="character" w:customStyle="1" w:styleId="103">
    <w:name w:val="正文文本字符"/>
    <w:uiPriority w:val="0"/>
    <w:rPr>
      <w:rFonts w:ascii="Times New Roman" w:hAnsi="Times New Roman" w:eastAsia="宋体" w:cs="Times New Roman"/>
      <w:kern w:val="0"/>
      <w:sz w:val="20"/>
      <w:szCs w:val="24"/>
      <w:lang w:val="en-US" w:eastAsia="zh-CN" w:bidi="ar-SA"/>
    </w:rPr>
  </w:style>
  <w:style w:type="character" w:customStyle="1" w:styleId="104">
    <w:name w:val="正文文本 字符"/>
    <w:basedOn w:val="43"/>
    <w:semiHidden/>
    <w:uiPriority w:val="99"/>
    <w:rPr>
      <w:rFonts w:asciiTheme="minorHAnsi" w:hAnsiTheme="minorHAnsi" w:eastAsiaTheme="minorEastAsia" w:cstheme="minorBidi"/>
      <w:kern w:val="2"/>
      <w:sz w:val="21"/>
      <w:szCs w:val="22"/>
      <w:lang w:val="en-US" w:eastAsia="zh-CN" w:bidi="ar-SA"/>
    </w:rPr>
  </w:style>
  <w:style w:type="character" w:customStyle="1" w:styleId="105">
    <w:name w:val="正文文本 字符1"/>
    <w:link w:val="15"/>
    <w:uiPriority w:val="0"/>
    <w:rPr>
      <w:rFonts w:ascii="Calibri" w:hAnsi="Calibri" w:eastAsia="宋体" w:cs="Times New Roman"/>
      <w:kern w:val="2"/>
      <w:sz w:val="24"/>
      <w:szCs w:val="24"/>
      <w:lang w:val="en-US" w:eastAsia="zh-CN" w:bidi="ar-SA"/>
    </w:rPr>
  </w:style>
  <w:style w:type="character" w:customStyle="1" w:styleId="106">
    <w:name w:val="Char Char2"/>
    <w:uiPriority w:val="0"/>
    <w:rPr>
      <w:rFonts w:eastAsia="宋体" w:asciiTheme="minorHAnsi" w:hAnsiTheme="minorHAnsi" w:cstheme="minorBidi"/>
      <w:kern w:val="2"/>
      <w:sz w:val="18"/>
      <w:szCs w:val="18"/>
      <w:lang w:val="en-US" w:eastAsia="zh-CN" w:bidi="ar-SA"/>
    </w:rPr>
  </w:style>
  <w:style w:type="character" w:customStyle="1" w:styleId="107">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108">
    <w:name w:val="正文文本缩进 2 字符1"/>
    <w:link w:val="30"/>
    <w:qFormat/>
    <w:uiPriority w:val="0"/>
    <w:rPr>
      <w:rFonts w:ascii="Times New Roman" w:hAnsi="Times New Roman" w:eastAsia="宋体" w:cs="Times New Roman"/>
      <w:kern w:val="0"/>
      <w:sz w:val="20"/>
      <w:szCs w:val="22"/>
      <w:lang w:val="en-US" w:eastAsia="zh-CN" w:bidi="ar-SA"/>
    </w:rPr>
  </w:style>
  <w:style w:type="character" w:customStyle="1" w:styleId="109">
    <w:name w:val="正文文本缩进 2 字符"/>
    <w:basedOn w:val="43"/>
    <w:semiHidden/>
    <w:qFormat/>
    <w:uiPriority w:val="99"/>
    <w:rPr>
      <w:rFonts w:asciiTheme="minorHAnsi" w:hAnsiTheme="minorHAnsi" w:eastAsiaTheme="minorEastAsia" w:cstheme="minorBidi"/>
      <w:kern w:val="2"/>
      <w:sz w:val="21"/>
      <w:szCs w:val="22"/>
      <w:lang w:val="en-US" w:eastAsia="zh-CN" w:bidi="ar-SA"/>
    </w:rPr>
  </w:style>
  <w:style w:type="character" w:customStyle="1" w:styleId="110">
    <w:name w:val="批注主题 字符1"/>
    <w:link w:val="12"/>
    <w:semiHidden/>
    <w:uiPriority w:val="0"/>
    <w:rPr>
      <w:rFonts w:ascii="Times New Roman" w:hAnsi="Times New Roman" w:eastAsia="宋体" w:cs="Times New Roman"/>
      <w:b/>
      <w:bCs/>
      <w:kern w:val="0"/>
      <w:sz w:val="20"/>
      <w:szCs w:val="22"/>
      <w:lang w:val="en-US" w:eastAsia="zh-CN" w:bidi="ar-SA"/>
    </w:rPr>
  </w:style>
  <w:style w:type="character" w:customStyle="1" w:styleId="111">
    <w:name w:val="批注文字 字符"/>
    <w:basedOn w:val="43"/>
    <w:link w:val="13"/>
    <w:semiHidden/>
    <w:qFormat/>
    <w:uiPriority w:val="99"/>
    <w:rPr>
      <w:rFonts w:asciiTheme="minorHAnsi" w:hAnsiTheme="minorHAnsi" w:eastAsiaTheme="minorEastAsia" w:cstheme="minorBidi"/>
      <w:kern w:val="2"/>
      <w:sz w:val="21"/>
      <w:szCs w:val="22"/>
      <w:lang w:val="en-US" w:eastAsia="zh-CN" w:bidi="ar-SA"/>
    </w:rPr>
  </w:style>
  <w:style w:type="character" w:customStyle="1" w:styleId="112">
    <w:name w:val="批注主题 字符"/>
    <w:basedOn w:val="111"/>
    <w:semiHidden/>
    <w:qFormat/>
    <w:uiPriority w:val="99"/>
    <w:rPr>
      <w:b/>
      <w:bCs/>
    </w:rPr>
  </w:style>
  <w:style w:type="character" w:customStyle="1" w:styleId="113">
    <w:name w:val="批注文字 Char"/>
    <w:qFormat/>
    <w:uiPriority w:val="0"/>
    <w:rPr>
      <w:rFonts w:asciiTheme="minorHAnsi" w:hAnsiTheme="minorHAnsi" w:eastAsiaTheme="minorEastAsia" w:cstheme="minorBidi"/>
      <w:kern w:val="2"/>
      <w:sz w:val="24"/>
      <w:szCs w:val="24"/>
      <w:lang w:val="en-US" w:eastAsia="zh-CN" w:bidi="ar-SA"/>
    </w:rPr>
  </w:style>
  <w:style w:type="character" w:customStyle="1" w:styleId="114">
    <w:name w:val="标题 字符1"/>
    <w:link w:val="42"/>
    <w:qFormat/>
    <w:uiPriority w:val="0"/>
    <w:rPr>
      <w:rFonts w:ascii="Cambria" w:hAnsi="Cambria" w:eastAsia="黑体" w:cs="Times New Roman"/>
      <w:b/>
      <w:bCs/>
      <w:kern w:val="0"/>
      <w:sz w:val="32"/>
      <w:szCs w:val="32"/>
      <w:lang w:val="en-US" w:eastAsia="zh-CN" w:bidi="ar-SA"/>
    </w:rPr>
  </w:style>
  <w:style w:type="character" w:customStyle="1" w:styleId="115">
    <w:name w:val="标题 字符"/>
    <w:basedOn w:val="43"/>
    <w:uiPriority w:val="10"/>
    <w:rPr>
      <w:rFonts w:asciiTheme="majorHAnsi" w:hAnsiTheme="majorHAnsi" w:eastAsiaTheme="majorEastAsia" w:cstheme="majorBidi"/>
      <w:b/>
      <w:bCs/>
      <w:kern w:val="2"/>
      <w:sz w:val="32"/>
      <w:szCs w:val="32"/>
      <w:lang w:val="en-US" w:eastAsia="zh-CN" w:bidi="ar-SA"/>
    </w:rPr>
  </w:style>
  <w:style w:type="paragraph" w:customStyle="1" w:styleId="116">
    <w:name w:val="样式1"/>
    <w:basedOn w:val="5"/>
    <w:qFormat/>
    <w:uiPriority w:val="0"/>
    <w:pPr>
      <w:tabs>
        <w:tab w:val="left" w:pos="864"/>
      </w:tabs>
      <w:spacing w:before="120" w:after="120" w:line="360" w:lineRule="auto"/>
      <w:ind w:left="864" w:hanging="864"/>
    </w:pPr>
    <w:rPr>
      <w:b w:val="0"/>
      <w:bCs w:val="0"/>
    </w:rPr>
  </w:style>
  <w:style w:type="paragraph" w:customStyle="1" w:styleId="117">
    <w:name w:val="Char Char Char1 Char Char Char Char"/>
    <w:basedOn w:val="1"/>
    <w:qFormat/>
    <w:uiPriority w:val="0"/>
    <w:rPr>
      <w:rFonts w:ascii="Times New Roman" w:hAnsi="Times New Roman" w:eastAsia="宋体" w:cs="Times New Roman"/>
      <w:szCs w:val="24"/>
    </w:rPr>
  </w:style>
  <w:style w:type="paragraph" w:customStyle="1" w:styleId="118">
    <w:name w:val="Char Char Char Char Char Char"/>
    <w:basedOn w:val="1"/>
    <w:qFormat/>
    <w:uiPriority w:val="0"/>
    <w:rPr>
      <w:rFonts w:ascii="Times New Roman" w:hAnsi="Times New Roman" w:eastAsia="宋体" w:cs="Times New Roman"/>
      <w:szCs w:val="24"/>
    </w:rPr>
  </w:style>
  <w:style w:type="character" w:customStyle="1" w:styleId="119">
    <w:name w:val="批注框文本 Char1"/>
    <w:semiHidden/>
    <w:qFormat/>
    <w:uiPriority w:val="99"/>
    <w:rPr>
      <w:rFonts w:asciiTheme="minorHAnsi" w:hAnsiTheme="minorHAnsi" w:eastAsiaTheme="minorEastAsia" w:cstheme="minorBidi"/>
      <w:kern w:val="2"/>
      <w:sz w:val="18"/>
      <w:szCs w:val="18"/>
      <w:lang w:val="en-US" w:eastAsia="zh-CN" w:bidi="ar-SA"/>
    </w:rPr>
  </w:style>
  <w:style w:type="character" w:customStyle="1" w:styleId="120">
    <w:name w:val="日期 Char1"/>
    <w:semiHidden/>
    <w:qFormat/>
    <w:uiPriority w:val="99"/>
    <w:rPr>
      <w:rFonts w:asciiTheme="minorHAnsi" w:hAnsiTheme="minorHAnsi" w:eastAsiaTheme="minorEastAsia" w:cstheme="minorBidi"/>
      <w:kern w:val="2"/>
      <w:sz w:val="24"/>
      <w:szCs w:val="24"/>
      <w:lang w:val="en-US" w:eastAsia="zh-CN" w:bidi="ar-SA"/>
    </w:rPr>
  </w:style>
  <w:style w:type="character" w:customStyle="1" w:styleId="121">
    <w:name w:val="纯文本 Char1"/>
    <w:semiHidden/>
    <w:qFormat/>
    <w:uiPriority w:val="99"/>
    <w:rPr>
      <w:rFonts w:ascii="宋体" w:hAnsi="Courier New" w:eastAsia="宋体" w:cs="Courier New"/>
      <w:kern w:val="2"/>
      <w:sz w:val="21"/>
      <w:szCs w:val="21"/>
      <w:lang w:val="en-US" w:eastAsia="zh-CN" w:bidi="ar-SA"/>
    </w:rPr>
  </w:style>
  <w:style w:type="character" w:customStyle="1" w:styleId="122">
    <w:name w:val="批注主题 Char1"/>
    <w:semiHidden/>
    <w:qFormat/>
    <w:uiPriority w:val="99"/>
    <w:rPr>
      <w:rFonts w:asciiTheme="minorHAnsi" w:hAnsiTheme="minorHAnsi" w:eastAsiaTheme="minorEastAsia" w:cstheme="minorBidi"/>
      <w:b/>
      <w:bCs/>
      <w:kern w:val="2"/>
      <w:sz w:val="24"/>
      <w:szCs w:val="24"/>
      <w:lang w:val="en-US" w:eastAsia="zh-CN" w:bidi="ar-SA"/>
    </w:rPr>
  </w:style>
  <w:style w:type="paragraph" w:customStyle="1" w:styleId="123">
    <w:name w:val="Char Char Char Char"/>
    <w:basedOn w:val="1"/>
    <w:qFormat/>
    <w:uiPriority w:val="0"/>
    <w:rPr>
      <w:rFonts w:ascii="Times New Roman" w:hAnsi="Times New Roman" w:eastAsia="宋体" w:cs="Times New Roman"/>
      <w:szCs w:val="24"/>
    </w:rPr>
  </w:style>
  <w:style w:type="character" w:customStyle="1" w:styleId="124">
    <w:name w:val="正文首行缩进 Char1"/>
    <w:basedOn w:val="105"/>
    <w:semiHidden/>
    <w:qFormat/>
    <w:uiPriority w:val="99"/>
    <w:rPr>
      <w:rFonts w:ascii="Calibri" w:hAnsi="Calibri" w:eastAsia="宋体" w:cs="Times New Roman"/>
      <w:sz w:val="24"/>
      <w:szCs w:val="24"/>
    </w:rPr>
  </w:style>
  <w:style w:type="character" w:customStyle="1" w:styleId="125">
    <w:name w:val="正文文本缩进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126">
    <w:name w:val="p0"/>
    <w:basedOn w:val="1"/>
    <w:qFormat/>
    <w:uiPriority w:val="0"/>
    <w:pPr>
      <w:widowControl/>
    </w:pPr>
    <w:rPr>
      <w:rFonts w:ascii="Times New Roman" w:hAnsi="Times New Roman" w:eastAsia="宋体" w:cs="Times New Roman"/>
      <w:kern w:val="0"/>
      <w:szCs w:val="21"/>
    </w:rPr>
  </w:style>
  <w:style w:type="character" w:customStyle="1" w:styleId="127">
    <w:name w:val="文档结构图 Char1"/>
    <w:semiHidden/>
    <w:qFormat/>
    <w:uiPriority w:val="99"/>
    <w:rPr>
      <w:rFonts w:ascii="宋体" w:eastAsia="宋体" w:hAnsiTheme="minorHAnsi" w:cstheme="minorBidi"/>
      <w:kern w:val="2"/>
      <w:sz w:val="18"/>
      <w:szCs w:val="18"/>
      <w:lang w:val="en-US" w:eastAsia="zh-CN" w:bidi="ar-SA"/>
    </w:rPr>
  </w:style>
  <w:style w:type="character" w:customStyle="1" w:styleId="128">
    <w:name w:val="正文文本 3 Char1"/>
    <w:semiHidden/>
    <w:qFormat/>
    <w:uiPriority w:val="99"/>
    <w:rPr>
      <w:rFonts w:asciiTheme="minorHAnsi" w:hAnsiTheme="minorHAnsi" w:eastAsiaTheme="minorEastAsia" w:cstheme="minorBidi"/>
      <w:kern w:val="2"/>
      <w:sz w:val="16"/>
      <w:szCs w:val="16"/>
      <w:lang w:val="en-US" w:eastAsia="zh-CN" w:bidi="ar-SA"/>
    </w:rPr>
  </w:style>
  <w:style w:type="character" w:customStyle="1" w:styleId="129">
    <w:name w:val="正文文本缩进 Char1"/>
    <w:semiHidden/>
    <w:qFormat/>
    <w:uiPriority w:val="99"/>
    <w:rPr>
      <w:rFonts w:asciiTheme="minorHAnsi" w:hAnsiTheme="minorHAnsi" w:eastAsiaTheme="minorEastAsia" w:cstheme="minorBidi"/>
      <w:kern w:val="2"/>
      <w:sz w:val="24"/>
      <w:szCs w:val="24"/>
      <w:lang w:val="en-US" w:eastAsia="zh-CN" w:bidi="ar-SA"/>
    </w:rPr>
  </w:style>
  <w:style w:type="character" w:customStyle="1" w:styleId="130">
    <w:name w:val="正文文本缩进 2 Char1"/>
    <w:semiHidden/>
    <w:qFormat/>
    <w:uiPriority w:val="99"/>
    <w:rPr>
      <w:rFonts w:asciiTheme="minorHAnsi" w:hAnsiTheme="minorHAnsi" w:eastAsiaTheme="minorEastAsia" w:cstheme="minorBidi"/>
      <w:kern w:val="2"/>
      <w:sz w:val="24"/>
      <w:szCs w:val="24"/>
      <w:lang w:val="en-US" w:eastAsia="zh-CN" w:bidi="ar-SA"/>
    </w:rPr>
  </w:style>
  <w:style w:type="paragraph" w:customStyle="1" w:styleId="131">
    <w:name w:val="Legal 3"/>
    <w:basedOn w:val="132"/>
    <w:next w:val="132"/>
    <w:qFormat/>
    <w:uiPriority w:val="0"/>
  </w:style>
  <w:style w:type="paragraph" w:customStyle="1" w:styleId="13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3">
    <w:name w:val="页脚 Char1"/>
    <w:semiHidden/>
    <w:qFormat/>
    <w:uiPriority w:val="99"/>
    <w:rPr>
      <w:rFonts w:asciiTheme="minorHAnsi" w:hAnsiTheme="minorHAnsi" w:eastAsiaTheme="minorEastAsia" w:cstheme="minorBidi"/>
      <w:kern w:val="2"/>
      <w:sz w:val="18"/>
      <w:szCs w:val="18"/>
      <w:lang w:val="en-US" w:eastAsia="zh-CN" w:bidi="ar-SA"/>
    </w:rPr>
  </w:style>
  <w:style w:type="character" w:customStyle="1" w:styleId="134">
    <w:name w:val="正文首行缩进 2 Char1"/>
    <w:basedOn w:val="129"/>
    <w:semiHidden/>
    <w:qFormat/>
    <w:uiPriority w:val="99"/>
    <w:rPr>
      <w:sz w:val="24"/>
      <w:szCs w:val="24"/>
    </w:rPr>
  </w:style>
  <w:style w:type="character" w:customStyle="1" w:styleId="135">
    <w:name w:val="页眉 Char1"/>
    <w:semiHidden/>
    <w:qFormat/>
    <w:uiPriority w:val="99"/>
    <w:rPr>
      <w:rFonts w:asciiTheme="minorHAnsi" w:hAnsiTheme="minorHAnsi" w:eastAsiaTheme="minorEastAsia" w:cstheme="minorBidi"/>
      <w:kern w:val="2"/>
      <w:sz w:val="18"/>
      <w:szCs w:val="18"/>
      <w:lang w:val="en-US" w:eastAsia="zh-CN" w:bidi="ar-SA"/>
    </w:rPr>
  </w:style>
  <w:style w:type="character" w:customStyle="1" w:styleId="136">
    <w:name w:val="正文文本 2 Char1"/>
    <w:semiHidden/>
    <w:qFormat/>
    <w:uiPriority w:val="99"/>
    <w:rPr>
      <w:rFonts w:asciiTheme="minorHAnsi" w:hAnsiTheme="minorHAnsi" w:eastAsiaTheme="minorEastAsia" w:cstheme="minorBidi"/>
      <w:kern w:val="2"/>
      <w:sz w:val="24"/>
      <w:szCs w:val="24"/>
      <w:lang w:val="en-US" w:eastAsia="zh-CN" w:bidi="ar-SA"/>
    </w:rPr>
  </w:style>
  <w:style w:type="character" w:customStyle="1" w:styleId="137">
    <w:name w:val="标题 Char1"/>
    <w:qFormat/>
    <w:uiPriority w:val="10"/>
    <w:rPr>
      <w:rFonts w:ascii="Cambria" w:hAnsi="Cambria" w:eastAsia="宋体" w:cs="Times New Roman"/>
      <w:b/>
      <w:bCs/>
      <w:kern w:val="2"/>
      <w:sz w:val="32"/>
      <w:szCs w:val="32"/>
      <w:lang w:val="en-US" w:eastAsia="zh-CN" w:bidi="ar-SA"/>
    </w:rPr>
  </w:style>
  <w:style w:type="character" w:customStyle="1" w:styleId="138">
    <w:name w:val="标题字符1"/>
    <w:qFormat/>
    <w:uiPriority w:val="10"/>
    <w:rPr>
      <w:rFonts w:ascii="Cambria" w:hAnsi="Cambria" w:eastAsia="宋体" w:cs="Times New Roman"/>
      <w:b/>
      <w:bCs/>
      <w:kern w:val="2"/>
      <w:sz w:val="32"/>
      <w:szCs w:val="32"/>
      <w:lang w:val="en-US" w:eastAsia="zh-CN" w:bidi="ar-SA"/>
    </w:rPr>
  </w:style>
  <w:style w:type="paragraph" w:customStyle="1" w:styleId="139">
    <w:name w:val="列出段落1"/>
    <w:basedOn w:val="1"/>
    <w:unhideWhenUsed/>
    <w:qFormat/>
    <w:uiPriority w:val="0"/>
    <w:pPr>
      <w:ind w:firstLine="420" w:firstLineChars="200"/>
    </w:pPr>
    <w:rPr>
      <w:rFonts w:ascii="Calibri" w:hAnsi="Calibri" w:eastAsia="宋体" w:cs="Times New Roman"/>
    </w:rPr>
  </w:style>
  <w:style w:type="paragraph" w:customStyle="1" w:styleId="140">
    <w:name w:val="图表标题"/>
    <w:basedOn w:val="1"/>
    <w:next w:val="15"/>
    <w:uiPriority w:val="0"/>
    <w:rPr>
      <w:rFonts w:ascii="Times New Roman" w:hAnsi="Times New Roman" w:eastAsia="宋体" w:cs="Times New Roman"/>
      <w:sz w:val="30"/>
      <w:szCs w:val="20"/>
    </w:rPr>
  </w:style>
  <w:style w:type="paragraph" w:customStyle="1" w:styleId="141">
    <w:name w:val="样式 正文文本"/>
    <w:basedOn w:val="1"/>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42">
    <w:name w:val="Char"/>
    <w:basedOn w:val="1"/>
    <w:uiPriority w:val="0"/>
    <w:rPr>
      <w:rFonts w:ascii="仿宋_GB2312" w:hAnsi="Times New Roman" w:eastAsia="仿宋_GB2312" w:cs="Times New Roman"/>
      <w:b/>
      <w:sz w:val="32"/>
      <w:szCs w:val="32"/>
    </w:rPr>
  </w:style>
  <w:style w:type="paragraph" w:customStyle="1" w:styleId="143">
    <w:name w:val="Char4 Char Char Char"/>
    <w:basedOn w:val="21"/>
    <w:uiPriority w:val="0"/>
    <w:rPr>
      <w:rFonts w:ascii="Tahoma" w:hAnsi="Tahoma"/>
      <w:sz w:val="24"/>
    </w:rPr>
  </w:style>
  <w:style w:type="paragraph" w:customStyle="1" w:styleId="144">
    <w:name w:val="表内文字"/>
    <w:basedOn w:val="1"/>
    <w:uiPriority w:val="0"/>
    <w:pPr>
      <w:widowControl/>
      <w:ind w:firstLine="120" w:firstLineChars="50"/>
    </w:pPr>
    <w:rPr>
      <w:rFonts w:ascii="宋体" w:hAnsi="宋体" w:eastAsia="宋体" w:cs="Times New Roman"/>
      <w:sz w:val="24"/>
      <w:szCs w:val="20"/>
    </w:rPr>
  </w:style>
  <w:style w:type="paragraph" w:customStyle="1" w:styleId="145">
    <w:name w:val="Char Char Char"/>
    <w:basedOn w:val="1"/>
    <w:uiPriority w:val="0"/>
    <w:pPr>
      <w:ind w:firstLine="360" w:firstLineChars="150"/>
    </w:pPr>
    <w:rPr>
      <w:rFonts w:ascii="Tahoma" w:hAnsi="Tahoma" w:eastAsia="宋体" w:cs="Times New Roman"/>
      <w:sz w:val="24"/>
      <w:szCs w:val="20"/>
    </w:rPr>
  </w:style>
  <w:style w:type="paragraph" w:customStyle="1" w:styleId="146">
    <w:name w:val="样式 样式1 + 首行缩进:  2 字符"/>
    <w:basedOn w:val="1"/>
    <w:uiPriority w:val="0"/>
    <w:pPr>
      <w:spacing w:line="360" w:lineRule="exact"/>
      <w:ind w:firstLine="420" w:firstLineChars="200"/>
    </w:pPr>
    <w:rPr>
      <w:rFonts w:ascii="Arial" w:hAnsi="Arial" w:eastAsia="宋体" w:cs="Times New Roman"/>
      <w:szCs w:val="20"/>
    </w:rPr>
  </w:style>
  <w:style w:type="paragraph" w:customStyle="1" w:styleId="147">
    <w:name w:val="legal 2"/>
    <w:basedOn w:val="132"/>
    <w:next w:val="132"/>
    <w:uiPriority w:val="0"/>
    <w:pPr>
      <w:spacing w:after="120"/>
    </w:pPr>
    <w:rPr>
      <w:rFonts w:cs="Times New Roman"/>
      <w:color w:val="auto"/>
    </w:rPr>
  </w:style>
  <w:style w:type="paragraph" w:customStyle="1" w:styleId="148">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9">
    <w:name w:val="Legal 5"/>
    <w:basedOn w:val="132"/>
    <w:next w:val="132"/>
    <w:uiPriority w:val="0"/>
    <w:pPr>
      <w:spacing w:after="120"/>
    </w:pPr>
    <w:rPr>
      <w:rFonts w:cs="Times New Roman"/>
      <w:color w:val="auto"/>
    </w:rPr>
  </w:style>
  <w:style w:type="paragraph" w:customStyle="1" w:styleId="15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Legal 4"/>
    <w:basedOn w:val="132"/>
    <w:next w:val="132"/>
    <w:uiPriority w:val="0"/>
    <w:pPr>
      <w:spacing w:after="120"/>
    </w:pPr>
    <w:rPr>
      <w:rFonts w:cs="Times New Roman"/>
      <w:color w:val="auto"/>
    </w:rPr>
  </w:style>
  <w:style w:type="paragraph" w:customStyle="1" w:styleId="152">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文字3"/>
    <w:basedOn w:val="15"/>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54">
    <w:name w:val="1"/>
    <w:basedOn w:val="1"/>
    <w:qFormat/>
    <w:uiPriority w:val="0"/>
    <w:rPr>
      <w:rFonts w:ascii="仿宋_GB2312" w:hAnsi="Times New Roman" w:eastAsia="仿宋_GB2312" w:cs="Times New Roman"/>
      <w:b/>
      <w:sz w:val="32"/>
      <w:szCs w:val="32"/>
    </w:rPr>
  </w:style>
  <w:style w:type="paragraph" w:customStyle="1" w:styleId="155">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7">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58">
    <w:name w:val="标准有序列表（L1）"/>
    <w:basedOn w:val="17"/>
    <w:qFormat/>
    <w:uiPriority w:val="0"/>
    <w:pPr>
      <w:tabs>
        <w:tab w:val="left" w:pos="0"/>
      </w:tabs>
      <w:adjustRightInd w:val="0"/>
      <w:snapToGrid w:val="0"/>
      <w:ind w:firstLine="0"/>
      <w:jc w:val="center"/>
    </w:pPr>
    <w:rPr>
      <w:rFonts w:ascii="宋体" w:hAnsi="宋体" w:cs="宋体"/>
      <w:color w:val="000000"/>
      <w:szCs w:val="21"/>
    </w:rPr>
  </w:style>
  <w:style w:type="character" w:customStyle="1" w:styleId="159">
    <w:name w:val="正文文本首行缩进 2 字符"/>
    <w:basedOn w:val="86"/>
    <w:semiHidden/>
    <w:qFormat/>
    <w:uiPriority w:val="99"/>
  </w:style>
  <w:style w:type="character" w:customStyle="1" w:styleId="160">
    <w:name w:val="正文文本首行缩进 字符"/>
    <w:basedOn w:val="104"/>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4837</Words>
  <Characters>27576</Characters>
  <Lines>229</Lines>
  <Paragraphs>64</Paragraphs>
  <TotalTime>0</TotalTime>
  <ScaleCrop>false</ScaleCrop>
  <LinksUpToDate>false</LinksUpToDate>
  <CharactersWithSpaces>32349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2018-09-19T02:15:00Z</dcterms:created>
  <dc:creator>张治</dc:creator>
  <cp:lastModifiedBy>贾思勰</cp:lastModifiedBy>
  <dcterms:modified xsi:type="dcterms:W3CDTF">2019-07-26T08:53:44Z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