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autoSpaceDE w:val="0"/>
        <w:autoSpaceDN w:val="0"/>
        <w:adjustRightInd w:val="0"/>
        <w:jc w:val="center"/>
        <w:rPr>
          <w:rFonts w:eastAsia="黑体" w:cs="Calibri"/>
          <w:b/>
          <w:color w:val="000000" w:themeColor="text1"/>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hint="eastAsia" w:eastAsia="黑体" w:cs="Calibri"/>
          <w:b/>
          <w:sz w:val="44"/>
          <w:szCs w:val="44"/>
        </w:rPr>
      </w:pPr>
      <w:r>
        <w:rPr>
          <w:rFonts w:hint="eastAsia" w:eastAsia="黑体" w:cs="Calibri"/>
          <w:b/>
          <w:sz w:val="44"/>
          <w:szCs w:val="44"/>
          <w:u w:val="single"/>
        </w:rPr>
        <w:t>JWC粉碎型格栅机封</w:t>
      </w:r>
      <w:r>
        <w:rPr>
          <w:rFonts w:hint="eastAsia" w:eastAsia="黑体" w:cs="Calibri"/>
          <w:b/>
          <w:sz w:val="44"/>
          <w:szCs w:val="44"/>
        </w:rPr>
        <w:t>采购项目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color w:val="000000" w:themeColor="text1"/>
          <w:spacing w:val="60"/>
          <w:sz w:val="82"/>
          <w:szCs w:val="82"/>
        </w:rPr>
      </w:pPr>
    </w:p>
    <w:p>
      <w:pPr>
        <w:autoSpaceDE w:val="0"/>
        <w:autoSpaceDN w:val="0"/>
        <w:adjustRightInd w:val="0"/>
        <w:jc w:val="center"/>
        <w:rPr>
          <w:rFonts w:eastAsia="黑体" w:cs="Calibri"/>
          <w:b/>
          <w:bCs/>
          <w:color w:val="000000" w:themeColor="text1"/>
          <w:spacing w:val="60"/>
          <w:sz w:val="82"/>
          <w:szCs w:val="82"/>
        </w:rPr>
      </w:pPr>
      <w:r>
        <w:rPr>
          <w:rFonts w:hint="eastAsia" w:eastAsia="黑体" w:cs="Calibri"/>
          <w:b/>
          <w:bCs/>
          <w:color w:val="000000" w:themeColor="text1"/>
          <w:spacing w:val="60"/>
          <w:sz w:val="82"/>
          <w:szCs w:val="82"/>
        </w:rPr>
        <w:t>招标文件</w:t>
      </w:r>
    </w:p>
    <w:p>
      <w:pPr>
        <w:autoSpaceDE w:val="0"/>
        <w:autoSpaceDN w:val="0"/>
        <w:adjustRightInd w:val="0"/>
        <w:jc w:val="center"/>
        <w:rPr>
          <w:rFonts w:cs="Calibri"/>
          <w:b/>
          <w:color w:val="000000" w:themeColor="text1"/>
          <w:kern w:val="0"/>
          <w:sz w:val="44"/>
          <w:szCs w:val="44"/>
        </w:rPr>
      </w:pPr>
    </w:p>
    <w:p>
      <w:pPr>
        <w:autoSpaceDE w:val="0"/>
        <w:autoSpaceDN w:val="0"/>
        <w:adjustRightInd w:val="0"/>
        <w:jc w:val="center"/>
        <w:rPr>
          <w:rFonts w:cs="Calibri"/>
          <w:b/>
          <w:color w:val="000000" w:themeColor="text1"/>
          <w:kern w:val="0"/>
          <w:sz w:val="44"/>
          <w:szCs w:val="44"/>
        </w:rPr>
      </w:pPr>
    </w:p>
    <w:p>
      <w:pPr>
        <w:autoSpaceDE w:val="0"/>
        <w:autoSpaceDN w:val="0"/>
        <w:adjustRightInd w:val="0"/>
        <w:jc w:val="center"/>
        <w:rPr>
          <w:rFonts w:cs="Calibri"/>
          <w:color w:val="000000" w:themeColor="text1"/>
          <w:kern w:val="0"/>
          <w:sz w:val="32"/>
          <w:szCs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pStyle w:val="31"/>
        <w:spacing w:line="480" w:lineRule="auto"/>
        <w:rPr>
          <w:rFonts w:ascii="Calibri" w:hAnsi="Calibri" w:eastAsia="隶书" w:cs="Calibri"/>
          <w:color w:val="000000" w:themeColor="text1"/>
          <w:sz w:val="32"/>
        </w:rPr>
      </w:pPr>
    </w:p>
    <w:p>
      <w:pPr>
        <w:pStyle w:val="31"/>
        <w:spacing w:line="480" w:lineRule="auto"/>
        <w:jc w:val="center"/>
        <w:rPr>
          <w:rFonts w:ascii="Calibri" w:hAnsi="Calibri" w:eastAsia="隶书" w:cs="Calibri"/>
          <w:color w:val="000000" w:themeColor="text1"/>
          <w:sz w:val="32"/>
        </w:rPr>
      </w:pPr>
    </w:p>
    <w:p>
      <w:pPr>
        <w:snapToGrid w:val="0"/>
        <w:jc w:val="center"/>
        <w:rPr>
          <w:rFonts w:eastAsia="黑体" w:cs="Calibri"/>
          <w:color w:val="000000" w:themeColor="text1"/>
          <w:sz w:val="32"/>
          <w:szCs w:val="32"/>
        </w:rPr>
      </w:pPr>
      <w:r>
        <w:rPr>
          <w:rFonts w:hint="eastAsia" w:eastAsia="黑体" w:cs="Calibri"/>
          <w:color w:val="000000" w:themeColor="text1"/>
          <w:sz w:val="32"/>
          <w:szCs w:val="32"/>
        </w:rPr>
        <w:t>杭州萧山国际机场有限公司</w:t>
      </w:r>
    </w:p>
    <w:p>
      <w:pPr>
        <w:snapToGrid w:val="0"/>
        <w:jc w:val="center"/>
        <w:rPr>
          <w:rFonts w:eastAsia="黑体" w:cs="Calibri"/>
          <w:color w:val="000000" w:themeColor="text1"/>
          <w:sz w:val="32"/>
          <w:szCs w:val="32"/>
        </w:rPr>
      </w:pPr>
    </w:p>
    <w:p>
      <w:pPr>
        <w:snapToGrid w:val="0"/>
        <w:spacing w:line="360" w:lineRule="auto"/>
        <w:jc w:val="center"/>
        <w:rPr>
          <w:rFonts w:cs="Calibri"/>
          <w:color w:val="000000" w:themeColor="text1"/>
          <w:sz w:val="32"/>
          <w:szCs w:val="32"/>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一九年七</w:t>
      </w:r>
      <w:r>
        <w:rPr>
          <w:rFonts w:ascii="Calibri" w:hAnsi="Calibri" w:eastAsia="黑体" w:cs="Calibri"/>
          <w:sz w:val="32"/>
          <w:szCs w:val="32"/>
        </w:rPr>
        <w:t>月</w:t>
      </w:r>
    </w:p>
    <w:p>
      <w:pPr>
        <w:pStyle w:val="39"/>
        <w:tabs>
          <w:tab w:val="right" w:leader="dot" w:pos="8659"/>
        </w:tabs>
        <w:jc w:val="both"/>
        <w:rPr>
          <w:rFonts w:ascii="Calibri" w:cs="Calibri"/>
          <w:color w:val="000000" w:themeColor="text1"/>
          <w:sz w:val="44"/>
        </w:rPr>
      </w:pPr>
      <w:bookmarkStart w:id="0" w:name="_Toc349007685"/>
      <w:bookmarkStart w:id="1" w:name="_Toc386363314"/>
      <w:bookmarkStart w:id="2" w:name="_Toc349011855"/>
      <w:bookmarkStart w:id="3" w:name="_Toc386359390"/>
      <w:r>
        <w:rPr>
          <w:rFonts w:ascii="Calibri" w:cs="Calibri"/>
          <w:color w:val="000000" w:themeColor="text1"/>
          <w:sz w:val="44"/>
        </w:rPr>
        <w:t xml:space="preserve"> </w:t>
      </w:r>
    </w:p>
    <w:p>
      <w:pPr>
        <w:pStyle w:val="39"/>
        <w:tabs>
          <w:tab w:val="right" w:leader="dot" w:pos="8659"/>
        </w:tabs>
        <w:rPr>
          <w:rFonts w:ascii="Calibri" w:hAnsi="Calibri" w:cs="Calibri"/>
          <w:color w:val="000000" w:themeColor="text1"/>
          <w:sz w:val="44"/>
        </w:rPr>
      </w:pPr>
      <w:bookmarkStart w:id="4" w:name="_Toc444173456"/>
      <w:bookmarkStart w:id="5" w:name="_Toc444811406"/>
      <w:bookmarkStart w:id="6" w:name="_Toc448002981"/>
      <w:bookmarkStart w:id="7" w:name="_Toc444174976"/>
      <w:bookmarkStart w:id="8" w:name="_Toc400369182"/>
      <w:r>
        <w:rPr>
          <w:rFonts w:hint="eastAsia" w:ascii="Calibri" w:cs="Calibri"/>
          <w:color w:val="000000" w:themeColor="text1"/>
          <w:sz w:val="44"/>
        </w:rPr>
        <w:t>目</w:t>
      </w:r>
      <w:r>
        <w:rPr>
          <w:rFonts w:ascii="Calibri" w:hAnsi="Calibri" w:cs="Calibri"/>
          <w:color w:val="000000" w:themeColor="text1"/>
          <w:sz w:val="44"/>
        </w:rPr>
        <w:t xml:space="preserve">  </w:t>
      </w:r>
      <w:r>
        <w:rPr>
          <w:rFonts w:hint="eastAsia" w:ascii="Calibri" w:cs="Calibri"/>
          <w:color w:val="000000" w:themeColor="text1"/>
          <w:sz w:val="44"/>
        </w:rPr>
        <w:t>录</w:t>
      </w:r>
      <w:bookmarkEnd w:id="0"/>
      <w:bookmarkEnd w:id="1"/>
      <w:bookmarkEnd w:id="2"/>
      <w:bookmarkEnd w:id="3"/>
      <w:bookmarkEnd w:id="4"/>
      <w:bookmarkEnd w:id="5"/>
      <w:bookmarkEnd w:id="6"/>
      <w:bookmarkEnd w:id="7"/>
      <w:bookmarkEnd w:id="8"/>
    </w:p>
    <w:p>
      <w:pPr>
        <w:pStyle w:val="39"/>
        <w:tabs>
          <w:tab w:val="right" w:leader="dot" w:pos="8659"/>
        </w:tabs>
        <w:spacing w:line="480" w:lineRule="auto"/>
        <w:rPr>
          <w:rFonts w:ascii="黑体" w:hAnsi="黑体" w:eastAsia="黑体" w:cstheme="minorBidi"/>
          <w:bCs w:val="0"/>
          <w:color w:val="000000" w:themeColor="text1"/>
          <w:kern w:val="2"/>
          <w:sz w:val="22"/>
          <w:szCs w:val="22"/>
        </w:rPr>
      </w:pPr>
      <w:r>
        <w:rPr>
          <w:rFonts w:hint="eastAsia" w:ascii="黑体" w:hAnsi="黑体" w:eastAsia="黑体" w:cs="Calibri"/>
          <w:color w:val="000000" w:themeColor="text1"/>
          <w:sz w:val="22"/>
          <w:szCs w:val="22"/>
        </w:rPr>
        <w:fldChar w:fldCharType="begin"/>
      </w:r>
      <w:r>
        <w:rPr>
          <w:rFonts w:ascii="黑体" w:hAnsi="黑体" w:eastAsia="黑体" w:cs="Calibri"/>
          <w:color w:val="000000" w:themeColor="text1"/>
          <w:sz w:val="22"/>
          <w:szCs w:val="22"/>
        </w:rPr>
        <w:instrText xml:space="preserve"> TOC \o "1-3" \h \z \u </w:instrText>
      </w:r>
      <w:r>
        <w:rPr>
          <w:rFonts w:hint="eastAsia" w:ascii="黑体" w:hAnsi="黑体" w:eastAsia="黑体" w:cs="Calibri"/>
          <w:color w:val="000000" w:themeColor="text1"/>
          <w:sz w:val="22"/>
          <w:szCs w:val="22"/>
        </w:rPr>
        <w:fldChar w:fldCharType="separate"/>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"_Toc448002982" </w:instrText>
      </w:r>
      <w:r>
        <w:fldChar w:fldCharType="separate"/>
      </w:r>
      <w:r>
        <w:rPr>
          <w:rStyle w:val="56"/>
          <w:rFonts w:hint="eastAsia" w:ascii="黑体" w:hAnsi="黑体" w:eastAsia="黑体" w:cs="Calibri"/>
          <w:color w:val="000000" w:themeColor="text1"/>
          <w:kern w:val="0"/>
          <w:sz w:val="22"/>
          <w:szCs w:val="22"/>
        </w:rPr>
        <w:t>第一章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招标公告</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_Toc448002982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3</w:t>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"_Toc448002983" </w:instrText>
      </w:r>
      <w:r>
        <w:fldChar w:fldCharType="separate"/>
      </w:r>
      <w:r>
        <w:rPr>
          <w:rStyle w:val="56"/>
          <w:rFonts w:hint="eastAsia" w:ascii="黑体" w:hAnsi="黑体" w:eastAsia="黑体" w:cs="Calibri"/>
          <w:color w:val="000000" w:themeColor="text1"/>
          <w:kern w:val="0"/>
          <w:sz w:val="22"/>
          <w:szCs w:val="22"/>
        </w:rPr>
        <w:t>第二章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投标人须知</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_Toc448002983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- 4 -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"_Toc448002985" </w:instrText>
      </w:r>
      <w:r>
        <w:fldChar w:fldCharType="separate"/>
      </w:r>
      <w:r>
        <w:rPr>
          <w:rStyle w:val="56"/>
          <w:rFonts w:hint="eastAsia" w:ascii="黑体" w:hAnsi="黑体" w:eastAsia="黑体" w:cs="Calibri"/>
          <w:color w:val="000000" w:themeColor="text1"/>
          <w:kern w:val="0"/>
          <w:sz w:val="22"/>
          <w:szCs w:val="22"/>
        </w:rPr>
        <w:t>第三章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服务技术标准及要求</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_Toc448002985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- 13 -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"_Toc448002986" </w:instrText>
      </w:r>
      <w:r>
        <w:fldChar w:fldCharType="separate"/>
      </w:r>
      <w:r>
        <w:rPr>
          <w:rStyle w:val="56"/>
          <w:rFonts w:hint="eastAsia" w:ascii="黑体" w:hAnsi="黑体" w:eastAsia="黑体" w:cs="Calibri"/>
          <w:color w:val="000000" w:themeColor="text1"/>
          <w:kern w:val="0"/>
          <w:sz w:val="22"/>
          <w:szCs w:val="22"/>
        </w:rPr>
        <w:t>第四章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合同条款</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_Toc448002986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14</w:t>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"_Toc448002987" </w:instrText>
      </w:r>
      <w:r>
        <w:fldChar w:fldCharType="separate"/>
      </w:r>
      <w:r>
        <w:rPr>
          <w:rStyle w:val="56"/>
          <w:rFonts w:hint="eastAsia" w:ascii="黑体" w:hAnsi="黑体" w:eastAsia="黑体" w:cs="Calibri"/>
          <w:color w:val="000000" w:themeColor="text1"/>
          <w:kern w:val="0"/>
          <w:sz w:val="22"/>
          <w:szCs w:val="22"/>
        </w:rPr>
        <w:t>第五章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评标方法及标准</w:t>
      </w:r>
      <w:r>
        <w:rPr>
          <w:rFonts w:ascii="黑体" w:hAnsi="黑体" w:eastAsia="黑体"/>
          <w:color w:val="000000" w:themeColor="text1"/>
          <w:sz w:val="22"/>
          <w:szCs w:val="22"/>
        </w:rPr>
        <w:tab/>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_Toc448002987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27</w:t>
      </w:r>
      <w:r>
        <w:rPr>
          <w:rFonts w:ascii="黑体" w:hAnsi="黑体" w:eastAsia="黑体"/>
          <w:color w:val="000000" w:themeColor="text1"/>
          <w:sz w:val="22"/>
          <w:szCs w:val="22"/>
        </w:rPr>
        <w:t>-</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pStyle w:val="39"/>
        <w:tabs>
          <w:tab w:val="right" w:leader="dot" w:pos="8659"/>
        </w:tabs>
        <w:spacing w:line="480" w:lineRule="auto"/>
        <w:rPr>
          <w:rFonts w:ascii="黑体" w:hAnsi="黑体" w:eastAsia="黑体" w:cstheme="minorBidi"/>
          <w:bCs w:val="0"/>
          <w:color w:val="000000" w:themeColor="text1"/>
          <w:kern w:val="2"/>
          <w:sz w:val="22"/>
          <w:szCs w:val="22"/>
        </w:rPr>
      </w:pPr>
      <w:r>
        <w:fldChar w:fldCharType="begin"/>
      </w:r>
      <w:r>
        <w:instrText xml:space="preserve"> HYPERLINK \l "_Toc448002988" </w:instrText>
      </w:r>
      <w:r>
        <w:fldChar w:fldCharType="separate"/>
      </w:r>
      <w:r>
        <w:rPr>
          <w:rStyle w:val="56"/>
          <w:rFonts w:hint="eastAsia" w:ascii="黑体" w:hAnsi="黑体" w:eastAsia="黑体" w:cs="Calibri"/>
          <w:color w:val="000000" w:themeColor="text1"/>
          <w:kern w:val="0"/>
          <w:sz w:val="22"/>
          <w:szCs w:val="22"/>
        </w:rPr>
        <w:t>第六章</w:t>
      </w:r>
      <w:r>
        <w:rPr>
          <w:rStyle w:val="56"/>
          <w:rFonts w:ascii="黑体" w:hAnsi="黑体" w:eastAsia="黑体" w:cs="Calibri"/>
          <w:color w:val="000000" w:themeColor="text1"/>
          <w:kern w:val="0"/>
          <w:sz w:val="22"/>
          <w:szCs w:val="22"/>
        </w:rPr>
        <w:t xml:space="preserve">  </w:t>
      </w:r>
      <w:r>
        <w:rPr>
          <w:rStyle w:val="56"/>
          <w:rFonts w:hint="eastAsia" w:ascii="黑体" w:hAnsi="黑体" w:eastAsia="黑体" w:cs="Calibri"/>
          <w:color w:val="000000" w:themeColor="text1"/>
          <w:kern w:val="0"/>
          <w:sz w:val="22"/>
          <w:szCs w:val="22"/>
        </w:rPr>
        <w:t>投标文件格式</w:t>
      </w:r>
      <w:r>
        <w:rPr>
          <w:rFonts w:ascii="黑体" w:hAnsi="黑体" w:eastAsia="黑体"/>
          <w:color w:val="000000" w:themeColor="text1"/>
          <w:sz w:val="22"/>
          <w:szCs w:val="22"/>
        </w:rPr>
        <w:tab/>
      </w:r>
      <w:r>
        <w:rPr>
          <w:rFonts w:hint="eastAsia" w:ascii="黑体" w:hAnsi="黑体" w:eastAsia="黑体"/>
          <w:color w:val="000000" w:themeColor="text1"/>
          <w:sz w:val="22"/>
          <w:szCs w:val="22"/>
        </w:rPr>
        <w:t xml:space="preserve">  </w:t>
      </w:r>
      <w:r>
        <w:rPr>
          <w:rFonts w:hint="eastAsia" w:ascii="黑体" w:hAnsi="黑体" w:eastAsia="黑体"/>
          <w:color w:val="000000" w:themeColor="text1"/>
          <w:sz w:val="22"/>
          <w:szCs w:val="22"/>
        </w:rPr>
        <w:fldChar w:fldCharType="begin"/>
      </w:r>
      <w:r>
        <w:rPr>
          <w:rFonts w:ascii="黑体" w:hAnsi="黑体" w:eastAsia="黑体"/>
          <w:color w:val="000000" w:themeColor="text1"/>
          <w:sz w:val="22"/>
          <w:szCs w:val="22"/>
        </w:rPr>
        <w:instrText xml:space="preserve"> PAGEREF _Toc448002988 \h </w:instrText>
      </w:r>
      <w:r>
        <w:rPr>
          <w:rFonts w:hint="eastAsia" w:ascii="黑体" w:hAnsi="黑体" w:eastAsia="黑体"/>
          <w:color w:val="000000" w:themeColor="text1"/>
          <w:sz w:val="22"/>
          <w:szCs w:val="22"/>
        </w:rPr>
        <w:fldChar w:fldCharType="separate"/>
      </w:r>
      <w:r>
        <w:rPr>
          <w:rFonts w:ascii="黑体" w:hAnsi="黑体" w:eastAsia="黑体"/>
          <w:color w:val="000000" w:themeColor="text1"/>
          <w:sz w:val="22"/>
          <w:szCs w:val="22"/>
        </w:rPr>
        <w:t xml:space="preserve">- </w:t>
      </w:r>
      <w:r>
        <w:rPr>
          <w:rFonts w:hint="eastAsia" w:ascii="黑体" w:hAnsi="黑体" w:eastAsia="黑体"/>
          <w:color w:val="000000" w:themeColor="text1"/>
          <w:sz w:val="22"/>
          <w:szCs w:val="22"/>
        </w:rPr>
        <w:t>29</w:t>
      </w:r>
      <w:r>
        <w:rPr>
          <w:rFonts w:ascii="黑体" w:hAnsi="黑体" w:eastAsia="黑体"/>
          <w:color w:val="000000" w:themeColor="text1"/>
          <w:sz w:val="22"/>
          <w:szCs w:val="22"/>
        </w:rPr>
        <w:t>-</w:t>
      </w:r>
      <w:r>
        <w:rPr>
          <w:rFonts w:hint="eastAsia" w:ascii="黑体" w:hAnsi="黑体" w:eastAsia="黑体"/>
          <w:color w:val="000000" w:themeColor="text1"/>
          <w:sz w:val="22"/>
          <w:szCs w:val="22"/>
        </w:rPr>
        <w:fldChar w:fldCharType="end"/>
      </w:r>
      <w:r>
        <w:rPr>
          <w:rFonts w:hint="eastAsia" w:ascii="黑体" w:hAnsi="黑体" w:eastAsia="黑体"/>
          <w:color w:val="000000" w:themeColor="text1"/>
          <w:sz w:val="22"/>
          <w:szCs w:val="22"/>
        </w:rPr>
        <w:fldChar w:fldCharType="end"/>
      </w:r>
    </w:p>
    <w:p>
      <w:pPr>
        <w:spacing w:line="480" w:lineRule="auto"/>
        <w:jc w:val="center"/>
        <w:rPr>
          <w:rFonts w:cs="Calibri"/>
          <w:color w:val="000000" w:themeColor="text1"/>
        </w:rPr>
      </w:pPr>
      <w:r>
        <w:rPr>
          <w:rFonts w:hint="eastAsia" w:ascii="黑体" w:hAnsi="黑体" w:eastAsia="黑体" w:cs="Calibri"/>
          <w:color w:val="000000" w:themeColor="text1"/>
          <w:sz w:val="22"/>
        </w:rPr>
        <w:fldChar w:fldCharType="end"/>
      </w:r>
    </w:p>
    <w:p>
      <w:pPr>
        <w:spacing w:line="440" w:lineRule="exact"/>
        <w:ind w:right="480"/>
        <w:rPr>
          <w:rFonts w:cs="Calibri"/>
          <w:color w:val="000000" w:themeColor="text1"/>
        </w:rPr>
      </w:pPr>
    </w:p>
    <w:p>
      <w:pPr>
        <w:pStyle w:val="2"/>
        <w:spacing w:before="0" w:after="0"/>
        <w:rPr>
          <w:rFonts w:ascii="Calibri" w:eastAsia="黑体" w:cs="Calibri"/>
          <w:color w:val="000000" w:themeColor="text1"/>
          <w:kern w:val="0"/>
          <w:sz w:val="32"/>
        </w:rPr>
      </w:pPr>
      <w:r>
        <w:rPr>
          <w:rFonts w:ascii="Calibri" w:hAnsi="Calibri" w:cs="Calibri"/>
          <w:color w:val="000000" w:themeColor="text1"/>
        </w:rPr>
        <w:br w:type="page"/>
      </w:r>
      <w:bookmarkStart w:id="9" w:name="_Toc6832"/>
      <w:bookmarkStart w:id="10" w:name="_Toc7641"/>
      <w:bookmarkStart w:id="11" w:name="_Toc8110"/>
      <w:bookmarkStart w:id="12" w:name="_Toc18642"/>
      <w:bookmarkStart w:id="13" w:name="_Toc6581"/>
      <w:bookmarkStart w:id="14" w:name="_Toc24932"/>
      <w:bookmarkStart w:id="15" w:name="_Toc24784"/>
      <w:bookmarkStart w:id="16" w:name="_Toc14628"/>
      <w:bookmarkStart w:id="17" w:name="_Toc22293"/>
      <w:bookmarkStart w:id="18" w:name="_Toc448002982"/>
      <w:r>
        <w:rPr>
          <w:rFonts w:hint="eastAsia" w:ascii="Calibri" w:eastAsia="黑体" w:cs="Calibri"/>
          <w:color w:val="000000" w:themeColor="text1"/>
          <w:kern w:val="0"/>
          <w:sz w:val="32"/>
        </w:rPr>
        <w:t>第一章</w:t>
      </w:r>
      <w:r>
        <w:rPr>
          <w:rFonts w:ascii="Calibri" w:hAnsi="Calibri" w:eastAsia="黑体" w:cs="Calibri"/>
          <w:color w:val="000000" w:themeColor="text1"/>
          <w:kern w:val="0"/>
          <w:sz w:val="32"/>
        </w:rPr>
        <w:t xml:space="preserve"> </w:t>
      </w:r>
      <w:bookmarkEnd w:id="9"/>
      <w:bookmarkEnd w:id="10"/>
      <w:bookmarkEnd w:id="11"/>
      <w:bookmarkEnd w:id="12"/>
      <w:bookmarkEnd w:id="13"/>
      <w:bookmarkEnd w:id="14"/>
      <w:bookmarkEnd w:id="15"/>
      <w:bookmarkEnd w:id="16"/>
      <w:bookmarkEnd w:id="17"/>
      <w:r>
        <w:rPr>
          <w:rFonts w:hint="eastAsia" w:ascii="Calibri" w:eastAsia="黑体" w:cs="Calibri"/>
          <w:color w:val="000000" w:themeColor="text1"/>
          <w:kern w:val="0"/>
          <w:sz w:val="32"/>
        </w:rPr>
        <w:t>招标公告</w:t>
      </w:r>
      <w:bookmarkEnd w:id="18"/>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一、招标范围及内容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JWC粉碎型格栅机封</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招标货物名称、数量及主要技术规格</w:t>
      </w:r>
    </w:p>
    <w:tbl>
      <w:tblPr>
        <w:tblStyle w:val="58"/>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078"/>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货物名称</w:t>
            </w:r>
          </w:p>
        </w:tc>
        <w:tc>
          <w:tcPr>
            <w:tcW w:w="99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数 量</w:t>
            </w:r>
          </w:p>
        </w:tc>
        <w:tc>
          <w:tcPr>
            <w:tcW w:w="2078"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主要技术规格</w:t>
            </w:r>
          </w:p>
        </w:tc>
        <w:tc>
          <w:tcPr>
            <w:tcW w:w="2442"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供货期</w:t>
            </w:r>
          </w:p>
        </w:tc>
        <w:tc>
          <w:tcPr>
            <w:tcW w:w="1340" w:type="dxa"/>
            <w:vAlign w:val="center"/>
          </w:tcPr>
          <w:p>
            <w:pPr>
              <w:adjustRightInd w:val="0"/>
              <w:snapToGrid w:val="0"/>
              <w:jc w:val="center"/>
              <w:rPr>
                <w:rFonts w:asciiTheme="minorEastAsia" w:hAnsiTheme="minorEastAsia"/>
                <w:caps/>
                <w:sz w:val="22"/>
                <w:szCs w:val="22"/>
              </w:rPr>
            </w:pPr>
            <w:r>
              <w:rPr>
                <w:rFonts w:asciiTheme="minorEastAsia" w:hAnsiTheme="minorEastAsia"/>
                <w:caps/>
                <w:sz w:val="22"/>
                <w:szCs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vAlign w:val="center"/>
          </w:tcPr>
          <w:p>
            <w:pPr>
              <w:snapToGrid w:val="0"/>
              <w:jc w:val="center"/>
              <w:rPr>
                <w:rFonts w:asciiTheme="minorEastAsia" w:hAnsiTheme="minorEastAsia"/>
                <w:sz w:val="22"/>
                <w:szCs w:val="22"/>
              </w:rPr>
            </w:pPr>
            <w:r>
              <w:rPr>
                <w:rFonts w:hint="eastAsia" w:cs="Arial" w:asciiTheme="minorEastAsia" w:hAnsiTheme="minorEastAsia"/>
                <w:kern w:val="0"/>
                <w:sz w:val="22"/>
                <w:szCs w:val="22"/>
              </w:rPr>
              <w:t>JWC粉碎型格栅机封</w:t>
            </w:r>
          </w:p>
        </w:tc>
        <w:tc>
          <w:tcPr>
            <w:tcW w:w="992" w:type="dxa"/>
            <w:vAlign w:val="center"/>
          </w:tcPr>
          <w:p>
            <w:pPr>
              <w:snapToGrid w:val="0"/>
              <w:jc w:val="center"/>
              <w:rPr>
                <w:rFonts w:asciiTheme="minorEastAsia" w:hAnsiTheme="minorEastAsia"/>
                <w:sz w:val="22"/>
                <w:szCs w:val="22"/>
              </w:rPr>
            </w:pPr>
            <w:r>
              <w:rPr>
                <w:rFonts w:hint="eastAsia" w:asciiTheme="minorEastAsia" w:hAnsiTheme="minorEastAsia"/>
                <w:sz w:val="22"/>
                <w:szCs w:val="22"/>
              </w:rPr>
              <w:t>14个</w:t>
            </w:r>
          </w:p>
        </w:tc>
        <w:tc>
          <w:tcPr>
            <w:tcW w:w="2078" w:type="dxa"/>
            <w:vAlign w:val="center"/>
          </w:tcPr>
          <w:p>
            <w:pPr>
              <w:pStyle w:val="13"/>
              <w:snapToGrid w:val="0"/>
              <w:jc w:val="center"/>
              <w:rPr>
                <w:rFonts w:asciiTheme="minorEastAsia" w:hAnsiTheme="minorEastAsia"/>
                <w:sz w:val="22"/>
                <w:szCs w:val="22"/>
              </w:rPr>
            </w:pPr>
            <w:r>
              <w:rPr>
                <w:rFonts w:hint="eastAsia" w:asciiTheme="minorEastAsia" w:hAnsiTheme="minorEastAsia"/>
                <w:sz w:val="22"/>
                <w:szCs w:val="22"/>
              </w:rPr>
              <w:t>JWC粉碎型格栅原装机封</w:t>
            </w:r>
          </w:p>
        </w:tc>
        <w:tc>
          <w:tcPr>
            <w:tcW w:w="2442" w:type="dxa"/>
            <w:vAlign w:val="center"/>
          </w:tcPr>
          <w:p>
            <w:pPr>
              <w:adjustRightInd w:val="0"/>
              <w:snapToGrid w:val="0"/>
              <w:jc w:val="center"/>
              <w:rPr>
                <w:rFonts w:asciiTheme="minorEastAsia" w:hAnsiTheme="minorEastAsia"/>
                <w:sz w:val="22"/>
                <w:szCs w:val="22"/>
              </w:rPr>
            </w:pPr>
            <w:r>
              <w:rPr>
                <w:rFonts w:hint="eastAsia" w:asciiTheme="minorEastAsia" w:hAnsiTheme="minorEastAsia"/>
                <w:sz w:val="22"/>
                <w:szCs w:val="22"/>
              </w:rPr>
              <w:t>合同签订后</w:t>
            </w:r>
            <w:r>
              <w:rPr>
                <w:rFonts w:hint="eastAsia" w:asciiTheme="minorEastAsia" w:hAnsiTheme="minorEastAsia"/>
                <w:sz w:val="22"/>
                <w:szCs w:val="22"/>
                <w:u w:val="single"/>
              </w:rPr>
              <w:t>30</w:t>
            </w:r>
            <w:r>
              <w:rPr>
                <w:rFonts w:hint="eastAsia" w:asciiTheme="minorEastAsia" w:hAnsiTheme="minorEastAsia"/>
                <w:sz w:val="22"/>
                <w:szCs w:val="22"/>
              </w:rPr>
              <w:t>日历天</w:t>
            </w:r>
          </w:p>
        </w:tc>
        <w:tc>
          <w:tcPr>
            <w:tcW w:w="1340" w:type="dxa"/>
            <w:vAlign w:val="center"/>
          </w:tcPr>
          <w:p>
            <w:pPr>
              <w:adjustRightInd w:val="0"/>
              <w:snapToGrid w:val="0"/>
              <w:jc w:val="center"/>
              <w:rPr>
                <w:rFonts w:asciiTheme="minorEastAsia" w:hAnsiTheme="minorEastAsia"/>
                <w:sz w:val="22"/>
                <w:szCs w:val="22"/>
              </w:rPr>
            </w:pPr>
            <w:r>
              <w:rPr>
                <w:rFonts w:asciiTheme="minorEastAsia" w:hAnsiTheme="minorEastAsia"/>
                <w:sz w:val="22"/>
                <w:szCs w:val="22"/>
              </w:rPr>
              <w:t>杭州萧山国际机场</w:t>
            </w:r>
          </w:p>
        </w:tc>
      </w:tr>
    </w:tbl>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二、</w:t>
      </w:r>
      <w:r>
        <w:rPr>
          <w:rFonts w:ascii="Arial" w:hAnsi="Arial" w:cs="Arial"/>
          <w:b/>
          <w:bCs/>
          <w:color w:val="000000" w:themeColor="text1"/>
          <w:kern w:val="0"/>
          <w:sz w:val="22"/>
        </w:rPr>
        <w:t> </w:t>
      </w:r>
      <w:r>
        <w:rPr>
          <w:rFonts w:hint="eastAsia" w:ascii="Arial" w:hAnsi="Arial" w:cs="Arial"/>
          <w:b/>
          <w:bCs/>
          <w:color w:val="000000" w:themeColor="text1"/>
          <w:kern w:val="0"/>
          <w:sz w:val="22"/>
        </w:rPr>
        <w:t>投标人资格要求</w:t>
      </w:r>
      <w:r>
        <w:rPr>
          <w:rFonts w:ascii="Arial" w:hAnsi="Arial" w:cs="Arial"/>
          <w:b/>
          <w:bCs/>
          <w:color w:val="000000" w:themeColor="text1"/>
          <w:kern w:val="0"/>
          <w:sz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82"/>
          <w:rFonts w:hint="eastAsia" w:cs="宋体" w:asciiTheme="minorEastAsia" w:hAnsiTheme="minorEastAsia"/>
          <w:sz w:val="22"/>
          <w:szCs w:val="22"/>
        </w:rPr>
        <w:t xml:space="preserve">具有独立法人资格，注册资金不少于人民币 </w:t>
      </w:r>
      <w:r>
        <w:rPr>
          <w:rStyle w:val="82"/>
          <w:rFonts w:hint="eastAsia" w:cs="宋体" w:asciiTheme="minorEastAsia" w:hAnsiTheme="minorEastAsia"/>
          <w:sz w:val="22"/>
          <w:szCs w:val="22"/>
          <w:u w:val="single"/>
        </w:rPr>
        <w:t xml:space="preserve">50 </w:t>
      </w:r>
      <w:r>
        <w:rPr>
          <w:rStyle w:val="82"/>
          <w:rFonts w:hint="eastAsia" w:cs="宋体" w:asciiTheme="minorEastAsia" w:hAnsiTheme="minorEastAsia"/>
          <w:sz w:val="22"/>
          <w:szCs w:val="22"/>
        </w:rPr>
        <w:t>万元或等值外币(按投标截止日中国人民银行公布的汇率中间价换算)</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（2）能独立承担民事责任和履行合同能力，具有良好的商业信誉和健全的财务会计管理制度，有依法缴纳税收和社会保障资金的良好记录，在本次招标前三年内的经营活动中没有重大违法记录和不良记录。</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（3）投标人</w:t>
      </w:r>
      <w:r>
        <w:rPr>
          <w:rFonts w:cs="Arial" w:asciiTheme="minorEastAsia" w:hAnsiTheme="minorEastAsia"/>
          <w:kern w:val="0"/>
          <w:sz w:val="22"/>
          <w:szCs w:val="22"/>
        </w:rPr>
        <w:t>可提供增值税专用发票</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（4）投标人需提供苏尔寿公司授权，机封需为原厂件并提供相应证明材料</w:t>
      </w:r>
      <w:r>
        <w:rPr>
          <w:rFonts w:hint="eastAsia" w:ascii="宋体" w:hAnsi="Arial"/>
          <w:sz w:val="22"/>
          <w:szCs w:val="22"/>
          <w:u w:val="single"/>
        </w:rPr>
        <w:t>(</w:t>
      </w:r>
      <w:r>
        <w:rPr>
          <w:rFonts w:hint="eastAsia" w:ascii="宋体" w:hAnsi="Arial"/>
          <w:sz w:val="22"/>
          <w:szCs w:val="22"/>
          <w:highlight w:val="yellow"/>
          <w:u w:val="single"/>
        </w:rPr>
        <w:t>设备厂家出具的原产地证明</w:t>
      </w:r>
      <w:r>
        <w:rPr>
          <w:rFonts w:hint="eastAsia" w:ascii="宋体" w:hAnsi="Arial"/>
          <w:sz w:val="22"/>
          <w:szCs w:val="22"/>
          <w:u w:val="single"/>
        </w:rPr>
        <w:t>)</w:t>
      </w:r>
      <w:r>
        <w:rPr>
          <w:rFonts w:hint="eastAsia" w:cs="Arial" w:asciiTheme="minorEastAsia" w:hAnsiTheme="minorEastAsia"/>
          <w:kern w:val="0"/>
          <w:sz w:val="22"/>
          <w:szCs w:val="22"/>
        </w:rPr>
        <w:t>。</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（5）</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三、招标文件获取</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color w:val="000000" w:themeColor="text1"/>
          <w:kern w:val="0"/>
          <w:sz w:val="22"/>
        </w:rPr>
        <w:t>http://www.hzairport.com/zbxx.aspx</w:t>
      </w:r>
      <w:r>
        <w:rPr>
          <w:rFonts w:ascii="宋体" w:hAnsi="宋体" w:cs="Arial"/>
          <w:color w:val="000000" w:themeColor="text1"/>
          <w:kern w:val="0"/>
          <w:sz w:val="22"/>
        </w:rPr>
        <w:fldChar w:fldCharType="end"/>
      </w:r>
      <w:r>
        <w:rPr>
          <w:rFonts w:hint="eastAsia" w:ascii="宋体" w:hAnsi="宋体" w:cs="Arial"/>
          <w:color w:val="000000" w:themeColor="text1"/>
          <w:kern w:val="0"/>
          <w:sz w:val="22"/>
        </w:rPr>
        <w:t>自行下载招标文件。</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招标文件下载</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四、投标文件的递交</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w:t>
      </w:r>
      <w:r>
        <w:rPr>
          <w:rFonts w:ascii="宋体" w:hAnsi="宋体" w:cs="Arial"/>
          <w:color w:val="000000" w:themeColor="text1"/>
          <w:kern w:val="0"/>
          <w:sz w:val="22"/>
        </w:rPr>
        <w:t>1）投标文件递交截止时间：</w:t>
      </w:r>
      <w:r>
        <w:rPr>
          <w:rFonts w:hint="eastAsia" w:ascii="宋体" w:hAnsi="宋体" w:cs="Arial"/>
          <w:color w:val="000000" w:themeColor="text1"/>
          <w:kern w:val="0"/>
          <w:sz w:val="22"/>
          <w:lang w:eastAsia="zh-CN"/>
        </w:rPr>
        <w:t>2019年8月9日上午9时15分</w:t>
      </w:r>
      <w:r>
        <w:rPr>
          <w:rFonts w:ascii="宋体" w:hAnsi="宋体" w:cs="Arial"/>
          <w:color w:val="000000" w:themeColor="text1"/>
          <w:kern w:val="0"/>
          <w:sz w:val="22"/>
        </w:rPr>
        <w:t>（北京时间）。投标文件在封口处加盖公章，并派专人于</w:t>
      </w:r>
      <w:r>
        <w:rPr>
          <w:rFonts w:hint="eastAsia" w:ascii="宋体" w:hAnsi="宋体" w:cs="Arial"/>
          <w:color w:val="000000" w:themeColor="text1"/>
          <w:kern w:val="0"/>
          <w:sz w:val="22"/>
          <w:lang w:eastAsia="zh-CN"/>
        </w:rPr>
        <w:t>2019年8月9日上午9时15分</w:t>
      </w:r>
      <w:r>
        <w:rPr>
          <w:rFonts w:ascii="宋体" w:hAnsi="宋体" w:cs="Arial"/>
          <w:color w:val="000000" w:themeColor="text1"/>
          <w:kern w:val="0"/>
          <w:sz w:val="22"/>
        </w:rPr>
        <w:t>（北京时间）前送至杭州萧山国际机场翔越路综合服务楼园区招标中心，逾期无效；若采用投递方式的，请于</w:t>
      </w:r>
      <w:r>
        <w:rPr>
          <w:rFonts w:hint="eastAsia" w:ascii="宋体" w:hAnsi="宋体" w:cs="Arial"/>
          <w:color w:val="000000" w:themeColor="text1"/>
          <w:kern w:val="0"/>
          <w:sz w:val="22"/>
          <w:lang w:eastAsia="zh-CN"/>
        </w:rPr>
        <w:t>2019年8月9日上午9时15分</w:t>
      </w:r>
      <w:r>
        <w:rPr>
          <w:rFonts w:ascii="宋体" w:hAnsi="宋体" w:cs="Arial"/>
          <w:color w:val="000000" w:themeColor="text1"/>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w:t>
      </w:r>
      <w:r>
        <w:rPr>
          <w:rFonts w:ascii="宋体" w:hAnsi="宋体" w:cs="Arial"/>
          <w:color w:val="000000" w:themeColor="text1"/>
          <w:kern w:val="0"/>
          <w:sz w:val="22"/>
        </w:rPr>
        <w:t>2）</w:t>
      </w:r>
      <w:r>
        <w:rPr>
          <w:rFonts w:hint="eastAsia" w:ascii="宋体" w:hAnsi="宋体"/>
          <w:color w:val="000000" w:themeColor="text1"/>
          <w:sz w:val="22"/>
        </w:rPr>
        <w:t>逾期送达或者未送达指定地点的投标文件，招标人不予受理。</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五、发布公告的媒介</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本次招标公告在</w:t>
      </w:r>
      <w:r>
        <w:rPr>
          <w:rFonts w:hint="eastAsia" w:ascii="宋体" w:hAnsi="宋体" w:cs="Arial"/>
          <w:b/>
          <w:color w:val="000000" w:themeColor="text1"/>
          <w:kern w:val="0"/>
          <w:sz w:val="22"/>
        </w:rPr>
        <w:t>中国采购与招标网和杭州萧山机场有限公司</w:t>
      </w:r>
      <w:r>
        <w:rPr>
          <w:rFonts w:hint="eastAsia" w:ascii="宋体" w:hAnsi="宋体" w:cs="Arial"/>
          <w:color w:val="000000" w:themeColor="text1"/>
          <w:kern w:val="0"/>
          <w:sz w:val="22"/>
        </w:rPr>
        <w:t>主页上发布</w:t>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olor w:val="000000" w:themeColor="text1"/>
          <w:sz w:val="22"/>
        </w:rPr>
        <w:t>中国采购与招标网</w:t>
      </w:r>
      <w:r>
        <w:rPr>
          <w:rFonts w:ascii="宋体" w:hAnsi="宋体"/>
          <w:color w:val="000000" w:themeColor="text1"/>
          <w:sz w:val="22"/>
        </w:rPr>
        <w:t xml:space="preserve">  </w:t>
      </w:r>
      <w:r>
        <w:fldChar w:fldCharType="begin"/>
      </w:r>
      <w:r>
        <w:instrText xml:space="preserve"> HYPERLINK "http://www.chinabidding.com.cn" </w:instrText>
      </w:r>
      <w:r>
        <w:fldChar w:fldCharType="separate"/>
      </w:r>
      <w:r>
        <w:rPr>
          <w:rFonts w:ascii="宋体" w:hAnsi="宋体"/>
          <w:color w:val="000000" w:themeColor="text1"/>
          <w:sz w:val="22"/>
        </w:rPr>
        <w:t>http://www.chinabidding.com.cn</w:t>
      </w:r>
      <w:r>
        <w:rPr>
          <w:rFonts w:ascii="宋体" w:hAnsi="宋体"/>
          <w:color w:val="000000" w:themeColor="text1"/>
          <w:sz w:val="22"/>
        </w:rPr>
        <w:fldChar w:fldCharType="end"/>
      </w:r>
    </w:p>
    <w:p>
      <w:pPr>
        <w:widowControl/>
        <w:adjustRightInd w:val="0"/>
        <w:snapToGrid w:val="0"/>
        <w:spacing w:line="340" w:lineRule="exact"/>
        <w:ind w:firstLine="440" w:firstLineChars="200"/>
        <w:rPr>
          <w:rFonts w:ascii="宋体" w:hAnsi="宋体" w:cs="Arial"/>
          <w:color w:val="000000" w:themeColor="text1"/>
          <w:kern w:val="0"/>
          <w:sz w:val="22"/>
        </w:rPr>
      </w:pPr>
      <w:r>
        <w:rPr>
          <w:rFonts w:hint="eastAsia" w:ascii="宋体" w:hAnsi="宋体" w:cs="Arial"/>
          <w:color w:val="000000" w:themeColor="text1"/>
          <w:kern w:val="0"/>
          <w:sz w:val="22"/>
        </w:rPr>
        <w:t>杭州萧山机场有限公司主页</w:t>
      </w:r>
      <w:r>
        <w:rPr>
          <w:rFonts w:ascii="宋体" w:hAnsi="宋体" w:cs="Arial"/>
          <w:color w:val="000000" w:themeColor="text1"/>
          <w:kern w:val="0"/>
          <w:sz w:val="22"/>
        </w:rPr>
        <w:t>http://www.hzairport.com</w:t>
      </w:r>
    </w:p>
    <w:p>
      <w:pPr>
        <w:widowControl/>
        <w:snapToGrid w:val="0"/>
        <w:spacing w:line="340" w:lineRule="exact"/>
        <w:jc w:val="left"/>
        <w:rPr>
          <w:rFonts w:ascii="Arial" w:hAnsi="Arial" w:cs="Arial"/>
          <w:b/>
          <w:bCs/>
          <w:color w:val="000000" w:themeColor="text1"/>
          <w:kern w:val="0"/>
          <w:sz w:val="22"/>
        </w:rPr>
      </w:pPr>
      <w:r>
        <w:rPr>
          <w:rFonts w:hint="eastAsia" w:ascii="Arial" w:hAnsi="Arial" w:cs="Arial"/>
          <w:b/>
          <w:bCs/>
          <w:color w:val="000000" w:themeColor="text1"/>
          <w:kern w:val="0"/>
          <w:sz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招标联系人：何建岗   联系电话： 83833157</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招标监督人：冯卫光   联系电话：86662336</w:t>
      </w:r>
    </w:p>
    <w:p>
      <w:pPr>
        <w:pStyle w:val="51"/>
      </w:pPr>
      <w:r>
        <w:rPr>
          <w:rFonts w:asciiTheme="minorEastAsia" w:hAnsiTheme="minorEastAsia"/>
          <w:bCs w:val="0"/>
          <w:sz w:val="22"/>
          <w:szCs w:val="22"/>
        </w:rPr>
        <w:br w:type="page"/>
      </w:r>
      <w:bookmarkStart w:id="19" w:name="_Toc321925452"/>
      <w:r>
        <w:t>第</w:t>
      </w:r>
      <w:r>
        <w:rPr>
          <w:rFonts w:hint="eastAsia"/>
        </w:rPr>
        <w:t>二</w:t>
      </w:r>
      <w:r>
        <w:t>章投标</w:t>
      </w:r>
      <w:r>
        <w:rPr>
          <w:rFonts w:hint="eastAsia"/>
        </w:rPr>
        <w:t>人须知</w:t>
      </w:r>
      <w:bookmarkEnd w:id="19"/>
    </w:p>
    <w:p>
      <w:pPr>
        <w:pStyle w:val="34"/>
        <w:spacing w:line="240" w:lineRule="auto"/>
        <w:ind w:left="480"/>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ascii="宋体" w:hAnsi="宋体" w:cs="Arial"/>
                <w:kern w:val="0"/>
                <w:sz w:val="22"/>
              </w:rPr>
              <w:t>JWC</w:t>
            </w:r>
            <w:r>
              <w:rPr>
                <w:rFonts w:hint="eastAsia" w:cs="Arial" w:asciiTheme="minorEastAsia" w:hAnsiTheme="minorEastAsia"/>
                <w:kern w:val="0"/>
                <w:sz w:val="22"/>
                <w:szCs w:val="22"/>
              </w:rPr>
              <w:t>粉碎型格栅机封</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82"/>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u w:val="single"/>
              </w:rPr>
              <w:t>30</w:t>
            </w:r>
            <w:r>
              <w:rPr>
                <w:rFonts w:hint="eastAsia"/>
                <w:sz w:val="22"/>
              </w:rPr>
              <w:t>个日历天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Theme="minorEastAsia" w:hAnsiTheme="minorEastAsia"/>
                <w:iCs/>
                <w:sz w:val="22"/>
              </w:rPr>
              <w:t>符</w:t>
            </w:r>
            <w:r>
              <w:rPr>
                <w:rFonts w:hint="eastAsia" w:asciiTheme="minorEastAsia" w:hAnsiTheme="minorEastAsia"/>
                <w:sz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201</w:t>
            </w:r>
            <w:r>
              <w:rPr>
                <w:rFonts w:hint="eastAsia" w:cs="Calibri" w:asciiTheme="minorEastAsia" w:hAnsiTheme="minorEastAsia"/>
                <w:kern w:val="0"/>
                <w:sz w:val="22"/>
              </w:rPr>
              <w:t>9</w:t>
            </w:r>
            <w:r>
              <w:rPr>
                <w:rFonts w:cs="Calibri" w:asciiTheme="minorEastAsia" w:hAnsiTheme="minorEastAsia"/>
                <w:kern w:val="0"/>
                <w:sz w:val="22"/>
              </w:rPr>
              <w:t>年</w:t>
            </w:r>
            <w:r>
              <w:rPr>
                <w:rFonts w:hint="eastAsia" w:cs="Calibri" w:asciiTheme="minorEastAsia" w:hAnsiTheme="minorEastAsia"/>
                <w:kern w:val="0"/>
                <w:sz w:val="22"/>
              </w:rPr>
              <w:t>0</w:t>
            </w:r>
            <w:r>
              <w:rPr>
                <w:rFonts w:hint="eastAsia" w:cs="Calibri" w:asciiTheme="minorEastAsia" w:hAnsiTheme="minorEastAsia"/>
                <w:kern w:val="0"/>
                <w:sz w:val="22"/>
                <w:lang w:val="en-US" w:eastAsia="zh-CN"/>
              </w:rPr>
              <w:t>8</w:t>
            </w:r>
            <w:r>
              <w:rPr>
                <w:rFonts w:cs="Calibri" w:asciiTheme="minorEastAsia" w:hAnsiTheme="minorEastAsia"/>
                <w:kern w:val="0"/>
                <w:sz w:val="22"/>
              </w:rPr>
              <w:t>月</w:t>
            </w:r>
            <w:r>
              <w:rPr>
                <w:rFonts w:hint="eastAsia" w:cs="Calibri" w:asciiTheme="minorEastAsia" w:hAnsiTheme="minorEastAsia"/>
                <w:kern w:val="0"/>
                <w:sz w:val="22"/>
                <w:lang w:val="en-US" w:eastAsia="zh-CN"/>
              </w:rPr>
              <w:t>5</w:t>
            </w:r>
            <w:r>
              <w:rPr>
                <w:rFonts w:cs="Calibri" w:asciiTheme="minorEastAsia" w:hAnsiTheme="minorEastAsia"/>
                <w:kern w:val="0"/>
                <w:sz w:val="22"/>
              </w:rPr>
              <w:t>日11：30前，以E-mail及书面（传真）形式提交给招标</w:t>
            </w:r>
            <w:r>
              <w:rPr>
                <w:rFonts w:hint="eastAsia" w:cs="Calibri" w:asciiTheme="minorEastAsia" w:hAnsiTheme="minorEastAsia"/>
                <w:kern w:val="0"/>
                <w:sz w:val="22"/>
              </w:rPr>
              <w:t>人</w:t>
            </w:r>
            <w:r>
              <w:rPr>
                <w:rFonts w:cs="Calibri" w:asciiTheme="minorEastAsia" w:hAnsiTheme="minorEastAsia"/>
                <w:kern w:val="0"/>
                <w:sz w:val="22"/>
              </w:rPr>
              <w:t>（传真：0571-</w:t>
            </w:r>
            <w:r>
              <w:rPr>
                <w:rFonts w:hint="eastAsia" w:cs="Calibri" w:asciiTheme="minorEastAsia" w:hAnsiTheme="minorEastAsia"/>
                <w:kern w:val="0"/>
                <w:sz w:val="22"/>
              </w:rPr>
              <w:t>83833157</w:t>
            </w:r>
            <w:r>
              <w:rPr>
                <w:rFonts w:cs="Calibri" w:asciiTheme="minorEastAsia" w:hAnsiTheme="minorEastAsia"/>
                <w:kern w:val="0"/>
                <w:sz w:val="22"/>
              </w:rPr>
              <w:t>；邮箱：</w:t>
            </w:r>
            <w:r>
              <w:rPr>
                <w:rFonts w:hint="eastAsia" w:cs="Calibri" w:asciiTheme="minorEastAsia" w:hAnsiTheme="minorEastAsia"/>
                <w:kern w:val="0"/>
                <w:sz w:val="22"/>
              </w:rPr>
              <w:t>99103691@qq.com</w:t>
            </w:r>
            <w:r>
              <w:rPr>
                <w:rFonts w:cs="Calibri" w:asciiTheme="minorEastAsia" w:hAnsiTheme="minorEastAsia"/>
                <w:kern w:val="0"/>
                <w:sz w:val="22"/>
              </w:rPr>
              <w:t>，联系人：</w:t>
            </w:r>
            <w:r>
              <w:rPr>
                <w:rFonts w:hint="eastAsia" w:cs="Calibri" w:asciiTheme="minorEastAsia" w:hAnsiTheme="minorEastAsia"/>
                <w:kern w:val="0"/>
                <w:sz w:val="22"/>
              </w:rPr>
              <w:t>何建岗</w:t>
            </w:r>
            <w:r>
              <w:rPr>
                <w:rFonts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lang w:eastAsia="zh-CN"/>
              </w:rPr>
              <w:t>2019年8月9日上午9时15分</w:t>
            </w:r>
            <w:r>
              <w:rPr>
                <w:rFonts w:hint="eastAsia"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b/>
                <w:sz w:val="22"/>
              </w:rPr>
            </w:pPr>
            <w:r>
              <w:rPr>
                <w:rFonts w:hint="eastAsia" w:ascii="宋体" w:hAnsi="宋体" w:eastAsia="宋体" w:cs="Times New Roman"/>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 xml:space="preserve">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w:t>
            </w:r>
            <w:bookmarkStart w:id="107" w:name="_GoBack"/>
            <w:bookmarkEnd w:id="107"/>
            <w:r>
              <w:rPr>
                <w:rFonts w:hint="eastAsia" w:cs="Calibri" w:asciiTheme="minorEastAsia" w:hAnsiTheme="minorEastAsia"/>
                <w:kern w:val="0"/>
                <w:sz w:val="22"/>
                <w:u w:val="single"/>
              </w:rPr>
              <w:t>粉碎型格栅机封采购</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hint="eastAsia" w:cs="Calibri" w:asciiTheme="minorEastAsia" w:hAnsiTheme="minorEastAsia"/>
                <w:kern w:val="0"/>
                <w:sz w:val="22"/>
              </w:rPr>
              <w:t>2019年08月0</w:t>
            </w:r>
            <w:r>
              <w:rPr>
                <w:rFonts w:hint="eastAsia" w:cs="Calibri" w:asciiTheme="minorEastAsia" w:hAnsiTheme="minorEastAsia"/>
                <w:kern w:val="0"/>
                <w:sz w:val="22"/>
                <w:lang w:val="en-US" w:eastAsia="zh-CN"/>
              </w:rPr>
              <w:t>9</w:t>
            </w:r>
            <w:r>
              <w:rPr>
                <w:rFonts w:hint="eastAsia" w:cs="Calibri" w:asciiTheme="minorEastAsia" w:hAnsiTheme="minorEastAsia"/>
                <w:kern w:val="0"/>
                <w:sz w:val="22"/>
              </w:rPr>
              <w:t>日上午9时</w:t>
            </w:r>
            <w:r>
              <w:rPr>
                <w:rFonts w:hint="eastAsia" w:cs="Calibri" w:asciiTheme="minorEastAsia" w:hAnsiTheme="minorEastAsia"/>
                <w:kern w:val="0"/>
                <w:sz w:val="22"/>
                <w:lang w:val="en-US" w:eastAsia="zh-CN"/>
              </w:rPr>
              <w:t>15</w:t>
            </w:r>
            <w:r>
              <w:rPr>
                <w:rFonts w:hint="eastAsia" w:cs="Calibri" w:asciiTheme="minorEastAsia" w:hAnsiTheme="minorEastAsia"/>
                <w:kern w:val="0"/>
                <w:sz w:val="22"/>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评标专家确定方式：评标委员会成员由招标人评标专家库中抽选的专家组成。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支票、银行汇票或电汇</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0"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20"/>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21"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2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2"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22"/>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3"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2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4"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2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5"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2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6"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2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27"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2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28"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2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29"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2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30"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3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31" w:name="_Toc15241"/>
      <w:bookmarkStart w:id="32" w:name="_Toc143421657"/>
      <w:r>
        <w:rPr>
          <w:rFonts w:cs="Calibri" w:asciiTheme="minorEastAsia" w:hAnsiTheme="minorEastAsia"/>
          <w:b/>
          <w:bCs/>
          <w:kern w:val="0"/>
          <w:sz w:val="22"/>
        </w:rPr>
        <w:t>2.招标文件</w:t>
      </w:r>
      <w:bookmarkEnd w:id="31"/>
      <w:bookmarkEnd w:id="32"/>
    </w:p>
    <w:p>
      <w:pPr>
        <w:autoSpaceDE w:val="0"/>
        <w:autoSpaceDN w:val="0"/>
        <w:adjustRightInd w:val="0"/>
        <w:snapToGrid w:val="0"/>
        <w:spacing w:line="360" w:lineRule="exact"/>
        <w:rPr>
          <w:rFonts w:cs="Calibri" w:asciiTheme="minorEastAsia" w:hAnsiTheme="minorEastAsia"/>
          <w:b/>
          <w:bCs/>
          <w:kern w:val="0"/>
          <w:sz w:val="22"/>
        </w:rPr>
      </w:pPr>
      <w:bookmarkStart w:id="33" w:name="_Toc1426"/>
      <w:r>
        <w:rPr>
          <w:rFonts w:cs="Calibri" w:asciiTheme="minorEastAsia" w:hAnsiTheme="minorEastAsia"/>
          <w:b/>
          <w:bCs/>
          <w:kern w:val="0"/>
          <w:sz w:val="22"/>
        </w:rPr>
        <w:t>2.1 招标文件的组成</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34" w:name="_Toc18230"/>
      <w:r>
        <w:rPr>
          <w:rFonts w:cs="Calibri" w:asciiTheme="minorEastAsia" w:hAnsiTheme="minorEastAsia"/>
          <w:b/>
          <w:bCs/>
          <w:kern w:val="0"/>
          <w:sz w:val="22"/>
        </w:rPr>
        <w:t>2.2 招标文件的澄清</w:t>
      </w:r>
      <w:bookmarkEnd w:id="3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 w:val="21"/>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35" w:name="_Toc18303"/>
      <w:r>
        <w:rPr>
          <w:rFonts w:cs="Calibri" w:asciiTheme="minorEastAsia" w:hAnsiTheme="minorEastAsia"/>
          <w:b/>
          <w:bCs/>
          <w:kern w:val="0"/>
          <w:sz w:val="22"/>
        </w:rPr>
        <w:t>2.3 招标文件的修改</w:t>
      </w:r>
      <w:bookmarkEnd w:id="35"/>
    </w:p>
    <w:p>
      <w:pPr>
        <w:adjustRightInd w:val="0"/>
        <w:snapToGrid w:val="0"/>
        <w:spacing w:line="360" w:lineRule="exact"/>
        <w:ind w:firstLine="440"/>
        <w:rPr>
          <w:rFonts w:ascii="宋体" w:hAnsi="宋体" w:cs="Calibri"/>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36" w:name="_Toc143421658"/>
      <w:bookmarkStart w:id="37" w:name="_Toc18870"/>
      <w:r>
        <w:rPr>
          <w:rFonts w:ascii="宋体" w:hAnsi="宋体" w:cs="Calibri"/>
          <w:b/>
          <w:bCs/>
          <w:kern w:val="0"/>
          <w:sz w:val="22"/>
        </w:rPr>
        <w:t>3.投标文件</w:t>
      </w:r>
      <w:bookmarkEnd w:id="36"/>
      <w:bookmarkEnd w:id="37"/>
    </w:p>
    <w:p>
      <w:pPr>
        <w:autoSpaceDE w:val="0"/>
        <w:autoSpaceDN w:val="0"/>
        <w:adjustRightInd w:val="0"/>
        <w:snapToGrid w:val="0"/>
        <w:spacing w:line="360" w:lineRule="exact"/>
        <w:rPr>
          <w:rFonts w:ascii="宋体" w:hAnsi="宋体" w:cs="Calibri"/>
          <w:b/>
          <w:bCs/>
          <w:kern w:val="0"/>
          <w:sz w:val="22"/>
        </w:rPr>
      </w:pPr>
      <w:bookmarkStart w:id="38" w:name="_Toc461"/>
      <w:r>
        <w:rPr>
          <w:rFonts w:ascii="宋体" w:hAnsi="宋体" w:cs="Calibri"/>
          <w:b/>
          <w:bCs/>
          <w:kern w:val="0"/>
          <w:sz w:val="22"/>
        </w:rPr>
        <w:t>3.1 投标文件的语言和计量单位</w:t>
      </w:r>
      <w:bookmarkEnd w:id="38"/>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39" w:name="_Toc1411"/>
      <w:r>
        <w:rPr>
          <w:rFonts w:ascii="宋体" w:hAnsi="宋体" w:cs="Calibri"/>
          <w:b/>
          <w:bCs/>
          <w:kern w:val="0"/>
          <w:sz w:val="22"/>
        </w:rPr>
        <w:t>3.2 投标文件的组成</w:t>
      </w:r>
      <w:bookmarkEnd w:id="39"/>
    </w:p>
    <w:p>
      <w:pPr>
        <w:adjustRightInd w:val="0"/>
        <w:snapToGrid w:val="0"/>
        <w:spacing w:line="360" w:lineRule="exact"/>
        <w:ind w:firstLine="440"/>
        <w:rPr>
          <w:rFonts w:ascii="宋体" w:hAnsi="宋体" w:cs="Calibri"/>
          <w:sz w:val="22"/>
        </w:rPr>
      </w:pPr>
      <w:bookmarkStart w:id="40"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sz w:val="22"/>
          <w:szCs w:val="22"/>
        </w:rPr>
        <w:t>设备制造商</w:t>
      </w:r>
      <w:r>
        <w:rPr>
          <w:rFonts w:hint="eastAsia" w:ascii="宋体" w:hAnsi="宋体" w:cs="Calibri"/>
          <w:sz w:val="22"/>
          <w:szCs w:val="22"/>
        </w:rPr>
        <w:t>出具</w:t>
      </w:r>
      <w:r>
        <w:rPr>
          <w:rFonts w:ascii="宋体" w:hAnsi="宋体" w:cs="Calibri"/>
          <w:sz w:val="22"/>
          <w:szCs w:val="22"/>
        </w:rPr>
        <w:t>的授权书</w:t>
      </w:r>
      <w:r>
        <w:rPr>
          <w:rFonts w:hint="eastAsia" w:ascii="宋体" w:hAnsi="宋体" w:cs="Calibri"/>
          <w:sz w:val="22"/>
          <w:szCs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40"/>
    </w:p>
    <w:p>
      <w:pPr>
        <w:adjustRightInd w:val="0"/>
        <w:snapToGrid w:val="0"/>
        <w:spacing w:line="360" w:lineRule="exact"/>
        <w:ind w:firstLine="440"/>
        <w:rPr>
          <w:rFonts w:ascii="宋体" w:hAnsi="宋体" w:cs="Calibri"/>
          <w:sz w:val="22"/>
        </w:rPr>
      </w:pPr>
      <w:bookmarkStart w:id="41"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42" w:name="_Toc30464"/>
      <w:r>
        <w:rPr>
          <w:rFonts w:ascii="宋体" w:hAnsi="宋体" w:cs="Calibri"/>
          <w:b/>
          <w:bCs/>
          <w:kern w:val="0"/>
          <w:sz w:val="22"/>
        </w:rPr>
        <w:t>3.5 投标保证金</w:t>
      </w:r>
      <w:bookmarkEnd w:id="4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w:t>
      </w:r>
      <w:r>
        <w:rPr>
          <w:rFonts w:hint="eastAsia" w:ascii="宋体" w:hAnsi="宋体"/>
          <w:sz w:val="22"/>
        </w:rPr>
        <w:t>附息</w:t>
      </w:r>
      <w:r>
        <w:rPr>
          <w:rFonts w:ascii="宋体" w:hAnsi="宋体" w:cs="Calibri"/>
          <w:kern w:val="0"/>
          <w:sz w:val="22"/>
        </w:rPr>
        <w:t>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43" w:name="_Toc29989"/>
      <w:r>
        <w:rPr>
          <w:rFonts w:ascii="宋体" w:hAnsi="宋体" w:cs="Calibri"/>
          <w:b/>
          <w:bCs/>
          <w:kern w:val="0"/>
          <w:sz w:val="22"/>
        </w:rPr>
        <w:t>3.6 投标文件的编制</w:t>
      </w:r>
      <w:bookmarkEnd w:id="43"/>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44" w:name="_Toc143421659"/>
    </w:p>
    <w:p>
      <w:pPr>
        <w:autoSpaceDE w:val="0"/>
        <w:autoSpaceDN w:val="0"/>
        <w:adjustRightInd w:val="0"/>
        <w:snapToGrid w:val="0"/>
        <w:spacing w:line="360" w:lineRule="exact"/>
        <w:rPr>
          <w:rFonts w:ascii="宋体" w:hAnsi="宋体" w:cs="Calibri"/>
          <w:b/>
          <w:bCs/>
          <w:kern w:val="0"/>
          <w:sz w:val="22"/>
        </w:rPr>
      </w:pPr>
      <w:bookmarkStart w:id="45" w:name="_Toc32652"/>
      <w:r>
        <w:rPr>
          <w:rFonts w:ascii="宋体" w:hAnsi="宋体" w:cs="Calibri"/>
          <w:b/>
          <w:bCs/>
          <w:kern w:val="0"/>
          <w:sz w:val="22"/>
        </w:rPr>
        <w:t>4.投标</w:t>
      </w:r>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649"/>
      <w:r>
        <w:rPr>
          <w:rFonts w:ascii="宋体" w:hAnsi="宋体" w:cs="Calibri"/>
          <w:b/>
          <w:bCs/>
          <w:kern w:val="0"/>
          <w:sz w:val="22"/>
        </w:rPr>
        <w:t>4.1 投标文件的密封和标识</w:t>
      </w:r>
      <w:bookmarkEnd w:id="46"/>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47" w:name="_Toc16616"/>
      <w:r>
        <w:rPr>
          <w:rFonts w:ascii="宋体" w:hAnsi="宋体" w:cs="Calibri"/>
          <w:b/>
          <w:bCs/>
          <w:kern w:val="0"/>
          <w:sz w:val="22"/>
        </w:rPr>
        <w:t xml:space="preserve">4.2 投标文件的递交 </w:t>
      </w:r>
      <w:bookmarkEnd w:id="47"/>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48" w:name="_Toc26099"/>
      <w:r>
        <w:rPr>
          <w:rFonts w:ascii="宋体" w:hAnsi="宋体" w:cs="Calibri"/>
          <w:b/>
          <w:bCs/>
          <w:kern w:val="0"/>
          <w:sz w:val="22"/>
        </w:rPr>
        <w:t>4.3 投标文件的修改和撤回</w:t>
      </w:r>
      <w:bookmarkEnd w:id="48"/>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49" w:name="_Toc29641"/>
      <w:r>
        <w:rPr>
          <w:rFonts w:ascii="宋体" w:hAnsi="宋体" w:cs="Calibri"/>
          <w:b/>
          <w:bCs/>
          <w:kern w:val="0"/>
          <w:sz w:val="22"/>
        </w:rPr>
        <w:t>5.开标</w:t>
      </w:r>
      <w:bookmarkEnd w:id="49"/>
    </w:p>
    <w:p>
      <w:pPr>
        <w:autoSpaceDE w:val="0"/>
        <w:autoSpaceDN w:val="0"/>
        <w:adjustRightInd w:val="0"/>
        <w:snapToGrid w:val="0"/>
        <w:spacing w:line="360" w:lineRule="exact"/>
        <w:rPr>
          <w:rFonts w:ascii="宋体" w:hAnsi="宋体" w:cs="Calibri"/>
          <w:b/>
          <w:bCs/>
          <w:kern w:val="0"/>
          <w:sz w:val="22"/>
        </w:rPr>
      </w:pPr>
      <w:bookmarkStart w:id="50" w:name="_Toc15123"/>
      <w:r>
        <w:rPr>
          <w:rFonts w:ascii="宋体" w:hAnsi="宋体" w:cs="Calibri"/>
          <w:b/>
          <w:bCs/>
          <w:kern w:val="0"/>
          <w:sz w:val="22"/>
        </w:rPr>
        <w:t>5.1 开标时间和地点</w:t>
      </w:r>
      <w:bookmarkEnd w:id="50"/>
    </w:p>
    <w:p>
      <w:pPr>
        <w:adjustRightInd w:val="0"/>
        <w:snapToGrid w:val="0"/>
        <w:spacing w:line="360" w:lineRule="exact"/>
        <w:ind w:firstLine="44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51" w:name="_Toc7101"/>
      <w:r>
        <w:rPr>
          <w:rFonts w:ascii="宋体" w:hAnsi="宋体" w:cs="Calibri"/>
          <w:b/>
          <w:bCs/>
          <w:kern w:val="0"/>
          <w:sz w:val="22"/>
        </w:rPr>
        <w:t>5.2 开标程序</w:t>
      </w:r>
      <w:bookmarkEnd w:id="51"/>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52" w:name="_Toc31578"/>
      <w:r>
        <w:rPr>
          <w:rFonts w:ascii="宋体" w:hAnsi="宋体" w:cs="Calibri"/>
          <w:b/>
          <w:bCs/>
          <w:kern w:val="0"/>
          <w:sz w:val="22"/>
        </w:rPr>
        <w:t>6.评标</w:t>
      </w:r>
      <w:bookmarkEnd w:id="52"/>
    </w:p>
    <w:p>
      <w:pPr>
        <w:autoSpaceDE w:val="0"/>
        <w:autoSpaceDN w:val="0"/>
        <w:adjustRightInd w:val="0"/>
        <w:snapToGrid w:val="0"/>
        <w:spacing w:line="360" w:lineRule="exact"/>
        <w:rPr>
          <w:rFonts w:ascii="宋体" w:hAnsi="宋体" w:cs="Calibri"/>
          <w:b/>
          <w:bCs/>
          <w:kern w:val="0"/>
          <w:sz w:val="22"/>
        </w:rPr>
      </w:pPr>
      <w:bookmarkStart w:id="53" w:name="_Toc10279"/>
      <w:r>
        <w:rPr>
          <w:rFonts w:ascii="宋体" w:hAnsi="宋体" w:cs="Calibri"/>
          <w:b/>
          <w:bCs/>
          <w:kern w:val="0"/>
          <w:sz w:val="22"/>
        </w:rPr>
        <w:t>6.1 评标委员会</w:t>
      </w:r>
      <w:bookmarkEnd w:id="53"/>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54" w:name="_Toc3460"/>
      <w:r>
        <w:rPr>
          <w:rFonts w:ascii="宋体" w:hAnsi="宋体" w:cs="Calibri"/>
          <w:b/>
          <w:bCs/>
          <w:kern w:val="0"/>
          <w:sz w:val="22"/>
        </w:rPr>
        <w:t>6.2 评标原则</w:t>
      </w:r>
      <w:bookmarkEnd w:id="54"/>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55" w:name="_Toc28178"/>
      <w:r>
        <w:rPr>
          <w:rFonts w:ascii="宋体" w:hAnsi="宋体" w:cs="Calibri"/>
          <w:b/>
          <w:bCs/>
          <w:kern w:val="0"/>
          <w:sz w:val="22"/>
        </w:rPr>
        <w:t>6.3 评标</w:t>
      </w:r>
      <w:bookmarkEnd w:id="55"/>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56" w:name="_Toc24237"/>
      <w:r>
        <w:rPr>
          <w:rFonts w:ascii="宋体" w:hAnsi="宋体" w:cs="Calibri"/>
          <w:b/>
          <w:bCs/>
          <w:kern w:val="0"/>
          <w:sz w:val="22"/>
        </w:rPr>
        <w:t>7.合同授予</w:t>
      </w:r>
      <w:bookmarkEnd w:id="56"/>
    </w:p>
    <w:p>
      <w:pPr>
        <w:autoSpaceDE w:val="0"/>
        <w:autoSpaceDN w:val="0"/>
        <w:adjustRightInd w:val="0"/>
        <w:snapToGrid w:val="0"/>
        <w:spacing w:line="360" w:lineRule="exact"/>
        <w:rPr>
          <w:rFonts w:ascii="宋体" w:hAnsi="宋体" w:cs="Calibri"/>
          <w:b/>
          <w:bCs/>
          <w:kern w:val="0"/>
          <w:sz w:val="22"/>
        </w:rPr>
      </w:pPr>
      <w:bookmarkStart w:id="57" w:name="_Toc18809"/>
      <w:r>
        <w:rPr>
          <w:rFonts w:ascii="宋体" w:hAnsi="宋体" w:cs="Calibri"/>
          <w:b/>
          <w:bCs/>
          <w:kern w:val="0"/>
          <w:sz w:val="22"/>
        </w:rPr>
        <w:t>7.1 定标方式</w:t>
      </w:r>
      <w:bookmarkEnd w:id="57"/>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58" w:name="_Toc14573"/>
      <w:r>
        <w:rPr>
          <w:rFonts w:ascii="宋体" w:hAnsi="宋体" w:cs="Calibri"/>
          <w:b/>
          <w:bCs/>
          <w:kern w:val="0"/>
          <w:sz w:val="22"/>
        </w:rPr>
        <w:t>7.2 中标通知</w:t>
      </w:r>
      <w:bookmarkEnd w:id="58"/>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r>
        <w:rPr>
          <w:rFonts w:hint="eastAsia" w:ascii="宋体" w:hAnsi="宋体" w:cs="Calibri"/>
          <w:kern w:val="0"/>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59" w:name="_Toc27132"/>
      <w:r>
        <w:rPr>
          <w:rFonts w:ascii="宋体" w:hAnsi="宋体" w:cs="Calibri"/>
          <w:b/>
          <w:bCs/>
          <w:kern w:val="0"/>
          <w:sz w:val="22"/>
        </w:rPr>
        <w:t>7.3 履约</w:t>
      </w:r>
      <w:r>
        <w:rPr>
          <w:rFonts w:hint="eastAsia" w:ascii="宋体" w:hAnsi="宋体" w:cs="Calibri"/>
          <w:b/>
          <w:bCs/>
          <w:kern w:val="0"/>
          <w:sz w:val="22"/>
        </w:rPr>
        <w:t>保证金</w:t>
      </w:r>
      <w:bookmarkEnd w:id="59"/>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60" w:name="_Toc27581"/>
      <w:r>
        <w:rPr>
          <w:rFonts w:ascii="宋体" w:hAnsi="宋体" w:cs="Calibri"/>
          <w:b/>
          <w:bCs/>
          <w:kern w:val="0"/>
          <w:sz w:val="22"/>
        </w:rPr>
        <w:t>7.4 签订合同</w:t>
      </w:r>
      <w:bookmarkEnd w:id="60"/>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61" w:name="_Toc219809801"/>
      <w:bookmarkStart w:id="62" w:name="_Toc220123241"/>
      <w:bookmarkStart w:id="63"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61"/>
      <w:bookmarkEnd w:id="62"/>
      <w:bookmarkEnd w:id="63"/>
    </w:p>
    <w:p>
      <w:pPr>
        <w:autoSpaceDE w:val="0"/>
        <w:autoSpaceDN w:val="0"/>
        <w:adjustRightInd w:val="0"/>
        <w:snapToGrid w:val="0"/>
        <w:spacing w:line="360" w:lineRule="exact"/>
        <w:rPr>
          <w:rFonts w:ascii="宋体" w:hAnsi="宋体" w:cs="Calibri"/>
          <w:b/>
          <w:bCs/>
          <w:kern w:val="0"/>
          <w:sz w:val="22"/>
        </w:rPr>
      </w:pPr>
      <w:bookmarkStart w:id="64" w:name="_Toc220123242"/>
      <w:bookmarkStart w:id="65" w:name="_Toc15553"/>
      <w:bookmarkStart w:id="66" w:name="_Toc219809802"/>
      <w:r>
        <w:rPr>
          <w:rFonts w:ascii="宋体" w:hAnsi="宋体" w:cs="Calibri"/>
          <w:b/>
          <w:bCs/>
          <w:kern w:val="0"/>
          <w:sz w:val="22"/>
        </w:rPr>
        <w:t>8.1 重新招标</w:t>
      </w:r>
      <w:bookmarkEnd w:id="64"/>
      <w:bookmarkEnd w:id="65"/>
      <w:bookmarkEnd w:id="6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67" w:name="_Toc219809803"/>
      <w:bookmarkStart w:id="68" w:name="_Toc220123243"/>
      <w:bookmarkStart w:id="69" w:name="_Toc18806"/>
      <w:r>
        <w:rPr>
          <w:rFonts w:ascii="宋体" w:hAnsi="宋体" w:cs="Calibri"/>
          <w:b/>
          <w:bCs/>
          <w:kern w:val="0"/>
          <w:sz w:val="22"/>
        </w:rPr>
        <w:t>8.2 不再招标</w:t>
      </w:r>
      <w:bookmarkEnd w:id="67"/>
      <w:bookmarkEnd w:id="68"/>
      <w:bookmarkEnd w:id="69"/>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70" w:name="_Toc215941254"/>
      <w:bookmarkStart w:id="71" w:name="_Toc219809804"/>
      <w:bookmarkStart w:id="72" w:name="_Toc220123244"/>
      <w:bookmarkStart w:id="73" w:name="_Toc2986"/>
      <w:r>
        <w:rPr>
          <w:rFonts w:ascii="宋体" w:hAnsi="宋体" w:cs="Calibri"/>
          <w:b/>
          <w:bCs/>
          <w:kern w:val="0"/>
          <w:sz w:val="22"/>
        </w:rPr>
        <w:t>9.纪律和监督</w:t>
      </w:r>
      <w:bookmarkEnd w:id="70"/>
      <w:bookmarkEnd w:id="71"/>
      <w:bookmarkEnd w:id="72"/>
      <w:bookmarkEnd w:id="73"/>
    </w:p>
    <w:p>
      <w:pPr>
        <w:autoSpaceDE w:val="0"/>
        <w:autoSpaceDN w:val="0"/>
        <w:adjustRightInd w:val="0"/>
        <w:snapToGrid w:val="0"/>
        <w:spacing w:line="360" w:lineRule="exact"/>
        <w:rPr>
          <w:rFonts w:ascii="宋体" w:hAnsi="宋体" w:cs="Calibri"/>
          <w:b/>
          <w:bCs/>
          <w:kern w:val="0"/>
          <w:sz w:val="22"/>
        </w:rPr>
      </w:pPr>
      <w:bookmarkStart w:id="74" w:name="_Toc5509"/>
      <w:bookmarkStart w:id="75" w:name="_Toc220123245"/>
      <w:bookmarkStart w:id="76" w:name="_Toc219809805"/>
      <w:r>
        <w:rPr>
          <w:rFonts w:ascii="宋体" w:hAnsi="宋体" w:cs="Calibri"/>
          <w:b/>
          <w:bCs/>
          <w:kern w:val="0"/>
          <w:sz w:val="22"/>
        </w:rPr>
        <w:t>9.1 对招标人的纪律要求</w:t>
      </w:r>
      <w:bookmarkEnd w:id="74"/>
      <w:bookmarkEnd w:id="75"/>
      <w:bookmarkEnd w:id="7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77" w:name="_Toc220123246"/>
      <w:bookmarkStart w:id="78" w:name="_Toc219809806"/>
      <w:bookmarkStart w:id="79" w:name="_Toc10820"/>
      <w:r>
        <w:rPr>
          <w:rFonts w:ascii="宋体" w:hAnsi="宋体" w:cs="Calibri"/>
          <w:b/>
          <w:bCs/>
          <w:kern w:val="0"/>
          <w:sz w:val="22"/>
        </w:rPr>
        <w:t>9.2 对投标人的纪律要求</w:t>
      </w:r>
      <w:bookmarkEnd w:id="77"/>
      <w:bookmarkEnd w:id="78"/>
      <w:bookmarkEnd w:id="7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rPr>
          <w:rFonts w:ascii="宋体" w:hAnsi="宋体" w:cs="Calibri"/>
          <w:b/>
          <w:bCs/>
          <w:kern w:val="0"/>
          <w:sz w:val="22"/>
        </w:rPr>
      </w:pPr>
      <w:bookmarkStart w:id="80" w:name="_Toc220123247"/>
      <w:bookmarkStart w:id="81" w:name="_Toc10756"/>
      <w:bookmarkStart w:id="82" w:name="_Toc219809807"/>
      <w:r>
        <w:rPr>
          <w:rFonts w:ascii="宋体" w:hAnsi="宋体" w:cs="Calibri"/>
          <w:b/>
          <w:bCs/>
          <w:kern w:val="0"/>
          <w:sz w:val="22"/>
        </w:rPr>
        <w:t>9.3 对评标委员会成员的纪律要求</w:t>
      </w:r>
      <w:bookmarkEnd w:id="80"/>
      <w:bookmarkEnd w:id="81"/>
      <w:bookmarkEnd w:id="8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83" w:name="_Toc220123248"/>
      <w:bookmarkStart w:id="84" w:name="_Toc219809808"/>
      <w:bookmarkStart w:id="85" w:name="_Toc12792"/>
      <w:r>
        <w:rPr>
          <w:rFonts w:ascii="宋体" w:hAnsi="宋体" w:cs="Calibri"/>
          <w:b/>
          <w:bCs/>
          <w:kern w:val="0"/>
          <w:sz w:val="22"/>
        </w:rPr>
        <w:t>9.4 对评标活动有关的工作人员的纪律要求</w:t>
      </w:r>
      <w:bookmarkEnd w:id="83"/>
      <w:bookmarkEnd w:id="84"/>
      <w:bookmarkEnd w:id="8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86" w:name="_Toc220123249"/>
      <w:bookmarkStart w:id="87" w:name="_Toc239"/>
      <w:bookmarkStart w:id="88" w:name="_Toc219809809"/>
      <w:r>
        <w:rPr>
          <w:rFonts w:ascii="宋体" w:hAnsi="宋体" w:cs="Calibri"/>
          <w:b/>
          <w:bCs/>
          <w:kern w:val="0"/>
          <w:sz w:val="22"/>
        </w:rPr>
        <w:t>9.5 投诉</w:t>
      </w:r>
      <w:bookmarkEnd w:id="86"/>
      <w:bookmarkEnd w:id="87"/>
      <w:bookmarkEnd w:id="8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89" w:name="_Toc10817"/>
      <w:r>
        <w:rPr>
          <w:rFonts w:ascii="宋体" w:hAnsi="宋体" w:cs="Calibri"/>
          <w:b/>
          <w:bCs/>
          <w:kern w:val="0"/>
          <w:sz w:val="22"/>
        </w:rPr>
        <w:t>10. 需要补充的其他内容</w:t>
      </w:r>
      <w:bookmarkEnd w:id="89"/>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51"/>
      </w:pPr>
      <w:r>
        <w:rPr>
          <w:sz w:val="24"/>
        </w:rPr>
        <w:br w:type="page"/>
      </w:r>
      <w:bookmarkStart w:id="90" w:name="_Toc321925453"/>
      <w:r>
        <w:t>第</w:t>
      </w:r>
      <w:r>
        <w:rPr>
          <w:rFonts w:hint="eastAsia"/>
        </w:rPr>
        <w:t>三</w:t>
      </w:r>
      <w:r>
        <w:t>章</w:t>
      </w:r>
      <w:r>
        <w:rPr>
          <w:rFonts w:hint="eastAsia"/>
        </w:rPr>
        <w:t xml:space="preserve"> </w:t>
      </w:r>
      <w:r>
        <w:t>货物需求一览表及技术规格</w:t>
      </w:r>
      <w:bookmarkEnd w:id="90"/>
    </w:p>
    <w:p>
      <w:pPr>
        <w:ind w:firstLine="480" w:firstLineChars="200"/>
      </w:pPr>
    </w:p>
    <w:p>
      <w:pPr>
        <w:ind w:firstLine="480" w:firstLineChars="200"/>
      </w:pPr>
      <w:r>
        <w:rPr>
          <w:rFonts w:hint="eastAsia"/>
        </w:rPr>
        <w:t>杭州萧山国际机场目前有地埋式污水提升泵站5座，使用JWC品牌粉碎型格栅共计7台（型号：4台30005-0018,2台30005-0032,1台CMD1810），最早的格栅使用至今已超过6年。在泵站里粉碎型格栅需要24小时不间断运行，而根据污水内的杂质情况需不定期更换磨损的机封。为保证设备今后的运行效率，现需要采购机封进行更换及临时库存以备急用。</w:t>
      </w:r>
    </w:p>
    <w:p>
      <w:pPr>
        <w:widowControl/>
        <w:shd w:val="solid" w:color="FFFFFF" w:fill="auto"/>
        <w:autoSpaceDN w:val="0"/>
        <w:spacing w:before="100" w:beforeAutospacing="1" w:after="100" w:afterAutospacing="1" w:line="345" w:lineRule="atLeast"/>
        <w:ind w:left="420"/>
        <w:jc w:val="left"/>
        <w:rPr>
          <w:rFonts w:ascii="宋体" w:hAnsi="宋体"/>
        </w:rPr>
      </w:pPr>
      <w:r>
        <w:rPr>
          <w:rFonts w:hint="eastAsia" w:ascii="宋体" w:hAnsi="宋体"/>
        </w:rPr>
        <w:t xml:space="preserve">JWC粉碎型格栅原装机封：  </w:t>
      </w:r>
      <w:r>
        <w:rPr>
          <w:rFonts w:hint="eastAsia" w:ascii="宋体" w:hAnsi="宋体"/>
          <w:color w:val="FF0000"/>
        </w:rPr>
        <w:t>14套</w:t>
      </w:r>
    </w:p>
    <w:p>
      <w:pPr>
        <w:shd w:val="solid" w:color="FFFFFF" w:fill="auto"/>
        <w:tabs>
          <w:tab w:val="left" w:pos="425"/>
        </w:tabs>
        <w:autoSpaceDN w:val="0"/>
        <w:adjustRightInd w:val="0"/>
        <w:spacing w:before="100" w:beforeAutospacing="1" w:after="100" w:afterAutospacing="1" w:line="288" w:lineRule="auto"/>
        <w:ind w:firstLine="472" w:firstLineChars="196"/>
        <w:contextualSpacing/>
        <w:rPr>
          <w:rFonts w:ascii="Helvetica" w:hAnsi="宋体"/>
          <w:b/>
          <w:shd w:val="clear" w:color="auto" w:fill="FFFFFF"/>
        </w:rPr>
      </w:pPr>
      <w:r>
        <w:rPr>
          <w:rFonts w:hint="eastAsia" w:ascii="Helvetica" w:hAnsi="宋体"/>
          <w:b/>
          <w:shd w:val="clear" w:color="auto" w:fill="FFFFFF"/>
        </w:rPr>
        <w:t>产品质量要求及技术要求</w:t>
      </w:r>
    </w:p>
    <w:p>
      <w:pPr>
        <w:shd w:val="solid" w:color="FFFFFF" w:fill="auto"/>
        <w:tabs>
          <w:tab w:val="left" w:pos="425"/>
        </w:tabs>
        <w:autoSpaceDN w:val="0"/>
        <w:adjustRightInd w:val="0"/>
        <w:spacing w:before="100" w:beforeAutospacing="1" w:after="100" w:afterAutospacing="1" w:line="288" w:lineRule="auto"/>
        <w:ind w:firstLine="472" w:firstLineChars="196"/>
        <w:contextualSpacing/>
        <w:rPr>
          <w:rFonts w:ascii="Helvetica" w:hAnsi="宋体"/>
          <w:b/>
          <w:shd w:val="clear" w:color="auto" w:fill="FFFFFF"/>
        </w:rPr>
      </w:pPr>
    </w:p>
    <w:tbl>
      <w:tblPr>
        <w:tblStyle w:val="58"/>
        <w:tblW w:w="8355" w:type="dxa"/>
        <w:tblInd w:w="3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5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2355" w:type="dxa"/>
            <w:tcMar>
              <w:top w:w="0" w:type="dxa"/>
              <w:left w:w="108" w:type="dxa"/>
              <w:bottom w:w="0" w:type="dxa"/>
              <w:right w:w="108" w:type="dxa"/>
            </w:tcMar>
            <w:vAlign w:val="bottom"/>
          </w:tcPr>
          <w:p>
            <w:pPr>
              <w:rPr>
                <w:sz w:val="22"/>
                <w:szCs w:val="22"/>
              </w:rPr>
            </w:pPr>
            <w:r>
              <w:rPr>
                <w:color w:val="000000"/>
              </w:rPr>
              <w:t> </w:t>
            </w:r>
            <w:r>
              <w:rPr>
                <w:rFonts w:hint="eastAsia"/>
                <w:color w:val="000000"/>
              </w:rPr>
              <w:t>机封</w:t>
            </w:r>
            <w:r>
              <w:rPr>
                <w:rFonts w:hint="eastAsia" w:ascii="等线" w:hAnsi="等线" w:eastAsia="等线"/>
                <w:color w:val="000000"/>
              </w:rPr>
              <w:t>零件号</w:t>
            </w:r>
          </w:p>
        </w:tc>
        <w:tc>
          <w:tcPr>
            <w:tcW w:w="6000" w:type="dxa"/>
            <w:tcMar>
              <w:top w:w="0" w:type="dxa"/>
              <w:left w:w="108" w:type="dxa"/>
              <w:bottom w:w="0" w:type="dxa"/>
              <w:right w:w="108" w:type="dxa"/>
            </w:tcMar>
            <w:vAlign w:val="bottom"/>
          </w:tcPr>
          <w:p>
            <w:pPr>
              <w:jc w:val="center"/>
            </w:pPr>
            <w:r>
              <w:rPr>
                <w:rFonts w:hint="eastAsia" w:ascii="等线" w:hAnsi="等线" w:eastAsia="等线"/>
              </w:rPr>
              <w:t>机封描述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0" w:hRule="atLeast"/>
        </w:trPr>
        <w:tc>
          <w:tcPr>
            <w:tcW w:w="2355" w:type="dxa"/>
            <w:tcMar>
              <w:top w:w="0" w:type="dxa"/>
              <w:left w:w="108" w:type="dxa"/>
              <w:bottom w:w="0" w:type="dxa"/>
              <w:right w:w="108" w:type="dxa"/>
            </w:tcMar>
            <w:vAlign w:val="bottom"/>
          </w:tcPr>
          <w:p>
            <w:pPr>
              <w:rPr>
                <w:rFonts w:ascii="Calibri" w:hAnsi="Calibri" w:cs="Calibri"/>
                <w:sz w:val="22"/>
                <w:szCs w:val="22"/>
              </w:rPr>
            </w:pPr>
            <w:r>
              <w:rPr>
                <w:rFonts w:ascii="Arial" w:hAnsi="Arial" w:cs="Arial"/>
                <w:sz w:val="20"/>
                <w:szCs w:val="20"/>
              </w:rPr>
              <w:t>A35520-TB-SS</w:t>
            </w:r>
          </w:p>
        </w:tc>
        <w:tc>
          <w:tcPr>
            <w:tcW w:w="6000" w:type="dxa"/>
            <w:tcMar>
              <w:top w:w="0" w:type="dxa"/>
              <w:left w:w="108" w:type="dxa"/>
              <w:bottom w:w="0" w:type="dxa"/>
              <w:right w:w="108" w:type="dxa"/>
            </w:tcMar>
            <w:vAlign w:val="bottom"/>
          </w:tcPr>
          <w:p>
            <w:r>
              <w:rPr>
                <w:rFonts w:ascii="Arial" w:hAnsi="Arial" w:cs="Arial"/>
                <w:sz w:val="20"/>
                <w:szCs w:val="20"/>
              </w:rPr>
              <w:t>  SEAL ASSY, 2" HEX DRIVE BUNA</w:t>
            </w:r>
            <w:r>
              <w:rPr>
                <w:rFonts w:hint="eastAsia" w:ascii="Arial" w:hAnsi="Arial" w:cs="Arial"/>
                <w:sz w:val="20"/>
                <w:szCs w:val="20"/>
              </w:rPr>
              <w:t>（组合式专用机械密封）</w:t>
            </w:r>
          </w:p>
        </w:tc>
      </w:tr>
    </w:tbl>
    <w:p>
      <w:pPr>
        <w:shd w:val="solid" w:color="FFFFFF" w:fill="auto"/>
        <w:tabs>
          <w:tab w:val="left" w:pos="425"/>
        </w:tabs>
        <w:autoSpaceDN w:val="0"/>
        <w:spacing w:before="280" w:beforeAutospacing="1" w:after="280" w:afterAutospacing="1" w:line="288" w:lineRule="auto"/>
        <w:ind w:firstLine="472"/>
        <w:contextualSpacing/>
        <w:rPr>
          <w:rFonts w:ascii="Helvetica" w:hAnsi="宋体"/>
          <w:b/>
          <w:shd w:val="clear" w:color="000000" w:fill="FFFFFF"/>
        </w:rPr>
      </w:pPr>
    </w:p>
    <w:p>
      <w:pPr>
        <w:shd w:val="solid" w:color="FFFFFF" w:fill="auto"/>
        <w:tabs>
          <w:tab w:val="left" w:pos="425"/>
        </w:tabs>
        <w:autoSpaceDN w:val="0"/>
        <w:spacing w:before="280" w:beforeAutospacing="1" w:after="280" w:afterAutospacing="1" w:line="288" w:lineRule="auto"/>
        <w:ind w:firstLine="360"/>
        <w:contextualSpacing/>
        <w:rPr>
          <w:rFonts w:ascii="Helvetica" w:hAnsi="宋体"/>
          <w:shd w:val="clear" w:color="000000" w:fill="FFFFFF"/>
        </w:rPr>
      </w:pPr>
      <w:r>
        <w:rPr>
          <w:rFonts w:hint="eastAsia" w:ascii="Helvetica" w:hAnsi="宋体"/>
          <w:shd w:val="clear" w:color="000000" w:fill="FFFFFF"/>
        </w:rPr>
        <w:t>质量及技术要求：产品需设备原始供应商苏尔寿提供的原产配件！</w:t>
      </w:r>
    </w:p>
    <w:p>
      <w:pPr>
        <w:widowControl/>
        <w:jc w:val="left"/>
        <w:rPr>
          <w:rFonts w:ascii="Cambria" w:hAnsi="Cambria" w:eastAsia="黑体" w:cs="Times New Roman"/>
          <w:b/>
          <w:bCs/>
          <w:kern w:val="0"/>
          <w:sz w:val="28"/>
          <w:szCs w:val="28"/>
        </w:rPr>
      </w:pPr>
      <w:r>
        <w:rPr>
          <w:sz w:val="22"/>
          <w:szCs w:val="22"/>
        </w:rPr>
        <w:br w:type="page"/>
      </w:r>
    </w:p>
    <w:p>
      <w:pPr>
        <w:pStyle w:val="51"/>
      </w:pPr>
      <w:bookmarkStart w:id="91" w:name="_Toc321925454"/>
      <w:r>
        <w:rPr>
          <w:rFonts w:hint="eastAsia"/>
        </w:rPr>
        <w:t>第四章</w:t>
      </w:r>
      <w:r>
        <w:t>合同条款</w:t>
      </w:r>
      <w:bookmarkEnd w:id="91"/>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杭州萧山国际机场【JWC粉碎型格栅机封】采购合同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黑体" w:hAnsi="黑体" w:eastAsia="黑体"/>
          <w:b/>
          <w:bCs/>
          <w:sz w:val="28"/>
          <w:szCs w:val="28"/>
        </w:rPr>
      </w:pPr>
      <w:r>
        <w:rPr>
          <w:rFonts w:hint="eastAsia" w:ascii="黑体" w:hAnsi="黑体" w:eastAsia="黑体"/>
          <w:b/>
          <w:bCs/>
          <w:sz w:val="28"/>
          <w:szCs w:val="28"/>
        </w:rPr>
        <w:t>一、货物规格型号及参数</w:t>
      </w:r>
    </w:p>
    <w:tbl>
      <w:tblPr>
        <w:tblStyle w:val="58"/>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序号</w:t>
            </w:r>
          </w:p>
        </w:tc>
        <w:tc>
          <w:tcPr>
            <w:tcW w:w="1559"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820"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150"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单位</w:t>
            </w:r>
          </w:p>
        </w:tc>
        <w:tc>
          <w:tcPr>
            <w:tcW w:w="1180"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数量</w:t>
            </w:r>
          </w:p>
        </w:tc>
        <w:tc>
          <w:tcPr>
            <w:tcW w:w="1134"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单价</w:t>
            </w:r>
          </w:p>
        </w:tc>
        <w:tc>
          <w:tcPr>
            <w:tcW w:w="1476" w:type="dxa"/>
            <w:vAlign w:val="center"/>
          </w:tcPr>
          <w:p>
            <w:pPr>
              <w:pStyle w:val="132"/>
              <w:spacing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1" w:type="dxa"/>
            <w:vAlign w:val="center"/>
          </w:tcPr>
          <w:p>
            <w:pPr>
              <w:pStyle w:val="132"/>
              <w:spacing w:line="560" w:lineRule="exact"/>
              <w:jc w:val="center"/>
              <w:rPr>
                <w:rFonts w:ascii="黑体" w:hAnsi="黑体" w:eastAsia="黑体"/>
                <w:sz w:val="28"/>
                <w:szCs w:val="28"/>
              </w:rPr>
            </w:pPr>
          </w:p>
        </w:tc>
        <w:tc>
          <w:tcPr>
            <w:tcW w:w="1559" w:type="dxa"/>
            <w:vAlign w:val="center"/>
          </w:tcPr>
          <w:p>
            <w:pPr>
              <w:pStyle w:val="132"/>
              <w:spacing w:line="560" w:lineRule="exact"/>
              <w:jc w:val="center"/>
              <w:rPr>
                <w:rFonts w:ascii="黑体" w:hAnsi="黑体" w:eastAsia="黑体"/>
                <w:sz w:val="28"/>
                <w:szCs w:val="28"/>
              </w:rPr>
            </w:pPr>
          </w:p>
        </w:tc>
        <w:tc>
          <w:tcPr>
            <w:tcW w:w="1820" w:type="dxa"/>
            <w:vAlign w:val="center"/>
          </w:tcPr>
          <w:p>
            <w:pPr>
              <w:pStyle w:val="132"/>
              <w:spacing w:line="560" w:lineRule="exact"/>
              <w:jc w:val="center"/>
              <w:rPr>
                <w:rFonts w:ascii="黑体" w:hAnsi="黑体" w:eastAsia="黑体"/>
                <w:sz w:val="28"/>
                <w:szCs w:val="28"/>
              </w:rPr>
            </w:pPr>
          </w:p>
        </w:tc>
        <w:tc>
          <w:tcPr>
            <w:tcW w:w="2150" w:type="dxa"/>
            <w:vAlign w:val="center"/>
          </w:tcPr>
          <w:p>
            <w:pPr>
              <w:pStyle w:val="132"/>
              <w:spacing w:line="560" w:lineRule="exact"/>
              <w:jc w:val="center"/>
              <w:rPr>
                <w:rFonts w:ascii="黑体" w:hAnsi="黑体" w:eastAsia="黑体"/>
                <w:sz w:val="28"/>
                <w:szCs w:val="28"/>
              </w:rPr>
            </w:pPr>
          </w:p>
        </w:tc>
        <w:tc>
          <w:tcPr>
            <w:tcW w:w="1180" w:type="dxa"/>
            <w:vAlign w:val="center"/>
          </w:tcPr>
          <w:p>
            <w:pPr>
              <w:pStyle w:val="132"/>
              <w:spacing w:line="560" w:lineRule="exact"/>
              <w:ind w:firstLine="140" w:firstLineChars="50"/>
              <w:jc w:val="center"/>
              <w:rPr>
                <w:rFonts w:ascii="黑体" w:hAnsi="黑体" w:eastAsia="黑体"/>
                <w:sz w:val="28"/>
                <w:szCs w:val="28"/>
              </w:rPr>
            </w:pPr>
          </w:p>
        </w:tc>
        <w:tc>
          <w:tcPr>
            <w:tcW w:w="1134" w:type="dxa"/>
            <w:vAlign w:val="center"/>
          </w:tcPr>
          <w:p>
            <w:pPr>
              <w:pStyle w:val="132"/>
              <w:spacing w:line="560" w:lineRule="exact"/>
              <w:jc w:val="center"/>
              <w:rPr>
                <w:rFonts w:ascii="黑体" w:hAnsi="黑体" w:eastAsia="黑体"/>
                <w:sz w:val="28"/>
                <w:szCs w:val="28"/>
              </w:rPr>
            </w:pPr>
          </w:p>
        </w:tc>
        <w:tc>
          <w:tcPr>
            <w:tcW w:w="1476" w:type="dxa"/>
            <w:vAlign w:val="center"/>
          </w:tcPr>
          <w:p>
            <w:pPr>
              <w:pStyle w:val="132"/>
              <w:spacing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32"/>
              <w:spacing w:line="560" w:lineRule="exact"/>
              <w:jc w:val="center"/>
              <w:rPr>
                <w:rFonts w:ascii="黑体" w:hAnsi="黑体" w:eastAsia="黑体"/>
                <w:sz w:val="28"/>
                <w:szCs w:val="28"/>
              </w:rPr>
            </w:pPr>
            <w:r>
              <w:rPr>
                <w:rFonts w:hint="eastAsia" w:ascii="黑体" w:hAnsi="黑体" w:eastAsia="黑体"/>
                <w:sz w:val="28"/>
                <w:szCs w:val="28"/>
              </w:rPr>
              <w:t>合计</w:t>
            </w:r>
          </w:p>
        </w:tc>
        <w:tc>
          <w:tcPr>
            <w:tcW w:w="9319" w:type="dxa"/>
            <w:gridSpan w:val="6"/>
          </w:tcPr>
          <w:p>
            <w:pPr>
              <w:pStyle w:val="132"/>
              <w:spacing w:line="560" w:lineRule="exact"/>
              <w:jc w:val="right"/>
              <w:rPr>
                <w:rFonts w:ascii="黑体" w:hAnsi="黑体" w:eastAsia="黑体"/>
                <w:sz w:val="28"/>
                <w:szCs w:val="28"/>
              </w:rPr>
            </w:pPr>
          </w:p>
        </w:tc>
      </w:tr>
    </w:tbl>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备注：1、</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 xml:space="preserve">      2、</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二、合同金额</w:t>
      </w:r>
    </w:p>
    <w:p>
      <w:pPr>
        <w:spacing w:line="560" w:lineRule="exact"/>
        <w:ind w:firstLine="538" w:firstLineChars="192"/>
        <w:rPr>
          <w:rFonts w:ascii="黑体" w:hAnsi="黑体" w:eastAsia="黑体"/>
          <w:sz w:val="28"/>
          <w:szCs w:val="28"/>
        </w:rPr>
      </w:pPr>
      <w:r>
        <w:rPr>
          <w:rFonts w:hint="eastAsia" w:ascii="黑体" w:hAnsi="黑体" w:eastAsia="黑体"/>
          <w:sz w:val="28"/>
          <w:szCs w:val="28"/>
        </w:rPr>
        <w:t>本合同金额为固定总价合同，合同金额为（大写）：人民币    ，（小写）</w:t>
      </w:r>
      <w:r>
        <w:rPr>
          <w:rFonts w:hint="eastAsia" w:ascii="宋体" w:hAnsi="宋体" w:cs="宋体"/>
          <w:sz w:val="28"/>
          <w:szCs w:val="28"/>
        </w:rPr>
        <w:t>¥</w:t>
      </w:r>
      <w:r>
        <w:rPr>
          <w:rFonts w:hint="eastAsia" w:ascii="黑体" w:hAnsi="黑体" w:eastAsia="黑体" w:cs="Arial"/>
          <w:sz w:val="28"/>
          <w:szCs w:val="28"/>
        </w:rPr>
        <w:t xml:space="preserve">       </w:t>
      </w:r>
      <w:r>
        <w:rPr>
          <w:rFonts w:hint="eastAsia" w:ascii="黑体" w:hAnsi="黑体" w:eastAsia="黑体"/>
          <w:sz w:val="28"/>
          <w:szCs w:val="28"/>
        </w:rPr>
        <w:t>。本合同价为杭州萧山国际机场内交货价，含货物价格、运输费、包装费、保险费、税费等所有费用。甲方不再承担其他任何费用。</w:t>
      </w:r>
    </w:p>
    <w:p>
      <w:pPr>
        <w:spacing w:line="560" w:lineRule="exact"/>
        <w:ind w:firstLine="538" w:firstLineChars="192"/>
        <w:rPr>
          <w:rFonts w:ascii="黑体" w:hAnsi="黑体" w:eastAsia="黑体"/>
          <w:sz w:val="28"/>
          <w:szCs w:val="28"/>
        </w:rPr>
      </w:pPr>
      <w:r>
        <w:rPr>
          <w:rFonts w:hint="eastAsia" w:ascii="黑体" w:hAnsi="黑体" w:eastAsia="黑体"/>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三、技术资料</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1.乙方应在交付合同货物时同时向甲方提供使用货物的有关技术资料。</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四、知识产权</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五、产权担保</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六、转包或分包</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2.如有未经甲方书面同意的转让和分包行为，甲方有权解除合同，并有权要求乙方承担合同暂定总额【10%】的违约金。</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七、货物包装、发货及运输</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3. 乙方在货物发运手续办理完毕后【24】小时内必须书面通知甲方，以便甲方准备接货。</w:t>
      </w:r>
    </w:p>
    <w:p>
      <w:pPr>
        <w:adjustRightInd w:val="0"/>
        <w:snapToGrid w:val="0"/>
        <w:spacing w:line="560" w:lineRule="exact"/>
        <w:ind w:firstLine="602"/>
        <w:rPr>
          <w:rFonts w:ascii="黑体" w:hAnsi="黑体" w:eastAsia="黑体"/>
          <w:sz w:val="28"/>
          <w:szCs w:val="28"/>
        </w:rPr>
      </w:pPr>
      <w:r>
        <w:rPr>
          <w:rFonts w:hint="eastAsia" w:ascii="黑体" w:hAnsi="黑体" w:eastAsia="黑体"/>
          <w:sz w:val="28"/>
          <w:szCs w:val="28"/>
        </w:rPr>
        <w:t>4. 货物在本合同规定的交货地点交付甲方前发生的一切风险包括货物运输风险均由乙方负责。</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黑体" w:hAnsi="黑体" w:eastAsia="黑体"/>
          <w:sz w:val="28"/>
          <w:szCs w:val="28"/>
        </w:rPr>
      </w:pPr>
      <w:r>
        <w:rPr>
          <w:rFonts w:hint="eastAsia" w:ascii="黑体" w:hAnsi="黑体" w:eastAsia="黑体"/>
          <w:sz w:val="28"/>
          <w:szCs w:val="28"/>
        </w:rPr>
        <w:t>八、交货期、交货方式及交货地点</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交货期：合同签订后</w:t>
      </w:r>
      <w:r>
        <w:rPr>
          <w:rFonts w:hint="eastAsia" w:ascii="黑体" w:hAnsi="黑体" w:eastAsia="黑体"/>
          <w:sz w:val="28"/>
          <w:szCs w:val="28"/>
          <w:u w:val="single"/>
        </w:rPr>
        <w:t>30</w:t>
      </w:r>
      <w:r>
        <w:rPr>
          <w:rFonts w:hint="eastAsia" w:ascii="黑体" w:hAnsi="黑体" w:eastAsia="黑体"/>
          <w:sz w:val="28"/>
          <w:szCs w:val="28"/>
        </w:rPr>
        <w:t>个日历天内</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 交货方式：乙方送货上门</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 交货地点：杭州萧山国际机场内</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九、验收</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3.甲方签收货物后如发现货物的品种、数量、花色或质量不符合合同约定或相关质量要求，甲方应在签收之日起【7 】日内以书面或电话形式向乙方提出异议；乙方应当在收到甲方异议之日起【3 】日内作出答复或与甲方协商处理，或在【3 】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十、货款支付</w:t>
      </w:r>
    </w:p>
    <w:p>
      <w:pPr>
        <w:pStyle w:val="49"/>
        <w:snapToGrid w:val="0"/>
        <w:spacing w:before="0" w:beforeAutospacing="0" w:after="0" w:afterAutospacing="0" w:line="360" w:lineRule="exact"/>
        <w:ind w:firstLine="560" w:firstLineChars="200"/>
        <w:jc w:val="both"/>
        <w:rPr>
          <w:rFonts w:ascii="黑体" w:hAnsi="黑体" w:eastAsia="黑体" w:cstheme="minorBidi"/>
          <w:color w:val="auto"/>
          <w:kern w:val="2"/>
          <w:sz w:val="28"/>
          <w:szCs w:val="28"/>
        </w:rPr>
      </w:pPr>
      <w:r>
        <w:rPr>
          <w:rFonts w:hint="eastAsia" w:ascii="黑体" w:hAnsi="黑体" w:eastAsia="黑体" w:cstheme="minorBidi"/>
          <w:color w:val="auto"/>
          <w:kern w:val="2"/>
          <w:sz w:val="28"/>
          <w:szCs w:val="28"/>
        </w:rPr>
        <w:t>1.</w:t>
      </w:r>
      <w:r>
        <w:rPr>
          <w:rFonts w:hint="eastAsia" w:ascii="黑体" w:hAnsi="黑体" w:eastAsia="黑体" w:cstheme="minorBidi"/>
          <w:color w:val="auto"/>
          <w:kern w:val="2"/>
          <w:sz w:val="28"/>
          <w:szCs w:val="28"/>
          <w:lang w:val="zh-CN"/>
        </w:rPr>
        <w:t>乙方按照合同约定将</w:t>
      </w:r>
      <w:r>
        <w:rPr>
          <w:rFonts w:hint="eastAsia" w:ascii="黑体" w:hAnsi="黑体" w:eastAsia="黑体" w:cstheme="minorBidi"/>
          <w:color w:val="auto"/>
          <w:kern w:val="2"/>
          <w:sz w:val="28"/>
          <w:szCs w:val="28"/>
        </w:rPr>
        <w:t>货物</w:t>
      </w:r>
      <w:r>
        <w:rPr>
          <w:rFonts w:hint="eastAsia" w:ascii="黑体" w:hAnsi="黑体" w:eastAsia="黑体" w:cstheme="minorBidi"/>
          <w:color w:val="auto"/>
          <w:kern w:val="2"/>
          <w:sz w:val="28"/>
          <w:szCs w:val="28"/>
          <w:lang w:val="zh-CN"/>
        </w:rPr>
        <w:t>安全运送到甲方指定交货地点</w:t>
      </w:r>
      <w:r>
        <w:rPr>
          <w:rFonts w:hint="eastAsia" w:ascii="黑体" w:hAnsi="黑体" w:eastAsia="黑体" w:cstheme="minorBidi"/>
          <w:color w:val="auto"/>
          <w:kern w:val="2"/>
          <w:sz w:val="28"/>
          <w:szCs w:val="28"/>
        </w:rPr>
        <w:t>，经甲方验收合格后【15】个工作日内，支付至合同总金额的95%。</w:t>
      </w:r>
    </w:p>
    <w:p>
      <w:pPr>
        <w:pStyle w:val="49"/>
        <w:snapToGrid w:val="0"/>
        <w:spacing w:before="0" w:beforeAutospacing="0" w:after="0" w:afterAutospacing="0" w:line="360" w:lineRule="exact"/>
        <w:ind w:firstLine="560" w:firstLineChars="200"/>
        <w:jc w:val="both"/>
        <w:rPr>
          <w:rFonts w:ascii="黑体" w:hAnsi="黑体" w:eastAsia="黑体" w:cstheme="minorBidi"/>
          <w:color w:val="auto"/>
          <w:kern w:val="2"/>
          <w:sz w:val="28"/>
          <w:szCs w:val="28"/>
        </w:rPr>
      </w:pPr>
      <w:r>
        <w:rPr>
          <w:rFonts w:hint="eastAsia" w:ascii="黑体" w:hAnsi="黑体" w:eastAsia="黑体" w:cstheme="minorBidi"/>
          <w:color w:val="auto"/>
          <w:kern w:val="2"/>
          <w:sz w:val="28"/>
          <w:szCs w:val="28"/>
        </w:rPr>
        <w:t>2.留合同总价5%的质量保证金，质量保证金于质保期满后【十五】工作日内一并无息支付。</w:t>
      </w:r>
    </w:p>
    <w:p>
      <w:pPr>
        <w:pStyle w:val="49"/>
        <w:snapToGrid w:val="0"/>
        <w:spacing w:before="0" w:beforeAutospacing="0" w:after="0" w:afterAutospacing="0" w:line="360" w:lineRule="exact"/>
        <w:ind w:firstLine="560" w:firstLineChars="200"/>
        <w:jc w:val="both"/>
        <w:rPr>
          <w:rFonts w:ascii="黑体" w:hAnsi="黑体" w:eastAsia="黑体" w:cstheme="minorBidi"/>
          <w:color w:val="auto"/>
          <w:kern w:val="2"/>
          <w:sz w:val="28"/>
          <w:szCs w:val="28"/>
        </w:rPr>
      </w:pPr>
      <w:r>
        <w:rPr>
          <w:rFonts w:hint="eastAsia" w:ascii="黑体" w:hAnsi="黑体" w:eastAsia="黑体" w:cstheme="minorBidi"/>
          <w:color w:val="auto"/>
          <w:kern w:val="2"/>
          <w:sz w:val="28"/>
          <w:szCs w:val="28"/>
        </w:rPr>
        <w:t>3.乙方在甲方付款前开具增值税专用发票。</w:t>
      </w:r>
    </w:p>
    <w:p>
      <w:pPr>
        <w:pStyle w:val="49"/>
        <w:spacing w:before="150" w:after="150" w:line="560" w:lineRule="exact"/>
        <w:ind w:firstLine="562" w:firstLineChars="200"/>
        <w:rPr>
          <w:rFonts w:ascii="黑体" w:hAnsi="黑体" w:eastAsia="黑体"/>
          <w:b/>
          <w:color w:val="444444"/>
          <w:sz w:val="28"/>
          <w:szCs w:val="28"/>
          <w:lang w:val="zh-CN"/>
        </w:rPr>
      </w:pPr>
      <w:r>
        <w:rPr>
          <w:rFonts w:hint="eastAsia" w:ascii="黑体" w:hAnsi="黑体" w:eastAsia="黑体"/>
          <w:b/>
          <w:color w:val="444444"/>
          <w:sz w:val="28"/>
          <w:szCs w:val="28"/>
        </w:rPr>
        <w:t>十一、</w:t>
      </w:r>
      <w:r>
        <w:rPr>
          <w:rFonts w:hint="eastAsia" w:ascii="黑体" w:hAnsi="黑体" w:eastAsia="黑体"/>
          <w:b/>
          <w:color w:val="444444"/>
          <w:sz w:val="28"/>
          <w:szCs w:val="28"/>
          <w:lang w:val="zh-CN"/>
        </w:rPr>
        <w:t>履约保证金</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1．乙方应在收到甲方中标通知书后【7】日内，向甲方支付合同总价的【5% 】作为履约保证金。如果逾期未缴纳，甲方有权解除本合同，并要求乙方承担由此给甲方造成的损失。</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2．在合同履行期间，如果乙方存在违约情形，甲方有权优先从履约保证金中扣除相应款项，并书面通知乙方。乙方自收到书面通知之日起【 7】日内补足履约保证金。如果乙方不及时补足履约保证金，视为乙方违约，甲方有权解除合同，并要求乙方承担相应的违约责任。待合同约定服务内容全部履行并完毕，乙方不存在任何违约情形并收到甲方书面认可后【15 】日内，甲方无息返还履约保证金。</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十二、免费质保期及服务内容</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 乙方应为货物提供【12】个月的免费质保期，时间自甲方签署货物验收合格确认书之日起计算。</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4．乙方提供【 24】小时售后服务，在接到报修通知后，维修人员应在【 12 】小时内赶到杭州萧山国际机场，并连续进行维修，直到货物恢复正常。修复部分的质保期自修复之日起重新开始计算。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5.免费质保期结束的【 15 】天前，乙方负责对货物进行一次全面的返修，并由甲方验收认可。甲方验收认可并不免除乙方对于验收认可后发生的但尚在质保期限内的货物损坏的维修、退换货义务。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6、若乙方提供的货物属于伪劣货物或者假冒货物或者欺诈甲方，使得甲方遭受损失，乙方应向甲方承担违约责任，同时，甲方可依法寻求其他法律救济。</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十三、违约责任</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甲方无故逾期支付货款的,甲方应按逾期付款总额每日【0.05】%向乙方支付违约金。</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 xml:space="preserve">2. 乙方逾期交付货物和本合同规定的文件资料的，乙方应按合同暂定总额每日【0.05】%向甲方支付违约金，由甲方从货款中扣除。逾期超过约定日期【10 】个工作日的，甲方可解除本合同。乙方因逾期交货或因其他违约行为导致甲方解除合同的，乙方应向甲方支付合同暂定总额【 5】%的违约金，且全额没收乙方的履约保证金，如造成甲方损失超过违约金的，超出部分由乙方继续承担赔偿责任。 </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3.因乙方更换货物而逾期交货的，按乙方逾期交货处理。乙方拒绝更换货物的，甲方可单方面解除合同，不予支付相应货款，履约保证金不予以返还。</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7．对于本合同项下乙方应支付的赔偿款或违约金，甲方有权从应付乙方的货款及履约保证金中直接扣除，仍不足的部分，继续向乙方追偿。</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十四、不可抗力事件处理</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 不可抗力事件发生后，遭遇不可抗力的一方应立即通知对方，并寄送有关官方权威机构出具的证明。</w:t>
      </w:r>
    </w:p>
    <w:p>
      <w:pPr>
        <w:spacing w:line="560" w:lineRule="exact"/>
        <w:ind w:firstLine="532" w:firstLineChars="190"/>
        <w:rPr>
          <w:rFonts w:ascii="黑体" w:hAnsi="黑体" w:eastAsia="黑体"/>
          <w:sz w:val="28"/>
          <w:szCs w:val="28"/>
        </w:rPr>
      </w:pPr>
      <w:r>
        <w:rPr>
          <w:rFonts w:hint="eastAsia" w:ascii="黑体" w:hAnsi="黑体" w:eastAsia="黑体"/>
          <w:sz w:val="28"/>
          <w:szCs w:val="28"/>
        </w:rPr>
        <w:t>3. 不可抗力事件延续【 140】天以上，双方应通过友好协商，确定是否继续履行合同；协商无法达成一致的，本合同自动终止，双方互不承担赔偿或违约责任。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黑体" w:hAnsi="黑体" w:eastAsia="黑体"/>
          <w:b/>
          <w:sz w:val="28"/>
          <w:szCs w:val="28"/>
        </w:rPr>
      </w:pPr>
      <w:r>
        <w:rPr>
          <w:rFonts w:hint="eastAsia" w:ascii="黑体" w:hAnsi="黑体" w:eastAsia="黑体"/>
          <w:b/>
          <w:sz w:val="28"/>
          <w:szCs w:val="28"/>
        </w:rPr>
        <w:t>十五、争议解决</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黑体" w:hAnsi="黑体" w:eastAsia="黑体"/>
          <w:b/>
          <w:sz w:val="28"/>
          <w:szCs w:val="28"/>
        </w:rPr>
      </w:pPr>
      <w:r>
        <w:rPr>
          <w:rFonts w:hint="eastAsia" w:ascii="黑体" w:hAnsi="黑体" w:eastAsia="黑体"/>
          <w:b/>
          <w:sz w:val="28"/>
          <w:szCs w:val="28"/>
        </w:rPr>
        <w:t>十六、合同组成文件包含下列内容，且解释顺序如下：</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1.本合同协议书</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2.中标通知书</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3.招标文件</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4.投标书及其附件</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5.标准、规范及有关技术文件</w:t>
      </w:r>
    </w:p>
    <w:p>
      <w:pPr>
        <w:adjustRightInd w:val="0"/>
        <w:snapToGrid w:val="0"/>
        <w:spacing w:line="560" w:lineRule="exact"/>
        <w:ind w:firstLine="602"/>
        <w:outlineLvl w:val="0"/>
        <w:rPr>
          <w:rFonts w:ascii="黑体" w:hAnsi="黑体" w:eastAsia="黑体"/>
          <w:b/>
          <w:sz w:val="28"/>
          <w:szCs w:val="28"/>
        </w:rPr>
      </w:pPr>
      <w:r>
        <w:rPr>
          <w:rFonts w:hint="eastAsia" w:ascii="黑体" w:hAnsi="黑体" w:eastAsia="黑体"/>
          <w:b/>
          <w:sz w:val="28"/>
          <w:szCs w:val="28"/>
        </w:rPr>
        <w:t>十七、合同生效及其它</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1. 合同经双方法定代表人或授权代表签字（包含签章）并加盖单位公章或者合同章之日起生效。</w:t>
      </w:r>
    </w:p>
    <w:p>
      <w:pPr>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3.本合同一式陆份，甲执四份，乙方持二份，具有同等法律效力。</w:t>
      </w:r>
    </w:p>
    <w:p>
      <w:pPr>
        <w:tabs>
          <w:tab w:val="right" w:pos="8306"/>
        </w:tabs>
        <w:adjustRightInd w:val="0"/>
        <w:snapToGrid w:val="0"/>
        <w:spacing w:line="560" w:lineRule="exact"/>
        <w:rPr>
          <w:rFonts w:ascii="黑体" w:hAnsi="黑体" w:eastAsia="黑体"/>
          <w:sz w:val="28"/>
          <w:szCs w:val="28"/>
        </w:rPr>
      </w:pPr>
    </w:p>
    <w:p>
      <w:pPr>
        <w:tabs>
          <w:tab w:val="right" w:pos="8306"/>
        </w:tabs>
        <w:adjustRightInd w:val="0"/>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（以下为签署页）</w:t>
      </w:r>
      <w:r>
        <w:rPr>
          <w:rFonts w:hint="eastAsia" w:ascii="黑体" w:hAnsi="黑体" w:eastAsia="黑体"/>
          <w:sz w:val="28"/>
          <w:szCs w:val="28"/>
        </w:rPr>
        <w:tab/>
      </w:r>
    </w:p>
    <w:p>
      <w:pPr>
        <w:adjustRightInd w:val="0"/>
        <w:snapToGrid w:val="0"/>
        <w:spacing w:line="560" w:lineRule="exact"/>
        <w:ind w:left="4480" w:hanging="4480" w:hangingChars="1600"/>
        <w:rPr>
          <w:rFonts w:ascii="黑体" w:hAnsi="黑体" w:eastAsia="黑体"/>
          <w:sz w:val="28"/>
          <w:szCs w:val="28"/>
        </w:rPr>
      </w:pPr>
      <w:r>
        <w:rPr>
          <w:rFonts w:hint="eastAsia" w:ascii="黑体" w:hAnsi="黑体" w:eastAsia="黑体"/>
          <w:sz w:val="28"/>
          <w:szCs w:val="28"/>
        </w:rPr>
        <w:t>甲方：杭州萧山国际机场有限公司  乙方：</w:t>
      </w:r>
    </w:p>
    <w:p>
      <w:pPr>
        <w:adjustRightInd w:val="0"/>
        <w:snapToGrid w:val="0"/>
        <w:spacing w:line="560" w:lineRule="exact"/>
        <w:ind w:left="6750" w:hanging="6750"/>
        <w:rPr>
          <w:rFonts w:ascii="黑体" w:hAnsi="黑体" w:eastAsia="黑体"/>
          <w:sz w:val="28"/>
          <w:szCs w:val="28"/>
        </w:rPr>
      </w:pPr>
      <w:r>
        <w:rPr>
          <w:rFonts w:hint="eastAsia" w:ascii="黑体" w:hAnsi="黑体" w:eastAsia="黑体"/>
          <w:sz w:val="28"/>
          <w:szCs w:val="28"/>
        </w:rPr>
        <w:t>地址：杭州萧山国际机场内        地址：</w:t>
      </w:r>
    </w:p>
    <w:p>
      <w:pPr>
        <w:adjustRightInd w:val="0"/>
        <w:snapToGrid w:val="0"/>
        <w:spacing w:line="560" w:lineRule="exact"/>
        <w:ind w:left="6750" w:hanging="6750"/>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法定代表人：                     法定代表人：</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或                               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授权代表：                       授权代表：</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签字日期：                       签字日期： </w:t>
      </w:r>
    </w:p>
    <w:p>
      <w:pPr>
        <w:adjustRightInd w:val="0"/>
        <w:snapToGrid w:val="0"/>
        <w:spacing w:line="560" w:lineRule="exact"/>
        <w:ind w:firstLine="840" w:firstLineChars="300"/>
        <w:rPr>
          <w:rFonts w:ascii="黑体" w:hAnsi="黑体" w:eastAsia="黑体"/>
          <w:b/>
          <w:sz w:val="28"/>
          <w:szCs w:val="28"/>
        </w:rPr>
      </w:pPr>
      <w:r>
        <w:rPr>
          <w:rFonts w:hint="eastAsia" w:ascii="黑体" w:hAnsi="黑体" w:eastAsia="黑体"/>
          <w:sz w:val="28"/>
          <w:szCs w:val="28"/>
        </w:rPr>
        <w:t>年  月  日                      年  月  日</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附件1：</w:t>
      </w:r>
    </w:p>
    <w:p>
      <w:pPr>
        <w:spacing w:line="560" w:lineRule="exact"/>
        <w:rPr>
          <w:rFonts w:ascii="黑体" w:hAnsi="黑体" w:eastAsia="黑体"/>
          <w:sz w:val="28"/>
          <w:szCs w:val="28"/>
        </w:rPr>
      </w:pPr>
    </w:p>
    <w:p>
      <w:pPr>
        <w:pStyle w:val="123"/>
        <w:spacing w:line="360" w:lineRule="exact"/>
        <w:ind w:firstLine="723"/>
        <w:rPr>
          <w:rFonts w:ascii="宋体" w:hAnsi="宋体"/>
          <w:b/>
          <w:color w:val="auto"/>
          <w:sz w:val="36"/>
          <w:szCs w:val="36"/>
        </w:rPr>
      </w:pPr>
      <w:r>
        <w:rPr>
          <w:rFonts w:hint="eastAsia" w:ascii="宋体" w:hAnsi="宋体"/>
          <w:b/>
          <w:color w:val="auto"/>
          <w:sz w:val="36"/>
          <w:szCs w:val="36"/>
        </w:rPr>
        <w:t>杭州萧山国际机场有限公司廉洁自律承诺书</w:t>
      </w:r>
    </w:p>
    <w:p>
      <w:pPr>
        <w:pStyle w:val="128"/>
        <w:adjustRightInd w:val="0"/>
        <w:snapToGrid w:val="0"/>
        <w:ind w:firstLine="442"/>
        <w:rPr>
          <w:rFonts w:ascii="宋体" w:hAnsi="宋体"/>
          <w:b/>
          <w:sz w:val="22"/>
          <w:szCs w:val="22"/>
        </w:rPr>
      </w:pPr>
    </w:p>
    <w:p>
      <w:pPr>
        <w:pStyle w:val="128"/>
        <w:adjustRightInd w:val="0"/>
        <w:snapToGrid w:val="0"/>
        <w:ind w:firstLine="0" w:firstLineChars="0"/>
        <w:rPr>
          <w:rFonts w:ascii="宋体" w:hAnsi="宋体"/>
          <w:b/>
          <w:sz w:val="30"/>
          <w:szCs w:val="30"/>
        </w:rPr>
      </w:pPr>
      <w:r>
        <w:rPr>
          <w:rFonts w:hint="eastAsia" w:ascii="宋体" w:hAnsi="宋体"/>
          <w:b/>
          <w:sz w:val="30"/>
          <w:szCs w:val="30"/>
        </w:rPr>
        <w:t>杭州萧山国际机场有限公司：</w:t>
      </w:r>
    </w:p>
    <w:p>
      <w:pPr>
        <w:pStyle w:val="128"/>
        <w:adjustRightInd w:val="0"/>
        <w:snapToGrid w:val="0"/>
        <w:ind w:firstLine="600"/>
        <w:rPr>
          <w:rFonts w:ascii="宋体" w:hAnsi="宋体"/>
          <w:sz w:val="30"/>
          <w:szCs w:val="30"/>
        </w:rPr>
      </w:pPr>
      <w:r>
        <w:rPr>
          <w:rFonts w:hint="eastAsia" w:ascii="宋体" w:hAnsi="宋体"/>
          <w:sz w:val="30"/>
          <w:szCs w:val="30"/>
        </w:rPr>
        <w:t>我单位响应贵公司项目招标要求，参加项目投标。在投标过程中及中标后，我们将严格遵守国家法律法规和贵司招标文件要求，并郑重作出如下承诺和保证：</w:t>
      </w:r>
    </w:p>
    <w:p>
      <w:pPr>
        <w:pStyle w:val="128"/>
        <w:adjustRightInd w:val="0"/>
        <w:snapToGrid w:val="0"/>
        <w:ind w:firstLine="600"/>
        <w:rPr>
          <w:rFonts w:ascii="宋体" w:hAnsi="宋体"/>
          <w:sz w:val="30"/>
          <w:szCs w:val="30"/>
        </w:rPr>
      </w:pPr>
      <w:r>
        <w:rPr>
          <w:rFonts w:hint="eastAsia" w:ascii="宋体" w:hAnsi="宋体"/>
          <w:sz w:val="30"/>
          <w:szCs w:val="30"/>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28"/>
        <w:adjustRightInd w:val="0"/>
        <w:snapToGrid w:val="0"/>
        <w:ind w:firstLine="600"/>
        <w:rPr>
          <w:rFonts w:ascii="宋体" w:hAnsi="宋体"/>
          <w:sz w:val="30"/>
          <w:szCs w:val="30"/>
        </w:rPr>
      </w:pPr>
      <w:r>
        <w:rPr>
          <w:rFonts w:hint="eastAsia" w:ascii="宋体" w:hAnsi="宋体"/>
          <w:sz w:val="30"/>
          <w:szCs w:val="30"/>
        </w:rPr>
        <w:t>二、不以任何名义为贵公司有关人员或项目第三方人员报销应由贵公司或个人支付的费用；</w:t>
      </w:r>
    </w:p>
    <w:p>
      <w:pPr>
        <w:pStyle w:val="128"/>
        <w:adjustRightInd w:val="0"/>
        <w:snapToGrid w:val="0"/>
        <w:ind w:firstLine="600"/>
        <w:rPr>
          <w:rFonts w:ascii="宋体" w:hAnsi="宋体"/>
          <w:sz w:val="30"/>
          <w:szCs w:val="30"/>
        </w:rPr>
      </w:pPr>
      <w:r>
        <w:rPr>
          <w:rFonts w:hint="eastAsia" w:ascii="宋体" w:hAnsi="宋体"/>
          <w:sz w:val="30"/>
          <w:szCs w:val="30"/>
        </w:rPr>
        <w:t>三、不向贵公司有关人员或项目第三方人员提供宴请、旅游、和健身娱乐等活动；</w:t>
      </w:r>
    </w:p>
    <w:p>
      <w:pPr>
        <w:pStyle w:val="128"/>
        <w:adjustRightInd w:val="0"/>
        <w:snapToGrid w:val="0"/>
        <w:ind w:firstLine="600"/>
        <w:rPr>
          <w:rFonts w:ascii="宋体" w:hAnsi="宋体"/>
          <w:sz w:val="30"/>
          <w:szCs w:val="30"/>
        </w:rPr>
      </w:pPr>
      <w:r>
        <w:rPr>
          <w:rFonts w:hint="eastAsia" w:ascii="宋体" w:hAnsi="宋体"/>
          <w:sz w:val="30"/>
          <w:szCs w:val="30"/>
        </w:rPr>
        <w:t>四、不为贵公司有关人员或项目第三方人员出国（境）、旅游等提供方便；</w:t>
      </w:r>
    </w:p>
    <w:p>
      <w:pPr>
        <w:pStyle w:val="128"/>
        <w:adjustRightInd w:val="0"/>
        <w:snapToGrid w:val="0"/>
        <w:ind w:firstLine="600"/>
        <w:rPr>
          <w:rFonts w:ascii="宋体" w:hAnsi="宋体"/>
          <w:sz w:val="30"/>
          <w:szCs w:val="30"/>
        </w:rPr>
      </w:pPr>
      <w:r>
        <w:rPr>
          <w:rFonts w:hint="eastAsia" w:ascii="宋体" w:hAnsi="宋体"/>
          <w:sz w:val="30"/>
          <w:szCs w:val="30"/>
        </w:rPr>
        <w:t>五、不为贵公司有关人员或项目第三方人员个人装修住房、婚丧嫁娶、配偶子女工作安排等提供好处或便利条件；</w:t>
      </w:r>
    </w:p>
    <w:p>
      <w:pPr>
        <w:pStyle w:val="128"/>
        <w:adjustRightInd w:val="0"/>
        <w:snapToGrid w:val="0"/>
        <w:ind w:firstLine="600"/>
        <w:rPr>
          <w:rFonts w:ascii="宋体" w:hAnsi="宋体"/>
          <w:sz w:val="30"/>
          <w:szCs w:val="30"/>
        </w:rPr>
      </w:pPr>
      <w:r>
        <w:rPr>
          <w:rFonts w:hint="eastAsia" w:ascii="宋体" w:hAnsi="宋体"/>
          <w:sz w:val="30"/>
          <w:szCs w:val="30"/>
        </w:rPr>
        <w:t>六、严格遵守国家招标投标法、合同法等法律规定，诚实守信，合法经营，坚决杜绝各种违法违纪行为。</w:t>
      </w:r>
    </w:p>
    <w:p>
      <w:pPr>
        <w:pStyle w:val="128"/>
        <w:adjustRightInd w:val="0"/>
        <w:snapToGrid w:val="0"/>
        <w:ind w:firstLine="600"/>
        <w:rPr>
          <w:rFonts w:ascii="宋体" w:hAnsi="宋体"/>
          <w:sz w:val="30"/>
          <w:szCs w:val="30"/>
        </w:rPr>
      </w:pPr>
      <w:r>
        <w:rPr>
          <w:rFonts w:ascii="宋体" w:hAnsi="宋体"/>
          <w:sz w:val="30"/>
          <w:szCs w:val="30"/>
        </w:rPr>
        <w:t>七</w:t>
      </w:r>
      <w:r>
        <w:rPr>
          <w:rFonts w:hint="eastAsia" w:ascii="宋体" w:hAnsi="宋体"/>
          <w:sz w:val="30"/>
          <w:szCs w:val="30"/>
        </w:rPr>
        <w:t>、若发现贵公司有关人员或项目第三方人员有故意设置障碍或推诿刁难我方人员参与正常投标项目建设活动以索要好处等行为，我单位将及时向贵公司纪检监察部门举报，举报电话：0571－86661113。</w:t>
      </w:r>
    </w:p>
    <w:p>
      <w:pPr>
        <w:pStyle w:val="128"/>
        <w:adjustRightInd w:val="0"/>
        <w:snapToGrid w:val="0"/>
        <w:ind w:firstLine="600"/>
        <w:rPr>
          <w:rFonts w:ascii="宋体" w:hAnsi="宋体"/>
          <w:sz w:val="30"/>
          <w:szCs w:val="30"/>
        </w:rPr>
      </w:pPr>
      <w:r>
        <w:rPr>
          <w:rFonts w:hint="eastAsia" w:ascii="宋体" w:hAnsi="宋体"/>
          <w:sz w:val="30"/>
          <w:szCs w:val="30"/>
        </w:rPr>
        <w:t>八、如违反上述廉洁自律承诺，贵公司有权：</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立即取消我单位投标、中标或在建项目的实施资格；</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扣除我方向贵公司缴纳的履约保证金的10%作为违反廉洁自律承诺的违约金。如该违约金不足以弥补贵公司损失的，我单位仍将承担实际损失赔偿责任。</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拒绝我单位在一定时期内进入贵公司进行项目建设或其它经营活动；</w:t>
      </w:r>
    </w:p>
    <w:p>
      <w:pPr>
        <w:pStyle w:val="128"/>
        <w:numPr>
          <w:ilvl w:val="0"/>
          <w:numId w:val="5"/>
        </w:numPr>
        <w:adjustRightInd w:val="0"/>
        <w:snapToGrid w:val="0"/>
        <w:ind w:firstLineChars="0"/>
        <w:rPr>
          <w:rFonts w:ascii="宋体" w:hAnsi="宋体"/>
          <w:sz w:val="30"/>
          <w:szCs w:val="30"/>
        </w:rPr>
      </w:pPr>
      <w:r>
        <w:rPr>
          <w:rFonts w:hint="eastAsia" w:ascii="宋体" w:hAnsi="宋体"/>
          <w:sz w:val="30"/>
          <w:szCs w:val="30"/>
        </w:rPr>
        <w:t>由此引起的相应损失均由我单位承担。</w:t>
      </w:r>
    </w:p>
    <w:p>
      <w:pPr>
        <w:pStyle w:val="128"/>
        <w:adjustRightInd w:val="0"/>
        <w:snapToGrid w:val="0"/>
        <w:ind w:firstLine="600"/>
        <w:rPr>
          <w:rFonts w:ascii="宋体" w:hAnsi="宋体"/>
          <w:sz w:val="30"/>
          <w:szCs w:val="30"/>
        </w:rPr>
      </w:pPr>
    </w:p>
    <w:p>
      <w:pPr>
        <w:pStyle w:val="128"/>
        <w:adjustRightInd w:val="0"/>
        <w:snapToGrid w:val="0"/>
        <w:ind w:firstLine="600"/>
        <w:rPr>
          <w:rFonts w:ascii="宋体" w:hAnsi="宋体"/>
          <w:sz w:val="30"/>
          <w:szCs w:val="30"/>
        </w:rPr>
      </w:pPr>
      <w:r>
        <w:rPr>
          <w:rFonts w:hint="eastAsia" w:ascii="宋体" w:hAnsi="宋体"/>
          <w:sz w:val="30"/>
          <w:szCs w:val="30"/>
        </w:rPr>
        <w:t xml:space="preserve">承诺人单位名称（盖章）：            </w:t>
      </w:r>
    </w:p>
    <w:p>
      <w:pPr>
        <w:pStyle w:val="128"/>
        <w:adjustRightInd w:val="0"/>
        <w:snapToGrid w:val="0"/>
        <w:ind w:firstLine="600"/>
        <w:rPr>
          <w:rFonts w:ascii="宋体" w:hAnsi="宋体"/>
          <w:sz w:val="30"/>
          <w:szCs w:val="30"/>
        </w:rPr>
      </w:pPr>
      <w:r>
        <w:rPr>
          <w:rFonts w:hint="eastAsia" w:ascii="宋体" w:hAnsi="宋体"/>
          <w:sz w:val="30"/>
          <w:szCs w:val="30"/>
        </w:rPr>
        <w:t xml:space="preserve">法定代表人 ：                    </w:t>
      </w:r>
    </w:p>
    <w:p>
      <w:pPr>
        <w:pStyle w:val="128"/>
        <w:adjustRightInd w:val="0"/>
        <w:snapToGrid w:val="0"/>
        <w:ind w:firstLine="600"/>
        <w:rPr>
          <w:rFonts w:ascii="宋体" w:hAnsi="宋体"/>
          <w:sz w:val="30"/>
          <w:szCs w:val="30"/>
        </w:rPr>
      </w:pPr>
      <w:r>
        <w:rPr>
          <w:rFonts w:hint="eastAsia" w:ascii="宋体" w:hAnsi="宋体"/>
          <w:sz w:val="30"/>
          <w:szCs w:val="30"/>
        </w:rPr>
        <w:t xml:space="preserve">或                            </w:t>
      </w:r>
    </w:p>
    <w:p>
      <w:pPr>
        <w:pStyle w:val="128"/>
        <w:adjustRightInd w:val="0"/>
        <w:snapToGrid w:val="0"/>
        <w:ind w:firstLine="600"/>
        <w:rPr>
          <w:rFonts w:ascii="宋体" w:hAnsi="宋体"/>
          <w:sz w:val="30"/>
          <w:szCs w:val="30"/>
        </w:rPr>
      </w:pPr>
      <w:r>
        <w:rPr>
          <w:rFonts w:hint="eastAsia" w:ascii="宋体" w:hAnsi="宋体"/>
          <w:sz w:val="30"/>
          <w:szCs w:val="30"/>
        </w:rPr>
        <w:t xml:space="preserve">委托代理人：                   </w:t>
      </w:r>
    </w:p>
    <w:p>
      <w:pPr>
        <w:pStyle w:val="128"/>
        <w:adjustRightInd w:val="0"/>
        <w:snapToGrid w:val="0"/>
        <w:ind w:firstLine="602"/>
        <w:rPr>
          <w:rFonts w:ascii="宋体" w:hAnsi="宋体"/>
          <w:b/>
          <w:sz w:val="30"/>
          <w:szCs w:val="30"/>
        </w:rPr>
      </w:pPr>
    </w:p>
    <w:p>
      <w:pPr>
        <w:pStyle w:val="51"/>
        <w:rPr>
          <w:rFonts w:ascii="宋体" w:hAnsi="宋体" w:eastAsia="宋体"/>
          <w:b w:val="0"/>
          <w:sz w:val="30"/>
          <w:szCs w:val="30"/>
        </w:rPr>
      </w:pPr>
      <w:r>
        <w:rPr>
          <w:rFonts w:hint="eastAsia" w:ascii="宋体" w:hAnsi="宋体" w:eastAsia="宋体"/>
          <w:b w:val="0"/>
          <w:sz w:val="30"/>
          <w:szCs w:val="30"/>
        </w:rPr>
        <w:t xml:space="preserve">                           年     月     日</w:t>
      </w:r>
    </w:p>
    <w:p/>
    <w:p/>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附件2：保密承诺书</w:t>
      </w:r>
    </w:p>
    <w:p>
      <w:pPr>
        <w:spacing w:line="560" w:lineRule="exact"/>
        <w:jc w:val="center"/>
        <w:rPr>
          <w:rFonts w:ascii="黑体" w:hAnsi="黑体" w:eastAsia="黑体"/>
          <w:b/>
          <w:bCs/>
          <w:sz w:val="28"/>
          <w:szCs w:val="28"/>
        </w:rPr>
      </w:pPr>
      <w:r>
        <w:rPr>
          <w:rFonts w:hint="eastAsia" w:ascii="黑体" w:hAnsi="黑体" w:eastAsia="黑体"/>
          <w:b/>
          <w:bCs/>
          <w:sz w:val="28"/>
          <w:szCs w:val="28"/>
        </w:rPr>
        <w:t>保密承诺书</w:t>
      </w:r>
    </w:p>
    <w:p>
      <w:pPr>
        <w:snapToGrid w:val="0"/>
        <w:spacing w:line="560" w:lineRule="exact"/>
        <w:ind w:firstLine="560" w:firstLineChars="200"/>
        <w:rPr>
          <w:rFonts w:ascii="黑体" w:hAnsi="黑体" w:eastAsia="黑体"/>
          <w:sz w:val="28"/>
          <w:szCs w:val="28"/>
        </w:rPr>
      </w:pPr>
      <w:r>
        <w:rPr>
          <w:rFonts w:hint="eastAsia" w:ascii="黑体" w:hAnsi="黑体" w:eastAsia="黑体"/>
          <w:sz w:val="28"/>
          <w:szCs w:val="28"/>
        </w:rPr>
        <w:t>鉴于我方愿成为杭州萧山国际机场有限公司（以下简称“机场公司”）的供应商或潜在供应商候选人，为机场公司提供【】项目的外包服务。在上述业务来往过程中，机场公司可能向我方提供经营、业务、服务等有关的文件、资料、软件等信息，为维护机场公司的利益，我方就保密事宜做出如下承诺：</w:t>
      </w:r>
    </w:p>
    <w:p>
      <w:pPr>
        <w:spacing w:line="560" w:lineRule="exact"/>
        <w:rPr>
          <w:rFonts w:ascii="黑体" w:hAnsi="黑体" w:eastAsia="黑体"/>
          <w:sz w:val="28"/>
          <w:szCs w:val="28"/>
        </w:rPr>
      </w:pPr>
      <w:r>
        <w:rPr>
          <w:rFonts w:hint="eastAsia" w:ascii="黑体" w:hAnsi="黑体" w:eastAsia="黑体"/>
          <w:sz w:val="28"/>
          <w:szCs w:val="28"/>
        </w:rPr>
        <w:t>1.商业秘密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1.1商业秘密是指机场公司（包括机场公司关联公司）一切专有、不对外公开的资料和信息。包括但不限于以下方面：</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（1）经营信息（发展规划、运营状况、客户资源、货源情报、投融资计划、开发计划、标书等）；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（2）管理信息（管理方法、管理制度、员工管理、合同管理、纠纷管理等）；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（3）产品及技术信息（设计及图纸、样品及服务、技术方案、质量标准、技术标准、计算机程序等）；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（4）财务信息（财务收支、固定资产、流动资金、成本核算等）；</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（5）我方单独或机场公司（包括机场公司关联公司）和我方共同为机场公司开发、设计、生产的产品、资料及相关信息；</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（6）其他机场公司未对外公开的有关营运、计划、航班数据、标准、开发、生产、经营、质量管理控制和租赁的资料和数据等信息以及对供应商的管理文件。</w:t>
      </w:r>
    </w:p>
    <w:p>
      <w:pPr>
        <w:spacing w:line="560" w:lineRule="exact"/>
        <w:rPr>
          <w:rFonts w:ascii="黑体" w:hAnsi="黑体" w:eastAsia="黑体"/>
          <w:sz w:val="28"/>
          <w:szCs w:val="28"/>
        </w:rPr>
      </w:pPr>
      <w:r>
        <w:rPr>
          <w:rFonts w:hint="eastAsia" w:ascii="黑体" w:hAnsi="黑体" w:eastAsia="黑体"/>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黑体" w:hAnsi="黑体" w:eastAsia="黑体"/>
          <w:sz w:val="28"/>
          <w:szCs w:val="28"/>
        </w:rPr>
      </w:pPr>
      <w:r>
        <w:rPr>
          <w:rFonts w:hint="eastAsia" w:ascii="黑体" w:hAnsi="黑体" w:eastAsia="黑体"/>
          <w:sz w:val="28"/>
          <w:szCs w:val="28"/>
        </w:rPr>
        <w:t>1.3、对于上述提及的商业秘密，不能仅因为公开发表的文章或资讯中包含其内容，就认为是可对外公开的特殊情况。</w:t>
      </w:r>
    </w:p>
    <w:p>
      <w:pPr>
        <w:spacing w:line="560" w:lineRule="exact"/>
        <w:rPr>
          <w:rFonts w:ascii="黑体" w:hAnsi="黑体" w:eastAsia="黑体"/>
          <w:sz w:val="28"/>
          <w:szCs w:val="28"/>
        </w:rPr>
      </w:pPr>
      <w:r>
        <w:rPr>
          <w:rFonts w:hint="eastAsia" w:ascii="黑体" w:hAnsi="黑体" w:eastAsia="黑体"/>
          <w:sz w:val="28"/>
          <w:szCs w:val="28"/>
        </w:rPr>
        <w:t>1.4、以下资料不属于本承诺所指的商业秘密：</w:t>
      </w:r>
    </w:p>
    <w:p>
      <w:pPr>
        <w:spacing w:line="560" w:lineRule="exact"/>
        <w:rPr>
          <w:rFonts w:ascii="黑体" w:hAnsi="黑体" w:eastAsia="黑体"/>
          <w:sz w:val="28"/>
          <w:szCs w:val="28"/>
        </w:rPr>
      </w:pPr>
      <w:r>
        <w:rPr>
          <w:rFonts w:hint="eastAsia" w:ascii="黑体" w:hAnsi="黑体" w:eastAsia="黑体"/>
          <w:sz w:val="28"/>
          <w:szCs w:val="28"/>
        </w:rPr>
        <w:t>（1）我方从机场公司拟获悉之前已持有的我方无需承担保密义务的机场公司有关资料(但通过其它违约或侵权行为而获得的资料除外)；</w:t>
      </w:r>
    </w:p>
    <w:p>
      <w:pPr>
        <w:spacing w:line="560" w:lineRule="exact"/>
        <w:rPr>
          <w:rFonts w:ascii="黑体" w:hAnsi="黑体" w:eastAsia="黑体"/>
          <w:sz w:val="28"/>
          <w:szCs w:val="28"/>
        </w:rPr>
      </w:pPr>
      <w:r>
        <w:rPr>
          <w:rFonts w:hint="eastAsia" w:ascii="黑体" w:hAnsi="黑体" w:eastAsia="黑体"/>
          <w:sz w:val="28"/>
          <w:szCs w:val="28"/>
        </w:rPr>
        <w:t>（2）已经公开或已成为常识性的资料，且该等公开并非因违反本承诺所致。</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黑体" w:hAnsi="黑体" w:eastAsia="黑体"/>
          <w:sz w:val="28"/>
          <w:szCs w:val="28"/>
        </w:rPr>
      </w:pP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（1）披露、使用或者允许他人以不正当手段获取的商业秘密；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（2）为机场公司以外的第三人窃取、刺探、收买、非法提供商业秘密。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（3）在电子公告系统、聊天系统、电子邮箱、论坛等计算机网络系统上传递、转发、抄送、发布、谈论和传播商业秘密；</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（5）擅自将属于商业秘密的文件、资料和其他物品携带、传递、寄运出机场公司办公场所或国（境）外。</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（7）将含有机场公司商业秘密的产品、技术或其他资料、信息向第三人销售、使用或以任何方式提供。</w:t>
      </w:r>
    </w:p>
    <w:p>
      <w:pPr>
        <w:adjustRightInd w:val="0"/>
        <w:snapToGrid w:val="0"/>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8、违约责任</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8.1因我方违反保密义务的行为造成机场公司的一切损失，我方应当全部予以赔偿。</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黑体" w:hAnsi="黑体" w:eastAsia="黑体"/>
          <w:sz w:val="28"/>
          <w:szCs w:val="28"/>
        </w:rPr>
      </w:pPr>
      <w:r>
        <w:rPr>
          <w:rFonts w:hint="eastAsia" w:ascii="黑体" w:hAnsi="黑体" w:eastAsia="黑体"/>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黑体" w:hAnsi="黑体" w:eastAsia="黑体"/>
          <w:sz w:val="28"/>
          <w:szCs w:val="28"/>
        </w:rPr>
      </w:pPr>
    </w:p>
    <w:p>
      <w:pPr>
        <w:spacing w:line="560" w:lineRule="exact"/>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供应商(盖章):</w:t>
      </w:r>
    </w:p>
    <w:p>
      <w:pPr>
        <w:spacing w:line="560" w:lineRule="exact"/>
        <w:jc w:val="center"/>
        <w:rPr>
          <w:rFonts w:ascii="黑体" w:hAnsi="黑体" w:eastAsia="黑体"/>
          <w:sz w:val="28"/>
          <w:szCs w:val="28"/>
        </w:rPr>
      </w:pPr>
      <w:r>
        <w:rPr>
          <w:rFonts w:hint="eastAsia" w:ascii="黑体" w:hAnsi="黑体" w:eastAsia="黑体"/>
          <w:sz w:val="28"/>
          <w:szCs w:val="28"/>
        </w:rPr>
        <w:t>法定代表人或授权代表：</w:t>
      </w:r>
    </w:p>
    <w:p>
      <w:pPr>
        <w:spacing w:line="560" w:lineRule="exact"/>
        <w:jc w:val="center"/>
        <w:rPr>
          <w:rFonts w:ascii="黑体" w:hAnsi="黑体" w:eastAsia="黑体"/>
          <w:sz w:val="28"/>
          <w:szCs w:val="28"/>
        </w:rPr>
      </w:pPr>
    </w:p>
    <w:p>
      <w:pPr>
        <w:spacing w:line="560" w:lineRule="exact"/>
        <w:jc w:val="center"/>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电话/传真：</w:t>
      </w:r>
    </w:p>
    <w:p>
      <w:pPr>
        <w:spacing w:line="560" w:lineRule="exact"/>
        <w:jc w:val="center"/>
        <w:rPr>
          <w:rFonts w:ascii="黑体" w:hAnsi="黑体" w:eastAsia="黑体"/>
          <w:sz w:val="28"/>
          <w:szCs w:val="28"/>
        </w:rPr>
      </w:pPr>
    </w:p>
    <w:p>
      <w:pPr>
        <w:spacing w:line="560" w:lineRule="exact"/>
        <w:rPr>
          <w:rFonts w:ascii="黑体" w:hAnsi="黑体" w:eastAsia="黑体"/>
          <w:sz w:val="28"/>
          <w:szCs w:val="28"/>
        </w:rPr>
      </w:pPr>
      <w:r>
        <w:rPr>
          <w:rFonts w:hint="eastAsia" w:ascii="黑体" w:hAnsi="黑体" w:eastAsia="黑体"/>
          <w:sz w:val="28"/>
          <w:szCs w:val="28"/>
        </w:rPr>
        <w:t xml:space="preserve">                       地址：</w:t>
      </w:r>
    </w:p>
    <w:p>
      <w:pPr>
        <w:spacing w:line="560" w:lineRule="exact"/>
        <w:rPr>
          <w:rFonts w:ascii="黑体" w:hAnsi="黑体" w:eastAsia="黑体"/>
          <w:sz w:val="28"/>
          <w:szCs w:val="28"/>
        </w:rPr>
      </w:pPr>
    </w:p>
    <w:p>
      <w:pPr>
        <w:snapToGrid w:val="0"/>
        <w:spacing w:line="560" w:lineRule="exact"/>
        <w:jc w:val="center"/>
        <w:rPr>
          <w:rFonts w:ascii="黑体" w:hAnsi="黑体" w:eastAsia="黑体"/>
          <w:sz w:val="28"/>
          <w:szCs w:val="28"/>
        </w:rPr>
      </w:pPr>
      <w:r>
        <w:rPr>
          <w:rFonts w:hint="eastAsia" w:ascii="黑体" w:hAnsi="黑体" w:eastAsia="黑体"/>
          <w:sz w:val="28"/>
          <w:szCs w:val="28"/>
        </w:rPr>
        <w:t>日期：     年   月   日</w:t>
      </w:r>
    </w:p>
    <w:p>
      <w:pPr>
        <w:pStyle w:val="51"/>
        <w:rPr>
          <w:rFonts w:ascii="宋体" w:hAnsi="宋体" w:eastAsia="宋体"/>
          <w:b w:val="0"/>
          <w:sz w:val="22"/>
          <w:szCs w:val="22"/>
        </w:rPr>
      </w:pPr>
    </w:p>
    <w:p>
      <w:pPr>
        <w:pStyle w:val="2"/>
        <w:spacing w:before="0" w:after="0"/>
        <w:rPr>
          <w:rFonts w:ascii="Calibri" w:hAnsi="Calibri" w:eastAsia="黑体" w:cs="Calibri"/>
          <w:kern w:val="0"/>
          <w:sz w:val="32"/>
        </w:rPr>
      </w:pPr>
      <w:bookmarkStart w:id="92" w:name="_Toc448002987"/>
      <w:bookmarkStart w:id="93" w:name="_Toc321925456"/>
      <w:bookmarkStart w:id="94" w:name="_Toc275274581"/>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92"/>
      <w:bookmarkEnd w:id="93"/>
    </w:p>
    <w:p>
      <w:pPr>
        <w:pStyle w:val="31"/>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31"/>
        <w:spacing w:line="360" w:lineRule="exact"/>
        <w:rPr>
          <w:rFonts w:hAnsi="宋体" w:cs="Calibri"/>
          <w:b/>
          <w:bCs/>
          <w:sz w:val="22"/>
          <w:szCs w:val="22"/>
        </w:rPr>
      </w:pPr>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经评审的最低价法</w:t>
      </w:r>
      <w:r>
        <w:rPr>
          <w:rFonts w:hint="eastAsia" w:hAnsi="宋体" w:cs="Calibri"/>
          <w:bCs/>
          <w:sz w:val="22"/>
          <w:szCs w:val="22"/>
        </w:rPr>
        <w:t>，</w:t>
      </w:r>
      <w:r>
        <w:rPr>
          <w:rFonts w:hAnsi="宋体" w:cs="Calibri"/>
          <w:bCs/>
          <w:sz w:val="22"/>
          <w:szCs w:val="22"/>
        </w:rPr>
        <w:t>评标应遵循公平、公正、科学、择优的原则。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评标委员会成员由招标人评标专家库中抽选的专家组成。</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szCs w:val="22"/>
        </w:rPr>
      </w:pPr>
      <w:r>
        <w:rPr>
          <w:rFonts w:ascii="宋体" w:hAnsi="宋体" w:cs="Calibri"/>
          <w:bCs/>
          <w:kern w:val="0"/>
          <w:sz w:val="22"/>
          <w:szCs w:val="22"/>
        </w:rPr>
        <w:t>3.1.1评标委员会应依照招标文件的要求和规定首先对投标人的投标资格和投标文件进行符合性审查，</w:t>
      </w:r>
      <w:r>
        <w:rPr>
          <w:rFonts w:ascii="宋体" w:hAnsi="宋体" w:cs="Calibri"/>
          <w:b/>
          <w:kern w:val="0"/>
          <w:sz w:val="22"/>
          <w:szCs w:val="22"/>
        </w:rPr>
        <w:t>审查过程中评标委员会可以要求投标人提交下列审查项所需的有关证明和证件的原件，以便核验。</w:t>
      </w:r>
      <w:r>
        <w:rPr>
          <w:rFonts w:ascii="宋体" w:hAnsi="宋体" w:cs="Calibri"/>
          <w:bCs/>
          <w:kern w:val="0"/>
          <w:sz w:val="22"/>
          <w:szCs w:val="22"/>
        </w:rPr>
        <w:t>投标文件如存在以下情况之一的，经评标委员会三分之二以上的成员认定，符合性审查不予通过，</w:t>
      </w:r>
      <w:r>
        <w:rPr>
          <w:rFonts w:ascii="宋体" w:hAnsi="宋体" w:cs="Calibri"/>
          <w:b/>
          <w:bCs/>
          <w:kern w:val="0"/>
          <w:sz w:val="22"/>
          <w:szCs w:val="22"/>
        </w:rPr>
        <w:t>作废标处理，</w:t>
      </w:r>
      <w:r>
        <w:rPr>
          <w:rFonts w:ascii="宋体" w:hAnsi="宋体" w:cs="Calibri"/>
          <w:bCs/>
          <w:kern w:val="0"/>
          <w:sz w:val="22"/>
          <w:szCs w:val="22"/>
        </w:rPr>
        <w:t>不再进行详细评审：</w:t>
      </w:r>
    </w:p>
    <w:p>
      <w:pPr>
        <w:spacing w:line="360" w:lineRule="exact"/>
        <w:ind w:firstLine="471" w:firstLineChars="214"/>
        <w:rPr>
          <w:rFonts w:ascii="宋体" w:hAnsi="宋体" w:cs="Calibri"/>
          <w:sz w:val="22"/>
          <w:szCs w:val="22"/>
        </w:rPr>
      </w:pPr>
      <w:r>
        <w:rPr>
          <w:rFonts w:ascii="宋体" w:hAnsi="宋体" w:cs="Calibri"/>
          <w:sz w:val="22"/>
          <w:szCs w:val="22"/>
        </w:rPr>
        <w:t>1、</w:t>
      </w:r>
      <w:r>
        <w:rPr>
          <w:rFonts w:ascii="宋体" w:hAnsi="宋体" w:cs="Calibri"/>
          <w:bCs/>
          <w:kern w:val="0"/>
          <w:sz w:val="22"/>
          <w:szCs w:val="22"/>
        </w:rPr>
        <w:t>投标人的投标资格不满足国家有关规定或招标文件载明的投标资格条件的；</w:t>
      </w:r>
    </w:p>
    <w:p>
      <w:pPr>
        <w:spacing w:line="360" w:lineRule="exact"/>
        <w:ind w:firstLine="471" w:firstLineChars="214"/>
        <w:rPr>
          <w:rFonts w:ascii="宋体" w:hAnsi="宋体" w:cs="Calibri"/>
          <w:sz w:val="22"/>
          <w:szCs w:val="22"/>
        </w:rPr>
      </w:pPr>
      <w:r>
        <w:rPr>
          <w:rFonts w:ascii="宋体" w:hAnsi="宋体" w:cs="Calibri"/>
          <w:sz w:val="22"/>
          <w:szCs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szCs w:val="22"/>
        </w:rPr>
      </w:pPr>
      <w:r>
        <w:rPr>
          <w:rFonts w:ascii="宋体" w:hAnsi="宋体" w:cs="Calibri"/>
          <w:sz w:val="22"/>
          <w:szCs w:val="22"/>
        </w:rPr>
        <w:t>3、投标文件未按规定的格式填写，内容不全或关键字迹模糊、无法辨认的；</w:t>
      </w:r>
    </w:p>
    <w:p>
      <w:pPr>
        <w:spacing w:line="360" w:lineRule="exact"/>
        <w:ind w:firstLine="471" w:firstLineChars="214"/>
        <w:rPr>
          <w:rFonts w:ascii="宋体" w:hAnsi="宋体" w:cs="Calibri"/>
          <w:sz w:val="22"/>
          <w:szCs w:val="22"/>
        </w:rPr>
      </w:pPr>
      <w:r>
        <w:rPr>
          <w:rFonts w:ascii="宋体" w:hAnsi="宋体" w:cs="Calibri"/>
          <w:sz w:val="22"/>
          <w:szCs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szCs w:val="22"/>
        </w:rPr>
      </w:pPr>
      <w:r>
        <w:rPr>
          <w:rFonts w:ascii="宋体" w:hAnsi="宋体" w:cs="Calibri"/>
          <w:sz w:val="22"/>
          <w:szCs w:val="22"/>
        </w:rPr>
        <w:t>5、</w:t>
      </w:r>
      <w:r>
        <w:rPr>
          <w:rFonts w:hint="eastAsia" w:ascii="宋体" w:hAnsi="宋体" w:cs="Calibri"/>
          <w:sz w:val="22"/>
          <w:szCs w:val="22"/>
        </w:rPr>
        <w:t>供货</w:t>
      </w:r>
      <w:r>
        <w:rPr>
          <w:rFonts w:ascii="宋体" w:hAnsi="宋体" w:cs="Calibri"/>
          <w:sz w:val="22"/>
          <w:szCs w:val="22"/>
        </w:rPr>
        <w:t>期不满足招标文件要求的；</w:t>
      </w:r>
    </w:p>
    <w:p>
      <w:pPr>
        <w:spacing w:line="360" w:lineRule="exact"/>
        <w:ind w:firstLine="471" w:firstLineChars="214"/>
        <w:rPr>
          <w:rFonts w:ascii="宋体" w:hAnsi="宋体" w:cs="Calibri"/>
          <w:sz w:val="22"/>
          <w:szCs w:val="22"/>
        </w:rPr>
      </w:pPr>
      <w:r>
        <w:rPr>
          <w:rFonts w:ascii="宋体" w:hAnsi="宋体" w:cs="Calibri"/>
          <w:sz w:val="22"/>
          <w:szCs w:val="22"/>
        </w:rPr>
        <w:t>6、不</w:t>
      </w:r>
      <w:r>
        <w:rPr>
          <w:rFonts w:ascii="宋体" w:hAnsi="宋体" w:cs="Calibri"/>
          <w:kern w:val="0"/>
          <w:sz w:val="22"/>
          <w:szCs w:val="22"/>
        </w:rPr>
        <w:t>响应招标文件规定的实质性要求（包括具体条文前用“★”标示的）</w:t>
      </w:r>
    </w:p>
    <w:p>
      <w:pPr>
        <w:spacing w:line="360" w:lineRule="exact"/>
        <w:ind w:firstLine="471" w:firstLineChars="214"/>
        <w:rPr>
          <w:rFonts w:ascii="宋体" w:hAnsi="宋体" w:cs="Calibri"/>
          <w:sz w:val="22"/>
          <w:szCs w:val="22"/>
        </w:rPr>
      </w:pPr>
      <w:r>
        <w:rPr>
          <w:rFonts w:ascii="宋体" w:hAnsi="宋体" w:cs="Calibri"/>
          <w:sz w:val="22"/>
          <w:szCs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szCs w:val="22"/>
        </w:rPr>
      </w:pPr>
      <w:r>
        <w:rPr>
          <w:rFonts w:ascii="宋体" w:hAnsi="宋体" w:cs="Calibri"/>
          <w:sz w:val="22"/>
          <w:szCs w:val="22"/>
        </w:rPr>
        <w:t>8、投标人以他人名义投标、或与他人串通投标、或以行贿手段谋取中标，或弄虚作假的；</w:t>
      </w:r>
    </w:p>
    <w:p>
      <w:pPr>
        <w:spacing w:line="360" w:lineRule="exact"/>
        <w:ind w:firstLine="471" w:firstLineChars="214"/>
        <w:rPr>
          <w:rFonts w:ascii="宋体" w:hAnsi="宋体" w:cs="Calibri"/>
          <w:sz w:val="22"/>
          <w:szCs w:val="22"/>
        </w:rPr>
      </w:pPr>
      <w:r>
        <w:rPr>
          <w:rFonts w:hint="eastAsia" w:ascii="宋体" w:hAnsi="宋体" w:cs="Calibri"/>
          <w:sz w:val="22"/>
          <w:szCs w:val="22"/>
        </w:rPr>
        <w:t>9</w:t>
      </w:r>
      <w:r>
        <w:rPr>
          <w:rFonts w:ascii="宋体" w:hAnsi="宋体" w:cs="Calibri"/>
          <w:sz w:val="22"/>
          <w:szCs w:val="22"/>
        </w:rPr>
        <w:t>、存在法律、法规、规章规定的其它无效投标情况的</w:t>
      </w:r>
      <w:r>
        <w:rPr>
          <w:rFonts w:hint="eastAsia" w:ascii="宋体" w:hAnsi="宋体" w:cs="Calibri"/>
          <w:sz w:val="22"/>
          <w:szCs w:val="22"/>
        </w:rPr>
        <w:t>。</w:t>
      </w:r>
    </w:p>
    <w:p>
      <w:pPr>
        <w:widowControl/>
        <w:tabs>
          <w:tab w:val="left" w:pos="709"/>
        </w:tabs>
        <w:snapToGrid w:val="0"/>
        <w:spacing w:line="360" w:lineRule="exact"/>
        <w:ind w:firstLine="446" w:firstLineChars="202"/>
        <w:rPr>
          <w:rFonts w:ascii="宋体" w:hAnsi="宋体" w:cs="Calibri"/>
          <w:b/>
          <w:sz w:val="22"/>
          <w:szCs w:val="22"/>
        </w:rPr>
      </w:pPr>
      <w:r>
        <w:rPr>
          <w:rFonts w:ascii="宋体" w:hAnsi="宋体" w:cs="Calibri"/>
          <w:b/>
          <w:sz w:val="22"/>
          <w:szCs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31"/>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★修正的价格经投标人书面确认后具有约束力。投标人不接受修正价格的，或修正后的最终投标价与原报价相比偏差在0.5%（不含）以上的，其投标作</w:t>
      </w:r>
      <w:r>
        <w:rPr>
          <w:rFonts w:hAnsi="宋体" w:cs="Calibri"/>
          <w:b/>
          <w:sz w:val="22"/>
          <w:szCs w:val="22"/>
        </w:rPr>
        <w:t>废标处理</w:t>
      </w:r>
      <w:r>
        <w:rPr>
          <w:rFonts w:hAnsi="宋体" w:cs="Calibri"/>
          <w:sz w:val="22"/>
          <w:szCs w:val="22"/>
        </w:rPr>
        <w:t>；修正偏差在0.5%（含）以内的，投标人应在投标总报价不变和单价平衡的前提下修正相关项目单价和（或）合价。</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3.3.1评标委员会按照经评审的价格由低到高的顺序推荐中标候选人，本工程推荐2名中标候选人。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widowControl/>
        <w:jc w:val="left"/>
        <w:rPr>
          <w:rFonts w:ascii="Cambria" w:hAnsi="Cambria" w:eastAsia="黑体" w:cs="Times New Roman"/>
          <w:b/>
          <w:bCs/>
          <w:kern w:val="0"/>
          <w:sz w:val="32"/>
          <w:szCs w:val="32"/>
        </w:rPr>
      </w:pPr>
      <w:r>
        <w:br w:type="page"/>
      </w:r>
    </w:p>
    <w:p>
      <w:pPr>
        <w:pStyle w:val="51"/>
      </w:pPr>
      <w:bookmarkStart w:id="95" w:name="_Toc321925457"/>
      <w:r>
        <w:t>第</w:t>
      </w:r>
      <w:r>
        <w:rPr>
          <w:rFonts w:hint="eastAsia"/>
        </w:rPr>
        <w:t>六</w:t>
      </w:r>
      <w:r>
        <w:t>章投标文件格式</w:t>
      </w:r>
      <w:bookmarkEnd w:id="94"/>
      <w:bookmarkEnd w:id="95"/>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szCs w:val="22"/>
        </w:rPr>
      </w:pPr>
      <w:r>
        <w:rPr>
          <w:rFonts w:ascii="宋体" w:hAnsi="宋体" w:cs="Calibri"/>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二、</w:t>
      </w:r>
      <w:r>
        <w:rPr>
          <w:rFonts w:cs="Calibri" w:asciiTheme="minorEastAsia" w:hAnsiTheme="minorEastAsia"/>
          <w:sz w:val="22"/>
          <w:szCs w:val="22"/>
        </w:rPr>
        <w:t>法定代表人资格证明书；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三、</w:t>
      </w:r>
      <w:r>
        <w:rPr>
          <w:rFonts w:cs="Calibri" w:asciiTheme="minorEastAsia" w:hAnsiTheme="minorEastAsia"/>
          <w:sz w:val="22"/>
          <w:szCs w:val="22"/>
        </w:rPr>
        <w:t>授权委托书；</w:t>
      </w:r>
    </w:p>
    <w:p>
      <w:pPr>
        <w:adjustRightInd w:val="0"/>
        <w:snapToGrid w:val="0"/>
        <w:spacing w:line="400" w:lineRule="exact"/>
        <w:ind w:firstLine="440" w:firstLineChars="200"/>
        <w:rPr>
          <w:rFonts w:cs="Calibri" w:asciiTheme="minorEastAsia" w:hAnsiTheme="minorEastAsia"/>
          <w:sz w:val="22"/>
          <w:szCs w:val="22"/>
        </w:rPr>
      </w:pPr>
      <w:r>
        <w:rPr>
          <w:rFonts w:hint="eastAsia" w:cs="Calibri" w:asciiTheme="minorEastAsia" w:hAnsiTheme="minorEastAsia"/>
          <w:sz w:val="22"/>
          <w:szCs w:val="22"/>
        </w:rPr>
        <w:t>四、</w:t>
      </w:r>
      <w:r>
        <w:rPr>
          <w:rFonts w:cs="Calibri" w:asciiTheme="minorEastAsia" w:hAnsiTheme="minorEastAsia"/>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sz w:val="22"/>
          <w:szCs w:val="22"/>
        </w:rPr>
        <w:t>投标人一般情况</w:t>
      </w:r>
      <w:r>
        <w:rPr>
          <w:rFonts w:hint="eastAsia" w:cs="Calibri" w:asciiTheme="minorEastAsia" w:hAnsiTheme="minorEastAsia"/>
          <w:sz w:val="22"/>
          <w:szCs w:val="22"/>
        </w:rPr>
        <w:t>及</w:t>
      </w:r>
      <w:r>
        <w:rPr>
          <w:rFonts w:cs="Calibri" w:asciiTheme="minorEastAsia" w:hAnsiTheme="minorEastAsia"/>
          <w:sz w:val="22"/>
          <w:szCs w:val="22"/>
        </w:rPr>
        <w:t>有关证明投标人法律地位的文件</w:t>
      </w:r>
      <w:r>
        <w:rPr>
          <w:rFonts w:hint="eastAsia" w:ascii="宋体" w:hAnsi="宋体" w:cs="Calibri"/>
          <w:sz w:val="22"/>
          <w:szCs w:val="22"/>
        </w:rPr>
        <w:t>（附营业执照、税务登记证、</w:t>
      </w:r>
      <w:r>
        <w:rPr>
          <w:rFonts w:ascii="宋体" w:hAnsi="宋体" w:cs="Calibri"/>
          <w:sz w:val="22"/>
          <w:szCs w:val="22"/>
        </w:rPr>
        <w:t>一般纳税人证明材料</w:t>
      </w:r>
      <w:r>
        <w:rPr>
          <w:rFonts w:hint="eastAsia" w:ascii="宋体" w:hAnsi="宋体" w:cs="Calibri"/>
          <w:sz w:val="22"/>
          <w:szCs w:val="22"/>
        </w:rPr>
        <w:t>、相关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（2）</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（3）</w:t>
      </w:r>
      <w:r>
        <w:rPr>
          <w:rFonts w:ascii="宋体" w:hAnsi="宋体" w:cs="Calibri"/>
          <w:sz w:val="22"/>
          <w:szCs w:val="22"/>
        </w:rPr>
        <w:t>设备制造商针对本项目的授权书</w:t>
      </w:r>
      <w:r>
        <w:rPr>
          <w:rFonts w:hint="eastAsia" w:ascii="宋体" w:hAnsi="宋体" w:cs="Calibri"/>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（4）</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sz w:val="22"/>
          <w:szCs w:val="22"/>
        </w:rPr>
        <w:t>投标人认为</w:t>
      </w:r>
      <w:r>
        <w:rPr>
          <w:rFonts w:cs="Arial" w:asciiTheme="minorEastAsia" w:hAnsiTheme="minorEastAsia"/>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sz w:val="22"/>
          <w:szCs w:val="22"/>
        </w:rPr>
      </w:pPr>
    </w:p>
    <w:p>
      <w:pPr>
        <w:rPr>
          <w:rFonts w:ascii="宋体" w:hAnsi="宋体" w:cs="Calibri"/>
          <w:sz w:val="22"/>
          <w:szCs w:val="22"/>
        </w:rPr>
      </w:pPr>
    </w:p>
    <w:p>
      <w:pPr>
        <w:spacing w:line="440" w:lineRule="exact"/>
        <w:rPr>
          <w:rFonts w:ascii="宋体" w:hAnsi="宋体" w:cs="Calibri"/>
          <w:sz w:val="22"/>
          <w:szCs w:val="22"/>
        </w:rPr>
      </w:pPr>
    </w:p>
    <w:p>
      <w:pPr>
        <w:widowControl/>
        <w:jc w:val="left"/>
        <w:rPr>
          <w:rFonts w:ascii="宋体" w:hAnsi="宋体" w:cs="Calibri"/>
          <w:sz w:val="22"/>
          <w:szCs w:val="22"/>
        </w:rPr>
      </w:pPr>
      <w:r>
        <w:rPr>
          <w:rFonts w:hint="eastAsia" w:ascii="宋体" w:hAnsi="宋体" w:cs="Calibri"/>
          <w:sz w:val="22"/>
          <w:szCs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96" w:name="_Toc171421958"/>
      <w:r>
        <w:rPr>
          <w:rFonts w:cs="Calibri"/>
        </w:rPr>
        <w:t>封面</w:t>
      </w:r>
      <w:bookmarkEnd w:id="9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szCs w:val="22"/>
        </w:rPr>
      </w:pPr>
      <w:r>
        <w:rPr>
          <w:rFonts w:ascii="宋体" w:hAnsi="宋体"/>
          <w:sz w:val="22"/>
          <w:szCs w:val="22"/>
        </w:rPr>
        <w:t>致：</w:t>
      </w:r>
      <w:r>
        <w:rPr>
          <w:rFonts w:hint="eastAsia" w:ascii="宋体" w:hAnsi="宋体"/>
          <w:sz w:val="22"/>
          <w:szCs w:val="22"/>
        </w:rPr>
        <w:t>杭州萧山国际机场</w:t>
      </w:r>
      <w:r>
        <w:rPr>
          <w:rFonts w:ascii="宋体" w:hAnsi="宋体"/>
          <w:sz w:val="22"/>
          <w:szCs w:val="22"/>
        </w:rPr>
        <w:t>有限公司</w:t>
      </w:r>
    </w:p>
    <w:p>
      <w:pPr>
        <w:overflowPunct w:val="0"/>
        <w:autoSpaceDE w:val="0"/>
        <w:autoSpaceDN w:val="0"/>
        <w:spacing w:line="440" w:lineRule="exact"/>
        <w:ind w:firstLine="440" w:firstLineChars="200"/>
        <w:rPr>
          <w:rFonts w:ascii="宋体" w:hAnsi="宋体"/>
          <w:sz w:val="22"/>
          <w:szCs w:val="22"/>
        </w:rPr>
      </w:pPr>
      <w:r>
        <w:rPr>
          <w:rFonts w:ascii="宋体" w:hAnsi="宋体"/>
          <w:sz w:val="22"/>
          <w:szCs w:val="22"/>
        </w:rPr>
        <w:t>根据贵方杭州萧山国际机场采购项</w:t>
      </w:r>
      <w:r>
        <w:rPr>
          <w:rFonts w:hint="eastAsia" w:ascii="宋体" w:hAnsi="宋体"/>
          <w:sz w:val="22"/>
          <w:szCs w:val="22"/>
        </w:rPr>
        <w:t>目</w:t>
      </w:r>
      <w:r>
        <w:rPr>
          <w:rFonts w:ascii="宋体" w:hAnsi="宋体"/>
          <w:sz w:val="22"/>
          <w:szCs w:val="22"/>
        </w:rPr>
        <w:t>的</w:t>
      </w:r>
      <w:r>
        <w:rPr>
          <w:rFonts w:hint="eastAsia" w:ascii="宋体" w:hAnsi="宋体"/>
          <w:sz w:val="22"/>
          <w:szCs w:val="22"/>
        </w:rPr>
        <w:t>招标文件</w:t>
      </w:r>
      <w:r>
        <w:rPr>
          <w:rFonts w:ascii="宋体" w:hAnsi="宋体"/>
          <w:sz w:val="22"/>
          <w:szCs w:val="22"/>
        </w:rPr>
        <w:t>，授权代表(全名、职务)经正式授权</w:t>
      </w:r>
      <w:r>
        <w:rPr>
          <w:rFonts w:hint="eastAsia" w:ascii="宋体" w:hAnsi="宋体"/>
          <w:sz w:val="22"/>
          <w:szCs w:val="22"/>
        </w:rPr>
        <w:t>，</w:t>
      </w:r>
      <w:r>
        <w:rPr>
          <w:rFonts w:ascii="宋体" w:hAnsi="宋体"/>
          <w:sz w:val="22"/>
          <w:szCs w:val="22"/>
        </w:rPr>
        <w:t>代表投标人(投标人名称、地址)递交下述文件正本一份</w:t>
      </w:r>
      <w:r>
        <w:rPr>
          <w:rFonts w:hint="eastAsia" w:ascii="宋体" w:hAnsi="宋体"/>
          <w:sz w:val="22"/>
          <w:szCs w:val="22"/>
        </w:rPr>
        <w:t>、</w:t>
      </w:r>
      <w:r>
        <w:rPr>
          <w:rFonts w:ascii="宋体" w:hAnsi="宋体"/>
          <w:sz w:val="22"/>
          <w:szCs w:val="22"/>
        </w:rPr>
        <w:t>副本</w:t>
      </w:r>
      <w:r>
        <w:rPr>
          <w:rFonts w:hint="eastAsia" w:ascii="宋体" w:hAnsi="宋体"/>
          <w:sz w:val="22"/>
          <w:szCs w:val="22"/>
        </w:rPr>
        <w:t>二</w:t>
      </w:r>
      <w:r>
        <w:rPr>
          <w:rFonts w:ascii="宋体" w:hAnsi="宋体"/>
          <w:sz w:val="22"/>
          <w:szCs w:val="22"/>
        </w:rPr>
        <w:t>份。</w:t>
      </w:r>
    </w:p>
    <w:p>
      <w:pPr>
        <w:overflowPunct w:val="0"/>
        <w:autoSpaceDE w:val="0"/>
        <w:autoSpaceDN w:val="0"/>
        <w:spacing w:line="440" w:lineRule="exact"/>
        <w:ind w:firstLine="440" w:firstLineChars="200"/>
        <w:rPr>
          <w:rFonts w:ascii="宋体" w:hAnsi="宋体" w:cs="Arial"/>
          <w:sz w:val="22"/>
          <w:szCs w:val="22"/>
        </w:rPr>
      </w:pPr>
      <w:r>
        <w:rPr>
          <w:rFonts w:ascii="宋体" w:hAnsi="宋体" w:cs="Arial"/>
          <w:sz w:val="22"/>
          <w:szCs w:val="22"/>
        </w:rPr>
        <w:t>据此函，本授权代表宣布同意如下：</w:t>
      </w:r>
    </w:p>
    <w:p>
      <w:pPr>
        <w:numPr>
          <w:ilvl w:val="0"/>
          <w:numId w:val="7"/>
        </w:numPr>
        <w:tabs>
          <w:tab w:val="left" w:pos="840"/>
        </w:tabs>
        <w:overflowPunct w:val="0"/>
        <w:autoSpaceDE w:val="0"/>
        <w:autoSpaceDN w:val="0"/>
        <w:spacing w:line="440" w:lineRule="exact"/>
        <w:rPr>
          <w:rFonts w:ascii="宋体" w:hAnsi="宋体"/>
          <w:sz w:val="22"/>
          <w:szCs w:val="22"/>
        </w:rPr>
      </w:pPr>
      <w:r>
        <w:rPr>
          <w:rFonts w:ascii="宋体" w:hAnsi="宋体"/>
          <w:sz w:val="22"/>
          <w:szCs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szCs w:val="22"/>
        </w:rPr>
      </w:pPr>
      <w:r>
        <w:rPr>
          <w:rFonts w:ascii="宋体" w:hAnsi="宋体"/>
          <w:sz w:val="22"/>
          <w:szCs w:val="22"/>
        </w:rPr>
        <w:t>(大写)(小写)。</w:t>
      </w:r>
    </w:p>
    <w:p>
      <w:pPr>
        <w:overflowPunct w:val="0"/>
        <w:autoSpaceDE w:val="0"/>
        <w:autoSpaceDN w:val="0"/>
        <w:spacing w:line="440" w:lineRule="exact"/>
        <w:ind w:left="475" w:leftChars="198" w:firstLine="440" w:firstLineChars="200"/>
        <w:rPr>
          <w:rFonts w:ascii="宋体" w:hAnsi="宋体"/>
          <w:sz w:val="22"/>
          <w:szCs w:val="22"/>
        </w:rPr>
      </w:pPr>
      <w:r>
        <w:rPr>
          <w:rFonts w:hint="eastAsia" w:ascii="宋体" w:hAnsi="宋体"/>
          <w:sz w:val="22"/>
          <w:szCs w:val="22"/>
        </w:rPr>
        <w:t>供货期：合同签订后日历天、投标品牌：</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投标人已详细审查全部招标文件包括澄清函和修改文件(如果有)、所有已提供的资料以及有关附件，</w:t>
      </w:r>
      <w:r>
        <w:rPr>
          <w:rFonts w:hint="eastAsia"/>
          <w:sz w:val="22"/>
          <w:szCs w:val="22"/>
        </w:rPr>
        <w:t>投标人已完全理解上述文件的全部内容，并放弃提出任何误解或不明作为抗辩的权利</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本投标的投标有效期为自</w:t>
      </w:r>
      <w:r>
        <w:rPr>
          <w:rFonts w:hint="eastAsia" w:ascii="宋体" w:hAnsi="宋体"/>
          <w:sz w:val="22"/>
          <w:szCs w:val="22"/>
        </w:rPr>
        <w:t>投标截止</w:t>
      </w:r>
      <w:r>
        <w:rPr>
          <w:rFonts w:ascii="宋体" w:hAnsi="宋体"/>
          <w:sz w:val="22"/>
          <w:szCs w:val="22"/>
        </w:rPr>
        <w:t>之日起</w:t>
      </w:r>
      <w:r>
        <w:rPr>
          <w:rFonts w:hint="eastAsia" w:ascii="宋体" w:hAnsi="宋体"/>
          <w:sz w:val="22"/>
          <w:szCs w:val="22"/>
        </w:rPr>
        <w:t>120</w:t>
      </w:r>
      <w:r>
        <w:rPr>
          <w:rFonts w:ascii="宋体" w:hAnsi="宋体"/>
          <w:sz w:val="22"/>
          <w:szCs w:val="22"/>
        </w:rPr>
        <w:t>日</w:t>
      </w:r>
      <w:r>
        <w:rPr>
          <w:rFonts w:hint="eastAsia" w:ascii="宋体" w:hAnsi="宋体"/>
          <w:sz w:val="22"/>
          <w:szCs w:val="22"/>
        </w:rPr>
        <w:t>内</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投标人完全清楚并理解在投标有效期期满之前撤回投标，招标人有权</w:t>
      </w:r>
      <w:r>
        <w:rPr>
          <w:rFonts w:hint="eastAsia" w:ascii="宋体" w:hAnsi="宋体" w:cs="宋体"/>
          <w:sz w:val="22"/>
          <w:szCs w:val="22"/>
        </w:rPr>
        <w:t>不予退还</w:t>
      </w:r>
      <w:r>
        <w:rPr>
          <w:rFonts w:ascii="宋体" w:hAnsi="宋体"/>
          <w:sz w:val="22"/>
          <w:szCs w:val="22"/>
        </w:rPr>
        <w:t>投标人的</w:t>
      </w:r>
      <w:r>
        <w:rPr>
          <w:rFonts w:hint="eastAsia" w:ascii="宋体" w:hAnsi="宋体"/>
          <w:sz w:val="22"/>
          <w:szCs w:val="22"/>
        </w:rPr>
        <w:t>投标保证金及银行同期存款利息</w:t>
      </w:r>
      <w:r>
        <w:rPr>
          <w:rFonts w:ascii="宋体" w:hAnsi="宋体"/>
          <w:sz w:val="22"/>
          <w:szCs w:val="22"/>
        </w:rPr>
        <w:t>。</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sz w:val="22"/>
          <w:szCs w:val="22"/>
        </w:rPr>
      </w:pPr>
      <w:r>
        <w:rPr>
          <w:rFonts w:ascii="宋体" w:hAnsi="宋体"/>
          <w:sz w:val="22"/>
          <w:szCs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投标人：（盖单位章）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法定代表人或其委托代理人：（签字或盖章）</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地    址：</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邮政编码：</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电    话：</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传    真：</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开户银行：</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账    号：</w:t>
      </w:r>
    </w:p>
    <w:p>
      <w:pPr>
        <w:snapToGrid w:val="0"/>
        <w:spacing w:line="440" w:lineRule="exact"/>
        <w:ind w:firstLine="3300" w:firstLineChars="1500"/>
        <w:rPr>
          <w:rFonts w:cs="Calibri" w:asciiTheme="minorEastAsia" w:hAnsiTheme="minorEastAsia"/>
          <w:sz w:val="22"/>
          <w:szCs w:val="22"/>
        </w:rPr>
      </w:pPr>
      <w:r>
        <w:rPr>
          <w:rFonts w:cs="Calibri" w:asciiTheme="minorEastAsia" w:hAnsiTheme="minorEastAsia"/>
          <w:sz w:val="22"/>
          <w:szCs w:val="22"/>
        </w:rPr>
        <w:t>日    期：    年     月     日</w:t>
      </w:r>
    </w:p>
    <w:p>
      <w:pPr>
        <w:adjustRightInd w:val="0"/>
        <w:snapToGrid w:val="0"/>
        <w:jc w:val="center"/>
        <w:rPr>
          <w:rFonts w:eastAsia="黑体" w:cs="Calibri"/>
          <w:sz w:val="32"/>
          <w:szCs w:val="32"/>
        </w:rPr>
      </w:pPr>
      <w:r>
        <w:rPr>
          <w:rFonts w:ascii="宋体" w:hAnsi="宋体" w:cs="Arial"/>
          <w:sz w:val="22"/>
          <w:szCs w:val="22"/>
        </w:rPr>
        <w:br w:type="page"/>
      </w:r>
      <w:r>
        <w:rPr>
          <w:rFonts w:hint="eastAsia" w:eastAsia="黑体" w:cs="Calibri"/>
          <w:sz w:val="32"/>
          <w:szCs w:val="32"/>
        </w:rPr>
        <w:t>二</w:t>
      </w:r>
      <w:r>
        <w:rPr>
          <w:rFonts w:eastAsia="黑体" w:cs="Calibri"/>
          <w:sz w:val="32"/>
          <w:szCs w:val="32"/>
        </w:rPr>
        <w:t>、法定代表人身份证明</w:t>
      </w:r>
    </w:p>
    <w:p>
      <w:pPr>
        <w:spacing w:afterLines="50" w:line="440" w:lineRule="exact"/>
        <w:rPr>
          <w:rFonts w:cs="Calibri"/>
        </w:rPr>
      </w:pPr>
    </w:p>
    <w:p>
      <w:pPr>
        <w:spacing w:afterLines="50" w:line="440" w:lineRule="exact"/>
        <w:rPr>
          <w:rFonts w:cs="Calibri"/>
          <w:sz w:val="22"/>
          <w:szCs w:val="22"/>
          <w:u w:val="single"/>
        </w:rPr>
      </w:pPr>
      <w:r>
        <w:rPr>
          <w:rFonts w:cs="Calibri"/>
          <w:sz w:val="22"/>
          <w:szCs w:val="22"/>
        </w:rPr>
        <w:t>投标人名称：</w:t>
      </w:r>
    </w:p>
    <w:p>
      <w:pPr>
        <w:spacing w:afterLines="50" w:line="440" w:lineRule="exact"/>
        <w:rPr>
          <w:rFonts w:cs="Calibri"/>
          <w:sz w:val="22"/>
          <w:szCs w:val="22"/>
          <w:u w:val="single"/>
        </w:rPr>
      </w:pPr>
      <w:r>
        <w:rPr>
          <w:rFonts w:cs="Calibri"/>
          <w:sz w:val="22"/>
          <w:szCs w:val="22"/>
        </w:rPr>
        <w:t>单位性质：</w:t>
      </w:r>
    </w:p>
    <w:p>
      <w:pPr>
        <w:spacing w:afterLines="50" w:line="440" w:lineRule="exact"/>
        <w:rPr>
          <w:rFonts w:cs="Calibri"/>
          <w:sz w:val="22"/>
          <w:szCs w:val="22"/>
          <w:u w:val="single"/>
        </w:rPr>
      </w:pPr>
      <w:r>
        <w:rPr>
          <w:rFonts w:cs="Calibri"/>
          <w:sz w:val="22"/>
          <w:szCs w:val="22"/>
        </w:rPr>
        <w:t>地址：</w:t>
      </w:r>
    </w:p>
    <w:p>
      <w:pPr>
        <w:spacing w:afterLines="50" w:line="440" w:lineRule="exact"/>
        <w:rPr>
          <w:rFonts w:cs="Calibri"/>
          <w:sz w:val="22"/>
          <w:szCs w:val="22"/>
          <w:u w:val="single"/>
        </w:rPr>
      </w:pPr>
      <w:r>
        <w:rPr>
          <w:rFonts w:cs="Calibri"/>
          <w:sz w:val="22"/>
          <w:szCs w:val="22"/>
        </w:rPr>
        <w:t>成立时间：年月日</w:t>
      </w:r>
    </w:p>
    <w:p>
      <w:pPr>
        <w:spacing w:afterLines="50" w:line="440" w:lineRule="exact"/>
        <w:rPr>
          <w:rFonts w:cs="Calibri"/>
          <w:sz w:val="22"/>
          <w:szCs w:val="22"/>
          <w:u w:val="single"/>
        </w:rPr>
      </w:pPr>
      <w:r>
        <w:rPr>
          <w:rFonts w:cs="Calibri"/>
          <w:sz w:val="22"/>
          <w:szCs w:val="22"/>
        </w:rPr>
        <w:t>经营期限：</w:t>
      </w:r>
    </w:p>
    <w:p>
      <w:pPr>
        <w:spacing w:afterLines="50" w:line="440" w:lineRule="exact"/>
        <w:rPr>
          <w:rFonts w:cs="Calibri"/>
          <w:sz w:val="22"/>
          <w:szCs w:val="22"/>
          <w:u w:val="single"/>
        </w:rPr>
      </w:pPr>
      <w:r>
        <w:rPr>
          <w:rFonts w:cs="Calibri"/>
          <w:sz w:val="22"/>
          <w:szCs w:val="22"/>
        </w:rPr>
        <w:t>姓名：性别：年龄：职务：</w:t>
      </w:r>
    </w:p>
    <w:p>
      <w:pPr>
        <w:spacing w:afterLines="50" w:line="440" w:lineRule="exact"/>
        <w:rPr>
          <w:rFonts w:cs="Calibri"/>
          <w:sz w:val="22"/>
          <w:szCs w:val="22"/>
          <w:u w:val="single"/>
        </w:rPr>
      </w:pPr>
      <w:r>
        <w:rPr>
          <w:rFonts w:cs="Calibri"/>
          <w:sz w:val="22"/>
          <w:szCs w:val="22"/>
        </w:rPr>
        <w:t>身份证号码：</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系（投标人名称）的法定代表人。</w:t>
      </w:r>
    </w:p>
    <w:p>
      <w:pPr>
        <w:spacing w:line="440" w:lineRule="exact"/>
        <w:ind w:firstLine="560"/>
        <w:rPr>
          <w:rFonts w:cs="Calibri"/>
          <w:sz w:val="22"/>
          <w:szCs w:val="22"/>
        </w:rPr>
      </w:pPr>
    </w:p>
    <w:p>
      <w:pPr>
        <w:spacing w:line="440" w:lineRule="exact"/>
        <w:rPr>
          <w:rFonts w:cs="Calibri"/>
          <w:sz w:val="22"/>
          <w:szCs w:val="22"/>
        </w:rPr>
      </w:pPr>
      <w:r>
        <w:rPr>
          <w:rFonts w:cs="Calibri"/>
          <w:sz w:val="22"/>
          <w:szCs w:val="22"/>
        </w:rPr>
        <w:t>特此证明。</w:t>
      </w:r>
    </w:p>
    <w:p>
      <w:pPr>
        <w:spacing w:line="440" w:lineRule="exact"/>
        <w:rPr>
          <w:rFonts w:cs="Calibri"/>
          <w:sz w:val="22"/>
          <w:szCs w:val="22"/>
        </w:rPr>
      </w:pPr>
      <w:r>
        <w:rPr>
          <w:rFonts w:cs="Calibri"/>
          <w:sz w:val="22"/>
          <w:szCs w:val="22"/>
        </w:rPr>
        <w:t>附：法定代表人身份证复印件</w:t>
      </w:r>
    </w:p>
    <w:p>
      <w:pPr>
        <w:spacing w:line="440" w:lineRule="exact"/>
        <w:rPr>
          <w:rFonts w:cs="Calibri"/>
          <w:sz w:val="22"/>
          <w:szCs w:val="22"/>
        </w:rPr>
      </w:pPr>
      <w:r>
        <w:rPr>
          <w:rFonts w:cs="Calibri"/>
          <w:sz w:val="22"/>
          <w:szCs w:val="22"/>
        </w:rPr>
        <w:t>投标人：（盖单位章）</w:t>
      </w:r>
    </w:p>
    <w:p>
      <w:pPr>
        <w:spacing w:line="440" w:lineRule="exact"/>
        <w:ind w:firstLine="4936" w:firstLineChars="2235"/>
        <w:rPr>
          <w:rFonts w:cs="Calibri"/>
          <w:b/>
          <w:sz w:val="22"/>
          <w:szCs w:val="22"/>
        </w:rPr>
      </w:pPr>
      <w:r>
        <w:rPr>
          <w:rFonts w:cs="Calibri"/>
          <w:b/>
          <w:sz w:val="22"/>
          <w:szCs w:val="22"/>
        </w:rPr>
        <w:pict>
          <v:shape id="Text Box 6" o:spid="_x0000_s1026" o:spt="202" type="#_x0000_t202" style="position:absolute;left:0pt;margin-left:0pt;margin-top:63.25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szCs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80" w:firstLineChars="200"/>
        <w:rPr>
          <w:rFonts w:cs="Calibri"/>
          <w:szCs w:val="21"/>
        </w:rPr>
      </w:pPr>
    </w:p>
    <w:p>
      <w:pPr>
        <w:spacing w:line="440" w:lineRule="exact"/>
        <w:ind w:firstLine="440" w:firstLineChars="200"/>
        <w:rPr>
          <w:rFonts w:cs="Calibri"/>
          <w:sz w:val="22"/>
          <w:szCs w:val="22"/>
        </w:rPr>
      </w:pPr>
      <w:r>
        <w:rPr>
          <w:rFonts w:cs="Calibri"/>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szCs w:val="22"/>
        </w:rPr>
      </w:pPr>
      <w:r>
        <w:rPr>
          <w:rFonts w:cs="Calibri"/>
          <w:sz w:val="22"/>
          <w:szCs w:val="22"/>
        </w:rPr>
        <w:t>代理人无转委托权。</w:t>
      </w:r>
    </w:p>
    <w:p>
      <w:pPr>
        <w:spacing w:line="440" w:lineRule="exact"/>
        <w:ind w:firstLine="440" w:firstLineChars="200"/>
        <w:rPr>
          <w:rFonts w:cs="Calibri"/>
          <w:sz w:val="22"/>
          <w:szCs w:val="22"/>
        </w:rPr>
      </w:pPr>
      <w:r>
        <w:rPr>
          <w:rFonts w:cs="Calibri"/>
          <w:sz w:val="22"/>
          <w:szCs w:val="22"/>
        </w:rPr>
        <w:t>附：委托代理人身份证复印件</w:t>
      </w:r>
    </w:p>
    <w:p>
      <w:pPr>
        <w:spacing w:line="440" w:lineRule="exact"/>
        <w:rPr>
          <w:rFonts w:cs="Calibri"/>
          <w:sz w:val="22"/>
          <w:szCs w:val="22"/>
        </w:rPr>
      </w:pPr>
    </w:p>
    <w:p>
      <w:pPr>
        <w:spacing w:line="440" w:lineRule="exact"/>
        <w:rPr>
          <w:rFonts w:cs="Calibri"/>
          <w:sz w:val="22"/>
          <w:szCs w:val="22"/>
        </w:rPr>
      </w:pPr>
      <w:r>
        <w:rPr>
          <w:rFonts w:cs="Calibri"/>
          <w:sz w:val="22"/>
          <w:szCs w:val="22"/>
        </w:rPr>
        <w:t>投标人：（盖单位章）</w:t>
      </w:r>
    </w:p>
    <w:p>
      <w:pPr>
        <w:spacing w:line="440" w:lineRule="exact"/>
        <w:rPr>
          <w:rFonts w:cs="Calibri"/>
          <w:sz w:val="22"/>
          <w:szCs w:val="22"/>
        </w:rPr>
      </w:pPr>
      <w:r>
        <w:rPr>
          <w:rFonts w:cs="Calibri"/>
          <w:sz w:val="22"/>
          <w:szCs w:val="22"/>
        </w:rPr>
        <w:t>法定代表人：（签字或盖章）</w:t>
      </w:r>
    </w:p>
    <w:p>
      <w:pPr>
        <w:spacing w:line="440" w:lineRule="exact"/>
        <w:rPr>
          <w:rFonts w:cs="Calibri"/>
          <w:sz w:val="22"/>
          <w:szCs w:val="22"/>
        </w:rPr>
      </w:pPr>
      <w:r>
        <w:rPr>
          <w:rFonts w:cs="Calibri"/>
          <w:sz w:val="22"/>
          <w:szCs w:val="22"/>
        </w:rPr>
        <w:t>身份证号码：</w:t>
      </w:r>
    </w:p>
    <w:p>
      <w:pPr>
        <w:spacing w:line="440" w:lineRule="exact"/>
        <w:rPr>
          <w:rFonts w:cs="Calibri"/>
          <w:sz w:val="22"/>
          <w:szCs w:val="22"/>
        </w:rPr>
      </w:pPr>
    </w:p>
    <w:p>
      <w:pPr>
        <w:spacing w:line="440" w:lineRule="exact"/>
        <w:rPr>
          <w:rFonts w:cs="Calibri"/>
          <w:sz w:val="22"/>
          <w:szCs w:val="22"/>
        </w:rPr>
      </w:pPr>
      <w:r>
        <w:rPr>
          <w:rFonts w:cs="Calibri"/>
          <w:sz w:val="22"/>
          <w:szCs w:val="22"/>
        </w:rPr>
        <w:t>委托的代理人：（签字或盖章）</w:t>
      </w:r>
    </w:p>
    <w:p>
      <w:pPr>
        <w:spacing w:line="440" w:lineRule="exact"/>
        <w:rPr>
          <w:rFonts w:cs="Calibri"/>
          <w:sz w:val="22"/>
          <w:szCs w:val="22"/>
        </w:rPr>
      </w:pPr>
      <w:r>
        <w:rPr>
          <w:rFonts w:cs="Calibri"/>
          <w:sz w:val="22"/>
          <w:szCs w:val="22"/>
        </w:rPr>
        <w:t>身份证号码：</w:t>
      </w:r>
    </w:p>
    <w:p>
      <w:pPr>
        <w:spacing w:line="440" w:lineRule="exact"/>
        <w:ind w:firstLine="4730" w:firstLineChars="2150"/>
        <w:rPr>
          <w:rFonts w:cs="Calibri"/>
          <w:sz w:val="22"/>
          <w:szCs w:val="22"/>
        </w:rPr>
      </w:pPr>
      <w:r>
        <w:rPr>
          <w:rFonts w:cs="Calibri"/>
          <w:sz w:val="22"/>
          <w:szCs w:val="22"/>
        </w:rPr>
        <w:t>日期：年月日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szCs w:val="22"/>
        </w:rPr>
      </w:pPr>
      <w:r>
        <w:rPr>
          <w:rFonts w:cs="Calibri"/>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31"/>
        <w:spacing w:afterLines="50" w:line="360" w:lineRule="auto"/>
        <w:jc w:val="left"/>
        <w:rPr>
          <w:rFonts w:hAnsi="宋体" w:cs="宋体"/>
          <w:b/>
        </w:rPr>
      </w:pPr>
      <w:r>
        <w:rPr>
          <w:rFonts w:hAnsi="宋体" w:cs="宋体"/>
          <w:b/>
        </w:rPr>
        <w:br w:type="page"/>
      </w:r>
      <w:bookmarkStart w:id="97" w:name="_Toc144265958"/>
      <w:bookmarkStart w:id="98" w:name="_Toc137373398"/>
      <w:bookmarkStart w:id="99" w:name="_Toc133470542"/>
      <w:bookmarkStart w:id="100" w:name="_Toc133214309"/>
      <w:bookmarkStart w:id="101" w:name="_Toc133214102"/>
    </w:p>
    <w:p>
      <w:pPr>
        <w:pStyle w:val="31"/>
        <w:spacing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31"/>
        <w:spacing w:afterLines="50" w:line="360" w:lineRule="auto"/>
        <w:jc w:val="center"/>
        <w:rPr>
          <w:rFonts w:hAnsi="宋体" w:cs="宋体"/>
        </w:rPr>
      </w:pPr>
    </w:p>
    <w:p>
      <w:pPr>
        <w:pStyle w:val="31"/>
        <w:numPr>
          <w:ilvl w:val="1"/>
          <w:numId w:val="8"/>
        </w:numPr>
        <w:snapToGrid w:val="0"/>
        <w:spacing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8"/>
        </w:numPr>
        <w:snapToGrid w:val="0"/>
        <w:spacing w:beforeLines="50" w:line="360" w:lineRule="exact"/>
        <w:rPr>
          <w:rFonts w:hAnsi="宋体" w:cs="宋体"/>
          <w:sz w:val="22"/>
          <w:szCs w:val="22"/>
        </w:rPr>
      </w:pPr>
      <w:r>
        <w:rPr>
          <w:rFonts w:hint="eastAsia" w:hAnsi="宋体" w:cs="宋体"/>
          <w:sz w:val="22"/>
          <w:szCs w:val="22"/>
        </w:rPr>
        <w:t>投标报价表包含以下各表</w:t>
      </w:r>
    </w:p>
    <w:bookmarkEnd w:id="97"/>
    <w:bookmarkEnd w:id="98"/>
    <w:bookmarkEnd w:id="99"/>
    <w:bookmarkEnd w:id="100"/>
    <w:bookmarkEnd w:id="101"/>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8"/>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0"/>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102" w:name="_Toc133470544"/>
      <w:bookmarkStart w:id="103" w:name="_Toc133214103"/>
      <w:bookmarkStart w:id="104" w:name="_Toc137373399"/>
      <w:bookmarkStart w:id="105" w:name="_Toc133214310"/>
    </w:p>
    <w:p>
      <w:pPr>
        <w:spacing w:line="360" w:lineRule="auto"/>
        <w:jc w:val="center"/>
        <w:rPr>
          <w:rFonts w:ascii="宋体" w:hAnsi="宋体" w:cs="宋体"/>
          <w:b/>
          <w:sz w:val="32"/>
          <w:szCs w:val="32"/>
        </w:rPr>
      </w:pPr>
      <w:bookmarkStart w:id="106" w:name="_Toc144265959"/>
      <w:r>
        <w:rPr>
          <w:rFonts w:hint="eastAsia" w:ascii="宋体" w:hAnsi="宋体" w:cs="宋体"/>
          <w:b/>
          <w:sz w:val="32"/>
          <w:szCs w:val="32"/>
        </w:rPr>
        <w:br w:type="page"/>
      </w:r>
    </w:p>
    <w:bookmarkEnd w:id="102"/>
    <w:bookmarkEnd w:id="103"/>
    <w:bookmarkEnd w:id="104"/>
    <w:bookmarkEnd w:id="105"/>
    <w:bookmarkEnd w:id="106"/>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8"/>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w:t>
            </w: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58"/>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2012年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2013年</w:t>
            </w: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r>
              <w:rPr>
                <w:rFonts w:hint="eastAsia" w:ascii="宋体" w:hAnsi="宋体" w:cs="宋体"/>
                <w:sz w:val="22"/>
              </w:rPr>
              <w:t>2014年</w:t>
            </w: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2"/>
        </w:numPr>
        <w:adjustRightInd w:val="0"/>
        <w:spacing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3"/>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3"/>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8"/>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6"/>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17"/>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17"/>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Lines="50" w:line="360" w:lineRule="auto"/>
        <w:rPr>
          <w:rFonts w:ascii="宋体" w:hAnsi="宋体" w:cs="宋体"/>
          <w:sz w:val="22"/>
          <w:szCs w:val="22"/>
        </w:rPr>
      </w:pPr>
      <w:r>
        <w:rPr>
          <w:rFonts w:hint="eastAsia" w:ascii="宋体" w:hAnsi="宋体" w:cs="宋体"/>
          <w:sz w:val="22"/>
          <w:szCs w:val="22"/>
        </w:rPr>
        <w:t>制造商名称 （公章）</w:t>
      </w:r>
    </w:p>
    <w:p>
      <w:pPr>
        <w:spacing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Lines="50" w:line="360" w:lineRule="auto"/>
        <w:rPr>
          <w:rFonts w:ascii="宋体" w:hAnsi="宋体" w:cs="宋体"/>
          <w:sz w:val="22"/>
          <w:szCs w:val="22"/>
          <w:u w:val="single"/>
        </w:rPr>
      </w:pPr>
      <w:r>
        <w:rPr>
          <w:rFonts w:hint="eastAsia" w:ascii="宋体" w:hAnsi="宋体" w:cs="宋体"/>
          <w:sz w:val="22"/>
          <w:szCs w:val="22"/>
        </w:rPr>
        <w:t>签字日期</w:t>
      </w:r>
    </w:p>
    <w:p>
      <w:pPr>
        <w:spacing w:beforeLines="50" w:line="360" w:lineRule="auto"/>
        <w:rPr>
          <w:rFonts w:ascii="宋体" w:hAnsi="宋体" w:cs="宋体"/>
          <w:sz w:val="22"/>
          <w:szCs w:val="22"/>
          <w:u w:val="single"/>
        </w:rPr>
      </w:pPr>
      <w:r>
        <w:rPr>
          <w:rFonts w:hint="eastAsia" w:ascii="宋体" w:hAnsi="宋体" w:cs="宋体"/>
          <w:sz w:val="22"/>
          <w:szCs w:val="22"/>
        </w:rPr>
        <w:t>传真</w:t>
      </w:r>
    </w:p>
    <w:p>
      <w:pPr>
        <w:spacing w:beforeLines="50" w:line="360" w:lineRule="auto"/>
        <w:rPr>
          <w:rFonts w:ascii="宋体" w:hAnsi="宋体" w:cs="宋体"/>
          <w:sz w:val="22"/>
          <w:szCs w:val="22"/>
          <w:u w:val="single"/>
        </w:rPr>
      </w:pPr>
      <w:r>
        <w:rPr>
          <w:rFonts w:hint="eastAsia" w:ascii="宋体" w:hAnsi="宋体" w:cs="宋体"/>
          <w:sz w:val="22"/>
          <w:szCs w:val="22"/>
        </w:rPr>
        <w:t>电话</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hint="eastAsia" w:ascii="ˎ̥" w:hAnsi="ˎ̥" w:cs="宋体"/>
                <w:bCs/>
                <w:kern w:val="0"/>
                <w:szCs w:val="21"/>
              </w:rPr>
            </w:pPr>
          </w:p>
        </w:tc>
      </w:tr>
    </w:tbl>
    <w:p>
      <w:pPr>
        <w:spacing w:line="360" w:lineRule="auto"/>
        <w:jc w:val="left"/>
        <w:rPr>
          <w:rFonts w:hint="eastAsia"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hint="eastAsia" w:ascii="ˎ̥" w:hAnsi="ˎ̥" w:cs="宋体"/>
          <w:kern w:val="0"/>
          <w:szCs w:val="21"/>
        </w:rPr>
      </w:pPr>
    </w:p>
    <w:p>
      <w:pPr>
        <w:spacing w:line="360" w:lineRule="auto"/>
        <w:jc w:val="center"/>
        <w:rPr>
          <w:rFonts w:ascii="宋体" w:hAnsi="宋体" w:cs="宋体"/>
          <w:b/>
          <w:sz w:val="32"/>
          <w:szCs w:val="32"/>
        </w:rPr>
      </w:pPr>
    </w:p>
    <w:p>
      <w:pPr>
        <w:pStyle w:val="31"/>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31"/>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r>
              <w:rPr>
                <w:rFonts w:hAnsi="宋体"/>
                <w:kern w:val="2"/>
                <w:sz w:val="21"/>
              </w:rPr>
              <w:t>序号</w:t>
            </w:r>
          </w:p>
        </w:tc>
        <w:tc>
          <w:tcPr>
            <w:tcW w:w="900" w:type="dxa"/>
            <w:vAlign w:val="center"/>
          </w:tcPr>
          <w:p>
            <w:pPr>
              <w:pStyle w:val="31"/>
              <w:adjustRightInd w:val="0"/>
              <w:snapToGrid w:val="0"/>
              <w:jc w:val="center"/>
              <w:rPr>
                <w:rFonts w:hAnsi="宋体"/>
                <w:kern w:val="2"/>
                <w:sz w:val="21"/>
              </w:rPr>
            </w:pPr>
            <w:r>
              <w:rPr>
                <w:rFonts w:hAnsi="宋体"/>
                <w:kern w:val="2"/>
                <w:sz w:val="21"/>
              </w:rPr>
              <w:t>内容</w:t>
            </w:r>
          </w:p>
        </w:tc>
        <w:tc>
          <w:tcPr>
            <w:tcW w:w="3510" w:type="dxa"/>
            <w:vAlign w:val="center"/>
          </w:tcPr>
          <w:p>
            <w:pPr>
              <w:pStyle w:val="31"/>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31"/>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31"/>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jc w:val="center"/>
              <w:rPr>
                <w:rFonts w:hAnsi="宋体"/>
                <w:kern w:val="2"/>
                <w:sz w:val="21"/>
              </w:rPr>
            </w:pPr>
          </w:p>
        </w:tc>
        <w:tc>
          <w:tcPr>
            <w:tcW w:w="90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3510" w:type="dxa"/>
            <w:vAlign w:val="center"/>
          </w:tcPr>
          <w:p>
            <w:pPr>
              <w:pStyle w:val="31"/>
              <w:adjustRightInd w:val="0"/>
              <w:snapToGrid w:val="0"/>
              <w:jc w:val="center"/>
              <w:rPr>
                <w:rFonts w:hAnsi="宋体"/>
                <w:kern w:val="2"/>
                <w:sz w:val="21"/>
              </w:rPr>
            </w:pPr>
          </w:p>
        </w:tc>
        <w:tc>
          <w:tcPr>
            <w:tcW w:w="827" w:type="dxa"/>
            <w:vAlign w:val="center"/>
          </w:tcPr>
          <w:p>
            <w:pPr>
              <w:pStyle w:val="31"/>
              <w:adjustRightInd w:val="0"/>
              <w:snapToGrid w:val="0"/>
              <w:jc w:val="center"/>
              <w:rPr>
                <w:rFonts w:hAnsi="宋体"/>
                <w:kern w:val="2"/>
                <w:sz w:val="21"/>
              </w:rPr>
            </w:pPr>
          </w:p>
        </w:tc>
      </w:tr>
    </w:tbl>
    <w:p>
      <w:pPr>
        <w:pStyle w:val="31"/>
        <w:adjustRightInd w:val="0"/>
        <w:snapToGrid w:val="0"/>
        <w:spacing w:line="560" w:lineRule="exact"/>
        <w:rPr>
          <w:rFonts w:hAnsi="宋体"/>
          <w:bCs/>
          <w:sz w:val="24"/>
          <w:szCs w:val="24"/>
        </w:rPr>
      </w:pPr>
    </w:p>
    <w:p>
      <w:pPr>
        <w:pStyle w:val="31"/>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sectPr>
      <w:footerReference r:id="rId5" w:type="first"/>
      <w:headerReference r:id="rId3" w:type="default"/>
      <w:footerReference r:id="rId4" w:type="defaul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Heiti SC Light">
    <w:altName w:val="Arial Unicode MS"/>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6 -</w:t>
        </w:r>
        <w:r>
          <w:fldChar w:fldCharType="end"/>
        </w:r>
      </w:p>
    </w:sdtContent>
  </w:sdt>
  <w:p>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杭州萧山国际机场JWC粉碎型格栅机封采购项目招标文件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8">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0"/>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0"/>
  </w:num>
  <w:num w:numId="4">
    <w:abstractNumId w:val="18"/>
  </w:num>
  <w:num w:numId="5">
    <w:abstractNumId w:val="17"/>
  </w:num>
  <w:num w:numId="6">
    <w:abstractNumId w:val="4"/>
  </w:num>
  <w:num w:numId="7">
    <w:abstractNumId w:val="15"/>
  </w:num>
  <w:num w:numId="8">
    <w:abstractNumId w:val="13"/>
  </w:num>
  <w:num w:numId="9">
    <w:abstractNumId w:val="7"/>
  </w:num>
  <w:num w:numId="10">
    <w:abstractNumId w:val="14"/>
  </w:num>
  <w:num w:numId="11">
    <w:abstractNumId w:val="3"/>
  </w:num>
  <w:num w:numId="12">
    <w:abstractNumId w:val="8"/>
  </w:num>
  <w:num w:numId="13">
    <w:abstractNumId w:val="10"/>
  </w:num>
  <w:num w:numId="14">
    <w:abstractNumId w:val="6"/>
  </w:num>
  <w:num w:numId="15">
    <w:abstractNumId w:val="2"/>
  </w:num>
  <w:num w:numId="16">
    <w:abstractNumId w:val="5"/>
  </w:num>
  <w:num w:numId="17">
    <w:abstractNumId w:val="12"/>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A38DC"/>
    <w:rsid w:val="00015A87"/>
    <w:rsid w:val="000279FA"/>
    <w:rsid w:val="000364CD"/>
    <w:rsid w:val="00057BDF"/>
    <w:rsid w:val="00067938"/>
    <w:rsid w:val="00085498"/>
    <w:rsid w:val="000A3A41"/>
    <w:rsid w:val="000C5790"/>
    <w:rsid w:val="000F397A"/>
    <w:rsid w:val="000F6BE4"/>
    <w:rsid w:val="00123B12"/>
    <w:rsid w:val="00126304"/>
    <w:rsid w:val="0017602A"/>
    <w:rsid w:val="00176DE6"/>
    <w:rsid w:val="00191863"/>
    <w:rsid w:val="001A2C8A"/>
    <w:rsid w:val="001A3922"/>
    <w:rsid w:val="001B7B85"/>
    <w:rsid w:val="001D16EF"/>
    <w:rsid w:val="001E2574"/>
    <w:rsid w:val="001F5F11"/>
    <w:rsid w:val="00250C62"/>
    <w:rsid w:val="00256198"/>
    <w:rsid w:val="00274CF1"/>
    <w:rsid w:val="00276485"/>
    <w:rsid w:val="00285777"/>
    <w:rsid w:val="00290CF4"/>
    <w:rsid w:val="00296769"/>
    <w:rsid w:val="002E0FBD"/>
    <w:rsid w:val="00332ED3"/>
    <w:rsid w:val="003715DC"/>
    <w:rsid w:val="003907AF"/>
    <w:rsid w:val="003B4523"/>
    <w:rsid w:val="003B6ABA"/>
    <w:rsid w:val="003B6DFB"/>
    <w:rsid w:val="003F0E7A"/>
    <w:rsid w:val="003F5065"/>
    <w:rsid w:val="004046D7"/>
    <w:rsid w:val="0042342C"/>
    <w:rsid w:val="00457973"/>
    <w:rsid w:val="00496562"/>
    <w:rsid w:val="004969F3"/>
    <w:rsid w:val="004E6F1F"/>
    <w:rsid w:val="005104EA"/>
    <w:rsid w:val="00533DAA"/>
    <w:rsid w:val="00540043"/>
    <w:rsid w:val="00541A19"/>
    <w:rsid w:val="00591D25"/>
    <w:rsid w:val="005A38DC"/>
    <w:rsid w:val="005B67BD"/>
    <w:rsid w:val="0061563B"/>
    <w:rsid w:val="0064182C"/>
    <w:rsid w:val="006C0B49"/>
    <w:rsid w:val="006D62B1"/>
    <w:rsid w:val="006E38B5"/>
    <w:rsid w:val="007262D2"/>
    <w:rsid w:val="00736ACF"/>
    <w:rsid w:val="00755741"/>
    <w:rsid w:val="00762C0D"/>
    <w:rsid w:val="0077065C"/>
    <w:rsid w:val="0079094B"/>
    <w:rsid w:val="007960DF"/>
    <w:rsid w:val="007C5633"/>
    <w:rsid w:val="007C698A"/>
    <w:rsid w:val="007D35BE"/>
    <w:rsid w:val="007E3F72"/>
    <w:rsid w:val="008118F9"/>
    <w:rsid w:val="00834B47"/>
    <w:rsid w:val="0086480A"/>
    <w:rsid w:val="00884F87"/>
    <w:rsid w:val="008A22A2"/>
    <w:rsid w:val="008B6302"/>
    <w:rsid w:val="00947D56"/>
    <w:rsid w:val="00A07FE0"/>
    <w:rsid w:val="00A55543"/>
    <w:rsid w:val="00A9254B"/>
    <w:rsid w:val="00A94F81"/>
    <w:rsid w:val="00AD06B8"/>
    <w:rsid w:val="00AD5300"/>
    <w:rsid w:val="00AE2127"/>
    <w:rsid w:val="00AF3674"/>
    <w:rsid w:val="00BD5305"/>
    <w:rsid w:val="00BF7914"/>
    <w:rsid w:val="00C029EF"/>
    <w:rsid w:val="00C93015"/>
    <w:rsid w:val="00CA6756"/>
    <w:rsid w:val="00CC51A2"/>
    <w:rsid w:val="00CD4F10"/>
    <w:rsid w:val="00CF142A"/>
    <w:rsid w:val="00D255ED"/>
    <w:rsid w:val="00D65F45"/>
    <w:rsid w:val="00D94E59"/>
    <w:rsid w:val="00DC4BD5"/>
    <w:rsid w:val="00DF40E4"/>
    <w:rsid w:val="00E11A4F"/>
    <w:rsid w:val="00E349EC"/>
    <w:rsid w:val="00E5018D"/>
    <w:rsid w:val="00E605DC"/>
    <w:rsid w:val="00EE3B5F"/>
    <w:rsid w:val="00EE5453"/>
    <w:rsid w:val="00EF4A91"/>
    <w:rsid w:val="00F12E55"/>
    <w:rsid w:val="00F4200D"/>
    <w:rsid w:val="00F475F0"/>
    <w:rsid w:val="00F8442C"/>
    <w:rsid w:val="00FB63E8"/>
    <w:rsid w:val="00FD3695"/>
    <w:rsid w:val="00FE4DE1"/>
    <w:rsid w:val="00FF4B63"/>
    <w:rsid w:val="0289264E"/>
    <w:rsid w:val="03BC645E"/>
    <w:rsid w:val="09D453B6"/>
    <w:rsid w:val="0BCF4D82"/>
    <w:rsid w:val="0C3C2EC4"/>
    <w:rsid w:val="0DBC2FB8"/>
    <w:rsid w:val="0E6116FE"/>
    <w:rsid w:val="0EFF7599"/>
    <w:rsid w:val="0F1615E7"/>
    <w:rsid w:val="108B017F"/>
    <w:rsid w:val="11540830"/>
    <w:rsid w:val="13873B8C"/>
    <w:rsid w:val="15806908"/>
    <w:rsid w:val="172C5F48"/>
    <w:rsid w:val="19FC7DBC"/>
    <w:rsid w:val="1CEB2C86"/>
    <w:rsid w:val="1EBC6181"/>
    <w:rsid w:val="207103E2"/>
    <w:rsid w:val="279B7F68"/>
    <w:rsid w:val="298154A2"/>
    <w:rsid w:val="2ABD7809"/>
    <w:rsid w:val="2B151799"/>
    <w:rsid w:val="2B875E8D"/>
    <w:rsid w:val="2D196282"/>
    <w:rsid w:val="2F7B4544"/>
    <w:rsid w:val="319372B0"/>
    <w:rsid w:val="3AEC2302"/>
    <w:rsid w:val="3D4F5360"/>
    <w:rsid w:val="3EAF1361"/>
    <w:rsid w:val="442067D5"/>
    <w:rsid w:val="450C307C"/>
    <w:rsid w:val="458466CC"/>
    <w:rsid w:val="462F5954"/>
    <w:rsid w:val="46A42195"/>
    <w:rsid w:val="4D444CD3"/>
    <w:rsid w:val="512D4B97"/>
    <w:rsid w:val="58CC091B"/>
    <w:rsid w:val="5B3B7653"/>
    <w:rsid w:val="5C803E3B"/>
    <w:rsid w:val="5CCE6F0A"/>
    <w:rsid w:val="60700752"/>
    <w:rsid w:val="67554E3D"/>
    <w:rsid w:val="68FF54CE"/>
    <w:rsid w:val="6C897B50"/>
    <w:rsid w:val="6E452B38"/>
    <w:rsid w:val="708E1825"/>
    <w:rsid w:val="719567C5"/>
    <w:rsid w:val="786A1075"/>
    <w:rsid w:val="7A781CE1"/>
    <w:rsid w:val="7F66036B"/>
    <w:rsid w:val="7FBB2CC2"/>
  </w:rsids>
  <m:mathPr>
    <m:lMargin m:val="0"/>
    <m:mathFont m:val="Cambria Math"/>
    <m:rMargin m:val="0"/>
    <m:wrapIndent m:val="1440"/>
    <m:brkBin m:val="before"/>
    <m:brkBinSub m:val="--"/>
    <m:defJc m:val="centerGroup"/>
    <m:intLim m:val="subSup"/>
    <m:naryLim m:val="undOvr"/>
    <m:smallFrac m:val="off"/>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59"/>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 w:val="21"/>
    </w:rPr>
  </w:style>
  <w:style w:type="paragraph" w:styleId="12">
    <w:name w:val="annotation subject"/>
    <w:basedOn w:val="13"/>
    <w:next w:val="13"/>
    <w:link w:val="95"/>
    <w:semiHidden/>
    <w:qFormat/>
    <w:uiPriority w:val="0"/>
    <w:rPr>
      <w:rFonts w:ascii="Times New Roman" w:hAnsi="Times New Roman" w:eastAsia="宋体" w:cs="Times New Roman"/>
      <w:b/>
      <w:bCs/>
      <w:kern w:val="0"/>
      <w:sz w:val="20"/>
    </w:rPr>
  </w:style>
  <w:style w:type="paragraph" w:styleId="13">
    <w:name w:val="annotation text"/>
    <w:basedOn w:val="1"/>
    <w:link w:val="103"/>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90"/>
    <w:qFormat/>
    <w:uiPriority w:val="0"/>
    <w:pPr>
      <w:ind w:firstLine="420" w:firstLineChars="100"/>
    </w:pPr>
    <w:rPr>
      <w:rFonts w:ascii="Times New Roman" w:hAnsi="Times New Roman" w:eastAsia="宋体" w:cs="Times New Roman"/>
      <w:kern w:val="0"/>
      <w:sz w:val="20"/>
    </w:rPr>
  </w:style>
  <w:style w:type="paragraph" w:styleId="16">
    <w:name w:val="Body Text"/>
    <w:basedOn w:val="1"/>
    <w:link w:val="106"/>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 w:val="21"/>
    </w:rPr>
  </w:style>
  <w:style w:type="paragraph" w:styleId="18">
    <w:name w:val="Normal Indent"/>
    <w:basedOn w:val="1"/>
    <w:qFormat/>
    <w:uiPriority w:val="0"/>
    <w:pPr>
      <w:ind w:firstLine="420"/>
    </w:pPr>
    <w:rPr>
      <w:rFonts w:ascii="Times New Roman" w:hAnsi="Times New Roman" w:eastAsia="宋体" w:cs="Times New Roman"/>
      <w:sz w:val="21"/>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 w:val="21"/>
    </w:rPr>
  </w:style>
  <w:style w:type="paragraph" w:styleId="21">
    <w:name w:val="List Bullet"/>
    <w:basedOn w:val="1"/>
    <w:qFormat/>
    <w:uiPriority w:val="0"/>
    <w:pPr>
      <w:numPr>
        <w:ilvl w:val="0"/>
        <w:numId w:val="2"/>
      </w:numPr>
    </w:pPr>
    <w:rPr>
      <w:rFonts w:ascii="Times New Roman" w:hAnsi="Times New Roman" w:eastAsia="宋体" w:cs="Times New Roman"/>
      <w:sz w:val="21"/>
    </w:rPr>
  </w:style>
  <w:style w:type="paragraph" w:styleId="22">
    <w:name w:val="Document Map"/>
    <w:basedOn w:val="1"/>
    <w:link w:val="71"/>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83"/>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9"/>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 w:val="21"/>
    </w:rPr>
  </w:style>
  <w:style w:type="paragraph" w:styleId="26">
    <w:name w:val="List Continue"/>
    <w:basedOn w:val="1"/>
    <w:qFormat/>
    <w:uiPriority w:val="0"/>
    <w:pPr>
      <w:spacing w:after="120"/>
      <w:ind w:left="420" w:leftChars="200"/>
    </w:pPr>
    <w:rPr>
      <w:rFonts w:ascii="Times New Roman" w:hAnsi="Times New Roman" w:eastAsia="宋体" w:cs="Times New Roman"/>
      <w:sz w:val="21"/>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rPr>
  </w:style>
  <w:style w:type="paragraph" w:styleId="28">
    <w:name w:val="List Bullet 2"/>
    <w:basedOn w:val="1"/>
    <w:qFormat/>
    <w:uiPriority w:val="0"/>
    <w:pPr>
      <w:numPr>
        <w:ilvl w:val="0"/>
        <w:numId w:val="3"/>
      </w:numPr>
    </w:pPr>
    <w:rPr>
      <w:rFonts w:ascii="Times New Roman" w:hAnsi="Times New Roman" w:eastAsia="宋体" w:cs="Times New Roman"/>
      <w:sz w:val="21"/>
    </w:r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4"/>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68"/>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94"/>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69"/>
    <w:semiHidden/>
    <w:qFormat/>
    <w:uiPriority w:val="0"/>
    <w:rPr>
      <w:rFonts w:ascii="Times New Roman" w:hAnsi="Times New Roman" w:eastAsia="宋体" w:cs="Times New Roman"/>
      <w:kern w:val="0"/>
      <w:sz w:val="18"/>
      <w:szCs w:val="18"/>
    </w:rPr>
  </w:style>
  <w:style w:type="paragraph" w:styleId="36">
    <w:name w:val="footer"/>
    <w:basedOn w:val="1"/>
    <w:link w:val="87"/>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7">
    <w:name w:val="Body Text First Indent 2"/>
    <w:basedOn w:val="24"/>
    <w:link w:val="78"/>
    <w:qFormat/>
    <w:uiPriority w:val="0"/>
    <w:pPr>
      <w:spacing w:after="120"/>
      <w:ind w:left="420" w:leftChars="200" w:firstLine="420"/>
    </w:pPr>
    <w:rPr>
      <w:szCs w:val="24"/>
    </w:rPr>
  </w:style>
  <w:style w:type="paragraph" w:styleId="38">
    <w:name w:val="header"/>
    <w:basedOn w:val="1"/>
    <w:link w:val="8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9">
    <w:name w:val="toc 1"/>
    <w:basedOn w:val="2"/>
    <w:next w:val="1"/>
    <w:qFormat/>
    <w:uiPriority w:val="39"/>
    <w:pPr>
      <w:adjustRightInd w:val="0"/>
      <w:snapToGrid w:val="0"/>
    </w:pPr>
    <w:rPr>
      <w:rFonts w:eastAsia="仿宋"/>
      <w:sz w:val="21"/>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 w:val="21"/>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9"/>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70"/>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 w:val="21"/>
    </w:rPr>
  </w:style>
  <w:style w:type="paragraph" w:styleId="48">
    <w:name w:val="List Continue 2"/>
    <w:basedOn w:val="1"/>
    <w:qFormat/>
    <w:uiPriority w:val="0"/>
    <w:pPr>
      <w:spacing w:after="120"/>
      <w:ind w:left="840" w:leftChars="400"/>
    </w:pPr>
    <w:rPr>
      <w:rFonts w:ascii="Times New Roman" w:hAnsi="Times New Roman" w:eastAsia="宋体" w:cs="Times New Roman"/>
      <w:sz w:val="21"/>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 w:val="21"/>
      <w:szCs w:val="20"/>
    </w:rPr>
  </w:style>
  <w:style w:type="paragraph" w:styleId="51">
    <w:name w:val="Title"/>
    <w:basedOn w:val="1"/>
    <w:next w:val="1"/>
    <w:link w:val="96"/>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b/>
      <w:bCs/>
    </w:rPr>
  </w:style>
  <w:style w:type="character" w:styleId="54">
    <w:name w:val="page number"/>
    <w:basedOn w:val="52"/>
    <w:qFormat/>
    <w:uiPriority w:val="0"/>
  </w:style>
  <w:style w:type="character" w:styleId="55">
    <w:name w:val="FollowedHyperlink"/>
    <w:unhideWhenUsed/>
    <w:qFormat/>
    <w:uiPriority w:val="99"/>
    <w:rPr>
      <w:color w:val="800080"/>
      <w:u w:val="single"/>
    </w:rPr>
  </w:style>
  <w:style w:type="character" w:styleId="56">
    <w:name w:val="Hyperlink"/>
    <w:qFormat/>
    <w:uiPriority w:val="99"/>
    <w:rPr>
      <w:color w:val="0000FF"/>
      <w:u w:val="single"/>
    </w:rPr>
  </w:style>
  <w:style w:type="character" w:styleId="57">
    <w:name w:val="annotation reference"/>
    <w:semiHidden/>
    <w:qFormat/>
    <w:uiPriority w:val="0"/>
    <w:rPr>
      <w:sz w:val="21"/>
      <w:szCs w:val="21"/>
    </w:rPr>
  </w:style>
  <w:style w:type="character" w:customStyle="1" w:styleId="59">
    <w:name w:val="标题 1 Char"/>
    <w:basedOn w:val="52"/>
    <w:link w:val="2"/>
    <w:qFormat/>
    <w:uiPriority w:val="0"/>
    <w:rPr>
      <w:rFonts w:ascii="Times New Roman" w:hAnsi="Times New Roman" w:eastAsia="宋体" w:cs="Times New Roman"/>
      <w:b/>
      <w:bCs/>
      <w:kern w:val="44"/>
      <w:sz w:val="30"/>
      <w:szCs w:val="44"/>
    </w:rPr>
  </w:style>
  <w:style w:type="character" w:customStyle="1" w:styleId="60">
    <w:name w:val="标题 2 Char"/>
    <w:basedOn w:val="52"/>
    <w:link w:val="3"/>
    <w:qFormat/>
    <w:uiPriority w:val="0"/>
    <w:rPr>
      <w:rFonts w:ascii="Arial" w:hAnsi="Arial" w:eastAsia="宋体" w:cs="Times New Roman"/>
      <w:b/>
      <w:bCs/>
      <w:kern w:val="0"/>
      <w:sz w:val="28"/>
      <w:szCs w:val="32"/>
    </w:rPr>
  </w:style>
  <w:style w:type="character" w:customStyle="1" w:styleId="61">
    <w:name w:val="标题 3 Char"/>
    <w:basedOn w:val="52"/>
    <w:link w:val="4"/>
    <w:qFormat/>
    <w:uiPriority w:val="0"/>
    <w:rPr>
      <w:rFonts w:ascii="宋体" w:hAnsi="Times New Roman" w:eastAsia="宋体" w:cs="Times New Roman"/>
      <w:b/>
      <w:kern w:val="0"/>
      <w:sz w:val="28"/>
      <w:szCs w:val="20"/>
    </w:rPr>
  </w:style>
  <w:style w:type="character" w:customStyle="1" w:styleId="62">
    <w:name w:val="标题 4 Char"/>
    <w:basedOn w:val="52"/>
    <w:link w:val="5"/>
    <w:qFormat/>
    <w:uiPriority w:val="0"/>
    <w:rPr>
      <w:rFonts w:ascii="Arial" w:hAnsi="Arial" w:eastAsia="黑体" w:cs="Times New Roman"/>
      <w:b/>
      <w:bCs/>
      <w:kern w:val="0"/>
      <w:sz w:val="28"/>
      <w:szCs w:val="28"/>
    </w:rPr>
  </w:style>
  <w:style w:type="character" w:customStyle="1" w:styleId="63">
    <w:name w:val="标题 5 Char"/>
    <w:basedOn w:val="52"/>
    <w:link w:val="6"/>
    <w:qFormat/>
    <w:uiPriority w:val="0"/>
    <w:rPr>
      <w:rFonts w:ascii="Times New Roman" w:hAnsi="Times New Roman" w:eastAsia="宋体" w:cs="Times New Roman"/>
      <w:b/>
      <w:bCs/>
      <w:kern w:val="0"/>
      <w:sz w:val="28"/>
      <w:szCs w:val="28"/>
    </w:rPr>
  </w:style>
  <w:style w:type="character" w:customStyle="1" w:styleId="64">
    <w:name w:val="标题 6 Char"/>
    <w:basedOn w:val="52"/>
    <w:link w:val="7"/>
    <w:qFormat/>
    <w:uiPriority w:val="0"/>
    <w:rPr>
      <w:rFonts w:ascii="Arial" w:hAnsi="Arial" w:eastAsia="黑体" w:cs="Times New Roman"/>
      <w:b/>
      <w:bCs/>
      <w:kern w:val="0"/>
    </w:rPr>
  </w:style>
  <w:style w:type="character" w:customStyle="1" w:styleId="65">
    <w:name w:val="标题 7 Char"/>
    <w:basedOn w:val="52"/>
    <w:link w:val="8"/>
    <w:qFormat/>
    <w:uiPriority w:val="0"/>
    <w:rPr>
      <w:rFonts w:ascii="Times New Roman" w:hAnsi="Times New Roman" w:eastAsia="宋体" w:cs="Times New Roman"/>
      <w:b/>
      <w:bCs/>
      <w:kern w:val="0"/>
    </w:rPr>
  </w:style>
  <w:style w:type="character" w:customStyle="1" w:styleId="66">
    <w:name w:val="标题 8 Char"/>
    <w:basedOn w:val="52"/>
    <w:link w:val="9"/>
    <w:qFormat/>
    <w:uiPriority w:val="0"/>
    <w:rPr>
      <w:rFonts w:ascii="Arial" w:hAnsi="Arial" w:eastAsia="黑体" w:cs="Times New Roman"/>
      <w:kern w:val="0"/>
    </w:rPr>
  </w:style>
  <w:style w:type="character" w:customStyle="1" w:styleId="67">
    <w:name w:val="标题 9 Char"/>
    <w:basedOn w:val="52"/>
    <w:link w:val="10"/>
    <w:qFormat/>
    <w:uiPriority w:val="0"/>
    <w:rPr>
      <w:rFonts w:ascii="Arial" w:hAnsi="Arial" w:eastAsia="黑体" w:cs="Times New Roman"/>
      <w:kern w:val="0"/>
      <w:sz w:val="20"/>
      <w:szCs w:val="21"/>
    </w:rPr>
  </w:style>
  <w:style w:type="character" w:customStyle="1" w:styleId="68">
    <w:name w:val="日期 Char"/>
    <w:link w:val="33"/>
    <w:qFormat/>
    <w:uiPriority w:val="0"/>
    <w:rPr>
      <w:rFonts w:ascii="Times New Roman" w:hAnsi="Times New Roman" w:eastAsia="宋体" w:cs="Times New Roman"/>
      <w:kern w:val="0"/>
      <w:sz w:val="20"/>
    </w:rPr>
  </w:style>
  <w:style w:type="character" w:customStyle="1" w:styleId="69">
    <w:name w:val="批注框文本 Char"/>
    <w:link w:val="35"/>
    <w:semiHidden/>
    <w:qFormat/>
    <w:uiPriority w:val="0"/>
    <w:rPr>
      <w:rFonts w:ascii="Times New Roman" w:hAnsi="Times New Roman" w:eastAsia="宋体" w:cs="Times New Roman"/>
      <w:kern w:val="0"/>
      <w:sz w:val="18"/>
      <w:szCs w:val="18"/>
    </w:rPr>
  </w:style>
  <w:style w:type="character" w:customStyle="1" w:styleId="70">
    <w:name w:val="正文文本 2 Char"/>
    <w:link w:val="46"/>
    <w:qFormat/>
    <w:uiPriority w:val="0"/>
    <w:rPr>
      <w:rFonts w:ascii="Times New Roman" w:hAnsi="Times New Roman" w:eastAsia="宋体" w:cs="Times New Roman"/>
      <w:kern w:val="0"/>
      <w:sz w:val="20"/>
    </w:rPr>
  </w:style>
  <w:style w:type="character" w:customStyle="1" w:styleId="71">
    <w:name w:val="文档结构图 Char"/>
    <w:link w:val="22"/>
    <w:qFormat/>
    <w:uiPriority w:val="0"/>
    <w:rPr>
      <w:rFonts w:ascii="Times New Roman" w:hAnsi="Times New Roman" w:eastAsia="宋体" w:cs="Times New Roman"/>
      <w:kern w:val="0"/>
      <w:sz w:val="20"/>
      <w:shd w:val="clear" w:color="auto" w:fill="000080"/>
    </w:rPr>
  </w:style>
  <w:style w:type="character" w:customStyle="1" w:styleId="72">
    <w:name w:val="font51"/>
    <w:qFormat/>
    <w:uiPriority w:val="0"/>
    <w:rPr>
      <w:rFonts w:hint="default" w:ascii="Times New Roman" w:hAnsi="Times New Roman" w:cs="Times New Roman"/>
      <w:b/>
      <w:color w:val="000000"/>
      <w:sz w:val="24"/>
      <w:szCs w:val="24"/>
      <w:u w:val="none"/>
    </w:rPr>
  </w:style>
  <w:style w:type="character" w:customStyle="1" w:styleId="73">
    <w:name w:val="Char Char"/>
    <w:qFormat/>
    <w:uiPriority w:val="0"/>
    <w:rPr>
      <w:rFonts w:ascii="宋体" w:hAnsi="Courier New" w:eastAsia="宋体" w:cs="Courier New"/>
      <w:kern w:val="2"/>
      <w:sz w:val="21"/>
      <w:szCs w:val="21"/>
      <w:lang w:val="en-US" w:eastAsia="zh-CN" w:bidi="ar-SA"/>
    </w:rPr>
  </w:style>
  <w:style w:type="character" w:customStyle="1" w:styleId="74">
    <w:name w:val="纯文本 Char"/>
    <w:link w:val="31"/>
    <w:qFormat/>
    <w:uiPriority w:val="0"/>
    <w:rPr>
      <w:rFonts w:ascii="宋体" w:hAnsi="Courier New" w:eastAsia="宋体" w:cs="Times New Roman"/>
      <w:kern w:val="0"/>
      <w:sz w:val="20"/>
      <w:szCs w:val="21"/>
    </w:rPr>
  </w:style>
  <w:style w:type="character" w:customStyle="1" w:styleId="75">
    <w:name w:val="注释文本字符"/>
    <w:semiHidden/>
    <w:qFormat/>
    <w:uiPriority w:val="0"/>
    <w:rPr>
      <w:rFonts w:ascii="Times New Roman" w:hAnsi="Times New Roman" w:eastAsia="宋体" w:cs="Times New Roman"/>
      <w:kern w:val="0"/>
      <w:sz w:val="20"/>
      <w:szCs w:val="24"/>
    </w:rPr>
  </w:style>
  <w:style w:type="character" w:customStyle="1" w:styleId="76">
    <w:name w:val="Char Char3"/>
    <w:qFormat/>
    <w:uiPriority w:val="0"/>
    <w:rPr>
      <w:rFonts w:eastAsia="宋体"/>
      <w:kern w:val="2"/>
      <w:sz w:val="18"/>
      <w:szCs w:val="18"/>
      <w:lang w:val="en-US" w:eastAsia="zh-CN" w:bidi="ar-SA"/>
    </w:rPr>
  </w:style>
  <w:style w:type="character" w:customStyle="1" w:styleId="77">
    <w:name w:val="font61"/>
    <w:qFormat/>
    <w:uiPriority w:val="0"/>
    <w:rPr>
      <w:rFonts w:hint="default" w:ascii="Times New Roman" w:hAnsi="Times New Roman" w:cs="Times New Roman"/>
      <w:color w:val="000000"/>
      <w:sz w:val="24"/>
      <w:szCs w:val="24"/>
      <w:u w:val="none"/>
    </w:rPr>
  </w:style>
  <w:style w:type="character" w:customStyle="1" w:styleId="78">
    <w:name w:val="正文首行缩进 2 Char"/>
    <w:link w:val="37"/>
    <w:qFormat/>
    <w:uiPriority w:val="0"/>
    <w:rPr>
      <w:rFonts w:ascii="宋体" w:hAnsi="宋体" w:eastAsia="宋体" w:cs="Times New Roman"/>
      <w:kern w:val="0"/>
      <w:sz w:val="28"/>
    </w:rPr>
  </w:style>
  <w:style w:type="character" w:customStyle="1" w:styleId="79">
    <w:name w:val="正文文本缩进 Char"/>
    <w:link w:val="24"/>
    <w:qFormat/>
    <w:uiPriority w:val="0"/>
    <w:rPr>
      <w:rFonts w:ascii="宋体" w:hAnsi="宋体" w:eastAsia="宋体" w:cs="Times New Roman"/>
      <w:kern w:val="0"/>
      <w:sz w:val="28"/>
      <w:szCs w:val="28"/>
    </w:rPr>
  </w:style>
  <w:style w:type="character" w:customStyle="1" w:styleId="80">
    <w:name w:val="font21"/>
    <w:qFormat/>
    <w:uiPriority w:val="0"/>
    <w:rPr>
      <w:rFonts w:hint="default" w:ascii="Times New Roman" w:hAnsi="Times New Roman" w:cs="Times New Roman"/>
      <w:color w:val="000000"/>
      <w:sz w:val="24"/>
      <w:szCs w:val="24"/>
      <w:u w:val="none"/>
      <w:vertAlign w:val="superscript"/>
    </w:rPr>
  </w:style>
  <w:style w:type="character" w:customStyle="1" w:styleId="81">
    <w:name w:val="font71"/>
    <w:qFormat/>
    <w:uiPriority w:val="0"/>
    <w:rPr>
      <w:rFonts w:hint="eastAsia" w:ascii="宋体" w:hAnsi="宋体" w:eastAsia="宋体" w:cs="宋体"/>
      <w:color w:val="000000"/>
      <w:sz w:val="24"/>
      <w:szCs w:val="24"/>
      <w:u w:val="none"/>
    </w:rPr>
  </w:style>
  <w:style w:type="character" w:customStyle="1" w:styleId="82">
    <w:name w:val="zbggmain style9"/>
    <w:basedOn w:val="52"/>
    <w:qFormat/>
    <w:uiPriority w:val="0"/>
  </w:style>
  <w:style w:type="character" w:customStyle="1" w:styleId="83">
    <w:name w:val="正文文本 3 Char"/>
    <w:link w:val="23"/>
    <w:qFormat/>
    <w:uiPriority w:val="0"/>
    <w:rPr>
      <w:rFonts w:ascii="Times New Roman" w:hAnsi="Times New Roman" w:eastAsia="宋体" w:cs="Times New Roman"/>
      <w:kern w:val="0"/>
      <w:sz w:val="16"/>
      <w:szCs w:val="16"/>
    </w:rPr>
  </w:style>
  <w:style w:type="character" w:customStyle="1" w:styleId="84">
    <w:name w:val="px1233"/>
    <w:basedOn w:val="52"/>
    <w:qFormat/>
    <w:uiPriority w:val="0"/>
  </w:style>
  <w:style w:type="character" w:customStyle="1" w:styleId="85">
    <w:name w:val="font11"/>
    <w:qFormat/>
    <w:uiPriority w:val="0"/>
    <w:rPr>
      <w:rFonts w:hint="default" w:ascii="Times New Roman" w:hAnsi="Times New Roman" w:cs="Times New Roman"/>
      <w:color w:val="000000"/>
      <w:sz w:val="21"/>
      <w:szCs w:val="21"/>
      <w:u w:val="none"/>
    </w:rPr>
  </w:style>
  <w:style w:type="character" w:customStyle="1" w:styleId="86">
    <w:name w:val="页眉 Char"/>
    <w:link w:val="38"/>
    <w:qFormat/>
    <w:uiPriority w:val="0"/>
    <w:rPr>
      <w:rFonts w:ascii="Times New Roman" w:hAnsi="Times New Roman" w:eastAsia="宋体" w:cs="Times New Roman"/>
      <w:kern w:val="0"/>
      <w:sz w:val="18"/>
      <w:szCs w:val="20"/>
    </w:rPr>
  </w:style>
  <w:style w:type="character" w:customStyle="1" w:styleId="87">
    <w:name w:val="页脚 Char"/>
    <w:link w:val="36"/>
    <w:qFormat/>
    <w:uiPriority w:val="99"/>
    <w:rPr>
      <w:rFonts w:ascii="Times New Roman" w:hAnsi="Times New Roman" w:eastAsia="宋体" w:cs="Times New Roman"/>
      <w:kern w:val="0"/>
      <w:sz w:val="18"/>
      <w:szCs w:val="20"/>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Char"/>
    <w:link w:val="43"/>
    <w:qFormat/>
    <w:uiPriority w:val="0"/>
    <w:rPr>
      <w:rFonts w:ascii="Times New Roman" w:hAnsi="Times New Roman" w:eastAsia="宋体" w:cs="Times New Roman"/>
      <w:kern w:val="0"/>
      <w:sz w:val="16"/>
      <w:szCs w:val="16"/>
    </w:rPr>
  </w:style>
  <w:style w:type="character" w:customStyle="1" w:styleId="90">
    <w:name w:val="正文首行缩进 Char"/>
    <w:basedOn w:val="91"/>
    <w:link w:val="15"/>
    <w:qFormat/>
    <w:uiPriority w:val="0"/>
    <w:rPr>
      <w:rFonts w:ascii="Times New Roman" w:hAnsi="Times New Roman" w:eastAsia="宋体" w:cs="Times New Roman"/>
      <w:kern w:val="0"/>
      <w:sz w:val="20"/>
      <w:szCs w:val="24"/>
    </w:rPr>
  </w:style>
  <w:style w:type="character" w:customStyle="1" w:styleId="91">
    <w:name w:val="正文文本字符"/>
    <w:qFormat/>
    <w:uiPriority w:val="0"/>
    <w:rPr>
      <w:rFonts w:ascii="Times New Roman" w:hAnsi="Times New Roman" w:eastAsia="宋体" w:cs="Times New Roman"/>
      <w:kern w:val="0"/>
      <w:sz w:val="20"/>
      <w:szCs w:val="24"/>
    </w:rPr>
  </w:style>
  <w:style w:type="character" w:customStyle="1" w:styleId="92">
    <w:name w:val="Char Char2"/>
    <w:qFormat/>
    <w:uiPriority w:val="0"/>
    <w:rPr>
      <w:rFonts w:eastAsia="宋体"/>
      <w:kern w:val="2"/>
      <w:sz w:val="18"/>
      <w:szCs w:val="18"/>
      <w:lang w:val="en-US" w:eastAsia="zh-CN" w:bidi="ar-SA"/>
    </w:rPr>
  </w:style>
  <w:style w:type="character" w:customStyle="1" w:styleId="93">
    <w:name w:val="font01"/>
    <w:qFormat/>
    <w:uiPriority w:val="0"/>
    <w:rPr>
      <w:rFonts w:hint="eastAsia" w:ascii="宋体" w:hAnsi="宋体" w:eastAsia="宋体" w:cs="宋体"/>
      <w:color w:val="000000"/>
      <w:sz w:val="21"/>
      <w:szCs w:val="21"/>
      <w:u w:val="none"/>
    </w:rPr>
  </w:style>
  <w:style w:type="character" w:customStyle="1" w:styleId="94">
    <w:name w:val="正文文本缩进 2 Char"/>
    <w:link w:val="34"/>
    <w:qFormat/>
    <w:uiPriority w:val="0"/>
    <w:rPr>
      <w:rFonts w:ascii="Times New Roman" w:hAnsi="Times New Roman" w:eastAsia="宋体" w:cs="Times New Roman"/>
      <w:kern w:val="0"/>
      <w:sz w:val="20"/>
    </w:rPr>
  </w:style>
  <w:style w:type="character" w:customStyle="1" w:styleId="95">
    <w:name w:val="批注主题 Char"/>
    <w:link w:val="12"/>
    <w:semiHidden/>
    <w:qFormat/>
    <w:uiPriority w:val="0"/>
    <w:rPr>
      <w:rFonts w:ascii="Times New Roman" w:hAnsi="Times New Roman" w:eastAsia="宋体" w:cs="Times New Roman"/>
      <w:b/>
      <w:bCs/>
      <w:kern w:val="0"/>
      <w:sz w:val="20"/>
    </w:rPr>
  </w:style>
  <w:style w:type="character" w:customStyle="1" w:styleId="96">
    <w:name w:val="标题 Char"/>
    <w:link w:val="51"/>
    <w:qFormat/>
    <w:uiPriority w:val="0"/>
    <w:rPr>
      <w:rFonts w:ascii="Cambria" w:hAnsi="Cambria" w:eastAsia="黑体" w:cs="Times New Roman"/>
      <w:b/>
      <w:bCs/>
      <w:kern w:val="0"/>
      <w:sz w:val="32"/>
      <w:szCs w:val="32"/>
    </w:rPr>
  </w:style>
  <w:style w:type="paragraph" w:customStyle="1" w:styleId="97">
    <w:name w:val="样式1"/>
    <w:basedOn w:val="5"/>
    <w:qFormat/>
    <w:uiPriority w:val="0"/>
    <w:pPr>
      <w:tabs>
        <w:tab w:val="left" w:pos="864"/>
      </w:tabs>
      <w:spacing w:before="120" w:after="120" w:line="360" w:lineRule="auto"/>
      <w:ind w:left="864" w:hanging="864"/>
    </w:pPr>
    <w:rPr>
      <w:b w:val="0"/>
      <w:bCs w:val="0"/>
    </w:rPr>
  </w:style>
  <w:style w:type="paragraph" w:customStyle="1" w:styleId="98">
    <w:name w:val="Char Char Char1 Char Char Char Char"/>
    <w:basedOn w:val="1"/>
    <w:qFormat/>
    <w:uiPriority w:val="0"/>
    <w:rPr>
      <w:rFonts w:ascii="Times New Roman" w:hAnsi="Times New Roman" w:eastAsia="宋体" w:cs="Times New Roman"/>
      <w:sz w:val="21"/>
    </w:rPr>
  </w:style>
  <w:style w:type="paragraph" w:customStyle="1" w:styleId="99">
    <w:name w:val="Char Char Char Char Char Char"/>
    <w:basedOn w:val="1"/>
    <w:qFormat/>
    <w:uiPriority w:val="0"/>
    <w:rPr>
      <w:rFonts w:ascii="Times New Roman" w:hAnsi="Times New Roman" w:eastAsia="宋体" w:cs="Times New Roman"/>
      <w:sz w:val="21"/>
    </w:rPr>
  </w:style>
  <w:style w:type="character" w:customStyle="1" w:styleId="100">
    <w:name w:val="批注框文本字符1"/>
    <w:basedOn w:val="52"/>
    <w:semiHidden/>
    <w:qFormat/>
    <w:uiPriority w:val="99"/>
    <w:rPr>
      <w:rFonts w:ascii="Heiti SC Light" w:eastAsia="Heiti SC Light"/>
      <w:sz w:val="18"/>
      <w:szCs w:val="18"/>
    </w:rPr>
  </w:style>
  <w:style w:type="character" w:customStyle="1" w:styleId="101">
    <w:name w:val="日期字符1"/>
    <w:basedOn w:val="52"/>
    <w:semiHidden/>
    <w:qFormat/>
    <w:uiPriority w:val="99"/>
  </w:style>
  <w:style w:type="character" w:customStyle="1" w:styleId="102">
    <w:name w:val="纯文本字符1"/>
    <w:basedOn w:val="52"/>
    <w:semiHidden/>
    <w:qFormat/>
    <w:uiPriority w:val="99"/>
    <w:rPr>
      <w:rFonts w:ascii="宋体" w:hAnsi="Courier" w:eastAsia="宋体"/>
    </w:rPr>
  </w:style>
  <w:style w:type="character" w:customStyle="1" w:styleId="103">
    <w:name w:val="批注文字 Char"/>
    <w:basedOn w:val="52"/>
    <w:link w:val="13"/>
    <w:semiHidden/>
    <w:qFormat/>
    <w:uiPriority w:val="99"/>
  </w:style>
  <w:style w:type="character" w:customStyle="1" w:styleId="104">
    <w:name w:val="批注主题字符1"/>
    <w:basedOn w:val="103"/>
    <w:semiHidden/>
    <w:qFormat/>
    <w:uiPriority w:val="99"/>
    <w:rPr>
      <w:b/>
      <w:bCs/>
    </w:rPr>
  </w:style>
  <w:style w:type="paragraph" w:customStyle="1" w:styleId="105">
    <w:name w:val="Char Char Char Char"/>
    <w:basedOn w:val="1"/>
    <w:qFormat/>
    <w:uiPriority w:val="0"/>
    <w:rPr>
      <w:rFonts w:ascii="Times New Roman" w:hAnsi="Times New Roman" w:eastAsia="宋体" w:cs="Times New Roman"/>
      <w:sz w:val="21"/>
    </w:rPr>
  </w:style>
  <w:style w:type="character" w:customStyle="1" w:styleId="106">
    <w:name w:val="正文文本 Char"/>
    <w:basedOn w:val="52"/>
    <w:link w:val="16"/>
    <w:semiHidden/>
    <w:qFormat/>
    <w:uiPriority w:val="99"/>
  </w:style>
  <w:style w:type="character" w:customStyle="1" w:styleId="107">
    <w:name w:val="正文首行缩进字符1"/>
    <w:basedOn w:val="106"/>
    <w:semiHidden/>
    <w:qFormat/>
    <w:uiPriority w:val="99"/>
  </w:style>
  <w:style w:type="character" w:customStyle="1" w:styleId="108">
    <w:name w:val="正文文本缩进 3字符1"/>
    <w:basedOn w:val="52"/>
    <w:semiHidden/>
    <w:qFormat/>
    <w:uiPriority w:val="99"/>
    <w:rPr>
      <w:sz w:val="16"/>
      <w:szCs w:val="16"/>
    </w:rPr>
  </w:style>
  <w:style w:type="paragraph" w:customStyle="1" w:styleId="109">
    <w:name w:val="p0"/>
    <w:basedOn w:val="1"/>
    <w:qFormat/>
    <w:uiPriority w:val="0"/>
    <w:pPr>
      <w:widowControl/>
    </w:pPr>
    <w:rPr>
      <w:rFonts w:ascii="Times New Roman" w:hAnsi="Times New Roman" w:eastAsia="宋体" w:cs="Times New Roman"/>
      <w:kern w:val="0"/>
      <w:sz w:val="21"/>
      <w:szCs w:val="21"/>
    </w:rPr>
  </w:style>
  <w:style w:type="character" w:customStyle="1" w:styleId="110">
    <w:name w:val="文档结构图 字符1"/>
    <w:basedOn w:val="52"/>
    <w:semiHidden/>
    <w:qFormat/>
    <w:uiPriority w:val="99"/>
    <w:rPr>
      <w:rFonts w:ascii="Heiti SC Light" w:eastAsia="Heiti SC Light"/>
    </w:rPr>
  </w:style>
  <w:style w:type="character" w:customStyle="1" w:styleId="111">
    <w:name w:val="正文文本 3字符1"/>
    <w:basedOn w:val="52"/>
    <w:semiHidden/>
    <w:qFormat/>
    <w:uiPriority w:val="99"/>
    <w:rPr>
      <w:sz w:val="16"/>
      <w:szCs w:val="16"/>
    </w:rPr>
  </w:style>
  <w:style w:type="character" w:customStyle="1" w:styleId="112">
    <w:name w:val="正文文本缩进字符1"/>
    <w:basedOn w:val="52"/>
    <w:semiHidden/>
    <w:qFormat/>
    <w:uiPriority w:val="99"/>
  </w:style>
  <w:style w:type="character" w:customStyle="1" w:styleId="113">
    <w:name w:val="正文文本缩进 2字符1"/>
    <w:basedOn w:val="52"/>
    <w:semiHidden/>
    <w:qFormat/>
    <w:uiPriority w:val="99"/>
  </w:style>
  <w:style w:type="paragraph" w:customStyle="1" w:styleId="114">
    <w:name w:val="Legal 3"/>
    <w:basedOn w:val="115"/>
    <w:next w:val="115"/>
    <w:qFormat/>
    <w:uiPriority w:val="0"/>
    <w:pPr>
      <w:spacing w:after="120"/>
    </w:pPr>
    <w:rPr>
      <w:rFonts w:cs="Times New Roman"/>
      <w:color w:val="auto"/>
    </w:rPr>
  </w:style>
  <w:style w:type="paragraph" w:customStyle="1" w:styleId="1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6">
    <w:name w:val="页脚字符1"/>
    <w:basedOn w:val="52"/>
    <w:semiHidden/>
    <w:qFormat/>
    <w:uiPriority w:val="99"/>
    <w:rPr>
      <w:sz w:val="18"/>
      <w:szCs w:val="18"/>
    </w:rPr>
  </w:style>
  <w:style w:type="character" w:customStyle="1" w:styleId="117">
    <w:name w:val="正文首行缩进 2字符1"/>
    <w:basedOn w:val="112"/>
    <w:semiHidden/>
    <w:qFormat/>
    <w:uiPriority w:val="99"/>
  </w:style>
  <w:style w:type="character" w:customStyle="1" w:styleId="118">
    <w:name w:val="页眉字符1"/>
    <w:basedOn w:val="52"/>
    <w:semiHidden/>
    <w:qFormat/>
    <w:uiPriority w:val="99"/>
    <w:rPr>
      <w:sz w:val="18"/>
      <w:szCs w:val="18"/>
    </w:rPr>
  </w:style>
  <w:style w:type="character" w:customStyle="1" w:styleId="119">
    <w:name w:val="正文文本 2字符1"/>
    <w:basedOn w:val="52"/>
    <w:semiHidden/>
    <w:qFormat/>
    <w:uiPriority w:val="99"/>
  </w:style>
  <w:style w:type="character" w:customStyle="1" w:styleId="120">
    <w:name w:val="标题字符1"/>
    <w:basedOn w:val="52"/>
    <w:qFormat/>
    <w:uiPriority w:val="10"/>
    <w:rPr>
      <w:rFonts w:eastAsia="宋体" w:asciiTheme="majorHAnsi" w:hAnsiTheme="majorHAnsi" w:cstheme="majorBidi"/>
      <w:b/>
      <w:bCs/>
      <w:sz w:val="32"/>
      <w:szCs w:val="32"/>
    </w:rPr>
  </w:style>
  <w:style w:type="paragraph" w:customStyle="1" w:styleId="121">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2">
    <w:name w:val="图表标题"/>
    <w:basedOn w:val="1"/>
    <w:next w:val="16"/>
    <w:qFormat/>
    <w:uiPriority w:val="0"/>
    <w:rPr>
      <w:rFonts w:ascii="Times New Roman" w:hAnsi="Times New Roman" w:eastAsia="宋体" w:cs="Times New Roman"/>
      <w:sz w:val="30"/>
      <w:szCs w:val="20"/>
    </w:rPr>
  </w:style>
  <w:style w:type="paragraph" w:customStyle="1" w:styleId="123">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4">
    <w:name w:val="Char"/>
    <w:basedOn w:val="1"/>
    <w:qFormat/>
    <w:uiPriority w:val="0"/>
    <w:rPr>
      <w:rFonts w:ascii="仿宋_GB2312" w:hAnsi="Times New Roman" w:eastAsia="仿宋_GB2312" w:cs="Times New Roman"/>
      <w:b/>
      <w:sz w:val="32"/>
      <w:szCs w:val="32"/>
    </w:rPr>
  </w:style>
  <w:style w:type="paragraph" w:customStyle="1" w:styleId="125">
    <w:name w:val="Char4 Char Char Char"/>
    <w:basedOn w:val="22"/>
    <w:qFormat/>
    <w:uiPriority w:val="0"/>
    <w:rPr>
      <w:rFonts w:ascii="Tahoma" w:hAnsi="Tahoma"/>
      <w:sz w:val="24"/>
    </w:rPr>
  </w:style>
  <w:style w:type="paragraph" w:customStyle="1" w:styleId="126">
    <w:name w:val="表内文字"/>
    <w:basedOn w:val="1"/>
    <w:qFormat/>
    <w:uiPriority w:val="0"/>
    <w:pPr>
      <w:widowControl/>
      <w:ind w:firstLine="120" w:firstLineChars="50"/>
    </w:pPr>
    <w:rPr>
      <w:rFonts w:ascii="宋体" w:hAnsi="宋体" w:eastAsia="宋体" w:cs="Times New Roman"/>
      <w:szCs w:val="20"/>
    </w:rPr>
  </w:style>
  <w:style w:type="paragraph" w:customStyle="1" w:styleId="127">
    <w:name w:val="Char Char Char"/>
    <w:basedOn w:val="1"/>
    <w:qFormat/>
    <w:uiPriority w:val="0"/>
    <w:pPr>
      <w:ind w:firstLine="360" w:firstLineChars="150"/>
    </w:pPr>
    <w:rPr>
      <w:rFonts w:ascii="Tahoma" w:hAnsi="Tahoma" w:eastAsia="宋体" w:cs="Times New Roman"/>
      <w:szCs w:val="20"/>
    </w:rPr>
  </w:style>
  <w:style w:type="paragraph" w:customStyle="1" w:styleId="128">
    <w:name w:val="样式 样式1 + 首行缩进:  2 字符"/>
    <w:basedOn w:val="1"/>
    <w:qFormat/>
    <w:uiPriority w:val="0"/>
    <w:pPr>
      <w:spacing w:line="360" w:lineRule="exact"/>
      <w:ind w:firstLine="420" w:firstLineChars="200"/>
    </w:pPr>
    <w:rPr>
      <w:rFonts w:ascii="Arial" w:hAnsi="Arial" w:eastAsia="宋体" w:cs="Times New Roman"/>
      <w:sz w:val="21"/>
      <w:szCs w:val="20"/>
    </w:rPr>
  </w:style>
  <w:style w:type="paragraph" w:customStyle="1" w:styleId="129">
    <w:name w:val="legal 2"/>
    <w:basedOn w:val="115"/>
    <w:next w:val="115"/>
    <w:qFormat/>
    <w:uiPriority w:val="0"/>
    <w:pPr>
      <w:spacing w:after="120"/>
    </w:pPr>
    <w:rPr>
      <w:rFonts w:cs="Times New Roman"/>
      <w:color w:val="auto"/>
    </w:rPr>
  </w:style>
  <w:style w:type="paragraph" w:customStyle="1" w:styleId="130">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1">
    <w:name w:val="Legal 5"/>
    <w:basedOn w:val="115"/>
    <w:next w:val="115"/>
    <w:qFormat/>
    <w:uiPriority w:val="0"/>
    <w:pPr>
      <w:spacing w:after="120"/>
    </w:pPr>
    <w:rPr>
      <w:rFonts w:cs="Times New Roman"/>
      <w:color w:val="auto"/>
    </w:rPr>
  </w:style>
  <w:style w:type="paragraph" w:customStyle="1" w:styleId="13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Legal 4"/>
    <w:basedOn w:val="115"/>
    <w:next w:val="115"/>
    <w:qFormat/>
    <w:uiPriority w:val="0"/>
    <w:pPr>
      <w:spacing w:after="120"/>
    </w:pPr>
    <w:rPr>
      <w:rFonts w:cs="Times New Roman"/>
      <w:color w:val="auto"/>
    </w:rPr>
  </w:style>
  <w:style w:type="paragraph" w:customStyle="1" w:styleId="134">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6">
    <w:name w:val="1"/>
    <w:basedOn w:val="1"/>
    <w:qFormat/>
    <w:uiPriority w:val="0"/>
    <w:rPr>
      <w:rFonts w:ascii="仿宋_GB2312" w:hAnsi="Times New Roman" w:eastAsia="仿宋_GB2312" w:cs="Times New Roman"/>
      <w:b/>
      <w:sz w:val="32"/>
      <w:szCs w:val="32"/>
    </w:rPr>
  </w:style>
  <w:style w:type="paragraph" w:customStyle="1" w:styleId="137">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p16"/>
    <w:basedOn w:val="1"/>
    <w:qFormat/>
    <w:uiPriority w:val="0"/>
    <w:pPr>
      <w:widowControl/>
      <w:spacing w:line="360" w:lineRule="auto"/>
      <w:ind w:left="-2" w:firstLine="2"/>
      <w:jc w:val="left"/>
    </w:pPr>
    <w:rPr>
      <w:rFonts w:ascii="宋体" w:hAnsi="宋体" w:eastAsia="宋体" w:cs="宋体"/>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zcmec</Company>
  <Pages>1</Pages>
  <Words>3430</Words>
  <Characters>19556</Characters>
  <Lines>162</Lines>
  <Paragraphs>45</Paragraphs>
  <ScaleCrop>false</ScaleCrop>
  <LinksUpToDate>false</LinksUpToDate>
  <CharactersWithSpaces>22941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2018-03-06T01:00:00Z</dcterms:created>
  <dc:creator>y z</dc:creator>
  <cp:lastModifiedBy>贾思勰</cp:lastModifiedBy>
  <dcterms:modified xsi:type="dcterms:W3CDTF">2019-08-02T05:04:37Z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