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highlight w:val="none"/>
        </w:rPr>
      </w:pPr>
    </w:p>
    <w:p>
      <w:pPr>
        <w:widowControl/>
        <w:autoSpaceDE w:val="0"/>
        <w:autoSpaceDN w:val="0"/>
        <w:jc w:val="center"/>
        <w:textAlignment w:val="bottom"/>
        <w:rPr>
          <w:rFonts w:ascii="黑体" w:hAnsi="黑体" w:eastAsia="黑体"/>
          <w:b/>
          <w:sz w:val="44"/>
          <w:szCs w:val="44"/>
          <w:highlight w:val="none"/>
        </w:rPr>
      </w:pPr>
    </w:p>
    <w:p>
      <w:pPr>
        <w:widowControl/>
        <w:autoSpaceDE w:val="0"/>
        <w:autoSpaceDN w:val="0"/>
        <w:jc w:val="center"/>
        <w:textAlignment w:val="bottom"/>
        <w:rPr>
          <w:rFonts w:ascii="黑体" w:hAnsi="黑体" w:eastAsia="黑体"/>
          <w:b/>
          <w:sz w:val="44"/>
          <w:szCs w:val="44"/>
          <w:highlight w:val="none"/>
        </w:rPr>
      </w:pPr>
      <w:r>
        <w:rPr>
          <w:rFonts w:hint="eastAsia" w:ascii="黑体" w:hAnsi="黑体" w:eastAsia="黑体"/>
          <w:b/>
          <w:sz w:val="44"/>
          <w:szCs w:val="44"/>
          <w:highlight w:val="none"/>
        </w:rPr>
        <w:t>杭州萧山国际机场</w:t>
      </w:r>
    </w:p>
    <w:p>
      <w:pPr>
        <w:widowControl/>
        <w:autoSpaceDE w:val="0"/>
        <w:autoSpaceDN w:val="0"/>
        <w:jc w:val="center"/>
        <w:textAlignment w:val="bottom"/>
        <w:rPr>
          <w:rFonts w:hint="eastAsia" w:eastAsia="黑体" w:cs="Calibri"/>
          <w:b/>
          <w:sz w:val="44"/>
          <w:szCs w:val="44"/>
          <w:highlight w:val="none"/>
        </w:rPr>
      </w:pPr>
      <w:r>
        <w:rPr>
          <w:rFonts w:hint="eastAsia" w:eastAsia="黑体" w:cs="Calibri"/>
          <w:b/>
          <w:sz w:val="44"/>
          <w:szCs w:val="44"/>
          <w:highlight w:val="none"/>
          <w:u w:val="single"/>
        </w:rPr>
        <w:t xml:space="preserve">台式爆炸物、毒品探测设备 </w:t>
      </w:r>
      <w:r>
        <w:rPr>
          <w:rFonts w:hint="eastAsia" w:eastAsia="黑体" w:cs="Calibri"/>
          <w:b/>
          <w:sz w:val="44"/>
          <w:szCs w:val="44"/>
          <w:highlight w:val="none"/>
        </w:rPr>
        <w:t>采购项目</w:t>
      </w:r>
    </w:p>
    <w:p>
      <w:pPr>
        <w:widowControl/>
        <w:autoSpaceDE w:val="0"/>
        <w:autoSpaceDN w:val="0"/>
        <w:jc w:val="center"/>
        <w:textAlignment w:val="bottom"/>
        <w:rPr>
          <w:rFonts w:hint="eastAsia" w:eastAsia="黑体" w:cs="Calibri"/>
          <w:b/>
          <w:sz w:val="44"/>
          <w:szCs w:val="44"/>
          <w:highlight w:val="none"/>
          <w:lang w:eastAsia="zh-CN"/>
        </w:rPr>
      </w:pPr>
      <w:r>
        <w:rPr>
          <w:rFonts w:hint="eastAsia" w:eastAsia="黑体" w:cs="Calibri"/>
          <w:b/>
          <w:sz w:val="44"/>
          <w:szCs w:val="44"/>
          <w:highlight w:val="none"/>
          <w:lang w:eastAsia="zh-CN"/>
        </w:rPr>
        <w:t>（重新招标）</w:t>
      </w:r>
    </w:p>
    <w:p>
      <w:pPr>
        <w:widowControl/>
        <w:autoSpaceDE w:val="0"/>
        <w:autoSpaceDN w:val="0"/>
        <w:jc w:val="center"/>
        <w:textAlignment w:val="bottom"/>
        <w:rPr>
          <w:rFonts w:ascii="黑体" w:hAnsi="黑体" w:eastAsia="黑体"/>
          <w:b/>
          <w:sz w:val="44"/>
          <w:szCs w:val="44"/>
          <w:highlight w:val="none"/>
        </w:rPr>
      </w:pPr>
    </w:p>
    <w:p>
      <w:pPr>
        <w:widowControl/>
        <w:autoSpaceDE w:val="0"/>
        <w:autoSpaceDN w:val="0"/>
        <w:jc w:val="center"/>
        <w:textAlignment w:val="bottom"/>
        <w:rPr>
          <w:rFonts w:ascii="黑体" w:hAnsi="黑体" w:eastAsia="黑体"/>
          <w:b/>
          <w:sz w:val="44"/>
          <w:szCs w:val="44"/>
          <w:highlight w:val="none"/>
        </w:rPr>
      </w:pPr>
    </w:p>
    <w:p>
      <w:pPr>
        <w:widowControl/>
        <w:autoSpaceDE w:val="0"/>
        <w:autoSpaceDN w:val="0"/>
        <w:jc w:val="center"/>
        <w:textAlignment w:val="bottom"/>
        <w:rPr>
          <w:rFonts w:ascii="黑体" w:hAnsi="黑体" w:eastAsia="黑体"/>
          <w:sz w:val="84"/>
          <w:szCs w:val="84"/>
          <w:highlight w:val="none"/>
        </w:rPr>
      </w:pPr>
      <w:r>
        <w:rPr>
          <w:rFonts w:ascii="黑体" w:hAnsi="黑体" w:eastAsia="黑体"/>
          <w:b/>
          <w:sz w:val="84"/>
          <w:szCs w:val="84"/>
          <w:highlight w:val="none"/>
        </w:rPr>
        <w:t>招 标 文 件</w:t>
      </w:r>
    </w:p>
    <w:p>
      <w:pPr>
        <w:widowControl/>
        <w:autoSpaceDE w:val="0"/>
        <w:autoSpaceDN w:val="0"/>
        <w:snapToGrid w:val="0"/>
        <w:spacing w:line="560" w:lineRule="exact"/>
        <w:jc w:val="center"/>
        <w:textAlignment w:val="bottom"/>
        <w:rPr>
          <w:rFonts w:ascii="宋体" w:hAnsi="宋体"/>
          <w:b/>
          <w:sz w:val="32"/>
          <w:szCs w:val="32"/>
          <w:highlight w:val="none"/>
        </w:rPr>
      </w:pPr>
    </w:p>
    <w:p>
      <w:pPr>
        <w:widowControl/>
        <w:autoSpaceDE w:val="0"/>
        <w:autoSpaceDN w:val="0"/>
        <w:snapToGrid w:val="0"/>
        <w:spacing w:line="560" w:lineRule="exact"/>
        <w:jc w:val="center"/>
        <w:textAlignment w:val="bottom"/>
        <w:rPr>
          <w:rFonts w:ascii="宋体" w:hAnsi="宋体"/>
          <w:b/>
          <w:sz w:val="32"/>
          <w:szCs w:val="32"/>
          <w:highlight w:val="none"/>
        </w:rPr>
      </w:pPr>
    </w:p>
    <w:p>
      <w:pPr>
        <w:widowControl/>
        <w:autoSpaceDE w:val="0"/>
        <w:autoSpaceDN w:val="0"/>
        <w:snapToGrid w:val="0"/>
        <w:spacing w:line="560" w:lineRule="exact"/>
        <w:textAlignment w:val="bottom"/>
        <w:rPr>
          <w:rFonts w:ascii="宋体" w:hAnsi="宋体"/>
          <w:bCs/>
          <w:sz w:val="32"/>
          <w:szCs w:val="32"/>
          <w:highlight w:val="none"/>
        </w:rPr>
      </w:pPr>
      <w:r>
        <w:rPr>
          <w:rFonts w:ascii="宋体" w:hAnsi="宋体"/>
          <w:b/>
          <w:sz w:val="32"/>
          <w:szCs w:val="32"/>
          <w:highlight w:val="none"/>
        </w:rPr>
        <w:t xml:space="preserve">   </w:t>
      </w:r>
      <w:r>
        <w:rPr>
          <w:rFonts w:hint="eastAsia" w:ascii="宋体" w:hAnsi="宋体"/>
          <w:b/>
          <w:sz w:val="32"/>
          <w:szCs w:val="32"/>
          <w:highlight w:val="none"/>
        </w:rPr>
        <w:t xml:space="preserve">                </w:t>
      </w:r>
      <w:r>
        <w:rPr>
          <w:rFonts w:ascii="宋体" w:hAnsi="宋体"/>
          <w:b/>
          <w:sz w:val="32"/>
          <w:szCs w:val="32"/>
          <w:highlight w:val="none"/>
        </w:rPr>
        <w:t xml:space="preserve">      </w:t>
      </w:r>
      <w:r>
        <w:rPr>
          <w:rFonts w:hint="eastAsia" w:ascii="宋体" w:hAnsi="宋体"/>
          <w:b/>
          <w:sz w:val="32"/>
          <w:szCs w:val="32"/>
          <w:highlight w:val="none"/>
        </w:rPr>
        <w:t xml:space="preserve">    </w:t>
      </w:r>
    </w:p>
    <w:p>
      <w:pPr>
        <w:widowControl/>
        <w:autoSpaceDE w:val="0"/>
        <w:autoSpaceDN w:val="0"/>
        <w:snapToGrid w:val="0"/>
        <w:spacing w:line="560" w:lineRule="exact"/>
        <w:textAlignment w:val="bottom"/>
        <w:rPr>
          <w:rFonts w:ascii="宋体" w:hAnsi="宋体"/>
          <w:b/>
          <w:sz w:val="32"/>
          <w:szCs w:val="32"/>
          <w:highlight w:val="none"/>
        </w:rPr>
      </w:pPr>
      <w:r>
        <w:rPr>
          <w:rFonts w:ascii="宋体" w:hAnsi="宋体"/>
          <w:bCs/>
          <w:sz w:val="32"/>
          <w:szCs w:val="32"/>
          <w:highlight w:val="none"/>
        </w:rPr>
        <w:t xml:space="preserve">                 </w:t>
      </w:r>
      <w:r>
        <w:rPr>
          <w:rFonts w:hint="eastAsia" w:ascii="宋体" w:hAnsi="宋体"/>
          <w:bCs/>
          <w:sz w:val="32"/>
          <w:szCs w:val="32"/>
          <w:highlight w:val="none"/>
        </w:rPr>
        <w:t xml:space="preserve">            </w:t>
      </w:r>
    </w:p>
    <w:p>
      <w:pPr>
        <w:adjustRightInd w:val="0"/>
        <w:snapToGrid w:val="0"/>
        <w:spacing w:line="560" w:lineRule="exact"/>
        <w:jc w:val="center"/>
        <w:textAlignment w:val="bottom"/>
        <w:rPr>
          <w:rFonts w:ascii="宋体" w:hAnsi="宋体"/>
          <w:sz w:val="32"/>
          <w:szCs w:val="32"/>
          <w:highlight w:val="none"/>
        </w:rPr>
      </w:pPr>
    </w:p>
    <w:p>
      <w:pPr>
        <w:adjustRightInd w:val="0"/>
        <w:snapToGrid w:val="0"/>
        <w:spacing w:line="560" w:lineRule="exact"/>
        <w:jc w:val="center"/>
        <w:textAlignment w:val="bottom"/>
        <w:rPr>
          <w:rFonts w:ascii="宋体" w:hAnsi="宋体"/>
          <w:sz w:val="32"/>
          <w:szCs w:val="32"/>
          <w:highlight w:val="none"/>
        </w:rPr>
      </w:pPr>
    </w:p>
    <w:p>
      <w:pPr>
        <w:adjustRightInd w:val="0"/>
        <w:snapToGrid w:val="0"/>
        <w:spacing w:line="560" w:lineRule="exact"/>
        <w:jc w:val="center"/>
        <w:textAlignment w:val="bottom"/>
        <w:rPr>
          <w:rFonts w:ascii="宋体" w:hAnsi="宋体"/>
          <w:sz w:val="32"/>
          <w:szCs w:val="32"/>
          <w:highlight w:val="none"/>
        </w:rPr>
      </w:pPr>
    </w:p>
    <w:p>
      <w:pPr>
        <w:adjustRightInd w:val="0"/>
        <w:snapToGrid w:val="0"/>
        <w:spacing w:line="560" w:lineRule="exact"/>
        <w:jc w:val="center"/>
        <w:textAlignment w:val="bottom"/>
        <w:rPr>
          <w:rFonts w:ascii="宋体" w:hAnsi="宋体"/>
          <w:sz w:val="32"/>
          <w:szCs w:val="32"/>
          <w:highlight w:val="none"/>
        </w:rPr>
      </w:pPr>
    </w:p>
    <w:p>
      <w:pPr>
        <w:adjustRightInd w:val="0"/>
        <w:snapToGrid w:val="0"/>
        <w:spacing w:line="560" w:lineRule="exact"/>
        <w:jc w:val="center"/>
        <w:textAlignment w:val="bottom"/>
        <w:rPr>
          <w:rFonts w:ascii="宋体" w:hAnsi="宋体"/>
          <w:sz w:val="32"/>
          <w:szCs w:val="32"/>
          <w:highlight w:val="none"/>
        </w:rPr>
      </w:pPr>
    </w:p>
    <w:p>
      <w:pPr>
        <w:adjustRightInd w:val="0"/>
        <w:snapToGrid w:val="0"/>
        <w:spacing w:line="560" w:lineRule="exact"/>
        <w:jc w:val="center"/>
        <w:textAlignment w:val="bottom"/>
        <w:rPr>
          <w:rFonts w:ascii="宋体" w:hAnsi="宋体"/>
          <w:sz w:val="32"/>
          <w:szCs w:val="32"/>
          <w:highlight w:val="none"/>
        </w:rPr>
      </w:pPr>
    </w:p>
    <w:p>
      <w:pPr>
        <w:snapToGrid w:val="0"/>
        <w:jc w:val="center"/>
        <w:rPr>
          <w:rFonts w:eastAsia="黑体" w:cs="Calibri"/>
          <w:sz w:val="32"/>
          <w:szCs w:val="32"/>
          <w:highlight w:val="none"/>
        </w:rPr>
      </w:pPr>
      <w:r>
        <w:rPr>
          <w:rFonts w:eastAsia="黑体" w:cs="Calibri"/>
          <w:sz w:val="32"/>
          <w:szCs w:val="32"/>
          <w:highlight w:val="none"/>
        </w:rPr>
        <w:t>杭州萧山国际机场有限公司</w:t>
      </w:r>
    </w:p>
    <w:p>
      <w:pPr>
        <w:rPr>
          <w:rFonts w:eastAsia="黑体" w:cs="Calibri"/>
          <w:sz w:val="32"/>
          <w:szCs w:val="32"/>
          <w:highlight w:val="none"/>
        </w:rPr>
      </w:pPr>
    </w:p>
    <w:p>
      <w:pPr>
        <w:pStyle w:val="29"/>
        <w:spacing w:line="480" w:lineRule="auto"/>
        <w:jc w:val="center"/>
        <w:rPr>
          <w:rFonts w:ascii="宋体" w:hAnsi="宋体"/>
          <w:b/>
          <w:bCs/>
          <w:sz w:val="32"/>
          <w:szCs w:val="32"/>
          <w:highlight w:val="none"/>
        </w:rPr>
      </w:pPr>
      <w:r>
        <w:rPr>
          <w:rFonts w:hint="eastAsia" w:ascii="Calibri" w:hAnsi="Calibri" w:eastAsia="黑体" w:cs="Calibri"/>
          <w:sz w:val="32"/>
          <w:szCs w:val="32"/>
          <w:highlight w:val="none"/>
        </w:rPr>
        <w:t>二</w:t>
      </w:r>
      <w:r>
        <w:rPr>
          <w:rFonts w:hint="eastAsia" w:ascii="黑体" w:hAnsi="黑体" w:eastAsia="黑体" w:cs="Calibri"/>
          <w:sz w:val="32"/>
          <w:szCs w:val="32"/>
          <w:highlight w:val="none"/>
        </w:rPr>
        <w:t>Ο</w:t>
      </w:r>
      <w:r>
        <w:rPr>
          <w:rFonts w:hint="eastAsia" w:ascii="Calibri" w:hAnsi="Calibri" w:eastAsia="黑体" w:cs="Calibri"/>
          <w:sz w:val="32"/>
          <w:szCs w:val="32"/>
          <w:highlight w:val="none"/>
        </w:rPr>
        <w:t>一九年</w:t>
      </w:r>
      <w:r>
        <w:rPr>
          <w:rFonts w:hint="eastAsia" w:ascii="Calibri" w:hAnsi="Calibri" w:eastAsia="黑体" w:cs="Calibri"/>
          <w:sz w:val="32"/>
          <w:szCs w:val="32"/>
          <w:highlight w:val="none"/>
          <w:u w:val="single"/>
        </w:rPr>
        <w:t xml:space="preserve"> </w:t>
      </w:r>
      <w:r>
        <w:rPr>
          <w:rFonts w:hint="eastAsia" w:ascii="Calibri" w:hAnsi="Calibri" w:eastAsia="黑体" w:cs="Calibri"/>
          <w:sz w:val="32"/>
          <w:szCs w:val="32"/>
          <w:highlight w:val="none"/>
          <w:u w:val="single"/>
          <w:lang w:eastAsia="zh-CN"/>
        </w:rPr>
        <w:t>八</w:t>
      </w:r>
      <w:r>
        <w:rPr>
          <w:rFonts w:hint="eastAsia" w:ascii="Calibri" w:hAnsi="Calibri" w:eastAsia="黑体" w:cs="Calibri"/>
          <w:sz w:val="32"/>
          <w:szCs w:val="32"/>
          <w:highlight w:val="none"/>
          <w:u w:val="single"/>
        </w:rPr>
        <w:t xml:space="preserve"> </w:t>
      </w:r>
      <w:r>
        <w:rPr>
          <w:rFonts w:ascii="Calibri" w:hAnsi="Calibri" w:eastAsia="黑体" w:cs="Calibri"/>
          <w:sz w:val="32"/>
          <w:szCs w:val="32"/>
          <w:highlight w:val="none"/>
        </w:rPr>
        <w:t>月</w:t>
      </w:r>
    </w:p>
    <w:p>
      <w:pPr>
        <w:spacing w:line="560" w:lineRule="exact"/>
        <w:jc w:val="center"/>
        <w:rPr>
          <w:b/>
          <w:highlight w:val="none"/>
        </w:rPr>
      </w:pPr>
    </w:p>
    <w:p>
      <w:pPr>
        <w:spacing w:line="560" w:lineRule="exact"/>
        <w:jc w:val="center"/>
        <w:rPr>
          <w:b/>
          <w:bCs/>
          <w:sz w:val="44"/>
          <w:szCs w:val="44"/>
          <w:highlight w:val="none"/>
        </w:rPr>
      </w:pPr>
      <w:r>
        <w:rPr>
          <w:b/>
          <w:bCs/>
          <w:sz w:val="44"/>
          <w:szCs w:val="44"/>
          <w:highlight w:val="none"/>
        </w:rPr>
        <w:br w:type="page"/>
      </w:r>
      <w:r>
        <w:rPr>
          <w:rFonts w:hint="eastAsia"/>
          <w:b/>
          <w:bCs/>
          <w:sz w:val="44"/>
          <w:szCs w:val="44"/>
          <w:highlight w:val="none"/>
        </w:rPr>
        <w:t>目  录</w:t>
      </w:r>
    </w:p>
    <w:p>
      <w:pPr>
        <w:spacing w:line="560" w:lineRule="exact"/>
        <w:jc w:val="center"/>
        <w:rPr>
          <w:b/>
          <w:bCs/>
          <w:sz w:val="44"/>
          <w:szCs w:val="44"/>
          <w:highlight w:val="none"/>
        </w:rPr>
      </w:pPr>
    </w:p>
    <w:p>
      <w:pPr>
        <w:spacing w:line="560" w:lineRule="exact"/>
        <w:jc w:val="center"/>
        <w:rPr>
          <w:b/>
          <w:sz w:val="44"/>
          <w:szCs w:val="44"/>
          <w:highlight w:val="none"/>
        </w:rPr>
      </w:pPr>
    </w:p>
    <w:p>
      <w:pPr>
        <w:pStyle w:val="36"/>
        <w:tabs>
          <w:tab w:val="right" w:leader="dot" w:pos="8290"/>
        </w:tabs>
        <w:spacing w:line="480" w:lineRule="auto"/>
        <w:rPr>
          <w:rFonts w:ascii="黑体" w:hAnsi="黑体" w:eastAsia="黑体" w:cstheme="minorBidi"/>
          <w:sz w:val="22"/>
          <w:szCs w:val="22"/>
          <w:highlight w:val="none"/>
        </w:rPr>
      </w:pPr>
      <w:r>
        <w:rPr>
          <w:rFonts w:hint="eastAsia" w:ascii="黑体" w:hAnsi="黑体" w:eastAsia="黑体"/>
          <w:b/>
          <w:sz w:val="22"/>
          <w:szCs w:val="22"/>
          <w:highlight w:val="none"/>
        </w:rPr>
        <w:fldChar w:fldCharType="begin"/>
      </w:r>
      <w:r>
        <w:rPr>
          <w:rFonts w:hint="eastAsia" w:ascii="黑体" w:hAnsi="黑体" w:eastAsia="黑体"/>
          <w:b/>
          <w:sz w:val="22"/>
          <w:szCs w:val="22"/>
          <w:highlight w:val="none"/>
        </w:rPr>
        <w:instrText xml:space="preserve"> TOC \o "1-1" \h \z \u </w:instrText>
      </w:r>
      <w:r>
        <w:rPr>
          <w:rFonts w:hint="eastAsia" w:ascii="黑体" w:hAnsi="黑体" w:eastAsia="黑体"/>
          <w:b/>
          <w:sz w:val="22"/>
          <w:szCs w:val="22"/>
          <w:highlight w:val="none"/>
        </w:rPr>
        <w:fldChar w:fldCharType="separate"/>
      </w:r>
      <w:r>
        <w:rPr>
          <w:rFonts w:hint="eastAsia" w:ascii="黑体" w:hAnsi="黑体" w:eastAsia="黑体"/>
          <w:sz w:val="22"/>
          <w:szCs w:val="22"/>
          <w:highlight w:val="none"/>
        </w:rPr>
        <w:t>第一章  招标公告</w:t>
      </w:r>
      <w:r>
        <w:rPr>
          <w:rFonts w:hint="eastAsia" w:ascii="黑体" w:hAnsi="黑体" w:eastAsia="黑体"/>
          <w:sz w:val="22"/>
          <w:szCs w:val="22"/>
          <w:highlight w:val="none"/>
        </w:rPr>
        <w:tab/>
      </w:r>
      <w:r>
        <w:rPr>
          <w:rFonts w:hint="eastAsia" w:ascii="黑体" w:hAnsi="黑体" w:eastAsia="黑体"/>
          <w:sz w:val="22"/>
          <w:szCs w:val="22"/>
          <w:highlight w:val="none"/>
        </w:rPr>
        <w:fldChar w:fldCharType="begin"/>
      </w:r>
      <w:r>
        <w:rPr>
          <w:rFonts w:hint="eastAsia" w:ascii="黑体" w:hAnsi="黑体" w:eastAsia="黑体"/>
          <w:sz w:val="22"/>
          <w:szCs w:val="22"/>
          <w:highlight w:val="none"/>
        </w:rPr>
        <w:instrText xml:space="preserve"> PAGEREF _Toc321925451 \h </w:instrText>
      </w:r>
      <w:r>
        <w:rPr>
          <w:rFonts w:hint="eastAsia" w:ascii="黑体" w:hAnsi="黑体" w:eastAsia="黑体"/>
          <w:sz w:val="22"/>
          <w:szCs w:val="22"/>
          <w:highlight w:val="none"/>
        </w:rPr>
        <w:fldChar w:fldCharType="separate"/>
      </w:r>
      <w:r>
        <w:rPr>
          <w:rFonts w:ascii="黑体" w:hAnsi="黑体" w:eastAsia="黑体"/>
          <w:sz w:val="22"/>
          <w:szCs w:val="22"/>
          <w:highlight w:val="none"/>
        </w:rPr>
        <w:t>- 2 -</w:t>
      </w:r>
      <w:r>
        <w:rPr>
          <w:rFonts w:hint="eastAsia" w:ascii="黑体" w:hAnsi="黑体" w:eastAsia="黑体"/>
          <w:sz w:val="22"/>
          <w:szCs w:val="22"/>
          <w:highlight w:val="none"/>
        </w:rPr>
        <w:fldChar w:fldCharType="end"/>
      </w:r>
    </w:p>
    <w:p>
      <w:pPr>
        <w:pStyle w:val="36"/>
        <w:tabs>
          <w:tab w:val="right" w:leader="dot" w:pos="8290"/>
        </w:tabs>
        <w:spacing w:line="480" w:lineRule="auto"/>
        <w:rPr>
          <w:rFonts w:ascii="黑体" w:hAnsi="黑体" w:eastAsia="黑体" w:cstheme="minorBidi"/>
          <w:sz w:val="22"/>
          <w:szCs w:val="22"/>
          <w:highlight w:val="none"/>
        </w:rPr>
      </w:pPr>
      <w:r>
        <w:rPr>
          <w:rFonts w:hint="eastAsia" w:ascii="黑体" w:hAnsi="黑体" w:eastAsia="黑体"/>
          <w:sz w:val="22"/>
          <w:szCs w:val="22"/>
          <w:highlight w:val="none"/>
        </w:rPr>
        <w:t>第二章  投标人须知</w:t>
      </w:r>
      <w:r>
        <w:rPr>
          <w:rFonts w:hint="eastAsia" w:ascii="黑体" w:hAnsi="黑体" w:eastAsia="黑体"/>
          <w:sz w:val="22"/>
          <w:szCs w:val="22"/>
          <w:highlight w:val="none"/>
        </w:rPr>
        <w:tab/>
      </w:r>
      <w:r>
        <w:rPr>
          <w:rFonts w:hint="eastAsia" w:ascii="黑体" w:hAnsi="黑体" w:eastAsia="黑体"/>
          <w:sz w:val="22"/>
          <w:szCs w:val="22"/>
          <w:highlight w:val="none"/>
        </w:rPr>
        <w:fldChar w:fldCharType="begin"/>
      </w:r>
      <w:r>
        <w:rPr>
          <w:rFonts w:hint="eastAsia" w:ascii="黑体" w:hAnsi="黑体" w:eastAsia="黑体"/>
          <w:sz w:val="22"/>
          <w:szCs w:val="22"/>
          <w:highlight w:val="none"/>
        </w:rPr>
        <w:instrText xml:space="preserve"> PAGEREF _Toc321925452 \h </w:instrText>
      </w:r>
      <w:r>
        <w:rPr>
          <w:rFonts w:hint="eastAsia" w:ascii="黑体" w:hAnsi="黑体" w:eastAsia="黑体"/>
          <w:sz w:val="22"/>
          <w:szCs w:val="22"/>
          <w:highlight w:val="none"/>
        </w:rPr>
        <w:fldChar w:fldCharType="separate"/>
      </w:r>
      <w:r>
        <w:rPr>
          <w:rFonts w:ascii="黑体" w:hAnsi="黑体" w:eastAsia="黑体"/>
          <w:sz w:val="22"/>
          <w:szCs w:val="22"/>
          <w:highlight w:val="none"/>
        </w:rPr>
        <w:t>- 3 -</w:t>
      </w:r>
      <w:r>
        <w:rPr>
          <w:rFonts w:hint="eastAsia" w:ascii="黑体" w:hAnsi="黑体" w:eastAsia="黑体"/>
          <w:sz w:val="22"/>
          <w:szCs w:val="22"/>
          <w:highlight w:val="none"/>
        </w:rPr>
        <w:fldChar w:fldCharType="end"/>
      </w:r>
    </w:p>
    <w:p>
      <w:pPr>
        <w:pStyle w:val="36"/>
        <w:tabs>
          <w:tab w:val="right" w:leader="dot" w:pos="8290"/>
        </w:tabs>
        <w:spacing w:line="480" w:lineRule="auto"/>
        <w:rPr>
          <w:rFonts w:ascii="黑体" w:hAnsi="黑体" w:eastAsia="黑体" w:cstheme="minorBidi"/>
          <w:sz w:val="22"/>
          <w:szCs w:val="22"/>
          <w:highlight w:val="none"/>
        </w:rPr>
      </w:pPr>
      <w:r>
        <w:rPr>
          <w:rFonts w:hint="eastAsia" w:ascii="黑体" w:hAnsi="黑体" w:eastAsia="黑体"/>
          <w:sz w:val="22"/>
          <w:szCs w:val="22"/>
          <w:highlight w:val="none"/>
        </w:rPr>
        <w:t>第三章  货物需求一览表及技术规格</w:t>
      </w:r>
      <w:r>
        <w:rPr>
          <w:rFonts w:hint="eastAsia" w:ascii="黑体" w:hAnsi="黑体" w:eastAsia="黑体"/>
          <w:sz w:val="22"/>
          <w:szCs w:val="22"/>
          <w:highlight w:val="none"/>
        </w:rPr>
        <w:tab/>
      </w:r>
      <w:r>
        <w:rPr>
          <w:rFonts w:hint="eastAsia" w:ascii="黑体" w:hAnsi="黑体" w:eastAsia="黑体"/>
          <w:sz w:val="22"/>
          <w:szCs w:val="22"/>
          <w:highlight w:val="none"/>
        </w:rPr>
        <w:fldChar w:fldCharType="begin"/>
      </w:r>
      <w:r>
        <w:rPr>
          <w:rFonts w:hint="eastAsia" w:ascii="黑体" w:hAnsi="黑体" w:eastAsia="黑体"/>
          <w:sz w:val="22"/>
          <w:szCs w:val="22"/>
          <w:highlight w:val="none"/>
        </w:rPr>
        <w:instrText xml:space="preserve"> PAGEREF _Toc321925453 \h </w:instrText>
      </w:r>
      <w:r>
        <w:rPr>
          <w:rFonts w:hint="eastAsia" w:ascii="黑体" w:hAnsi="黑体" w:eastAsia="黑体"/>
          <w:sz w:val="22"/>
          <w:szCs w:val="22"/>
          <w:highlight w:val="none"/>
        </w:rPr>
        <w:fldChar w:fldCharType="separate"/>
      </w:r>
      <w:r>
        <w:rPr>
          <w:rFonts w:ascii="黑体" w:hAnsi="黑体" w:eastAsia="黑体"/>
          <w:sz w:val="22"/>
          <w:szCs w:val="22"/>
          <w:highlight w:val="none"/>
        </w:rPr>
        <w:t>- 12 -</w:t>
      </w:r>
      <w:r>
        <w:rPr>
          <w:rFonts w:hint="eastAsia" w:ascii="黑体" w:hAnsi="黑体" w:eastAsia="黑体"/>
          <w:sz w:val="22"/>
          <w:szCs w:val="22"/>
          <w:highlight w:val="none"/>
        </w:rPr>
        <w:fldChar w:fldCharType="end"/>
      </w:r>
    </w:p>
    <w:p>
      <w:pPr>
        <w:pStyle w:val="36"/>
        <w:tabs>
          <w:tab w:val="right" w:leader="dot" w:pos="8290"/>
        </w:tabs>
        <w:spacing w:line="480" w:lineRule="auto"/>
        <w:rPr>
          <w:rFonts w:ascii="黑体" w:hAnsi="黑体" w:eastAsia="黑体" w:cstheme="minorBidi"/>
          <w:sz w:val="22"/>
          <w:szCs w:val="22"/>
          <w:highlight w:val="none"/>
        </w:rPr>
      </w:pPr>
      <w:r>
        <w:rPr>
          <w:rFonts w:hint="eastAsia" w:ascii="黑体" w:hAnsi="黑体" w:eastAsia="黑体"/>
          <w:sz w:val="22"/>
          <w:szCs w:val="22"/>
          <w:highlight w:val="none"/>
        </w:rPr>
        <w:t xml:space="preserve">第四章  </w:t>
      </w:r>
      <w:r>
        <w:rPr>
          <w:rFonts w:ascii="黑体" w:hAnsi="黑体" w:eastAsia="黑体"/>
          <w:sz w:val="22"/>
          <w:szCs w:val="22"/>
          <w:highlight w:val="none"/>
        </w:rPr>
        <w:t>合同条款</w:t>
      </w:r>
      <w:r>
        <w:rPr>
          <w:rFonts w:hint="eastAsia" w:ascii="黑体" w:hAnsi="黑体" w:eastAsia="黑体"/>
          <w:sz w:val="22"/>
          <w:szCs w:val="22"/>
          <w:highlight w:val="none"/>
        </w:rPr>
        <w:tab/>
      </w:r>
      <w:r>
        <w:rPr>
          <w:rFonts w:hint="eastAsia" w:ascii="黑体" w:hAnsi="黑体" w:eastAsia="黑体"/>
          <w:sz w:val="22"/>
          <w:szCs w:val="22"/>
          <w:highlight w:val="none"/>
        </w:rPr>
        <w:fldChar w:fldCharType="begin"/>
      </w:r>
      <w:r>
        <w:rPr>
          <w:rFonts w:hint="eastAsia" w:ascii="黑体" w:hAnsi="黑体" w:eastAsia="黑体"/>
          <w:sz w:val="22"/>
          <w:szCs w:val="22"/>
          <w:highlight w:val="none"/>
        </w:rPr>
        <w:instrText xml:space="preserve"> PAGEREF _Toc321925454 \h </w:instrText>
      </w:r>
      <w:r>
        <w:rPr>
          <w:rFonts w:hint="eastAsia" w:ascii="黑体" w:hAnsi="黑体" w:eastAsia="黑体"/>
          <w:sz w:val="22"/>
          <w:szCs w:val="22"/>
          <w:highlight w:val="none"/>
        </w:rPr>
        <w:fldChar w:fldCharType="separate"/>
      </w:r>
      <w:r>
        <w:rPr>
          <w:rFonts w:ascii="黑体" w:hAnsi="黑体" w:eastAsia="黑体"/>
          <w:sz w:val="22"/>
          <w:szCs w:val="22"/>
          <w:highlight w:val="none"/>
        </w:rPr>
        <w:t>- 23 -</w:t>
      </w:r>
      <w:r>
        <w:rPr>
          <w:rFonts w:hint="eastAsia" w:ascii="黑体" w:hAnsi="黑体" w:eastAsia="黑体"/>
          <w:sz w:val="22"/>
          <w:szCs w:val="22"/>
          <w:highlight w:val="none"/>
        </w:rPr>
        <w:fldChar w:fldCharType="end"/>
      </w:r>
    </w:p>
    <w:p>
      <w:pPr>
        <w:pStyle w:val="36"/>
        <w:tabs>
          <w:tab w:val="right" w:leader="dot" w:pos="8290"/>
        </w:tabs>
        <w:spacing w:line="480" w:lineRule="auto"/>
        <w:rPr>
          <w:rFonts w:ascii="黑体" w:hAnsi="黑体" w:eastAsia="黑体" w:cstheme="minorBidi"/>
          <w:sz w:val="22"/>
          <w:szCs w:val="22"/>
          <w:highlight w:val="none"/>
        </w:rPr>
      </w:pPr>
      <w:r>
        <w:rPr>
          <w:rFonts w:hint="eastAsia" w:ascii="黑体" w:hAnsi="黑体" w:eastAsia="黑体" w:cs="Calibri"/>
          <w:kern w:val="0"/>
          <w:sz w:val="22"/>
          <w:szCs w:val="22"/>
          <w:highlight w:val="none"/>
        </w:rPr>
        <w:t>第五章  评标方法及标准</w:t>
      </w:r>
      <w:r>
        <w:rPr>
          <w:rFonts w:hint="eastAsia" w:ascii="黑体" w:hAnsi="黑体" w:eastAsia="黑体"/>
          <w:sz w:val="22"/>
          <w:szCs w:val="22"/>
          <w:highlight w:val="none"/>
        </w:rPr>
        <w:tab/>
      </w:r>
      <w:r>
        <w:rPr>
          <w:rFonts w:hint="eastAsia" w:ascii="黑体" w:hAnsi="黑体" w:eastAsia="黑体"/>
          <w:sz w:val="22"/>
          <w:szCs w:val="22"/>
          <w:highlight w:val="none"/>
        </w:rPr>
        <w:fldChar w:fldCharType="begin"/>
      </w:r>
      <w:r>
        <w:rPr>
          <w:rFonts w:hint="eastAsia" w:ascii="黑体" w:hAnsi="黑体" w:eastAsia="黑体"/>
          <w:sz w:val="22"/>
          <w:szCs w:val="22"/>
          <w:highlight w:val="none"/>
        </w:rPr>
        <w:instrText xml:space="preserve"> PAGEREF _Toc321925456 \h </w:instrText>
      </w:r>
      <w:r>
        <w:rPr>
          <w:rFonts w:hint="eastAsia" w:ascii="黑体" w:hAnsi="黑体" w:eastAsia="黑体"/>
          <w:sz w:val="22"/>
          <w:szCs w:val="22"/>
          <w:highlight w:val="none"/>
        </w:rPr>
        <w:fldChar w:fldCharType="separate"/>
      </w:r>
      <w:r>
        <w:rPr>
          <w:rFonts w:ascii="黑体" w:hAnsi="黑体" w:eastAsia="黑体"/>
          <w:sz w:val="22"/>
          <w:szCs w:val="22"/>
          <w:highlight w:val="none"/>
        </w:rPr>
        <w:t>- 29 -</w:t>
      </w:r>
      <w:r>
        <w:rPr>
          <w:rFonts w:hint="eastAsia" w:ascii="黑体" w:hAnsi="黑体" w:eastAsia="黑体"/>
          <w:sz w:val="22"/>
          <w:szCs w:val="22"/>
          <w:highlight w:val="none"/>
        </w:rPr>
        <w:fldChar w:fldCharType="end"/>
      </w:r>
    </w:p>
    <w:p>
      <w:pPr>
        <w:pStyle w:val="36"/>
        <w:tabs>
          <w:tab w:val="right" w:leader="dot" w:pos="8290"/>
        </w:tabs>
        <w:spacing w:line="480" w:lineRule="auto"/>
        <w:rPr>
          <w:rFonts w:ascii="黑体" w:hAnsi="黑体" w:eastAsia="黑体" w:cstheme="minorBidi"/>
          <w:sz w:val="22"/>
          <w:szCs w:val="22"/>
          <w:highlight w:val="none"/>
        </w:rPr>
      </w:pPr>
      <w:r>
        <w:rPr>
          <w:rFonts w:hint="eastAsia" w:ascii="黑体" w:hAnsi="黑体" w:eastAsia="黑体"/>
          <w:sz w:val="22"/>
          <w:szCs w:val="22"/>
          <w:highlight w:val="none"/>
        </w:rPr>
        <w:t>第六章  投标文件格式</w:t>
      </w:r>
      <w:r>
        <w:rPr>
          <w:rFonts w:hint="eastAsia" w:ascii="黑体" w:hAnsi="黑体" w:eastAsia="黑体"/>
          <w:sz w:val="22"/>
          <w:szCs w:val="22"/>
          <w:highlight w:val="none"/>
        </w:rPr>
        <w:tab/>
      </w:r>
      <w:r>
        <w:rPr>
          <w:rFonts w:hint="eastAsia" w:ascii="黑体" w:hAnsi="黑体" w:eastAsia="黑体"/>
          <w:sz w:val="22"/>
          <w:szCs w:val="22"/>
          <w:highlight w:val="none"/>
        </w:rPr>
        <w:fldChar w:fldCharType="begin"/>
      </w:r>
      <w:r>
        <w:rPr>
          <w:rFonts w:hint="eastAsia" w:ascii="黑体" w:hAnsi="黑体" w:eastAsia="黑体"/>
          <w:sz w:val="22"/>
          <w:szCs w:val="22"/>
          <w:highlight w:val="none"/>
        </w:rPr>
        <w:instrText xml:space="preserve"> PAGEREF _Toc321925457 \h </w:instrText>
      </w:r>
      <w:r>
        <w:rPr>
          <w:rFonts w:hint="eastAsia" w:ascii="黑体" w:hAnsi="黑体" w:eastAsia="黑体"/>
          <w:sz w:val="22"/>
          <w:szCs w:val="22"/>
          <w:highlight w:val="none"/>
        </w:rPr>
        <w:fldChar w:fldCharType="separate"/>
      </w:r>
      <w:r>
        <w:rPr>
          <w:rFonts w:ascii="黑体" w:hAnsi="黑体" w:eastAsia="黑体"/>
          <w:sz w:val="22"/>
          <w:szCs w:val="22"/>
          <w:highlight w:val="none"/>
        </w:rPr>
        <w:t>- 32 -</w:t>
      </w:r>
      <w:r>
        <w:rPr>
          <w:rFonts w:hint="eastAsia" w:ascii="黑体" w:hAnsi="黑体" w:eastAsia="黑体"/>
          <w:sz w:val="22"/>
          <w:szCs w:val="22"/>
          <w:highlight w:val="none"/>
        </w:rPr>
        <w:fldChar w:fldCharType="end"/>
      </w:r>
    </w:p>
    <w:p>
      <w:pPr>
        <w:tabs>
          <w:tab w:val="right" w:leader="dot" w:pos="8364"/>
        </w:tabs>
        <w:spacing w:line="480" w:lineRule="auto"/>
        <w:rPr>
          <w:b/>
          <w:highlight w:val="none"/>
        </w:rPr>
      </w:pPr>
      <w:r>
        <w:rPr>
          <w:rFonts w:hint="eastAsia" w:ascii="黑体" w:hAnsi="黑体" w:eastAsia="黑体"/>
          <w:b/>
          <w:sz w:val="22"/>
          <w:szCs w:val="22"/>
          <w:highlight w:val="none"/>
        </w:rPr>
        <w:fldChar w:fldCharType="end"/>
      </w:r>
    </w:p>
    <w:p>
      <w:pPr>
        <w:spacing w:line="560" w:lineRule="exact"/>
        <w:rPr>
          <w:b/>
          <w:highlight w:val="none"/>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highlight w:val="none"/>
        </w:rPr>
        <w:t xml:space="preserve">                                                          </w:t>
      </w:r>
    </w:p>
    <w:p>
      <w:pPr>
        <w:pStyle w:val="48"/>
        <w:rPr>
          <w:highlight w:val="none"/>
        </w:rPr>
      </w:pPr>
      <w:bookmarkStart w:id="0" w:name="_Toc321925451"/>
      <w:r>
        <w:rPr>
          <w:rFonts w:hint="eastAsia"/>
          <w:highlight w:val="none"/>
        </w:rPr>
        <w:t>第一章 招标公告</w:t>
      </w:r>
      <w:bookmarkEnd w:id="0"/>
    </w:p>
    <w:p>
      <w:pPr>
        <w:widowControl/>
        <w:snapToGrid w:val="0"/>
        <w:spacing w:line="360" w:lineRule="exact"/>
        <w:jc w:val="left"/>
        <w:rPr>
          <w:rFonts w:cs="Arial" w:asciiTheme="minorEastAsia" w:hAnsiTheme="minorEastAsia"/>
          <w:kern w:val="0"/>
          <w:sz w:val="22"/>
          <w:szCs w:val="22"/>
          <w:highlight w:val="none"/>
        </w:rPr>
      </w:pPr>
      <w:r>
        <w:rPr>
          <w:rFonts w:hint="eastAsia" w:cs="Arial" w:asciiTheme="minorEastAsia" w:hAnsiTheme="minorEastAsia"/>
          <w:b/>
          <w:bCs/>
          <w:kern w:val="0"/>
          <w:sz w:val="22"/>
          <w:szCs w:val="22"/>
          <w:highlight w:val="none"/>
        </w:rPr>
        <w:t>一、招标内容</w:t>
      </w:r>
    </w:p>
    <w:p>
      <w:pPr>
        <w:widowControl/>
        <w:adjustRightInd w:val="0"/>
        <w:snapToGrid w:val="0"/>
        <w:spacing w:line="360" w:lineRule="exact"/>
        <w:ind w:firstLine="440" w:firstLineChars="200"/>
        <w:rPr>
          <w:rFonts w:cs="Arial" w:asciiTheme="minorEastAsia" w:hAnsiTheme="minorEastAsia"/>
          <w:kern w:val="0"/>
          <w:sz w:val="22"/>
          <w:szCs w:val="22"/>
          <w:highlight w:val="none"/>
        </w:rPr>
      </w:pPr>
      <w:r>
        <w:rPr>
          <w:rFonts w:hint="eastAsia" w:cs="Arial" w:asciiTheme="minorEastAsia" w:hAnsiTheme="minorEastAsia"/>
          <w:kern w:val="0"/>
          <w:sz w:val="22"/>
          <w:szCs w:val="22"/>
          <w:highlight w:val="none"/>
        </w:rPr>
        <w:t>杭州萧山国际机场有限公司就</w:t>
      </w:r>
      <w:r>
        <w:rPr>
          <w:rFonts w:cs="Arial" w:asciiTheme="minorEastAsia" w:hAnsiTheme="minorEastAsia"/>
          <w:kern w:val="0"/>
          <w:sz w:val="22"/>
          <w:szCs w:val="22"/>
          <w:highlight w:val="none"/>
        </w:rPr>
        <w:t>杭州萧山国际机场</w:t>
      </w:r>
      <w:r>
        <w:rPr>
          <w:rFonts w:hint="eastAsia" w:cs="Arial" w:asciiTheme="minorEastAsia" w:hAnsiTheme="minorEastAsia"/>
          <w:kern w:val="0"/>
          <w:sz w:val="22"/>
          <w:szCs w:val="22"/>
          <w:highlight w:val="none"/>
        </w:rPr>
        <w:t>台式爆炸物、毒品探测设备</w:t>
      </w:r>
      <w:r>
        <w:rPr>
          <w:rFonts w:cs="Arial" w:asciiTheme="minorEastAsia" w:hAnsiTheme="minorEastAsia"/>
          <w:kern w:val="0"/>
          <w:sz w:val="22"/>
          <w:szCs w:val="22"/>
          <w:highlight w:val="none"/>
        </w:rPr>
        <w:t>采购项</w:t>
      </w:r>
      <w:r>
        <w:rPr>
          <w:rFonts w:hint="eastAsia" w:cs="Arial" w:asciiTheme="minorEastAsia" w:hAnsiTheme="minorEastAsia"/>
          <w:kern w:val="0"/>
          <w:sz w:val="22"/>
          <w:szCs w:val="22"/>
          <w:highlight w:val="none"/>
        </w:rPr>
        <w:t>目进行公开招标，欢迎符合资格要求的供应商参与投标。</w:t>
      </w:r>
    </w:p>
    <w:p>
      <w:pPr>
        <w:widowControl/>
        <w:adjustRightInd w:val="0"/>
        <w:snapToGrid w:val="0"/>
        <w:spacing w:line="360" w:lineRule="exact"/>
        <w:ind w:firstLine="440" w:firstLineChars="200"/>
        <w:rPr>
          <w:rFonts w:cs="Arial" w:asciiTheme="minorEastAsia" w:hAnsiTheme="minorEastAsia"/>
          <w:kern w:val="0"/>
          <w:sz w:val="22"/>
          <w:szCs w:val="22"/>
          <w:highlight w:val="none"/>
        </w:rPr>
      </w:pPr>
      <w:r>
        <w:rPr>
          <w:rFonts w:hint="eastAsia" w:cs="Arial" w:asciiTheme="minorEastAsia" w:hAnsiTheme="minorEastAsia"/>
          <w:kern w:val="0"/>
          <w:sz w:val="22"/>
          <w:szCs w:val="22"/>
          <w:highlight w:val="none"/>
        </w:rPr>
        <w:t>招标货物名称、数量及主要技术规格</w:t>
      </w:r>
    </w:p>
    <w:tbl>
      <w:tblPr>
        <w:tblStyle w:val="52"/>
        <w:tblW w:w="9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992"/>
        <w:gridCol w:w="2078"/>
        <w:gridCol w:w="2442"/>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vAlign w:val="center"/>
          </w:tcPr>
          <w:p>
            <w:pPr>
              <w:adjustRightInd w:val="0"/>
              <w:snapToGrid w:val="0"/>
              <w:jc w:val="center"/>
              <w:rPr>
                <w:rFonts w:asciiTheme="minorEastAsia" w:hAnsiTheme="minorEastAsia"/>
                <w:caps/>
                <w:sz w:val="22"/>
                <w:szCs w:val="22"/>
                <w:highlight w:val="none"/>
              </w:rPr>
            </w:pPr>
            <w:r>
              <w:rPr>
                <w:rFonts w:asciiTheme="minorEastAsia" w:hAnsiTheme="minorEastAsia"/>
                <w:caps/>
                <w:sz w:val="22"/>
                <w:szCs w:val="22"/>
                <w:highlight w:val="none"/>
              </w:rPr>
              <w:t>货物名称</w:t>
            </w:r>
          </w:p>
        </w:tc>
        <w:tc>
          <w:tcPr>
            <w:tcW w:w="992" w:type="dxa"/>
            <w:vAlign w:val="center"/>
          </w:tcPr>
          <w:p>
            <w:pPr>
              <w:adjustRightInd w:val="0"/>
              <w:snapToGrid w:val="0"/>
              <w:jc w:val="center"/>
              <w:rPr>
                <w:rFonts w:asciiTheme="minorEastAsia" w:hAnsiTheme="minorEastAsia"/>
                <w:caps/>
                <w:sz w:val="22"/>
                <w:szCs w:val="22"/>
                <w:highlight w:val="none"/>
              </w:rPr>
            </w:pPr>
            <w:r>
              <w:rPr>
                <w:rFonts w:asciiTheme="minorEastAsia" w:hAnsiTheme="minorEastAsia"/>
                <w:caps/>
                <w:sz w:val="22"/>
                <w:szCs w:val="22"/>
                <w:highlight w:val="none"/>
              </w:rPr>
              <w:t>数 量</w:t>
            </w:r>
          </w:p>
        </w:tc>
        <w:tc>
          <w:tcPr>
            <w:tcW w:w="2078" w:type="dxa"/>
            <w:vAlign w:val="center"/>
          </w:tcPr>
          <w:p>
            <w:pPr>
              <w:adjustRightInd w:val="0"/>
              <w:snapToGrid w:val="0"/>
              <w:jc w:val="center"/>
              <w:rPr>
                <w:rFonts w:asciiTheme="minorEastAsia" w:hAnsiTheme="minorEastAsia"/>
                <w:caps/>
                <w:sz w:val="22"/>
                <w:szCs w:val="22"/>
                <w:highlight w:val="none"/>
              </w:rPr>
            </w:pPr>
            <w:r>
              <w:rPr>
                <w:rFonts w:asciiTheme="minorEastAsia" w:hAnsiTheme="minorEastAsia"/>
                <w:caps/>
                <w:sz w:val="22"/>
                <w:szCs w:val="22"/>
                <w:highlight w:val="none"/>
              </w:rPr>
              <w:t>主要技术规格</w:t>
            </w:r>
          </w:p>
        </w:tc>
        <w:tc>
          <w:tcPr>
            <w:tcW w:w="2442" w:type="dxa"/>
            <w:vAlign w:val="center"/>
          </w:tcPr>
          <w:p>
            <w:pPr>
              <w:adjustRightInd w:val="0"/>
              <w:snapToGrid w:val="0"/>
              <w:jc w:val="center"/>
              <w:rPr>
                <w:rFonts w:asciiTheme="minorEastAsia" w:hAnsiTheme="minorEastAsia"/>
                <w:caps/>
                <w:sz w:val="22"/>
                <w:szCs w:val="22"/>
                <w:highlight w:val="none"/>
              </w:rPr>
            </w:pPr>
            <w:r>
              <w:rPr>
                <w:rFonts w:asciiTheme="minorEastAsia" w:hAnsiTheme="minorEastAsia"/>
                <w:caps/>
                <w:sz w:val="22"/>
                <w:szCs w:val="22"/>
                <w:highlight w:val="none"/>
              </w:rPr>
              <w:t>供货期</w:t>
            </w:r>
          </w:p>
        </w:tc>
        <w:tc>
          <w:tcPr>
            <w:tcW w:w="1340" w:type="dxa"/>
            <w:vAlign w:val="center"/>
          </w:tcPr>
          <w:p>
            <w:pPr>
              <w:adjustRightInd w:val="0"/>
              <w:snapToGrid w:val="0"/>
              <w:jc w:val="center"/>
              <w:rPr>
                <w:rFonts w:asciiTheme="minorEastAsia" w:hAnsiTheme="minorEastAsia"/>
                <w:caps/>
                <w:sz w:val="22"/>
                <w:szCs w:val="22"/>
                <w:highlight w:val="none"/>
              </w:rPr>
            </w:pPr>
            <w:r>
              <w:rPr>
                <w:rFonts w:asciiTheme="minorEastAsia" w:hAnsiTheme="minorEastAsia"/>
                <w:caps/>
                <w:sz w:val="22"/>
                <w:szCs w:val="22"/>
                <w:highlight w:val="none"/>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vAlign w:val="center"/>
          </w:tcPr>
          <w:p>
            <w:pPr>
              <w:snapToGrid w:val="0"/>
              <w:jc w:val="center"/>
              <w:rPr>
                <w:rFonts w:asciiTheme="minorEastAsia" w:hAnsiTheme="minorEastAsia"/>
                <w:sz w:val="22"/>
                <w:szCs w:val="22"/>
                <w:highlight w:val="none"/>
              </w:rPr>
            </w:pPr>
            <w:r>
              <w:rPr>
                <w:rFonts w:hint="eastAsia" w:asciiTheme="minorEastAsia" w:hAnsiTheme="minorEastAsia"/>
                <w:sz w:val="22"/>
                <w:szCs w:val="22"/>
                <w:highlight w:val="none"/>
              </w:rPr>
              <w:t>台式爆炸物、</w:t>
            </w:r>
          </w:p>
          <w:p>
            <w:pPr>
              <w:snapToGrid w:val="0"/>
              <w:jc w:val="center"/>
              <w:rPr>
                <w:rFonts w:asciiTheme="minorEastAsia" w:hAnsiTheme="minorEastAsia"/>
                <w:sz w:val="22"/>
                <w:szCs w:val="22"/>
                <w:highlight w:val="none"/>
              </w:rPr>
            </w:pPr>
            <w:r>
              <w:rPr>
                <w:rFonts w:hint="eastAsia" w:asciiTheme="minorEastAsia" w:hAnsiTheme="minorEastAsia"/>
                <w:sz w:val="22"/>
                <w:szCs w:val="22"/>
                <w:highlight w:val="none"/>
              </w:rPr>
              <w:t>毒品探测设备</w:t>
            </w:r>
          </w:p>
        </w:tc>
        <w:tc>
          <w:tcPr>
            <w:tcW w:w="992" w:type="dxa"/>
            <w:vAlign w:val="center"/>
          </w:tcPr>
          <w:p>
            <w:pPr>
              <w:snapToGrid w:val="0"/>
              <w:jc w:val="center"/>
              <w:rPr>
                <w:rFonts w:asciiTheme="minorEastAsia" w:hAnsiTheme="minorEastAsia"/>
                <w:sz w:val="22"/>
                <w:szCs w:val="22"/>
                <w:highlight w:val="none"/>
              </w:rPr>
            </w:pPr>
            <w:r>
              <w:rPr>
                <w:rFonts w:hint="eastAsia" w:asciiTheme="minorEastAsia" w:hAnsiTheme="minorEastAsia"/>
                <w:sz w:val="22"/>
                <w:szCs w:val="22"/>
                <w:highlight w:val="none"/>
              </w:rPr>
              <w:t>6</w:t>
            </w:r>
          </w:p>
        </w:tc>
        <w:tc>
          <w:tcPr>
            <w:tcW w:w="2078" w:type="dxa"/>
            <w:vAlign w:val="center"/>
          </w:tcPr>
          <w:p>
            <w:pPr>
              <w:pStyle w:val="19"/>
              <w:snapToGrid w:val="0"/>
              <w:jc w:val="center"/>
              <w:rPr>
                <w:rFonts w:asciiTheme="minorEastAsia" w:hAnsiTheme="minorEastAsia"/>
                <w:sz w:val="22"/>
                <w:szCs w:val="22"/>
                <w:highlight w:val="none"/>
              </w:rPr>
            </w:pPr>
            <w:r>
              <w:rPr>
                <w:rFonts w:hint="eastAsia" w:asciiTheme="minorEastAsia" w:hAnsiTheme="minorEastAsia"/>
                <w:sz w:val="22"/>
                <w:szCs w:val="22"/>
                <w:highlight w:val="none"/>
              </w:rPr>
              <w:t>详见第三章</w:t>
            </w:r>
          </w:p>
        </w:tc>
        <w:tc>
          <w:tcPr>
            <w:tcW w:w="2442" w:type="dxa"/>
            <w:vAlign w:val="center"/>
          </w:tcPr>
          <w:p>
            <w:pPr>
              <w:adjustRightInd w:val="0"/>
              <w:snapToGrid w:val="0"/>
              <w:jc w:val="center"/>
              <w:rPr>
                <w:rFonts w:asciiTheme="minorEastAsia" w:hAnsiTheme="minorEastAsia"/>
                <w:sz w:val="22"/>
                <w:szCs w:val="22"/>
                <w:highlight w:val="none"/>
              </w:rPr>
            </w:pPr>
            <w:r>
              <w:rPr>
                <w:rFonts w:hint="eastAsia" w:asciiTheme="minorEastAsia" w:hAnsiTheme="minorEastAsia"/>
                <w:sz w:val="22"/>
                <w:szCs w:val="22"/>
                <w:highlight w:val="none"/>
              </w:rPr>
              <w:t>合同签订后</w:t>
            </w:r>
            <w:r>
              <w:rPr>
                <w:rFonts w:hint="eastAsia" w:asciiTheme="minorEastAsia" w:hAnsiTheme="minorEastAsia"/>
                <w:sz w:val="22"/>
                <w:szCs w:val="22"/>
                <w:highlight w:val="none"/>
                <w:u w:val="single"/>
              </w:rPr>
              <w:t>30日历</w:t>
            </w:r>
            <w:r>
              <w:rPr>
                <w:rFonts w:hint="eastAsia" w:asciiTheme="minorEastAsia" w:hAnsiTheme="minorEastAsia"/>
                <w:sz w:val="22"/>
                <w:szCs w:val="22"/>
                <w:highlight w:val="none"/>
              </w:rPr>
              <w:t>天</w:t>
            </w:r>
          </w:p>
        </w:tc>
        <w:tc>
          <w:tcPr>
            <w:tcW w:w="1340" w:type="dxa"/>
            <w:vAlign w:val="center"/>
          </w:tcPr>
          <w:p>
            <w:pPr>
              <w:adjustRightInd w:val="0"/>
              <w:snapToGrid w:val="0"/>
              <w:jc w:val="center"/>
              <w:rPr>
                <w:rFonts w:asciiTheme="minorEastAsia" w:hAnsiTheme="minorEastAsia"/>
                <w:sz w:val="22"/>
                <w:szCs w:val="22"/>
                <w:highlight w:val="none"/>
              </w:rPr>
            </w:pPr>
            <w:r>
              <w:rPr>
                <w:rFonts w:asciiTheme="minorEastAsia" w:hAnsiTheme="minorEastAsia"/>
                <w:sz w:val="22"/>
                <w:szCs w:val="22"/>
                <w:highlight w:val="none"/>
              </w:rPr>
              <w:t>杭州萧山国际机场</w:t>
            </w:r>
          </w:p>
        </w:tc>
      </w:tr>
    </w:tbl>
    <w:p>
      <w:pPr>
        <w:widowControl/>
        <w:snapToGrid w:val="0"/>
        <w:spacing w:line="340" w:lineRule="exact"/>
        <w:jc w:val="left"/>
        <w:rPr>
          <w:rFonts w:cs="Arial" w:asciiTheme="minorEastAsia" w:hAnsiTheme="minorEastAsia"/>
          <w:b/>
          <w:bCs/>
          <w:kern w:val="0"/>
          <w:sz w:val="22"/>
          <w:szCs w:val="22"/>
          <w:highlight w:val="none"/>
        </w:rPr>
      </w:pPr>
      <w:r>
        <w:rPr>
          <w:rFonts w:hint="eastAsia" w:cs="Arial" w:asciiTheme="minorEastAsia" w:hAnsiTheme="minorEastAsia"/>
          <w:b/>
          <w:bCs/>
          <w:kern w:val="0"/>
          <w:sz w:val="22"/>
          <w:szCs w:val="22"/>
          <w:highlight w:val="none"/>
        </w:rPr>
        <w:t>二、投标人资格要求</w:t>
      </w:r>
      <w:r>
        <w:rPr>
          <w:rFonts w:cs="Arial" w:asciiTheme="minorEastAsia" w:hAnsiTheme="minorEastAsia"/>
          <w:b/>
          <w:bCs/>
          <w:kern w:val="0"/>
          <w:sz w:val="22"/>
          <w:szCs w:val="22"/>
          <w:highlight w:val="none"/>
        </w:rPr>
        <w:t> </w:t>
      </w:r>
    </w:p>
    <w:p>
      <w:pPr>
        <w:tabs>
          <w:tab w:val="left" w:pos="4110"/>
        </w:tabs>
        <w:adjustRightInd w:val="0"/>
        <w:snapToGrid w:val="0"/>
        <w:ind w:firstLine="480" w:firstLineChars="200"/>
        <w:rPr>
          <w:rFonts w:ascii="宋体" w:hAnsi="宋体" w:cs="宋体"/>
          <w:kern w:val="0"/>
          <w:highlight w:val="none"/>
        </w:rPr>
      </w:pPr>
      <w:r>
        <w:rPr>
          <w:rFonts w:hint="eastAsia" w:ascii="宋体" w:hAnsi="宋体" w:cs="宋体"/>
          <w:kern w:val="0"/>
          <w:highlight w:val="none"/>
        </w:rPr>
        <w:t>1、具有独立法人资格的制造商或代理商，注册资金不少于人民币500万元或等值外币(按投标截止日中国人民银行公布的汇率中间价换算)，需提供营业执照复印件并加盖投标人公章作为证明材料，原件备查。</w:t>
      </w:r>
    </w:p>
    <w:p>
      <w:pPr>
        <w:tabs>
          <w:tab w:val="left" w:pos="4110"/>
        </w:tabs>
        <w:adjustRightInd w:val="0"/>
        <w:snapToGrid w:val="0"/>
        <w:ind w:firstLine="480" w:firstLineChars="200"/>
        <w:rPr>
          <w:rFonts w:ascii="宋体" w:hAnsi="宋体" w:cs="宋体"/>
          <w:kern w:val="0"/>
          <w:highlight w:val="none"/>
        </w:rPr>
      </w:pPr>
      <w:r>
        <w:rPr>
          <w:rFonts w:hint="eastAsia" w:ascii="宋体" w:hAnsi="宋体" w:cs="宋体"/>
          <w:kern w:val="0"/>
          <w:highlight w:val="none"/>
        </w:rPr>
        <w:t>2、依据最高人民法院等九部门《关于在招标投标活动中对失信被执行人实施联合惩戒的通知》，投标人不得为失信被执行人。（通过信用中国网站www.creditchina.gov.cn 查询，查询结果以网站页面显示内容为准，投标时需提供查询结果并加盖投标人公章作为证明材料）。若在中标公示期间发现中标候选人在投标截止日前为失信被执行人的，招标人将依法取消其中标资格。</w:t>
      </w:r>
    </w:p>
    <w:p>
      <w:pPr>
        <w:tabs>
          <w:tab w:val="left" w:pos="4110"/>
        </w:tabs>
        <w:adjustRightInd w:val="0"/>
        <w:snapToGrid w:val="0"/>
        <w:ind w:firstLine="480" w:firstLineChars="200"/>
        <w:rPr>
          <w:rFonts w:ascii="宋体" w:hAnsi="宋体" w:cs="宋体"/>
          <w:kern w:val="0"/>
          <w:highlight w:val="none"/>
        </w:rPr>
      </w:pPr>
      <w:r>
        <w:rPr>
          <w:rFonts w:hint="eastAsia" w:ascii="宋体" w:hAnsi="宋体" w:cs="宋体"/>
          <w:kern w:val="0"/>
          <w:highlight w:val="none"/>
        </w:rPr>
        <w:t>3、近三年（2016年1月1日起至投标截止日止）无行贿犯罪记录(通过中国裁判文书网http://wenshu.court.gov.cn查询，查询结果以网站页面显示内容为准，投标时需提供查询结果并加盖投标人公章作为证明材料)。若在中标公示期间发现中标候选人在投标截止日前存在行贿犯罪记录的，招标人将依法取消其中标资格。</w:t>
      </w:r>
    </w:p>
    <w:p>
      <w:pPr>
        <w:widowControl/>
        <w:adjustRightInd w:val="0"/>
        <w:snapToGrid w:val="0"/>
        <w:spacing w:line="340" w:lineRule="exact"/>
        <w:ind w:firstLine="480" w:firstLineChars="200"/>
        <w:rPr>
          <w:rFonts w:cs="Arial" w:asciiTheme="minorEastAsia" w:hAnsiTheme="minorEastAsia"/>
          <w:kern w:val="0"/>
          <w:sz w:val="22"/>
          <w:szCs w:val="22"/>
          <w:highlight w:val="none"/>
        </w:rPr>
      </w:pPr>
      <w:r>
        <w:rPr>
          <w:rFonts w:hint="eastAsia" w:ascii="宋体" w:hAnsi="宋体" w:cs="宋体"/>
          <w:kern w:val="0"/>
          <w:highlight w:val="none"/>
        </w:rPr>
        <w:t>4、具有一般纳税人资格，可提供税率为13%的增值税专用发票（需提供税务机关出具的一般纳税人资格认定相关证明材料复印件并加盖投标人公章作为证明材料，原件备查）。</w:t>
      </w:r>
    </w:p>
    <w:p>
      <w:pPr>
        <w:tabs>
          <w:tab w:val="left" w:pos="4110"/>
        </w:tabs>
        <w:adjustRightInd w:val="0"/>
        <w:snapToGrid w:val="0"/>
        <w:ind w:firstLine="480" w:firstLineChars="200"/>
        <w:rPr>
          <w:rFonts w:ascii="宋体" w:hAnsi="宋体" w:cs="宋体"/>
          <w:kern w:val="0"/>
          <w:highlight w:val="none"/>
        </w:rPr>
      </w:pPr>
      <w:r>
        <w:rPr>
          <w:rFonts w:ascii="宋体" w:hAnsi="宋体" w:cs="宋体"/>
          <w:kern w:val="0"/>
          <w:highlight w:val="none"/>
        </w:rPr>
        <w:t>5、</w:t>
      </w:r>
      <w:r>
        <w:rPr>
          <w:rFonts w:hint="eastAsia" w:ascii="宋体" w:hAnsi="宋体" w:cs="宋体"/>
          <w:kern w:val="0"/>
          <w:highlight w:val="none"/>
        </w:rPr>
        <w:t>投标人提供的设备应取得中国民用航空局颁发的使用许可证且在有效期内。需提供使用许可证明材料复印件并加盖投标人公章作为证明材料</w:t>
      </w:r>
    </w:p>
    <w:p>
      <w:pPr>
        <w:widowControl/>
        <w:adjustRightInd w:val="0"/>
        <w:snapToGrid w:val="0"/>
        <w:spacing w:line="340" w:lineRule="exact"/>
        <w:ind w:firstLine="480" w:firstLineChars="200"/>
        <w:rPr>
          <w:rFonts w:cs="Arial" w:asciiTheme="minorEastAsia" w:hAnsiTheme="minorEastAsia"/>
          <w:kern w:val="0"/>
          <w:sz w:val="22"/>
          <w:szCs w:val="22"/>
          <w:highlight w:val="none"/>
        </w:rPr>
      </w:pPr>
      <w:r>
        <w:rPr>
          <w:rFonts w:ascii="宋体" w:hAnsi="宋体" w:cs="宋体"/>
          <w:kern w:val="0"/>
          <w:highlight w:val="none"/>
        </w:rPr>
        <w:t>6、本项目不接受联合</w:t>
      </w:r>
      <w:r>
        <w:rPr>
          <w:rFonts w:hint="eastAsia" w:ascii="宋体" w:hAnsi="宋体" w:cs="宋体"/>
          <w:kern w:val="0"/>
          <w:highlight w:val="none"/>
        </w:rPr>
        <w:t>体</w:t>
      </w:r>
      <w:r>
        <w:rPr>
          <w:rFonts w:ascii="宋体" w:hAnsi="宋体" w:cs="宋体"/>
          <w:kern w:val="0"/>
          <w:highlight w:val="none"/>
        </w:rPr>
        <w:t>投标</w:t>
      </w:r>
      <w:r>
        <w:rPr>
          <w:rFonts w:hint="eastAsia" w:cs="Arial" w:asciiTheme="minorEastAsia" w:hAnsiTheme="minorEastAsia"/>
          <w:kern w:val="0"/>
          <w:sz w:val="22"/>
          <w:szCs w:val="22"/>
          <w:highlight w:val="none"/>
        </w:rPr>
        <w:t>。</w:t>
      </w:r>
    </w:p>
    <w:p>
      <w:pPr>
        <w:widowControl/>
        <w:snapToGrid w:val="0"/>
        <w:spacing w:line="340" w:lineRule="exact"/>
        <w:jc w:val="left"/>
        <w:rPr>
          <w:rFonts w:cs="Arial" w:asciiTheme="minorEastAsia" w:hAnsiTheme="minorEastAsia"/>
          <w:b/>
          <w:bCs/>
          <w:kern w:val="0"/>
          <w:sz w:val="22"/>
          <w:szCs w:val="22"/>
          <w:highlight w:val="none"/>
        </w:rPr>
      </w:pPr>
      <w:r>
        <w:rPr>
          <w:rFonts w:hint="eastAsia" w:cs="Arial" w:asciiTheme="minorEastAsia" w:hAnsiTheme="minorEastAsia"/>
          <w:b/>
          <w:bCs/>
          <w:kern w:val="0"/>
          <w:sz w:val="22"/>
          <w:szCs w:val="22"/>
          <w:highlight w:val="none"/>
        </w:rPr>
        <w:t>三、招标文件获取</w:t>
      </w:r>
    </w:p>
    <w:p>
      <w:pPr>
        <w:widowControl/>
        <w:adjustRightInd w:val="0"/>
        <w:snapToGrid w:val="0"/>
        <w:spacing w:line="340" w:lineRule="exact"/>
        <w:ind w:firstLine="440" w:firstLineChars="200"/>
        <w:rPr>
          <w:rFonts w:cs="Arial" w:asciiTheme="minorEastAsia" w:hAnsiTheme="minorEastAsia"/>
          <w:kern w:val="0"/>
          <w:sz w:val="22"/>
          <w:szCs w:val="22"/>
          <w:highlight w:val="none"/>
        </w:rPr>
      </w:pPr>
      <w:r>
        <w:rPr>
          <w:rFonts w:hint="eastAsia" w:cs="Arial" w:asciiTheme="minorEastAsia" w:hAnsiTheme="minorEastAsia"/>
          <w:kern w:val="0"/>
          <w:sz w:val="22"/>
          <w:szCs w:val="22"/>
          <w:highlight w:val="none"/>
        </w:rPr>
        <w:t>凡符合资格条件并有投标意向的潜在投标人，请通过杭州萧山机场有限公司主页</w:t>
      </w:r>
      <w:r>
        <w:rPr>
          <w:highlight w:val="none"/>
        </w:rPr>
        <w:fldChar w:fldCharType="begin"/>
      </w:r>
      <w:r>
        <w:rPr>
          <w:highlight w:val="none"/>
        </w:rPr>
        <w:instrText xml:space="preserve"> HYPERLINK "http://www.hzairport.com/zbxx.aspx" </w:instrText>
      </w:r>
      <w:r>
        <w:rPr>
          <w:highlight w:val="none"/>
        </w:rPr>
        <w:fldChar w:fldCharType="separate"/>
      </w:r>
      <w:r>
        <w:rPr>
          <w:rFonts w:cs="Arial" w:asciiTheme="minorEastAsia" w:hAnsiTheme="minorEastAsia"/>
          <w:kern w:val="0"/>
          <w:sz w:val="22"/>
          <w:szCs w:val="22"/>
          <w:highlight w:val="none"/>
        </w:rPr>
        <w:t>http://www.hzairport.com/zbxx.aspx</w:t>
      </w:r>
      <w:r>
        <w:rPr>
          <w:rFonts w:cs="Arial" w:asciiTheme="minorEastAsia" w:hAnsiTheme="minorEastAsia"/>
          <w:kern w:val="0"/>
          <w:sz w:val="22"/>
          <w:szCs w:val="22"/>
          <w:highlight w:val="none"/>
        </w:rPr>
        <w:fldChar w:fldCharType="end"/>
      </w:r>
      <w:r>
        <w:rPr>
          <w:rFonts w:hint="eastAsia" w:cs="Arial" w:asciiTheme="minorEastAsia" w:hAnsiTheme="minorEastAsia"/>
          <w:kern w:val="0"/>
          <w:sz w:val="22"/>
          <w:szCs w:val="22"/>
          <w:highlight w:val="none"/>
        </w:rPr>
        <w:t>自行下载招标文件。</w:t>
      </w:r>
    </w:p>
    <w:p>
      <w:pPr>
        <w:widowControl/>
        <w:adjustRightInd w:val="0"/>
        <w:snapToGrid w:val="0"/>
        <w:spacing w:line="340" w:lineRule="exact"/>
        <w:ind w:firstLine="440" w:firstLineChars="200"/>
        <w:rPr>
          <w:rFonts w:cs="Arial" w:asciiTheme="minorEastAsia" w:hAnsiTheme="minorEastAsia"/>
          <w:kern w:val="0"/>
          <w:sz w:val="22"/>
          <w:szCs w:val="22"/>
          <w:highlight w:val="none"/>
        </w:rPr>
      </w:pPr>
      <w:r>
        <w:rPr>
          <w:rFonts w:hint="eastAsia" w:cs="Arial" w:asciiTheme="minorEastAsia" w:hAnsiTheme="minorEastAsia"/>
          <w:kern w:val="0"/>
          <w:sz w:val="22"/>
          <w:szCs w:val="22"/>
          <w:highlight w:val="none"/>
        </w:rPr>
        <w:t>招标文件下载</w:t>
      </w:r>
    </w:p>
    <w:p>
      <w:pPr>
        <w:widowControl/>
        <w:snapToGrid w:val="0"/>
        <w:spacing w:line="340" w:lineRule="exact"/>
        <w:jc w:val="left"/>
        <w:rPr>
          <w:rFonts w:cs="Arial" w:asciiTheme="minorEastAsia" w:hAnsiTheme="minorEastAsia"/>
          <w:b/>
          <w:bCs/>
          <w:kern w:val="0"/>
          <w:sz w:val="22"/>
          <w:szCs w:val="22"/>
          <w:highlight w:val="none"/>
        </w:rPr>
      </w:pPr>
      <w:r>
        <w:rPr>
          <w:rFonts w:hint="eastAsia" w:cs="Arial" w:asciiTheme="minorEastAsia" w:hAnsiTheme="minorEastAsia"/>
          <w:b/>
          <w:bCs/>
          <w:kern w:val="0"/>
          <w:sz w:val="22"/>
          <w:szCs w:val="22"/>
          <w:highlight w:val="none"/>
        </w:rPr>
        <w:t>四、投标文件的递交</w:t>
      </w:r>
    </w:p>
    <w:p>
      <w:pPr>
        <w:widowControl/>
        <w:adjustRightInd w:val="0"/>
        <w:snapToGrid w:val="0"/>
        <w:spacing w:line="340" w:lineRule="exact"/>
        <w:ind w:firstLine="440" w:firstLineChars="200"/>
        <w:rPr>
          <w:rFonts w:cs="Arial" w:asciiTheme="minorEastAsia" w:hAnsiTheme="minorEastAsia"/>
          <w:kern w:val="0"/>
          <w:sz w:val="22"/>
          <w:szCs w:val="22"/>
          <w:highlight w:val="none"/>
        </w:rPr>
      </w:pPr>
      <w:r>
        <w:rPr>
          <w:rFonts w:hint="eastAsia" w:cs="Arial" w:asciiTheme="minorEastAsia" w:hAnsiTheme="minorEastAsia"/>
          <w:kern w:val="0"/>
          <w:sz w:val="22"/>
          <w:szCs w:val="22"/>
          <w:highlight w:val="none"/>
        </w:rPr>
        <w:t>（1）</w:t>
      </w:r>
      <w:r>
        <w:rPr>
          <w:rFonts w:hint="eastAsia" w:ascii="宋体" w:hAnsi="宋体" w:cs="Arial"/>
          <w:kern w:val="0"/>
          <w:sz w:val="22"/>
          <w:highlight w:val="none"/>
        </w:rPr>
        <w:t>投标文件递交截止时间</w:t>
      </w:r>
      <w:r>
        <w:rPr>
          <w:rFonts w:hint="eastAsia" w:ascii="宋体" w:hAnsi="宋体" w:cs="Arial"/>
          <w:kern w:val="0"/>
          <w:sz w:val="22"/>
          <w:highlight w:val="none"/>
          <w:lang w:eastAsia="zh-CN"/>
        </w:rPr>
        <w:t>：</w:t>
      </w:r>
      <w:r>
        <w:rPr>
          <w:rFonts w:hint="eastAsia" w:ascii="宋体" w:hAnsi="宋体" w:cs="Arial"/>
          <w:kern w:val="0"/>
          <w:sz w:val="22"/>
          <w:highlight w:val="none"/>
          <w:lang w:val="en-US" w:eastAsia="zh-CN"/>
        </w:rPr>
        <w:t>2019年8月29日下午14时00分（北京时间）</w:t>
      </w:r>
      <w:r>
        <w:rPr>
          <w:rFonts w:hint="eastAsia" w:ascii="宋体" w:hAnsi="宋体" w:cs="Arial"/>
          <w:kern w:val="0"/>
          <w:sz w:val="22"/>
          <w:highlight w:val="none"/>
        </w:rPr>
        <w:t>。投标文件在封口处加盖公章，并派专人于</w:t>
      </w:r>
      <w:r>
        <w:rPr>
          <w:rFonts w:hint="eastAsia" w:ascii="宋体" w:hAnsi="宋体" w:cs="Arial"/>
          <w:kern w:val="0"/>
          <w:sz w:val="22"/>
          <w:highlight w:val="none"/>
          <w:lang w:val="en-US" w:eastAsia="zh-CN"/>
        </w:rPr>
        <w:t>2019年8月29日下午14时00分（北京时间）</w:t>
      </w:r>
      <w:r>
        <w:rPr>
          <w:rFonts w:hint="eastAsia" w:ascii="宋体" w:hAnsi="宋体" w:cs="Arial"/>
          <w:kern w:val="0"/>
          <w:sz w:val="22"/>
          <w:highlight w:val="none"/>
        </w:rPr>
        <w:t>前送至杭州萧山国际机场翔越路综合服务楼园区招标中心，逾期无效；若采用投递方式的，请于</w:t>
      </w:r>
      <w:r>
        <w:rPr>
          <w:rFonts w:hint="eastAsia" w:ascii="宋体" w:hAnsi="宋体" w:cs="Arial"/>
          <w:kern w:val="0"/>
          <w:sz w:val="22"/>
          <w:highlight w:val="none"/>
          <w:lang w:val="en-US" w:eastAsia="zh-CN"/>
        </w:rPr>
        <w:t>2019年8月29日下午14时00分（北京时间）</w:t>
      </w:r>
      <w:r>
        <w:rPr>
          <w:rFonts w:hint="eastAsia" w:ascii="宋体" w:hAnsi="宋体" w:cs="Arial"/>
          <w:kern w:val="0"/>
          <w:sz w:val="22"/>
          <w:highlight w:val="none"/>
        </w:rPr>
        <w:t>前投递至杭州萧山国际机场综合楼213室，逾期无效。</w:t>
      </w:r>
    </w:p>
    <w:p>
      <w:pPr>
        <w:widowControl/>
        <w:adjustRightInd w:val="0"/>
        <w:snapToGrid w:val="0"/>
        <w:spacing w:line="340" w:lineRule="exact"/>
        <w:ind w:firstLine="440" w:firstLineChars="200"/>
        <w:rPr>
          <w:rFonts w:cs="Arial" w:asciiTheme="minorEastAsia" w:hAnsiTheme="minorEastAsia"/>
          <w:kern w:val="0"/>
          <w:sz w:val="22"/>
          <w:szCs w:val="22"/>
          <w:highlight w:val="none"/>
        </w:rPr>
      </w:pPr>
      <w:r>
        <w:rPr>
          <w:rFonts w:hint="eastAsia" w:cs="Arial" w:asciiTheme="minorEastAsia" w:hAnsiTheme="minorEastAsia"/>
          <w:kern w:val="0"/>
          <w:sz w:val="22"/>
          <w:szCs w:val="22"/>
          <w:highlight w:val="none"/>
        </w:rPr>
        <w:t>（2）</w:t>
      </w:r>
      <w:r>
        <w:rPr>
          <w:rFonts w:hint="eastAsia" w:asciiTheme="minorEastAsia" w:hAnsiTheme="minorEastAsia"/>
          <w:sz w:val="22"/>
          <w:szCs w:val="22"/>
          <w:highlight w:val="none"/>
        </w:rPr>
        <w:t>逾期送达或者未送达指定地点的投标文件，招标人不予受理。</w:t>
      </w:r>
    </w:p>
    <w:p>
      <w:pPr>
        <w:widowControl/>
        <w:snapToGrid w:val="0"/>
        <w:spacing w:line="340" w:lineRule="exact"/>
        <w:jc w:val="left"/>
        <w:rPr>
          <w:rFonts w:cs="Arial" w:asciiTheme="minorEastAsia" w:hAnsiTheme="minorEastAsia"/>
          <w:b/>
          <w:bCs/>
          <w:kern w:val="0"/>
          <w:sz w:val="22"/>
          <w:szCs w:val="22"/>
          <w:highlight w:val="none"/>
        </w:rPr>
      </w:pPr>
      <w:r>
        <w:rPr>
          <w:rFonts w:hint="eastAsia" w:cs="Arial" w:asciiTheme="minorEastAsia" w:hAnsiTheme="minorEastAsia"/>
          <w:b/>
          <w:bCs/>
          <w:kern w:val="0"/>
          <w:sz w:val="22"/>
          <w:szCs w:val="22"/>
          <w:highlight w:val="none"/>
        </w:rPr>
        <w:t>五、发布公告的媒介</w:t>
      </w:r>
    </w:p>
    <w:p>
      <w:pPr>
        <w:widowControl/>
        <w:adjustRightInd w:val="0"/>
        <w:snapToGrid w:val="0"/>
        <w:spacing w:line="340" w:lineRule="exact"/>
        <w:ind w:firstLine="440" w:firstLineChars="200"/>
        <w:rPr>
          <w:rFonts w:cs="Arial" w:asciiTheme="minorEastAsia" w:hAnsiTheme="minorEastAsia"/>
          <w:kern w:val="0"/>
          <w:sz w:val="22"/>
          <w:szCs w:val="22"/>
          <w:highlight w:val="none"/>
        </w:rPr>
      </w:pPr>
      <w:r>
        <w:rPr>
          <w:rFonts w:hint="eastAsia" w:cs="Arial" w:asciiTheme="minorEastAsia" w:hAnsiTheme="minorEastAsia"/>
          <w:kern w:val="0"/>
          <w:sz w:val="22"/>
          <w:szCs w:val="22"/>
          <w:highlight w:val="none"/>
        </w:rPr>
        <w:t>本次招标公告在</w:t>
      </w:r>
      <w:r>
        <w:rPr>
          <w:rFonts w:hint="eastAsia" w:cs="Arial" w:asciiTheme="minorEastAsia" w:hAnsiTheme="minorEastAsia"/>
          <w:b/>
          <w:kern w:val="0"/>
          <w:sz w:val="22"/>
          <w:szCs w:val="22"/>
          <w:highlight w:val="none"/>
        </w:rPr>
        <w:t>中国采购与招标网和杭州萧山机场有限公司</w:t>
      </w:r>
      <w:r>
        <w:rPr>
          <w:rFonts w:hint="eastAsia" w:cs="Arial" w:asciiTheme="minorEastAsia" w:hAnsiTheme="minorEastAsia"/>
          <w:kern w:val="0"/>
          <w:sz w:val="22"/>
          <w:szCs w:val="22"/>
          <w:highlight w:val="none"/>
        </w:rPr>
        <w:t>主页上发布</w:t>
      </w:r>
    </w:p>
    <w:p>
      <w:pPr>
        <w:widowControl/>
        <w:adjustRightInd w:val="0"/>
        <w:snapToGrid w:val="0"/>
        <w:spacing w:line="340" w:lineRule="exact"/>
        <w:ind w:firstLine="440" w:firstLineChars="200"/>
        <w:rPr>
          <w:rFonts w:cs="Arial" w:asciiTheme="minorEastAsia" w:hAnsiTheme="minorEastAsia"/>
          <w:kern w:val="0"/>
          <w:sz w:val="22"/>
          <w:szCs w:val="22"/>
          <w:highlight w:val="none"/>
        </w:rPr>
      </w:pPr>
      <w:r>
        <w:rPr>
          <w:rFonts w:hint="eastAsia" w:asciiTheme="minorEastAsia" w:hAnsiTheme="minorEastAsia"/>
          <w:sz w:val="22"/>
          <w:szCs w:val="22"/>
          <w:highlight w:val="none"/>
        </w:rPr>
        <w:t>中国采购与招标网</w:t>
      </w:r>
      <w:r>
        <w:rPr>
          <w:rFonts w:asciiTheme="minorEastAsia" w:hAnsiTheme="minorEastAsia"/>
          <w:sz w:val="22"/>
          <w:szCs w:val="22"/>
          <w:highlight w:val="none"/>
        </w:rPr>
        <w:t xml:space="preserve">  </w:t>
      </w:r>
      <w:r>
        <w:rPr>
          <w:highlight w:val="none"/>
        </w:rPr>
        <w:fldChar w:fldCharType="begin"/>
      </w:r>
      <w:r>
        <w:rPr>
          <w:highlight w:val="none"/>
        </w:rPr>
        <w:instrText xml:space="preserve"> HYPERLINK "http://www.chinabidding.com.cn" </w:instrText>
      </w:r>
      <w:r>
        <w:rPr>
          <w:highlight w:val="none"/>
        </w:rPr>
        <w:fldChar w:fldCharType="separate"/>
      </w:r>
      <w:r>
        <w:rPr>
          <w:rFonts w:asciiTheme="minorEastAsia" w:hAnsiTheme="minorEastAsia"/>
          <w:sz w:val="22"/>
          <w:szCs w:val="22"/>
          <w:highlight w:val="none"/>
        </w:rPr>
        <w:t>http://www.chinabidding.com.cn</w:t>
      </w:r>
      <w:r>
        <w:rPr>
          <w:rFonts w:asciiTheme="minorEastAsia" w:hAnsiTheme="minorEastAsia"/>
          <w:sz w:val="22"/>
          <w:szCs w:val="22"/>
          <w:highlight w:val="none"/>
        </w:rPr>
        <w:fldChar w:fldCharType="end"/>
      </w:r>
    </w:p>
    <w:p>
      <w:pPr>
        <w:widowControl/>
        <w:adjustRightInd w:val="0"/>
        <w:snapToGrid w:val="0"/>
        <w:spacing w:line="340" w:lineRule="exact"/>
        <w:ind w:firstLine="440" w:firstLineChars="200"/>
        <w:rPr>
          <w:rFonts w:cs="Arial" w:asciiTheme="minorEastAsia" w:hAnsiTheme="minorEastAsia"/>
          <w:kern w:val="0"/>
          <w:sz w:val="22"/>
          <w:szCs w:val="22"/>
          <w:highlight w:val="none"/>
        </w:rPr>
      </w:pPr>
      <w:r>
        <w:rPr>
          <w:rFonts w:hint="eastAsia" w:cs="Arial" w:asciiTheme="minorEastAsia" w:hAnsiTheme="minorEastAsia"/>
          <w:kern w:val="0"/>
          <w:sz w:val="22"/>
          <w:szCs w:val="22"/>
          <w:highlight w:val="none"/>
        </w:rPr>
        <w:t>杭州萧山机场有限公司主页http://www.hzairport.com</w:t>
      </w:r>
    </w:p>
    <w:p>
      <w:pPr>
        <w:widowControl/>
        <w:snapToGrid w:val="0"/>
        <w:spacing w:line="340" w:lineRule="exact"/>
        <w:jc w:val="left"/>
        <w:rPr>
          <w:rFonts w:cs="Arial" w:asciiTheme="minorEastAsia" w:hAnsiTheme="minorEastAsia"/>
          <w:b/>
          <w:bCs/>
          <w:kern w:val="0"/>
          <w:sz w:val="22"/>
          <w:szCs w:val="22"/>
          <w:highlight w:val="none"/>
        </w:rPr>
      </w:pPr>
      <w:r>
        <w:rPr>
          <w:rFonts w:hint="eastAsia" w:cs="Arial" w:asciiTheme="minorEastAsia" w:hAnsiTheme="minorEastAsia"/>
          <w:b/>
          <w:bCs/>
          <w:kern w:val="0"/>
          <w:sz w:val="22"/>
          <w:szCs w:val="22"/>
          <w:highlight w:val="none"/>
        </w:rPr>
        <w:t>六、联系方式</w:t>
      </w:r>
    </w:p>
    <w:p>
      <w:pPr>
        <w:widowControl/>
        <w:adjustRightInd w:val="0"/>
        <w:snapToGrid w:val="0"/>
        <w:spacing w:line="340" w:lineRule="exact"/>
        <w:ind w:firstLine="440" w:firstLineChars="200"/>
        <w:rPr>
          <w:rFonts w:asciiTheme="minorEastAsia" w:hAnsiTheme="minorEastAsia"/>
          <w:sz w:val="22"/>
          <w:szCs w:val="22"/>
          <w:highlight w:val="none"/>
        </w:rPr>
      </w:pPr>
      <w:r>
        <w:rPr>
          <w:rFonts w:hint="eastAsia" w:asciiTheme="minorEastAsia" w:hAnsiTheme="minorEastAsia"/>
          <w:sz w:val="22"/>
          <w:szCs w:val="22"/>
          <w:highlight w:val="none"/>
        </w:rPr>
        <w:t>投标联系人：</w:t>
      </w:r>
      <w:r>
        <w:rPr>
          <w:rFonts w:hint="eastAsia" w:ascii="宋体" w:hAnsi="宋体"/>
          <w:sz w:val="22"/>
          <w:szCs w:val="22"/>
          <w:highlight w:val="none"/>
        </w:rPr>
        <w:t>贾思勰</w:t>
      </w:r>
      <w:r>
        <w:rPr>
          <w:rFonts w:hint="eastAsia" w:asciiTheme="minorEastAsia" w:hAnsiTheme="minorEastAsia"/>
          <w:sz w:val="22"/>
          <w:szCs w:val="22"/>
          <w:highlight w:val="none"/>
        </w:rPr>
        <w:t xml:space="preserve">        联系电话：0571-</w:t>
      </w:r>
      <w:r>
        <w:rPr>
          <w:rFonts w:asciiTheme="minorEastAsia" w:hAnsiTheme="minorEastAsia"/>
          <w:sz w:val="22"/>
          <w:szCs w:val="22"/>
          <w:highlight w:val="none"/>
        </w:rPr>
        <w:t>83837612</w:t>
      </w:r>
    </w:p>
    <w:p>
      <w:pPr>
        <w:widowControl/>
        <w:adjustRightInd w:val="0"/>
        <w:snapToGrid w:val="0"/>
        <w:spacing w:line="340" w:lineRule="exact"/>
        <w:ind w:firstLine="440" w:firstLineChars="200"/>
        <w:rPr>
          <w:rFonts w:asciiTheme="minorEastAsia" w:hAnsiTheme="minorEastAsia"/>
          <w:bCs/>
          <w:sz w:val="22"/>
          <w:szCs w:val="22"/>
          <w:highlight w:val="none"/>
        </w:rPr>
      </w:pPr>
      <w:r>
        <w:rPr>
          <w:rFonts w:hint="eastAsia" w:asciiTheme="minorEastAsia" w:hAnsiTheme="minorEastAsia"/>
          <w:bCs/>
          <w:sz w:val="22"/>
          <w:szCs w:val="22"/>
          <w:highlight w:val="none"/>
        </w:rPr>
        <w:t>招标监督人：</w:t>
      </w:r>
      <w:r>
        <w:rPr>
          <w:rFonts w:hint="eastAsia" w:ascii="宋体" w:hAnsi="宋体"/>
          <w:bCs/>
          <w:sz w:val="22"/>
          <w:szCs w:val="22"/>
          <w:highlight w:val="none"/>
        </w:rPr>
        <w:t>王莺</w:t>
      </w:r>
      <w:r>
        <w:rPr>
          <w:rFonts w:hint="eastAsia" w:asciiTheme="minorEastAsia" w:hAnsiTheme="minorEastAsia"/>
          <w:bCs/>
          <w:sz w:val="22"/>
          <w:szCs w:val="22"/>
          <w:highlight w:val="none"/>
        </w:rPr>
        <w:t xml:space="preserve">         联系电话：</w:t>
      </w:r>
      <w:r>
        <w:rPr>
          <w:rFonts w:hint="eastAsia" w:ascii="宋体" w:hAnsi="宋体"/>
          <w:bCs/>
          <w:sz w:val="22"/>
          <w:szCs w:val="22"/>
          <w:highlight w:val="none"/>
        </w:rPr>
        <w:t>0</w:t>
      </w:r>
      <w:r>
        <w:rPr>
          <w:rFonts w:ascii="宋体" w:hAnsi="宋体"/>
          <w:bCs/>
          <w:sz w:val="22"/>
          <w:szCs w:val="22"/>
          <w:highlight w:val="none"/>
        </w:rPr>
        <w:t>571-86662723</w:t>
      </w:r>
    </w:p>
    <w:p>
      <w:pPr>
        <w:pStyle w:val="48"/>
        <w:rPr>
          <w:highlight w:val="none"/>
        </w:rPr>
      </w:pPr>
      <w:r>
        <w:rPr>
          <w:rFonts w:hint="eastAsia" w:asciiTheme="minorEastAsia" w:hAnsiTheme="minorEastAsia"/>
          <w:bCs w:val="0"/>
          <w:sz w:val="22"/>
          <w:szCs w:val="22"/>
          <w:highlight w:val="none"/>
        </w:rPr>
        <w:t xml:space="preserve"> </w:t>
      </w:r>
      <w:r>
        <w:rPr>
          <w:rFonts w:asciiTheme="minorEastAsia" w:hAnsiTheme="minorEastAsia"/>
          <w:bCs w:val="0"/>
          <w:sz w:val="22"/>
          <w:szCs w:val="22"/>
          <w:highlight w:val="none"/>
        </w:rPr>
        <w:br w:type="page"/>
      </w:r>
      <w:bookmarkStart w:id="1" w:name="_Toc321925452"/>
      <w:r>
        <w:rPr>
          <w:highlight w:val="none"/>
        </w:rPr>
        <w:t>第</w:t>
      </w:r>
      <w:r>
        <w:rPr>
          <w:rFonts w:hint="eastAsia"/>
          <w:highlight w:val="none"/>
        </w:rPr>
        <w:t>二</w:t>
      </w:r>
      <w:r>
        <w:rPr>
          <w:highlight w:val="none"/>
        </w:rPr>
        <w:t>章  投标</w:t>
      </w:r>
      <w:r>
        <w:rPr>
          <w:rFonts w:hint="eastAsia"/>
          <w:highlight w:val="none"/>
        </w:rPr>
        <w:t>人须知</w:t>
      </w:r>
      <w:bookmarkEnd w:id="1"/>
    </w:p>
    <w:p>
      <w:pPr>
        <w:pStyle w:val="32"/>
        <w:spacing w:line="240" w:lineRule="auto"/>
        <w:ind w:left="480"/>
        <w:jc w:val="center"/>
        <w:rPr>
          <w:b/>
          <w:sz w:val="28"/>
          <w:szCs w:val="28"/>
          <w:highlight w:val="none"/>
        </w:rPr>
      </w:pPr>
      <w:r>
        <w:rPr>
          <w:rFonts w:hint="eastAsia"/>
          <w:b/>
          <w:sz w:val="28"/>
          <w:szCs w:val="28"/>
          <w:highlight w:val="none"/>
        </w:rPr>
        <w:t>投标人须知前附表</w:t>
      </w:r>
    </w:p>
    <w:tbl>
      <w:tblPr>
        <w:tblStyle w:val="52"/>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sz w:val="22"/>
                <w:highlight w:val="none"/>
              </w:rPr>
              <w:t>1.1</w:t>
            </w:r>
            <w:r>
              <w:rPr>
                <w:rFonts w:hint="eastAsia" w:ascii="宋体" w:hAnsi="宋体" w:cs="Calibri"/>
                <w:sz w:val="22"/>
                <w:highlight w:val="none"/>
              </w:rPr>
              <w:t>.1</w:t>
            </w:r>
          </w:p>
        </w:tc>
        <w:tc>
          <w:tcPr>
            <w:tcW w:w="2004"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项目名称</w:t>
            </w:r>
          </w:p>
        </w:tc>
        <w:tc>
          <w:tcPr>
            <w:tcW w:w="6487" w:type="dxa"/>
            <w:vAlign w:val="center"/>
          </w:tcPr>
          <w:p>
            <w:pPr>
              <w:autoSpaceDE w:val="0"/>
              <w:autoSpaceDN w:val="0"/>
              <w:adjustRightInd w:val="0"/>
              <w:snapToGrid w:val="0"/>
              <w:rPr>
                <w:rFonts w:ascii="宋体" w:hAnsi="宋体" w:cs="Calibri"/>
                <w:kern w:val="0"/>
                <w:sz w:val="22"/>
                <w:highlight w:val="none"/>
              </w:rPr>
            </w:pPr>
            <w:r>
              <w:rPr>
                <w:rFonts w:ascii="宋体" w:hAnsi="宋体" w:cs="Arial"/>
                <w:kern w:val="0"/>
                <w:sz w:val="22"/>
                <w:highlight w:val="none"/>
              </w:rPr>
              <w:t>杭州萧山国际机场</w:t>
            </w:r>
            <w:r>
              <w:rPr>
                <w:rFonts w:hint="eastAsia" w:ascii="宋体" w:hAnsi="宋体" w:cs="Arial"/>
                <w:kern w:val="0"/>
                <w:sz w:val="22"/>
                <w:highlight w:val="none"/>
              </w:rPr>
              <w:t>台式爆炸物、毒品探测设备</w:t>
            </w:r>
            <w:r>
              <w:rPr>
                <w:rFonts w:ascii="宋体" w:hAnsi="宋体" w:cs="Arial"/>
                <w:kern w:val="0"/>
                <w:sz w:val="22"/>
                <w:highlight w:val="none"/>
              </w:rPr>
              <w:t>采购项</w:t>
            </w:r>
            <w:r>
              <w:rPr>
                <w:rFonts w:hint="eastAsia" w:ascii="宋体" w:hAnsi="宋体" w:cs="Arial"/>
                <w:kern w:val="0"/>
                <w:sz w:val="22"/>
                <w:highlight w:val="none"/>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highlight w:val="none"/>
              </w:rPr>
            </w:pPr>
            <w:r>
              <w:rPr>
                <w:rFonts w:ascii="宋体" w:hAnsi="宋体" w:cs="Calibri"/>
                <w:sz w:val="22"/>
                <w:highlight w:val="none"/>
              </w:rPr>
              <w:t>1.1.2</w:t>
            </w:r>
          </w:p>
        </w:tc>
        <w:tc>
          <w:tcPr>
            <w:tcW w:w="2004" w:type="dxa"/>
            <w:vAlign w:val="center"/>
          </w:tcPr>
          <w:p>
            <w:pPr>
              <w:autoSpaceDE w:val="0"/>
              <w:autoSpaceDN w:val="0"/>
              <w:adjustRightInd w:val="0"/>
              <w:snapToGrid w:val="0"/>
              <w:jc w:val="center"/>
              <w:rPr>
                <w:rFonts w:ascii="宋体" w:hAnsi="宋体" w:cs="Calibri"/>
                <w:kern w:val="0"/>
                <w:sz w:val="22"/>
                <w:highlight w:val="none"/>
              </w:rPr>
            </w:pPr>
            <w:r>
              <w:rPr>
                <w:rFonts w:hint="eastAsia" w:ascii="宋体" w:hAnsi="宋体" w:cs="Calibri"/>
                <w:kern w:val="0"/>
                <w:sz w:val="22"/>
                <w:highlight w:val="none"/>
              </w:rPr>
              <w:t>交货</w:t>
            </w:r>
            <w:r>
              <w:rPr>
                <w:rFonts w:ascii="宋体" w:hAnsi="宋体" w:cs="Calibri"/>
                <w:kern w:val="0"/>
                <w:sz w:val="22"/>
                <w:highlight w:val="none"/>
              </w:rPr>
              <w:t>地点</w:t>
            </w:r>
          </w:p>
        </w:tc>
        <w:tc>
          <w:tcPr>
            <w:tcW w:w="6487" w:type="dxa"/>
            <w:vAlign w:val="center"/>
          </w:tcPr>
          <w:p>
            <w:pPr>
              <w:autoSpaceDE w:val="0"/>
              <w:autoSpaceDN w:val="0"/>
              <w:adjustRightInd w:val="0"/>
              <w:snapToGrid w:val="0"/>
              <w:rPr>
                <w:rFonts w:ascii="宋体" w:hAnsi="宋体" w:cs="Calibri"/>
                <w:kern w:val="0"/>
                <w:sz w:val="22"/>
                <w:highlight w:val="none"/>
              </w:rPr>
            </w:pPr>
            <w:r>
              <w:rPr>
                <w:rFonts w:ascii="宋体" w:hAnsi="宋体" w:cs="Calibri"/>
                <w:kern w:val="0"/>
                <w:sz w:val="22"/>
                <w:highlight w:val="none"/>
              </w:rPr>
              <w:t>杭州萧山国际机场</w:t>
            </w:r>
            <w:r>
              <w:rPr>
                <w:rFonts w:ascii="宋体" w:hAnsi="宋体" w:cs="Calibri"/>
                <w:sz w:val="22"/>
                <w:highlight w:val="none"/>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highlight w:val="none"/>
              </w:rPr>
            </w:pPr>
            <w:r>
              <w:rPr>
                <w:rFonts w:ascii="宋体" w:hAnsi="宋体" w:cs="Calibri"/>
                <w:sz w:val="22"/>
                <w:highlight w:val="none"/>
              </w:rPr>
              <w:t>1.2</w:t>
            </w:r>
          </w:p>
        </w:tc>
        <w:tc>
          <w:tcPr>
            <w:tcW w:w="2004"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资金来源</w:t>
            </w:r>
          </w:p>
        </w:tc>
        <w:tc>
          <w:tcPr>
            <w:tcW w:w="6487" w:type="dxa"/>
            <w:vAlign w:val="center"/>
          </w:tcPr>
          <w:p>
            <w:pPr>
              <w:autoSpaceDE w:val="0"/>
              <w:autoSpaceDN w:val="0"/>
              <w:adjustRightInd w:val="0"/>
              <w:snapToGrid w:val="0"/>
              <w:rPr>
                <w:rFonts w:ascii="宋体" w:hAnsi="宋体" w:cs="Calibri"/>
                <w:kern w:val="0"/>
                <w:sz w:val="22"/>
                <w:highlight w:val="none"/>
              </w:rPr>
            </w:pPr>
            <w:r>
              <w:rPr>
                <w:rStyle w:val="82"/>
                <w:rFonts w:hint="eastAsia" w:ascii="宋体" w:hAnsi="宋体" w:cs="Calibri"/>
                <w:sz w:val="22"/>
                <w:highlight w:val="none"/>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1.3</w:t>
            </w:r>
          </w:p>
        </w:tc>
        <w:tc>
          <w:tcPr>
            <w:tcW w:w="2004"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招标</w:t>
            </w:r>
            <w:r>
              <w:rPr>
                <w:rFonts w:hint="eastAsia" w:ascii="宋体" w:hAnsi="宋体" w:cs="Calibri"/>
                <w:kern w:val="0"/>
                <w:sz w:val="22"/>
                <w:highlight w:val="none"/>
              </w:rPr>
              <w:t>内容</w:t>
            </w:r>
          </w:p>
        </w:tc>
        <w:tc>
          <w:tcPr>
            <w:tcW w:w="6487" w:type="dxa"/>
            <w:vAlign w:val="center"/>
          </w:tcPr>
          <w:p>
            <w:pPr>
              <w:autoSpaceDE w:val="0"/>
              <w:autoSpaceDN w:val="0"/>
              <w:adjustRightInd w:val="0"/>
              <w:snapToGrid w:val="0"/>
              <w:rPr>
                <w:rFonts w:ascii="宋体" w:hAnsi="宋体" w:cs="Calibri"/>
                <w:kern w:val="0"/>
                <w:sz w:val="22"/>
                <w:highlight w:val="none"/>
              </w:rPr>
            </w:pPr>
            <w:r>
              <w:rPr>
                <w:rFonts w:cs="Calibri" w:asciiTheme="minorEastAsia" w:hAnsiTheme="minorEastAsia"/>
                <w:kern w:val="0"/>
                <w:sz w:val="22"/>
                <w:highlight w:val="none"/>
              </w:rPr>
              <w:t>见招标公告，具体要求详见</w:t>
            </w:r>
            <w:r>
              <w:rPr>
                <w:rFonts w:ascii="宋体" w:hAnsi="宋体" w:cs="Calibri"/>
                <w:kern w:val="0"/>
                <w:sz w:val="22"/>
                <w:highlight w:val="none"/>
              </w:rPr>
              <w:t>第</w:t>
            </w:r>
            <w:r>
              <w:rPr>
                <w:rFonts w:hint="eastAsia" w:ascii="宋体" w:hAnsi="宋体" w:cs="Calibri"/>
                <w:kern w:val="0"/>
                <w:sz w:val="22"/>
                <w:highlight w:val="none"/>
              </w:rPr>
              <w:t>三</w:t>
            </w:r>
            <w:r>
              <w:rPr>
                <w:rFonts w:ascii="宋体" w:hAnsi="宋体" w:cs="Calibri"/>
                <w:kern w:val="0"/>
                <w:sz w:val="22"/>
                <w:highlight w:val="none"/>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1.4</w:t>
            </w:r>
          </w:p>
        </w:tc>
        <w:tc>
          <w:tcPr>
            <w:tcW w:w="2004"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招标方式</w:t>
            </w:r>
          </w:p>
        </w:tc>
        <w:tc>
          <w:tcPr>
            <w:tcW w:w="6487" w:type="dxa"/>
            <w:vAlign w:val="center"/>
          </w:tcPr>
          <w:p>
            <w:pPr>
              <w:autoSpaceDE w:val="0"/>
              <w:autoSpaceDN w:val="0"/>
              <w:adjustRightInd w:val="0"/>
              <w:snapToGrid w:val="0"/>
              <w:rPr>
                <w:rFonts w:ascii="宋体" w:hAnsi="宋体" w:cs="Calibri"/>
                <w:kern w:val="0"/>
                <w:sz w:val="22"/>
                <w:highlight w:val="none"/>
              </w:rPr>
            </w:pPr>
            <w:r>
              <w:rPr>
                <w:rFonts w:ascii="宋体" w:hAnsi="宋体" w:cs="Calibri"/>
                <w:kern w:val="0"/>
                <w:sz w:val="22"/>
                <w:highlight w:val="none"/>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1.5</w:t>
            </w:r>
          </w:p>
        </w:tc>
        <w:tc>
          <w:tcPr>
            <w:tcW w:w="2004"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资格审查</w:t>
            </w:r>
          </w:p>
        </w:tc>
        <w:tc>
          <w:tcPr>
            <w:tcW w:w="6487" w:type="dxa"/>
            <w:vAlign w:val="center"/>
          </w:tcPr>
          <w:p>
            <w:pPr>
              <w:autoSpaceDE w:val="0"/>
              <w:autoSpaceDN w:val="0"/>
              <w:adjustRightInd w:val="0"/>
              <w:snapToGrid w:val="0"/>
              <w:rPr>
                <w:rFonts w:ascii="宋体" w:hAnsi="宋体" w:cs="Calibri"/>
                <w:kern w:val="0"/>
                <w:sz w:val="22"/>
                <w:highlight w:val="none"/>
              </w:rPr>
            </w:pPr>
            <w:r>
              <w:rPr>
                <w:rFonts w:ascii="宋体" w:hAnsi="宋体" w:cs="Calibri"/>
                <w:kern w:val="0"/>
                <w:sz w:val="22"/>
                <w:highlight w:val="none"/>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1.6</w:t>
            </w:r>
          </w:p>
        </w:tc>
        <w:tc>
          <w:tcPr>
            <w:tcW w:w="2004"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投标人资质条件、能力和信誉</w:t>
            </w:r>
          </w:p>
        </w:tc>
        <w:tc>
          <w:tcPr>
            <w:tcW w:w="6487" w:type="dxa"/>
            <w:vAlign w:val="center"/>
          </w:tcPr>
          <w:p>
            <w:pPr>
              <w:autoSpaceDE w:val="0"/>
              <w:autoSpaceDN w:val="0"/>
              <w:adjustRightInd w:val="0"/>
              <w:snapToGrid w:val="0"/>
              <w:rPr>
                <w:rFonts w:ascii="宋体" w:hAnsi="宋体" w:cs="Calibri"/>
                <w:kern w:val="0"/>
                <w:sz w:val="22"/>
                <w:highlight w:val="none"/>
              </w:rPr>
            </w:pPr>
            <w:r>
              <w:rPr>
                <w:rFonts w:cs="Calibri" w:asciiTheme="minorEastAsia" w:hAnsiTheme="minorEastAsia"/>
                <w:kern w:val="0"/>
                <w:sz w:val="22"/>
                <w:highlight w:val="none"/>
              </w:rPr>
              <w:t>详见招标公告</w:t>
            </w:r>
            <w:r>
              <w:rPr>
                <w:rFonts w:hint="eastAsia" w:cs="Calibri" w:asciiTheme="minorEastAsia" w:hAnsiTheme="minorEastAsia"/>
                <w:kern w:val="0"/>
                <w:sz w:val="22"/>
                <w:highlight w:val="none"/>
              </w:rPr>
              <w:t>“</w:t>
            </w:r>
            <w:r>
              <w:rPr>
                <w:rFonts w:hint="eastAsia" w:cs="黑体" w:asciiTheme="minorEastAsia" w:hAnsiTheme="minorEastAsia"/>
                <w:kern w:val="0"/>
                <w:sz w:val="22"/>
                <w:highlight w:val="none"/>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1.7</w:t>
            </w:r>
          </w:p>
        </w:tc>
        <w:tc>
          <w:tcPr>
            <w:tcW w:w="2004"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供货期</w:t>
            </w:r>
          </w:p>
        </w:tc>
        <w:tc>
          <w:tcPr>
            <w:tcW w:w="6487" w:type="dxa"/>
            <w:vAlign w:val="center"/>
          </w:tcPr>
          <w:p>
            <w:pPr>
              <w:autoSpaceDE w:val="0"/>
              <w:autoSpaceDN w:val="0"/>
              <w:adjustRightInd w:val="0"/>
              <w:snapToGrid w:val="0"/>
              <w:rPr>
                <w:rFonts w:ascii="宋体" w:hAnsi="宋体" w:cs="Calibri"/>
                <w:kern w:val="0"/>
                <w:sz w:val="22"/>
                <w:highlight w:val="none"/>
              </w:rPr>
            </w:pPr>
            <w:r>
              <w:rPr>
                <w:rFonts w:hint="eastAsia" w:ascii="宋体" w:hAnsi="宋体" w:cs="Calibri"/>
                <w:kern w:val="0"/>
                <w:sz w:val="22"/>
                <w:highlight w:val="none"/>
              </w:rPr>
              <w:t>合同签订后</w:t>
            </w:r>
            <w:r>
              <w:rPr>
                <w:rFonts w:hint="eastAsia" w:ascii="宋体" w:hAnsi="宋体"/>
                <w:sz w:val="22"/>
                <w:highlight w:val="none"/>
                <w:u w:val="single"/>
              </w:rPr>
              <w:t>30</w:t>
            </w:r>
            <w:r>
              <w:rPr>
                <w:rFonts w:hint="eastAsia" w:ascii="宋体" w:hAnsi="宋体"/>
                <w:sz w:val="22"/>
                <w:highlight w:val="none"/>
              </w:rPr>
              <w:t>日历天内,</w:t>
            </w:r>
            <w:r>
              <w:rPr>
                <w:rFonts w:hint="eastAsia"/>
                <w:highlight w:val="none"/>
              </w:rPr>
              <w:t xml:space="preserve"> </w:t>
            </w:r>
            <w:r>
              <w:rPr>
                <w:rFonts w:hint="eastAsia" w:ascii="宋体" w:hAnsi="宋体"/>
                <w:sz w:val="22"/>
                <w:highlight w:val="none"/>
              </w:rPr>
              <w:t>中标人必须在2019年10月31日前完成所有设备的安装、调试、试运行，验收交付最终用户使用，具体工期根据需要确定，应在标书中给予明确生产、安装、调试周期。具体时间无条件地服从业主安排。中途一切设备保管、运输、保险等全部工作由中标人负责。</w:t>
            </w:r>
          </w:p>
          <w:p>
            <w:pPr>
              <w:autoSpaceDE w:val="0"/>
              <w:autoSpaceDN w:val="0"/>
              <w:adjustRightInd w:val="0"/>
              <w:snapToGrid w:val="0"/>
              <w:rPr>
                <w:rFonts w:ascii="宋体" w:hAnsi="宋体" w:cs="Calibri"/>
                <w:kern w:val="0"/>
                <w:sz w:val="22"/>
                <w:highlight w:val="none"/>
              </w:rPr>
            </w:pPr>
            <w:r>
              <w:rPr>
                <w:rFonts w:hint="eastAsia" w:ascii="宋体" w:hAnsi="宋体" w:cs="Calibri"/>
                <w:kern w:val="0"/>
                <w:sz w:val="22"/>
                <w:highlight w:val="none"/>
              </w:rPr>
              <w:t>投标人须在投标文件中提供最快交货时间和详细的供货计划。投标人可根据自身经验、技术水平及管理能力自报竞争性</w:t>
            </w:r>
            <w:r>
              <w:rPr>
                <w:rFonts w:ascii="宋体" w:hAnsi="宋体" w:cs="Calibri"/>
                <w:kern w:val="0"/>
                <w:sz w:val="22"/>
                <w:highlight w:val="none"/>
              </w:rPr>
              <w:t>供货期</w:t>
            </w:r>
            <w:r>
              <w:rPr>
                <w:rFonts w:hint="eastAsia" w:ascii="宋体" w:hAnsi="宋体" w:cs="Calibri"/>
                <w:kern w:val="0"/>
                <w:sz w:val="22"/>
                <w:highlight w:val="none"/>
              </w:rPr>
              <w:t>，但不得超过招标人明确的计划</w:t>
            </w:r>
            <w:r>
              <w:rPr>
                <w:rFonts w:ascii="宋体" w:hAnsi="宋体" w:cs="Calibri"/>
                <w:kern w:val="0"/>
                <w:sz w:val="22"/>
                <w:highlight w:val="none"/>
              </w:rPr>
              <w:t>供货期</w:t>
            </w:r>
            <w:r>
              <w:rPr>
                <w:rFonts w:hint="eastAsia" w:ascii="宋体" w:hAnsi="宋体" w:cs="Calibri"/>
                <w:kern w:val="0"/>
                <w:sz w:val="22"/>
                <w:highlight w:val="none"/>
              </w:rPr>
              <w:t>。一旦中标，该</w:t>
            </w:r>
            <w:r>
              <w:rPr>
                <w:rFonts w:ascii="宋体" w:hAnsi="宋体" w:cs="Calibri"/>
                <w:kern w:val="0"/>
                <w:sz w:val="22"/>
                <w:highlight w:val="none"/>
              </w:rPr>
              <w:t>供货期</w:t>
            </w:r>
            <w:r>
              <w:rPr>
                <w:rFonts w:hint="eastAsia" w:ascii="宋体" w:hAnsi="宋体" w:cs="Calibri"/>
                <w:kern w:val="0"/>
                <w:sz w:val="22"/>
                <w:highlight w:val="none"/>
              </w:rPr>
              <w:t>即为合同</w:t>
            </w:r>
            <w:r>
              <w:rPr>
                <w:rFonts w:ascii="宋体" w:hAnsi="宋体" w:cs="Calibri"/>
                <w:kern w:val="0"/>
                <w:sz w:val="22"/>
                <w:highlight w:val="none"/>
              </w:rPr>
              <w:t>供货期</w:t>
            </w:r>
            <w:r>
              <w:rPr>
                <w:rFonts w:hint="eastAsia" w:ascii="宋体" w:hAnsi="宋体" w:cs="Calibri"/>
                <w:kern w:val="0"/>
                <w:sz w:val="22"/>
                <w:highlight w:val="none"/>
              </w:rPr>
              <w:t>。整个项目</w:t>
            </w:r>
            <w:r>
              <w:rPr>
                <w:rFonts w:ascii="宋体" w:hAnsi="宋体" w:cs="Calibri"/>
                <w:kern w:val="0"/>
                <w:sz w:val="22"/>
                <w:highlight w:val="none"/>
              </w:rPr>
              <w:t>供货期</w:t>
            </w:r>
            <w:r>
              <w:rPr>
                <w:rFonts w:hint="eastAsia" w:ascii="宋体" w:hAnsi="宋体" w:cs="Calibri"/>
                <w:kern w:val="0"/>
                <w:sz w:val="22"/>
                <w:highlight w:val="none"/>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1.8</w:t>
            </w:r>
          </w:p>
        </w:tc>
        <w:tc>
          <w:tcPr>
            <w:tcW w:w="2004" w:type="dxa"/>
            <w:vAlign w:val="center"/>
          </w:tcPr>
          <w:p>
            <w:pPr>
              <w:autoSpaceDE w:val="0"/>
              <w:autoSpaceDN w:val="0"/>
              <w:adjustRightInd w:val="0"/>
              <w:snapToGrid w:val="0"/>
              <w:jc w:val="center"/>
              <w:rPr>
                <w:rFonts w:cs="Calibri" w:asciiTheme="minorEastAsia" w:hAnsiTheme="minorEastAsia"/>
                <w:kern w:val="0"/>
                <w:sz w:val="22"/>
                <w:highlight w:val="none"/>
              </w:rPr>
            </w:pPr>
            <w:r>
              <w:rPr>
                <w:rFonts w:hint="eastAsia" w:cs="Calibri" w:asciiTheme="minorEastAsia" w:hAnsiTheme="minorEastAsia"/>
                <w:kern w:val="0"/>
                <w:sz w:val="22"/>
                <w:highlight w:val="none"/>
              </w:rPr>
              <w:t>质量要求</w:t>
            </w:r>
          </w:p>
        </w:tc>
        <w:tc>
          <w:tcPr>
            <w:tcW w:w="6487" w:type="dxa"/>
            <w:vAlign w:val="center"/>
          </w:tcPr>
          <w:p>
            <w:pPr>
              <w:rPr>
                <w:rFonts w:asciiTheme="minorEastAsia" w:hAnsiTheme="minorEastAsia"/>
                <w:color w:val="000000"/>
                <w:sz w:val="22"/>
                <w:highlight w:val="none"/>
              </w:rPr>
            </w:pPr>
            <w:r>
              <w:rPr>
                <w:rFonts w:hint="eastAsia" w:asciiTheme="minorEastAsia" w:hAnsiTheme="minorEastAsia"/>
                <w:iCs/>
                <w:sz w:val="22"/>
                <w:highlight w:val="none"/>
              </w:rPr>
              <w:t>符</w:t>
            </w:r>
            <w:r>
              <w:rPr>
                <w:rFonts w:hint="eastAsia" w:asciiTheme="minorEastAsia" w:hAnsiTheme="minorEastAsia"/>
                <w:sz w:val="22"/>
                <w:highlight w:val="none"/>
              </w:rPr>
              <w:t>合国家标准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highlight w:val="none"/>
              </w:rPr>
            </w:pPr>
            <w:r>
              <w:rPr>
                <w:rFonts w:cs="Calibri" w:asciiTheme="minorEastAsia" w:hAnsiTheme="minorEastAsia"/>
                <w:kern w:val="0"/>
                <w:sz w:val="22"/>
                <w:highlight w:val="none"/>
              </w:rPr>
              <w:t>1.</w:t>
            </w:r>
            <w:r>
              <w:rPr>
                <w:rFonts w:hint="eastAsia" w:cs="Calibri" w:asciiTheme="minorEastAsia" w:hAnsiTheme="minorEastAsia"/>
                <w:kern w:val="0"/>
                <w:sz w:val="22"/>
                <w:highlight w:val="none"/>
              </w:rPr>
              <w:t>9</w:t>
            </w:r>
            <w:r>
              <w:rPr>
                <w:rFonts w:cs="Calibri" w:asciiTheme="minorEastAsia" w:hAnsiTheme="minorEastAsia"/>
                <w:kern w:val="0"/>
                <w:sz w:val="22"/>
                <w:highlight w:val="none"/>
              </w:rPr>
              <w:t>.1</w:t>
            </w:r>
          </w:p>
        </w:tc>
        <w:tc>
          <w:tcPr>
            <w:tcW w:w="2004" w:type="dxa"/>
            <w:vAlign w:val="center"/>
          </w:tcPr>
          <w:p>
            <w:pPr>
              <w:autoSpaceDE w:val="0"/>
              <w:autoSpaceDN w:val="0"/>
              <w:adjustRightInd w:val="0"/>
              <w:snapToGrid w:val="0"/>
              <w:jc w:val="center"/>
              <w:rPr>
                <w:rFonts w:cs="Calibri" w:asciiTheme="minorEastAsia" w:hAnsiTheme="minorEastAsia"/>
                <w:kern w:val="0"/>
                <w:sz w:val="22"/>
                <w:highlight w:val="none"/>
              </w:rPr>
            </w:pPr>
            <w:r>
              <w:rPr>
                <w:rFonts w:cs="Calibri" w:asciiTheme="minorEastAsia" w:hAnsiTheme="minorEastAsia"/>
                <w:kern w:val="0"/>
                <w:sz w:val="22"/>
                <w:highlight w:val="none"/>
              </w:rPr>
              <w:t>踏勘现场</w:t>
            </w:r>
          </w:p>
        </w:tc>
        <w:tc>
          <w:tcPr>
            <w:tcW w:w="6487" w:type="dxa"/>
            <w:vAlign w:val="center"/>
          </w:tcPr>
          <w:p>
            <w:pPr>
              <w:autoSpaceDE w:val="0"/>
              <w:autoSpaceDN w:val="0"/>
              <w:adjustRightInd w:val="0"/>
              <w:snapToGrid w:val="0"/>
              <w:rPr>
                <w:rFonts w:cs="Calibri" w:asciiTheme="minorEastAsia" w:hAnsiTheme="minorEastAsia"/>
                <w:kern w:val="0"/>
                <w:sz w:val="22"/>
                <w:highlight w:val="none"/>
              </w:rPr>
            </w:pPr>
            <w:r>
              <w:rPr>
                <w:rFonts w:cs="Calibri" w:asciiTheme="minorEastAsia" w:hAnsiTheme="minorEastAsia"/>
                <w:kern w:val="0"/>
                <w:sz w:val="22"/>
                <w:highlight w:val="none"/>
              </w:rPr>
              <w:sym w:font="Wingdings" w:char="F0FE"/>
            </w:r>
            <w:r>
              <w:rPr>
                <w:rFonts w:cs="Calibri" w:asciiTheme="minorEastAsia" w:hAnsiTheme="minorEastAsia"/>
                <w:kern w:val="0"/>
                <w:sz w:val="22"/>
                <w:highlight w:val="none"/>
              </w:rPr>
              <w:t>不组织</w:t>
            </w:r>
          </w:p>
          <w:p>
            <w:pPr>
              <w:autoSpaceDE w:val="0"/>
              <w:autoSpaceDN w:val="0"/>
              <w:adjustRightInd w:val="0"/>
              <w:snapToGrid w:val="0"/>
              <w:rPr>
                <w:rFonts w:cs="Calibri" w:asciiTheme="minorEastAsia" w:hAnsiTheme="minorEastAsia"/>
                <w:kern w:val="0"/>
                <w:sz w:val="22"/>
                <w:highlight w:val="none"/>
              </w:rPr>
            </w:pPr>
            <w:r>
              <w:rPr>
                <w:rFonts w:cs="Calibri" w:asciiTheme="minorEastAsia" w:hAnsiTheme="minorEastAsia"/>
                <w:kern w:val="0"/>
                <w:sz w:val="22"/>
                <w:highlight w:val="none"/>
              </w:rPr>
              <w:t>□组织，踏勘时间：</w:t>
            </w:r>
          </w:p>
          <w:p>
            <w:pPr>
              <w:autoSpaceDE w:val="0"/>
              <w:autoSpaceDN w:val="0"/>
              <w:adjustRightInd w:val="0"/>
              <w:snapToGrid w:val="0"/>
              <w:rPr>
                <w:rFonts w:cs="Calibri" w:asciiTheme="minorEastAsia" w:hAnsiTheme="minorEastAsia"/>
                <w:kern w:val="0"/>
                <w:sz w:val="22"/>
                <w:highlight w:val="none"/>
              </w:rPr>
            </w:pPr>
            <w:r>
              <w:rPr>
                <w:rFonts w:cs="Calibri" w:asciiTheme="minorEastAsia" w:hAnsiTheme="minorEastAsia"/>
                <w:kern w:val="0"/>
                <w:sz w:val="22"/>
                <w:highlight w:val="none"/>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highlight w:val="none"/>
              </w:rPr>
            </w:pPr>
            <w:r>
              <w:rPr>
                <w:rFonts w:cs="Calibri" w:asciiTheme="minorEastAsia" w:hAnsiTheme="minorEastAsia"/>
                <w:kern w:val="0"/>
                <w:sz w:val="22"/>
                <w:highlight w:val="none"/>
              </w:rPr>
              <w:t>1.</w:t>
            </w:r>
            <w:r>
              <w:rPr>
                <w:rFonts w:hint="eastAsia" w:cs="Calibri" w:asciiTheme="minorEastAsia" w:hAnsiTheme="minorEastAsia"/>
                <w:kern w:val="0"/>
                <w:sz w:val="22"/>
                <w:highlight w:val="none"/>
              </w:rPr>
              <w:t>10</w:t>
            </w:r>
          </w:p>
        </w:tc>
        <w:tc>
          <w:tcPr>
            <w:tcW w:w="2004" w:type="dxa"/>
            <w:vAlign w:val="center"/>
          </w:tcPr>
          <w:p>
            <w:pPr>
              <w:autoSpaceDE w:val="0"/>
              <w:autoSpaceDN w:val="0"/>
              <w:adjustRightInd w:val="0"/>
              <w:snapToGrid w:val="0"/>
              <w:jc w:val="center"/>
              <w:rPr>
                <w:rFonts w:cs="Calibri" w:asciiTheme="minorEastAsia" w:hAnsiTheme="minorEastAsia"/>
                <w:kern w:val="0"/>
                <w:sz w:val="22"/>
                <w:highlight w:val="none"/>
              </w:rPr>
            </w:pPr>
            <w:r>
              <w:rPr>
                <w:rFonts w:cs="Calibri" w:asciiTheme="minorEastAsia" w:hAnsiTheme="minorEastAsia"/>
                <w:kern w:val="0"/>
                <w:sz w:val="22"/>
                <w:highlight w:val="none"/>
              </w:rPr>
              <w:t>投标预备会</w:t>
            </w:r>
          </w:p>
        </w:tc>
        <w:tc>
          <w:tcPr>
            <w:tcW w:w="6487" w:type="dxa"/>
            <w:vAlign w:val="center"/>
          </w:tcPr>
          <w:p>
            <w:pPr>
              <w:autoSpaceDE w:val="0"/>
              <w:autoSpaceDN w:val="0"/>
              <w:adjustRightInd w:val="0"/>
              <w:snapToGrid w:val="0"/>
              <w:rPr>
                <w:rFonts w:cs="Calibri" w:asciiTheme="minorEastAsia" w:hAnsiTheme="minorEastAsia"/>
                <w:kern w:val="0"/>
                <w:sz w:val="22"/>
                <w:highlight w:val="none"/>
              </w:rPr>
            </w:pPr>
            <w:r>
              <w:rPr>
                <w:rFonts w:cs="Calibri" w:asciiTheme="minorEastAsia" w:hAnsiTheme="minorEastAsia"/>
                <w:kern w:val="0"/>
                <w:sz w:val="22"/>
                <w:highlight w:val="none"/>
              </w:rPr>
              <w:sym w:font="Wingdings" w:char="F0FE"/>
            </w:r>
            <w:r>
              <w:rPr>
                <w:rFonts w:cs="Calibri" w:asciiTheme="minorEastAsia" w:hAnsiTheme="minorEastAsia"/>
                <w:kern w:val="0"/>
                <w:sz w:val="22"/>
                <w:highlight w:val="none"/>
              </w:rPr>
              <w:t>不召开</w:t>
            </w:r>
          </w:p>
          <w:p>
            <w:pPr>
              <w:autoSpaceDE w:val="0"/>
              <w:autoSpaceDN w:val="0"/>
              <w:adjustRightInd w:val="0"/>
              <w:snapToGrid w:val="0"/>
              <w:rPr>
                <w:rFonts w:cs="Calibri" w:asciiTheme="minorEastAsia" w:hAnsiTheme="minorEastAsia"/>
                <w:kern w:val="0"/>
                <w:sz w:val="22"/>
                <w:highlight w:val="none"/>
              </w:rPr>
            </w:pPr>
            <w:r>
              <w:rPr>
                <w:rFonts w:cs="Calibri" w:asciiTheme="minorEastAsia" w:hAnsiTheme="minorEastAsia"/>
                <w:kern w:val="0"/>
                <w:sz w:val="22"/>
                <w:highlight w:val="none"/>
              </w:rPr>
              <w:t>□召开，召开时间：</w:t>
            </w:r>
          </w:p>
          <w:p>
            <w:pPr>
              <w:autoSpaceDE w:val="0"/>
              <w:autoSpaceDN w:val="0"/>
              <w:adjustRightInd w:val="0"/>
              <w:snapToGrid w:val="0"/>
              <w:rPr>
                <w:rFonts w:cs="Calibri" w:asciiTheme="minorEastAsia" w:hAnsiTheme="minorEastAsia"/>
                <w:kern w:val="0"/>
                <w:sz w:val="22"/>
                <w:highlight w:val="none"/>
              </w:rPr>
            </w:pPr>
            <w:r>
              <w:rPr>
                <w:rFonts w:cs="Calibri" w:asciiTheme="minorEastAsia" w:hAnsiTheme="minorEastAsia"/>
                <w:kern w:val="0"/>
                <w:sz w:val="22"/>
                <w:highlight w:val="none"/>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2.2.1</w:t>
            </w:r>
          </w:p>
        </w:tc>
        <w:tc>
          <w:tcPr>
            <w:tcW w:w="2004"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highlight w:val="none"/>
              </w:rPr>
            </w:pPr>
            <w:r>
              <w:rPr>
                <w:rFonts w:hint="eastAsia" w:cs="Calibri" w:asciiTheme="minorEastAsia" w:hAnsiTheme="minorEastAsia"/>
                <w:kern w:val="0"/>
                <w:sz w:val="22"/>
                <w:highlight w:val="none"/>
                <w:lang w:val="en-US" w:eastAsia="zh-CN"/>
              </w:rPr>
              <w:t>2019</w:t>
            </w:r>
            <w:r>
              <w:rPr>
                <w:rFonts w:cs="Calibri" w:asciiTheme="minorEastAsia" w:hAnsiTheme="minorEastAsia"/>
                <w:kern w:val="0"/>
                <w:sz w:val="22"/>
                <w:highlight w:val="none"/>
              </w:rPr>
              <w:t>年</w:t>
            </w:r>
            <w:r>
              <w:rPr>
                <w:rFonts w:hint="eastAsia" w:cs="Calibri" w:asciiTheme="minorEastAsia" w:hAnsiTheme="minorEastAsia"/>
                <w:kern w:val="0"/>
                <w:sz w:val="22"/>
                <w:highlight w:val="none"/>
                <w:lang w:val="en-US" w:eastAsia="zh-CN"/>
              </w:rPr>
              <w:t>8</w:t>
            </w:r>
            <w:r>
              <w:rPr>
                <w:rFonts w:cs="Calibri" w:asciiTheme="minorEastAsia" w:hAnsiTheme="minorEastAsia"/>
                <w:kern w:val="0"/>
                <w:sz w:val="22"/>
                <w:highlight w:val="none"/>
              </w:rPr>
              <w:t>月</w:t>
            </w:r>
            <w:r>
              <w:rPr>
                <w:rFonts w:hint="eastAsia" w:cs="Calibri" w:asciiTheme="minorEastAsia" w:hAnsiTheme="minorEastAsia"/>
                <w:kern w:val="0"/>
                <w:sz w:val="22"/>
                <w:highlight w:val="none"/>
                <w:lang w:val="en-US" w:eastAsia="zh-CN"/>
              </w:rPr>
              <w:t>21</w:t>
            </w:r>
            <w:r>
              <w:rPr>
                <w:rFonts w:cs="Calibri" w:asciiTheme="minorEastAsia" w:hAnsiTheme="minorEastAsia"/>
                <w:kern w:val="0"/>
                <w:sz w:val="22"/>
                <w:highlight w:val="none"/>
              </w:rPr>
              <w:t>日11：30前，</w:t>
            </w:r>
            <w:r>
              <w:rPr>
                <w:rFonts w:hint="eastAsia" w:ascii="宋体" w:hAnsi="宋体" w:cs="Calibri"/>
                <w:kern w:val="0"/>
                <w:sz w:val="22"/>
                <w:highlight w:val="none"/>
              </w:rPr>
              <w:t>以书面加盖公章的形式通过E-mail或传真提交给招标人（投标联系人:贾工，电话0571-</w:t>
            </w:r>
            <w:r>
              <w:rPr>
                <w:rFonts w:asciiTheme="minorEastAsia" w:hAnsiTheme="minorEastAsia"/>
                <w:sz w:val="22"/>
                <w:szCs w:val="22"/>
                <w:highlight w:val="none"/>
              </w:rPr>
              <w:t>83837612</w:t>
            </w:r>
            <w:r>
              <w:rPr>
                <w:rFonts w:hint="eastAsia" w:ascii="宋体" w:hAnsi="宋体" w:cs="Calibri"/>
                <w:kern w:val="0"/>
                <w:sz w:val="22"/>
                <w:highlight w:val="none"/>
              </w:rPr>
              <w:t>；传真：0571-</w:t>
            </w:r>
            <w:r>
              <w:rPr>
                <w:rFonts w:asciiTheme="minorEastAsia" w:hAnsiTheme="minorEastAsia"/>
                <w:sz w:val="22"/>
                <w:szCs w:val="22"/>
                <w:highlight w:val="none"/>
              </w:rPr>
              <w:t>83837612</w:t>
            </w:r>
            <w:r>
              <w:rPr>
                <w:rFonts w:hint="eastAsia" w:ascii="宋体" w:hAnsi="宋体" w:cs="Calibri"/>
                <w:kern w:val="0"/>
                <w:sz w:val="22"/>
                <w:highlight w:val="none"/>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2.2.2</w:t>
            </w:r>
          </w:p>
        </w:tc>
        <w:tc>
          <w:tcPr>
            <w:tcW w:w="2004"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投标截止时间</w:t>
            </w:r>
          </w:p>
        </w:tc>
        <w:tc>
          <w:tcPr>
            <w:tcW w:w="6487" w:type="dxa"/>
            <w:vAlign w:val="center"/>
          </w:tcPr>
          <w:p>
            <w:pPr>
              <w:autoSpaceDE w:val="0"/>
              <w:autoSpaceDN w:val="0"/>
              <w:adjustRightInd w:val="0"/>
              <w:snapToGrid w:val="0"/>
              <w:rPr>
                <w:rFonts w:cs="Calibri" w:asciiTheme="minorEastAsia" w:hAnsiTheme="minorEastAsia"/>
                <w:b/>
                <w:kern w:val="0"/>
                <w:sz w:val="22"/>
                <w:highlight w:val="none"/>
              </w:rPr>
            </w:pPr>
            <w:r>
              <w:rPr>
                <w:rFonts w:hint="eastAsia" w:cs="Calibri" w:asciiTheme="minorEastAsia" w:hAnsiTheme="minorEastAsia"/>
                <w:b/>
                <w:kern w:val="0"/>
                <w:sz w:val="22"/>
                <w:highlight w:val="none"/>
                <w:lang w:val="en-US" w:eastAsia="zh-CN"/>
              </w:rPr>
              <w:t>2019年8月29日下午14时00分（北京时间）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2.2.3</w:t>
            </w:r>
          </w:p>
        </w:tc>
        <w:tc>
          <w:tcPr>
            <w:tcW w:w="2004"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highlight w:val="none"/>
              </w:rPr>
            </w:pPr>
            <w:r>
              <w:rPr>
                <w:rFonts w:hint="eastAsia" w:ascii="宋体" w:hAnsi="宋体" w:cs="Calibri"/>
                <w:kern w:val="0"/>
                <w:sz w:val="22"/>
                <w:highlight w:val="none"/>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2.3.2</w:t>
            </w:r>
          </w:p>
        </w:tc>
        <w:tc>
          <w:tcPr>
            <w:tcW w:w="2004"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highlight w:val="none"/>
              </w:rPr>
            </w:pPr>
            <w:r>
              <w:rPr>
                <w:rFonts w:hint="eastAsia" w:ascii="宋体" w:hAnsi="宋体" w:cs="Calibri"/>
                <w:kern w:val="0"/>
                <w:sz w:val="22"/>
                <w:highlight w:val="none"/>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3.4.1</w:t>
            </w:r>
          </w:p>
        </w:tc>
        <w:tc>
          <w:tcPr>
            <w:tcW w:w="2004"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投标有效期</w:t>
            </w:r>
          </w:p>
        </w:tc>
        <w:tc>
          <w:tcPr>
            <w:tcW w:w="6487" w:type="dxa"/>
            <w:vAlign w:val="center"/>
          </w:tcPr>
          <w:p>
            <w:pPr>
              <w:autoSpaceDE w:val="0"/>
              <w:autoSpaceDN w:val="0"/>
              <w:adjustRightInd w:val="0"/>
              <w:snapToGrid w:val="0"/>
              <w:ind w:firstLine="330" w:firstLineChars="150"/>
              <w:rPr>
                <w:rFonts w:ascii="宋体" w:hAnsi="宋体" w:cs="Calibri"/>
                <w:kern w:val="0"/>
                <w:sz w:val="22"/>
                <w:highlight w:val="none"/>
              </w:rPr>
            </w:pPr>
            <w:r>
              <w:rPr>
                <w:rFonts w:hint="eastAsia" w:ascii="宋体" w:hAnsi="宋体" w:cs="Calibri"/>
                <w:kern w:val="0"/>
                <w:sz w:val="22"/>
                <w:highlight w:val="none"/>
              </w:rPr>
              <w:t>日历天</w:t>
            </w:r>
            <w:r>
              <w:rPr>
                <w:rFonts w:ascii="宋体" w:hAnsi="宋体" w:cs="Calibri"/>
                <w:kern w:val="0"/>
                <w:sz w:val="22"/>
                <w:highlight w:val="none"/>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3.5.1</w:t>
            </w:r>
          </w:p>
        </w:tc>
        <w:tc>
          <w:tcPr>
            <w:tcW w:w="2004"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投标保证金</w:t>
            </w:r>
          </w:p>
        </w:tc>
        <w:tc>
          <w:tcPr>
            <w:tcW w:w="6487" w:type="dxa"/>
            <w:vAlign w:val="center"/>
          </w:tcPr>
          <w:p>
            <w:pPr>
              <w:snapToGrid w:val="0"/>
              <w:rPr>
                <w:rFonts w:ascii="宋体" w:hAnsi="宋体"/>
                <w:sz w:val="22"/>
                <w:highlight w:val="none"/>
              </w:rPr>
            </w:pPr>
            <w:r>
              <w:rPr>
                <w:rFonts w:hint="eastAsia" w:ascii="宋体" w:hAnsi="宋体"/>
                <w:sz w:val="22"/>
                <w:highlight w:val="none"/>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3.6.3</w:t>
            </w:r>
          </w:p>
        </w:tc>
        <w:tc>
          <w:tcPr>
            <w:tcW w:w="2004"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highlight w:val="none"/>
              </w:rPr>
            </w:pPr>
            <w:r>
              <w:rPr>
                <w:rFonts w:cs="Calibri" w:asciiTheme="minorEastAsia" w:hAnsiTheme="minorEastAsia"/>
                <w:b/>
                <w:kern w:val="0"/>
                <w:sz w:val="22"/>
                <w:highlight w:val="none"/>
              </w:rPr>
              <w:t>投标文件封面（或扉页）、投标函以及各类报价表</w:t>
            </w:r>
            <w:r>
              <w:rPr>
                <w:rFonts w:cs="Calibri" w:asciiTheme="minorEastAsia" w:hAnsiTheme="minorEastAsia"/>
                <w:kern w:val="0"/>
                <w:sz w:val="22"/>
                <w:highlight w:val="none"/>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3.6.4</w:t>
            </w:r>
          </w:p>
        </w:tc>
        <w:tc>
          <w:tcPr>
            <w:tcW w:w="2004"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投标文件份数</w:t>
            </w:r>
          </w:p>
        </w:tc>
        <w:tc>
          <w:tcPr>
            <w:tcW w:w="6487" w:type="dxa"/>
            <w:vAlign w:val="center"/>
          </w:tcPr>
          <w:p>
            <w:pPr>
              <w:autoSpaceDE w:val="0"/>
              <w:autoSpaceDN w:val="0"/>
              <w:adjustRightInd w:val="0"/>
              <w:snapToGrid w:val="0"/>
              <w:rPr>
                <w:rFonts w:ascii="宋体" w:hAnsi="宋体" w:cs="Calibri"/>
                <w:kern w:val="0"/>
                <w:sz w:val="22"/>
                <w:highlight w:val="none"/>
              </w:rPr>
            </w:pPr>
            <w:r>
              <w:rPr>
                <w:rFonts w:hint="eastAsia" w:ascii="宋体" w:hAnsi="宋体" w:cs="Calibri"/>
                <w:kern w:val="0"/>
                <w:sz w:val="22"/>
                <w:highlight w:val="none"/>
              </w:rPr>
              <w:t>正本一份，</w:t>
            </w:r>
            <w:r>
              <w:rPr>
                <w:rFonts w:ascii="宋体" w:hAnsi="宋体" w:cs="Calibri"/>
                <w:kern w:val="0"/>
                <w:sz w:val="22"/>
                <w:highlight w:val="none"/>
              </w:rPr>
              <w:t>副本</w:t>
            </w:r>
            <w:r>
              <w:rPr>
                <w:rFonts w:hint="eastAsia" w:ascii="宋体" w:hAnsi="宋体" w:cs="Calibri"/>
                <w:kern w:val="0"/>
                <w:sz w:val="22"/>
                <w:highlight w:val="none"/>
              </w:rPr>
              <w:t>二</w:t>
            </w:r>
            <w:r>
              <w:rPr>
                <w:rFonts w:ascii="宋体" w:hAnsi="宋体" w:cs="Calibri"/>
                <w:kern w:val="0"/>
                <w:sz w:val="22"/>
                <w:highlight w:val="none"/>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3.6.5</w:t>
            </w:r>
          </w:p>
        </w:tc>
        <w:tc>
          <w:tcPr>
            <w:tcW w:w="2004"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装订要求</w:t>
            </w:r>
          </w:p>
        </w:tc>
        <w:tc>
          <w:tcPr>
            <w:tcW w:w="6487" w:type="dxa"/>
            <w:vAlign w:val="center"/>
          </w:tcPr>
          <w:p>
            <w:pPr>
              <w:autoSpaceDE w:val="0"/>
              <w:autoSpaceDN w:val="0"/>
              <w:adjustRightInd w:val="0"/>
              <w:snapToGrid w:val="0"/>
              <w:rPr>
                <w:rFonts w:ascii="宋体" w:hAnsi="宋体" w:cs="Calibri"/>
                <w:kern w:val="0"/>
                <w:sz w:val="22"/>
                <w:highlight w:val="none"/>
              </w:rPr>
            </w:pPr>
            <w:r>
              <w:rPr>
                <w:rFonts w:ascii="宋体" w:hAnsi="宋体" w:cs="Calibri"/>
                <w:kern w:val="0"/>
                <w:sz w:val="22"/>
                <w:highlight w:val="none"/>
              </w:rPr>
              <w:t>按照投标人须知3.2项约定的投标文件组成内容，投标文件应按以下要求装订：</w:t>
            </w:r>
          </w:p>
          <w:p>
            <w:pPr>
              <w:autoSpaceDE w:val="0"/>
              <w:autoSpaceDN w:val="0"/>
              <w:adjustRightInd w:val="0"/>
              <w:snapToGrid w:val="0"/>
              <w:rPr>
                <w:rFonts w:ascii="宋体" w:hAnsi="宋体" w:cs="Calibri"/>
                <w:kern w:val="0"/>
                <w:sz w:val="22"/>
                <w:highlight w:val="none"/>
              </w:rPr>
            </w:pPr>
            <w:r>
              <w:rPr>
                <w:rFonts w:ascii="宋体" w:hAnsi="宋体" w:cs="Calibri"/>
                <w:kern w:val="0"/>
                <w:sz w:val="22"/>
                <w:highlight w:val="none"/>
              </w:rPr>
              <w:sym w:font="Wingdings" w:char="F0FE"/>
            </w:r>
            <w:r>
              <w:rPr>
                <w:rFonts w:ascii="宋体" w:hAnsi="宋体" w:cs="Calibri"/>
                <w:kern w:val="0"/>
                <w:sz w:val="22"/>
                <w:highlight w:val="none"/>
              </w:rPr>
              <w:t>不分册装订</w:t>
            </w:r>
          </w:p>
          <w:p>
            <w:pPr>
              <w:autoSpaceDE w:val="0"/>
              <w:autoSpaceDN w:val="0"/>
              <w:adjustRightInd w:val="0"/>
              <w:snapToGrid w:val="0"/>
              <w:rPr>
                <w:rFonts w:ascii="宋体" w:hAnsi="宋体" w:cs="Calibri"/>
                <w:kern w:val="0"/>
                <w:sz w:val="22"/>
                <w:highlight w:val="none"/>
              </w:rPr>
            </w:pPr>
            <w:r>
              <w:rPr>
                <w:rFonts w:ascii="宋体" w:hAnsi="宋体" w:cs="Calibri"/>
                <w:kern w:val="0"/>
                <w:sz w:val="22"/>
                <w:highlight w:val="none"/>
              </w:rPr>
              <w:t>□分册装订</w:t>
            </w:r>
          </w:p>
          <w:p>
            <w:pPr>
              <w:autoSpaceDE w:val="0"/>
              <w:autoSpaceDN w:val="0"/>
              <w:adjustRightInd w:val="0"/>
              <w:snapToGrid w:val="0"/>
              <w:rPr>
                <w:rFonts w:ascii="宋体" w:hAnsi="宋体" w:cs="Calibri"/>
                <w:kern w:val="0"/>
                <w:sz w:val="22"/>
                <w:highlight w:val="none"/>
              </w:rPr>
            </w:pPr>
            <w:r>
              <w:rPr>
                <w:rFonts w:ascii="宋体" w:hAnsi="宋体" w:cs="Calibri"/>
                <w:kern w:val="0"/>
                <w:sz w:val="22"/>
                <w:highlight w:val="none"/>
              </w:rPr>
              <w:t>每册采用</w:t>
            </w:r>
            <w:r>
              <w:rPr>
                <w:rFonts w:ascii="宋体" w:hAnsi="宋体" w:cs="Calibri"/>
                <w:kern w:val="0"/>
                <w:sz w:val="22"/>
                <w:highlight w:val="none"/>
                <w:u w:val="single"/>
              </w:rPr>
              <w:t xml:space="preserve"> 胶装 </w:t>
            </w:r>
            <w:r>
              <w:rPr>
                <w:rFonts w:ascii="宋体" w:hAnsi="宋体" w:cs="Calibri"/>
                <w:kern w:val="0"/>
                <w:sz w:val="22"/>
                <w:highlight w:val="none"/>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4.1.2</w:t>
            </w:r>
          </w:p>
        </w:tc>
        <w:tc>
          <w:tcPr>
            <w:tcW w:w="2004"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封套上写明</w:t>
            </w:r>
          </w:p>
        </w:tc>
        <w:tc>
          <w:tcPr>
            <w:tcW w:w="6487" w:type="dxa"/>
            <w:vAlign w:val="center"/>
          </w:tcPr>
          <w:p>
            <w:pPr>
              <w:autoSpaceDE w:val="0"/>
              <w:autoSpaceDN w:val="0"/>
              <w:adjustRightInd w:val="0"/>
              <w:snapToGrid w:val="0"/>
              <w:rPr>
                <w:rFonts w:cs="Calibri" w:asciiTheme="minorEastAsia" w:hAnsiTheme="minorEastAsia"/>
                <w:kern w:val="0"/>
                <w:sz w:val="22"/>
                <w:highlight w:val="none"/>
              </w:rPr>
            </w:pPr>
            <w:r>
              <w:rPr>
                <w:rFonts w:cs="Calibri" w:asciiTheme="minorEastAsia" w:hAnsiTheme="minorEastAsia"/>
                <w:kern w:val="0"/>
                <w:sz w:val="22"/>
                <w:highlight w:val="none"/>
              </w:rPr>
              <w:t>招标人的地址：</w:t>
            </w:r>
            <w:r>
              <w:rPr>
                <w:rFonts w:hint="eastAsia" w:asciiTheme="minorEastAsia" w:hAnsiTheme="minorEastAsia"/>
                <w:sz w:val="22"/>
                <w:highlight w:val="none"/>
                <w:u w:val="single"/>
              </w:rPr>
              <w:t>杭州萧山国际机场内</w:t>
            </w:r>
          </w:p>
          <w:p>
            <w:pPr>
              <w:autoSpaceDE w:val="0"/>
              <w:autoSpaceDN w:val="0"/>
              <w:adjustRightInd w:val="0"/>
              <w:snapToGrid w:val="0"/>
              <w:rPr>
                <w:rFonts w:cs="Calibri" w:asciiTheme="minorEastAsia" w:hAnsiTheme="minorEastAsia"/>
                <w:kern w:val="0"/>
                <w:sz w:val="22"/>
                <w:highlight w:val="none"/>
              </w:rPr>
            </w:pPr>
            <w:r>
              <w:rPr>
                <w:rFonts w:cs="Calibri" w:asciiTheme="minorEastAsia" w:hAnsiTheme="minorEastAsia"/>
                <w:kern w:val="0"/>
                <w:sz w:val="22"/>
                <w:highlight w:val="none"/>
              </w:rPr>
              <w:t>招标人名称：</w:t>
            </w:r>
            <w:r>
              <w:rPr>
                <w:rFonts w:cs="Calibri" w:asciiTheme="minorEastAsia" w:hAnsiTheme="minorEastAsia"/>
                <w:kern w:val="0"/>
                <w:sz w:val="22"/>
                <w:highlight w:val="none"/>
                <w:u w:val="single"/>
              </w:rPr>
              <w:t>杭州萧山国际机场有限公司</w:t>
            </w:r>
          </w:p>
          <w:p>
            <w:pPr>
              <w:autoSpaceDE w:val="0"/>
              <w:autoSpaceDN w:val="0"/>
              <w:adjustRightInd w:val="0"/>
              <w:snapToGrid w:val="0"/>
              <w:rPr>
                <w:rFonts w:cs="Calibri" w:asciiTheme="minorEastAsia" w:hAnsiTheme="minorEastAsia"/>
                <w:kern w:val="0"/>
                <w:sz w:val="22"/>
                <w:highlight w:val="none"/>
              </w:rPr>
            </w:pPr>
            <w:r>
              <w:rPr>
                <w:rFonts w:hint="eastAsia" w:cs="宋体" w:asciiTheme="minorEastAsia" w:hAnsiTheme="minorEastAsia"/>
                <w:sz w:val="22"/>
                <w:highlight w:val="none"/>
              </w:rPr>
              <w:t>项目名称：</w:t>
            </w:r>
            <w:r>
              <w:rPr>
                <w:rFonts w:hint="eastAsia" w:cs="Calibri" w:asciiTheme="minorEastAsia" w:hAnsiTheme="minorEastAsia"/>
                <w:kern w:val="0"/>
                <w:sz w:val="22"/>
                <w:highlight w:val="none"/>
                <w:u w:val="single"/>
              </w:rPr>
              <w:t>杭州萧山国际机场台式爆炸物、毒品探测设备采购</w:t>
            </w:r>
            <w:r>
              <w:rPr>
                <w:rFonts w:cs="Calibri" w:asciiTheme="minorEastAsia" w:hAnsiTheme="minorEastAsia"/>
                <w:kern w:val="0"/>
                <w:sz w:val="22"/>
                <w:highlight w:val="none"/>
                <w:u w:val="single"/>
              </w:rPr>
              <w:t>项目</w:t>
            </w:r>
            <w:r>
              <w:rPr>
                <w:rFonts w:hint="eastAsia" w:cs="宋体" w:asciiTheme="minorEastAsia" w:hAnsiTheme="minorEastAsia"/>
                <w:sz w:val="22"/>
                <w:highlight w:val="none"/>
              </w:rPr>
              <w:t>投标文件</w:t>
            </w:r>
          </w:p>
          <w:p>
            <w:pPr>
              <w:autoSpaceDE w:val="0"/>
              <w:autoSpaceDN w:val="0"/>
              <w:adjustRightInd w:val="0"/>
              <w:snapToGrid w:val="0"/>
              <w:rPr>
                <w:rFonts w:cs="Calibri" w:asciiTheme="minorEastAsia" w:hAnsiTheme="minorEastAsia"/>
                <w:kern w:val="0"/>
                <w:sz w:val="22"/>
                <w:highlight w:val="none"/>
              </w:rPr>
            </w:pPr>
            <w:r>
              <w:rPr>
                <w:rFonts w:cs="Calibri" w:asciiTheme="minorEastAsia" w:hAnsiTheme="minorEastAsia"/>
                <w:kern w:val="0"/>
                <w:sz w:val="22"/>
                <w:highlight w:val="none"/>
              </w:rPr>
              <w:t>在</w:t>
            </w:r>
            <w:r>
              <w:rPr>
                <w:rFonts w:cs="Calibri" w:asciiTheme="minorEastAsia" w:hAnsiTheme="minorEastAsia"/>
                <w:kern w:val="0"/>
                <w:sz w:val="22"/>
                <w:highlight w:val="none"/>
                <w:u w:val="single"/>
              </w:rPr>
              <w:t xml:space="preserve"> </w:t>
            </w:r>
            <w:r>
              <w:rPr>
                <w:rFonts w:hint="eastAsia" w:cs="Calibri" w:asciiTheme="minorEastAsia" w:hAnsiTheme="minorEastAsia"/>
                <w:kern w:val="0"/>
                <w:sz w:val="22"/>
                <w:highlight w:val="none"/>
                <w:u w:val="single"/>
                <w:lang w:val="en-US" w:eastAsia="zh-CN"/>
              </w:rPr>
              <w:t>2019</w:t>
            </w:r>
            <w:r>
              <w:rPr>
                <w:rFonts w:hint="eastAsia" w:cs="Calibri" w:asciiTheme="minorEastAsia" w:hAnsiTheme="minorEastAsia"/>
                <w:kern w:val="0"/>
                <w:sz w:val="22"/>
                <w:highlight w:val="none"/>
                <w:u w:val="single"/>
              </w:rPr>
              <w:t>年</w:t>
            </w:r>
            <w:r>
              <w:rPr>
                <w:rFonts w:hint="eastAsia" w:cs="Calibri" w:asciiTheme="minorEastAsia" w:hAnsiTheme="minorEastAsia"/>
                <w:kern w:val="0"/>
                <w:sz w:val="22"/>
                <w:highlight w:val="none"/>
                <w:u w:val="single"/>
                <w:lang w:val="en-US" w:eastAsia="zh-CN"/>
              </w:rPr>
              <w:t>8</w:t>
            </w:r>
            <w:r>
              <w:rPr>
                <w:rFonts w:hint="eastAsia" w:cs="Calibri" w:asciiTheme="minorEastAsia" w:hAnsiTheme="minorEastAsia"/>
                <w:kern w:val="0"/>
                <w:sz w:val="22"/>
                <w:highlight w:val="none"/>
                <w:u w:val="single"/>
              </w:rPr>
              <w:t>月</w:t>
            </w:r>
            <w:r>
              <w:rPr>
                <w:rFonts w:hint="eastAsia" w:cs="Calibri" w:asciiTheme="minorEastAsia" w:hAnsiTheme="minorEastAsia"/>
                <w:kern w:val="0"/>
                <w:sz w:val="22"/>
                <w:highlight w:val="none"/>
                <w:u w:val="single"/>
                <w:lang w:val="en-US" w:eastAsia="zh-CN"/>
              </w:rPr>
              <w:t>29</w:t>
            </w:r>
            <w:r>
              <w:rPr>
                <w:rFonts w:hint="eastAsia" w:cs="Calibri" w:asciiTheme="minorEastAsia" w:hAnsiTheme="minorEastAsia"/>
                <w:kern w:val="0"/>
                <w:sz w:val="22"/>
                <w:highlight w:val="none"/>
                <w:u w:val="single"/>
              </w:rPr>
              <w:t>日</w:t>
            </w:r>
            <w:r>
              <w:rPr>
                <w:rFonts w:hint="eastAsia" w:cs="Calibri" w:asciiTheme="minorEastAsia" w:hAnsiTheme="minorEastAsia"/>
                <w:kern w:val="0"/>
                <w:sz w:val="22"/>
                <w:highlight w:val="none"/>
                <w:u w:val="single"/>
                <w:lang w:eastAsia="zh-CN"/>
              </w:rPr>
              <w:t>下午</w:t>
            </w:r>
            <w:r>
              <w:rPr>
                <w:rFonts w:hint="eastAsia" w:cs="Calibri" w:asciiTheme="minorEastAsia" w:hAnsiTheme="minorEastAsia"/>
                <w:kern w:val="0"/>
                <w:sz w:val="22"/>
                <w:highlight w:val="none"/>
                <w:u w:val="single"/>
                <w:lang w:val="en-US" w:eastAsia="zh-CN"/>
              </w:rPr>
              <w:t>14</w:t>
            </w:r>
            <w:r>
              <w:rPr>
                <w:rFonts w:hint="eastAsia" w:cs="Calibri" w:asciiTheme="minorEastAsia" w:hAnsiTheme="minorEastAsia"/>
                <w:kern w:val="0"/>
                <w:sz w:val="22"/>
                <w:highlight w:val="none"/>
                <w:u w:val="single"/>
              </w:rPr>
              <w:t>时00分</w:t>
            </w:r>
            <w:r>
              <w:rPr>
                <w:rFonts w:cs="Calibri" w:asciiTheme="minorEastAsia" w:hAnsiTheme="minorEastAsia"/>
                <w:kern w:val="0"/>
                <w:sz w:val="22"/>
                <w:highlight w:val="none"/>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4.2.2</w:t>
            </w:r>
          </w:p>
        </w:tc>
        <w:tc>
          <w:tcPr>
            <w:tcW w:w="2004"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highlight w:val="none"/>
              </w:rPr>
            </w:pPr>
            <w:r>
              <w:rPr>
                <w:rFonts w:hint="eastAsia" w:ascii="宋体" w:hAnsi="宋体"/>
                <w:b/>
                <w:bCs/>
                <w:szCs w:val="21"/>
                <w:highlight w:val="none"/>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4.2.3</w:t>
            </w:r>
          </w:p>
        </w:tc>
        <w:tc>
          <w:tcPr>
            <w:tcW w:w="2004"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是否退还投标文件</w:t>
            </w:r>
          </w:p>
        </w:tc>
        <w:tc>
          <w:tcPr>
            <w:tcW w:w="6487" w:type="dxa"/>
            <w:vAlign w:val="center"/>
          </w:tcPr>
          <w:p>
            <w:pPr>
              <w:autoSpaceDE w:val="0"/>
              <w:autoSpaceDN w:val="0"/>
              <w:adjustRightInd w:val="0"/>
              <w:snapToGrid w:val="0"/>
              <w:rPr>
                <w:rFonts w:ascii="宋体" w:hAnsi="宋体" w:cs="Calibri"/>
                <w:kern w:val="0"/>
                <w:sz w:val="22"/>
                <w:highlight w:val="none"/>
              </w:rPr>
            </w:pPr>
            <w:r>
              <w:rPr>
                <w:rFonts w:ascii="宋体" w:hAnsi="宋体" w:cs="Calibri"/>
                <w:kern w:val="0"/>
                <w:sz w:val="22"/>
                <w:highlight w:val="none"/>
              </w:rPr>
              <w:sym w:font="Wingdings" w:char="F0FE"/>
            </w:r>
            <w:r>
              <w:rPr>
                <w:rFonts w:ascii="宋体" w:hAnsi="宋体" w:cs="Calibri"/>
                <w:kern w:val="0"/>
                <w:sz w:val="22"/>
                <w:highlight w:val="none"/>
              </w:rPr>
              <w:t>否</w:t>
            </w:r>
          </w:p>
          <w:p>
            <w:pPr>
              <w:autoSpaceDE w:val="0"/>
              <w:autoSpaceDN w:val="0"/>
              <w:adjustRightInd w:val="0"/>
              <w:snapToGrid w:val="0"/>
              <w:rPr>
                <w:rFonts w:ascii="宋体" w:hAnsi="宋体" w:cs="Calibri"/>
                <w:kern w:val="0"/>
                <w:sz w:val="22"/>
                <w:highlight w:val="none"/>
              </w:rPr>
            </w:pPr>
            <w:r>
              <w:rPr>
                <w:rFonts w:ascii="宋体" w:hAnsi="宋体" w:cs="Calibri"/>
                <w:kern w:val="0"/>
                <w:sz w:val="22"/>
                <w:highlight w:val="none"/>
              </w:rPr>
              <w:t>□是</w:t>
            </w:r>
            <w:bookmarkStart w:id="401" w:name="_GoBack"/>
            <w:bookmarkEnd w:id="40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5.1.1</w:t>
            </w:r>
          </w:p>
        </w:tc>
        <w:tc>
          <w:tcPr>
            <w:tcW w:w="2004"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开标时间和地点</w:t>
            </w:r>
          </w:p>
        </w:tc>
        <w:tc>
          <w:tcPr>
            <w:tcW w:w="6487" w:type="dxa"/>
            <w:vAlign w:val="center"/>
          </w:tcPr>
          <w:p>
            <w:pPr>
              <w:autoSpaceDE w:val="0"/>
              <w:autoSpaceDN w:val="0"/>
              <w:adjustRightInd w:val="0"/>
              <w:snapToGrid w:val="0"/>
              <w:rPr>
                <w:rFonts w:ascii="宋体" w:hAnsi="宋体" w:cs="Calibri"/>
                <w:kern w:val="0"/>
                <w:sz w:val="22"/>
                <w:highlight w:val="none"/>
              </w:rPr>
            </w:pPr>
            <w:r>
              <w:rPr>
                <w:rFonts w:ascii="宋体" w:hAnsi="宋体" w:cs="Calibri"/>
                <w:kern w:val="0"/>
                <w:sz w:val="22"/>
                <w:highlight w:val="none"/>
              </w:rPr>
              <w:t>开标时间：同投标截止时间</w:t>
            </w:r>
          </w:p>
          <w:p>
            <w:pPr>
              <w:autoSpaceDE w:val="0"/>
              <w:autoSpaceDN w:val="0"/>
              <w:adjustRightInd w:val="0"/>
              <w:snapToGrid w:val="0"/>
              <w:rPr>
                <w:rFonts w:ascii="宋体" w:hAnsi="宋体" w:cs="Calibri"/>
                <w:kern w:val="0"/>
                <w:sz w:val="22"/>
                <w:highlight w:val="none"/>
              </w:rPr>
            </w:pPr>
            <w:r>
              <w:rPr>
                <w:rFonts w:ascii="宋体" w:hAnsi="宋体" w:cs="Calibri"/>
                <w:kern w:val="0"/>
                <w:sz w:val="22"/>
                <w:highlight w:val="none"/>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5.2</w:t>
            </w:r>
          </w:p>
        </w:tc>
        <w:tc>
          <w:tcPr>
            <w:tcW w:w="2004"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开标程序</w:t>
            </w:r>
          </w:p>
        </w:tc>
        <w:tc>
          <w:tcPr>
            <w:tcW w:w="6487" w:type="dxa"/>
            <w:vAlign w:val="center"/>
          </w:tcPr>
          <w:p>
            <w:pPr>
              <w:autoSpaceDE w:val="0"/>
              <w:autoSpaceDN w:val="0"/>
              <w:adjustRightInd w:val="0"/>
              <w:snapToGrid w:val="0"/>
              <w:rPr>
                <w:rFonts w:ascii="宋体" w:hAnsi="宋体" w:cs="Calibri"/>
                <w:kern w:val="0"/>
                <w:sz w:val="22"/>
                <w:highlight w:val="none"/>
              </w:rPr>
            </w:pPr>
            <w:r>
              <w:rPr>
                <w:rFonts w:ascii="宋体" w:hAnsi="宋体" w:cs="Calibri"/>
                <w:kern w:val="0"/>
                <w:sz w:val="22"/>
                <w:highlight w:val="none"/>
              </w:rPr>
              <w:t>（4）密封情况检查：由投标人或者其集体推选的代表检查投标文件的密封情况。</w:t>
            </w:r>
          </w:p>
          <w:p>
            <w:pPr>
              <w:autoSpaceDE w:val="0"/>
              <w:autoSpaceDN w:val="0"/>
              <w:adjustRightInd w:val="0"/>
              <w:snapToGrid w:val="0"/>
              <w:rPr>
                <w:rFonts w:ascii="宋体" w:hAnsi="宋体" w:cs="Calibri"/>
                <w:kern w:val="0"/>
                <w:sz w:val="22"/>
                <w:highlight w:val="none"/>
              </w:rPr>
            </w:pPr>
            <w:r>
              <w:rPr>
                <w:rFonts w:ascii="宋体" w:hAnsi="宋体" w:cs="Calibri"/>
                <w:kern w:val="0"/>
                <w:sz w:val="22"/>
                <w:highlight w:val="none"/>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6.1.1</w:t>
            </w:r>
          </w:p>
        </w:tc>
        <w:tc>
          <w:tcPr>
            <w:tcW w:w="2004"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评标委员会的组建</w:t>
            </w:r>
          </w:p>
        </w:tc>
        <w:tc>
          <w:tcPr>
            <w:tcW w:w="6487" w:type="dxa"/>
            <w:vAlign w:val="center"/>
          </w:tcPr>
          <w:p>
            <w:pPr>
              <w:autoSpaceDE w:val="0"/>
              <w:autoSpaceDN w:val="0"/>
              <w:adjustRightInd w:val="0"/>
              <w:snapToGrid w:val="0"/>
              <w:jc w:val="left"/>
              <w:rPr>
                <w:rFonts w:asciiTheme="minorEastAsia" w:hAnsiTheme="minorEastAsia"/>
                <w:sz w:val="22"/>
                <w:highlight w:val="none"/>
              </w:rPr>
            </w:pPr>
            <w:r>
              <w:rPr>
                <w:rFonts w:hint="eastAsia" w:asciiTheme="minorEastAsia" w:hAnsiTheme="minorEastAsia"/>
                <w:sz w:val="22"/>
                <w:highlight w:val="none"/>
              </w:rPr>
              <w:t>评标委员会构成</w:t>
            </w:r>
            <w:r>
              <w:rPr>
                <w:rFonts w:hint="eastAsia" w:cs="Calibri" w:asciiTheme="minorEastAsia" w:hAnsiTheme="minorEastAsia"/>
                <w:kern w:val="0"/>
                <w:sz w:val="22"/>
                <w:highlight w:val="none"/>
              </w:rPr>
              <w:t>：3</w:t>
            </w:r>
            <w:r>
              <w:rPr>
                <w:rFonts w:hint="eastAsia" w:asciiTheme="minorEastAsia" w:hAnsiTheme="minorEastAsia"/>
                <w:sz w:val="22"/>
                <w:highlight w:val="none"/>
              </w:rPr>
              <w:t>人及以上单数</w:t>
            </w:r>
          </w:p>
          <w:p>
            <w:pPr>
              <w:autoSpaceDE w:val="0"/>
              <w:autoSpaceDN w:val="0"/>
              <w:adjustRightInd w:val="0"/>
              <w:snapToGrid w:val="0"/>
              <w:jc w:val="left"/>
              <w:rPr>
                <w:rFonts w:asciiTheme="minorEastAsia" w:hAnsiTheme="minorEastAsia"/>
                <w:sz w:val="22"/>
                <w:highlight w:val="none"/>
              </w:rPr>
            </w:pPr>
            <w:r>
              <w:rPr>
                <w:rFonts w:hint="eastAsia" w:asciiTheme="minorEastAsia" w:hAnsiTheme="minorEastAsia"/>
                <w:sz w:val="22"/>
                <w:highlight w:val="none"/>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7.1</w:t>
            </w:r>
          </w:p>
        </w:tc>
        <w:tc>
          <w:tcPr>
            <w:tcW w:w="2004"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是否授权评标委员会确定中标人</w:t>
            </w:r>
          </w:p>
        </w:tc>
        <w:tc>
          <w:tcPr>
            <w:tcW w:w="6487" w:type="dxa"/>
            <w:vAlign w:val="center"/>
          </w:tcPr>
          <w:p>
            <w:pPr>
              <w:autoSpaceDE w:val="0"/>
              <w:autoSpaceDN w:val="0"/>
              <w:adjustRightInd w:val="0"/>
              <w:snapToGrid w:val="0"/>
              <w:rPr>
                <w:rFonts w:ascii="宋体" w:hAnsi="宋体" w:cs="Calibri"/>
                <w:kern w:val="0"/>
                <w:sz w:val="22"/>
                <w:highlight w:val="none"/>
              </w:rPr>
            </w:pPr>
            <w:r>
              <w:rPr>
                <w:rFonts w:ascii="宋体" w:hAnsi="宋体" w:cs="Calibri"/>
                <w:kern w:val="0"/>
                <w:sz w:val="22"/>
                <w:highlight w:val="none"/>
              </w:rPr>
              <w:t>□是</w:t>
            </w:r>
          </w:p>
          <w:p>
            <w:pPr>
              <w:autoSpaceDE w:val="0"/>
              <w:autoSpaceDN w:val="0"/>
              <w:adjustRightInd w:val="0"/>
              <w:snapToGrid w:val="0"/>
              <w:rPr>
                <w:rFonts w:ascii="宋体" w:hAnsi="宋体" w:cs="Calibri"/>
                <w:kern w:val="0"/>
                <w:sz w:val="22"/>
                <w:highlight w:val="none"/>
              </w:rPr>
            </w:pPr>
            <w:r>
              <w:rPr>
                <w:rFonts w:ascii="宋体" w:hAnsi="宋体" w:cs="Calibri"/>
                <w:kern w:val="0"/>
                <w:sz w:val="22"/>
                <w:highlight w:val="none"/>
              </w:rPr>
              <w:sym w:font="Wingdings" w:char="F0FE"/>
            </w:r>
            <w:r>
              <w:rPr>
                <w:rFonts w:ascii="宋体" w:hAnsi="宋体" w:cs="Calibri"/>
                <w:kern w:val="0"/>
                <w:sz w:val="22"/>
                <w:highlight w:val="none"/>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7.3.1</w:t>
            </w:r>
          </w:p>
        </w:tc>
        <w:tc>
          <w:tcPr>
            <w:tcW w:w="2004"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履约</w:t>
            </w:r>
            <w:r>
              <w:rPr>
                <w:rFonts w:hint="eastAsia" w:ascii="宋体" w:hAnsi="宋体" w:cs="Calibri"/>
                <w:kern w:val="0"/>
                <w:sz w:val="22"/>
                <w:highlight w:val="none"/>
              </w:rPr>
              <w:t>保证金</w:t>
            </w:r>
          </w:p>
        </w:tc>
        <w:tc>
          <w:tcPr>
            <w:tcW w:w="6487" w:type="dxa"/>
            <w:vAlign w:val="center"/>
          </w:tcPr>
          <w:p>
            <w:pPr>
              <w:autoSpaceDE w:val="0"/>
              <w:autoSpaceDN w:val="0"/>
              <w:adjustRightInd w:val="0"/>
              <w:snapToGrid w:val="0"/>
              <w:jc w:val="left"/>
              <w:rPr>
                <w:rFonts w:ascii="宋体" w:hAnsi="宋体"/>
                <w:sz w:val="22"/>
                <w:highlight w:val="none"/>
              </w:rPr>
            </w:pPr>
            <w:r>
              <w:rPr>
                <w:rFonts w:ascii="宋体" w:hAnsi="宋体"/>
                <w:sz w:val="22"/>
                <w:highlight w:val="none"/>
              </w:rPr>
              <w:t>履约</w:t>
            </w:r>
            <w:r>
              <w:rPr>
                <w:rFonts w:hint="eastAsia" w:ascii="宋体" w:hAnsi="宋体"/>
                <w:sz w:val="22"/>
                <w:highlight w:val="none"/>
              </w:rPr>
              <w:t>保证金</w:t>
            </w:r>
            <w:r>
              <w:rPr>
                <w:rFonts w:ascii="宋体" w:hAnsi="宋体"/>
                <w:sz w:val="22"/>
                <w:highlight w:val="none"/>
              </w:rPr>
              <w:t>的形式：</w:t>
            </w:r>
            <w:r>
              <w:rPr>
                <w:rFonts w:hint="eastAsia" w:ascii="宋体" w:hAnsi="宋体"/>
                <w:sz w:val="22"/>
                <w:highlight w:val="none"/>
              </w:rPr>
              <w:t>银行转账</w:t>
            </w:r>
          </w:p>
          <w:p>
            <w:pPr>
              <w:autoSpaceDE w:val="0"/>
              <w:autoSpaceDN w:val="0"/>
              <w:adjustRightInd w:val="0"/>
              <w:snapToGrid w:val="0"/>
              <w:jc w:val="left"/>
              <w:rPr>
                <w:rFonts w:ascii="宋体" w:hAnsi="宋体"/>
                <w:sz w:val="22"/>
                <w:highlight w:val="none"/>
              </w:rPr>
            </w:pPr>
            <w:r>
              <w:rPr>
                <w:rFonts w:ascii="宋体" w:hAnsi="宋体"/>
                <w:sz w:val="22"/>
                <w:highlight w:val="none"/>
              </w:rPr>
              <w:t>履约</w:t>
            </w:r>
            <w:r>
              <w:rPr>
                <w:rFonts w:hint="eastAsia" w:ascii="宋体" w:hAnsi="宋体"/>
                <w:sz w:val="22"/>
                <w:highlight w:val="none"/>
              </w:rPr>
              <w:t>保证金</w:t>
            </w:r>
            <w:r>
              <w:rPr>
                <w:rFonts w:ascii="宋体" w:hAnsi="宋体"/>
                <w:sz w:val="22"/>
                <w:highlight w:val="none"/>
              </w:rPr>
              <w:t>的金额：</w:t>
            </w:r>
            <w:r>
              <w:rPr>
                <w:rFonts w:hint="eastAsia" w:ascii="宋体" w:hAnsi="宋体"/>
                <w:sz w:val="22"/>
                <w:highlight w:val="none"/>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10</w:t>
            </w:r>
          </w:p>
        </w:tc>
        <w:tc>
          <w:tcPr>
            <w:tcW w:w="8491" w:type="dxa"/>
            <w:gridSpan w:val="2"/>
            <w:vAlign w:val="center"/>
          </w:tcPr>
          <w:p>
            <w:pPr>
              <w:autoSpaceDE w:val="0"/>
              <w:autoSpaceDN w:val="0"/>
              <w:adjustRightInd w:val="0"/>
              <w:snapToGrid w:val="0"/>
              <w:jc w:val="center"/>
              <w:rPr>
                <w:rFonts w:ascii="宋体" w:hAnsi="宋体" w:cs="Calibri"/>
                <w:snapToGrid w:val="0"/>
                <w:sz w:val="22"/>
                <w:highlight w:val="none"/>
              </w:rPr>
            </w:pPr>
            <w:r>
              <w:rPr>
                <w:rFonts w:ascii="宋体" w:hAnsi="宋体" w:cs="Calibri"/>
                <w:kern w:val="0"/>
                <w:sz w:val="22"/>
                <w:highlight w:val="none"/>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highlight w:val="none"/>
              </w:rPr>
            </w:pPr>
            <w:r>
              <w:rPr>
                <w:rFonts w:hint="eastAsia" w:ascii="宋体" w:hAnsi="宋体" w:cs="Calibri"/>
                <w:kern w:val="0"/>
                <w:sz w:val="22"/>
                <w:highlight w:val="none"/>
              </w:rPr>
              <w:t>10.2</w:t>
            </w:r>
          </w:p>
        </w:tc>
        <w:tc>
          <w:tcPr>
            <w:tcW w:w="2004" w:type="dxa"/>
            <w:shd w:val="clear" w:color="auto" w:fill="auto"/>
            <w:vAlign w:val="center"/>
          </w:tcPr>
          <w:p>
            <w:pPr>
              <w:pStyle w:val="47"/>
              <w:rPr>
                <w:rFonts w:cs="Calibri" w:asciiTheme="minorEastAsia" w:hAnsiTheme="minorEastAsia" w:eastAsiaTheme="minorEastAsia"/>
                <w:sz w:val="22"/>
                <w:szCs w:val="22"/>
                <w:highlight w:val="none"/>
              </w:rPr>
            </w:pPr>
            <w:r>
              <w:rPr>
                <w:rFonts w:cs="Calibri" w:asciiTheme="minorEastAsia" w:hAnsiTheme="minorEastAsia" w:eastAsiaTheme="minorEastAsia"/>
                <w:sz w:val="22"/>
                <w:szCs w:val="22"/>
                <w:highlight w:val="none"/>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highlight w:val="none"/>
              </w:rPr>
            </w:pPr>
            <w:r>
              <w:rPr>
                <w:rFonts w:cs="Calibri" w:asciiTheme="minorEastAsia" w:hAnsiTheme="minorEastAsia"/>
                <w:snapToGrid w:val="0"/>
                <w:kern w:val="0"/>
                <w:sz w:val="22"/>
                <w:highlight w:val="none"/>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kern w:val="0"/>
                <w:sz w:val="22"/>
                <w:highlight w:val="none"/>
              </w:rPr>
            </w:pPr>
            <w:r>
              <w:rPr>
                <w:rFonts w:cs="Calibri" w:asciiTheme="minorEastAsia" w:hAnsiTheme="minorEastAsia"/>
                <w:snapToGrid w:val="0"/>
                <w:kern w:val="0"/>
                <w:sz w:val="22"/>
                <w:highlight w:val="none"/>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highlight w:val="none"/>
              </w:rPr>
            </w:pPr>
            <w:r>
              <w:rPr>
                <w:rFonts w:hint="eastAsia" w:ascii="宋体" w:hAnsi="宋体" w:cs="Calibri"/>
                <w:kern w:val="0"/>
                <w:sz w:val="22"/>
                <w:highlight w:val="none"/>
              </w:rPr>
              <w:t>10.3</w:t>
            </w:r>
          </w:p>
        </w:tc>
        <w:tc>
          <w:tcPr>
            <w:tcW w:w="2004" w:type="dxa"/>
            <w:shd w:val="clear" w:color="auto" w:fill="auto"/>
            <w:vAlign w:val="center"/>
          </w:tcPr>
          <w:p>
            <w:pPr>
              <w:pStyle w:val="47"/>
              <w:rPr>
                <w:highlight w:val="none"/>
              </w:rPr>
            </w:pPr>
            <w:r>
              <w:rPr>
                <w:rFonts w:hint="eastAsia"/>
                <w:highlight w:val="none"/>
              </w:rPr>
              <w:t>备注</w:t>
            </w:r>
          </w:p>
        </w:tc>
        <w:tc>
          <w:tcPr>
            <w:tcW w:w="6487" w:type="dxa"/>
            <w:shd w:val="clear" w:color="auto" w:fill="FFFFFF"/>
            <w:vAlign w:val="center"/>
          </w:tcPr>
          <w:p>
            <w:pPr>
              <w:adjustRightInd w:val="0"/>
              <w:snapToGrid w:val="0"/>
              <w:rPr>
                <w:rFonts w:ascii="宋体" w:hAnsi="宋体" w:cs="Calibri"/>
                <w:snapToGrid w:val="0"/>
                <w:kern w:val="0"/>
                <w:sz w:val="22"/>
                <w:highlight w:val="none"/>
              </w:rPr>
            </w:pPr>
            <w:r>
              <w:rPr>
                <w:rFonts w:ascii="宋体" w:hAnsi="宋体" w:cs="Calibri"/>
                <w:snapToGrid w:val="0"/>
                <w:kern w:val="0"/>
                <w:sz w:val="22"/>
                <w:highlight w:val="none"/>
              </w:rPr>
              <w:t>本前附表内容与招标文件其他内容不一致之处，以本前附表为准。</w:t>
            </w:r>
          </w:p>
        </w:tc>
      </w:tr>
    </w:tbl>
    <w:p>
      <w:pPr>
        <w:autoSpaceDE w:val="0"/>
        <w:autoSpaceDN w:val="0"/>
        <w:adjustRightInd w:val="0"/>
        <w:snapToGrid w:val="0"/>
        <w:spacing w:line="400" w:lineRule="exact"/>
        <w:rPr>
          <w:b/>
          <w:highlight w:val="none"/>
        </w:rPr>
      </w:pPr>
      <w:bookmarkStart w:id="2" w:name="_Toc26216"/>
    </w:p>
    <w:p>
      <w:pPr>
        <w:autoSpaceDE w:val="0"/>
        <w:autoSpaceDN w:val="0"/>
        <w:adjustRightInd w:val="0"/>
        <w:snapToGrid w:val="0"/>
        <w:spacing w:line="360" w:lineRule="exact"/>
        <w:rPr>
          <w:rFonts w:cs="Calibri" w:asciiTheme="minorEastAsia" w:hAnsiTheme="minorEastAsia"/>
          <w:b/>
          <w:bCs/>
          <w:kern w:val="0"/>
          <w:sz w:val="22"/>
          <w:highlight w:val="none"/>
        </w:rPr>
      </w:pPr>
      <w:r>
        <w:rPr>
          <w:b/>
          <w:highlight w:val="none"/>
        </w:rPr>
        <w:br w:type="page"/>
      </w:r>
      <w:bookmarkEnd w:id="2"/>
      <w:r>
        <w:rPr>
          <w:rFonts w:cs="Calibri" w:asciiTheme="minorEastAsia" w:hAnsiTheme="minorEastAsia"/>
          <w:b/>
          <w:bCs/>
          <w:kern w:val="0"/>
          <w:sz w:val="22"/>
          <w:highlight w:val="none"/>
        </w:rPr>
        <w:t>1.</w:t>
      </w:r>
      <w:r>
        <w:rPr>
          <w:rFonts w:hint="eastAsia" w:cs="Calibri" w:asciiTheme="minorEastAsia" w:hAnsiTheme="minorEastAsia"/>
          <w:b/>
          <w:bCs/>
          <w:kern w:val="0"/>
          <w:sz w:val="22"/>
          <w:highlight w:val="none"/>
        </w:rPr>
        <w:t xml:space="preserve"> </w:t>
      </w:r>
      <w:r>
        <w:rPr>
          <w:rFonts w:cs="Calibri" w:asciiTheme="minorEastAsia" w:hAnsiTheme="minorEastAsia"/>
          <w:b/>
          <w:bCs/>
          <w:kern w:val="0"/>
          <w:sz w:val="22"/>
          <w:highlight w:val="none"/>
        </w:rPr>
        <w:t>总则</w:t>
      </w:r>
    </w:p>
    <w:p>
      <w:pPr>
        <w:autoSpaceDE w:val="0"/>
        <w:autoSpaceDN w:val="0"/>
        <w:adjustRightInd w:val="0"/>
        <w:snapToGrid w:val="0"/>
        <w:spacing w:line="360" w:lineRule="exact"/>
        <w:rPr>
          <w:rFonts w:cs="Calibri" w:asciiTheme="minorEastAsia" w:hAnsiTheme="minorEastAsia"/>
          <w:b/>
          <w:bCs/>
          <w:kern w:val="0"/>
          <w:sz w:val="22"/>
          <w:highlight w:val="none"/>
        </w:rPr>
      </w:pPr>
      <w:r>
        <w:rPr>
          <w:rFonts w:cs="Calibri" w:asciiTheme="minorEastAsia" w:hAnsiTheme="minorEastAsia"/>
          <w:b/>
          <w:bCs/>
          <w:kern w:val="0"/>
          <w:sz w:val="22"/>
          <w:highlight w:val="none"/>
        </w:rPr>
        <w:t>1.1 项目概况</w:t>
      </w:r>
    </w:p>
    <w:p>
      <w:pPr>
        <w:adjustRightInd w:val="0"/>
        <w:snapToGrid w:val="0"/>
        <w:spacing w:line="360" w:lineRule="exact"/>
        <w:ind w:firstLine="440"/>
        <w:rPr>
          <w:rFonts w:cs="Calibri" w:asciiTheme="minorEastAsia" w:hAnsiTheme="minorEastAsia"/>
          <w:color w:val="000000"/>
          <w:kern w:val="0"/>
          <w:sz w:val="22"/>
          <w:highlight w:val="none"/>
        </w:rPr>
      </w:pPr>
      <w:r>
        <w:rPr>
          <w:rFonts w:cs="Calibri" w:asciiTheme="minorEastAsia" w:hAnsiTheme="minorEastAsia"/>
          <w:color w:val="000000"/>
          <w:kern w:val="0"/>
          <w:sz w:val="22"/>
          <w:highlight w:val="none"/>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color w:val="000000"/>
          <w:sz w:val="22"/>
          <w:highlight w:val="none"/>
        </w:rPr>
      </w:pPr>
      <w:r>
        <w:rPr>
          <w:rFonts w:cs="Calibri" w:asciiTheme="minorEastAsia" w:hAnsiTheme="minorEastAsia"/>
          <w:color w:val="000000"/>
          <w:kern w:val="0"/>
          <w:sz w:val="22"/>
          <w:highlight w:val="none"/>
        </w:rPr>
        <w:t>1.1.2项目</w:t>
      </w:r>
      <w:r>
        <w:rPr>
          <w:rFonts w:hint="eastAsia" w:cs="Calibri" w:asciiTheme="minorEastAsia" w:hAnsiTheme="minorEastAsia"/>
          <w:color w:val="000000"/>
          <w:kern w:val="0"/>
          <w:sz w:val="22"/>
          <w:highlight w:val="none"/>
        </w:rPr>
        <w:t>交货</w:t>
      </w:r>
      <w:r>
        <w:rPr>
          <w:rFonts w:cs="Calibri" w:asciiTheme="minorEastAsia" w:hAnsiTheme="minorEastAsia"/>
          <w:color w:val="000000"/>
          <w:kern w:val="0"/>
          <w:sz w:val="22"/>
          <w:highlight w:val="none"/>
        </w:rPr>
        <w:t>地点见投标人须知前附表</w:t>
      </w:r>
      <w:r>
        <w:rPr>
          <w:rFonts w:cs="Calibri" w:asciiTheme="minorEastAsia" w:hAnsiTheme="minorEastAsia"/>
          <w:color w:val="000000"/>
          <w:sz w:val="22"/>
          <w:highlight w:val="none"/>
        </w:rPr>
        <w:t>。</w:t>
      </w:r>
    </w:p>
    <w:p>
      <w:pPr>
        <w:autoSpaceDE w:val="0"/>
        <w:autoSpaceDN w:val="0"/>
        <w:adjustRightInd w:val="0"/>
        <w:snapToGrid w:val="0"/>
        <w:spacing w:line="360" w:lineRule="exact"/>
        <w:rPr>
          <w:rFonts w:cs="Calibri" w:asciiTheme="minorEastAsia" w:hAnsiTheme="minorEastAsia"/>
          <w:b/>
          <w:bCs/>
          <w:kern w:val="0"/>
          <w:sz w:val="22"/>
          <w:highlight w:val="none"/>
        </w:rPr>
      </w:pPr>
      <w:bookmarkStart w:id="3" w:name="_Toc9136"/>
      <w:r>
        <w:rPr>
          <w:rFonts w:cs="Calibri" w:asciiTheme="minorEastAsia" w:hAnsiTheme="minorEastAsia"/>
          <w:b/>
          <w:bCs/>
          <w:kern w:val="0"/>
          <w:sz w:val="22"/>
          <w:highlight w:val="none"/>
        </w:rPr>
        <w:t>1.</w:t>
      </w:r>
      <w:r>
        <w:rPr>
          <w:rFonts w:hint="eastAsia" w:cs="Calibri" w:asciiTheme="minorEastAsia" w:hAnsiTheme="minorEastAsia"/>
          <w:b/>
          <w:bCs/>
          <w:kern w:val="0"/>
          <w:sz w:val="22"/>
          <w:highlight w:val="none"/>
        </w:rPr>
        <w:t>2</w:t>
      </w:r>
      <w:r>
        <w:rPr>
          <w:rFonts w:cs="Calibri" w:asciiTheme="minorEastAsia" w:hAnsiTheme="minorEastAsia"/>
          <w:b/>
          <w:bCs/>
          <w:kern w:val="0"/>
          <w:sz w:val="22"/>
          <w:highlight w:val="none"/>
        </w:rPr>
        <w:t xml:space="preserve"> 资金来源</w:t>
      </w:r>
      <w:bookmarkEnd w:id="3"/>
    </w:p>
    <w:p>
      <w:pPr>
        <w:adjustRightInd w:val="0"/>
        <w:snapToGrid w:val="0"/>
        <w:spacing w:line="360" w:lineRule="exact"/>
        <w:ind w:firstLine="440"/>
        <w:rPr>
          <w:rFonts w:cs="Calibri" w:asciiTheme="minorEastAsia" w:hAnsiTheme="minorEastAsia"/>
          <w:color w:val="000000"/>
          <w:sz w:val="22"/>
          <w:highlight w:val="none"/>
        </w:rPr>
      </w:pPr>
      <w:r>
        <w:rPr>
          <w:rFonts w:cs="Calibri" w:asciiTheme="minorEastAsia" w:hAnsiTheme="minorEastAsia"/>
          <w:color w:val="000000"/>
          <w:sz w:val="22"/>
          <w:highlight w:val="none"/>
        </w:rPr>
        <w:t>见投标人须知前附表。</w:t>
      </w:r>
    </w:p>
    <w:p>
      <w:pPr>
        <w:autoSpaceDE w:val="0"/>
        <w:autoSpaceDN w:val="0"/>
        <w:adjustRightInd w:val="0"/>
        <w:snapToGrid w:val="0"/>
        <w:spacing w:line="360" w:lineRule="exact"/>
        <w:rPr>
          <w:rFonts w:cs="Calibri" w:asciiTheme="minorEastAsia" w:hAnsiTheme="minorEastAsia"/>
          <w:b/>
          <w:bCs/>
          <w:kern w:val="0"/>
          <w:sz w:val="22"/>
          <w:highlight w:val="none"/>
        </w:rPr>
      </w:pPr>
      <w:bookmarkStart w:id="4" w:name="_Toc10673"/>
      <w:r>
        <w:rPr>
          <w:rFonts w:cs="Calibri" w:asciiTheme="minorEastAsia" w:hAnsiTheme="minorEastAsia"/>
          <w:b/>
          <w:bCs/>
          <w:kern w:val="0"/>
          <w:sz w:val="22"/>
          <w:highlight w:val="none"/>
        </w:rPr>
        <w:t>1.</w:t>
      </w:r>
      <w:r>
        <w:rPr>
          <w:rFonts w:hint="eastAsia" w:cs="Calibri" w:asciiTheme="minorEastAsia" w:hAnsiTheme="minorEastAsia"/>
          <w:b/>
          <w:bCs/>
          <w:kern w:val="0"/>
          <w:sz w:val="22"/>
          <w:highlight w:val="none"/>
        </w:rPr>
        <w:t>3</w:t>
      </w:r>
      <w:r>
        <w:rPr>
          <w:rFonts w:cs="Calibri" w:asciiTheme="minorEastAsia" w:hAnsiTheme="minorEastAsia"/>
          <w:b/>
          <w:bCs/>
          <w:kern w:val="0"/>
          <w:sz w:val="22"/>
          <w:highlight w:val="none"/>
        </w:rPr>
        <w:t xml:space="preserve"> 招标</w:t>
      </w:r>
      <w:bookmarkEnd w:id="4"/>
      <w:r>
        <w:rPr>
          <w:rFonts w:hint="eastAsia" w:cs="Calibri" w:asciiTheme="minorEastAsia" w:hAnsiTheme="minorEastAsia"/>
          <w:b/>
          <w:bCs/>
          <w:kern w:val="0"/>
          <w:sz w:val="22"/>
          <w:highlight w:val="none"/>
        </w:rPr>
        <w:t>内容</w:t>
      </w:r>
    </w:p>
    <w:p>
      <w:pPr>
        <w:adjustRightInd w:val="0"/>
        <w:snapToGrid w:val="0"/>
        <w:spacing w:line="360" w:lineRule="exact"/>
        <w:ind w:firstLine="440"/>
        <w:rPr>
          <w:rFonts w:cs="Calibri" w:asciiTheme="minorEastAsia" w:hAnsiTheme="minorEastAsia"/>
          <w:color w:val="000000"/>
          <w:sz w:val="22"/>
          <w:highlight w:val="none"/>
        </w:rPr>
      </w:pPr>
      <w:r>
        <w:rPr>
          <w:rFonts w:cs="Calibri" w:asciiTheme="minorEastAsia" w:hAnsiTheme="minorEastAsia"/>
          <w:color w:val="000000"/>
          <w:sz w:val="22"/>
          <w:highlight w:val="none"/>
        </w:rPr>
        <w:t>见投标人须知前附表。</w:t>
      </w:r>
    </w:p>
    <w:p>
      <w:pPr>
        <w:autoSpaceDE w:val="0"/>
        <w:autoSpaceDN w:val="0"/>
        <w:adjustRightInd w:val="0"/>
        <w:snapToGrid w:val="0"/>
        <w:spacing w:line="360" w:lineRule="exact"/>
        <w:rPr>
          <w:rFonts w:cs="Calibri" w:asciiTheme="minorEastAsia" w:hAnsiTheme="minorEastAsia"/>
          <w:b/>
          <w:bCs/>
          <w:kern w:val="0"/>
          <w:sz w:val="22"/>
          <w:highlight w:val="none"/>
        </w:rPr>
      </w:pPr>
      <w:bookmarkStart w:id="5" w:name="_Toc718"/>
      <w:r>
        <w:rPr>
          <w:rFonts w:cs="Calibri" w:asciiTheme="minorEastAsia" w:hAnsiTheme="minorEastAsia"/>
          <w:b/>
          <w:bCs/>
          <w:kern w:val="0"/>
          <w:sz w:val="22"/>
          <w:highlight w:val="none"/>
        </w:rPr>
        <w:t>1.</w:t>
      </w:r>
      <w:r>
        <w:rPr>
          <w:rFonts w:hint="eastAsia" w:cs="Calibri" w:asciiTheme="minorEastAsia" w:hAnsiTheme="minorEastAsia"/>
          <w:b/>
          <w:bCs/>
          <w:kern w:val="0"/>
          <w:sz w:val="22"/>
          <w:highlight w:val="none"/>
        </w:rPr>
        <w:t>4</w:t>
      </w:r>
      <w:r>
        <w:rPr>
          <w:rFonts w:cs="Calibri" w:asciiTheme="minorEastAsia" w:hAnsiTheme="minorEastAsia"/>
          <w:b/>
          <w:bCs/>
          <w:kern w:val="0"/>
          <w:sz w:val="22"/>
          <w:highlight w:val="none"/>
        </w:rPr>
        <w:t xml:space="preserve"> 招标方式</w:t>
      </w:r>
      <w:bookmarkEnd w:id="5"/>
    </w:p>
    <w:p>
      <w:pPr>
        <w:adjustRightInd w:val="0"/>
        <w:snapToGrid w:val="0"/>
        <w:spacing w:line="360" w:lineRule="exact"/>
        <w:ind w:firstLine="440"/>
        <w:rPr>
          <w:rFonts w:cs="Calibri" w:asciiTheme="minorEastAsia" w:hAnsiTheme="minorEastAsia"/>
          <w:color w:val="000000"/>
          <w:sz w:val="22"/>
          <w:highlight w:val="none"/>
        </w:rPr>
      </w:pPr>
      <w:r>
        <w:rPr>
          <w:rFonts w:cs="Calibri" w:asciiTheme="minorEastAsia" w:hAnsiTheme="minorEastAsia"/>
          <w:color w:val="000000"/>
          <w:sz w:val="22"/>
          <w:highlight w:val="none"/>
        </w:rPr>
        <w:t>见投标人须知前附表。</w:t>
      </w:r>
    </w:p>
    <w:p>
      <w:pPr>
        <w:autoSpaceDE w:val="0"/>
        <w:autoSpaceDN w:val="0"/>
        <w:adjustRightInd w:val="0"/>
        <w:snapToGrid w:val="0"/>
        <w:spacing w:line="360" w:lineRule="exact"/>
        <w:rPr>
          <w:rFonts w:cs="Calibri" w:asciiTheme="minorEastAsia" w:hAnsiTheme="minorEastAsia"/>
          <w:b/>
          <w:bCs/>
          <w:kern w:val="0"/>
          <w:sz w:val="22"/>
          <w:highlight w:val="none"/>
        </w:rPr>
      </w:pPr>
      <w:bookmarkStart w:id="6" w:name="_Toc9161"/>
      <w:r>
        <w:rPr>
          <w:rFonts w:cs="Calibri" w:asciiTheme="minorEastAsia" w:hAnsiTheme="minorEastAsia"/>
          <w:b/>
          <w:bCs/>
          <w:kern w:val="0"/>
          <w:sz w:val="22"/>
          <w:highlight w:val="none"/>
        </w:rPr>
        <w:t>1.</w:t>
      </w:r>
      <w:r>
        <w:rPr>
          <w:rFonts w:hint="eastAsia" w:cs="Calibri" w:asciiTheme="minorEastAsia" w:hAnsiTheme="minorEastAsia"/>
          <w:b/>
          <w:bCs/>
          <w:kern w:val="0"/>
          <w:sz w:val="22"/>
          <w:highlight w:val="none"/>
        </w:rPr>
        <w:t xml:space="preserve">5 </w:t>
      </w:r>
      <w:r>
        <w:rPr>
          <w:rFonts w:cs="Calibri" w:asciiTheme="minorEastAsia" w:hAnsiTheme="minorEastAsia"/>
          <w:b/>
          <w:bCs/>
          <w:kern w:val="0"/>
          <w:sz w:val="22"/>
          <w:highlight w:val="none"/>
        </w:rPr>
        <w:t>资格审查</w:t>
      </w:r>
      <w:bookmarkEnd w:id="6"/>
    </w:p>
    <w:p>
      <w:pPr>
        <w:adjustRightInd w:val="0"/>
        <w:snapToGrid w:val="0"/>
        <w:spacing w:line="360" w:lineRule="exact"/>
        <w:ind w:firstLine="440"/>
        <w:rPr>
          <w:rFonts w:cs="Calibri" w:asciiTheme="minorEastAsia" w:hAnsiTheme="minorEastAsia"/>
          <w:color w:val="000000"/>
          <w:sz w:val="22"/>
          <w:highlight w:val="none"/>
        </w:rPr>
      </w:pPr>
      <w:r>
        <w:rPr>
          <w:rFonts w:cs="Calibri" w:asciiTheme="minorEastAsia" w:hAnsiTheme="minorEastAsia"/>
          <w:color w:val="000000"/>
          <w:sz w:val="22"/>
          <w:highlight w:val="none"/>
        </w:rPr>
        <w:t>见投标人须知前附表。</w:t>
      </w:r>
    </w:p>
    <w:p>
      <w:pPr>
        <w:autoSpaceDE w:val="0"/>
        <w:autoSpaceDN w:val="0"/>
        <w:adjustRightInd w:val="0"/>
        <w:snapToGrid w:val="0"/>
        <w:spacing w:line="360" w:lineRule="exact"/>
        <w:rPr>
          <w:rFonts w:cs="Calibri" w:asciiTheme="minorEastAsia" w:hAnsiTheme="minorEastAsia"/>
          <w:b/>
          <w:bCs/>
          <w:kern w:val="0"/>
          <w:sz w:val="22"/>
          <w:highlight w:val="none"/>
        </w:rPr>
      </w:pPr>
      <w:bookmarkStart w:id="7" w:name="_Toc13012"/>
      <w:r>
        <w:rPr>
          <w:rFonts w:cs="Calibri" w:asciiTheme="minorEastAsia" w:hAnsiTheme="minorEastAsia"/>
          <w:b/>
          <w:bCs/>
          <w:kern w:val="0"/>
          <w:sz w:val="22"/>
          <w:highlight w:val="none"/>
        </w:rPr>
        <w:t>1.</w:t>
      </w:r>
      <w:r>
        <w:rPr>
          <w:rFonts w:hint="eastAsia" w:cs="Calibri" w:asciiTheme="minorEastAsia" w:hAnsiTheme="minorEastAsia"/>
          <w:b/>
          <w:bCs/>
          <w:kern w:val="0"/>
          <w:sz w:val="22"/>
          <w:highlight w:val="none"/>
        </w:rPr>
        <w:t>6</w:t>
      </w:r>
      <w:r>
        <w:rPr>
          <w:rFonts w:cs="Calibri" w:asciiTheme="minorEastAsia" w:hAnsiTheme="minorEastAsia"/>
          <w:b/>
          <w:bCs/>
          <w:kern w:val="0"/>
          <w:sz w:val="22"/>
          <w:highlight w:val="none"/>
        </w:rPr>
        <w:t xml:space="preserve"> 投标人资质条件、能力和信誉</w:t>
      </w:r>
      <w:bookmarkEnd w:id="7"/>
    </w:p>
    <w:p>
      <w:pPr>
        <w:adjustRightInd w:val="0"/>
        <w:snapToGrid w:val="0"/>
        <w:spacing w:line="360" w:lineRule="exact"/>
        <w:ind w:firstLine="440"/>
        <w:rPr>
          <w:rFonts w:cs="Calibri" w:asciiTheme="minorEastAsia" w:hAnsiTheme="minorEastAsia"/>
          <w:color w:val="000000"/>
          <w:sz w:val="22"/>
          <w:highlight w:val="none"/>
        </w:rPr>
      </w:pPr>
      <w:r>
        <w:rPr>
          <w:rFonts w:cs="Calibri" w:asciiTheme="minorEastAsia" w:hAnsiTheme="minorEastAsia"/>
          <w:color w:val="000000"/>
          <w:sz w:val="22"/>
          <w:highlight w:val="none"/>
        </w:rPr>
        <w:t>见投标人须知前附表。</w:t>
      </w:r>
    </w:p>
    <w:p>
      <w:pPr>
        <w:autoSpaceDE w:val="0"/>
        <w:autoSpaceDN w:val="0"/>
        <w:adjustRightInd w:val="0"/>
        <w:snapToGrid w:val="0"/>
        <w:spacing w:line="360" w:lineRule="exact"/>
        <w:rPr>
          <w:rFonts w:cs="Calibri" w:asciiTheme="minorEastAsia" w:hAnsiTheme="minorEastAsia"/>
          <w:b/>
          <w:bCs/>
          <w:kern w:val="0"/>
          <w:sz w:val="22"/>
          <w:highlight w:val="none"/>
        </w:rPr>
      </w:pPr>
      <w:bookmarkStart w:id="8" w:name="_Toc2796"/>
      <w:r>
        <w:rPr>
          <w:rFonts w:cs="Calibri" w:asciiTheme="minorEastAsia" w:hAnsiTheme="minorEastAsia"/>
          <w:b/>
          <w:bCs/>
          <w:kern w:val="0"/>
          <w:sz w:val="22"/>
          <w:highlight w:val="none"/>
        </w:rPr>
        <w:t>1.</w:t>
      </w:r>
      <w:r>
        <w:rPr>
          <w:rFonts w:hint="eastAsia" w:cs="Calibri" w:asciiTheme="minorEastAsia" w:hAnsiTheme="minorEastAsia"/>
          <w:b/>
          <w:bCs/>
          <w:kern w:val="0"/>
          <w:sz w:val="22"/>
          <w:highlight w:val="none"/>
        </w:rPr>
        <w:t>7</w:t>
      </w:r>
      <w:r>
        <w:rPr>
          <w:rFonts w:cs="Calibri" w:asciiTheme="minorEastAsia" w:hAnsiTheme="minorEastAsia"/>
          <w:b/>
          <w:bCs/>
          <w:kern w:val="0"/>
          <w:sz w:val="22"/>
          <w:highlight w:val="none"/>
        </w:rPr>
        <w:t xml:space="preserve"> </w:t>
      </w:r>
      <w:r>
        <w:rPr>
          <w:rFonts w:hint="eastAsia" w:cs="Calibri" w:asciiTheme="minorEastAsia" w:hAnsiTheme="minorEastAsia"/>
          <w:b/>
          <w:bCs/>
          <w:kern w:val="0"/>
          <w:sz w:val="22"/>
          <w:highlight w:val="none"/>
        </w:rPr>
        <w:t>供货</w:t>
      </w:r>
      <w:r>
        <w:rPr>
          <w:rFonts w:cs="Calibri" w:asciiTheme="minorEastAsia" w:hAnsiTheme="minorEastAsia"/>
          <w:b/>
          <w:bCs/>
          <w:kern w:val="0"/>
          <w:sz w:val="22"/>
          <w:highlight w:val="none"/>
        </w:rPr>
        <w:t>期</w:t>
      </w:r>
      <w:bookmarkEnd w:id="8"/>
    </w:p>
    <w:p>
      <w:pPr>
        <w:adjustRightInd w:val="0"/>
        <w:snapToGrid w:val="0"/>
        <w:spacing w:line="360" w:lineRule="exact"/>
        <w:ind w:firstLine="440"/>
        <w:rPr>
          <w:rFonts w:cs="Calibri" w:asciiTheme="minorEastAsia" w:hAnsiTheme="minorEastAsia"/>
          <w:color w:val="000000"/>
          <w:sz w:val="22"/>
          <w:highlight w:val="none"/>
        </w:rPr>
      </w:pPr>
      <w:r>
        <w:rPr>
          <w:rFonts w:cs="Calibri" w:asciiTheme="minorEastAsia" w:hAnsiTheme="minorEastAsia"/>
          <w:color w:val="000000"/>
          <w:sz w:val="22"/>
          <w:highlight w:val="none"/>
        </w:rPr>
        <w:t>见投标人须知前附表。</w:t>
      </w:r>
    </w:p>
    <w:p>
      <w:pPr>
        <w:autoSpaceDE w:val="0"/>
        <w:autoSpaceDN w:val="0"/>
        <w:adjustRightInd w:val="0"/>
        <w:snapToGrid w:val="0"/>
        <w:spacing w:line="360" w:lineRule="exact"/>
        <w:rPr>
          <w:rFonts w:cs="Calibri" w:asciiTheme="minorEastAsia" w:hAnsiTheme="minorEastAsia"/>
          <w:b/>
          <w:bCs/>
          <w:kern w:val="0"/>
          <w:sz w:val="22"/>
          <w:highlight w:val="none"/>
        </w:rPr>
      </w:pPr>
      <w:r>
        <w:rPr>
          <w:rFonts w:hint="eastAsia" w:cs="Calibri" w:asciiTheme="minorEastAsia" w:hAnsiTheme="minorEastAsia"/>
          <w:b/>
          <w:bCs/>
          <w:kern w:val="0"/>
          <w:sz w:val="22"/>
          <w:highlight w:val="none"/>
        </w:rPr>
        <w:t>1.8 质量要求</w:t>
      </w:r>
    </w:p>
    <w:p>
      <w:pPr>
        <w:adjustRightInd w:val="0"/>
        <w:snapToGrid w:val="0"/>
        <w:spacing w:line="360" w:lineRule="exact"/>
        <w:ind w:firstLine="440"/>
        <w:rPr>
          <w:rFonts w:cs="Calibri" w:asciiTheme="minorEastAsia" w:hAnsiTheme="minorEastAsia"/>
          <w:color w:val="000000"/>
          <w:sz w:val="22"/>
          <w:highlight w:val="none"/>
        </w:rPr>
      </w:pPr>
      <w:bookmarkStart w:id="9" w:name="_Toc13907"/>
      <w:r>
        <w:rPr>
          <w:rFonts w:cs="Calibri" w:asciiTheme="minorEastAsia" w:hAnsiTheme="minorEastAsia"/>
          <w:color w:val="000000"/>
          <w:sz w:val="22"/>
          <w:highlight w:val="none"/>
        </w:rPr>
        <w:t>见投标人须知前附表。</w:t>
      </w:r>
    </w:p>
    <w:p>
      <w:pPr>
        <w:autoSpaceDE w:val="0"/>
        <w:autoSpaceDN w:val="0"/>
        <w:adjustRightInd w:val="0"/>
        <w:snapToGrid w:val="0"/>
        <w:spacing w:line="360" w:lineRule="exact"/>
        <w:rPr>
          <w:rFonts w:cs="Calibri" w:asciiTheme="minorEastAsia" w:hAnsiTheme="minorEastAsia"/>
          <w:b/>
          <w:bCs/>
          <w:kern w:val="0"/>
          <w:sz w:val="22"/>
          <w:highlight w:val="none"/>
        </w:rPr>
      </w:pPr>
      <w:r>
        <w:rPr>
          <w:rFonts w:cs="Calibri" w:asciiTheme="minorEastAsia" w:hAnsiTheme="minorEastAsia"/>
          <w:b/>
          <w:bCs/>
          <w:kern w:val="0"/>
          <w:sz w:val="22"/>
          <w:highlight w:val="none"/>
        </w:rPr>
        <w:t>1.</w:t>
      </w:r>
      <w:r>
        <w:rPr>
          <w:rFonts w:hint="eastAsia" w:cs="Calibri" w:asciiTheme="minorEastAsia" w:hAnsiTheme="minorEastAsia"/>
          <w:b/>
          <w:bCs/>
          <w:kern w:val="0"/>
          <w:sz w:val="22"/>
          <w:highlight w:val="none"/>
        </w:rPr>
        <w:t>9</w:t>
      </w:r>
      <w:r>
        <w:rPr>
          <w:rFonts w:cs="Calibri" w:asciiTheme="minorEastAsia" w:hAnsiTheme="minorEastAsia"/>
          <w:b/>
          <w:bCs/>
          <w:kern w:val="0"/>
          <w:sz w:val="22"/>
          <w:highlight w:val="none"/>
        </w:rPr>
        <w:t xml:space="preserve"> 踏勘现场</w:t>
      </w:r>
      <w:bookmarkEnd w:id="9"/>
    </w:p>
    <w:p>
      <w:pPr>
        <w:adjustRightInd w:val="0"/>
        <w:snapToGrid w:val="0"/>
        <w:spacing w:line="360" w:lineRule="exact"/>
        <w:ind w:firstLine="440"/>
        <w:rPr>
          <w:rFonts w:cs="Calibri" w:asciiTheme="minorEastAsia" w:hAnsiTheme="minorEastAsia"/>
          <w:color w:val="000000"/>
          <w:sz w:val="22"/>
          <w:highlight w:val="none"/>
        </w:rPr>
      </w:pPr>
      <w:r>
        <w:rPr>
          <w:rFonts w:cs="Calibri" w:asciiTheme="minorEastAsia" w:hAnsiTheme="minorEastAsia"/>
          <w:sz w:val="22"/>
          <w:highlight w:val="none"/>
        </w:rPr>
        <w:t>1.</w:t>
      </w:r>
      <w:r>
        <w:rPr>
          <w:rFonts w:hint="eastAsia" w:cs="Calibri" w:asciiTheme="minorEastAsia" w:hAnsiTheme="minorEastAsia"/>
          <w:sz w:val="22"/>
          <w:highlight w:val="none"/>
        </w:rPr>
        <w:t>9</w:t>
      </w:r>
      <w:r>
        <w:rPr>
          <w:rFonts w:cs="Calibri" w:asciiTheme="minorEastAsia" w:hAnsiTheme="minorEastAsia"/>
          <w:sz w:val="22"/>
          <w:highlight w:val="none"/>
        </w:rPr>
        <w:t>.1</w:t>
      </w:r>
      <w:r>
        <w:rPr>
          <w:rFonts w:cs="Calibri" w:asciiTheme="minorEastAsia" w:hAnsiTheme="minorEastAsia"/>
          <w:color w:val="000000"/>
          <w:sz w:val="22"/>
          <w:highlight w:val="none"/>
        </w:rPr>
        <w:t>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color w:val="000000"/>
          <w:sz w:val="22"/>
          <w:highlight w:val="none"/>
        </w:rPr>
      </w:pPr>
      <w:r>
        <w:rPr>
          <w:rFonts w:cs="Calibri" w:asciiTheme="minorEastAsia" w:hAnsiTheme="minorEastAsia"/>
          <w:color w:val="000000"/>
          <w:sz w:val="22"/>
          <w:highlight w:val="none"/>
        </w:rPr>
        <w:t>1.</w:t>
      </w:r>
      <w:r>
        <w:rPr>
          <w:rFonts w:hint="eastAsia" w:cs="Calibri" w:asciiTheme="minorEastAsia" w:hAnsiTheme="minorEastAsia"/>
          <w:color w:val="000000"/>
          <w:sz w:val="22"/>
          <w:highlight w:val="none"/>
        </w:rPr>
        <w:t>9</w:t>
      </w:r>
      <w:r>
        <w:rPr>
          <w:rFonts w:cs="Calibri" w:asciiTheme="minorEastAsia" w:hAnsiTheme="minorEastAsia"/>
          <w:color w:val="000000"/>
          <w:sz w:val="22"/>
          <w:highlight w:val="none"/>
        </w:rPr>
        <w:t>.2 投标人踏勘现场发生的费用自理。</w:t>
      </w:r>
    </w:p>
    <w:p>
      <w:pPr>
        <w:adjustRightInd w:val="0"/>
        <w:snapToGrid w:val="0"/>
        <w:spacing w:line="360" w:lineRule="exact"/>
        <w:ind w:firstLine="440"/>
        <w:rPr>
          <w:rFonts w:cs="Calibri" w:asciiTheme="minorEastAsia" w:hAnsiTheme="minorEastAsia"/>
          <w:color w:val="000000"/>
          <w:sz w:val="22"/>
          <w:highlight w:val="none"/>
        </w:rPr>
      </w:pPr>
      <w:r>
        <w:rPr>
          <w:rFonts w:cs="Calibri" w:asciiTheme="minorEastAsia" w:hAnsiTheme="minorEastAsia"/>
          <w:color w:val="000000"/>
          <w:sz w:val="22"/>
          <w:highlight w:val="none"/>
        </w:rPr>
        <w:t>1.</w:t>
      </w:r>
      <w:r>
        <w:rPr>
          <w:rFonts w:hint="eastAsia" w:cs="Calibri" w:asciiTheme="minorEastAsia" w:hAnsiTheme="minorEastAsia"/>
          <w:color w:val="000000"/>
          <w:sz w:val="22"/>
          <w:highlight w:val="none"/>
        </w:rPr>
        <w:t>9</w:t>
      </w:r>
      <w:r>
        <w:rPr>
          <w:rFonts w:cs="Calibri" w:asciiTheme="minorEastAsia" w:hAnsiTheme="minorEastAsia"/>
          <w:color w:val="000000"/>
          <w:sz w:val="22"/>
          <w:highlight w:val="none"/>
        </w:rPr>
        <w:t>.3 投标人自行负责在踏勘现场中所发生的人员伤亡和财产损失。</w:t>
      </w:r>
    </w:p>
    <w:p>
      <w:pPr>
        <w:adjustRightInd w:val="0"/>
        <w:snapToGrid w:val="0"/>
        <w:spacing w:line="360" w:lineRule="exact"/>
        <w:ind w:firstLine="440"/>
        <w:rPr>
          <w:rFonts w:cs="Calibri" w:asciiTheme="minorEastAsia" w:hAnsiTheme="minorEastAsia"/>
          <w:color w:val="000000"/>
          <w:sz w:val="22"/>
          <w:highlight w:val="none"/>
        </w:rPr>
      </w:pPr>
      <w:r>
        <w:rPr>
          <w:rFonts w:cs="Calibri" w:asciiTheme="minorEastAsia" w:hAnsiTheme="minorEastAsia"/>
          <w:color w:val="000000"/>
          <w:sz w:val="22"/>
          <w:highlight w:val="none"/>
        </w:rPr>
        <w:t>1.</w:t>
      </w:r>
      <w:r>
        <w:rPr>
          <w:rFonts w:hint="eastAsia" w:cs="Calibri" w:asciiTheme="minorEastAsia" w:hAnsiTheme="minorEastAsia"/>
          <w:color w:val="000000"/>
          <w:sz w:val="22"/>
          <w:highlight w:val="none"/>
        </w:rPr>
        <w:t>9</w:t>
      </w:r>
      <w:r>
        <w:rPr>
          <w:rFonts w:cs="Calibri" w:asciiTheme="minorEastAsia" w:hAnsiTheme="minorEastAsia"/>
          <w:color w:val="000000"/>
          <w:sz w:val="22"/>
          <w:highlight w:val="none"/>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kern w:val="0"/>
          <w:sz w:val="22"/>
          <w:highlight w:val="none"/>
        </w:rPr>
      </w:pPr>
      <w:bookmarkStart w:id="10" w:name="_Toc4199"/>
      <w:r>
        <w:rPr>
          <w:rFonts w:cs="Calibri" w:asciiTheme="minorEastAsia" w:hAnsiTheme="minorEastAsia"/>
          <w:b/>
          <w:bCs/>
          <w:kern w:val="0"/>
          <w:sz w:val="22"/>
          <w:highlight w:val="none"/>
        </w:rPr>
        <w:t>1.</w:t>
      </w:r>
      <w:r>
        <w:rPr>
          <w:rFonts w:hint="eastAsia" w:cs="Calibri" w:asciiTheme="minorEastAsia" w:hAnsiTheme="minorEastAsia"/>
          <w:b/>
          <w:bCs/>
          <w:kern w:val="0"/>
          <w:sz w:val="22"/>
          <w:highlight w:val="none"/>
        </w:rPr>
        <w:t>10</w:t>
      </w:r>
      <w:r>
        <w:rPr>
          <w:rFonts w:cs="Calibri" w:asciiTheme="minorEastAsia" w:hAnsiTheme="minorEastAsia"/>
          <w:b/>
          <w:bCs/>
          <w:kern w:val="0"/>
          <w:sz w:val="22"/>
          <w:highlight w:val="none"/>
        </w:rPr>
        <w:t xml:space="preserve"> 投标预备会</w:t>
      </w:r>
      <w:bookmarkEnd w:id="10"/>
    </w:p>
    <w:p>
      <w:pPr>
        <w:adjustRightInd w:val="0"/>
        <w:snapToGrid w:val="0"/>
        <w:spacing w:line="360" w:lineRule="exact"/>
        <w:ind w:firstLine="440"/>
        <w:rPr>
          <w:rFonts w:cs="Calibri" w:asciiTheme="minorEastAsia" w:hAnsiTheme="minorEastAsia"/>
          <w:color w:val="000000"/>
          <w:sz w:val="22"/>
          <w:highlight w:val="none"/>
        </w:rPr>
      </w:pPr>
      <w:r>
        <w:rPr>
          <w:rFonts w:cs="Calibri" w:asciiTheme="minorEastAsia" w:hAnsiTheme="minorEastAsia"/>
          <w:color w:val="000000"/>
          <w:sz w:val="22"/>
          <w:highlight w:val="none"/>
        </w:rPr>
        <w:t>见投标人须知前附表。</w:t>
      </w:r>
    </w:p>
    <w:p>
      <w:pPr>
        <w:autoSpaceDE w:val="0"/>
        <w:autoSpaceDN w:val="0"/>
        <w:adjustRightInd w:val="0"/>
        <w:snapToGrid w:val="0"/>
        <w:spacing w:line="360" w:lineRule="exact"/>
        <w:rPr>
          <w:rFonts w:cs="Calibri" w:asciiTheme="minorEastAsia" w:hAnsiTheme="minorEastAsia"/>
          <w:b/>
          <w:bCs/>
          <w:kern w:val="0"/>
          <w:sz w:val="22"/>
          <w:highlight w:val="none"/>
        </w:rPr>
      </w:pPr>
      <w:bookmarkStart w:id="11" w:name="_Toc4584"/>
      <w:r>
        <w:rPr>
          <w:rFonts w:cs="Calibri" w:asciiTheme="minorEastAsia" w:hAnsiTheme="minorEastAsia"/>
          <w:b/>
          <w:bCs/>
          <w:kern w:val="0"/>
          <w:sz w:val="22"/>
          <w:highlight w:val="none"/>
        </w:rPr>
        <w:t>1.1</w:t>
      </w:r>
      <w:r>
        <w:rPr>
          <w:rFonts w:hint="eastAsia" w:cs="Calibri" w:asciiTheme="minorEastAsia" w:hAnsiTheme="minorEastAsia"/>
          <w:b/>
          <w:bCs/>
          <w:kern w:val="0"/>
          <w:sz w:val="22"/>
          <w:highlight w:val="none"/>
        </w:rPr>
        <w:t>1</w:t>
      </w:r>
      <w:r>
        <w:rPr>
          <w:rFonts w:cs="Calibri" w:asciiTheme="minorEastAsia" w:hAnsiTheme="minorEastAsia"/>
          <w:b/>
          <w:bCs/>
          <w:kern w:val="0"/>
          <w:sz w:val="22"/>
          <w:highlight w:val="none"/>
        </w:rPr>
        <w:t xml:space="preserve"> 分包</w:t>
      </w:r>
      <w:bookmarkEnd w:id="11"/>
    </w:p>
    <w:p>
      <w:pPr>
        <w:adjustRightInd w:val="0"/>
        <w:snapToGrid w:val="0"/>
        <w:spacing w:line="360" w:lineRule="exact"/>
        <w:ind w:firstLine="440"/>
        <w:rPr>
          <w:rFonts w:cs="Calibri" w:asciiTheme="minorEastAsia" w:hAnsiTheme="minorEastAsia"/>
          <w:color w:val="000000"/>
          <w:sz w:val="22"/>
          <w:highlight w:val="none"/>
        </w:rPr>
      </w:pPr>
      <w:r>
        <w:rPr>
          <w:rFonts w:cs="Calibri" w:asciiTheme="minorEastAsia" w:hAnsiTheme="minorEastAsia"/>
          <w:color w:val="000000"/>
          <w:sz w:val="22"/>
          <w:highlight w:val="none"/>
        </w:rPr>
        <w:t>本项目</w:t>
      </w:r>
      <w:r>
        <w:rPr>
          <w:rFonts w:hint="eastAsia" w:cs="Calibri" w:asciiTheme="minorEastAsia" w:hAnsiTheme="minorEastAsia"/>
          <w:color w:val="000000"/>
          <w:sz w:val="22"/>
          <w:highlight w:val="none"/>
        </w:rPr>
        <w:t>涉及到其它专业的部分分项工作</w:t>
      </w:r>
      <w:r>
        <w:rPr>
          <w:rFonts w:cs="Calibri" w:asciiTheme="minorEastAsia" w:hAnsiTheme="minorEastAsia"/>
          <w:color w:val="000000"/>
          <w:sz w:val="22"/>
          <w:highlight w:val="none"/>
        </w:rPr>
        <w:t>允许分包。</w:t>
      </w:r>
    </w:p>
    <w:p>
      <w:pPr>
        <w:autoSpaceDE w:val="0"/>
        <w:autoSpaceDN w:val="0"/>
        <w:adjustRightInd w:val="0"/>
        <w:snapToGrid w:val="0"/>
        <w:spacing w:line="360" w:lineRule="exact"/>
        <w:rPr>
          <w:rFonts w:cs="Calibri" w:asciiTheme="minorEastAsia" w:hAnsiTheme="minorEastAsia"/>
          <w:b/>
          <w:bCs/>
          <w:kern w:val="0"/>
          <w:sz w:val="22"/>
          <w:highlight w:val="none"/>
        </w:rPr>
      </w:pPr>
      <w:bookmarkStart w:id="12" w:name="_Toc3996"/>
      <w:r>
        <w:rPr>
          <w:rFonts w:cs="Calibri" w:asciiTheme="minorEastAsia" w:hAnsiTheme="minorEastAsia"/>
          <w:b/>
          <w:bCs/>
          <w:kern w:val="0"/>
          <w:sz w:val="22"/>
          <w:highlight w:val="none"/>
        </w:rPr>
        <w:t>1.1</w:t>
      </w:r>
      <w:r>
        <w:rPr>
          <w:rFonts w:hint="eastAsia" w:cs="Calibri" w:asciiTheme="minorEastAsia" w:hAnsiTheme="minorEastAsia"/>
          <w:b/>
          <w:bCs/>
          <w:kern w:val="0"/>
          <w:sz w:val="22"/>
          <w:highlight w:val="none"/>
        </w:rPr>
        <w:t>2</w:t>
      </w:r>
      <w:r>
        <w:rPr>
          <w:rFonts w:cs="Calibri" w:asciiTheme="minorEastAsia" w:hAnsiTheme="minorEastAsia"/>
          <w:b/>
          <w:bCs/>
          <w:kern w:val="0"/>
          <w:sz w:val="22"/>
          <w:highlight w:val="none"/>
        </w:rPr>
        <w:t xml:space="preserve"> 投标费用</w:t>
      </w:r>
      <w:bookmarkEnd w:id="12"/>
    </w:p>
    <w:p>
      <w:pPr>
        <w:adjustRightInd w:val="0"/>
        <w:snapToGrid w:val="0"/>
        <w:spacing w:line="360" w:lineRule="exact"/>
        <w:ind w:firstLine="440"/>
        <w:rPr>
          <w:rFonts w:cs="Calibri" w:asciiTheme="minorEastAsia" w:hAnsiTheme="minorEastAsia"/>
          <w:color w:val="000000"/>
          <w:sz w:val="22"/>
          <w:highlight w:val="none"/>
        </w:rPr>
      </w:pPr>
      <w:r>
        <w:rPr>
          <w:rFonts w:cs="Calibri" w:asciiTheme="minorEastAsia" w:hAnsiTheme="minorEastAsia"/>
          <w:color w:val="000000"/>
          <w:sz w:val="22"/>
          <w:highlight w:val="none"/>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kern w:val="0"/>
          <w:sz w:val="22"/>
          <w:highlight w:val="none"/>
        </w:rPr>
      </w:pPr>
      <w:bookmarkStart w:id="13" w:name="_Toc143421657"/>
      <w:bookmarkStart w:id="14" w:name="_Toc15241"/>
      <w:r>
        <w:rPr>
          <w:rFonts w:cs="Calibri" w:asciiTheme="minorEastAsia" w:hAnsiTheme="minorEastAsia"/>
          <w:b/>
          <w:bCs/>
          <w:kern w:val="0"/>
          <w:sz w:val="22"/>
          <w:highlight w:val="none"/>
        </w:rPr>
        <w:t>2.招标文件</w:t>
      </w:r>
      <w:bookmarkEnd w:id="13"/>
      <w:bookmarkEnd w:id="14"/>
    </w:p>
    <w:p>
      <w:pPr>
        <w:autoSpaceDE w:val="0"/>
        <w:autoSpaceDN w:val="0"/>
        <w:adjustRightInd w:val="0"/>
        <w:snapToGrid w:val="0"/>
        <w:spacing w:line="360" w:lineRule="exact"/>
        <w:rPr>
          <w:rFonts w:cs="Calibri" w:asciiTheme="minorEastAsia" w:hAnsiTheme="minorEastAsia"/>
          <w:b/>
          <w:bCs/>
          <w:kern w:val="0"/>
          <w:sz w:val="22"/>
          <w:highlight w:val="none"/>
        </w:rPr>
      </w:pPr>
      <w:bookmarkStart w:id="15" w:name="_Toc1426"/>
      <w:r>
        <w:rPr>
          <w:rFonts w:cs="Calibri" w:asciiTheme="minorEastAsia" w:hAnsiTheme="minorEastAsia"/>
          <w:b/>
          <w:bCs/>
          <w:kern w:val="0"/>
          <w:sz w:val="22"/>
          <w:highlight w:val="none"/>
        </w:rPr>
        <w:t>2.1 招标文件的组成</w:t>
      </w:r>
      <w:bookmarkEnd w:id="15"/>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本招标文件包括：</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（1）招标公告</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（2）投标人须知</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（3）货物需求一览表及技术规格</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（4）合同条款</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（5）评标办法</w:t>
      </w:r>
      <w:r>
        <w:rPr>
          <w:rFonts w:hint="eastAsia" w:ascii="宋体" w:hAnsi="宋体" w:cs="Calibri"/>
          <w:kern w:val="0"/>
          <w:sz w:val="22"/>
          <w:highlight w:val="none"/>
        </w:rPr>
        <w:t>及标准</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（6）投标文件格式</w:t>
      </w:r>
    </w:p>
    <w:p>
      <w:pPr>
        <w:adjustRightInd w:val="0"/>
        <w:snapToGrid w:val="0"/>
        <w:spacing w:line="360" w:lineRule="exact"/>
        <w:ind w:firstLine="440"/>
        <w:rPr>
          <w:rFonts w:ascii="宋体" w:hAnsi="宋体" w:cs="Calibri"/>
          <w:kern w:val="0"/>
          <w:sz w:val="22"/>
          <w:highlight w:val="none"/>
        </w:rPr>
      </w:pPr>
      <w:r>
        <w:rPr>
          <w:rFonts w:ascii="宋体" w:hAnsi="宋体" w:cs="Calibri"/>
          <w:sz w:val="22"/>
          <w:highlight w:val="none"/>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kern w:val="0"/>
          <w:sz w:val="22"/>
          <w:highlight w:val="none"/>
        </w:rPr>
      </w:pPr>
      <w:bookmarkStart w:id="16" w:name="_Toc18230"/>
      <w:r>
        <w:rPr>
          <w:rFonts w:cs="Calibri" w:asciiTheme="minorEastAsia" w:hAnsiTheme="minorEastAsia"/>
          <w:b/>
          <w:bCs/>
          <w:kern w:val="0"/>
          <w:sz w:val="22"/>
          <w:highlight w:val="none"/>
        </w:rPr>
        <w:t>2.2 招标文件的澄清</w:t>
      </w:r>
      <w:bookmarkEnd w:id="16"/>
    </w:p>
    <w:p>
      <w:pPr>
        <w:adjustRightInd w:val="0"/>
        <w:snapToGrid w:val="0"/>
        <w:spacing w:line="360" w:lineRule="exact"/>
        <w:ind w:firstLine="440"/>
        <w:rPr>
          <w:rFonts w:cs="Calibri" w:asciiTheme="minorEastAsia" w:hAnsiTheme="minorEastAsia"/>
          <w:color w:val="000000"/>
          <w:sz w:val="22"/>
          <w:highlight w:val="none"/>
        </w:rPr>
      </w:pPr>
      <w:r>
        <w:rPr>
          <w:rFonts w:cs="Calibri" w:asciiTheme="minorEastAsia" w:hAnsiTheme="minorEastAsia"/>
          <w:color w:val="000000"/>
          <w:sz w:val="22"/>
          <w:highlight w:val="none"/>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highlight w:val="none"/>
        </w:rPr>
      </w:pPr>
      <w:r>
        <w:rPr>
          <w:rFonts w:cs="Calibri" w:asciiTheme="minorEastAsia" w:hAnsiTheme="minorEastAsia"/>
          <w:color w:val="000000"/>
          <w:sz w:val="22"/>
          <w:highlight w:val="none"/>
        </w:rPr>
        <w:t>2.2.2</w:t>
      </w:r>
      <w:r>
        <w:rPr>
          <w:rFonts w:hint="eastAsia" w:ascii="Calibri" w:hAnsi="Calibri" w:cs="Calibri"/>
          <w:color w:val="000000"/>
          <w:sz w:val="21"/>
          <w:szCs w:val="21"/>
          <w:highlight w:val="none"/>
        </w:rPr>
        <w:t>招标人将视情况采用补充公告的方式予以澄清。</w:t>
      </w:r>
    </w:p>
    <w:p>
      <w:pPr>
        <w:autoSpaceDE w:val="0"/>
        <w:autoSpaceDN w:val="0"/>
        <w:adjustRightInd w:val="0"/>
        <w:snapToGrid w:val="0"/>
        <w:spacing w:line="360" w:lineRule="exact"/>
        <w:rPr>
          <w:rFonts w:cs="Calibri" w:asciiTheme="minorEastAsia" w:hAnsiTheme="minorEastAsia"/>
          <w:b/>
          <w:bCs/>
          <w:kern w:val="0"/>
          <w:sz w:val="22"/>
          <w:highlight w:val="none"/>
        </w:rPr>
      </w:pPr>
      <w:bookmarkStart w:id="17" w:name="_Toc18303"/>
      <w:r>
        <w:rPr>
          <w:rFonts w:cs="Calibri" w:asciiTheme="minorEastAsia" w:hAnsiTheme="minorEastAsia"/>
          <w:b/>
          <w:bCs/>
          <w:kern w:val="0"/>
          <w:sz w:val="22"/>
          <w:highlight w:val="none"/>
        </w:rPr>
        <w:t>2.3 招标文件的修改</w:t>
      </w:r>
      <w:bookmarkEnd w:id="17"/>
    </w:p>
    <w:p>
      <w:pPr>
        <w:adjustRightInd w:val="0"/>
        <w:snapToGrid w:val="0"/>
        <w:spacing w:line="360" w:lineRule="exact"/>
        <w:ind w:firstLine="440"/>
        <w:rPr>
          <w:rFonts w:cs="Calibri" w:asciiTheme="minorEastAsia" w:hAnsiTheme="minorEastAsia"/>
          <w:color w:val="000000"/>
          <w:sz w:val="22"/>
          <w:highlight w:val="none"/>
        </w:rPr>
      </w:pPr>
      <w:r>
        <w:rPr>
          <w:rFonts w:cs="Calibri" w:asciiTheme="minorEastAsia" w:hAnsiTheme="minorEastAsia"/>
          <w:color w:val="000000"/>
          <w:kern w:val="0"/>
          <w:sz w:val="22"/>
          <w:highlight w:val="none"/>
        </w:rPr>
        <w:t>2.3.1</w:t>
      </w:r>
      <w:r>
        <w:rPr>
          <w:rFonts w:hint="eastAsia" w:cs="Calibri" w:asciiTheme="minorEastAsia" w:hAnsiTheme="minorEastAsia"/>
          <w:kern w:val="0"/>
          <w:sz w:val="22"/>
          <w:highlight w:val="none"/>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highlight w:val="none"/>
        </w:rPr>
      </w:pPr>
      <w:bookmarkStart w:id="18" w:name="_Toc143421658"/>
      <w:bookmarkStart w:id="19" w:name="_Toc18870"/>
      <w:r>
        <w:rPr>
          <w:rFonts w:ascii="宋体" w:hAnsi="宋体" w:cs="Calibri"/>
          <w:b/>
          <w:bCs/>
          <w:kern w:val="0"/>
          <w:sz w:val="22"/>
          <w:highlight w:val="none"/>
        </w:rPr>
        <w:t>3.投标文件</w:t>
      </w:r>
      <w:bookmarkEnd w:id="18"/>
      <w:bookmarkEnd w:id="19"/>
    </w:p>
    <w:p>
      <w:pPr>
        <w:autoSpaceDE w:val="0"/>
        <w:autoSpaceDN w:val="0"/>
        <w:adjustRightInd w:val="0"/>
        <w:snapToGrid w:val="0"/>
        <w:spacing w:line="360" w:lineRule="exact"/>
        <w:rPr>
          <w:rFonts w:ascii="宋体" w:hAnsi="宋体" w:cs="Calibri"/>
          <w:b/>
          <w:bCs/>
          <w:kern w:val="0"/>
          <w:sz w:val="22"/>
          <w:highlight w:val="none"/>
        </w:rPr>
      </w:pPr>
      <w:bookmarkStart w:id="20" w:name="_Toc461"/>
      <w:r>
        <w:rPr>
          <w:rFonts w:ascii="宋体" w:hAnsi="宋体" w:cs="Calibri"/>
          <w:b/>
          <w:bCs/>
          <w:kern w:val="0"/>
          <w:sz w:val="22"/>
          <w:highlight w:val="none"/>
        </w:rPr>
        <w:t>3.1 投标文件的语言和计量单位</w:t>
      </w:r>
      <w:bookmarkEnd w:id="20"/>
    </w:p>
    <w:p>
      <w:pPr>
        <w:adjustRightInd w:val="0"/>
        <w:snapToGrid w:val="0"/>
        <w:spacing w:line="360" w:lineRule="exact"/>
        <w:ind w:firstLine="440"/>
        <w:rPr>
          <w:rFonts w:ascii="宋体" w:hAnsi="宋体" w:cs="Calibri"/>
          <w:kern w:val="0"/>
          <w:sz w:val="22"/>
          <w:highlight w:val="none"/>
        </w:rPr>
      </w:pPr>
      <w:r>
        <w:rPr>
          <w:rFonts w:ascii="宋体" w:hAnsi="宋体" w:cs="Calibri"/>
          <w:sz w:val="22"/>
          <w:highlight w:val="none"/>
        </w:rPr>
        <w:t>3.1.1投标文件与投标有关的所有文件均应使用中文。</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3.1.3招标文件中的“天”除特别说明外，均为日历天。</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3.1.4招标文件中所指的“合同”除特别说明外，指 “销售</w:t>
      </w:r>
      <w:r>
        <w:rPr>
          <w:rFonts w:hint="eastAsia" w:ascii="宋体" w:hAnsi="宋体" w:cs="Calibri"/>
          <w:kern w:val="0"/>
          <w:sz w:val="22"/>
          <w:highlight w:val="none"/>
        </w:rPr>
        <w:t>（供货）</w:t>
      </w:r>
      <w:r>
        <w:rPr>
          <w:rFonts w:ascii="宋体" w:hAnsi="宋体" w:cs="Calibri"/>
          <w:kern w:val="0"/>
          <w:sz w:val="22"/>
          <w:highlight w:val="none"/>
        </w:rPr>
        <w:t>合同”。</w:t>
      </w:r>
    </w:p>
    <w:p>
      <w:pPr>
        <w:autoSpaceDE w:val="0"/>
        <w:autoSpaceDN w:val="0"/>
        <w:adjustRightInd w:val="0"/>
        <w:snapToGrid w:val="0"/>
        <w:spacing w:line="360" w:lineRule="exact"/>
        <w:rPr>
          <w:rFonts w:ascii="宋体" w:hAnsi="宋体" w:cs="Calibri"/>
          <w:b/>
          <w:bCs/>
          <w:kern w:val="0"/>
          <w:sz w:val="22"/>
          <w:highlight w:val="none"/>
        </w:rPr>
      </w:pPr>
      <w:bookmarkStart w:id="21" w:name="_Toc1411"/>
      <w:r>
        <w:rPr>
          <w:rFonts w:ascii="宋体" w:hAnsi="宋体" w:cs="Calibri"/>
          <w:b/>
          <w:bCs/>
          <w:kern w:val="0"/>
          <w:sz w:val="22"/>
          <w:highlight w:val="none"/>
        </w:rPr>
        <w:t>3.2 投标文件的组成</w:t>
      </w:r>
      <w:bookmarkEnd w:id="21"/>
    </w:p>
    <w:p>
      <w:pPr>
        <w:adjustRightInd w:val="0"/>
        <w:snapToGrid w:val="0"/>
        <w:spacing w:line="360" w:lineRule="exact"/>
        <w:ind w:firstLine="440"/>
        <w:rPr>
          <w:rFonts w:ascii="宋体" w:hAnsi="宋体" w:cs="Calibri"/>
          <w:sz w:val="22"/>
          <w:highlight w:val="none"/>
        </w:rPr>
      </w:pPr>
      <w:bookmarkStart w:id="22" w:name="_Toc32225"/>
      <w:r>
        <w:rPr>
          <w:rFonts w:ascii="宋体" w:hAnsi="宋体" w:cs="Calibri"/>
          <w:sz w:val="22"/>
          <w:highlight w:val="none"/>
        </w:rPr>
        <w:t>3.2.1投标函；</w:t>
      </w:r>
    </w:p>
    <w:p>
      <w:pPr>
        <w:adjustRightInd w:val="0"/>
        <w:snapToGrid w:val="0"/>
        <w:spacing w:line="360" w:lineRule="exact"/>
        <w:ind w:firstLine="440"/>
        <w:rPr>
          <w:rFonts w:cs="Calibri" w:asciiTheme="minorEastAsia" w:hAnsiTheme="minorEastAsia"/>
          <w:color w:val="000000"/>
          <w:sz w:val="22"/>
          <w:highlight w:val="none"/>
        </w:rPr>
      </w:pPr>
      <w:r>
        <w:rPr>
          <w:rFonts w:cs="Calibri" w:asciiTheme="minorEastAsia" w:hAnsiTheme="minorEastAsia"/>
          <w:color w:val="000000"/>
          <w:sz w:val="22"/>
          <w:highlight w:val="none"/>
        </w:rPr>
        <w:t>3.2.</w:t>
      </w:r>
      <w:r>
        <w:rPr>
          <w:rFonts w:hint="eastAsia" w:cs="Calibri" w:asciiTheme="minorEastAsia" w:hAnsiTheme="minorEastAsia"/>
          <w:color w:val="000000"/>
          <w:sz w:val="22"/>
          <w:highlight w:val="none"/>
        </w:rPr>
        <w:t>2</w:t>
      </w:r>
      <w:r>
        <w:rPr>
          <w:rFonts w:cs="Calibri" w:asciiTheme="minorEastAsia" w:hAnsiTheme="minorEastAsia"/>
          <w:color w:val="000000"/>
          <w:sz w:val="22"/>
          <w:highlight w:val="none"/>
        </w:rPr>
        <w:t>法定代表人资格证明书；</w:t>
      </w:r>
    </w:p>
    <w:p>
      <w:pPr>
        <w:adjustRightInd w:val="0"/>
        <w:snapToGrid w:val="0"/>
        <w:spacing w:line="360" w:lineRule="exact"/>
        <w:ind w:firstLine="440"/>
        <w:rPr>
          <w:rFonts w:cs="Calibri" w:asciiTheme="minorEastAsia" w:hAnsiTheme="minorEastAsia"/>
          <w:color w:val="000000"/>
          <w:sz w:val="22"/>
          <w:highlight w:val="none"/>
        </w:rPr>
      </w:pPr>
      <w:r>
        <w:rPr>
          <w:rFonts w:cs="Calibri" w:asciiTheme="minorEastAsia" w:hAnsiTheme="minorEastAsia"/>
          <w:color w:val="000000"/>
          <w:sz w:val="22"/>
          <w:highlight w:val="none"/>
        </w:rPr>
        <w:t>3.2.</w:t>
      </w:r>
      <w:r>
        <w:rPr>
          <w:rFonts w:hint="eastAsia" w:cs="Calibri" w:asciiTheme="minorEastAsia" w:hAnsiTheme="minorEastAsia"/>
          <w:color w:val="000000"/>
          <w:sz w:val="22"/>
          <w:highlight w:val="none"/>
        </w:rPr>
        <w:t>3</w:t>
      </w:r>
      <w:r>
        <w:rPr>
          <w:rFonts w:cs="Calibri" w:asciiTheme="minorEastAsia" w:hAnsiTheme="minorEastAsia"/>
          <w:color w:val="000000"/>
          <w:sz w:val="22"/>
          <w:highlight w:val="none"/>
        </w:rPr>
        <w:t>授权委托书；</w:t>
      </w:r>
    </w:p>
    <w:p>
      <w:pPr>
        <w:adjustRightInd w:val="0"/>
        <w:snapToGrid w:val="0"/>
        <w:spacing w:line="360" w:lineRule="exact"/>
        <w:ind w:firstLine="440"/>
        <w:rPr>
          <w:rFonts w:cs="Calibri" w:asciiTheme="minorEastAsia" w:hAnsiTheme="minorEastAsia"/>
          <w:color w:val="000000"/>
          <w:sz w:val="22"/>
          <w:highlight w:val="none"/>
        </w:rPr>
      </w:pPr>
      <w:r>
        <w:rPr>
          <w:rFonts w:cs="Calibri" w:asciiTheme="minorEastAsia" w:hAnsiTheme="minorEastAsia"/>
          <w:color w:val="000000"/>
          <w:sz w:val="22"/>
          <w:highlight w:val="none"/>
        </w:rPr>
        <w:t>3.2.</w:t>
      </w:r>
      <w:r>
        <w:rPr>
          <w:rFonts w:hint="eastAsia" w:cs="Calibri" w:asciiTheme="minorEastAsia" w:hAnsiTheme="minorEastAsia"/>
          <w:color w:val="000000"/>
          <w:sz w:val="22"/>
          <w:highlight w:val="none"/>
        </w:rPr>
        <w:t>4</w:t>
      </w:r>
      <w:r>
        <w:rPr>
          <w:rFonts w:cs="Calibri" w:asciiTheme="minorEastAsia" w:hAnsiTheme="minorEastAsia"/>
          <w:color w:val="000000"/>
          <w:sz w:val="22"/>
          <w:highlight w:val="none"/>
        </w:rPr>
        <w:t xml:space="preserve"> 投标报价表；</w:t>
      </w:r>
    </w:p>
    <w:p>
      <w:pPr>
        <w:adjustRightInd w:val="0"/>
        <w:snapToGrid w:val="0"/>
        <w:spacing w:line="360" w:lineRule="exact"/>
        <w:ind w:firstLine="440"/>
        <w:rPr>
          <w:rFonts w:ascii="宋体" w:hAnsi="宋体" w:cs="Calibri"/>
          <w:sz w:val="22"/>
          <w:highlight w:val="none"/>
        </w:rPr>
      </w:pPr>
      <w:r>
        <w:rPr>
          <w:rFonts w:ascii="宋体" w:hAnsi="宋体" w:cs="Calibri"/>
          <w:sz w:val="22"/>
          <w:highlight w:val="none"/>
        </w:rPr>
        <w:t>3.2.5投标人资格证明文件：</w:t>
      </w:r>
    </w:p>
    <w:p>
      <w:pPr>
        <w:adjustRightInd w:val="0"/>
        <w:snapToGrid w:val="0"/>
        <w:spacing w:line="360" w:lineRule="exact"/>
        <w:ind w:firstLine="440"/>
        <w:rPr>
          <w:rFonts w:ascii="宋体" w:hAnsi="宋体" w:cs="Calibri"/>
          <w:sz w:val="22"/>
          <w:highlight w:val="none"/>
        </w:rPr>
      </w:pPr>
      <w:r>
        <w:rPr>
          <w:rFonts w:hint="eastAsia" w:ascii="宋体" w:hAnsi="宋体" w:cs="Calibri"/>
          <w:sz w:val="22"/>
          <w:highlight w:val="none"/>
        </w:rPr>
        <w:t>3.2.6投标设备每年耗材价格（采样试纸），</w:t>
      </w:r>
      <w:r>
        <w:rPr>
          <w:rFonts w:hint="eastAsia" w:ascii="宋体" w:hAnsi="宋体" w:cs="宋体"/>
          <w:kern w:val="0"/>
          <w:sz w:val="22"/>
          <w:szCs w:val="22"/>
          <w:highlight w:val="none"/>
        </w:rPr>
        <w:t>设备按每年10万次检测计算</w:t>
      </w:r>
    </w:p>
    <w:p>
      <w:pPr>
        <w:adjustRightInd w:val="0"/>
        <w:snapToGrid w:val="0"/>
        <w:spacing w:line="360" w:lineRule="exact"/>
        <w:ind w:firstLine="440"/>
        <w:rPr>
          <w:rFonts w:ascii="宋体" w:hAnsi="宋体" w:cs="Calibri"/>
          <w:sz w:val="22"/>
          <w:highlight w:val="none"/>
        </w:rPr>
      </w:pPr>
      <w:r>
        <w:rPr>
          <w:rFonts w:ascii="宋体" w:hAnsi="宋体" w:cs="Calibri"/>
          <w:sz w:val="22"/>
          <w:highlight w:val="none"/>
        </w:rPr>
        <w:t>（1）</w:t>
      </w:r>
      <w:r>
        <w:rPr>
          <w:rFonts w:cs="Calibri" w:asciiTheme="minorEastAsia" w:hAnsiTheme="minorEastAsia"/>
          <w:color w:val="000000"/>
          <w:sz w:val="22"/>
          <w:highlight w:val="none"/>
        </w:rPr>
        <w:t>投标人一般情况</w:t>
      </w:r>
      <w:r>
        <w:rPr>
          <w:rFonts w:hint="eastAsia" w:cs="Calibri" w:asciiTheme="minorEastAsia" w:hAnsiTheme="minorEastAsia"/>
          <w:color w:val="000000"/>
          <w:sz w:val="22"/>
          <w:highlight w:val="none"/>
        </w:rPr>
        <w:t>及</w:t>
      </w:r>
      <w:r>
        <w:rPr>
          <w:rFonts w:cs="Calibri" w:asciiTheme="minorEastAsia" w:hAnsiTheme="minorEastAsia"/>
          <w:color w:val="000000"/>
          <w:sz w:val="22"/>
          <w:highlight w:val="none"/>
        </w:rPr>
        <w:t>有关证明投标人法律地位的文件</w:t>
      </w:r>
      <w:r>
        <w:rPr>
          <w:rFonts w:hint="eastAsia" w:ascii="宋体" w:hAnsi="宋体" w:cs="Calibri"/>
          <w:sz w:val="22"/>
          <w:highlight w:val="none"/>
        </w:rPr>
        <w:t>（附营业执照、税务登记证、</w:t>
      </w:r>
      <w:r>
        <w:rPr>
          <w:rFonts w:ascii="宋体" w:hAnsi="宋体" w:cs="Calibri"/>
          <w:sz w:val="22"/>
          <w:highlight w:val="none"/>
        </w:rPr>
        <w:t>一般纳税人证明材料</w:t>
      </w:r>
      <w:r>
        <w:rPr>
          <w:rFonts w:hint="eastAsia" w:ascii="宋体" w:hAnsi="宋体" w:cs="Calibri"/>
          <w:sz w:val="22"/>
          <w:highlight w:val="none"/>
        </w:rPr>
        <w:t>、相关</w:t>
      </w:r>
      <w:r>
        <w:rPr>
          <w:rFonts w:ascii="宋体" w:hAnsi="宋体" w:cs="Calibri"/>
          <w:sz w:val="22"/>
          <w:highlight w:val="none"/>
        </w:rPr>
        <w:t>产品质量认证证书</w:t>
      </w:r>
      <w:r>
        <w:rPr>
          <w:rFonts w:hint="eastAsia" w:ascii="宋体" w:hAnsi="宋体" w:cs="Arial"/>
          <w:kern w:val="0"/>
          <w:sz w:val="22"/>
          <w:highlight w:val="none"/>
        </w:rPr>
        <w:t>、</w:t>
      </w:r>
      <w:r>
        <w:rPr>
          <w:rFonts w:hint="eastAsia" w:ascii="宋体" w:hAnsi="宋体" w:cs="Calibri"/>
          <w:sz w:val="22"/>
          <w:highlight w:val="none"/>
        </w:rPr>
        <w:t>相关</w:t>
      </w:r>
      <w:r>
        <w:rPr>
          <w:rFonts w:ascii="宋体" w:hAnsi="宋体" w:cs="Calibri"/>
          <w:sz w:val="22"/>
          <w:highlight w:val="none"/>
        </w:rPr>
        <w:t>产品鉴定证书</w:t>
      </w:r>
      <w:r>
        <w:rPr>
          <w:rFonts w:hint="eastAsia" w:ascii="宋体" w:hAnsi="宋体" w:cs="Calibri"/>
          <w:sz w:val="22"/>
          <w:highlight w:val="none"/>
        </w:rPr>
        <w:t>等）。</w:t>
      </w:r>
    </w:p>
    <w:p>
      <w:pPr>
        <w:adjustRightInd w:val="0"/>
        <w:snapToGrid w:val="0"/>
        <w:spacing w:line="360" w:lineRule="exact"/>
        <w:ind w:firstLine="440"/>
        <w:rPr>
          <w:rFonts w:ascii="宋体" w:hAnsi="宋体" w:cs="Arial"/>
          <w:kern w:val="0"/>
          <w:sz w:val="22"/>
          <w:highlight w:val="none"/>
        </w:rPr>
      </w:pPr>
      <w:r>
        <w:rPr>
          <w:rFonts w:hint="eastAsia" w:ascii="宋体" w:hAnsi="宋体" w:cs="Calibri"/>
          <w:sz w:val="22"/>
          <w:highlight w:val="none"/>
        </w:rPr>
        <w:t>（2）</w:t>
      </w:r>
      <w:r>
        <w:rPr>
          <w:rFonts w:hint="eastAsia" w:ascii="宋体" w:hAnsi="宋体" w:cs="宋体"/>
          <w:sz w:val="22"/>
          <w:highlight w:val="none"/>
        </w:rPr>
        <w:t>制造商资格声明</w:t>
      </w:r>
      <w:r>
        <w:rPr>
          <w:rFonts w:hint="eastAsia" w:ascii="宋体" w:hAnsi="宋体" w:cs="Arial"/>
          <w:kern w:val="0"/>
          <w:sz w:val="22"/>
          <w:highlight w:val="none"/>
        </w:rPr>
        <w:t>。</w:t>
      </w:r>
    </w:p>
    <w:p>
      <w:pPr>
        <w:adjustRightInd w:val="0"/>
        <w:snapToGrid w:val="0"/>
        <w:spacing w:line="360" w:lineRule="exact"/>
        <w:ind w:firstLine="440"/>
        <w:rPr>
          <w:rFonts w:ascii="宋体" w:hAnsi="宋体" w:cs="Arial"/>
          <w:kern w:val="0"/>
          <w:sz w:val="22"/>
          <w:highlight w:val="none"/>
        </w:rPr>
      </w:pPr>
      <w:r>
        <w:rPr>
          <w:rFonts w:hint="eastAsia" w:ascii="宋体" w:hAnsi="宋体" w:cs="Arial"/>
          <w:kern w:val="0"/>
          <w:sz w:val="22"/>
          <w:highlight w:val="none"/>
        </w:rPr>
        <w:t>（3）</w:t>
      </w:r>
      <w:r>
        <w:rPr>
          <w:rFonts w:ascii="宋体" w:hAnsi="宋体" w:cs="Calibri"/>
          <w:color w:val="000000"/>
          <w:sz w:val="22"/>
          <w:szCs w:val="22"/>
          <w:highlight w:val="none"/>
        </w:rPr>
        <w:t>设备制造商的授权书</w:t>
      </w:r>
      <w:r>
        <w:rPr>
          <w:rFonts w:hint="eastAsia" w:ascii="宋体" w:hAnsi="宋体" w:cs="Calibri"/>
          <w:color w:val="000000"/>
          <w:sz w:val="22"/>
          <w:szCs w:val="22"/>
          <w:highlight w:val="none"/>
        </w:rPr>
        <w:t>（代理商投标时提供）</w:t>
      </w:r>
    </w:p>
    <w:p>
      <w:pPr>
        <w:adjustRightInd w:val="0"/>
        <w:snapToGrid w:val="0"/>
        <w:spacing w:line="360" w:lineRule="exact"/>
        <w:ind w:firstLine="440"/>
        <w:rPr>
          <w:rFonts w:ascii="宋体" w:hAnsi="宋体" w:cs="Calibri"/>
          <w:sz w:val="22"/>
          <w:highlight w:val="none"/>
        </w:rPr>
      </w:pPr>
      <w:r>
        <w:rPr>
          <w:rFonts w:hint="eastAsia" w:ascii="宋体" w:hAnsi="宋体" w:cs="Arial"/>
          <w:kern w:val="0"/>
          <w:sz w:val="22"/>
          <w:highlight w:val="none"/>
        </w:rPr>
        <w:t>（4）</w:t>
      </w:r>
      <w:r>
        <w:rPr>
          <w:rFonts w:hint="eastAsia" w:ascii="宋体" w:hAnsi="宋体" w:cs="Calibri"/>
          <w:sz w:val="22"/>
          <w:highlight w:val="none"/>
        </w:rPr>
        <w:t>投标产品近三年的销售业绩一览表（附业绩的合同）。</w:t>
      </w:r>
    </w:p>
    <w:p>
      <w:pPr>
        <w:adjustRightInd w:val="0"/>
        <w:snapToGrid w:val="0"/>
        <w:spacing w:line="360" w:lineRule="exact"/>
        <w:ind w:firstLine="440"/>
        <w:rPr>
          <w:rFonts w:ascii="宋体" w:hAnsi="宋体" w:cs="宋体"/>
          <w:sz w:val="22"/>
          <w:highlight w:val="none"/>
        </w:rPr>
      </w:pPr>
      <w:r>
        <w:rPr>
          <w:rFonts w:ascii="宋体" w:hAnsi="宋体" w:cs="Calibri"/>
          <w:sz w:val="22"/>
          <w:highlight w:val="none"/>
        </w:rPr>
        <w:t>3.2.6</w:t>
      </w:r>
      <w:r>
        <w:rPr>
          <w:rFonts w:hint="eastAsia" w:ascii="宋体" w:hAnsi="宋体" w:cs="宋体"/>
          <w:sz w:val="22"/>
          <w:highlight w:val="none"/>
        </w:rPr>
        <w:t>技术规格偏离表；</w:t>
      </w:r>
    </w:p>
    <w:p>
      <w:pPr>
        <w:adjustRightInd w:val="0"/>
        <w:snapToGrid w:val="0"/>
        <w:spacing w:line="360" w:lineRule="exact"/>
        <w:ind w:firstLine="440"/>
        <w:rPr>
          <w:rFonts w:ascii="宋体" w:hAnsi="宋体" w:cs="Calibri"/>
          <w:sz w:val="22"/>
          <w:highlight w:val="none"/>
        </w:rPr>
      </w:pPr>
      <w:r>
        <w:rPr>
          <w:rFonts w:hint="eastAsia" w:ascii="宋体" w:hAnsi="宋体" w:cs="宋体"/>
          <w:sz w:val="22"/>
          <w:highlight w:val="none"/>
        </w:rPr>
        <w:t>3.2.7 商务条款响应偏离表；</w:t>
      </w:r>
    </w:p>
    <w:p>
      <w:pPr>
        <w:adjustRightInd w:val="0"/>
        <w:snapToGrid w:val="0"/>
        <w:spacing w:line="360" w:lineRule="exact"/>
        <w:ind w:firstLine="440"/>
        <w:rPr>
          <w:rFonts w:ascii="宋体" w:hAnsi="宋体" w:cs="宋体"/>
          <w:sz w:val="22"/>
          <w:highlight w:val="none"/>
        </w:rPr>
      </w:pPr>
      <w:r>
        <w:rPr>
          <w:rFonts w:hint="eastAsia" w:ascii="宋体" w:hAnsi="宋体" w:cs="宋体"/>
          <w:sz w:val="22"/>
          <w:highlight w:val="none"/>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sz w:val="22"/>
          <w:highlight w:val="none"/>
        </w:rPr>
      </w:pPr>
      <w:r>
        <w:rPr>
          <w:rFonts w:hint="eastAsia" w:ascii="宋体" w:hAnsi="宋体" w:cs="宋体"/>
          <w:sz w:val="22"/>
          <w:highlight w:val="none"/>
        </w:rPr>
        <w:t>3.2.9技术参数、结构及性能特点等产品技术规格书；</w:t>
      </w:r>
    </w:p>
    <w:p>
      <w:pPr>
        <w:adjustRightInd w:val="0"/>
        <w:snapToGrid w:val="0"/>
        <w:spacing w:line="360" w:lineRule="exact"/>
        <w:ind w:firstLine="440"/>
        <w:rPr>
          <w:rFonts w:ascii="宋体" w:hAnsi="宋体" w:cs="宋体"/>
          <w:sz w:val="22"/>
          <w:highlight w:val="none"/>
        </w:rPr>
      </w:pPr>
      <w:r>
        <w:rPr>
          <w:rFonts w:hint="eastAsia" w:ascii="宋体" w:hAnsi="宋体" w:cs="宋体"/>
          <w:sz w:val="22"/>
          <w:highlight w:val="none"/>
        </w:rPr>
        <w:t>3.2.10主要原材料及部件性能和生产厂家；</w:t>
      </w:r>
    </w:p>
    <w:p>
      <w:pPr>
        <w:adjustRightInd w:val="0"/>
        <w:snapToGrid w:val="0"/>
        <w:spacing w:line="360" w:lineRule="exact"/>
        <w:ind w:firstLine="440"/>
        <w:rPr>
          <w:rFonts w:ascii="宋体" w:hAnsi="宋体" w:cs="宋体"/>
          <w:sz w:val="22"/>
          <w:highlight w:val="none"/>
        </w:rPr>
      </w:pPr>
      <w:r>
        <w:rPr>
          <w:rFonts w:hint="eastAsia" w:ascii="宋体" w:hAnsi="宋体" w:cs="宋体"/>
          <w:sz w:val="22"/>
          <w:highlight w:val="none"/>
        </w:rPr>
        <w:t>3.2.11产品制造、安装、验收标准和验收方法；</w:t>
      </w:r>
    </w:p>
    <w:p>
      <w:pPr>
        <w:adjustRightInd w:val="0"/>
        <w:snapToGrid w:val="0"/>
        <w:spacing w:line="360" w:lineRule="exact"/>
        <w:ind w:firstLine="440"/>
        <w:rPr>
          <w:rFonts w:ascii="宋体" w:hAnsi="宋体" w:cs="宋体"/>
          <w:sz w:val="22"/>
          <w:highlight w:val="none"/>
        </w:rPr>
      </w:pPr>
      <w:r>
        <w:rPr>
          <w:rFonts w:hint="eastAsia" w:ascii="宋体" w:hAnsi="宋体" w:cs="宋体"/>
          <w:sz w:val="22"/>
          <w:highlight w:val="none"/>
        </w:rPr>
        <w:t>3.2.12现场指导、调试；</w:t>
      </w:r>
    </w:p>
    <w:p>
      <w:pPr>
        <w:adjustRightInd w:val="0"/>
        <w:snapToGrid w:val="0"/>
        <w:spacing w:line="360" w:lineRule="exact"/>
        <w:ind w:firstLine="440"/>
        <w:rPr>
          <w:rFonts w:ascii="宋体" w:hAnsi="宋体" w:cs="宋体"/>
          <w:sz w:val="22"/>
          <w:highlight w:val="none"/>
        </w:rPr>
      </w:pPr>
      <w:r>
        <w:rPr>
          <w:rFonts w:hint="eastAsia" w:ascii="宋体" w:hAnsi="宋体" w:cs="宋体"/>
          <w:sz w:val="22"/>
          <w:highlight w:val="none"/>
        </w:rPr>
        <w:t>3.2.13</w:t>
      </w:r>
      <w:r>
        <w:rPr>
          <w:rFonts w:ascii="宋体" w:hAnsi="宋体" w:cs="宋体"/>
          <w:sz w:val="22"/>
          <w:highlight w:val="none"/>
        </w:rPr>
        <w:t>产品的技术服务和售后服务的内容、措施、承诺</w:t>
      </w:r>
      <w:r>
        <w:rPr>
          <w:rFonts w:hint="eastAsia" w:ascii="宋体" w:hAnsi="宋体" w:cs="宋体"/>
          <w:sz w:val="22"/>
          <w:highlight w:val="none"/>
        </w:rPr>
        <w:t>；</w:t>
      </w:r>
    </w:p>
    <w:p>
      <w:pPr>
        <w:adjustRightInd w:val="0"/>
        <w:snapToGrid w:val="0"/>
        <w:spacing w:line="360" w:lineRule="exact"/>
        <w:ind w:firstLine="440"/>
        <w:rPr>
          <w:rFonts w:ascii="宋体" w:hAnsi="宋体" w:cs="宋体"/>
          <w:sz w:val="22"/>
          <w:highlight w:val="none"/>
        </w:rPr>
      </w:pPr>
      <w:r>
        <w:rPr>
          <w:rFonts w:hint="eastAsia" w:ascii="宋体" w:hAnsi="宋体" w:cs="宋体"/>
          <w:sz w:val="22"/>
          <w:highlight w:val="none"/>
        </w:rPr>
        <w:t>3.2.14提供详细的培训计划，包括培训内容、培训时间、培训人数等；</w:t>
      </w:r>
    </w:p>
    <w:p>
      <w:pPr>
        <w:adjustRightInd w:val="0"/>
        <w:snapToGrid w:val="0"/>
        <w:spacing w:line="360" w:lineRule="exact"/>
        <w:ind w:firstLine="440"/>
        <w:rPr>
          <w:rFonts w:ascii="宋体" w:hAnsi="宋体" w:cs="宋体"/>
          <w:sz w:val="22"/>
          <w:highlight w:val="none"/>
        </w:rPr>
      </w:pPr>
      <w:r>
        <w:rPr>
          <w:rFonts w:hint="eastAsia" w:ascii="宋体" w:hAnsi="宋体" w:cs="宋体"/>
          <w:sz w:val="22"/>
          <w:highlight w:val="none"/>
        </w:rPr>
        <w:t>3.2.15关于质量保证期的说明；</w:t>
      </w:r>
    </w:p>
    <w:p>
      <w:pPr>
        <w:adjustRightInd w:val="0"/>
        <w:snapToGrid w:val="0"/>
        <w:spacing w:line="360" w:lineRule="exact"/>
        <w:ind w:firstLine="440"/>
        <w:rPr>
          <w:rFonts w:ascii="宋体" w:hAnsi="宋体" w:cs="宋体"/>
          <w:sz w:val="22"/>
          <w:highlight w:val="none"/>
        </w:rPr>
      </w:pPr>
      <w:r>
        <w:rPr>
          <w:rFonts w:hint="eastAsia" w:ascii="宋体" w:hAnsi="宋体" w:cs="宋体"/>
          <w:sz w:val="22"/>
          <w:highlight w:val="none"/>
        </w:rPr>
        <w:t>3.2.16优惠条件：投标人承诺给予用户的其他优惠条款，包括付款条件、培训服务、质量保证期等方面的优惠；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sz w:val="22"/>
          <w:highlight w:val="none"/>
        </w:rPr>
      </w:pPr>
      <w:r>
        <w:rPr>
          <w:rFonts w:hint="eastAsia" w:ascii="宋体" w:hAnsi="宋体" w:cs="宋体"/>
          <w:sz w:val="22"/>
          <w:highlight w:val="none"/>
        </w:rPr>
        <w:t>3.2.17</w:t>
      </w:r>
      <w:r>
        <w:rPr>
          <w:rFonts w:hint="eastAsia" w:cs="Arial" w:asciiTheme="minorEastAsia" w:hAnsiTheme="minorEastAsia"/>
          <w:color w:val="000000"/>
          <w:sz w:val="22"/>
          <w:highlight w:val="none"/>
        </w:rPr>
        <w:t>投标人认为</w:t>
      </w:r>
      <w:r>
        <w:rPr>
          <w:rFonts w:cs="Arial" w:asciiTheme="minorEastAsia" w:hAnsiTheme="minorEastAsia"/>
          <w:color w:val="000000"/>
          <w:sz w:val="22"/>
          <w:highlight w:val="none"/>
        </w:rPr>
        <w:t>应该提供的其他材料</w:t>
      </w:r>
      <w:r>
        <w:rPr>
          <w:rFonts w:hint="eastAsia" w:ascii="宋体" w:hAnsi="宋体" w:cs="宋体"/>
          <w:sz w:val="22"/>
          <w:highlight w:val="none"/>
        </w:rPr>
        <w:t>。</w:t>
      </w:r>
    </w:p>
    <w:p>
      <w:pPr>
        <w:autoSpaceDE w:val="0"/>
        <w:autoSpaceDN w:val="0"/>
        <w:adjustRightInd w:val="0"/>
        <w:snapToGrid w:val="0"/>
        <w:spacing w:line="360" w:lineRule="exact"/>
        <w:rPr>
          <w:rFonts w:ascii="宋体" w:hAnsi="宋体" w:cs="Calibri"/>
          <w:b/>
          <w:bCs/>
          <w:kern w:val="0"/>
          <w:sz w:val="22"/>
          <w:highlight w:val="none"/>
        </w:rPr>
      </w:pPr>
      <w:r>
        <w:rPr>
          <w:rFonts w:ascii="宋体" w:hAnsi="宋体" w:cs="Calibri"/>
          <w:b/>
          <w:bCs/>
          <w:kern w:val="0"/>
          <w:sz w:val="22"/>
          <w:highlight w:val="none"/>
        </w:rPr>
        <w:t>3.3 投标报价</w:t>
      </w:r>
      <w:bookmarkEnd w:id="22"/>
    </w:p>
    <w:p>
      <w:pPr>
        <w:adjustRightInd w:val="0"/>
        <w:snapToGrid w:val="0"/>
        <w:spacing w:line="360" w:lineRule="exact"/>
        <w:ind w:firstLine="440"/>
        <w:rPr>
          <w:rFonts w:ascii="宋体" w:hAnsi="宋体" w:cs="Calibri"/>
          <w:sz w:val="22"/>
          <w:highlight w:val="none"/>
        </w:rPr>
      </w:pPr>
      <w:bookmarkStart w:id="23" w:name="_Toc13307"/>
      <w:r>
        <w:rPr>
          <w:rFonts w:ascii="宋体" w:hAnsi="宋体" w:cs="Calibri"/>
          <w:sz w:val="22"/>
          <w:highlight w:val="none"/>
        </w:rPr>
        <w:t>3.3.1</w:t>
      </w:r>
      <w:r>
        <w:rPr>
          <w:rFonts w:hint="eastAsia" w:ascii="宋体" w:hAnsi="宋体" w:cs="宋体"/>
          <w:sz w:val="22"/>
          <w:highlight w:val="none"/>
        </w:rPr>
        <w:t>投标人递交的投标函及投标报价表中的投标总价必须一致。</w:t>
      </w:r>
      <w:r>
        <w:rPr>
          <w:rFonts w:ascii="宋体" w:hAnsi="宋体" w:cs="Calibri"/>
          <w:sz w:val="22"/>
          <w:highlight w:val="none"/>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highlight w:val="none"/>
        </w:rPr>
      </w:pPr>
      <w:r>
        <w:rPr>
          <w:rFonts w:ascii="宋体" w:hAnsi="宋体" w:cs="Calibri"/>
          <w:sz w:val="22"/>
          <w:highlight w:val="none"/>
        </w:rPr>
        <w:t>3.3.</w:t>
      </w:r>
      <w:r>
        <w:rPr>
          <w:rFonts w:hint="eastAsia" w:ascii="宋体" w:hAnsi="宋体" w:cs="Calibri"/>
          <w:sz w:val="22"/>
          <w:highlight w:val="none"/>
        </w:rPr>
        <w:t>2</w:t>
      </w:r>
      <w:r>
        <w:rPr>
          <w:rFonts w:hint="eastAsia" w:ascii="宋体" w:hAnsi="宋体" w:cs="宋体"/>
          <w:sz w:val="22"/>
          <w:highlight w:val="none"/>
        </w:rPr>
        <w:t>投标人所报投标总价应为投标人为完成本项目所发生的一切费用（包含并不限于货物</w:t>
      </w:r>
      <w:r>
        <w:rPr>
          <w:rFonts w:ascii="宋体" w:hAnsi="宋体" w:cs="宋体"/>
          <w:sz w:val="22"/>
          <w:highlight w:val="none"/>
        </w:rPr>
        <w:t>的</w:t>
      </w:r>
      <w:r>
        <w:rPr>
          <w:rFonts w:hint="eastAsia" w:ascii="宋体" w:hAnsi="宋体" w:cs="宋体"/>
          <w:sz w:val="22"/>
          <w:highlight w:val="none"/>
        </w:rPr>
        <w:t>供货、运输（包括送至招标人指定地点卸车）、包装费、保险费、税费、验收、技术培训及售后服务等）</w:t>
      </w:r>
      <w:r>
        <w:rPr>
          <w:rFonts w:ascii="宋体" w:hAnsi="宋体" w:cs="宋体"/>
          <w:sz w:val="22"/>
          <w:highlight w:val="none"/>
        </w:rPr>
        <w:t>，包括</w:t>
      </w:r>
      <w:r>
        <w:rPr>
          <w:rFonts w:hint="eastAsia" w:ascii="宋体" w:hAnsi="宋体" w:cs="宋体"/>
          <w:sz w:val="22"/>
          <w:highlight w:val="none"/>
        </w:rPr>
        <w:t>货物供货</w:t>
      </w:r>
      <w:r>
        <w:rPr>
          <w:rFonts w:ascii="宋体" w:hAnsi="宋体" w:cs="宋体"/>
          <w:sz w:val="22"/>
          <w:highlight w:val="none"/>
        </w:rPr>
        <w:t>及相关服务等全过程产生的所有成本和费用以及一切税费</w:t>
      </w:r>
      <w:r>
        <w:rPr>
          <w:rFonts w:ascii="宋体" w:hAnsi="宋体" w:cs="Calibri"/>
          <w:sz w:val="22"/>
          <w:highlight w:val="none"/>
        </w:rPr>
        <w:t>；</w:t>
      </w:r>
      <w:r>
        <w:rPr>
          <w:rFonts w:ascii="宋体" w:hAnsi="宋体" w:cs="宋体"/>
          <w:bCs/>
          <w:sz w:val="22"/>
          <w:highlight w:val="none"/>
        </w:rPr>
        <w:t xml:space="preserve"> </w:t>
      </w:r>
    </w:p>
    <w:p>
      <w:pPr>
        <w:adjustRightInd w:val="0"/>
        <w:snapToGrid w:val="0"/>
        <w:spacing w:line="360" w:lineRule="exact"/>
        <w:ind w:firstLine="440"/>
        <w:rPr>
          <w:rFonts w:ascii="宋体" w:hAnsi="宋体" w:cs="宋体"/>
          <w:sz w:val="22"/>
          <w:highlight w:val="none"/>
        </w:rPr>
      </w:pPr>
      <w:r>
        <w:rPr>
          <w:rFonts w:ascii="宋体" w:hAnsi="宋体" w:cs="Calibri"/>
          <w:sz w:val="22"/>
          <w:highlight w:val="none"/>
        </w:rPr>
        <w:t>3.3.</w:t>
      </w:r>
      <w:r>
        <w:rPr>
          <w:rFonts w:hint="eastAsia" w:ascii="宋体" w:hAnsi="宋体" w:cs="Calibri"/>
          <w:sz w:val="22"/>
          <w:highlight w:val="none"/>
        </w:rPr>
        <w:t>3</w:t>
      </w:r>
      <w:r>
        <w:rPr>
          <w:rFonts w:hint="eastAsia" w:ascii="宋体" w:hAnsi="宋体" w:cs="宋体"/>
          <w:sz w:val="22"/>
          <w:highlight w:val="none"/>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highlight w:val="none"/>
        </w:rPr>
      </w:pPr>
      <w:r>
        <w:rPr>
          <w:rFonts w:ascii="宋体" w:hAnsi="宋体" w:cs="Calibri"/>
          <w:sz w:val="22"/>
          <w:highlight w:val="none"/>
        </w:rPr>
        <w:t>3.3.</w:t>
      </w:r>
      <w:r>
        <w:rPr>
          <w:rFonts w:hint="eastAsia" w:ascii="宋体" w:hAnsi="宋体" w:cs="Calibri"/>
          <w:sz w:val="22"/>
          <w:highlight w:val="none"/>
        </w:rPr>
        <w:t>4</w:t>
      </w:r>
      <w:r>
        <w:rPr>
          <w:rFonts w:hint="eastAsia" w:ascii="宋体" w:hAnsi="宋体" w:cs="宋体"/>
          <w:sz w:val="22"/>
          <w:highlight w:val="none"/>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highlight w:val="none"/>
        </w:rPr>
      </w:pPr>
      <w:r>
        <w:rPr>
          <w:rFonts w:ascii="宋体" w:hAnsi="宋体" w:cs="Calibri"/>
          <w:sz w:val="22"/>
          <w:highlight w:val="none"/>
        </w:rPr>
        <w:t>3.3.</w:t>
      </w:r>
      <w:r>
        <w:rPr>
          <w:rFonts w:hint="eastAsia" w:ascii="宋体" w:hAnsi="宋体" w:cs="Calibri"/>
          <w:sz w:val="22"/>
          <w:highlight w:val="none"/>
        </w:rPr>
        <w:t>5投标人(如中标)在投标文件中提供的货物清单和报价将是签订合同的唯一依据，其报价在本次投标有效期内不能发生改变（</w:t>
      </w:r>
      <w:r>
        <w:rPr>
          <w:rFonts w:hint="eastAsia" w:ascii="宋体" w:hAnsi="宋体" w:cs="宋体"/>
          <w:sz w:val="22"/>
          <w:highlight w:val="none"/>
        </w:rPr>
        <w:t>招标人变更除外）</w:t>
      </w:r>
      <w:r>
        <w:rPr>
          <w:rFonts w:hint="eastAsia" w:ascii="宋体" w:hAnsi="宋体" w:cs="Calibri"/>
          <w:sz w:val="22"/>
          <w:highlight w:val="none"/>
        </w:rPr>
        <w:t>。如有改变，招标人将拒绝与其签订合同。</w:t>
      </w:r>
    </w:p>
    <w:p>
      <w:pPr>
        <w:adjustRightInd w:val="0"/>
        <w:snapToGrid w:val="0"/>
        <w:spacing w:line="360" w:lineRule="exact"/>
        <w:ind w:firstLine="440"/>
        <w:rPr>
          <w:rFonts w:ascii="宋体" w:hAnsi="宋体" w:cs="Calibri"/>
          <w:sz w:val="22"/>
          <w:highlight w:val="none"/>
        </w:rPr>
      </w:pPr>
      <w:r>
        <w:rPr>
          <w:rFonts w:ascii="宋体" w:hAnsi="宋体" w:cs="Calibri"/>
          <w:sz w:val="22"/>
          <w:highlight w:val="none"/>
        </w:rPr>
        <w:t>3.3.</w:t>
      </w:r>
      <w:r>
        <w:rPr>
          <w:rFonts w:hint="eastAsia" w:ascii="宋体" w:hAnsi="宋体" w:cs="Calibri"/>
          <w:sz w:val="22"/>
          <w:highlight w:val="none"/>
        </w:rPr>
        <w:t>6投标人对每种货物只允许有一个报价。</w:t>
      </w:r>
    </w:p>
    <w:p>
      <w:pPr>
        <w:adjustRightInd w:val="0"/>
        <w:snapToGrid w:val="0"/>
        <w:spacing w:line="360" w:lineRule="exact"/>
        <w:ind w:firstLine="440"/>
        <w:rPr>
          <w:rFonts w:ascii="宋体" w:hAnsi="宋体" w:cs="Calibri"/>
          <w:sz w:val="22"/>
          <w:highlight w:val="none"/>
        </w:rPr>
      </w:pPr>
      <w:r>
        <w:rPr>
          <w:rFonts w:ascii="宋体" w:hAnsi="宋体" w:cs="Calibri"/>
          <w:sz w:val="22"/>
          <w:highlight w:val="none"/>
        </w:rPr>
        <w:t>3.3.</w:t>
      </w:r>
      <w:r>
        <w:rPr>
          <w:rFonts w:hint="eastAsia" w:ascii="宋体" w:hAnsi="宋体" w:cs="Calibri"/>
          <w:sz w:val="22"/>
          <w:highlight w:val="none"/>
        </w:rPr>
        <w:t>7招标人不接受任何折扣优惠报价，不接受任何赠送和选择性报价。</w:t>
      </w:r>
    </w:p>
    <w:p>
      <w:pPr>
        <w:adjustRightInd w:val="0"/>
        <w:snapToGrid w:val="0"/>
        <w:spacing w:line="360" w:lineRule="exact"/>
        <w:ind w:firstLine="440"/>
        <w:rPr>
          <w:rFonts w:ascii="宋体" w:hAnsi="宋体" w:cs="Calibri"/>
          <w:sz w:val="22"/>
          <w:highlight w:val="none"/>
        </w:rPr>
      </w:pPr>
      <w:r>
        <w:rPr>
          <w:rFonts w:ascii="宋体" w:hAnsi="宋体" w:cs="Calibri"/>
          <w:sz w:val="22"/>
          <w:highlight w:val="none"/>
        </w:rPr>
        <w:t>3.3.</w:t>
      </w:r>
      <w:r>
        <w:rPr>
          <w:rFonts w:hint="eastAsia" w:ascii="宋体" w:hAnsi="宋体" w:cs="Calibri"/>
          <w:sz w:val="22"/>
          <w:highlight w:val="none"/>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highlight w:val="none"/>
        </w:rPr>
      </w:pPr>
      <w:r>
        <w:rPr>
          <w:rFonts w:hint="eastAsia" w:ascii="宋体" w:hAnsi="宋体" w:cs="Calibri"/>
          <w:sz w:val="22"/>
          <w:highlight w:val="none"/>
        </w:rPr>
        <w:t>3.3.9其它须在报价中考虑的因素：</w:t>
      </w:r>
    </w:p>
    <w:p>
      <w:pPr>
        <w:adjustRightInd w:val="0"/>
        <w:snapToGrid w:val="0"/>
        <w:spacing w:line="360" w:lineRule="exact"/>
        <w:ind w:firstLine="440"/>
        <w:rPr>
          <w:rFonts w:ascii="宋体" w:hAnsi="宋体" w:cs="Calibri"/>
          <w:sz w:val="22"/>
          <w:highlight w:val="none"/>
        </w:rPr>
      </w:pPr>
      <w:r>
        <w:rPr>
          <w:rFonts w:hint="eastAsia" w:ascii="宋体" w:hAnsi="宋体" w:cs="Calibri"/>
          <w:sz w:val="22"/>
          <w:highlight w:val="none"/>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highlight w:val="none"/>
        </w:rPr>
      </w:pPr>
      <w:r>
        <w:rPr>
          <w:rFonts w:hint="eastAsia" w:ascii="宋体" w:hAnsi="宋体" w:cs="Calibri"/>
          <w:sz w:val="22"/>
          <w:highlight w:val="none"/>
        </w:rPr>
        <w:t>（2）交付验收前产品的保护费由投标人自行考虑并计入总价。</w:t>
      </w:r>
    </w:p>
    <w:p>
      <w:pPr>
        <w:adjustRightInd w:val="0"/>
        <w:snapToGrid w:val="0"/>
        <w:spacing w:line="360" w:lineRule="exact"/>
        <w:ind w:firstLine="440"/>
        <w:rPr>
          <w:rFonts w:ascii="宋体" w:hAnsi="宋体" w:cs="Calibri"/>
          <w:sz w:val="22"/>
          <w:highlight w:val="none"/>
        </w:rPr>
      </w:pPr>
      <w:r>
        <w:rPr>
          <w:rFonts w:hint="eastAsia" w:ascii="宋体" w:hAnsi="宋体" w:cs="Calibri"/>
          <w:sz w:val="22"/>
          <w:highlight w:val="none"/>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highlight w:val="none"/>
        </w:rPr>
      </w:pPr>
      <w:r>
        <w:rPr>
          <w:rFonts w:hint="eastAsia" w:ascii="宋体" w:hAnsi="宋体" w:cs="Calibri"/>
          <w:sz w:val="22"/>
          <w:highlight w:val="none"/>
        </w:rPr>
        <w:t>3.3.10</w:t>
      </w:r>
      <w:r>
        <w:rPr>
          <w:rFonts w:hint="eastAsia" w:cs="Calibri" w:asciiTheme="minorEastAsia" w:hAnsiTheme="minorEastAsia"/>
          <w:b/>
          <w:color w:val="000000"/>
          <w:kern w:val="0"/>
          <w:sz w:val="22"/>
          <w:highlight w:val="none"/>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color w:val="000000"/>
          <w:kern w:val="0"/>
          <w:sz w:val="22"/>
          <w:highlight w:val="none"/>
        </w:rPr>
        <w:t>。</w:t>
      </w:r>
    </w:p>
    <w:p>
      <w:pPr>
        <w:autoSpaceDE w:val="0"/>
        <w:autoSpaceDN w:val="0"/>
        <w:adjustRightInd w:val="0"/>
        <w:snapToGrid w:val="0"/>
        <w:spacing w:line="360" w:lineRule="exact"/>
        <w:rPr>
          <w:rFonts w:ascii="宋体" w:hAnsi="宋体" w:cs="Calibri"/>
          <w:b/>
          <w:bCs/>
          <w:kern w:val="0"/>
          <w:sz w:val="22"/>
          <w:highlight w:val="none"/>
        </w:rPr>
      </w:pPr>
      <w:r>
        <w:rPr>
          <w:rFonts w:ascii="宋体" w:hAnsi="宋体" w:cs="Calibri"/>
          <w:b/>
          <w:bCs/>
          <w:kern w:val="0"/>
          <w:sz w:val="22"/>
          <w:highlight w:val="none"/>
        </w:rPr>
        <w:t>3.4 投标有效期</w:t>
      </w:r>
      <w:bookmarkEnd w:id="23"/>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highlight w:val="none"/>
        </w:rPr>
      </w:pPr>
      <w:bookmarkStart w:id="24" w:name="_Toc30464"/>
      <w:r>
        <w:rPr>
          <w:rFonts w:ascii="宋体" w:hAnsi="宋体" w:cs="Calibri"/>
          <w:b/>
          <w:bCs/>
          <w:kern w:val="0"/>
          <w:sz w:val="22"/>
          <w:highlight w:val="none"/>
        </w:rPr>
        <w:t>3.5 投标保证金</w:t>
      </w:r>
      <w:bookmarkEnd w:id="24"/>
      <w:r>
        <w:rPr>
          <w:rFonts w:hint="eastAsia" w:ascii="宋体" w:hAnsi="宋体" w:cs="Calibri"/>
          <w:b/>
          <w:bCs/>
          <w:kern w:val="0"/>
          <w:sz w:val="22"/>
          <w:highlight w:val="none"/>
        </w:rPr>
        <w:t>（如有）</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3.5.1投标人在递交投标文件的同时，应按投标人须知前附表规定的金额、担保形式和第</w:t>
      </w:r>
      <w:r>
        <w:rPr>
          <w:rFonts w:hint="eastAsia" w:ascii="宋体" w:hAnsi="宋体" w:cs="Calibri"/>
          <w:kern w:val="0"/>
          <w:sz w:val="22"/>
          <w:highlight w:val="none"/>
        </w:rPr>
        <w:t>六</w:t>
      </w:r>
      <w:r>
        <w:rPr>
          <w:rFonts w:ascii="宋体" w:hAnsi="宋体" w:cs="Calibri"/>
          <w:kern w:val="0"/>
          <w:sz w:val="22"/>
          <w:highlight w:val="none"/>
        </w:rPr>
        <w:t>章</w:t>
      </w:r>
      <w:r>
        <w:rPr>
          <w:rFonts w:ascii="宋体" w:hAnsi="宋体" w:cs="Calibri"/>
          <w:sz w:val="22"/>
          <w:highlight w:val="none"/>
        </w:rPr>
        <w:t>“投标文件格式”</w:t>
      </w:r>
      <w:r>
        <w:rPr>
          <w:rFonts w:ascii="宋体" w:hAnsi="宋体" w:cs="Calibri"/>
          <w:kern w:val="0"/>
          <w:sz w:val="22"/>
          <w:highlight w:val="none"/>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3.5.2招标人与中标人签订合同书后5日内，应当向未中标的投标人和中标人</w:t>
      </w:r>
      <w:r>
        <w:rPr>
          <w:rFonts w:hint="eastAsia" w:ascii="宋体" w:hAnsi="宋体" w:cs="Calibri"/>
          <w:kern w:val="0"/>
          <w:sz w:val="22"/>
          <w:highlight w:val="none"/>
        </w:rPr>
        <w:t>无息</w:t>
      </w:r>
      <w:r>
        <w:rPr>
          <w:rFonts w:ascii="宋体" w:hAnsi="宋体" w:cs="Calibri"/>
          <w:kern w:val="0"/>
          <w:sz w:val="22"/>
          <w:highlight w:val="none"/>
        </w:rPr>
        <w:t>退还投标保证金。</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3.5.3投标人如有下列情形之一的，投标保证金将不予退还：</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（1）投标人在规定的投标有效期内撤销或修改其投标文件；</w:t>
      </w:r>
    </w:p>
    <w:p>
      <w:pPr>
        <w:adjustRightInd w:val="0"/>
        <w:snapToGrid w:val="0"/>
        <w:spacing w:line="360" w:lineRule="exact"/>
        <w:ind w:firstLine="440"/>
        <w:rPr>
          <w:rFonts w:ascii="宋体" w:hAnsi="宋体" w:cs="Calibri"/>
          <w:sz w:val="22"/>
          <w:highlight w:val="none"/>
        </w:rPr>
      </w:pPr>
      <w:r>
        <w:rPr>
          <w:rFonts w:ascii="宋体" w:hAnsi="宋体" w:cs="Calibri"/>
          <w:kern w:val="0"/>
          <w:sz w:val="22"/>
          <w:highlight w:val="none"/>
        </w:rPr>
        <w:t>（2）</w:t>
      </w:r>
      <w:r>
        <w:rPr>
          <w:rFonts w:cs="Calibri" w:asciiTheme="minorEastAsia" w:hAnsiTheme="minorEastAsia"/>
          <w:color w:val="000000"/>
          <w:kern w:val="0"/>
          <w:sz w:val="22"/>
          <w:highlight w:val="none"/>
        </w:rPr>
        <w:t>中标人在收到中标通知书后，</w:t>
      </w:r>
      <w:r>
        <w:rPr>
          <w:rFonts w:cs="Calibri" w:asciiTheme="minorEastAsia" w:hAnsiTheme="minorEastAsia"/>
          <w:color w:val="000000"/>
          <w:sz w:val="22"/>
          <w:highlight w:val="none"/>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highlight w:val="none"/>
        </w:rPr>
        <w:t>；</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w:t>
      </w:r>
      <w:r>
        <w:rPr>
          <w:rFonts w:hint="eastAsia" w:ascii="宋体" w:hAnsi="宋体" w:cs="Calibri"/>
          <w:kern w:val="0"/>
          <w:sz w:val="22"/>
          <w:highlight w:val="none"/>
        </w:rPr>
        <w:t>3</w:t>
      </w:r>
      <w:r>
        <w:rPr>
          <w:rFonts w:ascii="宋体" w:hAnsi="宋体" w:cs="Calibri"/>
          <w:kern w:val="0"/>
          <w:sz w:val="22"/>
          <w:highlight w:val="none"/>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highlight w:val="none"/>
        </w:rPr>
      </w:pPr>
      <w:bookmarkStart w:id="25" w:name="_Toc29989"/>
      <w:r>
        <w:rPr>
          <w:rFonts w:ascii="宋体" w:hAnsi="宋体" w:cs="Calibri"/>
          <w:b/>
          <w:bCs/>
          <w:kern w:val="0"/>
          <w:sz w:val="22"/>
          <w:highlight w:val="none"/>
        </w:rPr>
        <w:t>3.6 投标文件的编制</w:t>
      </w:r>
      <w:bookmarkEnd w:id="25"/>
    </w:p>
    <w:p>
      <w:pPr>
        <w:adjustRightInd w:val="0"/>
        <w:snapToGrid w:val="0"/>
        <w:spacing w:line="360" w:lineRule="exact"/>
        <w:ind w:firstLine="440"/>
        <w:rPr>
          <w:rFonts w:ascii="宋体" w:hAnsi="宋体" w:cs="Calibri"/>
          <w:sz w:val="22"/>
          <w:highlight w:val="none"/>
        </w:rPr>
      </w:pPr>
      <w:r>
        <w:rPr>
          <w:rFonts w:ascii="宋体" w:hAnsi="宋体" w:cs="Calibri"/>
          <w:sz w:val="22"/>
          <w:highlight w:val="none"/>
        </w:rPr>
        <w:t>3.6.1 投标文件应按本须知第3.2款规定的内容和第</w:t>
      </w:r>
      <w:r>
        <w:rPr>
          <w:rFonts w:hint="eastAsia" w:ascii="宋体" w:hAnsi="宋体" w:cs="Calibri"/>
          <w:sz w:val="22"/>
          <w:highlight w:val="none"/>
        </w:rPr>
        <w:t>六</w:t>
      </w:r>
      <w:r>
        <w:rPr>
          <w:rFonts w:ascii="宋体" w:hAnsi="宋体" w:cs="Calibri"/>
          <w:sz w:val="22"/>
          <w:highlight w:val="none"/>
        </w:rPr>
        <w:t>章“投标文件格式”进行编写，如有必要，可以增加附页，作为投标文件的组成部分，“投标文件格式”中没有规定的可自行编制格式。其中，</w:t>
      </w:r>
      <w:r>
        <w:rPr>
          <w:rFonts w:hint="eastAsia" w:ascii="宋体" w:hAnsi="宋体" w:cs="Calibri"/>
          <w:sz w:val="22"/>
          <w:highlight w:val="none"/>
        </w:rPr>
        <w:t>供货期</w:t>
      </w:r>
      <w:r>
        <w:rPr>
          <w:rFonts w:ascii="宋体" w:hAnsi="宋体" w:cs="Calibri"/>
          <w:sz w:val="22"/>
          <w:highlight w:val="none"/>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highlight w:val="none"/>
        </w:rPr>
      </w:pPr>
      <w:r>
        <w:rPr>
          <w:rFonts w:ascii="宋体" w:hAnsi="宋体" w:cs="Calibri"/>
          <w:sz w:val="22"/>
          <w:highlight w:val="none"/>
        </w:rPr>
        <w:t xml:space="preserve">3.6.2 </w:t>
      </w:r>
      <w:r>
        <w:rPr>
          <w:rFonts w:ascii="宋体" w:hAnsi="宋体" w:cs="Calibri"/>
          <w:kern w:val="0"/>
          <w:sz w:val="22"/>
          <w:highlight w:val="none"/>
        </w:rPr>
        <w:t>投标文件应对招标文件有关</w:t>
      </w:r>
      <w:r>
        <w:rPr>
          <w:rFonts w:hint="eastAsia" w:ascii="宋体" w:hAnsi="宋体" w:cs="Calibri"/>
          <w:kern w:val="0"/>
          <w:sz w:val="22"/>
          <w:highlight w:val="none"/>
        </w:rPr>
        <w:t>供货期</w:t>
      </w:r>
      <w:r>
        <w:rPr>
          <w:rFonts w:ascii="宋体" w:hAnsi="宋体" w:cs="Calibri"/>
          <w:kern w:val="0"/>
          <w:sz w:val="22"/>
          <w:highlight w:val="none"/>
        </w:rPr>
        <w:t>、投标有效期、招标</w:t>
      </w:r>
      <w:r>
        <w:rPr>
          <w:rFonts w:hint="eastAsia" w:ascii="宋体" w:hAnsi="宋体" w:cs="Calibri"/>
          <w:kern w:val="0"/>
          <w:sz w:val="22"/>
          <w:highlight w:val="none"/>
        </w:rPr>
        <w:t>内容</w:t>
      </w:r>
      <w:r>
        <w:rPr>
          <w:rFonts w:ascii="宋体" w:hAnsi="宋体" w:cs="Calibri"/>
          <w:kern w:val="0"/>
          <w:sz w:val="22"/>
          <w:highlight w:val="none"/>
        </w:rPr>
        <w:t>等实质性内容作出响应。</w:t>
      </w:r>
    </w:p>
    <w:p>
      <w:pPr>
        <w:adjustRightInd w:val="0"/>
        <w:snapToGrid w:val="0"/>
        <w:spacing w:line="360" w:lineRule="exact"/>
        <w:ind w:firstLine="440"/>
        <w:rPr>
          <w:rFonts w:ascii="宋体" w:hAnsi="宋体" w:cs="Calibri"/>
          <w:sz w:val="22"/>
          <w:highlight w:val="none"/>
        </w:rPr>
      </w:pPr>
      <w:r>
        <w:rPr>
          <w:rFonts w:ascii="宋体" w:hAnsi="宋体" w:cs="Calibri"/>
          <w:sz w:val="22"/>
          <w:highlight w:val="none"/>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highlight w:val="none"/>
        </w:rPr>
        <w:t>签字或盖章的具体要求见投标人须知前附表。</w:t>
      </w:r>
    </w:p>
    <w:p>
      <w:pPr>
        <w:adjustRightInd w:val="0"/>
        <w:snapToGrid w:val="0"/>
        <w:spacing w:line="360" w:lineRule="exact"/>
        <w:ind w:firstLine="440"/>
        <w:rPr>
          <w:rFonts w:ascii="宋体" w:hAnsi="宋体" w:cs="Calibri"/>
          <w:sz w:val="22"/>
          <w:highlight w:val="none"/>
        </w:rPr>
      </w:pPr>
      <w:r>
        <w:rPr>
          <w:rFonts w:ascii="宋体" w:hAnsi="宋体" w:cs="Calibri"/>
          <w:sz w:val="22"/>
          <w:highlight w:val="none"/>
        </w:rPr>
        <w:t>3.6.4投标文件正本一份， 副本份数见投标人须知前附表。正本、副本的封面上应清楚地标记</w:t>
      </w:r>
      <w:r>
        <w:rPr>
          <w:rFonts w:ascii="宋体" w:hAnsi="宋体" w:cs="Calibri"/>
          <w:b/>
          <w:bCs/>
          <w:sz w:val="22"/>
          <w:highlight w:val="none"/>
        </w:rPr>
        <w:t>“正本</w:t>
      </w:r>
      <w:r>
        <w:rPr>
          <w:rFonts w:ascii="宋体" w:hAnsi="宋体" w:cs="Calibri"/>
          <w:sz w:val="22"/>
          <w:highlight w:val="none"/>
        </w:rPr>
        <w:t>”或“</w:t>
      </w:r>
      <w:r>
        <w:rPr>
          <w:rFonts w:ascii="宋体" w:hAnsi="宋体" w:cs="Calibri"/>
          <w:b/>
          <w:bCs/>
          <w:sz w:val="22"/>
          <w:highlight w:val="none"/>
        </w:rPr>
        <w:t>副本</w:t>
      </w:r>
      <w:r>
        <w:rPr>
          <w:rFonts w:ascii="宋体" w:hAnsi="宋体" w:cs="Calibri"/>
          <w:sz w:val="22"/>
          <w:highlight w:val="none"/>
        </w:rPr>
        <w:t>”的字样。当副本和正本不一致时，以正本为准。</w:t>
      </w:r>
    </w:p>
    <w:p>
      <w:pPr>
        <w:adjustRightInd w:val="0"/>
        <w:snapToGrid w:val="0"/>
        <w:spacing w:line="360" w:lineRule="exact"/>
        <w:ind w:firstLine="440"/>
        <w:rPr>
          <w:rFonts w:ascii="宋体" w:hAnsi="宋体" w:cs="Calibri"/>
          <w:sz w:val="22"/>
          <w:highlight w:val="none"/>
        </w:rPr>
      </w:pPr>
      <w:r>
        <w:rPr>
          <w:rFonts w:ascii="宋体" w:hAnsi="宋体" w:cs="Calibri"/>
          <w:sz w:val="22"/>
          <w:highlight w:val="none"/>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cs="Calibri"/>
          <w:b/>
          <w:bCs/>
          <w:kern w:val="0"/>
          <w:sz w:val="22"/>
          <w:highlight w:val="none"/>
        </w:rPr>
      </w:pPr>
      <w:bookmarkStart w:id="27" w:name="_Toc32652"/>
      <w:r>
        <w:rPr>
          <w:rFonts w:ascii="宋体" w:hAnsi="宋体" w:cs="Calibri"/>
          <w:b/>
          <w:bCs/>
          <w:kern w:val="0"/>
          <w:sz w:val="22"/>
          <w:highlight w:val="none"/>
        </w:rPr>
        <w:t>4.投标</w:t>
      </w:r>
      <w:bookmarkEnd w:id="26"/>
      <w:bookmarkEnd w:id="27"/>
    </w:p>
    <w:p>
      <w:pPr>
        <w:autoSpaceDE w:val="0"/>
        <w:autoSpaceDN w:val="0"/>
        <w:adjustRightInd w:val="0"/>
        <w:snapToGrid w:val="0"/>
        <w:spacing w:line="360" w:lineRule="exact"/>
        <w:rPr>
          <w:rFonts w:ascii="宋体" w:hAnsi="宋体" w:cs="Calibri"/>
          <w:b/>
          <w:bCs/>
          <w:kern w:val="0"/>
          <w:sz w:val="22"/>
          <w:highlight w:val="none"/>
        </w:rPr>
      </w:pPr>
      <w:bookmarkStart w:id="28" w:name="_Toc649"/>
      <w:r>
        <w:rPr>
          <w:rFonts w:ascii="宋体" w:hAnsi="宋体" w:cs="Calibri"/>
          <w:b/>
          <w:bCs/>
          <w:kern w:val="0"/>
          <w:sz w:val="22"/>
          <w:highlight w:val="none"/>
        </w:rPr>
        <w:t>4.1 投标文件的密封和标识</w:t>
      </w:r>
      <w:bookmarkEnd w:id="28"/>
    </w:p>
    <w:p>
      <w:pPr>
        <w:adjustRightInd w:val="0"/>
        <w:snapToGrid w:val="0"/>
        <w:spacing w:line="360" w:lineRule="exact"/>
        <w:ind w:firstLine="440"/>
        <w:rPr>
          <w:rFonts w:ascii="宋体" w:hAnsi="宋体" w:cs="Calibri"/>
          <w:kern w:val="0"/>
          <w:sz w:val="22"/>
          <w:highlight w:val="none"/>
        </w:rPr>
      </w:pPr>
      <w:r>
        <w:rPr>
          <w:rFonts w:ascii="宋体" w:hAnsi="宋体" w:cs="Calibri"/>
          <w:sz w:val="22"/>
          <w:highlight w:val="none"/>
        </w:rPr>
        <w:t>4.1.1</w:t>
      </w:r>
      <w:r>
        <w:rPr>
          <w:rFonts w:ascii="宋体" w:hAnsi="宋体" w:cs="Calibri"/>
          <w:kern w:val="0"/>
          <w:sz w:val="22"/>
          <w:highlight w:val="none"/>
        </w:rPr>
        <w:t>投标文件的正本、副本及电子文档可一同</w:t>
      </w:r>
      <w:r>
        <w:rPr>
          <w:rFonts w:hint="eastAsia" w:ascii="宋体" w:hAnsi="宋体" w:cs="Calibri"/>
          <w:kern w:val="0"/>
          <w:sz w:val="22"/>
          <w:highlight w:val="none"/>
        </w:rPr>
        <w:t>密封</w:t>
      </w:r>
      <w:r>
        <w:rPr>
          <w:rFonts w:ascii="宋体" w:hAnsi="宋体" w:cs="Calibri"/>
          <w:kern w:val="0"/>
          <w:sz w:val="22"/>
          <w:highlight w:val="none"/>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highlight w:val="none"/>
        </w:rPr>
      </w:pPr>
      <w:r>
        <w:rPr>
          <w:rFonts w:ascii="宋体" w:hAnsi="宋体" w:cs="Calibri"/>
          <w:sz w:val="22"/>
          <w:highlight w:val="none"/>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highlight w:val="none"/>
        </w:rPr>
      </w:pPr>
      <w:r>
        <w:rPr>
          <w:rFonts w:ascii="宋体" w:hAnsi="宋体" w:cs="Calibri"/>
          <w:sz w:val="22"/>
          <w:highlight w:val="none"/>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4.1.</w:t>
      </w:r>
      <w:r>
        <w:rPr>
          <w:rFonts w:hint="eastAsia" w:ascii="宋体" w:hAnsi="宋体" w:cs="Calibri"/>
          <w:kern w:val="0"/>
          <w:sz w:val="22"/>
          <w:highlight w:val="none"/>
        </w:rPr>
        <w:t>4</w:t>
      </w:r>
      <w:r>
        <w:rPr>
          <w:rFonts w:ascii="宋体" w:hAnsi="宋体" w:cs="Calibri"/>
          <w:sz w:val="22"/>
          <w:highlight w:val="none"/>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highlight w:val="none"/>
        </w:rPr>
      </w:pPr>
      <w:bookmarkStart w:id="29" w:name="_Toc16616"/>
      <w:r>
        <w:rPr>
          <w:rFonts w:ascii="宋体" w:hAnsi="宋体" w:cs="Calibri"/>
          <w:b/>
          <w:bCs/>
          <w:kern w:val="0"/>
          <w:sz w:val="22"/>
          <w:highlight w:val="none"/>
        </w:rPr>
        <w:t xml:space="preserve">4.2 投标文件的递交 </w:t>
      </w:r>
      <w:bookmarkEnd w:id="29"/>
    </w:p>
    <w:p>
      <w:pPr>
        <w:autoSpaceDE w:val="0"/>
        <w:autoSpaceDN w:val="0"/>
        <w:adjustRightInd w:val="0"/>
        <w:snapToGrid w:val="0"/>
        <w:spacing w:line="360" w:lineRule="exact"/>
        <w:ind w:firstLine="476"/>
        <w:rPr>
          <w:rFonts w:ascii="宋体" w:hAnsi="宋体" w:cs="Calibri"/>
          <w:b/>
          <w:bCs/>
          <w:kern w:val="0"/>
          <w:sz w:val="22"/>
          <w:highlight w:val="none"/>
        </w:rPr>
      </w:pPr>
      <w:r>
        <w:rPr>
          <w:rFonts w:ascii="宋体" w:hAnsi="宋体" w:cs="Calibri"/>
          <w:b/>
          <w:bCs/>
          <w:kern w:val="0"/>
          <w:sz w:val="22"/>
          <w:highlight w:val="none"/>
        </w:rPr>
        <w:t>4.2.1投标人应在本须知前附表规定的投标截止时间前递交投标文件。</w:t>
      </w:r>
    </w:p>
    <w:p>
      <w:pPr>
        <w:adjustRightInd w:val="0"/>
        <w:snapToGrid w:val="0"/>
        <w:spacing w:line="360" w:lineRule="exact"/>
        <w:ind w:firstLine="440"/>
        <w:rPr>
          <w:rFonts w:ascii="宋体" w:hAnsi="宋体" w:cs="Calibri"/>
          <w:sz w:val="22"/>
          <w:highlight w:val="none"/>
        </w:rPr>
      </w:pPr>
      <w:r>
        <w:rPr>
          <w:rFonts w:ascii="宋体" w:hAnsi="宋体" w:cs="Calibri"/>
          <w:sz w:val="22"/>
          <w:highlight w:val="none"/>
        </w:rPr>
        <w:t>4.2.2投标人送达投标文件的地点：见投标人须知前附表。</w:t>
      </w:r>
    </w:p>
    <w:p>
      <w:pPr>
        <w:adjustRightInd w:val="0"/>
        <w:snapToGrid w:val="0"/>
        <w:spacing w:line="360" w:lineRule="exact"/>
        <w:ind w:firstLine="440"/>
        <w:rPr>
          <w:rFonts w:ascii="宋体" w:hAnsi="宋体" w:cs="Calibri"/>
          <w:sz w:val="22"/>
          <w:highlight w:val="none"/>
        </w:rPr>
      </w:pPr>
      <w:r>
        <w:rPr>
          <w:rFonts w:ascii="宋体" w:hAnsi="宋体" w:cs="Calibri"/>
          <w:sz w:val="22"/>
          <w:highlight w:val="none"/>
        </w:rPr>
        <w:t>4.2.3除投标人须知前附表另有规定外，投标人所递交的投标文件不予退还。</w:t>
      </w:r>
    </w:p>
    <w:p>
      <w:pPr>
        <w:adjustRightInd w:val="0"/>
        <w:snapToGrid w:val="0"/>
        <w:spacing w:line="360" w:lineRule="exact"/>
        <w:ind w:firstLine="440"/>
        <w:rPr>
          <w:rFonts w:ascii="宋体" w:hAnsi="宋体" w:cs="Calibri"/>
          <w:sz w:val="22"/>
          <w:highlight w:val="none"/>
        </w:rPr>
      </w:pPr>
      <w:r>
        <w:rPr>
          <w:rFonts w:ascii="宋体" w:hAnsi="宋体" w:cs="Calibri"/>
          <w:sz w:val="22"/>
          <w:highlight w:val="none"/>
        </w:rPr>
        <w:t>4.2.</w:t>
      </w:r>
      <w:r>
        <w:rPr>
          <w:rFonts w:hint="eastAsia" w:ascii="宋体" w:hAnsi="宋体" w:cs="Calibri"/>
          <w:sz w:val="22"/>
          <w:highlight w:val="none"/>
        </w:rPr>
        <w:t>4</w:t>
      </w:r>
      <w:r>
        <w:rPr>
          <w:rFonts w:ascii="宋体" w:hAnsi="宋体" w:cs="Calibri"/>
          <w:sz w:val="22"/>
          <w:highlight w:val="none"/>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highlight w:val="none"/>
        </w:rPr>
      </w:pPr>
      <w:bookmarkStart w:id="30" w:name="_Toc26099"/>
      <w:r>
        <w:rPr>
          <w:rFonts w:ascii="宋体" w:hAnsi="宋体" w:cs="Calibri"/>
          <w:b/>
          <w:bCs/>
          <w:kern w:val="0"/>
          <w:sz w:val="22"/>
          <w:highlight w:val="none"/>
        </w:rPr>
        <w:t>4.3 投标文件的修改和撤回</w:t>
      </w:r>
      <w:bookmarkEnd w:id="30"/>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highlight w:val="none"/>
        </w:rPr>
      </w:pPr>
      <w:bookmarkStart w:id="31" w:name="_Toc29641"/>
      <w:r>
        <w:rPr>
          <w:rFonts w:ascii="宋体" w:hAnsi="宋体" w:cs="Calibri"/>
          <w:b/>
          <w:bCs/>
          <w:kern w:val="0"/>
          <w:sz w:val="22"/>
          <w:highlight w:val="none"/>
        </w:rPr>
        <w:t>5.开标</w:t>
      </w:r>
      <w:bookmarkEnd w:id="31"/>
    </w:p>
    <w:p>
      <w:pPr>
        <w:autoSpaceDE w:val="0"/>
        <w:autoSpaceDN w:val="0"/>
        <w:adjustRightInd w:val="0"/>
        <w:snapToGrid w:val="0"/>
        <w:spacing w:line="360" w:lineRule="exact"/>
        <w:rPr>
          <w:rFonts w:ascii="宋体" w:hAnsi="宋体" w:cs="Calibri"/>
          <w:b/>
          <w:bCs/>
          <w:kern w:val="0"/>
          <w:sz w:val="22"/>
          <w:highlight w:val="none"/>
        </w:rPr>
      </w:pPr>
      <w:bookmarkStart w:id="32" w:name="_Toc15123"/>
      <w:r>
        <w:rPr>
          <w:rFonts w:ascii="宋体" w:hAnsi="宋体" w:cs="Calibri"/>
          <w:b/>
          <w:bCs/>
          <w:kern w:val="0"/>
          <w:sz w:val="22"/>
          <w:highlight w:val="none"/>
        </w:rPr>
        <w:t>5.1 开标时间和地点</w:t>
      </w:r>
      <w:bookmarkEnd w:id="32"/>
    </w:p>
    <w:p>
      <w:pPr>
        <w:adjustRightInd w:val="0"/>
        <w:snapToGrid w:val="0"/>
        <w:spacing w:line="360" w:lineRule="exact"/>
        <w:ind w:firstLine="440"/>
        <w:rPr>
          <w:rFonts w:ascii="宋体" w:hAnsi="宋体" w:cs="Calibri"/>
          <w:sz w:val="22"/>
          <w:highlight w:val="none"/>
        </w:rPr>
      </w:pPr>
      <w:r>
        <w:rPr>
          <w:rFonts w:ascii="宋体" w:hAnsi="宋体" w:cs="Calibri"/>
          <w:sz w:val="22"/>
          <w:highlight w:val="none"/>
        </w:rPr>
        <w:t>5.1.1</w:t>
      </w:r>
      <w:r>
        <w:rPr>
          <w:rFonts w:hint="eastAsia" w:ascii="宋体" w:hAnsi="宋体" w:cs="Calibri"/>
          <w:sz w:val="22"/>
          <w:highlight w:val="none"/>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sz w:val="22"/>
          <w:highlight w:val="none"/>
        </w:rPr>
      </w:pPr>
      <w:r>
        <w:rPr>
          <w:rFonts w:ascii="宋体" w:hAnsi="宋体" w:cs="Calibri"/>
          <w:sz w:val="22"/>
          <w:highlight w:val="none"/>
        </w:rPr>
        <w:t>5.1.2投标人在投标时应随身携带下列资料提交招标</w:t>
      </w:r>
      <w:r>
        <w:rPr>
          <w:rFonts w:hint="eastAsia" w:ascii="宋体" w:hAnsi="宋体" w:cs="Calibri"/>
          <w:sz w:val="22"/>
          <w:highlight w:val="none"/>
        </w:rPr>
        <w:t>人</w:t>
      </w:r>
    </w:p>
    <w:p>
      <w:pPr>
        <w:adjustRightInd w:val="0"/>
        <w:snapToGrid w:val="0"/>
        <w:spacing w:line="360" w:lineRule="exact"/>
        <w:ind w:firstLine="440"/>
        <w:rPr>
          <w:rFonts w:ascii="宋体" w:hAnsi="宋体" w:cs="Calibri"/>
          <w:sz w:val="22"/>
          <w:highlight w:val="none"/>
        </w:rPr>
      </w:pPr>
      <w:r>
        <w:rPr>
          <w:rFonts w:ascii="宋体" w:hAnsi="宋体" w:cs="Calibri"/>
          <w:sz w:val="22"/>
          <w:highlight w:val="none"/>
        </w:rPr>
        <w:t>（1）委托代理人的身份证、法定代表人授权委托书</w:t>
      </w:r>
      <w:r>
        <w:rPr>
          <w:rFonts w:hint="eastAsia" w:ascii="宋体" w:hAnsi="宋体" w:cs="Calibri"/>
          <w:sz w:val="22"/>
          <w:highlight w:val="none"/>
        </w:rPr>
        <w:t>（装订在投标文件内亦可）</w:t>
      </w:r>
      <w:r>
        <w:rPr>
          <w:rFonts w:ascii="宋体" w:hAnsi="宋体" w:cs="Calibri"/>
          <w:sz w:val="22"/>
          <w:highlight w:val="none"/>
        </w:rPr>
        <w:t>；</w:t>
      </w:r>
    </w:p>
    <w:p>
      <w:pPr>
        <w:adjustRightInd w:val="0"/>
        <w:snapToGrid w:val="0"/>
        <w:spacing w:line="360" w:lineRule="exact"/>
        <w:ind w:firstLine="440"/>
        <w:rPr>
          <w:rFonts w:ascii="宋体" w:hAnsi="宋体" w:cs="Calibri"/>
          <w:sz w:val="22"/>
          <w:highlight w:val="none"/>
        </w:rPr>
      </w:pPr>
      <w:r>
        <w:rPr>
          <w:rFonts w:ascii="宋体" w:hAnsi="宋体" w:cs="Calibri"/>
          <w:sz w:val="22"/>
          <w:highlight w:val="none"/>
        </w:rPr>
        <w:t>（2）投标保证金收执证明或汇款凭证或银行回单</w:t>
      </w:r>
      <w:r>
        <w:rPr>
          <w:rFonts w:hint="eastAsia" w:ascii="宋体" w:hAnsi="宋体" w:cs="Calibri"/>
          <w:sz w:val="22"/>
          <w:highlight w:val="none"/>
        </w:rPr>
        <w:t>（装订在投标文件内亦可）</w:t>
      </w:r>
      <w:r>
        <w:rPr>
          <w:rFonts w:ascii="宋体" w:hAnsi="宋体" w:cs="Calibri"/>
          <w:sz w:val="22"/>
          <w:highlight w:val="none"/>
        </w:rPr>
        <w:t>。</w:t>
      </w:r>
    </w:p>
    <w:p>
      <w:pPr>
        <w:autoSpaceDE w:val="0"/>
        <w:autoSpaceDN w:val="0"/>
        <w:adjustRightInd w:val="0"/>
        <w:snapToGrid w:val="0"/>
        <w:spacing w:line="360" w:lineRule="exact"/>
        <w:rPr>
          <w:rFonts w:ascii="宋体" w:hAnsi="宋体" w:cs="Calibri"/>
          <w:b/>
          <w:bCs/>
          <w:kern w:val="0"/>
          <w:sz w:val="22"/>
          <w:highlight w:val="none"/>
        </w:rPr>
      </w:pPr>
      <w:bookmarkStart w:id="33" w:name="_Toc7101"/>
      <w:r>
        <w:rPr>
          <w:rFonts w:ascii="宋体" w:hAnsi="宋体" w:cs="Calibri"/>
          <w:b/>
          <w:bCs/>
          <w:kern w:val="0"/>
          <w:sz w:val="22"/>
          <w:highlight w:val="none"/>
        </w:rPr>
        <w:t>5.2 开标程序</w:t>
      </w:r>
      <w:bookmarkEnd w:id="33"/>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主持人按下列程序进行开标：</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（1）宣布开标纪律；</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（3）宣布开标人、唱标人、记录人、监标人等有关人员姓名；</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（4）按照投标人须知前附表规定检查投标文件的密封情况；</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（5）按照投标人须知前附表的规定确定并宣布投标文件开标顺序；</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（6）</w:t>
      </w:r>
      <w:r>
        <w:rPr>
          <w:rFonts w:ascii="宋体" w:hAnsi="宋体" w:cs="Calibri"/>
          <w:sz w:val="22"/>
          <w:highlight w:val="none"/>
        </w:rPr>
        <w:t>按照宣布的开标顺序当众开标，公布投标人名称、投标保证金的递交情况、投标报价、</w:t>
      </w:r>
      <w:r>
        <w:rPr>
          <w:rFonts w:hint="eastAsia" w:ascii="宋体" w:hAnsi="宋体" w:cs="Calibri"/>
          <w:sz w:val="22"/>
          <w:highlight w:val="none"/>
        </w:rPr>
        <w:t>供货期</w:t>
      </w:r>
      <w:r>
        <w:rPr>
          <w:rFonts w:ascii="宋体" w:hAnsi="宋体" w:cs="Calibri"/>
          <w:sz w:val="22"/>
          <w:highlight w:val="none"/>
        </w:rPr>
        <w:t>及其他内容，并记录在案；</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（8）开标结束。</w:t>
      </w:r>
    </w:p>
    <w:p>
      <w:pPr>
        <w:autoSpaceDE w:val="0"/>
        <w:autoSpaceDN w:val="0"/>
        <w:adjustRightInd w:val="0"/>
        <w:snapToGrid w:val="0"/>
        <w:spacing w:line="360" w:lineRule="exact"/>
        <w:rPr>
          <w:rFonts w:ascii="宋体" w:hAnsi="宋体" w:cs="Calibri"/>
          <w:b/>
          <w:bCs/>
          <w:kern w:val="0"/>
          <w:sz w:val="22"/>
          <w:highlight w:val="none"/>
        </w:rPr>
      </w:pPr>
      <w:bookmarkStart w:id="34" w:name="_Toc31578"/>
      <w:r>
        <w:rPr>
          <w:rFonts w:ascii="宋体" w:hAnsi="宋体" w:cs="Calibri"/>
          <w:b/>
          <w:bCs/>
          <w:kern w:val="0"/>
          <w:sz w:val="22"/>
          <w:highlight w:val="none"/>
        </w:rPr>
        <w:t>6.评标</w:t>
      </w:r>
      <w:bookmarkEnd w:id="34"/>
    </w:p>
    <w:p>
      <w:pPr>
        <w:autoSpaceDE w:val="0"/>
        <w:autoSpaceDN w:val="0"/>
        <w:adjustRightInd w:val="0"/>
        <w:snapToGrid w:val="0"/>
        <w:spacing w:line="360" w:lineRule="exact"/>
        <w:rPr>
          <w:rFonts w:ascii="宋体" w:hAnsi="宋体" w:cs="Calibri"/>
          <w:b/>
          <w:bCs/>
          <w:kern w:val="0"/>
          <w:sz w:val="22"/>
          <w:highlight w:val="none"/>
        </w:rPr>
      </w:pPr>
      <w:bookmarkStart w:id="35" w:name="_Toc10279"/>
      <w:r>
        <w:rPr>
          <w:rFonts w:ascii="宋体" w:hAnsi="宋体" w:cs="Calibri"/>
          <w:b/>
          <w:bCs/>
          <w:kern w:val="0"/>
          <w:sz w:val="22"/>
          <w:highlight w:val="none"/>
        </w:rPr>
        <w:t>6.1 评标委员会</w:t>
      </w:r>
      <w:bookmarkEnd w:id="35"/>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6.1.2评标委员会成员有下列情形之一的，应当回避：</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（1）招标人或投标人的主要负责人的近亲属；</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（2）项目主管部门或者行政监督部门的人员；</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（3）与投标人有经济利益关系，可能影响对投标公正评审的；</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highlight w:val="none"/>
        </w:rPr>
      </w:pPr>
      <w:bookmarkStart w:id="36" w:name="_Toc3460"/>
      <w:r>
        <w:rPr>
          <w:rFonts w:ascii="宋体" w:hAnsi="宋体" w:cs="Calibri"/>
          <w:b/>
          <w:bCs/>
          <w:kern w:val="0"/>
          <w:sz w:val="22"/>
          <w:highlight w:val="none"/>
        </w:rPr>
        <w:t>6.2 评标原则</w:t>
      </w:r>
      <w:bookmarkEnd w:id="36"/>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评标活动遵循公平、公正、科学和择优的原则。</w:t>
      </w:r>
    </w:p>
    <w:p>
      <w:pPr>
        <w:autoSpaceDE w:val="0"/>
        <w:autoSpaceDN w:val="0"/>
        <w:adjustRightInd w:val="0"/>
        <w:snapToGrid w:val="0"/>
        <w:spacing w:line="360" w:lineRule="exact"/>
        <w:rPr>
          <w:rFonts w:ascii="宋体" w:hAnsi="宋体" w:cs="Calibri"/>
          <w:b/>
          <w:bCs/>
          <w:kern w:val="0"/>
          <w:sz w:val="22"/>
          <w:highlight w:val="none"/>
        </w:rPr>
      </w:pPr>
      <w:bookmarkStart w:id="37" w:name="_Toc28178"/>
      <w:r>
        <w:rPr>
          <w:rFonts w:ascii="宋体" w:hAnsi="宋体" w:cs="Calibri"/>
          <w:b/>
          <w:bCs/>
          <w:kern w:val="0"/>
          <w:sz w:val="22"/>
          <w:highlight w:val="none"/>
        </w:rPr>
        <w:t>6.3 评标</w:t>
      </w:r>
      <w:bookmarkEnd w:id="37"/>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评标委员会按照第</w:t>
      </w:r>
      <w:r>
        <w:rPr>
          <w:rFonts w:hint="eastAsia" w:ascii="宋体" w:hAnsi="宋体" w:cs="Calibri"/>
          <w:kern w:val="0"/>
          <w:sz w:val="22"/>
          <w:highlight w:val="none"/>
        </w:rPr>
        <w:t>五</w:t>
      </w:r>
      <w:r>
        <w:rPr>
          <w:rFonts w:ascii="宋体" w:hAnsi="宋体" w:cs="Calibri"/>
          <w:kern w:val="0"/>
          <w:sz w:val="22"/>
          <w:highlight w:val="none"/>
        </w:rPr>
        <w:t>章“</w:t>
      </w:r>
      <w:r>
        <w:rPr>
          <w:rFonts w:cs="Calibri" w:asciiTheme="minorEastAsia" w:hAnsiTheme="minorEastAsia"/>
          <w:color w:val="000000"/>
          <w:kern w:val="0"/>
          <w:sz w:val="22"/>
          <w:highlight w:val="none"/>
        </w:rPr>
        <w:t>评标方法及标准</w:t>
      </w:r>
      <w:r>
        <w:rPr>
          <w:rFonts w:ascii="宋体" w:hAnsi="宋体" w:cs="Calibri"/>
          <w:kern w:val="0"/>
          <w:sz w:val="22"/>
          <w:highlight w:val="none"/>
        </w:rPr>
        <w:t>”对投标文件进行评审。第</w:t>
      </w:r>
      <w:r>
        <w:rPr>
          <w:rFonts w:hint="eastAsia" w:ascii="宋体" w:hAnsi="宋体" w:cs="Calibri"/>
          <w:kern w:val="0"/>
          <w:sz w:val="22"/>
          <w:highlight w:val="none"/>
        </w:rPr>
        <w:t>五</w:t>
      </w:r>
      <w:r>
        <w:rPr>
          <w:rFonts w:ascii="宋体" w:hAnsi="宋体" w:cs="Calibri"/>
          <w:kern w:val="0"/>
          <w:sz w:val="22"/>
          <w:highlight w:val="none"/>
        </w:rPr>
        <w:t>章“</w:t>
      </w:r>
      <w:r>
        <w:rPr>
          <w:rFonts w:cs="Calibri" w:asciiTheme="minorEastAsia" w:hAnsiTheme="minorEastAsia"/>
          <w:color w:val="000000"/>
          <w:kern w:val="0"/>
          <w:sz w:val="22"/>
          <w:highlight w:val="none"/>
        </w:rPr>
        <w:t>评标方法及标准</w:t>
      </w:r>
      <w:r>
        <w:rPr>
          <w:rFonts w:ascii="宋体" w:hAnsi="宋体" w:cs="Calibri"/>
          <w:kern w:val="0"/>
          <w:sz w:val="22"/>
          <w:highlight w:val="none"/>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highlight w:val="none"/>
        </w:rPr>
      </w:pPr>
      <w:bookmarkStart w:id="38" w:name="_Toc24237"/>
      <w:r>
        <w:rPr>
          <w:rFonts w:ascii="宋体" w:hAnsi="宋体" w:cs="Calibri"/>
          <w:b/>
          <w:bCs/>
          <w:kern w:val="0"/>
          <w:sz w:val="22"/>
          <w:highlight w:val="none"/>
        </w:rPr>
        <w:t>7.合同授予</w:t>
      </w:r>
      <w:bookmarkEnd w:id="38"/>
    </w:p>
    <w:p>
      <w:pPr>
        <w:autoSpaceDE w:val="0"/>
        <w:autoSpaceDN w:val="0"/>
        <w:adjustRightInd w:val="0"/>
        <w:snapToGrid w:val="0"/>
        <w:spacing w:line="360" w:lineRule="exact"/>
        <w:rPr>
          <w:rFonts w:ascii="宋体" w:hAnsi="宋体" w:cs="Calibri"/>
          <w:b/>
          <w:bCs/>
          <w:kern w:val="0"/>
          <w:sz w:val="22"/>
          <w:highlight w:val="none"/>
        </w:rPr>
      </w:pPr>
      <w:bookmarkStart w:id="39" w:name="_Toc18809"/>
      <w:r>
        <w:rPr>
          <w:rFonts w:ascii="宋体" w:hAnsi="宋体" w:cs="Calibri"/>
          <w:b/>
          <w:bCs/>
          <w:kern w:val="0"/>
          <w:sz w:val="22"/>
          <w:highlight w:val="none"/>
        </w:rPr>
        <w:t>7.1 定标方式</w:t>
      </w:r>
      <w:bookmarkEnd w:id="39"/>
    </w:p>
    <w:p>
      <w:pPr>
        <w:adjustRightInd w:val="0"/>
        <w:snapToGrid w:val="0"/>
        <w:spacing w:line="360" w:lineRule="exact"/>
        <w:ind w:firstLine="440"/>
        <w:rPr>
          <w:rFonts w:ascii="宋体" w:hAnsi="宋体" w:cs="Calibri"/>
          <w:sz w:val="22"/>
          <w:highlight w:val="none"/>
        </w:rPr>
      </w:pPr>
      <w:r>
        <w:rPr>
          <w:rFonts w:ascii="宋体" w:hAnsi="宋体" w:cs="Calibri"/>
          <w:sz w:val="22"/>
          <w:highlight w:val="none"/>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highlight w:val="none"/>
        </w:rPr>
      </w:pPr>
      <w:bookmarkStart w:id="40" w:name="_Toc14573"/>
      <w:r>
        <w:rPr>
          <w:rFonts w:ascii="宋体" w:hAnsi="宋体" w:cs="Calibri"/>
          <w:b/>
          <w:bCs/>
          <w:kern w:val="0"/>
          <w:sz w:val="22"/>
          <w:highlight w:val="none"/>
        </w:rPr>
        <w:t>7.2 中标通知</w:t>
      </w:r>
      <w:bookmarkEnd w:id="40"/>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highlight w:val="none"/>
        </w:rPr>
      </w:pPr>
      <w:bookmarkStart w:id="41" w:name="_Toc27132"/>
      <w:r>
        <w:rPr>
          <w:rFonts w:ascii="宋体" w:hAnsi="宋体" w:cs="Calibri"/>
          <w:b/>
          <w:bCs/>
          <w:kern w:val="0"/>
          <w:sz w:val="22"/>
          <w:highlight w:val="none"/>
        </w:rPr>
        <w:t>7.3 履约</w:t>
      </w:r>
      <w:r>
        <w:rPr>
          <w:rFonts w:hint="eastAsia" w:ascii="宋体" w:hAnsi="宋体" w:cs="Calibri"/>
          <w:b/>
          <w:bCs/>
          <w:kern w:val="0"/>
          <w:sz w:val="22"/>
          <w:highlight w:val="none"/>
        </w:rPr>
        <w:t>保证金</w:t>
      </w:r>
      <w:bookmarkEnd w:id="41"/>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7.3.1在签订合同前，中标人应按投标人须知前附表规定的金额</w:t>
      </w:r>
      <w:r>
        <w:rPr>
          <w:rFonts w:hint="eastAsia" w:ascii="宋体" w:hAnsi="宋体" w:cs="Calibri"/>
          <w:kern w:val="0"/>
          <w:sz w:val="22"/>
          <w:highlight w:val="none"/>
        </w:rPr>
        <w:t>和</w:t>
      </w:r>
      <w:r>
        <w:rPr>
          <w:rFonts w:ascii="宋体" w:hAnsi="宋体" w:cs="Calibri"/>
          <w:kern w:val="0"/>
          <w:sz w:val="22"/>
          <w:highlight w:val="none"/>
        </w:rPr>
        <w:t>担保形式向招标人提交履约</w:t>
      </w:r>
      <w:r>
        <w:rPr>
          <w:rFonts w:hint="eastAsia" w:ascii="宋体" w:hAnsi="宋体" w:cs="Calibri"/>
          <w:kern w:val="0"/>
          <w:sz w:val="22"/>
          <w:highlight w:val="none"/>
        </w:rPr>
        <w:t>保证金</w:t>
      </w:r>
      <w:r>
        <w:rPr>
          <w:rFonts w:ascii="宋体" w:hAnsi="宋体" w:cs="Calibri"/>
          <w:kern w:val="0"/>
          <w:sz w:val="22"/>
          <w:highlight w:val="none"/>
        </w:rPr>
        <w:t>。</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7.3.2 中标人不能按本章第7.3.1项要求提交履约</w:t>
      </w:r>
      <w:r>
        <w:rPr>
          <w:rFonts w:hint="eastAsia" w:ascii="宋体" w:hAnsi="宋体" w:cs="Calibri"/>
          <w:kern w:val="0"/>
          <w:sz w:val="22"/>
          <w:highlight w:val="none"/>
        </w:rPr>
        <w:t>保证金</w:t>
      </w:r>
      <w:r>
        <w:rPr>
          <w:rFonts w:ascii="宋体" w:hAnsi="宋体" w:cs="Calibri"/>
          <w:kern w:val="0"/>
          <w:sz w:val="22"/>
          <w:highlight w:val="none"/>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highlight w:val="none"/>
        </w:rPr>
      </w:pPr>
      <w:bookmarkStart w:id="42" w:name="_Toc27581"/>
      <w:r>
        <w:rPr>
          <w:rFonts w:ascii="宋体" w:hAnsi="宋体" w:cs="Calibri"/>
          <w:b/>
          <w:bCs/>
          <w:kern w:val="0"/>
          <w:sz w:val="22"/>
          <w:highlight w:val="none"/>
        </w:rPr>
        <w:t>7.4 签订合同</w:t>
      </w:r>
      <w:bookmarkEnd w:id="42"/>
    </w:p>
    <w:p>
      <w:pPr>
        <w:adjustRightInd w:val="0"/>
        <w:snapToGrid w:val="0"/>
        <w:spacing w:line="360" w:lineRule="exact"/>
        <w:ind w:firstLine="440"/>
        <w:rPr>
          <w:rFonts w:ascii="宋体" w:hAnsi="宋体" w:cs="Calibri"/>
          <w:kern w:val="0"/>
          <w:sz w:val="22"/>
          <w:highlight w:val="none"/>
        </w:rPr>
      </w:pPr>
      <w:r>
        <w:rPr>
          <w:rFonts w:ascii="宋体" w:hAnsi="宋体" w:cs="Calibri"/>
          <w:sz w:val="22"/>
          <w:highlight w:val="none"/>
        </w:rPr>
        <w:t>7</w:t>
      </w:r>
      <w:bookmarkStart w:id="43" w:name="_Toc11806"/>
      <w:bookmarkStart w:id="44" w:name="_Toc220123241"/>
      <w:bookmarkStart w:id="45" w:name="_Toc219809801"/>
      <w:r>
        <w:rPr>
          <w:rFonts w:ascii="宋体" w:hAnsi="宋体" w:cs="Calibri"/>
          <w:kern w:val="0"/>
          <w:sz w:val="22"/>
          <w:highlight w:val="none"/>
        </w:rPr>
        <w:t>.4.1招标人和中标人应当自中标通知书发出之日起30个工作日内订立书面</w:t>
      </w:r>
      <w:r>
        <w:rPr>
          <w:rFonts w:hint="eastAsia" w:ascii="宋体" w:hAnsi="宋体" w:cs="Calibri"/>
          <w:kern w:val="0"/>
          <w:sz w:val="22"/>
          <w:highlight w:val="none"/>
        </w:rPr>
        <w:t>合同</w:t>
      </w:r>
      <w:r>
        <w:rPr>
          <w:rFonts w:ascii="宋体" w:hAnsi="宋体" w:cs="Calibri"/>
          <w:kern w:val="0"/>
          <w:sz w:val="22"/>
          <w:highlight w:val="none"/>
        </w:rPr>
        <w:t>（合同条款按第</w:t>
      </w:r>
      <w:r>
        <w:rPr>
          <w:rFonts w:hint="eastAsia" w:ascii="宋体" w:hAnsi="宋体" w:cs="Calibri"/>
          <w:kern w:val="0"/>
          <w:sz w:val="22"/>
          <w:highlight w:val="none"/>
        </w:rPr>
        <w:t>四</w:t>
      </w:r>
      <w:r>
        <w:rPr>
          <w:rFonts w:ascii="宋体" w:hAnsi="宋体" w:cs="Calibri"/>
          <w:kern w:val="0"/>
          <w:sz w:val="22"/>
          <w:highlight w:val="none"/>
        </w:rPr>
        <w:t>章</w:t>
      </w:r>
      <w:r>
        <w:rPr>
          <w:rFonts w:hint="eastAsia" w:ascii="宋体" w:hAnsi="宋体" w:cs="Calibri"/>
          <w:kern w:val="0"/>
          <w:sz w:val="22"/>
          <w:highlight w:val="none"/>
        </w:rPr>
        <w:t>“</w:t>
      </w:r>
      <w:r>
        <w:rPr>
          <w:rFonts w:ascii="宋体" w:hAnsi="宋体" w:cs="Calibri"/>
          <w:kern w:val="0"/>
          <w:sz w:val="22"/>
          <w:highlight w:val="none"/>
        </w:rPr>
        <w:t>合同条款</w:t>
      </w:r>
      <w:r>
        <w:rPr>
          <w:rFonts w:hint="eastAsia" w:ascii="宋体" w:hAnsi="宋体" w:cs="Calibri"/>
          <w:kern w:val="0"/>
          <w:sz w:val="22"/>
          <w:highlight w:val="none"/>
        </w:rPr>
        <w:t>”</w:t>
      </w:r>
      <w:r>
        <w:rPr>
          <w:rFonts w:ascii="宋体" w:hAnsi="宋体" w:cs="Calibri"/>
          <w:kern w:val="0"/>
          <w:sz w:val="22"/>
          <w:highlight w:val="none"/>
        </w:rPr>
        <w:t>）。中标人无正当理由拒签</w:t>
      </w:r>
      <w:r>
        <w:rPr>
          <w:rFonts w:hint="eastAsia" w:ascii="宋体" w:hAnsi="宋体" w:cs="Calibri"/>
          <w:kern w:val="0"/>
          <w:sz w:val="22"/>
          <w:highlight w:val="none"/>
        </w:rPr>
        <w:t>合同</w:t>
      </w:r>
      <w:r>
        <w:rPr>
          <w:rFonts w:ascii="宋体" w:hAnsi="宋体" w:cs="Calibri"/>
          <w:kern w:val="0"/>
          <w:sz w:val="22"/>
          <w:highlight w:val="none"/>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color w:val="000000"/>
          <w:kern w:val="0"/>
          <w:sz w:val="22"/>
          <w:highlight w:val="none"/>
        </w:rPr>
      </w:pPr>
      <w:r>
        <w:rPr>
          <w:rFonts w:hint="eastAsia" w:cs="Calibri" w:asciiTheme="minorEastAsia" w:hAnsiTheme="minorEastAsia"/>
          <w:color w:val="000000"/>
          <w:kern w:val="0"/>
          <w:sz w:val="22"/>
          <w:highlight w:val="none"/>
        </w:rPr>
        <w:t xml:space="preserve">7.4.3 </w:t>
      </w:r>
      <w:r>
        <w:rPr>
          <w:rFonts w:hint="eastAsia" w:cs="Calibri" w:asciiTheme="minorEastAsia" w:hAnsiTheme="minorEastAsia"/>
          <w:b/>
          <w:color w:val="000000"/>
          <w:kern w:val="0"/>
          <w:sz w:val="22"/>
          <w:highlight w:val="none"/>
        </w:rPr>
        <w:t>招标人在授予合同有权对本项目的内容等予以增加或者减少，中标人不得提出异议，否则招标人有权取消其中标资格。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highlight w:val="none"/>
        </w:rPr>
      </w:pPr>
      <w:r>
        <w:rPr>
          <w:rFonts w:hint="eastAsia" w:cs="Calibri" w:asciiTheme="minorEastAsia" w:hAnsiTheme="minorEastAsia"/>
          <w:color w:val="000000"/>
          <w:kern w:val="0"/>
          <w:sz w:val="22"/>
          <w:highlight w:val="none"/>
        </w:rPr>
        <w:t xml:space="preserve">7.4.4 </w:t>
      </w:r>
      <w:r>
        <w:rPr>
          <w:rFonts w:hint="eastAsia" w:cs="Calibri" w:asciiTheme="minorEastAsia" w:hAnsiTheme="minorEastAsia"/>
          <w:b/>
          <w:color w:val="000000"/>
          <w:kern w:val="0"/>
          <w:sz w:val="22"/>
          <w:highlight w:val="none"/>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highlight w:val="none"/>
        </w:rPr>
      </w:pPr>
      <w:r>
        <w:rPr>
          <w:rFonts w:ascii="宋体" w:hAnsi="宋体" w:cs="Calibri"/>
          <w:b/>
          <w:bCs/>
          <w:kern w:val="0"/>
          <w:sz w:val="22"/>
          <w:highlight w:val="none"/>
        </w:rPr>
        <w:t>8.重新招标和不再招标</w:t>
      </w:r>
      <w:bookmarkEnd w:id="43"/>
      <w:bookmarkEnd w:id="44"/>
      <w:bookmarkEnd w:id="45"/>
    </w:p>
    <w:p>
      <w:pPr>
        <w:autoSpaceDE w:val="0"/>
        <w:autoSpaceDN w:val="0"/>
        <w:adjustRightInd w:val="0"/>
        <w:snapToGrid w:val="0"/>
        <w:spacing w:line="360" w:lineRule="exact"/>
        <w:rPr>
          <w:rFonts w:ascii="宋体" w:hAnsi="宋体" w:cs="Calibri"/>
          <w:b/>
          <w:bCs/>
          <w:kern w:val="0"/>
          <w:sz w:val="22"/>
          <w:highlight w:val="none"/>
        </w:rPr>
      </w:pPr>
      <w:bookmarkStart w:id="46" w:name="_Toc219809802"/>
      <w:bookmarkStart w:id="47" w:name="_Toc220123242"/>
      <w:bookmarkStart w:id="48" w:name="_Toc15553"/>
      <w:r>
        <w:rPr>
          <w:rFonts w:ascii="宋体" w:hAnsi="宋体" w:cs="Calibri"/>
          <w:b/>
          <w:bCs/>
          <w:kern w:val="0"/>
          <w:sz w:val="22"/>
          <w:highlight w:val="none"/>
        </w:rPr>
        <w:t>8.1 重新招标</w:t>
      </w:r>
      <w:bookmarkEnd w:id="46"/>
      <w:bookmarkEnd w:id="47"/>
      <w:bookmarkEnd w:id="48"/>
    </w:p>
    <w:p>
      <w:pPr>
        <w:adjustRightInd w:val="0"/>
        <w:snapToGrid w:val="0"/>
        <w:spacing w:line="360" w:lineRule="exact"/>
        <w:ind w:firstLine="440"/>
        <w:rPr>
          <w:rFonts w:ascii="宋体" w:hAnsi="宋体" w:cs="Calibri"/>
          <w:sz w:val="22"/>
          <w:highlight w:val="none"/>
        </w:rPr>
      </w:pPr>
      <w:r>
        <w:rPr>
          <w:rFonts w:ascii="宋体" w:hAnsi="宋体" w:cs="Calibri"/>
          <w:sz w:val="22"/>
          <w:highlight w:val="none"/>
        </w:rPr>
        <w:t>有下列情形之一的，招标人将重新招标；</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（1）投标截止时间止，投标人少于3个的；</w:t>
      </w:r>
    </w:p>
    <w:p>
      <w:pPr>
        <w:adjustRightInd w:val="0"/>
        <w:snapToGrid w:val="0"/>
        <w:spacing w:line="360" w:lineRule="exact"/>
        <w:ind w:firstLine="476"/>
        <w:rPr>
          <w:rFonts w:ascii="宋体" w:hAnsi="宋体" w:cs="Calibri"/>
          <w:b/>
          <w:kern w:val="0"/>
          <w:sz w:val="22"/>
          <w:highlight w:val="none"/>
        </w:rPr>
      </w:pPr>
      <w:r>
        <w:rPr>
          <w:rFonts w:ascii="宋体" w:hAnsi="宋体" w:cs="Calibri"/>
          <w:b/>
          <w:kern w:val="0"/>
          <w:sz w:val="22"/>
          <w:highlight w:val="none"/>
        </w:rPr>
        <w:t>（2）</w:t>
      </w:r>
      <w:r>
        <w:rPr>
          <w:rFonts w:hint="eastAsia" w:ascii="宋体" w:hAnsi="宋体" w:cs="Calibri"/>
          <w:b/>
          <w:kern w:val="0"/>
          <w:sz w:val="22"/>
          <w:highlight w:val="none"/>
        </w:rPr>
        <w:t>所有投标人的报价均偏高，招标人无法接受的；</w:t>
      </w:r>
    </w:p>
    <w:p>
      <w:pPr>
        <w:adjustRightInd w:val="0"/>
        <w:snapToGrid w:val="0"/>
        <w:spacing w:line="360" w:lineRule="exact"/>
        <w:ind w:firstLine="440"/>
        <w:rPr>
          <w:rFonts w:ascii="宋体" w:hAnsi="宋体" w:cs="Calibri"/>
          <w:sz w:val="22"/>
          <w:highlight w:val="none"/>
        </w:rPr>
      </w:pPr>
      <w:r>
        <w:rPr>
          <w:rFonts w:ascii="宋体" w:hAnsi="宋体" w:cs="Calibri"/>
          <w:kern w:val="0"/>
          <w:sz w:val="22"/>
          <w:highlight w:val="none"/>
        </w:rPr>
        <w:t>（</w:t>
      </w:r>
      <w:r>
        <w:rPr>
          <w:rFonts w:hint="eastAsia" w:ascii="宋体" w:hAnsi="宋体" w:cs="Calibri"/>
          <w:kern w:val="0"/>
          <w:sz w:val="22"/>
          <w:highlight w:val="none"/>
        </w:rPr>
        <w:t>3</w:t>
      </w:r>
      <w:r>
        <w:rPr>
          <w:rFonts w:ascii="宋体" w:hAnsi="宋体" w:cs="Calibri"/>
          <w:kern w:val="0"/>
          <w:sz w:val="22"/>
          <w:highlight w:val="none"/>
        </w:rPr>
        <w:t>）经评标委员会评审后否决所有投标的。</w:t>
      </w:r>
    </w:p>
    <w:p>
      <w:pPr>
        <w:autoSpaceDE w:val="0"/>
        <w:autoSpaceDN w:val="0"/>
        <w:adjustRightInd w:val="0"/>
        <w:snapToGrid w:val="0"/>
        <w:spacing w:line="360" w:lineRule="exact"/>
        <w:rPr>
          <w:rFonts w:ascii="宋体" w:hAnsi="宋体" w:cs="Calibri"/>
          <w:b/>
          <w:bCs/>
          <w:kern w:val="0"/>
          <w:sz w:val="22"/>
          <w:highlight w:val="none"/>
        </w:rPr>
      </w:pPr>
      <w:bookmarkStart w:id="49" w:name="_Toc219809803"/>
      <w:bookmarkStart w:id="50" w:name="_Toc220123243"/>
      <w:bookmarkStart w:id="51" w:name="_Toc18806"/>
      <w:r>
        <w:rPr>
          <w:rFonts w:ascii="宋体" w:hAnsi="宋体" w:cs="Calibri"/>
          <w:b/>
          <w:bCs/>
          <w:kern w:val="0"/>
          <w:sz w:val="22"/>
          <w:highlight w:val="none"/>
        </w:rPr>
        <w:t>8.2 不再招标</w:t>
      </w:r>
      <w:bookmarkEnd w:id="49"/>
      <w:bookmarkEnd w:id="50"/>
      <w:bookmarkEnd w:id="51"/>
    </w:p>
    <w:p>
      <w:pPr>
        <w:adjustRightInd w:val="0"/>
        <w:snapToGrid w:val="0"/>
        <w:spacing w:line="360" w:lineRule="exact"/>
        <w:ind w:firstLine="440"/>
        <w:rPr>
          <w:rFonts w:ascii="宋体" w:hAnsi="宋体" w:cs="Calibri"/>
          <w:sz w:val="22"/>
          <w:highlight w:val="none"/>
        </w:rPr>
      </w:pPr>
      <w:r>
        <w:rPr>
          <w:rFonts w:ascii="宋体" w:hAnsi="宋体" w:cs="Calibri"/>
          <w:sz w:val="22"/>
          <w:highlight w:val="none"/>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highlight w:val="none"/>
        </w:rPr>
      </w:pPr>
      <w:bookmarkStart w:id="52" w:name="_Toc215941254"/>
      <w:bookmarkStart w:id="53" w:name="_Toc219809804"/>
      <w:bookmarkStart w:id="54" w:name="_Toc220123244"/>
      <w:bookmarkStart w:id="55" w:name="_Toc2986"/>
      <w:r>
        <w:rPr>
          <w:rFonts w:ascii="宋体" w:hAnsi="宋体" w:cs="Calibri"/>
          <w:b/>
          <w:bCs/>
          <w:kern w:val="0"/>
          <w:sz w:val="22"/>
          <w:highlight w:val="none"/>
        </w:rPr>
        <w:t>9.纪律和监督</w:t>
      </w:r>
      <w:bookmarkEnd w:id="52"/>
      <w:bookmarkEnd w:id="53"/>
      <w:bookmarkEnd w:id="54"/>
      <w:bookmarkEnd w:id="55"/>
    </w:p>
    <w:p>
      <w:pPr>
        <w:autoSpaceDE w:val="0"/>
        <w:autoSpaceDN w:val="0"/>
        <w:adjustRightInd w:val="0"/>
        <w:snapToGrid w:val="0"/>
        <w:spacing w:line="360" w:lineRule="exact"/>
        <w:rPr>
          <w:rFonts w:ascii="宋体" w:hAnsi="宋体" w:cs="Calibri"/>
          <w:b/>
          <w:bCs/>
          <w:kern w:val="0"/>
          <w:sz w:val="22"/>
          <w:highlight w:val="none"/>
        </w:rPr>
      </w:pPr>
      <w:bookmarkStart w:id="56" w:name="_Toc219809805"/>
      <w:bookmarkStart w:id="57" w:name="_Toc220123245"/>
      <w:bookmarkStart w:id="58" w:name="_Toc5509"/>
      <w:r>
        <w:rPr>
          <w:rFonts w:ascii="宋体" w:hAnsi="宋体" w:cs="Calibri"/>
          <w:b/>
          <w:bCs/>
          <w:kern w:val="0"/>
          <w:sz w:val="22"/>
          <w:highlight w:val="none"/>
        </w:rPr>
        <w:t>9.1 对招标人的纪律要求</w:t>
      </w:r>
      <w:bookmarkEnd w:id="56"/>
      <w:bookmarkEnd w:id="57"/>
      <w:bookmarkEnd w:id="58"/>
    </w:p>
    <w:p>
      <w:pPr>
        <w:adjustRightInd w:val="0"/>
        <w:snapToGrid w:val="0"/>
        <w:spacing w:line="360" w:lineRule="exact"/>
        <w:ind w:firstLine="440"/>
        <w:rPr>
          <w:rFonts w:cs="Calibri" w:asciiTheme="minorEastAsia" w:hAnsiTheme="minorEastAsia"/>
          <w:color w:val="000000"/>
          <w:sz w:val="22"/>
          <w:highlight w:val="none"/>
        </w:rPr>
      </w:pPr>
      <w:r>
        <w:rPr>
          <w:rFonts w:cs="Calibri" w:asciiTheme="minorEastAsia" w:hAnsiTheme="minorEastAsia"/>
          <w:color w:val="000000"/>
          <w:sz w:val="22"/>
          <w:highlight w:val="none"/>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highlight w:val="none"/>
        </w:rPr>
      </w:pPr>
      <w:bookmarkStart w:id="59" w:name="_Toc219809806"/>
      <w:bookmarkStart w:id="60" w:name="_Toc220123246"/>
      <w:bookmarkStart w:id="61" w:name="_Toc10820"/>
      <w:r>
        <w:rPr>
          <w:rFonts w:ascii="宋体" w:hAnsi="宋体" w:cs="Calibri"/>
          <w:b/>
          <w:bCs/>
          <w:kern w:val="0"/>
          <w:sz w:val="22"/>
          <w:highlight w:val="none"/>
        </w:rPr>
        <w:t>9.2 对投标人的纪律要求</w:t>
      </w:r>
      <w:bookmarkEnd w:id="59"/>
      <w:bookmarkEnd w:id="60"/>
      <w:bookmarkEnd w:id="61"/>
    </w:p>
    <w:p>
      <w:pPr>
        <w:adjustRightInd w:val="0"/>
        <w:snapToGrid w:val="0"/>
        <w:spacing w:line="360" w:lineRule="exact"/>
        <w:ind w:firstLine="440"/>
        <w:rPr>
          <w:rFonts w:cs="Calibri" w:asciiTheme="minorEastAsia" w:hAnsiTheme="minorEastAsia"/>
          <w:color w:val="000000"/>
          <w:sz w:val="22"/>
          <w:highlight w:val="none"/>
        </w:rPr>
      </w:pPr>
      <w:r>
        <w:rPr>
          <w:rFonts w:cs="Calibri" w:asciiTheme="minorEastAsia" w:hAnsiTheme="minorEastAsia"/>
          <w:color w:val="000000"/>
          <w:sz w:val="22"/>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b/>
          <w:color w:val="000000"/>
          <w:sz w:val="22"/>
          <w:highlight w:val="none"/>
        </w:rPr>
      </w:pPr>
      <w:r>
        <w:rPr>
          <w:rFonts w:hint="eastAsia" w:cs="Calibri" w:asciiTheme="minorEastAsia" w:hAnsiTheme="minorEastAsia"/>
          <w:b/>
          <w:color w:val="000000"/>
          <w:sz w:val="22"/>
          <w:highlight w:val="none"/>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highlight w:val="none"/>
        </w:rPr>
      </w:pPr>
      <w:bookmarkStart w:id="62" w:name="_Toc219809807"/>
      <w:bookmarkStart w:id="63" w:name="_Toc220123247"/>
      <w:bookmarkStart w:id="64" w:name="_Toc10756"/>
      <w:r>
        <w:rPr>
          <w:rFonts w:ascii="宋体" w:hAnsi="宋体" w:cs="Calibri"/>
          <w:b/>
          <w:bCs/>
          <w:kern w:val="0"/>
          <w:sz w:val="22"/>
          <w:highlight w:val="none"/>
        </w:rPr>
        <w:t>9.3 对评标委员会成员的纪律要求</w:t>
      </w:r>
      <w:bookmarkEnd w:id="62"/>
      <w:bookmarkEnd w:id="63"/>
      <w:bookmarkEnd w:id="64"/>
    </w:p>
    <w:p>
      <w:pPr>
        <w:adjustRightInd w:val="0"/>
        <w:snapToGrid w:val="0"/>
        <w:spacing w:line="360" w:lineRule="exact"/>
        <w:ind w:firstLine="440"/>
        <w:rPr>
          <w:rFonts w:cs="Calibri" w:asciiTheme="minorEastAsia" w:hAnsiTheme="minorEastAsia"/>
          <w:color w:val="000000"/>
          <w:sz w:val="22"/>
          <w:highlight w:val="none"/>
        </w:rPr>
      </w:pPr>
      <w:r>
        <w:rPr>
          <w:rFonts w:cs="Calibri" w:asciiTheme="minorEastAsia" w:hAnsiTheme="minorEastAsia"/>
          <w:color w:val="000000"/>
          <w:sz w:val="22"/>
          <w:highlight w:val="none"/>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color w:val="000000"/>
          <w:sz w:val="22"/>
          <w:highlight w:val="none"/>
        </w:rPr>
        <w:t>五</w:t>
      </w:r>
      <w:r>
        <w:rPr>
          <w:rFonts w:cs="Calibri" w:asciiTheme="minorEastAsia" w:hAnsiTheme="minorEastAsia"/>
          <w:color w:val="000000"/>
          <w:sz w:val="22"/>
          <w:highlight w:val="none"/>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highlight w:val="none"/>
        </w:rPr>
      </w:pPr>
      <w:bookmarkStart w:id="65" w:name="_Toc12792"/>
      <w:bookmarkStart w:id="66" w:name="_Toc220123248"/>
      <w:bookmarkStart w:id="67" w:name="_Toc219809808"/>
      <w:r>
        <w:rPr>
          <w:rFonts w:ascii="宋体" w:hAnsi="宋体" w:cs="Calibri"/>
          <w:b/>
          <w:bCs/>
          <w:kern w:val="0"/>
          <w:sz w:val="22"/>
          <w:highlight w:val="none"/>
        </w:rPr>
        <w:t>9.4 对评标活动有关的工作人员的纪律要求</w:t>
      </w:r>
      <w:bookmarkEnd w:id="65"/>
      <w:bookmarkEnd w:id="66"/>
      <w:bookmarkEnd w:id="67"/>
    </w:p>
    <w:p>
      <w:pPr>
        <w:adjustRightInd w:val="0"/>
        <w:snapToGrid w:val="0"/>
        <w:spacing w:line="360" w:lineRule="exact"/>
        <w:ind w:firstLine="440"/>
        <w:rPr>
          <w:rFonts w:cs="Calibri" w:asciiTheme="minorEastAsia" w:hAnsiTheme="minorEastAsia"/>
          <w:color w:val="000000"/>
          <w:sz w:val="22"/>
          <w:highlight w:val="none"/>
        </w:rPr>
      </w:pPr>
      <w:r>
        <w:rPr>
          <w:rFonts w:cs="Calibri" w:asciiTheme="minorEastAsia" w:hAnsiTheme="minorEastAsia"/>
          <w:color w:val="000000"/>
          <w:sz w:val="22"/>
          <w:highlight w:val="none"/>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highlight w:val="none"/>
        </w:rPr>
      </w:pPr>
      <w:bookmarkStart w:id="68" w:name="_Toc239"/>
      <w:bookmarkStart w:id="69" w:name="_Toc220123249"/>
      <w:bookmarkStart w:id="70" w:name="_Toc219809809"/>
      <w:r>
        <w:rPr>
          <w:rFonts w:ascii="宋体" w:hAnsi="宋体" w:cs="Calibri"/>
          <w:b/>
          <w:bCs/>
          <w:kern w:val="0"/>
          <w:sz w:val="22"/>
          <w:highlight w:val="none"/>
        </w:rPr>
        <w:t>9.5 投诉</w:t>
      </w:r>
      <w:bookmarkEnd w:id="68"/>
      <w:bookmarkEnd w:id="69"/>
      <w:bookmarkEnd w:id="70"/>
    </w:p>
    <w:p>
      <w:pPr>
        <w:adjustRightInd w:val="0"/>
        <w:snapToGrid w:val="0"/>
        <w:spacing w:line="360" w:lineRule="exact"/>
        <w:ind w:firstLine="440"/>
        <w:rPr>
          <w:rFonts w:cs="Calibri" w:asciiTheme="minorEastAsia" w:hAnsiTheme="minorEastAsia"/>
          <w:color w:val="000000"/>
          <w:sz w:val="22"/>
          <w:highlight w:val="none"/>
        </w:rPr>
      </w:pPr>
      <w:r>
        <w:rPr>
          <w:rFonts w:cs="Calibri" w:asciiTheme="minorEastAsia" w:hAnsiTheme="minorEastAsia"/>
          <w:color w:val="000000"/>
          <w:sz w:val="22"/>
          <w:highlight w:val="none"/>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highlight w:val="none"/>
        </w:rPr>
      </w:pPr>
      <w:bookmarkStart w:id="71" w:name="_Toc10817"/>
      <w:r>
        <w:rPr>
          <w:rFonts w:ascii="宋体" w:hAnsi="宋体" w:cs="Calibri"/>
          <w:b/>
          <w:bCs/>
          <w:kern w:val="0"/>
          <w:sz w:val="22"/>
          <w:highlight w:val="none"/>
        </w:rPr>
        <w:t>10. 需要补充的其他内容</w:t>
      </w:r>
      <w:bookmarkEnd w:id="71"/>
    </w:p>
    <w:p>
      <w:pPr>
        <w:autoSpaceDE w:val="0"/>
        <w:autoSpaceDN w:val="0"/>
        <w:adjustRightInd w:val="0"/>
        <w:snapToGrid w:val="0"/>
        <w:spacing w:line="360" w:lineRule="exact"/>
        <w:ind w:firstLine="440"/>
        <w:jc w:val="left"/>
        <w:rPr>
          <w:rFonts w:cs="Calibri" w:asciiTheme="minorEastAsia" w:hAnsiTheme="minorEastAsia"/>
          <w:color w:val="000000"/>
          <w:sz w:val="22"/>
          <w:highlight w:val="none"/>
        </w:rPr>
      </w:pPr>
      <w:r>
        <w:rPr>
          <w:rFonts w:cs="Calibri" w:asciiTheme="minorEastAsia" w:hAnsiTheme="minorEastAsia"/>
          <w:color w:val="000000"/>
          <w:sz w:val="22"/>
          <w:highlight w:val="none"/>
        </w:rPr>
        <w:t>需要补充的其他内容：见投标人须知前附表。</w:t>
      </w:r>
    </w:p>
    <w:p>
      <w:pPr>
        <w:spacing w:line="560" w:lineRule="exact"/>
        <w:rPr>
          <w:highlight w:val="none"/>
        </w:rPr>
      </w:pPr>
    </w:p>
    <w:p>
      <w:pPr>
        <w:spacing w:line="560" w:lineRule="exact"/>
        <w:jc w:val="center"/>
        <w:rPr>
          <w:highlight w:val="none"/>
        </w:rPr>
      </w:pPr>
    </w:p>
    <w:p>
      <w:pPr>
        <w:snapToGrid w:val="0"/>
        <w:spacing w:line="560" w:lineRule="exact"/>
        <w:rPr>
          <w:highlight w:val="none"/>
        </w:rPr>
      </w:pPr>
    </w:p>
    <w:p>
      <w:pPr>
        <w:pStyle w:val="48"/>
        <w:rPr>
          <w:highlight w:val="none"/>
        </w:rPr>
      </w:pPr>
      <w:r>
        <w:rPr>
          <w:sz w:val="24"/>
          <w:highlight w:val="none"/>
        </w:rPr>
        <w:br w:type="page"/>
      </w:r>
      <w:bookmarkStart w:id="72" w:name="_Toc321925453"/>
      <w:r>
        <w:rPr>
          <w:highlight w:val="none"/>
        </w:rPr>
        <w:t>第</w:t>
      </w:r>
      <w:r>
        <w:rPr>
          <w:rFonts w:hint="eastAsia"/>
          <w:highlight w:val="none"/>
        </w:rPr>
        <w:t>三</w:t>
      </w:r>
      <w:r>
        <w:rPr>
          <w:highlight w:val="none"/>
        </w:rPr>
        <w:t>章  货物需求一览表及技术规格</w:t>
      </w:r>
      <w:bookmarkEnd w:id="72"/>
      <w:bookmarkStart w:id="73" w:name="_Toc287363812"/>
      <w:r>
        <w:rPr>
          <w:rFonts w:ascii="仿宋" w:hAnsi="仿宋" w:eastAsia="仿宋"/>
          <w:highlight w:val="none"/>
        </w:rPr>
        <w:t xml:space="preserve"> </w:t>
      </w:r>
    </w:p>
    <w:bookmarkEnd w:id="73"/>
    <w:p>
      <w:pPr>
        <w:pStyle w:val="3"/>
        <w:snapToGrid w:val="0"/>
        <w:spacing w:before="0" w:after="0"/>
        <w:rPr>
          <w:rFonts w:ascii="仿宋" w:hAnsi="仿宋" w:eastAsia="仿宋"/>
          <w:highlight w:val="none"/>
        </w:rPr>
      </w:pPr>
      <w:bookmarkStart w:id="74" w:name="_Toc6026285"/>
      <w:bookmarkEnd w:id="74"/>
      <w:bookmarkStart w:id="75" w:name="_Toc14611482"/>
      <w:bookmarkEnd w:id="75"/>
      <w:bookmarkStart w:id="76" w:name="_Toc6109324"/>
      <w:bookmarkEnd w:id="76"/>
      <w:bookmarkStart w:id="77" w:name="_Toc6028452"/>
      <w:bookmarkEnd w:id="77"/>
      <w:bookmarkStart w:id="78" w:name="_Toc6028362"/>
      <w:bookmarkEnd w:id="78"/>
      <w:bookmarkStart w:id="79" w:name="_Toc6026284"/>
      <w:bookmarkEnd w:id="79"/>
      <w:bookmarkStart w:id="80" w:name="workpage"/>
      <w:bookmarkEnd w:id="80"/>
      <w:bookmarkStart w:id="81" w:name="_Toc6028363"/>
      <w:bookmarkEnd w:id="81"/>
      <w:bookmarkStart w:id="82" w:name="_Toc6028453"/>
      <w:bookmarkEnd w:id="82"/>
      <w:bookmarkStart w:id="83" w:name="_Toc6109325"/>
      <w:bookmarkEnd w:id="83"/>
      <w:bookmarkStart w:id="84" w:name="_Toc14611483"/>
      <w:bookmarkEnd w:id="84"/>
      <w:bookmarkStart w:id="85" w:name="_Toc507820962"/>
      <w:bookmarkStart w:id="86" w:name="_Toc6026273"/>
      <w:bookmarkStart w:id="87" w:name="_Toc6028351"/>
      <w:bookmarkStart w:id="88" w:name="_Toc6028441"/>
      <w:bookmarkStart w:id="89" w:name="_Toc6109313"/>
      <w:bookmarkStart w:id="90" w:name="_Toc416254176"/>
      <w:r>
        <w:rPr>
          <w:rFonts w:hint="eastAsia" w:ascii="仿宋" w:hAnsi="仿宋" w:eastAsia="仿宋"/>
          <w:highlight w:val="none"/>
        </w:rPr>
        <w:t>一</w:t>
      </w:r>
      <w:r>
        <w:rPr>
          <w:rFonts w:ascii="仿宋" w:hAnsi="仿宋" w:eastAsia="仿宋"/>
          <w:highlight w:val="none"/>
        </w:rPr>
        <w:t>、</w:t>
      </w:r>
      <w:r>
        <w:rPr>
          <w:rFonts w:hint="eastAsia" w:ascii="仿宋" w:hAnsi="仿宋" w:eastAsia="仿宋"/>
          <w:highlight w:val="none"/>
        </w:rPr>
        <w:t>总</w:t>
      </w:r>
      <w:bookmarkStart w:id="91" w:name="_Ref497571437"/>
      <w:bookmarkEnd w:id="91"/>
      <w:r>
        <w:rPr>
          <w:rFonts w:hint="eastAsia" w:ascii="仿宋" w:hAnsi="仿宋" w:eastAsia="仿宋"/>
          <w:highlight w:val="none"/>
        </w:rPr>
        <w:t>说明</w:t>
      </w:r>
      <w:bookmarkEnd w:id="85"/>
      <w:bookmarkEnd w:id="86"/>
      <w:bookmarkEnd w:id="87"/>
      <w:bookmarkEnd w:id="88"/>
      <w:bookmarkEnd w:id="89"/>
      <w:bookmarkEnd w:id="90"/>
    </w:p>
    <w:p>
      <w:pPr>
        <w:snapToGrid w:val="0"/>
        <w:spacing w:line="360" w:lineRule="auto"/>
        <w:ind w:firstLine="480" w:firstLineChars="200"/>
        <w:rPr>
          <w:rFonts w:ascii="仿宋" w:hAnsi="仿宋" w:eastAsia="仿宋" w:cs="宋体"/>
          <w:szCs w:val="21"/>
          <w:highlight w:val="none"/>
        </w:rPr>
      </w:pPr>
      <w:r>
        <w:rPr>
          <w:rFonts w:hint="eastAsia" w:ascii="仿宋" w:hAnsi="仿宋" w:eastAsia="仿宋" w:cs="宋体"/>
          <w:szCs w:val="21"/>
          <w:highlight w:val="none"/>
        </w:rPr>
        <w:t>本货物需求及技术规格书（以下</w:t>
      </w:r>
      <w:r>
        <w:rPr>
          <w:rFonts w:ascii="仿宋" w:hAnsi="仿宋" w:eastAsia="仿宋" w:cs="宋体"/>
          <w:szCs w:val="21"/>
          <w:highlight w:val="none"/>
        </w:rPr>
        <w:t>简称为</w:t>
      </w:r>
      <w:r>
        <w:rPr>
          <w:rFonts w:hint="eastAsia" w:ascii="仿宋" w:hAnsi="仿宋" w:eastAsia="仿宋" w:cs="宋体"/>
          <w:szCs w:val="21"/>
          <w:highlight w:val="none"/>
        </w:rPr>
        <w:t>“技术标</w:t>
      </w:r>
      <w:r>
        <w:rPr>
          <w:rFonts w:ascii="仿宋" w:hAnsi="仿宋" w:eastAsia="仿宋" w:cs="宋体"/>
          <w:szCs w:val="21"/>
          <w:highlight w:val="none"/>
        </w:rPr>
        <w:t>书</w:t>
      </w:r>
      <w:r>
        <w:rPr>
          <w:rFonts w:hint="eastAsia" w:ascii="仿宋" w:hAnsi="仿宋" w:eastAsia="仿宋" w:cs="宋体"/>
          <w:szCs w:val="21"/>
          <w:highlight w:val="none"/>
        </w:rPr>
        <w:t>”</w:t>
      </w:r>
      <w:r>
        <w:rPr>
          <w:rFonts w:ascii="仿宋" w:hAnsi="仿宋" w:eastAsia="仿宋" w:cs="宋体"/>
          <w:szCs w:val="21"/>
          <w:highlight w:val="none"/>
        </w:rPr>
        <w:t>）</w:t>
      </w:r>
      <w:r>
        <w:rPr>
          <w:rFonts w:hint="eastAsia" w:ascii="仿宋" w:hAnsi="仿宋" w:eastAsia="仿宋" w:cs="宋体"/>
          <w:szCs w:val="21"/>
          <w:highlight w:val="none"/>
        </w:rPr>
        <w:t>是招标文件的组成部分，内容包括采购设备的详细规格、条款、资料及有关文件。</w:t>
      </w:r>
    </w:p>
    <w:p>
      <w:pPr>
        <w:snapToGrid w:val="0"/>
        <w:spacing w:line="360" w:lineRule="auto"/>
        <w:ind w:firstLine="480" w:firstLineChars="200"/>
        <w:rPr>
          <w:rFonts w:ascii="仿宋" w:hAnsi="仿宋" w:eastAsia="仿宋" w:cs="宋体"/>
          <w:szCs w:val="21"/>
          <w:highlight w:val="none"/>
        </w:rPr>
      </w:pPr>
      <w:r>
        <w:rPr>
          <w:rFonts w:hint="eastAsia" w:ascii="仿宋" w:hAnsi="仿宋" w:eastAsia="仿宋" w:cs="宋体"/>
          <w:szCs w:val="21"/>
          <w:highlight w:val="none"/>
        </w:rPr>
        <w:t>本技术规格书各条款的编写采用了多层项目编号，任何被标注“（*）”且加注下划线的内容或条款表明为重要强制性条款，其中1条不满足将导致投标</w:t>
      </w:r>
      <w:r>
        <w:rPr>
          <w:rFonts w:ascii="仿宋" w:hAnsi="仿宋" w:eastAsia="仿宋" w:cs="宋体"/>
          <w:szCs w:val="21"/>
          <w:highlight w:val="none"/>
        </w:rPr>
        <w:t>无效</w:t>
      </w:r>
      <w:r>
        <w:rPr>
          <w:rFonts w:hint="eastAsia" w:ascii="仿宋" w:hAnsi="仿宋" w:eastAsia="仿宋" w:cs="宋体"/>
          <w:szCs w:val="21"/>
          <w:highlight w:val="none"/>
        </w:rPr>
        <w:t>,其它本技术标</w:t>
      </w:r>
      <w:r>
        <w:rPr>
          <w:rFonts w:ascii="仿宋" w:hAnsi="仿宋" w:eastAsia="仿宋" w:cs="宋体"/>
          <w:szCs w:val="21"/>
          <w:highlight w:val="none"/>
        </w:rPr>
        <w:t>书</w:t>
      </w:r>
      <w:r>
        <w:rPr>
          <w:rFonts w:hint="eastAsia" w:ascii="仿宋" w:hAnsi="仿宋" w:eastAsia="仿宋" w:cs="宋体"/>
          <w:szCs w:val="21"/>
          <w:highlight w:val="none"/>
        </w:rPr>
        <w:t>中的一般条款如超出5项不满足（以“技术规格偏离表”为准，内容重复的条款按1条计），将被认为不满足招标要求并承担不经澄清就被判定为无效标的风险。</w:t>
      </w:r>
    </w:p>
    <w:p>
      <w:pPr>
        <w:pStyle w:val="32"/>
        <w:tabs>
          <w:tab w:val="left" w:pos="360"/>
        </w:tabs>
        <w:snapToGrid w:val="0"/>
        <w:spacing w:after="0" w:line="360" w:lineRule="auto"/>
        <w:ind w:left="0" w:leftChars="0" w:firstLine="400" w:firstLineChars="200"/>
        <w:rPr>
          <w:rFonts w:ascii="仿宋" w:hAnsi="仿宋" w:eastAsia="仿宋"/>
          <w:szCs w:val="21"/>
          <w:highlight w:val="none"/>
          <w:u w:val="single"/>
        </w:rPr>
      </w:pPr>
      <w:r>
        <w:rPr>
          <w:rFonts w:hint="eastAsia" w:ascii="仿宋" w:hAnsi="仿宋" w:eastAsia="仿宋"/>
          <w:szCs w:val="21"/>
          <w:highlight w:val="none"/>
          <w:u w:val="single"/>
        </w:rPr>
        <w:t>投标人必须对本技术标书各项要求，按顺序逐项做出实质性回答，主要性能指标必须在投标</w:t>
      </w:r>
      <w:r>
        <w:rPr>
          <w:rFonts w:ascii="仿宋" w:hAnsi="仿宋" w:eastAsia="仿宋"/>
          <w:szCs w:val="21"/>
          <w:highlight w:val="none"/>
          <w:u w:val="single"/>
        </w:rPr>
        <w:t>产品技术规格书</w:t>
      </w:r>
      <w:r>
        <w:rPr>
          <w:rFonts w:hint="eastAsia" w:ascii="仿宋" w:hAnsi="仿宋" w:eastAsia="仿宋"/>
          <w:szCs w:val="21"/>
          <w:highlight w:val="none"/>
          <w:u w:val="single"/>
        </w:rPr>
        <w:t>中</w:t>
      </w:r>
      <w:r>
        <w:rPr>
          <w:rFonts w:ascii="仿宋" w:hAnsi="仿宋" w:eastAsia="仿宋"/>
          <w:szCs w:val="21"/>
          <w:highlight w:val="none"/>
          <w:u w:val="single"/>
        </w:rPr>
        <w:t>体现</w:t>
      </w:r>
      <w:r>
        <w:rPr>
          <w:rFonts w:hint="eastAsia" w:ascii="仿宋" w:hAnsi="仿宋" w:eastAsia="仿宋"/>
          <w:szCs w:val="21"/>
          <w:highlight w:val="none"/>
          <w:u w:val="single"/>
        </w:rPr>
        <w:t>，否则评标委员会有权作否决投标处理。</w:t>
      </w:r>
    </w:p>
    <w:p>
      <w:pPr>
        <w:pStyle w:val="4"/>
        <w:tabs>
          <w:tab w:val="left" w:pos="284"/>
          <w:tab w:val="clear" w:pos="1275"/>
        </w:tabs>
        <w:snapToGrid w:val="0"/>
        <w:spacing w:line="360" w:lineRule="auto"/>
        <w:ind w:left="0" w:firstLine="0"/>
        <w:rPr>
          <w:rFonts w:ascii="仿宋" w:hAnsi="仿宋" w:eastAsia="仿宋"/>
          <w:sz w:val="21"/>
          <w:szCs w:val="21"/>
          <w:highlight w:val="none"/>
        </w:rPr>
      </w:pPr>
      <w:bookmarkStart w:id="92" w:name="_Toc498227176"/>
      <w:bookmarkStart w:id="93" w:name="_Toc498227703"/>
      <w:bookmarkStart w:id="94" w:name="_Toc498228778"/>
      <w:bookmarkStart w:id="95" w:name="_Toc507820963"/>
      <w:bookmarkStart w:id="96" w:name="_Toc6026274"/>
      <w:bookmarkStart w:id="97" w:name="_Toc6028352"/>
      <w:bookmarkStart w:id="98" w:name="_Toc6028442"/>
      <w:bookmarkStart w:id="99" w:name="_Toc6109314"/>
      <w:bookmarkStart w:id="100" w:name="_Toc416254177"/>
      <w:r>
        <w:rPr>
          <w:rFonts w:hint="eastAsia" w:ascii="仿宋" w:hAnsi="仿宋" w:eastAsia="仿宋"/>
          <w:sz w:val="21"/>
          <w:szCs w:val="21"/>
          <w:highlight w:val="none"/>
        </w:rPr>
        <w:t>招标要求</w:t>
      </w:r>
      <w:bookmarkEnd w:id="92"/>
      <w:bookmarkEnd w:id="93"/>
      <w:bookmarkEnd w:id="94"/>
      <w:bookmarkEnd w:id="95"/>
      <w:bookmarkEnd w:id="96"/>
      <w:bookmarkEnd w:id="97"/>
      <w:bookmarkEnd w:id="98"/>
      <w:bookmarkEnd w:id="99"/>
      <w:bookmarkEnd w:id="100"/>
    </w:p>
    <w:p>
      <w:pPr>
        <w:pStyle w:val="97"/>
        <w:keepNext w:val="0"/>
        <w:keepLines w:val="0"/>
        <w:numPr>
          <w:ilvl w:val="0"/>
          <w:numId w:val="5"/>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投标人</w:t>
      </w:r>
      <w:r>
        <w:rPr>
          <w:rFonts w:ascii="仿宋" w:hAnsi="仿宋" w:eastAsia="仿宋"/>
          <w:sz w:val="21"/>
          <w:szCs w:val="21"/>
          <w:highlight w:val="none"/>
        </w:rPr>
        <w:t>(</w:t>
      </w:r>
      <w:r>
        <w:rPr>
          <w:rFonts w:hint="eastAsia" w:ascii="仿宋" w:hAnsi="仿宋" w:eastAsia="仿宋"/>
          <w:sz w:val="21"/>
          <w:szCs w:val="21"/>
          <w:highlight w:val="none"/>
        </w:rPr>
        <w:t>与投标方为同一含义</w:t>
      </w:r>
      <w:r>
        <w:rPr>
          <w:rFonts w:ascii="仿宋" w:hAnsi="仿宋" w:eastAsia="仿宋"/>
          <w:sz w:val="21"/>
          <w:szCs w:val="21"/>
          <w:highlight w:val="none"/>
        </w:rPr>
        <w:t>)</w:t>
      </w:r>
      <w:r>
        <w:rPr>
          <w:rFonts w:hint="eastAsia" w:ascii="仿宋" w:hAnsi="仿宋" w:eastAsia="仿宋"/>
          <w:sz w:val="21"/>
          <w:szCs w:val="21"/>
          <w:highlight w:val="none"/>
        </w:rPr>
        <w:t>必须提供但不限于本技术标</w:t>
      </w:r>
      <w:r>
        <w:rPr>
          <w:rFonts w:ascii="仿宋" w:hAnsi="仿宋" w:eastAsia="仿宋"/>
          <w:sz w:val="21"/>
          <w:szCs w:val="21"/>
          <w:highlight w:val="none"/>
        </w:rPr>
        <w:t>书</w:t>
      </w:r>
      <w:r>
        <w:rPr>
          <w:rFonts w:hint="eastAsia" w:ascii="仿宋" w:hAnsi="仿宋" w:eastAsia="仿宋"/>
          <w:sz w:val="21"/>
          <w:szCs w:val="21"/>
          <w:highlight w:val="none"/>
        </w:rPr>
        <w:t>中，所有设备的设计、制造、装配、运输、仓储、安装、调试、试运行和售后服务，以及上述设备所需的附件、工具、配备件的提供等。</w:t>
      </w:r>
    </w:p>
    <w:p>
      <w:pPr>
        <w:pStyle w:val="97"/>
        <w:keepNext w:val="0"/>
        <w:keepLines w:val="0"/>
        <w:numPr>
          <w:ilvl w:val="0"/>
          <w:numId w:val="5"/>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本技术标</w:t>
      </w:r>
      <w:r>
        <w:rPr>
          <w:rFonts w:ascii="仿宋" w:hAnsi="仿宋" w:eastAsia="仿宋"/>
          <w:sz w:val="21"/>
          <w:szCs w:val="21"/>
          <w:highlight w:val="none"/>
        </w:rPr>
        <w:t>书</w:t>
      </w:r>
      <w:r>
        <w:rPr>
          <w:rFonts w:hint="eastAsia" w:ascii="仿宋" w:hAnsi="仿宋" w:eastAsia="仿宋"/>
          <w:sz w:val="21"/>
          <w:szCs w:val="21"/>
          <w:highlight w:val="none"/>
        </w:rPr>
        <w:t>仅指主要要求，不应作为完整的详细要求，投标人应负责向招标人移交各子项系统，并保证符合技术标书的要求。同时</w:t>
      </w:r>
      <w:r>
        <w:rPr>
          <w:rFonts w:ascii="仿宋" w:hAnsi="仿宋" w:eastAsia="仿宋"/>
          <w:sz w:val="21"/>
          <w:szCs w:val="21"/>
          <w:highlight w:val="none"/>
        </w:rPr>
        <w:t>,</w:t>
      </w:r>
      <w:r>
        <w:rPr>
          <w:rFonts w:hint="eastAsia" w:ascii="仿宋" w:hAnsi="仿宋" w:eastAsia="仿宋"/>
          <w:sz w:val="21"/>
          <w:szCs w:val="21"/>
          <w:highlight w:val="none"/>
        </w:rPr>
        <w:t>投标人应满足本技术标书中未描述的、为保证设备能正常有效运行所需要的其它要求。投标人只有在得到招标人的书面验收证明后，才能算完成。</w:t>
      </w:r>
    </w:p>
    <w:p>
      <w:pPr>
        <w:pStyle w:val="97"/>
        <w:keepNext w:val="0"/>
        <w:keepLines w:val="0"/>
        <w:numPr>
          <w:ilvl w:val="0"/>
          <w:numId w:val="5"/>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投标人必须对所提供产品的一切专利费、执照费和软件用户许可证及其它由此引起的费用承担责任，并负责保护招标人的利益不受任何损害。一切由于文字、商标和技术专利侵权引起的法律裁决、诉讼和费用均与招标人无关。所涉及的有关专利费、执照费和其它这方面的费用纳入总报价。</w:t>
      </w:r>
    </w:p>
    <w:p>
      <w:pPr>
        <w:pStyle w:val="97"/>
        <w:keepNext w:val="0"/>
        <w:keepLines w:val="0"/>
        <w:numPr>
          <w:ilvl w:val="0"/>
          <w:numId w:val="5"/>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招标人和中标人在签订合同时，在不改变招标文件实质性要求，不改变招标设备单价的前提下，招标人有对所购设备数量调整的权利。</w:t>
      </w:r>
    </w:p>
    <w:p>
      <w:pPr>
        <w:pStyle w:val="97"/>
        <w:keepNext w:val="0"/>
        <w:keepLines w:val="0"/>
        <w:numPr>
          <w:ilvl w:val="0"/>
          <w:numId w:val="5"/>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投标书中必须有整套设备和主要部件的生产产地（生产国、生产厂家）的详细说明。</w:t>
      </w:r>
    </w:p>
    <w:p>
      <w:pPr>
        <w:pStyle w:val="97"/>
        <w:keepNext w:val="0"/>
        <w:keepLines w:val="0"/>
        <w:numPr>
          <w:ilvl w:val="0"/>
          <w:numId w:val="5"/>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对进口设备，投标人需协助招标人申报海关及商检手续，并办理招标人有关人员境外验收的有关事宜。</w:t>
      </w:r>
    </w:p>
    <w:p>
      <w:pPr>
        <w:pStyle w:val="97"/>
        <w:keepNext w:val="0"/>
        <w:keepLines w:val="0"/>
        <w:numPr>
          <w:ilvl w:val="0"/>
          <w:numId w:val="5"/>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投标人需按照标书要求提供中英文投标书的文件、图纸及相应光盘，如拟投产品为进口产品需提供中英文投标书的文件、图纸及相应光盘。</w:t>
      </w:r>
    </w:p>
    <w:p>
      <w:pPr>
        <w:pStyle w:val="4"/>
        <w:tabs>
          <w:tab w:val="left" w:pos="284"/>
          <w:tab w:val="clear" w:pos="1275"/>
        </w:tabs>
        <w:snapToGrid w:val="0"/>
        <w:spacing w:line="360" w:lineRule="auto"/>
        <w:ind w:left="0" w:firstLine="0"/>
        <w:rPr>
          <w:rFonts w:ascii="仿宋" w:hAnsi="仿宋" w:eastAsia="仿宋"/>
          <w:sz w:val="21"/>
          <w:szCs w:val="21"/>
          <w:highlight w:val="none"/>
        </w:rPr>
      </w:pPr>
      <w:bookmarkStart w:id="101" w:name="_Toc416254178"/>
      <w:bookmarkStart w:id="102" w:name="_Toc498227704"/>
      <w:bookmarkStart w:id="103" w:name="_Toc498228779"/>
      <w:bookmarkStart w:id="104" w:name="_Toc498227177"/>
      <w:r>
        <w:rPr>
          <w:rFonts w:hint="eastAsia" w:ascii="仿宋" w:hAnsi="仿宋" w:eastAsia="仿宋"/>
          <w:sz w:val="21"/>
          <w:szCs w:val="21"/>
          <w:highlight w:val="none"/>
        </w:rPr>
        <w:t>招标范围</w:t>
      </w:r>
      <w:bookmarkEnd w:id="101"/>
    </w:p>
    <w:tbl>
      <w:tblPr>
        <w:tblStyle w:val="52"/>
        <w:tblW w:w="9251" w:type="dxa"/>
        <w:tblInd w:w="93" w:type="dxa"/>
        <w:tblLayout w:type="fixed"/>
        <w:tblCellMar>
          <w:top w:w="0" w:type="dxa"/>
          <w:left w:w="108" w:type="dxa"/>
          <w:bottom w:w="0" w:type="dxa"/>
          <w:right w:w="108" w:type="dxa"/>
        </w:tblCellMar>
      </w:tblPr>
      <w:tblGrid>
        <w:gridCol w:w="1060"/>
        <w:gridCol w:w="1685"/>
        <w:gridCol w:w="1098"/>
        <w:gridCol w:w="3409"/>
        <w:gridCol w:w="1999"/>
      </w:tblGrid>
      <w:tr>
        <w:tblPrEx>
          <w:tblLayout w:type="fixed"/>
          <w:tblCellMar>
            <w:top w:w="0" w:type="dxa"/>
            <w:left w:w="108" w:type="dxa"/>
            <w:bottom w:w="0" w:type="dxa"/>
            <w:right w:w="108" w:type="dxa"/>
          </w:tblCellMar>
        </w:tblPrEx>
        <w:trPr>
          <w:trHeight w:val="750" w:hRule="atLeast"/>
        </w:trPr>
        <w:tc>
          <w:tcPr>
            <w:tcW w:w="1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highlight w:val="none"/>
              </w:rPr>
            </w:pPr>
            <w:r>
              <w:rPr>
                <w:rFonts w:hint="eastAsia" w:ascii="仿宋" w:hAnsi="仿宋" w:eastAsia="仿宋"/>
                <w:highlight w:val="none"/>
              </w:rPr>
              <w:t>序号</w:t>
            </w:r>
          </w:p>
        </w:tc>
        <w:tc>
          <w:tcPr>
            <w:tcW w:w="1685" w:type="dxa"/>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仿宋" w:hAnsi="仿宋" w:eastAsia="仿宋"/>
                <w:highlight w:val="none"/>
              </w:rPr>
            </w:pPr>
            <w:r>
              <w:rPr>
                <w:rFonts w:hint="eastAsia" w:ascii="仿宋" w:hAnsi="仿宋" w:eastAsia="仿宋"/>
                <w:highlight w:val="none"/>
              </w:rPr>
              <w:t>设备名称</w:t>
            </w:r>
          </w:p>
        </w:tc>
        <w:tc>
          <w:tcPr>
            <w:tcW w:w="1098" w:type="dxa"/>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仿宋" w:hAnsi="仿宋" w:eastAsia="仿宋"/>
                <w:highlight w:val="none"/>
              </w:rPr>
            </w:pPr>
            <w:r>
              <w:rPr>
                <w:rFonts w:hint="eastAsia" w:ascii="仿宋" w:hAnsi="仿宋" w:eastAsia="仿宋"/>
                <w:highlight w:val="none"/>
              </w:rPr>
              <w:t>数量(台)</w:t>
            </w:r>
          </w:p>
        </w:tc>
        <w:tc>
          <w:tcPr>
            <w:tcW w:w="3409" w:type="dxa"/>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仿宋" w:hAnsi="仿宋" w:eastAsia="仿宋"/>
                <w:highlight w:val="none"/>
              </w:rPr>
            </w:pPr>
            <w:r>
              <w:rPr>
                <w:rFonts w:hint="eastAsia" w:ascii="仿宋" w:hAnsi="仿宋" w:eastAsia="仿宋"/>
                <w:highlight w:val="none"/>
              </w:rPr>
              <w:t>任务</w:t>
            </w:r>
          </w:p>
        </w:tc>
        <w:tc>
          <w:tcPr>
            <w:tcW w:w="1999" w:type="dxa"/>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仿宋" w:hAnsi="仿宋" w:eastAsia="仿宋"/>
                <w:highlight w:val="none"/>
              </w:rPr>
            </w:pPr>
            <w:r>
              <w:rPr>
                <w:rFonts w:hint="eastAsia" w:ascii="仿宋" w:hAnsi="仿宋" w:eastAsia="仿宋"/>
                <w:highlight w:val="none"/>
              </w:rPr>
              <w:t>备注</w:t>
            </w:r>
          </w:p>
        </w:tc>
      </w:tr>
      <w:tr>
        <w:tblPrEx>
          <w:tblLayout w:type="fixed"/>
          <w:tblCellMar>
            <w:top w:w="0" w:type="dxa"/>
            <w:left w:w="108" w:type="dxa"/>
            <w:bottom w:w="0" w:type="dxa"/>
            <w:right w:w="108" w:type="dxa"/>
          </w:tblCellMar>
        </w:tblPrEx>
        <w:trPr>
          <w:trHeight w:val="1125" w:hRule="atLeast"/>
        </w:trPr>
        <w:tc>
          <w:tcPr>
            <w:tcW w:w="1060" w:type="dxa"/>
            <w:tcBorders>
              <w:top w:val="nil"/>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highlight w:val="none"/>
              </w:rPr>
            </w:pPr>
            <w:r>
              <w:rPr>
                <w:rFonts w:hint="eastAsia" w:ascii="仿宋" w:hAnsi="仿宋" w:eastAsia="仿宋"/>
                <w:highlight w:val="none"/>
              </w:rPr>
              <w:t>1</w:t>
            </w:r>
          </w:p>
        </w:tc>
        <w:tc>
          <w:tcPr>
            <w:tcW w:w="1685" w:type="dxa"/>
            <w:tcBorders>
              <w:top w:val="nil"/>
              <w:left w:val="nil"/>
              <w:bottom w:val="single" w:color="auto" w:sz="4" w:space="0"/>
              <w:right w:val="single" w:color="auto" w:sz="4" w:space="0"/>
            </w:tcBorders>
            <w:vAlign w:val="center"/>
          </w:tcPr>
          <w:p>
            <w:pPr>
              <w:adjustRightInd w:val="0"/>
              <w:snapToGrid w:val="0"/>
              <w:spacing w:line="440" w:lineRule="exact"/>
              <w:rPr>
                <w:rFonts w:ascii="仿宋" w:hAnsi="仿宋" w:eastAsia="仿宋"/>
                <w:highlight w:val="none"/>
              </w:rPr>
            </w:pPr>
            <w:r>
              <w:rPr>
                <w:rFonts w:hint="eastAsia" w:ascii="仿宋" w:hAnsi="仿宋" w:eastAsia="仿宋"/>
                <w:highlight w:val="none"/>
              </w:rPr>
              <w:t>台式爆炸物/毒品探测设备</w:t>
            </w:r>
          </w:p>
        </w:tc>
        <w:tc>
          <w:tcPr>
            <w:tcW w:w="1098" w:type="dxa"/>
            <w:tcBorders>
              <w:top w:val="nil"/>
              <w:left w:val="nil"/>
              <w:bottom w:val="single" w:color="auto" w:sz="4" w:space="0"/>
              <w:right w:val="single" w:color="auto" w:sz="4" w:space="0"/>
            </w:tcBorders>
            <w:vAlign w:val="center"/>
          </w:tcPr>
          <w:p>
            <w:pPr>
              <w:adjustRightInd w:val="0"/>
              <w:snapToGrid w:val="0"/>
              <w:spacing w:line="440" w:lineRule="exact"/>
              <w:ind w:firstLine="480" w:firstLineChars="200"/>
              <w:rPr>
                <w:rFonts w:ascii="仿宋" w:hAnsi="仿宋" w:eastAsia="仿宋"/>
                <w:highlight w:val="none"/>
              </w:rPr>
            </w:pPr>
            <w:r>
              <w:rPr>
                <w:rFonts w:hint="eastAsia" w:ascii="仿宋" w:hAnsi="仿宋" w:eastAsia="仿宋"/>
                <w:highlight w:val="none"/>
              </w:rPr>
              <w:t>6</w:t>
            </w:r>
          </w:p>
        </w:tc>
        <w:tc>
          <w:tcPr>
            <w:tcW w:w="3409" w:type="dxa"/>
            <w:tcBorders>
              <w:top w:val="nil"/>
              <w:left w:val="nil"/>
              <w:bottom w:val="single" w:color="auto" w:sz="4" w:space="0"/>
              <w:right w:val="single" w:color="auto" w:sz="4" w:space="0"/>
            </w:tcBorders>
            <w:vAlign w:val="center"/>
          </w:tcPr>
          <w:p>
            <w:pPr>
              <w:adjustRightInd w:val="0"/>
              <w:snapToGrid w:val="0"/>
              <w:spacing w:line="440" w:lineRule="exact"/>
              <w:rPr>
                <w:rFonts w:ascii="仿宋" w:hAnsi="仿宋" w:eastAsia="仿宋"/>
                <w:highlight w:val="none"/>
              </w:rPr>
            </w:pPr>
            <w:r>
              <w:rPr>
                <w:rFonts w:hint="eastAsia" w:ascii="仿宋" w:hAnsi="仿宋" w:eastAsia="仿宋"/>
                <w:highlight w:val="none"/>
              </w:rPr>
              <w:t>对进入航站楼的旅客进行爆炸物品等的安全检查</w:t>
            </w:r>
          </w:p>
        </w:tc>
        <w:tc>
          <w:tcPr>
            <w:tcW w:w="1999" w:type="dxa"/>
            <w:tcBorders>
              <w:top w:val="nil"/>
              <w:left w:val="nil"/>
              <w:bottom w:val="single" w:color="auto" w:sz="4" w:space="0"/>
              <w:right w:val="single" w:color="auto" w:sz="4" w:space="0"/>
            </w:tcBorders>
            <w:vAlign w:val="center"/>
          </w:tcPr>
          <w:p>
            <w:pPr>
              <w:adjustRightInd w:val="0"/>
              <w:snapToGrid w:val="0"/>
              <w:spacing w:line="440" w:lineRule="exact"/>
              <w:rPr>
                <w:rFonts w:ascii="仿宋" w:hAnsi="仿宋" w:eastAsia="仿宋"/>
                <w:highlight w:val="none"/>
              </w:rPr>
            </w:pPr>
            <w:r>
              <w:rPr>
                <w:rFonts w:hint="eastAsia" w:ascii="仿宋" w:hAnsi="仿宋" w:eastAsia="仿宋"/>
                <w:highlight w:val="none"/>
              </w:rPr>
              <w:t>设备操作柜</w:t>
            </w:r>
          </w:p>
        </w:tc>
      </w:tr>
    </w:tbl>
    <w:p>
      <w:pPr>
        <w:pStyle w:val="140"/>
        <w:autoSpaceDE w:val="0"/>
        <w:autoSpaceDN w:val="0"/>
        <w:snapToGrid w:val="0"/>
        <w:spacing w:line="360" w:lineRule="auto"/>
        <w:ind w:left="900" w:right="-468" w:rightChars="-195" w:hanging="420"/>
        <w:textAlignment w:val="bottom"/>
        <w:rPr>
          <w:rFonts w:ascii="仿宋" w:hAnsi="仿宋" w:eastAsia="仿宋"/>
          <w:sz w:val="21"/>
          <w:szCs w:val="21"/>
          <w:highlight w:val="none"/>
        </w:rPr>
      </w:pPr>
      <w:r>
        <w:rPr>
          <w:rFonts w:hint="eastAsia" w:ascii="仿宋" w:hAnsi="仿宋" w:eastAsia="仿宋"/>
          <w:b/>
          <w:sz w:val="21"/>
          <w:szCs w:val="21"/>
          <w:highlight w:val="none"/>
        </w:rPr>
        <w:t>注：买方保留在签约时对货物规格及数量作适当调整的权利。</w:t>
      </w:r>
    </w:p>
    <w:bookmarkEnd w:id="102"/>
    <w:bookmarkEnd w:id="103"/>
    <w:bookmarkEnd w:id="104"/>
    <w:p>
      <w:pPr>
        <w:pStyle w:val="4"/>
        <w:tabs>
          <w:tab w:val="left" w:pos="284"/>
          <w:tab w:val="clear" w:pos="1275"/>
        </w:tabs>
        <w:snapToGrid w:val="0"/>
        <w:spacing w:line="360" w:lineRule="auto"/>
        <w:ind w:left="0" w:firstLine="0"/>
        <w:rPr>
          <w:rFonts w:ascii="仿宋" w:hAnsi="仿宋" w:eastAsia="仿宋"/>
          <w:sz w:val="21"/>
          <w:szCs w:val="21"/>
          <w:highlight w:val="none"/>
        </w:rPr>
      </w:pPr>
      <w:bookmarkStart w:id="105" w:name="_Toc507820966"/>
      <w:bookmarkStart w:id="106" w:name="_Toc6026277"/>
      <w:bookmarkStart w:id="107" w:name="_Toc6028355"/>
      <w:bookmarkStart w:id="108" w:name="_Toc6028445"/>
      <w:bookmarkStart w:id="109" w:name="_Toc6109317"/>
      <w:bookmarkStart w:id="110" w:name="_Toc416254180"/>
      <w:r>
        <w:rPr>
          <w:rFonts w:hint="eastAsia" w:ascii="仿宋" w:hAnsi="仿宋" w:eastAsia="仿宋"/>
          <w:sz w:val="21"/>
          <w:szCs w:val="21"/>
          <w:highlight w:val="none"/>
        </w:rPr>
        <w:t>完成期限</w:t>
      </w:r>
      <w:bookmarkEnd w:id="105"/>
      <w:bookmarkEnd w:id="106"/>
      <w:bookmarkEnd w:id="107"/>
      <w:bookmarkEnd w:id="108"/>
      <w:bookmarkEnd w:id="109"/>
      <w:bookmarkEnd w:id="110"/>
    </w:p>
    <w:p>
      <w:pPr>
        <w:pStyle w:val="97"/>
        <w:keepNext w:val="0"/>
        <w:keepLines w:val="0"/>
        <w:numPr>
          <w:ilvl w:val="0"/>
          <w:numId w:val="6"/>
        </w:numPr>
        <w:tabs>
          <w:tab w:val="left" w:pos="624"/>
          <w:tab w:val="left" w:pos="1021"/>
        </w:tabs>
        <w:adjustRightInd w:val="0"/>
        <w:snapToGrid w:val="0"/>
        <w:spacing w:before="0" w:after="0"/>
        <w:jc w:val="left"/>
        <w:textAlignment w:val="baseline"/>
        <w:outlineLvl w:val="9"/>
        <w:rPr>
          <w:rFonts w:ascii="等线" w:hAnsi="等线" w:eastAsia="等线"/>
          <w:sz w:val="22"/>
          <w:szCs w:val="22"/>
          <w:highlight w:val="none"/>
        </w:rPr>
      </w:pPr>
      <w:r>
        <w:rPr>
          <w:rFonts w:hint="eastAsia" w:ascii="等线" w:hAnsi="等线" w:eastAsia="等线"/>
          <w:sz w:val="22"/>
          <w:szCs w:val="22"/>
          <w:highlight w:val="none"/>
        </w:rPr>
        <w:t>交货地点：进口、国产设备均运至杭州萧山国际机场内指定地点交货。</w:t>
      </w:r>
    </w:p>
    <w:p>
      <w:pPr>
        <w:pStyle w:val="97"/>
        <w:keepNext w:val="0"/>
        <w:keepLines w:val="0"/>
        <w:numPr>
          <w:ilvl w:val="0"/>
          <w:numId w:val="6"/>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等线" w:hAnsi="等线" w:eastAsia="等线"/>
          <w:sz w:val="22"/>
          <w:szCs w:val="22"/>
          <w:highlight w:val="none"/>
        </w:rPr>
        <w:t>交货期：合同签订之日起30日历天内。中标人必须在</w:t>
      </w:r>
      <w:r>
        <w:rPr>
          <w:rFonts w:ascii="等线" w:hAnsi="等线" w:eastAsia="等线"/>
          <w:color w:val="FF0000"/>
          <w:sz w:val="22"/>
          <w:szCs w:val="22"/>
          <w:highlight w:val="none"/>
        </w:rPr>
        <w:t>2019</w:t>
      </w:r>
      <w:r>
        <w:rPr>
          <w:rFonts w:hint="eastAsia" w:ascii="等线" w:hAnsi="等线" w:eastAsia="等线"/>
          <w:color w:val="FF0000"/>
          <w:sz w:val="22"/>
          <w:szCs w:val="22"/>
          <w:highlight w:val="none"/>
        </w:rPr>
        <w:t>年10月</w:t>
      </w:r>
      <w:r>
        <w:rPr>
          <w:rFonts w:ascii="等线" w:hAnsi="等线" w:eastAsia="等线"/>
          <w:color w:val="FF0000"/>
          <w:sz w:val="22"/>
          <w:szCs w:val="22"/>
          <w:highlight w:val="none"/>
        </w:rPr>
        <w:t>31</w:t>
      </w:r>
      <w:r>
        <w:rPr>
          <w:rFonts w:hint="eastAsia" w:ascii="等线" w:hAnsi="等线" w:eastAsia="等线"/>
          <w:color w:val="FF0000"/>
          <w:sz w:val="22"/>
          <w:szCs w:val="22"/>
          <w:highlight w:val="none"/>
        </w:rPr>
        <w:t>日</w:t>
      </w:r>
      <w:r>
        <w:rPr>
          <w:rFonts w:hint="eastAsia" w:ascii="等线" w:hAnsi="等线" w:eastAsia="等线"/>
          <w:sz w:val="22"/>
          <w:szCs w:val="22"/>
          <w:highlight w:val="none"/>
        </w:rPr>
        <w:t>前完成所有设备的安装、调试、试运行，验收交付最终用户使用，具体工期根据需要确定，应在标书中给予明确生产、安装、调试周期。具体时间无条件地服从业主安排。中途一切设备保管、运输、保险等全部工作由中标人负责。</w:t>
      </w:r>
    </w:p>
    <w:p>
      <w:pPr>
        <w:pStyle w:val="97"/>
        <w:keepNext w:val="0"/>
        <w:keepLines w:val="0"/>
        <w:numPr>
          <w:ilvl w:val="0"/>
          <w:numId w:val="6"/>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招标范围内的设备在交货前须取得民航局颁发的使用验收检测合格证。所需费用由中标方承担。</w:t>
      </w:r>
    </w:p>
    <w:p>
      <w:pPr>
        <w:pStyle w:val="4"/>
        <w:tabs>
          <w:tab w:val="left" w:pos="284"/>
          <w:tab w:val="clear" w:pos="1275"/>
        </w:tabs>
        <w:snapToGrid w:val="0"/>
        <w:spacing w:line="360" w:lineRule="auto"/>
        <w:ind w:left="0" w:firstLine="0"/>
        <w:rPr>
          <w:rFonts w:ascii="仿宋" w:hAnsi="仿宋" w:eastAsia="仿宋"/>
          <w:sz w:val="21"/>
          <w:szCs w:val="21"/>
          <w:highlight w:val="none"/>
        </w:rPr>
      </w:pPr>
      <w:bookmarkStart w:id="111" w:name="_Toc498227180"/>
      <w:bookmarkStart w:id="112" w:name="_Toc498227707"/>
      <w:bookmarkStart w:id="113" w:name="_Toc498228782"/>
      <w:bookmarkStart w:id="114" w:name="_Toc507820967"/>
      <w:bookmarkStart w:id="115" w:name="_Toc6026278"/>
      <w:bookmarkStart w:id="116" w:name="_Toc6028356"/>
      <w:bookmarkStart w:id="117" w:name="_Toc6028446"/>
      <w:bookmarkStart w:id="118" w:name="_Toc6109318"/>
      <w:bookmarkStart w:id="119" w:name="_Toc416254181"/>
      <w:r>
        <w:rPr>
          <w:rFonts w:hint="eastAsia" w:ascii="仿宋" w:hAnsi="仿宋" w:eastAsia="仿宋"/>
          <w:sz w:val="21"/>
          <w:szCs w:val="21"/>
          <w:highlight w:val="none"/>
        </w:rPr>
        <w:t>偏离申明与建议</w:t>
      </w:r>
      <w:bookmarkEnd w:id="111"/>
      <w:bookmarkEnd w:id="112"/>
      <w:bookmarkEnd w:id="113"/>
      <w:bookmarkEnd w:id="114"/>
      <w:bookmarkEnd w:id="115"/>
      <w:bookmarkEnd w:id="116"/>
      <w:bookmarkEnd w:id="117"/>
      <w:bookmarkEnd w:id="118"/>
      <w:bookmarkEnd w:id="119"/>
    </w:p>
    <w:p>
      <w:pPr>
        <w:pStyle w:val="5"/>
        <w:snapToGrid w:val="0"/>
        <w:spacing w:before="0" w:after="0" w:line="360" w:lineRule="auto"/>
        <w:rPr>
          <w:rFonts w:ascii="仿宋" w:hAnsi="仿宋" w:eastAsia="仿宋"/>
          <w:sz w:val="21"/>
          <w:szCs w:val="21"/>
          <w:highlight w:val="none"/>
        </w:rPr>
      </w:pPr>
      <w:bookmarkStart w:id="120" w:name="_Toc6028357"/>
      <w:bookmarkStart w:id="121" w:name="_Toc6109319"/>
      <w:bookmarkStart w:id="122" w:name="_Toc6028447"/>
      <w:bookmarkStart w:id="123" w:name="_Toc6026279"/>
      <w:bookmarkStart w:id="124" w:name="_Toc507820968"/>
      <w:bookmarkStart w:id="125" w:name="_Toc498228783"/>
      <w:bookmarkStart w:id="126" w:name="_Toc498227181"/>
      <w:r>
        <w:rPr>
          <w:rFonts w:ascii="仿宋" w:hAnsi="仿宋" w:eastAsia="仿宋"/>
          <w:sz w:val="21"/>
          <w:szCs w:val="21"/>
          <w:highlight w:val="none"/>
        </w:rPr>
        <w:t>4.1</w:t>
      </w:r>
      <w:r>
        <w:rPr>
          <w:rFonts w:hint="eastAsia" w:ascii="仿宋" w:hAnsi="仿宋" w:eastAsia="仿宋"/>
          <w:sz w:val="21"/>
          <w:szCs w:val="21"/>
          <w:highlight w:val="none"/>
        </w:rPr>
        <w:t>偏离申明</w:t>
      </w:r>
      <w:bookmarkEnd w:id="120"/>
      <w:bookmarkEnd w:id="121"/>
      <w:bookmarkEnd w:id="122"/>
      <w:bookmarkEnd w:id="123"/>
      <w:bookmarkEnd w:id="124"/>
      <w:bookmarkEnd w:id="125"/>
      <w:bookmarkEnd w:id="126"/>
    </w:p>
    <w:p>
      <w:pPr>
        <w:pStyle w:val="32"/>
        <w:tabs>
          <w:tab w:val="left" w:pos="360"/>
        </w:tabs>
        <w:snapToGrid w:val="0"/>
        <w:spacing w:after="0" w:line="360" w:lineRule="auto"/>
        <w:ind w:left="0" w:leftChars="0" w:firstLine="400" w:firstLineChars="200"/>
        <w:rPr>
          <w:rFonts w:ascii="仿宋" w:hAnsi="仿宋" w:eastAsia="仿宋"/>
          <w:szCs w:val="21"/>
          <w:highlight w:val="none"/>
        </w:rPr>
      </w:pPr>
      <w:r>
        <w:rPr>
          <w:rFonts w:hint="eastAsia" w:ascii="仿宋" w:hAnsi="仿宋" w:eastAsia="仿宋"/>
          <w:szCs w:val="21"/>
          <w:highlight w:val="none"/>
        </w:rPr>
        <w:t>投标人所提供的设备参数，必须满足本技术标书中各章所提出的各项技术数据和技术要求，并在规定的时间内完成各项工作。任何偏差都必须列入“</w:t>
      </w:r>
      <w:r>
        <w:rPr>
          <w:rFonts w:hint="eastAsia" w:ascii="仿宋" w:hAnsi="仿宋" w:eastAsia="仿宋" w:cs="宋体"/>
          <w:szCs w:val="21"/>
          <w:highlight w:val="none"/>
        </w:rPr>
        <w:t>技术规格偏离表</w:t>
      </w:r>
      <w:r>
        <w:rPr>
          <w:rFonts w:hint="eastAsia" w:ascii="仿宋" w:hAnsi="仿宋" w:eastAsia="仿宋"/>
          <w:szCs w:val="21"/>
          <w:highlight w:val="none"/>
        </w:rPr>
        <w:t>”中，中标后，投标人在合同谈判中的任何偏差都不得超越已被招标人确认的条款。</w:t>
      </w:r>
    </w:p>
    <w:p>
      <w:pPr>
        <w:pStyle w:val="5"/>
        <w:snapToGrid w:val="0"/>
        <w:spacing w:before="0" w:after="0" w:line="360" w:lineRule="auto"/>
        <w:rPr>
          <w:rFonts w:ascii="仿宋" w:hAnsi="仿宋" w:eastAsia="仿宋"/>
          <w:sz w:val="21"/>
          <w:szCs w:val="21"/>
          <w:highlight w:val="none"/>
        </w:rPr>
      </w:pPr>
      <w:bookmarkStart w:id="127" w:name="_Toc498227182"/>
      <w:bookmarkStart w:id="128" w:name="_Toc498228784"/>
      <w:bookmarkStart w:id="129" w:name="_Toc507820969"/>
      <w:bookmarkStart w:id="130" w:name="_Toc6026280"/>
      <w:bookmarkStart w:id="131" w:name="_Toc6028358"/>
      <w:bookmarkStart w:id="132" w:name="_Toc6028448"/>
      <w:bookmarkStart w:id="133" w:name="_Toc6109320"/>
      <w:r>
        <w:rPr>
          <w:rFonts w:ascii="仿宋" w:hAnsi="仿宋" w:eastAsia="仿宋"/>
          <w:sz w:val="21"/>
          <w:szCs w:val="21"/>
          <w:highlight w:val="none"/>
        </w:rPr>
        <w:t>4.2</w:t>
      </w:r>
      <w:r>
        <w:rPr>
          <w:rFonts w:hint="eastAsia" w:ascii="仿宋" w:hAnsi="仿宋" w:eastAsia="仿宋"/>
          <w:sz w:val="21"/>
          <w:szCs w:val="21"/>
          <w:highlight w:val="none"/>
        </w:rPr>
        <w:t>建议</w:t>
      </w:r>
      <w:bookmarkEnd w:id="127"/>
      <w:bookmarkEnd w:id="128"/>
      <w:bookmarkEnd w:id="129"/>
      <w:bookmarkEnd w:id="130"/>
      <w:bookmarkEnd w:id="131"/>
      <w:bookmarkEnd w:id="132"/>
      <w:bookmarkEnd w:id="133"/>
    </w:p>
    <w:p>
      <w:pPr>
        <w:pStyle w:val="32"/>
        <w:tabs>
          <w:tab w:val="left" w:pos="360"/>
        </w:tabs>
        <w:snapToGrid w:val="0"/>
        <w:spacing w:after="0" w:line="360" w:lineRule="auto"/>
        <w:ind w:left="0" w:leftChars="0" w:firstLine="400" w:firstLineChars="200"/>
        <w:rPr>
          <w:rFonts w:ascii="仿宋" w:hAnsi="仿宋" w:eastAsia="仿宋"/>
          <w:szCs w:val="21"/>
          <w:highlight w:val="none"/>
        </w:rPr>
      </w:pPr>
      <w:r>
        <w:rPr>
          <w:rFonts w:hint="eastAsia" w:ascii="仿宋" w:hAnsi="仿宋" w:eastAsia="仿宋"/>
          <w:szCs w:val="21"/>
          <w:highlight w:val="none"/>
        </w:rPr>
        <w:t>投标人若对系统布置或设备选用有新的建议，可在投标书中提出，评标按本标书的要求进行</w:t>
      </w:r>
      <w:r>
        <w:rPr>
          <w:rFonts w:ascii="仿宋" w:hAnsi="仿宋" w:eastAsia="仿宋"/>
          <w:szCs w:val="21"/>
          <w:highlight w:val="none"/>
        </w:rPr>
        <w:t>,</w:t>
      </w:r>
      <w:r>
        <w:rPr>
          <w:rFonts w:hint="eastAsia" w:ascii="仿宋" w:hAnsi="仿宋" w:eastAsia="仿宋"/>
          <w:szCs w:val="21"/>
          <w:highlight w:val="none"/>
        </w:rPr>
        <w:t xml:space="preserve"> 投标人的建议方案不作为评标时的评判依据。若中标后，招标人有权选择投标人的建议方案，但功能和技术要求必须优于原方案，且建议方案的总报价必须小于或等于原方案的总报价。</w:t>
      </w:r>
    </w:p>
    <w:p>
      <w:pPr>
        <w:pStyle w:val="3"/>
        <w:snapToGrid w:val="0"/>
        <w:spacing w:before="0" w:after="0"/>
        <w:rPr>
          <w:rFonts w:ascii="仿宋" w:hAnsi="仿宋" w:eastAsia="仿宋"/>
          <w:highlight w:val="none"/>
        </w:rPr>
      </w:pPr>
      <w:bookmarkStart w:id="134" w:name="_Toc416254182"/>
      <w:bookmarkStart w:id="135" w:name="_Toc507820970"/>
      <w:bookmarkStart w:id="136" w:name="_Toc498228785"/>
      <w:bookmarkStart w:id="137" w:name="_Toc498227708"/>
      <w:bookmarkStart w:id="138" w:name="_Toc498227183"/>
      <w:bookmarkStart w:id="139" w:name="_Toc6109321"/>
      <w:bookmarkStart w:id="140" w:name="_Toc6028449"/>
      <w:bookmarkStart w:id="141" w:name="_Toc6028359"/>
      <w:bookmarkStart w:id="142" w:name="_Toc6026281"/>
      <w:r>
        <w:rPr>
          <w:rFonts w:hint="eastAsia" w:ascii="仿宋" w:hAnsi="仿宋" w:eastAsia="仿宋"/>
          <w:highlight w:val="none"/>
        </w:rPr>
        <w:t>二</w:t>
      </w:r>
      <w:r>
        <w:rPr>
          <w:rFonts w:ascii="仿宋" w:hAnsi="仿宋" w:eastAsia="仿宋"/>
          <w:highlight w:val="none"/>
        </w:rPr>
        <w:t>、</w:t>
      </w:r>
      <w:r>
        <w:rPr>
          <w:rFonts w:hint="eastAsia" w:ascii="仿宋" w:hAnsi="仿宋" w:eastAsia="仿宋"/>
          <w:highlight w:val="none"/>
        </w:rPr>
        <w:t>总则</w:t>
      </w:r>
      <w:bookmarkEnd w:id="134"/>
      <w:bookmarkEnd w:id="135"/>
      <w:bookmarkEnd w:id="136"/>
      <w:bookmarkEnd w:id="137"/>
      <w:bookmarkEnd w:id="138"/>
      <w:bookmarkEnd w:id="139"/>
      <w:bookmarkEnd w:id="140"/>
      <w:bookmarkEnd w:id="141"/>
      <w:bookmarkEnd w:id="142"/>
    </w:p>
    <w:p>
      <w:pPr>
        <w:pStyle w:val="4"/>
        <w:numPr>
          <w:ilvl w:val="0"/>
          <w:numId w:val="7"/>
        </w:numPr>
        <w:tabs>
          <w:tab w:val="left" w:pos="284"/>
          <w:tab w:val="clear" w:pos="1275"/>
        </w:tabs>
        <w:snapToGrid w:val="0"/>
        <w:spacing w:line="360" w:lineRule="auto"/>
        <w:ind w:hanging="1275"/>
        <w:rPr>
          <w:rFonts w:ascii="仿宋" w:hAnsi="仿宋" w:eastAsia="仿宋"/>
          <w:sz w:val="21"/>
          <w:szCs w:val="21"/>
          <w:highlight w:val="none"/>
        </w:rPr>
      </w:pPr>
      <w:bookmarkStart w:id="143" w:name="_Toc6028365"/>
      <w:bookmarkStart w:id="144" w:name="_Toc6028455"/>
      <w:bookmarkStart w:id="145" w:name="_Toc6109327"/>
      <w:bookmarkStart w:id="146" w:name="_Toc416254183"/>
      <w:bookmarkStart w:id="147" w:name="_Toc498227188"/>
      <w:bookmarkStart w:id="148" w:name="_Toc498228790"/>
      <w:bookmarkStart w:id="149" w:name="_Toc507820975"/>
      <w:bookmarkStart w:id="150" w:name="_Toc6026287"/>
      <w:r>
        <w:rPr>
          <w:rFonts w:hint="eastAsia" w:ascii="仿宋" w:hAnsi="仿宋" w:eastAsia="仿宋"/>
          <w:sz w:val="21"/>
          <w:szCs w:val="21"/>
          <w:highlight w:val="none"/>
        </w:rPr>
        <w:t>安装位置</w:t>
      </w:r>
      <w:bookmarkEnd w:id="143"/>
      <w:bookmarkEnd w:id="144"/>
      <w:bookmarkEnd w:id="145"/>
      <w:bookmarkEnd w:id="146"/>
      <w:bookmarkEnd w:id="147"/>
      <w:bookmarkEnd w:id="148"/>
      <w:bookmarkEnd w:id="149"/>
      <w:bookmarkEnd w:id="150"/>
    </w:p>
    <w:p>
      <w:pPr>
        <w:pStyle w:val="32"/>
        <w:tabs>
          <w:tab w:val="left" w:pos="360"/>
        </w:tabs>
        <w:snapToGrid w:val="0"/>
        <w:spacing w:after="0" w:line="360" w:lineRule="auto"/>
        <w:ind w:left="0" w:leftChars="0" w:firstLine="400" w:firstLineChars="200"/>
        <w:rPr>
          <w:rFonts w:ascii="仿宋" w:hAnsi="仿宋" w:eastAsia="仿宋"/>
          <w:szCs w:val="21"/>
          <w:highlight w:val="none"/>
        </w:rPr>
      </w:pPr>
      <w:r>
        <w:rPr>
          <w:rFonts w:hint="eastAsia" w:ascii="仿宋" w:hAnsi="仿宋" w:eastAsia="仿宋"/>
          <w:szCs w:val="21"/>
          <w:highlight w:val="none"/>
        </w:rPr>
        <w:t>标书中所含设备均安装在杭州萧山机场内。</w:t>
      </w:r>
    </w:p>
    <w:p>
      <w:pPr>
        <w:pStyle w:val="4"/>
        <w:tabs>
          <w:tab w:val="left" w:pos="284"/>
          <w:tab w:val="clear" w:pos="1275"/>
        </w:tabs>
        <w:snapToGrid w:val="0"/>
        <w:spacing w:line="360" w:lineRule="auto"/>
        <w:ind w:left="0" w:firstLine="0"/>
        <w:rPr>
          <w:rFonts w:ascii="仿宋" w:hAnsi="仿宋" w:eastAsia="仿宋"/>
          <w:sz w:val="21"/>
          <w:szCs w:val="21"/>
          <w:highlight w:val="none"/>
        </w:rPr>
      </w:pPr>
      <w:bookmarkStart w:id="151" w:name="_Toc498227189"/>
      <w:bookmarkStart w:id="152" w:name="_Toc498228791"/>
      <w:bookmarkStart w:id="153" w:name="_Toc507820976"/>
      <w:bookmarkStart w:id="154" w:name="_Toc6026288"/>
      <w:bookmarkStart w:id="155" w:name="_Toc6028366"/>
      <w:bookmarkStart w:id="156" w:name="_Toc6028456"/>
      <w:bookmarkStart w:id="157" w:name="_Toc6109328"/>
      <w:bookmarkStart w:id="158" w:name="_Toc416254184"/>
      <w:r>
        <w:rPr>
          <w:rFonts w:hint="eastAsia" w:ascii="仿宋" w:hAnsi="仿宋" w:eastAsia="仿宋"/>
          <w:sz w:val="21"/>
          <w:szCs w:val="21"/>
          <w:highlight w:val="none"/>
        </w:rPr>
        <w:t>气候条件</w:t>
      </w:r>
      <w:bookmarkEnd w:id="151"/>
      <w:bookmarkEnd w:id="152"/>
      <w:bookmarkEnd w:id="153"/>
      <w:bookmarkEnd w:id="154"/>
      <w:bookmarkEnd w:id="155"/>
      <w:bookmarkEnd w:id="156"/>
      <w:bookmarkEnd w:id="157"/>
      <w:bookmarkEnd w:id="158"/>
    </w:p>
    <w:p>
      <w:pPr>
        <w:pStyle w:val="97"/>
        <w:keepNext w:val="0"/>
        <w:keepLines w:val="0"/>
        <w:numPr>
          <w:ilvl w:val="0"/>
          <w:numId w:val="8"/>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室内温度：夏季18℃</w:t>
      </w:r>
      <w:r>
        <w:rPr>
          <w:rFonts w:ascii="仿宋" w:hAnsi="仿宋" w:eastAsia="仿宋"/>
          <w:sz w:val="21"/>
          <w:szCs w:val="21"/>
          <w:highlight w:val="none"/>
        </w:rPr>
        <w:t xml:space="preserve"> ---</w:t>
      </w:r>
      <w:r>
        <w:rPr>
          <w:rFonts w:hint="eastAsia" w:ascii="仿宋" w:hAnsi="仿宋" w:eastAsia="仿宋"/>
          <w:sz w:val="21"/>
          <w:szCs w:val="21"/>
          <w:highlight w:val="none"/>
        </w:rPr>
        <w:t>35℃</w:t>
      </w:r>
    </w:p>
    <w:p>
      <w:pPr>
        <w:pStyle w:val="97"/>
        <w:keepNext w:val="0"/>
        <w:keepLines w:val="0"/>
        <w:numPr>
          <w:ilvl w:val="0"/>
          <w:numId w:val="8"/>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室内温度：冬季  5℃</w:t>
      </w:r>
      <w:r>
        <w:rPr>
          <w:rFonts w:ascii="仿宋" w:hAnsi="仿宋" w:eastAsia="仿宋"/>
          <w:sz w:val="21"/>
          <w:szCs w:val="21"/>
          <w:highlight w:val="none"/>
        </w:rPr>
        <w:t xml:space="preserve"> ---2</w:t>
      </w:r>
      <w:r>
        <w:rPr>
          <w:rFonts w:hint="eastAsia" w:ascii="仿宋" w:hAnsi="仿宋" w:eastAsia="仿宋"/>
          <w:sz w:val="21"/>
          <w:szCs w:val="21"/>
          <w:highlight w:val="none"/>
        </w:rPr>
        <w:t>0℃</w:t>
      </w:r>
    </w:p>
    <w:p>
      <w:pPr>
        <w:pStyle w:val="97"/>
        <w:keepNext w:val="0"/>
        <w:keepLines w:val="0"/>
        <w:numPr>
          <w:ilvl w:val="0"/>
          <w:numId w:val="8"/>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相对湿度：</w:t>
      </w:r>
      <w:r>
        <w:rPr>
          <w:rFonts w:ascii="仿宋" w:hAnsi="仿宋" w:eastAsia="仿宋"/>
          <w:sz w:val="21"/>
          <w:szCs w:val="21"/>
          <w:highlight w:val="none"/>
        </w:rPr>
        <w:t>40</w:t>
      </w:r>
      <w:r>
        <w:rPr>
          <w:rFonts w:hint="eastAsia" w:ascii="仿宋" w:hAnsi="仿宋" w:eastAsia="仿宋"/>
          <w:sz w:val="21"/>
          <w:szCs w:val="21"/>
          <w:highlight w:val="none"/>
        </w:rPr>
        <w:t xml:space="preserve"> ％</w:t>
      </w:r>
      <w:r>
        <w:rPr>
          <w:rFonts w:ascii="仿宋" w:hAnsi="仿宋" w:eastAsia="仿宋"/>
          <w:sz w:val="21"/>
          <w:szCs w:val="21"/>
          <w:highlight w:val="none"/>
        </w:rPr>
        <w:t>—</w:t>
      </w:r>
      <w:r>
        <w:rPr>
          <w:rFonts w:hint="eastAsia" w:ascii="仿宋" w:hAnsi="仿宋" w:eastAsia="仿宋"/>
          <w:sz w:val="21"/>
          <w:szCs w:val="21"/>
          <w:highlight w:val="none"/>
        </w:rPr>
        <w:t xml:space="preserve">70 </w:t>
      </w:r>
      <w:r>
        <w:rPr>
          <w:rFonts w:ascii="仿宋" w:hAnsi="仿宋" w:eastAsia="仿宋"/>
          <w:sz w:val="21"/>
          <w:szCs w:val="21"/>
          <w:highlight w:val="none"/>
        </w:rPr>
        <w:t>%</w:t>
      </w:r>
    </w:p>
    <w:p>
      <w:pPr>
        <w:pStyle w:val="4"/>
        <w:tabs>
          <w:tab w:val="left" w:pos="284"/>
          <w:tab w:val="clear" w:pos="1275"/>
        </w:tabs>
        <w:snapToGrid w:val="0"/>
        <w:spacing w:line="360" w:lineRule="auto"/>
        <w:ind w:left="0" w:firstLine="0"/>
        <w:rPr>
          <w:rFonts w:ascii="仿宋" w:hAnsi="仿宋" w:eastAsia="仿宋"/>
          <w:sz w:val="21"/>
          <w:szCs w:val="21"/>
          <w:highlight w:val="none"/>
        </w:rPr>
      </w:pPr>
      <w:bookmarkStart w:id="159" w:name="_Toc498227190"/>
      <w:bookmarkStart w:id="160" w:name="_Toc498228792"/>
      <w:bookmarkStart w:id="161" w:name="_Toc507820977"/>
      <w:bookmarkStart w:id="162" w:name="_Toc6026289"/>
      <w:bookmarkStart w:id="163" w:name="_Toc6028367"/>
      <w:bookmarkStart w:id="164" w:name="_Toc6028457"/>
      <w:bookmarkStart w:id="165" w:name="_Toc6109329"/>
      <w:bookmarkStart w:id="166" w:name="_Toc416254185"/>
      <w:r>
        <w:rPr>
          <w:rFonts w:hint="eastAsia" w:ascii="仿宋" w:hAnsi="仿宋" w:eastAsia="仿宋"/>
          <w:sz w:val="21"/>
          <w:szCs w:val="21"/>
          <w:highlight w:val="none"/>
        </w:rPr>
        <w:t>供电参数</w:t>
      </w:r>
      <w:bookmarkEnd w:id="159"/>
      <w:bookmarkEnd w:id="160"/>
      <w:bookmarkEnd w:id="161"/>
      <w:bookmarkEnd w:id="162"/>
      <w:bookmarkEnd w:id="163"/>
      <w:bookmarkEnd w:id="164"/>
      <w:bookmarkEnd w:id="165"/>
      <w:bookmarkEnd w:id="166"/>
    </w:p>
    <w:p>
      <w:pPr>
        <w:pStyle w:val="97"/>
        <w:keepNext w:val="0"/>
        <w:keepLines w:val="0"/>
        <w:numPr>
          <w:ilvl w:val="0"/>
          <w:numId w:val="9"/>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 xml:space="preserve">电源 </w:t>
      </w:r>
      <w:r>
        <w:rPr>
          <w:rFonts w:ascii="仿宋" w:hAnsi="仿宋" w:eastAsia="仿宋"/>
          <w:sz w:val="21"/>
          <w:szCs w:val="21"/>
          <w:highlight w:val="none"/>
        </w:rPr>
        <w:t>AC 220V 50H</w:t>
      </w:r>
      <w:r>
        <w:rPr>
          <w:rFonts w:ascii="仿宋" w:hAnsi="仿宋" w:eastAsia="仿宋"/>
          <w:sz w:val="21"/>
          <w:szCs w:val="21"/>
          <w:highlight w:val="none"/>
          <w:vertAlign w:val="subscript"/>
        </w:rPr>
        <w:t xml:space="preserve">Z </w:t>
      </w:r>
      <w:r>
        <w:rPr>
          <w:rFonts w:hint="eastAsia" w:ascii="仿宋" w:hAnsi="仿宋" w:eastAsia="仿宋"/>
          <w:sz w:val="21"/>
          <w:szCs w:val="21"/>
          <w:highlight w:val="none"/>
        </w:rPr>
        <w:t>单相三线制、AC380V 50Hz 三相五线制</w:t>
      </w:r>
    </w:p>
    <w:p>
      <w:pPr>
        <w:pStyle w:val="97"/>
        <w:keepNext w:val="0"/>
        <w:keepLines w:val="0"/>
        <w:numPr>
          <w:ilvl w:val="0"/>
          <w:numId w:val="9"/>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电压变化：±</w:t>
      </w:r>
      <w:r>
        <w:rPr>
          <w:rFonts w:ascii="仿宋" w:hAnsi="仿宋" w:eastAsia="仿宋"/>
          <w:sz w:val="21"/>
          <w:szCs w:val="21"/>
          <w:highlight w:val="none"/>
        </w:rPr>
        <w:t xml:space="preserve"> 10% </w:t>
      </w:r>
    </w:p>
    <w:p>
      <w:pPr>
        <w:pStyle w:val="97"/>
        <w:keepNext w:val="0"/>
        <w:keepLines w:val="0"/>
        <w:numPr>
          <w:ilvl w:val="0"/>
          <w:numId w:val="9"/>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频率变化：± 2%</w:t>
      </w:r>
      <w:bookmarkStart w:id="167" w:name="_Toc498228793"/>
      <w:bookmarkStart w:id="168" w:name="_Toc498227191"/>
    </w:p>
    <w:p>
      <w:pPr>
        <w:pStyle w:val="4"/>
        <w:tabs>
          <w:tab w:val="left" w:pos="284"/>
          <w:tab w:val="clear" w:pos="1275"/>
        </w:tabs>
        <w:snapToGrid w:val="0"/>
        <w:spacing w:line="360" w:lineRule="auto"/>
        <w:ind w:left="0" w:firstLine="0"/>
        <w:rPr>
          <w:rFonts w:ascii="仿宋" w:hAnsi="仿宋" w:eastAsia="仿宋"/>
          <w:sz w:val="21"/>
          <w:szCs w:val="21"/>
          <w:highlight w:val="none"/>
        </w:rPr>
      </w:pPr>
      <w:bookmarkStart w:id="169" w:name="_Toc507820978"/>
      <w:bookmarkStart w:id="170" w:name="_Toc6026290"/>
      <w:bookmarkStart w:id="171" w:name="_Toc6028368"/>
      <w:bookmarkStart w:id="172" w:name="_Toc6028458"/>
      <w:bookmarkStart w:id="173" w:name="_Toc6109330"/>
      <w:bookmarkStart w:id="174" w:name="_Toc416254186"/>
      <w:r>
        <w:rPr>
          <w:rFonts w:hint="eastAsia" w:ascii="仿宋" w:hAnsi="仿宋" w:eastAsia="仿宋"/>
          <w:sz w:val="21"/>
          <w:szCs w:val="21"/>
          <w:highlight w:val="none"/>
        </w:rPr>
        <w:t>工作制度</w:t>
      </w:r>
      <w:bookmarkEnd w:id="167"/>
      <w:bookmarkEnd w:id="168"/>
      <w:bookmarkEnd w:id="169"/>
      <w:bookmarkEnd w:id="170"/>
      <w:bookmarkEnd w:id="171"/>
      <w:bookmarkEnd w:id="172"/>
      <w:bookmarkEnd w:id="173"/>
      <w:bookmarkEnd w:id="174"/>
    </w:p>
    <w:p>
      <w:pPr>
        <w:pStyle w:val="32"/>
        <w:tabs>
          <w:tab w:val="left" w:pos="360"/>
        </w:tabs>
        <w:snapToGrid w:val="0"/>
        <w:spacing w:after="0" w:line="360" w:lineRule="auto"/>
        <w:ind w:left="0" w:leftChars="0" w:firstLine="400" w:firstLineChars="200"/>
        <w:rPr>
          <w:rFonts w:ascii="仿宋" w:hAnsi="仿宋" w:eastAsia="仿宋"/>
          <w:szCs w:val="21"/>
          <w:highlight w:val="none"/>
        </w:rPr>
      </w:pPr>
      <w:r>
        <w:rPr>
          <w:rFonts w:hint="eastAsia" w:ascii="仿宋" w:hAnsi="仿宋" w:eastAsia="仿宋"/>
          <w:szCs w:val="21"/>
          <w:highlight w:val="none"/>
        </w:rPr>
        <w:t>全年</w:t>
      </w:r>
      <w:r>
        <w:rPr>
          <w:rFonts w:ascii="仿宋" w:hAnsi="仿宋" w:eastAsia="仿宋"/>
          <w:szCs w:val="21"/>
          <w:highlight w:val="none"/>
        </w:rPr>
        <w:t>365</w:t>
      </w:r>
      <w:r>
        <w:rPr>
          <w:rFonts w:hint="eastAsia" w:ascii="仿宋" w:hAnsi="仿宋" w:eastAsia="仿宋"/>
          <w:szCs w:val="21"/>
          <w:highlight w:val="none"/>
        </w:rPr>
        <w:t>天，每天</w:t>
      </w:r>
      <w:r>
        <w:rPr>
          <w:rFonts w:ascii="仿宋" w:hAnsi="仿宋" w:eastAsia="仿宋"/>
          <w:szCs w:val="21"/>
          <w:highlight w:val="none"/>
        </w:rPr>
        <w:t>24</w:t>
      </w:r>
      <w:r>
        <w:rPr>
          <w:rFonts w:hint="eastAsia" w:ascii="仿宋" w:hAnsi="仿宋" w:eastAsia="仿宋"/>
          <w:szCs w:val="21"/>
          <w:highlight w:val="none"/>
        </w:rPr>
        <w:t>小时运营作业。</w:t>
      </w:r>
    </w:p>
    <w:p>
      <w:pPr>
        <w:pStyle w:val="4"/>
        <w:tabs>
          <w:tab w:val="left" w:pos="284"/>
          <w:tab w:val="clear" w:pos="1275"/>
        </w:tabs>
        <w:snapToGrid w:val="0"/>
        <w:spacing w:line="360" w:lineRule="auto"/>
        <w:ind w:left="0" w:firstLine="0"/>
        <w:rPr>
          <w:rFonts w:ascii="仿宋" w:hAnsi="仿宋" w:eastAsia="仿宋"/>
          <w:sz w:val="21"/>
          <w:szCs w:val="21"/>
          <w:highlight w:val="none"/>
        </w:rPr>
      </w:pPr>
      <w:bookmarkStart w:id="175" w:name="_Toc498227193"/>
      <w:bookmarkStart w:id="176" w:name="_Toc498227711"/>
      <w:bookmarkStart w:id="177" w:name="_Toc498228795"/>
      <w:bookmarkStart w:id="178" w:name="_Toc507820979"/>
      <w:bookmarkStart w:id="179" w:name="_Toc6026291"/>
      <w:bookmarkStart w:id="180" w:name="_Toc6028369"/>
      <w:bookmarkStart w:id="181" w:name="_Toc6028459"/>
      <w:bookmarkStart w:id="182" w:name="_Toc6109331"/>
      <w:bookmarkStart w:id="183" w:name="_Toc416254187"/>
      <w:r>
        <w:rPr>
          <w:rFonts w:hint="eastAsia" w:ascii="仿宋" w:hAnsi="仿宋" w:eastAsia="仿宋"/>
          <w:sz w:val="21"/>
          <w:szCs w:val="21"/>
          <w:highlight w:val="none"/>
        </w:rPr>
        <w:t>设计标准</w:t>
      </w:r>
      <w:bookmarkEnd w:id="175"/>
      <w:bookmarkEnd w:id="176"/>
      <w:bookmarkEnd w:id="177"/>
      <w:bookmarkEnd w:id="178"/>
      <w:bookmarkEnd w:id="179"/>
      <w:bookmarkEnd w:id="180"/>
      <w:bookmarkEnd w:id="181"/>
      <w:bookmarkEnd w:id="182"/>
      <w:bookmarkEnd w:id="183"/>
    </w:p>
    <w:p>
      <w:pPr>
        <w:pStyle w:val="5"/>
        <w:snapToGrid w:val="0"/>
        <w:spacing w:before="0" w:after="0" w:line="360" w:lineRule="auto"/>
        <w:rPr>
          <w:rFonts w:ascii="仿宋" w:hAnsi="仿宋" w:eastAsia="仿宋"/>
          <w:sz w:val="21"/>
          <w:szCs w:val="21"/>
          <w:highlight w:val="none"/>
        </w:rPr>
      </w:pPr>
      <w:bookmarkStart w:id="184" w:name="_Toc498227194"/>
      <w:bookmarkStart w:id="185" w:name="_Toc498228796"/>
      <w:bookmarkStart w:id="186" w:name="_Toc6028460"/>
      <w:bookmarkStart w:id="187" w:name="_Toc6109332"/>
      <w:bookmarkStart w:id="188" w:name="_Toc507820980"/>
      <w:bookmarkStart w:id="189" w:name="_Toc6028370"/>
      <w:bookmarkStart w:id="190" w:name="_Toc6026292"/>
      <w:r>
        <w:rPr>
          <w:rFonts w:hint="eastAsia" w:ascii="仿宋" w:hAnsi="仿宋" w:eastAsia="仿宋"/>
          <w:sz w:val="21"/>
          <w:szCs w:val="21"/>
          <w:highlight w:val="none"/>
        </w:rPr>
        <w:t>5</w:t>
      </w:r>
      <w:r>
        <w:rPr>
          <w:rFonts w:ascii="仿宋" w:hAnsi="仿宋" w:eastAsia="仿宋"/>
          <w:sz w:val="21"/>
          <w:szCs w:val="21"/>
          <w:highlight w:val="none"/>
        </w:rPr>
        <w:t>.1</w:t>
      </w:r>
      <w:r>
        <w:rPr>
          <w:rFonts w:hint="eastAsia" w:ascii="仿宋" w:hAnsi="仿宋" w:eastAsia="仿宋"/>
          <w:sz w:val="21"/>
          <w:szCs w:val="21"/>
          <w:highlight w:val="none"/>
        </w:rPr>
        <w:t>可用的标准</w:t>
      </w:r>
      <w:bookmarkEnd w:id="184"/>
      <w:bookmarkEnd w:id="185"/>
      <w:r>
        <w:rPr>
          <w:rFonts w:hint="eastAsia" w:ascii="仿宋" w:hAnsi="仿宋" w:eastAsia="仿宋"/>
          <w:sz w:val="21"/>
          <w:szCs w:val="21"/>
          <w:highlight w:val="none"/>
        </w:rPr>
        <w:t>和规范</w:t>
      </w:r>
      <w:bookmarkEnd w:id="186"/>
      <w:bookmarkEnd w:id="187"/>
      <w:bookmarkEnd w:id="188"/>
      <w:bookmarkEnd w:id="189"/>
      <w:bookmarkEnd w:id="190"/>
    </w:p>
    <w:p>
      <w:pPr>
        <w:pStyle w:val="32"/>
        <w:tabs>
          <w:tab w:val="left" w:pos="360"/>
        </w:tabs>
        <w:snapToGrid w:val="0"/>
        <w:spacing w:after="0" w:line="360" w:lineRule="auto"/>
        <w:ind w:left="0" w:leftChars="0" w:firstLine="400" w:firstLineChars="200"/>
        <w:rPr>
          <w:rFonts w:ascii="仿宋" w:hAnsi="仿宋" w:eastAsia="仿宋"/>
          <w:szCs w:val="21"/>
          <w:highlight w:val="none"/>
        </w:rPr>
      </w:pPr>
      <w:r>
        <w:rPr>
          <w:rFonts w:hint="eastAsia" w:ascii="仿宋" w:hAnsi="仿宋" w:eastAsia="仿宋"/>
          <w:szCs w:val="21"/>
          <w:highlight w:val="none"/>
        </w:rPr>
        <w:t>投标人必须依据现行国际安全标准和设计标准进行设备生产制造，除特殊规定外，所有机械及电气设备，在设计、制造、安装和检验上均要符合以下标准和规范的最新且已实施的版本。</w:t>
      </w:r>
    </w:p>
    <w:p>
      <w:pPr>
        <w:pStyle w:val="97"/>
        <w:numPr>
          <w:ilvl w:val="0"/>
          <w:numId w:val="10"/>
        </w:numPr>
        <w:tabs>
          <w:tab w:val="left" w:pos="624"/>
          <w:tab w:val="left" w:pos="1021"/>
        </w:tabs>
        <w:adjustRightInd w:val="0"/>
        <w:snapToGrid w:val="0"/>
        <w:spacing w:before="0" w:after="0"/>
        <w:jc w:val="left"/>
        <w:textAlignment w:val="baseline"/>
        <w:rPr>
          <w:rFonts w:ascii="仿宋" w:hAnsi="仿宋" w:eastAsia="仿宋"/>
          <w:sz w:val="21"/>
          <w:szCs w:val="21"/>
          <w:highlight w:val="none"/>
        </w:rPr>
      </w:pPr>
      <w:r>
        <w:rPr>
          <w:rFonts w:hint="eastAsia" w:ascii="仿宋" w:hAnsi="仿宋" w:eastAsia="仿宋"/>
          <w:sz w:val="21"/>
          <w:szCs w:val="21"/>
          <w:highlight w:val="none"/>
        </w:rPr>
        <w:t>MD-SB-2011-003 《民用航空痕量爆炸物安全检查设备鉴定内控标准》</w:t>
      </w:r>
    </w:p>
    <w:p>
      <w:pPr>
        <w:pStyle w:val="97"/>
        <w:keepNext w:val="0"/>
        <w:keepLines w:val="0"/>
        <w:numPr>
          <w:ilvl w:val="0"/>
          <w:numId w:val="10"/>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MD-SB-2011-005 《民用航空痕量爆炸物安全检查设备爆炸物探测能力测试程序》</w:t>
      </w:r>
    </w:p>
    <w:p>
      <w:pPr>
        <w:pStyle w:val="97"/>
        <w:keepNext w:val="0"/>
        <w:keepLines w:val="0"/>
        <w:numPr>
          <w:ilvl w:val="0"/>
          <w:numId w:val="10"/>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ascii="仿宋" w:hAnsi="仿宋" w:eastAsia="仿宋"/>
          <w:sz w:val="21"/>
          <w:szCs w:val="21"/>
          <w:highlight w:val="none"/>
        </w:rPr>
        <w:t>MH7003-</w:t>
      </w:r>
      <w:r>
        <w:rPr>
          <w:rFonts w:hint="eastAsia" w:ascii="仿宋" w:hAnsi="仿宋" w:eastAsia="仿宋"/>
          <w:sz w:val="21"/>
          <w:szCs w:val="21"/>
          <w:highlight w:val="none"/>
        </w:rPr>
        <w:t>2017</w:t>
      </w:r>
      <w:r>
        <w:rPr>
          <w:rFonts w:ascii="仿宋" w:hAnsi="仿宋" w:eastAsia="仿宋"/>
          <w:sz w:val="21"/>
          <w:szCs w:val="21"/>
          <w:highlight w:val="none"/>
        </w:rPr>
        <w:t xml:space="preserve">    </w:t>
      </w:r>
      <w:r>
        <w:rPr>
          <w:rFonts w:hint="eastAsia" w:ascii="仿宋" w:hAnsi="仿宋" w:eastAsia="仿宋"/>
          <w:sz w:val="21"/>
          <w:szCs w:val="21"/>
          <w:highlight w:val="none"/>
        </w:rPr>
        <w:t xml:space="preserve"> 民用航空运输机场保卫设施建设标准</w:t>
      </w:r>
    </w:p>
    <w:p>
      <w:pPr>
        <w:pStyle w:val="97"/>
        <w:keepNext w:val="0"/>
        <w:keepLines w:val="0"/>
        <w:numPr>
          <w:ilvl w:val="0"/>
          <w:numId w:val="10"/>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中国民用航空旅客、行李国内运输规则</w:t>
      </w:r>
    </w:p>
    <w:p>
      <w:pPr>
        <w:pStyle w:val="97"/>
        <w:keepNext w:val="0"/>
        <w:keepLines w:val="0"/>
        <w:numPr>
          <w:ilvl w:val="0"/>
          <w:numId w:val="10"/>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 xml:space="preserve">ECAC  </w:t>
      </w:r>
      <w:r>
        <w:rPr>
          <w:rFonts w:ascii="仿宋" w:hAnsi="仿宋" w:eastAsia="仿宋"/>
          <w:sz w:val="21"/>
          <w:szCs w:val="21"/>
          <w:highlight w:val="none"/>
        </w:rPr>
        <w:t xml:space="preserve"> </w:t>
      </w:r>
      <w:r>
        <w:rPr>
          <w:rFonts w:hint="eastAsia" w:ascii="仿宋" w:hAnsi="仿宋" w:eastAsia="仿宋"/>
          <w:sz w:val="21"/>
          <w:szCs w:val="21"/>
          <w:highlight w:val="none"/>
        </w:rPr>
        <w:t>欧洲民用航空协会</w:t>
      </w:r>
    </w:p>
    <w:p>
      <w:pPr>
        <w:pStyle w:val="97"/>
        <w:keepNext w:val="0"/>
        <w:keepLines w:val="0"/>
        <w:numPr>
          <w:ilvl w:val="0"/>
          <w:numId w:val="10"/>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ISO    国际标准化组织标准</w:t>
      </w:r>
    </w:p>
    <w:p>
      <w:pPr>
        <w:pStyle w:val="97"/>
        <w:keepNext w:val="0"/>
        <w:keepLines w:val="0"/>
        <w:numPr>
          <w:ilvl w:val="0"/>
          <w:numId w:val="10"/>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IEC    国际电工委员会标准</w:t>
      </w:r>
    </w:p>
    <w:p>
      <w:pPr>
        <w:pStyle w:val="97"/>
        <w:keepNext w:val="0"/>
        <w:keepLines w:val="0"/>
        <w:numPr>
          <w:ilvl w:val="0"/>
          <w:numId w:val="10"/>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IATA   国际航空运输协会标准</w:t>
      </w:r>
    </w:p>
    <w:p>
      <w:pPr>
        <w:pStyle w:val="97"/>
        <w:keepNext w:val="0"/>
        <w:keepLines w:val="0"/>
        <w:numPr>
          <w:ilvl w:val="0"/>
          <w:numId w:val="10"/>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EN     欧洲标准</w:t>
      </w:r>
    </w:p>
    <w:p>
      <w:pPr>
        <w:pStyle w:val="97"/>
        <w:keepNext w:val="0"/>
        <w:keepLines w:val="0"/>
        <w:numPr>
          <w:ilvl w:val="0"/>
          <w:numId w:val="10"/>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投标人使用的标准如果在本技术标书中没有规定，就必须对所用的标准进行说明。当推荐的标准和实施规则等效于或优于技术标书的要求时，该标准才可能为招标人接受。投标人必须清楚地说明用于替代的标准或实际使用的规范，并在投标时提交推荐标准或实施规范的对照文本，明显的差异点要说明。</w:t>
      </w:r>
    </w:p>
    <w:p>
      <w:pPr>
        <w:pStyle w:val="5"/>
        <w:snapToGrid w:val="0"/>
        <w:spacing w:before="0" w:after="0" w:line="360" w:lineRule="auto"/>
        <w:rPr>
          <w:rFonts w:ascii="仿宋" w:hAnsi="仿宋" w:eastAsia="仿宋"/>
          <w:sz w:val="21"/>
          <w:szCs w:val="21"/>
          <w:highlight w:val="none"/>
        </w:rPr>
      </w:pPr>
      <w:bookmarkStart w:id="191" w:name="_Toc498227195"/>
      <w:bookmarkStart w:id="192" w:name="_Toc498228797"/>
      <w:bookmarkStart w:id="193" w:name="_Toc507820981"/>
      <w:bookmarkStart w:id="194" w:name="_Toc6026293"/>
      <w:bookmarkStart w:id="195" w:name="_Toc6028371"/>
      <w:bookmarkStart w:id="196" w:name="_Toc6028461"/>
      <w:bookmarkStart w:id="197" w:name="_Toc6109333"/>
      <w:r>
        <w:rPr>
          <w:rFonts w:hint="eastAsia" w:ascii="仿宋" w:hAnsi="仿宋" w:eastAsia="仿宋"/>
          <w:sz w:val="21"/>
          <w:szCs w:val="21"/>
          <w:highlight w:val="none"/>
        </w:rPr>
        <w:t>5</w:t>
      </w:r>
      <w:r>
        <w:rPr>
          <w:rFonts w:ascii="仿宋" w:hAnsi="仿宋" w:eastAsia="仿宋"/>
          <w:sz w:val="21"/>
          <w:szCs w:val="21"/>
          <w:highlight w:val="none"/>
        </w:rPr>
        <w:t>.2</w:t>
      </w:r>
      <w:r>
        <w:rPr>
          <w:rFonts w:hint="eastAsia" w:ascii="仿宋" w:hAnsi="仿宋" w:eastAsia="仿宋"/>
          <w:sz w:val="21"/>
          <w:szCs w:val="21"/>
          <w:highlight w:val="none"/>
        </w:rPr>
        <w:t>标准化与通用化</w:t>
      </w:r>
      <w:bookmarkEnd w:id="191"/>
      <w:bookmarkEnd w:id="192"/>
      <w:bookmarkEnd w:id="193"/>
      <w:bookmarkEnd w:id="194"/>
      <w:bookmarkEnd w:id="195"/>
      <w:bookmarkEnd w:id="196"/>
      <w:bookmarkEnd w:id="197"/>
    </w:p>
    <w:p>
      <w:pPr>
        <w:pStyle w:val="32"/>
        <w:tabs>
          <w:tab w:val="left" w:pos="360"/>
        </w:tabs>
        <w:snapToGrid w:val="0"/>
        <w:spacing w:after="0" w:line="360" w:lineRule="auto"/>
        <w:ind w:left="0" w:leftChars="0" w:firstLine="400" w:firstLineChars="200"/>
        <w:rPr>
          <w:rFonts w:ascii="仿宋" w:hAnsi="仿宋" w:eastAsia="仿宋"/>
          <w:szCs w:val="21"/>
          <w:highlight w:val="none"/>
        </w:rPr>
      </w:pPr>
      <w:r>
        <w:rPr>
          <w:rFonts w:hint="eastAsia" w:ascii="仿宋" w:hAnsi="仿宋" w:eastAsia="仿宋"/>
          <w:szCs w:val="21"/>
          <w:highlight w:val="none"/>
        </w:rPr>
        <w:t>必须尽量减少本技术标书中设备零部件、配件的规格、品种，必须充分考虑其标准化、通用化，以便于互换。</w:t>
      </w:r>
    </w:p>
    <w:p>
      <w:pPr>
        <w:pStyle w:val="4"/>
        <w:tabs>
          <w:tab w:val="left" w:pos="284"/>
          <w:tab w:val="clear" w:pos="1275"/>
        </w:tabs>
        <w:snapToGrid w:val="0"/>
        <w:spacing w:line="360" w:lineRule="auto"/>
        <w:ind w:left="0" w:firstLine="0"/>
        <w:rPr>
          <w:rFonts w:ascii="仿宋" w:hAnsi="仿宋" w:eastAsia="仿宋"/>
          <w:sz w:val="21"/>
          <w:szCs w:val="21"/>
          <w:highlight w:val="none"/>
        </w:rPr>
      </w:pPr>
      <w:bookmarkStart w:id="198" w:name="_Toc498227197"/>
      <w:bookmarkStart w:id="199" w:name="_Toc498227712"/>
      <w:bookmarkStart w:id="200" w:name="_Toc498228799"/>
      <w:bookmarkStart w:id="201" w:name="_Toc507820982"/>
      <w:bookmarkStart w:id="202" w:name="_Toc6026294"/>
      <w:bookmarkStart w:id="203" w:name="_Toc6028372"/>
      <w:bookmarkStart w:id="204" w:name="_Toc6028462"/>
      <w:bookmarkStart w:id="205" w:name="_Toc6109334"/>
      <w:bookmarkStart w:id="206" w:name="_Toc416254188"/>
      <w:r>
        <w:rPr>
          <w:rFonts w:hint="eastAsia" w:ascii="仿宋" w:hAnsi="仿宋" w:eastAsia="仿宋"/>
          <w:sz w:val="21"/>
          <w:szCs w:val="21"/>
          <w:highlight w:val="none"/>
        </w:rPr>
        <w:t>故障率</w:t>
      </w:r>
      <w:bookmarkEnd w:id="198"/>
      <w:bookmarkEnd w:id="199"/>
      <w:bookmarkEnd w:id="200"/>
      <w:bookmarkEnd w:id="201"/>
      <w:bookmarkEnd w:id="202"/>
      <w:bookmarkEnd w:id="203"/>
      <w:bookmarkEnd w:id="204"/>
      <w:bookmarkEnd w:id="205"/>
      <w:bookmarkEnd w:id="206"/>
    </w:p>
    <w:p>
      <w:pPr>
        <w:pStyle w:val="32"/>
        <w:tabs>
          <w:tab w:val="left" w:pos="360"/>
        </w:tabs>
        <w:snapToGrid w:val="0"/>
        <w:spacing w:after="0" w:line="360" w:lineRule="auto"/>
        <w:ind w:left="0" w:leftChars="0" w:firstLine="400" w:firstLineChars="200"/>
        <w:rPr>
          <w:rFonts w:ascii="仿宋" w:hAnsi="仿宋" w:eastAsia="仿宋"/>
          <w:szCs w:val="21"/>
          <w:highlight w:val="none"/>
        </w:rPr>
      </w:pPr>
      <w:r>
        <w:rPr>
          <w:rFonts w:hint="eastAsia" w:ascii="仿宋" w:hAnsi="仿宋" w:eastAsia="仿宋"/>
          <w:highlight w:val="none"/>
        </w:rPr>
        <w:t>台式爆炸物/毒品探测设备</w:t>
      </w:r>
      <w:r>
        <w:rPr>
          <w:rFonts w:hint="eastAsia" w:ascii="仿宋" w:hAnsi="仿宋" w:eastAsia="仿宋"/>
          <w:szCs w:val="21"/>
          <w:highlight w:val="none"/>
        </w:rPr>
        <w:t>的无故障使用时间(</w:t>
      </w:r>
      <w:r>
        <w:rPr>
          <w:rFonts w:ascii="仿宋" w:hAnsi="仿宋" w:eastAsia="仿宋"/>
          <w:szCs w:val="21"/>
          <w:highlight w:val="none"/>
        </w:rPr>
        <w:t>MTBF</w:t>
      </w:r>
      <w:r>
        <w:rPr>
          <w:rFonts w:hint="eastAsia" w:ascii="仿宋" w:hAnsi="仿宋" w:eastAsia="仿宋"/>
          <w:szCs w:val="21"/>
          <w:highlight w:val="none"/>
        </w:rPr>
        <w:t>)</w:t>
      </w:r>
      <w:r>
        <w:rPr>
          <w:rFonts w:ascii="仿宋" w:hAnsi="仿宋" w:eastAsia="仿宋"/>
          <w:szCs w:val="21"/>
          <w:highlight w:val="none"/>
        </w:rPr>
        <w:t>2000</w:t>
      </w:r>
      <w:r>
        <w:rPr>
          <w:rFonts w:hint="eastAsia" w:ascii="仿宋" w:hAnsi="仿宋" w:eastAsia="仿宋"/>
          <w:szCs w:val="21"/>
          <w:highlight w:val="none"/>
        </w:rPr>
        <w:t>小时以上。系统的可用性</w:t>
      </w:r>
      <w:r>
        <w:rPr>
          <w:rFonts w:ascii="仿宋" w:hAnsi="仿宋" w:eastAsia="仿宋"/>
          <w:szCs w:val="21"/>
          <w:highlight w:val="none"/>
        </w:rPr>
        <w:sym w:font="UniversalMath1 BT" w:char="F02F"/>
      </w:r>
      <w:r>
        <w:rPr>
          <w:rFonts w:ascii="仿宋" w:hAnsi="仿宋" w:eastAsia="仿宋"/>
          <w:szCs w:val="21"/>
          <w:highlight w:val="none"/>
        </w:rPr>
        <w:t>99.99%</w:t>
      </w:r>
    </w:p>
    <w:p>
      <w:pPr>
        <w:pStyle w:val="4"/>
        <w:tabs>
          <w:tab w:val="left" w:pos="284"/>
          <w:tab w:val="clear" w:pos="1275"/>
        </w:tabs>
        <w:snapToGrid w:val="0"/>
        <w:spacing w:line="360" w:lineRule="auto"/>
        <w:ind w:left="0" w:firstLine="0"/>
        <w:rPr>
          <w:rFonts w:ascii="仿宋" w:hAnsi="仿宋" w:eastAsia="仿宋"/>
          <w:sz w:val="21"/>
          <w:szCs w:val="21"/>
          <w:highlight w:val="none"/>
        </w:rPr>
      </w:pPr>
      <w:bookmarkStart w:id="207" w:name="_Toc498227202"/>
      <w:bookmarkStart w:id="208" w:name="_Toc498227715"/>
      <w:bookmarkStart w:id="209" w:name="_Toc498228804"/>
      <w:bookmarkStart w:id="210" w:name="_Toc507820988"/>
      <w:bookmarkStart w:id="211" w:name="_Toc6026300"/>
      <w:bookmarkStart w:id="212" w:name="_Toc6028378"/>
      <w:bookmarkStart w:id="213" w:name="_Toc6028468"/>
      <w:bookmarkStart w:id="214" w:name="_Toc6109340"/>
      <w:bookmarkStart w:id="215" w:name="_Toc416254191"/>
      <w:r>
        <w:rPr>
          <w:rFonts w:hint="eastAsia" w:ascii="仿宋" w:hAnsi="仿宋" w:eastAsia="仿宋"/>
          <w:sz w:val="21"/>
          <w:szCs w:val="21"/>
          <w:highlight w:val="none"/>
        </w:rPr>
        <w:t>技术资料要求</w:t>
      </w:r>
      <w:bookmarkEnd w:id="207"/>
      <w:bookmarkEnd w:id="208"/>
      <w:bookmarkEnd w:id="209"/>
      <w:bookmarkEnd w:id="210"/>
      <w:bookmarkEnd w:id="211"/>
      <w:bookmarkEnd w:id="212"/>
      <w:bookmarkEnd w:id="213"/>
      <w:bookmarkEnd w:id="214"/>
      <w:bookmarkEnd w:id="215"/>
    </w:p>
    <w:p>
      <w:pPr>
        <w:pStyle w:val="5"/>
        <w:snapToGrid w:val="0"/>
        <w:spacing w:before="0" w:after="0" w:line="360" w:lineRule="auto"/>
        <w:rPr>
          <w:rFonts w:ascii="仿宋" w:hAnsi="仿宋" w:eastAsia="仿宋"/>
          <w:sz w:val="21"/>
          <w:szCs w:val="21"/>
          <w:highlight w:val="none"/>
        </w:rPr>
      </w:pPr>
      <w:bookmarkStart w:id="216" w:name="_Toc498227204"/>
      <w:bookmarkStart w:id="217" w:name="_Toc498228806"/>
      <w:bookmarkStart w:id="218" w:name="_Toc507820990"/>
      <w:bookmarkStart w:id="219" w:name="_Toc6026302"/>
      <w:bookmarkStart w:id="220" w:name="_Toc6028380"/>
      <w:bookmarkStart w:id="221" w:name="_Toc6028470"/>
      <w:bookmarkStart w:id="222" w:name="_Toc6109342"/>
      <w:r>
        <w:rPr>
          <w:rFonts w:hint="eastAsia" w:ascii="仿宋" w:hAnsi="仿宋" w:eastAsia="仿宋"/>
          <w:sz w:val="21"/>
          <w:szCs w:val="21"/>
          <w:highlight w:val="none"/>
        </w:rPr>
        <w:t>8</w:t>
      </w:r>
      <w:r>
        <w:rPr>
          <w:rFonts w:ascii="仿宋" w:hAnsi="仿宋" w:eastAsia="仿宋"/>
          <w:sz w:val="21"/>
          <w:szCs w:val="21"/>
          <w:highlight w:val="none"/>
        </w:rPr>
        <w:t>.2</w:t>
      </w:r>
      <w:r>
        <w:rPr>
          <w:rFonts w:hint="eastAsia" w:ascii="仿宋" w:hAnsi="仿宋" w:eastAsia="仿宋"/>
          <w:sz w:val="21"/>
          <w:szCs w:val="21"/>
          <w:highlight w:val="none"/>
        </w:rPr>
        <w:t>投标时所提供资料</w:t>
      </w:r>
      <w:bookmarkEnd w:id="216"/>
      <w:bookmarkEnd w:id="217"/>
      <w:bookmarkEnd w:id="218"/>
      <w:bookmarkEnd w:id="219"/>
      <w:bookmarkEnd w:id="220"/>
      <w:bookmarkEnd w:id="221"/>
      <w:bookmarkEnd w:id="222"/>
    </w:p>
    <w:p>
      <w:pPr>
        <w:snapToGrid w:val="0"/>
        <w:spacing w:line="360" w:lineRule="auto"/>
        <w:rPr>
          <w:rFonts w:ascii="仿宋" w:hAnsi="仿宋" w:eastAsia="仿宋"/>
          <w:szCs w:val="21"/>
          <w:highlight w:val="none"/>
        </w:rPr>
      </w:pPr>
      <w:r>
        <w:rPr>
          <w:rFonts w:hint="eastAsia" w:ascii="仿宋" w:hAnsi="仿宋" w:eastAsia="仿宋"/>
          <w:szCs w:val="21"/>
          <w:highlight w:val="none"/>
        </w:rPr>
        <w:t xml:space="preserve">    本节所要求的系统文件应是中文或中英文对照本。</w:t>
      </w:r>
    </w:p>
    <w:p>
      <w:pPr>
        <w:pStyle w:val="97"/>
        <w:keepNext w:val="0"/>
        <w:keepLines w:val="0"/>
        <w:numPr>
          <w:ilvl w:val="0"/>
          <w:numId w:val="11"/>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提供技术资格能力资料。</w:t>
      </w:r>
    </w:p>
    <w:p>
      <w:pPr>
        <w:pStyle w:val="97"/>
        <w:keepNext w:val="0"/>
        <w:keepLines w:val="0"/>
        <w:numPr>
          <w:ilvl w:val="0"/>
          <w:numId w:val="11"/>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设备详细配置图，设备和随机附件清单和技术说明资料。</w:t>
      </w:r>
    </w:p>
    <w:p>
      <w:pPr>
        <w:pStyle w:val="97"/>
        <w:keepNext w:val="0"/>
        <w:keepLines w:val="0"/>
        <w:numPr>
          <w:ilvl w:val="0"/>
          <w:numId w:val="11"/>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设备安装、施工组织和进度等资料。</w:t>
      </w:r>
    </w:p>
    <w:p>
      <w:pPr>
        <w:pStyle w:val="97"/>
        <w:keepNext w:val="0"/>
        <w:keepLines w:val="0"/>
        <w:numPr>
          <w:ilvl w:val="0"/>
          <w:numId w:val="11"/>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本技术标书中要求在投标时提供的其它资料。</w:t>
      </w:r>
    </w:p>
    <w:p>
      <w:pPr>
        <w:pStyle w:val="97"/>
        <w:keepNext w:val="0"/>
        <w:keepLines w:val="0"/>
        <w:numPr>
          <w:ilvl w:val="0"/>
          <w:numId w:val="11"/>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验收大纲。</w:t>
      </w:r>
    </w:p>
    <w:p>
      <w:pPr>
        <w:pStyle w:val="5"/>
        <w:snapToGrid w:val="0"/>
        <w:spacing w:before="0" w:after="0" w:line="360" w:lineRule="auto"/>
        <w:rPr>
          <w:rFonts w:ascii="仿宋" w:hAnsi="仿宋" w:eastAsia="仿宋"/>
          <w:sz w:val="21"/>
          <w:szCs w:val="21"/>
          <w:highlight w:val="none"/>
        </w:rPr>
      </w:pPr>
      <w:bookmarkStart w:id="223" w:name="_Toc6109343"/>
      <w:bookmarkStart w:id="224" w:name="_Toc6028471"/>
      <w:bookmarkStart w:id="225" w:name="_Toc6028381"/>
      <w:bookmarkStart w:id="226" w:name="_Toc6026303"/>
      <w:bookmarkStart w:id="227" w:name="_Toc507820991"/>
      <w:bookmarkStart w:id="228" w:name="_Toc498228807"/>
      <w:bookmarkStart w:id="229" w:name="_Toc498227205"/>
      <w:r>
        <w:rPr>
          <w:rFonts w:hint="eastAsia" w:ascii="仿宋" w:hAnsi="仿宋" w:eastAsia="仿宋"/>
          <w:sz w:val="21"/>
          <w:szCs w:val="21"/>
          <w:highlight w:val="none"/>
        </w:rPr>
        <w:t>8</w:t>
      </w:r>
      <w:r>
        <w:rPr>
          <w:rFonts w:ascii="仿宋" w:hAnsi="仿宋" w:eastAsia="仿宋"/>
          <w:sz w:val="21"/>
          <w:szCs w:val="21"/>
          <w:highlight w:val="none"/>
        </w:rPr>
        <w:t>.3</w:t>
      </w:r>
      <w:r>
        <w:rPr>
          <w:rFonts w:hint="eastAsia" w:ascii="仿宋" w:hAnsi="仿宋" w:eastAsia="仿宋"/>
          <w:sz w:val="21"/>
          <w:szCs w:val="21"/>
          <w:highlight w:val="none"/>
        </w:rPr>
        <w:t>签约后</w:t>
      </w:r>
      <w:bookmarkStart w:id="230" w:name="_Ref497571232"/>
      <w:r>
        <w:rPr>
          <w:rFonts w:hint="eastAsia" w:ascii="仿宋" w:hAnsi="仿宋" w:eastAsia="仿宋"/>
          <w:sz w:val="21"/>
          <w:szCs w:val="21"/>
          <w:highlight w:val="none"/>
        </w:rPr>
        <w:t>提交招标人审查资料</w:t>
      </w:r>
      <w:bookmarkEnd w:id="223"/>
      <w:bookmarkEnd w:id="224"/>
      <w:bookmarkEnd w:id="225"/>
      <w:bookmarkEnd w:id="226"/>
      <w:bookmarkEnd w:id="227"/>
      <w:bookmarkEnd w:id="228"/>
      <w:bookmarkEnd w:id="229"/>
      <w:bookmarkEnd w:id="230"/>
    </w:p>
    <w:p>
      <w:pPr>
        <w:snapToGrid w:val="0"/>
        <w:spacing w:line="360" w:lineRule="auto"/>
        <w:ind w:firstLine="480" w:firstLineChars="200"/>
        <w:rPr>
          <w:rFonts w:ascii="仿宋" w:hAnsi="仿宋" w:eastAsia="仿宋"/>
          <w:szCs w:val="21"/>
          <w:highlight w:val="none"/>
        </w:rPr>
      </w:pPr>
      <w:r>
        <w:rPr>
          <w:rFonts w:hint="eastAsia" w:ascii="仿宋" w:hAnsi="仿宋" w:eastAsia="仿宋"/>
          <w:szCs w:val="21"/>
          <w:highlight w:val="none"/>
        </w:rPr>
        <w:t>签约后所提供资料必须是中文或中英文对照本。</w:t>
      </w:r>
    </w:p>
    <w:p>
      <w:pPr>
        <w:snapToGrid w:val="0"/>
        <w:spacing w:line="360" w:lineRule="auto"/>
        <w:ind w:firstLine="480" w:firstLineChars="200"/>
        <w:rPr>
          <w:rFonts w:ascii="仿宋" w:hAnsi="仿宋" w:eastAsia="仿宋"/>
          <w:szCs w:val="21"/>
          <w:highlight w:val="none"/>
        </w:rPr>
      </w:pPr>
      <w:r>
        <w:rPr>
          <w:rFonts w:hint="eastAsia" w:ascii="仿宋" w:hAnsi="仿宋" w:eastAsia="仿宋"/>
          <w:szCs w:val="21"/>
          <w:highlight w:val="none"/>
        </w:rPr>
        <w:t>买卖双方签订合同后，投标人必须提交所供设备和系统的设计、检验、安装、调试、操作及维修等方面的技术文件，文件数量应不少于三套，内容至少必须包括下列各项：</w:t>
      </w:r>
    </w:p>
    <w:p>
      <w:pPr>
        <w:pStyle w:val="97"/>
        <w:keepNext w:val="0"/>
        <w:keepLines w:val="0"/>
        <w:numPr>
          <w:ilvl w:val="0"/>
          <w:numId w:val="12"/>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提交全部设备在设计、制造、检验中采用的技术规范和标准。</w:t>
      </w:r>
    </w:p>
    <w:p>
      <w:pPr>
        <w:pStyle w:val="97"/>
        <w:keepNext w:val="0"/>
        <w:keepLines w:val="0"/>
        <w:numPr>
          <w:ilvl w:val="0"/>
          <w:numId w:val="12"/>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本技术标书有关章节中提到的各种技术条件、图纸等产品技术资料。</w:t>
      </w:r>
    </w:p>
    <w:p>
      <w:pPr>
        <w:pStyle w:val="4"/>
        <w:tabs>
          <w:tab w:val="left" w:pos="284"/>
          <w:tab w:val="clear" w:pos="1275"/>
        </w:tabs>
        <w:snapToGrid w:val="0"/>
        <w:spacing w:line="360" w:lineRule="auto"/>
        <w:ind w:left="0" w:firstLine="0"/>
        <w:rPr>
          <w:rFonts w:ascii="仿宋" w:hAnsi="仿宋" w:eastAsia="仿宋"/>
          <w:sz w:val="21"/>
          <w:szCs w:val="21"/>
          <w:highlight w:val="none"/>
        </w:rPr>
      </w:pPr>
      <w:bookmarkStart w:id="231" w:name="_Toc498227206"/>
      <w:bookmarkStart w:id="232" w:name="_Toc498227716"/>
      <w:bookmarkStart w:id="233" w:name="_Toc498228808"/>
      <w:bookmarkStart w:id="234" w:name="_Toc507820992"/>
      <w:bookmarkStart w:id="235" w:name="_Toc6026304"/>
      <w:bookmarkStart w:id="236" w:name="_Toc6028382"/>
      <w:bookmarkStart w:id="237" w:name="_Toc6028472"/>
      <w:bookmarkStart w:id="238" w:name="_Toc6109345"/>
      <w:bookmarkStart w:id="239" w:name="_Toc416254192"/>
      <w:r>
        <w:rPr>
          <w:rFonts w:hint="eastAsia" w:ascii="仿宋" w:hAnsi="仿宋" w:eastAsia="仿宋"/>
          <w:sz w:val="21"/>
          <w:szCs w:val="21"/>
          <w:highlight w:val="none"/>
        </w:rPr>
        <w:t>技术服务及人员培训</w:t>
      </w:r>
      <w:bookmarkEnd w:id="231"/>
      <w:bookmarkEnd w:id="232"/>
      <w:bookmarkEnd w:id="233"/>
      <w:bookmarkEnd w:id="234"/>
      <w:bookmarkEnd w:id="235"/>
      <w:bookmarkEnd w:id="236"/>
      <w:bookmarkEnd w:id="237"/>
      <w:bookmarkEnd w:id="238"/>
      <w:bookmarkEnd w:id="239"/>
    </w:p>
    <w:p>
      <w:pPr>
        <w:pStyle w:val="5"/>
        <w:snapToGrid w:val="0"/>
        <w:spacing w:before="0" w:after="0" w:line="360" w:lineRule="auto"/>
        <w:rPr>
          <w:rFonts w:ascii="仿宋" w:hAnsi="仿宋" w:eastAsia="仿宋"/>
          <w:sz w:val="21"/>
          <w:szCs w:val="21"/>
          <w:highlight w:val="none"/>
        </w:rPr>
      </w:pPr>
      <w:bookmarkStart w:id="240" w:name="_Toc498227207"/>
      <w:bookmarkStart w:id="241" w:name="_Toc498228809"/>
      <w:bookmarkStart w:id="242" w:name="_Toc507820993"/>
      <w:bookmarkStart w:id="243" w:name="_Toc6026305"/>
      <w:bookmarkStart w:id="244" w:name="_Toc6028383"/>
      <w:bookmarkStart w:id="245" w:name="_Toc6028473"/>
      <w:bookmarkStart w:id="246" w:name="_Toc6109346"/>
      <w:r>
        <w:rPr>
          <w:rFonts w:hint="eastAsia" w:ascii="仿宋" w:hAnsi="仿宋" w:eastAsia="仿宋"/>
          <w:sz w:val="21"/>
          <w:szCs w:val="21"/>
          <w:highlight w:val="none"/>
        </w:rPr>
        <w:t>9</w:t>
      </w:r>
      <w:r>
        <w:rPr>
          <w:rFonts w:ascii="仿宋" w:hAnsi="仿宋" w:eastAsia="仿宋"/>
          <w:sz w:val="21"/>
          <w:szCs w:val="21"/>
          <w:highlight w:val="none"/>
        </w:rPr>
        <w:t>.1</w:t>
      </w:r>
      <w:r>
        <w:rPr>
          <w:rFonts w:hint="eastAsia" w:ascii="仿宋" w:hAnsi="仿宋" w:eastAsia="仿宋"/>
          <w:sz w:val="21"/>
          <w:szCs w:val="21"/>
          <w:highlight w:val="none"/>
        </w:rPr>
        <w:t>技术服务要求</w:t>
      </w:r>
      <w:bookmarkEnd w:id="240"/>
      <w:bookmarkEnd w:id="241"/>
      <w:bookmarkEnd w:id="242"/>
      <w:bookmarkEnd w:id="243"/>
      <w:bookmarkEnd w:id="244"/>
      <w:bookmarkEnd w:id="245"/>
      <w:bookmarkEnd w:id="246"/>
    </w:p>
    <w:p>
      <w:pPr>
        <w:pStyle w:val="97"/>
        <w:keepNext w:val="0"/>
        <w:keepLines w:val="0"/>
        <w:numPr>
          <w:ilvl w:val="0"/>
          <w:numId w:val="13"/>
        </w:numPr>
        <w:tabs>
          <w:tab w:val="left" w:pos="624"/>
          <w:tab w:val="left" w:pos="1021"/>
          <w:tab w:val="clear" w:pos="864"/>
        </w:tabs>
        <w:adjustRightInd w:val="0"/>
        <w:snapToGrid w:val="0"/>
        <w:spacing w:before="0" w:after="0"/>
        <w:jc w:val="left"/>
        <w:textAlignment w:val="baseline"/>
        <w:outlineLvl w:val="9"/>
        <w:rPr>
          <w:rFonts w:ascii="仿宋" w:hAnsi="仿宋" w:eastAsia="仿宋"/>
          <w:sz w:val="21"/>
          <w:szCs w:val="21"/>
          <w:highlight w:val="none"/>
        </w:rPr>
      </w:pPr>
      <w:bookmarkStart w:id="247" w:name="_Toc498227208"/>
      <w:bookmarkStart w:id="248" w:name="_Toc6028384"/>
      <w:bookmarkStart w:id="249" w:name="_Toc6026306"/>
      <w:bookmarkStart w:id="250" w:name="_Toc507820994"/>
      <w:bookmarkStart w:id="251" w:name="_Toc498228810"/>
      <w:bookmarkStart w:id="252" w:name="_Toc6028474"/>
      <w:bookmarkStart w:id="253" w:name="_Toc6109347"/>
      <w:r>
        <w:rPr>
          <w:rFonts w:hint="eastAsia" w:ascii="仿宋" w:hAnsi="仿宋" w:eastAsia="仿宋"/>
          <w:sz w:val="21"/>
          <w:szCs w:val="21"/>
          <w:highlight w:val="none"/>
        </w:rPr>
        <w:t>投标人必须派遣技术熟练，身体健康技术人员为招标人提供技术服务，投标人必须提交技术服务计划</w:t>
      </w:r>
      <w:r>
        <w:rPr>
          <w:rFonts w:ascii="仿宋" w:hAnsi="仿宋" w:eastAsia="仿宋"/>
          <w:sz w:val="21"/>
          <w:szCs w:val="21"/>
          <w:highlight w:val="none"/>
        </w:rPr>
        <w:t>(</w:t>
      </w:r>
      <w:r>
        <w:rPr>
          <w:rFonts w:hint="eastAsia" w:ascii="仿宋" w:hAnsi="仿宋" w:eastAsia="仿宋"/>
          <w:sz w:val="21"/>
          <w:szCs w:val="21"/>
          <w:highlight w:val="none"/>
        </w:rPr>
        <w:t>包括人数、天数、内容</w:t>
      </w:r>
      <w:r>
        <w:rPr>
          <w:rFonts w:ascii="仿宋" w:hAnsi="仿宋" w:eastAsia="仿宋"/>
          <w:sz w:val="21"/>
          <w:szCs w:val="21"/>
          <w:highlight w:val="none"/>
        </w:rPr>
        <w:t>)</w:t>
      </w:r>
      <w:r>
        <w:rPr>
          <w:rFonts w:hint="eastAsia" w:ascii="仿宋" w:hAnsi="仿宋" w:eastAsia="仿宋"/>
          <w:sz w:val="21"/>
          <w:szCs w:val="21"/>
          <w:highlight w:val="none"/>
        </w:rPr>
        <w:t>，由招标人确认同意。招标人有权要求更换不合适的派遣人员，在没有得到招标人允许前，投标人不能更换或撤走任何一个派遣人员。</w:t>
      </w:r>
    </w:p>
    <w:p>
      <w:pPr>
        <w:pStyle w:val="97"/>
        <w:keepNext w:val="0"/>
        <w:keepLines w:val="0"/>
        <w:numPr>
          <w:ilvl w:val="0"/>
          <w:numId w:val="13"/>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投标人必须对招标人的技术人员、维修人员和操作人员进行培训，培训为在现场的培训，所有培训必须使用中文培训。投标人必须在投标书中提出培训计划，包括培训项目、培训人数、培训时间、培训费用</w:t>
      </w:r>
      <w:r>
        <w:rPr>
          <w:rFonts w:ascii="仿宋" w:hAnsi="仿宋" w:eastAsia="仿宋"/>
          <w:sz w:val="21"/>
          <w:szCs w:val="21"/>
          <w:highlight w:val="none"/>
        </w:rPr>
        <w:t>(</w:t>
      </w:r>
      <w:r>
        <w:rPr>
          <w:rFonts w:hint="eastAsia" w:ascii="仿宋" w:hAnsi="仿宋" w:eastAsia="仿宋"/>
          <w:sz w:val="21"/>
          <w:szCs w:val="21"/>
          <w:highlight w:val="none"/>
        </w:rPr>
        <w:t>每人每日的费用等</w:t>
      </w:r>
      <w:r>
        <w:rPr>
          <w:rFonts w:ascii="仿宋" w:hAnsi="仿宋" w:eastAsia="仿宋"/>
          <w:sz w:val="21"/>
          <w:szCs w:val="21"/>
          <w:highlight w:val="none"/>
        </w:rPr>
        <w:t>)</w:t>
      </w:r>
      <w:r>
        <w:rPr>
          <w:rFonts w:hint="eastAsia" w:ascii="仿宋" w:hAnsi="仿宋" w:eastAsia="仿宋"/>
          <w:sz w:val="21"/>
          <w:szCs w:val="21"/>
          <w:highlight w:val="none"/>
        </w:rPr>
        <w:t>。招标人保留按此费用标准改动培训人员人数和天数的权利。</w:t>
      </w:r>
    </w:p>
    <w:p>
      <w:pPr>
        <w:pStyle w:val="5"/>
        <w:snapToGrid w:val="0"/>
        <w:spacing w:before="0" w:after="0" w:line="360" w:lineRule="auto"/>
        <w:rPr>
          <w:rFonts w:ascii="仿宋" w:hAnsi="仿宋" w:eastAsia="仿宋"/>
          <w:sz w:val="21"/>
          <w:szCs w:val="21"/>
          <w:highlight w:val="none"/>
        </w:rPr>
      </w:pPr>
      <w:r>
        <w:rPr>
          <w:rFonts w:hint="eastAsia" w:ascii="仿宋" w:hAnsi="仿宋" w:eastAsia="仿宋"/>
          <w:sz w:val="21"/>
          <w:szCs w:val="21"/>
          <w:highlight w:val="none"/>
        </w:rPr>
        <w:t>9</w:t>
      </w:r>
      <w:r>
        <w:rPr>
          <w:rFonts w:ascii="仿宋" w:hAnsi="仿宋" w:eastAsia="仿宋"/>
          <w:sz w:val="21"/>
          <w:szCs w:val="21"/>
          <w:highlight w:val="none"/>
        </w:rPr>
        <w:t>.2</w:t>
      </w:r>
      <w:r>
        <w:rPr>
          <w:rFonts w:hint="eastAsia" w:ascii="仿宋" w:hAnsi="仿宋" w:eastAsia="仿宋"/>
          <w:sz w:val="21"/>
          <w:szCs w:val="21"/>
          <w:highlight w:val="none"/>
        </w:rPr>
        <w:t>投标人在现场的技术服务</w:t>
      </w:r>
      <w:bookmarkEnd w:id="247"/>
      <w:bookmarkEnd w:id="248"/>
      <w:bookmarkEnd w:id="249"/>
      <w:bookmarkEnd w:id="250"/>
      <w:bookmarkEnd w:id="251"/>
      <w:bookmarkEnd w:id="252"/>
      <w:bookmarkEnd w:id="253"/>
    </w:p>
    <w:p>
      <w:pPr>
        <w:pStyle w:val="97"/>
        <w:keepNext w:val="0"/>
        <w:keepLines w:val="0"/>
        <w:numPr>
          <w:ilvl w:val="0"/>
          <w:numId w:val="14"/>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投标人在现场的技术服务包括但不限于如下内容</w:t>
      </w:r>
      <w:r>
        <w:rPr>
          <w:rFonts w:ascii="仿宋" w:hAnsi="仿宋" w:eastAsia="仿宋"/>
          <w:sz w:val="21"/>
          <w:szCs w:val="21"/>
          <w:highlight w:val="none"/>
        </w:rPr>
        <w:t>:</w:t>
      </w:r>
      <w:r>
        <w:rPr>
          <w:rFonts w:hint="eastAsia" w:ascii="仿宋" w:hAnsi="仿宋" w:eastAsia="仿宋"/>
          <w:sz w:val="21"/>
          <w:szCs w:val="21"/>
          <w:highlight w:val="none"/>
        </w:rPr>
        <w:t>设计审查、安装、调试、试运行、培训，以及投标人必须提供的其它技术服务。</w:t>
      </w:r>
    </w:p>
    <w:p>
      <w:pPr>
        <w:pStyle w:val="97"/>
        <w:keepNext w:val="0"/>
        <w:keepLines w:val="0"/>
        <w:numPr>
          <w:ilvl w:val="0"/>
          <w:numId w:val="14"/>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投标人必须指派一名技术服务人员作为现场总代表，负责合同范围内的设备的总技术指导。</w:t>
      </w:r>
    </w:p>
    <w:p>
      <w:pPr>
        <w:pStyle w:val="97"/>
        <w:keepNext w:val="0"/>
        <w:keepLines w:val="0"/>
        <w:numPr>
          <w:ilvl w:val="0"/>
          <w:numId w:val="14"/>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投标人必须积极配合招标人工作，圆满解决安装、调试、试运行中的所有问题。</w:t>
      </w:r>
    </w:p>
    <w:p>
      <w:pPr>
        <w:pStyle w:val="97"/>
        <w:keepNext w:val="0"/>
        <w:keepLines w:val="0"/>
        <w:numPr>
          <w:ilvl w:val="0"/>
          <w:numId w:val="14"/>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投标人的技术服务必须正确无误。由于投标人技术人员不正确的技术指导，而造成设备和材料的损失。投标人必须负责免费修理、更换和补充。</w:t>
      </w:r>
    </w:p>
    <w:p>
      <w:pPr>
        <w:pStyle w:val="97"/>
        <w:keepNext w:val="0"/>
        <w:keepLines w:val="0"/>
        <w:numPr>
          <w:ilvl w:val="0"/>
          <w:numId w:val="14"/>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工作时间：投标人技术人员根据招标人进度安排自己项目的工作计划。</w:t>
      </w:r>
    </w:p>
    <w:p>
      <w:pPr>
        <w:pStyle w:val="5"/>
        <w:snapToGrid w:val="0"/>
        <w:spacing w:before="0" w:after="0" w:line="360" w:lineRule="auto"/>
        <w:rPr>
          <w:rFonts w:ascii="仿宋" w:hAnsi="仿宋" w:eastAsia="仿宋"/>
          <w:sz w:val="21"/>
          <w:szCs w:val="21"/>
          <w:highlight w:val="none"/>
        </w:rPr>
      </w:pPr>
      <w:bookmarkStart w:id="254" w:name="_Ref497571539"/>
      <w:bookmarkStart w:id="255" w:name="_Toc498227210"/>
      <w:bookmarkStart w:id="256" w:name="_Toc498228812"/>
      <w:bookmarkStart w:id="257" w:name="_Toc507820996"/>
      <w:bookmarkStart w:id="258" w:name="_Toc6026308"/>
      <w:bookmarkStart w:id="259" w:name="_Toc6028386"/>
      <w:bookmarkStart w:id="260" w:name="_Toc6028476"/>
      <w:bookmarkStart w:id="261" w:name="_Toc6109349"/>
      <w:r>
        <w:rPr>
          <w:rFonts w:hint="eastAsia" w:ascii="仿宋" w:hAnsi="仿宋" w:eastAsia="仿宋"/>
          <w:sz w:val="21"/>
          <w:szCs w:val="21"/>
          <w:highlight w:val="none"/>
        </w:rPr>
        <w:t>10</w:t>
      </w:r>
      <w:r>
        <w:rPr>
          <w:rFonts w:ascii="仿宋" w:hAnsi="仿宋" w:eastAsia="仿宋"/>
          <w:sz w:val="21"/>
          <w:szCs w:val="21"/>
          <w:highlight w:val="none"/>
        </w:rPr>
        <w:t>.3</w:t>
      </w:r>
      <w:r>
        <w:rPr>
          <w:rFonts w:hint="eastAsia" w:ascii="仿宋" w:hAnsi="仿宋" w:eastAsia="仿宋"/>
          <w:sz w:val="21"/>
          <w:szCs w:val="21"/>
          <w:highlight w:val="none"/>
        </w:rPr>
        <w:t>招标人操作人员在现场的培训</w:t>
      </w:r>
      <w:bookmarkEnd w:id="254"/>
      <w:bookmarkEnd w:id="255"/>
      <w:bookmarkEnd w:id="256"/>
      <w:bookmarkEnd w:id="257"/>
      <w:bookmarkEnd w:id="258"/>
      <w:bookmarkEnd w:id="259"/>
      <w:bookmarkEnd w:id="260"/>
      <w:bookmarkEnd w:id="261"/>
    </w:p>
    <w:p>
      <w:pPr>
        <w:adjustRightInd w:val="0"/>
        <w:snapToGrid w:val="0"/>
        <w:spacing w:line="440" w:lineRule="exact"/>
        <w:ind w:firstLine="480" w:firstLineChars="200"/>
        <w:rPr>
          <w:rFonts w:ascii="仿宋" w:hAnsi="仿宋" w:eastAsia="仿宋"/>
          <w:highlight w:val="none"/>
        </w:rPr>
      </w:pPr>
      <w:bookmarkStart w:id="262" w:name="_Toc498227211"/>
      <w:bookmarkStart w:id="263" w:name="_Toc498228813"/>
      <w:bookmarkStart w:id="264" w:name="_Toc507820997"/>
      <w:bookmarkStart w:id="265" w:name="_Toc6026309"/>
      <w:bookmarkStart w:id="266" w:name="_Toc6028387"/>
      <w:bookmarkStart w:id="267" w:name="_Toc6028477"/>
      <w:bookmarkStart w:id="268" w:name="_Toc6109350"/>
      <w:r>
        <w:rPr>
          <w:rFonts w:hint="eastAsia" w:ascii="仿宋" w:hAnsi="仿宋" w:eastAsia="仿宋"/>
          <w:highlight w:val="none"/>
        </w:rPr>
        <w:t>招标人操作人员在现场的培训</w:t>
      </w:r>
    </w:p>
    <w:p>
      <w:pPr>
        <w:adjustRightInd w:val="0"/>
        <w:snapToGrid w:val="0"/>
        <w:spacing w:line="440" w:lineRule="exact"/>
        <w:ind w:firstLine="480" w:firstLineChars="200"/>
        <w:rPr>
          <w:rFonts w:ascii="仿宋" w:hAnsi="仿宋" w:eastAsia="仿宋"/>
          <w:highlight w:val="none"/>
        </w:rPr>
      </w:pPr>
      <w:r>
        <w:rPr>
          <w:rFonts w:hint="eastAsia" w:ascii="仿宋" w:hAnsi="仿宋" w:eastAsia="仿宋"/>
          <w:highlight w:val="none"/>
        </w:rPr>
        <w:t>1）投标人还必须为招标人操作人员安排培训班进行培训，被培训的操作人员将实际操作安检系统设备。以上培训均为免费培训。</w:t>
      </w:r>
    </w:p>
    <w:p>
      <w:pPr>
        <w:adjustRightInd w:val="0"/>
        <w:snapToGrid w:val="0"/>
        <w:spacing w:line="440" w:lineRule="exact"/>
        <w:ind w:firstLine="480" w:firstLineChars="200"/>
        <w:rPr>
          <w:rFonts w:ascii="仿宋" w:hAnsi="仿宋" w:eastAsia="仿宋"/>
          <w:highlight w:val="none"/>
        </w:rPr>
      </w:pPr>
      <w:r>
        <w:rPr>
          <w:rFonts w:hint="eastAsia" w:ascii="仿宋" w:hAnsi="仿宋" w:eastAsia="仿宋"/>
          <w:highlight w:val="none"/>
        </w:rPr>
        <w:t>2）培训计划包括课堂教学和现场操作两部分。通过培训，应使招标人现场操作人员达到如下的目的：</w:t>
      </w:r>
    </w:p>
    <w:p>
      <w:pPr>
        <w:pStyle w:val="139"/>
        <w:numPr>
          <w:ilvl w:val="0"/>
          <w:numId w:val="15"/>
        </w:numPr>
        <w:spacing w:before="0" w:line="360" w:lineRule="auto"/>
        <w:ind w:left="540" w:hanging="60"/>
        <w:rPr>
          <w:rFonts w:ascii="仿宋" w:hAnsi="仿宋" w:eastAsia="仿宋"/>
          <w:sz w:val="21"/>
          <w:szCs w:val="21"/>
          <w:highlight w:val="none"/>
        </w:rPr>
      </w:pPr>
      <w:r>
        <w:rPr>
          <w:rFonts w:hint="eastAsia" w:ascii="仿宋" w:hAnsi="仿宋" w:eastAsia="仿宋"/>
          <w:sz w:val="21"/>
          <w:szCs w:val="21"/>
          <w:highlight w:val="none"/>
        </w:rPr>
        <w:t>了解本设备的功能和操作使用管理方法。</w:t>
      </w:r>
    </w:p>
    <w:p>
      <w:pPr>
        <w:pStyle w:val="139"/>
        <w:numPr>
          <w:ilvl w:val="0"/>
          <w:numId w:val="15"/>
        </w:numPr>
        <w:spacing w:before="0" w:line="360" w:lineRule="auto"/>
        <w:ind w:left="540" w:hanging="60"/>
        <w:rPr>
          <w:rFonts w:ascii="仿宋" w:hAnsi="仿宋" w:eastAsia="仿宋"/>
          <w:sz w:val="21"/>
          <w:szCs w:val="21"/>
          <w:highlight w:val="none"/>
        </w:rPr>
      </w:pPr>
      <w:r>
        <w:rPr>
          <w:rFonts w:hint="eastAsia" w:ascii="仿宋" w:hAnsi="仿宋" w:eastAsia="仿宋"/>
          <w:sz w:val="21"/>
          <w:szCs w:val="21"/>
          <w:highlight w:val="none"/>
        </w:rPr>
        <w:t>了解每台设备的性能和正确操作方法。</w:t>
      </w:r>
    </w:p>
    <w:p>
      <w:pPr>
        <w:pStyle w:val="139"/>
        <w:numPr>
          <w:ilvl w:val="0"/>
          <w:numId w:val="15"/>
        </w:numPr>
        <w:spacing w:before="0" w:line="360" w:lineRule="auto"/>
        <w:ind w:left="1005" w:hanging="525"/>
        <w:rPr>
          <w:rFonts w:ascii="仿宋" w:hAnsi="仿宋" w:eastAsia="仿宋"/>
          <w:sz w:val="21"/>
          <w:szCs w:val="21"/>
          <w:highlight w:val="none"/>
        </w:rPr>
      </w:pPr>
      <w:r>
        <w:rPr>
          <w:rFonts w:hint="eastAsia" w:ascii="仿宋" w:hAnsi="仿宋" w:eastAsia="仿宋"/>
          <w:sz w:val="21"/>
          <w:szCs w:val="21"/>
          <w:highlight w:val="none"/>
        </w:rPr>
        <w:t>了解安全操作规程和使用时必须注意的事项。</w:t>
      </w:r>
    </w:p>
    <w:p>
      <w:pPr>
        <w:pStyle w:val="139"/>
        <w:numPr>
          <w:ilvl w:val="0"/>
          <w:numId w:val="15"/>
        </w:numPr>
        <w:spacing w:before="0" w:line="360" w:lineRule="auto"/>
        <w:ind w:left="900"/>
        <w:rPr>
          <w:rFonts w:ascii="仿宋" w:hAnsi="仿宋" w:eastAsia="仿宋"/>
          <w:sz w:val="21"/>
          <w:szCs w:val="21"/>
          <w:highlight w:val="none"/>
        </w:rPr>
      </w:pPr>
      <w:r>
        <w:rPr>
          <w:rFonts w:hint="eastAsia" w:ascii="仿宋" w:hAnsi="仿宋" w:eastAsia="仿宋"/>
          <w:sz w:val="21"/>
          <w:szCs w:val="21"/>
          <w:highlight w:val="none"/>
        </w:rPr>
        <w:t>掌握常见故障发生的原因和排除方法。</w:t>
      </w:r>
    </w:p>
    <w:p>
      <w:pPr>
        <w:pStyle w:val="139"/>
        <w:numPr>
          <w:ilvl w:val="0"/>
          <w:numId w:val="15"/>
        </w:numPr>
        <w:spacing w:before="0" w:line="360" w:lineRule="auto"/>
        <w:ind w:left="900"/>
        <w:rPr>
          <w:rFonts w:ascii="仿宋" w:hAnsi="仿宋" w:eastAsia="仿宋"/>
          <w:sz w:val="21"/>
          <w:szCs w:val="21"/>
          <w:highlight w:val="none"/>
        </w:rPr>
      </w:pPr>
      <w:r>
        <w:rPr>
          <w:rFonts w:hint="eastAsia" w:ascii="仿宋" w:hAnsi="仿宋" w:eastAsia="仿宋"/>
          <w:sz w:val="21"/>
          <w:szCs w:val="21"/>
          <w:highlight w:val="none"/>
        </w:rPr>
        <w:t>学会设备的保养知识。</w:t>
      </w:r>
    </w:p>
    <w:p>
      <w:pPr>
        <w:pStyle w:val="139"/>
        <w:numPr>
          <w:ilvl w:val="0"/>
          <w:numId w:val="16"/>
        </w:numPr>
        <w:spacing w:before="0" w:line="360" w:lineRule="auto"/>
        <w:ind w:left="960" w:hanging="480"/>
        <w:rPr>
          <w:rFonts w:ascii="仿宋" w:hAnsi="仿宋" w:eastAsia="仿宋"/>
          <w:sz w:val="21"/>
          <w:szCs w:val="21"/>
          <w:highlight w:val="none"/>
        </w:rPr>
      </w:pPr>
      <w:r>
        <w:rPr>
          <w:rFonts w:hint="eastAsia" w:ascii="仿宋" w:hAnsi="仿宋" w:eastAsia="仿宋"/>
          <w:sz w:val="21"/>
          <w:szCs w:val="21"/>
          <w:highlight w:val="none"/>
        </w:rPr>
        <w:t>了解设备的保护装置。</w:t>
      </w:r>
    </w:p>
    <w:p>
      <w:pPr>
        <w:pStyle w:val="5"/>
        <w:snapToGrid w:val="0"/>
        <w:spacing w:before="0" w:after="0" w:line="360" w:lineRule="auto"/>
        <w:rPr>
          <w:rFonts w:ascii="仿宋" w:hAnsi="仿宋" w:eastAsia="仿宋"/>
          <w:sz w:val="21"/>
          <w:szCs w:val="21"/>
          <w:highlight w:val="none"/>
        </w:rPr>
      </w:pPr>
      <w:r>
        <w:rPr>
          <w:rFonts w:hint="eastAsia" w:ascii="仿宋" w:hAnsi="仿宋" w:eastAsia="仿宋"/>
          <w:sz w:val="21"/>
          <w:szCs w:val="21"/>
          <w:highlight w:val="none"/>
        </w:rPr>
        <w:t>10</w:t>
      </w:r>
      <w:r>
        <w:rPr>
          <w:rFonts w:ascii="仿宋" w:hAnsi="仿宋" w:eastAsia="仿宋"/>
          <w:sz w:val="21"/>
          <w:szCs w:val="21"/>
          <w:highlight w:val="none"/>
        </w:rPr>
        <w:t>.4</w:t>
      </w:r>
      <w:r>
        <w:rPr>
          <w:rFonts w:hint="eastAsia" w:ascii="仿宋" w:hAnsi="仿宋" w:eastAsia="仿宋"/>
          <w:sz w:val="21"/>
          <w:szCs w:val="21"/>
          <w:highlight w:val="none"/>
        </w:rPr>
        <w:t>培训计划与教材</w:t>
      </w:r>
      <w:bookmarkEnd w:id="262"/>
      <w:bookmarkEnd w:id="263"/>
      <w:bookmarkEnd w:id="264"/>
      <w:bookmarkEnd w:id="265"/>
      <w:bookmarkEnd w:id="266"/>
      <w:bookmarkEnd w:id="267"/>
      <w:bookmarkEnd w:id="268"/>
    </w:p>
    <w:p>
      <w:pPr>
        <w:pStyle w:val="97"/>
        <w:keepNext w:val="0"/>
        <w:keepLines w:val="0"/>
        <w:numPr>
          <w:ilvl w:val="0"/>
          <w:numId w:val="17"/>
        </w:numPr>
        <w:tabs>
          <w:tab w:val="left" w:pos="284"/>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培训计划安排在试运行之前。在试运行之前三日，投标人提供一份由招标人认可的课程大纲给招标人。</w:t>
      </w:r>
    </w:p>
    <w:p>
      <w:pPr>
        <w:pStyle w:val="97"/>
        <w:keepNext w:val="0"/>
        <w:keepLines w:val="0"/>
        <w:numPr>
          <w:ilvl w:val="0"/>
          <w:numId w:val="17"/>
        </w:numPr>
        <w:tabs>
          <w:tab w:val="left" w:pos="284"/>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投标人准备的课程计划同样需要经招标人认可。</w:t>
      </w:r>
    </w:p>
    <w:p>
      <w:pPr>
        <w:pStyle w:val="97"/>
        <w:keepNext w:val="0"/>
        <w:keepLines w:val="0"/>
        <w:numPr>
          <w:ilvl w:val="0"/>
          <w:numId w:val="17"/>
        </w:numPr>
        <w:tabs>
          <w:tab w:val="left" w:pos="284"/>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投标人必须提供一切需要的培训辅助设备</w:t>
      </w:r>
      <w:r>
        <w:rPr>
          <w:rFonts w:ascii="仿宋" w:hAnsi="仿宋" w:eastAsia="仿宋"/>
          <w:sz w:val="21"/>
          <w:szCs w:val="21"/>
          <w:highlight w:val="none"/>
        </w:rPr>
        <w:t>(</w:t>
      </w:r>
      <w:r>
        <w:rPr>
          <w:rFonts w:hint="eastAsia" w:ascii="仿宋" w:hAnsi="仿宋" w:eastAsia="仿宋"/>
          <w:sz w:val="21"/>
          <w:szCs w:val="21"/>
          <w:highlight w:val="none"/>
        </w:rPr>
        <w:t>例如操作人员检查表、图表、图纸、彩色幻灯片、录像机或录音机、幻灯放影机等</w:t>
      </w:r>
      <w:r>
        <w:rPr>
          <w:rFonts w:ascii="仿宋" w:hAnsi="仿宋" w:eastAsia="仿宋"/>
          <w:sz w:val="21"/>
          <w:szCs w:val="21"/>
          <w:highlight w:val="none"/>
        </w:rPr>
        <w:t>)</w:t>
      </w:r>
      <w:r>
        <w:rPr>
          <w:rFonts w:hint="eastAsia" w:ascii="仿宋" w:hAnsi="仿宋" w:eastAsia="仿宋"/>
          <w:sz w:val="21"/>
          <w:szCs w:val="21"/>
          <w:highlight w:val="none"/>
        </w:rPr>
        <w:t>。</w:t>
      </w:r>
    </w:p>
    <w:p>
      <w:pPr>
        <w:pStyle w:val="97"/>
        <w:keepNext w:val="0"/>
        <w:keepLines w:val="0"/>
        <w:numPr>
          <w:ilvl w:val="0"/>
          <w:numId w:val="17"/>
        </w:numPr>
        <w:tabs>
          <w:tab w:val="left" w:pos="284"/>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投标人必须提供中文操作和维修手册，操作和维修手册作为基本的课程内容，因此，上述手册必须至少在培训前一周内完成。</w:t>
      </w:r>
    </w:p>
    <w:p>
      <w:pPr>
        <w:pStyle w:val="4"/>
        <w:tabs>
          <w:tab w:val="left" w:pos="284"/>
          <w:tab w:val="clear" w:pos="1275"/>
        </w:tabs>
        <w:snapToGrid w:val="0"/>
        <w:spacing w:line="360" w:lineRule="auto"/>
        <w:ind w:left="0" w:firstLine="0"/>
        <w:rPr>
          <w:rFonts w:ascii="仿宋" w:hAnsi="仿宋" w:eastAsia="仿宋"/>
          <w:sz w:val="21"/>
          <w:szCs w:val="21"/>
          <w:highlight w:val="none"/>
        </w:rPr>
      </w:pPr>
      <w:bookmarkStart w:id="269" w:name="_Toc498227212"/>
      <w:bookmarkStart w:id="270" w:name="_Toc498227717"/>
      <w:bookmarkStart w:id="271" w:name="_Toc498228814"/>
      <w:bookmarkStart w:id="272" w:name="_Toc507820998"/>
      <w:bookmarkStart w:id="273" w:name="_Toc6026310"/>
      <w:bookmarkStart w:id="274" w:name="_Toc6028388"/>
      <w:bookmarkStart w:id="275" w:name="_Toc6028478"/>
      <w:bookmarkStart w:id="276" w:name="_Toc6109351"/>
      <w:bookmarkStart w:id="277" w:name="_Toc416254193"/>
      <w:r>
        <w:rPr>
          <w:rFonts w:hint="eastAsia" w:ascii="仿宋" w:hAnsi="仿宋" w:eastAsia="仿宋"/>
          <w:sz w:val="21"/>
          <w:szCs w:val="21"/>
          <w:highlight w:val="none"/>
        </w:rPr>
        <w:t>运输包装要求</w:t>
      </w:r>
      <w:bookmarkEnd w:id="269"/>
      <w:bookmarkEnd w:id="270"/>
      <w:bookmarkEnd w:id="271"/>
      <w:bookmarkEnd w:id="272"/>
      <w:bookmarkEnd w:id="273"/>
      <w:bookmarkEnd w:id="274"/>
      <w:bookmarkEnd w:id="275"/>
      <w:bookmarkEnd w:id="276"/>
      <w:bookmarkEnd w:id="277"/>
    </w:p>
    <w:p>
      <w:pPr>
        <w:pStyle w:val="97"/>
        <w:keepNext w:val="0"/>
        <w:keepLines w:val="0"/>
        <w:numPr>
          <w:ilvl w:val="0"/>
          <w:numId w:val="18"/>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设备从起运地点运到招标人指定低点这段时间内，投标人必须对所有设备进行保险。</w:t>
      </w:r>
    </w:p>
    <w:p>
      <w:pPr>
        <w:pStyle w:val="97"/>
        <w:keepNext w:val="0"/>
        <w:keepLines w:val="0"/>
        <w:numPr>
          <w:ilvl w:val="0"/>
          <w:numId w:val="18"/>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设备、零件运抵现场后，投标人应提供设备清单，在安装前由业主对进场货物进行质量检查。</w:t>
      </w:r>
    </w:p>
    <w:p>
      <w:pPr>
        <w:pStyle w:val="97"/>
        <w:keepNext w:val="0"/>
        <w:keepLines w:val="0"/>
        <w:numPr>
          <w:ilvl w:val="0"/>
          <w:numId w:val="18"/>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备件和检测维修工具应与设备分开包装。箱盒应适于储存，储存年限应在包装上予以说明。所有备件应加上标签，以使它们可以被快速辨认出来。</w:t>
      </w:r>
    </w:p>
    <w:p>
      <w:pPr>
        <w:pStyle w:val="97"/>
        <w:keepNext w:val="0"/>
        <w:keepLines w:val="0"/>
        <w:numPr>
          <w:ilvl w:val="0"/>
          <w:numId w:val="18"/>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安检系统的设备必须单机分开包装，包装箱应能保护设备免遭外界的损坏并作好防潮和防水包装，包装箱上应清楚注明设备名称、设备型号、设备规格、发货单位、接受单位、接受地址、毛重、体积、运输条件等。</w:t>
      </w:r>
    </w:p>
    <w:p>
      <w:pPr>
        <w:pStyle w:val="97"/>
        <w:keepNext w:val="0"/>
        <w:keepLines w:val="0"/>
        <w:numPr>
          <w:ilvl w:val="0"/>
          <w:numId w:val="18"/>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由于运输和包装不当导致的设备损坏由投标人负责。</w:t>
      </w:r>
    </w:p>
    <w:p>
      <w:pPr>
        <w:pStyle w:val="3"/>
        <w:snapToGrid w:val="0"/>
        <w:spacing w:before="0" w:after="0"/>
        <w:rPr>
          <w:rFonts w:ascii="仿宋" w:hAnsi="仿宋" w:eastAsia="仿宋"/>
          <w:highlight w:val="none"/>
        </w:rPr>
      </w:pPr>
      <w:bookmarkStart w:id="278" w:name="_Toc498227213"/>
      <w:bookmarkStart w:id="279" w:name="_Toc498227718"/>
      <w:bookmarkStart w:id="280" w:name="_Toc498228815"/>
      <w:bookmarkStart w:id="281" w:name="_Toc507820999"/>
      <w:bookmarkStart w:id="282" w:name="_Toc6026311"/>
      <w:bookmarkStart w:id="283" w:name="_Toc6028389"/>
      <w:bookmarkStart w:id="284" w:name="_Toc6028479"/>
      <w:bookmarkStart w:id="285" w:name="_Toc6109352"/>
      <w:bookmarkStart w:id="286" w:name="_Toc416254195"/>
      <w:r>
        <w:rPr>
          <w:rFonts w:hint="eastAsia" w:ascii="仿宋" w:hAnsi="仿宋" w:eastAsia="仿宋"/>
          <w:highlight w:val="none"/>
        </w:rPr>
        <w:t>三</w:t>
      </w:r>
      <w:r>
        <w:rPr>
          <w:rFonts w:ascii="仿宋" w:hAnsi="仿宋" w:eastAsia="仿宋"/>
          <w:highlight w:val="none"/>
        </w:rPr>
        <w:t>、</w:t>
      </w:r>
      <w:r>
        <w:rPr>
          <w:rFonts w:hint="eastAsia" w:ascii="仿宋" w:hAnsi="仿宋" w:eastAsia="仿宋"/>
          <w:highlight w:val="none"/>
        </w:rPr>
        <w:t>工程实施要求</w:t>
      </w:r>
      <w:bookmarkEnd w:id="278"/>
      <w:bookmarkEnd w:id="279"/>
      <w:bookmarkEnd w:id="280"/>
      <w:bookmarkEnd w:id="281"/>
      <w:bookmarkEnd w:id="282"/>
      <w:bookmarkEnd w:id="283"/>
      <w:bookmarkEnd w:id="284"/>
      <w:bookmarkEnd w:id="285"/>
      <w:bookmarkEnd w:id="286"/>
    </w:p>
    <w:p>
      <w:pPr>
        <w:pStyle w:val="4"/>
        <w:numPr>
          <w:ilvl w:val="0"/>
          <w:numId w:val="7"/>
        </w:numPr>
        <w:tabs>
          <w:tab w:val="left" w:pos="284"/>
          <w:tab w:val="clear" w:pos="1275"/>
        </w:tabs>
        <w:snapToGrid w:val="0"/>
        <w:spacing w:line="360" w:lineRule="auto"/>
        <w:ind w:hanging="1275"/>
        <w:rPr>
          <w:rFonts w:ascii="仿宋" w:hAnsi="仿宋" w:eastAsia="仿宋"/>
          <w:sz w:val="21"/>
          <w:szCs w:val="21"/>
          <w:highlight w:val="none"/>
        </w:rPr>
      </w:pPr>
      <w:bookmarkStart w:id="287" w:name="_Toc498227214"/>
      <w:bookmarkStart w:id="288" w:name="_Toc498227719"/>
      <w:bookmarkStart w:id="289" w:name="_Toc498228816"/>
      <w:bookmarkStart w:id="290" w:name="_Toc507821000"/>
      <w:bookmarkStart w:id="291" w:name="_Toc6026312"/>
      <w:bookmarkStart w:id="292" w:name="_Toc6028390"/>
      <w:bookmarkStart w:id="293" w:name="_Toc6028480"/>
      <w:bookmarkStart w:id="294" w:name="_Toc6109353"/>
      <w:bookmarkStart w:id="295" w:name="_Toc416254196"/>
      <w:r>
        <w:rPr>
          <w:rFonts w:hint="eastAsia" w:ascii="仿宋" w:hAnsi="仿宋" w:eastAsia="仿宋"/>
          <w:sz w:val="21"/>
          <w:szCs w:val="21"/>
          <w:highlight w:val="none"/>
        </w:rPr>
        <w:t>安装</w:t>
      </w:r>
      <w:bookmarkEnd w:id="287"/>
      <w:bookmarkEnd w:id="288"/>
      <w:bookmarkEnd w:id="289"/>
      <w:bookmarkEnd w:id="290"/>
      <w:bookmarkEnd w:id="291"/>
      <w:bookmarkEnd w:id="292"/>
      <w:bookmarkEnd w:id="293"/>
      <w:bookmarkEnd w:id="294"/>
      <w:bookmarkEnd w:id="295"/>
    </w:p>
    <w:p>
      <w:pPr>
        <w:pStyle w:val="97"/>
        <w:keepNext w:val="0"/>
        <w:keepLines w:val="0"/>
        <w:numPr>
          <w:ilvl w:val="0"/>
          <w:numId w:val="19"/>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投标人应负责中标系统和设备安装</w:t>
      </w:r>
      <w:r>
        <w:rPr>
          <w:rFonts w:ascii="仿宋" w:hAnsi="仿宋" w:eastAsia="仿宋"/>
          <w:sz w:val="21"/>
          <w:szCs w:val="21"/>
          <w:highlight w:val="none"/>
        </w:rPr>
        <w:t>,</w:t>
      </w:r>
      <w:r>
        <w:rPr>
          <w:rFonts w:hint="eastAsia" w:ascii="仿宋" w:hAnsi="仿宋" w:eastAsia="仿宋"/>
          <w:sz w:val="21"/>
          <w:szCs w:val="21"/>
          <w:highlight w:val="none"/>
        </w:rPr>
        <w:t>并负责调试及试运行等工作，直至系统和设备以及整个工程验收合格。</w:t>
      </w:r>
    </w:p>
    <w:p>
      <w:pPr>
        <w:pStyle w:val="97"/>
        <w:keepNext w:val="0"/>
        <w:keepLines w:val="0"/>
        <w:numPr>
          <w:ilvl w:val="0"/>
          <w:numId w:val="19"/>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设备的每个部分须考虑防火、防过压、防潮、耐用、防漏电、容易清洁及日常维修，并且以符合本文件所提供规范为原则。</w:t>
      </w:r>
    </w:p>
    <w:p>
      <w:pPr>
        <w:pStyle w:val="97"/>
        <w:keepNext w:val="0"/>
        <w:keepLines w:val="0"/>
        <w:numPr>
          <w:ilvl w:val="0"/>
          <w:numId w:val="19"/>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投标人必须配合招标人工作</w:t>
      </w:r>
      <w:r>
        <w:rPr>
          <w:rFonts w:ascii="仿宋" w:hAnsi="仿宋" w:eastAsia="仿宋"/>
          <w:sz w:val="21"/>
          <w:szCs w:val="21"/>
          <w:highlight w:val="none"/>
        </w:rPr>
        <w:t>,</w:t>
      </w:r>
      <w:r>
        <w:rPr>
          <w:rFonts w:hint="eastAsia" w:ascii="仿宋" w:hAnsi="仿宋" w:eastAsia="仿宋"/>
          <w:sz w:val="21"/>
          <w:szCs w:val="21"/>
          <w:highlight w:val="none"/>
        </w:rPr>
        <w:t>圆满解决安装、调试、试运行中的所有问题。</w:t>
      </w:r>
    </w:p>
    <w:p>
      <w:pPr>
        <w:pStyle w:val="97"/>
        <w:keepNext w:val="0"/>
        <w:keepLines w:val="0"/>
        <w:numPr>
          <w:ilvl w:val="0"/>
          <w:numId w:val="19"/>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投标人必须负责提供安装过程中所需的专用工具。</w:t>
      </w:r>
    </w:p>
    <w:p>
      <w:pPr>
        <w:pStyle w:val="4"/>
        <w:tabs>
          <w:tab w:val="left" w:pos="284"/>
          <w:tab w:val="clear" w:pos="1275"/>
        </w:tabs>
        <w:snapToGrid w:val="0"/>
        <w:spacing w:line="360" w:lineRule="auto"/>
        <w:ind w:left="0" w:firstLine="0"/>
        <w:rPr>
          <w:rFonts w:ascii="仿宋" w:hAnsi="仿宋" w:eastAsia="仿宋"/>
          <w:sz w:val="21"/>
          <w:szCs w:val="21"/>
          <w:highlight w:val="none"/>
        </w:rPr>
      </w:pPr>
      <w:bookmarkStart w:id="296" w:name="_Toc498227215"/>
      <w:bookmarkStart w:id="297" w:name="_Toc498227720"/>
      <w:bookmarkStart w:id="298" w:name="_Toc498228817"/>
      <w:bookmarkStart w:id="299" w:name="_Toc507821001"/>
      <w:bookmarkStart w:id="300" w:name="_Toc6026313"/>
      <w:bookmarkStart w:id="301" w:name="_Toc6028391"/>
      <w:bookmarkStart w:id="302" w:name="_Toc6028481"/>
      <w:bookmarkStart w:id="303" w:name="_Toc6109354"/>
      <w:bookmarkStart w:id="304" w:name="_Toc416254197"/>
      <w:r>
        <w:rPr>
          <w:rFonts w:hint="eastAsia" w:ascii="仿宋" w:hAnsi="仿宋" w:eastAsia="仿宋"/>
          <w:sz w:val="21"/>
          <w:szCs w:val="21"/>
          <w:highlight w:val="none"/>
        </w:rPr>
        <w:t>调试和试运行</w:t>
      </w:r>
      <w:bookmarkEnd w:id="296"/>
      <w:bookmarkEnd w:id="297"/>
      <w:bookmarkEnd w:id="298"/>
      <w:bookmarkEnd w:id="299"/>
      <w:bookmarkEnd w:id="300"/>
      <w:bookmarkEnd w:id="301"/>
      <w:bookmarkEnd w:id="302"/>
      <w:bookmarkEnd w:id="303"/>
      <w:bookmarkEnd w:id="304"/>
    </w:p>
    <w:p>
      <w:pPr>
        <w:pStyle w:val="97"/>
        <w:keepNext w:val="0"/>
        <w:keepLines w:val="0"/>
        <w:numPr>
          <w:ilvl w:val="0"/>
          <w:numId w:val="20"/>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投标人应在现场负责对中标系统设备进行调试和试运行，以检验其设计制作、操作性和功能等方面的情况。担任调试和试运行任务的是由投标人派出的有经验工程师。招标人认为不合格者，可要求更换。在没有得到招标人允许前</w:t>
      </w:r>
      <w:r>
        <w:rPr>
          <w:rFonts w:ascii="仿宋" w:hAnsi="仿宋" w:eastAsia="仿宋"/>
          <w:sz w:val="21"/>
          <w:szCs w:val="21"/>
          <w:highlight w:val="none"/>
        </w:rPr>
        <w:t>,</w:t>
      </w:r>
      <w:r>
        <w:rPr>
          <w:rFonts w:hint="eastAsia" w:ascii="仿宋" w:hAnsi="仿宋" w:eastAsia="仿宋"/>
          <w:sz w:val="21"/>
          <w:szCs w:val="21"/>
          <w:highlight w:val="none"/>
        </w:rPr>
        <w:t>投标人不能更换或撤走任何一个人员。</w:t>
      </w:r>
    </w:p>
    <w:p>
      <w:pPr>
        <w:pStyle w:val="97"/>
        <w:keepNext w:val="0"/>
        <w:keepLines w:val="0"/>
        <w:numPr>
          <w:ilvl w:val="0"/>
          <w:numId w:val="20"/>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设备在安装过程或安装结束后，必须经过调试，可根据情况进行部分调试和全面调试。</w:t>
      </w:r>
    </w:p>
    <w:p>
      <w:pPr>
        <w:pStyle w:val="97"/>
        <w:keepNext w:val="0"/>
        <w:keepLines w:val="0"/>
        <w:numPr>
          <w:ilvl w:val="0"/>
          <w:numId w:val="20"/>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系统和设备经过调试，投标人现场代表确认合格以后，在投标人技术人员指导下，由招标人组织各种试运行。</w:t>
      </w:r>
    </w:p>
    <w:p>
      <w:pPr>
        <w:pStyle w:val="97"/>
        <w:keepNext w:val="0"/>
        <w:keepLines w:val="0"/>
        <w:numPr>
          <w:ilvl w:val="0"/>
          <w:numId w:val="20"/>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各项设备试运行的大纲、项目、数据由投标人制成表格发给参加试运行的双方工作人员，以便将每次试运行做出记录。</w:t>
      </w:r>
    </w:p>
    <w:p>
      <w:pPr>
        <w:pStyle w:val="97"/>
        <w:keepNext w:val="0"/>
        <w:keepLines w:val="0"/>
        <w:numPr>
          <w:ilvl w:val="0"/>
          <w:numId w:val="20"/>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参加试运行的双方工作人员，都应该认真做好记录。投标人必须在任何一个测试项目完成后的2日内，将检验证书和报告提交招标人。</w:t>
      </w:r>
    </w:p>
    <w:p>
      <w:pPr>
        <w:pStyle w:val="97"/>
        <w:keepNext w:val="0"/>
        <w:keepLines w:val="0"/>
        <w:numPr>
          <w:ilvl w:val="0"/>
          <w:numId w:val="20"/>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试运行所需的工具、材料、仪器及劳务均由投标人负责准备，配合安装、调试、试运行所需费用单独列出，并纳入总报价。</w:t>
      </w:r>
    </w:p>
    <w:p>
      <w:pPr>
        <w:pStyle w:val="4"/>
        <w:tabs>
          <w:tab w:val="left" w:pos="284"/>
          <w:tab w:val="clear" w:pos="1275"/>
        </w:tabs>
        <w:snapToGrid w:val="0"/>
        <w:spacing w:line="360" w:lineRule="auto"/>
        <w:ind w:left="0" w:firstLine="0"/>
        <w:rPr>
          <w:rFonts w:ascii="仿宋" w:hAnsi="仿宋" w:eastAsia="仿宋"/>
          <w:sz w:val="21"/>
          <w:szCs w:val="21"/>
          <w:highlight w:val="none"/>
        </w:rPr>
      </w:pPr>
      <w:bookmarkStart w:id="305" w:name="_Toc498227216"/>
      <w:bookmarkStart w:id="306" w:name="_Toc498227721"/>
      <w:bookmarkStart w:id="307" w:name="_Toc498228818"/>
      <w:bookmarkStart w:id="308" w:name="_Toc507821002"/>
      <w:bookmarkStart w:id="309" w:name="_Toc6026314"/>
      <w:bookmarkStart w:id="310" w:name="_Toc6028392"/>
      <w:bookmarkStart w:id="311" w:name="_Toc6028482"/>
      <w:bookmarkStart w:id="312" w:name="_Toc6109355"/>
      <w:bookmarkStart w:id="313" w:name="_Toc416254198"/>
      <w:r>
        <w:rPr>
          <w:rFonts w:hint="eastAsia" w:ascii="仿宋" w:hAnsi="仿宋" w:eastAsia="仿宋"/>
          <w:sz w:val="21"/>
          <w:szCs w:val="21"/>
          <w:highlight w:val="none"/>
        </w:rPr>
        <w:t>验收</w:t>
      </w:r>
      <w:bookmarkEnd w:id="305"/>
      <w:bookmarkEnd w:id="306"/>
      <w:bookmarkEnd w:id="307"/>
      <w:bookmarkEnd w:id="308"/>
      <w:bookmarkEnd w:id="309"/>
      <w:bookmarkEnd w:id="310"/>
      <w:bookmarkEnd w:id="311"/>
      <w:bookmarkEnd w:id="312"/>
      <w:bookmarkEnd w:id="313"/>
    </w:p>
    <w:p>
      <w:pPr>
        <w:pStyle w:val="32"/>
        <w:tabs>
          <w:tab w:val="left" w:pos="360"/>
        </w:tabs>
        <w:snapToGrid w:val="0"/>
        <w:spacing w:after="0" w:line="360" w:lineRule="auto"/>
        <w:ind w:left="0" w:leftChars="0" w:firstLine="400" w:firstLineChars="200"/>
        <w:rPr>
          <w:rFonts w:ascii="仿宋" w:hAnsi="仿宋" w:eastAsia="仿宋"/>
          <w:szCs w:val="21"/>
          <w:highlight w:val="none"/>
        </w:rPr>
      </w:pPr>
      <w:r>
        <w:rPr>
          <w:rFonts w:hint="eastAsia" w:ascii="仿宋" w:hAnsi="仿宋" w:eastAsia="仿宋"/>
          <w:szCs w:val="21"/>
          <w:highlight w:val="none"/>
        </w:rPr>
        <w:t>安装调试完成后，投标人须负责对已完成项目进行自验，自验结束，由招标人会同有关部门进行初验。最终的验收以杭州萧山机场有关职能部门验收合格为准。</w:t>
      </w:r>
    </w:p>
    <w:p>
      <w:pPr>
        <w:pStyle w:val="5"/>
        <w:snapToGrid w:val="0"/>
        <w:spacing w:before="0" w:after="0" w:line="360" w:lineRule="auto"/>
        <w:rPr>
          <w:rFonts w:ascii="仿宋" w:hAnsi="仿宋" w:eastAsia="仿宋"/>
          <w:sz w:val="21"/>
          <w:szCs w:val="21"/>
          <w:highlight w:val="none"/>
        </w:rPr>
      </w:pPr>
      <w:bookmarkStart w:id="314" w:name="_Toc498227217"/>
      <w:bookmarkStart w:id="315" w:name="_Toc498228819"/>
      <w:bookmarkStart w:id="316" w:name="_Toc507821003"/>
      <w:bookmarkStart w:id="317" w:name="_Toc6026315"/>
      <w:bookmarkStart w:id="318" w:name="_Toc6028393"/>
      <w:bookmarkStart w:id="319" w:name="_Toc6028483"/>
      <w:bookmarkStart w:id="320" w:name="_Toc6109356"/>
      <w:r>
        <w:rPr>
          <w:rFonts w:hint="eastAsia" w:ascii="仿宋" w:hAnsi="仿宋" w:eastAsia="仿宋"/>
          <w:sz w:val="21"/>
          <w:szCs w:val="21"/>
          <w:highlight w:val="none"/>
        </w:rPr>
        <w:t>3</w:t>
      </w:r>
      <w:r>
        <w:rPr>
          <w:rFonts w:ascii="仿宋" w:hAnsi="仿宋" w:eastAsia="仿宋"/>
          <w:sz w:val="21"/>
          <w:szCs w:val="21"/>
          <w:highlight w:val="none"/>
        </w:rPr>
        <w:t>.1</w:t>
      </w:r>
      <w:r>
        <w:rPr>
          <w:rFonts w:hint="eastAsia" w:ascii="仿宋" w:hAnsi="仿宋" w:eastAsia="仿宋"/>
          <w:sz w:val="21"/>
          <w:szCs w:val="21"/>
          <w:highlight w:val="none"/>
        </w:rPr>
        <w:t>验收条件</w:t>
      </w:r>
      <w:bookmarkEnd w:id="314"/>
      <w:bookmarkEnd w:id="315"/>
      <w:bookmarkEnd w:id="316"/>
      <w:bookmarkEnd w:id="317"/>
      <w:bookmarkEnd w:id="318"/>
      <w:bookmarkEnd w:id="319"/>
      <w:bookmarkEnd w:id="320"/>
    </w:p>
    <w:p>
      <w:pPr>
        <w:pStyle w:val="14"/>
        <w:rPr>
          <w:rFonts w:ascii="仿宋" w:hAnsi="仿宋" w:eastAsia="仿宋"/>
          <w:szCs w:val="21"/>
          <w:highlight w:val="none"/>
        </w:rPr>
      </w:pPr>
      <w:r>
        <w:rPr>
          <w:rFonts w:hint="eastAsia" w:ascii="仿宋" w:hAnsi="仿宋" w:eastAsia="仿宋"/>
          <w:szCs w:val="21"/>
          <w:highlight w:val="none"/>
        </w:rPr>
        <w:t>投标人在验收前应负责做好下列工作</w:t>
      </w:r>
      <w:r>
        <w:rPr>
          <w:rFonts w:ascii="仿宋" w:hAnsi="仿宋" w:eastAsia="仿宋"/>
          <w:szCs w:val="21"/>
          <w:highlight w:val="none"/>
        </w:rPr>
        <w:t>,</w:t>
      </w:r>
      <w:r>
        <w:rPr>
          <w:rFonts w:hint="eastAsia" w:ascii="仿宋" w:hAnsi="仿宋" w:eastAsia="仿宋"/>
          <w:szCs w:val="21"/>
          <w:highlight w:val="none"/>
        </w:rPr>
        <w:t>只有具备下列条件</w:t>
      </w:r>
      <w:r>
        <w:rPr>
          <w:rFonts w:ascii="仿宋" w:hAnsi="仿宋" w:eastAsia="仿宋"/>
          <w:szCs w:val="21"/>
          <w:highlight w:val="none"/>
        </w:rPr>
        <w:t>,</w:t>
      </w:r>
      <w:r>
        <w:rPr>
          <w:rFonts w:hint="eastAsia" w:ascii="仿宋" w:hAnsi="仿宋" w:eastAsia="仿宋"/>
          <w:szCs w:val="21"/>
          <w:highlight w:val="none"/>
        </w:rPr>
        <w:t>招标人才进行验收工作。</w:t>
      </w:r>
    </w:p>
    <w:p>
      <w:pPr>
        <w:pStyle w:val="97"/>
        <w:keepNext w:val="0"/>
        <w:keepLines w:val="0"/>
        <w:numPr>
          <w:ilvl w:val="0"/>
          <w:numId w:val="21"/>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系统设备安装调试完成准备就绪。</w:t>
      </w:r>
    </w:p>
    <w:p>
      <w:pPr>
        <w:pStyle w:val="97"/>
        <w:keepNext w:val="0"/>
        <w:keepLines w:val="0"/>
        <w:numPr>
          <w:ilvl w:val="0"/>
          <w:numId w:val="21"/>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准备好验收技术检测所需的工具器材。</w:t>
      </w:r>
    </w:p>
    <w:p>
      <w:pPr>
        <w:pStyle w:val="97"/>
        <w:keepNext w:val="0"/>
        <w:keepLines w:val="0"/>
        <w:numPr>
          <w:ilvl w:val="0"/>
          <w:numId w:val="21"/>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提交相关的安装调试资料及验收资料。</w:t>
      </w:r>
    </w:p>
    <w:p>
      <w:pPr>
        <w:pStyle w:val="5"/>
        <w:snapToGrid w:val="0"/>
        <w:spacing w:before="0" w:after="0" w:line="360" w:lineRule="auto"/>
        <w:rPr>
          <w:rFonts w:ascii="仿宋" w:hAnsi="仿宋" w:eastAsia="仿宋"/>
          <w:sz w:val="21"/>
          <w:szCs w:val="21"/>
          <w:highlight w:val="none"/>
        </w:rPr>
      </w:pPr>
      <w:bookmarkStart w:id="321" w:name="_Toc498227218"/>
      <w:bookmarkStart w:id="322" w:name="_Toc498228820"/>
      <w:bookmarkStart w:id="323" w:name="_Toc507821004"/>
      <w:bookmarkStart w:id="324" w:name="_Toc6026316"/>
      <w:bookmarkStart w:id="325" w:name="_Toc6028394"/>
      <w:bookmarkStart w:id="326" w:name="_Toc6028484"/>
      <w:bookmarkStart w:id="327" w:name="_Toc6109357"/>
      <w:r>
        <w:rPr>
          <w:rFonts w:hint="eastAsia" w:ascii="仿宋" w:hAnsi="仿宋" w:eastAsia="仿宋"/>
          <w:sz w:val="21"/>
          <w:szCs w:val="21"/>
          <w:highlight w:val="none"/>
        </w:rPr>
        <w:t>3</w:t>
      </w:r>
      <w:r>
        <w:rPr>
          <w:rFonts w:ascii="仿宋" w:hAnsi="仿宋" w:eastAsia="仿宋"/>
          <w:sz w:val="21"/>
          <w:szCs w:val="21"/>
          <w:highlight w:val="none"/>
        </w:rPr>
        <w:t>.2</w:t>
      </w:r>
      <w:r>
        <w:rPr>
          <w:rFonts w:hint="eastAsia" w:ascii="仿宋" w:hAnsi="仿宋" w:eastAsia="仿宋"/>
          <w:sz w:val="21"/>
          <w:szCs w:val="21"/>
          <w:highlight w:val="none"/>
        </w:rPr>
        <w:t>验收合格条件</w:t>
      </w:r>
      <w:bookmarkEnd w:id="321"/>
      <w:bookmarkEnd w:id="322"/>
      <w:bookmarkEnd w:id="323"/>
      <w:bookmarkEnd w:id="324"/>
      <w:bookmarkEnd w:id="325"/>
      <w:bookmarkEnd w:id="326"/>
      <w:bookmarkEnd w:id="327"/>
    </w:p>
    <w:p>
      <w:pPr>
        <w:pStyle w:val="97"/>
        <w:keepNext w:val="0"/>
        <w:keepLines w:val="0"/>
        <w:numPr>
          <w:ilvl w:val="0"/>
          <w:numId w:val="22"/>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投标人按合同编制系统设备验收大纲，业主批准后实施。</w:t>
      </w:r>
    </w:p>
    <w:p>
      <w:pPr>
        <w:pStyle w:val="97"/>
        <w:keepNext w:val="0"/>
        <w:keepLines w:val="0"/>
        <w:numPr>
          <w:ilvl w:val="0"/>
          <w:numId w:val="22"/>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满足设备验收大纲的要求。</w:t>
      </w:r>
    </w:p>
    <w:p>
      <w:pPr>
        <w:pStyle w:val="97"/>
        <w:keepNext w:val="0"/>
        <w:keepLines w:val="0"/>
        <w:numPr>
          <w:ilvl w:val="0"/>
          <w:numId w:val="22"/>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各机构运转正常，操作、控制、管理、系统工作正常。</w:t>
      </w:r>
    </w:p>
    <w:p>
      <w:pPr>
        <w:pStyle w:val="97"/>
        <w:keepNext w:val="0"/>
        <w:keepLines w:val="0"/>
        <w:numPr>
          <w:ilvl w:val="0"/>
          <w:numId w:val="22"/>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系统设备功能及试运行满足设计要求。</w:t>
      </w:r>
    </w:p>
    <w:p>
      <w:pPr>
        <w:pStyle w:val="97"/>
        <w:keepNext w:val="0"/>
        <w:keepLines w:val="0"/>
        <w:numPr>
          <w:ilvl w:val="0"/>
          <w:numId w:val="22"/>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性能测试和试运行时出现的问题已被解决，满足招标技术条件。</w:t>
      </w:r>
    </w:p>
    <w:p>
      <w:pPr>
        <w:pStyle w:val="97"/>
        <w:keepNext w:val="0"/>
        <w:keepLines w:val="0"/>
        <w:numPr>
          <w:ilvl w:val="0"/>
          <w:numId w:val="22"/>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根据要求提供了全部设备和满足招标人当地各级档案管理要求的全部资料。</w:t>
      </w:r>
    </w:p>
    <w:p>
      <w:pPr>
        <w:pStyle w:val="4"/>
        <w:tabs>
          <w:tab w:val="left" w:pos="284"/>
          <w:tab w:val="clear" w:pos="1275"/>
        </w:tabs>
        <w:snapToGrid w:val="0"/>
        <w:spacing w:line="360" w:lineRule="auto"/>
        <w:ind w:left="0" w:firstLine="0"/>
        <w:rPr>
          <w:rFonts w:ascii="仿宋" w:hAnsi="仿宋" w:eastAsia="仿宋"/>
          <w:sz w:val="21"/>
          <w:szCs w:val="21"/>
          <w:highlight w:val="none"/>
        </w:rPr>
      </w:pPr>
      <w:bookmarkStart w:id="328" w:name="_Toc498227219"/>
      <w:bookmarkStart w:id="329" w:name="_Toc498227722"/>
      <w:bookmarkStart w:id="330" w:name="_Toc498228821"/>
      <w:bookmarkStart w:id="331" w:name="_Toc507821005"/>
      <w:bookmarkStart w:id="332" w:name="_Toc6026317"/>
      <w:bookmarkStart w:id="333" w:name="_Toc6028395"/>
      <w:bookmarkStart w:id="334" w:name="_Toc6028485"/>
      <w:bookmarkStart w:id="335" w:name="_Toc6109358"/>
      <w:bookmarkStart w:id="336" w:name="_Toc416254199"/>
      <w:r>
        <w:rPr>
          <w:rFonts w:hint="eastAsia" w:ascii="仿宋" w:hAnsi="仿宋" w:eastAsia="仿宋"/>
          <w:sz w:val="21"/>
          <w:szCs w:val="21"/>
          <w:highlight w:val="none"/>
        </w:rPr>
        <w:t>售后服务</w:t>
      </w:r>
      <w:bookmarkEnd w:id="328"/>
      <w:bookmarkEnd w:id="329"/>
      <w:bookmarkEnd w:id="330"/>
      <w:bookmarkEnd w:id="331"/>
      <w:bookmarkEnd w:id="332"/>
      <w:bookmarkEnd w:id="333"/>
      <w:bookmarkEnd w:id="334"/>
      <w:bookmarkEnd w:id="335"/>
      <w:bookmarkEnd w:id="336"/>
    </w:p>
    <w:p>
      <w:pPr>
        <w:pStyle w:val="32"/>
        <w:tabs>
          <w:tab w:val="left" w:pos="360"/>
        </w:tabs>
        <w:snapToGrid w:val="0"/>
        <w:spacing w:after="0" w:line="360" w:lineRule="auto"/>
        <w:ind w:left="0" w:leftChars="0" w:firstLine="400" w:firstLineChars="200"/>
        <w:rPr>
          <w:rFonts w:ascii="仿宋" w:hAnsi="仿宋" w:eastAsia="仿宋"/>
          <w:szCs w:val="21"/>
          <w:highlight w:val="none"/>
        </w:rPr>
      </w:pPr>
      <w:r>
        <w:rPr>
          <w:rFonts w:hint="eastAsia" w:ascii="仿宋" w:hAnsi="仿宋" w:eastAsia="仿宋"/>
          <w:szCs w:val="21"/>
          <w:highlight w:val="none"/>
        </w:rPr>
        <w:t>投标人设备在现场经试运转合格，通过验收之日起，为进入交付招标人使用期。投标人需要提供免费保修，保修期自最终验收之日起计算，时间为三年。</w:t>
      </w:r>
      <w:r>
        <w:rPr>
          <w:rFonts w:ascii="仿宋" w:hAnsi="仿宋" w:eastAsia="仿宋"/>
          <w:szCs w:val="21"/>
          <w:highlight w:val="none"/>
        </w:rPr>
        <w:t>质保期内所需的维修和维护零部件由卖方负责免费提供。</w:t>
      </w:r>
      <w:r>
        <w:rPr>
          <w:rFonts w:hint="eastAsia" w:ascii="仿宋" w:hAnsi="仿宋" w:eastAsia="仿宋"/>
          <w:szCs w:val="21"/>
          <w:highlight w:val="none"/>
        </w:rPr>
        <w:t>内容如下：</w:t>
      </w:r>
    </w:p>
    <w:p>
      <w:pPr>
        <w:pStyle w:val="97"/>
        <w:keepNext w:val="0"/>
        <w:keepLines w:val="0"/>
        <w:numPr>
          <w:ilvl w:val="0"/>
          <w:numId w:val="23"/>
        </w:numPr>
        <w:tabs>
          <w:tab w:val="left" w:pos="624"/>
          <w:tab w:val="left" w:pos="1021"/>
        </w:tabs>
        <w:adjustRightInd w:val="0"/>
        <w:snapToGrid w:val="0"/>
        <w:spacing w:before="0" w:after="0"/>
        <w:jc w:val="left"/>
        <w:textAlignment w:val="baseline"/>
        <w:outlineLvl w:val="9"/>
        <w:rPr>
          <w:rFonts w:ascii="仿宋" w:hAnsi="仿宋" w:eastAsia="仿宋"/>
          <w:b/>
          <w:sz w:val="21"/>
          <w:szCs w:val="21"/>
          <w:highlight w:val="none"/>
        </w:rPr>
      </w:pPr>
      <w:r>
        <w:rPr>
          <w:rFonts w:hint="eastAsia" w:ascii="仿宋" w:hAnsi="仿宋" w:eastAsia="仿宋"/>
          <w:b/>
          <w:sz w:val="21"/>
          <w:szCs w:val="21"/>
          <w:highlight w:val="none"/>
        </w:rPr>
        <w:t>保修及维修保养期内，提供免费的一年四次季度维护。</w:t>
      </w:r>
    </w:p>
    <w:p>
      <w:pPr>
        <w:pStyle w:val="97"/>
        <w:keepNext w:val="0"/>
        <w:keepLines w:val="0"/>
        <w:numPr>
          <w:ilvl w:val="0"/>
          <w:numId w:val="23"/>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当由于设备设计和制造质量原因造成的任何损伤或损坏，投标人除负责修理或更换外，所作更换的材料和零件必须是原厂生产的标准材料和零件。</w:t>
      </w:r>
    </w:p>
    <w:p>
      <w:pPr>
        <w:pStyle w:val="97"/>
        <w:keepNext w:val="0"/>
        <w:keepLines w:val="0"/>
        <w:numPr>
          <w:ilvl w:val="0"/>
          <w:numId w:val="23"/>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在保修期结束时，须由专业工程师对整套设备进行一次全面检查，任何缺陷必须由投标人自费修理。在修理之后，投标人必须将成因、补救措施、完成修理及恢复正常的时间和日期等报告给招标人。报告一式两份。</w:t>
      </w:r>
    </w:p>
    <w:p>
      <w:pPr>
        <w:pStyle w:val="4"/>
        <w:tabs>
          <w:tab w:val="left" w:pos="284"/>
          <w:tab w:val="clear" w:pos="1275"/>
        </w:tabs>
        <w:snapToGrid w:val="0"/>
        <w:spacing w:line="360" w:lineRule="auto"/>
        <w:ind w:left="0" w:firstLine="0"/>
        <w:rPr>
          <w:rFonts w:ascii="仿宋" w:hAnsi="仿宋" w:eastAsia="仿宋"/>
          <w:sz w:val="21"/>
          <w:szCs w:val="21"/>
          <w:highlight w:val="none"/>
        </w:rPr>
      </w:pPr>
      <w:bookmarkStart w:id="337" w:name="_Toc498227220"/>
      <w:bookmarkStart w:id="338" w:name="_Toc498227723"/>
      <w:bookmarkStart w:id="339" w:name="_Toc498228822"/>
      <w:bookmarkStart w:id="340" w:name="_Toc507821006"/>
      <w:bookmarkStart w:id="341" w:name="_Toc6026318"/>
      <w:bookmarkStart w:id="342" w:name="_Toc6028396"/>
      <w:bookmarkStart w:id="343" w:name="_Toc6028486"/>
      <w:bookmarkStart w:id="344" w:name="_Toc6109359"/>
      <w:bookmarkStart w:id="345" w:name="_Toc416254200"/>
      <w:r>
        <w:rPr>
          <w:rFonts w:hint="eastAsia" w:ascii="仿宋" w:hAnsi="仿宋" w:eastAsia="仿宋"/>
          <w:sz w:val="21"/>
          <w:szCs w:val="21"/>
          <w:highlight w:val="none"/>
        </w:rPr>
        <w:t>备件供应</w:t>
      </w:r>
      <w:bookmarkEnd w:id="337"/>
      <w:bookmarkEnd w:id="338"/>
      <w:bookmarkEnd w:id="339"/>
      <w:bookmarkEnd w:id="340"/>
      <w:bookmarkEnd w:id="341"/>
      <w:bookmarkEnd w:id="342"/>
      <w:bookmarkEnd w:id="343"/>
      <w:bookmarkEnd w:id="344"/>
      <w:bookmarkEnd w:id="345"/>
    </w:p>
    <w:p>
      <w:pPr>
        <w:pStyle w:val="97"/>
        <w:keepNext w:val="0"/>
        <w:keepLines w:val="0"/>
        <w:numPr>
          <w:ilvl w:val="0"/>
          <w:numId w:val="24"/>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投标人应承诺在设备寿命期内以优惠价格供应备件。</w:t>
      </w:r>
    </w:p>
    <w:p>
      <w:pPr>
        <w:pStyle w:val="97"/>
        <w:keepNext w:val="0"/>
        <w:keepLines w:val="0"/>
        <w:numPr>
          <w:ilvl w:val="0"/>
          <w:numId w:val="24"/>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投标人必须在投标时，提供系统设备在保修期满后，足够</w:t>
      </w:r>
      <w:r>
        <w:rPr>
          <w:rFonts w:ascii="仿宋" w:hAnsi="仿宋" w:eastAsia="仿宋"/>
          <w:sz w:val="21"/>
          <w:szCs w:val="21"/>
          <w:highlight w:val="none"/>
        </w:rPr>
        <w:t>2</w:t>
      </w:r>
      <w:r>
        <w:rPr>
          <w:rFonts w:hint="eastAsia" w:ascii="仿宋" w:hAnsi="仿宋" w:eastAsia="仿宋"/>
          <w:sz w:val="21"/>
          <w:szCs w:val="21"/>
          <w:highlight w:val="none"/>
        </w:rPr>
        <w:t>年使用的备件清单。清单中必须说明备件名称、规格、型号、数量、价格、保存环境要求，外购件还必须注明制造厂及其型号。备件单列清单，单独报价，费用不计入总报价，招标人有权选购。</w:t>
      </w:r>
    </w:p>
    <w:p>
      <w:pPr>
        <w:pStyle w:val="97"/>
        <w:keepNext w:val="0"/>
        <w:keepLines w:val="0"/>
        <w:numPr>
          <w:ilvl w:val="0"/>
          <w:numId w:val="24"/>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各种备件必须单独包装、单独装箱，包装箱外面必须写明“备件”字样，并说明属于何种设备的备件，箱内必须有所装备件的详细清单。备件发送至招标人指定的地方。投标人会同招标人一起开箱、验收、交货。若有损坏、短缺、误发货，投标人必须负责更换、补齐，所发生的一切费用必须由投标人负责。</w:t>
      </w:r>
    </w:p>
    <w:p>
      <w:pPr>
        <w:pStyle w:val="97"/>
        <w:keepNext w:val="0"/>
        <w:keepLines w:val="0"/>
        <w:numPr>
          <w:ilvl w:val="0"/>
          <w:numId w:val="24"/>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ascii="仿宋" w:hAnsi="仿宋" w:eastAsia="仿宋"/>
          <w:sz w:val="21"/>
          <w:szCs w:val="21"/>
          <w:highlight w:val="none"/>
        </w:rPr>
        <w:t>投标人须保证在设备使用寿命期(不低于10年)内，免费提供为保证设备正常运行的软件</w:t>
      </w:r>
      <w:r>
        <w:rPr>
          <w:rFonts w:hint="eastAsia" w:ascii="仿宋" w:hAnsi="仿宋" w:eastAsia="仿宋"/>
          <w:sz w:val="21"/>
          <w:szCs w:val="21"/>
          <w:highlight w:val="none"/>
        </w:rPr>
        <w:t>、数据等</w:t>
      </w:r>
      <w:r>
        <w:rPr>
          <w:rFonts w:ascii="仿宋" w:hAnsi="仿宋" w:eastAsia="仿宋"/>
          <w:sz w:val="21"/>
          <w:szCs w:val="21"/>
          <w:highlight w:val="none"/>
        </w:rPr>
        <w:t>程序的加载、灌装、升级及更新。</w:t>
      </w:r>
    </w:p>
    <w:p>
      <w:pPr>
        <w:pStyle w:val="4"/>
        <w:tabs>
          <w:tab w:val="left" w:pos="284"/>
          <w:tab w:val="clear" w:pos="1275"/>
        </w:tabs>
        <w:snapToGrid w:val="0"/>
        <w:spacing w:line="360" w:lineRule="auto"/>
        <w:ind w:left="0" w:firstLine="0"/>
        <w:rPr>
          <w:rFonts w:ascii="仿宋" w:hAnsi="仿宋" w:eastAsia="仿宋"/>
          <w:sz w:val="21"/>
          <w:szCs w:val="21"/>
          <w:highlight w:val="none"/>
        </w:rPr>
      </w:pPr>
      <w:bookmarkStart w:id="346" w:name="_Toc498227222"/>
      <w:bookmarkStart w:id="347" w:name="_Toc498227725"/>
      <w:bookmarkStart w:id="348" w:name="_Toc498228824"/>
      <w:bookmarkStart w:id="349" w:name="_Toc507821008"/>
      <w:bookmarkStart w:id="350" w:name="_Toc6026320"/>
      <w:bookmarkStart w:id="351" w:name="_Toc6028398"/>
      <w:bookmarkStart w:id="352" w:name="_Toc6028488"/>
      <w:bookmarkStart w:id="353" w:name="_Toc6109361"/>
      <w:bookmarkStart w:id="354" w:name="_Toc416254202"/>
      <w:bookmarkStart w:id="355" w:name="_Toc416254203"/>
      <w:bookmarkStart w:id="356" w:name="_Toc408322874"/>
      <w:bookmarkStart w:id="357" w:name="_Toc497539595"/>
      <w:bookmarkStart w:id="358" w:name="_Toc498915294"/>
      <w:bookmarkStart w:id="359" w:name="_Toc507821058"/>
      <w:r>
        <w:rPr>
          <w:rFonts w:hint="eastAsia" w:ascii="仿宋" w:hAnsi="仿宋" w:eastAsia="仿宋"/>
          <w:sz w:val="21"/>
          <w:szCs w:val="21"/>
          <w:highlight w:val="none"/>
        </w:rPr>
        <w:t>铭牌及各类标记</w:t>
      </w:r>
      <w:bookmarkEnd w:id="346"/>
      <w:bookmarkEnd w:id="347"/>
      <w:bookmarkEnd w:id="348"/>
      <w:bookmarkEnd w:id="349"/>
      <w:bookmarkEnd w:id="350"/>
      <w:bookmarkEnd w:id="351"/>
      <w:bookmarkEnd w:id="352"/>
      <w:bookmarkEnd w:id="353"/>
      <w:bookmarkEnd w:id="354"/>
    </w:p>
    <w:p>
      <w:pPr>
        <w:pStyle w:val="5"/>
        <w:snapToGrid w:val="0"/>
        <w:spacing w:before="0" w:after="0" w:line="360" w:lineRule="auto"/>
        <w:rPr>
          <w:rFonts w:ascii="仿宋" w:hAnsi="仿宋" w:eastAsia="仿宋"/>
          <w:sz w:val="21"/>
          <w:szCs w:val="21"/>
          <w:highlight w:val="none"/>
        </w:rPr>
      </w:pPr>
      <w:bookmarkStart w:id="360" w:name="_Toc6026321"/>
      <w:bookmarkStart w:id="361" w:name="_Toc6028489"/>
      <w:bookmarkStart w:id="362" w:name="_Toc498227223"/>
      <w:bookmarkStart w:id="363" w:name="_Toc6109362"/>
      <w:bookmarkStart w:id="364" w:name="_Toc498228825"/>
      <w:bookmarkStart w:id="365" w:name="_Toc507821009"/>
      <w:bookmarkStart w:id="366" w:name="_Toc6028399"/>
      <w:r>
        <w:rPr>
          <w:rFonts w:hint="eastAsia" w:ascii="仿宋" w:hAnsi="仿宋" w:eastAsia="仿宋"/>
          <w:sz w:val="21"/>
          <w:szCs w:val="21"/>
          <w:highlight w:val="none"/>
        </w:rPr>
        <w:t>7</w:t>
      </w:r>
      <w:r>
        <w:rPr>
          <w:rFonts w:ascii="仿宋" w:hAnsi="仿宋" w:eastAsia="仿宋"/>
          <w:sz w:val="21"/>
          <w:szCs w:val="21"/>
          <w:highlight w:val="none"/>
        </w:rPr>
        <w:t>.1</w:t>
      </w:r>
      <w:r>
        <w:rPr>
          <w:rFonts w:hint="eastAsia" w:ascii="仿宋" w:hAnsi="仿宋" w:eastAsia="仿宋"/>
          <w:sz w:val="21"/>
          <w:szCs w:val="21"/>
          <w:highlight w:val="none"/>
        </w:rPr>
        <w:t>设备铭牌</w:t>
      </w:r>
      <w:bookmarkEnd w:id="360"/>
      <w:bookmarkEnd w:id="361"/>
      <w:bookmarkEnd w:id="362"/>
      <w:bookmarkEnd w:id="363"/>
      <w:bookmarkEnd w:id="364"/>
      <w:bookmarkEnd w:id="365"/>
      <w:bookmarkEnd w:id="366"/>
    </w:p>
    <w:p>
      <w:pPr>
        <w:pStyle w:val="32"/>
        <w:tabs>
          <w:tab w:val="left" w:pos="360"/>
        </w:tabs>
        <w:snapToGrid w:val="0"/>
        <w:spacing w:after="0" w:line="360" w:lineRule="auto"/>
        <w:ind w:left="0" w:leftChars="0" w:firstLine="400" w:firstLineChars="200"/>
        <w:rPr>
          <w:rFonts w:ascii="仿宋" w:hAnsi="仿宋" w:eastAsia="仿宋"/>
          <w:szCs w:val="21"/>
          <w:highlight w:val="none"/>
        </w:rPr>
      </w:pPr>
      <w:r>
        <w:rPr>
          <w:rFonts w:hint="eastAsia" w:ascii="仿宋" w:hAnsi="仿宋" w:eastAsia="仿宋"/>
          <w:szCs w:val="21"/>
          <w:highlight w:val="none"/>
        </w:rPr>
        <w:t>设备至少必须设置以下各种标牌</w:t>
      </w:r>
    </w:p>
    <w:p>
      <w:pPr>
        <w:pStyle w:val="97"/>
        <w:keepNext w:val="0"/>
        <w:keepLines w:val="0"/>
        <w:numPr>
          <w:ilvl w:val="0"/>
          <w:numId w:val="25"/>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设备必须在适当醒目方便察看的位置上设置铭牌，标明设备名称、型号、主要规格、编号、以及制造厂名称和制造日期等。</w:t>
      </w:r>
    </w:p>
    <w:p>
      <w:pPr>
        <w:pStyle w:val="97"/>
        <w:keepNext w:val="0"/>
        <w:keepLines w:val="0"/>
        <w:numPr>
          <w:ilvl w:val="0"/>
          <w:numId w:val="25"/>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操作控制部分，必须在适当位置放置操作按钮等的操作使用说明牌和指示牌。</w:t>
      </w:r>
    </w:p>
    <w:p>
      <w:pPr>
        <w:pStyle w:val="97"/>
        <w:keepNext w:val="0"/>
        <w:keepLines w:val="0"/>
        <w:numPr>
          <w:ilvl w:val="0"/>
          <w:numId w:val="25"/>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为了安全生产，必须在醒目的位置设置清晰标准的禁止、危险等警示标牌。</w:t>
      </w:r>
    </w:p>
    <w:p>
      <w:pPr>
        <w:pStyle w:val="5"/>
        <w:snapToGrid w:val="0"/>
        <w:spacing w:before="0" w:after="0" w:line="360" w:lineRule="auto"/>
        <w:rPr>
          <w:rFonts w:ascii="仿宋" w:hAnsi="仿宋" w:eastAsia="仿宋"/>
          <w:sz w:val="21"/>
          <w:szCs w:val="21"/>
          <w:highlight w:val="none"/>
        </w:rPr>
      </w:pPr>
      <w:bookmarkStart w:id="367" w:name="_Toc498227225"/>
      <w:bookmarkStart w:id="368" w:name="_Toc498228827"/>
      <w:bookmarkStart w:id="369" w:name="_Toc507821011"/>
      <w:bookmarkStart w:id="370" w:name="_Toc6026323"/>
      <w:bookmarkStart w:id="371" w:name="_Toc6028401"/>
      <w:bookmarkStart w:id="372" w:name="_Toc6028491"/>
      <w:bookmarkStart w:id="373" w:name="_Toc6109364"/>
      <w:r>
        <w:rPr>
          <w:rFonts w:hint="eastAsia" w:ascii="仿宋" w:hAnsi="仿宋" w:eastAsia="仿宋"/>
          <w:sz w:val="21"/>
          <w:szCs w:val="21"/>
          <w:highlight w:val="none"/>
        </w:rPr>
        <w:t>7</w:t>
      </w:r>
      <w:r>
        <w:rPr>
          <w:rFonts w:ascii="仿宋" w:hAnsi="仿宋" w:eastAsia="仿宋"/>
          <w:sz w:val="21"/>
          <w:szCs w:val="21"/>
          <w:highlight w:val="none"/>
        </w:rPr>
        <w:t>.</w:t>
      </w:r>
      <w:r>
        <w:rPr>
          <w:rFonts w:hint="eastAsia" w:ascii="仿宋" w:hAnsi="仿宋" w:eastAsia="仿宋"/>
          <w:sz w:val="21"/>
          <w:szCs w:val="21"/>
          <w:highlight w:val="none"/>
        </w:rPr>
        <w:t>2铭牌文字</w:t>
      </w:r>
    </w:p>
    <w:p>
      <w:pPr>
        <w:pStyle w:val="32"/>
        <w:tabs>
          <w:tab w:val="left" w:pos="360"/>
        </w:tabs>
        <w:adjustRightInd w:val="0"/>
        <w:snapToGrid w:val="0"/>
        <w:spacing w:after="0" w:line="360" w:lineRule="auto"/>
        <w:ind w:left="0" w:leftChars="0" w:firstLine="400" w:firstLineChars="200"/>
        <w:rPr>
          <w:rFonts w:ascii="仿宋" w:hAnsi="仿宋" w:eastAsia="仿宋"/>
          <w:szCs w:val="21"/>
          <w:highlight w:val="none"/>
        </w:rPr>
      </w:pPr>
      <w:r>
        <w:rPr>
          <w:rFonts w:hint="eastAsia" w:ascii="仿宋" w:hAnsi="仿宋" w:eastAsia="仿宋"/>
          <w:szCs w:val="21"/>
          <w:highlight w:val="none"/>
        </w:rPr>
        <w:t>设备铭牌上除设备型号、制造厂名称、设备铭牌上的其它内容可用中文或英文书写外，各种说明牌、指示牌、标签和标记均用中文或中英文对照书写。</w:t>
      </w:r>
    </w:p>
    <w:p>
      <w:pPr>
        <w:pStyle w:val="4"/>
        <w:tabs>
          <w:tab w:val="left" w:pos="284"/>
          <w:tab w:val="clear" w:pos="1275"/>
        </w:tabs>
        <w:snapToGrid w:val="0"/>
        <w:spacing w:line="360" w:lineRule="auto"/>
        <w:ind w:left="0" w:firstLine="0"/>
        <w:rPr>
          <w:rFonts w:ascii="仿宋" w:hAnsi="仿宋" w:eastAsia="仿宋"/>
          <w:sz w:val="21"/>
          <w:szCs w:val="21"/>
          <w:highlight w:val="none"/>
        </w:rPr>
      </w:pPr>
      <w:r>
        <w:rPr>
          <w:rFonts w:hint="eastAsia" w:ascii="仿宋" w:hAnsi="仿宋" w:eastAsia="仿宋"/>
          <w:sz w:val="21"/>
          <w:szCs w:val="21"/>
          <w:highlight w:val="none"/>
        </w:rPr>
        <w:t>随机备品备件及易损耗材耗件</w:t>
      </w:r>
    </w:p>
    <w:bookmarkEnd w:id="367"/>
    <w:bookmarkEnd w:id="368"/>
    <w:bookmarkEnd w:id="369"/>
    <w:bookmarkEnd w:id="370"/>
    <w:bookmarkEnd w:id="371"/>
    <w:bookmarkEnd w:id="372"/>
    <w:bookmarkEnd w:id="373"/>
    <w:p>
      <w:pPr>
        <w:pStyle w:val="144"/>
        <w:spacing w:line="360" w:lineRule="auto"/>
        <w:ind w:firstLine="420"/>
        <w:rPr>
          <w:rFonts w:ascii="仿宋" w:hAnsi="仿宋" w:eastAsia="仿宋"/>
          <w:kern w:val="2"/>
          <w:sz w:val="21"/>
          <w:szCs w:val="21"/>
          <w:highlight w:val="none"/>
        </w:rPr>
      </w:pPr>
      <w:r>
        <w:rPr>
          <w:rFonts w:hint="eastAsia" w:ascii="仿宋" w:hAnsi="仿宋" w:eastAsia="仿宋"/>
          <w:kern w:val="2"/>
          <w:sz w:val="21"/>
          <w:szCs w:val="21"/>
          <w:highlight w:val="none"/>
        </w:rPr>
        <w:t>8.1耗材耗件按每台设备年平均使用时间3600小时年检查箱包22万件计算使用量。</w:t>
      </w:r>
    </w:p>
    <w:p>
      <w:pPr>
        <w:pStyle w:val="144"/>
        <w:spacing w:line="360" w:lineRule="auto"/>
        <w:ind w:firstLine="420"/>
        <w:rPr>
          <w:rFonts w:ascii="仿宋" w:hAnsi="仿宋" w:eastAsia="仿宋"/>
          <w:kern w:val="2"/>
          <w:sz w:val="21"/>
          <w:szCs w:val="21"/>
          <w:highlight w:val="none"/>
        </w:rPr>
      </w:pPr>
      <w:r>
        <w:rPr>
          <w:rFonts w:hint="eastAsia" w:ascii="仿宋" w:hAnsi="仿宋" w:eastAsia="仿宋"/>
          <w:kern w:val="2"/>
          <w:sz w:val="21"/>
          <w:szCs w:val="21"/>
          <w:highlight w:val="none"/>
        </w:rPr>
        <w:t>8.2投标人提供的中标设备的装箱清单中应包含随机易损备品备件及不少于6个月的耗材耗件使用量。</w:t>
      </w:r>
    </w:p>
    <w:p>
      <w:pPr>
        <w:pStyle w:val="144"/>
        <w:spacing w:line="360" w:lineRule="auto"/>
        <w:ind w:firstLine="420"/>
        <w:rPr>
          <w:highlight w:val="none"/>
        </w:rPr>
      </w:pPr>
      <w:r>
        <w:rPr>
          <w:rFonts w:hint="eastAsia" w:ascii="仿宋" w:hAnsi="仿宋" w:eastAsia="仿宋"/>
          <w:kern w:val="2"/>
          <w:sz w:val="21"/>
          <w:szCs w:val="21"/>
          <w:highlight w:val="none"/>
        </w:rPr>
        <w:t>8.3</w:t>
      </w:r>
      <w:r>
        <w:rPr>
          <w:rFonts w:ascii="仿宋" w:hAnsi="仿宋" w:eastAsia="仿宋"/>
          <w:kern w:val="2"/>
          <w:sz w:val="21"/>
          <w:szCs w:val="21"/>
          <w:highlight w:val="none"/>
        </w:rPr>
        <w:t xml:space="preserve"> </w:t>
      </w:r>
      <w:r>
        <w:rPr>
          <w:rFonts w:hint="eastAsia" w:ascii="仿宋" w:hAnsi="仿宋" w:eastAsia="仿宋"/>
          <w:kern w:val="2"/>
          <w:sz w:val="21"/>
          <w:szCs w:val="21"/>
          <w:highlight w:val="none"/>
        </w:rPr>
        <w:t>随机备品备件及易损耗材耗件应单独包装，并在内外包装的明显位置注明使用有效期。在五年内超过使用有效期的，中标方应免费更换，并承担由此产生的相关费用。</w:t>
      </w:r>
    </w:p>
    <w:p>
      <w:pPr>
        <w:pStyle w:val="3"/>
        <w:snapToGrid w:val="0"/>
        <w:spacing w:before="0" w:after="0"/>
        <w:rPr>
          <w:rFonts w:ascii="仿宋" w:hAnsi="仿宋" w:eastAsia="仿宋"/>
          <w:highlight w:val="none"/>
        </w:rPr>
      </w:pPr>
      <w:r>
        <w:rPr>
          <w:rFonts w:hint="eastAsia" w:ascii="仿宋" w:hAnsi="仿宋" w:eastAsia="仿宋"/>
          <w:highlight w:val="none"/>
        </w:rPr>
        <w:t>四</w:t>
      </w:r>
      <w:r>
        <w:rPr>
          <w:rFonts w:ascii="仿宋" w:hAnsi="仿宋" w:eastAsia="仿宋"/>
          <w:highlight w:val="none"/>
        </w:rPr>
        <w:t>、</w:t>
      </w:r>
      <w:r>
        <w:rPr>
          <w:rFonts w:hint="eastAsia" w:ascii="仿宋" w:hAnsi="仿宋" w:eastAsia="仿宋"/>
          <w:highlight w:val="none"/>
        </w:rPr>
        <w:t>设备技术规格和要求</w:t>
      </w:r>
      <w:bookmarkEnd w:id="355"/>
    </w:p>
    <w:bookmarkEnd w:id="356"/>
    <w:bookmarkEnd w:id="357"/>
    <w:bookmarkEnd w:id="358"/>
    <w:bookmarkEnd w:id="359"/>
    <w:p>
      <w:pPr>
        <w:adjustRightInd w:val="0"/>
        <w:snapToGrid w:val="0"/>
        <w:spacing w:line="440" w:lineRule="exact"/>
        <w:ind w:firstLine="482" w:firstLineChars="200"/>
        <w:rPr>
          <w:rFonts w:ascii="仿宋" w:hAnsi="仿宋" w:eastAsia="仿宋"/>
          <w:b/>
          <w:color w:val="000000"/>
          <w:highlight w:val="none"/>
        </w:rPr>
      </w:pPr>
      <w:bookmarkStart w:id="374" w:name="_Toc384904408"/>
      <w:bookmarkStart w:id="375" w:name="_Toc497539604"/>
      <w:bookmarkStart w:id="376" w:name="_Toc498915302"/>
      <w:bookmarkStart w:id="377" w:name="_Toc507821065"/>
      <w:r>
        <w:rPr>
          <w:rFonts w:hint="eastAsia" w:ascii="仿宋" w:hAnsi="仿宋" w:eastAsia="仿宋"/>
          <w:b/>
          <w:color w:val="000000"/>
          <w:highlight w:val="none"/>
        </w:rPr>
        <w:t>1、</w:t>
      </w:r>
      <w:bookmarkEnd w:id="374"/>
      <w:r>
        <w:rPr>
          <w:rFonts w:hint="eastAsia" w:ascii="仿宋" w:hAnsi="仿宋" w:eastAsia="仿宋"/>
          <w:b/>
          <w:highlight w:val="none"/>
        </w:rPr>
        <w:t>台式爆炸物/毒品探测设备的技术要求</w:t>
      </w:r>
    </w:p>
    <w:p>
      <w:pPr>
        <w:adjustRightInd w:val="0"/>
        <w:snapToGrid w:val="0"/>
        <w:spacing w:line="360" w:lineRule="auto"/>
        <w:ind w:firstLine="480" w:firstLineChars="200"/>
        <w:rPr>
          <w:rFonts w:ascii="仿宋" w:hAnsi="仿宋" w:eastAsia="仿宋"/>
          <w:highlight w:val="none"/>
        </w:rPr>
      </w:pPr>
      <w:r>
        <w:rPr>
          <w:rFonts w:hint="eastAsia" w:ascii="仿宋" w:hAnsi="仿宋" w:eastAsia="仿宋"/>
          <w:color w:val="000000"/>
          <w:highlight w:val="none"/>
        </w:rPr>
        <w:t>1.1</w:t>
      </w:r>
      <w:r>
        <w:rPr>
          <w:rFonts w:hint="eastAsia" w:ascii="仿宋" w:hAnsi="仿宋" w:eastAsia="仿宋"/>
          <w:highlight w:val="none"/>
        </w:rPr>
        <w:t>设备概述</w:t>
      </w:r>
    </w:p>
    <w:p>
      <w:pPr>
        <w:adjustRightInd w:val="0"/>
        <w:snapToGrid w:val="0"/>
        <w:spacing w:line="360" w:lineRule="auto"/>
        <w:ind w:firstLine="480" w:firstLineChars="200"/>
        <w:rPr>
          <w:rFonts w:ascii="仿宋" w:hAnsi="仿宋" w:eastAsia="仿宋"/>
          <w:highlight w:val="none"/>
        </w:rPr>
      </w:pPr>
      <w:r>
        <w:rPr>
          <w:rFonts w:hint="eastAsia" w:ascii="仿宋" w:hAnsi="仿宋" w:eastAsia="仿宋"/>
          <w:highlight w:val="none"/>
        </w:rPr>
        <w:t>台式爆炸物安全检查设备是指安放在桌子或小车上的台式爆炸物安全检查设备。</w:t>
      </w:r>
    </w:p>
    <w:p>
      <w:pPr>
        <w:adjustRightInd w:val="0"/>
        <w:snapToGrid w:val="0"/>
        <w:spacing w:line="360" w:lineRule="auto"/>
        <w:ind w:firstLine="480" w:firstLineChars="200"/>
        <w:rPr>
          <w:rFonts w:ascii="仿宋" w:hAnsi="仿宋" w:eastAsia="仿宋"/>
          <w:highlight w:val="none"/>
        </w:rPr>
      </w:pPr>
      <w:bookmarkStart w:id="378" w:name="_Toc383528201"/>
      <w:bookmarkStart w:id="379" w:name="_Toc384904103"/>
      <w:bookmarkStart w:id="380" w:name="_Toc384904411"/>
      <w:r>
        <w:rPr>
          <w:rFonts w:hint="eastAsia" w:ascii="仿宋" w:hAnsi="仿宋" w:eastAsia="仿宋"/>
          <w:highlight w:val="none"/>
        </w:rPr>
        <w:t>基于</w:t>
      </w:r>
      <w:r>
        <w:rPr>
          <w:rFonts w:ascii="仿宋" w:hAnsi="仿宋" w:eastAsia="仿宋"/>
          <w:highlight w:val="none"/>
        </w:rPr>
        <w:t>离子迁移捕获质谱技术（ITMS）或</w:t>
      </w:r>
      <w:r>
        <w:rPr>
          <w:rFonts w:hint="eastAsia" w:ascii="仿宋" w:hAnsi="仿宋" w:eastAsia="仿宋"/>
          <w:highlight w:val="none"/>
        </w:rPr>
        <w:t>离子迁移质谱技术（</w:t>
      </w:r>
      <w:r>
        <w:rPr>
          <w:rFonts w:ascii="仿宋" w:hAnsi="仿宋" w:eastAsia="仿宋"/>
          <w:highlight w:val="none"/>
        </w:rPr>
        <w:t>IMS</w:t>
      </w:r>
      <w:r>
        <w:rPr>
          <w:rFonts w:hint="eastAsia" w:ascii="仿宋" w:hAnsi="仿宋" w:eastAsia="仿宋"/>
          <w:highlight w:val="none"/>
        </w:rPr>
        <w:t>），对炸药、毒品的污染物和残余物为分析目标的微量探测仪器。</w:t>
      </w:r>
    </w:p>
    <w:p>
      <w:pPr>
        <w:adjustRightInd w:val="0"/>
        <w:snapToGrid w:val="0"/>
        <w:spacing w:line="360" w:lineRule="auto"/>
        <w:ind w:firstLine="480" w:firstLineChars="200"/>
        <w:rPr>
          <w:rFonts w:ascii="仿宋" w:hAnsi="仿宋" w:eastAsia="仿宋"/>
          <w:highlight w:val="none"/>
        </w:rPr>
      </w:pPr>
      <w:r>
        <w:rPr>
          <w:rFonts w:ascii="仿宋" w:hAnsi="仿宋" w:eastAsia="仿宋"/>
          <w:highlight w:val="none"/>
        </w:rPr>
        <w:t>1</w:t>
      </w:r>
      <w:r>
        <w:rPr>
          <w:rFonts w:hint="eastAsia" w:ascii="仿宋" w:hAnsi="仿宋" w:eastAsia="仿宋"/>
          <w:highlight w:val="none"/>
        </w:rPr>
        <w:t>.2主要技术规格</w:t>
      </w:r>
      <w:bookmarkEnd w:id="378"/>
      <w:bookmarkEnd w:id="379"/>
      <w:bookmarkEnd w:id="380"/>
    </w:p>
    <w:tbl>
      <w:tblPr>
        <w:tblStyle w:val="52"/>
        <w:tblW w:w="94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659"/>
        <w:gridCol w:w="2048"/>
        <w:gridCol w:w="6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20" w:hRule="atLeast"/>
          <w:jc w:val="center"/>
        </w:trPr>
        <w:tc>
          <w:tcPr>
            <w:tcW w:w="659"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序号</w:t>
            </w:r>
          </w:p>
        </w:tc>
        <w:tc>
          <w:tcPr>
            <w:tcW w:w="2048"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项目</w:t>
            </w:r>
          </w:p>
        </w:tc>
        <w:tc>
          <w:tcPr>
            <w:tcW w:w="6704"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20" w:hRule="atLeast"/>
          <w:jc w:val="center"/>
        </w:trPr>
        <w:tc>
          <w:tcPr>
            <w:tcW w:w="659"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1</w:t>
            </w:r>
          </w:p>
        </w:tc>
        <w:tc>
          <w:tcPr>
            <w:tcW w:w="2048"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主机</w:t>
            </w:r>
          </w:p>
        </w:tc>
        <w:tc>
          <w:tcPr>
            <w:tcW w:w="6704" w:type="dxa"/>
            <w:vAlign w:val="center"/>
          </w:tcPr>
          <w:p>
            <w:pPr>
              <w:adjustRightInd w:val="0"/>
              <w:snapToGrid w:val="0"/>
              <w:rPr>
                <w:rFonts w:ascii="仿宋" w:hAnsi="仿宋" w:eastAsia="仿宋"/>
                <w:highlight w:val="none"/>
              </w:rPr>
            </w:pPr>
            <w:r>
              <w:rPr>
                <w:rFonts w:hint="eastAsia" w:ascii="仿宋" w:hAnsi="仿宋" w:eastAsia="仿宋"/>
                <w:highlight w:val="none"/>
              </w:rPr>
              <w:t>台式机，外形美观，维修方便。并配有大于10英寸的TFT或LCD触摸式显示屏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20" w:hRule="atLeast"/>
          <w:jc w:val="center"/>
        </w:trPr>
        <w:tc>
          <w:tcPr>
            <w:tcW w:w="659"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2</w:t>
            </w:r>
          </w:p>
        </w:tc>
        <w:tc>
          <w:tcPr>
            <w:tcW w:w="2048"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主要检测对象</w:t>
            </w:r>
          </w:p>
        </w:tc>
        <w:tc>
          <w:tcPr>
            <w:tcW w:w="6704" w:type="dxa"/>
            <w:vAlign w:val="center"/>
          </w:tcPr>
          <w:p>
            <w:pPr>
              <w:adjustRightInd w:val="0"/>
              <w:snapToGrid w:val="0"/>
              <w:rPr>
                <w:rFonts w:ascii="仿宋" w:hAnsi="仿宋" w:eastAsia="仿宋"/>
                <w:highlight w:val="none"/>
              </w:rPr>
            </w:pPr>
            <w:r>
              <w:rPr>
                <w:rFonts w:hint="eastAsia" w:ascii="仿宋" w:hAnsi="仿宋" w:eastAsia="仿宋"/>
                <w:highlight w:val="none"/>
              </w:rPr>
              <w:t>能检查常见炸药和毒品，并可根据机场安检的实际需要添加新的检测物质。</w:t>
            </w:r>
          </w:p>
          <w:p>
            <w:pPr>
              <w:adjustRightInd w:val="0"/>
              <w:snapToGrid w:val="0"/>
              <w:rPr>
                <w:rFonts w:ascii="仿宋" w:hAnsi="仿宋" w:eastAsia="仿宋"/>
                <w:highlight w:val="none"/>
              </w:rPr>
            </w:pPr>
            <w:r>
              <w:rPr>
                <w:rFonts w:hint="eastAsia" w:ascii="仿宋" w:hAnsi="仿宋" w:eastAsia="仿宋"/>
                <w:highlight w:val="none"/>
              </w:rPr>
              <w:t>绝大多数的商用和军用爆炸物，如：TNT、C4、CE/Tetryl、DNT、HMX、NG、PETN、RDX、Semtex、TATP、HMTD、H-6、硝铵及黑火药等</w:t>
            </w:r>
          </w:p>
          <w:p>
            <w:pPr>
              <w:adjustRightInd w:val="0"/>
              <w:snapToGrid w:val="0"/>
              <w:rPr>
                <w:rFonts w:ascii="仿宋" w:hAnsi="仿宋" w:eastAsia="仿宋"/>
                <w:highlight w:val="none"/>
              </w:rPr>
            </w:pPr>
            <w:r>
              <w:rPr>
                <w:rFonts w:hint="eastAsia" w:ascii="仿宋" w:hAnsi="仿宋" w:eastAsia="仿宋"/>
                <w:highlight w:val="none"/>
              </w:rPr>
              <w:t>绝大多数毒品，如：氯胺酮、冰毒、可卡因、海洛因、安非他明、杜冷丁、吗啡、MDMA、四氢大麻酚、罂粟碱等</w:t>
            </w:r>
          </w:p>
          <w:p>
            <w:pPr>
              <w:adjustRightInd w:val="0"/>
              <w:snapToGrid w:val="0"/>
              <w:rPr>
                <w:rFonts w:ascii="仿宋" w:hAnsi="仿宋" w:eastAsia="仿宋"/>
                <w:highlight w:val="none"/>
              </w:rPr>
            </w:pPr>
            <w:r>
              <w:rPr>
                <w:rFonts w:hint="eastAsia" w:ascii="仿宋" w:hAnsi="仿宋" w:eastAsia="仿宋"/>
                <w:highlight w:val="none"/>
              </w:rPr>
              <w:t>对上述爆炸物或毒品的具体物质种类要有分辨能力。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20" w:hRule="atLeast"/>
          <w:jc w:val="center"/>
        </w:trPr>
        <w:tc>
          <w:tcPr>
            <w:tcW w:w="659"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3</w:t>
            </w:r>
          </w:p>
        </w:tc>
        <w:tc>
          <w:tcPr>
            <w:tcW w:w="2048"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检测技术</w:t>
            </w:r>
          </w:p>
        </w:tc>
        <w:tc>
          <w:tcPr>
            <w:tcW w:w="6704" w:type="dxa"/>
            <w:vAlign w:val="center"/>
          </w:tcPr>
          <w:p>
            <w:pPr>
              <w:adjustRightInd w:val="0"/>
              <w:snapToGrid w:val="0"/>
              <w:rPr>
                <w:rFonts w:ascii="仿宋" w:hAnsi="仿宋" w:eastAsia="仿宋"/>
                <w:highlight w:val="none"/>
              </w:rPr>
            </w:pPr>
            <w:r>
              <w:rPr>
                <w:rFonts w:hint="eastAsia" w:ascii="仿宋" w:hAnsi="仿宋" w:eastAsia="仿宋"/>
                <w:szCs w:val="21"/>
                <w:highlight w:val="none"/>
              </w:rPr>
              <w:t>采用</w:t>
            </w:r>
            <w:r>
              <w:rPr>
                <w:rFonts w:ascii="仿宋" w:hAnsi="仿宋" w:eastAsia="仿宋"/>
                <w:szCs w:val="21"/>
                <w:highlight w:val="none"/>
              </w:rPr>
              <w:t>离子迁移捕获质谱技术（ITMS）或</w:t>
            </w:r>
            <w:r>
              <w:rPr>
                <w:rFonts w:hint="eastAsia" w:ascii="仿宋" w:hAnsi="仿宋" w:eastAsia="仿宋"/>
                <w:szCs w:val="21"/>
                <w:highlight w:val="none"/>
              </w:rPr>
              <w:t>采用离子迁移质谱技术（IMS）。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20" w:hRule="atLeast"/>
          <w:jc w:val="center"/>
        </w:trPr>
        <w:tc>
          <w:tcPr>
            <w:tcW w:w="659"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4</w:t>
            </w:r>
          </w:p>
        </w:tc>
        <w:tc>
          <w:tcPr>
            <w:tcW w:w="2048"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取样方式</w:t>
            </w:r>
          </w:p>
        </w:tc>
        <w:tc>
          <w:tcPr>
            <w:tcW w:w="6704" w:type="dxa"/>
            <w:vAlign w:val="center"/>
          </w:tcPr>
          <w:p>
            <w:pPr>
              <w:adjustRightInd w:val="0"/>
              <w:snapToGrid w:val="0"/>
              <w:rPr>
                <w:rFonts w:ascii="仿宋" w:hAnsi="仿宋" w:eastAsia="仿宋"/>
                <w:highlight w:val="none"/>
              </w:rPr>
            </w:pPr>
            <w:r>
              <w:rPr>
                <w:rFonts w:hint="eastAsia" w:ascii="仿宋" w:hAnsi="仿宋" w:eastAsia="仿宋"/>
                <w:highlight w:val="none"/>
              </w:rPr>
              <w:t>无需打开货物包装，试纸擦拭取样。</w:t>
            </w:r>
          </w:p>
          <w:p>
            <w:pPr>
              <w:adjustRightInd w:val="0"/>
              <w:snapToGrid w:val="0"/>
              <w:rPr>
                <w:rFonts w:ascii="仿宋" w:hAnsi="仿宋" w:eastAsia="仿宋"/>
                <w:highlight w:val="none"/>
              </w:rPr>
            </w:pPr>
            <w:r>
              <w:rPr>
                <w:rFonts w:hint="eastAsia" w:ascii="仿宋" w:hAnsi="仿宋" w:eastAsia="仿宋"/>
                <w:highlight w:val="none"/>
              </w:rPr>
              <w:t>采样、检测及校验便捷，试纸或取样布擦拭取样及插入进样口时，无需区分正反面.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20" w:hRule="atLeast"/>
          <w:jc w:val="center"/>
        </w:trPr>
        <w:tc>
          <w:tcPr>
            <w:tcW w:w="659"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5</w:t>
            </w:r>
          </w:p>
        </w:tc>
        <w:tc>
          <w:tcPr>
            <w:tcW w:w="2048"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启动时间</w:t>
            </w:r>
          </w:p>
        </w:tc>
        <w:tc>
          <w:tcPr>
            <w:tcW w:w="6704" w:type="dxa"/>
            <w:vAlign w:val="center"/>
          </w:tcPr>
          <w:p>
            <w:pPr>
              <w:adjustRightInd w:val="0"/>
              <w:snapToGrid w:val="0"/>
              <w:rPr>
                <w:rFonts w:ascii="仿宋" w:hAnsi="仿宋" w:eastAsia="仿宋"/>
                <w:highlight w:val="none"/>
              </w:rPr>
            </w:pPr>
            <w:r>
              <w:rPr>
                <w:rFonts w:hint="eastAsia" w:ascii="仿宋" w:hAnsi="仿宋" w:eastAsia="仿宋"/>
                <w:highlight w:val="none"/>
              </w:rPr>
              <w:t>≤30分钟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20" w:hRule="atLeast"/>
          <w:jc w:val="center"/>
        </w:trPr>
        <w:tc>
          <w:tcPr>
            <w:tcW w:w="659"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6</w:t>
            </w:r>
          </w:p>
        </w:tc>
        <w:tc>
          <w:tcPr>
            <w:tcW w:w="2048"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分析时间</w:t>
            </w:r>
          </w:p>
        </w:tc>
        <w:tc>
          <w:tcPr>
            <w:tcW w:w="6704" w:type="dxa"/>
            <w:vAlign w:val="center"/>
          </w:tcPr>
          <w:p>
            <w:pPr>
              <w:adjustRightInd w:val="0"/>
              <w:snapToGrid w:val="0"/>
              <w:rPr>
                <w:rFonts w:ascii="仿宋" w:hAnsi="仿宋" w:eastAsia="仿宋"/>
                <w:highlight w:val="none"/>
              </w:rPr>
            </w:pPr>
            <w:r>
              <w:rPr>
                <w:rFonts w:hint="eastAsia" w:ascii="仿宋" w:hAnsi="仿宋" w:eastAsia="仿宋"/>
                <w:highlight w:val="none"/>
              </w:rPr>
              <w:t>≤10秒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20" w:hRule="atLeast"/>
          <w:jc w:val="center"/>
        </w:trPr>
        <w:tc>
          <w:tcPr>
            <w:tcW w:w="659"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7</w:t>
            </w:r>
          </w:p>
        </w:tc>
        <w:tc>
          <w:tcPr>
            <w:tcW w:w="2048"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校正</w:t>
            </w:r>
          </w:p>
        </w:tc>
        <w:tc>
          <w:tcPr>
            <w:tcW w:w="6704" w:type="dxa"/>
            <w:vAlign w:val="center"/>
          </w:tcPr>
          <w:p>
            <w:pPr>
              <w:adjustRightInd w:val="0"/>
              <w:snapToGrid w:val="0"/>
              <w:rPr>
                <w:rFonts w:ascii="仿宋" w:hAnsi="仿宋" w:eastAsia="仿宋"/>
                <w:highlight w:val="none"/>
              </w:rPr>
            </w:pPr>
            <w:r>
              <w:rPr>
                <w:rFonts w:hint="eastAsia" w:ascii="仿宋" w:hAnsi="仿宋" w:eastAsia="仿宋"/>
                <w:highlight w:val="none"/>
              </w:rPr>
              <w:t>根据气压和温度的变化自动进行校正，即检测结果不受环境气压和温度的影响，同时可选择人工校准方式。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20" w:hRule="atLeast"/>
          <w:jc w:val="center"/>
        </w:trPr>
        <w:tc>
          <w:tcPr>
            <w:tcW w:w="659"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8</w:t>
            </w:r>
          </w:p>
        </w:tc>
        <w:tc>
          <w:tcPr>
            <w:tcW w:w="2048"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报警方式</w:t>
            </w:r>
          </w:p>
        </w:tc>
        <w:tc>
          <w:tcPr>
            <w:tcW w:w="6704" w:type="dxa"/>
            <w:vAlign w:val="center"/>
          </w:tcPr>
          <w:p>
            <w:pPr>
              <w:adjustRightInd w:val="0"/>
              <w:snapToGrid w:val="0"/>
              <w:rPr>
                <w:rFonts w:ascii="仿宋" w:hAnsi="仿宋" w:eastAsia="仿宋"/>
                <w:highlight w:val="none"/>
              </w:rPr>
            </w:pPr>
            <w:r>
              <w:rPr>
                <w:rFonts w:hint="eastAsia" w:ascii="仿宋" w:hAnsi="仿宋" w:eastAsia="仿宋"/>
                <w:highlight w:val="none"/>
              </w:rPr>
              <w:t>视听报警，显示屏显示被检测到的物质的名称、图谱和量的大小,仪器同时发出报警声音。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20" w:hRule="atLeast"/>
          <w:jc w:val="center"/>
        </w:trPr>
        <w:tc>
          <w:tcPr>
            <w:tcW w:w="659"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9</w:t>
            </w:r>
          </w:p>
        </w:tc>
        <w:tc>
          <w:tcPr>
            <w:tcW w:w="2048"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误报率</w:t>
            </w:r>
          </w:p>
        </w:tc>
        <w:tc>
          <w:tcPr>
            <w:tcW w:w="6704" w:type="dxa"/>
            <w:vAlign w:val="center"/>
          </w:tcPr>
          <w:p>
            <w:pPr>
              <w:adjustRightInd w:val="0"/>
              <w:snapToGrid w:val="0"/>
              <w:rPr>
                <w:rFonts w:ascii="仿宋" w:hAnsi="仿宋" w:eastAsia="仿宋"/>
                <w:highlight w:val="none"/>
              </w:rPr>
            </w:pPr>
            <w:r>
              <w:rPr>
                <w:rFonts w:hint="eastAsia" w:ascii="仿宋" w:hAnsi="仿宋" w:eastAsia="仿宋"/>
                <w:highlight w:val="none"/>
              </w:rPr>
              <w:sym w:font="Symbol" w:char="F0A3"/>
            </w:r>
            <w:r>
              <w:rPr>
                <w:rFonts w:hint="eastAsia" w:ascii="仿宋" w:hAnsi="仿宋" w:eastAsia="仿宋"/>
                <w:highlight w:val="none"/>
              </w:rPr>
              <w:t xml:space="preserv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20" w:hRule="atLeast"/>
          <w:jc w:val="center"/>
        </w:trPr>
        <w:tc>
          <w:tcPr>
            <w:tcW w:w="659"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10</w:t>
            </w:r>
          </w:p>
        </w:tc>
        <w:tc>
          <w:tcPr>
            <w:tcW w:w="2048"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检出率</w:t>
            </w:r>
          </w:p>
        </w:tc>
        <w:tc>
          <w:tcPr>
            <w:tcW w:w="6704" w:type="dxa"/>
            <w:vAlign w:val="center"/>
          </w:tcPr>
          <w:p>
            <w:pPr>
              <w:adjustRightInd w:val="0"/>
              <w:snapToGrid w:val="0"/>
              <w:rPr>
                <w:rFonts w:ascii="仿宋" w:hAnsi="仿宋" w:eastAsia="仿宋"/>
                <w:highlight w:val="none"/>
              </w:rPr>
            </w:pPr>
            <w:r>
              <w:rPr>
                <w:rFonts w:hint="eastAsia" w:ascii="仿宋" w:hAnsi="仿宋" w:eastAsia="仿宋"/>
                <w:highlight w:val="none"/>
              </w:rPr>
              <w:sym w:font="Symbol" w:char="F0B3"/>
            </w:r>
            <w:r>
              <w:rPr>
                <w:rFonts w:hint="eastAsia" w:ascii="仿宋" w:hAnsi="仿宋" w:eastAsia="仿宋"/>
                <w:highlight w:val="none"/>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20" w:hRule="atLeast"/>
          <w:jc w:val="center"/>
        </w:trPr>
        <w:tc>
          <w:tcPr>
            <w:tcW w:w="659"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11</w:t>
            </w:r>
          </w:p>
        </w:tc>
        <w:tc>
          <w:tcPr>
            <w:tcW w:w="2048"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平均无故障工作时间</w:t>
            </w:r>
          </w:p>
        </w:tc>
        <w:tc>
          <w:tcPr>
            <w:tcW w:w="6704" w:type="dxa"/>
            <w:vAlign w:val="center"/>
          </w:tcPr>
          <w:p>
            <w:pPr>
              <w:adjustRightInd w:val="0"/>
              <w:snapToGrid w:val="0"/>
              <w:rPr>
                <w:rFonts w:ascii="仿宋" w:hAnsi="仿宋" w:eastAsia="仿宋"/>
                <w:highlight w:val="none"/>
              </w:rPr>
            </w:pPr>
            <w:r>
              <w:rPr>
                <w:rFonts w:hint="eastAsia" w:ascii="仿宋" w:hAnsi="仿宋" w:eastAsia="仿宋"/>
                <w:highlight w:val="none"/>
              </w:rPr>
              <w:t>不小于20000小时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20" w:hRule="atLeast"/>
          <w:jc w:val="center"/>
        </w:trPr>
        <w:tc>
          <w:tcPr>
            <w:tcW w:w="659"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12</w:t>
            </w:r>
          </w:p>
        </w:tc>
        <w:tc>
          <w:tcPr>
            <w:tcW w:w="2048"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灵敏度</w:t>
            </w:r>
          </w:p>
        </w:tc>
        <w:tc>
          <w:tcPr>
            <w:tcW w:w="6704" w:type="dxa"/>
            <w:vAlign w:val="center"/>
          </w:tcPr>
          <w:p>
            <w:pPr>
              <w:adjustRightInd w:val="0"/>
              <w:snapToGrid w:val="0"/>
              <w:rPr>
                <w:rFonts w:ascii="仿宋" w:hAnsi="仿宋" w:eastAsia="仿宋"/>
                <w:highlight w:val="none"/>
              </w:rPr>
            </w:pPr>
            <w:r>
              <w:rPr>
                <w:rFonts w:hint="eastAsia" w:ascii="仿宋" w:hAnsi="仿宋" w:eastAsia="仿宋"/>
                <w:highlight w:val="none"/>
              </w:rPr>
              <w:t>纳克或皮克级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20" w:hRule="atLeast"/>
          <w:jc w:val="center"/>
        </w:trPr>
        <w:tc>
          <w:tcPr>
            <w:tcW w:w="659"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13</w:t>
            </w:r>
          </w:p>
        </w:tc>
        <w:tc>
          <w:tcPr>
            <w:tcW w:w="2048"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检测结果</w:t>
            </w:r>
          </w:p>
        </w:tc>
        <w:tc>
          <w:tcPr>
            <w:tcW w:w="6704" w:type="dxa"/>
            <w:vAlign w:val="center"/>
          </w:tcPr>
          <w:p>
            <w:pPr>
              <w:adjustRightInd w:val="0"/>
              <w:snapToGrid w:val="0"/>
              <w:rPr>
                <w:rFonts w:ascii="仿宋" w:hAnsi="仿宋" w:eastAsia="仿宋"/>
                <w:highlight w:val="none"/>
              </w:rPr>
            </w:pPr>
            <w:r>
              <w:rPr>
                <w:rFonts w:hint="eastAsia" w:ascii="仿宋" w:hAnsi="仿宋" w:eastAsia="仿宋"/>
                <w:highlight w:val="none"/>
              </w:rPr>
              <w:t>能检测出被检测物品的名称和量值，遇有危险物品时，以不同的颜色在显示器上显示，同时发出报警声音。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20" w:hRule="atLeast"/>
          <w:jc w:val="center"/>
        </w:trPr>
        <w:tc>
          <w:tcPr>
            <w:tcW w:w="659"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14</w:t>
            </w:r>
          </w:p>
        </w:tc>
        <w:tc>
          <w:tcPr>
            <w:tcW w:w="2048"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工作电源</w:t>
            </w:r>
          </w:p>
        </w:tc>
        <w:tc>
          <w:tcPr>
            <w:tcW w:w="6704" w:type="dxa"/>
            <w:vAlign w:val="center"/>
          </w:tcPr>
          <w:p>
            <w:pPr>
              <w:adjustRightInd w:val="0"/>
              <w:snapToGrid w:val="0"/>
              <w:rPr>
                <w:rFonts w:ascii="仿宋" w:hAnsi="仿宋" w:eastAsia="仿宋"/>
                <w:highlight w:val="none"/>
              </w:rPr>
            </w:pPr>
            <w:r>
              <w:rPr>
                <w:rFonts w:hint="eastAsia" w:ascii="仿宋" w:hAnsi="仿宋" w:eastAsia="仿宋"/>
                <w:highlight w:val="none"/>
              </w:rPr>
              <w:t>100～240 VAC, 47-63 Hz</w:t>
            </w:r>
            <w:r>
              <w:rPr>
                <w:rFonts w:ascii="仿宋" w:hAnsi="仿宋" w:eastAsia="仿宋"/>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20" w:hRule="atLeast"/>
          <w:jc w:val="center"/>
        </w:trPr>
        <w:tc>
          <w:tcPr>
            <w:tcW w:w="659"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15</w:t>
            </w:r>
          </w:p>
        </w:tc>
        <w:tc>
          <w:tcPr>
            <w:tcW w:w="2048"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界面显示</w:t>
            </w:r>
          </w:p>
        </w:tc>
        <w:tc>
          <w:tcPr>
            <w:tcW w:w="6704" w:type="dxa"/>
            <w:vAlign w:val="center"/>
          </w:tcPr>
          <w:p>
            <w:pPr>
              <w:adjustRightInd w:val="0"/>
              <w:snapToGrid w:val="0"/>
              <w:rPr>
                <w:rFonts w:ascii="仿宋" w:hAnsi="仿宋" w:eastAsia="仿宋"/>
                <w:highlight w:val="none"/>
              </w:rPr>
            </w:pPr>
            <w:r>
              <w:rPr>
                <w:rFonts w:hint="eastAsia" w:ascii="仿宋" w:hAnsi="仿宋" w:eastAsia="仿宋"/>
                <w:highlight w:val="none"/>
              </w:rPr>
              <w:t>中文操作菜单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20" w:hRule="atLeast"/>
          <w:jc w:val="center"/>
        </w:trPr>
        <w:tc>
          <w:tcPr>
            <w:tcW w:w="659"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16</w:t>
            </w:r>
          </w:p>
        </w:tc>
        <w:tc>
          <w:tcPr>
            <w:tcW w:w="2048"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自动清洗及校准功能</w:t>
            </w:r>
          </w:p>
        </w:tc>
        <w:tc>
          <w:tcPr>
            <w:tcW w:w="6704" w:type="dxa"/>
            <w:vAlign w:val="center"/>
          </w:tcPr>
          <w:p>
            <w:pPr>
              <w:adjustRightInd w:val="0"/>
              <w:snapToGrid w:val="0"/>
              <w:rPr>
                <w:rFonts w:ascii="仿宋" w:hAnsi="仿宋" w:eastAsia="仿宋"/>
                <w:highlight w:val="none"/>
              </w:rPr>
            </w:pPr>
            <w:r>
              <w:rPr>
                <w:rFonts w:hint="eastAsia" w:ascii="仿宋" w:hAnsi="仿宋" w:eastAsia="仿宋"/>
                <w:highlight w:val="none"/>
              </w:rPr>
              <w:t>设备可以手动或自动进行校准保证正常运转，每次检查爆炸物或毒品后，必须能够快速清洗，以符合候机楼测爆要求。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20" w:hRule="atLeast"/>
          <w:jc w:val="center"/>
        </w:trPr>
        <w:tc>
          <w:tcPr>
            <w:tcW w:w="659"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17</w:t>
            </w:r>
          </w:p>
        </w:tc>
        <w:tc>
          <w:tcPr>
            <w:tcW w:w="2048"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软件</w:t>
            </w:r>
          </w:p>
        </w:tc>
        <w:tc>
          <w:tcPr>
            <w:tcW w:w="6704" w:type="dxa"/>
            <w:vAlign w:val="center"/>
          </w:tcPr>
          <w:p>
            <w:pPr>
              <w:adjustRightInd w:val="0"/>
              <w:snapToGrid w:val="0"/>
              <w:rPr>
                <w:rFonts w:ascii="仿宋" w:hAnsi="仿宋" w:eastAsia="仿宋"/>
                <w:highlight w:val="none"/>
              </w:rPr>
            </w:pPr>
            <w:r>
              <w:rPr>
                <w:rFonts w:hint="eastAsia" w:ascii="仿宋" w:hAnsi="仿宋" w:eastAsia="仿宋"/>
                <w:highlight w:val="none"/>
              </w:rPr>
              <w:t>所有相关安检数据存储、信息处理等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20" w:hRule="atLeast"/>
          <w:jc w:val="center"/>
        </w:trPr>
        <w:tc>
          <w:tcPr>
            <w:tcW w:w="659"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18</w:t>
            </w:r>
          </w:p>
        </w:tc>
        <w:tc>
          <w:tcPr>
            <w:tcW w:w="2048"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干燥剂</w:t>
            </w:r>
          </w:p>
        </w:tc>
        <w:tc>
          <w:tcPr>
            <w:tcW w:w="6704" w:type="dxa"/>
            <w:vAlign w:val="center"/>
          </w:tcPr>
          <w:p>
            <w:pPr>
              <w:adjustRightInd w:val="0"/>
              <w:snapToGrid w:val="0"/>
              <w:rPr>
                <w:rFonts w:ascii="仿宋" w:hAnsi="仿宋" w:eastAsia="仿宋"/>
                <w:highlight w:val="none"/>
              </w:rPr>
            </w:pPr>
            <w:r>
              <w:rPr>
                <w:rFonts w:hint="eastAsia" w:ascii="仿宋" w:hAnsi="仿宋" w:eastAsia="仿宋"/>
                <w:highlight w:val="none"/>
              </w:rPr>
              <w:t>采用再生式干燥剂系统或长效（两年）干燥剂可由用户操作人员自行更换。采用再生式干燥剂系统须承诺干燥剂及实现干燥剂再生的整个系统及其相关器件终身免费更换.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20" w:hRule="atLeast"/>
          <w:jc w:val="center"/>
        </w:trPr>
        <w:tc>
          <w:tcPr>
            <w:tcW w:w="659"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19</w:t>
            </w:r>
          </w:p>
        </w:tc>
        <w:tc>
          <w:tcPr>
            <w:tcW w:w="2048"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重量</w:t>
            </w:r>
          </w:p>
        </w:tc>
        <w:tc>
          <w:tcPr>
            <w:tcW w:w="6704" w:type="dxa"/>
            <w:vAlign w:val="center"/>
          </w:tcPr>
          <w:p>
            <w:pPr>
              <w:adjustRightInd w:val="0"/>
              <w:snapToGrid w:val="0"/>
              <w:rPr>
                <w:rFonts w:ascii="仿宋" w:hAnsi="仿宋" w:eastAsia="仿宋"/>
                <w:highlight w:val="none"/>
              </w:rPr>
            </w:pPr>
            <w:r>
              <w:rPr>
                <w:rFonts w:hint="eastAsia" w:ascii="仿宋" w:hAnsi="仿宋" w:eastAsia="仿宋"/>
                <w:highlight w:val="none"/>
              </w:rPr>
              <w:t>≤16kg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20" w:hRule="atLeast"/>
          <w:jc w:val="center"/>
        </w:trPr>
        <w:tc>
          <w:tcPr>
            <w:tcW w:w="659"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20</w:t>
            </w:r>
          </w:p>
        </w:tc>
        <w:tc>
          <w:tcPr>
            <w:tcW w:w="2048"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数据留存及打印功能</w:t>
            </w:r>
          </w:p>
        </w:tc>
        <w:tc>
          <w:tcPr>
            <w:tcW w:w="6704" w:type="dxa"/>
            <w:vAlign w:val="center"/>
          </w:tcPr>
          <w:p>
            <w:pPr>
              <w:adjustRightInd w:val="0"/>
              <w:snapToGrid w:val="0"/>
              <w:rPr>
                <w:rFonts w:ascii="仿宋" w:hAnsi="仿宋" w:eastAsia="仿宋"/>
                <w:highlight w:val="none"/>
              </w:rPr>
            </w:pPr>
            <w:r>
              <w:rPr>
                <w:rFonts w:hint="eastAsia" w:ascii="仿宋" w:hAnsi="仿宋" w:eastAsia="仿宋"/>
                <w:highlight w:val="none"/>
              </w:rPr>
              <w:t>每次检查爆炸物后，可保存及现场实时打印数据。配置有内置热敏打印机。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20" w:hRule="atLeast"/>
          <w:jc w:val="center"/>
        </w:trPr>
        <w:tc>
          <w:tcPr>
            <w:tcW w:w="659"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21</w:t>
            </w:r>
          </w:p>
        </w:tc>
        <w:tc>
          <w:tcPr>
            <w:tcW w:w="2048"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连续工作能力</w:t>
            </w:r>
          </w:p>
        </w:tc>
        <w:tc>
          <w:tcPr>
            <w:tcW w:w="6704" w:type="dxa"/>
            <w:vAlign w:val="center"/>
          </w:tcPr>
          <w:p>
            <w:pPr>
              <w:adjustRightInd w:val="0"/>
              <w:snapToGrid w:val="0"/>
              <w:rPr>
                <w:rFonts w:ascii="仿宋" w:hAnsi="仿宋" w:eastAsia="仿宋"/>
                <w:highlight w:val="none"/>
              </w:rPr>
            </w:pPr>
            <w:r>
              <w:rPr>
                <w:rFonts w:hint="eastAsia" w:ascii="仿宋" w:hAnsi="仿宋" w:eastAsia="仿宋"/>
                <w:highlight w:val="none"/>
              </w:rPr>
              <w:t>具备连续工作能力，能适应机场门口测爆工作环境。</w:t>
            </w:r>
          </w:p>
        </w:tc>
      </w:tr>
    </w:tbl>
    <w:p>
      <w:pPr>
        <w:adjustRightInd w:val="0"/>
        <w:snapToGrid w:val="0"/>
        <w:spacing w:line="360" w:lineRule="auto"/>
        <w:ind w:firstLine="480" w:firstLineChars="200"/>
        <w:rPr>
          <w:rFonts w:ascii="仿宋" w:hAnsi="仿宋" w:eastAsia="仿宋"/>
          <w:highlight w:val="none"/>
        </w:rPr>
      </w:pPr>
      <w:bookmarkStart w:id="381" w:name="_Toc383528202"/>
      <w:bookmarkStart w:id="382" w:name="_Toc384904412"/>
      <w:r>
        <w:rPr>
          <w:rFonts w:hint="eastAsia" w:ascii="仿宋" w:hAnsi="仿宋" w:eastAsia="仿宋"/>
          <w:highlight w:val="none"/>
        </w:rPr>
        <w:t>1.3功能要求</w:t>
      </w:r>
      <w:bookmarkEnd w:id="381"/>
      <w:bookmarkEnd w:id="382"/>
    </w:p>
    <w:p>
      <w:pPr>
        <w:adjustRightInd w:val="0"/>
        <w:snapToGrid w:val="0"/>
        <w:spacing w:line="360" w:lineRule="auto"/>
        <w:ind w:firstLine="480" w:firstLineChars="200"/>
        <w:rPr>
          <w:rFonts w:ascii="仿宋" w:hAnsi="仿宋" w:eastAsia="仿宋"/>
          <w:highlight w:val="none"/>
        </w:rPr>
      </w:pPr>
      <w:r>
        <w:rPr>
          <w:rFonts w:hint="eastAsia" w:ascii="仿宋" w:hAnsi="仿宋" w:eastAsia="仿宋"/>
          <w:highlight w:val="none"/>
        </w:rPr>
        <w:t>1.3.1*能同时检测常见炸药和毒品，并可根据机场安检的实际需要添加新的检测物质。绝大多数的商用和军用炸药，如：TNT、C4、CE/Tetryl、DNT、HMX、NG、PETN、RDX、Semtex、TATP、HMTD、H-6、硝铵及黑火药等；绝大多数毒品，如：氯胺酮、冰毒、可卡因、海洛因、安非他明、杜冷丁、吗啡、MDMA、四氢大麻酚、罂粟碱等。对上述爆炸物或毒品的具体物质种类要有分辨能力。</w:t>
      </w:r>
    </w:p>
    <w:p>
      <w:pPr>
        <w:adjustRightInd w:val="0"/>
        <w:snapToGrid w:val="0"/>
        <w:spacing w:line="360" w:lineRule="auto"/>
        <w:ind w:firstLine="480" w:firstLineChars="200"/>
        <w:rPr>
          <w:rFonts w:ascii="仿宋" w:hAnsi="仿宋" w:eastAsia="仿宋"/>
          <w:highlight w:val="none"/>
        </w:rPr>
      </w:pPr>
      <w:r>
        <w:rPr>
          <w:rFonts w:hint="eastAsia" w:ascii="仿宋" w:hAnsi="仿宋" w:eastAsia="仿宋"/>
          <w:highlight w:val="none"/>
        </w:rPr>
        <w:t>1.3.2*检测技术类型: 采用</w:t>
      </w:r>
      <w:r>
        <w:rPr>
          <w:rFonts w:ascii="仿宋" w:hAnsi="仿宋" w:eastAsia="仿宋"/>
          <w:highlight w:val="none"/>
        </w:rPr>
        <w:t>离子迁移捕获质谱技术（ITMS）</w:t>
      </w:r>
      <w:r>
        <w:rPr>
          <w:rFonts w:hint="eastAsia" w:ascii="仿宋" w:hAnsi="仿宋" w:eastAsia="仿宋"/>
          <w:highlight w:val="none"/>
        </w:rPr>
        <w:t>或离子迁移质谱技术（IMS），正负离子应同步检测、同屏显示。</w:t>
      </w:r>
    </w:p>
    <w:p>
      <w:pPr>
        <w:adjustRightInd w:val="0"/>
        <w:snapToGrid w:val="0"/>
        <w:spacing w:line="360" w:lineRule="auto"/>
        <w:ind w:firstLine="480" w:firstLineChars="200"/>
        <w:rPr>
          <w:rFonts w:ascii="仿宋" w:hAnsi="仿宋" w:eastAsia="仿宋"/>
          <w:highlight w:val="none"/>
        </w:rPr>
      </w:pPr>
      <w:r>
        <w:rPr>
          <w:rFonts w:hint="eastAsia" w:ascii="仿宋" w:hAnsi="仿宋" w:eastAsia="仿宋"/>
          <w:highlight w:val="none"/>
        </w:rPr>
        <w:t>1.3.3可根据机场安检的实际需要在设备数据库中添加新的检测物质。</w:t>
      </w:r>
    </w:p>
    <w:p>
      <w:pPr>
        <w:adjustRightInd w:val="0"/>
        <w:snapToGrid w:val="0"/>
        <w:spacing w:line="360" w:lineRule="auto"/>
        <w:ind w:firstLine="480" w:firstLineChars="200"/>
        <w:rPr>
          <w:rFonts w:ascii="仿宋" w:hAnsi="仿宋" w:eastAsia="仿宋"/>
          <w:highlight w:val="none"/>
        </w:rPr>
      </w:pPr>
      <w:r>
        <w:rPr>
          <w:rFonts w:hint="eastAsia" w:ascii="仿宋" w:hAnsi="仿宋" w:eastAsia="仿宋"/>
          <w:highlight w:val="none"/>
        </w:rPr>
        <w:t>1.3.4</w:t>
      </w:r>
      <w:r>
        <w:rPr>
          <w:rFonts w:ascii="仿宋" w:hAnsi="仿宋" w:eastAsia="仿宋"/>
          <w:highlight w:val="none"/>
        </w:rPr>
        <w:t>具有数据存储功能，能够存储至少100000</w:t>
      </w:r>
      <w:r>
        <w:rPr>
          <w:rFonts w:hint="eastAsia" w:ascii="仿宋" w:hAnsi="仿宋" w:eastAsia="仿宋"/>
          <w:highlight w:val="none"/>
        </w:rPr>
        <w:t>条检测</w:t>
      </w:r>
      <w:r>
        <w:rPr>
          <w:rFonts w:ascii="仿宋" w:hAnsi="仿宋" w:eastAsia="仿宋"/>
          <w:highlight w:val="none"/>
        </w:rPr>
        <w:t>数据，并能够用网络或USB等接口将数据传出</w:t>
      </w:r>
      <w:r>
        <w:rPr>
          <w:rFonts w:hint="eastAsia" w:ascii="仿宋" w:hAnsi="仿宋" w:eastAsia="仿宋"/>
          <w:highlight w:val="none"/>
        </w:rPr>
        <w:t>。有内置打印机，能在设备上直接把报警结果和谱图打印出来作为后续调查的证据。</w:t>
      </w:r>
    </w:p>
    <w:p>
      <w:pPr>
        <w:adjustRightInd w:val="0"/>
        <w:snapToGrid w:val="0"/>
        <w:spacing w:line="360" w:lineRule="auto"/>
        <w:ind w:firstLine="480" w:firstLineChars="200"/>
        <w:rPr>
          <w:rFonts w:ascii="仿宋" w:hAnsi="仿宋" w:eastAsia="仿宋"/>
          <w:highlight w:val="none"/>
        </w:rPr>
      </w:pPr>
      <w:r>
        <w:rPr>
          <w:rFonts w:hint="eastAsia" w:ascii="仿宋" w:hAnsi="仿宋" w:eastAsia="仿宋"/>
          <w:highlight w:val="none"/>
        </w:rPr>
        <w:t>1.3.5具有待机模式，以减少主要部件的磨损。</w:t>
      </w:r>
    </w:p>
    <w:p>
      <w:pPr>
        <w:adjustRightInd w:val="0"/>
        <w:snapToGrid w:val="0"/>
        <w:spacing w:line="360" w:lineRule="auto"/>
        <w:ind w:firstLine="480" w:firstLineChars="200"/>
        <w:rPr>
          <w:rFonts w:ascii="仿宋" w:hAnsi="仿宋" w:eastAsia="仿宋"/>
          <w:highlight w:val="none"/>
        </w:rPr>
      </w:pPr>
      <w:r>
        <w:rPr>
          <w:rFonts w:hint="eastAsia" w:ascii="仿宋" w:hAnsi="仿宋" w:eastAsia="仿宋"/>
          <w:highlight w:val="none"/>
        </w:rPr>
        <w:t>1.3.6采样方式:表面擦拭取样。</w:t>
      </w:r>
    </w:p>
    <w:p>
      <w:pPr>
        <w:adjustRightInd w:val="0"/>
        <w:snapToGrid w:val="0"/>
        <w:spacing w:line="360" w:lineRule="auto"/>
        <w:ind w:firstLine="480" w:firstLineChars="200"/>
        <w:rPr>
          <w:rFonts w:ascii="仿宋" w:hAnsi="仿宋" w:eastAsia="仿宋"/>
          <w:highlight w:val="none"/>
        </w:rPr>
      </w:pPr>
      <w:r>
        <w:rPr>
          <w:rFonts w:hint="eastAsia" w:ascii="仿宋" w:hAnsi="仿宋" w:eastAsia="仿宋"/>
          <w:highlight w:val="none"/>
        </w:rPr>
        <w:t>1.3.7*采样试纸：应为高聚物或可降解物质，环保耐用，为方便今后的大量使用，采样试纸成本应尽量低。</w:t>
      </w:r>
    </w:p>
    <w:p>
      <w:pPr>
        <w:adjustRightInd w:val="0"/>
        <w:snapToGrid w:val="0"/>
        <w:spacing w:line="360" w:lineRule="auto"/>
        <w:ind w:firstLine="480" w:firstLineChars="200"/>
        <w:rPr>
          <w:rFonts w:ascii="仿宋" w:hAnsi="仿宋" w:eastAsia="仿宋"/>
          <w:highlight w:val="none"/>
        </w:rPr>
      </w:pPr>
      <w:r>
        <w:rPr>
          <w:rFonts w:hint="eastAsia" w:ascii="仿宋" w:hAnsi="仿宋" w:eastAsia="仿宋"/>
          <w:highlight w:val="none"/>
        </w:rPr>
        <w:t>1.3.8工作环境：-5 ℃到+45℃，IP20 防护级别。</w:t>
      </w:r>
    </w:p>
    <w:p>
      <w:pPr>
        <w:adjustRightInd w:val="0"/>
        <w:snapToGrid w:val="0"/>
        <w:spacing w:line="360" w:lineRule="auto"/>
        <w:ind w:firstLine="480" w:firstLineChars="200"/>
        <w:rPr>
          <w:rFonts w:ascii="仿宋" w:hAnsi="仿宋" w:eastAsia="仿宋"/>
          <w:highlight w:val="none"/>
        </w:rPr>
      </w:pPr>
      <w:r>
        <w:rPr>
          <w:rFonts w:hint="eastAsia" w:ascii="仿宋" w:hAnsi="仿宋" w:eastAsia="仿宋"/>
          <w:highlight w:val="none"/>
        </w:rPr>
        <w:t>1.4软件升级：</w:t>
      </w:r>
    </w:p>
    <w:p>
      <w:pPr>
        <w:adjustRightInd w:val="0"/>
        <w:snapToGrid w:val="0"/>
        <w:spacing w:line="360" w:lineRule="auto"/>
        <w:ind w:firstLine="480" w:firstLineChars="200"/>
        <w:rPr>
          <w:rFonts w:ascii="仿宋" w:hAnsi="仿宋" w:eastAsia="仿宋"/>
          <w:highlight w:val="none"/>
        </w:rPr>
      </w:pPr>
      <w:r>
        <w:rPr>
          <w:rFonts w:hint="eastAsia" w:ascii="仿宋" w:hAnsi="仿宋" w:eastAsia="仿宋"/>
          <w:highlight w:val="none"/>
        </w:rPr>
        <w:t>生产厂家应承诺提供设备数据通讯接口，开放通信协议，并承诺负责系统软件终身免费升级，设备寿命期内免费扩展被检爆炸物数据库。通过简单操作可将新发现的炸药输入并存储到检测物质数据库中，增加可检测到的物质。</w:t>
      </w:r>
    </w:p>
    <w:p>
      <w:pPr>
        <w:adjustRightInd w:val="0"/>
        <w:snapToGrid w:val="0"/>
        <w:spacing w:line="360" w:lineRule="auto"/>
        <w:ind w:firstLine="480" w:firstLineChars="200"/>
        <w:rPr>
          <w:rFonts w:ascii="仿宋" w:hAnsi="仿宋" w:eastAsia="仿宋"/>
          <w:highlight w:val="none"/>
        </w:rPr>
      </w:pPr>
      <w:r>
        <w:rPr>
          <w:rFonts w:hint="eastAsia" w:ascii="仿宋" w:hAnsi="仿宋" w:eastAsia="仿宋"/>
          <w:highlight w:val="none"/>
        </w:rPr>
        <w:t>1.5操作界面应显示中文。</w:t>
      </w:r>
    </w:p>
    <w:p>
      <w:pPr>
        <w:snapToGrid w:val="0"/>
        <w:spacing w:line="360" w:lineRule="auto"/>
        <w:rPr>
          <w:rFonts w:ascii="仿宋" w:hAnsi="仿宋" w:eastAsia="仿宋"/>
          <w:b/>
          <w:bCs/>
          <w:szCs w:val="21"/>
          <w:highlight w:val="none"/>
        </w:rPr>
      </w:pPr>
      <w:r>
        <w:rPr>
          <w:rFonts w:hint="eastAsia" w:ascii="仿宋" w:hAnsi="仿宋" w:eastAsia="仿宋"/>
          <w:b/>
          <w:bCs/>
          <w:szCs w:val="21"/>
          <w:highlight w:val="none"/>
        </w:rPr>
        <w:t>特别说明：</w:t>
      </w:r>
    </w:p>
    <w:p>
      <w:pPr>
        <w:adjustRightInd w:val="0"/>
        <w:snapToGrid w:val="0"/>
        <w:spacing w:line="360" w:lineRule="auto"/>
        <w:ind w:firstLine="480" w:firstLineChars="200"/>
        <w:rPr>
          <w:rFonts w:ascii="仿宋" w:hAnsi="仿宋" w:eastAsia="仿宋"/>
          <w:highlight w:val="none"/>
        </w:rPr>
      </w:pPr>
      <w:r>
        <w:rPr>
          <w:rFonts w:hint="eastAsia" w:ascii="仿宋" w:hAnsi="仿宋" w:eastAsia="仿宋"/>
          <w:highlight w:val="none"/>
        </w:rPr>
        <w:t>1、投标人应对根据招标文件要</w:t>
      </w:r>
      <w:r>
        <w:rPr>
          <w:rFonts w:hint="eastAsia" w:ascii="仿宋" w:hAnsi="仿宋" w:eastAsia="仿宋"/>
          <w:highlight w:val="none"/>
          <w:u w:val="single"/>
        </w:rPr>
        <w:t>求对本技术规格作一对一应答</w:t>
      </w:r>
      <w:r>
        <w:rPr>
          <w:rFonts w:hint="eastAsia" w:ascii="仿宋" w:hAnsi="仿宋" w:eastAsia="仿宋"/>
          <w:highlight w:val="none"/>
        </w:rPr>
        <w:t>，应答要有具体内容，否则，评标委员会有权将该条将视作不响应本技术规格。</w:t>
      </w:r>
    </w:p>
    <w:p>
      <w:pPr>
        <w:adjustRightInd w:val="0"/>
        <w:snapToGrid w:val="0"/>
        <w:spacing w:line="360" w:lineRule="auto"/>
        <w:ind w:firstLine="480" w:firstLineChars="200"/>
        <w:rPr>
          <w:rFonts w:ascii="仿宋" w:hAnsi="仿宋" w:eastAsia="仿宋"/>
          <w:highlight w:val="none"/>
        </w:rPr>
      </w:pPr>
      <w:r>
        <w:rPr>
          <w:rFonts w:hint="eastAsia" w:ascii="仿宋" w:hAnsi="仿宋" w:eastAsia="仿宋"/>
          <w:highlight w:val="none"/>
        </w:rPr>
        <w:t>2、标注“*”号的为关键条款，对这些关键条款的任何偏离将导致废标。</w:t>
      </w:r>
    </w:p>
    <w:p>
      <w:pPr>
        <w:adjustRightInd w:val="0"/>
        <w:snapToGrid w:val="0"/>
        <w:spacing w:line="360" w:lineRule="auto"/>
        <w:ind w:firstLine="480" w:firstLineChars="200"/>
        <w:rPr>
          <w:rFonts w:ascii="仿宋" w:hAnsi="仿宋" w:eastAsia="仿宋"/>
          <w:highlight w:val="none"/>
        </w:rPr>
      </w:pPr>
      <w:r>
        <w:rPr>
          <w:rFonts w:hint="eastAsia" w:ascii="仿宋" w:hAnsi="仿宋" w:eastAsia="仿宋"/>
          <w:highlight w:val="none"/>
        </w:rPr>
        <w:t>3、对本技术规格的响应做到真实、准确，如发现有弄虚作假等内容，将导致废标。</w:t>
      </w:r>
    </w:p>
    <w:p>
      <w:pPr>
        <w:pStyle w:val="142"/>
        <w:spacing w:line="240" w:lineRule="atLeast"/>
        <w:ind w:left="992" w:firstLine="0" w:firstLineChars="0"/>
        <w:rPr>
          <w:rFonts w:asciiTheme="minorEastAsia" w:hAnsiTheme="minorEastAsia"/>
          <w:szCs w:val="21"/>
          <w:highlight w:val="none"/>
        </w:rPr>
      </w:pPr>
      <w:r>
        <w:rPr>
          <w:rFonts w:hint="eastAsia" w:ascii="仿宋" w:hAnsi="仿宋" w:eastAsia="仿宋"/>
          <w:highlight w:val="none"/>
        </w:rPr>
        <w:t>4、如有技术偏离，投标人必须在技术规格偏离表中注明，如不填写技术规格偏离表表示对招标文件要求无偏离。</w:t>
      </w:r>
      <w:bookmarkEnd w:id="375"/>
      <w:bookmarkEnd w:id="376"/>
      <w:bookmarkEnd w:id="377"/>
    </w:p>
    <w:p>
      <w:pPr>
        <w:pStyle w:val="48"/>
        <w:rPr>
          <w:highlight w:val="none"/>
        </w:rPr>
      </w:pPr>
      <w:bookmarkStart w:id="383" w:name="_Toc321925454"/>
    </w:p>
    <w:p>
      <w:pPr>
        <w:pStyle w:val="48"/>
        <w:rPr>
          <w:highlight w:val="none"/>
        </w:rPr>
      </w:pPr>
    </w:p>
    <w:p>
      <w:pPr>
        <w:pStyle w:val="48"/>
        <w:rPr>
          <w:highlight w:val="none"/>
        </w:rPr>
      </w:pPr>
    </w:p>
    <w:p>
      <w:pPr>
        <w:pStyle w:val="48"/>
        <w:rPr>
          <w:highlight w:val="none"/>
        </w:rPr>
      </w:pPr>
    </w:p>
    <w:p>
      <w:pPr>
        <w:pStyle w:val="48"/>
        <w:rPr>
          <w:highlight w:val="none"/>
        </w:rPr>
      </w:pPr>
    </w:p>
    <w:p>
      <w:pPr>
        <w:pStyle w:val="48"/>
        <w:rPr>
          <w:highlight w:val="none"/>
        </w:rPr>
      </w:pPr>
    </w:p>
    <w:p>
      <w:pPr>
        <w:pStyle w:val="48"/>
        <w:rPr>
          <w:highlight w:val="none"/>
        </w:rPr>
      </w:pPr>
    </w:p>
    <w:p>
      <w:pPr>
        <w:pStyle w:val="48"/>
        <w:rPr>
          <w:highlight w:val="none"/>
        </w:rPr>
      </w:pPr>
    </w:p>
    <w:p>
      <w:pPr>
        <w:pStyle w:val="48"/>
        <w:rPr>
          <w:highlight w:val="none"/>
        </w:rPr>
      </w:pPr>
    </w:p>
    <w:p>
      <w:pPr>
        <w:pStyle w:val="48"/>
        <w:rPr>
          <w:highlight w:val="none"/>
        </w:rPr>
      </w:pPr>
    </w:p>
    <w:p>
      <w:pPr>
        <w:pStyle w:val="48"/>
        <w:rPr>
          <w:highlight w:val="none"/>
        </w:rPr>
      </w:pPr>
    </w:p>
    <w:p>
      <w:pPr>
        <w:pStyle w:val="48"/>
        <w:rPr>
          <w:highlight w:val="none"/>
        </w:rPr>
      </w:pPr>
    </w:p>
    <w:p>
      <w:pPr>
        <w:pStyle w:val="48"/>
        <w:rPr>
          <w:highlight w:val="none"/>
        </w:rPr>
      </w:pPr>
    </w:p>
    <w:p>
      <w:pPr>
        <w:pStyle w:val="48"/>
        <w:rPr>
          <w:highlight w:val="none"/>
        </w:rPr>
      </w:pPr>
    </w:p>
    <w:p>
      <w:pPr>
        <w:pStyle w:val="48"/>
        <w:rPr>
          <w:highlight w:val="none"/>
        </w:rPr>
      </w:pPr>
    </w:p>
    <w:p>
      <w:pPr>
        <w:pStyle w:val="48"/>
        <w:rPr>
          <w:highlight w:val="none"/>
        </w:rPr>
      </w:pPr>
      <w:r>
        <w:rPr>
          <w:rFonts w:hint="eastAsia"/>
          <w:highlight w:val="none"/>
        </w:rPr>
        <w:t xml:space="preserve">第四章  </w:t>
      </w:r>
      <w:r>
        <w:rPr>
          <w:highlight w:val="none"/>
        </w:rPr>
        <w:t>合同条款</w:t>
      </w:r>
      <w:bookmarkEnd w:id="383"/>
    </w:p>
    <w:p>
      <w:pPr>
        <w:spacing w:line="560" w:lineRule="exact"/>
        <w:ind w:firstLine="883" w:firstLineChars="200"/>
        <w:jc w:val="center"/>
        <w:rPr>
          <w:rFonts w:ascii="方正小标宋简体" w:hAnsi="仿宋" w:eastAsia="方正小标宋简体"/>
          <w:b/>
          <w:sz w:val="44"/>
          <w:szCs w:val="44"/>
          <w:highlight w:val="none"/>
        </w:rPr>
      </w:pPr>
      <w:r>
        <w:rPr>
          <w:rFonts w:hint="eastAsia" w:ascii="方正小标宋简体" w:hAnsi="仿宋" w:eastAsia="方正小标宋简体"/>
          <w:b/>
          <w:sz w:val="44"/>
          <w:szCs w:val="44"/>
          <w:highlight w:val="none"/>
        </w:rPr>
        <w:t>杭州萧山国际机场【台式爆炸物、毒品探测设备】采购合同</w:t>
      </w:r>
    </w:p>
    <w:p>
      <w:pPr>
        <w:spacing w:line="560" w:lineRule="exact"/>
        <w:ind w:firstLine="562" w:firstLineChars="200"/>
        <w:jc w:val="center"/>
        <w:rPr>
          <w:rFonts w:ascii="仿宋_GB2312" w:hAnsi="仿宋" w:eastAsia="仿宋_GB2312"/>
          <w:b/>
          <w:sz w:val="28"/>
          <w:szCs w:val="28"/>
          <w:highlight w:val="none"/>
        </w:rPr>
      </w:pPr>
    </w:p>
    <w:p>
      <w:pPr>
        <w:spacing w:line="560" w:lineRule="exact"/>
        <w:ind w:firstLine="562" w:firstLineChars="200"/>
        <w:jc w:val="center"/>
        <w:rPr>
          <w:rFonts w:ascii="仿宋_GB2312" w:hAnsi="仿宋" w:eastAsia="仿宋_GB2312"/>
          <w:b/>
          <w:sz w:val="28"/>
          <w:szCs w:val="28"/>
          <w:highlight w:val="none"/>
        </w:rPr>
      </w:pPr>
    </w:p>
    <w:p>
      <w:pPr>
        <w:adjustRightInd w:val="0"/>
        <w:snapToGrid w:val="0"/>
        <w:spacing w:line="560" w:lineRule="exact"/>
        <w:ind w:firstLine="452"/>
        <w:rPr>
          <w:rFonts w:ascii="仿宋_GB2312" w:hAnsi="仿宋" w:eastAsia="仿宋_GB2312"/>
          <w:b/>
          <w:sz w:val="28"/>
          <w:szCs w:val="28"/>
          <w:highlight w:val="none"/>
        </w:rPr>
      </w:pPr>
      <w:r>
        <w:rPr>
          <w:rFonts w:hint="eastAsia" w:ascii="仿宋_GB2312" w:hAnsi="仿宋" w:eastAsia="仿宋_GB2312"/>
          <w:b/>
          <w:sz w:val="28"/>
          <w:szCs w:val="28"/>
          <w:highlight w:val="none"/>
        </w:rPr>
        <w:t>甲方：杭州萧山国际机场有限公司</w:t>
      </w:r>
    </w:p>
    <w:p>
      <w:pPr>
        <w:adjustRightInd w:val="0"/>
        <w:snapToGrid w:val="0"/>
        <w:spacing w:line="560" w:lineRule="exact"/>
        <w:ind w:firstLine="452"/>
        <w:rPr>
          <w:rFonts w:ascii="仿宋_GB2312" w:hAnsi="仿宋" w:eastAsia="仿宋_GB2312"/>
          <w:b/>
          <w:sz w:val="28"/>
          <w:szCs w:val="28"/>
          <w:highlight w:val="none"/>
        </w:rPr>
      </w:pPr>
      <w:r>
        <w:rPr>
          <w:rFonts w:hint="eastAsia" w:ascii="仿宋_GB2312" w:hAnsi="仿宋" w:eastAsia="仿宋_GB2312"/>
          <w:b/>
          <w:sz w:val="28"/>
          <w:szCs w:val="28"/>
          <w:highlight w:val="none"/>
        </w:rPr>
        <w:t>住所地：杭州萧山国际机场内</w:t>
      </w:r>
    </w:p>
    <w:p>
      <w:pPr>
        <w:adjustRightInd w:val="0"/>
        <w:snapToGrid w:val="0"/>
        <w:spacing w:line="560" w:lineRule="exact"/>
        <w:rPr>
          <w:rFonts w:ascii="仿宋_GB2312" w:hAnsi="仿宋" w:eastAsia="仿宋_GB2312"/>
          <w:b/>
          <w:sz w:val="28"/>
          <w:szCs w:val="28"/>
          <w:highlight w:val="none"/>
        </w:rPr>
      </w:pPr>
    </w:p>
    <w:p>
      <w:pPr>
        <w:adjustRightInd w:val="0"/>
        <w:snapToGrid w:val="0"/>
        <w:spacing w:line="560" w:lineRule="exact"/>
        <w:ind w:firstLine="452"/>
        <w:rPr>
          <w:rFonts w:ascii="仿宋_GB2312" w:hAnsi="仿宋" w:eastAsia="仿宋_GB2312"/>
          <w:b/>
          <w:sz w:val="28"/>
          <w:szCs w:val="28"/>
          <w:highlight w:val="none"/>
        </w:rPr>
      </w:pPr>
      <w:r>
        <w:rPr>
          <w:rFonts w:hint="eastAsia" w:ascii="仿宋_GB2312" w:hAnsi="仿宋" w:eastAsia="仿宋_GB2312"/>
          <w:b/>
          <w:sz w:val="28"/>
          <w:szCs w:val="28"/>
          <w:highlight w:val="none"/>
        </w:rPr>
        <w:t>乙方:</w:t>
      </w:r>
    </w:p>
    <w:p>
      <w:pPr>
        <w:adjustRightInd w:val="0"/>
        <w:snapToGrid w:val="0"/>
        <w:spacing w:line="560" w:lineRule="exact"/>
        <w:ind w:firstLine="452"/>
        <w:rPr>
          <w:rFonts w:ascii="仿宋_GB2312" w:hAnsi="仿宋" w:eastAsia="仿宋_GB2312"/>
          <w:sz w:val="28"/>
          <w:szCs w:val="28"/>
          <w:highlight w:val="none"/>
        </w:rPr>
      </w:pPr>
      <w:r>
        <w:rPr>
          <w:rFonts w:hint="eastAsia" w:ascii="仿宋_GB2312" w:hAnsi="仿宋" w:eastAsia="仿宋_GB2312"/>
          <w:b/>
          <w:sz w:val="28"/>
          <w:szCs w:val="28"/>
          <w:highlight w:val="none"/>
        </w:rPr>
        <w:t>住所地:</w:t>
      </w:r>
    </w:p>
    <w:p>
      <w:pPr>
        <w:adjustRightInd w:val="0"/>
        <w:snapToGrid w:val="0"/>
        <w:spacing w:line="560" w:lineRule="exact"/>
        <w:ind w:firstLine="450"/>
        <w:rPr>
          <w:rFonts w:ascii="仿宋_GB2312" w:hAnsi="仿宋" w:eastAsia="仿宋_GB2312"/>
          <w:sz w:val="28"/>
          <w:szCs w:val="28"/>
          <w:highlight w:val="none"/>
        </w:rPr>
      </w:pP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甲、乙双方根据《中华人民共和国合同法》等相关法律法规，就相关产品采购事宜，在互利、平等的原则基础上，经协商一致，特签订本合同，以共同遵守。</w:t>
      </w:r>
    </w:p>
    <w:p>
      <w:pPr>
        <w:spacing w:line="560" w:lineRule="exact"/>
        <w:ind w:firstLine="593"/>
        <w:rPr>
          <w:rFonts w:ascii="仿宋_GB2312" w:hAnsi="宋体" w:eastAsia="仿宋_GB2312"/>
          <w:b/>
          <w:bCs/>
          <w:sz w:val="28"/>
          <w:szCs w:val="28"/>
          <w:highlight w:val="none"/>
        </w:rPr>
      </w:pPr>
      <w:r>
        <w:rPr>
          <w:rFonts w:hint="eastAsia" w:ascii="仿宋_GB2312" w:hAnsi="宋体" w:eastAsia="仿宋_GB2312"/>
          <w:b/>
          <w:bCs/>
          <w:sz w:val="28"/>
          <w:szCs w:val="28"/>
          <w:highlight w:val="none"/>
        </w:rPr>
        <w:t>一、产品规格型号及参数</w:t>
      </w:r>
    </w:p>
    <w:tbl>
      <w:tblPr>
        <w:tblStyle w:val="52"/>
        <w:tblW w:w="101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559"/>
        <w:gridCol w:w="1820"/>
        <w:gridCol w:w="2150"/>
        <w:gridCol w:w="1180"/>
        <w:gridCol w:w="113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871" w:type="dxa"/>
            <w:vAlign w:val="center"/>
          </w:tcPr>
          <w:p>
            <w:pPr>
              <w:pStyle w:val="132"/>
              <w:spacing w:line="560" w:lineRule="exact"/>
              <w:jc w:val="center"/>
              <w:rPr>
                <w:rFonts w:ascii="仿宋_GB2312" w:eastAsia="仿宋_GB2312"/>
                <w:b/>
                <w:sz w:val="28"/>
                <w:szCs w:val="28"/>
                <w:highlight w:val="none"/>
              </w:rPr>
            </w:pPr>
            <w:r>
              <w:rPr>
                <w:rFonts w:hint="eastAsia" w:ascii="仿宋_GB2312" w:eastAsia="仿宋_GB2312"/>
                <w:b/>
                <w:sz w:val="28"/>
                <w:szCs w:val="28"/>
                <w:highlight w:val="none"/>
              </w:rPr>
              <w:t>序号</w:t>
            </w:r>
          </w:p>
        </w:tc>
        <w:tc>
          <w:tcPr>
            <w:tcW w:w="1559" w:type="dxa"/>
            <w:vAlign w:val="center"/>
          </w:tcPr>
          <w:p>
            <w:pPr>
              <w:pStyle w:val="132"/>
              <w:spacing w:line="560" w:lineRule="exact"/>
              <w:jc w:val="center"/>
              <w:rPr>
                <w:rFonts w:ascii="仿宋_GB2312" w:eastAsia="仿宋_GB2312"/>
                <w:b/>
                <w:sz w:val="28"/>
                <w:szCs w:val="28"/>
                <w:highlight w:val="none"/>
              </w:rPr>
            </w:pPr>
            <w:r>
              <w:rPr>
                <w:rFonts w:hint="eastAsia" w:ascii="仿宋_GB2312" w:eastAsia="仿宋_GB2312"/>
                <w:b/>
                <w:sz w:val="28"/>
                <w:szCs w:val="28"/>
                <w:highlight w:val="none"/>
              </w:rPr>
              <w:t>产品名称</w:t>
            </w:r>
          </w:p>
        </w:tc>
        <w:tc>
          <w:tcPr>
            <w:tcW w:w="1820" w:type="dxa"/>
            <w:vAlign w:val="center"/>
          </w:tcPr>
          <w:p>
            <w:pPr>
              <w:pStyle w:val="132"/>
              <w:spacing w:line="560" w:lineRule="exact"/>
              <w:jc w:val="center"/>
              <w:rPr>
                <w:rFonts w:ascii="仿宋_GB2312" w:eastAsia="仿宋_GB2312"/>
                <w:b/>
                <w:sz w:val="28"/>
                <w:szCs w:val="28"/>
                <w:highlight w:val="none"/>
              </w:rPr>
            </w:pPr>
            <w:r>
              <w:rPr>
                <w:rFonts w:hint="eastAsia" w:ascii="仿宋_GB2312" w:eastAsia="仿宋_GB2312"/>
                <w:b/>
                <w:sz w:val="28"/>
                <w:szCs w:val="28"/>
                <w:highlight w:val="none"/>
              </w:rPr>
              <w:t>品牌型号</w:t>
            </w:r>
          </w:p>
        </w:tc>
        <w:tc>
          <w:tcPr>
            <w:tcW w:w="2150" w:type="dxa"/>
            <w:vAlign w:val="center"/>
          </w:tcPr>
          <w:p>
            <w:pPr>
              <w:pStyle w:val="132"/>
              <w:spacing w:line="560" w:lineRule="exact"/>
              <w:jc w:val="center"/>
              <w:rPr>
                <w:rFonts w:ascii="仿宋_GB2312" w:eastAsia="仿宋_GB2312"/>
                <w:b/>
                <w:sz w:val="28"/>
                <w:szCs w:val="28"/>
                <w:highlight w:val="none"/>
              </w:rPr>
            </w:pPr>
            <w:r>
              <w:rPr>
                <w:rFonts w:hint="eastAsia" w:ascii="仿宋_GB2312" w:eastAsia="仿宋_GB2312"/>
                <w:b/>
                <w:sz w:val="28"/>
                <w:szCs w:val="28"/>
                <w:highlight w:val="none"/>
              </w:rPr>
              <w:t>单位</w:t>
            </w:r>
          </w:p>
        </w:tc>
        <w:tc>
          <w:tcPr>
            <w:tcW w:w="1180" w:type="dxa"/>
            <w:vAlign w:val="center"/>
          </w:tcPr>
          <w:p>
            <w:pPr>
              <w:pStyle w:val="132"/>
              <w:spacing w:line="560" w:lineRule="exact"/>
              <w:jc w:val="center"/>
              <w:rPr>
                <w:rFonts w:ascii="仿宋_GB2312" w:eastAsia="仿宋_GB2312"/>
                <w:b/>
                <w:sz w:val="28"/>
                <w:szCs w:val="28"/>
                <w:highlight w:val="none"/>
              </w:rPr>
            </w:pPr>
            <w:r>
              <w:rPr>
                <w:rFonts w:hint="eastAsia" w:ascii="仿宋_GB2312" w:eastAsia="仿宋_GB2312"/>
                <w:b/>
                <w:sz w:val="28"/>
                <w:szCs w:val="28"/>
                <w:highlight w:val="none"/>
              </w:rPr>
              <w:t>数量</w:t>
            </w:r>
          </w:p>
        </w:tc>
        <w:tc>
          <w:tcPr>
            <w:tcW w:w="1134" w:type="dxa"/>
            <w:vAlign w:val="center"/>
          </w:tcPr>
          <w:p>
            <w:pPr>
              <w:pStyle w:val="132"/>
              <w:spacing w:line="560" w:lineRule="exact"/>
              <w:jc w:val="center"/>
              <w:rPr>
                <w:rFonts w:ascii="仿宋_GB2312" w:eastAsia="仿宋_GB2312"/>
                <w:b/>
                <w:sz w:val="28"/>
                <w:szCs w:val="28"/>
                <w:highlight w:val="none"/>
              </w:rPr>
            </w:pPr>
            <w:r>
              <w:rPr>
                <w:rFonts w:hint="eastAsia" w:ascii="仿宋_GB2312" w:eastAsia="仿宋_GB2312"/>
                <w:b/>
                <w:sz w:val="28"/>
                <w:szCs w:val="28"/>
                <w:highlight w:val="none"/>
              </w:rPr>
              <w:t>单价</w:t>
            </w:r>
          </w:p>
        </w:tc>
        <w:tc>
          <w:tcPr>
            <w:tcW w:w="1476" w:type="dxa"/>
            <w:vAlign w:val="center"/>
          </w:tcPr>
          <w:p>
            <w:pPr>
              <w:pStyle w:val="132"/>
              <w:spacing w:line="560" w:lineRule="exact"/>
              <w:jc w:val="center"/>
              <w:rPr>
                <w:rFonts w:ascii="仿宋_GB2312" w:eastAsia="仿宋_GB2312"/>
                <w:b/>
                <w:sz w:val="28"/>
                <w:szCs w:val="28"/>
                <w:highlight w:val="none"/>
              </w:rPr>
            </w:pPr>
            <w:r>
              <w:rPr>
                <w:rFonts w:hint="eastAsia" w:ascii="仿宋_GB2312" w:eastAsia="仿宋_GB2312"/>
                <w:b/>
                <w:sz w:val="28"/>
                <w:szCs w:val="28"/>
                <w:highlight w:val="none"/>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1" w:type="dxa"/>
            <w:vAlign w:val="center"/>
          </w:tcPr>
          <w:p>
            <w:pPr>
              <w:pStyle w:val="132"/>
              <w:spacing w:line="560" w:lineRule="exact"/>
              <w:jc w:val="center"/>
              <w:rPr>
                <w:rFonts w:ascii="仿宋_GB2312" w:eastAsia="仿宋_GB2312"/>
                <w:sz w:val="28"/>
                <w:szCs w:val="28"/>
                <w:highlight w:val="none"/>
              </w:rPr>
            </w:pPr>
          </w:p>
        </w:tc>
        <w:tc>
          <w:tcPr>
            <w:tcW w:w="1559" w:type="dxa"/>
            <w:vAlign w:val="center"/>
          </w:tcPr>
          <w:p>
            <w:pPr>
              <w:pStyle w:val="132"/>
              <w:spacing w:line="560" w:lineRule="exact"/>
              <w:jc w:val="center"/>
              <w:rPr>
                <w:rFonts w:ascii="仿宋_GB2312" w:eastAsia="仿宋_GB2312"/>
                <w:sz w:val="28"/>
                <w:szCs w:val="28"/>
                <w:highlight w:val="none"/>
              </w:rPr>
            </w:pPr>
          </w:p>
        </w:tc>
        <w:tc>
          <w:tcPr>
            <w:tcW w:w="1820" w:type="dxa"/>
            <w:vAlign w:val="center"/>
          </w:tcPr>
          <w:p>
            <w:pPr>
              <w:pStyle w:val="132"/>
              <w:spacing w:line="560" w:lineRule="exact"/>
              <w:jc w:val="center"/>
              <w:rPr>
                <w:rFonts w:ascii="仿宋_GB2312" w:hAnsi="宋体" w:eastAsia="仿宋_GB2312"/>
                <w:sz w:val="28"/>
                <w:szCs w:val="28"/>
                <w:highlight w:val="none"/>
              </w:rPr>
            </w:pPr>
          </w:p>
        </w:tc>
        <w:tc>
          <w:tcPr>
            <w:tcW w:w="2150" w:type="dxa"/>
            <w:vAlign w:val="center"/>
          </w:tcPr>
          <w:p>
            <w:pPr>
              <w:pStyle w:val="132"/>
              <w:spacing w:line="560" w:lineRule="exact"/>
              <w:jc w:val="center"/>
              <w:rPr>
                <w:rFonts w:ascii="仿宋_GB2312" w:eastAsia="仿宋_GB2312"/>
                <w:sz w:val="28"/>
                <w:szCs w:val="28"/>
                <w:highlight w:val="none"/>
              </w:rPr>
            </w:pPr>
          </w:p>
        </w:tc>
        <w:tc>
          <w:tcPr>
            <w:tcW w:w="1180" w:type="dxa"/>
            <w:vAlign w:val="center"/>
          </w:tcPr>
          <w:p>
            <w:pPr>
              <w:pStyle w:val="132"/>
              <w:spacing w:line="560" w:lineRule="exact"/>
              <w:ind w:firstLine="140" w:firstLineChars="50"/>
              <w:jc w:val="center"/>
              <w:rPr>
                <w:rFonts w:ascii="仿宋_GB2312" w:eastAsia="仿宋_GB2312"/>
                <w:sz w:val="28"/>
                <w:szCs w:val="28"/>
                <w:highlight w:val="none"/>
              </w:rPr>
            </w:pPr>
          </w:p>
        </w:tc>
        <w:tc>
          <w:tcPr>
            <w:tcW w:w="1134" w:type="dxa"/>
            <w:vAlign w:val="center"/>
          </w:tcPr>
          <w:p>
            <w:pPr>
              <w:pStyle w:val="132"/>
              <w:spacing w:line="560" w:lineRule="exact"/>
              <w:jc w:val="center"/>
              <w:rPr>
                <w:rFonts w:ascii="仿宋_GB2312" w:eastAsia="仿宋_GB2312"/>
                <w:sz w:val="28"/>
                <w:szCs w:val="28"/>
                <w:highlight w:val="none"/>
              </w:rPr>
            </w:pPr>
          </w:p>
        </w:tc>
        <w:tc>
          <w:tcPr>
            <w:tcW w:w="1476" w:type="dxa"/>
            <w:vAlign w:val="center"/>
          </w:tcPr>
          <w:p>
            <w:pPr>
              <w:pStyle w:val="132"/>
              <w:spacing w:line="560" w:lineRule="exact"/>
              <w:ind w:firstLine="140" w:firstLineChars="50"/>
              <w:rPr>
                <w:rFonts w:asci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vAlign w:val="center"/>
          </w:tcPr>
          <w:p>
            <w:pPr>
              <w:pStyle w:val="132"/>
              <w:spacing w:line="560" w:lineRule="exact"/>
              <w:jc w:val="center"/>
              <w:rPr>
                <w:rFonts w:ascii="仿宋_GB2312" w:eastAsia="仿宋_GB2312"/>
                <w:sz w:val="28"/>
                <w:szCs w:val="28"/>
                <w:highlight w:val="none"/>
              </w:rPr>
            </w:pPr>
            <w:r>
              <w:rPr>
                <w:rFonts w:hint="eastAsia" w:ascii="仿宋_GB2312" w:eastAsia="仿宋_GB2312"/>
                <w:sz w:val="28"/>
                <w:szCs w:val="28"/>
                <w:highlight w:val="none"/>
              </w:rPr>
              <w:t>合计</w:t>
            </w:r>
          </w:p>
        </w:tc>
        <w:tc>
          <w:tcPr>
            <w:tcW w:w="9319" w:type="dxa"/>
            <w:gridSpan w:val="6"/>
          </w:tcPr>
          <w:p>
            <w:pPr>
              <w:pStyle w:val="132"/>
              <w:spacing w:line="560" w:lineRule="exact"/>
              <w:jc w:val="right"/>
              <w:rPr>
                <w:rFonts w:ascii="仿宋_GB2312" w:eastAsia="仿宋_GB2312"/>
                <w:sz w:val="28"/>
                <w:szCs w:val="28"/>
                <w:highlight w:val="none"/>
              </w:rPr>
            </w:pPr>
          </w:p>
        </w:tc>
      </w:tr>
    </w:tbl>
    <w:p>
      <w:pPr>
        <w:adjustRightInd w:val="0"/>
        <w:snapToGrid w:val="0"/>
        <w:spacing w:line="560" w:lineRule="exact"/>
        <w:ind w:firstLine="602"/>
        <w:rPr>
          <w:rFonts w:ascii="仿宋_GB2312" w:hAnsi="仿宋" w:eastAsia="仿宋_GB2312"/>
          <w:b/>
          <w:sz w:val="28"/>
          <w:szCs w:val="28"/>
          <w:highlight w:val="none"/>
        </w:rPr>
      </w:pPr>
      <w:r>
        <w:rPr>
          <w:rFonts w:hint="eastAsia" w:ascii="仿宋_GB2312" w:hAnsi="仿宋" w:eastAsia="仿宋_GB2312"/>
          <w:b/>
          <w:sz w:val="28"/>
          <w:szCs w:val="28"/>
          <w:highlight w:val="none"/>
        </w:rPr>
        <w:t>备注：1、</w:t>
      </w:r>
    </w:p>
    <w:p>
      <w:pPr>
        <w:adjustRightInd w:val="0"/>
        <w:snapToGrid w:val="0"/>
        <w:spacing w:line="560" w:lineRule="exact"/>
        <w:ind w:firstLine="602"/>
        <w:rPr>
          <w:rFonts w:ascii="仿宋_GB2312" w:hAnsi="仿宋" w:eastAsia="仿宋_GB2312"/>
          <w:b/>
          <w:sz w:val="28"/>
          <w:szCs w:val="28"/>
          <w:highlight w:val="none"/>
        </w:rPr>
      </w:pPr>
      <w:r>
        <w:rPr>
          <w:rFonts w:hint="eastAsia" w:ascii="仿宋_GB2312" w:hAnsi="仿宋" w:eastAsia="仿宋_GB2312"/>
          <w:b/>
          <w:sz w:val="28"/>
          <w:szCs w:val="28"/>
          <w:highlight w:val="none"/>
        </w:rPr>
        <w:t xml:space="preserve">      2、</w:t>
      </w:r>
    </w:p>
    <w:p>
      <w:pPr>
        <w:adjustRightInd w:val="0"/>
        <w:snapToGrid w:val="0"/>
        <w:spacing w:line="560" w:lineRule="exact"/>
        <w:ind w:firstLine="602"/>
        <w:rPr>
          <w:rFonts w:ascii="仿宋_GB2312" w:hAnsi="仿宋" w:eastAsia="仿宋_GB2312"/>
          <w:b/>
          <w:sz w:val="28"/>
          <w:szCs w:val="28"/>
          <w:highlight w:val="none"/>
        </w:rPr>
      </w:pPr>
      <w:r>
        <w:rPr>
          <w:rFonts w:hint="eastAsia" w:ascii="仿宋_GB2312" w:hAnsi="仿宋" w:eastAsia="仿宋_GB2312"/>
          <w:b/>
          <w:sz w:val="28"/>
          <w:szCs w:val="28"/>
          <w:highlight w:val="none"/>
        </w:rPr>
        <w:t>二、合同金额</w:t>
      </w:r>
    </w:p>
    <w:p>
      <w:pPr>
        <w:spacing w:line="560" w:lineRule="exact"/>
        <w:ind w:firstLine="537" w:firstLineChars="192"/>
        <w:rPr>
          <w:rFonts w:ascii="仿宋_GB2312" w:hAnsi="仿宋" w:eastAsia="仿宋_GB2312"/>
          <w:sz w:val="28"/>
          <w:szCs w:val="28"/>
          <w:highlight w:val="none"/>
        </w:rPr>
      </w:pPr>
      <w:r>
        <w:rPr>
          <w:rFonts w:hint="eastAsia" w:ascii="仿宋_GB2312" w:hAnsi="仿宋" w:eastAsia="仿宋_GB2312"/>
          <w:sz w:val="28"/>
          <w:szCs w:val="28"/>
          <w:highlight w:val="none"/>
        </w:rPr>
        <w:t>本合同金额为固定总价合同，合同金额为（大写）：人民币    ，（小写）</w:t>
      </w:r>
      <w:r>
        <w:rPr>
          <w:rFonts w:hint="eastAsia" w:ascii="仿宋_GB2312" w:hAnsi="Arial" w:eastAsia="仿宋_GB2312" w:cs="Arial"/>
          <w:sz w:val="28"/>
          <w:szCs w:val="28"/>
          <w:highlight w:val="none"/>
        </w:rPr>
        <w:t xml:space="preserve">¥       </w:t>
      </w:r>
      <w:r>
        <w:rPr>
          <w:rFonts w:hint="eastAsia" w:ascii="仿宋_GB2312" w:hAnsi="仿宋" w:eastAsia="仿宋_GB2312"/>
          <w:sz w:val="28"/>
          <w:szCs w:val="28"/>
          <w:highlight w:val="none"/>
        </w:rPr>
        <w:t>。本合同价为杭州萧山国际机场内交货价，含产品价格、运输费、包装费、保险费、税费等所有费用。甲方不再承担其他任何费用。</w:t>
      </w:r>
    </w:p>
    <w:p>
      <w:pPr>
        <w:spacing w:line="560" w:lineRule="exact"/>
        <w:ind w:firstLine="537" w:firstLineChars="192"/>
        <w:rPr>
          <w:rFonts w:ascii="仿宋_GB2312" w:hAnsi="仿宋" w:eastAsia="仿宋_GB2312"/>
          <w:sz w:val="28"/>
          <w:szCs w:val="28"/>
          <w:highlight w:val="none"/>
        </w:rPr>
      </w:pPr>
      <w:r>
        <w:rPr>
          <w:rFonts w:hint="eastAsia" w:ascii="仿宋_GB2312" w:hAnsi="仿宋" w:eastAsia="仿宋_GB2312"/>
          <w:sz w:val="28"/>
          <w:szCs w:val="28"/>
          <w:highlight w:val="none"/>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仿宋_GB2312" w:hAnsi="仿宋" w:eastAsia="仿宋_GB2312"/>
          <w:b/>
          <w:sz w:val="28"/>
          <w:szCs w:val="28"/>
          <w:highlight w:val="none"/>
        </w:rPr>
      </w:pPr>
      <w:r>
        <w:rPr>
          <w:rFonts w:hint="eastAsia" w:ascii="仿宋_GB2312" w:hAnsi="仿宋" w:eastAsia="仿宋_GB2312"/>
          <w:b/>
          <w:sz w:val="28"/>
          <w:szCs w:val="28"/>
          <w:highlight w:val="none"/>
        </w:rPr>
        <w:t>三、技术资料</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1.乙方应在交付合同产品时同时向甲方提供使用产品的有关技术资料。</w:t>
      </w:r>
    </w:p>
    <w:p>
      <w:pPr>
        <w:adjustRightInd w:val="0"/>
        <w:snapToGrid w:val="0"/>
        <w:spacing w:line="560" w:lineRule="exact"/>
        <w:ind w:firstLine="562" w:firstLineChars="200"/>
        <w:rPr>
          <w:rFonts w:ascii="仿宋_GB2312" w:hAnsi="仿宋" w:eastAsia="仿宋_GB2312"/>
          <w:sz w:val="28"/>
          <w:szCs w:val="28"/>
          <w:highlight w:val="none"/>
        </w:rPr>
      </w:pPr>
      <w:r>
        <w:rPr>
          <w:rFonts w:hint="eastAsia" w:ascii="仿宋_GB2312" w:hAnsi="仿宋" w:eastAsia="仿宋_GB2312"/>
          <w:b/>
          <w:sz w:val="28"/>
          <w:szCs w:val="28"/>
          <w:highlight w:val="none"/>
        </w:rPr>
        <w:t>2.</w:t>
      </w:r>
      <w:r>
        <w:rPr>
          <w:rFonts w:hint="eastAsia" w:ascii="仿宋_GB2312" w:hAnsi="仿宋" w:eastAsia="仿宋_GB2312"/>
          <w:sz w:val="28"/>
          <w:szCs w:val="28"/>
          <w:highlight w:val="none"/>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仿宋_GB2312" w:hAnsi="仿宋" w:eastAsia="仿宋_GB2312"/>
          <w:b/>
          <w:sz w:val="28"/>
          <w:szCs w:val="28"/>
          <w:highlight w:val="none"/>
        </w:rPr>
      </w:pPr>
      <w:r>
        <w:rPr>
          <w:rFonts w:hint="eastAsia" w:ascii="仿宋_GB2312" w:hAnsi="仿宋" w:eastAsia="仿宋_GB2312"/>
          <w:b/>
          <w:sz w:val="28"/>
          <w:szCs w:val="28"/>
          <w:highlight w:val="none"/>
        </w:rPr>
        <w:t>四、知识产权</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ascii="仿宋_GB2312" w:hAnsi="仿宋" w:eastAsia="仿宋_GB2312"/>
          <w:b/>
          <w:sz w:val="28"/>
          <w:szCs w:val="28"/>
          <w:highlight w:val="none"/>
        </w:rPr>
      </w:pPr>
      <w:r>
        <w:rPr>
          <w:rFonts w:hint="eastAsia" w:ascii="仿宋_GB2312" w:hAnsi="仿宋" w:eastAsia="仿宋_GB2312"/>
          <w:b/>
          <w:sz w:val="28"/>
          <w:szCs w:val="28"/>
          <w:highlight w:val="none"/>
        </w:rPr>
        <w:t>五、产权担保</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仿宋_GB2312" w:hAnsi="仿宋" w:eastAsia="仿宋_GB2312"/>
          <w:b/>
          <w:sz w:val="28"/>
          <w:szCs w:val="28"/>
          <w:highlight w:val="none"/>
        </w:rPr>
      </w:pPr>
      <w:r>
        <w:rPr>
          <w:rFonts w:hint="eastAsia" w:ascii="仿宋_GB2312" w:hAnsi="仿宋" w:eastAsia="仿宋_GB2312"/>
          <w:b/>
          <w:sz w:val="28"/>
          <w:szCs w:val="28"/>
          <w:highlight w:val="none"/>
        </w:rPr>
        <w:t>六、转包或分包</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2.如有未经甲方书面同意的转让和分包行为，甲方有权解除合同，并有权要求乙方承担合同总金额【10】%的违约金。</w:t>
      </w:r>
    </w:p>
    <w:p>
      <w:pPr>
        <w:adjustRightInd w:val="0"/>
        <w:snapToGrid w:val="0"/>
        <w:spacing w:line="560" w:lineRule="exact"/>
        <w:ind w:firstLine="602"/>
        <w:outlineLvl w:val="0"/>
        <w:rPr>
          <w:rFonts w:ascii="仿宋_GB2312" w:hAnsi="仿宋" w:eastAsia="仿宋_GB2312"/>
          <w:b/>
          <w:sz w:val="28"/>
          <w:szCs w:val="28"/>
          <w:highlight w:val="none"/>
        </w:rPr>
      </w:pPr>
      <w:r>
        <w:rPr>
          <w:rFonts w:hint="eastAsia" w:ascii="仿宋_GB2312" w:hAnsi="仿宋" w:eastAsia="仿宋_GB2312"/>
          <w:b/>
          <w:sz w:val="28"/>
          <w:szCs w:val="28"/>
          <w:highlight w:val="none"/>
        </w:rPr>
        <w:t>七、产品包装、发运及运输</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1. 乙方应在产品发运前对其按满足运输距离、防潮、防震、防锈和防破损装卸等要求进行包装，以保证产品安全运达甲方指定地点。</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2. 使用说明书、质量检验证明书、技术资料、随配附件和工具以及清单一并附于产品内同时向甲方交付。如资料和工具、附件不全的，视为乙方未完全履行交付义务。</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3. 乙方在产品发运手续办理完毕后【24】小时内必须书面通知甲方，以便甲方准备接货。</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4. 产品在本合同规定的交货地点交付甲方前发生的一切风险包括产品运输风险均由乙方负责。</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5. 产品在规定的交付期限内由乙方送达甲方指定的交货地点并经甲方签收后视为交付，乙方同时必须在产品到达的当天立即通知甲方产品已送达。</w:t>
      </w:r>
    </w:p>
    <w:p>
      <w:pPr>
        <w:adjustRightInd w:val="0"/>
        <w:snapToGrid w:val="0"/>
        <w:spacing w:line="560" w:lineRule="exact"/>
        <w:ind w:firstLine="602"/>
        <w:outlineLvl w:val="0"/>
        <w:rPr>
          <w:rFonts w:ascii="仿宋_GB2312" w:hAnsi="仿宋" w:eastAsia="仿宋_GB2312"/>
          <w:b/>
          <w:sz w:val="28"/>
          <w:szCs w:val="28"/>
          <w:highlight w:val="none"/>
        </w:rPr>
      </w:pPr>
      <w:r>
        <w:rPr>
          <w:rFonts w:hint="eastAsia" w:ascii="仿宋_GB2312" w:hAnsi="仿宋" w:eastAsia="仿宋_GB2312"/>
          <w:b/>
          <w:sz w:val="28"/>
          <w:szCs w:val="28"/>
          <w:highlight w:val="none"/>
        </w:rPr>
        <w:t>八、交货期、交货方式及交货地点</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1. 交货期：</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2. 交货方式：</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3. 交货地点：杭州萧山国际机场内</w:t>
      </w:r>
    </w:p>
    <w:p>
      <w:pPr>
        <w:adjustRightInd w:val="0"/>
        <w:snapToGrid w:val="0"/>
        <w:spacing w:line="560" w:lineRule="exact"/>
        <w:ind w:firstLine="602"/>
        <w:outlineLvl w:val="0"/>
        <w:rPr>
          <w:rFonts w:ascii="仿宋_GB2312" w:hAnsi="仿宋" w:eastAsia="仿宋_GB2312"/>
          <w:b/>
          <w:sz w:val="28"/>
          <w:szCs w:val="28"/>
          <w:highlight w:val="none"/>
        </w:rPr>
      </w:pPr>
      <w:r>
        <w:rPr>
          <w:rFonts w:hint="eastAsia" w:ascii="仿宋_GB2312" w:hAnsi="仿宋" w:eastAsia="仿宋_GB2312"/>
          <w:b/>
          <w:sz w:val="28"/>
          <w:szCs w:val="28"/>
          <w:highlight w:val="none"/>
        </w:rPr>
        <w:t>九、安装与验收</w:t>
      </w:r>
    </w:p>
    <w:p>
      <w:pPr>
        <w:pStyle w:val="145"/>
        <w:adjustRightInd w:val="0"/>
        <w:snapToGrid w:val="0"/>
        <w:spacing w:line="560" w:lineRule="exact"/>
        <w:ind w:firstLine="562" w:firstLineChars="200"/>
        <w:rPr>
          <w:rFonts w:ascii="仿宋_GB2312" w:hAnsi="宋体" w:eastAsia="仿宋_GB2312"/>
          <w:sz w:val="28"/>
          <w:szCs w:val="28"/>
          <w:highlight w:val="none"/>
        </w:rPr>
      </w:pPr>
      <w:r>
        <w:rPr>
          <w:rFonts w:hint="eastAsia" w:ascii="仿宋_GB2312" w:hAnsi="宋体" w:eastAsia="仿宋_GB2312"/>
          <w:b/>
          <w:sz w:val="28"/>
          <w:szCs w:val="28"/>
          <w:highlight w:val="none"/>
        </w:rPr>
        <w:t>1.</w:t>
      </w:r>
      <w:r>
        <w:rPr>
          <w:rFonts w:hint="eastAsia" w:ascii="仿宋_GB2312" w:hAnsi="宋体" w:eastAsia="仿宋_GB2312"/>
          <w:sz w:val="28"/>
          <w:szCs w:val="28"/>
          <w:highlight w:val="none"/>
        </w:rPr>
        <w:t>甲方对乙方交付的货物依据甲方要求和国家有关质量标准进行现场初步验收，产品外观、数量、品种、规格和说明书等资料符合甲方要求的，视为初步验收合格，给予签收，初步验收不合格的不予签收并在到货之日起【5】日内以书面或电话形式向乙方提出异议。乙方在甲方初步验收完毕后，负责在【7】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5】日内以书面方式向乙方提出相关异议。</w:t>
      </w:r>
    </w:p>
    <w:p>
      <w:pPr>
        <w:pStyle w:val="145"/>
        <w:adjustRightInd w:val="0"/>
        <w:snapToGrid w:val="0"/>
        <w:spacing w:line="560" w:lineRule="exact"/>
        <w:ind w:firstLine="562" w:firstLineChars="200"/>
        <w:rPr>
          <w:rFonts w:ascii="仿宋_GB2312" w:hAnsi="宋体" w:eastAsia="仿宋_GB2312"/>
          <w:sz w:val="28"/>
          <w:szCs w:val="28"/>
          <w:highlight w:val="none"/>
        </w:rPr>
      </w:pPr>
      <w:r>
        <w:rPr>
          <w:rFonts w:hint="eastAsia" w:ascii="仿宋_GB2312" w:hAnsi="宋体" w:eastAsia="仿宋_GB2312"/>
          <w:b/>
          <w:sz w:val="28"/>
          <w:szCs w:val="28"/>
          <w:highlight w:val="none"/>
        </w:rPr>
        <w:t>2.</w:t>
      </w:r>
      <w:r>
        <w:rPr>
          <w:rFonts w:hint="eastAsia" w:ascii="仿宋_GB2312" w:hAnsi="宋体" w:eastAsia="仿宋_GB2312"/>
          <w:sz w:val="28"/>
          <w:szCs w:val="28"/>
          <w:highlight w:val="none"/>
        </w:rPr>
        <w:t>乙方交货前应对产品作出全面检查和对验收文件进行整理，并列出清单，作为甲方收货验收和使用的技术条件依据，乙方检验的结果应随货物交甲方。</w:t>
      </w:r>
    </w:p>
    <w:p>
      <w:pPr>
        <w:pStyle w:val="145"/>
        <w:adjustRightInd w:val="0"/>
        <w:snapToGrid w:val="0"/>
        <w:spacing w:line="560" w:lineRule="exact"/>
        <w:ind w:firstLine="562" w:firstLineChars="200"/>
        <w:rPr>
          <w:rFonts w:ascii="仿宋_GB2312" w:hAnsi="宋体" w:eastAsia="仿宋_GB2312"/>
          <w:sz w:val="28"/>
          <w:szCs w:val="28"/>
          <w:highlight w:val="none"/>
        </w:rPr>
      </w:pPr>
      <w:r>
        <w:rPr>
          <w:rFonts w:hint="eastAsia" w:ascii="仿宋_GB2312" w:hAnsi="宋体" w:eastAsia="仿宋_GB2312"/>
          <w:b/>
          <w:sz w:val="28"/>
          <w:szCs w:val="28"/>
          <w:highlight w:val="none"/>
        </w:rPr>
        <w:t>3.</w:t>
      </w:r>
      <w:r>
        <w:rPr>
          <w:rFonts w:hint="eastAsia" w:ascii="仿宋_GB2312" w:hAnsi="宋体" w:eastAsia="仿宋_GB2312"/>
          <w:sz w:val="28"/>
          <w:szCs w:val="28"/>
          <w:highlight w:val="none"/>
        </w:rPr>
        <w:t>乙方应当在收到甲方前述第1款异议之日起【30】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pStyle w:val="145"/>
        <w:adjustRightInd w:val="0"/>
        <w:snapToGrid w:val="0"/>
        <w:spacing w:line="560" w:lineRule="exact"/>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4.具体的安装要求：</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4.1、乙方应负责中标系统和设备安装</w:t>
      </w:r>
      <w:r>
        <w:rPr>
          <w:rFonts w:ascii="仿宋_GB2312" w:hAnsi="仿宋" w:eastAsia="仿宋_GB2312"/>
          <w:sz w:val="28"/>
          <w:szCs w:val="28"/>
          <w:highlight w:val="none"/>
        </w:rPr>
        <w:t>,</w:t>
      </w:r>
      <w:r>
        <w:rPr>
          <w:rFonts w:hint="eastAsia" w:ascii="仿宋_GB2312" w:hAnsi="仿宋" w:eastAsia="仿宋_GB2312"/>
          <w:sz w:val="28"/>
          <w:szCs w:val="28"/>
          <w:highlight w:val="none"/>
        </w:rPr>
        <w:t>并负责调试及试运行等工作，直至系统和设备以及整个工程验收合格。</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4.2、设备的每个部分须考虑防火、防过压、防潮、耐用、防漏电、容易清洁及日常维修。</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4.3、在设备安装前</w:t>
      </w:r>
      <w:r>
        <w:rPr>
          <w:rFonts w:ascii="仿宋_GB2312" w:hAnsi="仿宋" w:eastAsia="仿宋_GB2312"/>
          <w:sz w:val="28"/>
          <w:szCs w:val="28"/>
          <w:highlight w:val="none"/>
        </w:rPr>
        <w:t>,</w:t>
      </w:r>
      <w:r>
        <w:rPr>
          <w:rFonts w:hint="eastAsia" w:ascii="仿宋_GB2312" w:hAnsi="仿宋" w:eastAsia="仿宋_GB2312"/>
          <w:sz w:val="28"/>
          <w:szCs w:val="28"/>
          <w:highlight w:val="none"/>
        </w:rPr>
        <w:t>乙方应对设备安装处的土建基础尺寸进行检查</w:t>
      </w:r>
      <w:r>
        <w:rPr>
          <w:rFonts w:ascii="仿宋_GB2312" w:hAnsi="仿宋" w:eastAsia="仿宋_GB2312"/>
          <w:sz w:val="28"/>
          <w:szCs w:val="28"/>
          <w:highlight w:val="none"/>
        </w:rPr>
        <w:t>,</w:t>
      </w:r>
      <w:r>
        <w:rPr>
          <w:rFonts w:hint="eastAsia" w:ascii="仿宋_GB2312" w:hAnsi="仿宋" w:eastAsia="仿宋_GB2312"/>
          <w:sz w:val="28"/>
          <w:szCs w:val="28"/>
          <w:highlight w:val="none"/>
        </w:rPr>
        <w:t>由于投标人变动安装条件引起的费用应由乙方负担。</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4.4、乙方必须定期参加现场会议</w:t>
      </w:r>
      <w:r>
        <w:rPr>
          <w:rFonts w:ascii="仿宋_GB2312" w:hAnsi="仿宋" w:eastAsia="仿宋_GB2312"/>
          <w:sz w:val="28"/>
          <w:szCs w:val="28"/>
          <w:highlight w:val="none"/>
        </w:rPr>
        <w:t>,</w:t>
      </w:r>
      <w:r>
        <w:rPr>
          <w:rFonts w:hint="eastAsia" w:ascii="仿宋_GB2312" w:hAnsi="仿宋" w:eastAsia="仿宋_GB2312"/>
          <w:sz w:val="28"/>
          <w:szCs w:val="28"/>
          <w:highlight w:val="none"/>
        </w:rPr>
        <w:t>配合甲方工作</w:t>
      </w:r>
      <w:r>
        <w:rPr>
          <w:rFonts w:ascii="仿宋_GB2312" w:hAnsi="仿宋" w:eastAsia="仿宋_GB2312"/>
          <w:sz w:val="28"/>
          <w:szCs w:val="28"/>
          <w:highlight w:val="none"/>
        </w:rPr>
        <w:t>,</w:t>
      </w:r>
      <w:r>
        <w:rPr>
          <w:rFonts w:hint="eastAsia" w:ascii="仿宋_GB2312" w:hAnsi="仿宋" w:eastAsia="仿宋_GB2312"/>
          <w:sz w:val="28"/>
          <w:szCs w:val="28"/>
          <w:highlight w:val="none"/>
        </w:rPr>
        <w:t>圆满解决安装、调试、试运行中的所有问题。</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4.5、乙方必须负责提供安装过程中所需的专用工具。</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4.6、工程实施过程中，设备拆装、搬运等需由乙方自行负责，费用由乙方自理。</w:t>
      </w:r>
    </w:p>
    <w:p>
      <w:pPr>
        <w:pStyle w:val="145"/>
        <w:adjustRightInd w:val="0"/>
        <w:snapToGrid w:val="0"/>
        <w:spacing w:line="560" w:lineRule="exact"/>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5.具体的验收要求：</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5.1</w:t>
      </w:r>
      <w:r>
        <w:rPr>
          <w:rFonts w:ascii="仿宋_GB2312" w:hAnsi="仿宋" w:eastAsia="仿宋_GB2312"/>
          <w:sz w:val="28"/>
          <w:szCs w:val="28"/>
          <w:highlight w:val="none"/>
        </w:rPr>
        <w:t xml:space="preserve"> </w:t>
      </w:r>
      <w:r>
        <w:rPr>
          <w:rFonts w:hint="eastAsia" w:ascii="仿宋_GB2312" w:hAnsi="仿宋" w:eastAsia="仿宋_GB2312"/>
          <w:sz w:val="28"/>
          <w:szCs w:val="28"/>
          <w:highlight w:val="none"/>
        </w:rPr>
        <w:t>招标范围内的设备在最终验收前须取得民航局颁发的使用验收合格证。所需费用由乙方承担。</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5.</w:t>
      </w:r>
      <w:r>
        <w:rPr>
          <w:rFonts w:ascii="仿宋_GB2312" w:hAnsi="仿宋" w:eastAsia="仿宋_GB2312"/>
          <w:sz w:val="28"/>
          <w:szCs w:val="28"/>
          <w:highlight w:val="none"/>
        </w:rPr>
        <w:t xml:space="preserve">2 </w:t>
      </w:r>
      <w:r>
        <w:rPr>
          <w:rFonts w:hint="eastAsia" w:ascii="仿宋_GB2312" w:hAnsi="仿宋" w:eastAsia="仿宋_GB2312"/>
          <w:sz w:val="28"/>
          <w:szCs w:val="28"/>
          <w:highlight w:val="none"/>
        </w:rPr>
        <w:t>安装调试完成后，乙方须负责对已完成项目进行自验，自验结束，写出书面申请报告提交招标人。最终的项目验收以甲方验收合格为准。</w:t>
      </w:r>
    </w:p>
    <w:p>
      <w:pPr>
        <w:adjustRightInd w:val="0"/>
        <w:snapToGrid w:val="0"/>
        <w:spacing w:line="560" w:lineRule="exact"/>
        <w:ind w:firstLine="602"/>
        <w:outlineLvl w:val="0"/>
        <w:rPr>
          <w:rFonts w:ascii="仿宋_GB2312" w:hAnsi="仿宋" w:eastAsia="仿宋_GB2312"/>
          <w:b/>
          <w:sz w:val="28"/>
          <w:szCs w:val="28"/>
          <w:highlight w:val="none"/>
        </w:rPr>
      </w:pPr>
      <w:r>
        <w:rPr>
          <w:rFonts w:hint="eastAsia" w:ascii="仿宋_GB2312" w:hAnsi="仿宋" w:eastAsia="仿宋_GB2312"/>
          <w:b/>
          <w:sz w:val="28"/>
          <w:szCs w:val="28"/>
          <w:highlight w:val="none"/>
        </w:rPr>
        <w:t>十、货款支付</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1、甲乙双方共同根据合同的要求对设备完成安装调试，并进行使用验收且最终项目验收合格后，甲方收到乙方开具的税率为13%的增值税专用发票后15个工作日内，向乙方支付合同总价95%的货款</w:t>
      </w:r>
      <w:r>
        <w:rPr>
          <w:rFonts w:hint="eastAsia" w:ascii="仿宋_GB2312" w:hAnsi="仿宋" w:eastAsia="仿宋_GB2312"/>
          <w:sz w:val="28"/>
          <w:szCs w:val="28"/>
          <w:highlight w:val="none"/>
          <w:u w:val="single"/>
        </w:rPr>
        <w:t xml:space="preserve">¥       元（人民币：                      </w:t>
      </w:r>
      <w:r>
        <w:rPr>
          <w:rFonts w:hint="eastAsia" w:ascii="仿宋_GB2312" w:hAnsi="仿宋" w:eastAsia="仿宋_GB2312"/>
          <w:sz w:val="28"/>
          <w:szCs w:val="28"/>
          <w:highlight w:val="none"/>
        </w:rPr>
        <w:t xml:space="preserve">     </w:t>
      </w:r>
      <w:r>
        <w:rPr>
          <w:rFonts w:hint="eastAsia" w:ascii="仿宋_GB2312" w:hAnsi="仿宋" w:eastAsia="仿宋_GB2312"/>
          <w:sz w:val="28"/>
          <w:szCs w:val="28"/>
          <w:highlight w:val="none"/>
          <w:u w:val="single"/>
        </w:rPr>
        <w:t>元整 ）</w:t>
      </w:r>
      <w:r>
        <w:rPr>
          <w:rFonts w:hint="eastAsia" w:ascii="仿宋_GB2312" w:hAnsi="仿宋" w:eastAsia="仿宋_GB2312"/>
          <w:sz w:val="28"/>
          <w:szCs w:val="28"/>
          <w:highlight w:val="none"/>
        </w:rPr>
        <w:t>。</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2、合同总价的5%合同款</w:t>
      </w:r>
      <w:r>
        <w:rPr>
          <w:rFonts w:hint="eastAsia" w:ascii="仿宋_GB2312" w:hAnsi="仿宋" w:eastAsia="仿宋_GB2312"/>
          <w:sz w:val="28"/>
          <w:szCs w:val="28"/>
          <w:highlight w:val="none"/>
          <w:u w:val="single"/>
        </w:rPr>
        <w:t>¥       元（人民币        元整）</w:t>
      </w:r>
      <w:r>
        <w:rPr>
          <w:rFonts w:hint="eastAsia" w:ascii="仿宋_GB2312" w:hAnsi="仿宋" w:eastAsia="仿宋_GB2312"/>
          <w:sz w:val="28"/>
          <w:szCs w:val="28"/>
          <w:highlight w:val="none"/>
        </w:rPr>
        <w:t>作为质量保证金。待质保期满后，由甲方确认其售后服务质量不存在任何违约情形后，一次性无息支付其质量保证金。</w:t>
      </w:r>
    </w:p>
    <w:p>
      <w:pPr>
        <w:pStyle w:val="46"/>
        <w:spacing w:before="150" w:after="150" w:line="560" w:lineRule="exact"/>
        <w:ind w:firstLine="562" w:firstLineChars="200"/>
        <w:rPr>
          <w:rFonts w:ascii="仿宋_GB2312" w:eastAsia="仿宋_GB2312"/>
          <w:b/>
          <w:color w:val="444444"/>
          <w:sz w:val="28"/>
          <w:szCs w:val="28"/>
          <w:highlight w:val="none"/>
          <w:lang w:val="zh-CN"/>
        </w:rPr>
      </w:pPr>
      <w:r>
        <w:rPr>
          <w:rFonts w:hint="eastAsia" w:ascii="仿宋_GB2312" w:eastAsia="仿宋_GB2312"/>
          <w:b/>
          <w:color w:val="444444"/>
          <w:sz w:val="28"/>
          <w:szCs w:val="28"/>
          <w:highlight w:val="none"/>
        </w:rPr>
        <w:t>十一、</w:t>
      </w:r>
      <w:r>
        <w:rPr>
          <w:rFonts w:hint="eastAsia" w:ascii="仿宋_GB2312" w:eastAsia="仿宋_GB2312"/>
          <w:b/>
          <w:color w:val="444444"/>
          <w:sz w:val="28"/>
          <w:szCs w:val="28"/>
          <w:highlight w:val="none"/>
          <w:lang w:val="zh-CN"/>
        </w:rPr>
        <w:t>履约保证金</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1．乙方应在收到甲方中标通知书后【15】日内，向甲方支付合同总价的【10% 】作为履约保证金。如果逾期未缴纳，甲方有权解除本合同，并要求乙方承担由此给甲方造成的损失。</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2．在合同履行期间，如果乙方存在违约情形，甲方有权优先从履约保证金中扣除相应款项，并书面通知乙方。乙方自收到书面通知之日起【15】日内补足履约保证金。如果乙方不及时补足履约保证金，视为乙方违约，甲方有权解除合同，并要求乙方承担相应的违约责任。待合同约定服务内容全部履行并完毕，乙方不存在任何违约情形并收到甲方书面认可后【15】日内，甲方无息返还履约保证金。</w:t>
      </w:r>
    </w:p>
    <w:p>
      <w:pPr>
        <w:adjustRightInd w:val="0"/>
        <w:snapToGrid w:val="0"/>
        <w:spacing w:line="560" w:lineRule="exact"/>
        <w:ind w:firstLine="602"/>
        <w:outlineLvl w:val="0"/>
        <w:rPr>
          <w:rFonts w:ascii="仿宋_GB2312" w:hAnsi="仿宋" w:eastAsia="仿宋_GB2312"/>
          <w:b/>
          <w:sz w:val="28"/>
          <w:szCs w:val="28"/>
          <w:highlight w:val="none"/>
        </w:rPr>
      </w:pPr>
      <w:r>
        <w:rPr>
          <w:rFonts w:hint="eastAsia" w:ascii="仿宋_GB2312" w:hAnsi="仿宋" w:eastAsia="仿宋_GB2312"/>
          <w:b/>
          <w:sz w:val="28"/>
          <w:szCs w:val="28"/>
          <w:highlight w:val="none"/>
        </w:rPr>
        <w:t>十二、免费质保期及服务内容</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1、乙方保证其所供应的产品符合相关产品质量标准，不存在任何质量瑕疵或因质量瑕疵而导致的安全隐患，且为未经使用的全新产品。</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2、乙方应为产品提供【36】个月的免费质保期(含工时费和零部件费)，时间自甲方最终签署安装验收合格报告之日起计算。</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3、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4． 乙方提供【7X24】小时售后服务，在接到报修通知后，维修人员应在【24】小时内赶到杭州萧山国际机场，并连续进行维修，直到产品恢复正常。修复部分的质保期自修复之日起重新开始计算。</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5． 免费质保期结束的【10】天前，乙方负责对产品进行一次全面的检修和维护，并由甲方验收认可。甲方验收认可并不免除乙方对于验收认可后发生的但尚在质保期限内的产品故障或损坏的维修、退换货义务。</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6、若乙方提供的产品属于伪劣产品或者假冒产品或者欺诈甲方，使得甲方遭受损失，乙方应向甲方承担违约责任，同时，甲方可依法寻求其他法律救济。</w:t>
      </w:r>
    </w:p>
    <w:p>
      <w:pPr>
        <w:adjustRightInd w:val="0"/>
        <w:snapToGrid w:val="0"/>
        <w:spacing w:line="560" w:lineRule="exact"/>
        <w:ind w:firstLine="602"/>
        <w:outlineLvl w:val="0"/>
        <w:rPr>
          <w:rFonts w:ascii="仿宋_GB2312" w:hAnsi="仿宋" w:eastAsia="仿宋_GB2312"/>
          <w:b/>
          <w:sz w:val="28"/>
          <w:szCs w:val="28"/>
          <w:highlight w:val="none"/>
        </w:rPr>
      </w:pPr>
      <w:r>
        <w:rPr>
          <w:rFonts w:hint="eastAsia" w:ascii="仿宋_GB2312" w:hAnsi="仿宋" w:eastAsia="仿宋_GB2312"/>
          <w:b/>
          <w:sz w:val="28"/>
          <w:szCs w:val="28"/>
          <w:highlight w:val="none"/>
        </w:rPr>
        <w:t>十三、违约责任</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1. 甲方无故逾期支付货款的,甲方应按逾期付款总额每日【0.1】%向乙方支付违约金。</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 xml:space="preserve">2. 乙方逾期交付产品和本合同规定的文件资料的，或者未按甲方时间要求完成安装调试并通过甲方终验收的，乙方应按合同总额每日【0.1】%向甲方支付违约金，由甲方从货款中扣除。逾期超过约定日期【15】个工作日的，甲方可解除本合同。乙方因逾期交货或因其他违约行为导致甲方解除合同的，乙方应向甲方支付合同总额【10%】%的违约金，且全额没收乙方的履约保证金，如造成甲方损失超过违约金的，超出部分由乙方继续承担赔偿责任。 </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3. 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并没收全部履约保证金。</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4．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5. 乙方不在约定期限内派人维修或维修质量验收不合格的，甲方可以委托他人修理，费用由乙方承担，甲方与第三方确认后可直接从质保金中扣除；履约保证金不足以抵扣的，继续向乙方追偿。</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7．对于本合同项下乙方应支付的赔偿款或违约金，甲方有权从应付乙方的货款及履约保证金中直接扣除，不足的部分，继续向乙方追偿。</w:t>
      </w:r>
    </w:p>
    <w:p>
      <w:pPr>
        <w:adjustRightInd w:val="0"/>
        <w:snapToGrid w:val="0"/>
        <w:spacing w:line="560" w:lineRule="exact"/>
        <w:ind w:firstLine="602"/>
        <w:outlineLvl w:val="0"/>
        <w:rPr>
          <w:rFonts w:ascii="仿宋_GB2312" w:hAnsi="仿宋" w:eastAsia="仿宋_GB2312"/>
          <w:b/>
          <w:sz w:val="28"/>
          <w:szCs w:val="28"/>
          <w:highlight w:val="none"/>
        </w:rPr>
      </w:pPr>
      <w:r>
        <w:rPr>
          <w:rFonts w:hint="eastAsia" w:ascii="仿宋_GB2312" w:hAnsi="仿宋" w:eastAsia="仿宋_GB2312"/>
          <w:b/>
          <w:sz w:val="28"/>
          <w:szCs w:val="28"/>
          <w:highlight w:val="none"/>
        </w:rPr>
        <w:t>十四、不可抗力事件处理</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2. 不可抗力事件发生后，遭遇不可抗力的一方应立即通知对方，并寄送有关官方权威机构出具的证明。</w:t>
      </w:r>
    </w:p>
    <w:p>
      <w:pPr>
        <w:spacing w:line="560" w:lineRule="exact"/>
        <w:ind w:firstLine="532" w:firstLineChars="190"/>
        <w:rPr>
          <w:rFonts w:ascii="仿宋_GB2312" w:hAnsi="仿宋" w:eastAsia="仿宋_GB2312"/>
          <w:sz w:val="28"/>
          <w:szCs w:val="28"/>
          <w:highlight w:val="none"/>
        </w:rPr>
      </w:pPr>
      <w:r>
        <w:rPr>
          <w:rFonts w:hint="eastAsia" w:ascii="仿宋_GB2312" w:hAnsi="仿宋" w:eastAsia="仿宋_GB2312"/>
          <w:sz w:val="28"/>
          <w:szCs w:val="28"/>
          <w:highlight w:val="none"/>
        </w:rPr>
        <w:t>3. 不可抗力事件延续【30】天以上，双方应通过友好协商，确定是否继续履行合同；协商无法达成一致的，本合同自动终止，双方互不承担赔偿或违约责任。</w:t>
      </w:r>
    </w:p>
    <w:p>
      <w:pPr>
        <w:adjustRightInd w:val="0"/>
        <w:snapToGrid w:val="0"/>
        <w:spacing w:line="560" w:lineRule="exact"/>
        <w:ind w:firstLine="602"/>
        <w:rPr>
          <w:rFonts w:ascii="仿宋_GB2312" w:hAnsi="仿宋" w:eastAsia="仿宋_GB2312"/>
          <w:b/>
          <w:sz w:val="28"/>
          <w:szCs w:val="28"/>
          <w:highlight w:val="none"/>
        </w:rPr>
      </w:pPr>
      <w:r>
        <w:rPr>
          <w:rFonts w:hint="eastAsia" w:ascii="仿宋_GB2312" w:hAnsi="仿宋" w:eastAsia="仿宋_GB2312"/>
          <w:b/>
          <w:sz w:val="28"/>
          <w:szCs w:val="28"/>
          <w:highlight w:val="none"/>
        </w:rPr>
        <w:t>十五、争议解决</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双方在执行合同中所发生的一切争议，应通过协商解决。如协商不成，由甲方所在地的人民法院管辖审理。</w:t>
      </w:r>
    </w:p>
    <w:p>
      <w:pPr>
        <w:adjustRightInd w:val="0"/>
        <w:snapToGrid w:val="0"/>
        <w:spacing w:line="560" w:lineRule="exact"/>
        <w:ind w:firstLine="562" w:firstLineChars="200"/>
        <w:rPr>
          <w:rFonts w:ascii="仿宋_GB2312" w:hAnsi="仿宋" w:eastAsia="仿宋_GB2312"/>
          <w:b/>
          <w:sz w:val="28"/>
          <w:szCs w:val="28"/>
          <w:highlight w:val="none"/>
        </w:rPr>
      </w:pPr>
      <w:r>
        <w:rPr>
          <w:rFonts w:hint="eastAsia" w:ascii="仿宋_GB2312" w:hAnsi="仿宋" w:eastAsia="仿宋_GB2312"/>
          <w:b/>
          <w:sz w:val="28"/>
          <w:szCs w:val="28"/>
          <w:highlight w:val="none"/>
        </w:rPr>
        <w:t>十六、合同组成文件包含下列内容，且解释顺序如下：</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1.本合同协议书</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2.中标通知书</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3.投标书及其附件</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4.招标文件</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5.标准、规范及有关技术文件</w:t>
      </w:r>
    </w:p>
    <w:p>
      <w:pPr>
        <w:adjustRightInd w:val="0"/>
        <w:snapToGrid w:val="0"/>
        <w:spacing w:line="560" w:lineRule="exact"/>
        <w:ind w:firstLine="602"/>
        <w:outlineLvl w:val="0"/>
        <w:rPr>
          <w:rFonts w:ascii="仿宋_GB2312" w:hAnsi="仿宋" w:eastAsia="仿宋_GB2312"/>
          <w:b/>
          <w:sz w:val="28"/>
          <w:szCs w:val="28"/>
          <w:highlight w:val="none"/>
        </w:rPr>
      </w:pPr>
      <w:r>
        <w:rPr>
          <w:rFonts w:hint="eastAsia" w:ascii="仿宋_GB2312" w:hAnsi="仿宋" w:eastAsia="仿宋_GB2312"/>
          <w:b/>
          <w:sz w:val="28"/>
          <w:szCs w:val="28"/>
          <w:highlight w:val="none"/>
        </w:rPr>
        <w:t>十七、合同生效及其它</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1. 合同经双方法定代表人或授权代表签字（包含签章）并加盖单位公章或者合同章之日起生效。</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2.本合同未尽事宜，双方可签订补充协议予以执行；未达成补充协议的，遵照《合同法》及有关法律法规执行。</w:t>
      </w:r>
    </w:p>
    <w:p>
      <w:pPr>
        <w:tabs>
          <w:tab w:val="right" w:pos="8306"/>
        </w:tabs>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3.本合同一式陆份，甲执四份，乙方持二份，具有同等法律效力。</w:t>
      </w:r>
    </w:p>
    <w:p>
      <w:pPr>
        <w:tabs>
          <w:tab w:val="right" w:pos="8306"/>
        </w:tabs>
        <w:adjustRightInd w:val="0"/>
        <w:snapToGrid w:val="0"/>
        <w:spacing w:line="560" w:lineRule="exact"/>
        <w:rPr>
          <w:rFonts w:ascii="仿宋_GB2312" w:hAnsi="仿宋" w:eastAsia="仿宋_GB2312"/>
          <w:sz w:val="28"/>
          <w:szCs w:val="28"/>
          <w:highlight w:val="none"/>
        </w:rPr>
        <w:sectPr>
          <w:pgSz w:w="11906" w:h="16838"/>
          <w:pgMar w:top="1134" w:right="1247" w:bottom="1134" w:left="1247" w:header="851" w:footer="992" w:gutter="0"/>
          <w:pgNumType w:fmt="numberInDash"/>
          <w:cols w:space="720" w:num="1"/>
          <w:docGrid w:linePitch="312" w:charSpace="0"/>
        </w:sectPr>
      </w:pPr>
    </w:p>
    <w:p>
      <w:pPr>
        <w:tabs>
          <w:tab w:val="right" w:pos="8306"/>
        </w:tabs>
        <w:adjustRightInd w:val="0"/>
        <w:snapToGrid w:val="0"/>
        <w:spacing w:line="560" w:lineRule="exact"/>
        <w:rPr>
          <w:rFonts w:ascii="仿宋_GB2312" w:hAnsi="仿宋" w:eastAsia="仿宋_GB2312"/>
          <w:sz w:val="28"/>
          <w:szCs w:val="28"/>
          <w:highlight w:val="none"/>
        </w:rPr>
      </w:pPr>
    </w:p>
    <w:p>
      <w:pPr>
        <w:tabs>
          <w:tab w:val="right" w:pos="8306"/>
        </w:tabs>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（以下为签署页）</w:t>
      </w:r>
    </w:p>
    <w:p>
      <w:pPr>
        <w:tabs>
          <w:tab w:val="right" w:pos="8306"/>
        </w:tabs>
        <w:adjustRightInd w:val="0"/>
        <w:snapToGrid w:val="0"/>
        <w:spacing w:line="560" w:lineRule="exact"/>
        <w:rPr>
          <w:rFonts w:ascii="仿宋_GB2312" w:hAnsi="仿宋" w:eastAsia="仿宋_GB2312"/>
          <w:sz w:val="28"/>
          <w:szCs w:val="28"/>
          <w:highlight w:val="none"/>
        </w:rPr>
      </w:pPr>
    </w:p>
    <w:p>
      <w:pPr>
        <w:tabs>
          <w:tab w:val="right" w:pos="8306"/>
        </w:tabs>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ab/>
      </w:r>
    </w:p>
    <w:p>
      <w:pPr>
        <w:adjustRightInd w:val="0"/>
        <w:snapToGrid w:val="0"/>
        <w:spacing w:line="560" w:lineRule="exact"/>
        <w:ind w:left="4480" w:hanging="4480" w:hangingChars="1600"/>
        <w:rPr>
          <w:rFonts w:ascii="仿宋_GB2312" w:hAnsi="仿宋" w:eastAsia="仿宋_GB2312"/>
          <w:sz w:val="28"/>
          <w:szCs w:val="28"/>
          <w:highlight w:val="none"/>
        </w:rPr>
      </w:pPr>
      <w:r>
        <w:rPr>
          <w:rFonts w:hint="eastAsia" w:ascii="仿宋_GB2312" w:hAnsi="仿宋" w:eastAsia="仿宋_GB2312"/>
          <w:sz w:val="28"/>
          <w:szCs w:val="28"/>
          <w:highlight w:val="none"/>
        </w:rPr>
        <w:t>甲方：杭州萧山国际机场有限公司  乙方：</w:t>
      </w:r>
    </w:p>
    <w:p>
      <w:pPr>
        <w:adjustRightInd w:val="0"/>
        <w:snapToGrid w:val="0"/>
        <w:spacing w:line="560" w:lineRule="exact"/>
        <w:ind w:left="6750" w:hanging="6750"/>
        <w:rPr>
          <w:rFonts w:ascii="仿宋_GB2312" w:hAnsi="仿宋" w:eastAsia="仿宋_GB2312"/>
          <w:sz w:val="28"/>
          <w:szCs w:val="28"/>
          <w:highlight w:val="none"/>
        </w:rPr>
      </w:pPr>
      <w:r>
        <w:rPr>
          <w:rFonts w:hint="eastAsia" w:ascii="仿宋_GB2312" w:hAnsi="仿宋" w:eastAsia="仿宋_GB2312"/>
          <w:sz w:val="28"/>
          <w:szCs w:val="28"/>
          <w:highlight w:val="none"/>
        </w:rPr>
        <w:t>地址：杭州萧山国际机场内        地址：</w:t>
      </w:r>
    </w:p>
    <w:p>
      <w:pPr>
        <w:adjustRightInd w:val="0"/>
        <w:snapToGrid w:val="0"/>
        <w:spacing w:line="560" w:lineRule="exact"/>
        <w:ind w:left="6750" w:hanging="6750"/>
        <w:rPr>
          <w:rFonts w:ascii="仿宋_GB2312" w:hAnsi="仿宋" w:eastAsia="仿宋_GB2312"/>
          <w:sz w:val="28"/>
          <w:szCs w:val="28"/>
          <w:highlight w:val="none"/>
        </w:rPr>
      </w:pPr>
    </w:p>
    <w:p>
      <w:pPr>
        <w:adjustRightInd w:val="0"/>
        <w:snapToGrid w:val="0"/>
        <w:spacing w:line="560" w:lineRule="exact"/>
        <w:rPr>
          <w:rFonts w:ascii="仿宋_GB2312" w:hAnsi="仿宋" w:eastAsia="仿宋_GB2312"/>
          <w:sz w:val="28"/>
          <w:szCs w:val="28"/>
          <w:highlight w:val="none"/>
        </w:rPr>
      </w:pPr>
      <w:r>
        <w:rPr>
          <w:rFonts w:hint="eastAsia" w:ascii="仿宋_GB2312" w:hAnsi="仿宋" w:eastAsia="仿宋_GB2312"/>
          <w:sz w:val="28"/>
          <w:szCs w:val="28"/>
          <w:highlight w:val="none"/>
        </w:rPr>
        <w:t>法定代表人：                     法定代表人：</w:t>
      </w:r>
    </w:p>
    <w:p>
      <w:pPr>
        <w:adjustRightInd w:val="0"/>
        <w:snapToGrid w:val="0"/>
        <w:spacing w:line="560" w:lineRule="exact"/>
        <w:rPr>
          <w:rFonts w:ascii="仿宋_GB2312" w:hAnsi="仿宋" w:eastAsia="仿宋_GB2312"/>
          <w:sz w:val="28"/>
          <w:szCs w:val="28"/>
          <w:highlight w:val="none"/>
        </w:rPr>
      </w:pPr>
      <w:r>
        <w:rPr>
          <w:rFonts w:hint="eastAsia" w:ascii="仿宋_GB2312" w:hAnsi="仿宋" w:eastAsia="仿宋_GB2312"/>
          <w:sz w:val="28"/>
          <w:szCs w:val="28"/>
          <w:highlight w:val="none"/>
        </w:rPr>
        <w:t>或                               或</w:t>
      </w:r>
    </w:p>
    <w:p>
      <w:pPr>
        <w:adjustRightInd w:val="0"/>
        <w:snapToGrid w:val="0"/>
        <w:spacing w:line="560" w:lineRule="exact"/>
        <w:rPr>
          <w:rFonts w:ascii="仿宋_GB2312" w:hAnsi="仿宋" w:eastAsia="仿宋_GB2312"/>
          <w:sz w:val="28"/>
          <w:szCs w:val="28"/>
          <w:highlight w:val="none"/>
        </w:rPr>
      </w:pPr>
      <w:r>
        <w:rPr>
          <w:rFonts w:hint="eastAsia" w:ascii="仿宋_GB2312" w:hAnsi="仿宋" w:eastAsia="仿宋_GB2312"/>
          <w:sz w:val="28"/>
          <w:szCs w:val="28"/>
          <w:highlight w:val="none"/>
        </w:rPr>
        <w:t>授权代表：                       授权代表：</w:t>
      </w:r>
    </w:p>
    <w:p>
      <w:pPr>
        <w:adjustRightInd w:val="0"/>
        <w:snapToGrid w:val="0"/>
        <w:spacing w:line="560" w:lineRule="exact"/>
        <w:rPr>
          <w:rFonts w:ascii="仿宋_GB2312" w:hAnsi="仿宋" w:eastAsia="仿宋_GB2312"/>
          <w:b/>
          <w:sz w:val="28"/>
          <w:szCs w:val="28"/>
          <w:highlight w:val="none"/>
        </w:rPr>
      </w:pPr>
      <w:r>
        <w:rPr>
          <w:rFonts w:hint="eastAsia" w:ascii="仿宋_GB2312" w:hAnsi="仿宋" w:eastAsia="仿宋_GB2312"/>
          <w:sz w:val="28"/>
          <w:szCs w:val="28"/>
          <w:highlight w:val="none"/>
        </w:rPr>
        <w:t xml:space="preserve">签字日期：                       签字日期： </w:t>
      </w:r>
    </w:p>
    <w:p>
      <w:pPr>
        <w:adjustRightInd w:val="0"/>
        <w:snapToGrid w:val="0"/>
        <w:spacing w:line="560" w:lineRule="exact"/>
        <w:ind w:firstLine="560" w:firstLineChars="200"/>
        <w:rPr>
          <w:rFonts w:ascii="仿宋_GB2312" w:hAnsi="仿宋" w:eastAsia="仿宋_GB2312"/>
          <w:b/>
          <w:sz w:val="28"/>
          <w:szCs w:val="28"/>
          <w:highlight w:val="none"/>
        </w:rPr>
      </w:pPr>
      <w:r>
        <w:rPr>
          <w:rFonts w:hint="eastAsia" w:ascii="仿宋_GB2312" w:hAnsi="仿宋" w:eastAsia="仿宋_GB2312"/>
          <w:sz w:val="28"/>
          <w:szCs w:val="28"/>
          <w:highlight w:val="none"/>
        </w:rPr>
        <w:t>年  月  日                      年  月  日</w:t>
      </w:r>
    </w:p>
    <w:p>
      <w:pPr>
        <w:spacing w:line="560" w:lineRule="exact"/>
        <w:ind w:firstLine="560" w:firstLineChars="200"/>
        <w:rPr>
          <w:rFonts w:ascii="仿宋_GB2312" w:eastAsia="仿宋_GB2312"/>
          <w:sz w:val="28"/>
          <w:szCs w:val="28"/>
          <w:highlight w:val="none"/>
        </w:rPr>
      </w:pPr>
    </w:p>
    <w:p>
      <w:pPr>
        <w:spacing w:line="560" w:lineRule="exact"/>
        <w:rPr>
          <w:rFonts w:ascii="仿宋_GB2312" w:eastAsia="仿宋_GB2312"/>
          <w:sz w:val="28"/>
          <w:szCs w:val="28"/>
          <w:highlight w:val="none"/>
        </w:rPr>
      </w:pPr>
    </w:p>
    <w:p>
      <w:pPr>
        <w:spacing w:line="560" w:lineRule="exact"/>
        <w:rPr>
          <w:rFonts w:ascii="仿宋_GB2312" w:eastAsia="仿宋_GB2312"/>
          <w:sz w:val="28"/>
          <w:szCs w:val="28"/>
          <w:highlight w:val="none"/>
        </w:rPr>
      </w:pPr>
    </w:p>
    <w:p>
      <w:pPr>
        <w:spacing w:line="560" w:lineRule="exact"/>
        <w:rPr>
          <w:rFonts w:ascii="仿宋_GB2312" w:eastAsia="仿宋_GB2312"/>
          <w:sz w:val="28"/>
          <w:szCs w:val="28"/>
          <w:highlight w:val="none"/>
        </w:rPr>
      </w:pPr>
    </w:p>
    <w:p>
      <w:pPr>
        <w:spacing w:line="560" w:lineRule="exact"/>
        <w:rPr>
          <w:rFonts w:ascii="仿宋_GB2312" w:eastAsia="仿宋_GB2312"/>
          <w:sz w:val="28"/>
          <w:szCs w:val="28"/>
          <w:highlight w:val="none"/>
        </w:rPr>
      </w:pPr>
    </w:p>
    <w:p>
      <w:pPr>
        <w:spacing w:line="560" w:lineRule="exact"/>
        <w:rPr>
          <w:rFonts w:ascii="仿宋_GB2312" w:eastAsia="仿宋_GB2312"/>
          <w:sz w:val="28"/>
          <w:szCs w:val="28"/>
          <w:highlight w:val="none"/>
        </w:rPr>
      </w:pPr>
    </w:p>
    <w:p>
      <w:pPr>
        <w:spacing w:line="560" w:lineRule="exact"/>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r>
        <w:rPr>
          <w:rFonts w:hint="eastAsia" w:ascii="仿宋_GB2312" w:eastAsia="仿宋_GB2312"/>
          <w:sz w:val="28"/>
          <w:szCs w:val="28"/>
          <w:highlight w:val="none"/>
        </w:rPr>
        <w:t>附件1：</w:t>
      </w:r>
    </w:p>
    <w:p>
      <w:pPr>
        <w:pStyle w:val="123"/>
        <w:spacing w:line="360" w:lineRule="exact"/>
        <w:ind w:firstLine="560"/>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杭州萧山国际机场有限公司廉洁自律承诺书</w:t>
      </w:r>
    </w:p>
    <w:p>
      <w:pPr>
        <w:pStyle w:val="123"/>
        <w:spacing w:line="360" w:lineRule="exact"/>
        <w:ind w:firstLine="560"/>
        <w:rPr>
          <w:rFonts w:ascii="仿宋_GB2312" w:hAnsi="宋体" w:eastAsia="仿宋_GB2312"/>
          <w:color w:val="auto"/>
          <w:sz w:val="28"/>
          <w:szCs w:val="28"/>
          <w:highlight w:val="none"/>
        </w:rPr>
      </w:pPr>
    </w:p>
    <w:p>
      <w:pPr>
        <w:pStyle w:val="123"/>
        <w:spacing w:line="360" w:lineRule="exact"/>
        <w:ind w:firstLine="56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杭州萧山国际机场有限公司：</w:t>
      </w:r>
    </w:p>
    <w:p>
      <w:pPr>
        <w:pStyle w:val="123"/>
        <w:spacing w:line="360" w:lineRule="exact"/>
        <w:ind w:firstLine="56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我单位响应贵公司项目招标要求，参加项目投标。在投标过程中及中标后，我们将严格遵守国家法律法规和贵司招标文件要求，并郑重作出如下承诺和保证：</w:t>
      </w:r>
    </w:p>
    <w:p>
      <w:pPr>
        <w:pStyle w:val="123"/>
        <w:spacing w:line="360" w:lineRule="exact"/>
        <w:ind w:firstLine="56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23"/>
        <w:spacing w:line="360" w:lineRule="exact"/>
        <w:ind w:firstLine="56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二、不以任何名义为贵公司有关人员或项目第三方人员报销应由贵公司或个人支付的费用；</w:t>
      </w:r>
    </w:p>
    <w:p>
      <w:pPr>
        <w:pStyle w:val="123"/>
        <w:spacing w:line="360" w:lineRule="exact"/>
        <w:ind w:firstLine="56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三、不向贵公司有关人员或项目第三方人员提供宴请、旅游、和健身娱乐等活动；</w:t>
      </w:r>
    </w:p>
    <w:p>
      <w:pPr>
        <w:pStyle w:val="123"/>
        <w:spacing w:line="360" w:lineRule="exact"/>
        <w:ind w:firstLine="56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四、不为贵公司有关人员或项目第三方人员出国（境）、旅游等提供方便；</w:t>
      </w:r>
    </w:p>
    <w:p>
      <w:pPr>
        <w:pStyle w:val="123"/>
        <w:spacing w:line="360" w:lineRule="exact"/>
        <w:ind w:firstLine="56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五、不为贵公司有关人员或项目第三方人员个人装修住房、婚丧嫁娶、配偶子女工作安排等提供好处或便利条件；</w:t>
      </w:r>
    </w:p>
    <w:p>
      <w:pPr>
        <w:pStyle w:val="123"/>
        <w:spacing w:line="360" w:lineRule="exact"/>
        <w:ind w:firstLine="56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六、严格遵守国家招标投标法、合同法等法律规定，诚实守信，合法经营，坚决杜绝各种违法违纪行为。</w:t>
      </w:r>
    </w:p>
    <w:p>
      <w:pPr>
        <w:pStyle w:val="123"/>
        <w:spacing w:line="360" w:lineRule="exact"/>
        <w:ind w:firstLine="56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123"/>
        <w:spacing w:line="360" w:lineRule="exact"/>
        <w:ind w:firstLine="56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八、如违反上述廉洁自律承诺，贵公司有权：</w:t>
      </w:r>
    </w:p>
    <w:p>
      <w:pPr>
        <w:pStyle w:val="123"/>
        <w:spacing w:line="360" w:lineRule="exact"/>
        <w:ind w:firstLine="56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（1）立即取消我单位投标、中标或在建项目的实施资格；</w:t>
      </w:r>
    </w:p>
    <w:p>
      <w:pPr>
        <w:pStyle w:val="123"/>
        <w:spacing w:line="360" w:lineRule="exact"/>
        <w:ind w:firstLine="56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（2）扣除我方向贵公司缴纳的履约保证金的10%作为违反廉洁自律承诺的违约金。如该违约金不足以弥补贵公司损失的，我单位仍将承担实际损失赔偿责任。</w:t>
      </w:r>
    </w:p>
    <w:p>
      <w:pPr>
        <w:pStyle w:val="123"/>
        <w:spacing w:line="360" w:lineRule="exact"/>
        <w:ind w:firstLine="56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（3）拒绝我单位在一定时期内进入贵公司进行项目建设或其它经营活动；</w:t>
      </w:r>
    </w:p>
    <w:p>
      <w:pPr>
        <w:pStyle w:val="123"/>
        <w:spacing w:line="360" w:lineRule="exact"/>
        <w:ind w:firstLine="56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（4）由此引起的相应损失均由我单位承担。</w:t>
      </w:r>
    </w:p>
    <w:p>
      <w:pPr>
        <w:pStyle w:val="123"/>
        <w:spacing w:line="360" w:lineRule="exact"/>
        <w:ind w:firstLine="560"/>
        <w:rPr>
          <w:rFonts w:ascii="仿宋_GB2312" w:hAnsi="宋体" w:eastAsia="仿宋_GB2312"/>
          <w:color w:val="auto"/>
          <w:sz w:val="28"/>
          <w:szCs w:val="28"/>
          <w:highlight w:val="none"/>
        </w:rPr>
      </w:pPr>
    </w:p>
    <w:p>
      <w:pPr>
        <w:pStyle w:val="123"/>
        <w:spacing w:line="360" w:lineRule="exact"/>
        <w:ind w:firstLine="0" w:firstLineChars="0"/>
        <w:rPr>
          <w:rFonts w:ascii="仿宋_GB2312" w:hAnsi="宋体" w:eastAsia="仿宋_GB2312"/>
          <w:color w:val="auto"/>
          <w:sz w:val="28"/>
          <w:szCs w:val="28"/>
          <w:highlight w:val="none"/>
        </w:rPr>
      </w:pPr>
    </w:p>
    <w:p>
      <w:pPr>
        <w:pStyle w:val="123"/>
        <w:spacing w:line="360" w:lineRule="exact"/>
        <w:ind w:firstLine="56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承诺人单位名称（盖章）：            </w:t>
      </w:r>
    </w:p>
    <w:p>
      <w:pPr>
        <w:pStyle w:val="123"/>
        <w:spacing w:line="360" w:lineRule="exact"/>
        <w:ind w:firstLine="56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法定代表人 ：                    </w:t>
      </w:r>
    </w:p>
    <w:p>
      <w:pPr>
        <w:pStyle w:val="123"/>
        <w:spacing w:line="360" w:lineRule="exact"/>
        <w:ind w:firstLine="56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或                            </w:t>
      </w:r>
    </w:p>
    <w:p>
      <w:pPr>
        <w:pStyle w:val="123"/>
        <w:spacing w:line="360" w:lineRule="exact"/>
        <w:ind w:firstLine="56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委托代理人：                   </w:t>
      </w:r>
    </w:p>
    <w:p>
      <w:pPr>
        <w:pStyle w:val="123"/>
        <w:spacing w:line="360" w:lineRule="exact"/>
        <w:ind w:firstLine="560"/>
        <w:rPr>
          <w:rFonts w:ascii="仿宋_GB2312" w:hAnsi="宋体" w:eastAsia="仿宋_GB2312"/>
          <w:color w:val="auto"/>
          <w:sz w:val="28"/>
          <w:szCs w:val="28"/>
          <w:highlight w:val="none"/>
        </w:rPr>
      </w:pPr>
    </w:p>
    <w:p>
      <w:pPr>
        <w:pStyle w:val="123"/>
        <w:spacing w:line="360" w:lineRule="exact"/>
        <w:ind w:firstLine="56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年     月     日</w:t>
      </w:r>
    </w:p>
    <w:p>
      <w:pPr>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附件2： </w:t>
      </w:r>
    </w:p>
    <w:p>
      <w:pPr>
        <w:spacing w:line="560" w:lineRule="exact"/>
        <w:jc w:val="center"/>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保密承诺书</w:t>
      </w:r>
    </w:p>
    <w:p>
      <w:pPr>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鉴于我方愿成为杭州萧山国际机场有限公司（以下简称“机场公司”）的供应商或潜在供应商候选人，为机场公司提供【杭州萧山国际机场台式爆炸物、毒品探测设备采购】项目的服务。在上述业务来往过程中，机场公司可能向我方提供经营、业务、服务等有关的文件、资料、软件等信息，为维护机场公司的利益，我方就保密事宜做出如下承诺：</w:t>
      </w:r>
    </w:p>
    <w:p>
      <w:pPr>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1.商业秘密</w:t>
      </w:r>
    </w:p>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1.1商业秘密是指机场公司（包括机场公司关联公司）一切专有、不对外公开的资料和信息。包括但不限于以下方面：</w:t>
      </w:r>
    </w:p>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（1）经营信息（发展规划、运营状况、客户资源、货源情报、投融资计划、开发计划、标书等）；</w:t>
      </w:r>
    </w:p>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（2）管理信息（管理方法、管理制度、员工管理、合同管理、纠纷管理等）；</w:t>
      </w:r>
    </w:p>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（3）产品及技术信息（设计及图纸、样品及服务、技术方案、质量标准、技术标准、计算机程序等）；</w:t>
      </w:r>
    </w:p>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（4）财务信息（财务收支、固定资产、流动资金、成本核算等）；</w:t>
      </w:r>
    </w:p>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（5）我方单独或机场公司（包括机场公司关联公司）和我方共同为机场公司开发、设计、生产的产品、资料及相关信息；</w:t>
      </w:r>
    </w:p>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（6）其他机场公司未对外公开的有关营运、计划、航班数据、标准、开发、生产、经营、质量管理控制和租赁的资料和数据等信息以及对供应商的管理文件。</w:t>
      </w:r>
    </w:p>
    <w:p>
      <w:pPr>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1.3、对于上述提及的商业秘密，不能仅因为公开发表的文章或资讯中包含其内容，就认为是可对外公开的特殊情况。</w:t>
      </w:r>
    </w:p>
    <w:p>
      <w:pPr>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1.4、以下资料不属于本承诺所指的商业秘密：</w:t>
      </w:r>
    </w:p>
    <w:p>
      <w:pPr>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（1）我方从机场公司拟获悉之前已持有的我方无需承担保密义务的机场公司有关资料(但通过其它违约或侵权行为而获得的资料除外)；</w:t>
      </w:r>
    </w:p>
    <w:p>
      <w:pPr>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（2）已经公开或已成为常识性的资料，且该等公开并非因违反本承诺所致。</w:t>
      </w:r>
    </w:p>
    <w:p>
      <w:pPr>
        <w:spacing w:line="560" w:lineRule="exact"/>
        <w:rPr>
          <w:rFonts w:ascii="仿宋_GB2312" w:hAnsi="仿宋_GB2312" w:eastAsia="仿宋_GB2312" w:cs="仿宋_GB2312"/>
          <w:sz w:val="28"/>
          <w:szCs w:val="28"/>
          <w:highlight w:val="none"/>
        </w:rPr>
      </w:pPr>
    </w:p>
    <w:p>
      <w:pPr>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仿宋_GB2312" w:hAnsi="仿宋_GB2312" w:eastAsia="仿宋_GB2312" w:cs="仿宋_GB2312"/>
          <w:sz w:val="28"/>
          <w:szCs w:val="28"/>
          <w:highlight w:val="none"/>
        </w:rPr>
      </w:pPr>
    </w:p>
    <w:p>
      <w:pPr>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仿宋_GB2312" w:hAnsi="仿宋_GB2312" w:eastAsia="仿宋_GB2312" w:cs="仿宋_GB2312"/>
          <w:sz w:val="28"/>
          <w:szCs w:val="28"/>
          <w:highlight w:val="none"/>
        </w:rPr>
      </w:pPr>
    </w:p>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（1）披露、使用或者允许他人以不正当手段获取的商业秘密；</w:t>
      </w:r>
    </w:p>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（2）为机场公司以外的第三人窃取、刺探、收买、非法提供商业秘密。</w:t>
      </w:r>
    </w:p>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（3）在电子公告系统、聊天系统、电子邮箱、论坛等计算机网络系统上传递、转发、抄送、发布、谈论和传播商业秘密；</w:t>
      </w:r>
    </w:p>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（4）在私人交往和通信中，向亲属、朋友以及与工作无关人员泄露商业秘密，或在公共场所谈论商业秘密； </w:t>
      </w:r>
    </w:p>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（5）擅自将属于商业秘密的文件、资料和其他物品携带、传递、寄运出机场公司办公场所或国（境）外。</w:t>
      </w:r>
    </w:p>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（6）未经机场公司同意就以任何方式私自保存、截留含有机场公司商业秘密的任何形式资料、文件和物品的复印件、复制品、副本。</w:t>
      </w:r>
    </w:p>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（7）将含有机场公司商业秘密的产品、技术或其他资料、信息向第三人销售、使用或以任何方式提供。</w:t>
      </w:r>
    </w:p>
    <w:p>
      <w:pPr>
        <w:adjustRightInd w:val="0"/>
        <w:snapToGrid w:val="0"/>
        <w:spacing w:line="560" w:lineRule="exact"/>
        <w:rPr>
          <w:rFonts w:ascii="仿宋_GB2312" w:hAnsi="仿宋_GB2312" w:eastAsia="仿宋_GB2312" w:cs="仿宋_GB2312"/>
          <w:sz w:val="28"/>
          <w:szCs w:val="28"/>
          <w:highlight w:val="none"/>
        </w:rPr>
      </w:pPr>
    </w:p>
    <w:p>
      <w:pPr>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仿宋_GB2312" w:hAnsi="仿宋_GB2312" w:eastAsia="仿宋_GB2312" w:cs="仿宋_GB2312"/>
          <w:sz w:val="28"/>
          <w:szCs w:val="28"/>
          <w:highlight w:val="none"/>
        </w:rPr>
      </w:pPr>
    </w:p>
    <w:p>
      <w:pPr>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仿宋_GB2312" w:hAnsi="仿宋_GB2312" w:eastAsia="仿宋_GB2312" w:cs="仿宋_GB2312"/>
          <w:sz w:val="28"/>
          <w:szCs w:val="28"/>
          <w:highlight w:val="none"/>
        </w:rPr>
      </w:pPr>
    </w:p>
    <w:p>
      <w:pPr>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仿宋_GB2312" w:hAnsi="仿宋_GB2312" w:eastAsia="仿宋_GB2312" w:cs="仿宋_GB2312"/>
          <w:sz w:val="28"/>
          <w:szCs w:val="28"/>
          <w:highlight w:val="none"/>
        </w:rPr>
      </w:pPr>
    </w:p>
    <w:p>
      <w:pPr>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8、违约责任</w:t>
      </w:r>
    </w:p>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8.1因我方违反保密义务的行为造成机场公司的一切损失，我方应当全部予以赔偿。</w:t>
      </w:r>
    </w:p>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8.2如我方违反本承诺书下保密义务，应当承担违约责任，除赔偿损失外，还应依据合同向机场公司支付相应的违约金；</w:t>
      </w:r>
    </w:p>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9、本承诺书适用中华人民共和国法律，如因履行本承诺书发生争议，则双方均有权向机场公司所在地法院提起诉讼。</w:t>
      </w:r>
    </w:p>
    <w:p>
      <w:pPr>
        <w:spacing w:line="560" w:lineRule="exact"/>
        <w:rPr>
          <w:rFonts w:ascii="仿宋_GB2312" w:hAnsi="仿宋_GB2312" w:eastAsia="仿宋_GB2312" w:cs="仿宋_GB2312"/>
          <w:sz w:val="28"/>
          <w:szCs w:val="28"/>
          <w:highlight w:val="none"/>
        </w:rPr>
      </w:pPr>
    </w:p>
    <w:p>
      <w:pPr>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供应商(盖章):</w:t>
      </w:r>
    </w:p>
    <w:p>
      <w:pPr>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法定代表人或授权代表：</w:t>
      </w:r>
    </w:p>
    <w:p>
      <w:pPr>
        <w:spacing w:line="560" w:lineRule="exact"/>
        <w:jc w:val="center"/>
        <w:rPr>
          <w:rFonts w:ascii="仿宋_GB2312" w:hAnsi="仿宋_GB2312" w:eastAsia="仿宋_GB2312" w:cs="仿宋_GB2312"/>
          <w:sz w:val="28"/>
          <w:szCs w:val="28"/>
          <w:highlight w:val="none"/>
        </w:rPr>
      </w:pPr>
    </w:p>
    <w:p>
      <w:pPr>
        <w:spacing w:line="560" w:lineRule="exact"/>
        <w:jc w:val="center"/>
        <w:rPr>
          <w:rFonts w:ascii="仿宋_GB2312" w:hAnsi="仿宋_GB2312" w:eastAsia="仿宋_GB2312" w:cs="仿宋_GB2312"/>
          <w:sz w:val="28"/>
          <w:szCs w:val="28"/>
          <w:highlight w:val="none"/>
        </w:rPr>
      </w:pPr>
    </w:p>
    <w:p>
      <w:pPr>
        <w:spacing w:line="560" w:lineRule="exact"/>
        <w:jc w:val="center"/>
        <w:rPr>
          <w:rFonts w:ascii="仿宋_GB2312" w:hAnsi="仿宋_GB2312" w:eastAsia="仿宋_GB2312" w:cs="仿宋_GB2312"/>
          <w:sz w:val="28"/>
          <w:szCs w:val="28"/>
          <w:highlight w:val="none"/>
        </w:rPr>
      </w:pPr>
    </w:p>
    <w:p>
      <w:pPr>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电话/传真：</w:t>
      </w:r>
    </w:p>
    <w:p>
      <w:pPr>
        <w:spacing w:line="560" w:lineRule="exact"/>
        <w:jc w:val="center"/>
        <w:rPr>
          <w:rFonts w:ascii="仿宋_GB2312" w:hAnsi="仿宋_GB2312" w:eastAsia="仿宋_GB2312" w:cs="仿宋_GB2312"/>
          <w:sz w:val="28"/>
          <w:szCs w:val="28"/>
          <w:highlight w:val="none"/>
        </w:rPr>
      </w:pPr>
    </w:p>
    <w:p>
      <w:pPr>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地址：</w:t>
      </w:r>
    </w:p>
    <w:p>
      <w:pPr>
        <w:spacing w:line="560" w:lineRule="exact"/>
        <w:rPr>
          <w:rFonts w:ascii="仿宋_GB2312" w:hAnsi="仿宋_GB2312" w:eastAsia="仿宋_GB2312" w:cs="仿宋_GB2312"/>
          <w:sz w:val="28"/>
          <w:szCs w:val="28"/>
          <w:highlight w:val="none"/>
        </w:rPr>
      </w:pPr>
    </w:p>
    <w:p>
      <w:pPr>
        <w:pStyle w:val="48"/>
        <w:rPr>
          <w:rFonts w:ascii="宋体" w:hAnsi="宋体" w:eastAsia="宋体"/>
          <w:b w:val="0"/>
          <w:sz w:val="22"/>
          <w:szCs w:val="22"/>
          <w:highlight w:val="none"/>
        </w:rPr>
      </w:pPr>
      <w:r>
        <w:rPr>
          <w:rFonts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t>日期：     年   月   日</w:t>
      </w:r>
    </w:p>
    <w:p>
      <w:pPr>
        <w:pStyle w:val="48"/>
        <w:rPr>
          <w:rFonts w:ascii="宋体" w:hAnsi="宋体"/>
          <w:highlight w:val="none"/>
        </w:rPr>
      </w:pPr>
      <w:bookmarkStart w:id="384" w:name="_Toc90452722"/>
      <w:bookmarkStart w:id="385" w:name="_Toc206217401"/>
    </w:p>
    <w:bookmarkEnd w:id="384"/>
    <w:bookmarkEnd w:id="385"/>
    <w:p>
      <w:pPr>
        <w:pStyle w:val="2"/>
        <w:spacing w:before="0" w:after="0"/>
        <w:rPr>
          <w:rFonts w:ascii="Calibri" w:hAnsi="Calibri" w:eastAsia="黑体" w:cs="Calibri"/>
          <w:kern w:val="0"/>
          <w:sz w:val="32"/>
          <w:highlight w:val="none"/>
        </w:rPr>
      </w:pPr>
      <w:bookmarkStart w:id="386" w:name="_Toc448002987"/>
      <w:bookmarkStart w:id="387" w:name="_Toc321925456"/>
      <w:bookmarkStart w:id="388" w:name="_Toc275274581"/>
      <w:r>
        <w:rPr>
          <w:rFonts w:ascii="Calibri" w:hAnsi="Calibri" w:eastAsia="黑体" w:cs="Calibri"/>
          <w:kern w:val="0"/>
          <w:sz w:val="32"/>
          <w:highlight w:val="none"/>
        </w:rPr>
        <w:t>第</w:t>
      </w:r>
      <w:r>
        <w:rPr>
          <w:rFonts w:hint="eastAsia" w:ascii="Calibri" w:hAnsi="Calibri" w:eastAsia="黑体" w:cs="Calibri"/>
          <w:kern w:val="0"/>
          <w:sz w:val="32"/>
          <w:highlight w:val="none"/>
        </w:rPr>
        <w:t>五</w:t>
      </w:r>
      <w:r>
        <w:rPr>
          <w:rFonts w:ascii="Calibri" w:hAnsi="Calibri" w:eastAsia="黑体" w:cs="Calibri"/>
          <w:kern w:val="0"/>
          <w:sz w:val="32"/>
          <w:highlight w:val="none"/>
        </w:rPr>
        <w:t>章  评标方法及标准</w:t>
      </w:r>
      <w:bookmarkEnd w:id="386"/>
      <w:bookmarkEnd w:id="387"/>
    </w:p>
    <w:p>
      <w:pPr>
        <w:pStyle w:val="29"/>
        <w:spacing w:line="360" w:lineRule="exact"/>
        <w:ind w:firstLine="420"/>
        <w:rPr>
          <w:rFonts w:hAnsi="宋体" w:cs="Calibri"/>
          <w:bCs/>
          <w:sz w:val="22"/>
          <w:szCs w:val="22"/>
          <w:highlight w:val="none"/>
        </w:rPr>
      </w:pPr>
      <w:r>
        <w:rPr>
          <w:rFonts w:hAnsi="宋体" w:cs="Calibri"/>
          <w:bCs/>
          <w:sz w:val="22"/>
          <w:szCs w:val="22"/>
          <w:highlight w:val="none"/>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9"/>
        <w:spacing w:line="360" w:lineRule="exact"/>
        <w:rPr>
          <w:rFonts w:hAnsi="宋体" w:cs="Calibri"/>
          <w:b/>
          <w:bCs/>
          <w:sz w:val="22"/>
          <w:szCs w:val="22"/>
          <w:highlight w:val="none"/>
        </w:rPr>
      </w:pPr>
      <w:r>
        <w:rPr>
          <w:rFonts w:hAnsi="宋体" w:cs="Calibri"/>
          <w:b/>
          <w:bCs/>
          <w:sz w:val="22"/>
          <w:szCs w:val="22"/>
          <w:highlight w:val="none"/>
        </w:rPr>
        <w:t>一、评标原则</w:t>
      </w:r>
    </w:p>
    <w:p>
      <w:pPr>
        <w:pStyle w:val="29"/>
        <w:spacing w:line="360" w:lineRule="exact"/>
        <w:ind w:firstLine="420"/>
        <w:rPr>
          <w:rFonts w:hAnsi="宋体" w:cs="Calibri"/>
          <w:sz w:val="22"/>
          <w:szCs w:val="22"/>
          <w:highlight w:val="none"/>
        </w:rPr>
      </w:pPr>
      <w:r>
        <w:rPr>
          <w:rFonts w:hAnsi="宋体" w:cs="Calibri"/>
          <w:bCs/>
          <w:sz w:val="22"/>
          <w:szCs w:val="22"/>
          <w:highlight w:val="none"/>
        </w:rPr>
        <w:t>评标应遵循公平、公正、科学、择优的原则。</w:t>
      </w:r>
    </w:p>
    <w:p>
      <w:pPr>
        <w:pStyle w:val="29"/>
        <w:spacing w:line="360" w:lineRule="exact"/>
        <w:rPr>
          <w:rFonts w:hAnsi="宋体" w:cs="Calibri"/>
          <w:b/>
          <w:bCs/>
          <w:sz w:val="22"/>
          <w:szCs w:val="22"/>
          <w:highlight w:val="none"/>
        </w:rPr>
      </w:pPr>
      <w:r>
        <w:rPr>
          <w:rFonts w:hAnsi="宋体" w:cs="Calibri"/>
          <w:b/>
          <w:bCs/>
          <w:sz w:val="22"/>
          <w:szCs w:val="22"/>
          <w:highlight w:val="none"/>
        </w:rPr>
        <w:t>二、评标组织</w:t>
      </w:r>
    </w:p>
    <w:p>
      <w:pPr>
        <w:pStyle w:val="29"/>
        <w:spacing w:line="360" w:lineRule="exact"/>
        <w:ind w:firstLine="420"/>
        <w:rPr>
          <w:rFonts w:hAnsi="宋体" w:cs="Calibri"/>
          <w:sz w:val="22"/>
          <w:szCs w:val="22"/>
          <w:highlight w:val="none"/>
        </w:rPr>
      </w:pPr>
      <w:r>
        <w:rPr>
          <w:rFonts w:hAnsi="宋体" w:cs="Calibri"/>
          <w:sz w:val="22"/>
          <w:szCs w:val="22"/>
          <w:highlight w:val="none"/>
        </w:rPr>
        <w:t>评标工作由招标人依法组建的评标委员会（小组）负责。评标委员会成员为</w:t>
      </w:r>
      <w:r>
        <w:rPr>
          <w:rFonts w:hint="eastAsia" w:hAnsi="宋体" w:cs="Calibri"/>
          <w:sz w:val="22"/>
          <w:szCs w:val="22"/>
          <w:highlight w:val="none"/>
        </w:rPr>
        <w:t>3</w:t>
      </w:r>
      <w:r>
        <w:rPr>
          <w:rFonts w:hAnsi="宋体" w:cs="Calibri"/>
          <w:sz w:val="22"/>
          <w:szCs w:val="22"/>
          <w:highlight w:val="none"/>
        </w:rPr>
        <w:t>人及以上单数，</w:t>
      </w:r>
      <w:r>
        <w:rPr>
          <w:rFonts w:hint="eastAsia" w:hAnsi="宋体"/>
          <w:sz w:val="22"/>
          <w:szCs w:val="22"/>
          <w:highlight w:val="none"/>
        </w:rPr>
        <w:t>评标委员会由招标人自行组建。</w:t>
      </w:r>
    </w:p>
    <w:p>
      <w:pPr>
        <w:pStyle w:val="29"/>
        <w:spacing w:line="360" w:lineRule="exact"/>
        <w:rPr>
          <w:rFonts w:hAnsi="宋体" w:cs="Calibri"/>
          <w:b/>
          <w:bCs/>
          <w:sz w:val="22"/>
          <w:szCs w:val="22"/>
          <w:highlight w:val="none"/>
        </w:rPr>
      </w:pPr>
      <w:r>
        <w:rPr>
          <w:rFonts w:hAnsi="宋体" w:cs="Calibri"/>
          <w:b/>
          <w:bCs/>
          <w:sz w:val="22"/>
          <w:szCs w:val="22"/>
          <w:highlight w:val="none"/>
        </w:rPr>
        <w:t>三、投标文件的评审</w:t>
      </w:r>
    </w:p>
    <w:p>
      <w:pPr>
        <w:pStyle w:val="29"/>
        <w:spacing w:line="360" w:lineRule="exact"/>
        <w:ind w:firstLine="442" w:firstLineChars="200"/>
        <w:rPr>
          <w:rFonts w:hAnsi="宋体" w:cs="Calibri"/>
          <w:b/>
          <w:sz w:val="22"/>
          <w:szCs w:val="22"/>
          <w:highlight w:val="none"/>
        </w:rPr>
      </w:pPr>
      <w:r>
        <w:rPr>
          <w:rFonts w:hAnsi="宋体" w:cs="Calibri"/>
          <w:b/>
          <w:sz w:val="22"/>
          <w:szCs w:val="22"/>
          <w:highlight w:val="none"/>
        </w:rPr>
        <w:t>3.1 符合性评审</w:t>
      </w:r>
    </w:p>
    <w:p>
      <w:pPr>
        <w:widowControl/>
        <w:tabs>
          <w:tab w:val="left" w:pos="709"/>
        </w:tabs>
        <w:snapToGrid w:val="0"/>
        <w:spacing w:line="360" w:lineRule="exact"/>
        <w:ind w:firstLine="444" w:firstLineChars="202"/>
        <w:rPr>
          <w:rFonts w:ascii="宋体" w:hAnsi="宋体" w:cs="Calibri"/>
          <w:bCs/>
          <w:kern w:val="0"/>
          <w:sz w:val="22"/>
          <w:szCs w:val="22"/>
          <w:highlight w:val="none"/>
        </w:rPr>
      </w:pPr>
      <w:r>
        <w:rPr>
          <w:rFonts w:ascii="宋体" w:hAnsi="宋体" w:cs="Calibri"/>
          <w:bCs/>
          <w:kern w:val="0"/>
          <w:sz w:val="22"/>
          <w:szCs w:val="22"/>
          <w:highlight w:val="none"/>
        </w:rPr>
        <w:t>3.1.1评标委员会应依照招标文件的要求和规定首先对投标人的投标资格和投标文件进行符合性审查，</w:t>
      </w:r>
      <w:r>
        <w:rPr>
          <w:rFonts w:ascii="宋体" w:hAnsi="宋体" w:cs="Calibri"/>
          <w:b/>
          <w:kern w:val="0"/>
          <w:sz w:val="22"/>
          <w:szCs w:val="22"/>
          <w:highlight w:val="none"/>
        </w:rPr>
        <w:t>审查过程中评标委员会可以要求投标人提交下列审查项所需的有关证明和证件的原件，以便核验。</w:t>
      </w:r>
      <w:r>
        <w:rPr>
          <w:rFonts w:ascii="宋体" w:hAnsi="宋体" w:cs="Calibri"/>
          <w:bCs/>
          <w:kern w:val="0"/>
          <w:sz w:val="22"/>
          <w:szCs w:val="22"/>
          <w:highlight w:val="none"/>
        </w:rPr>
        <w:t>投标文件如存在以下情况之一的，经评标委员会三分之二以上的成员认定，符合性审查不予通过，</w:t>
      </w:r>
      <w:r>
        <w:rPr>
          <w:rFonts w:ascii="宋体" w:hAnsi="宋体" w:cs="Calibri"/>
          <w:b/>
          <w:bCs/>
          <w:kern w:val="0"/>
          <w:sz w:val="22"/>
          <w:szCs w:val="22"/>
          <w:highlight w:val="none"/>
        </w:rPr>
        <w:t>作</w:t>
      </w:r>
      <w:r>
        <w:rPr>
          <w:rFonts w:hint="eastAsia" w:ascii="宋体" w:hAnsi="宋体" w:cs="Calibri"/>
          <w:b/>
          <w:bCs/>
          <w:kern w:val="0"/>
          <w:sz w:val="22"/>
          <w:szCs w:val="22"/>
          <w:highlight w:val="none"/>
        </w:rPr>
        <w:t>否决投标</w:t>
      </w:r>
      <w:r>
        <w:rPr>
          <w:rFonts w:ascii="宋体" w:hAnsi="宋体" w:cs="Calibri"/>
          <w:b/>
          <w:bCs/>
          <w:kern w:val="0"/>
          <w:sz w:val="22"/>
          <w:szCs w:val="22"/>
          <w:highlight w:val="none"/>
        </w:rPr>
        <w:t>处理，</w:t>
      </w:r>
      <w:r>
        <w:rPr>
          <w:rFonts w:ascii="宋体" w:hAnsi="宋体" w:cs="Calibri"/>
          <w:bCs/>
          <w:kern w:val="0"/>
          <w:sz w:val="22"/>
          <w:szCs w:val="22"/>
          <w:highlight w:val="none"/>
        </w:rPr>
        <w:t>不再进行详细评审：</w:t>
      </w:r>
    </w:p>
    <w:p>
      <w:pPr>
        <w:spacing w:line="360" w:lineRule="exact"/>
        <w:ind w:firstLine="470" w:firstLineChars="214"/>
        <w:rPr>
          <w:rFonts w:ascii="宋体" w:hAnsi="宋体" w:cs="Calibri"/>
          <w:sz w:val="22"/>
          <w:szCs w:val="22"/>
          <w:highlight w:val="none"/>
        </w:rPr>
      </w:pPr>
      <w:r>
        <w:rPr>
          <w:rFonts w:ascii="宋体" w:hAnsi="宋体" w:cs="Calibri"/>
          <w:sz w:val="22"/>
          <w:szCs w:val="22"/>
          <w:highlight w:val="none"/>
        </w:rPr>
        <w:t>1、</w:t>
      </w:r>
      <w:r>
        <w:rPr>
          <w:rFonts w:ascii="宋体" w:hAnsi="宋体" w:cs="Calibri"/>
          <w:bCs/>
          <w:kern w:val="0"/>
          <w:sz w:val="22"/>
          <w:szCs w:val="22"/>
          <w:highlight w:val="none"/>
        </w:rPr>
        <w:t>投标人的投标资格不满足国家有关规定或招标文件载明的投标资格条件的；</w:t>
      </w:r>
    </w:p>
    <w:p>
      <w:pPr>
        <w:spacing w:line="360" w:lineRule="exact"/>
        <w:ind w:firstLine="470" w:firstLineChars="214"/>
        <w:rPr>
          <w:rFonts w:ascii="宋体" w:hAnsi="宋体" w:cs="Calibri"/>
          <w:sz w:val="22"/>
          <w:szCs w:val="22"/>
          <w:highlight w:val="none"/>
        </w:rPr>
      </w:pPr>
      <w:r>
        <w:rPr>
          <w:rFonts w:ascii="宋体" w:hAnsi="宋体" w:cs="Calibri"/>
          <w:sz w:val="22"/>
          <w:szCs w:val="22"/>
          <w:highlight w:val="none"/>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szCs w:val="22"/>
          <w:highlight w:val="none"/>
        </w:rPr>
      </w:pPr>
      <w:r>
        <w:rPr>
          <w:rFonts w:ascii="宋体" w:hAnsi="宋体" w:cs="Calibri"/>
          <w:sz w:val="22"/>
          <w:szCs w:val="22"/>
          <w:highlight w:val="none"/>
        </w:rPr>
        <w:t>3、投标文件未按规定的格式填写，内容不全或关键字迹模糊、无法辨认的；</w:t>
      </w:r>
    </w:p>
    <w:p>
      <w:pPr>
        <w:spacing w:line="360" w:lineRule="exact"/>
        <w:ind w:firstLine="470" w:firstLineChars="214"/>
        <w:rPr>
          <w:rFonts w:ascii="宋体" w:hAnsi="宋体" w:cs="Calibri"/>
          <w:sz w:val="22"/>
          <w:szCs w:val="22"/>
          <w:highlight w:val="none"/>
        </w:rPr>
      </w:pPr>
      <w:r>
        <w:rPr>
          <w:rFonts w:ascii="宋体" w:hAnsi="宋体" w:cs="Calibri"/>
          <w:sz w:val="22"/>
          <w:szCs w:val="22"/>
          <w:highlight w:val="none"/>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szCs w:val="22"/>
          <w:highlight w:val="none"/>
        </w:rPr>
      </w:pPr>
      <w:r>
        <w:rPr>
          <w:rFonts w:ascii="宋体" w:hAnsi="宋体" w:cs="Calibri"/>
          <w:sz w:val="22"/>
          <w:szCs w:val="22"/>
          <w:highlight w:val="none"/>
        </w:rPr>
        <w:t>5、</w:t>
      </w:r>
      <w:r>
        <w:rPr>
          <w:rFonts w:hint="eastAsia" w:ascii="宋体" w:hAnsi="宋体" w:cs="Calibri"/>
          <w:sz w:val="22"/>
          <w:szCs w:val="22"/>
          <w:highlight w:val="none"/>
        </w:rPr>
        <w:t>供货</w:t>
      </w:r>
      <w:r>
        <w:rPr>
          <w:rFonts w:ascii="宋体" w:hAnsi="宋体" w:cs="Calibri"/>
          <w:sz w:val="22"/>
          <w:szCs w:val="22"/>
          <w:highlight w:val="none"/>
        </w:rPr>
        <w:t>期不满足招标文件要求的；</w:t>
      </w:r>
    </w:p>
    <w:p>
      <w:pPr>
        <w:spacing w:line="360" w:lineRule="exact"/>
        <w:ind w:firstLine="470" w:firstLineChars="214"/>
        <w:rPr>
          <w:rFonts w:ascii="宋体" w:hAnsi="宋体" w:cs="Calibri"/>
          <w:sz w:val="22"/>
          <w:szCs w:val="22"/>
          <w:highlight w:val="none"/>
        </w:rPr>
      </w:pPr>
      <w:r>
        <w:rPr>
          <w:rFonts w:ascii="宋体" w:hAnsi="宋体" w:cs="Calibri"/>
          <w:sz w:val="22"/>
          <w:szCs w:val="22"/>
          <w:highlight w:val="none"/>
        </w:rPr>
        <w:t>6、不</w:t>
      </w:r>
      <w:r>
        <w:rPr>
          <w:rFonts w:ascii="宋体" w:hAnsi="宋体" w:cs="Calibri"/>
          <w:kern w:val="0"/>
          <w:sz w:val="22"/>
          <w:szCs w:val="22"/>
          <w:highlight w:val="none"/>
        </w:rPr>
        <w:t>响应招标文件规定的实质性要求（包括具体条文前用“★”标示的）</w:t>
      </w:r>
    </w:p>
    <w:p>
      <w:pPr>
        <w:spacing w:line="360" w:lineRule="exact"/>
        <w:ind w:firstLine="470" w:firstLineChars="214"/>
        <w:rPr>
          <w:rFonts w:ascii="宋体" w:hAnsi="宋体" w:cs="Calibri"/>
          <w:sz w:val="22"/>
          <w:szCs w:val="22"/>
          <w:highlight w:val="none"/>
        </w:rPr>
      </w:pPr>
      <w:r>
        <w:rPr>
          <w:rFonts w:ascii="宋体" w:hAnsi="宋体" w:cs="Calibri"/>
          <w:sz w:val="22"/>
          <w:szCs w:val="22"/>
          <w:highlight w:val="none"/>
        </w:rPr>
        <w:t>7、投标人不以自己的名义或未按招标文件的要求提供投标保证金或提供的保证金有缺陷而不能接受的；</w:t>
      </w:r>
    </w:p>
    <w:p>
      <w:pPr>
        <w:spacing w:line="360" w:lineRule="exact"/>
        <w:ind w:firstLine="470" w:firstLineChars="214"/>
        <w:rPr>
          <w:rFonts w:ascii="宋体" w:hAnsi="宋体" w:cs="Calibri"/>
          <w:sz w:val="22"/>
          <w:szCs w:val="22"/>
          <w:highlight w:val="none"/>
        </w:rPr>
      </w:pPr>
      <w:r>
        <w:rPr>
          <w:rFonts w:ascii="宋体" w:hAnsi="宋体" w:cs="Calibri"/>
          <w:sz w:val="22"/>
          <w:szCs w:val="22"/>
          <w:highlight w:val="none"/>
        </w:rPr>
        <w:t>8、投标人以他人名义投标、或与他人串通投标、或以行贿手段谋取中标，或弄虚作假的；</w:t>
      </w:r>
    </w:p>
    <w:p>
      <w:pPr>
        <w:spacing w:line="360" w:lineRule="exact"/>
        <w:ind w:firstLine="470" w:firstLineChars="214"/>
        <w:rPr>
          <w:rFonts w:ascii="宋体" w:hAnsi="宋体" w:cs="Calibri"/>
          <w:sz w:val="22"/>
          <w:szCs w:val="22"/>
          <w:highlight w:val="none"/>
        </w:rPr>
      </w:pPr>
      <w:r>
        <w:rPr>
          <w:rFonts w:hint="eastAsia" w:ascii="宋体" w:hAnsi="宋体" w:cs="Calibri"/>
          <w:sz w:val="22"/>
          <w:szCs w:val="22"/>
          <w:highlight w:val="none"/>
        </w:rPr>
        <w:t>9</w:t>
      </w:r>
      <w:r>
        <w:rPr>
          <w:rFonts w:ascii="宋体" w:hAnsi="宋体" w:cs="Calibri"/>
          <w:sz w:val="22"/>
          <w:szCs w:val="22"/>
          <w:highlight w:val="none"/>
        </w:rPr>
        <w:t>、存在法律、法规、规章规定的其它无效投标情况的</w:t>
      </w:r>
      <w:r>
        <w:rPr>
          <w:rFonts w:hint="eastAsia" w:ascii="宋体" w:hAnsi="宋体" w:cs="Calibri"/>
          <w:sz w:val="22"/>
          <w:szCs w:val="22"/>
          <w:highlight w:val="none"/>
        </w:rPr>
        <w:t>。</w:t>
      </w:r>
    </w:p>
    <w:p>
      <w:pPr>
        <w:widowControl/>
        <w:tabs>
          <w:tab w:val="left" w:pos="709"/>
        </w:tabs>
        <w:snapToGrid w:val="0"/>
        <w:spacing w:line="360" w:lineRule="exact"/>
        <w:ind w:firstLine="446" w:firstLineChars="202"/>
        <w:rPr>
          <w:rFonts w:ascii="宋体" w:hAnsi="宋体" w:cs="Calibri"/>
          <w:b/>
          <w:sz w:val="22"/>
          <w:szCs w:val="22"/>
          <w:highlight w:val="none"/>
        </w:rPr>
      </w:pPr>
      <w:r>
        <w:rPr>
          <w:rFonts w:ascii="宋体" w:hAnsi="宋体" w:cs="Calibri"/>
          <w:b/>
          <w:sz w:val="22"/>
          <w:szCs w:val="22"/>
          <w:highlight w:val="none"/>
        </w:rPr>
        <w:t>3.1.2 报价算术性修正</w:t>
      </w:r>
    </w:p>
    <w:p>
      <w:pPr>
        <w:pStyle w:val="29"/>
        <w:spacing w:line="360" w:lineRule="exact"/>
        <w:ind w:firstLine="440" w:firstLineChars="200"/>
        <w:rPr>
          <w:rFonts w:hAnsi="宋体" w:cs="Calibri"/>
          <w:sz w:val="22"/>
          <w:szCs w:val="22"/>
          <w:highlight w:val="none"/>
        </w:rPr>
      </w:pPr>
      <w:r>
        <w:rPr>
          <w:rFonts w:hAnsi="宋体" w:cs="Calibri"/>
          <w:sz w:val="22"/>
          <w:szCs w:val="22"/>
          <w:highlight w:val="none"/>
        </w:rPr>
        <w:t>评标委员会按以下原则对通过符合性审查的投标文件报价进行算术性修正：</w:t>
      </w:r>
    </w:p>
    <w:p>
      <w:pPr>
        <w:pStyle w:val="29"/>
        <w:numPr>
          <w:ilvl w:val="0"/>
          <w:numId w:val="26"/>
        </w:numPr>
        <w:adjustRightInd w:val="0"/>
        <w:spacing w:line="360" w:lineRule="exact"/>
        <w:ind w:left="0" w:firstLine="440" w:firstLineChars="200"/>
        <w:rPr>
          <w:rFonts w:hAnsi="宋体" w:cs="Calibri"/>
          <w:sz w:val="22"/>
          <w:szCs w:val="22"/>
          <w:highlight w:val="none"/>
        </w:rPr>
      </w:pPr>
      <w:r>
        <w:rPr>
          <w:rFonts w:hAnsi="宋体" w:cs="Calibri"/>
          <w:sz w:val="22"/>
          <w:szCs w:val="22"/>
          <w:highlight w:val="none"/>
        </w:rPr>
        <w:t>投标文件中的大写金额与小写金额不一致的，以大写金额为准；</w:t>
      </w:r>
    </w:p>
    <w:p>
      <w:pPr>
        <w:pStyle w:val="29"/>
        <w:numPr>
          <w:ilvl w:val="0"/>
          <w:numId w:val="26"/>
        </w:numPr>
        <w:adjustRightInd w:val="0"/>
        <w:spacing w:line="360" w:lineRule="exact"/>
        <w:ind w:left="0" w:firstLine="440" w:firstLineChars="200"/>
        <w:rPr>
          <w:rFonts w:hAnsi="宋体" w:cs="Calibri"/>
          <w:sz w:val="22"/>
          <w:szCs w:val="22"/>
          <w:highlight w:val="none"/>
        </w:rPr>
      </w:pPr>
      <w:r>
        <w:rPr>
          <w:rFonts w:hAnsi="宋体" w:cs="Calibri"/>
          <w:sz w:val="22"/>
          <w:szCs w:val="22"/>
          <w:highlight w:val="none"/>
        </w:rPr>
        <w:t>总价金额与依据单价（或各分项合计）计算出的结果不一致的，以单价金额（或各分项合计）为准修正总价，但单价金额小数点有明显错误的除外。</w:t>
      </w:r>
    </w:p>
    <w:p>
      <w:pPr>
        <w:pStyle w:val="29"/>
        <w:spacing w:line="360" w:lineRule="exact"/>
        <w:ind w:firstLine="440" w:firstLineChars="200"/>
        <w:rPr>
          <w:rFonts w:hAnsi="宋体" w:cs="Calibri"/>
          <w:b/>
          <w:sz w:val="22"/>
          <w:szCs w:val="22"/>
          <w:highlight w:val="none"/>
        </w:rPr>
      </w:pPr>
      <w:r>
        <w:rPr>
          <w:rFonts w:hAnsi="宋体" w:cs="Calibri"/>
          <w:sz w:val="22"/>
          <w:szCs w:val="22"/>
          <w:highlight w:val="none"/>
        </w:rPr>
        <w:t>★修正的价格经投标人书面确认后具有约束力。投标人不接受修正价格的，其投标作</w:t>
      </w:r>
      <w:r>
        <w:rPr>
          <w:rFonts w:hint="eastAsia" w:hAnsi="宋体" w:cs="Calibri"/>
          <w:b/>
          <w:bCs/>
          <w:sz w:val="22"/>
          <w:szCs w:val="22"/>
          <w:highlight w:val="none"/>
        </w:rPr>
        <w:t>否决投标</w:t>
      </w:r>
      <w:r>
        <w:rPr>
          <w:rFonts w:hAnsi="宋体" w:cs="Calibri"/>
          <w:b/>
          <w:sz w:val="22"/>
          <w:szCs w:val="22"/>
          <w:highlight w:val="none"/>
        </w:rPr>
        <w:t>处理</w:t>
      </w:r>
      <w:r>
        <w:rPr>
          <w:rFonts w:hAnsi="宋体" w:cs="Calibri"/>
          <w:sz w:val="22"/>
          <w:szCs w:val="22"/>
          <w:highlight w:val="none"/>
        </w:rPr>
        <w:t>。</w:t>
      </w:r>
    </w:p>
    <w:p>
      <w:pPr>
        <w:pStyle w:val="29"/>
        <w:spacing w:line="360" w:lineRule="exact"/>
        <w:ind w:firstLine="440" w:firstLineChars="200"/>
        <w:rPr>
          <w:rFonts w:hAnsi="宋体" w:cs="Calibri"/>
          <w:b/>
          <w:sz w:val="22"/>
          <w:szCs w:val="22"/>
          <w:highlight w:val="none"/>
        </w:rPr>
      </w:pPr>
      <w:r>
        <w:rPr>
          <w:rFonts w:hAnsi="宋体" w:cs="Calibri"/>
          <w:sz w:val="22"/>
          <w:szCs w:val="22"/>
          <w:highlight w:val="none"/>
        </w:rPr>
        <w:t>当通过符合性评审的单位少于三家时（不包括三家），应由评标委员会确认是否具有竞争性，如果有竞争性，则评标继续进行</w:t>
      </w:r>
      <w:r>
        <w:rPr>
          <w:rFonts w:hint="eastAsia" w:hAnsi="宋体" w:cs="Calibri"/>
          <w:sz w:val="22"/>
          <w:szCs w:val="22"/>
          <w:highlight w:val="none"/>
        </w:rPr>
        <w:t>。</w:t>
      </w:r>
    </w:p>
    <w:p>
      <w:pPr>
        <w:pStyle w:val="29"/>
        <w:spacing w:line="360" w:lineRule="exact"/>
        <w:ind w:firstLine="440" w:firstLineChars="200"/>
        <w:rPr>
          <w:rFonts w:hAnsi="宋体" w:cs="Calibri"/>
          <w:b/>
          <w:sz w:val="22"/>
          <w:szCs w:val="22"/>
          <w:highlight w:val="none"/>
        </w:rPr>
      </w:pPr>
      <w:r>
        <w:rPr>
          <w:rFonts w:hAnsi="宋体" w:cs="Calibri"/>
          <w:sz w:val="22"/>
          <w:szCs w:val="22"/>
          <w:highlight w:val="none"/>
        </w:rPr>
        <w:t>当通过符合性评审的单位少于三家时（不包括三家），应由评标委员会确认是否具有竞争性，如果有竞争性，则评标继续进行。</w:t>
      </w:r>
    </w:p>
    <w:p>
      <w:pPr>
        <w:pStyle w:val="29"/>
        <w:spacing w:line="360" w:lineRule="exact"/>
        <w:ind w:firstLine="442" w:firstLineChars="200"/>
        <w:rPr>
          <w:rFonts w:hAnsi="宋体" w:cs="Calibri"/>
          <w:b/>
          <w:sz w:val="22"/>
          <w:szCs w:val="22"/>
          <w:highlight w:val="none"/>
        </w:rPr>
      </w:pPr>
      <w:r>
        <w:rPr>
          <w:rFonts w:hAnsi="宋体" w:cs="Calibri"/>
          <w:b/>
          <w:sz w:val="22"/>
          <w:szCs w:val="22"/>
          <w:highlight w:val="none"/>
        </w:rPr>
        <w:t>3.2 投标文件的澄清和补正</w:t>
      </w:r>
    </w:p>
    <w:p>
      <w:pPr>
        <w:pStyle w:val="29"/>
        <w:adjustRightInd w:val="0"/>
        <w:snapToGrid w:val="0"/>
        <w:spacing w:line="360" w:lineRule="exact"/>
        <w:ind w:firstLine="440" w:firstLineChars="200"/>
        <w:rPr>
          <w:rFonts w:hAnsi="宋体" w:cs="Calibri"/>
          <w:sz w:val="22"/>
          <w:szCs w:val="22"/>
          <w:highlight w:val="none"/>
        </w:rPr>
      </w:pPr>
      <w:r>
        <w:rPr>
          <w:rFonts w:hAnsi="宋体" w:cs="Calibri"/>
          <w:sz w:val="22"/>
          <w:szCs w:val="22"/>
          <w:highlight w:val="none"/>
        </w:rPr>
        <w:t>3.2.1 在评标过程中，评标委员会可以书面形式要求投标人对所提交的投标文件中不明确的内容进行书面澄清、说明或者补正。评标委员会不接受投标人主动提出的澄清、说明或补正。</w:t>
      </w:r>
    </w:p>
    <w:p>
      <w:pPr>
        <w:pStyle w:val="29"/>
        <w:adjustRightInd w:val="0"/>
        <w:snapToGrid w:val="0"/>
        <w:spacing w:line="360" w:lineRule="exact"/>
        <w:ind w:firstLine="440" w:firstLineChars="200"/>
        <w:rPr>
          <w:rFonts w:hAnsi="宋体" w:cs="Calibri"/>
          <w:sz w:val="22"/>
          <w:szCs w:val="22"/>
          <w:highlight w:val="none"/>
        </w:rPr>
      </w:pPr>
      <w:r>
        <w:rPr>
          <w:rFonts w:hAnsi="宋体" w:cs="Calibri"/>
          <w:sz w:val="22"/>
          <w:szCs w:val="22"/>
          <w:highlight w:val="none"/>
        </w:rPr>
        <w:t>3.2.2澄清、说明和补正不得改变投标文件的实质性内容（算术性错误修正的除外）。投标人的书面澄清、说明和补正属于投标文件的组成部分。</w:t>
      </w:r>
    </w:p>
    <w:p>
      <w:pPr>
        <w:pStyle w:val="29"/>
        <w:adjustRightInd w:val="0"/>
        <w:snapToGrid w:val="0"/>
        <w:spacing w:line="360" w:lineRule="exact"/>
        <w:ind w:firstLine="440" w:firstLineChars="200"/>
        <w:rPr>
          <w:rFonts w:hAnsi="宋体" w:cs="Calibri"/>
          <w:sz w:val="22"/>
          <w:szCs w:val="22"/>
          <w:highlight w:val="none"/>
        </w:rPr>
      </w:pPr>
      <w:r>
        <w:rPr>
          <w:rFonts w:hAnsi="宋体" w:cs="Calibri"/>
          <w:sz w:val="22"/>
          <w:szCs w:val="22"/>
          <w:highlight w:val="none"/>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szCs w:val="22"/>
          <w:highlight w:val="none"/>
        </w:rPr>
      </w:pPr>
      <w:r>
        <w:rPr>
          <w:rFonts w:ascii="宋体" w:hAnsi="宋体" w:cs="Calibri"/>
          <w:b/>
          <w:sz w:val="22"/>
          <w:szCs w:val="22"/>
          <w:highlight w:val="none"/>
        </w:rPr>
        <w:t>3.3</w:t>
      </w:r>
      <w:r>
        <w:rPr>
          <w:rFonts w:hint="eastAsia" w:ascii="宋体" w:hAnsi="宋体"/>
          <w:b/>
          <w:color w:val="000000"/>
          <w:sz w:val="22"/>
          <w:szCs w:val="22"/>
          <w:highlight w:val="none"/>
        </w:rPr>
        <w:t>评标细则</w:t>
      </w:r>
    </w:p>
    <w:p>
      <w:pPr>
        <w:pStyle w:val="29"/>
        <w:adjustRightInd w:val="0"/>
        <w:snapToGrid w:val="0"/>
        <w:spacing w:line="360" w:lineRule="exact"/>
        <w:ind w:firstLine="440" w:firstLineChars="200"/>
        <w:rPr>
          <w:rFonts w:hAnsi="宋体" w:cs="Calibri"/>
          <w:sz w:val="22"/>
          <w:szCs w:val="22"/>
          <w:highlight w:val="none"/>
        </w:rPr>
      </w:pPr>
      <w:r>
        <w:rPr>
          <w:rFonts w:hint="eastAsia" w:hAnsi="宋体" w:cs="Calibri"/>
          <w:sz w:val="22"/>
          <w:szCs w:val="22"/>
          <w:highlight w:val="none"/>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29"/>
        <w:adjustRightInd w:val="0"/>
        <w:snapToGrid w:val="0"/>
        <w:spacing w:line="360" w:lineRule="exact"/>
        <w:ind w:firstLine="442" w:firstLineChars="200"/>
        <w:rPr>
          <w:rFonts w:hAnsi="宋体" w:cs="Calibri"/>
          <w:sz w:val="22"/>
          <w:szCs w:val="22"/>
          <w:highlight w:val="none"/>
        </w:rPr>
      </w:pPr>
      <w:r>
        <w:rPr>
          <w:rFonts w:hint="eastAsia" w:hAnsi="宋体"/>
          <w:b/>
          <w:color w:val="000000"/>
          <w:sz w:val="22"/>
          <w:szCs w:val="22"/>
          <w:highlight w:val="none"/>
        </w:rPr>
        <w:t>每个投标人最终得分=商务报价分+资信及技术分</w:t>
      </w:r>
    </w:p>
    <w:p>
      <w:pPr>
        <w:pStyle w:val="29"/>
        <w:adjustRightInd w:val="0"/>
        <w:snapToGrid w:val="0"/>
        <w:spacing w:line="360" w:lineRule="exact"/>
        <w:ind w:firstLine="440" w:firstLineChars="200"/>
        <w:rPr>
          <w:rFonts w:hAnsi="宋体" w:cs="Arial"/>
          <w:b/>
          <w:sz w:val="22"/>
          <w:szCs w:val="22"/>
          <w:highlight w:val="none"/>
        </w:rPr>
      </w:pPr>
      <w:r>
        <w:rPr>
          <w:rFonts w:hint="eastAsia" w:hAnsi="宋体" w:cs="Calibri"/>
          <w:sz w:val="22"/>
          <w:szCs w:val="22"/>
          <w:highlight w:val="none"/>
        </w:rPr>
        <w:t>3.3.1商务报价分60分</w:t>
      </w:r>
    </w:p>
    <w:p>
      <w:pPr>
        <w:pStyle w:val="29"/>
        <w:adjustRightInd w:val="0"/>
        <w:snapToGrid w:val="0"/>
        <w:spacing w:line="360" w:lineRule="exact"/>
        <w:ind w:firstLine="440" w:firstLineChars="200"/>
        <w:rPr>
          <w:rFonts w:hAnsi="宋体" w:cs="Calibri"/>
          <w:sz w:val="22"/>
          <w:szCs w:val="22"/>
          <w:highlight w:val="none"/>
        </w:rPr>
      </w:pPr>
      <w:r>
        <w:rPr>
          <w:rFonts w:hint="eastAsia" w:hAnsi="宋体"/>
          <w:sz w:val="22"/>
          <w:szCs w:val="22"/>
          <w:highlight w:val="none"/>
        </w:rPr>
        <w:t>报价评分应在投标报价响应招标文件要求的基础上，取所有有效投标报价的算术平均值与次低价的算术平均值作为评标基准价，如有效投标报价的数量小于4个，则评标基准价为所有有效投标报价的算术平均值与最低价的算术平均值。</w:t>
      </w:r>
    </w:p>
    <w:p>
      <w:pPr>
        <w:pStyle w:val="29"/>
        <w:adjustRightInd w:val="0"/>
        <w:snapToGrid w:val="0"/>
        <w:spacing w:line="360" w:lineRule="exact"/>
        <w:ind w:firstLine="440" w:firstLineChars="200"/>
        <w:rPr>
          <w:rFonts w:hAnsi="宋体" w:cs="Calibri"/>
          <w:sz w:val="22"/>
          <w:szCs w:val="22"/>
          <w:highlight w:val="none"/>
        </w:rPr>
      </w:pPr>
      <w:r>
        <w:rPr>
          <w:rFonts w:hint="eastAsia" w:hAnsi="宋体" w:cs="Calibri"/>
          <w:sz w:val="22"/>
          <w:szCs w:val="22"/>
          <w:highlight w:val="none"/>
        </w:rPr>
        <w:t>投标人的投标价等于评标基准价的得6</w:t>
      </w:r>
      <w:r>
        <w:rPr>
          <w:rFonts w:hAnsi="宋体" w:cs="Calibri"/>
          <w:sz w:val="22"/>
          <w:szCs w:val="22"/>
          <w:highlight w:val="none"/>
        </w:rPr>
        <w:t>0</w:t>
      </w:r>
      <w:r>
        <w:rPr>
          <w:rFonts w:hint="eastAsia" w:hAnsi="宋体" w:cs="Calibri"/>
          <w:sz w:val="22"/>
          <w:szCs w:val="22"/>
          <w:highlight w:val="none"/>
        </w:rPr>
        <w:t>分，每高于评标基准价</w:t>
      </w:r>
      <w:r>
        <w:rPr>
          <w:rFonts w:hAnsi="宋体" w:cs="Calibri"/>
          <w:sz w:val="22"/>
          <w:szCs w:val="22"/>
          <w:highlight w:val="none"/>
        </w:rPr>
        <w:t>1%</w:t>
      </w:r>
      <w:r>
        <w:rPr>
          <w:rFonts w:hint="eastAsia" w:hAnsi="宋体" w:cs="Calibri"/>
          <w:sz w:val="22"/>
          <w:szCs w:val="22"/>
          <w:highlight w:val="none"/>
        </w:rPr>
        <w:t>的扣</w:t>
      </w:r>
      <w:r>
        <w:rPr>
          <w:rFonts w:hAnsi="宋体" w:cs="Calibri"/>
          <w:sz w:val="22"/>
          <w:szCs w:val="22"/>
          <w:highlight w:val="none"/>
        </w:rPr>
        <w:t>1</w:t>
      </w:r>
      <w:r>
        <w:rPr>
          <w:rFonts w:hint="eastAsia" w:hAnsi="宋体" w:cs="Calibri"/>
          <w:sz w:val="22"/>
          <w:szCs w:val="22"/>
          <w:highlight w:val="none"/>
        </w:rPr>
        <w:t>分，每低于评标基准价</w:t>
      </w:r>
      <w:r>
        <w:rPr>
          <w:rFonts w:hAnsi="宋体" w:cs="Calibri"/>
          <w:sz w:val="22"/>
          <w:szCs w:val="22"/>
          <w:highlight w:val="none"/>
        </w:rPr>
        <w:t>1%</w:t>
      </w:r>
      <w:r>
        <w:rPr>
          <w:rFonts w:hint="eastAsia" w:hAnsi="宋体" w:cs="Calibri"/>
          <w:sz w:val="22"/>
          <w:szCs w:val="22"/>
          <w:highlight w:val="none"/>
        </w:rPr>
        <w:t>的扣</w:t>
      </w:r>
      <w:r>
        <w:rPr>
          <w:rFonts w:hAnsi="宋体" w:cs="Calibri"/>
          <w:sz w:val="22"/>
          <w:szCs w:val="22"/>
          <w:highlight w:val="none"/>
        </w:rPr>
        <w:t>0.5</w:t>
      </w:r>
      <w:r>
        <w:rPr>
          <w:rFonts w:hint="eastAsia" w:hAnsi="宋体" w:cs="Calibri"/>
          <w:sz w:val="22"/>
          <w:szCs w:val="22"/>
          <w:highlight w:val="none"/>
        </w:rPr>
        <w:t>分（不足</w:t>
      </w:r>
      <w:r>
        <w:rPr>
          <w:rFonts w:hAnsi="宋体" w:cs="Calibri"/>
          <w:sz w:val="22"/>
          <w:szCs w:val="22"/>
          <w:highlight w:val="none"/>
        </w:rPr>
        <w:t>1</w:t>
      </w:r>
      <w:r>
        <w:rPr>
          <w:rFonts w:hint="eastAsia" w:hAnsi="宋体" w:cs="Calibri"/>
          <w:sz w:val="22"/>
          <w:szCs w:val="22"/>
          <w:highlight w:val="none"/>
        </w:rPr>
        <w:t>个百分点按插值法计算，小数点后保留二位，四舍五入，商务分最低得分为</w:t>
      </w:r>
      <w:r>
        <w:rPr>
          <w:rFonts w:hAnsi="宋体" w:cs="Calibri"/>
          <w:sz w:val="22"/>
          <w:szCs w:val="22"/>
          <w:highlight w:val="none"/>
        </w:rPr>
        <w:t>30</w:t>
      </w:r>
      <w:r>
        <w:rPr>
          <w:rFonts w:hint="eastAsia" w:hAnsi="宋体" w:cs="Calibri"/>
          <w:sz w:val="22"/>
          <w:szCs w:val="22"/>
          <w:highlight w:val="none"/>
        </w:rPr>
        <w:t>分）</w:t>
      </w:r>
    </w:p>
    <w:p>
      <w:pPr>
        <w:pStyle w:val="29"/>
        <w:adjustRightInd w:val="0"/>
        <w:snapToGrid w:val="0"/>
        <w:spacing w:line="360" w:lineRule="exact"/>
        <w:ind w:firstLine="440" w:firstLineChars="200"/>
        <w:rPr>
          <w:rFonts w:hAnsi="宋体" w:cs="Calibri"/>
          <w:sz w:val="22"/>
          <w:szCs w:val="22"/>
          <w:highlight w:val="none"/>
        </w:rPr>
      </w:pPr>
      <w:r>
        <w:rPr>
          <w:rFonts w:hint="eastAsia" w:hAnsi="宋体" w:cs="Calibri"/>
          <w:sz w:val="22"/>
          <w:szCs w:val="22"/>
          <w:highlight w:val="none"/>
        </w:rPr>
        <w:t>此项由评标委员会集体核实后统一打分。</w:t>
      </w:r>
    </w:p>
    <w:p>
      <w:pPr>
        <w:pStyle w:val="29"/>
        <w:adjustRightInd w:val="0"/>
        <w:snapToGrid w:val="0"/>
        <w:spacing w:line="360" w:lineRule="exact"/>
        <w:ind w:firstLine="440" w:firstLineChars="200"/>
        <w:rPr>
          <w:rFonts w:hAnsi="宋体" w:cs="Calibri"/>
          <w:sz w:val="22"/>
          <w:szCs w:val="22"/>
          <w:highlight w:val="none"/>
        </w:rPr>
      </w:pPr>
      <w:r>
        <w:rPr>
          <w:rFonts w:hint="eastAsia" w:hAnsi="宋体" w:cs="Calibri"/>
          <w:sz w:val="22"/>
          <w:szCs w:val="22"/>
          <w:highlight w:val="none"/>
        </w:rPr>
        <w:t>2、资信及技术评分   0-40分</w:t>
      </w:r>
    </w:p>
    <w:p>
      <w:pPr>
        <w:pStyle w:val="29"/>
        <w:adjustRightInd w:val="0"/>
        <w:snapToGrid w:val="0"/>
        <w:spacing w:line="360" w:lineRule="exact"/>
        <w:ind w:firstLine="440" w:firstLineChars="200"/>
        <w:rPr>
          <w:rFonts w:hAnsi="宋体" w:cs="Calibri"/>
          <w:sz w:val="22"/>
          <w:szCs w:val="22"/>
          <w:highlight w:val="none"/>
        </w:rPr>
      </w:pPr>
      <w:r>
        <w:rPr>
          <w:rFonts w:hint="eastAsia" w:hAnsi="宋体" w:cs="Calibri"/>
          <w:sz w:val="22"/>
          <w:szCs w:val="22"/>
          <w:highlight w:val="none"/>
        </w:rPr>
        <w:t>该评分分值由评标委员会成员独立打分（具体分值设定详见下表），小数点后保留</w:t>
      </w:r>
      <w:r>
        <w:rPr>
          <w:rFonts w:hAnsi="宋体" w:cs="Calibri"/>
          <w:sz w:val="22"/>
          <w:szCs w:val="22"/>
          <w:highlight w:val="none"/>
        </w:rPr>
        <w:t>1</w:t>
      </w:r>
      <w:r>
        <w:rPr>
          <w:rFonts w:hint="eastAsia" w:hAnsi="宋体" w:cs="Calibri"/>
          <w:sz w:val="22"/>
          <w:szCs w:val="22"/>
          <w:highlight w:val="none"/>
        </w:rPr>
        <w:t>位小数。每个投标人的最终资信及技术得分为评标委员会打分的算术平均值（小数点后保留</w:t>
      </w:r>
      <w:r>
        <w:rPr>
          <w:rFonts w:hAnsi="宋体" w:cs="Calibri"/>
          <w:sz w:val="22"/>
          <w:szCs w:val="22"/>
          <w:highlight w:val="none"/>
        </w:rPr>
        <w:t>2</w:t>
      </w:r>
      <w:r>
        <w:rPr>
          <w:rFonts w:hint="eastAsia" w:hAnsi="宋体" w:cs="Calibri"/>
          <w:sz w:val="22"/>
          <w:szCs w:val="22"/>
          <w:highlight w:val="none"/>
        </w:rPr>
        <w:t>位，第三位四舍五入）。</w:t>
      </w:r>
    </w:p>
    <w:p>
      <w:pPr>
        <w:pStyle w:val="29"/>
        <w:adjustRightInd w:val="0"/>
        <w:snapToGrid w:val="0"/>
        <w:spacing w:line="360" w:lineRule="exact"/>
        <w:ind w:firstLine="440" w:firstLineChars="200"/>
        <w:rPr>
          <w:rFonts w:hAnsi="宋体" w:cs="Calibri"/>
          <w:sz w:val="22"/>
          <w:szCs w:val="22"/>
          <w:highlight w:val="none"/>
        </w:rPr>
      </w:pPr>
      <w:r>
        <w:rPr>
          <w:rFonts w:hint="eastAsia" w:hAnsi="宋体" w:cs="Calibri"/>
          <w:sz w:val="22"/>
          <w:szCs w:val="22"/>
          <w:highlight w:val="none"/>
        </w:rPr>
        <w:t>资信及技术评分分值设定标准</w:t>
      </w:r>
    </w:p>
    <w:tbl>
      <w:tblPr>
        <w:tblStyle w:val="52"/>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1843"/>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4077" w:type="dxa"/>
          </w:tcPr>
          <w:p>
            <w:pPr>
              <w:pStyle w:val="29"/>
              <w:adjustRightInd w:val="0"/>
              <w:snapToGrid w:val="0"/>
              <w:spacing w:line="360" w:lineRule="exact"/>
              <w:jc w:val="center"/>
              <w:rPr>
                <w:rFonts w:hAnsi="宋体" w:cs="Courier New"/>
                <w:kern w:val="2"/>
                <w:sz w:val="22"/>
                <w:szCs w:val="22"/>
                <w:highlight w:val="none"/>
              </w:rPr>
            </w:pPr>
            <w:r>
              <w:rPr>
                <w:rFonts w:hAnsi="宋体" w:cs="Courier New"/>
                <w:kern w:val="2"/>
                <w:sz w:val="22"/>
                <w:szCs w:val="22"/>
                <w:highlight w:val="none"/>
              </w:rPr>
              <w:t>评定项目</w:t>
            </w:r>
          </w:p>
        </w:tc>
        <w:tc>
          <w:tcPr>
            <w:tcW w:w="1843" w:type="dxa"/>
          </w:tcPr>
          <w:p>
            <w:pPr>
              <w:pStyle w:val="29"/>
              <w:adjustRightInd w:val="0"/>
              <w:snapToGrid w:val="0"/>
              <w:spacing w:line="360" w:lineRule="exact"/>
              <w:jc w:val="center"/>
              <w:rPr>
                <w:rFonts w:hAnsi="宋体" w:cs="Courier New"/>
                <w:kern w:val="2"/>
                <w:sz w:val="22"/>
                <w:szCs w:val="22"/>
                <w:highlight w:val="none"/>
              </w:rPr>
            </w:pPr>
            <w:r>
              <w:rPr>
                <w:rFonts w:hAnsi="宋体" w:cs="Courier New"/>
                <w:kern w:val="2"/>
                <w:sz w:val="22"/>
                <w:szCs w:val="22"/>
                <w:highlight w:val="none"/>
              </w:rPr>
              <w:t>分值范围</w:t>
            </w:r>
          </w:p>
        </w:tc>
        <w:tc>
          <w:tcPr>
            <w:tcW w:w="3402" w:type="dxa"/>
          </w:tcPr>
          <w:p>
            <w:pPr>
              <w:pStyle w:val="29"/>
              <w:adjustRightInd w:val="0"/>
              <w:snapToGrid w:val="0"/>
              <w:spacing w:line="360" w:lineRule="exact"/>
              <w:jc w:val="center"/>
              <w:rPr>
                <w:rFonts w:hAnsi="宋体" w:cs="Courier New"/>
                <w:kern w:val="2"/>
                <w:sz w:val="22"/>
                <w:szCs w:val="22"/>
                <w:highlight w:val="none"/>
              </w:rPr>
            </w:pPr>
            <w:r>
              <w:rPr>
                <w:rFonts w:hint="eastAsia" w:hAnsi="宋体" w:cs="Courier New"/>
                <w:kern w:val="2"/>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4077" w:type="dxa"/>
            <w:vAlign w:val="center"/>
          </w:tcPr>
          <w:p>
            <w:pPr>
              <w:widowControl/>
              <w:snapToGrid w:val="0"/>
              <w:spacing w:line="360" w:lineRule="exact"/>
              <w:rPr>
                <w:rFonts w:ascii="宋体" w:hAnsi="宋体" w:cs="宋体"/>
                <w:kern w:val="0"/>
                <w:sz w:val="22"/>
                <w:szCs w:val="22"/>
                <w:highlight w:val="none"/>
              </w:rPr>
            </w:pPr>
            <w:r>
              <w:rPr>
                <w:rFonts w:hint="eastAsia" w:ascii="宋体" w:hAnsi="宋体" w:cs="宋体"/>
                <w:kern w:val="0"/>
                <w:sz w:val="22"/>
                <w:szCs w:val="22"/>
                <w:highlight w:val="none"/>
              </w:rPr>
              <w:t>投标人业绩：近三年（自2</w:t>
            </w:r>
            <w:r>
              <w:rPr>
                <w:rFonts w:ascii="宋体" w:hAnsi="宋体" w:cs="宋体"/>
                <w:kern w:val="0"/>
                <w:sz w:val="22"/>
                <w:szCs w:val="22"/>
                <w:highlight w:val="none"/>
              </w:rPr>
              <w:t>016</w:t>
            </w:r>
            <w:r>
              <w:rPr>
                <w:rFonts w:hint="eastAsia" w:ascii="宋体" w:hAnsi="宋体" w:cs="宋体"/>
                <w:kern w:val="0"/>
                <w:sz w:val="22"/>
                <w:szCs w:val="22"/>
                <w:highlight w:val="none"/>
              </w:rPr>
              <w:t>年1月1日起至投标截止日止）</w:t>
            </w:r>
            <w:r>
              <w:rPr>
                <w:rFonts w:ascii="宋体" w:hAnsi="宋体" w:cs="宋体"/>
                <w:kern w:val="0"/>
                <w:sz w:val="22"/>
                <w:szCs w:val="22"/>
                <w:highlight w:val="none"/>
              </w:rPr>
              <w:t>，中国大陆地区（除港澳台）民用机场投标同型号设备的销售业绩评分。投标同型号爆炸物探测仪完成过满</w:t>
            </w:r>
            <w:r>
              <w:rPr>
                <w:rFonts w:hint="eastAsia" w:ascii="宋体" w:hAnsi="宋体" w:cs="宋体"/>
                <w:kern w:val="0"/>
                <w:sz w:val="22"/>
                <w:szCs w:val="22"/>
                <w:highlight w:val="none"/>
              </w:rPr>
              <w:t>5</w:t>
            </w:r>
            <w:r>
              <w:rPr>
                <w:rFonts w:ascii="宋体" w:hAnsi="宋体" w:cs="宋体"/>
                <w:kern w:val="0"/>
                <w:sz w:val="22"/>
                <w:szCs w:val="22"/>
                <w:highlight w:val="none"/>
              </w:rPr>
              <w:t>0台销售业绩的，得0.</w:t>
            </w:r>
            <w:r>
              <w:rPr>
                <w:rFonts w:hint="eastAsia" w:ascii="宋体" w:hAnsi="宋体" w:cs="宋体"/>
                <w:kern w:val="0"/>
                <w:sz w:val="22"/>
                <w:szCs w:val="22"/>
                <w:highlight w:val="none"/>
              </w:rPr>
              <w:t>5</w:t>
            </w:r>
            <w:r>
              <w:rPr>
                <w:rFonts w:ascii="宋体" w:hAnsi="宋体" w:cs="宋体"/>
                <w:kern w:val="0"/>
                <w:sz w:val="22"/>
                <w:szCs w:val="22"/>
                <w:highlight w:val="none"/>
              </w:rPr>
              <w:t>分，每增加</w:t>
            </w:r>
            <w:r>
              <w:rPr>
                <w:rFonts w:hint="eastAsia" w:ascii="宋体" w:hAnsi="宋体" w:cs="宋体"/>
                <w:kern w:val="0"/>
                <w:sz w:val="22"/>
                <w:szCs w:val="22"/>
                <w:highlight w:val="none"/>
              </w:rPr>
              <w:t>5</w:t>
            </w:r>
            <w:r>
              <w:rPr>
                <w:rFonts w:ascii="宋体" w:hAnsi="宋体" w:cs="宋体"/>
                <w:kern w:val="0"/>
                <w:sz w:val="22"/>
                <w:szCs w:val="22"/>
                <w:highlight w:val="none"/>
              </w:rPr>
              <w:t>0台所投爆炸物探测仪销售业绩加0.</w:t>
            </w:r>
            <w:r>
              <w:rPr>
                <w:rFonts w:hint="eastAsia" w:ascii="宋体" w:hAnsi="宋体" w:cs="宋体"/>
                <w:kern w:val="0"/>
                <w:sz w:val="22"/>
                <w:szCs w:val="22"/>
                <w:highlight w:val="none"/>
              </w:rPr>
              <w:t>5</w:t>
            </w:r>
            <w:r>
              <w:rPr>
                <w:rFonts w:ascii="宋体" w:hAnsi="宋体" w:cs="宋体"/>
                <w:kern w:val="0"/>
                <w:sz w:val="22"/>
                <w:szCs w:val="22"/>
                <w:highlight w:val="none"/>
              </w:rPr>
              <w:t>分，最高得</w:t>
            </w:r>
            <w:r>
              <w:rPr>
                <w:rFonts w:hint="eastAsia" w:ascii="宋体" w:hAnsi="宋体" w:cs="宋体"/>
                <w:kern w:val="0"/>
                <w:sz w:val="22"/>
                <w:szCs w:val="22"/>
                <w:highlight w:val="none"/>
              </w:rPr>
              <w:t>8</w:t>
            </w:r>
            <w:r>
              <w:rPr>
                <w:rFonts w:ascii="宋体" w:hAnsi="宋体" w:cs="宋体"/>
                <w:kern w:val="0"/>
                <w:sz w:val="22"/>
                <w:szCs w:val="22"/>
                <w:highlight w:val="none"/>
              </w:rPr>
              <w:t xml:space="preserve">分。 </w:t>
            </w:r>
          </w:p>
        </w:tc>
        <w:tc>
          <w:tcPr>
            <w:tcW w:w="1843" w:type="dxa"/>
            <w:vAlign w:val="center"/>
          </w:tcPr>
          <w:p>
            <w:pPr>
              <w:widowControl/>
              <w:snapToGrid w:val="0"/>
              <w:spacing w:line="360" w:lineRule="exact"/>
              <w:jc w:val="center"/>
              <w:rPr>
                <w:rFonts w:ascii="宋体" w:hAnsi="宋体" w:cs="宋体"/>
                <w:kern w:val="0"/>
                <w:sz w:val="22"/>
                <w:szCs w:val="22"/>
                <w:highlight w:val="none"/>
              </w:rPr>
            </w:pPr>
            <w:r>
              <w:rPr>
                <w:rFonts w:hint="eastAsia" w:ascii="宋体" w:hAnsi="宋体" w:cs="宋体"/>
                <w:kern w:val="0"/>
                <w:sz w:val="22"/>
                <w:szCs w:val="22"/>
                <w:highlight w:val="none"/>
              </w:rPr>
              <w:t>0-8</w:t>
            </w:r>
          </w:p>
        </w:tc>
        <w:tc>
          <w:tcPr>
            <w:tcW w:w="3402" w:type="dxa"/>
          </w:tcPr>
          <w:p>
            <w:pPr>
              <w:widowControl/>
              <w:jc w:val="left"/>
              <w:rPr>
                <w:rFonts w:ascii="宋体" w:hAnsi="宋体" w:eastAsia="宋体" w:cs="宋体"/>
                <w:kern w:val="0"/>
                <w:highlight w:val="none"/>
              </w:rPr>
            </w:pPr>
            <w:r>
              <w:rPr>
                <w:rFonts w:ascii="宋体" w:hAnsi="宋体" w:cs="宋体"/>
                <w:kern w:val="0"/>
                <w:sz w:val="22"/>
                <w:szCs w:val="22"/>
                <w:highlight w:val="none"/>
              </w:rPr>
              <w:t>项目业绩应提供有效证明资料：合同复印件</w:t>
            </w:r>
            <w:r>
              <w:rPr>
                <w:rFonts w:hint="eastAsia" w:ascii="宋体" w:hAnsi="宋体" w:cs="宋体"/>
                <w:kern w:val="0"/>
                <w:sz w:val="22"/>
                <w:szCs w:val="22"/>
                <w:highlight w:val="none"/>
              </w:rPr>
              <w:t>并加盖投标人公章</w:t>
            </w:r>
            <w:r>
              <w:rPr>
                <w:rFonts w:ascii="宋体" w:hAnsi="宋体" w:cs="宋体"/>
                <w:kern w:val="0"/>
                <w:sz w:val="22"/>
                <w:szCs w:val="22"/>
                <w:highlight w:val="none"/>
              </w:rPr>
              <w:t>（业绩有效时间以合同签订时间为准，</w:t>
            </w:r>
            <w:r>
              <w:rPr>
                <w:rFonts w:hint="eastAsia" w:ascii="宋体" w:hAnsi="宋体" w:cs="宋体"/>
                <w:kern w:val="0"/>
                <w:sz w:val="22"/>
                <w:szCs w:val="22"/>
                <w:highlight w:val="none"/>
              </w:rPr>
              <w:t>且必须在投标截止日前，原件备查</w:t>
            </w:r>
            <w:r>
              <w:rPr>
                <w:rFonts w:ascii="宋体" w:hAnsi="宋体" w:cs="宋体"/>
                <w:kern w:val="0"/>
                <w:sz w:val="22"/>
                <w:szCs w:val="22"/>
                <w:highlight w:val="none"/>
              </w:rPr>
              <w:t>），投标文件中未提供或未按上述要求提供有效证明资料的不得分。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4077" w:type="dxa"/>
            <w:vAlign w:val="center"/>
          </w:tcPr>
          <w:p>
            <w:pPr>
              <w:widowControl/>
              <w:snapToGrid w:val="0"/>
              <w:spacing w:line="360" w:lineRule="exact"/>
              <w:rPr>
                <w:rFonts w:hAnsi="宋体"/>
                <w:sz w:val="22"/>
                <w:szCs w:val="22"/>
                <w:highlight w:val="none"/>
              </w:rPr>
            </w:pPr>
            <w:r>
              <w:rPr>
                <w:rFonts w:hint="eastAsia" w:hAnsi="宋体"/>
                <w:sz w:val="22"/>
                <w:szCs w:val="22"/>
                <w:highlight w:val="none"/>
              </w:rPr>
              <w:t>投标设备行业认证</w:t>
            </w:r>
          </w:p>
        </w:tc>
        <w:tc>
          <w:tcPr>
            <w:tcW w:w="1843" w:type="dxa"/>
            <w:vAlign w:val="center"/>
          </w:tcPr>
          <w:p>
            <w:pPr>
              <w:widowControl/>
              <w:snapToGrid w:val="0"/>
              <w:spacing w:line="360" w:lineRule="exact"/>
              <w:jc w:val="center"/>
              <w:rPr>
                <w:rFonts w:ascii="宋体" w:hAnsi="宋体" w:cs="宋体"/>
                <w:kern w:val="0"/>
                <w:sz w:val="22"/>
                <w:szCs w:val="22"/>
                <w:highlight w:val="none"/>
              </w:rPr>
            </w:pPr>
            <w:r>
              <w:rPr>
                <w:rFonts w:hint="eastAsia" w:ascii="宋体" w:hAnsi="宋体" w:cs="宋体"/>
                <w:kern w:val="0"/>
                <w:sz w:val="22"/>
                <w:szCs w:val="22"/>
                <w:highlight w:val="none"/>
              </w:rPr>
              <w:t>0-4</w:t>
            </w:r>
          </w:p>
        </w:tc>
        <w:tc>
          <w:tcPr>
            <w:tcW w:w="3402" w:type="dxa"/>
          </w:tcPr>
          <w:p>
            <w:pPr>
              <w:widowControl/>
              <w:snapToGrid w:val="0"/>
              <w:spacing w:line="360" w:lineRule="exact"/>
              <w:jc w:val="center"/>
              <w:rPr>
                <w:rFonts w:ascii="宋体" w:hAnsi="宋体" w:cs="宋体"/>
                <w:kern w:val="0"/>
                <w:sz w:val="22"/>
                <w:szCs w:val="22"/>
                <w:highlight w:val="none"/>
              </w:rPr>
            </w:pPr>
            <w:r>
              <w:rPr>
                <w:rFonts w:hint="eastAsia" w:ascii="宋体" w:hAnsi="宋体" w:cs="宋体"/>
                <w:kern w:val="0"/>
                <w:sz w:val="22"/>
                <w:szCs w:val="22"/>
                <w:highlight w:val="none"/>
              </w:rPr>
              <w:t>取得中国民航许可证得2分，每多取得一个认证加1分，最高4分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4077"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 w:val="22"/>
                <w:szCs w:val="22"/>
                <w:highlight w:val="none"/>
              </w:rPr>
            </w:pPr>
            <w:r>
              <w:rPr>
                <w:rFonts w:hint="eastAsia" w:hAnsi="宋体"/>
                <w:sz w:val="22"/>
                <w:szCs w:val="22"/>
                <w:highlight w:val="none"/>
              </w:rPr>
              <w:t>投标设备耗材价格，出保后单台维保价格</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 w:val="22"/>
                <w:szCs w:val="22"/>
                <w:highlight w:val="none"/>
              </w:rPr>
            </w:pPr>
            <w:r>
              <w:rPr>
                <w:rFonts w:hint="eastAsia" w:ascii="宋体" w:hAnsi="宋体" w:cs="宋体"/>
                <w:kern w:val="0"/>
                <w:sz w:val="22"/>
                <w:szCs w:val="22"/>
                <w:highlight w:val="none"/>
              </w:rPr>
              <w:t>0-8</w:t>
            </w:r>
          </w:p>
        </w:tc>
        <w:tc>
          <w:tcPr>
            <w:tcW w:w="3402" w:type="dxa"/>
            <w:tcBorders>
              <w:top w:val="single" w:color="auto" w:sz="4" w:space="0"/>
              <w:left w:val="single" w:color="auto" w:sz="4" w:space="0"/>
              <w:bottom w:val="single" w:color="auto" w:sz="4" w:space="0"/>
              <w:right w:val="single" w:color="auto" w:sz="4" w:space="0"/>
            </w:tcBorders>
          </w:tcPr>
          <w:p>
            <w:pPr>
              <w:widowControl/>
              <w:snapToGrid w:val="0"/>
              <w:spacing w:line="360" w:lineRule="exact"/>
              <w:jc w:val="center"/>
              <w:rPr>
                <w:rFonts w:ascii="宋体" w:hAnsi="宋体" w:cs="宋体"/>
                <w:kern w:val="0"/>
                <w:sz w:val="22"/>
                <w:szCs w:val="22"/>
                <w:highlight w:val="none"/>
              </w:rPr>
            </w:pPr>
            <w:r>
              <w:rPr>
                <w:rFonts w:hint="eastAsia" w:ascii="宋体" w:hAnsi="宋体" w:cs="宋体"/>
                <w:kern w:val="0"/>
                <w:sz w:val="22"/>
                <w:szCs w:val="22"/>
                <w:highlight w:val="none"/>
              </w:rPr>
              <w:t>设备按每年10万次检测计算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4077"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 w:val="22"/>
                <w:szCs w:val="22"/>
                <w:highlight w:val="none"/>
              </w:rPr>
            </w:pPr>
            <w:r>
              <w:rPr>
                <w:rFonts w:hint="eastAsia" w:hAnsi="宋体"/>
                <w:sz w:val="22"/>
                <w:szCs w:val="22"/>
                <w:highlight w:val="none"/>
              </w:rPr>
              <w:t>质量保证期</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 w:val="22"/>
                <w:szCs w:val="22"/>
                <w:highlight w:val="none"/>
              </w:rPr>
            </w:pPr>
            <w:r>
              <w:rPr>
                <w:rFonts w:hint="eastAsia" w:ascii="宋体" w:hAnsi="宋体" w:cs="宋体"/>
                <w:kern w:val="0"/>
                <w:sz w:val="22"/>
                <w:szCs w:val="22"/>
                <w:highlight w:val="none"/>
              </w:rPr>
              <w:t>0-8</w:t>
            </w:r>
          </w:p>
        </w:tc>
        <w:tc>
          <w:tcPr>
            <w:tcW w:w="3402" w:type="dxa"/>
            <w:tcBorders>
              <w:top w:val="single" w:color="auto" w:sz="4" w:space="0"/>
              <w:left w:val="single" w:color="auto" w:sz="4" w:space="0"/>
              <w:bottom w:val="single" w:color="auto" w:sz="4" w:space="0"/>
              <w:right w:val="single" w:color="auto" w:sz="4" w:space="0"/>
            </w:tcBorders>
          </w:tcPr>
          <w:p>
            <w:pPr>
              <w:widowControl/>
              <w:snapToGrid w:val="0"/>
              <w:spacing w:line="360" w:lineRule="exact"/>
              <w:jc w:val="center"/>
              <w:rPr>
                <w:rFonts w:ascii="宋体" w:hAnsi="宋体" w:cs="宋体"/>
                <w:kern w:val="0"/>
                <w:sz w:val="22"/>
                <w:szCs w:val="22"/>
                <w:highlight w:val="none"/>
              </w:rPr>
            </w:pPr>
            <w:r>
              <w:rPr>
                <w:rFonts w:hint="eastAsia" w:ascii="仿宋" w:hAnsi="仿宋" w:eastAsia="仿宋" w:cs="Arial"/>
                <w:szCs w:val="21"/>
                <w:highlight w:val="none"/>
              </w:rPr>
              <w:t>满足</w:t>
            </w:r>
            <w:r>
              <w:rPr>
                <w:rFonts w:ascii="仿宋" w:hAnsi="仿宋" w:eastAsia="仿宋" w:cs="Arial"/>
                <w:szCs w:val="21"/>
                <w:highlight w:val="none"/>
              </w:rPr>
              <w:t>招标要求</w:t>
            </w:r>
            <w:r>
              <w:rPr>
                <w:rFonts w:hint="eastAsia" w:ascii="仿宋" w:hAnsi="仿宋" w:eastAsia="仿宋" w:cs="Arial"/>
                <w:szCs w:val="21"/>
                <w:highlight w:val="none"/>
              </w:rPr>
              <w:t>不得分</w:t>
            </w:r>
            <w:r>
              <w:rPr>
                <w:rFonts w:ascii="仿宋" w:hAnsi="仿宋" w:eastAsia="仿宋" w:cs="Arial"/>
                <w:szCs w:val="21"/>
                <w:highlight w:val="none"/>
              </w:rPr>
              <w:t>，每增加1年加</w:t>
            </w:r>
            <w:r>
              <w:rPr>
                <w:rFonts w:hint="eastAsia" w:ascii="仿宋" w:hAnsi="仿宋" w:eastAsia="仿宋" w:cs="Arial"/>
                <w:szCs w:val="21"/>
                <w:highlight w:val="none"/>
              </w:rPr>
              <w:t>2</w:t>
            </w:r>
            <w:r>
              <w:rPr>
                <w:rFonts w:ascii="仿宋" w:hAnsi="仿宋" w:eastAsia="仿宋" w:cs="Arial"/>
                <w:szCs w:val="21"/>
                <w:highlight w:val="none"/>
              </w:rPr>
              <w:t>分</w:t>
            </w:r>
            <w:r>
              <w:rPr>
                <w:rFonts w:hint="eastAsia" w:ascii="仿宋" w:hAnsi="仿宋" w:eastAsia="仿宋" w:cs="Arial"/>
                <w:szCs w:val="21"/>
                <w:highlight w:val="none"/>
              </w:rPr>
              <w:t>，最高8分；每减少1年扣2分，不设下限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4077"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hAnsi="宋体"/>
                <w:sz w:val="22"/>
                <w:szCs w:val="22"/>
                <w:highlight w:val="none"/>
              </w:rPr>
            </w:pPr>
            <w:r>
              <w:rPr>
                <w:rFonts w:hint="eastAsia" w:hAnsi="宋体"/>
                <w:sz w:val="22"/>
                <w:szCs w:val="22"/>
                <w:highlight w:val="none"/>
              </w:rPr>
              <w:t>投标设备检出率</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 w:val="22"/>
                <w:szCs w:val="22"/>
                <w:highlight w:val="none"/>
              </w:rPr>
            </w:pPr>
            <w:r>
              <w:rPr>
                <w:rFonts w:hint="eastAsia" w:ascii="宋体" w:hAnsi="宋体" w:cs="宋体"/>
                <w:kern w:val="0"/>
                <w:sz w:val="22"/>
                <w:szCs w:val="22"/>
                <w:highlight w:val="none"/>
              </w:rPr>
              <w:t>0-3</w:t>
            </w:r>
          </w:p>
        </w:tc>
        <w:tc>
          <w:tcPr>
            <w:tcW w:w="3402" w:type="dxa"/>
            <w:tcBorders>
              <w:top w:val="single" w:color="auto" w:sz="4" w:space="0"/>
              <w:left w:val="single" w:color="auto" w:sz="4" w:space="0"/>
              <w:bottom w:val="single" w:color="auto" w:sz="4" w:space="0"/>
              <w:right w:val="single" w:color="auto" w:sz="4" w:space="0"/>
            </w:tcBorders>
          </w:tcPr>
          <w:p>
            <w:pPr>
              <w:widowControl/>
              <w:snapToGrid w:val="0"/>
              <w:spacing w:line="360" w:lineRule="exact"/>
              <w:jc w:val="center"/>
              <w:rPr>
                <w:rFonts w:ascii="仿宋" w:hAnsi="仿宋" w:eastAsia="仿宋" w:cs="Arial"/>
                <w:szCs w:val="21"/>
                <w:highlight w:val="none"/>
              </w:rPr>
            </w:pPr>
            <w:r>
              <w:rPr>
                <w:rFonts w:hint="eastAsia" w:ascii="宋体" w:hAnsi="宋体" w:cs="宋体"/>
                <w:kern w:val="0"/>
                <w:sz w:val="22"/>
                <w:szCs w:val="22"/>
                <w:highlight w:val="none"/>
              </w:rPr>
              <w:t>优秀得3分，一般得2分，差得1分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4077"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hAnsi="宋体"/>
                <w:sz w:val="22"/>
                <w:szCs w:val="22"/>
                <w:highlight w:val="none"/>
              </w:rPr>
            </w:pPr>
            <w:r>
              <w:rPr>
                <w:rFonts w:hint="eastAsia" w:hAnsi="宋体"/>
                <w:sz w:val="22"/>
                <w:szCs w:val="22"/>
                <w:highlight w:val="none"/>
              </w:rPr>
              <w:t>投标设备检测分析时间</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 w:val="22"/>
                <w:szCs w:val="22"/>
                <w:highlight w:val="none"/>
              </w:rPr>
            </w:pPr>
            <w:r>
              <w:rPr>
                <w:rFonts w:hint="eastAsia" w:ascii="宋体" w:hAnsi="宋体" w:cs="宋体"/>
                <w:kern w:val="0"/>
                <w:sz w:val="22"/>
                <w:szCs w:val="22"/>
                <w:highlight w:val="none"/>
              </w:rPr>
              <w:t>0-3</w:t>
            </w:r>
          </w:p>
        </w:tc>
        <w:tc>
          <w:tcPr>
            <w:tcW w:w="3402" w:type="dxa"/>
            <w:tcBorders>
              <w:top w:val="single" w:color="auto" w:sz="4" w:space="0"/>
              <w:left w:val="single" w:color="auto" w:sz="4" w:space="0"/>
              <w:bottom w:val="single" w:color="auto" w:sz="4" w:space="0"/>
              <w:right w:val="single" w:color="auto" w:sz="4" w:space="0"/>
            </w:tcBorders>
          </w:tcPr>
          <w:p>
            <w:pPr>
              <w:widowControl/>
              <w:snapToGrid w:val="0"/>
              <w:spacing w:line="360" w:lineRule="exact"/>
              <w:jc w:val="center"/>
              <w:rPr>
                <w:rFonts w:ascii="宋体" w:hAnsi="宋体" w:cs="宋体"/>
                <w:kern w:val="0"/>
                <w:sz w:val="22"/>
                <w:szCs w:val="22"/>
                <w:highlight w:val="none"/>
              </w:rPr>
            </w:pPr>
            <w:r>
              <w:rPr>
                <w:rFonts w:hint="eastAsia" w:ascii="宋体" w:hAnsi="宋体" w:cs="宋体"/>
                <w:kern w:val="0"/>
                <w:sz w:val="22"/>
                <w:szCs w:val="22"/>
                <w:highlight w:val="none"/>
              </w:rPr>
              <w:t>优秀得3分，一般得2分，差得1分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4077"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hAnsi="宋体"/>
                <w:sz w:val="22"/>
                <w:szCs w:val="22"/>
                <w:highlight w:val="none"/>
              </w:rPr>
            </w:pPr>
            <w:r>
              <w:rPr>
                <w:rFonts w:hint="eastAsia" w:hAnsi="宋体"/>
                <w:sz w:val="22"/>
                <w:szCs w:val="22"/>
                <w:highlight w:val="none"/>
              </w:rPr>
              <w:t>投标设备误报率</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 w:val="22"/>
                <w:szCs w:val="22"/>
                <w:highlight w:val="none"/>
              </w:rPr>
            </w:pPr>
            <w:r>
              <w:rPr>
                <w:rFonts w:hint="eastAsia" w:ascii="宋体" w:hAnsi="宋体" w:cs="宋体"/>
                <w:kern w:val="0"/>
                <w:sz w:val="22"/>
                <w:szCs w:val="22"/>
                <w:highlight w:val="none"/>
              </w:rPr>
              <w:t>0-3</w:t>
            </w:r>
          </w:p>
        </w:tc>
        <w:tc>
          <w:tcPr>
            <w:tcW w:w="3402" w:type="dxa"/>
            <w:tcBorders>
              <w:top w:val="single" w:color="auto" w:sz="4" w:space="0"/>
              <w:left w:val="single" w:color="auto" w:sz="4" w:space="0"/>
              <w:bottom w:val="single" w:color="auto" w:sz="4" w:space="0"/>
              <w:right w:val="single" w:color="auto" w:sz="4" w:space="0"/>
            </w:tcBorders>
          </w:tcPr>
          <w:p>
            <w:pPr>
              <w:widowControl/>
              <w:snapToGrid w:val="0"/>
              <w:spacing w:line="360" w:lineRule="exact"/>
              <w:jc w:val="center"/>
              <w:rPr>
                <w:rFonts w:ascii="宋体" w:hAnsi="宋体" w:cs="宋体"/>
                <w:kern w:val="0"/>
                <w:sz w:val="22"/>
                <w:szCs w:val="22"/>
                <w:highlight w:val="none"/>
              </w:rPr>
            </w:pPr>
            <w:r>
              <w:rPr>
                <w:rFonts w:hint="eastAsia" w:ascii="宋体" w:hAnsi="宋体" w:cs="宋体"/>
                <w:kern w:val="0"/>
                <w:sz w:val="22"/>
                <w:szCs w:val="22"/>
                <w:highlight w:val="none"/>
              </w:rPr>
              <w:t>优秀得3分，一般得2分，差得1分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4077" w:type="dxa"/>
            <w:vAlign w:val="center"/>
          </w:tcPr>
          <w:p>
            <w:pPr>
              <w:widowControl/>
              <w:snapToGrid w:val="0"/>
              <w:spacing w:line="360" w:lineRule="exact"/>
              <w:rPr>
                <w:rFonts w:ascii="宋体" w:hAnsi="宋体"/>
                <w:sz w:val="22"/>
                <w:szCs w:val="22"/>
                <w:highlight w:val="none"/>
              </w:rPr>
            </w:pPr>
            <w:r>
              <w:rPr>
                <w:rFonts w:hint="eastAsia" w:hAnsi="宋体"/>
                <w:sz w:val="22"/>
                <w:szCs w:val="22"/>
                <w:highlight w:val="none"/>
              </w:rPr>
              <w:t>投标人是否具有较强的本地化服务能力、售后服务承诺、提供的售后服务方案的可行性、完整性以及服务承诺落实的保障措施，质保期内外的后续技术支持和维护能力情况等。</w:t>
            </w:r>
          </w:p>
        </w:tc>
        <w:tc>
          <w:tcPr>
            <w:tcW w:w="1843" w:type="dxa"/>
            <w:vAlign w:val="center"/>
          </w:tcPr>
          <w:p>
            <w:pPr>
              <w:widowControl/>
              <w:snapToGrid w:val="0"/>
              <w:spacing w:line="360" w:lineRule="exact"/>
              <w:jc w:val="center"/>
              <w:rPr>
                <w:rFonts w:ascii="宋体" w:hAnsi="宋体"/>
                <w:sz w:val="22"/>
                <w:szCs w:val="22"/>
                <w:highlight w:val="none"/>
              </w:rPr>
            </w:pPr>
            <w:r>
              <w:rPr>
                <w:rFonts w:hint="eastAsia" w:ascii="宋体" w:hAnsi="宋体" w:cs="宋体"/>
                <w:kern w:val="0"/>
                <w:sz w:val="22"/>
                <w:szCs w:val="22"/>
                <w:highlight w:val="none"/>
              </w:rPr>
              <w:t>0-3</w:t>
            </w:r>
          </w:p>
        </w:tc>
        <w:tc>
          <w:tcPr>
            <w:tcW w:w="3402" w:type="dxa"/>
          </w:tcPr>
          <w:p>
            <w:pPr>
              <w:widowControl/>
              <w:snapToGrid w:val="0"/>
              <w:spacing w:line="360" w:lineRule="exact"/>
              <w:jc w:val="center"/>
              <w:rPr>
                <w:rFonts w:ascii="宋体" w:hAnsi="宋体" w:cs="宋体"/>
                <w:kern w:val="0"/>
                <w:sz w:val="22"/>
                <w:szCs w:val="22"/>
                <w:highlight w:val="none"/>
              </w:rPr>
            </w:pPr>
          </w:p>
        </w:tc>
      </w:tr>
    </w:tbl>
    <w:p>
      <w:pPr>
        <w:pStyle w:val="29"/>
        <w:spacing w:line="360" w:lineRule="exact"/>
        <w:rPr>
          <w:rFonts w:hAnsi="宋体" w:cs="Calibri"/>
          <w:b/>
          <w:sz w:val="22"/>
          <w:szCs w:val="22"/>
          <w:highlight w:val="none"/>
        </w:rPr>
      </w:pPr>
      <w:r>
        <w:rPr>
          <w:rFonts w:hAnsi="宋体" w:cs="Calibri"/>
          <w:b/>
          <w:sz w:val="22"/>
          <w:szCs w:val="22"/>
          <w:highlight w:val="none"/>
        </w:rPr>
        <w:t>3.4推荐中标候选人</w:t>
      </w:r>
    </w:p>
    <w:p>
      <w:pPr>
        <w:pStyle w:val="29"/>
        <w:adjustRightInd w:val="0"/>
        <w:snapToGrid w:val="0"/>
        <w:spacing w:line="360" w:lineRule="exact"/>
        <w:ind w:firstLine="440" w:firstLineChars="200"/>
        <w:rPr>
          <w:rFonts w:hAnsi="宋体" w:cs="Calibri"/>
          <w:sz w:val="22"/>
          <w:szCs w:val="22"/>
          <w:highlight w:val="none"/>
        </w:rPr>
      </w:pPr>
      <w:r>
        <w:rPr>
          <w:rFonts w:hAnsi="宋体" w:cs="Calibri"/>
          <w:sz w:val="22"/>
          <w:szCs w:val="22"/>
          <w:highlight w:val="none"/>
        </w:rPr>
        <w:t>3.</w:t>
      </w:r>
      <w:r>
        <w:rPr>
          <w:rFonts w:hint="eastAsia" w:hAnsi="宋体" w:cs="Calibri"/>
          <w:sz w:val="22"/>
          <w:szCs w:val="22"/>
          <w:highlight w:val="none"/>
        </w:rPr>
        <w:t>4</w:t>
      </w:r>
      <w:r>
        <w:rPr>
          <w:rFonts w:hAnsi="宋体" w:cs="Calibri"/>
          <w:sz w:val="22"/>
          <w:szCs w:val="22"/>
          <w:highlight w:val="none"/>
        </w:rPr>
        <w:t>.1当有效投标文件大于等于二名时，评标委员会</w:t>
      </w:r>
      <w:r>
        <w:rPr>
          <w:rFonts w:hint="eastAsia" w:hAnsi="宋体" w:cs="Calibri"/>
          <w:sz w:val="22"/>
          <w:szCs w:val="22"/>
          <w:highlight w:val="none"/>
        </w:rPr>
        <w:t>得分最高、次高的投标人为中标候选人（如果得分相同则按投标人报价从低到高顺序推荐为中标候选人，如果投标报价也相同，则抽签决定）。</w:t>
      </w:r>
    </w:p>
    <w:p>
      <w:pPr>
        <w:pStyle w:val="29"/>
        <w:adjustRightInd w:val="0"/>
        <w:snapToGrid w:val="0"/>
        <w:spacing w:line="360" w:lineRule="exact"/>
        <w:ind w:firstLine="440" w:firstLineChars="200"/>
        <w:rPr>
          <w:rFonts w:hAnsi="宋体" w:cs="Calibri"/>
          <w:sz w:val="22"/>
          <w:szCs w:val="22"/>
          <w:highlight w:val="none"/>
        </w:rPr>
      </w:pPr>
      <w:r>
        <w:rPr>
          <w:rFonts w:hAnsi="宋体" w:cs="Calibri"/>
          <w:sz w:val="22"/>
          <w:szCs w:val="22"/>
          <w:highlight w:val="none"/>
        </w:rPr>
        <w:t>3.</w:t>
      </w:r>
      <w:r>
        <w:rPr>
          <w:rFonts w:hint="eastAsia" w:hAnsi="宋体" w:cs="Calibri"/>
          <w:sz w:val="22"/>
          <w:szCs w:val="22"/>
          <w:highlight w:val="none"/>
        </w:rPr>
        <w:t>4</w:t>
      </w:r>
      <w:r>
        <w:rPr>
          <w:rFonts w:hAnsi="宋体" w:cs="Calibri"/>
          <w:sz w:val="22"/>
          <w:szCs w:val="22"/>
          <w:highlight w:val="none"/>
        </w:rPr>
        <w:t>.3当有效投标文件只有一名时，则由评标委员会确定是否推荐为中标候选人。</w:t>
      </w:r>
    </w:p>
    <w:p>
      <w:pPr>
        <w:pStyle w:val="29"/>
        <w:spacing w:line="360" w:lineRule="exact"/>
        <w:rPr>
          <w:rFonts w:hAnsi="宋体" w:cs="Calibri"/>
          <w:b/>
          <w:sz w:val="22"/>
          <w:szCs w:val="22"/>
          <w:highlight w:val="none"/>
        </w:rPr>
      </w:pPr>
      <w:r>
        <w:rPr>
          <w:rFonts w:hAnsi="宋体" w:cs="Calibri"/>
          <w:b/>
          <w:sz w:val="22"/>
          <w:szCs w:val="22"/>
          <w:highlight w:val="none"/>
        </w:rPr>
        <w:t>3.</w:t>
      </w:r>
      <w:r>
        <w:rPr>
          <w:rFonts w:hint="eastAsia" w:hAnsi="宋体" w:cs="Calibri"/>
          <w:b/>
          <w:sz w:val="22"/>
          <w:szCs w:val="22"/>
          <w:highlight w:val="none"/>
        </w:rPr>
        <w:t>5</w:t>
      </w:r>
      <w:r>
        <w:rPr>
          <w:rFonts w:hAnsi="宋体" w:cs="Calibri"/>
          <w:b/>
          <w:sz w:val="22"/>
          <w:szCs w:val="22"/>
          <w:highlight w:val="none"/>
        </w:rPr>
        <w:t>评标报告</w:t>
      </w:r>
    </w:p>
    <w:p>
      <w:pPr>
        <w:pStyle w:val="29"/>
        <w:adjustRightInd w:val="0"/>
        <w:snapToGrid w:val="0"/>
        <w:spacing w:line="360" w:lineRule="exact"/>
        <w:ind w:firstLine="440" w:firstLineChars="200"/>
        <w:rPr>
          <w:rFonts w:hAnsi="宋体" w:cs="Calibri"/>
          <w:sz w:val="22"/>
          <w:szCs w:val="22"/>
          <w:highlight w:val="none"/>
        </w:rPr>
      </w:pPr>
      <w:r>
        <w:rPr>
          <w:rFonts w:hAnsi="宋体" w:cs="Calibri"/>
          <w:sz w:val="22"/>
          <w:szCs w:val="22"/>
          <w:highlight w:val="none"/>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9"/>
        <w:spacing w:line="360" w:lineRule="exact"/>
        <w:rPr>
          <w:rFonts w:hAnsi="宋体" w:cs="Calibri"/>
          <w:b/>
          <w:sz w:val="22"/>
          <w:szCs w:val="22"/>
          <w:highlight w:val="none"/>
        </w:rPr>
      </w:pPr>
      <w:r>
        <w:rPr>
          <w:rFonts w:hAnsi="宋体" w:cs="Calibri"/>
          <w:b/>
          <w:sz w:val="22"/>
          <w:szCs w:val="22"/>
          <w:highlight w:val="none"/>
        </w:rPr>
        <w:t>四、</w:t>
      </w:r>
      <w:r>
        <w:rPr>
          <w:rFonts w:hint="eastAsia" w:hAnsi="宋体" w:cs="Calibri"/>
          <w:b/>
          <w:sz w:val="22"/>
          <w:szCs w:val="22"/>
          <w:highlight w:val="none"/>
        </w:rPr>
        <w:t>定</w:t>
      </w:r>
      <w:r>
        <w:rPr>
          <w:rFonts w:hAnsi="宋体" w:cs="Calibri"/>
          <w:b/>
          <w:sz w:val="22"/>
          <w:szCs w:val="22"/>
          <w:highlight w:val="none"/>
        </w:rPr>
        <w:t>标</w:t>
      </w:r>
    </w:p>
    <w:p>
      <w:pPr>
        <w:pStyle w:val="29"/>
        <w:adjustRightInd w:val="0"/>
        <w:snapToGrid w:val="0"/>
        <w:spacing w:line="360" w:lineRule="exact"/>
        <w:ind w:firstLine="440" w:firstLineChars="200"/>
        <w:rPr>
          <w:rFonts w:hAnsi="宋体" w:cs="Calibri"/>
          <w:sz w:val="22"/>
          <w:szCs w:val="22"/>
          <w:highlight w:val="none"/>
        </w:rPr>
      </w:pPr>
      <w:r>
        <w:rPr>
          <w:rFonts w:hAnsi="宋体" w:cs="Calibri"/>
          <w:sz w:val="22"/>
          <w:szCs w:val="22"/>
          <w:highlight w:val="none"/>
        </w:rPr>
        <w:t>4.</w:t>
      </w:r>
      <w:r>
        <w:rPr>
          <w:rFonts w:hint="eastAsia" w:hAnsi="宋体" w:cs="Calibri"/>
          <w:sz w:val="22"/>
          <w:szCs w:val="22"/>
          <w:highlight w:val="none"/>
        </w:rPr>
        <w:t>1</w:t>
      </w:r>
      <w:r>
        <w:rPr>
          <w:rFonts w:hAnsi="宋体" w:cs="Calibri"/>
          <w:sz w:val="22"/>
          <w:szCs w:val="22"/>
          <w:highlight w:val="none"/>
        </w:rPr>
        <w:t>招标人将确定评标委员会推荐的</w:t>
      </w:r>
      <w:r>
        <w:rPr>
          <w:rFonts w:hint="eastAsia" w:hAnsi="宋体" w:cs="Calibri"/>
          <w:sz w:val="22"/>
          <w:szCs w:val="22"/>
          <w:highlight w:val="none"/>
        </w:rPr>
        <w:t>第一</w:t>
      </w:r>
      <w:r>
        <w:rPr>
          <w:rFonts w:hAnsi="宋体" w:cs="Calibri"/>
          <w:sz w:val="22"/>
          <w:szCs w:val="22"/>
          <w:highlight w:val="none"/>
        </w:rPr>
        <w:t>中标候选人为中标人。</w:t>
      </w:r>
      <w:r>
        <w:rPr>
          <w:rFonts w:hint="eastAsia" w:hAnsi="宋体" w:cs="Calibri"/>
          <w:sz w:val="22"/>
          <w:szCs w:val="22"/>
          <w:highlight w:val="none"/>
        </w:rPr>
        <w:t>第一</w:t>
      </w:r>
      <w:r>
        <w:rPr>
          <w:rFonts w:hAnsi="宋体" w:cs="Calibri"/>
          <w:sz w:val="22"/>
          <w:szCs w:val="22"/>
          <w:highlight w:val="none"/>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highlight w:val="none"/>
        </w:rPr>
        <w:t>或</w:t>
      </w:r>
      <w:r>
        <w:rPr>
          <w:rFonts w:hAnsi="宋体" w:cs="Calibri"/>
          <w:sz w:val="22"/>
          <w:szCs w:val="22"/>
          <w:highlight w:val="none"/>
        </w:rPr>
        <w:t>重新招标。</w:t>
      </w:r>
    </w:p>
    <w:p>
      <w:pPr>
        <w:pStyle w:val="29"/>
        <w:adjustRightInd w:val="0"/>
        <w:snapToGrid w:val="0"/>
        <w:spacing w:line="360" w:lineRule="exact"/>
        <w:ind w:firstLine="440" w:firstLineChars="200"/>
        <w:rPr>
          <w:rFonts w:hAnsi="宋体" w:cs="Calibri"/>
          <w:sz w:val="22"/>
          <w:szCs w:val="22"/>
          <w:highlight w:val="none"/>
        </w:rPr>
      </w:pPr>
      <w:r>
        <w:rPr>
          <w:rFonts w:hint="eastAsia" w:hAnsi="宋体" w:cs="Calibri"/>
          <w:sz w:val="22"/>
          <w:szCs w:val="22"/>
          <w:highlight w:val="none"/>
        </w:rPr>
        <w:t>4.2</w:t>
      </w:r>
      <w:r>
        <w:rPr>
          <w:rFonts w:hAnsi="宋体" w:cs="Calibri"/>
          <w:sz w:val="22"/>
          <w:szCs w:val="22"/>
          <w:highlight w:val="none"/>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9"/>
        <w:adjustRightInd w:val="0"/>
        <w:snapToGrid w:val="0"/>
        <w:spacing w:line="360" w:lineRule="exact"/>
        <w:ind w:firstLine="440" w:firstLineChars="200"/>
        <w:rPr>
          <w:rFonts w:hAnsi="宋体" w:cs="Calibri"/>
          <w:sz w:val="22"/>
          <w:szCs w:val="22"/>
          <w:highlight w:val="none"/>
        </w:rPr>
      </w:pPr>
      <w:r>
        <w:rPr>
          <w:rFonts w:hAnsi="宋体" w:cs="Calibri"/>
          <w:sz w:val="22"/>
          <w:szCs w:val="22"/>
          <w:highlight w:val="none"/>
        </w:rPr>
        <w:t>4.</w:t>
      </w:r>
      <w:r>
        <w:rPr>
          <w:rFonts w:hint="eastAsia" w:hAnsi="宋体" w:cs="Calibri"/>
          <w:sz w:val="22"/>
          <w:szCs w:val="22"/>
          <w:highlight w:val="none"/>
        </w:rPr>
        <w:t>3</w:t>
      </w:r>
      <w:r>
        <w:rPr>
          <w:rFonts w:hAnsi="宋体" w:cs="Calibri"/>
          <w:sz w:val="22"/>
          <w:szCs w:val="22"/>
          <w:highlight w:val="none"/>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highlight w:val="none"/>
        </w:rPr>
        <w:t>或</w:t>
      </w:r>
      <w:r>
        <w:rPr>
          <w:rFonts w:hAnsi="宋体" w:cs="Calibri"/>
          <w:sz w:val="22"/>
          <w:szCs w:val="22"/>
          <w:highlight w:val="none"/>
        </w:rPr>
        <w:t>重新招标。</w:t>
      </w:r>
    </w:p>
    <w:p>
      <w:pPr>
        <w:pStyle w:val="29"/>
        <w:adjustRightInd w:val="0"/>
        <w:snapToGrid w:val="0"/>
        <w:spacing w:line="360" w:lineRule="exact"/>
        <w:ind w:firstLine="442" w:firstLineChars="200"/>
        <w:rPr>
          <w:rFonts w:hAnsi="宋体" w:cs="Calibri"/>
          <w:b/>
          <w:sz w:val="22"/>
          <w:szCs w:val="22"/>
          <w:highlight w:val="none"/>
        </w:rPr>
      </w:pPr>
      <w:r>
        <w:rPr>
          <w:rFonts w:hint="eastAsia" w:hAnsi="宋体" w:cs="Calibri"/>
          <w:b/>
          <w:sz w:val="22"/>
          <w:szCs w:val="22"/>
          <w:highlight w:val="none"/>
        </w:rPr>
        <w:t>4.4招标人对评标、定标结果不负责解释。</w:t>
      </w:r>
    </w:p>
    <w:p>
      <w:pPr>
        <w:widowControl/>
        <w:jc w:val="left"/>
        <w:rPr>
          <w:rFonts w:ascii="Cambria" w:hAnsi="Cambria" w:eastAsia="黑体" w:cs="Times New Roman"/>
          <w:b/>
          <w:bCs/>
          <w:kern w:val="0"/>
          <w:sz w:val="32"/>
          <w:szCs w:val="32"/>
          <w:highlight w:val="none"/>
        </w:rPr>
      </w:pPr>
      <w:r>
        <w:rPr>
          <w:highlight w:val="none"/>
        </w:rPr>
        <w:br w:type="page"/>
      </w:r>
    </w:p>
    <w:p>
      <w:pPr>
        <w:pStyle w:val="48"/>
        <w:rPr>
          <w:highlight w:val="none"/>
        </w:rPr>
      </w:pPr>
      <w:bookmarkStart w:id="389" w:name="_Toc321925457"/>
      <w:r>
        <w:rPr>
          <w:highlight w:val="none"/>
        </w:rPr>
        <w:t>第</w:t>
      </w:r>
      <w:r>
        <w:rPr>
          <w:rFonts w:hint="eastAsia"/>
          <w:highlight w:val="none"/>
        </w:rPr>
        <w:t>六</w:t>
      </w:r>
      <w:r>
        <w:rPr>
          <w:highlight w:val="none"/>
        </w:rPr>
        <w:t>章  投标文件格式</w:t>
      </w:r>
      <w:bookmarkEnd w:id="388"/>
      <w:bookmarkEnd w:id="389"/>
    </w:p>
    <w:p>
      <w:pPr>
        <w:spacing w:line="440" w:lineRule="exact"/>
        <w:jc w:val="center"/>
        <w:rPr>
          <w:rFonts w:cs="Calibri"/>
          <w:b/>
          <w:color w:val="000000"/>
          <w:sz w:val="28"/>
          <w:szCs w:val="28"/>
          <w:highlight w:val="none"/>
        </w:rPr>
      </w:pPr>
      <w:r>
        <w:rPr>
          <w:rFonts w:cs="Calibri"/>
          <w:b/>
          <w:color w:val="000000"/>
          <w:sz w:val="28"/>
          <w:szCs w:val="28"/>
          <w:highlight w:val="none"/>
        </w:rPr>
        <w:t>目   录</w:t>
      </w:r>
    </w:p>
    <w:p>
      <w:pPr>
        <w:spacing w:line="440" w:lineRule="exact"/>
        <w:ind w:firstLine="440" w:firstLineChars="200"/>
        <w:rPr>
          <w:rFonts w:ascii="宋体" w:hAnsi="宋体" w:cs="Calibri"/>
          <w:color w:val="000000"/>
          <w:sz w:val="22"/>
          <w:szCs w:val="22"/>
          <w:highlight w:val="none"/>
        </w:rPr>
      </w:pPr>
      <w:r>
        <w:rPr>
          <w:rFonts w:ascii="宋体" w:hAnsi="宋体" w:cs="Calibri"/>
          <w:color w:val="000000"/>
          <w:sz w:val="22"/>
          <w:szCs w:val="22"/>
          <w:highlight w:val="none"/>
        </w:rPr>
        <w:t>封面</w:t>
      </w:r>
    </w:p>
    <w:p>
      <w:pPr>
        <w:adjustRightInd w:val="0"/>
        <w:snapToGrid w:val="0"/>
        <w:spacing w:line="400" w:lineRule="exact"/>
        <w:ind w:firstLine="440" w:firstLineChars="200"/>
        <w:rPr>
          <w:rFonts w:ascii="宋体" w:hAnsi="宋体" w:cs="Calibri"/>
          <w:sz w:val="22"/>
          <w:szCs w:val="22"/>
          <w:highlight w:val="none"/>
        </w:rPr>
      </w:pPr>
      <w:r>
        <w:rPr>
          <w:rFonts w:hint="eastAsia" w:ascii="宋体" w:hAnsi="宋体" w:cs="Calibri"/>
          <w:sz w:val="22"/>
          <w:szCs w:val="22"/>
          <w:highlight w:val="none"/>
        </w:rPr>
        <w:t>一、</w:t>
      </w:r>
      <w:r>
        <w:rPr>
          <w:rFonts w:ascii="宋体" w:hAnsi="宋体" w:cs="Calibri"/>
          <w:sz w:val="22"/>
          <w:szCs w:val="22"/>
          <w:highlight w:val="none"/>
        </w:rPr>
        <w:t>投标函；</w:t>
      </w:r>
    </w:p>
    <w:p>
      <w:pPr>
        <w:adjustRightInd w:val="0"/>
        <w:snapToGrid w:val="0"/>
        <w:spacing w:line="400" w:lineRule="exact"/>
        <w:ind w:firstLine="440" w:firstLineChars="200"/>
        <w:rPr>
          <w:rFonts w:cs="Calibri" w:asciiTheme="minorEastAsia" w:hAnsiTheme="minorEastAsia"/>
          <w:color w:val="000000"/>
          <w:sz w:val="22"/>
          <w:szCs w:val="22"/>
          <w:highlight w:val="none"/>
        </w:rPr>
      </w:pPr>
      <w:r>
        <w:rPr>
          <w:rFonts w:hint="eastAsia" w:cs="Calibri" w:asciiTheme="minorEastAsia" w:hAnsiTheme="minorEastAsia"/>
          <w:color w:val="000000"/>
          <w:sz w:val="22"/>
          <w:szCs w:val="22"/>
          <w:highlight w:val="none"/>
        </w:rPr>
        <w:t>二、</w:t>
      </w:r>
      <w:r>
        <w:rPr>
          <w:rFonts w:cs="Calibri" w:asciiTheme="minorEastAsia" w:hAnsiTheme="minorEastAsia"/>
          <w:color w:val="000000"/>
          <w:sz w:val="22"/>
          <w:szCs w:val="22"/>
          <w:highlight w:val="none"/>
        </w:rPr>
        <w:t>法定代表人资格证明书；</w:t>
      </w:r>
    </w:p>
    <w:p>
      <w:pPr>
        <w:adjustRightInd w:val="0"/>
        <w:snapToGrid w:val="0"/>
        <w:spacing w:line="400" w:lineRule="exact"/>
        <w:ind w:firstLine="440" w:firstLineChars="200"/>
        <w:rPr>
          <w:rFonts w:cs="Calibri" w:asciiTheme="minorEastAsia" w:hAnsiTheme="minorEastAsia"/>
          <w:color w:val="000000"/>
          <w:sz w:val="22"/>
          <w:szCs w:val="22"/>
          <w:highlight w:val="none"/>
        </w:rPr>
      </w:pPr>
      <w:r>
        <w:rPr>
          <w:rFonts w:hint="eastAsia" w:cs="Calibri" w:asciiTheme="minorEastAsia" w:hAnsiTheme="minorEastAsia"/>
          <w:color w:val="000000"/>
          <w:sz w:val="22"/>
          <w:szCs w:val="22"/>
          <w:highlight w:val="none"/>
        </w:rPr>
        <w:t>三、</w:t>
      </w:r>
      <w:r>
        <w:rPr>
          <w:rFonts w:cs="Calibri" w:asciiTheme="minorEastAsia" w:hAnsiTheme="minorEastAsia"/>
          <w:color w:val="000000"/>
          <w:sz w:val="22"/>
          <w:szCs w:val="22"/>
          <w:highlight w:val="none"/>
        </w:rPr>
        <w:t>授权委托书；</w:t>
      </w:r>
    </w:p>
    <w:p>
      <w:pPr>
        <w:adjustRightInd w:val="0"/>
        <w:snapToGrid w:val="0"/>
        <w:spacing w:line="400" w:lineRule="exact"/>
        <w:ind w:firstLine="440" w:firstLineChars="200"/>
        <w:rPr>
          <w:rFonts w:cs="Calibri" w:asciiTheme="minorEastAsia" w:hAnsiTheme="minorEastAsia"/>
          <w:color w:val="000000"/>
          <w:sz w:val="22"/>
          <w:szCs w:val="22"/>
          <w:highlight w:val="none"/>
        </w:rPr>
      </w:pPr>
      <w:r>
        <w:rPr>
          <w:rFonts w:hint="eastAsia" w:cs="Calibri" w:asciiTheme="minorEastAsia" w:hAnsiTheme="minorEastAsia"/>
          <w:color w:val="000000"/>
          <w:sz w:val="22"/>
          <w:szCs w:val="22"/>
          <w:highlight w:val="none"/>
        </w:rPr>
        <w:t>四、</w:t>
      </w:r>
      <w:r>
        <w:rPr>
          <w:rFonts w:cs="Calibri" w:asciiTheme="minorEastAsia" w:hAnsiTheme="minorEastAsia"/>
          <w:color w:val="000000"/>
          <w:sz w:val="22"/>
          <w:szCs w:val="22"/>
          <w:highlight w:val="none"/>
        </w:rPr>
        <w:t>投标报价表；</w:t>
      </w:r>
    </w:p>
    <w:p>
      <w:pPr>
        <w:adjustRightInd w:val="0"/>
        <w:snapToGrid w:val="0"/>
        <w:spacing w:line="400" w:lineRule="exact"/>
        <w:ind w:firstLine="440" w:firstLineChars="200"/>
        <w:rPr>
          <w:rFonts w:ascii="宋体" w:hAnsi="宋体" w:cs="Calibri"/>
          <w:sz w:val="22"/>
          <w:szCs w:val="22"/>
          <w:highlight w:val="none"/>
        </w:rPr>
      </w:pPr>
      <w:r>
        <w:rPr>
          <w:rFonts w:hint="eastAsia" w:ascii="宋体" w:hAnsi="宋体" w:cs="Calibri"/>
          <w:sz w:val="22"/>
          <w:szCs w:val="22"/>
          <w:highlight w:val="none"/>
        </w:rPr>
        <w:t>五、</w:t>
      </w:r>
      <w:r>
        <w:rPr>
          <w:rFonts w:ascii="宋体" w:hAnsi="宋体" w:cs="Calibri"/>
          <w:sz w:val="22"/>
          <w:szCs w:val="22"/>
          <w:highlight w:val="none"/>
        </w:rPr>
        <w:t>投标人资格证明文件：</w:t>
      </w:r>
    </w:p>
    <w:p>
      <w:pPr>
        <w:adjustRightInd w:val="0"/>
        <w:snapToGrid w:val="0"/>
        <w:spacing w:line="400" w:lineRule="exact"/>
        <w:ind w:firstLine="440" w:firstLineChars="200"/>
        <w:rPr>
          <w:rFonts w:ascii="宋体" w:hAnsi="宋体" w:cs="Calibri"/>
          <w:sz w:val="22"/>
          <w:szCs w:val="22"/>
          <w:highlight w:val="none"/>
        </w:rPr>
      </w:pPr>
      <w:r>
        <w:rPr>
          <w:rFonts w:ascii="宋体" w:hAnsi="宋体" w:cs="Calibri"/>
          <w:sz w:val="22"/>
          <w:szCs w:val="22"/>
          <w:highlight w:val="none"/>
        </w:rPr>
        <w:t>（1）</w:t>
      </w:r>
      <w:r>
        <w:rPr>
          <w:rFonts w:cs="Calibri" w:asciiTheme="minorEastAsia" w:hAnsiTheme="minorEastAsia"/>
          <w:color w:val="000000"/>
          <w:sz w:val="22"/>
          <w:szCs w:val="22"/>
          <w:highlight w:val="none"/>
        </w:rPr>
        <w:t>投标人一般情况</w:t>
      </w:r>
      <w:r>
        <w:rPr>
          <w:rFonts w:hint="eastAsia" w:cs="Calibri" w:asciiTheme="minorEastAsia" w:hAnsiTheme="minorEastAsia"/>
          <w:color w:val="000000"/>
          <w:sz w:val="22"/>
          <w:szCs w:val="22"/>
          <w:highlight w:val="none"/>
        </w:rPr>
        <w:t>及</w:t>
      </w:r>
      <w:r>
        <w:rPr>
          <w:rFonts w:cs="Calibri" w:asciiTheme="minorEastAsia" w:hAnsiTheme="minorEastAsia"/>
          <w:color w:val="000000"/>
          <w:sz w:val="22"/>
          <w:szCs w:val="22"/>
          <w:highlight w:val="none"/>
        </w:rPr>
        <w:t>有关证明投标人法律地位的文件</w:t>
      </w:r>
      <w:r>
        <w:rPr>
          <w:rFonts w:hint="eastAsia" w:ascii="宋体" w:hAnsi="宋体" w:cs="Calibri"/>
          <w:sz w:val="22"/>
          <w:szCs w:val="22"/>
          <w:highlight w:val="none"/>
        </w:rPr>
        <w:t>（附营业执照、税务登记证、</w:t>
      </w:r>
      <w:r>
        <w:rPr>
          <w:rFonts w:ascii="宋体" w:hAnsi="宋体" w:cs="Calibri"/>
          <w:sz w:val="22"/>
          <w:szCs w:val="22"/>
          <w:highlight w:val="none"/>
        </w:rPr>
        <w:t>一般纳税人证明材料</w:t>
      </w:r>
      <w:r>
        <w:rPr>
          <w:rFonts w:hint="eastAsia" w:ascii="宋体" w:hAnsi="宋体" w:cs="Calibri"/>
          <w:sz w:val="22"/>
          <w:szCs w:val="22"/>
          <w:highlight w:val="none"/>
        </w:rPr>
        <w:t>、相关</w:t>
      </w:r>
      <w:r>
        <w:rPr>
          <w:rFonts w:ascii="宋体" w:hAnsi="宋体" w:cs="Calibri"/>
          <w:sz w:val="22"/>
          <w:szCs w:val="22"/>
          <w:highlight w:val="none"/>
        </w:rPr>
        <w:t>产品质量认证证书</w:t>
      </w:r>
      <w:r>
        <w:rPr>
          <w:rFonts w:hint="eastAsia" w:ascii="宋体" w:hAnsi="宋体" w:cs="Arial"/>
          <w:kern w:val="0"/>
          <w:sz w:val="22"/>
          <w:szCs w:val="22"/>
          <w:highlight w:val="none"/>
        </w:rPr>
        <w:t>、</w:t>
      </w:r>
      <w:r>
        <w:rPr>
          <w:rFonts w:hint="eastAsia" w:ascii="宋体" w:hAnsi="宋体" w:cs="Calibri"/>
          <w:sz w:val="22"/>
          <w:szCs w:val="22"/>
          <w:highlight w:val="none"/>
        </w:rPr>
        <w:t>相关</w:t>
      </w:r>
      <w:r>
        <w:rPr>
          <w:rFonts w:ascii="宋体" w:hAnsi="宋体" w:cs="Calibri"/>
          <w:sz w:val="22"/>
          <w:szCs w:val="22"/>
          <w:highlight w:val="none"/>
        </w:rPr>
        <w:t>产品鉴定证书</w:t>
      </w:r>
      <w:r>
        <w:rPr>
          <w:rFonts w:hint="eastAsia" w:ascii="宋体" w:hAnsi="宋体" w:cs="Calibri"/>
          <w:sz w:val="22"/>
          <w:szCs w:val="22"/>
          <w:highlight w:val="none"/>
        </w:rPr>
        <w:t>等）。</w:t>
      </w:r>
    </w:p>
    <w:p>
      <w:pPr>
        <w:adjustRightInd w:val="0"/>
        <w:snapToGrid w:val="0"/>
        <w:spacing w:line="400" w:lineRule="exact"/>
        <w:ind w:firstLine="440" w:firstLineChars="200"/>
        <w:rPr>
          <w:rFonts w:ascii="宋体" w:hAnsi="宋体" w:cs="Arial"/>
          <w:kern w:val="0"/>
          <w:sz w:val="22"/>
          <w:szCs w:val="22"/>
          <w:highlight w:val="none"/>
        </w:rPr>
      </w:pPr>
      <w:r>
        <w:rPr>
          <w:rFonts w:hint="eastAsia" w:ascii="宋体" w:hAnsi="宋体" w:cs="Calibri"/>
          <w:sz w:val="22"/>
          <w:szCs w:val="22"/>
          <w:highlight w:val="none"/>
        </w:rPr>
        <w:t>（2）</w:t>
      </w:r>
      <w:r>
        <w:rPr>
          <w:rFonts w:hint="eastAsia" w:ascii="宋体" w:hAnsi="宋体" w:cs="宋体"/>
          <w:sz w:val="22"/>
          <w:szCs w:val="22"/>
          <w:highlight w:val="none"/>
        </w:rPr>
        <w:t>制造商资格声明</w:t>
      </w:r>
      <w:r>
        <w:rPr>
          <w:rFonts w:hint="eastAsia" w:ascii="宋体" w:hAnsi="宋体" w:cs="Arial"/>
          <w:kern w:val="0"/>
          <w:sz w:val="22"/>
          <w:szCs w:val="22"/>
          <w:highlight w:val="none"/>
        </w:rPr>
        <w:t>。</w:t>
      </w:r>
    </w:p>
    <w:p>
      <w:pPr>
        <w:adjustRightInd w:val="0"/>
        <w:snapToGrid w:val="0"/>
        <w:spacing w:line="400" w:lineRule="exact"/>
        <w:ind w:firstLine="440" w:firstLineChars="200"/>
        <w:rPr>
          <w:rFonts w:ascii="宋体" w:hAnsi="宋体" w:cs="Arial"/>
          <w:kern w:val="0"/>
          <w:sz w:val="22"/>
          <w:szCs w:val="22"/>
          <w:highlight w:val="none"/>
        </w:rPr>
      </w:pPr>
      <w:r>
        <w:rPr>
          <w:rFonts w:hint="eastAsia" w:ascii="宋体" w:hAnsi="宋体" w:cs="Arial"/>
          <w:kern w:val="0"/>
          <w:sz w:val="22"/>
          <w:szCs w:val="22"/>
          <w:highlight w:val="none"/>
        </w:rPr>
        <w:t>（3）</w:t>
      </w:r>
      <w:r>
        <w:rPr>
          <w:rFonts w:ascii="宋体" w:hAnsi="宋体" w:cs="Calibri"/>
          <w:color w:val="000000"/>
          <w:sz w:val="22"/>
          <w:szCs w:val="22"/>
          <w:highlight w:val="none"/>
        </w:rPr>
        <w:t>设备制造商的授权书</w:t>
      </w:r>
      <w:r>
        <w:rPr>
          <w:rFonts w:hint="eastAsia" w:ascii="宋体" w:hAnsi="宋体" w:cs="Calibri"/>
          <w:color w:val="000000"/>
          <w:sz w:val="22"/>
          <w:szCs w:val="22"/>
          <w:highlight w:val="none"/>
        </w:rPr>
        <w:t>（代理商投标时提供）</w:t>
      </w:r>
    </w:p>
    <w:p>
      <w:pPr>
        <w:adjustRightInd w:val="0"/>
        <w:snapToGrid w:val="0"/>
        <w:spacing w:line="400" w:lineRule="exact"/>
        <w:ind w:firstLine="440" w:firstLineChars="200"/>
        <w:rPr>
          <w:rFonts w:ascii="宋体" w:hAnsi="宋体" w:cs="Calibri"/>
          <w:sz w:val="22"/>
          <w:szCs w:val="22"/>
          <w:highlight w:val="none"/>
        </w:rPr>
      </w:pPr>
      <w:r>
        <w:rPr>
          <w:rFonts w:hint="eastAsia" w:ascii="宋体" w:hAnsi="宋体" w:cs="Arial"/>
          <w:kern w:val="0"/>
          <w:sz w:val="22"/>
          <w:szCs w:val="22"/>
          <w:highlight w:val="none"/>
        </w:rPr>
        <w:t>（4）</w:t>
      </w:r>
      <w:r>
        <w:rPr>
          <w:rFonts w:hint="eastAsia" w:ascii="宋体" w:hAnsi="宋体" w:cs="Calibri"/>
          <w:sz w:val="22"/>
          <w:szCs w:val="22"/>
          <w:highlight w:val="none"/>
        </w:rPr>
        <w:t>投标产品近三年的销售业绩一览表（附业绩的合同）。</w:t>
      </w:r>
    </w:p>
    <w:p>
      <w:pPr>
        <w:adjustRightInd w:val="0"/>
        <w:snapToGrid w:val="0"/>
        <w:spacing w:line="400" w:lineRule="exact"/>
        <w:ind w:firstLine="440" w:firstLineChars="200"/>
        <w:rPr>
          <w:rFonts w:ascii="宋体" w:hAnsi="宋体" w:cs="宋体"/>
          <w:sz w:val="22"/>
          <w:szCs w:val="22"/>
          <w:highlight w:val="none"/>
        </w:rPr>
      </w:pPr>
      <w:r>
        <w:rPr>
          <w:rFonts w:hint="eastAsia" w:ascii="宋体" w:hAnsi="宋体" w:cs="Calibri"/>
          <w:sz w:val="22"/>
          <w:szCs w:val="22"/>
          <w:highlight w:val="none"/>
        </w:rPr>
        <w:t>六、</w:t>
      </w:r>
      <w:r>
        <w:rPr>
          <w:rFonts w:hint="eastAsia" w:ascii="宋体" w:hAnsi="宋体" w:cs="宋体"/>
          <w:sz w:val="22"/>
          <w:szCs w:val="22"/>
          <w:highlight w:val="none"/>
        </w:rPr>
        <w:t>技术规格偏离表；</w:t>
      </w:r>
    </w:p>
    <w:p>
      <w:pPr>
        <w:adjustRightInd w:val="0"/>
        <w:snapToGrid w:val="0"/>
        <w:spacing w:line="400" w:lineRule="exact"/>
        <w:ind w:firstLine="440" w:firstLineChars="200"/>
        <w:rPr>
          <w:rFonts w:ascii="宋体" w:hAnsi="宋体" w:cs="Calibri"/>
          <w:sz w:val="22"/>
          <w:szCs w:val="22"/>
          <w:highlight w:val="none"/>
        </w:rPr>
      </w:pPr>
      <w:r>
        <w:rPr>
          <w:rFonts w:hint="eastAsia" w:ascii="宋体" w:hAnsi="宋体" w:cs="宋体"/>
          <w:sz w:val="22"/>
          <w:szCs w:val="22"/>
          <w:highlight w:val="none"/>
        </w:rPr>
        <w:t>七、商务条款响应偏离表；</w:t>
      </w:r>
    </w:p>
    <w:p>
      <w:pPr>
        <w:adjustRightInd w:val="0"/>
        <w:snapToGrid w:val="0"/>
        <w:spacing w:line="400" w:lineRule="exact"/>
        <w:ind w:firstLine="440" w:firstLineChars="200"/>
        <w:rPr>
          <w:rFonts w:ascii="宋体" w:hAnsi="宋体" w:cs="宋体"/>
          <w:sz w:val="22"/>
          <w:szCs w:val="22"/>
          <w:highlight w:val="none"/>
        </w:rPr>
      </w:pPr>
      <w:r>
        <w:rPr>
          <w:rFonts w:hint="eastAsia" w:ascii="宋体" w:hAnsi="宋体" w:cs="宋体"/>
          <w:sz w:val="22"/>
          <w:szCs w:val="22"/>
          <w:highlight w:val="none"/>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szCs w:val="22"/>
          <w:highlight w:val="none"/>
        </w:rPr>
      </w:pPr>
      <w:r>
        <w:rPr>
          <w:rFonts w:hint="eastAsia" w:ascii="宋体" w:hAnsi="宋体" w:cs="宋体"/>
          <w:sz w:val="22"/>
          <w:szCs w:val="22"/>
          <w:highlight w:val="none"/>
        </w:rPr>
        <w:t>九、技术参数、结构及性能特点等产品技术规格书；</w:t>
      </w:r>
    </w:p>
    <w:p>
      <w:pPr>
        <w:adjustRightInd w:val="0"/>
        <w:snapToGrid w:val="0"/>
        <w:spacing w:line="400" w:lineRule="exact"/>
        <w:ind w:firstLine="440" w:firstLineChars="200"/>
        <w:rPr>
          <w:rFonts w:ascii="宋体" w:hAnsi="宋体" w:cs="宋体"/>
          <w:sz w:val="22"/>
          <w:szCs w:val="22"/>
          <w:highlight w:val="none"/>
        </w:rPr>
      </w:pPr>
      <w:r>
        <w:rPr>
          <w:rFonts w:hint="eastAsia" w:ascii="宋体" w:hAnsi="宋体" w:cs="宋体"/>
          <w:sz w:val="22"/>
          <w:szCs w:val="22"/>
          <w:highlight w:val="none"/>
        </w:rPr>
        <w:t>十、主要原材料及部件性能和生产厂家；</w:t>
      </w:r>
    </w:p>
    <w:p>
      <w:pPr>
        <w:adjustRightInd w:val="0"/>
        <w:snapToGrid w:val="0"/>
        <w:spacing w:line="400" w:lineRule="exact"/>
        <w:ind w:firstLine="440" w:firstLineChars="200"/>
        <w:rPr>
          <w:rFonts w:ascii="宋体" w:hAnsi="宋体" w:cs="宋体"/>
          <w:sz w:val="22"/>
          <w:szCs w:val="22"/>
          <w:highlight w:val="none"/>
        </w:rPr>
      </w:pPr>
      <w:r>
        <w:rPr>
          <w:rFonts w:hint="eastAsia" w:ascii="宋体" w:hAnsi="宋体" w:cs="宋体"/>
          <w:sz w:val="22"/>
          <w:szCs w:val="22"/>
          <w:highlight w:val="none"/>
        </w:rPr>
        <w:t>十一、产品制造、安装、验收标准和验收方法；</w:t>
      </w:r>
    </w:p>
    <w:p>
      <w:pPr>
        <w:adjustRightInd w:val="0"/>
        <w:snapToGrid w:val="0"/>
        <w:spacing w:line="400" w:lineRule="exact"/>
        <w:ind w:firstLine="440" w:firstLineChars="200"/>
        <w:rPr>
          <w:rFonts w:ascii="宋体" w:hAnsi="宋体" w:cs="宋体"/>
          <w:sz w:val="22"/>
          <w:szCs w:val="22"/>
          <w:highlight w:val="none"/>
        </w:rPr>
      </w:pPr>
      <w:r>
        <w:rPr>
          <w:rFonts w:hint="eastAsia" w:ascii="宋体" w:hAnsi="宋体" w:cs="宋体"/>
          <w:sz w:val="22"/>
          <w:szCs w:val="22"/>
          <w:highlight w:val="none"/>
        </w:rPr>
        <w:t>十二、现场指导、调试；</w:t>
      </w:r>
    </w:p>
    <w:p>
      <w:pPr>
        <w:adjustRightInd w:val="0"/>
        <w:snapToGrid w:val="0"/>
        <w:spacing w:line="400" w:lineRule="exact"/>
        <w:ind w:firstLine="440" w:firstLineChars="200"/>
        <w:rPr>
          <w:rFonts w:ascii="宋体" w:hAnsi="宋体" w:cs="宋体"/>
          <w:sz w:val="22"/>
          <w:szCs w:val="22"/>
          <w:highlight w:val="none"/>
        </w:rPr>
      </w:pPr>
      <w:r>
        <w:rPr>
          <w:rFonts w:hint="eastAsia" w:ascii="宋体" w:hAnsi="宋体" w:cs="宋体"/>
          <w:sz w:val="22"/>
          <w:szCs w:val="22"/>
          <w:highlight w:val="none"/>
        </w:rPr>
        <w:t>十三、</w:t>
      </w:r>
      <w:r>
        <w:rPr>
          <w:rFonts w:ascii="宋体" w:hAnsi="宋体" w:cs="宋体"/>
          <w:sz w:val="22"/>
          <w:szCs w:val="22"/>
          <w:highlight w:val="none"/>
        </w:rPr>
        <w:t>产品的技术服务和售后服务的内容、措施、承诺</w:t>
      </w:r>
      <w:r>
        <w:rPr>
          <w:rFonts w:hint="eastAsia" w:ascii="宋体" w:hAnsi="宋体" w:cs="宋体"/>
          <w:sz w:val="22"/>
          <w:szCs w:val="22"/>
          <w:highlight w:val="none"/>
        </w:rPr>
        <w:t>；</w:t>
      </w:r>
    </w:p>
    <w:p>
      <w:pPr>
        <w:adjustRightInd w:val="0"/>
        <w:snapToGrid w:val="0"/>
        <w:spacing w:line="400" w:lineRule="exact"/>
        <w:ind w:firstLine="440" w:firstLineChars="200"/>
        <w:rPr>
          <w:rFonts w:ascii="宋体" w:hAnsi="宋体" w:cs="宋体"/>
          <w:sz w:val="22"/>
          <w:szCs w:val="22"/>
          <w:highlight w:val="none"/>
        </w:rPr>
      </w:pPr>
      <w:r>
        <w:rPr>
          <w:rFonts w:hint="eastAsia" w:ascii="宋体" w:hAnsi="宋体" w:cs="宋体"/>
          <w:sz w:val="22"/>
          <w:szCs w:val="22"/>
          <w:highlight w:val="none"/>
        </w:rPr>
        <w:t>十四、提供详细的培训计划，包括培训内容、培训时间、培训人数等；</w:t>
      </w:r>
    </w:p>
    <w:p>
      <w:pPr>
        <w:adjustRightInd w:val="0"/>
        <w:snapToGrid w:val="0"/>
        <w:spacing w:line="400" w:lineRule="exact"/>
        <w:ind w:firstLine="440" w:firstLineChars="200"/>
        <w:rPr>
          <w:rFonts w:ascii="宋体" w:hAnsi="宋体" w:cs="宋体"/>
          <w:sz w:val="22"/>
          <w:szCs w:val="22"/>
          <w:highlight w:val="none"/>
        </w:rPr>
      </w:pPr>
      <w:r>
        <w:rPr>
          <w:rFonts w:hint="eastAsia" w:ascii="宋体" w:hAnsi="宋体" w:cs="宋体"/>
          <w:sz w:val="22"/>
          <w:szCs w:val="22"/>
          <w:highlight w:val="none"/>
        </w:rPr>
        <w:t>十五、关于质量保证期的说明；</w:t>
      </w:r>
    </w:p>
    <w:p>
      <w:pPr>
        <w:adjustRightInd w:val="0"/>
        <w:snapToGrid w:val="0"/>
        <w:spacing w:line="400" w:lineRule="exact"/>
        <w:ind w:firstLine="440" w:firstLineChars="200"/>
        <w:rPr>
          <w:rFonts w:ascii="宋体" w:hAnsi="宋体" w:cs="宋体"/>
          <w:sz w:val="22"/>
          <w:szCs w:val="22"/>
          <w:highlight w:val="none"/>
        </w:rPr>
      </w:pPr>
      <w:r>
        <w:rPr>
          <w:rFonts w:hint="eastAsia" w:ascii="宋体" w:hAnsi="宋体" w:cs="宋体"/>
          <w:sz w:val="22"/>
          <w:szCs w:val="22"/>
          <w:highlight w:val="none"/>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szCs w:val="22"/>
          <w:highlight w:val="none"/>
        </w:rPr>
      </w:pPr>
      <w:r>
        <w:rPr>
          <w:rFonts w:hint="eastAsia" w:ascii="宋体" w:hAnsi="宋体" w:cs="宋体"/>
          <w:sz w:val="22"/>
          <w:szCs w:val="22"/>
          <w:highlight w:val="none"/>
        </w:rPr>
        <w:t>十七、</w:t>
      </w:r>
      <w:r>
        <w:rPr>
          <w:rFonts w:hint="eastAsia" w:cs="Arial" w:asciiTheme="minorEastAsia" w:hAnsiTheme="minorEastAsia"/>
          <w:color w:val="000000"/>
          <w:sz w:val="22"/>
          <w:szCs w:val="22"/>
          <w:highlight w:val="none"/>
        </w:rPr>
        <w:t>投标人认为</w:t>
      </w:r>
      <w:r>
        <w:rPr>
          <w:rFonts w:cs="Arial" w:asciiTheme="minorEastAsia" w:hAnsiTheme="minorEastAsia"/>
          <w:color w:val="000000"/>
          <w:sz w:val="22"/>
          <w:szCs w:val="22"/>
          <w:highlight w:val="none"/>
        </w:rPr>
        <w:t>应该提供的其他材料</w:t>
      </w:r>
      <w:r>
        <w:rPr>
          <w:rFonts w:hint="eastAsia" w:ascii="宋体" w:hAnsi="宋体" w:cs="宋体"/>
          <w:sz w:val="22"/>
          <w:szCs w:val="22"/>
          <w:highlight w:val="none"/>
        </w:rPr>
        <w:t>。</w:t>
      </w:r>
    </w:p>
    <w:p>
      <w:pPr>
        <w:adjustRightInd w:val="0"/>
        <w:snapToGrid w:val="0"/>
        <w:spacing w:line="400" w:lineRule="exact"/>
        <w:ind w:firstLine="440" w:firstLineChars="200"/>
        <w:rPr>
          <w:rFonts w:ascii="宋体" w:hAnsi="宋体" w:cs="Calibri"/>
          <w:color w:val="000000"/>
          <w:sz w:val="22"/>
          <w:szCs w:val="22"/>
          <w:highlight w:val="none"/>
        </w:rPr>
      </w:pPr>
    </w:p>
    <w:p>
      <w:pPr>
        <w:rPr>
          <w:rFonts w:ascii="宋体" w:hAnsi="宋体" w:cs="Calibri"/>
          <w:sz w:val="22"/>
          <w:szCs w:val="22"/>
          <w:highlight w:val="none"/>
        </w:rPr>
      </w:pPr>
    </w:p>
    <w:p>
      <w:pPr>
        <w:spacing w:line="440" w:lineRule="exact"/>
        <w:rPr>
          <w:rFonts w:ascii="宋体" w:hAnsi="宋体" w:cs="Calibri"/>
          <w:color w:val="000000"/>
          <w:sz w:val="22"/>
          <w:szCs w:val="22"/>
          <w:highlight w:val="none"/>
        </w:rPr>
      </w:pPr>
    </w:p>
    <w:p>
      <w:pPr>
        <w:widowControl/>
        <w:jc w:val="left"/>
        <w:rPr>
          <w:rFonts w:ascii="宋体" w:hAnsi="宋体" w:cs="Calibri"/>
          <w:color w:val="000000"/>
          <w:sz w:val="22"/>
          <w:szCs w:val="22"/>
          <w:highlight w:val="none"/>
        </w:rPr>
      </w:pPr>
      <w:r>
        <w:rPr>
          <w:rFonts w:hint="eastAsia" w:ascii="宋体" w:hAnsi="宋体" w:cs="Calibri"/>
          <w:color w:val="000000"/>
          <w:sz w:val="22"/>
          <w:szCs w:val="22"/>
          <w:highlight w:val="none"/>
        </w:rPr>
        <w:t>注：未提供格式的由投标人自行拟定格式。</w:t>
      </w:r>
    </w:p>
    <w:p>
      <w:pPr>
        <w:widowControl/>
        <w:jc w:val="left"/>
        <w:rPr>
          <w:rFonts w:ascii="宋体" w:hAnsi="宋体" w:cs="Calibri"/>
          <w:color w:val="000000"/>
          <w:highlight w:val="none"/>
        </w:rPr>
      </w:pPr>
      <w:r>
        <w:rPr>
          <w:rFonts w:ascii="宋体" w:hAnsi="宋体" w:cs="Calibri"/>
          <w:color w:val="000000"/>
          <w:highlight w:val="none"/>
        </w:rPr>
        <w:br w:type="page"/>
      </w:r>
    </w:p>
    <w:p>
      <w:pPr>
        <w:spacing w:line="440" w:lineRule="exact"/>
        <w:ind w:right="420"/>
        <w:jc w:val="right"/>
        <w:rPr>
          <w:rFonts w:cs="Calibri"/>
          <w:color w:val="000000"/>
          <w:highlight w:val="none"/>
        </w:rPr>
      </w:pPr>
      <w:r>
        <w:rPr>
          <w:rFonts w:cs="Calibri"/>
          <w:color w:val="000000"/>
          <w:highlight w:val="none"/>
        </w:rPr>
        <w:t>正本（或副本）</w:t>
      </w:r>
    </w:p>
    <w:p>
      <w:pPr>
        <w:spacing w:line="440" w:lineRule="exact"/>
        <w:rPr>
          <w:rFonts w:cs="Calibri"/>
          <w:color w:val="000000"/>
          <w:highlight w:val="none"/>
          <w:u w:val="single"/>
        </w:rPr>
      </w:pPr>
      <w:bookmarkStart w:id="390" w:name="_Toc171421958"/>
      <w:r>
        <w:rPr>
          <w:rFonts w:cs="Calibri"/>
          <w:color w:val="000000"/>
          <w:highlight w:val="none"/>
        </w:rPr>
        <w:t>封面</w:t>
      </w:r>
      <w:bookmarkEnd w:id="390"/>
    </w:p>
    <w:p>
      <w:pPr>
        <w:autoSpaceDE w:val="0"/>
        <w:autoSpaceDN w:val="0"/>
        <w:adjustRightInd w:val="0"/>
        <w:jc w:val="center"/>
        <w:rPr>
          <w:rFonts w:cs="Calibri"/>
          <w:b/>
          <w:spacing w:val="20"/>
          <w:kern w:val="0"/>
          <w:sz w:val="48"/>
          <w:szCs w:val="48"/>
          <w:highlight w:val="none"/>
        </w:rPr>
      </w:pPr>
    </w:p>
    <w:p>
      <w:pPr>
        <w:autoSpaceDE w:val="0"/>
        <w:autoSpaceDN w:val="0"/>
        <w:adjustRightInd w:val="0"/>
        <w:jc w:val="center"/>
        <w:rPr>
          <w:rFonts w:eastAsia="黑体" w:cs="Calibri"/>
          <w:b/>
          <w:sz w:val="44"/>
          <w:szCs w:val="44"/>
          <w:highlight w:val="none"/>
        </w:rPr>
      </w:pPr>
      <w:r>
        <w:rPr>
          <w:rFonts w:hint="eastAsia" w:eastAsia="黑体" w:cs="Calibri"/>
          <w:b/>
          <w:sz w:val="44"/>
          <w:szCs w:val="44"/>
          <w:highlight w:val="none"/>
        </w:rPr>
        <w:t>杭州萧山国际机场</w:t>
      </w:r>
      <w:r>
        <w:rPr>
          <w:rFonts w:hint="eastAsia" w:eastAsia="黑体" w:cs="Calibri"/>
          <w:b/>
          <w:sz w:val="44"/>
          <w:szCs w:val="44"/>
          <w:highlight w:val="none"/>
          <w:u w:val="single"/>
        </w:rPr>
        <w:t xml:space="preserve">         </w:t>
      </w:r>
      <w:r>
        <w:rPr>
          <w:rFonts w:hint="eastAsia" w:eastAsia="黑体" w:cs="Calibri"/>
          <w:b/>
          <w:sz w:val="44"/>
          <w:szCs w:val="44"/>
          <w:highlight w:val="none"/>
        </w:rPr>
        <w:t>采购</w:t>
      </w:r>
      <w:r>
        <w:rPr>
          <w:rFonts w:eastAsia="黑体" w:cs="Calibri"/>
          <w:b/>
          <w:sz w:val="44"/>
          <w:szCs w:val="44"/>
          <w:highlight w:val="none"/>
        </w:rPr>
        <w:t>项目</w:t>
      </w:r>
    </w:p>
    <w:p>
      <w:pPr>
        <w:spacing w:line="440" w:lineRule="exact"/>
        <w:rPr>
          <w:rFonts w:cs="Calibri"/>
          <w:color w:val="000000"/>
          <w:sz w:val="36"/>
          <w:szCs w:val="36"/>
          <w:highlight w:val="none"/>
        </w:rPr>
      </w:pPr>
    </w:p>
    <w:p>
      <w:pPr>
        <w:spacing w:line="440" w:lineRule="exact"/>
        <w:ind w:firstLine="480" w:firstLineChars="200"/>
        <w:jc w:val="center"/>
        <w:rPr>
          <w:rFonts w:cs="Calibri"/>
          <w:color w:val="000000"/>
          <w:highlight w:val="none"/>
        </w:rPr>
      </w:pPr>
    </w:p>
    <w:p>
      <w:pPr>
        <w:spacing w:line="440" w:lineRule="exact"/>
        <w:rPr>
          <w:rFonts w:cs="Calibri"/>
          <w:color w:val="000000"/>
          <w:sz w:val="44"/>
          <w:szCs w:val="44"/>
          <w:highlight w:val="none"/>
        </w:rPr>
      </w:pPr>
    </w:p>
    <w:p>
      <w:pPr>
        <w:spacing w:beforeLines="200" w:afterLines="200" w:line="440" w:lineRule="exact"/>
        <w:jc w:val="center"/>
        <w:rPr>
          <w:rFonts w:cs="Calibri"/>
          <w:b/>
          <w:bCs/>
          <w:color w:val="000000"/>
          <w:sz w:val="84"/>
          <w:szCs w:val="84"/>
          <w:highlight w:val="none"/>
        </w:rPr>
      </w:pPr>
      <w:r>
        <w:rPr>
          <w:rFonts w:cs="Calibri"/>
          <w:b/>
          <w:bCs/>
          <w:color w:val="000000"/>
          <w:sz w:val="84"/>
          <w:szCs w:val="84"/>
          <w:highlight w:val="none"/>
        </w:rPr>
        <w:t>投标文件</w:t>
      </w:r>
    </w:p>
    <w:p>
      <w:pPr>
        <w:spacing w:line="440" w:lineRule="exact"/>
        <w:ind w:firstLine="480" w:firstLineChars="200"/>
        <w:jc w:val="center"/>
        <w:rPr>
          <w:rFonts w:cs="Calibri"/>
          <w:color w:val="000000"/>
          <w:highlight w:val="none"/>
        </w:rPr>
      </w:pPr>
    </w:p>
    <w:p>
      <w:pPr>
        <w:spacing w:line="440" w:lineRule="exact"/>
        <w:ind w:firstLine="480" w:firstLineChars="200"/>
        <w:rPr>
          <w:rFonts w:cs="Calibri"/>
          <w:color w:val="000000"/>
          <w:highlight w:val="none"/>
        </w:rPr>
      </w:pPr>
      <w:r>
        <w:rPr>
          <w:rFonts w:cs="Calibri"/>
          <w:color w:val="000000"/>
          <w:highlight w:val="none"/>
        </w:rPr>
        <w:t xml:space="preserve">                  </w:t>
      </w:r>
    </w:p>
    <w:p>
      <w:pPr>
        <w:spacing w:line="440" w:lineRule="exact"/>
        <w:ind w:firstLine="480" w:firstLineChars="200"/>
        <w:jc w:val="center"/>
        <w:rPr>
          <w:rFonts w:cs="Calibri"/>
          <w:color w:val="000000"/>
          <w:highlight w:val="none"/>
        </w:rPr>
      </w:pPr>
    </w:p>
    <w:p>
      <w:pPr>
        <w:spacing w:line="440" w:lineRule="exact"/>
        <w:ind w:firstLine="480" w:firstLineChars="200"/>
        <w:jc w:val="center"/>
        <w:rPr>
          <w:rFonts w:cs="Calibri"/>
          <w:color w:val="000000"/>
          <w:highlight w:val="none"/>
        </w:rPr>
      </w:pPr>
    </w:p>
    <w:p>
      <w:pPr>
        <w:spacing w:line="440" w:lineRule="exact"/>
        <w:ind w:firstLine="480" w:firstLineChars="200"/>
        <w:jc w:val="center"/>
        <w:rPr>
          <w:rFonts w:cs="Calibri"/>
          <w:color w:val="000000"/>
          <w:highlight w:val="none"/>
        </w:rPr>
      </w:pPr>
    </w:p>
    <w:p>
      <w:pPr>
        <w:spacing w:line="440" w:lineRule="exact"/>
        <w:ind w:firstLine="480" w:firstLineChars="200"/>
        <w:jc w:val="center"/>
        <w:rPr>
          <w:rFonts w:cs="Calibri"/>
          <w:color w:val="000000"/>
          <w:highlight w:val="none"/>
        </w:rPr>
      </w:pPr>
    </w:p>
    <w:p>
      <w:pPr>
        <w:spacing w:line="440" w:lineRule="exact"/>
        <w:ind w:firstLine="480" w:firstLineChars="200"/>
        <w:jc w:val="center"/>
        <w:rPr>
          <w:rFonts w:cs="Calibri"/>
          <w:color w:val="000000"/>
          <w:highlight w:val="none"/>
        </w:rPr>
      </w:pPr>
    </w:p>
    <w:p>
      <w:pPr>
        <w:spacing w:line="440" w:lineRule="exact"/>
        <w:ind w:firstLine="480" w:firstLineChars="200"/>
        <w:jc w:val="center"/>
        <w:rPr>
          <w:rFonts w:cs="Calibri"/>
          <w:color w:val="000000"/>
          <w:highlight w:val="none"/>
        </w:rPr>
      </w:pPr>
    </w:p>
    <w:p>
      <w:pPr>
        <w:spacing w:line="440" w:lineRule="exact"/>
        <w:ind w:firstLine="480" w:firstLineChars="200"/>
        <w:jc w:val="center"/>
        <w:rPr>
          <w:rFonts w:cs="Calibri"/>
          <w:color w:val="000000"/>
          <w:highlight w:val="none"/>
        </w:rPr>
      </w:pPr>
    </w:p>
    <w:p>
      <w:pPr>
        <w:spacing w:line="440" w:lineRule="exact"/>
        <w:ind w:firstLine="480" w:firstLineChars="200"/>
        <w:jc w:val="center"/>
        <w:rPr>
          <w:rFonts w:cs="Calibri"/>
          <w:color w:val="000000"/>
          <w:highlight w:val="none"/>
        </w:rPr>
      </w:pPr>
    </w:p>
    <w:p>
      <w:pPr>
        <w:spacing w:line="440" w:lineRule="exact"/>
        <w:ind w:firstLine="480" w:firstLineChars="200"/>
        <w:jc w:val="center"/>
        <w:rPr>
          <w:rFonts w:cs="Calibri"/>
          <w:color w:val="000000"/>
          <w:highlight w:val="none"/>
        </w:rPr>
      </w:pPr>
    </w:p>
    <w:p>
      <w:pPr>
        <w:spacing w:line="440" w:lineRule="exact"/>
        <w:ind w:firstLine="480" w:firstLineChars="200"/>
        <w:jc w:val="center"/>
        <w:rPr>
          <w:rFonts w:cs="Calibri"/>
          <w:color w:val="000000"/>
          <w:highlight w:val="none"/>
        </w:rPr>
      </w:pPr>
    </w:p>
    <w:p>
      <w:pPr>
        <w:spacing w:line="360" w:lineRule="auto"/>
        <w:ind w:firstLine="1400" w:firstLineChars="500"/>
        <w:rPr>
          <w:rFonts w:cs="Calibri"/>
          <w:color w:val="000000"/>
          <w:sz w:val="28"/>
          <w:szCs w:val="28"/>
          <w:highlight w:val="none"/>
          <w:u w:val="single"/>
        </w:rPr>
      </w:pPr>
      <w:r>
        <w:rPr>
          <w:rFonts w:cs="Calibri"/>
          <w:color w:val="000000"/>
          <w:sz w:val="28"/>
          <w:szCs w:val="28"/>
          <w:highlight w:val="none"/>
        </w:rPr>
        <w:t>投标人：</w:t>
      </w:r>
      <w:r>
        <w:rPr>
          <w:rFonts w:cs="Calibri"/>
          <w:color w:val="000000"/>
          <w:sz w:val="28"/>
          <w:szCs w:val="28"/>
          <w:highlight w:val="none"/>
          <w:u w:val="single"/>
        </w:rPr>
        <w:t xml:space="preserve">                （盖单位章）           </w:t>
      </w:r>
    </w:p>
    <w:p>
      <w:pPr>
        <w:spacing w:line="360" w:lineRule="auto"/>
        <w:ind w:firstLine="1400" w:firstLineChars="500"/>
        <w:rPr>
          <w:rFonts w:cs="Calibri"/>
          <w:color w:val="000000"/>
          <w:sz w:val="28"/>
          <w:szCs w:val="28"/>
          <w:highlight w:val="none"/>
        </w:rPr>
      </w:pPr>
      <w:r>
        <w:rPr>
          <w:rFonts w:cs="Calibri"/>
          <w:color w:val="000000"/>
          <w:sz w:val="28"/>
          <w:szCs w:val="28"/>
          <w:highlight w:val="none"/>
        </w:rPr>
        <w:t>法定代表人或其委托代理人：</w:t>
      </w:r>
      <w:r>
        <w:rPr>
          <w:rFonts w:cs="Calibri"/>
          <w:color w:val="000000"/>
          <w:sz w:val="28"/>
          <w:szCs w:val="28"/>
          <w:highlight w:val="none"/>
          <w:u w:val="single"/>
        </w:rPr>
        <w:t xml:space="preserve">   （签字或盖章）   </w:t>
      </w:r>
    </w:p>
    <w:p>
      <w:pPr>
        <w:spacing w:line="360" w:lineRule="auto"/>
        <w:ind w:firstLine="1400" w:firstLineChars="500"/>
        <w:rPr>
          <w:rFonts w:cs="Calibri"/>
          <w:color w:val="000000"/>
          <w:sz w:val="28"/>
          <w:szCs w:val="28"/>
          <w:highlight w:val="none"/>
        </w:rPr>
      </w:pPr>
      <w:r>
        <w:rPr>
          <w:rFonts w:cs="Calibri"/>
          <w:color w:val="000000"/>
          <w:sz w:val="28"/>
          <w:szCs w:val="28"/>
          <w:highlight w:val="none"/>
        </w:rPr>
        <w:t>日  期：</w:t>
      </w:r>
      <w:r>
        <w:rPr>
          <w:rFonts w:cs="Calibri"/>
          <w:color w:val="000000"/>
          <w:sz w:val="28"/>
          <w:szCs w:val="28"/>
          <w:highlight w:val="none"/>
          <w:u w:val="single"/>
        </w:rPr>
        <w:t xml:space="preserve">        </w:t>
      </w:r>
      <w:r>
        <w:rPr>
          <w:rFonts w:cs="Calibri"/>
          <w:color w:val="000000"/>
          <w:sz w:val="28"/>
          <w:szCs w:val="28"/>
          <w:highlight w:val="none"/>
        </w:rPr>
        <w:t>年</w:t>
      </w:r>
      <w:r>
        <w:rPr>
          <w:rFonts w:cs="Calibri"/>
          <w:color w:val="000000"/>
          <w:sz w:val="28"/>
          <w:szCs w:val="28"/>
          <w:highlight w:val="none"/>
          <w:u w:val="single"/>
        </w:rPr>
        <w:t xml:space="preserve">         </w:t>
      </w:r>
      <w:r>
        <w:rPr>
          <w:rFonts w:cs="Calibri"/>
          <w:color w:val="000000"/>
          <w:sz w:val="28"/>
          <w:szCs w:val="28"/>
          <w:highlight w:val="none"/>
        </w:rPr>
        <w:t>月</w:t>
      </w:r>
      <w:r>
        <w:rPr>
          <w:rFonts w:cs="Calibri"/>
          <w:color w:val="000000"/>
          <w:sz w:val="28"/>
          <w:szCs w:val="28"/>
          <w:highlight w:val="none"/>
          <w:u w:val="single"/>
        </w:rPr>
        <w:t xml:space="preserve">        </w:t>
      </w:r>
      <w:r>
        <w:rPr>
          <w:rFonts w:cs="Calibri"/>
          <w:color w:val="000000"/>
          <w:sz w:val="28"/>
          <w:szCs w:val="28"/>
          <w:highlight w:val="none"/>
        </w:rPr>
        <w:t>日</w:t>
      </w:r>
    </w:p>
    <w:p>
      <w:pPr>
        <w:widowControl/>
        <w:jc w:val="left"/>
        <w:rPr>
          <w:rFonts w:ascii="宋体" w:hAnsi="宋体" w:cs="宋体"/>
          <w:b/>
          <w:szCs w:val="21"/>
          <w:highlight w:val="none"/>
        </w:rPr>
      </w:pPr>
    </w:p>
    <w:p>
      <w:pPr>
        <w:widowControl/>
        <w:jc w:val="left"/>
        <w:rPr>
          <w:rFonts w:ascii="宋体" w:hAnsi="宋体" w:cs="宋体"/>
          <w:b/>
          <w:szCs w:val="21"/>
          <w:highlight w:val="none"/>
        </w:rPr>
      </w:pPr>
      <w:r>
        <w:rPr>
          <w:rFonts w:ascii="宋体" w:hAnsi="宋体" w:cs="宋体"/>
          <w:b/>
          <w:szCs w:val="21"/>
          <w:highlight w:val="none"/>
        </w:rPr>
        <w:br w:type="page"/>
      </w:r>
    </w:p>
    <w:p>
      <w:pPr>
        <w:spacing w:line="360" w:lineRule="auto"/>
        <w:jc w:val="left"/>
        <w:rPr>
          <w:rFonts w:ascii="宋体" w:hAnsi="宋体" w:cs="宋体"/>
          <w:b/>
          <w:szCs w:val="21"/>
          <w:highlight w:val="none"/>
        </w:rPr>
      </w:pPr>
    </w:p>
    <w:p>
      <w:pPr>
        <w:spacing w:line="360" w:lineRule="auto"/>
        <w:jc w:val="center"/>
        <w:rPr>
          <w:rFonts w:ascii="宋体" w:hAnsi="宋体" w:cs="宋体"/>
          <w:b/>
          <w:sz w:val="32"/>
          <w:szCs w:val="32"/>
          <w:highlight w:val="none"/>
        </w:rPr>
      </w:pPr>
      <w:r>
        <w:rPr>
          <w:rFonts w:hint="eastAsia" w:ascii="宋体" w:hAnsi="宋体" w:cs="宋体"/>
          <w:b/>
          <w:sz w:val="32"/>
          <w:szCs w:val="32"/>
          <w:highlight w:val="none"/>
        </w:rPr>
        <w:t>一、投标函</w:t>
      </w:r>
    </w:p>
    <w:p>
      <w:pPr>
        <w:spacing w:line="440" w:lineRule="exact"/>
        <w:rPr>
          <w:rFonts w:ascii="宋体" w:hAnsi="宋体"/>
          <w:sz w:val="22"/>
          <w:szCs w:val="22"/>
          <w:highlight w:val="none"/>
        </w:rPr>
      </w:pPr>
      <w:r>
        <w:rPr>
          <w:rFonts w:ascii="宋体" w:hAnsi="宋体"/>
          <w:sz w:val="22"/>
          <w:szCs w:val="22"/>
          <w:highlight w:val="none"/>
        </w:rPr>
        <w:t>致：</w:t>
      </w:r>
      <w:r>
        <w:rPr>
          <w:rFonts w:hint="eastAsia" w:ascii="宋体" w:hAnsi="宋体"/>
          <w:sz w:val="22"/>
          <w:szCs w:val="22"/>
          <w:highlight w:val="none"/>
        </w:rPr>
        <w:t>杭州萧山国际机场</w:t>
      </w:r>
      <w:r>
        <w:rPr>
          <w:rFonts w:ascii="宋体" w:hAnsi="宋体"/>
          <w:sz w:val="22"/>
          <w:szCs w:val="22"/>
          <w:highlight w:val="none"/>
        </w:rPr>
        <w:t>有限公司</w:t>
      </w:r>
    </w:p>
    <w:p>
      <w:pPr>
        <w:overflowPunct w:val="0"/>
        <w:autoSpaceDE w:val="0"/>
        <w:autoSpaceDN w:val="0"/>
        <w:spacing w:line="440" w:lineRule="exact"/>
        <w:ind w:firstLine="440" w:firstLineChars="200"/>
        <w:rPr>
          <w:rFonts w:ascii="宋体" w:hAnsi="宋体"/>
          <w:sz w:val="22"/>
          <w:szCs w:val="22"/>
          <w:highlight w:val="none"/>
        </w:rPr>
      </w:pPr>
      <w:r>
        <w:rPr>
          <w:rFonts w:ascii="宋体" w:hAnsi="宋体"/>
          <w:sz w:val="22"/>
          <w:szCs w:val="22"/>
          <w:highlight w:val="none"/>
        </w:rPr>
        <w:t>根据贵方杭州萧山国际机场</w:t>
      </w:r>
      <w:r>
        <w:rPr>
          <w:rFonts w:hint="eastAsia" w:ascii="宋体" w:hAnsi="宋体"/>
          <w:sz w:val="22"/>
          <w:szCs w:val="22"/>
          <w:highlight w:val="none"/>
          <w:u w:val="single"/>
        </w:rPr>
        <w:t xml:space="preserve">             </w:t>
      </w:r>
      <w:r>
        <w:rPr>
          <w:rFonts w:ascii="宋体" w:hAnsi="宋体"/>
          <w:sz w:val="22"/>
          <w:szCs w:val="22"/>
          <w:highlight w:val="none"/>
        </w:rPr>
        <w:t>采购项</w:t>
      </w:r>
      <w:r>
        <w:rPr>
          <w:rFonts w:hint="eastAsia" w:ascii="宋体" w:hAnsi="宋体"/>
          <w:sz w:val="22"/>
          <w:szCs w:val="22"/>
          <w:highlight w:val="none"/>
        </w:rPr>
        <w:t>目</w:t>
      </w:r>
      <w:r>
        <w:rPr>
          <w:rFonts w:ascii="宋体" w:hAnsi="宋体"/>
          <w:sz w:val="22"/>
          <w:szCs w:val="22"/>
          <w:highlight w:val="none"/>
        </w:rPr>
        <w:t>的</w:t>
      </w:r>
      <w:r>
        <w:rPr>
          <w:rFonts w:hint="eastAsia" w:ascii="宋体" w:hAnsi="宋体"/>
          <w:sz w:val="22"/>
          <w:szCs w:val="22"/>
          <w:highlight w:val="none"/>
        </w:rPr>
        <w:t>招标文件</w:t>
      </w:r>
      <w:r>
        <w:rPr>
          <w:rFonts w:ascii="宋体" w:hAnsi="宋体"/>
          <w:sz w:val="22"/>
          <w:szCs w:val="22"/>
          <w:highlight w:val="none"/>
        </w:rPr>
        <w:t>，授权代表</w:t>
      </w:r>
      <w:r>
        <w:rPr>
          <w:rFonts w:ascii="宋体" w:hAnsi="宋体" w:cs="Arial"/>
          <w:sz w:val="22"/>
          <w:szCs w:val="22"/>
          <w:highlight w:val="none"/>
          <w:u w:val="single"/>
        </w:rPr>
        <w:t xml:space="preserve">        </w:t>
      </w:r>
      <w:r>
        <w:rPr>
          <w:rFonts w:ascii="宋体" w:hAnsi="宋体"/>
          <w:sz w:val="22"/>
          <w:szCs w:val="22"/>
          <w:highlight w:val="none"/>
        </w:rPr>
        <w:t>(全名、职务)经正式授权</w:t>
      </w:r>
      <w:r>
        <w:rPr>
          <w:rFonts w:hint="eastAsia" w:ascii="宋体" w:hAnsi="宋体"/>
          <w:sz w:val="22"/>
          <w:szCs w:val="22"/>
          <w:highlight w:val="none"/>
        </w:rPr>
        <w:t>，</w:t>
      </w:r>
      <w:r>
        <w:rPr>
          <w:rFonts w:ascii="宋体" w:hAnsi="宋体"/>
          <w:sz w:val="22"/>
          <w:szCs w:val="22"/>
          <w:highlight w:val="none"/>
        </w:rPr>
        <w:t>代表投标人</w:t>
      </w:r>
      <w:r>
        <w:rPr>
          <w:rFonts w:ascii="宋体" w:hAnsi="宋体" w:cs="Arial"/>
          <w:sz w:val="22"/>
          <w:szCs w:val="22"/>
          <w:highlight w:val="none"/>
          <w:u w:val="single"/>
        </w:rPr>
        <w:t xml:space="preserve">                    </w:t>
      </w:r>
      <w:r>
        <w:rPr>
          <w:rFonts w:ascii="宋体" w:hAnsi="宋体"/>
          <w:sz w:val="22"/>
          <w:szCs w:val="22"/>
          <w:highlight w:val="none"/>
        </w:rPr>
        <w:t>(投标人名称、地址)递交下述文件正本一份</w:t>
      </w:r>
      <w:r>
        <w:rPr>
          <w:rFonts w:hint="eastAsia" w:ascii="宋体" w:hAnsi="宋体"/>
          <w:sz w:val="22"/>
          <w:szCs w:val="22"/>
          <w:highlight w:val="none"/>
        </w:rPr>
        <w:t>、</w:t>
      </w:r>
      <w:r>
        <w:rPr>
          <w:rFonts w:ascii="宋体" w:hAnsi="宋体"/>
          <w:sz w:val="22"/>
          <w:szCs w:val="22"/>
          <w:highlight w:val="none"/>
        </w:rPr>
        <w:t>副本</w:t>
      </w:r>
      <w:r>
        <w:rPr>
          <w:rFonts w:hint="eastAsia" w:ascii="宋体" w:hAnsi="宋体"/>
          <w:sz w:val="22"/>
          <w:szCs w:val="22"/>
          <w:highlight w:val="none"/>
        </w:rPr>
        <w:t>二</w:t>
      </w:r>
      <w:r>
        <w:rPr>
          <w:rFonts w:ascii="宋体" w:hAnsi="宋体"/>
          <w:sz w:val="22"/>
          <w:szCs w:val="22"/>
          <w:highlight w:val="none"/>
        </w:rPr>
        <w:t>份。</w:t>
      </w:r>
    </w:p>
    <w:p>
      <w:pPr>
        <w:overflowPunct w:val="0"/>
        <w:autoSpaceDE w:val="0"/>
        <w:autoSpaceDN w:val="0"/>
        <w:spacing w:line="440" w:lineRule="exact"/>
        <w:ind w:firstLine="440" w:firstLineChars="200"/>
        <w:rPr>
          <w:rFonts w:ascii="宋体" w:hAnsi="宋体" w:cs="Arial"/>
          <w:sz w:val="22"/>
          <w:szCs w:val="22"/>
          <w:highlight w:val="none"/>
        </w:rPr>
      </w:pPr>
      <w:r>
        <w:rPr>
          <w:rFonts w:ascii="宋体" w:hAnsi="宋体" w:cs="Arial"/>
          <w:sz w:val="22"/>
          <w:szCs w:val="22"/>
          <w:highlight w:val="none"/>
        </w:rPr>
        <w:t>据此函，本授权代表宣布同意如下：</w:t>
      </w:r>
    </w:p>
    <w:p>
      <w:pPr>
        <w:numPr>
          <w:ilvl w:val="0"/>
          <w:numId w:val="27"/>
        </w:numPr>
        <w:tabs>
          <w:tab w:val="left" w:pos="840"/>
        </w:tabs>
        <w:overflowPunct w:val="0"/>
        <w:autoSpaceDE w:val="0"/>
        <w:autoSpaceDN w:val="0"/>
        <w:spacing w:line="440" w:lineRule="exact"/>
        <w:rPr>
          <w:rFonts w:ascii="宋体" w:hAnsi="宋体"/>
          <w:sz w:val="22"/>
          <w:szCs w:val="22"/>
          <w:highlight w:val="none"/>
        </w:rPr>
      </w:pPr>
      <w:r>
        <w:rPr>
          <w:rFonts w:ascii="宋体" w:hAnsi="宋体"/>
          <w:sz w:val="22"/>
          <w:szCs w:val="22"/>
          <w:highlight w:val="none"/>
        </w:rPr>
        <w:t>所投标报价汇总表中规定的应提供的货物和服务，投标总价为人民币：</w:t>
      </w:r>
    </w:p>
    <w:p>
      <w:pPr>
        <w:overflowPunct w:val="0"/>
        <w:autoSpaceDE w:val="0"/>
        <w:autoSpaceDN w:val="0"/>
        <w:spacing w:line="440" w:lineRule="exact"/>
        <w:ind w:left="475" w:leftChars="198" w:firstLine="440" w:firstLineChars="200"/>
        <w:rPr>
          <w:rFonts w:ascii="宋体" w:hAnsi="宋体"/>
          <w:sz w:val="22"/>
          <w:szCs w:val="22"/>
          <w:highlight w:val="none"/>
        </w:rPr>
      </w:pPr>
      <w:r>
        <w:rPr>
          <w:rFonts w:ascii="宋体" w:hAnsi="宋体"/>
          <w:sz w:val="22"/>
          <w:szCs w:val="22"/>
          <w:highlight w:val="none"/>
        </w:rPr>
        <w:t>(大写)</w:t>
      </w:r>
      <w:r>
        <w:rPr>
          <w:rFonts w:hint="eastAsia" w:ascii="宋体" w:hAnsi="宋体"/>
          <w:sz w:val="22"/>
          <w:szCs w:val="22"/>
          <w:highlight w:val="none"/>
          <w:u w:val="single"/>
        </w:rPr>
        <w:t xml:space="preserve">                   </w:t>
      </w:r>
      <w:r>
        <w:rPr>
          <w:rFonts w:ascii="宋体" w:hAnsi="宋体"/>
          <w:sz w:val="22"/>
          <w:szCs w:val="22"/>
          <w:highlight w:val="none"/>
        </w:rPr>
        <w:t>(小写)</w:t>
      </w:r>
      <w:r>
        <w:rPr>
          <w:rFonts w:ascii="宋体" w:hAnsi="宋体"/>
          <w:sz w:val="22"/>
          <w:szCs w:val="22"/>
          <w:highlight w:val="none"/>
          <w:u w:val="single"/>
        </w:rPr>
        <w:t xml:space="preserve">             </w:t>
      </w:r>
      <w:r>
        <w:rPr>
          <w:rFonts w:ascii="宋体" w:hAnsi="宋体"/>
          <w:sz w:val="22"/>
          <w:szCs w:val="22"/>
          <w:highlight w:val="none"/>
        </w:rPr>
        <w:t>。</w:t>
      </w:r>
    </w:p>
    <w:p>
      <w:pPr>
        <w:overflowPunct w:val="0"/>
        <w:autoSpaceDE w:val="0"/>
        <w:autoSpaceDN w:val="0"/>
        <w:spacing w:line="440" w:lineRule="exact"/>
        <w:ind w:left="475" w:leftChars="198" w:firstLine="440" w:firstLineChars="200"/>
        <w:rPr>
          <w:rFonts w:ascii="宋体" w:hAnsi="宋体"/>
          <w:sz w:val="22"/>
          <w:szCs w:val="22"/>
          <w:highlight w:val="none"/>
        </w:rPr>
      </w:pPr>
      <w:r>
        <w:rPr>
          <w:rFonts w:hint="eastAsia" w:ascii="宋体" w:hAnsi="宋体"/>
          <w:sz w:val="22"/>
          <w:szCs w:val="22"/>
          <w:highlight w:val="none"/>
        </w:rPr>
        <w:t>供货期：合同签订后</w:t>
      </w:r>
      <w:r>
        <w:rPr>
          <w:rFonts w:hint="eastAsia" w:ascii="宋体" w:hAnsi="宋体"/>
          <w:sz w:val="22"/>
          <w:szCs w:val="22"/>
          <w:highlight w:val="none"/>
          <w:u w:val="single"/>
        </w:rPr>
        <w:t xml:space="preserve">      </w:t>
      </w:r>
      <w:r>
        <w:rPr>
          <w:rFonts w:hint="eastAsia" w:ascii="宋体" w:hAnsi="宋体"/>
          <w:sz w:val="22"/>
          <w:szCs w:val="22"/>
          <w:highlight w:val="none"/>
        </w:rPr>
        <w:t>日历天、投标品牌：</w:t>
      </w:r>
      <w:r>
        <w:rPr>
          <w:rFonts w:hint="eastAsia" w:ascii="宋体" w:hAnsi="宋体"/>
          <w:sz w:val="22"/>
          <w:szCs w:val="22"/>
          <w:highlight w:val="none"/>
          <w:u w:val="single"/>
        </w:rPr>
        <w:t xml:space="preserve">        </w:t>
      </w:r>
    </w:p>
    <w:p>
      <w:pPr>
        <w:numPr>
          <w:ilvl w:val="0"/>
          <w:numId w:val="27"/>
        </w:numPr>
        <w:tabs>
          <w:tab w:val="left" w:pos="840"/>
        </w:tabs>
        <w:overflowPunct w:val="0"/>
        <w:autoSpaceDE w:val="0"/>
        <w:autoSpaceDN w:val="0"/>
        <w:spacing w:line="440" w:lineRule="exact"/>
        <w:ind w:left="840" w:hanging="420"/>
        <w:rPr>
          <w:rFonts w:ascii="宋体" w:hAnsi="宋体"/>
          <w:sz w:val="22"/>
          <w:szCs w:val="22"/>
          <w:highlight w:val="none"/>
        </w:rPr>
      </w:pPr>
      <w:r>
        <w:rPr>
          <w:rFonts w:ascii="宋体" w:hAnsi="宋体"/>
          <w:sz w:val="22"/>
          <w:szCs w:val="22"/>
          <w:highlight w:val="none"/>
        </w:rPr>
        <w:t>投标人将按投标文件的规定履行合同责任和义务。</w:t>
      </w:r>
    </w:p>
    <w:p>
      <w:pPr>
        <w:numPr>
          <w:ilvl w:val="0"/>
          <w:numId w:val="27"/>
        </w:numPr>
        <w:tabs>
          <w:tab w:val="left" w:pos="840"/>
        </w:tabs>
        <w:overflowPunct w:val="0"/>
        <w:autoSpaceDE w:val="0"/>
        <w:autoSpaceDN w:val="0"/>
        <w:spacing w:line="440" w:lineRule="exact"/>
        <w:ind w:left="840" w:hanging="420"/>
        <w:rPr>
          <w:rFonts w:ascii="宋体" w:hAnsi="宋体"/>
          <w:sz w:val="22"/>
          <w:szCs w:val="22"/>
          <w:highlight w:val="none"/>
        </w:rPr>
      </w:pPr>
      <w:r>
        <w:rPr>
          <w:rFonts w:ascii="宋体" w:hAnsi="宋体"/>
          <w:sz w:val="22"/>
          <w:szCs w:val="22"/>
          <w:highlight w:val="none"/>
        </w:rPr>
        <w:t>投标人已详细审查全部招标文件包括澄清函和修改文件(如果有)、所有已提供的资料以及有关附件，</w:t>
      </w:r>
      <w:r>
        <w:rPr>
          <w:rFonts w:hint="eastAsia"/>
          <w:sz w:val="22"/>
          <w:szCs w:val="22"/>
          <w:highlight w:val="none"/>
        </w:rPr>
        <w:t>投标人已完全理解上述文件的全部内容，并放弃提出任何误解或不明作为抗辩的权利</w:t>
      </w:r>
      <w:r>
        <w:rPr>
          <w:rFonts w:ascii="宋体" w:hAnsi="宋体"/>
          <w:sz w:val="22"/>
          <w:szCs w:val="22"/>
          <w:highlight w:val="none"/>
        </w:rPr>
        <w:t>。</w:t>
      </w:r>
    </w:p>
    <w:p>
      <w:pPr>
        <w:numPr>
          <w:ilvl w:val="0"/>
          <w:numId w:val="27"/>
        </w:numPr>
        <w:tabs>
          <w:tab w:val="left" w:pos="840"/>
        </w:tabs>
        <w:overflowPunct w:val="0"/>
        <w:autoSpaceDE w:val="0"/>
        <w:autoSpaceDN w:val="0"/>
        <w:spacing w:line="440" w:lineRule="exact"/>
        <w:ind w:left="840" w:hanging="420"/>
        <w:rPr>
          <w:rFonts w:ascii="宋体" w:hAnsi="宋体"/>
          <w:sz w:val="22"/>
          <w:szCs w:val="22"/>
          <w:highlight w:val="none"/>
        </w:rPr>
      </w:pPr>
      <w:r>
        <w:rPr>
          <w:rFonts w:ascii="宋体" w:hAnsi="宋体"/>
          <w:sz w:val="22"/>
          <w:szCs w:val="22"/>
          <w:highlight w:val="none"/>
        </w:rPr>
        <w:t>本投标的投标有效期为自</w:t>
      </w:r>
      <w:r>
        <w:rPr>
          <w:rFonts w:hint="eastAsia" w:ascii="宋体" w:hAnsi="宋体"/>
          <w:sz w:val="22"/>
          <w:szCs w:val="22"/>
          <w:highlight w:val="none"/>
        </w:rPr>
        <w:t>投标截止</w:t>
      </w:r>
      <w:r>
        <w:rPr>
          <w:rFonts w:ascii="宋体" w:hAnsi="宋体"/>
          <w:sz w:val="22"/>
          <w:szCs w:val="22"/>
          <w:highlight w:val="none"/>
        </w:rPr>
        <w:t>之日起</w:t>
      </w:r>
      <w:r>
        <w:rPr>
          <w:rFonts w:hint="eastAsia" w:ascii="宋体" w:hAnsi="宋体"/>
          <w:sz w:val="22"/>
          <w:szCs w:val="22"/>
          <w:highlight w:val="none"/>
        </w:rPr>
        <w:t>120</w:t>
      </w:r>
      <w:r>
        <w:rPr>
          <w:rFonts w:ascii="宋体" w:hAnsi="宋体"/>
          <w:sz w:val="22"/>
          <w:szCs w:val="22"/>
          <w:highlight w:val="none"/>
        </w:rPr>
        <w:t>日</w:t>
      </w:r>
      <w:r>
        <w:rPr>
          <w:rFonts w:hint="eastAsia" w:ascii="宋体" w:hAnsi="宋体"/>
          <w:sz w:val="22"/>
          <w:szCs w:val="22"/>
          <w:highlight w:val="none"/>
        </w:rPr>
        <w:t>内</w:t>
      </w:r>
      <w:r>
        <w:rPr>
          <w:rFonts w:ascii="宋体" w:hAnsi="宋体"/>
          <w:sz w:val="22"/>
          <w:szCs w:val="22"/>
          <w:highlight w:val="none"/>
        </w:rPr>
        <w:t>。</w:t>
      </w:r>
    </w:p>
    <w:p>
      <w:pPr>
        <w:numPr>
          <w:ilvl w:val="0"/>
          <w:numId w:val="27"/>
        </w:numPr>
        <w:tabs>
          <w:tab w:val="left" w:pos="840"/>
        </w:tabs>
        <w:overflowPunct w:val="0"/>
        <w:autoSpaceDE w:val="0"/>
        <w:autoSpaceDN w:val="0"/>
        <w:spacing w:line="440" w:lineRule="exact"/>
        <w:ind w:left="840" w:hanging="420"/>
        <w:rPr>
          <w:rFonts w:ascii="宋体" w:hAnsi="宋体"/>
          <w:sz w:val="22"/>
          <w:szCs w:val="22"/>
          <w:highlight w:val="none"/>
        </w:rPr>
      </w:pPr>
      <w:r>
        <w:rPr>
          <w:rFonts w:ascii="宋体" w:hAnsi="宋体"/>
          <w:sz w:val="22"/>
          <w:szCs w:val="22"/>
          <w:highlight w:val="none"/>
        </w:rPr>
        <w:t>投标人完全清楚并理解在投标有效期期满之前撤回投标，招标人有权</w:t>
      </w:r>
      <w:r>
        <w:rPr>
          <w:rFonts w:hint="eastAsia" w:ascii="宋体" w:hAnsi="宋体" w:cs="宋体"/>
          <w:sz w:val="22"/>
          <w:szCs w:val="22"/>
          <w:highlight w:val="none"/>
        </w:rPr>
        <w:t>不予退还</w:t>
      </w:r>
      <w:r>
        <w:rPr>
          <w:rFonts w:ascii="宋体" w:hAnsi="宋体"/>
          <w:sz w:val="22"/>
          <w:szCs w:val="22"/>
          <w:highlight w:val="none"/>
        </w:rPr>
        <w:t>投标人的</w:t>
      </w:r>
      <w:r>
        <w:rPr>
          <w:rFonts w:hint="eastAsia" w:ascii="宋体" w:hAnsi="宋体"/>
          <w:sz w:val="22"/>
          <w:szCs w:val="22"/>
          <w:highlight w:val="none"/>
        </w:rPr>
        <w:t>投标保证金及银行同期存款利息</w:t>
      </w:r>
      <w:r>
        <w:rPr>
          <w:rFonts w:ascii="宋体" w:hAnsi="宋体"/>
          <w:sz w:val="22"/>
          <w:szCs w:val="22"/>
          <w:highlight w:val="none"/>
        </w:rPr>
        <w:t>。</w:t>
      </w:r>
    </w:p>
    <w:p>
      <w:pPr>
        <w:numPr>
          <w:ilvl w:val="0"/>
          <w:numId w:val="27"/>
        </w:numPr>
        <w:tabs>
          <w:tab w:val="left" w:pos="840"/>
        </w:tabs>
        <w:overflowPunct w:val="0"/>
        <w:autoSpaceDE w:val="0"/>
        <w:autoSpaceDN w:val="0"/>
        <w:spacing w:line="440" w:lineRule="exact"/>
        <w:ind w:left="840" w:hanging="420"/>
        <w:rPr>
          <w:rFonts w:ascii="宋体" w:hAnsi="宋体"/>
          <w:sz w:val="22"/>
          <w:szCs w:val="22"/>
          <w:highlight w:val="none"/>
        </w:rPr>
      </w:pPr>
      <w:r>
        <w:rPr>
          <w:rFonts w:ascii="宋体" w:hAnsi="宋体"/>
          <w:sz w:val="22"/>
          <w:szCs w:val="22"/>
          <w:highlight w:val="none"/>
        </w:rPr>
        <w:t>投标人同意按照贵方可能提出的要求提供与其投标有关的任何其它数字或资料，并对贵方可能不接受最低价投标及任何投标表示理解。</w:t>
      </w:r>
    </w:p>
    <w:p>
      <w:pPr>
        <w:numPr>
          <w:ilvl w:val="0"/>
          <w:numId w:val="27"/>
        </w:numPr>
        <w:tabs>
          <w:tab w:val="left" w:pos="840"/>
        </w:tabs>
        <w:overflowPunct w:val="0"/>
        <w:autoSpaceDE w:val="0"/>
        <w:autoSpaceDN w:val="0"/>
        <w:spacing w:line="440" w:lineRule="exact"/>
        <w:ind w:left="840" w:hanging="420"/>
        <w:rPr>
          <w:rFonts w:ascii="宋体" w:hAnsi="宋体"/>
          <w:sz w:val="22"/>
          <w:szCs w:val="22"/>
          <w:highlight w:val="none"/>
        </w:rPr>
      </w:pPr>
      <w:r>
        <w:rPr>
          <w:rFonts w:ascii="宋体" w:hAnsi="宋体"/>
          <w:sz w:val="22"/>
          <w:szCs w:val="22"/>
          <w:highlight w:val="none"/>
        </w:rPr>
        <w:t>如果我方中标，我方将提供金额相当于合同价的10%的履约保证金，作为履行合同的担保。</w:t>
      </w:r>
    </w:p>
    <w:p>
      <w:pPr>
        <w:snapToGrid w:val="0"/>
        <w:spacing w:line="440" w:lineRule="exact"/>
        <w:ind w:firstLine="3300" w:firstLineChars="1500"/>
        <w:rPr>
          <w:rFonts w:ascii="宋体" w:hAnsi="宋体"/>
          <w:sz w:val="22"/>
          <w:szCs w:val="22"/>
          <w:highlight w:val="none"/>
        </w:rPr>
      </w:pPr>
    </w:p>
    <w:p>
      <w:pPr>
        <w:snapToGrid w:val="0"/>
        <w:spacing w:line="440" w:lineRule="exact"/>
        <w:ind w:firstLine="3300" w:firstLineChars="1500"/>
        <w:rPr>
          <w:rFonts w:ascii="宋体" w:hAnsi="宋体"/>
          <w:sz w:val="22"/>
          <w:szCs w:val="22"/>
          <w:highlight w:val="none"/>
        </w:rPr>
      </w:pPr>
    </w:p>
    <w:p>
      <w:pPr>
        <w:snapToGrid w:val="0"/>
        <w:spacing w:line="440" w:lineRule="exact"/>
        <w:ind w:firstLine="3300" w:firstLineChars="1500"/>
        <w:rPr>
          <w:rFonts w:cs="Calibri" w:asciiTheme="minorEastAsia" w:hAnsiTheme="minorEastAsia"/>
          <w:color w:val="000000"/>
          <w:sz w:val="22"/>
          <w:szCs w:val="22"/>
          <w:highlight w:val="none"/>
        </w:rPr>
      </w:pPr>
      <w:r>
        <w:rPr>
          <w:rFonts w:cs="Calibri" w:asciiTheme="minorEastAsia" w:hAnsiTheme="minorEastAsia"/>
          <w:color w:val="000000"/>
          <w:sz w:val="22"/>
          <w:szCs w:val="22"/>
          <w:highlight w:val="none"/>
        </w:rPr>
        <w:t>投标人：（盖单位章）</w:t>
      </w:r>
    </w:p>
    <w:p>
      <w:pPr>
        <w:snapToGrid w:val="0"/>
        <w:spacing w:line="440" w:lineRule="exact"/>
        <w:ind w:firstLine="3300" w:firstLineChars="1500"/>
        <w:rPr>
          <w:rFonts w:cs="Calibri" w:asciiTheme="minorEastAsia" w:hAnsiTheme="minorEastAsia"/>
          <w:color w:val="000000"/>
          <w:sz w:val="22"/>
          <w:szCs w:val="22"/>
          <w:highlight w:val="none"/>
        </w:rPr>
      </w:pPr>
      <w:r>
        <w:rPr>
          <w:rFonts w:cs="Calibri" w:asciiTheme="minorEastAsia" w:hAnsiTheme="minorEastAsia"/>
          <w:color w:val="000000"/>
          <w:sz w:val="22"/>
          <w:szCs w:val="22"/>
          <w:highlight w:val="none"/>
        </w:rPr>
        <w:t>法定代表人或其委托代理人：（签字或盖章）</w:t>
      </w:r>
    </w:p>
    <w:p>
      <w:pPr>
        <w:snapToGrid w:val="0"/>
        <w:spacing w:line="440" w:lineRule="exact"/>
        <w:ind w:firstLine="3300" w:firstLineChars="1500"/>
        <w:rPr>
          <w:rFonts w:cs="Calibri" w:asciiTheme="minorEastAsia" w:hAnsiTheme="minorEastAsia"/>
          <w:color w:val="000000"/>
          <w:sz w:val="22"/>
          <w:szCs w:val="22"/>
          <w:highlight w:val="none"/>
        </w:rPr>
      </w:pPr>
      <w:r>
        <w:rPr>
          <w:rFonts w:cs="Calibri" w:asciiTheme="minorEastAsia" w:hAnsiTheme="minorEastAsia"/>
          <w:color w:val="000000"/>
          <w:sz w:val="22"/>
          <w:szCs w:val="22"/>
          <w:highlight w:val="none"/>
        </w:rPr>
        <w:t>地    址：</w:t>
      </w:r>
    </w:p>
    <w:p>
      <w:pPr>
        <w:snapToGrid w:val="0"/>
        <w:spacing w:line="440" w:lineRule="exact"/>
        <w:ind w:firstLine="3300" w:firstLineChars="1500"/>
        <w:rPr>
          <w:rFonts w:cs="Calibri" w:asciiTheme="minorEastAsia" w:hAnsiTheme="minorEastAsia"/>
          <w:color w:val="000000"/>
          <w:sz w:val="22"/>
          <w:szCs w:val="22"/>
          <w:highlight w:val="none"/>
        </w:rPr>
      </w:pPr>
      <w:r>
        <w:rPr>
          <w:rFonts w:cs="Calibri" w:asciiTheme="minorEastAsia" w:hAnsiTheme="minorEastAsia"/>
          <w:color w:val="000000"/>
          <w:sz w:val="22"/>
          <w:szCs w:val="22"/>
          <w:highlight w:val="none"/>
        </w:rPr>
        <w:t>邮政编码：</w:t>
      </w:r>
    </w:p>
    <w:p>
      <w:pPr>
        <w:snapToGrid w:val="0"/>
        <w:spacing w:line="440" w:lineRule="exact"/>
        <w:ind w:firstLine="3300" w:firstLineChars="1500"/>
        <w:rPr>
          <w:rFonts w:cs="Calibri" w:asciiTheme="minorEastAsia" w:hAnsiTheme="minorEastAsia"/>
          <w:color w:val="000000"/>
          <w:sz w:val="22"/>
          <w:szCs w:val="22"/>
          <w:highlight w:val="none"/>
        </w:rPr>
      </w:pPr>
      <w:r>
        <w:rPr>
          <w:rFonts w:cs="Calibri" w:asciiTheme="minorEastAsia" w:hAnsiTheme="minorEastAsia"/>
          <w:color w:val="000000"/>
          <w:sz w:val="22"/>
          <w:szCs w:val="22"/>
          <w:highlight w:val="none"/>
        </w:rPr>
        <w:t>电    话：</w:t>
      </w:r>
    </w:p>
    <w:p>
      <w:pPr>
        <w:snapToGrid w:val="0"/>
        <w:spacing w:line="440" w:lineRule="exact"/>
        <w:ind w:firstLine="3300" w:firstLineChars="1500"/>
        <w:rPr>
          <w:rFonts w:cs="Calibri" w:asciiTheme="minorEastAsia" w:hAnsiTheme="minorEastAsia"/>
          <w:color w:val="000000"/>
          <w:sz w:val="22"/>
          <w:szCs w:val="22"/>
          <w:highlight w:val="none"/>
        </w:rPr>
      </w:pPr>
      <w:r>
        <w:rPr>
          <w:rFonts w:cs="Calibri" w:asciiTheme="minorEastAsia" w:hAnsiTheme="minorEastAsia"/>
          <w:color w:val="000000"/>
          <w:sz w:val="22"/>
          <w:szCs w:val="22"/>
          <w:highlight w:val="none"/>
        </w:rPr>
        <w:t>传    真：</w:t>
      </w:r>
    </w:p>
    <w:p>
      <w:pPr>
        <w:snapToGrid w:val="0"/>
        <w:spacing w:line="440" w:lineRule="exact"/>
        <w:ind w:firstLine="3300" w:firstLineChars="1500"/>
        <w:rPr>
          <w:rFonts w:cs="Calibri" w:asciiTheme="minorEastAsia" w:hAnsiTheme="minorEastAsia"/>
          <w:color w:val="000000"/>
          <w:sz w:val="22"/>
          <w:szCs w:val="22"/>
          <w:highlight w:val="none"/>
        </w:rPr>
      </w:pPr>
      <w:r>
        <w:rPr>
          <w:rFonts w:cs="Calibri" w:asciiTheme="minorEastAsia" w:hAnsiTheme="minorEastAsia"/>
          <w:color w:val="000000"/>
          <w:sz w:val="22"/>
          <w:szCs w:val="22"/>
          <w:highlight w:val="none"/>
        </w:rPr>
        <w:t>开户银行：</w:t>
      </w:r>
    </w:p>
    <w:p>
      <w:pPr>
        <w:snapToGrid w:val="0"/>
        <w:spacing w:line="440" w:lineRule="exact"/>
        <w:ind w:firstLine="3300" w:firstLineChars="1500"/>
        <w:rPr>
          <w:rFonts w:cs="Calibri" w:asciiTheme="minorEastAsia" w:hAnsiTheme="minorEastAsia"/>
          <w:color w:val="000000"/>
          <w:sz w:val="22"/>
          <w:szCs w:val="22"/>
          <w:highlight w:val="none"/>
        </w:rPr>
      </w:pPr>
      <w:r>
        <w:rPr>
          <w:rFonts w:cs="Calibri" w:asciiTheme="minorEastAsia" w:hAnsiTheme="minorEastAsia"/>
          <w:color w:val="000000"/>
          <w:sz w:val="22"/>
          <w:szCs w:val="22"/>
          <w:highlight w:val="none"/>
        </w:rPr>
        <w:t>账    号：</w:t>
      </w:r>
    </w:p>
    <w:p>
      <w:pPr>
        <w:snapToGrid w:val="0"/>
        <w:spacing w:line="440" w:lineRule="exact"/>
        <w:ind w:firstLine="3300" w:firstLineChars="1500"/>
        <w:rPr>
          <w:rFonts w:cs="Calibri" w:asciiTheme="minorEastAsia" w:hAnsiTheme="minorEastAsia"/>
          <w:color w:val="000000"/>
          <w:sz w:val="22"/>
          <w:szCs w:val="22"/>
          <w:highlight w:val="none"/>
        </w:rPr>
      </w:pPr>
      <w:r>
        <w:rPr>
          <w:rFonts w:cs="Calibri" w:asciiTheme="minorEastAsia" w:hAnsiTheme="minorEastAsia"/>
          <w:color w:val="000000"/>
          <w:sz w:val="22"/>
          <w:szCs w:val="22"/>
          <w:highlight w:val="none"/>
        </w:rPr>
        <w:t>日    期：    年     月     日</w:t>
      </w:r>
    </w:p>
    <w:p>
      <w:pPr>
        <w:adjustRightInd w:val="0"/>
        <w:snapToGrid w:val="0"/>
        <w:jc w:val="center"/>
        <w:rPr>
          <w:rFonts w:eastAsia="黑体" w:cs="Calibri"/>
          <w:color w:val="000000"/>
          <w:sz w:val="32"/>
          <w:szCs w:val="32"/>
          <w:highlight w:val="none"/>
        </w:rPr>
      </w:pPr>
      <w:r>
        <w:rPr>
          <w:rFonts w:ascii="宋体" w:hAnsi="宋体" w:cs="Arial"/>
          <w:sz w:val="22"/>
          <w:szCs w:val="22"/>
          <w:highlight w:val="none"/>
        </w:rPr>
        <w:br w:type="page"/>
      </w:r>
      <w:r>
        <w:rPr>
          <w:rFonts w:hint="eastAsia" w:eastAsia="黑体" w:cs="Calibri"/>
          <w:color w:val="000000"/>
          <w:sz w:val="32"/>
          <w:szCs w:val="32"/>
          <w:highlight w:val="none"/>
        </w:rPr>
        <w:t>二</w:t>
      </w:r>
      <w:r>
        <w:rPr>
          <w:rFonts w:eastAsia="黑体" w:cs="Calibri"/>
          <w:color w:val="000000"/>
          <w:sz w:val="32"/>
          <w:szCs w:val="32"/>
          <w:highlight w:val="none"/>
        </w:rPr>
        <w:t>、法定代表人身份证明</w:t>
      </w:r>
    </w:p>
    <w:p>
      <w:pPr>
        <w:spacing w:afterLines="50" w:line="440" w:lineRule="exact"/>
        <w:rPr>
          <w:rFonts w:cs="Calibri"/>
          <w:color w:val="000000"/>
          <w:highlight w:val="none"/>
        </w:rPr>
      </w:pPr>
    </w:p>
    <w:p>
      <w:pPr>
        <w:spacing w:afterLines="50" w:line="440" w:lineRule="exact"/>
        <w:rPr>
          <w:rFonts w:cs="Calibri"/>
          <w:color w:val="000000"/>
          <w:sz w:val="22"/>
          <w:szCs w:val="22"/>
          <w:highlight w:val="none"/>
          <w:u w:val="single"/>
        </w:rPr>
      </w:pPr>
      <w:r>
        <w:rPr>
          <w:rFonts w:cs="Calibri"/>
          <w:color w:val="000000"/>
          <w:sz w:val="22"/>
          <w:szCs w:val="22"/>
          <w:highlight w:val="none"/>
        </w:rPr>
        <w:t>投标人名称：</w:t>
      </w:r>
      <w:r>
        <w:rPr>
          <w:rFonts w:cs="Calibri"/>
          <w:color w:val="000000"/>
          <w:sz w:val="22"/>
          <w:szCs w:val="22"/>
          <w:highlight w:val="none"/>
          <w:u w:val="single"/>
        </w:rPr>
        <w:t xml:space="preserve">                                  </w:t>
      </w:r>
    </w:p>
    <w:p>
      <w:pPr>
        <w:spacing w:afterLines="50" w:line="440" w:lineRule="exact"/>
        <w:rPr>
          <w:rFonts w:cs="Calibri"/>
          <w:color w:val="000000"/>
          <w:sz w:val="22"/>
          <w:szCs w:val="22"/>
          <w:highlight w:val="none"/>
          <w:u w:val="single"/>
        </w:rPr>
      </w:pPr>
      <w:r>
        <w:rPr>
          <w:rFonts w:cs="Calibri"/>
          <w:color w:val="000000"/>
          <w:sz w:val="22"/>
          <w:szCs w:val="22"/>
          <w:highlight w:val="none"/>
        </w:rPr>
        <w:t>单位性质：</w:t>
      </w:r>
      <w:r>
        <w:rPr>
          <w:rFonts w:cs="Calibri"/>
          <w:color w:val="000000"/>
          <w:sz w:val="22"/>
          <w:szCs w:val="22"/>
          <w:highlight w:val="none"/>
          <w:u w:val="single"/>
        </w:rPr>
        <w:t xml:space="preserve">                                    </w:t>
      </w:r>
    </w:p>
    <w:p>
      <w:pPr>
        <w:spacing w:afterLines="50" w:line="440" w:lineRule="exact"/>
        <w:rPr>
          <w:rFonts w:cs="Calibri"/>
          <w:color w:val="000000"/>
          <w:sz w:val="22"/>
          <w:szCs w:val="22"/>
          <w:highlight w:val="none"/>
          <w:u w:val="single"/>
        </w:rPr>
      </w:pPr>
      <w:r>
        <w:rPr>
          <w:rFonts w:cs="Calibri"/>
          <w:color w:val="000000"/>
          <w:sz w:val="22"/>
          <w:szCs w:val="22"/>
          <w:highlight w:val="none"/>
        </w:rPr>
        <w:t>地址：</w:t>
      </w:r>
      <w:r>
        <w:rPr>
          <w:rFonts w:cs="Calibri"/>
          <w:color w:val="000000"/>
          <w:sz w:val="22"/>
          <w:szCs w:val="22"/>
          <w:highlight w:val="none"/>
          <w:u w:val="single"/>
        </w:rPr>
        <w:t xml:space="preserve">                                        </w:t>
      </w:r>
    </w:p>
    <w:p>
      <w:pPr>
        <w:spacing w:afterLines="50" w:line="440" w:lineRule="exact"/>
        <w:rPr>
          <w:rFonts w:cs="Calibri"/>
          <w:color w:val="000000"/>
          <w:sz w:val="22"/>
          <w:szCs w:val="22"/>
          <w:highlight w:val="none"/>
          <w:u w:val="single"/>
        </w:rPr>
      </w:pPr>
      <w:r>
        <w:rPr>
          <w:rFonts w:cs="Calibri"/>
          <w:color w:val="000000"/>
          <w:sz w:val="22"/>
          <w:szCs w:val="22"/>
          <w:highlight w:val="none"/>
        </w:rPr>
        <w:t>成立时间：</w:t>
      </w:r>
      <w:r>
        <w:rPr>
          <w:rFonts w:cs="Calibri"/>
          <w:color w:val="000000"/>
          <w:sz w:val="22"/>
          <w:szCs w:val="22"/>
          <w:highlight w:val="none"/>
          <w:u w:val="single"/>
        </w:rPr>
        <w:t xml:space="preserve">          </w:t>
      </w:r>
      <w:r>
        <w:rPr>
          <w:rFonts w:cs="Calibri"/>
          <w:color w:val="000000"/>
          <w:sz w:val="22"/>
          <w:szCs w:val="22"/>
          <w:highlight w:val="none"/>
        </w:rPr>
        <w:t>年</w:t>
      </w:r>
      <w:r>
        <w:rPr>
          <w:rFonts w:cs="Calibri"/>
          <w:color w:val="000000"/>
          <w:sz w:val="22"/>
          <w:szCs w:val="22"/>
          <w:highlight w:val="none"/>
          <w:u w:val="single"/>
        </w:rPr>
        <w:t xml:space="preserve">           </w:t>
      </w:r>
      <w:r>
        <w:rPr>
          <w:rFonts w:cs="Calibri"/>
          <w:color w:val="000000"/>
          <w:sz w:val="22"/>
          <w:szCs w:val="22"/>
          <w:highlight w:val="none"/>
        </w:rPr>
        <w:t>月</w:t>
      </w:r>
      <w:r>
        <w:rPr>
          <w:rFonts w:cs="Calibri"/>
          <w:color w:val="000000"/>
          <w:sz w:val="22"/>
          <w:szCs w:val="22"/>
          <w:highlight w:val="none"/>
          <w:u w:val="single"/>
        </w:rPr>
        <w:t xml:space="preserve">           </w:t>
      </w:r>
      <w:r>
        <w:rPr>
          <w:rFonts w:cs="Calibri"/>
          <w:color w:val="000000"/>
          <w:sz w:val="22"/>
          <w:szCs w:val="22"/>
          <w:highlight w:val="none"/>
        </w:rPr>
        <w:t>日</w:t>
      </w:r>
    </w:p>
    <w:p>
      <w:pPr>
        <w:spacing w:afterLines="50" w:line="440" w:lineRule="exact"/>
        <w:rPr>
          <w:rFonts w:cs="Calibri"/>
          <w:color w:val="000000"/>
          <w:sz w:val="22"/>
          <w:szCs w:val="22"/>
          <w:highlight w:val="none"/>
          <w:u w:val="single"/>
        </w:rPr>
      </w:pPr>
      <w:r>
        <w:rPr>
          <w:rFonts w:cs="Calibri"/>
          <w:color w:val="000000"/>
          <w:sz w:val="22"/>
          <w:szCs w:val="22"/>
          <w:highlight w:val="none"/>
        </w:rPr>
        <w:t>经营期限：</w:t>
      </w:r>
      <w:r>
        <w:rPr>
          <w:rFonts w:cs="Calibri"/>
          <w:color w:val="000000"/>
          <w:sz w:val="22"/>
          <w:szCs w:val="22"/>
          <w:highlight w:val="none"/>
          <w:u w:val="single"/>
        </w:rPr>
        <w:t xml:space="preserve">                                     </w:t>
      </w:r>
    </w:p>
    <w:p>
      <w:pPr>
        <w:spacing w:afterLines="50" w:line="440" w:lineRule="exact"/>
        <w:rPr>
          <w:rFonts w:cs="Calibri"/>
          <w:color w:val="000000"/>
          <w:sz w:val="22"/>
          <w:szCs w:val="22"/>
          <w:highlight w:val="none"/>
          <w:u w:val="single"/>
        </w:rPr>
      </w:pPr>
      <w:r>
        <w:rPr>
          <w:rFonts w:cs="Calibri"/>
          <w:color w:val="000000"/>
          <w:sz w:val="22"/>
          <w:szCs w:val="22"/>
          <w:highlight w:val="none"/>
        </w:rPr>
        <w:t>姓名：</w:t>
      </w:r>
      <w:r>
        <w:rPr>
          <w:rFonts w:cs="Calibri"/>
          <w:color w:val="000000"/>
          <w:sz w:val="22"/>
          <w:szCs w:val="22"/>
          <w:highlight w:val="none"/>
          <w:u w:val="single"/>
        </w:rPr>
        <w:t xml:space="preserve">         </w:t>
      </w:r>
      <w:r>
        <w:rPr>
          <w:rFonts w:cs="Calibri"/>
          <w:color w:val="000000"/>
          <w:sz w:val="22"/>
          <w:szCs w:val="22"/>
          <w:highlight w:val="none"/>
        </w:rPr>
        <w:t xml:space="preserve">  性别：</w:t>
      </w:r>
      <w:r>
        <w:rPr>
          <w:rFonts w:cs="Calibri"/>
          <w:color w:val="000000"/>
          <w:sz w:val="22"/>
          <w:szCs w:val="22"/>
          <w:highlight w:val="none"/>
          <w:u w:val="single"/>
        </w:rPr>
        <w:t xml:space="preserve">         </w:t>
      </w:r>
      <w:r>
        <w:rPr>
          <w:rFonts w:cs="Calibri"/>
          <w:color w:val="000000"/>
          <w:sz w:val="22"/>
          <w:szCs w:val="22"/>
          <w:highlight w:val="none"/>
        </w:rPr>
        <w:t xml:space="preserve">  年龄：</w:t>
      </w:r>
      <w:r>
        <w:rPr>
          <w:rFonts w:cs="Calibri"/>
          <w:color w:val="000000"/>
          <w:sz w:val="22"/>
          <w:szCs w:val="22"/>
          <w:highlight w:val="none"/>
          <w:u w:val="single"/>
        </w:rPr>
        <w:t xml:space="preserve">         </w:t>
      </w:r>
      <w:r>
        <w:rPr>
          <w:rFonts w:cs="Calibri"/>
          <w:color w:val="000000"/>
          <w:sz w:val="22"/>
          <w:szCs w:val="22"/>
          <w:highlight w:val="none"/>
        </w:rPr>
        <w:t xml:space="preserve">  职务：</w:t>
      </w:r>
      <w:r>
        <w:rPr>
          <w:rFonts w:cs="Calibri"/>
          <w:color w:val="000000"/>
          <w:sz w:val="22"/>
          <w:szCs w:val="22"/>
          <w:highlight w:val="none"/>
          <w:u w:val="single"/>
        </w:rPr>
        <w:t xml:space="preserve">         </w:t>
      </w:r>
      <w:r>
        <w:rPr>
          <w:rFonts w:cs="Calibri"/>
          <w:color w:val="000000"/>
          <w:sz w:val="22"/>
          <w:szCs w:val="22"/>
          <w:highlight w:val="none"/>
        </w:rPr>
        <w:t xml:space="preserve">  </w:t>
      </w:r>
    </w:p>
    <w:p>
      <w:pPr>
        <w:spacing w:afterLines="50" w:line="440" w:lineRule="exact"/>
        <w:rPr>
          <w:rFonts w:cs="Calibri"/>
          <w:color w:val="000000"/>
          <w:sz w:val="22"/>
          <w:szCs w:val="22"/>
          <w:highlight w:val="none"/>
          <w:u w:val="single"/>
        </w:rPr>
      </w:pPr>
      <w:r>
        <w:rPr>
          <w:rFonts w:cs="Calibri"/>
          <w:color w:val="000000"/>
          <w:sz w:val="22"/>
          <w:szCs w:val="22"/>
          <w:highlight w:val="none"/>
        </w:rPr>
        <w:t>身份证号码：</w:t>
      </w:r>
      <w:r>
        <w:rPr>
          <w:rFonts w:cs="Calibri"/>
          <w:color w:val="000000"/>
          <w:sz w:val="22"/>
          <w:szCs w:val="22"/>
          <w:highlight w:val="none"/>
          <w:u w:val="single"/>
        </w:rPr>
        <w:t xml:space="preserve">                           </w:t>
      </w:r>
    </w:p>
    <w:p>
      <w:pPr>
        <w:spacing w:line="440" w:lineRule="exact"/>
        <w:ind w:firstLine="560"/>
        <w:rPr>
          <w:rFonts w:cs="Calibri"/>
          <w:color w:val="000000"/>
          <w:sz w:val="22"/>
          <w:szCs w:val="22"/>
          <w:highlight w:val="none"/>
        </w:rPr>
      </w:pPr>
    </w:p>
    <w:p>
      <w:pPr>
        <w:spacing w:line="440" w:lineRule="exact"/>
        <w:rPr>
          <w:rFonts w:cs="Calibri"/>
          <w:color w:val="000000"/>
          <w:sz w:val="22"/>
          <w:szCs w:val="22"/>
          <w:highlight w:val="none"/>
        </w:rPr>
      </w:pPr>
      <w:r>
        <w:rPr>
          <w:rFonts w:cs="Calibri"/>
          <w:color w:val="000000"/>
          <w:sz w:val="22"/>
          <w:szCs w:val="22"/>
          <w:highlight w:val="none"/>
        </w:rPr>
        <w:t xml:space="preserve">    系</w:t>
      </w:r>
      <w:r>
        <w:rPr>
          <w:rFonts w:cs="Calibri"/>
          <w:color w:val="000000"/>
          <w:sz w:val="22"/>
          <w:szCs w:val="22"/>
          <w:highlight w:val="none"/>
          <w:u w:val="single"/>
        </w:rPr>
        <w:t xml:space="preserve">                          </w:t>
      </w:r>
      <w:r>
        <w:rPr>
          <w:rFonts w:cs="Calibri"/>
          <w:color w:val="000000"/>
          <w:sz w:val="22"/>
          <w:szCs w:val="22"/>
          <w:highlight w:val="none"/>
        </w:rPr>
        <w:t>（投标人名称）的法定代表人。</w:t>
      </w:r>
    </w:p>
    <w:p>
      <w:pPr>
        <w:spacing w:line="440" w:lineRule="exact"/>
        <w:ind w:firstLine="560"/>
        <w:rPr>
          <w:rFonts w:cs="Calibri"/>
          <w:color w:val="000000"/>
          <w:sz w:val="22"/>
          <w:szCs w:val="22"/>
          <w:highlight w:val="none"/>
        </w:rPr>
      </w:pPr>
    </w:p>
    <w:p>
      <w:pPr>
        <w:spacing w:line="440" w:lineRule="exact"/>
        <w:rPr>
          <w:rFonts w:cs="Calibri"/>
          <w:color w:val="000000"/>
          <w:sz w:val="22"/>
          <w:szCs w:val="22"/>
          <w:highlight w:val="none"/>
        </w:rPr>
      </w:pPr>
      <w:r>
        <w:rPr>
          <w:rFonts w:cs="Calibri"/>
          <w:color w:val="000000"/>
          <w:sz w:val="22"/>
          <w:szCs w:val="22"/>
          <w:highlight w:val="none"/>
        </w:rPr>
        <w:t>特此证明。</w:t>
      </w:r>
    </w:p>
    <w:p>
      <w:pPr>
        <w:spacing w:line="440" w:lineRule="exact"/>
        <w:rPr>
          <w:rFonts w:cs="Calibri"/>
          <w:color w:val="000000"/>
          <w:sz w:val="22"/>
          <w:szCs w:val="22"/>
          <w:highlight w:val="none"/>
        </w:rPr>
      </w:pPr>
      <w:r>
        <w:rPr>
          <w:rFonts w:cs="Calibri"/>
          <w:color w:val="000000"/>
          <w:sz w:val="22"/>
          <w:szCs w:val="22"/>
          <w:highlight w:val="none"/>
        </w:rPr>
        <w:t>附：法定代表人身份证复印件</w:t>
      </w:r>
    </w:p>
    <w:p>
      <w:pPr>
        <w:spacing w:line="440" w:lineRule="exact"/>
        <w:rPr>
          <w:rFonts w:cs="Calibri"/>
          <w:color w:val="000000"/>
          <w:sz w:val="22"/>
          <w:szCs w:val="22"/>
          <w:highlight w:val="none"/>
        </w:rPr>
      </w:pPr>
      <w:r>
        <w:rPr>
          <w:rFonts w:cs="Calibri"/>
          <w:color w:val="000000"/>
          <w:sz w:val="22"/>
          <w:szCs w:val="22"/>
          <w:highlight w:val="none"/>
        </w:rPr>
        <w:t xml:space="preserve">投标人：（盖单位章） </w:t>
      </w:r>
    </w:p>
    <w:p>
      <w:pPr>
        <w:spacing w:line="440" w:lineRule="exact"/>
        <w:ind w:firstLine="4936" w:firstLineChars="2235"/>
        <w:rPr>
          <w:rFonts w:cs="Calibri"/>
          <w:b/>
          <w:color w:val="000000"/>
          <w:sz w:val="22"/>
          <w:szCs w:val="22"/>
          <w:highlight w:val="none"/>
        </w:rPr>
      </w:pPr>
      <w:r>
        <w:rPr>
          <w:rFonts w:cs="Calibri"/>
          <w:b/>
          <w:color w:val="000000"/>
          <w:sz w:val="22"/>
          <w:szCs w:val="22"/>
          <w:highlight w:val="none"/>
        </w:rPr>
        <w:pict>
          <v:shape id="Text Box 6" o:spid="_x0000_s1026" o:spt="202" type="#_x0000_t202" style="position:absolute;left:0pt;margin-left:0pt;margin-top:63.25pt;height:171.6pt;width:423pt;mso-wrap-distance-bottom:0pt;mso-wrap-distance-left:9pt;mso-wrap-distance-right:9pt;mso-wrap-distance-top:0pt;z-index:251659264;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 w:val="22"/>
          <w:szCs w:val="22"/>
          <w:highlight w:val="none"/>
        </w:rPr>
        <w:t>日期：   年    月    日</w:t>
      </w:r>
    </w:p>
    <w:p>
      <w:pPr>
        <w:spacing w:line="440" w:lineRule="exact"/>
        <w:jc w:val="center"/>
        <w:rPr>
          <w:rFonts w:eastAsia="黑体" w:cs="Calibri"/>
          <w:color w:val="000000"/>
          <w:sz w:val="28"/>
          <w:szCs w:val="28"/>
          <w:highlight w:val="none"/>
        </w:rPr>
      </w:pPr>
      <w:r>
        <w:rPr>
          <w:rFonts w:cs="Calibri"/>
          <w:color w:val="000000"/>
          <w:szCs w:val="21"/>
          <w:highlight w:val="none"/>
        </w:rPr>
        <w:br w:type="page"/>
      </w:r>
      <w:r>
        <w:rPr>
          <w:rFonts w:hint="eastAsia" w:eastAsia="黑体" w:cs="Calibri"/>
          <w:color w:val="000000"/>
          <w:sz w:val="32"/>
          <w:szCs w:val="32"/>
          <w:highlight w:val="none"/>
        </w:rPr>
        <w:t>三</w:t>
      </w:r>
      <w:r>
        <w:rPr>
          <w:rFonts w:eastAsia="黑体" w:cs="Calibri"/>
          <w:color w:val="000000"/>
          <w:sz w:val="32"/>
          <w:szCs w:val="32"/>
          <w:highlight w:val="none"/>
        </w:rPr>
        <w:t>、授权委托书</w:t>
      </w:r>
    </w:p>
    <w:p>
      <w:pPr>
        <w:spacing w:line="440" w:lineRule="exact"/>
        <w:ind w:firstLine="480" w:firstLineChars="200"/>
        <w:rPr>
          <w:rFonts w:cs="Calibri"/>
          <w:color w:val="000000"/>
          <w:szCs w:val="21"/>
          <w:highlight w:val="none"/>
        </w:rPr>
      </w:pPr>
    </w:p>
    <w:p>
      <w:pPr>
        <w:spacing w:line="440" w:lineRule="exact"/>
        <w:ind w:firstLine="440" w:firstLineChars="200"/>
        <w:rPr>
          <w:rFonts w:cs="Calibri"/>
          <w:color w:val="000000"/>
          <w:sz w:val="22"/>
          <w:szCs w:val="22"/>
          <w:highlight w:val="none"/>
        </w:rPr>
      </w:pPr>
      <w:r>
        <w:rPr>
          <w:rFonts w:cs="Calibri"/>
          <w:color w:val="000000"/>
          <w:sz w:val="22"/>
          <w:szCs w:val="22"/>
          <w:highlight w:val="none"/>
        </w:rPr>
        <w:t>本人</w:t>
      </w:r>
      <w:r>
        <w:rPr>
          <w:rFonts w:cs="Calibri"/>
          <w:color w:val="000000"/>
          <w:sz w:val="22"/>
          <w:szCs w:val="22"/>
          <w:highlight w:val="none"/>
          <w:u w:val="single"/>
        </w:rPr>
        <w:t xml:space="preserve">        </w:t>
      </w:r>
      <w:r>
        <w:rPr>
          <w:rFonts w:cs="Calibri"/>
          <w:color w:val="000000"/>
          <w:sz w:val="22"/>
          <w:szCs w:val="22"/>
          <w:highlight w:val="none"/>
        </w:rPr>
        <w:t>（姓名）系</w:t>
      </w:r>
      <w:r>
        <w:rPr>
          <w:rFonts w:cs="Calibri"/>
          <w:color w:val="000000"/>
          <w:sz w:val="22"/>
          <w:szCs w:val="22"/>
          <w:highlight w:val="none"/>
          <w:u w:val="single"/>
        </w:rPr>
        <w:t xml:space="preserve">                </w:t>
      </w:r>
      <w:r>
        <w:rPr>
          <w:rFonts w:cs="Calibri"/>
          <w:color w:val="000000"/>
          <w:sz w:val="22"/>
          <w:szCs w:val="22"/>
          <w:highlight w:val="none"/>
        </w:rPr>
        <w:t>（投标人名称）的法定代表人，现委托</w:t>
      </w:r>
      <w:r>
        <w:rPr>
          <w:rFonts w:cs="Calibri"/>
          <w:color w:val="000000"/>
          <w:sz w:val="22"/>
          <w:szCs w:val="22"/>
          <w:highlight w:val="none"/>
          <w:u w:val="single"/>
        </w:rPr>
        <w:t xml:space="preserve">      </w:t>
      </w:r>
      <w:r>
        <w:rPr>
          <w:rFonts w:cs="Calibri"/>
          <w:color w:val="000000"/>
          <w:sz w:val="22"/>
          <w:szCs w:val="22"/>
          <w:highlight w:val="none"/>
        </w:rPr>
        <w:t>（姓名）为我方代理人。代理人根据授权，以我方名义签署、澄清、说明、补正、递交、撤回、修改</w:t>
      </w:r>
      <w:r>
        <w:rPr>
          <w:rFonts w:cs="Calibri"/>
          <w:color w:val="000000"/>
          <w:sz w:val="22"/>
          <w:szCs w:val="22"/>
          <w:highlight w:val="none"/>
          <w:u w:val="single"/>
        </w:rPr>
        <w:t xml:space="preserve">              </w:t>
      </w:r>
      <w:r>
        <w:rPr>
          <w:rFonts w:cs="Calibri"/>
          <w:color w:val="000000"/>
          <w:sz w:val="22"/>
          <w:szCs w:val="22"/>
          <w:highlight w:val="none"/>
        </w:rPr>
        <w:t>（项目名称）投标文件、签订合同和处理有关事宜，其法律后果由我方承担。</w:t>
      </w:r>
    </w:p>
    <w:p>
      <w:pPr>
        <w:spacing w:line="440" w:lineRule="exact"/>
        <w:ind w:firstLine="440" w:firstLineChars="200"/>
        <w:rPr>
          <w:rFonts w:cs="Calibri"/>
          <w:color w:val="000000"/>
          <w:sz w:val="22"/>
          <w:szCs w:val="22"/>
          <w:highlight w:val="none"/>
        </w:rPr>
      </w:pPr>
      <w:r>
        <w:rPr>
          <w:rFonts w:cs="Calibri"/>
          <w:color w:val="000000"/>
          <w:sz w:val="22"/>
          <w:szCs w:val="22"/>
          <w:highlight w:val="none"/>
        </w:rPr>
        <w:t>代理人无转委托权。</w:t>
      </w:r>
    </w:p>
    <w:p>
      <w:pPr>
        <w:spacing w:line="440" w:lineRule="exact"/>
        <w:ind w:firstLine="440" w:firstLineChars="200"/>
        <w:rPr>
          <w:rFonts w:cs="Calibri"/>
          <w:color w:val="000000"/>
          <w:sz w:val="22"/>
          <w:szCs w:val="22"/>
          <w:highlight w:val="none"/>
        </w:rPr>
      </w:pPr>
      <w:r>
        <w:rPr>
          <w:rFonts w:cs="Calibri"/>
          <w:color w:val="000000"/>
          <w:sz w:val="22"/>
          <w:szCs w:val="22"/>
          <w:highlight w:val="none"/>
        </w:rPr>
        <w:t>附：委托代理人身份证复印件</w:t>
      </w:r>
    </w:p>
    <w:p>
      <w:pPr>
        <w:spacing w:line="440" w:lineRule="exact"/>
        <w:rPr>
          <w:rFonts w:cs="Calibri"/>
          <w:color w:val="000000"/>
          <w:sz w:val="22"/>
          <w:szCs w:val="22"/>
          <w:highlight w:val="none"/>
        </w:rPr>
      </w:pPr>
    </w:p>
    <w:p>
      <w:pPr>
        <w:spacing w:line="440" w:lineRule="exact"/>
        <w:rPr>
          <w:rFonts w:cs="Calibri"/>
          <w:color w:val="000000"/>
          <w:sz w:val="22"/>
          <w:szCs w:val="22"/>
          <w:highlight w:val="none"/>
        </w:rPr>
      </w:pPr>
      <w:r>
        <w:rPr>
          <w:rFonts w:cs="Calibri"/>
          <w:color w:val="000000"/>
          <w:sz w:val="22"/>
          <w:szCs w:val="22"/>
          <w:highlight w:val="none"/>
        </w:rPr>
        <w:t>投标人：（盖单位章）</w:t>
      </w:r>
    </w:p>
    <w:p>
      <w:pPr>
        <w:spacing w:line="440" w:lineRule="exact"/>
        <w:rPr>
          <w:rFonts w:cs="Calibri"/>
          <w:color w:val="000000"/>
          <w:sz w:val="22"/>
          <w:szCs w:val="22"/>
          <w:highlight w:val="none"/>
        </w:rPr>
      </w:pPr>
      <w:r>
        <w:rPr>
          <w:rFonts w:cs="Calibri"/>
          <w:color w:val="000000"/>
          <w:sz w:val="22"/>
          <w:szCs w:val="22"/>
          <w:highlight w:val="none"/>
        </w:rPr>
        <w:t>法定代表人：（签字或盖章）</w:t>
      </w:r>
    </w:p>
    <w:p>
      <w:pPr>
        <w:spacing w:line="440" w:lineRule="exact"/>
        <w:rPr>
          <w:rFonts w:cs="Calibri"/>
          <w:color w:val="000000"/>
          <w:sz w:val="22"/>
          <w:szCs w:val="22"/>
          <w:highlight w:val="none"/>
        </w:rPr>
      </w:pPr>
      <w:r>
        <w:rPr>
          <w:rFonts w:cs="Calibri"/>
          <w:color w:val="000000"/>
          <w:sz w:val="22"/>
          <w:szCs w:val="22"/>
          <w:highlight w:val="none"/>
        </w:rPr>
        <w:t>身份证号码：</w:t>
      </w:r>
    </w:p>
    <w:p>
      <w:pPr>
        <w:spacing w:line="440" w:lineRule="exact"/>
        <w:rPr>
          <w:rFonts w:cs="Calibri"/>
          <w:color w:val="000000"/>
          <w:sz w:val="22"/>
          <w:szCs w:val="22"/>
          <w:highlight w:val="none"/>
        </w:rPr>
      </w:pPr>
    </w:p>
    <w:p>
      <w:pPr>
        <w:spacing w:line="440" w:lineRule="exact"/>
        <w:rPr>
          <w:rFonts w:cs="Calibri"/>
          <w:color w:val="000000"/>
          <w:sz w:val="22"/>
          <w:szCs w:val="22"/>
          <w:highlight w:val="none"/>
        </w:rPr>
      </w:pPr>
      <w:r>
        <w:rPr>
          <w:rFonts w:cs="Calibri"/>
          <w:color w:val="000000"/>
          <w:sz w:val="22"/>
          <w:szCs w:val="22"/>
          <w:highlight w:val="none"/>
        </w:rPr>
        <w:t>委托的代理人：（签字或盖章）</w:t>
      </w:r>
    </w:p>
    <w:p>
      <w:pPr>
        <w:spacing w:line="440" w:lineRule="exact"/>
        <w:rPr>
          <w:rFonts w:cs="Calibri"/>
          <w:color w:val="000000"/>
          <w:sz w:val="22"/>
          <w:szCs w:val="22"/>
          <w:highlight w:val="none"/>
        </w:rPr>
      </w:pPr>
      <w:r>
        <w:rPr>
          <w:rFonts w:cs="Calibri"/>
          <w:color w:val="000000"/>
          <w:sz w:val="22"/>
          <w:szCs w:val="22"/>
          <w:highlight w:val="none"/>
        </w:rPr>
        <w:t>身份证号码：</w:t>
      </w:r>
    </w:p>
    <w:p>
      <w:pPr>
        <w:spacing w:line="440" w:lineRule="exact"/>
        <w:ind w:firstLine="4730" w:firstLineChars="2150"/>
        <w:rPr>
          <w:rFonts w:cs="Calibri"/>
          <w:color w:val="000000"/>
          <w:sz w:val="22"/>
          <w:szCs w:val="22"/>
          <w:highlight w:val="none"/>
        </w:rPr>
      </w:pPr>
      <w:r>
        <w:rPr>
          <w:rFonts w:cs="Calibri"/>
          <w:color w:val="000000"/>
          <w:sz w:val="22"/>
          <w:szCs w:val="22"/>
          <w:highlight w:val="none"/>
        </w:rPr>
        <w:t>日期：</w:t>
      </w:r>
      <w:r>
        <w:rPr>
          <w:rFonts w:cs="Calibri"/>
          <w:color w:val="000000"/>
          <w:sz w:val="22"/>
          <w:szCs w:val="22"/>
          <w:highlight w:val="none"/>
          <w:u w:val="single"/>
        </w:rPr>
        <w:t xml:space="preserve">      </w:t>
      </w:r>
      <w:r>
        <w:rPr>
          <w:rFonts w:cs="Calibri"/>
          <w:color w:val="000000"/>
          <w:sz w:val="22"/>
          <w:szCs w:val="22"/>
          <w:highlight w:val="none"/>
        </w:rPr>
        <w:t>年</w:t>
      </w:r>
      <w:r>
        <w:rPr>
          <w:rFonts w:cs="Calibri"/>
          <w:color w:val="000000"/>
          <w:sz w:val="22"/>
          <w:szCs w:val="22"/>
          <w:highlight w:val="none"/>
          <w:u w:val="single"/>
        </w:rPr>
        <w:t xml:space="preserve">      </w:t>
      </w:r>
      <w:r>
        <w:rPr>
          <w:rFonts w:cs="Calibri"/>
          <w:color w:val="000000"/>
          <w:sz w:val="22"/>
          <w:szCs w:val="22"/>
          <w:highlight w:val="none"/>
        </w:rPr>
        <w:t>月</w:t>
      </w:r>
      <w:r>
        <w:rPr>
          <w:rFonts w:cs="Calibri"/>
          <w:color w:val="000000"/>
          <w:sz w:val="22"/>
          <w:szCs w:val="22"/>
          <w:highlight w:val="none"/>
          <w:u w:val="single"/>
        </w:rPr>
        <w:t xml:space="preserve">      </w:t>
      </w:r>
      <w:r>
        <w:rPr>
          <w:rFonts w:cs="Calibri"/>
          <w:color w:val="000000"/>
          <w:sz w:val="22"/>
          <w:szCs w:val="22"/>
          <w:highlight w:val="none"/>
        </w:rPr>
        <w:t>日</w:t>
      </w:r>
    </w:p>
    <w:p>
      <w:pPr>
        <w:snapToGrid w:val="0"/>
        <w:spacing w:line="440" w:lineRule="exact"/>
        <w:rPr>
          <w:rFonts w:cs="Calibri"/>
          <w:color w:val="000000"/>
          <w:szCs w:val="21"/>
          <w:highlight w:val="none"/>
        </w:rPr>
      </w:pPr>
      <w:r>
        <w:rPr>
          <w:rFonts w:cs="Calibri"/>
          <w:b/>
          <w:color w:val="000000"/>
          <w:szCs w:val="21"/>
          <w:highlight w:val="none"/>
        </w:rPr>
        <w:pict>
          <v:shape id="Text Box 7" o:spid="_x0000_s1027" o:spt="202" type="#_x0000_t202" style="position:absolute;left:0pt;margin-left:9.15pt;margin-top:20.8pt;height:171.6pt;width:423pt;mso-wrap-distance-bottom:0pt;mso-wrap-distance-left:9pt;mso-wrap-distance-right:9pt;mso-wrap-distance-top:0pt;z-index:251660288;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highlight w:val="none"/>
        </w:rPr>
        <w:t xml:space="preserve">                                  </w:t>
      </w:r>
    </w:p>
    <w:p>
      <w:pPr>
        <w:spacing w:line="440" w:lineRule="exact"/>
        <w:rPr>
          <w:rFonts w:cs="Calibri"/>
          <w:b/>
          <w:bCs/>
          <w:color w:val="000000"/>
          <w:szCs w:val="21"/>
          <w:highlight w:val="none"/>
        </w:rPr>
      </w:pPr>
      <w:r>
        <w:rPr>
          <w:rFonts w:cs="Calibri"/>
          <w:b/>
          <w:bCs/>
          <w:color w:val="000000"/>
          <w:szCs w:val="21"/>
          <w:highlight w:val="none"/>
        </w:rPr>
        <w:t xml:space="preserve">  </w:t>
      </w:r>
    </w:p>
    <w:p>
      <w:pPr>
        <w:spacing w:line="440" w:lineRule="exact"/>
        <w:rPr>
          <w:rFonts w:cs="Calibri"/>
          <w:b/>
          <w:bCs/>
          <w:color w:val="000000"/>
          <w:szCs w:val="21"/>
          <w:highlight w:val="none"/>
        </w:rPr>
      </w:pPr>
    </w:p>
    <w:p>
      <w:pPr>
        <w:spacing w:line="440" w:lineRule="exact"/>
        <w:rPr>
          <w:rFonts w:cs="Calibri"/>
          <w:color w:val="000000"/>
          <w:szCs w:val="21"/>
          <w:highlight w:val="none"/>
        </w:rPr>
      </w:pPr>
    </w:p>
    <w:p>
      <w:pPr>
        <w:spacing w:line="440" w:lineRule="exact"/>
        <w:rPr>
          <w:rFonts w:cs="Calibri"/>
          <w:color w:val="000000"/>
          <w:szCs w:val="21"/>
          <w:highlight w:val="none"/>
        </w:rPr>
      </w:pPr>
    </w:p>
    <w:p>
      <w:pPr>
        <w:spacing w:line="440" w:lineRule="exact"/>
        <w:rPr>
          <w:rFonts w:cs="Calibri"/>
          <w:color w:val="000000"/>
          <w:szCs w:val="21"/>
          <w:highlight w:val="none"/>
        </w:rPr>
      </w:pPr>
    </w:p>
    <w:p>
      <w:pPr>
        <w:spacing w:line="440" w:lineRule="exact"/>
        <w:rPr>
          <w:rFonts w:cs="Calibri"/>
          <w:color w:val="000000"/>
          <w:szCs w:val="21"/>
          <w:highlight w:val="none"/>
        </w:rPr>
      </w:pPr>
    </w:p>
    <w:p>
      <w:pPr>
        <w:spacing w:line="440" w:lineRule="exact"/>
        <w:rPr>
          <w:rFonts w:cs="Calibri"/>
          <w:color w:val="000000"/>
          <w:szCs w:val="21"/>
          <w:highlight w:val="none"/>
        </w:rPr>
      </w:pPr>
    </w:p>
    <w:p>
      <w:pPr>
        <w:spacing w:line="440" w:lineRule="exact"/>
        <w:rPr>
          <w:rFonts w:cs="Calibri"/>
          <w:color w:val="000000"/>
          <w:szCs w:val="21"/>
          <w:highlight w:val="none"/>
        </w:rPr>
      </w:pPr>
    </w:p>
    <w:p>
      <w:pPr>
        <w:spacing w:line="440" w:lineRule="exact"/>
        <w:rPr>
          <w:rFonts w:cs="Calibri"/>
          <w:b/>
          <w:bCs/>
          <w:color w:val="000000"/>
          <w:sz w:val="22"/>
          <w:szCs w:val="22"/>
          <w:highlight w:val="none"/>
        </w:rPr>
      </w:pPr>
      <w:r>
        <w:rPr>
          <w:rFonts w:cs="Calibri"/>
          <w:color w:val="000000"/>
          <w:sz w:val="22"/>
          <w:szCs w:val="22"/>
          <w:highlight w:val="none"/>
        </w:rPr>
        <w:t>注：如投标文件由委托代理人签字或盖章的，投标文件必须附此授权委托书。</w:t>
      </w:r>
      <w:r>
        <w:rPr>
          <w:rFonts w:cs="Calibri"/>
          <w:b/>
          <w:bCs/>
          <w:color w:val="000000"/>
          <w:sz w:val="22"/>
          <w:szCs w:val="22"/>
          <w:highlight w:val="none"/>
        </w:rPr>
        <w:t xml:space="preserve">     </w:t>
      </w:r>
    </w:p>
    <w:p>
      <w:pPr>
        <w:spacing w:line="360" w:lineRule="auto"/>
        <w:jc w:val="left"/>
        <w:rPr>
          <w:rFonts w:ascii="宋体" w:hAnsi="宋体" w:cs="宋体"/>
          <w:sz w:val="22"/>
          <w:highlight w:val="none"/>
        </w:rPr>
      </w:pPr>
    </w:p>
    <w:p>
      <w:pPr>
        <w:pStyle w:val="29"/>
        <w:spacing w:afterLines="50" w:line="360" w:lineRule="auto"/>
        <w:jc w:val="left"/>
        <w:rPr>
          <w:rFonts w:hAnsi="宋体" w:cs="宋体"/>
          <w:b/>
          <w:highlight w:val="none"/>
        </w:rPr>
      </w:pPr>
      <w:r>
        <w:rPr>
          <w:rFonts w:hAnsi="宋体" w:cs="宋体"/>
          <w:b/>
          <w:highlight w:val="none"/>
        </w:rPr>
        <w:br w:type="page"/>
      </w:r>
      <w:bookmarkStart w:id="391" w:name="_Toc133214102"/>
      <w:bookmarkStart w:id="392" w:name="_Toc133214309"/>
      <w:bookmarkStart w:id="393" w:name="_Toc133470542"/>
      <w:bookmarkStart w:id="394" w:name="_Toc137373398"/>
      <w:bookmarkStart w:id="395" w:name="_Toc144265958"/>
    </w:p>
    <w:p>
      <w:pPr>
        <w:pStyle w:val="29"/>
        <w:spacing w:afterLines="50" w:line="360" w:lineRule="auto"/>
        <w:jc w:val="left"/>
        <w:rPr>
          <w:rFonts w:hAnsi="宋体" w:cs="宋体"/>
          <w:sz w:val="22"/>
          <w:szCs w:val="22"/>
          <w:highlight w:val="none"/>
        </w:rPr>
      </w:pPr>
    </w:p>
    <w:p>
      <w:pPr>
        <w:spacing w:line="440" w:lineRule="exact"/>
        <w:jc w:val="center"/>
        <w:rPr>
          <w:rFonts w:ascii="Calibri" w:hAnsi="Calibri" w:eastAsia="黑体" w:cs="Calibri"/>
          <w:color w:val="000000"/>
          <w:sz w:val="32"/>
          <w:szCs w:val="32"/>
          <w:highlight w:val="none"/>
        </w:rPr>
      </w:pPr>
      <w:r>
        <w:rPr>
          <w:rFonts w:hint="eastAsia" w:ascii="Calibri" w:hAnsi="Calibri" w:eastAsia="黑体" w:cs="Calibri"/>
          <w:color w:val="000000"/>
          <w:sz w:val="32"/>
          <w:szCs w:val="32"/>
          <w:highlight w:val="none"/>
        </w:rPr>
        <w:t>四、投标报价表</w:t>
      </w:r>
    </w:p>
    <w:p>
      <w:pPr>
        <w:pStyle w:val="29"/>
        <w:spacing w:afterLines="50" w:line="360" w:lineRule="auto"/>
        <w:jc w:val="center"/>
        <w:rPr>
          <w:rFonts w:hAnsi="宋体" w:cs="宋体"/>
          <w:highlight w:val="none"/>
        </w:rPr>
      </w:pPr>
    </w:p>
    <w:p>
      <w:pPr>
        <w:pStyle w:val="29"/>
        <w:numPr>
          <w:ilvl w:val="1"/>
          <w:numId w:val="28"/>
        </w:numPr>
        <w:snapToGrid w:val="0"/>
        <w:spacing w:beforeLines="50" w:line="360" w:lineRule="exact"/>
        <w:rPr>
          <w:rFonts w:hAnsi="宋体" w:cs="宋体"/>
          <w:b/>
          <w:sz w:val="22"/>
          <w:szCs w:val="22"/>
          <w:highlight w:val="none"/>
        </w:rPr>
      </w:pPr>
      <w:r>
        <w:rPr>
          <w:rFonts w:hint="eastAsia" w:hAnsi="宋体" w:cs="宋体"/>
          <w:b/>
          <w:sz w:val="22"/>
          <w:szCs w:val="22"/>
          <w:highlight w:val="none"/>
        </w:rPr>
        <w:t>总则</w:t>
      </w:r>
    </w:p>
    <w:p>
      <w:pPr>
        <w:pStyle w:val="29"/>
        <w:numPr>
          <w:ilvl w:val="1"/>
          <w:numId w:val="29"/>
        </w:numPr>
        <w:snapToGrid w:val="0"/>
        <w:spacing w:beforeLines="50" w:line="360" w:lineRule="exact"/>
        <w:rPr>
          <w:rFonts w:hAnsi="宋体" w:cs="宋体"/>
          <w:sz w:val="22"/>
          <w:szCs w:val="22"/>
          <w:highlight w:val="none"/>
        </w:rPr>
      </w:pPr>
      <w:r>
        <w:rPr>
          <w:rFonts w:hint="eastAsia" w:hAnsi="宋体" w:cs="宋体"/>
          <w:sz w:val="22"/>
          <w:szCs w:val="22"/>
          <w:highlight w:val="none"/>
        </w:rPr>
        <w:t>一旦投标人对本投标报价表作出报价并为招标人所接纳后，本投标报价表就成为一份具有约束力的合同文件的一部分，用来作为合同付款的依据。</w:t>
      </w:r>
    </w:p>
    <w:p>
      <w:pPr>
        <w:pStyle w:val="29"/>
        <w:numPr>
          <w:ilvl w:val="1"/>
          <w:numId w:val="29"/>
        </w:numPr>
        <w:snapToGrid w:val="0"/>
        <w:spacing w:beforeLines="50" w:line="360" w:lineRule="exact"/>
        <w:rPr>
          <w:rFonts w:hAnsi="宋体" w:cs="宋体"/>
          <w:sz w:val="22"/>
          <w:szCs w:val="22"/>
          <w:highlight w:val="none"/>
        </w:rPr>
      </w:pPr>
      <w:r>
        <w:rPr>
          <w:rFonts w:hint="eastAsia" w:hAnsi="宋体" w:cs="宋体"/>
          <w:sz w:val="22"/>
          <w:szCs w:val="22"/>
          <w:highlight w:val="none"/>
        </w:rPr>
        <w:t>报价应包含本项目所有税项。如买方根据法规和国家有关规定获减免税或退税，利益完全归买方。</w:t>
      </w:r>
    </w:p>
    <w:p>
      <w:pPr>
        <w:pStyle w:val="29"/>
        <w:numPr>
          <w:ilvl w:val="1"/>
          <w:numId w:val="29"/>
        </w:numPr>
        <w:snapToGrid w:val="0"/>
        <w:spacing w:beforeLines="50" w:line="360" w:lineRule="exact"/>
        <w:rPr>
          <w:rFonts w:hAnsi="宋体" w:cs="宋体"/>
          <w:sz w:val="22"/>
          <w:szCs w:val="22"/>
          <w:highlight w:val="none"/>
        </w:rPr>
      </w:pPr>
      <w:r>
        <w:rPr>
          <w:rFonts w:hint="eastAsia" w:hAnsi="宋体" w:cs="宋体"/>
          <w:sz w:val="22"/>
          <w:szCs w:val="22"/>
          <w:highlight w:val="none"/>
        </w:rPr>
        <w:t>投标人应仔细阅读所有招标文件，填报自己理解并认为正确的报价。除合同规定的调整外，投标人对实际工作及工作量的差异的索赔将不获考虑。</w:t>
      </w:r>
    </w:p>
    <w:p>
      <w:pPr>
        <w:pStyle w:val="29"/>
        <w:numPr>
          <w:ilvl w:val="1"/>
          <w:numId w:val="29"/>
        </w:numPr>
        <w:snapToGrid w:val="0"/>
        <w:spacing w:beforeLines="50" w:line="360" w:lineRule="exact"/>
        <w:rPr>
          <w:rFonts w:hAnsi="宋体" w:cs="宋体"/>
          <w:sz w:val="22"/>
          <w:szCs w:val="22"/>
          <w:highlight w:val="none"/>
        </w:rPr>
      </w:pPr>
      <w:r>
        <w:rPr>
          <w:rFonts w:hint="eastAsia" w:hAnsi="宋体" w:cs="宋体"/>
          <w:sz w:val="22"/>
          <w:szCs w:val="22"/>
          <w:highlight w:val="none"/>
        </w:rPr>
        <w:t>本投标报价表中所有金额和单价以人民币结算。</w:t>
      </w:r>
    </w:p>
    <w:p>
      <w:pPr>
        <w:pStyle w:val="29"/>
        <w:numPr>
          <w:ilvl w:val="1"/>
          <w:numId w:val="29"/>
        </w:numPr>
        <w:snapToGrid w:val="0"/>
        <w:spacing w:beforeLines="50" w:line="360" w:lineRule="exact"/>
        <w:rPr>
          <w:rFonts w:hAnsi="宋体" w:cs="宋体"/>
          <w:sz w:val="22"/>
          <w:szCs w:val="22"/>
          <w:highlight w:val="none"/>
        </w:rPr>
      </w:pPr>
      <w:r>
        <w:rPr>
          <w:rFonts w:hint="eastAsia" w:hAnsi="宋体" w:cs="宋体"/>
          <w:sz w:val="22"/>
          <w:szCs w:val="22"/>
          <w:highlight w:val="none"/>
        </w:rPr>
        <w:t>本投标报价表中的金额应包括在项目整个实施过程中，根据合同所需要的所有成本和费用。</w:t>
      </w:r>
    </w:p>
    <w:p>
      <w:pPr>
        <w:pStyle w:val="29"/>
        <w:numPr>
          <w:ilvl w:val="1"/>
          <w:numId w:val="29"/>
        </w:numPr>
        <w:snapToGrid w:val="0"/>
        <w:spacing w:beforeLines="50" w:line="360" w:lineRule="exact"/>
        <w:rPr>
          <w:rFonts w:hAnsi="宋体" w:cs="宋体"/>
          <w:sz w:val="22"/>
          <w:szCs w:val="22"/>
          <w:highlight w:val="none"/>
        </w:rPr>
      </w:pPr>
      <w:r>
        <w:rPr>
          <w:rFonts w:hint="eastAsia" w:hAnsi="宋体" w:cs="宋体"/>
          <w:sz w:val="22"/>
          <w:szCs w:val="22"/>
          <w:highlight w:val="none"/>
        </w:rPr>
        <w:t>本总则上列各条中提及的“投标人”在合同执行过程中应作为“卖方”解释。</w:t>
      </w:r>
    </w:p>
    <w:p>
      <w:pPr>
        <w:pStyle w:val="29"/>
        <w:numPr>
          <w:ilvl w:val="1"/>
          <w:numId w:val="28"/>
        </w:numPr>
        <w:snapToGrid w:val="0"/>
        <w:spacing w:beforeLines="50" w:line="360" w:lineRule="exact"/>
        <w:rPr>
          <w:rFonts w:hAnsi="宋体" w:cs="宋体"/>
          <w:sz w:val="22"/>
          <w:szCs w:val="22"/>
          <w:highlight w:val="none"/>
        </w:rPr>
      </w:pPr>
      <w:r>
        <w:rPr>
          <w:rFonts w:hint="eastAsia" w:hAnsi="宋体" w:cs="宋体"/>
          <w:sz w:val="22"/>
          <w:szCs w:val="22"/>
          <w:highlight w:val="none"/>
        </w:rPr>
        <w:t>投标报价表包含以下各表</w:t>
      </w:r>
    </w:p>
    <w:bookmarkEnd w:id="391"/>
    <w:bookmarkEnd w:id="392"/>
    <w:bookmarkEnd w:id="393"/>
    <w:bookmarkEnd w:id="394"/>
    <w:bookmarkEnd w:id="395"/>
    <w:p>
      <w:pPr>
        <w:snapToGrid w:val="0"/>
        <w:spacing w:beforeLines="50" w:line="360" w:lineRule="exact"/>
        <w:ind w:left="1134"/>
        <w:rPr>
          <w:rFonts w:ascii="宋体" w:hAnsi="宋体" w:cs="宋体"/>
          <w:sz w:val="22"/>
          <w:highlight w:val="none"/>
        </w:rPr>
      </w:pPr>
      <w:r>
        <w:rPr>
          <w:rFonts w:hint="eastAsia" w:ascii="宋体" w:hAnsi="宋体" w:cs="宋体"/>
          <w:sz w:val="22"/>
          <w:highlight w:val="none"/>
        </w:rPr>
        <w:t>(1)投标报价汇总表</w:t>
      </w:r>
    </w:p>
    <w:p>
      <w:pPr>
        <w:snapToGrid w:val="0"/>
        <w:spacing w:beforeLines="50" w:line="360" w:lineRule="exact"/>
        <w:ind w:left="1134"/>
        <w:rPr>
          <w:rFonts w:ascii="宋体" w:hAnsi="宋体" w:cs="宋体"/>
          <w:sz w:val="22"/>
          <w:highlight w:val="none"/>
        </w:rPr>
      </w:pPr>
      <w:r>
        <w:rPr>
          <w:rFonts w:hint="eastAsia" w:ascii="宋体" w:hAnsi="宋体" w:cs="宋体"/>
          <w:sz w:val="22"/>
          <w:highlight w:val="none"/>
        </w:rPr>
        <w:t>(2)设备费分项报价表</w:t>
      </w:r>
    </w:p>
    <w:p>
      <w:pPr>
        <w:snapToGrid w:val="0"/>
        <w:spacing w:beforeLines="50" w:line="360" w:lineRule="exact"/>
        <w:ind w:left="1134"/>
        <w:rPr>
          <w:rFonts w:ascii="宋体" w:hAnsi="宋体" w:cs="宋体"/>
          <w:sz w:val="22"/>
          <w:highlight w:val="none"/>
        </w:rPr>
      </w:pPr>
      <w:r>
        <w:rPr>
          <w:rFonts w:hint="eastAsia" w:ascii="宋体" w:hAnsi="宋体" w:cs="宋体"/>
          <w:sz w:val="22"/>
          <w:highlight w:val="none"/>
        </w:rPr>
        <w:t>(3)随机配件和专用工具分项报价表</w:t>
      </w:r>
    </w:p>
    <w:p>
      <w:pPr>
        <w:snapToGrid w:val="0"/>
        <w:spacing w:beforeLines="50" w:line="360" w:lineRule="exact"/>
        <w:ind w:left="1134"/>
        <w:rPr>
          <w:rFonts w:ascii="宋体" w:hAnsi="宋体" w:cs="宋体"/>
          <w:sz w:val="22"/>
          <w:highlight w:val="none"/>
        </w:rPr>
      </w:pPr>
      <w:r>
        <w:rPr>
          <w:rFonts w:hint="eastAsia" w:ascii="宋体" w:hAnsi="宋体" w:cs="宋体"/>
          <w:sz w:val="22"/>
          <w:highlight w:val="none"/>
        </w:rPr>
        <w:t>(4)备品备件分项报价表（不计入总价）</w:t>
      </w:r>
    </w:p>
    <w:p>
      <w:pPr>
        <w:snapToGrid w:val="0"/>
        <w:spacing w:beforeLines="50" w:line="360" w:lineRule="exact"/>
        <w:ind w:left="1134"/>
        <w:rPr>
          <w:rFonts w:ascii="宋体" w:hAnsi="宋体" w:cs="宋体"/>
          <w:sz w:val="22"/>
          <w:highlight w:val="none"/>
        </w:rPr>
      </w:pPr>
    </w:p>
    <w:p>
      <w:pPr>
        <w:spacing w:line="360" w:lineRule="auto"/>
        <w:jc w:val="center"/>
        <w:rPr>
          <w:rFonts w:ascii="宋体" w:hAnsi="宋体" w:cs="宋体"/>
          <w:b/>
          <w:sz w:val="32"/>
          <w:szCs w:val="32"/>
          <w:highlight w:val="none"/>
        </w:rPr>
      </w:pPr>
      <w:r>
        <w:rPr>
          <w:rFonts w:ascii="宋体" w:hAnsi="宋体" w:cs="宋体"/>
          <w:sz w:val="22"/>
          <w:highlight w:val="none"/>
        </w:rPr>
        <w:br w:type="page"/>
      </w:r>
      <w:r>
        <w:rPr>
          <w:rFonts w:hint="eastAsia" w:ascii="宋体" w:hAnsi="宋体" w:cs="宋体"/>
          <w:b/>
          <w:sz w:val="32"/>
          <w:szCs w:val="32"/>
          <w:highlight w:val="none"/>
        </w:rPr>
        <w:t>4.1 投标报价汇总表</w:t>
      </w:r>
    </w:p>
    <w:p>
      <w:pPr>
        <w:spacing w:line="360" w:lineRule="auto"/>
        <w:rPr>
          <w:rFonts w:ascii="宋体" w:hAnsi="宋体" w:cs="宋体"/>
          <w:highlight w:val="none"/>
        </w:rPr>
      </w:pPr>
    </w:p>
    <w:p>
      <w:pPr>
        <w:spacing w:line="360" w:lineRule="auto"/>
        <w:jc w:val="right"/>
        <w:rPr>
          <w:rFonts w:ascii="宋体" w:hAnsi="宋体" w:cs="宋体"/>
          <w:sz w:val="22"/>
          <w:highlight w:val="none"/>
        </w:rPr>
      </w:pPr>
      <w:r>
        <w:rPr>
          <w:rFonts w:hint="eastAsia" w:ascii="宋体" w:hAnsi="宋体" w:cs="宋体"/>
          <w:sz w:val="22"/>
          <w:highlight w:val="none"/>
        </w:rPr>
        <w:t>[货币单位：人民币元]</w:t>
      </w:r>
    </w:p>
    <w:tbl>
      <w:tblPr>
        <w:tblStyle w:val="52"/>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highlight w:val="none"/>
              </w:rPr>
            </w:pPr>
            <w:r>
              <w:rPr>
                <w:rFonts w:hint="eastAsia" w:ascii="宋体" w:hAnsi="宋体" w:cs="宋体"/>
                <w:b/>
                <w:sz w:val="22"/>
                <w:highlight w:val="none"/>
              </w:rPr>
              <w:t>序 号</w:t>
            </w:r>
          </w:p>
        </w:tc>
        <w:tc>
          <w:tcPr>
            <w:tcW w:w="2976" w:type="dxa"/>
            <w:vAlign w:val="center"/>
          </w:tcPr>
          <w:p>
            <w:pPr>
              <w:snapToGrid w:val="0"/>
              <w:jc w:val="center"/>
              <w:rPr>
                <w:rFonts w:ascii="宋体" w:hAnsi="宋体" w:cs="宋体"/>
                <w:b/>
                <w:sz w:val="22"/>
                <w:highlight w:val="none"/>
              </w:rPr>
            </w:pPr>
            <w:r>
              <w:rPr>
                <w:rFonts w:hint="eastAsia" w:ascii="宋体" w:hAnsi="宋体" w:cs="宋体"/>
                <w:b/>
                <w:sz w:val="22"/>
                <w:highlight w:val="none"/>
              </w:rPr>
              <w:t>内    容</w:t>
            </w:r>
          </w:p>
        </w:tc>
        <w:tc>
          <w:tcPr>
            <w:tcW w:w="3544" w:type="dxa"/>
            <w:vAlign w:val="center"/>
          </w:tcPr>
          <w:p>
            <w:pPr>
              <w:snapToGrid w:val="0"/>
              <w:jc w:val="center"/>
              <w:rPr>
                <w:rFonts w:ascii="宋体" w:hAnsi="宋体" w:cs="宋体"/>
                <w:b/>
                <w:sz w:val="22"/>
                <w:highlight w:val="none"/>
              </w:rPr>
            </w:pPr>
            <w:r>
              <w:rPr>
                <w:rFonts w:hint="eastAsia" w:ascii="宋体" w:hAnsi="宋体" w:cs="宋体"/>
                <w:b/>
                <w:sz w:val="22"/>
                <w:highlight w:val="none"/>
              </w:rPr>
              <w:t xml:space="preserve">投 标 报 价 </w:t>
            </w:r>
          </w:p>
        </w:tc>
        <w:tc>
          <w:tcPr>
            <w:tcW w:w="1423" w:type="dxa"/>
            <w:vAlign w:val="center"/>
          </w:tcPr>
          <w:p>
            <w:pPr>
              <w:snapToGrid w:val="0"/>
              <w:jc w:val="center"/>
              <w:rPr>
                <w:rFonts w:ascii="宋体" w:hAnsi="宋体" w:cs="宋体"/>
                <w:b/>
                <w:sz w:val="22"/>
                <w:highlight w:val="none"/>
              </w:rPr>
            </w:pPr>
            <w:r>
              <w:rPr>
                <w:rFonts w:hint="eastAsia" w:ascii="宋体" w:hAnsi="宋体" w:cs="宋体"/>
                <w:b/>
                <w:sz w:val="22"/>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highlight w:val="none"/>
              </w:rPr>
            </w:pPr>
            <w:r>
              <w:rPr>
                <w:rFonts w:hint="eastAsia" w:ascii="宋体" w:hAnsi="宋体" w:cs="宋体"/>
                <w:sz w:val="22"/>
                <w:highlight w:val="none"/>
              </w:rPr>
              <w:t>1</w:t>
            </w:r>
          </w:p>
        </w:tc>
        <w:tc>
          <w:tcPr>
            <w:tcW w:w="2976" w:type="dxa"/>
            <w:vAlign w:val="center"/>
          </w:tcPr>
          <w:p>
            <w:pPr>
              <w:snapToGrid w:val="0"/>
              <w:jc w:val="center"/>
              <w:rPr>
                <w:rFonts w:ascii="宋体" w:hAnsi="宋体" w:cs="宋体"/>
                <w:sz w:val="22"/>
                <w:highlight w:val="none"/>
              </w:rPr>
            </w:pPr>
            <w:r>
              <w:rPr>
                <w:rFonts w:hint="eastAsia" w:ascii="宋体" w:hAnsi="宋体" w:cs="宋体"/>
                <w:sz w:val="22"/>
                <w:highlight w:val="none"/>
              </w:rPr>
              <w:t>设备费(表4.2)</w:t>
            </w:r>
          </w:p>
        </w:tc>
        <w:tc>
          <w:tcPr>
            <w:tcW w:w="3544" w:type="dxa"/>
            <w:vAlign w:val="center"/>
          </w:tcPr>
          <w:p>
            <w:pPr>
              <w:snapToGrid w:val="0"/>
              <w:rPr>
                <w:rFonts w:ascii="宋体" w:hAnsi="宋体" w:cs="宋体"/>
                <w:sz w:val="22"/>
                <w:highlight w:val="none"/>
              </w:rPr>
            </w:pPr>
          </w:p>
        </w:tc>
        <w:tc>
          <w:tcPr>
            <w:tcW w:w="1423" w:type="dxa"/>
            <w:vAlign w:val="center"/>
          </w:tcPr>
          <w:p>
            <w:pPr>
              <w:snapToGrid w:val="0"/>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highlight w:val="none"/>
              </w:rPr>
            </w:pPr>
            <w:r>
              <w:rPr>
                <w:rFonts w:hint="eastAsia" w:ascii="宋体" w:hAnsi="宋体" w:cs="宋体"/>
                <w:sz w:val="22"/>
                <w:highlight w:val="none"/>
              </w:rPr>
              <w:t>2</w:t>
            </w:r>
          </w:p>
        </w:tc>
        <w:tc>
          <w:tcPr>
            <w:tcW w:w="2976" w:type="dxa"/>
            <w:vAlign w:val="center"/>
          </w:tcPr>
          <w:p>
            <w:pPr>
              <w:snapToGrid w:val="0"/>
              <w:jc w:val="center"/>
              <w:rPr>
                <w:rFonts w:ascii="宋体" w:hAnsi="宋体" w:cs="宋体"/>
                <w:sz w:val="22"/>
                <w:highlight w:val="none"/>
              </w:rPr>
            </w:pPr>
            <w:r>
              <w:rPr>
                <w:rFonts w:hint="eastAsia" w:ascii="宋体" w:hAnsi="宋体" w:cs="宋体"/>
                <w:sz w:val="22"/>
                <w:highlight w:val="none"/>
              </w:rPr>
              <w:t>随机配件和专用工具(表4.3)</w:t>
            </w:r>
          </w:p>
        </w:tc>
        <w:tc>
          <w:tcPr>
            <w:tcW w:w="3544" w:type="dxa"/>
            <w:vAlign w:val="center"/>
          </w:tcPr>
          <w:p>
            <w:pPr>
              <w:snapToGrid w:val="0"/>
              <w:rPr>
                <w:rFonts w:ascii="宋体" w:hAnsi="宋体" w:cs="宋体"/>
                <w:sz w:val="22"/>
                <w:highlight w:val="none"/>
              </w:rPr>
            </w:pPr>
          </w:p>
        </w:tc>
        <w:tc>
          <w:tcPr>
            <w:tcW w:w="1423" w:type="dxa"/>
            <w:vAlign w:val="center"/>
          </w:tcPr>
          <w:p>
            <w:pPr>
              <w:snapToGrid w:val="0"/>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highlight w:val="none"/>
              </w:rPr>
            </w:pPr>
          </w:p>
        </w:tc>
        <w:tc>
          <w:tcPr>
            <w:tcW w:w="2976" w:type="dxa"/>
            <w:vAlign w:val="center"/>
          </w:tcPr>
          <w:p>
            <w:pPr>
              <w:snapToGrid w:val="0"/>
              <w:jc w:val="center"/>
              <w:rPr>
                <w:rFonts w:ascii="宋体" w:hAnsi="宋体" w:cs="宋体"/>
                <w:b/>
                <w:sz w:val="22"/>
                <w:highlight w:val="none"/>
              </w:rPr>
            </w:pPr>
            <w:r>
              <w:rPr>
                <w:rFonts w:hint="eastAsia" w:ascii="宋体" w:hAnsi="宋体" w:cs="宋体"/>
                <w:b/>
                <w:sz w:val="22"/>
                <w:highlight w:val="none"/>
              </w:rPr>
              <w:t>总    计</w:t>
            </w:r>
          </w:p>
        </w:tc>
        <w:tc>
          <w:tcPr>
            <w:tcW w:w="3544" w:type="dxa"/>
            <w:vAlign w:val="center"/>
          </w:tcPr>
          <w:p>
            <w:pPr>
              <w:snapToGrid w:val="0"/>
              <w:rPr>
                <w:rFonts w:ascii="宋体" w:hAnsi="宋体" w:cs="宋体"/>
                <w:sz w:val="22"/>
                <w:highlight w:val="none"/>
              </w:rPr>
            </w:pPr>
          </w:p>
        </w:tc>
        <w:tc>
          <w:tcPr>
            <w:tcW w:w="1423" w:type="dxa"/>
            <w:vAlign w:val="center"/>
          </w:tcPr>
          <w:p>
            <w:pPr>
              <w:snapToGrid w:val="0"/>
              <w:rPr>
                <w:rFonts w:ascii="宋体" w:hAnsi="宋体" w:cs="宋体"/>
                <w:sz w:val="22"/>
                <w:highlight w:val="none"/>
              </w:rPr>
            </w:pPr>
          </w:p>
        </w:tc>
      </w:tr>
    </w:tbl>
    <w:p>
      <w:pPr>
        <w:spacing w:line="360" w:lineRule="auto"/>
        <w:jc w:val="right"/>
        <w:rPr>
          <w:rFonts w:ascii="宋体" w:hAnsi="宋体" w:cs="宋体"/>
          <w:sz w:val="22"/>
          <w:highlight w:val="none"/>
        </w:rPr>
      </w:pPr>
    </w:p>
    <w:p>
      <w:pPr>
        <w:spacing w:line="360" w:lineRule="auto"/>
        <w:rPr>
          <w:rFonts w:ascii="宋体" w:hAnsi="宋体" w:cs="宋体"/>
          <w:sz w:val="22"/>
          <w:highlight w:val="none"/>
        </w:rPr>
      </w:pPr>
    </w:p>
    <w:p>
      <w:pPr>
        <w:spacing w:line="360" w:lineRule="auto"/>
        <w:rPr>
          <w:rFonts w:ascii="宋体" w:hAnsi="宋体" w:cs="宋体"/>
          <w:sz w:val="22"/>
          <w:highlight w:val="none"/>
        </w:rPr>
      </w:pPr>
      <w:r>
        <w:rPr>
          <w:rFonts w:hint="eastAsia" w:ascii="宋体" w:hAnsi="宋体" w:cs="宋体"/>
          <w:sz w:val="22"/>
          <w:highlight w:val="none"/>
        </w:rPr>
        <w:t>注：</w:t>
      </w:r>
    </w:p>
    <w:p>
      <w:pPr>
        <w:numPr>
          <w:ilvl w:val="2"/>
          <w:numId w:val="30"/>
        </w:numPr>
        <w:adjustRightInd w:val="0"/>
        <w:snapToGrid w:val="0"/>
        <w:spacing w:line="360" w:lineRule="auto"/>
        <w:jc w:val="left"/>
        <w:textAlignment w:val="baseline"/>
        <w:rPr>
          <w:rFonts w:ascii="宋体" w:hAnsi="宋体" w:cs="宋体"/>
          <w:sz w:val="22"/>
          <w:highlight w:val="none"/>
        </w:rPr>
      </w:pPr>
      <w:r>
        <w:rPr>
          <w:rFonts w:hint="eastAsia" w:ascii="宋体" w:hAnsi="宋体" w:cs="宋体"/>
          <w:sz w:val="22"/>
          <w:highlight w:val="none"/>
        </w:rPr>
        <w:t>此表的“总计”系所有需招标人支付的投标金额总数即投标总价，投标总价中已包含投标人完成本招标项目的一切费用包括税费。</w:t>
      </w:r>
    </w:p>
    <w:p>
      <w:pPr>
        <w:numPr>
          <w:ilvl w:val="2"/>
          <w:numId w:val="30"/>
        </w:numPr>
        <w:adjustRightInd w:val="0"/>
        <w:snapToGrid w:val="0"/>
        <w:spacing w:line="360" w:lineRule="auto"/>
        <w:jc w:val="left"/>
        <w:textAlignment w:val="baseline"/>
        <w:rPr>
          <w:rFonts w:ascii="宋体" w:hAnsi="宋体" w:cs="宋体"/>
          <w:sz w:val="22"/>
          <w:highlight w:val="none"/>
        </w:rPr>
      </w:pPr>
      <w:r>
        <w:rPr>
          <w:rFonts w:hint="eastAsia" w:ascii="宋体" w:hAnsi="宋体" w:cs="宋体"/>
          <w:sz w:val="22"/>
          <w:highlight w:val="none"/>
        </w:rPr>
        <w:t>此表为表4.2、表4.3的汇总表。</w:t>
      </w:r>
    </w:p>
    <w:p>
      <w:pPr>
        <w:snapToGrid w:val="0"/>
        <w:spacing w:line="360" w:lineRule="auto"/>
        <w:rPr>
          <w:rFonts w:ascii="宋体" w:hAnsi="宋体" w:cs="宋体"/>
          <w:sz w:val="22"/>
          <w:highlight w:val="none"/>
        </w:rPr>
      </w:pPr>
    </w:p>
    <w:p>
      <w:pPr>
        <w:spacing w:beforeLines="50" w:line="360" w:lineRule="auto"/>
        <w:ind w:firstLine="3960"/>
        <w:rPr>
          <w:rFonts w:ascii="宋体" w:hAnsi="宋体" w:cs="宋体"/>
          <w:highlight w:val="none"/>
        </w:rPr>
      </w:pPr>
      <w:bookmarkStart w:id="396" w:name="_Toc133214310"/>
      <w:bookmarkStart w:id="397" w:name="_Toc133214103"/>
      <w:bookmarkStart w:id="398" w:name="_Toc133470544"/>
      <w:bookmarkStart w:id="399" w:name="_Toc137373399"/>
    </w:p>
    <w:p>
      <w:pPr>
        <w:spacing w:line="360" w:lineRule="auto"/>
        <w:jc w:val="center"/>
        <w:rPr>
          <w:rFonts w:ascii="宋体" w:hAnsi="宋体" w:cs="宋体"/>
          <w:b/>
          <w:sz w:val="32"/>
          <w:szCs w:val="32"/>
          <w:highlight w:val="none"/>
        </w:rPr>
      </w:pPr>
      <w:bookmarkStart w:id="400" w:name="_Toc144265959"/>
      <w:r>
        <w:rPr>
          <w:rFonts w:hint="eastAsia" w:ascii="宋体" w:hAnsi="宋体" w:cs="宋体"/>
          <w:b/>
          <w:sz w:val="32"/>
          <w:szCs w:val="32"/>
          <w:highlight w:val="none"/>
        </w:rPr>
        <w:br w:type="page"/>
      </w:r>
    </w:p>
    <w:bookmarkEnd w:id="396"/>
    <w:bookmarkEnd w:id="397"/>
    <w:bookmarkEnd w:id="398"/>
    <w:bookmarkEnd w:id="399"/>
    <w:bookmarkEnd w:id="400"/>
    <w:p>
      <w:pPr>
        <w:snapToGrid w:val="0"/>
        <w:spacing w:line="360" w:lineRule="auto"/>
        <w:jc w:val="center"/>
        <w:rPr>
          <w:rFonts w:ascii="宋体" w:hAnsi="宋体" w:cs="宋体"/>
          <w:b/>
          <w:sz w:val="32"/>
          <w:szCs w:val="32"/>
          <w:highlight w:val="none"/>
        </w:rPr>
      </w:pPr>
      <w:r>
        <w:rPr>
          <w:rFonts w:hint="eastAsia" w:ascii="宋体" w:hAnsi="宋体" w:cs="宋体"/>
          <w:b/>
          <w:sz w:val="32"/>
          <w:szCs w:val="32"/>
          <w:highlight w:val="none"/>
        </w:rPr>
        <w:t>4.2设备费分项报价表</w:t>
      </w:r>
    </w:p>
    <w:p>
      <w:pPr>
        <w:spacing w:line="360" w:lineRule="auto"/>
        <w:rPr>
          <w:rFonts w:ascii="宋体" w:hAnsi="宋体" w:cs="宋体"/>
          <w:bCs/>
          <w:sz w:val="22"/>
          <w:highlight w:val="none"/>
        </w:rPr>
      </w:pPr>
    </w:p>
    <w:tbl>
      <w:tblPr>
        <w:tblStyle w:val="5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190"/>
        <w:gridCol w:w="886"/>
        <w:gridCol w:w="807"/>
        <w:gridCol w:w="589"/>
        <w:gridCol w:w="499"/>
        <w:gridCol w:w="453"/>
        <w:gridCol w:w="1198"/>
        <w:gridCol w:w="1138"/>
        <w:gridCol w:w="1138"/>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592" w:type="dxa"/>
            <w:vMerge w:val="restart"/>
            <w:shd w:val="clear" w:color="000000" w:fill="FFFFFF"/>
            <w:vAlign w:val="center"/>
          </w:tcPr>
          <w:p>
            <w:pPr>
              <w:widowControl/>
              <w:jc w:val="left"/>
              <w:rPr>
                <w:rFonts w:ascii="宋体" w:hAnsi="宋体" w:cs="宋体"/>
                <w:b/>
                <w:bCs/>
                <w:kern w:val="0"/>
                <w:sz w:val="20"/>
                <w:highlight w:val="none"/>
              </w:rPr>
            </w:pPr>
            <w:r>
              <w:rPr>
                <w:rFonts w:hint="eastAsia" w:ascii="宋体" w:hAnsi="宋体" w:cs="宋体"/>
                <w:b/>
                <w:bCs/>
                <w:kern w:val="0"/>
                <w:sz w:val="20"/>
                <w:highlight w:val="none"/>
              </w:rPr>
              <w:t>序 号</w:t>
            </w:r>
          </w:p>
        </w:tc>
        <w:tc>
          <w:tcPr>
            <w:tcW w:w="1190"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设备名称</w:t>
            </w:r>
          </w:p>
        </w:tc>
        <w:tc>
          <w:tcPr>
            <w:tcW w:w="886"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规格型号</w:t>
            </w:r>
          </w:p>
        </w:tc>
        <w:tc>
          <w:tcPr>
            <w:tcW w:w="807"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品 牌</w:t>
            </w:r>
          </w:p>
        </w:tc>
        <w:tc>
          <w:tcPr>
            <w:tcW w:w="589"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产地</w:t>
            </w:r>
          </w:p>
        </w:tc>
        <w:tc>
          <w:tcPr>
            <w:tcW w:w="499"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单位</w:t>
            </w:r>
          </w:p>
        </w:tc>
        <w:tc>
          <w:tcPr>
            <w:tcW w:w="453"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数量</w:t>
            </w:r>
          </w:p>
        </w:tc>
        <w:tc>
          <w:tcPr>
            <w:tcW w:w="1198"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单  价（不含税）</w:t>
            </w:r>
          </w:p>
        </w:tc>
        <w:tc>
          <w:tcPr>
            <w:tcW w:w="1138"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单  价（含税）</w:t>
            </w:r>
          </w:p>
        </w:tc>
        <w:tc>
          <w:tcPr>
            <w:tcW w:w="1138"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税率</w:t>
            </w:r>
          </w:p>
        </w:tc>
        <w:tc>
          <w:tcPr>
            <w:tcW w:w="1138"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合  价（含税）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2" w:type="dxa"/>
            <w:vMerge w:val="continue"/>
            <w:shd w:val="clear" w:color="auto" w:fill="auto"/>
            <w:vAlign w:val="center"/>
          </w:tcPr>
          <w:p>
            <w:pPr>
              <w:widowControl/>
              <w:jc w:val="left"/>
              <w:rPr>
                <w:rFonts w:ascii="宋体" w:hAnsi="宋体" w:cs="宋体"/>
                <w:b/>
                <w:bCs/>
                <w:kern w:val="0"/>
                <w:sz w:val="20"/>
                <w:highlight w:val="none"/>
              </w:rPr>
            </w:pPr>
          </w:p>
        </w:tc>
        <w:tc>
          <w:tcPr>
            <w:tcW w:w="1190" w:type="dxa"/>
            <w:vMerge w:val="continue"/>
            <w:shd w:val="clear" w:color="auto" w:fill="auto"/>
            <w:vAlign w:val="center"/>
          </w:tcPr>
          <w:p>
            <w:pPr>
              <w:widowControl/>
              <w:jc w:val="left"/>
              <w:rPr>
                <w:rFonts w:ascii="宋体" w:hAnsi="宋体" w:cs="宋体"/>
                <w:b/>
                <w:bCs/>
                <w:kern w:val="0"/>
                <w:sz w:val="20"/>
                <w:highlight w:val="none"/>
              </w:rPr>
            </w:pPr>
          </w:p>
        </w:tc>
        <w:tc>
          <w:tcPr>
            <w:tcW w:w="886" w:type="dxa"/>
            <w:vMerge w:val="continue"/>
            <w:shd w:val="clear" w:color="auto" w:fill="auto"/>
            <w:vAlign w:val="center"/>
          </w:tcPr>
          <w:p>
            <w:pPr>
              <w:widowControl/>
              <w:jc w:val="left"/>
              <w:rPr>
                <w:rFonts w:ascii="宋体" w:hAnsi="宋体" w:cs="宋体"/>
                <w:b/>
                <w:bCs/>
                <w:kern w:val="0"/>
                <w:sz w:val="20"/>
                <w:highlight w:val="none"/>
              </w:rPr>
            </w:pPr>
          </w:p>
        </w:tc>
        <w:tc>
          <w:tcPr>
            <w:tcW w:w="807" w:type="dxa"/>
            <w:vMerge w:val="continue"/>
            <w:shd w:val="clear" w:color="auto" w:fill="auto"/>
            <w:vAlign w:val="center"/>
          </w:tcPr>
          <w:p>
            <w:pPr>
              <w:widowControl/>
              <w:jc w:val="left"/>
              <w:rPr>
                <w:rFonts w:ascii="宋体" w:hAnsi="宋体" w:cs="宋体"/>
                <w:b/>
                <w:bCs/>
                <w:kern w:val="0"/>
                <w:sz w:val="20"/>
                <w:highlight w:val="none"/>
              </w:rPr>
            </w:pPr>
          </w:p>
        </w:tc>
        <w:tc>
          <w:tcPr>
            <w:tcW w:w="589" w:type="dxa"/>
            <w:vMerge w:val="continue"/>
            <w:shd w:val="clear" w:color="auto" w:fill="auto"/>
            <w:vAlign w:val="center"/>
          </w:tcPr>
          <w:p>
            <w:pPr>
              <w:widowControl/>
              <w:jc w:val="left"/>
              <w:rPr>
                <w:rFonts w:ascii="宋体" w:hAnsi="宋体" w:cs="宋体"/>
                <w:b/>
                <w:bCs/>
                <w:kern w:val="0"/>
                <w:sz w:val="20"/>
                <w:highlight w:val="none"/>
              </w:rPr>
            </w:pPr>
          </w:p>
        </w:tc>
        <w:tc>
          <w:tcPr>
            <w:tcW w:w="499" w:type="dxa"/>
            <w:vMerge w:val="continue"/>
            <w:shd w:val="clear" w:color="auto" w:fill="auto"/>
            <w:vAlign w:val="center"/>
          </w:tcPr>
          <w:p>
            <w:pPr>
              <w:widowControl/>
              <w:jc w:val="left"/>
              <w:rPr>
                <w:rFonts w:ascii="宋体" w:hAnsi="宋体" w:cs="宋体"/>
                <w:b/>
                <w:bCs/>
                <w:kern w:val="0"/>
                <w:sz w:val="20"/>
                <w:highlight w:val="none"/>
              </w:rPr>
            </w:pPr>
          </w:p>
        </w:tc>
        <w:tc>
          <w:tcPr>
            <w:tcW w:w="453" w:type="dxa"/>
            <w:vMerge w:val="continue"/>
            <w:shd w:val="clear" w:color="auto" w:fill="auto"/>
            <w:vAlign w:val="center"/>
          </w:tcPr>
          <w:p>
            <w:pPr>
              <w:widowControl/>
              <w:jc w:val="left"/>
              <w:rPr>
                <w:rFonts w:ascii="宋体" w:hAnsi="宋体" w:cs="宋体"/>
                <w:b/>
                <w:bCs/>
                <w:kern w:val="0"/>
                <w:sz w:val="20"/>
                <w:highlight w:val="none"/>
              </w:rPr>
            </w:pPr>
          </w:p>
        </w:tc>
        <w:tc>
          <w:tcPr>
            <w:tcW w:w="1198"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单位(元)</w:t>
            </w:r>
          </w:p>
        </w:tc>
        <w:tc>
          <w:tcPr>
            <w:tcW w:w="1138"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单位(元)</w:t>
            </w:r>
          </w:p>
        </w:tc>
        <w:tc>
          <w:tcPr>
            <w:tcW w:w="1138"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w:t>
            </w:r>
          </w:p>
        </w:tc>
        <w:tc>
          <w:tcPr>
            <w:tcW w:w="1138"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highlight w:val="none"/>
              </w:rPr>
            </w:pPr>
            <w:r>
              <w:rPr>
                <w:rFonts w:hint="eastAsia" w:ascii="宋体" w:hAnsi="宋体" w:cs="宋体"/>
                <w:b/>
                <w:bCs/>
                <w:kern w:val="0"/>
                <w:sz w:val="20"/>
                <w:highlight w:val="none"/>
              </w:rPr>
              <w:t>1</w:t>
            </w:r>
          </w:p>
        </w:tc>
        <w:tc>
          <w:tcPr>
            <w:tcW w:w="1190" w:type="dxa"/>
            <w:shd w:val="clear" w:color="000000" w:fill="FFFFFF"/>
            <w:vAlign w:val="center"/>
          </w:tcPr>
          <w:p>
            <w:pPr>
              <w:widowControl/>
              <w:jc w:val="center"/>
              <w:rPr>
                <w:rFonts w:ascii="宋体" w:hAnsi="宋体" w:cs="宋体"/>
                <w:b/>
                <w:bCs/>
                <w:kern w:val="0"/>
                <w:sz w:val="20"/>
                <w:highlight w:val="none"/>
              </w:rPr>
            </w:pP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　</w:t>
            </w: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　</w:t>
            </w:r>
          </w:p>
        </w:tc>
        <w:tc>
          <w:tcPr>
            <w:tcW w:w="589" w:type="dxa"/>
            <w:tcBorders>
              <w:bottom w:val="single" w:color="auto" w:sz="4" w:space="0"/>
            </w:tcBorders>
            <w:shd w:val="clear" w:color="000000" w:fill="FFFFFF"/>
            <w:vAlign w:val="center"/>
          </w:tcPr>
          <w:p>
            <w:pPr>
              <w:widowControl/>
              <w:rPr>
                <w:rFonts w:ascii="宋体" w:hAnsi="宋体" w:cs="宋体"/>
                <w:b/>
                <w:bCs/>
                <w:kern w:val="0"/>
                <w:sz w:val="20"/>
                <w:highlight w:val="none"/>
              </w:rPr>
            </w:pPr>
            <w:r>
              <w:rPr>
                <w:rFonts w:hint="eastAsia" w:ascii="宋体" w:hAnsi="宋体" w:cs="宋体"/>
                <w:b/>
                <w:bCs/>
                <w:kern w:val="0"/>
                <w:sz w:val="20"/>
                <w:highlight w:val="none"/>
              </w:rPr>
              <w:t>　</w:t>
            </w:r>
          </w:p>
        </w:tc>
        <w:tc>
          <w:tcPr>
            <w:tcW w:w="499" w:type="dxa"/>
            <w:tcBorders>
              <w:bottom w:val="single" w:color="auto" w:sz="4" w:space="0"/>
            </w:tcBorders>
            <w:shd w:val="clear" w:color="000000" w:fill="FFFFFF"/>
            <w:vAlign w:val="center"/>
          </w:tcPr>
          <w:p>
            <w:pPr>
              <w:widowControl/>
              <w:rPr>
                <w:rFonts w:ascii="宋体" w:hAnsi="宋体" w:cs="宋体"/>
                <w:b/>
                <w:bCs/>
                <w:kern w:val="0"/>
                <w:sz w:val="20"/>
                <w:highlight w:val="none"/>
              </w:rPr>
            </w:pPr>
            <w:r>
              <w:rPr>
                <w:rFonts w:hint="eastAsia" w:ascii="宋体" w:hAnsi="宋体" w:cs="宋体"/>
                <w:b/>
                <w:bCs/>
                <w:kern w:val="0"/>
                <w:sz w:val="20"/>
                <w:highlight w:val="none"/>
              </w:rPr>
              <w:t>　</w:t>
            </w: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198"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　　</w:t>
            </w:r>
          </w:p>
        </w:tc>
        <w:tc>
          <w:tcPr>
            <w:tcW w:w="1138" w:type="dxa"/>
            <w:shd w:val="clear" w:color="000000" w:fill="FFFFFF"/>
          </w:tcPr>
          <w:p>
            <w:pPr>
              <w:widowControl/>
              <w:jc w:val="center"/>
              <w:rPr>
                <w:rFonts w:ascii="宋体" w:hAnsi="宋体" w:cs="宋体"/>
                <w:b/>
                <w:bCs/>
                <w:kern w:val="0"/>
                <w:sz w:val="20"/>
                <w:highlight w:val="none"/>
              </w:rPr>
            </w:pPr>
          </w:p>
        </w:tc>
        <w:tc>
          <w:tcPr>
            <w:tcW w:w="1138" w:type="dxa"/>
            <w:shd w:val="clear" w:color="000000" w:fill="FFFFFF"/>
          </w:tcPr>
          <w:p>
            <w:pPr>
              <w:widowControl/>
              <w:jc w:val="center"/>
              <w:rPr>
                <w:rFonts w:ascii="宋体" w:hAnsi="宋体" w:cs="宋体"/>
                <w:b/>
                <w:bCs/>
                <w:kern w:val="0"/>
                <w:sz w:val="20"/>
                <w:highlight w:val="none"/>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highlight w:val="none"/>
              </w:rPr>
            </w:pPr>
            <w:r>
              <w:rPr>
                <w:rFonts w:hint="eastAsia" w:ascii="宋体" w:hAnsi="宋体" w:cs="宋体"/>
                <w:b/>
                <w:bCs/>
                <w:kern w:val="0"/>
                <w:sz w:val="20"/>
                <w:highlight w:val="none"/>
              </w:rPr>
              <w:t>2</w:t>
            </w:r>
          </w:p>
        </w:tc>
        <w:tc>
          <w:tcPr>
            <w:tcW w:w="1190" w:type="dxa"/>
            <w:shd w:val="clear" w:color="000000" w:fill="FFFFFF"/>
            <w:vAlign w:val="center"/>
          </w:tcPr>
          <w:p>
            <w:pPr>
              <w:widowControl/>
              <w:jc w:val="center"/>
              <w:rPr>
                <w:rFonts w:ascii="宋体" w:hAnsi="宋体"/>
                <w:b/>
                <w:bCs/>
                <w:kern w:val="0"/>
                <w:szCs w:val="21"/>
                <w:highlight w:val="none"/>
              </w:rPr>
            </w:pP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589"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499"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198" w:type="dxa"/>
            <w:shd w:val="clear" w:color="000000" w:fill="FFFFFF"/>
            <w:vAlign w:val="center"/>
          </w:tcPr>
          <w:p>
            <w:pPr>
              <w:widowControl/>
              <w:jc w:val="center"/>
              <w:rPr>
                <w:rFonts w:ascii="宋体" w:hAnsi="宋体" w:cs="宋体"/>
                <w:b/>
                <w:bCs/>
                <w:kern w:val="0"/>
                <w:sz w:val="20"/>
                <w:highlight w:val="none"/>
              </w:rPr>
            </w:pPr>
          </w:p>
        </w:tc>
        <w:tc>
          <w:tcPr>
            <w:tcW w:w="1138" w:type="dxa"/>
            <w:shd w:val="clear" w:color="000000" w:fill="FFFFFF"/>
          </w:tcPr>
          <w:p>
            <w:pPr>
              <w:widowControl/>
              <w:jc w:val="center"/>
              <w:rPr>
                <w:rFonts w:ascii="宋体" w:hAnsi="宋体" w:cs="宋体"/>
                <w:b/>
                <w:bCs/>
                <w:kern w:val="0"/>
                <w:sz w:val="20"/>
                <w:highlight w:val="none"/>
              </w:rPr>
            </w:pPr>
          </w:p>
        </w:tc>
        <w:tc>
          <w:tcPr>
            <w:tcW w:w="1138" w:type="dxa"/>
            <w:shd w:val="clear" w:color="000000" w:fill="FFFFFF"/>
          </w:tcPr>
          <w:p>
            <w:pPr>
              <w:widowControl/>
              <w:jc w:val="center"/>
              <w:rPr>
                <w:rFonts w:ascii="宋体" w:hAnsi="宋体" w:cs="宋体"/>
                <w:b/>
                <w:bCs/>
                <w:kern w:val="0"/>
                <w:sz w:val="20"/>
                <w:highlight w:val="none"/>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highlight w:val="none"/>
              </w:rPr>
            </w:pPr>
            <w:r>
              <w:rPr>
                <w:rFonts w:hint="eastAsia" w:ascii="宋体" w:hAnsi="宋体" w:cs="宋体"/>
                <w:b/>
                <w:bCs/>
                <w:kern w:val="0"/>
                <w:sz w:val="20"/>
                <w:highlight w:val="none"/>
              </w:rPr>
              <w:t>3</w:t>
            </w:r>
          </w:p>
        </w:tc>
        <w:tc>
          <w:tcPr>
            <w:tcW w:w="1190" w:type="dxa"/>
            <w:shd w:val="clear" w:color="000000" w:fill="FFFFFF"/>
            <w:vAlign w:val="center"/>
          </w:tcPr>
          <w:p>
            <w:pPr>
              <w:widowControl/>
              <w:jc w:val="center"/>
              <w:rPr>
                <w:rFonts w:ascii="宋体" w:hAnsi="宋体"/>
                <w:b/>
                <w:bCs/>
                <w:kern w:val="0"/>
                <w:szCs w:val="21"/>
                <w:highlight w:val="none"/>
              </w:rPr>
            </w:pP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589"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499"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198" w:type="dxa"/>
            <w:shd w:val="clear" w:color="000000" w:fill="FFFFFF"/>
            <w:vAlign w:val="center"/>
          </w:tcPr>
          <w:p>
            <w:pPr>
              <w:widowControl/>
              <w:jc w:val="center"/>
              <w:rPr>
                <w:rFonts w:ascii="宋体" w:hAnsi="宋体" w:cs="宋体"/>
                <w:b/>
                <w:bCs/>
                <w:kern w:val="0"/>
                <w:sz w:val="20"/>
                <w:highlight w:val="none"/>
              </w:rPr>
            </w:pPr>
          </w:p>
        </w:tc>
        <w:tc>
          <w:tcPr>
            <w:tcW w:w="1138" w:type="dxa"/>
            <w:shd w:val="clear" w:color="000000" w:fill="FFFFFF"/>
          </w:tcPr>
          <w:p>
            <w:pPr>
              <w:widowControl/>
              <w:jc w:val="center"/>
              <w:rPr>
                <w:rFonts w:ascii="宋体" w:hAnsi="宋体" w:cs="宋体"/>
                <w:b/>
                <w:bCs/>
                <w:kern w:val="0"/>
                <w:sz w:val="20"/>
                <w:highlight w:val="none"/>
              </w:rPr>
            </w:pPr>
          </w:p>
        </w:tc>
        <w:tc>
          <w:tcPr>
            <w:tcW w:w="1138" w:type="dxa"/>
            <w:shd w:val="clear" w:color="000000" w:fill="FFFFFF"/>
          </w:tcPr>
          <w:p>
            <w:pPr>
              <w:widowControl/>
              <w:jc w:val="center"/>
              <w:rPr>
                <w:rFonts w:ascii="宋体" w:hAnsi="宋体" w:cs="宋体"/>
                <w:b/>
                <w:bCs/>
                <w:kern w:val="0"/>
                <w:sz w:val="20"/>
                <w:highlight w:val="none"/>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highlight w:val="none"/>
              </w:rPr>
            </w:pPr>
            <w:r>
              <w:rPr>
                <w:rFonts w:hint="eastAsia" w:ascii="宋体" w:hAnsi="宋体" w:cs="宋体"/>
                <w:b/>
                <w:bCs/>
                <w:kern w:val="0"/>
                <w:sz w:val="20"/>
                <w:highlight w:val="none"/>
              </w:rPr>
              <w:t>4</w:t>
            </w:r>
          </w:p>
        </w:tc>
        <w:tc>
          <w:tcPr>
            <w:tcW w:w="1190" w:type="dxa"/>
            <w:shd w:val="clear" w:color="000000" w:fill="FFFFFF"/>
            <w:vAlign w:val="center"/>
          </w:tcPr>
          <w:p>
            <w:pPr>
              <w:widowControl/>
              <w:jc w:val="center"/>
              <w:rPr>
                <w:rFonts w:ascii="宋体" w:hAnsi="宋体"/>
                <w:b/>
                <w:bCs/>
                <w:kern w:val="0"/>
                <w:szCs w:val="21"/>
                <w:highlight w:val="none"/>
              </w:rPr>
            </w:pP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589"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499"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198" w:type="dxa"/>
            <w:shd w:val="clear" w:color="000000" w:fill="FFFFFF"/>
            <w:vAlign w:val="center"/>
          </w:tcPr>
          <w:p>
            <w:pPr>
              <w:widowControl/>
              <w:jc w:val="center"/>
              <w:rPr>
                <w:rFonts w:ascii="宋体" w:hAnsi="宋体" w:cs="宋体"/>
                <w:b/>
                <w:bCs/>
                <w:kern w:val="0"/>
                <w:sz w:val="20"/>
                <w:highlight w:val="none"/>
              </w:rPr>
            </w:pPr>
          </w:p>
        </w:tc>
        <w:tc>
          <w:tcPr>
            <w:tcW w:w="1138" w:type="dxa"/>
            <w:shd w:val="clear" w:color="000000" w:fill="FFFFFF"/>
          </w:tcPr>
          <w:p>
            <w:pPr>
              <w:widowControl/>
              <w:jc w:val="center"/>
              <w:rPr>
                <w:rFonts w:ascii="宋体" w:hAnsi="宋体" w:cs="宋体"/>
                <w:b/>
                <w:bCs/>
                <w:kern w:val="0"/>
                <w:sz w:val="20"/>
                <w:highlight w:val="none"/>
              </w:rPr>
            </w:pPr>
          </w:p>
        </w:tc>
        <w:tc>
          <w:tcPr>
            <w:tcW w:w="1138" w:type="dxa"/>
            <w:shd w:val="clear" w:color="000000" w:fill="FFFFFF"/>
          </w:tcPr>
          <w:p>
            <w:pPr>
              <w:widowControl/>
              <w:jc w:val="center"/>
              <w:rPr>
                <w:rFonts w:ascii="宋体" w:hAnsi="宋体" w:cs="宋体"/>
                <w:b/>
                <w:bCs/>
                <w:kern w:val="0"/>
                <w:sz w:val="20"/>
                <w:highlight w:val="none"/>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highlight w:val="none"/>
              </w:rPr>
            </w:pPr>
            <w:r>
              <w:rPr>
                <w:rFonts w:hint="eastAsia" w:ascii="宋体" w:hAnsi="宋体" w:cs="宋体"/>
                <w:b/>
                <w:bCs/>
                <w:kern w:val="0"/>
                <w:sz w:val="20"/>
                <w:highlight w:val="none"/>
              </w:rPr>
              <w:t>…</w:t>
            </w:r>
          </w:p>
        </w:tc>
        <w:tc>
          <w:tcPr>
            <w:tcW w:w="1190" w:type="dxa"/>
            <w:shd w:val="clear" w:color="000000" w:fill="FFFFFF"/>
            <w:vAlign w:val="center"/>
          </w:tcPr>
          <w:p>
            <w:pPr>
              <w:widowControl/>
              <w:jc w:val="center"/>
              <w:rPr>
                <w:rFonts w:ascii="宋体" w:hAnsi="宋体"/>
                <w:b/>
                <w:bCs/>
                <w:kern w:val="0"/>
                <w:szCs w:val="21"/>
                <w:highlight w:val="none"/>
              </w:rPr>
            </w:pP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589"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499"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198" w:type="dxa"/>
            <w:shd w:val="clear" w:color="000000" w:fill="FFFFFF"/>
            <w:vAlign w:val="center"/>
          </w:tcPr>
          <w:p>
            <w:pPr>
              <w:widowControl/>
              <w:jc w:val="center"/>
              <w:rPr>
                <w:rFonts w:ascii="宋体" w:hAnsi="宋体" w:cs="宋体"/>
                <w:b/>
                <w:bCs/>
                <w:kern w:val="0"/>
                <w:sz w:val="20"/>
                <w:highlight w:val="none"/>
              </w:rPr>
            </w:pPr>
          </w:p>
        </w:tc>
        <w:tc>
          <w:tcPr>
            <w:tcW w:w="1138" w:type="dxa"/>
            <w:shd w:val="clear" w:color="000000" w:fill="FFFFFF"/>
          </w:tcPr>
          <w:p>
            <w:pPr>
              <w:widowControl/>
              <w:jc w:val="center"/>
              <w:rPr>
                <w:rFonts w:ascii="宋体" w:hAnsi="宋体" w:cs="宋体"/>
                <w:b/>
                <w:bCs/>
                <w:kern w:val="0"/>
                <w:sz w:val="20"/>
                <w:highlight w:val="none"/>
              </w:rPr>
            </w:pPr>
          </w:p>
        </w:tc>
        <w:tc>
          <w:tcPr>
            <w:tcW w:w="1138" w:type="dxa"/>
            <w:shd w:val="clear" w:color="000000" w:fill="FFFFFF"/>
          </w:tcPr>
          <w:p>
            <w:pPr>
              <w:widowControl/>
              <w:jc w:val="center"/>
              <w:rPr>
                <w:rFonts w:ascii="宋体" w:hAnsi="宋体" w:cs="宋体"/>
                <w:b/>
                <w:bCs/>
                <w:kern w:val="0"/>
                <w:sz w:val="20"/>
                <w:highlight w:val="none"/>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highlight w:val="none"/>
              </w:rPr>
            </w:pPr>
          </w:p>
        </w:tc>
        <w:tc>
          <w:tcPr>
            <w:tcW w:w="1190" w:type="dxa"/>
            <w:shd w:val="clear" w:color="000000" w:fill="FFFFFF"/>
            <w:vAlign w:val="center"/>
          </w:tcPr>
          <w:p>
            <w:pPr>
              <w:widowControl/>
              <w:jc w:val="center"/>
              <w:rPr>
                <w:rFonts w:ascii="宋体" w:hAnsi="宋体" w:cs="宋体"/>
                <w:b/>
                <w:bCs/>
                <w:kern w:val="0"/>
                <w:sz w:val="20"/>
                <w:highlight w:val="none"/>
              </w:rPr>
            </w:pP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589"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499"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198" w:type="dxa"/>
            <w:shd w:val="clear" w:color="000000" w:fill="FFFFFF"/>
            <w:vAlign w:val="center"/>
          </w:tcPr>
          <w:p>
            <w:pPr>
              <w:widowControl/>
              <w:jc w:val="center"/>
              <w:rPr>
                <w:rFonts w:ascii="宋体" w:hAnsi="宋体" w:cs="宋体"/>
                <w:b/>
                <w:bCs/>
                <w:kern w:val="0"/>
                <w:sz w:val="20"/>
                <w:highlight w:val="none"/>
              </w:rPr>
            </w:pPr>
          </w:p>
        </w:tc>
        <w:tc>
          <w:tcPr>
            <w:tcW w:w="1138" w:type="dxa"/>
            <w:shd w:val="clear" w:color="000000" w:fill="FFFFFF"/>
          </w:tcPr>
          <w:p>
            <w:pPr>
              <w:widowControl/>
              <w:jc w:val="center"/>
              <w:rPr>
                <w:rFonts w:ascii="宋体" w:hAnsi="宋体" w:cs="宋体"/>
                <w:b/>
                <w:bCs/>
                <w:kern w:val="0"/>
                <w:sz w:val="20"/>
                <w:highlight w:val="none"/>
              </w:rPr>
            </w:pPr>
          </w:p>
        </w:tc>
        <w:tc>
          <w:tcPr>
            <w:tcW w:w="1138" w:type="dxa"/>
            <w:shd w:val="clear" w:color="000000" w:fill="FFFFFF"/>
          </w:tcPr>
          <w:p>
            <w:pPr>
              <w:widowControl/>
              <w:jc w:val="center"/>
              <w:rPr>
                <w:rFonts w:ascii="宋体" w:hAnsi="宋体" w:cs="宋体"/>
                <w:b/>
                <w:bCs/>
                <w:kern w:val="0"/>
                <w:sz w:val="20"/>
                <w:highlight w:val="none"/>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highlight w:val="none"/>
              </w:rPr>
            </w:pPr>
          </w:p>
        </w:tc>
        <w:tc>
          <w:tcPr>
            <w:tcW w:w="1190" w:type="dxa"/>
            <w:shd w:val="clear" w:color="000000" w:fill="FFFFFF"/>
            <w:vAlign w:val="center"/>
          </w:tcPr>
          <w:p>
            <w:pPr>
              <w:widowControl/>
              <w:jc w:val="center"/>
              <w:rPr>
                <w:rFonts w:ascii="宋体" w:hAnsi="宋体" w:cs="宋体"/>
                <w:b/>
                <w:bCs/>
                <w:kern w:val="0"/>
                <w:sz w:val="20"/>
                <w:highlight w:val="none"/>
              </w:rPr>
            </w:pP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589"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499"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198" w:type="dxa"/>
            <w:shd w:val="clear" w:color="000000" w:fill="FFFFFF"/>
            <w:vAlign w:val="center"/>
          </w:tcPr>
          <w:p>
            <w:pPr>
              <w:widowControl/>
              <w:jc w:val="center"/>
              <w:rPr>
                <w:rFonts w:ascii="宋体" w:hAnsi="宋体" w:cs="宋体"/>
                <w:b/>
                <w:bCs/>
                <w:kern w:val="0"/>
                <w:sz w:val="20"/>
                <w:highlight w:val="none"/>
              </w:rPr>
            </w:pPr>
          </w:p>
        </w:tc>
        <w:tc>
          <w:tcPr>
            <w:tcW w:w="1138" w:type="dxa"/>
            <w:shd w:val="clear" w:color="000000" w:fill="FFFFFF"/>
          </w:tcPr>
          <w:p>
            <w:pPr>
              <w:widowControl/>
              <w:jc w:val="center"/>
              <w:rPr>
                <w:rFonts w:ascii="宋体" w:hAnsi="宋体" w:cs="宋体"/>
                <w:b/>
                <w:bCs/>
                <w:kern w:val="0"/>
                <w:sz w:val="20"/>
                <w:highlight w:val="none"/>
              </w:rPr>
            </w:pPr>
          </w:p>
        </w:tc>
        <w:tc>
          <w:tcPr>
            <w:tcW w:w="1138" w:type="dxa"/>
            <w:shd w:val="clear" w:color="000000" w:fill="FFFFFF"/>
          </w:tcPr>
          <w:p>
            <w:pPr>
              <w:widowControl/>
              <w:jc w:val="center"/>
              <w:rPr>
                <w:rFonts w:ascii="宋体" w:hAnsi="宋体" w:cs="宋体"/>
                <w:b/>
                <w:bCs/>
                <w:kern w:val="0"/>
                <w:sz w:val="20"/>
                <w:highlight w:val="none"/>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highlight w:val="none"/>
              </w:rPr>
            </w:pPr>
          </w:p>
        </w:tc>
        <w:tc>
          <w:tcPr>
            <w:tcW w:w="1190" w:type="dxa"/>
            <w:shd w:val="clear" w:color="000000" w:fill="FFFFFF"/>
            <w:vAlign w:val="center"/>
          </w:tcPr>
          <w:p>
            <w:pPr>
              <w:widowControl/>
              <w:jc w:val="center"/>
              <w:rPr>
                <w:rFonts w:ascii="宋体" w:hAnsi="宋体" w:cs="宋体"/>
                <w:b/>
                <w:bCs/>
                <w:kern w:val="0"/>
                <w:sz w:val="20"/>
                <w:highlight w:val="none"/>
              </w:rPr>
            </w:pP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589"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499"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198" w:type="dxa"/>
            <w:shd w:val="clear" w:color="000000" w:fill="FFFFFF"/>
            <w:vAlign w:val="center"/>
          </w:tcPr>
          <w:p>
            <w:pPr>
              <w:widowControl/>
              <w:jc w:val="center"/>
              <w:rPr>
                <w:rFonts w:ascii="宋体" w:hAnsi="宋体" w:cs="宋体"/>
                <w:b/>
                <w:bCs/>
                <w:kern w:val="0"/>
                <w:sz w:val="20"/>
                <w:highlight w:val="none"/>
              </w:rPr>
            </w:pPr>
          </w:p>
        </w:tc>
        <w:tc>
          <w:tcPr>
            <w:tcW w:w="1138" w:type="dxa"/>
            <w:shd w:val="clear" w:color="000000" w:fill="FFFFFF"/>
          </w:tcPr>
          <w:p>
            <w:pPr>
              <w:widowControl/>
              <w:jc w:val="center"/>
              <w:rPr>
                <w:rFonts w:ascii="宋体" w:hAnsi="宋体" w:cs="宋体"/>
                <w:b/>
                <w:bCs/>
                <w:kern w:val="0"/>
                <w:sz w:val="20"/>
                <w:highlight w:val="none"/>
              </w:rPr>
            </w:pPr>
          </w:p>
        </w:tc>
        <w:tc>
          <w:tcPr>
            <w:tcW w:w="1138" w:type="dxa"/>
            <w:shd w:val="clear" w:color="000000" w:fill="FFFFFF"/>
          </w:tcPr>
          <w:p>
            <w:pPr>
              <w:widowControl/>
              <w:jc w:val="center"/>
              <w:rPr>
                <w:rFonts w:ascii="宋体" w:hAnsi="宋体" w:cs="宋体"/>
                <w:b/>
                <w:bCs/>
                <w:kern w:val="0"/>
                <w:sz w:val="20"/>
                <w:highlight w:val="none"/>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highlight w:val="none"/>
              </w:rPr>
            </w:pPr>
          </w:p>
        </w:tc>
        <w:tc>
          <w:tcPr>
            <w:tcW w:w="1190" w:type="dxa"/>
            <w:shd w:val="clear" w:color="000000" w:fill="FFFFFF"/>
            <w:vAlign w:val="center"/>
          </w:tcPr>
          <w:p>
            <w:pPr>
              <w:widowControl/>
              <w:jc w:val="center"/>
              <w:rPr>
                <w:rFonts w:ascii="宋体" w:hAnsi="宋体" w:cs="宋体"/>
                <w:b/>
                <w:bCs/>
                <w:kern w:val="0"/>
                <w:sz w:val="20"/>
                <w:highlight w:val="none"/>
              </w:rPr>
            </w:pP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589"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499"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198" w:type="dxa"/>
            <w:shd w:val="clear" w:color="000000" w:fill="FFFFFF"/>
            <w:vAlign w:val="center"/>
          </w:tcPr>
          <w:p>
            <w:pPr>
              <w:widowControl/>
              <w:jc w:val="center"/>
              <w:rPr>
                <w:rFonts w:ascii="宋体" w:hAnsi="宋体" w:cs="宋体"/>
                <w:b/>
                <w:bCs/>
                <w:kern w:val="0"/>
                <w:sz w:val="20"/>
                <w:highlight w:val="none"/>
              </w:rPr>
            </w:pPr>
          </w:p>
        </w:tc>
        <w:tc>
          <w:tcPr>
            <w:tcW w:w="1138" w:type="dxa"/>
            <w:shd w:val="clear" w:color="000000" w:fill="FFFFFF"/>
          </w:tcPr>
          <w:p>
            <w:pPr>
              <w:widowControl/>
              <w:jc w:val="center"/>
              <w:rPr>
                <w:rFonts w:ascii="宋体" w:hAnsi="宋体" w:cs="宋体"/>
                <w:b/>
                <w:bCs/>
                <w:kern w:val="0"/>
                <w:sz w:val="20"/>
                <w:highlight w:val="none"/>
              </w:rPr>
            </w:pPr>
          </w:p>
        </w:tc>
        <w:tc>
          <w:tcPr>
            <w:tcW w:w="1138" w:type="dxa"/>
            <w:shd w:val="clear" w:color="000000" w:fill="FFFFFF"/>
          </w:tcPr>
          <w:p>
            <w:pPr>
              <w:widowControl/>
              <w:jc w:val="center"/>
              <w:rPr>
                <w:rFonts w:ascii="宋体" w:hAnsi="宋体" w:cs="宋体"/>
                <w:b/>
                <w:bCs/>
                <w:kern w:val="0"/>
                <w:sz w:val="20"/>
                <w:highlight w:val="none"/>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highlight w:val="none"/>
              </w:rPr>
            </w:pPr>
          </w:p>
        </w:tc>
        <w:tc>
          <w:tcPr>
            <w:tcW w:w="1190" w:type="dxa"/>
            <w:shd w:val="clear" w:color="000000" w:fill="FFFFFF"/>
            <w:vAlign w:val="center"/>
          </w:tcPr>
          <w:p>
            <w:pPr>
              <w:widowControl/>
              <w:jc w:val="center"/>
              <w:rPr>
                <w:rFonts w:ascii="宋体" w:hAnsi="宋体" w:cs="宋体"/>
                <w:b/>
                <w:bCs/>
                <w:kern w:val="0"/>
                <w:sz w:val="20"/>
                <w:highlight w:val="none"/>
              </w:rPr>
            </w:pPr>
          </w:p>
        </w:tc>
        <w:tc>
          <w:tcPr>
            <w:tcW w:w="886" w:type="dxa"/>
            <w:shd w:val="clear" w:color="000000" w:fill="FFFFFF"/>
            <w:vAlign w:val="center"/>
          </w:tcPr>
          <w:p>
            <w:pPr>
              <w:widowControl/>
              <w:jc w:val="center"/>
              <w:rPr>
                <w:rFonts w:ascii="宋体" w:hAnsi="宋体" w:cs="宋体"/>
                <w:b/>
                <w:bCs/>
                <w:kern w:val="0"/>
                <w:sz w:val="20"/>
                <w:highlight w:val="none"/>
              </w:rPr>
            </w:pPr>
          </w:p>
        </w:tc>
        <w:tc>
          <w:tcPr>
            <w:tcW w:w="807" w:type="dxa"/>
            <w:shd w:val="clear" w:color="000000" w:fill="FFFFFF"/>
            <w:vAlign w:val="center"/>
          </w:tcPr>
          <w:p>
            <w:pPr>
              <w:widowControl/>
              <w:jc w:val="center"/>
              <w:rPr>
                <w:rFonts w:ascii="宋体" w:hAnsi="宋体" w:cs="宋体"/>
                <w:b/>
                <w:bCs/>
                <w:kern w:val="0"/>
                <w:sz w:val="20"/>
                <w:highlight w:val="none"/>
              </w:rPr>
            </w:pPr>
          </w:p>
        </w:tc>
        <w:tc>
          <w:tcPr>
            <w:tcW w:w="589" w:type="dxa"/>
            <w:shd w:val="clear" w:color="000000" w:fill="FFFFFF"/>
            <w:vAlign w:val="center"/>
          </w:tcPr>
          <w:p>
            <w:pPr>
              <w:widowControl/>
              <w:rPr>
                <w:rFonts w:ascii="宋体" w:hAnsi="宋体" w:cs="宋体"/>
                <w:b/>
                <w:bCs/>
                <w:kern w:val="0"/>
                <w:sz w:val="20"/>
                <w:highlight w:val="none"/>
              </w:rPr>
            </w:pPr>
          </w:p>
        </w:tc>
        <w:tc>
          <w:tcPr>
            <w:tcW w:w="499" w:type="dxa"/>
            <w:shd w:val="clear" w:color="000000" w:fill="FFFFFF"/>
            <w:vAlign w:val="center"/>
          </w:tcPr>
          <w:p>
            <w:pPr>
              <w:widowControl/>
              <w:rPr>
                <w:rFonts w:ascii="宋体" w:hAnsi="宋体" w:cs="宋体"/>
                <w:b/>
                <w:bCs/>
                <w:kern w:val="0"/>
                <w:sz w:val="20"/>
                <w:highlight w:val="none"/>
              </w:rPr>
            </w:pPr>
          </w:p>
        </w:tc>
        <w:tc>
          <w:tcPr>
            <w:tcW w:w="453" w:type="dxa"/>
            <w:shd w:val="clear" w:color="000000" w:fill="FFFFFF"/>
            <w:vAlign w:val="center"/>
          </w:tcPr>
          <w:p>
            <w:pPr>
              <w:widowControl/>
              <w:jc w:val="center"/>
              <w:rPr>
                <w:rFonts w:ascii="宋体" w:hAnsi="宋体" w:cs="宋体"/>
                <w:b/>
                <w:bCs/>
                <w:kern w:val="0"/>
                <w:sz w:val="20"/>
                <w:highlight w:val="none"/>
              </w:rPr>
            </w:pPr>
          </w:p>
        </w:tc>
        <w:tc>
          <w:tcPr>
            <w:tcW w:w="1198" w:type="dxa"/>
            <w:shd w:val="clear" w:color="000000" w:fill="FFFFFF"/>
            <w:vAlign w:val="center"/>
          </w:tcPr>
          <w:p>
            <w:pPr>
              <w:widowControl/>
              <w:jc w:val="center"/>
              <w:rPr>
                <w:rFonts w:ascii="宋体" w:hAnsi="宋体" w:cs="宋体"/>
                <w:b/>
                <w:bCs/>
                <w:kern w:val="0"/>
                <w:sz w:val="20"/>
                <w:highlight w:val="none"/>
              </w:rPr>
            </w:pPr>
          </w:p>
        </w:tc>
        <w:tc>
          <w:tcPr>
            <w:tcW w:w="1138" w:type="dxa"/>
            <w:shd w:val="clear" w:color="000000" w:fill="FFFFFF"/>
          </w:tcPr>
          <w:p>
            <w:pPr>
              <w:widowControl/>
              <w:jc w:val="center"/>
              <w:rPr>
                <w:rFonts w:ascii="宋体" w:hAnsi="宋体" w:cs="宋体"/>
                <w:b/>
                <w:bCs/>
                <w:kern w:val="0"/>
                <w:sz w:val="20"/>
                <w:highlight w:val="none"/>
              </w:rPr>
            </w:pPr>
          </w:p>
        </w:tc>
        <w:tc>
          <w:tcPr>
            <w:tcW w:w="1138" w:type="dxa"/>
            <w:shd w:val="clear" w:color="000000" w:fill="FFFFFF"/>
          </w:tcPr>
          <w:p>
            <w:pPr>
              <w:widowControl/>
              <w:jc w:val="center"/>
              <w:rPr>
                <w:rFonts w:ascii="宋体" w:hAnsi="宋体" w:cs="宋体"/>
                <w:b/>
                <w:bCs/>
                <w:kern w:val="0"/>
                <w:sz w:val="20"/>
                <w:highlight w:val="none"/>
              </w:rPr>
            </w:pPr>
          </w:p>
        </w:tc>
        <w:tc>
          <w:tcPr>
            <w:tcW w:w="1138" w:type="dxa"/>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highlight w:val="none"/>
              </w:rPr>
            </w:pPr>
          </w:p>
        </w:tc>
        <w:tc>
          <w:tcPr>
            <w:tcW w:w="1190"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合 计</w:t>
            </w: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589"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499"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198" w:type="dxa"/>
            <w:shd w:val="clear" w:color="000000" w:fill="FFFFFF"/>
            <w:vAlign w:val="center"/>
          </w:tcPr>
          <w:p>
            <w:pPr>
              <w:widowControl/>
              <w:jc w:val="center"/>
              <w:rPr>
                <w:rFonts w:ascii="宋体" w:hAnsi="宋体" w:cs="宋体"/>
                <w:b/>
                <w:bCs/>
                <w:kern w:val="0"/>
                <w:sz w:val="20"/>
                <w:highlight w:val="none"/>
              </w:rPr>
            </w:pPr>
          </w:p>
        </w:tc>
        <w:tc>
          <w:tcPr>
            <w:tcW w:w="1138" w:type="dxa"/>
            <w:shd w:val="clear" w:color="000000" w:fill="FFFFFF"/>
          </w:tcPr>
          <w:p>
            <w:pPr>
              <w:widowControl/>
              <w:jc w:val="center"/>
              <w:rPr>
                <w:rFonts w:ascii="宋体" w:hAnsi="宋体" w:cs="宋体"/>
                <w:b/>
                <w:bCs/>
                <w:kern w:val="0"/>
                <w:sz w:val="20"/>
                <w:highlight w:val="none"/>
              </w:rPr>
            </w:pPr>
          </w:p>
        </w:tc>
        <w:tc>
          <w:tcPr>
            <w:tcW w:w="1138" w:type="dxa"/>
            <w:shd w:val="clear" w:color="000000" w:fill="FFFFFF"/>
          </w:tcPr>
          <w:p>
            <w:pPr>
              <w:widowControl/>
              <w:jc w:val="center"/>
              <w:rPr>
                <w:rFonts w:ascii="宋体" w:hAnsi="宋体" w:cs="宋体"/>
                <w:b/>
                <w:bCs/>
                <w:kern w:val="0"/>
                <w:sz w:val="20"/>
                <w:highlight w:val="none"/>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r>
    </w:tbl>
    <w:p>
      <w:pPr>
        <w:widowControl/>
        <w:spacing w:line="300" w:lineRule="auto"/>
        <w:rPr>
          <w:rFonts w:ascii="宋体" w:hAnsi="宋体" w:cs="宋体"/>
          <w:sz w:val="22"/>
          <w:highlight w:val="none"/>
        </w:rPr>
      </w:pPr>
    </w:p>
    <w:p>
      <w:pPr>
        <w:widowControl/>
        <w:spacing w:line="300" w:lineRule="auto"/>
        <w:rPr>
          <w:rFonts w:ascii="宋体" w:hAnsi="宋体" w:cs="宋体"/>
          <w:sz w:val="22"/>
          <w:highlight w:val="none"/>
        </w:rPr>
      </w:pPr>
      <w:r>
        <w:rPr>
          <w:rFonts w:hint="eastAsia" w:ascii="宋体" w:hAnsi="宋体" w:cs="宋体"/>
          <w:sz w:val="22"/>
          <w:highlight w:val="none"/>
        </w:rPr>
        <w:t>注：</w:t>
      </w:r>
    </w:p>
    <w:p>
      <w:pPr>
        <w:widowControl/>
        <w:numPr>
          <w:ilvl w:val="0"/>
          <w:numId w:val="31"/>
        </w:numPr>
        <w:tabs>
          <w:tab w:val="left" w:pos="284"/>
          <w:tab w:val="clear" w:pos="1200"/>
        </w:tabs>
        <w:spacing w:line="300" w:lineRule="auto"/>
        <w:ind w:left="284" w:hanging="284"/>
        <w:rPr>
          <w:rFonts w:ascii="宋体" w:hAnsi="宋体" w:cs="宋体"/>
          <w:sz w:val="22"/>
          <w:highlight w:val="none"/>
        </w:rPr>
      </w:pPr>
      <w:r>
        <w:rPr>
          <w:rFonts w:hint="eastAsia" w:ascii="宋体" w:hAnsi="宋体" w:cs="宋体"/>
          <w:sz w:val="22"/>
          <w:highlight w:val="none"/>
        </w:rPr>
        <w:t>综合单价包括但不限于产品生产、包装、运至指定地点的运输、装卸、保险、安装、调试及各种税费及所有第三章要求的伴随服务等招标文件规定的全部相关费用。</w:t>
      </w:r>
    </w:p>
    <w:p>
      <w:pPr>
        <w:spacing w:line="360" w:lineRule="auto"/>
        <w:jc w:val="center"/>
        <w:rPr>
          <w:rFonts w:ascii="宋体" w:hAnsi="宋体" w:cs="宋体"/>
          <w:b/>
          <w:sz w:val="32"/>
          <w:szCs w:val="32"/>
          <w:highlight w:val="none"/>
        </w:rPr>
      </w:pPr>
      <w:r>
        <w:rPr>
          <w:rFonts w:ascii="宋体" w:hAnsi="宋体" w:cs="宋体"/>
          <w:sz w:val="22"/>
          <w:highlight w:val="none"/>
        </w:rPr>
        <w:br w:type="page"/>
      </w:r>
      <w:r>
        <w:rPr>
          <w:rFonts w:hint="eastAsia" w:ascii="宋体" w:hAnsi="宋体" w:cs="宋体"/>
          <w:b/>
          <w:sz w:val="32"/>
          <w:szCs w:val="32"/>
          <w:highlight w:val="none"/>
        </w:rPr>
        <w:t>4.3随机配件和专用工具分项报价表</w:t>
      </w:r>
    </w:p>
    <w:tbl>
      <w:tblPr>
        <w:tblStyle w:val="52"/>
        <w:tblpPr w:leftFromText="180" w:rightFromText="180" w:vertAnchor="text" w:tblpY="1"/>
        <w:tblOverlap w:val="never"/>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2085"/>
        <w:gridCol w:w="778"/>
        <w:gridCol w:w="505"/>
        <w:gridCol w:w="616"/>
        <w:gridCol w:w="520"/>
        <w:gridCol w:w="472"/>
        <w:gridCol w:w="934"/>
        <w:gridCol w:w="926"/>
        <w:gridCol w:w="926"/>
        <w:gridCol w:w="926"/>
        <w:gridCol w:w="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476"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序 号</w:t>
            </w:r>
          </w:p>
        </w:tc>
        <w:tc>
          <w:tcPr>
            <w:tcW w:w="2085"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设备名称</w:t>
            </w:r>
          </w:p>
        </w:tc>
        <w:tc>
          <w:tcPr>
            <w:tcW w:w="778"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规格型号</w:t>
            </w:r>
          </w:p>
        </w:tc>
        <w:tc>
          <w:tcPr>
            <w:tcW w:w="505"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品 牌</w:t>
            </w:r>
          </w:p>
        </w:tc>
        <w:tc>
          <w:tcPr>
            <w:tcW w:w="616"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原产地</w:t>
            </w:r>
          </w:p>
        </w:tc>
        <w:tc>
          <w:tcPr>
            <w:tcW w:w="520"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单位</w:t>
            </w:r>
          </w:p>
        </w:tc>
        <w:tc>
          <w:tcPr>
            <w:tcW w:w="472"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数量</w:t>
            </w:r>
          </w:p>
        </w:tc>
        <w:tc>
          <w:tcPr>
            <w:tcW w:w="934"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 xml:space="preserve"> 单  价（不含税） </w:t>
            </w:r>
          </w:p>
        </w:tc>
        <w:tc>
          <w:tcPr>
            <w:tcW w:w="926"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单  价（含税）</w:t>
            </w:r>
          </w:p>
        </w:tc>
        <w:tc>
          <w:tcPr>
            <w:tcW w:w="926"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税率</w:t>
            </w:r>
          </w:p>
        </w:tc>
        <w:tc>
          <w:tcPr>
            <w:tcW w:w="926"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 xml:space="preserve"> 合  价（含税） </w:t>
            </w:r>
          </w:p>
        </w:tc>
        <w:tc>
          <w:tcPr>
            <w:tcW w:w="464"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76" w:type="dxa"/>
            <w:vMerge w:val="continue"/>
            <w:shd w:val="clear" w:color="auto" w:fill="auto"/>
            <w:vAlign w:val="center"/>
          </w:tcPr>
          <w:p>
            <w:pPr>
              <w:widowControl/>
              <w:jc w:val="center"/>
              <w:rPr>
                <w:rFonts w:ascii="宋体" w:hAnsi="宋体" w:cs="宋体"/>
                <w:b/>
                <w:bCs/>
                <w:kern w:val="0"/>
                <w:sz w:val="20"/>
                <w:highlight w:val="none"/>
              </w:rPr>
            </w:pPr>
          </w:p>
        </w:tc>
        <w:tc>
          <w:tcPr>
            <w:tcW w:w="2085" w:type="dxa"/>
            <w:vMerge w:val="continue"/>
            <w:shd w:val="clear" w:color="auto" w:fill="auto"/>
            <w:vAlign w:val="center"/>
          </w:tcPr>
          <w:p>
            <w:pPr>
              <w:widowControl/>
              <w:jc w:val="left"/>
              <w:rPr>
                <w:rFonts w:ascii="宋体" w:hAnsi="宋体" w:cs="宋体"/>
                <w:b/>
                <w:bCs/>
                <w:kern w:val="0"/>
                <w:sz w:val="20"/>
                <w:highlight w:val="none"/>
              </w:rPr>
            </w:pPr>
          </w:p>
        </w:tc>
        <w:tc>
          <w:tcPr>
            <w:tcW w:w="778" w:type="dxa"/>
            <w:vMerge w:val="continue"/>
            <w:shd w:val="clear" w:color="auto" w:fill="auto"/>
            <w:vAlign w:val="center"/>
          </w:tcPr>
          <w:p>
            <w:pPr>
              <w:widowControl/>
              <w:jc w:val="left"/>
              <w:rPr>
                <w:rFonts w:ascii="宋体" w:hAnsi="宋体" w:cs="宋体"/>
                <w:b/>
                <w:bCs/>
                <w:kern w:val="0"/>
                <w:sz w:val="20"/>
                <w:highlight w:val="none"/>
              </w:rPr>
            </w:pPr>
          </w:p>
        </w:tc>
        <w:tc>
          <w:tcPr>
            <w:tcW w:w="505" w:type="dxa"/>
            <w:vMerge w:val="continue"/>
            <w:shd w:val="clear" w:color="auto" w:fill="auto"/>
            <w:vAlign w:val="center"/>
          </w:tcPr>
          <w:p>
            <w:pPr>
              <w:widowControl/>
              <w:jc w:val="left"/>
              <w:rPr>
                <w:rFonts w:ascii="宋体" w:hAnsi="宋体" w:cs="宋体"/>
                <w:b/>
                <w:bCs/>
                <w:kern w:val="0"/>
                <w:sz w:val="20"/>
                <w:highlight w:val="none"/>
              </w:rPr>
            </w:pPr>
          </w:p>
        </w:tc>
        <w:tc>
          <w:tcPr>
            <w:tcW w:w="616" w:type="dxa"/>
            <w:vMerge w:val="continue"/>
            <w:shd w:val="clear" w:color="auto" w:fill="auto"/>
            <w:vAlign w:val="center"/>
          </w:tcPr>
          <w:p>
            <w:pPr>
              <w:widowControl/>
              <w:jc w:val="left"/>
              <w:rPr>
                <w:rFonts w:ascii="宋体" w:hAnsi="宋体" w:cs="宋体"/>
                <w:b/>
                <w:bCs/>
                <w:kern w:val="0"/>
                <w:sz w:val="20"/>
                <w:highlight w:val="none"/>
              </w:rPr>
            </w:pPr>
          </w:p>
        </w:tc>
        <w:tc>
          <w:tcPr>
            <w:tcW w:w="520" w:type="dxa"/>
            <w:vMerge w:val="continue"/>
            <w:shd w:val="clear" w:color="auto" w:fill="auto"/>
            <w:vAlign w:val="center"/>
          </w:tcPr>
          <w:p>
            <w:pPr>
              <w:widowControl/>
              <w:jc w:val="left"/>
              <w:rPr>
                <w:rFonts w:ascii="宋体" w:hAnsi="宋体" w:cs="宋体"/>
                <w:b/>
                <w:bCs/>
                <w:kern w:val="0"/>
                <w:sz w:val="20"/>
                <w:highlight w:val="none"/>
              </w:rPr>
            </w:pPr>
          </w:p>
        </w:tc>
        <w:tc>
          <w:tcPr>
            <w:tcW w:w="472" w:type="dxa"/>
            <w:vMerge w:val="continue"/>
            <w:shd w:val="clear" w:color="auto" w:fill="auto"/>
            <w:vAlign w:val="center"/>
          </w:tcPr>
          <w:p>
            <w:pPr>
              <w:widowControl/>
              <w:jc w:val="left"/>
              <w:rPr>
                <w:rFonts w:ascii="宋体" w:hAnsi="宋体" w:cs="宋体"/>
                <w:b/>
                <w:bCs/>
                <w:kern w:val="0"/>
                <w:sz w:val="20"/>
                <w:highlight w:val="none"/>
              </w:rPr>
            </w:pPr>
          </w:p>
        </w:tc>
        <w:tc>
          <w:tcPr>
            <w:tcW w:w="934"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单位(元)</w:t>
            </w:r>
          </w:p>
        </w:tc>
        <w:tc>
          <w:tcPr>
            <w:tcW w:w="926"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单位(元)</w:t>
            </w:r>
          </w:p>
        </w:tc>
        <w:tc>
          <w:tcPr>
            <w:tcW w:w="926"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w:t>
            </w:r>
          </w:p>
        </w:tc>
        <w:tc>
          <w:tcPr>
            <w:tcW w:w="926"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单位(元)</w:t>
            </w:r>
          </w:p>
        </w:tc>
        <w:tc>
          <w:tcPr>
            <w:tcW w:w="464" w:type="dxa"/>
            <w:vMerge w:val="continue"/>
            <w:vAlign w:val="center"/>
          </w:tcPr>
          <w:p>
            <w:pPr>
              <w:widowControl/>
              <w:jc w:val="left"/>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76"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1</w:t>
            </w:r>
          </w:p>
        </w:tc>
        <w:tc>
          <w:tcPr>
            <w:tcW w:w="2085" w:type="dxa"/>
            <w:shd w:val="clear" w:color="000000" w:fill="FFFFFF"/>
            <w:vAlign w:val="center"/>
          </w:tcPr>
          <w:p>
            <w:pPr>
              <w:widowControl/>
              <w:jc w:val="center"/>
              <w:rPr>
                <w:rFonts w:ascii="宋体" w:hAnsi="宋体" w:cs="宋体"/>
                <w:b/>
                <w:bCs/>
                <w:kern w:val="0"/>
                <w:sz w:val="20"/>
                <w:highlight w:val="none"/>
              </w:rPr>
            </w:pPr>
          </w:p>
        </w:tc>
        <w:tc>
          <w:tcPr>
            <w:tcW w:w="778" w:type="dxa"/>
            <w:shd w:val="clear" w:color="000000" w:fill="FFFFFF"/>
            <w:vAlign w:val="center"/>
          </w:tcPr>
          <w:p>
            <w:pPr>
              <w:widowControl/>
              <w:snapToGrid w:val="0"/>
              <w:rPr>
                <w:rFonts w:ascii="宋体" w:hAnsi="宋体"/>
                <w:b/>
                <w:bCs/>
                <w:kern w:val="0"/>
                <w:sz w:val="22"/>
                <w:highlight w:val="none"/>
              </w:rPr>
            </w:pPr>
          </w:p>
        </w:tc>
        <w:tc>
          <w:tcPr>
            <w:tcW w:w="505" w:type="dxa"/>
            <w:shd w:val="clear" w:color="000000" w:fill="FFFFFF"/>
            <w:vAlign w:val="center"/>
          </w:tcPr>
          <w:p>
            <w:pPr>
              <w:widowControl/>
              <w:snapToGrid w:val="0"/>
              <w:jc w:val="center"/>
              <w:rPr>
                <w:rFonts w:ascii="宋体" w:hAnsi="宋体" w:cs="宋体"/>
                <w:kern w:val="0"/>
                <w:sz w:val="20"/>
                <w:highlight w:val="none"/>
              </w:rPr>
            </w:pPr>
          </w:p>
        </w:tc>
        <w:tc>
          <w:tcPr>
            <w:tcW w:w="616" w:type="dxa"/>
            <w:shd w:val="clear" w:color="000000" w:fill="FFFFFF"/>
            <w:vAlign w:val="center"/>
          </w:tcPr>
          <w:p>
            <w:pPr>
              <w:widowControl/>
              <w:snapToGrid w:val="0"/>
              <w:jc w:val="center"/>
              <w:rPr>
                <w:rFonts w:ascii="宋体" w:hAnsi="宋体" w:cs="宋体"/>
                <w:b/>
                <w:bCs/>
                <w:kern w:val="0"/>
                <w:sz w:val="20"/>
                <w:highlight w:val="none"/>
              </w:rPr>
            </w:pPr>
          </w:p>
        </w:tc>
        <w:tc>
          <w:tcPr>
            <w:tcW w:w="520" w:type="dxa"/>
            <w:shd w:val="clear" w:color="000000" w:fill="FFFFFF"/>
            <w:vAlign w:val="center"/>
          </w:tcPr>
          <w:p>
            <w:pPr>
              <w:snapToGrid w:val="0"/>
              <w:jc w:val="center"/>
              <w:rPr>
                <w:rFonts w:ascii="宋体" w:hAnsi="宋体"/>
                <w:sz w:val="20"/>
                <w:highlight w:val="none"/>
              </w:rPr>
            </w:pPr>
          </w:p>
        </w:tc>
        <w:tc>
          <w:tcPr>
            <w:tcW w:w="472" w:type="dxa"/>
            <w:shd w:val="clear" w:color="000000" w:fill="FFFFFF"/>
            <w:vAlign w:val="center"/>
          </w:tcPr>
          <w:p>
            <w:pPr>
              <w:widowControl/>
              <w:snapToGrid w:val="0"/>
              <w:rPr>
                <w:rFonts w:ascii="宋体" w:hAnsi="宋体"/>
                <w:b/>
                <w:bCs/>
                <w:kern w:val="0"/>
                <w:sz w:val="22"/>
                <w:highlight w:val="none"/>
              </w:rPr>
            </w:pPr>
          </w:p>
        </w:tc>
        <w:tc>
          <w:tcPr>
            <w:tcW w:w="934" w:type="dxa"/>
            <w:shd w:val="clear" w:color="000000" w:fill="FFFFFF"/>
            <w:vAlign w:val="center"/>
          </w:tcPr>
          <w:p>
            <w:pPr>
              <w:widowControl/>
              <w:jc w:val="center"/>
              <w:rPr>
                <w:rFonts w:ascii="宋体" w:hAnsi="宋体" w:cs="宋体"/>
                <w:b/>
                <w:bCs/>
                <w:kern w:val="0"/>
                <w:sz w:val="20"/>
                <w:highlight w:val="none"/>
              </w:rPr>
            </w:pPr>
          </w:p>
        </w:tc>
        <w:tc>
          <w:tcPr>
            <w:tcW w:w="926" w:type="dxa"/>
            <w:shd w:val="clear" w:color="000000" w:fill="FFFFFF"/>
          </w:tcPr>
          <w:p>
            <w:pPr>
              <w:widowControl/>
              <w:jc w:val="left"/>
              <w:rPr>
                <w:rFonts w:ascii="宋体" w:hAnsi="宋体" w:cs="宋体"/>
                <w:bCs/>
                <w:kern w:val="0"/>
                <w:sz w:val="20"/>
                <w:highlight w:val="none"/>
              </w:rPr>
            </w:pPr>
          </w:p>
        </w:tc>
        <w:tc>
          <w:tcPr>
            <w:tcW w:w="926" w:type="dxa"/>
            <w:shd w:val="clear" w:color="000000" w:fill="FFFFFF"/>
          </w:tcPr>
          <w:p>
            <w:pPr>
              <w:widowControl/>
              <w:jc w:val="left"/>
              <w:rPr>
                <w:rFonts w:ascii="宋体" w:hAnsi="宋体" w:cs="宋体"/>
                <w:bCs/>
                <w:kern w:val="0"/>
                <w:sz w:val="20"/>
                <w:highlight w:val="none"/>
              </w:rPr>
            </w:pPr>
          </w:p>
        </w:tc>
        <w:tc>
          <w:tcPr>
            <w:tcW w:w="926" w:type="dxa"/>
            <w:shd w:val="clear" w:color="000000" w:fill="FFFFFF"/>
            <w:vAlign w:val="center"/>
          </w:tcPr>
          <w:p>
            <w:pPr>
              <w:widowControl/>
              <w:jc w:val="left"/>
              <w:rPr>
                <w:rFonts w:ascii="宋体" w:hAnsi="宋体" w:cs="宋体"/>
                <w:bCs/>
                <w:kern w:val="0"/>
                <w:sz w:val="20"/>
                <w:highlight w:val="none"/>
              </w:rPr>
            </w:pPr>
          </w:p>
        </w:tc>
        <w:tc>
          <w:tcPr>
            <w:tcW w:w="464" w:type="dxa"/>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76"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2</w:t>
            </w:r>
          </w:p>
        </w:tc>
        <w:tc>
          <w:tcPr>
            <w:tcW w:w="2085" w:type="dxa"/>
            <w:shd w:val="clear" w:color="000000" w:fill="FFFFFF"/>
            <w:vAlign w:val="center"/>
          </w:tcPr>
          <w:p>
            <w:pPr>
              <w:widowControl/>
              <w:snapToGrid w:val="0"/>
              <w:rPr>
                <w:rFonts w:ascii="宋体" w:hAnsi="宋体" w:cs="宋体"/>
                <w:kern w:val="0"/>
                <w:sz w:val="22"/>
                <w:highlight w:val="none"/>
              </w:rPr>
            </w:pPr>
          </w:p>
        </w:tc>
        <w:tc>
          <w:tcPr>
            <w:tcW w:w="778" w:type="dxa"/>
            <w:shd w:val="clear" w:color="000000" w:fill="FFFFFF"/>
            <w:vAlign w:val="center"/>
          </w:tcPr>
          <w:p>
            <w:pPr>
              <w:widowControl/>
              <w:snapToGrid w:val="0"/>
              <w:rPr>
                <w:rFonts w:ascii="宋体" w:hAnsi="宋体"/>
                <w:b/>
                <w:bCs/>
                <w:kern w:val="0"/>
                <w:sz w:val="22"/>
                <w:highlight w:val="none"/>
              </w:rPr>
            </w:pPr>
          </w:p>
        </w:tc>
        <w:tc>
          <w:tcPr>
            <w:tcW w:w="505" w:type="dxa"/>
            <w:shd w:val="clear" w:color="000000" w:fill="FFFFFF"/>
            <w:vAlign w:val="center"/>
          </w:tcPr>
          <w:p>
            <w:pPr>
              <w:widowControl/>
              <w:snapToGrid w:val="0"/>
              <w:jc w:val="center"/>
              <w:rPr>
                <w:rFonts w:ascii="宋体" w:hAnsi="宋体" w:cs="宋体"/>
                <w:kern w:val="0"/>
                <w:sz w:val="20"/>
                <w:highlight w:val="none"/>
              </w:rPr>
            </w:pPr>
          </w:p>
        </w:tc>
        <w:tc>
          <w:tcPr>
            <w:tcW w:w="616" w:type="dxa"/>
            <w:shd w:val="clear" w:color="000000" w:fill="FFFFFF"/>
            <w:vAlign w:val="center"/>
          </w:tcPr>
          <w:p>
            <w:pPr>
              <w:widowControl/>
              <w:snapToGrid w:val="0"/>
              <w:jc w:val="center"/>
              <w:rPr>
                <w:rFonts w:ascii="宋体" w:hAnsi="宋体" w:cs="宋体"/>
                <w:b/>
                <w:bCs/>
                <w:kern w:val="0"/>
                <w:sz w:val="20"/>
                <w:highlight w:val="none"/>
              </w:rPr>
            </w:pPr>
          </w:p>
        </w:tc>
        <w:tc>
          <w:tcPr>
            <w:tcW w:w="520" w:type="dxa"/>
            <w:shd w:val="clear" w:color="000000" w:fill="FFFFFF"/>
            <w:vAlign w:val="center"/>
          </w:tcPr>
          <w:p>
            <w:pPr>
              <w:snapToGrid w:val="0"/>
              <w:jc w:val="center"/>
              <w:rPr>
                <w:rFonts w:ascii="宋体" w:hAnsi="宋体"/>
                <w:sz w:val="20"/>
                <w:highlight w:val="none"/>
              </w:rPr>
            </w:pPr>
          </w:p>
        </w:tc>
        <w:tc>
          <w:tcPr>
            <w:tcW w:w="472" w:type="dxa"/>
            <w:shd w:val="clear" w:color="000000" w:fill="FFFFFF"/>
            <w:vAlign w:val="center"/>
          </w:tcPr>
          <w:p>
            <w:pPr>
              <w:widowControl/>
              <w:snapToGrid w:val="0"/>
              <w:rPr>
                <w:rFonts w:ascii="宋体" w:hAnsi="宋体"/>
                <w:b/>
                <w:bCs/>
                <w:kern w:val="0"/>
                <w:sz w:val="22"/>
                <w:highlight w:val="none"/>
              </w:rPr>
            </w:pPr>
          </w:p>
        </w:tc>
        <w:tc>
          <w:tcPr>
            <w:tcW w:w="934" w:type="dxa"/>
            <w:shd w:val="clear" w:color="000000" w:fill="FFFFFF"/>
            <w:vAlign w:val="center"/>
          </w:tcPr>
          <w:p>
            <w:pPr>
              <w:widowControl/>
              <w:jc w:val="center"/>
              <w:rPr>
                <w:rFonts w:ascii="宋体" w:hAnsi="宋体" w:cs="宋体"/>
                <w:b/>
                <w:bCs/>
                <w:kern w:val="0"/>
                <w:sz w:val="20"/>
                <w:highlight w:val="none"/>
              </w:rPr>
            </w:pPr>
          </w:p>
        </w:tc>
        <w:tc>
          <w:tcPr>
            <w:tcW w:w="926" w:type="dxa"/>
            <w:shd w:val="clear" w:color="000000" w:fill="FFFFFF"/>
          </w:tcPr>
          <w:p>
            <w:pPr>
              <w:widowControl/>
              <w:jc w:val="left"/>
              <w:rPr>
                <w:rFonts w:ascii="宋体" w:hAnsi="宋体" w:cs="宋体"/>
                <w:bCs/>
                <w:kern w:val="0"/>
                <w:sz w:val="20"/>
                <w:highlight w:val="none"/>
              </w:rPr>
            </w:pPr>
          </w:p>
        </w:tc>
        <w:tc>
          <w:tcPr>
            <w:tcW w:w="926" w:type="dxa"/>
            <w:shd w:val="clear" w:color="000000" w:fill="FFFFFF"/>
          </w:tcPr>
          <w:p>
            <w:pPr>
              <w:widowControl/>
              <w:jc w:val="left"/>
              <w:rPr>
                <w:rFonts w:ascii="宋体" w:hAnsi="宋体" w:cs="宋体"/>
                <w:bCs/>
                <w:kern w:val="0"/>
                <w:sz w:val="20"/>
                <w:highlight w:val="none"/>
              </w:rPr>
            </w:pPr>
          </w:p>
        </w:tc>
        <w:tc>
          <w:tcPr>
            <w:tcW w:w="926" w:type="dxa"/>
            <w:shd w:val="clear" w:color="000000" w:fill="FFFFFF"/>
            <w:vAlign w:val="center"/>
          </w:tcPr>
          <w:p>
            <w:pPr>
              <w:widowControl/>
              <w:jc w:val="left"/>
              <w:rPr>
                <w:rFonts w:ascii="宋体" w:hAnsi="宋体" w:cs="宋体"/>
                <w:bCs/>
                <w:kern w:val="0"/>
                <w:sz w:val="20"/>
                <w:highlight w:val="none"/>
              </w:rPr>
            </w:pPr>
          </w:p>
        </w:tc>
        <w:tc>
          <w:tcPr>
            <w:tcW w:w="464" w:type="dxa"/>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76"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3</w:t>
            </w:r>
          </w:p>
        </w:tc>
        <w:tc>
          <w:tcPr>
            <w:tcW w:w="2085" w:type="dxa"/>
            <w:shd w:val="clear" w:color="000000" w:fill="FFFFFF"/>
            <w:vAlign w:val="center"/>
          </w:tcPr>
          <w:p>
            <w:pPr>
              <w:widowControl/>
              <w:snapToGrid w:val="0"/>
              <w:rPr>
                <w:rFonts w:ascii="宋体" w:hAnsi="宋体" w:cs="宋体"/>
                <w:kern w:val="0"/>
                <w:sz w:val="22"/>
                <w:highlight w:val="none"/>
              </w:rPr>
            </w:pPr>
          </w:p>
        </w:tc>
        <w:tc>
          <w:tcPr>
            <w:tcW w:w="778" w:type="dxa"/>
            <w:shd w:val="clear" w:color="000000" w:fill="FFFFFF"/>
            <w:vAlign w:val="center"/>
          </w:tcPr>
          <w:p>
            <w:pPr>
              <w:widowControl/>
              <w:snapToGrid w:val="0"/>
              <w:rPr>
                <w:rFonts w:ascii="宋体" w:hAnsi="宋体"/>
                <w:b/>
                <w:bCs/>
                <w:kern w:val="0"/>
                <w:sz w:val="22"/>
                <w:highlight w:val="none"/>
              </w:rPr>
            </w:pPr>
          </w:p>
        </w:tc>
        <w:tc>
          <w:tcPr>
            <w:tcW w:w="505" w:type="dxa"/>
            <w:shd w:val="clear" w:color="000000" w:fill="FFFFFF"/>
            <w:vAlign w:val="center"/>
          </w:tcPr>
          <w:p>
            <w:pPr>
              <w:widowControl/>
              <w:snapToGrid w:val="0"/>
              <w:jc w:val="center"/>
              <w:rPr>
                <w:rFonts w:ascii="宋体" w:hAnsi="宋体" w:cs="宋体"/>
                <w:kern w:val="0"/>
                <w:sz w:val="20"/>
                <w:highlight w:val="none"/>
              </w:rPr>
            </w:pPr>
          </w:p>
        </w:tc>
        <w:tc>
          <w:tcPr>
            <w:tcW w:w="616" w:type="dxa"/>
            <w:shd w:val="clear" w:color="000000" w:fill="FFFFFF"/>
            <w:vAlign w:val="center"/>
          </w:tcPr>
          <w:p>
            <w:pPr>
              <w:widowControl/>
              <w:snapToGrid w:val="0"/>
              <w:jc w:val="center"/>
              <w:rPr>
                <w:rFonts w:ascii="宋体" w:hAnsi="宋体" w:cs="宋体"/>
                <w:b/>
                <w:bCs/>
                <w:kern w:val="0"/>
                <w:sz w:val="20"/>
                <w:highlight w:val="none"/>
              </w:rPr>
            </w:pPr>
          </w:p>
        </w:tc>
        <w:tc>
          <w:tcPr>
            <w:tcW w:w="520" w:type="dxa"/>
            <w:shd w:val="clear" w:color="000000" w:fill="FFFFFF"/>
            <w:vAlign w:val="center"/>
          </w:tcPr>
          <w:p>
            <w:pPr>
              <w:snapToGrid w:val="0"/>
              <w:jc w:val="center"/>
              <w:rPr>
                <w:rFonts w:ascii="宋体" w:hAnsi="宋体"/>
                <w:sz w:val="20"/>
                <w:highlight w:val="none"/>
              </w:rPr>
            </w:pPr>
          </w:p>
        </w:tc>
        <w:tc>
          <w:tcPr>
            <w:tcW w:w="472" w:type="dxa"/>
            <w:shd w:val="clear" w:color="000000" w:fill="FFFFFF"/>
            <w:vAlign w:val="center"/>
          </w:tcPr>
          <w:p>
            <w:pPr>
              <w:widowControl/>
              <w:snapToGrid w:val="0"/>
              <w:rPr>
                <w:rFonts w:ascii="宋体" w:hAnsi="宋体"/>
                <w:b/>
                <w:bCs/>
                <w:kern w:val="0"/>
                <w:sz w:val="22"/>
                <w:highlight w:val="none"/>
              </w:rPr>
            </w:pPr>
          </w:p>
        </w:tc>
        <w:tc>
          <w:tcPr>
            <w:tcW w:w="934" w:type="dxa"/>
            <w:shd w:val="clear" w:color="000000" w:fill="FFFFFF"/>
            <w:vAlign w:val="center"/>
          </w:tcPr>
          <w:p>
            <w:pPr>
              <w:widowControl/>
              <w:jc w:val="center"/>
              <w:rPr>
                <w:rFonts w:ascii="宋体" w:hAnsi="宋体" w:cs="宋体"/>
                <w:b/>
                <w:bCs/>
                <w:kern w:val="0"/>
                <w:sz w:val="20"/>
                <w:highlight w:val="none"/>
              </w:rPr>
            </w:pPr>
          </w:p>
        </w:tc>
        <w:tc>
          <w:tcPr>
            <w:tcW w:w="926" w:type="dxa"/>
            <w:shd w:val="clear" w:color="000000" w:fill="FFFFFF"/>
          </w:tcPr>
          <w:p>
            <w:pPr>
              <w:widowControl/>
              <w:jc w:val="left"/>
              <w:rPr>
                <w:rFonts w:ascii="宋体" w:hAnsi="宋体" w:cs="宋体"/>
                <w:bCs/>
                <w:kern w:val="0"/>
                <w:sz w:val="20"/>
                <w:highlight w:val="none"/>
              </w:rPr>
            </w:pPr>
          </w:p>
        </w:tc>
        <w:tc>
          <w:tcPr>
            <w:tcW w:w="926" w:type="dxa"/>
            <w:shd w:val="clear" w:color="000000" w:fill="FFFFFF"/>
          </w:tcPr>
          <w:p>
            <w:pPr>
              <w:widowControl/>
              <w:jc w:val="left"/>
              <w:rPr>
                <w:rFonts w:ascii="宋体" w:hAnsi="宋体" w:cs="宋体"/>
                <w:bCs/>
                <w:kern w:val="0"/>
                <w:sz w:val="20"/>
                <w:highlight w:val="none"/>
              </w:rPr>
            </w:pPr>
          </w:p>
        </w:tc>
        <w:tc>
          <w:tcPr>
            <w:tcW w:w="926" w:type="dxa"/>
            <w:shd w:val="clear" w:color="000000" w:fill="FFFFFF"/>
            <w:vAlign w:val="center"/>
          </w:tcPr>
          <w:p>
            <w:pPr>
              <w:widowControl/>
              <w:jc w:val="left"/>
              <w:rPr>
                <w:rFonts w:ascii="宋体" w:hAnsi="宋体" w:cs="宋体"/>
                <w:bCs/>
                <w:kern w:val="0"/>
                <w:sz w:val="20"/>
                <w:highlight w:val="none"/>
              </w:rPr>
            </w:pPr>
          </w:p>
        </w:tc>
        <w:tc>
          <w:tcPr>
            <w:tcW w:w="464" w:type="dxa"/>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76" w:type="dxa"/>
            <w:shd w:val="clear" w:color="000000" w:fill="FFFFFF"/>
            <w:vAlign w:val="center"/>
          </w:tcPr>
          <w:p>
            <w:pPr>
              <w:widowControl/>
              <w:jc w:val="left"/>
              <w:rPr>
                <w:rFonts w:ascii="宋体" w:hAnsi="宋体" w:cs="宋体"/>
                <w:b/>
                <w:bCs/>
                <w:kern w:val="0"/>
                <w:sz w:val="20"/>
                <w:highlight w:val="none"/>
              </w:rPr>
            </w:pPr>
            <w:r>
              <w:rPr>
                <w:rFonts w:hint="eastAsia" w:ascii="宋体" w:hAnsi="宋体" w:cs="宋体"/>
                <w:b/>
                <w:bCs/>
                <w:kern w:val="0"/>
                <w:sz w:val="20"/>
                <w:highlight w:val="none"/>
              </w:rPr>
              <w:t>…</w:t>
            </w:r>
          </w:p>
        </w:tc>
        <w:tc>
          <w:tcPr>
            <w:tcW w:w="2085" w:type="dxa"/>
            <w:shd w:val="clear" w:color="000000" w:fill="FFFFFF"/>
            <w:vAlign w:val="center"/>
          </w:tcPr>
          <w:p>
            <w:pPr>
              <w:widowControl/>
              <w:snapToGrid w:val="0"/>
              <w:rPr>
                <w:rFonts w:ascii="宋体" w:hAnsi="宋体" w:cs="宋体"/>
                <w:kern w:val="0"/>
                <w:sz w:val="22"/>
                <w:highlight w:val="none"/>
              </w:rPr>
            </w:pPr>
          </w:p>
        </w:tc>
        <w:tc>
          <w:tcPr>
            <w:tcW w:w="778" w:type="dxa"/>
            <w:shd w:val="clear" w:color="000000" w:fill="FFFFFF"/>
            <w:vAlign w:val="center"/>
          </w:tcPr>
          <w:p>
            <w:pPr>
              <w:widowControl/>
              <w:snapToGrid w:val="0"/>
              <w:rPr>
                <w:rFonts w:ascii="宋体" w:hAnsi="宋体"/>
                <w:b/>
                <w:bCs/>
                <w:kern w:val="0"/>
                <w:sz w:val="22"/>
                <w:highlight w:val="none"/>
              </w:rPr>
            </w:pPr>
          </w:p>
        </w:tc>
        <w:tc>
          <w:tcPr>
            <w:tcW w:w="505" w:type="dxa"/>
            <w:shd w:val="clear" w:color="000000" w:fill="FFFFFF"/>
            <w:vAlign w:val="center"/>
          </w:tcPr>
          <w:p>
            <w:pPr>
              <w:widowControl/>
              <w:snapToGrid w:val="0"/>
              <w:jc w:val="center"/>
              <w:rPr>
                <w:rFonts w:ascii="宋体" w:hAnsi="宋体" w:cs="宋体"/>
                <w:kern w:val="0"/>
                <w:sz w:val="20"/>
                <w:highlight w:val="none"/>
              </w:rPr>
            </w:pPr>
          </w:p>
        </w:tc>
        <w:tc>
          <w:tcPr>
            <w:tcW w:w="616" w:type="dxa"/>
            <w:shd w:val="clear" w:color="000000" w:fill="FFFFFF"/>
            <w:vAlign w:val="center"/>
          </w:tcPr>
          <w:p>
            <w:pPr>
              <w:widowControl/>
              <w:snapToGrid w:val="0"/>
              <w:jc w:val="center"/>
              <w:rPr>
                <w:rFonts w:ascii="宋体" w:hAnsi="宋体" w:cs="宋体"/>
                <w:b/>
                <w:bCs/>
                <w:kern w:val="0"/>
                <w:sz w:val="20"/>
                <w:highlight w:val="none"/>
              </w:rPr>
            </w:pPr>
          </w:p>
        </w:tc>
        <w:tc>
          <w:tcPr>
            <w:tcW w:w="520" w:type="dxa"/>
            <w:shd w:val="clear" w:color="000000" w:fill="FFFFFF"/>
            <w:vAlign w:val="center"/>
          </w:tcPr>
          <w:p>
            <w:pPr>
              <w:snapToGrid w:val="0"/>
              <w:jc w:val="center"/>
              <w:rPr>
                <w:rFonts w:ascii="宋体" w:hAnsi="宋体"/>
                <w:sz w:val="20"/>
                <w:highlight w:val="none"/>
              </w:rPr>
            </w:pPr>
          </w:p>
        </w:tc>
        <w:tc>
          <w:tcPr>
            <w:tcW w:w="472" w:type="dxa"/>
            <w:shd w:val="clear" w:color="000000" w:fill="FFFFFF"/>
            <w:vAlign w:val="center"/>
          </w:tcPr>
          <w:p>
            <w:pPr>
              <w:widowControl/>
              <w:snapToGrid w:val="0"/>
              <w:rPr>
                <w:rFonts w:ascii="宋体" w:hAnsi="宋体"/>
                <w:b/>
                <w:bCs/>
                <w:kern w:val="0"/>
                <w:sz w:val="22"/>
                <w:highlight w:val="none"/>
              </w:rPr>
            </w:pPr>
          </w:p>
        </w:tc>
        <w:tc>
          <w:tcPr>
            <w:tcW w:w="934" w:type="dxa"/>
            <w:shd w:val="clear" w:color="000000" w:fill="FFFFFF"/>
            <w:vAlign w:val="center"/>
          </w:tcPr>
          <w:p>
            <w:pPr>
              <w:widowControl/>
              <w:jc w:val="center"/>
              <w:rPr>
                <w:rFonts w:ascii="宋体" w:hAnsi="宋体" w:cs="宋体"/>
                <w:b/>
                <w:bCs/>
                <w:kern w:val="0"/>
                <w:sz w:val="20"/>
                <w:highlight w:val="none"/>
              </w:rPr>
            </w:pPr>
          </w:p>
        </w:tc>
        <w:tc>
          <w:tcPr>
            <w:tcW w:w="926" w:type="dxa"/>
            <w:shd w:val="clear" w:color="000000" w:fill="FFFFFF"/>
          </w:tcPr>
          <w:p>
            <w:pPr>
              <w:widowControl/>
              <w:jc w:val="left"/>
              <w:rPr>
                <w:rFonts w:ascii="宋体" w:hAnsi="宋体" w:cs="宋体"/>
                <w:bCs/>
                <w:kern w:val="0"/>
                <w:sz w:val="20"/>
                <w:highlight w:val="none"/>
              </w:rPr>
            </w:pPr>
          </w:p>
        </w:tc>
        <w:tc>
          <w:tcPr>
            <w:tcW w:w="926" w:type="dxa"/>
            <w:shd w:val="clear" w:color="000000" w:fill="FFFFFF"/>
          </w:tcPr>
          <w:p>
            <w:pPr>
              <w:widowControl/>
              <w:jc w:val="left"/>
              <w:rPr>
                <w:rFonts w:ascii="宋体" w:hAnsi="宋体" w:cs="宋体"/>
                <w:bCs/>
                <w:kern w:val="0"/>
                <w:sz w:val="20"/>
                <w:highlight w:val="none"/>
              </w:rPr>
            </w:pPr>
          </w:p>
        </w:tc>
        <w:tc>
          <w:tcPr>
            <w:tcW w:w="926" w:type="dxa"/>
            <w:shd w:val="clear" w:color="000000" w:fill="FFFFFF"/>
            <w:vAlign w:val="center"/>
          </w:tcPr>
          <w:p>
            <w:pPr>
              <w:widowControl/>
              <w:jc w:val="left"/>
              <w:rPr>
                <w:rFonts w:ascii="宋体" w:hAnsi="宋体" w:cs="宋体"/>
                <w:bCs/>
                <w:kern w:val="0"/>
                <w:sz w:val="20"/>
                <w:highlight w:val="none"/>
              </w:rPr>
            </w:pPr>
          </w:p>
        </w:tc>
        <w:tc>
          <w:tcPr>
            <w:tcW w:w="464" w:type="dxa"/>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76" w:type="dxa"/>
            <w:shd w:val="clear" w:color="000000" w:fill="FFFFFF"/>
            <w:vAlign w:val="center"/>
          </w:tcPr>
          <w:p>
            <w:pPr>
              <w:widowControl/>
              <w:jc w:val="center"/>
              <w:rPr>
                <w:rFonts w:ascii="宋体" w:hAnsi="宋体" w:cs="宋体"/>
                <w:b/>
                <w:kern w:val="0"/>
                <w:sz w:val="20"/>
                <w:highlight w:val="none"/>
              </w:rPr>
            </w:pPr>
          </w:p>
        </w:tc>
        <w:tc>
          <w:tcPr>
            <w:tcW w:w="2085" w:type="dxa"/>
            <w:shd w:val="clear" w:color="000000" w:fill="FFFFFF"/>
            <w:vAlign w:val="center"/>
          </w:tcPr>
          <w:p>
            <w:pPr>
              <w:widowControl/>
              <w:jc w:val="center"/>
              <w:rPr>
                <w:rFonts w:ascii="宋体" w:hAnsi="宋体"/>
                <w:b/>
                <w:bCs/>
                <w:kern w:val="0"/>
                <w:szCs w:val="21"/>
                <w:highlight w:val="none"/>
              </w:rPr>
            </w:pPr>
          </w:p>
        </w:tc>
        <w:tc>
          <w:tcPr>
            <w:tcW w:w="778" w:type="dxa"/>
            <w:shd w:val="clear" w:color="000000" w:fill="FFFFFF"/>
            <w:vAlign w:val="center"/>
          </w:tcPr>
          <w:p>
            <w:pPr>
              <w:widowControl/>
              <w:snapToGrid w:val="0"/>
              <w:rPr>
                <w:rFonts w:ascii="宋体" w:hAnsi="宋体"/>
                <w:b/>
                <w:bCs/>
                <w:kern w:val="0"/>
                <w:sz w:val="22"/>
                <w:highlight w:val="none"/>
              </w:rPr>
            </w:pPr>
          </w:p>
        </w:tc>
        <w:tc>
          <w:tcPr>
            <w:tcW w:w="505" w:type="dxa"/>
            <w:shd w:val="clear" w:color="000000" w:fill="FFFFFF"/>
            <w:vAlign w:val="center"/>
          </w:tcPr>
          <w:p>
            <w:pPr>
              <w:widowControl/>
              <w:snapToGrid w:val="0"/>
              <w:jc w:val="center"/>
              <w:rPr>
                <w:rFonts w:ascii="宋体" w:hAnsi="宋体" w:cs="宋体"/>
                <w:kern w:val="0"/>
                <w:sz w:val="20"/>
                <w:highlight w:val="none"/>
              </w:rPr>
            </w:pPr>
          </w:p>
        </w:tc>
        <w:tc>
          <w:tcPr>
            <w:tcW w:w="616" w:type="dxa"/>
            <w:shd w:val="clear" w:color="000000" w:fill="FFFFFF"/>
            <w:vAlign w:val="center"/>
          </w:tcPr>
          <w:p>
            <w:pPr>
              <w:widowControl/>
              <w:snapToGrid w:val="0"/>
              <w:jc w:val="center"/>
              <w:rPr>
                <w:rFonts w:ascii="宋体" w:hAnsi="宋体" w:cs="宋体"/>
                <w:b/>
                <w:bCs/>
                <w:kern w:val="0"/>
                <w:sz w:val="20"/>
                <w:highlight w:val="none"/>
              </w:rPr>
            </w:pPr>
          </w:p>
        </w:tc>
        <w:tc>
          <w:tcPr>
            <w:tcW w:w="520" w:type="dxa"/>
            <w:shd w:val="clear" w:color="000000" w:fill="FFFFFF"/>
            <w:vAlign w:val="center"/>
          </w:tcPr>
          <w:p>
            <w:pPr>
              <w:snapToGrid w:val="0"/>
              <w:jc w:val="center"/>
              <w:rPr>
                <w:rFonts w:ascii="宋体" w:hAnsi="宋体"/>
                <w:sz w:val="20"/>
                <w:highlight w:val="none"/>
              </w:rPr>
            </w:pPr>
          </w:p>
        </w:tc>
        <w:tc>
          <w:tcPr>
            <w:tcW w:w="472" w:type="dxa"/>
            <w:shd w:val="clear" w:color="000000" w:fill="FFFFFF"/>
            <w:vAlign w:val="center"/>
          </w:tcPr>
          <w:p>
            <w:pPr>
              <w:widowControl/>
              <w:snapToGrid w:val="0"/>
              <w:rPr>
                <w:rFonts w:ascii="宋体" w:hAnsi="宋体"/>
                <w:b/>
                <w:bCs/>
                <w:kern w:val="0"/>
                <w:sz w:val="22"/>
                <w:highlight w:val="none"/>
              </w:rPr>
            </w:pPr>
          </w:p>
        </w:tc>
        <w:tc>
          <w:tcPr>
            <w:tcW w:w="934" w:type="dxa"/>
            <w:shd w:val="clear" w:color="000000" w:fill="FFFFFF"/>
            <w:vAlign w:val="center"/>
          </w:tcPr>
          <w:p>
            <w:pPr>
              <w:widowControl/>
              <w:jc w:val="center"/>
              <w:rPr>
                <w:rFonts w:ascii="宋体" w:hAnsi="宋体" w:cs="宋体"/>
                <w:b/>
                <w:bCs/>
                <w:kern w:val="0"/>
                <w:sz w:val="20"/>
                <w:highlight w:val="none"/>
              </w:rPr>
            </w:pPr>
          </w:p>
        </w:tc>
        <w:tc>
          <w:tcPr>
            <w:tcW w:w="926" w:type="dxa"/>
            <w:shd w:val="clear" w:color="000000" w:fill="FFFFFF"/>
          </w:tcPr>
          <w:p>
            <w:pPr>
              <w:widowControl/>
              <w:jc w:val="left"/>
              <w:rPr>
                <w:rFonts w:ascii="宋体" w:hAnsi="宋体" w:cs="宋体"/>
                <w:bCs/>
                <w:kern w:val="0"/>
                <w:sz w:val="20"/>
                <w:highlight w:val="none"/>
              </w:rPr>
            </w:pPr>
          </w:p>
        </w:tc>
        <w:tc>
          <w:tcPr>
            <w:tcW w:w="926" w:type="dxa"/>
            <w:shd w:val="clear" w:color="000000" w:fill="FFFFFF"/>
          </w:tcPr>
          <w:p>
            <w:pPr>
              <w:widowControl/>
              <w:jc w:val="left"/>
              <w:rPr>
                <w:rFonts w:ascii="宋体" w:hAnsi="宋体" w:cs="宋体"/>
                <w:bCs/>
                <w:kern w:val="0"/>
                <w:sz w:val="20"/>
                <w:highlight w:val="none"/>
              </w:rPr>
            </w:pPr>
          </w:p>
        </w:tc>
        <w:tc>
          <w:tcPr>
            <w:tcW w:w="926" w:type="dxa"/>
            <w:shd w:val="clear" w:color="000000" w:fill="FFFFFF"/>
            <w:vAlign w:val="center"/>
          </w:tcPr>
          <w:p>
            <w:pPr>
              <w:widowControl/>
              <w:jc w:val="left"/>
              <w:rPr>
                <w:rFonts w:ascii="宋体" w:hAnsi="宋体" w:cs="宋体"/>
                <w:bCs/>
                <w:kern w:val="0"/>
                <w:sz w:val="20"/>
                <w:highlight w:val="none"/>
              </w:rPr>
            </w:pPr>
          </w:p>
        </w:tc>
        <w:tc>
          <w:tcPr>
            <w:tcW w:w="464" w:type="dxa"/>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76" w:type="dxa"/>
            <w:shd w:val="clear" w:color="000000" w:fill="FFFFFF"/>
            <w:vAlign w:val="center"/>
          </w:tcPr>
          <w:p>
            <w:pPr>
              <w:widowControl/>
              <w:jc w:val="left"/>
              <w:rPr>
                <w:rFonts w:ascii="宋体" w:hAnsi="宋体" w:cs="宋体"/>
                <w:b/>
                <w:bCs/>
                <w:kern w:val="0"/>
                <w:sz w:val="20"/>
                <w:highlight w:val="none"/>
              </w:rPr>
            </w:pPr>
          </w:p>
        </w:tc>
        <w:tc>
          <w:tcPr>
            <w:tcW w:w="2085" w:type="dxa"/>
            <w:shd w:val="clear" w:color="000000" w:fill="FFFFFF"/>
            <w:vAlign w:val="center"/>
          </w:tcPr>
          <w:p>
            <w:pPr>
              <w:widowControl/>
              <w:snapToGrid w:val="0"/>
              <w:rPr>
                <w:rFonts w:ascii="宋体" w:hAnsi="宋体" w:cs="宋体"/>
                <w:kern w:val="0"/>
                <w:sz w:val="22"/>
                <w:highlight w:val="none"/>
              </w:rPr>
            </w:pPr>
          </w:p>
        </w:tc>
        <w:tc>
          <w:tcPr>
            <w:tcW w:w="778" w:type="dxa"/>
            <w:shd w:val="clear" w:color="000000" w:fill="FFFFFF"/>
            <w:vAlign w:val="center"/>
          </w:tcPr>
          <w:p>
            <w:pPr>
              <w:widowControl/>
              <w:snapToGrid w:val="0"/>
              <w:rPr>
                <w:rFonts w:ascii="宋体" w:hAnsi="宋体"/>
                <w:b/>
                <w:bCs/>
                <w:kern w:val="0"/>
                <w:sz w:val="22"/>
                <w:highlight w:val="none"/>
              </w:rPr>
            </w:pPr>
          </w:p>
        </w:tc>
        <w:tc>
          <w:tcPr>
            <w:tcW w:w="505" w:type="dxa"/>
            <w:shd w:val="clear" w:color="000000" w:fill="FFFFFF"/>
            <w:vAlign w:val="center"/>
          </w:tcPr>
          <w:p>
            <w:pPr>
              <w:widowControl/>
              <w:snapToGrid w:val="0"/>
              <w:jc w:val="center"/>
              <w:rPr>
                <w:rFonts w:ascii="宋体" w:hAnsi="宋体" w:cs="宋体"/>
                <w:kern w:val="0"/>
                <w:sz w:val="20"/>
                <w:highlight w:val="none"/>
              </w:rPr>
            </w:pPr>
          </w:p>
        </w:tc>
        <w:tc>
          <w:tcPr>
            <w:tcW w:w="616" w:type="dxa"/>
            <w:shd w:val="clear" w:color="000000" w:fill="FFFFFF"/>
            <w:vAlign w:val="center"/>
          </w:tcPr>
          <w:p>
            <w:pPr>
              <w:widowControl/>
              <w:snapToGrid w:val="0"/>
              <w:jc w:val="center"/>
              <w:rPr>
                <w:rFonts w:ascii="宋体" w:hAnsi="宋体" w:cs="宋体"/>
                <w:b/>
                <w:bCs/>
                <w:kern w:val="0"/>
                <w:sz w:val="20"/>
                <w:highlight w:val="none"/>
              </w:rPr>
            </w:pPr>
          </w:p>
        </w:tc>
        <w:tc>
          <w:tcPr>
            <w:tcW w:w="520" w:type="dxa"/>
            <w:shd w:val="clear" w:color="000000" w:fill="FFFFFF"/>
            <w:vAlign w:val="center"/>
          </w:tcPr>
          <w:p>
            <w:pPr>
              <w:snapToGrid w:val="0"/>
              <w:jc w:val="center"/>
              <w:rPr>
                <w:rFonts w:ascii="宋体" w:hAnsi="宋体"/>
                <w:sz w:val="20"/>
                <w:highlight w:val="none"/>
              </w:rPr>
            </w:pPr>
          </w:p>
        </w:tc>
        <w:tc>
          <w:tcPr>
            <w:tcW w:w="472" w:type="dxa"/>
            <w:shd w:val="clear" w:color="000000" w:fill="FFFFFF"/>
            <w:vAlign w:val="center"/>
          </w:tcPr>
          <w:p>
            <w:pPr>
              <w:widowControl/>
              <w:snapToGrid w:val="0"/>
              <w:rPr>
                <w:rFonts w:ascii="宋体" w:hAnsi="宋体"/>
                <w:b/>
                <w:bCs/>
                <w:kern w:val="0"/>
                <w:sz w:val="22"/>
                <w:highlight w:val="none"/>
              </w:rPr>
            </w:pPr>
          </w:p>
        </w:tc>
        <w:tc>
          <w:tcPr>
            <w:tcW w:w="934" w:type="dxa"/>
            <w:shd w:val="clear" w:color="000000" w:fill="FFFFFF"/>
            <w:vAlign w:val="center"/>
          </w:tcPr>
          <w:p>
            <w:pPr>
              <w:widowControl/>
              <w:jc w:val="center"/>
              <w:rPr>
                <w:rFonts w:ascii="宋体" w:hAnsi="宋体" w:cs="宋体"/>
                <w:b/>
                <w:bCs/>
                <w:kern w:val="0"/>
                <w:sz w:val="20"/>
                <w:highlight w:val="none"/>
              </w:rPr>
            </w:pPr>
          </w:p>
        </w:tc>
        <w:tc>
          <w:tcPr>
            <w:tcW w:w="926" w:type="dxa"/>
            <w:shd w:val="clear" w:color="000000" w:fill="FFFFFF"/>
          </w:tcPr>
          <w:p>
            <w:pPr>
              <w:widowControl/>
              <w:jc w:val="left"/>
              <w:rPr>
                <w:rFonts w:ascii="宋体" w:hAnsi="宋体" w:cs="宋体"/>
                <w:bCs/>
                <w:kern w:val="0"/>
                <w:sz w:val="20"/>
                <w:highlight w:val="none"/>
              </w:rPr>
            </w:pPr>
          </w:p>
        </w:tc>
        <w:tc>
          <w:tcPr>
            <w:tcW w:w="926" w:type="dxa"/>
            <w:shd w:val="clear" w:color="000000" w:fill="FFFFFF"/>
          </w:tcPr>
          <w:p>
            <w:pPr>
              <w:widowControl/>
              <w:jc w:val="left"/>
              <w:rPr>
                <w:rFonts w:ascii="宋体" w:hAnsi="宋体" w:cs="宋体"/>
                <w:bCs/>
                <w:kern w:val="0"/>
                <w:sz w:val="20"/>
                <w:highlight w:val="none"/>
              </w:rPr>
            </w:pPr>
          </w:p>
        </w:tc>
        <w:tc>
          <w:tcPr>
            <w:tcW w:w="926" w:type="dxa"/>
            <w:shd w:val="clear" w:color="000000" w:fill="FFFFFF"/>
            <w:vAlign w:val="center"/>
          </w:tcPr>
          <w:p>
            <w:pPr>
              <w:widowControl/>
              <w:jc w:val="left"/>
              <w:rPr>
                <w:rFonts w:ascii="宋体" w:hAnsi="宋体" w:cs="宋体"/>
                <w:bCs/>
                <w:kern w:val="0"/>
                <w:sz w:val="20"/>
                <w:highlight w:val="none"/>
              </w:rPr>
            </w:pPr>
          </w:p>
        </w:tc>
        <w:tc>
          <w:tcPr>
            <w:tcW w:w="464" w:type="dxa"/>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76" w:type="dxa"/>
            <w:shd w:val="clear" w:color="000000" w:fill="FFFFFF"/>
            <w:vAlign w:val="center"/>
          </w:tcPr>
          <w:p>
            <w:pPr>
              <w:widowControl/>
              <w:jc w:val="left"/>
              <w:rPr>
                <w:rFonts w:ascii="宋体" w:hAnsi="宋体" w:cs="宋体"/>
                <w:b/>
                <w:bCs/>
                <w:kern w:val="0"/>
                <w:sz w:val="20"/>
                <w:highlight w:val="none"/>
              </w:rPr>
            </w:pPr>
          </w:p>
        </w:tc>
        <w:tc>
          <w:tcPr>
            <w:tcW w:w="2085" w:type="dxa"/>
            <w:shd w:val="clear" w:color="000000" w:fill="FFFFFF"/>
            <w:vAlign w:val="center"/>
          </w:tcPr>
          <w:p>
            <w:pPr>
              <w:widowControl/>
              <w:snapToGrid w:val="0"/>
              <w:rPr>
                <w:rFonts w:ascii="宋体" w:hAnsi="宋体" w:cs="宋体"/>
                <w:kern w:val="0"/>
                <w:sz w:val="22"/>
                <w:highlight w:val="none"/>
              </w:rPr>
            </w:pPr>
          </w:p>
        </w:tc>
        <w:tc>
          <w:tcPr>
            <w:tcW w:w="778" w:type="dxa"/>
            <w:shd w:val="clear" w:color="000000" w:fill="FFFFFF"/>
            <w:vAlign w:val="center"/>
          </w:tcPr>
          <w:p>
            <w:pPr>
              <w:widowControl/>
              <w:snapToGrid w:val="0"/>
              <w:rPr>
                <w:rFonts w:ascii="宋体" w:hAnsi="宋体"/>
                <w:b/>
                <w:bCs/>
                <w:kern w:val="0"/>
                <w:sz w:val="22"/>
                <w:highlight w:val="none"/>
              </w:rPr>
            </w:pPr>
          </w:p>
        </w:tc>
        <w:tc>
          <w:tcPr>
            <w:tcW w:w="505" w:type="dxa"/>
            <w:shd w:val="clear" w:color="000000" w:fill="FFFFFF"/>
            <w:vAlign w:val="center"/>
          </w:tcPr>
          <w:p>
            <w:pPr>
              <w:widowControl/>
              <w:snapToGrid w:val="0"/>
              <w:jc w:val="center"/>
              <w:rPr>
                <w:rFonts w:ascii="宋体" w:hAnsi="宋体" w:cs="宋体"/>
                <w:kern w:val="0"/>
                <w:sz w:val="20"/>
                <w:highlight w:val="none"/>
              </w:rPr>
            </w:pPr>
          </w:p>
        </w:tc>
        <w:tc>
          <w:tcPr>
            <w:tcW w:w="616" w:type="dxa"/>
            <w:shd w:val="clear" w:color="000000" w:fill="FFFFFF"/>
            <w:vAlign w:val="center"/>
          </w:tcPr>
          <w:p>
            <w:pPr>
              <w:widowControl/>
              <w:snapToGrid w:val="0"/>
              <w:jc w:val="center"/>
              <w:rPr>
                <w:rFonts w:ascii="宋体" w:hAnsi="宋体" w:cs="宋体"/>
                <w:b/>
                <w:bCs/>
                <w:kern w:val="0"/>
                <w:sz w:val="20"/>
                <w:highlight w:val="none"/>
              </w:rPr>
            </w:pPr>
          </w:p>
        </w:tc>
        <w:tc>
          <w:tcPr>
            <w:tcW w:w="520" w:type="dxa"/>
            <w:shd w:val="clear" w:color="000000" w:fill="FFFFFF"/>
            <w:vAlign w:val="center"/>
          </w:tcPr>
          <w:p>
            <w:pPr>
              <w:snapToGrid w:val="0"/>
              <w:jc w:val="center"/>
              <w:rPr>
                <w:rFonts w:ascii="宋体" w:hAnsi="宋体"/>
                <w:sz w:val="20"/>
                <w:highlight w:val="none"/>
              </w:rPr>
            </w:pPr>
          </w:p>
        </w:tc>
        <w:tc>
          <w:tcPr>
            <w:tcW w:w="472" w:type="dxa"/>
            <w:shd w:val="clear" w:color="000000" w:fill="FFFFFF"/>
            <w:vAlign w:val="center"/>
          </w:tcPr>
          <w:p>
            <w:pPr>
              <w:widowControl/>
              <w:snapToGrid w:val="0"/>
              <w:rPr>
                <w:rFonts w:ascii="宋体" w:hAnsi="宋体"/>
                <w:b/>
                <w:bCs/>
                <w:kern w:val="0"/>
                <w:sz w:val="22"/>
                <w:highlight w:val="none"/>
              </w:rPr>
            </w:pPr>
          </w:p>
        </w:tc>
        <w:tc>
          <w:tcPr>
            <w:tcW w:w="934" w:type="dxa"/>
            <w:shd w:val="clear" w:color="000000" w:fill="FFFFFF"/>
            <w:vAlign w:val="center"/>
          </w:tcPr>
          <w:p>
            <w:pPr>
              <w:widowControl/>
              <w:jc w:val="center"/>
              <w:rPr>
                <w:rFonts w:ascii="宋体" w:hAnsi="宋体" w:cs="宋体"/>
                <w:b/>
                <w:bCs/>
                <w:kern w:val="0"/>
                <w:sz w:val="20"/>
                <w:highlight w:val="none"/>
              </w:rPr>
            </w:pPr>
          </w:p>
        </w:tc>
        <w:tc>
          <w:tcPr>
            <w:tcW w:w="926" w:type="dxa"/>
            <w:shd w:val="clear" w:color="000000" w:fill="FFFFFF"/>
          </w:tcPr>
          <w:p>
            <w:pPr>
              <w:widowControl/>
              <w:jc w:val="left"/>
              <w:rPr>
                <w:rFonts w:ascii="宋体" w:hAnsi="宋体" w:cs="宋体"/>
                <w:bCs/>
                <w:kern w:val="0"/>
                <w:sz w:val="20"/>
                <w:highlight w:val="none"/>
              </w:rPr>
            </w:pPr>
          </w:p>
        </w:tc>
        <w:tc>
          <w:tcPr>
            <w:tcW w:w="926" w:type="dxa"/>
            <w:shd w:val="clear" w:color="000000" w:fill="FFFFFF"/>
          </w:tcPr>
          <w:p>
            <w:pPr>
              <w:widowControl/>
              <w:jc w:val="left"/>
              <w:rPr>
                <w:rFonts w:ascii="宋体" w:hAnsi="宋体" w:cs="宋体"/>
                <w:bCs/>
                <w:kern w:val="0"/>
                <w:sz w:val="20"/>
                <w:highlight w:val="none"/>
              </w:rPr>
            </w:pPr>
          </w:p>
        </w:tc>
        <w:tc>
          <w:tcPr>
            <w:tcW w:w="926" w:type="dxa"/>
            <w:shd w:val="clear" w:color="000000" w:fill="FFFFFF"/>
            <w:vAlign w:val="center"/>
          </w:tcPr>
          <w:p>
            <w:pPr>
              <w:widowControl/>
              <w:jc w:val="left"/>
              <w:rPr>
                <w:rFonts w:ascii="宋体" w:hAnsi="宋体" w:cs="宋体"/>
                <w:bCs/>
                <w:kern w:val="0"/>
                <w:sz w:val="20"/>
                <w:highlight w:val="none"/>
              </w:rPr>
            </w:pPr>
          </w:p>
        </w:tc>
        <w:tc>
          <w:tcPr>
            <w:tcW w:w="464" w:type="dxa"/>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76" w:type="dxa"/>
            <w:shd w:val="clear" w:color="000000" w:fill="FFFFFF"/>
            <w:vAlign w:val="center"/>
          </w:tcPr>
          <w:p>
            <w:pPr>
              <w:widowControl/>
              <w:jc w:val="left"/>
              <w:rPr>
                <w:rFonts w:ascii="宋体" w:hAnsi="宋体" w:cs="宋体"/>
                <w:b/>
                <w:bCs/>
                <w:kern w:val="0"/>
                <w:sz w:val="20"/>
                <w:highlight w:val="none"/>
              </w:rPr>
            </w:pPr>
          </w:p>
        </w:tc>
        <w:tc>
          <w:tcPr>
            <w:tcW w:w="2085" w:type="dxa"/>
            <w:shd w:val="clear" w:color="000000" w:fill="FFFFFF"/>
            <w:vAlign w:val="center"/>
          </w:tcPr>
          <w:p>
            <w:pPr>
              <w:widowControl/>
              <w:snapToGrid w:val="0"/>
              <w:rPr>
                <w:rFonts w:ascii="宋体" w:hAnsi="宋体" w:cs="宋体"/>
                <w:kern w:val="0"/>
                <w:sz w:val="22"/>
                <w:highlight w:val="none"/>
              </w:rPr>
            </w:pPr>
          </w:p>
        </w:tc>
        <w:tc>
          <w:tcPr>
            <w:tcW w:w="778" w:type="dxa"/>
            <w:shd w:val="clear" w:color="000000" w:fill="FFFFFF"/>
            <w:vAlign w:val="center"/>
          </w:tcPr>
          <w:p>
            <w:pPr>
              <w:widowControl/>
              <w:snapToGrid w:val="0"/>
              <w:rPr>
                <w:rFonts w:ascii="宋体" w:hAnsi="宋体"/>
                <w:b/>
                <w:bCs/>
                <w:kern w:val="0"/>
                <w:sz w:val="22"/>
                <w:highlight w:val="none"/>
              </w:rPr>
            </w:pPr>
          </w:p>
        </w:tc>
        <w:tc>
          <w:tcPr>
            <w:tcW w:w="505" w:type="dxa"/>
            <w:shd w:val="clear" w:color="000000" w:fill="FFFFFF"/>
            <w:vAlign w:val="center"/>
          </w:tcPr>
          <w:p>
            <w:pPr>
              <w:widowControl/>
              <w:snapToGrid w:val="0"/>
              <w:jc w:val="center"/>
              <w:rPr>
                <w:rFonts w:ascii="宋体" w:hAnsi="宋体" w:cs="宋体"/>
                <w:kern w:val="0"/>
                <w:sz w:val="20"/>
                <w:highlight w:val="none"/>
              </w:rPr>
            </w:pPr>
          </w:p>
        </w:tc>
        <w:tc>
          <w:tcPr>
            <w:tcW w:w="616" w:type="dxa"/>
            <w:shd w:val="clear" w:color="000000" w:fill="FFFFFF"/>
            <w:vAlign w:val="center"/>
          </w:tcPr>
          <w:p>
            <w:pPr>
              <w:widowControl/>
              <w:snapToGrid w:val="0"/>
              <w:jc w:val="center"/>
              <w:rPr>
                <w:rFonts w:ascii="宋体" w:hAnsi="宋体" w:cs="宋体"/>
                <w:b/>
                <w:bCs/>
                <w:kern w:val="0"/>
                <w:sz w:val="20"/>
                <w:highlight w:val="none"/>
              </w:rPr>
            </w:pPr>
          </w:p>
        </w:tc>
        <w:tc>
          <w:tcPr>
            <w:tcW w:w="520" w:type="dxa"/>
            <w:shd w:val="clear" w:color="000000" w:fill="FFFFFF"/>
            <w:vAlign w:val="center"/>
          </w:tcPr>
          <w:p>
            <w:pPr>
              <w:snapToGrid w:val="0"/>
              <w:jc w:val="center"/>
              <w:rPr>
                <w:rFonts w:ascii="宋体" w:hAnsi="宋体"/>
                <w:sz w:val="20"/>
                <w:highlight w:val="none"/>
              </w:rPr>
            </w:pPr>
          </w:p>
        </w:tc>
        <w:tc>
          <w:tcPr>
            <w:tcW w:w="472" w:type="dxa"/>
            <w:shd w:val="clear" w:color="000000" w:fill="FFFFFF"/>
            <w:vAlign w:val="center"/>
          </w:tcPr>
          <w:p>
            <w:pPr>
              <w:widowControl/>
              <w:snapToGrid w:val="0"/>
              <w:rPr>
                <w:rFonts w:ascii="宋体" w:hAnsi="宋体"/>
                <w:b/>
                <w:bCs/>
                <w:kern w:val="0"/>
                <w:sz w:val="22"/>
                <w:highlight w:val="none"/>
              </w:rPr>
            </w:pPr>
          </w:p>
        </w:tc>
        <w:tc>
          <w:tcPr>
            <w:tcW w:w="934" w:type="dxa"/>
            <w:shd w:val="clear" w:color="000000" w:fill="FFFFFF"/>
            <w:vAlign w:val="center"/>
          </w:tcPr>
          <w:p>
            <w:pPr>
              <w:widowControl/>
              <w:jc w:val="center"/>
              <w:rPr>
                <w:rFonts w:ascii="宋体" w:hAnsi="宋体" w:cs="宋体"/>
                <w:b/>
                <w:bCs/>
                <w:kern w:val="0"/>
                <w:sz w:val="20"/>
                <w:highlight w:val="none"/>
              </w:rPr>
            </w:pPr>
          </w:p>
        </w:tc>
        <w:tc>
          <w:tcPr>
            <w:tcW w:w="926" w:type="dxa"/>
            <w:shd w:val="clear" w:color="000000" w:fill="FFFFFF"/>
          </w:tcPr>
          <w:p>
            <w:pPr>
              <w:widowControl/>
              <w:jc w:val="left"/>
              <w:rPr>
                <w:rFonts w:ascii="宋体" w:hAnsi="宋体" w:cs="宋体"/>
                <w:bCs/>
                <w:kern w:val="0"/>
                <w:sz w:val="20"/>
                <w:highlight w:val="none"/>
              </w:rPr>
            </w:pPr>
          </w:p>
        </w:tc>
        <w:tc>
          <w:tcPr>
            <w:tcW w:w="926" w:type="dxa"/>
            <w:shd w:val="clear" w:color="000000" w:fill="FFFFFF"/>
          </w:tcPr>
          <w:p>
            <w:pPr>
              <w:widowControl/>
              <w:jc w:val="left"/>
              <w:rPr>
                <w:rFonts w:ascii="宋体" w:hAnsi="宋体" w:cs="宋体"/>
                <w:bCs/>
                <w:kern w:val="0"/>
                <w:sz w:val="20"/>
                <w:highlight w:val="none"/>
              </w:rPr>
            </w:pPr>
          </w:p>
        </w:tc>
        <w:tc>
          <w:tcPr>
            <w:tcW w:w="926" w:type="dxa"/>
            <w:shd w:val="clear" w:color="000000" w:fill="FFFFFF"/>
            <w:vAlign w:val="center"/>
          </w:tcPr>
          <w:p>
            <w:pPr>
              <w:widowControl/>
              <w:jc w:val="left"/>
              <w:rPr>
                <w:rFonts w:ascii="宋体" w:hAnsi="宋体" w:cs="宋体"/>
                <w:bCs/>
                <w:kern w:val="0"/>
                <w:sz w:val="20"/>
                <w:highlight w:val="none"/>
              </w:rPr>
            </w:pPr>
          </w:p>
        </w:tc>
        <w:tc>
          <w:tcPr>
            <w:tcW w:w="464" w:type="dxa"/>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386" w:type="dxa"/>
            <w:gridSpan w:val="8"/>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合计</w:t>
            </w:r>
          </w:p>
        </w:tc>
        <w:tc>
          <w:tcPr>
            <w:tcW w:w="926" w:type="dxa"/>
          </w:tcPr>
          <w:p>
            <w:pPr>
              <w:widowControl/>
              <w:jc w:val="center"/>
              <w:rPr>
                <w:rFonts w:ascii="宋体" w:hAnsi="宋体" w:cs="宋体"/>
                <w:kern w:val="0"/>
                <w:sz w:val="20"/>
                <w:highlight w:val="none"/>
              </w:rPr>
            </w:pPr>
          </w:p>
        </w:tc>
        <w:tc>
          <w:tcPr>
            <w:tcW w:w="926" w:type="dxa"/>
          </w:tcPr>
          <w:p>
            <w:pPr>
              <w:widowControl/>
              <w:jc w:val="center"/>
              <w:rPr>
                <w:rFonts w:ascii="宋体" w:hAnsi="宋体" w:cs="宋体"/>
                <w:kern w:val="0"/>
                <w:sz w:val="20"/>
                <w:highlight w:val="none"/>
              </w:rPr>
            </w:pPr>
          </w:p>
        </w:tc>
        <w:tc>
          <w:tcPr>
            <w:tcW w:w="926" w:type="dxa"/>
            <w:vAlign w:val="center"/>
          </w:tcPr>
          <w:p>
            <w:pPr>
              <w:widowControl/>
              <w:jc w:val="center"/>
              <w:rPr>
                <w:rFonts w:ascii="宋体" w:hAnsi="宋体" w:cs="宋体"/>
                <w:kern w:val="0"/>
                <w:sz w:val="20"/>
                <w:highlight w:val="none"/>
              </w:rPr>
            </w:pPr>
            <w:r>
              <w:rPr>
                <w:rFonts w:hint="eastAsia" w:ascii="宋体" w:hAnsi="宋体" w:cs="宋体"/>
                <w:kern w:val="0"/>
                <w:sz w:val="20"/>
                <w:highlight w:val="none"/>
              </w:rPr>
              <w:t>　　</w:t>
            </w:r>
          </w:p>
        </w:tc>
        <w:tc>
          <w:tcPr>
            <w:tcW w:w="464" w:type="dxa"/>
            <w:vAlign w:val="center"/>
          </w:tcPr>
          <w:p>
            <w:pPr>
              <w:widowControl/>
              <w:jc w:val="center"/>
              <w:rPr>
                <w:rFonts w:ascii="宋体" w:hAnsi="宋体" w:cs="宋体"/>
                <w:kern w:val="0"/>
                <w:sz w:val="20"/>
                <w:highlight w:val="none"/>
              </w:rPr>
            </w:pPr>
            <w:r>
              <w:rPr>
                <w:rFonts w:hint="eastAsia" w:ascii="宋体" w:hAnsi="宋体" w:cs="宋体"/>
                <w:kern w:val="0"/>
                <w:sz w:val="20"/>
                <w:highlight w:val="none"/>
              </w:rPr>
              <w:t>　</w:t>
            </w:r>
          </w:p>
        </w:tc>
      </w:tr>
    </w:tbl>
    <w:p>
      <w:pPr>
        <w:spacing w:line="360" w:lineRule="auto"/>
        <w:rPr>
          <w:rFonts w:ascii="宋体" w:hAnsi="宋体"/>
          <w:sz w:val="22"/>
          <w:highlight w:val="none"/>
        </w:rPr>
      </w:pPr>
      <w:r>
        <w:rPr>
          <w:rFonts w:hint="eastAsia" w:ascii="宋体" w:hAnsi="宋体" w:cs="宋体"/>
          <w:sz w:val="22"/>
          <w:highlight w:val="none"/>
        </w:rPr>
        <w:t>注：根据第三章要求</w:t>
      </w:r>
      <w:r>
        <w:rPr>
          <w:rFonts w:hint="eastAsia" w:ascii="宋体" w:hAnsi="宋体"/>
          <w:sz w:val="22"/>
          <w:highlight w:val="none"/>
        </w:rPr>
        <w:t>自行填报。</w:t>
      </w:r>
    </w:p>
    <w:p>
      <w:pPr>
        <w:spacing w:line="360" w:lineRule="auto"/>
        <w:rPr>
          <w:rFonts w:ascii="宋体" w:hAnsi="宋体"/>
          <w:sz w:val="22"/>
          <w:highlight w:val="none"/>
        </w:rPr>
      </w:pPr>
      <w:r>
        <w:rPr>
          <w:rFonts w:ascii="宋体" w:hAnsi="宋体"/>
          <w:sz w:val="22"/>
          <w:highlight w:val="none"/>
        </w:rPr>
        <w:br w:type="page"/>
      </w:r>
    </w:p>
    <w:p>
      <w:pPr>
        <w:spacing w:line="360" w:lineRule="auto"/>
        <w:jc w:val="center"/>
        <w:rPr>
          <w:rFonts w:ascii="宋体" w:hAnsi="宋体" w:cs="宋体"/>
          <w:b/>
          <w:sz w:val="32"/>
          <w:szCs w:val="32"/>
          <w:highlight w:val="none"/>
        </w:rPr>
      </w:pPr>
      <w:r>
        <w:rPr>
          <w:rFonts w:hint="eastAsia" w:ascii="宋体" w:hAnsi="宋体" w:cs="宋体"/>
          <w:b/>
          <w:sz w:val="32"/>
          <w:szCs w:val="32"/>
          <w:highlight w:val="none"/>
        </w:rPr>
        <w:t>4.4备品备件分项报价表</w:t>
      </w:r>
    </w:p>
    <w:tbl>
      <w:tblPr>
        <w:tblStyle w:val="52"/>
        <w:tblpPr w:leftFromText="180" w:rightFromText="180" w:vertAnchor="text" w:tblpY="1"/>
        <w:tblOverlap w:val="never"/>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2085"/>
        <w:gridCol w:w="778"/>
        <w:gridCol w:w="505"/>
        <w:gridCol w:w="616"/>
        <w:gridCol w:w="520"/>
        <w:gridCol w:w="472"/>
        <w:gridCol w:w="934"/>
        <w:gridCol w:w="926"/>
        <w:gridCol w:w="926"/>
        <w:gridCol w:w="926"/>
        <w:gridCol w:w="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476"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序 号</w:t>
            </w:r>
          </w:p>
        </w:tc>
        <w:tc>
          <w:tcPr>
            <w:tcW w:w="2085"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设备名称</w:t>
            </w:r>
          </w:p>
        </w:tc>
        <w:tc>
          <w:tcPr>
            <w:tcW w:w="778"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规格型号</w:t>
            </w:r>
          </w:p>
        </w:tc>
        <w:tc>
          <w:tcPr>
            <w:tcW w:w="505"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品 牌</w:t>
            </w:r>
          </w:p>
        </w:tc>
        <w:tc>
          <w:tcPr>
            <w:tcW w:w="616"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原产地</w:t>
            </w:r>
          </w:p>
        </w:tc>
        <w:tc>
          <w:tcPr>
            <w:tcW w:w="520"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单位</w:t>
            </w:r>
          </w:p>
        </w:tc>
        <w:tc>
          <w:tcPr>
            <w:tcW w:w="472"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数量</w:t>
            </w:r>
          </w:p>
        </w:tc>
        <w:tc>
          <w:tcPr>
            <w:tcW w:w="934"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 xml:space="preserve"> 单  价（不含税） </w:t>
            </w:r>
          </w:p>
        </w:tc>
        <w:tc>
          <w:tcPr>
            <w:tcW w:w="926"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单  价（含税）</w:t>
            </w:r>
          </w:p>
        </w:tc>
        <w:tc>
          <w:tcPr>
            <w:tcW w:w="926"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税率</w:t>
            </w:r>
          </w:p>
        </w:tc>
        <w:tc>
          <w:tcPr>
            <w:tcW w:w="926"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 xml:space="preserve"> 合  价（含税） </w:t>
            </w:r>
          </w:p>
        </w:tc>
        <w:tc>
          <w:tcPr>
            <w:tcW w:w="464"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76" w:type="dxa"/>
            <w:vMerge w:val="continue"/>
            <w:shd w:val="clear" w:color="auto" w:fill="auto"/>
            <w:vAlign w:val="center"/>
          </w:tcPr>
          <w:p>
            <w:pPr>
              <w:widowControl/>
              <w:jc w:val="center"/>
              <w:rPr>
                <w:rFonts w:ascii="宋体" w:hAnsi="宋体" w:cs="宋体"/>
                <w:b/>
                <w:bCs/>
                <w:kern w:val="0"/>
                <w:sz w:val="20"/>
                <w:highlight w:val="none"/>
              </w:rPr>
            </w:pPr>
          </w:p>
        </w:tc>
        <w:tc>
          <w:tcPr>
            <w:tcW w:w="2085" w:type="dxa"/>
            <w:vMerge w:val="continue"/>
            <w:shd w:val="clear" w:color="auto" w:fill="auto"/>
            <w:vAlign w:val="center"/>
          </w:tcPr>
          <w:p>
            <w:pPr>
              <w:widowControl/>
              <w:jc w:val="left"/>
              <w:rPr>
                <w:rFonts w:ascii="宋体" w:hAnsi="宋体" w:cs="宋体"/>
                <w:b/>
                <w:bCs/>
                <w:kern w:val="0"/>
                <w:sz w:val="20"/>
                <w:highlight w:val="none"/>
              </w:rPr>
            </w:pPr>
          </w:p>
        </w:tc>
        <w:tc>
          <w:tcPr>
            <w:tcW w:w="778" w:type="dxa"/>
            <w:vMerge w:val="continue"/>
            <w:shd w:val="clear" w:color="auto" w:fill="auto"/>
            <w:vAlign w:val="center"/>
          </w:tcPr>
          <w:p>
            <w:pPr>
              <w:widowControl/>
              <w:jc w:val="left"/>
              <w:rPr>
                <w:rFonts w:ascii="宋体" w:hAnsi="宋体" w:cs="宋体"/>
                <w:b/>
                <w:bCs/>
                <w:kern w:val="0"/>
                <w:sz w:val="20"/>
                <w:highlight w:val="none"/>
              </w:rPr>
            </w:pPr>
          </w:p>
        </w:tc>
        <w:tc>
          <w:tcPr>
            <w:tcW w:w="505" w:type="dxa"/>
            <w:vMerge w:val="continue"/>
            <w:shd w:val="clear" w:color="auto" w:fill="auto"/>
            <w:vAlign w:val="center"/>
          </w:tcPr>
          <w:p>
            <w:pPr>
              <w:widowControl/>
              <w:jc w:val="left"/>
              <w:rPr>
                <w:rFonts w:ascii="宋体" w:hAnsi="宋体" w:cs="宋体"/>
                <w:b/>
                <w:bCs/>
                <w:kern w:val="0"/>
                <w:sz w:val="20"/>
                <w:highlight w:val="none"/>
              </w:rPr>
            </w:pPr>
          </w:p>
        </w:tc>
        <w:tc>
          <w:tcPr>
            <w:tcW w:w="616" w:type="dxa"/>
            <w:vMerge w:val="continue"/>
            <w:shd w:val="clear" w:color="auto" w:fill="auto"/>
            <w:vAlign w:val="center"/>
          </w:tcPr>
          <w:p>
            <w:pPr>
              <w:widowControl/>
              <w:jc w:val="left"/>
              <w:rPr>
                <w:rFonts w:ascii="宋体" w:hAnsi="宋体" w:cs="宋体"/>
                <w:b/>
                <w:bCs/>
                <w:kern w:val="0"/>
                <w:sz w:val="20"/>
                <w:highlight w:val="none"/>
              </w:rPr>
            </w:pPr>
          </w:p>
        </w:tc>
        <w:tc>
          <w:tcPr>
            <w:tcW w:w="520" w:type="dxa"/>
            <w:vMerge w:val="continue"/>
            <w:shd w:val="clear" w:color="auto" w:fill="auto"/>
            <w:vAlign w:val="center"/>
          </w:tcPr>
          <w:p>
            <w:pPr>
              <w:widowControl/>
              <w:jc w:val="left"/>
              <w:rPr>
                <w:rFonts w:ascii="宋体" w:hAnsi="宋体" w:cs="宋体"/>
                <w:b/>
                <w:bCs/>
                <w:kern w:val="0"/>
                <w:sz w:val="20"/>
                <w:highlight w:val="none"/>
              </w:rPr>
            </w:pPr>
          </w:p>
        </w:tc>
        <w:tc>
          <w:tcPr>
            <w:tcW w:w="472" w:type="dxa"/>
            <w:vMerge w:val="continue"/>
            <w:shd w:val="clear" w:color="auto" w:fill="auto"/>
            <w:vAlign w:val="center"/>
          </w:tcPr>
          <w:p>
            <w:pPr>
              <w:widowControl/>
              <w:jc w:val="left"/>
              <w:rPr>
                <w:rFonts w:ascii="宋体" w:hAnsi="宋体" w:cs="宋体"/>
                <w:b/>
                <w:bCs/>
                <w:kern w:val="0"/>
                <w:sz w:val="20"/>
                <w:highlight w:val="none"/>
              </w:rPr>
            </w:pPr>
          </w:p>
        </w:tc>
        <w:tc>
          <w:tcPr>
            <w:tcW w:w="934"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单位(元)</w:t>
            </w:r>
          </w:p>
        </w:tc>
        <w:tc>
          <w:tcPr>
            <w:tcW w:w="926"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单位(元)</w:t>
            </w:r>
          </w:p>
        </w:tc>
        <w:tc>
          <w:tcPr>
            <w:tcW w:w="926"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w:t>
            </w:r>
          </w:p>
        </w:tc>
        <w:tc>
          <w:tcPr>
            <w:tcW w:w="926"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单位(元)</w:t>
            </w:r>
          </w:p>
        </w:tc>
        <w:tc>
          <w:tcPr>
            <w:tcW w:w="464" w:type="dxa"/>
            <w:vMerge w:val="continue"/>
            <w:vAlign w:val="center"/>
          </w:tcPr>
          <w:p>
            <w:pPr>
              <w:widowControl/>
              <w:jc w:val="left"/>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76"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1</w:t>
            </w:r>
          </w:p>
        </w:tc>
        <w:tc>
          <w:tcPr>
            <w:tcW w:w="2085" w:type="dxa"/>
            <w:shd w:val="clear" w:color="000000" w:fill="FFFFFF"/>
            <w:vAlign w:val="center"/>
          </w:tcPr>
          <w:p>
            <w:pPr>
              <w:widowControl/>
              <w:jc w:val="center"/>
              <w:rPr>
                <w:rFonts w:ascii="宋体" w:hAnsi="宋体" w:cs="宋体"/>
                <w:b/>
                <w:bCs/>
                <w:kern w:val="0"/>
                <w:sz w:val="20"/>
                <w:highlight w:val="none"/>
              </w:rPr>
            </w:pPr>
          </w:p>
        </w:tc>
        <w:tc>
          <w:tcPr>
            <w:tcW w:w="778" w:type="dxa"/>
            <w:shd w:val="clear" w:color="000000" w:fill="FFFFFF"/>
            <w:vAlign w:val="center"/>
          </w:tcPr>
          <w:p>
            <w:pPr>
              <w:widowControl/>
              <w:snapToGrid w:val="0"/>
              <w:rPr>
                <w:rFonts w:ascii="宋体" w:hAnsi="宋体"/>
                <w:b/>
                <w:bCs/>
                <w:kern w:val="0"/>
                <w:sz w:val="22"/>
                <w:highlight w:val="none"/>
              </w:rPr>
            </w:pPr>
          </w:p>
        </w:tc>
        <w:tc>
          <w:tcPr>
            <w:tcW w:w="505" w:type="dxa"/>
            <w:shd w:val="clear" w:color="000000" w:fill="FFFFFF"/>
            <w:vAlign w:val="center"/>
          </w:tcPr>
          <w:p>
            <w:pPr>
              <w:widowControl/>
              <w:snapToGrid w:val="0"/>
              <w:jc w:val="center"/>
              <w:rPr>
                <w:rFonts w:ascii="宋体" w:hAnsi="宋体" w:cs="宋体"/>
                <w:kern w:val="0"/>
                <w:sz w:val="20"/>
                <w:highlight w:val="none"/>
              </w:rPr>
            </w:pPr>
          </w:p>
        </w:tc>
        <w:tc>
          <w:tcPr>
            <w:tcW w:w="616" w:type="dxa"/>
            <w:shd w:val="clear" w:color="000000" w:fill="FFFFFF"/>
            <w:vAlign w:val="center"/>
          </w:tcPr>
          <w:p>
            <w:pPr>
              <w:widowControl/>
              <w:snapToGrid w:val="0"/>
              <w:jc w:val="center"/>
              <w:rPr>
                <w:rFonts w:ascii="宋体" w:hAnsi="宋体" w:cs="宋体"/>
                <w:b/>
                <w:bCs/>
                <w:kern w:val="0"/>
                <w:sz w:val="20"/>
                <w:highlight w:val="none"/>
              </w:rPr>
            </w:pPr>
          </w:p>
        </w:tc>
        <w:tc>
          <w:tcPr>
            <w:tcW w:w="520" w:type="dxa"/>
            <w:shd w:val="clear" w:color="000000" w:fill="FFFFFF"/>
            <w:vAlign w:val="center"/>
          </w:tcPr>
          <w:p>
            <w:pPr>
              <w:snapToGrid w:val="0"/>
              <w:jc w:val="center"/>
              <w:rPr>
                <w:rFonts w:ascii="宋体" w:hAnsi="宋体"/>
                <w:sz w:val="20"/>
                <w:highlight w:val="none"/>
              </w:rPr>
            </w:pPr>
          </w:p>
        </w:tc>
        <w:tc>
          <w:tcPr>
            <w:tcW w:w="472" w:type="dxa"/>
            <w:shd w:val="clear" w:color="000000" w:fill="FFFFFF"/>
            <w:vAlign w:val="center"/>
          </w:tcPr>
          <w:p>
            <w:pPr>
              <w:widowControl/>
              <w:snapToGrid w:val="0"/>
              <w:rPr>
                <w:rFonts w:ascii="宋体" w:hAnsi="宋体"/>
                <w:b/>
                <w:bCs/>
                <w:kern w:val="0"/>
                <w:sz w:val="22"/>
                <w:highlight w:val="none"/>
              </w:rPr>
            </w:pPr>
          </w:p>
        </w:tc>
        <w:tc>
          <w:tcPr>
            <w:tcW w:w="934" w:type="dxa"/>
            <w:shd w:val="clear" w:color="000000" w:fill="FFFFFF"/>
            <w:vAlign w:val="center"/>
          </w:tcPr>
          <w:p>
            <w:pPr>
              <w:widowControl/>
              <w:jc w:val="center"/>
              <w:rPr>
                <w:rFonts w:ascii="宋体" w:hAnsi="宋体" w:cs="宋体"/>
                <w:b/>
                <w:bCs/>
                <w:kern w:val="0"/>
                <w:sz w:val="20"/>
                <w:highlight w:val="none"/>
              </w:rPr>
            </w:pPr>
          </w:p>
        </w:tc>
        <w:tc>
          <w:tcPr>
            <w:tcW w:w="926" w:type="dxa"/>
            <w:shd w:val="clear" w:color="000000" w:fill="FFFFFF"/>
          </w:tcPr>
          <w:p>
            <w:pPr>
              <w:widowControl/>
              <w:jc w:val="left"/>
              <w:rPr>
                <w:rFonts w:ascii="宋体" w:hAnsi="宋体" w:cs="宋体"/>
                <w:bCs/>
                <w:kern w:val="0"/>
                <w:sz w:val="20"/>
                <w:highlight w:val="none"/>
              </w:rPr>
            </w:pPr>
          </w:p>
        </w:tc>
        <w:tc>
          <w:tcPr>
            <w:tcW w:w="926" w:type="dxa"/>
            <w:shd w:val="clear" w:color="000000" w:fill="FFFFFF"/>
          </w:tcPr>
          <w:p>
            <w:pPr>
              <w:widowControl/>
              <w:jc w:val="left"/>
              <w:rPr>
                <w:rFonts w:ascii="宋体" w:hAnsi="宋体" w:cs="宋体"/>
                <w:bCs/>
                <w:kern w:val="0"/>
                <w:sz w:val="20"/>
                <w:highlight w:val="none"/>
              </w:rPr>
            </w:pPr>
          </w:p>
        </w:tc>
        <w:tc>
          <w:tcPr>
            <w:tcW w:w="926" w:type="dxa"/>
            <w:shd w:val="clear" w:color="000000" w:fill="FFFFFF"/>
            <w:vAlign w:val="center"/>
          </w:tcPr>
          <w:p>
            <w:pPr>
              <w:widowControl/>
              <w:jc w:val="left"/>
              <w:rPr>
                <w:rFonts w:ascii="宋体" w:hAnsi="宋体" w:cs="宋体"/>
                <w:bCs/>
                <w:kern w:val="0"/>
                <w:sz w:val="20"/>
                <w:highlight w:val="none"/>
              </w:rPr>
            </w:pPr>
          </w:p>
        </w:tc>
        <w:tc>
          <w:tcPr>
            <w:tcW w:w="464" w:type="dxa"/>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76"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2</w:t>
            </w:r>
          </w:p>
        </w:tc>
        <w:tc>
          <w:tcPr>
            <w:tcW w:w="2085" w:type="dxa"/>
            <w:shd w:val="clear" w:color="000000" w:fill="FFFFFF"/>
            <w:vAlign w:val="center"/>
          </w:tcPr>
          <w:p>
            <w:pPr>
              <w:widowControl/>
              <w:snapToGrid w:val="0"/>
              <w:rPr>
                <w:rFonts w:ascii="宋体" w:hAnsi="宋体" w:cs="宋体"/>
                <w:kern w:val="0"/>
                <w:sz w:val="22"/>
                <w:highlight w:val="none"/>
              </w:rPr>
            </w:pPr>
          </w:p>
        </w:tc>
        <w:tc>
          <w:tcPr>
            <w:tcW w:w="778" w:type="dxa"/>
            <w:shd w:val="clear" w:color="000000" w:fill="FFFFFF"/>
            <w:vAlign w:val="center"/>
          </w:tcPr>
          <w:p>
            <w:pPr>
              <w:widowControl/>
              <w:snapToGrid w:val="0"/>
              <w:rPr>
                <w:rFonts w:ascii="宋体" w:hAnsi="宋体"/>
                <w:b/>
                <w:bCs/>
                <w:kern w:val="0"/>
                <w:sz w:val="22"/>
                <w:highlight w:val="none"/>
              </w:rPr>
            </w:pPr>
          </w:p>
        </w:tc>
        <w:tc>
          <w:tcPr>
            <w:tcW w:w="505" w:type="dxa"/>
            <w:shd w:val="clear" w:color="000000" w:fill="FFFFFF"/>
            <w:vAlign w:val="center"/>
          </w:tcPr>
          <w:p>
            <w:pPr>
              <w:widowControl/>
              <w:snapToGrid w:val="0"/>
              <w:jc w:val="center"/>
              <w:rPr>
                <w:rFonts w:ascii="宋体" w:hAnsi="宋体" w:cs="宋体"/>
                <w:kern w:val="0"/>
                <w:sz w:val="20"/>
                <w:highlight w:val="none"/>
              </w:rPr>
            </w:pPr>
          </w:p>
        </w:tc>
        <w:tc>
          <w:tcPr>
            <w:tcW w:w="616" w:type="dxa"/>
            <w:shd w:val="clear" w:color="000000" w:fill="FFFFFF"/>
            <w:vAlign w:val="center"/>
          </w:tcPr>
          <w:p>
            <w:pPr>
              <w:widowControl/>
              <w:snapToGrid w:val="0"/>
              <w:jc w:val="center"/>
              <w:rPr>
                <w:rFonts w:ascii="宋体" w:hAnsi="宋体" w:cs="宋体"/>
                <w:b/>
                <w:bCs/>
                <w:kern w:val="0"/>
                <w:sz w:val="20"/>
                <w:highlight w:val="none"/>
              </w:rPr>
            </w:pPr>
          </w:p>
        </w:tc>
        <w:tc>
          <w:tcPr>
            <w:tcW w:w="520" w:type="dxa"/>
            <w:shd w:val="clear" w:color="000000" w:fill="FFFFFF"/>
            <w:vAlign w:val="center"/>
          </w:tcPr>
          <w:p>
            <w:pPr>
              <w:snapToGrid w:val="0"/>
              <w:jc w:val="center"/>
              <w:rPr>
                <w:rFonts w:ascii="宋体" w:hAnsi="宋体"/>
                <w:sz w:val="20"/>
                <w:highlight w:val="none"/>
              </w:rPr>
            </w:pPr>
          </w:p>
        </w:tc>
        <w:tc>
          <w:tcPr>
            <w:tcW w:w="472" w:type="dxa"/>
            <w:shd w:val="clear" w:color="000000" w:fill="FFFFFF"/>
            <w:vAlign w:val="center"/>
          </w:tcPr>
          <w:p>
            <w:pPr>
              <w:widowControl/>
              <w:snapToGrid w:val="0"/>
              <w:rPr>
                <w:rFonts w:ascii="宋体" w:hAnsi="宋体"/>
                <w:b/>
                <w:bCs/>
                <w:kern w:val="0"/>
                <w:sz w:val="22"/>
                <w:highlight w:val="none"/>
              </w:rPr>
            </w:pPr>
          </w:p>
        </w:tc>
        <w:tc>
          <w:tcPr>
            <w:tcW w:w="934" w:type="dxa"/>
            <w:shd w:val="clear" w:color="000000" w:fill="FFFFFF"/>
            <w:vAlign w:val="center"/>
          </w:tcPr>
          <w:p>
            <w:pPr>
              <w:widowControl/>
              <w:jc w:val="center"/>
              <w:rPr>
                <w:rFonts w:ascii="宋体" w:hAnsi="宋体" w:cs="宋体"/>
                <w:b/>
                <w:bCs/>
                <w:kern w:val="0"/>
                <w:sz w:val="20"/>
                <w:highlight w:val="none"/>
              </w:rPr>
            </w:pPr>
          </w:p>
        </w:tc>
        <w:tc>
          <w:tcPr>
            <w:tcW w:w="926" w:type="dxa"/>
            <w:shd w:val="clear" w:color="000000" w:fill="FFFFFF"/>
          </w:tcPr>
          <w:p>
            <w:pPr>
              <w:widowControl/>
              <w:jc w:val="left"/>
              <w:rPr>
                <w:rFonts w:ascii="宋体" w:hAnsi="宋体" w:cs="宋体"/>
                <w:bCs/>
                <w:kern w:val="0"/>
                <w:sz w:val="20"/>
                <w:highlight w:val="none"/>
              </w:rPr>
            </w:pPr>
          </w:p>
        </w:tc>
        <w:tc>
          <w:tcPr>
            <w:tcW w:w="926" w:type="dxa"/>
            <w:shd w:val="clear" w:color="000000" w:fill="FFFFFF"/>
          </w:tcPr>
          <w:p>
            <w:pPr>
              <w:widowControl/>
              <w:jc w:val="left"/>
              <w:rPr>
                <w:rFonts w:ascii="宋体" w:hAnsi="宋体" w:cs="宋体"/>
                <w:bCs/>
                <w:kern w:val="0"/>
                <w:sz w:val="20"/>
                <w:highlight w:val="none"/>
              </w:rPr>
            </w:pPr>
          </w:p>
        </w:tc>
        <w:tc>
          <w:tcPr>
            <w:tcW w:w="926" w:type="dxa"/>
            <w:shd w:val="clear" w:color="000000" w:fill="FFFFFF"/>
            <w:vAlign w:val="center"/>
          </w:tcPr>
          <w:p>
            <w:pPr>
              <w:widowControl/>
              <w:jc w:val="left"/>
              <w:rPr>
                <w:rFonts w:ascii="宋体" w:hAnsi="宋体" w:cs="宋体"/>
                <w:bCs/>
                <w:kern w:val="0"/>
                <w:sz w:val="20"/>
                <w:highlight w:val="none"/>
              </w:rPr>
            </w:pPr>
          </w:p>
        </w:tc>
        <w:tc>
          <w:tcPr>
            <w:tcW w:w="464" w:type="dxa"/>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76"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3</w:t>
            </w:r>
          </w:p>
        </w:tc>
        <w:tc>
          <w:tcPr>
            <w:tcW w:w="2085" w:type="dxa"/>
            <w:shd w:val="clear" w:color="000000" w:fill="FFFFFF"/>
            <w:vAlign w:val="center"/>
          </w:tcPr>
          <w:p>
            <w:pPr>
              <w:widowControl/>
              <w:snapToGrid w:val="0"/>
              <w:rPr>
                <w:rFonts w:ascii="宋体" w:hAnsi="宋体" w:cs="宋体"/>
                <w:kern w:val="0"/>
                <w:sz w:val="22"/>
                <w:highlight w:val="none"/>
              </w:rPr>
            </w:pPr>
          </w:p>
        </w:tc>
        <w:tc>
          <w:tcPr>
            <w:tcW w:w="778" w:type="dxa"/>
            <w:shd w:val="clear" w:color="000000" w:fill="FFFFFF"/>
            <w:vAlign w:val="center"/>
          </w:tcPr>
          <w:p>
            <w:pPr>
              <w:widowControl/>
              <w:snapToGrid w:val="0"/>
              <w:rPr>
                <w:rFonts w:ascii="宋体" w:hAnsi="宋体"/>
                <w:b/>
                <w:bCs/>
                <w:kern w:val="0"/>
                <w:sz w:val="22"/>
                <w:highlight w:val="none"/>
              </w:rPr>
            </w:pPr>
          </w:p>
        </w:tc>
        <w:tc>
          <w:tcPr>
            <w:tcW w:w="505" w:type="dxa"/>
            <w:shd w:val="clear" w:color="000000" w:fill="FFFFFF"/>
            <w:vAlign w:val="center"/>
          </w:tcPr>
          <w:p>
            <w:pPr>
              <w:widowControl/>
              <w:snapToGrid w:val="0"/>
              <w:jc w:val="center"/>
              <w:rPr>
                <w:rFonts w:ascii="宋体" w:hAnsi="宋体" w:cs="宋体"/>
                <w:kern w:val="0"/>
                <w:sz w:val="20"/>
                <w:highlight w:val="none"/>
              </w:rPr>
            </w:pPr>
          </w:p>
        </w:tc>
        <w:tc>
          <w:tcPr>
            <w:tcW w:w="616" w:type="dxa"/>
            <w:shd w:val="clear" w:color="000000" w:fill="FFFFFF"/>
            <w:vAlign w:val="center"/>
          </w:tcPr>
          <w:p>
            <w:pPr>
              <w:widowControl/>
              <w:snapToGrid w:val="0"/>
              <w:jc w:val="center"/>
              <w:rPr>
                <w:rFonts w:ascii="宋体" w:hAnsi="宋体" w:cs="宋体"/>
                <w:b/>
                <w:bCs/>
                <w:kern w:val="0"/>
                <w:sz w:val="20"/>
                <w:highlight w:val="none"/>
              </w:rPr>
            </w:pPr>
          </w:p>
        </w:tc>
        <w:tc>
          <w:tcPr>
            <w:tcW w:w="520" w:type="dxa"/>
            <w:shd w:val="clear" w:color="000000" w:fill="FFFFFF"/>
            <w:vAlign w:val="center"/>
          </w:tcPr>
          <w:p>
            <w:pPr>
              <w:snapToGrid w:val="0"/>
              <w:jc w:val="center"/>
              <w:rPr>
                <w:rFonts w:ascii="宋体" w:hAnsi="宋体"/>
                <w:sz w:val="20"/>
                <w:highlight w:val="none"/>
              </w:rPr>
            </w:pPr>
          </w:p>
        </w:tc>
        <w:tc>
          <w:tcPr>
            <w:tcW w:w="472" w:type="dxa"/>
            <w:shd w:val="clear" w:color="000000" w:fill="FFFFFF"/>
            <w:vAlign w:val="center"/>
          </w:tcPr>
          <w:p>
            <w:pPr>
              <w:widowControl/>
              <w:snapToGrid w:val="0"/>
              <w:rPr>
                <w:rFonts w:ascii="宋体" w:hAnsi="宋体"/>
                <w:b/>
                <w:bCs/>
                <w:kern w:val="0"/>
                <w:sz w:val="22"/>
                <w:highlight w:val="none"/>
              </w:rPr>
            </w:pPr>
          </w:p>
        </w:tc>
        <w:tc>
          <w:tcPr>
            <w:tcW w:w="934" w:type="dxa"/>
            <w:shd w:val="clear" w:color="000000" w:fill="FFFFFF"/>
            <w:vAlign w:val="center"/>
          </w:tcPr>
          <w:p>
            <w:pPr>
              <w:widowControl/>
              <w:jc w:val="center"/>
              <w:rPr>
                <w:rFonts w:ascii="宋体" w:hAnsi="宋体" w:cs="宋体"/>
                <w:b/>
                <w:bCs/>
                <w:kern w:val="0"/>
                <w:sz w:val="20"/>
                <w:highlight w:val="none"/>
              </w:rPr>
            </w:pPr>
          </w:p>
        </w:tc>
        <w:tc>
          <w:tcPr>
            <w:tcW w:w="926" w:type="dxa"/>
            <w:shd w:val="clear" w:color="000000" w:fill="FFFFFF"/>
          </w:tcPr>
          <w:p>
            <w:pPr>
              <w:widowControl/>
              <w:jc w:val="left"/>
              <w:rPr>
                <w:rFonts w:ascii="宋体" w:hAnsi="宋体" w:cs="宋体"/>
                <w:bCs/>
                <w:kern w:val="0"/>
                <w:sz w:val="20"/>
                <w:highlight w:val="none"/>
              </w:rPr>
            </w:pPr>
          </w:p>
        </w:tc>
        <w:tc>
          <w:tcPr>
            <w:tcW w:w="926" w:type="dxa"/>
            <w:shd w:val="clear" w:color="000000" w:fill="FFFFFF"/>
          </w:tcPr>
          <w:p>
            <w:pPr>
              <w:widowControl/>
              <w:jc w:val="left"/>
              <w:rPr>
                <w:rFonts w:ascii="宋体" w:hAnsi="宋体" w:cs="宋体"/>
                <w:bCs/>
                <w:kern w:val="0"/>
                <w:sz w:val="20"/>
                <w:highlight w:val="none"/>
              </w:rPr>
            </w:pPr>
          </w:p>
        </w:tc>
        <w:tc>
          <w:tcPr>
            <w:tcW w:w="926" w:type="dxa"/>
            <w:shd w:val="clear" w:color="000000" w:fill="FFFFFF"/>
            <w:vAlign w:val="center"/>
          </w:tcPr>
          <w:p>
            <w:pPr>
              <w:widowControl/>
              <w:jc w:val="left"/>
              <w:rPr>
                <w:rFonts w:ascii="宋体" w:hAnsi="宋体" w:cs="宋体"/>
                <w:bCs/>
                <w:kern w:val="0"/>
                <w:sz w:val="20"/>
                <w:highlight w:val="none"/>
              </w:rPr>
            </w:pPr>
          </w:p>
        </w:tc>
        <w:tc>
          <w:tcPr>
            <w:tcW w:w="464" w:type="dxa"/>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76" w:type="dxa"/>
            <w:shd w:val="clear" w:color="000000" w:fill="FFFFFF"/>
            <w:vAlign w:val="center"/>
          </w:tcPr>
          <w:p>
            <w:pPr>
              <w:widowControl/>
              <w:jc w:val="left"/>
              <w:rPr>
                <w:rFonts w:ascii="宋体" w:hAnsi="宋体" w:cs="宋体"/>
                <w:b/>
                <w:bCs/>
                <w:kern w:val="0"/>
                <w:sz w:val="20"/>
                <w:highlight w:val="none"/>
              </w:rPr>
            </w:pPr>
            <w:r>
              <w:rPr>
                <w:rFonts w:hint="eastAsia" w:ascii="宋体" w:hAnsi="宋体" w:cs="宋体"/>
                <w:b/>
                <w:bCs/>
                <w:kern w:val="0"/>
                <w:sz w:val="20"/>
                <w:highlight w:val="none"/>
              </w:rPr>
              <w:t>…</w:t>
            </w:r>
          </w:p>
        </w:tc>
        <w:tc>
          <w:tcPr>
            <w:tcW w:w="2085" w:type="dxa"/>
            <w:shd w:val="clear" w:color="000000" w:fill="FFFFFF"/>
            <w:vAlign w:val="center"/>
          </w:tcPr>
          <w:p>
            <w:pPr>
              <w:widowControl/>
              <w:snapToGrid w:val="0"/>
              <w:rPr>
                <w:rFonts w:ascii="宋体" w:hAnsi="宋体" w:cs="宋体"/>
                <w:kern w:val="0"/>
                <w:sz w:val="22"/>
                <w:highlight w:val="none"/>
              </w:rPr>
            </w:pPr>
          </w:p>
        </w:tc>
        <w:tc>
          <w:tcPr>
            <w:tcW w:w="778" w:type="dxa"/>
            <w:shd w:val="clear" w:color="000000" w:fill="FFFFFF"/>
            <w:vAlign w:val="center"/>
          </w:tcPr>
          <w:p>
            <w:pPr>
              <w:widowControl/>
              <w:snapToGrid w:val="0"/>
              <w:rPr>
                <w:rFonts w:ascii="宋体" w:hAnsi="宋体"/>
                <w:b/>
                <w:bCs/>
                <w:kern w:val="0"/>
                <w:sz w:val="22"/>
                <w:highlight w:val="none"/>
              </w:rPr>
            </w:pPr>
          </w:p>
        </w:tc>
        <w:tc>
          <w:tcPr>
            <w:tcW w:w="505" w:type="dxa"/>
            <w:shd w:val="clear" w:color="000000" w:fill="FFFFFF"/>
            <w:vAlign w:val="center"/>
          </w:tcPr>
          <w:p>
            <w:pPr>
              <w:widowControl/>
              <w:snapToGrid w:val="0"/>
              <w:jc w:val="center"/>
              <w:rPr>
                <w:rFonts w:ascii="宋体" w:hAnsi="宋体" w:cs="宋体"/>
                <w:kern w:val="0"/>
                <w:sz w:val="20"/>
                <w:highlight w:val="none"/>
              </w:rPr>
            </w:pPr>
          </w:p>
        </w:tc>
        <w:tc>
          <w:tcPr>
            <w:tcW w:w="616" w:type="dxa"/>
            <w:shd w:val="clear" w:color="000000" w:fill="FFFFFF"/>
            <w:vAlign w:val="center"/>
          </w:tcPr>
          <w:p>
            <w:pPr>
              <w:widowControl/>
              <w:snapToGrid w:val="0"/>
              <w:jc w:val="center"/>
              <w:rPr>
                <w:rFonts w:ascii="宋体" w:hAnsi="宋体" w:cs="宋体"/>
                <w:b/>
                <w:bCs/>
                <w:kern w:val="0"/>
                <w:sz w:val="20"/>
                <w:highlight w:val="none"/>
              </w:rPr>
            </w:pPr>
          </w:p>
        </w:tc>
        <w:tc>
          <w:tcPr>
            <w:tcW w:w="520" w:type="dxa"/>
            <w:shd w:val="clear" w:color="000000" w:fill="FFFFFF"/>
            <w:vAlign w:val="center"/>
          </w:tcPr>
          <w:p>
            <w:pPr>
              <w:snapToGrid w:val="0"/>
              <w:jc w:val="center"/>
              <w:rPr>
                <w:rFonts w:ascii="宋体" w:hAnsi="宋体"/>
                <w:sz w:val="20"/>
                <w:highlight w:val="none"/>
              </w:rPr>
            </w:pPr>
          </w:p>
        </w:tc>
        <w:tc>
          <w:tcPr>
            <w:tcW w:w="472" w:type="dxa"/>
            <w:shd w:val="clear" w:color="000000" w:fill="FFFFFF"/>
            <w:vAlign w:val="center"/>
          </w:tcPr>
          <w:p>
            <w:pPr>
              <w:widowControl/>
              <w:snapToGrid w:val="0"/>
              <w:rPr>
                <w:rFonts w:ascii="宋体" w:hAnsi="宋体"/>
                <w:b/>
                <w:bCs/>
                <w:kern w:val="0"/>
                <w:sz w:val="22"/>
                <w:highlight w:val="none"/>
              </w:rPr>
            </w:pPr>
          </w:p>
        </w:tc>
        <w:tc>
          <w:tcPr>
            <w:tcW w:w="934" w:type="dxa"/>
            <w:shd w:val="clear" w:color="000000" w:fill="FFFFFF"/>
            <w:vAlign w:val="center"/>
          </w:tcPr>
          <w:p>
            <w:pPr>
              <w:widowControl/>
              <w:jc w:val="center"/>
              <w:rPr>
                <w:rFonts w:ascii="宋体" w:hAnsi="宋体" w:cs="宋体"/>
                <w:b/>
                <w:bCs/>
                <w:kern w:val="0"/>
                <w:sz w:val="20"/>
                <w:highlight w:val="none"/>
              </w:rPr>
            </w:pPr>
          </w:p>
        </w:tc>
        <w:tc>
          <w:tcPr>
            <w:tcW w:w="926" w:type="dxa"/>
            <w:shd w:val="clear" w:color="000000" w:fill="FFFFFF"/>
          </w:tcPr>
          <w:p>
            <w:pPr>
              <w:widowControl/>
              <w:jc w:val="left"/>
              <w:rPr>
                <w:rFonts w:ascii="宋体" w:hAnsi="宋体" w:cs="宋体"/>
                <w:bCs/>
                <w:kern w:val="0"/>
                <w:sz w:val="20"/>
                <w:highlight w:val="none"/>
              </w:rPr>
            </w:pPr>
          </w:p>
        </w:tc>
        <w:tc>
          <w:tcPr>
            <w:tcW w:w="926" w:type="dxa"/>
            <w:shd w:val="clear" w:color="000000" w:fill="FFFFFF"/>
          </w:tcPr>
          <w:p>
            <w:pPr>
              <w:widowControl/>
              <w:jc w:val="left"/>
              <w:rPr>
                <w:rFonts w:ascii="宋体" w:hAnsi="宋体" w:cs="宋体"/>
                <w:bCs/>
                <w:kern w:val="0"/>
                <w:sz w:val="20"/>
                <w:highlight w:val="none"/>
              </w:rPr>
            </w:pPr>
          </w:p>
        </w:tc>
        <w:tc>
          <w:tcPr>
            <w:tcW w:w="926" w:type="dxa"/>
            <w:shd w:val="clear" w:color="000000" w:fill="FFFFFF"/>
            <w:vAlign w:val="center"/>
          </w:tcPr>
          <w:p>
            <w:pPr>
              <w:widowControl/>
              <w:jc w:val="left"/>
              <w:rPr>
                <w:rFonts w:ascii="宋体" w:hAnsi="宋体" w:cs="宋体"/>
                <w:bCs/>
                <w:kern w:val="0"/>
                <w:sz w:val="20"/>
                <w:highlight w:val="none"/>
              </w:rPr>
            </w:pPr>
          </w:p>
        </w:tc>
        <w:tc>
          <w:tcPr>
            <w:tcW w:w="464" w:type="dxa"/>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76" w:type="dxa"/>
            <w:shd w:val="clear" w:color="000000" w:fill="FFFFFF"/>
            <w:vAlign w:val="center"/>
          </w:tcPr>
          <w:p>
            <w:pPr>
              <w:widowControl/>
              <w:jc w:val="center"/>
              <w:rPr>
                <w:rFonts w:ascii="宋体" w:hAnsi="宋体" w:cs="宋体"/>
                <w:b/>
                <w:kern w:val="0"/>
                <w:sz w:val="20"/>
                <w:highlight w:val="none"/>
              </w:rPr>
            </w:pPr>
          </w:p>
        </w:tc>
        <w:tc>
          <w:tcPr>
            <w:tcW w:w="2085" w:type="dxa"/>
            <w:shd w:val="clear" w:color="000000" w:fill="FFFFFF"/>
            <w:vAlign w:val="center"/>
          </w:tcPr>
          <w:p>
            <w:pPr>
              <w:widowControl/>
              <w:jc w:val="center"/>
              <w:rPr>
                <w:rFonts w:ascii="宋体" w:hAnsi="宋体"/>
                <w:b/>
                <w:bCs/>
                <w:kern w:val="0"/>
                <w:szCs w:val="21"/>
                <w:highlight w:val="none"/>
              </w:rPr>
            </w:pPr>
          </w:p>
        </w:tc>
        <w:tc>
          <w:tcPr>
            <w:tcW w:w="778" w:type="dxa"/>
            <w:shd w:val="clear" w:color="000000" w:fill="FFFFFF"/>
            <w:vAlign w:val="center"/>
          </w:tcPr>
          <w:p>
            <w:pPr>
              <w:widowControl/>
              <w:snapToGrid w:val="0"/>
              <w:rPr>
                <w:rFonts w:ascii="宋体" w:hAnsi="宋体"/>
                <w:b/>
                <w:bCs/>
                <w:kern w:val="0"/>
                <w:sz w:val="22"/>
                <w:highlight w:val="none"/>
              </w:rPr>
            </w:pPr>
          </w:p>
        </w:tc>
        <w:tc>
          <w:tcPr>
            <w:tcW w:w="505" w:type="dxa"/>
            <w:shd w:val="clear" w:color="000000" w:fill="FFFFFF"/>
            <w:vAlign w:val="center"/>
          </w:tcPr>
          <w:p>
            <w:pPr>
              <w:widowControl/>
              <w:snapToGrid w:val="0"/>
              <w:jc w:val="center"/>
              <w:rPr>
                <w:rFonts w:ascii="宋体" w:hAnsi="宋体" w:cs="宋体"/>
                <w:kern w:val="0"/>
                <w:sz w:val="20"/>
                <w:highlight w:val="none"/>
              </w:rPr>
            </w:pPr>
          </w:p>
        </w:tc>
        <w:tc>
          <w:tcPr>
            <w:tcW w:w="616" w:type="dxa"/>
            <w:shd w:val="clear" w:color="000000" w:fill="FFFFFF"/>
            <w:vAlign w:val="center"/>
          </w:tcPr>
          <w:p>
            <w:pPr>
              <w:widowControl/>
              <w:snapToGrid w:val="0"/>
              <w:jc w:val="center"/>
              <w:rPr>
                <w:rFonts w:ascii="宋体" w:hAnsi="宋体" w:cs="宋体"/>
                <w:b/>
                <w:bCs/>
                <w:kern w:val="0"/>
                <w:sz w:val="20"/>
                <w:highlight w:val="none"/>
              </w:rPr>
            </w:pPr>
          </w:p>
        </w:tc>
        <w:tc>
          <w:tcPr>
            <w:tcW w:w="520" w:type="dxa"/>
            <w:shd w:val="clear" w:color="000000" w:fill="FFFFFF"/>
            <w:vAlign w:val="center"/>
          </w:tcPr>
          <w:p>
            <w:pPr>
              <w:snapToGrid w:val="0"/>
              <w:jc w:val="center"/>
              <w:rPr>
                <w:rFonts w:ascii="宋体" w:hAnsi="宋体"/>
                <w:sz w:val="20"/>
                <w:highlight w:val="none"/>
              </w:rPr>
            </w:pPr>
          </w:p>
        </w:tc>
        <w:tc>
          <w:tcPr>
            <w:tcW w:w="472" w:type="dxa"/>
            <w:shd w:val="clear" w:color="000000" w:fill="FFFFFF"/>
            <w:vAlign w:val="center"/>
          </w:tcPr>
          <w:p>
            <w:pPr>
              <w:widowControl/>
              <w:snapToGrid w:val="0"/>
              <w:rPr>
                <w:rFonts w:ascii="宋体" w:hAnsi="宋体"/>
                <w:b/>
                <w:bCs/>
                <w:kern w:val="0"/>
                <w:sz w:val="22"/>
                <w:highlight w:val="none"/>
              </w:rPr>
            </w:pPr>
          </w:p>
        </w:tc>
        <w:tc>
          <w:tcPr>
            <w:tcW w:w="934" w:type="dxa"/>
            <w:shd w:val="clear" w:color="000000" w:fill="FFFFFF"/>
            <w:vAlign w:val="center"/>
          </w:tcPr>
          <w:p>
            <w:pPr>
              <w:widowControl/>
              <w:jc w:val="center"/>
              <w:rPr>
                <w:rFonts w:ascii="宋体" w:hAnsi="宋体" w:cs="宋体"/>
                <w:b/>
                <w:bCs/>
                <w:kern w:val="0"/>
                <w:sz w:val="20"/>
                <w:highlight w:val="none"/>
              </w:rPr>
            </w:pPr>
          </w:p>
        </w:tc>
        <w:tc>
          <w:tcPr>
            <w:tcW w:w="926" w:type="dxa"/>
            <w:shd w:val="clear" w:color="000000" w:fill="FFFFFF"/>
          </w:tcPr>
          <w:p>
            <w:pPr>
              <w:widowControl/>
              <w:jc w:val="left"/>
              <w:rPr>
                <w:rFonts w:ascii="宋体" w:hAnsi="宋体" w:cs="宋体"/>
                <w:bCs/>
                <w:kern w:val="0"/>
                <w:sz w:val="20"/>
                <w:highlight w:val="none"/>
              </w:rPr>
            </w:pPr>
          </w:p>
        </w:tc>
        <w:tc>
          <w:tcPr>
            <w:tcW w:w="926" w:type="dxa"/>
            <w:shd w:val="clear" w:color="000000" w:fill="FFFFFF"/>
          </w:tcPr>
          <w:p>
            <w:pPr>
              <w:widowControl/>
              <w:jc w:val="left"/>
              <w:rPr>
                <w:rFonts w:ascii="宋体" w:hAnsi="宋体" w:cs="宋体"/>
                <w:bCs/>
                <w:kern w:val="0"/>
                <w:sz w:val="20"/>
                <w:highlight w:val="none"/>
              </w:rPr>
            </w:pPr>
          </w:p>
        </w:tc>
        <w:tc>
          <w:tcPr>
            <w:tcW w:w="926" w:type="dxa"/>
            <w:shd w:val="clear" w:color="000000" w:fill="FFFFFF"/>
            <w:vAlign w:val="center"/>
          </w:tcPr>
          <w:p>
            <w:pPr>
              <w:widowControl/>
              <w:jc w:val="left"/>
              <w:rPr>
                <w:rFonts w:ascii="宋体" w:hAnsi="宋体" w:cs="宋体"/>
                <w:bCs/>
                <w:kern w:val="0"/>
                <w:sz w:val="20"/>
                <w:highlight w:val="none"/>
              </w:rPr>
            </w:pPr>
          </w:p>
        </w:tc>
        <w:tc>
          <w:tcPr>
            <w:tcW w:w="464" w:type="dxa"/>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76" w:type="dxa"/>
            <w:shd w:val="clear" w:color="000000" w:fill="FFFFFF"/>
            <w:vAlign w:val="center"/>
          </w:tcPr>
          <w:p>
            <w:pPr>
              <w:widowControl/>
              <w:jc w:val="left"/>
              <w:rPr>
                <w:rFonts w:ascii="宋体" w:hAnsi="宋体" w:cs="宋体"/>
                <w:b/>
                <w:bCs/>
                <w:kern w:val="0"/>
                <w:sz w:val="20"/>
                <w:highlight w:val="none"/>
              </w:rPr>
            </w:pPr>
          </w:p>
        </w:tc>
        <w:tc>
          <w:tcPr>
            <w:tcW w:w="2085" w:type="dxa"/>
            <w:shd w:val="clear" w:color="000000" w:fill="FFFFFF"/>
            <w:vAlign w:val="center"/>
          </w:tcPr>
          <w:p>
            <w:pPr>
              <w:widowControl/>
              <w:snapToGrid w:val="0"/>
              <w:rPr>
                <w:rFonts w:ascii="宋体" w:hAnsi="宋体" w:cs="宋体"/>
                <w:kern w:val="0"/>
                <w:sz w:val="22"/>
                <w:highlight w:val="none"/>
              </w:rPr>
            </w:pPr>
          </w:p>
        </w:tc>
        <w:tc>
          <w:tcPr>
            <w:tcW w:w="778" w:type="dxa"/>
            <w:shd w:val="clear" w:color="000000" w:fill="FFFFFF"/>
            <w:vAlign w:val="center"/>
          </w:tcPr>
          <w:p>
            <w:pPr>
              <w:widowControl/>
              <w:snapToGrid w:val="0"/>
              <w:rPr>
                <w:rFonts w:ascii="宋体" w:hAnsi="宋体"/>
                <w:b/>
                <w:bCs/>
                <w:kern w:val="0"/>
                <w:sz w:val="22"/>
                <w:highlight w:val="none"/>
              </w:rPr>
            </w:pPr>
          </w:p>
        </w:tc>
        <w:tc>
          <w:tcPr>
            <w:tcW w:w="505" w:type="dxa"/>
            <w:shd w:val="clear" w:color="000000" w:fill="FFFFFF"/>
            <w:vAlign w:val="center"/>
          </w:tcPr>
          <w:p>
            <w:pPr>
              <w:widowControl/>
              <w:snapToGrid w:val="0"/>
              <w:jc w:val="center"/>
              <w:rPr>
                <w:rFonts w:ascii="宋体" w:hAnsi="宋体" w:cs="宋体"/>
                <w:kern w:val="0"/>
                <w:sz w:val="20"/>
                <w:highlight w:val="none"/>
              </w:rPr>
            </w:pPr>
          </w:p>
        </w:tc>
        <w:tc>
          <w:tcPr>
            <w:tcW w:w="616" w:type="dxa"/>
            <w:shd w:val="clear" w:color="000000" w:fill="FFFFFF"/>
            <w:vAlign w:val="center"/>
          </w:tcPr>
          <w:p>
            <w:pPr>
              <w:widowControl/>
              <w:snapToGrid w:val="0"/>
              <w:jc w:val="center"/>
              <w:rPr>
                <w:rFonts w:ascii="宋体" w:hAnsi="宋体" w:cs="宋体"/>
                <w:b/>
                <w:bCs/>
                <w:kern w:val="0"/>
                <w:sz w:val="20"/>
                <w:highlight w:val="none"/>
              </w:rPr>
            </w:pPr>
          </w:p>
        </w:tc>
        <w:tc>
          <w:tcPr>
            <w:tcW w:w="520" w:type="dxa"/>
            <w:shd w:val="clear" w:color="000000" w:fill="FFFFFF"/>
            <w:vAlign w:val="center"/>
          </w:tcPr>
          <w:p>
            <w:pPr>
              <w:snapToGrid w:val="0"/>
              <w:jc w:val="center"/>
              <w:rPr>
                <w:rFonts w:ascii="宋体" w:hAnsi="宋体"/>
                <w:sz w:val="20"/>
                <w:highlight w:val="none"/>
              </w:rPr>
            </w:pPr>
          </w:p>
        </w:tc>
        <w:tc>
          <w:tcPr>
            <w:tcW w:w="472" w:type="dxa"/>
            <w:shd w:val="clear" w:color="000000" w:fill="FFFFFF"/>
            <w:vAlign w:val="center"/>
          </w:tcPr>
          <w:p>
            <w:pPr>
              <w:widowControl/>
              <w:snapToGrid w:val="0"/>
              <w:rPr>
                <w:rFonts w:ascii="宋体" w:hAnsi="宋体"/>
                <w:b/>
                <w:bCs/>
                <w:kern w:val="0"/>
                <w:sz w:val="22"/>
                <w:highlight w:val="none"/>
              </w:rPr>
            </w:pPr>
          </w:p>
        </w:tc>
        <w:tc>
          <w:tcPr>
            <w:tcW w:w="934" w:type="dxa"/>
            <w:shd w:val="clear" w:color="000000" w:fill="FFFFFF"/>
            <w:vAlign w:val="center"/>
          </w:tcPr>
          <w:p>
            <w:pPr>
              <w:widowControl/>
              <w:jc w:val="center"/>
              <w:rPr>
                <w:rFonts w:ascii="宋体" w:hAnsi="宋体" w:cs="宋体"/>
                <w:b/>
                <w:bCs/>
                <w:kern w:val="0"/>
                <w:sz w:val="20"/>
                <w:highlight w:val="none"/>
              </w:rPr>
            </w:pPr>
          </w:p>
        </w:tc>
        <w:tc>
          <w:tcPr>
            <w:tcW w:w="926" w:type="dxa"/>
            <w:shd w:val="clear" w:color="000000" w:fill="FFFFFF"/>
          </w:tcPr>
          <w:p>
            <w:pPr>
              <w:widowControl/>
              <w:jc w:val="left"/>
              <w:rPr>
                <w:rFonts w:ascii="宋体" w:hAnsi="宋体" w:cs="宋体"/>
                <w:bCs/>
                <w:kern w:val="0"/>
                <w:sz w:val="20"/>
                <w:highlight w:val="none"/>
              </w:rPr>
            </w:pPr>
          </w:p>
        </w:tc>
        <w:tc>
          <w:tcPr>
            <w:tcW w:w="926" w:type="dxa"/>
            <w:shd w:val="clear" w:color="000000" w:fill="FFFFFF"/>
          </w:tcPr>
          <w:p>
            <w:pPr>
              <w:widowControl/>
              <w:jc w:val="left"/>
              <w:rPr>
                <w:rFonts w:ascii="宋体" w:hAnsi="宋体" w:cs="宋体"/>
                <w:bCs/>
                <w:kern w:val="0"/>
                <w:sz w:val="20"/>
                <w:highlight w:val="none"/>
              </w:rPr>
            </w:pPr>
          </w:p>
        </w:tc>
        <w:tc>
          <w:tcPr>
            <w:tcW w:w="926" w:type="dxa"/>
            <w:shd w:val="clear" w:color="000000" w:fill="FFFFFF"/>
            <w:vAlign w:val="center"/>
          </w:tcPr>
          <w:p>
            <w:pPr>
              <w:widowControl/>
              <w:jc w:val="left"/>
              <w:rPr>
                <w:rFonts w:ascii="宋体" w:hAnsi="宋体" w:cs="宋体"/>
                <w:bCs/>
                <w:kern w:val="0"/>
                <w:sz w:val="20"/>
                <w:highlight w:val="none"/>
              </w:rPr>
            </w:pPr>
          </w:p>
        </w:tc>
        <w:tc>
          <w:tcPr>
            <w:tcW w:w="464" w:type="dxa"/>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76" w:type="dxa"/>
            <w:shd w:val="clear" w:color="000000" w:fill="FFFFFF"/>
            <w:vAlign w:val="center"/>
          </w:tcPr>
          <w:p>
            <w:pPr>
              <w:widowControl/>
              <w:jc w:val="left"/>
              <w:rPr>
                <w:rFonts w:ascii="宋体" w:hAnsi="宋体" w:cs="宋体"/>
                <w:b/>
                <w:bCs/>
                <w:kern w:val="0"/>
                <w:sz w:val="20"/>
                <w:highlight w:val="none"/>
              </w:rPr>
            </w:pPr>
          </w:p>
        </w:tc>
        <w:tc>
          <w:tcPr>
            <w:tcW w:w="2085" w:type="dxa"/>
            <w:shd w:val="clear" w:color="000000" w:fill="FFFFFF"/>
            <w:vAlign w:val="center"/>
          </w:tcPr>
          <w:p>
            <w:pPr>
              <w:widowControl/>
              <w:snapToGrid w:val="0"/>
              <w:rPr>
                <w:rFonts w:ascii="宋体" w:hAnsi="宋体" w:cs="宋体"/>
                <w:kern w:val="0"/>
                <w:sz w:val="22"/>
                <w:highlight w:val="none"/>
              </w:rPr>
            </w:pPr>
          </w:p>
        </w:tc>
        <w:tc>
          <w:tcPr>
            <w:tcW w:w="778" w:type="dxa"/>
            <w:shd w:val="clear" w:color="000000" w:fill="FFFFFF"/>
            <w:vAlign w:val="center"/>
          </w:tcPr>
          <w:p>
            <w:pPr>
              <w:widowControl/>
              <w:snapToGrid w:val="0"/>
              <w:rPr>
                <w:rFonts w:ascii="宋体" w:hAnsi="宋体"/>
                <w:b/>
                <w:bCs/>
                <w:kern w:val="0"/>
                <w:sz w:val="22"/>
                <w:highlight w:val="none"/>
              </w:rPr>
            </w:pPr>
          </w:p>
        </w:tc>
        <w:tc>
          <w:tcPr>
            <w:tcW w:w="505" w:type="dxa"/>
            <w:shd w:val="clear" w:color="000000" w:fill="FFFFFF"/>
            <w:vAlign w:val="center"/>
          </w:tcPr>
          <w:p>
            <w:pPr>
              <w:widowControl/>
              <w:snapToGrid w:val="0"/>
              <w:jc w:val="center"/>
              <w:rPr>
                <w:rFonts w:ascii="宋体" w:hAnsi="宋体" w:cs="宋体"/>
                <w:kern w:val="0"/>
                <w:sz w:val="20"/>
                <w:highlight w:val="none"/>
              </w:rPr>
            </w:pPr>
          </w:p>
        </w:tc>
        <w:tc>
          <w:tcPr>
            <w:tcW w:w="616" w:type="dxa"/>
            <w:shd w:val="clear" w:color="000000" w:fill="FFFFFF"/>
            <w:vAlign w:val="center"/>
          </w:tcPr>
          <w:p>
            <w:pPr>
              <w:widowControl/>
              <w:snapToGrid w:val="0"/>
              <w:jc w:val="center"/>
              <w:rPr>
                <w:rFonts w:ascii="宋体" w:hAnsi="宋体" w:cs="宋体"/>
                <w:b/>
                <w:bCs/>
                <w:kern w:val="0"/>
                <w:sz w:val="20"/>
                <w:highlight w:val="none"/>
              </w:rPr>
            </w:pPr>
          </w:p>
        </w:tc>
        <w:tc>
          <w:tcPr>
            <w:tcW w:w="520" w:type="dxa"/>
            <w:shd w:val="clear" w:color="000000" w:fill="FFFFFF"/>
            <w:vAlign w:val="center"/>
          </w:tcPr>
          <w:p>
            <w:pPr>
              <w:snapToGrid w:val="0"/>
              <w:jc w:val="center"/>
              <w:rPr>
                <w:rFonts w:ascii="宋体" w:hAnsi="宋体"/>
                <w:sz w:val="20"/>
                <w:highlight w:val="none"/>
              </w:rPr>
            </w:pPr>
          </w:p>
        </w:tc>
        <w:tc>
          <w:tcPr>
            <w:tcW w:w="472" w:type="dxa"/>
            <w:shd w:val="clear" w:color="000000" w:fill="FFFFFF"/>
            <w:vAlign w:val="center"/>
          </w:tcPr>
          <w:p>
            <w:pPr>
              <w:widowControl/>
              <w:snapToGrid w:val="0"/>
              <w:rPr>
                <w:rFonts w:ascii="宋体" w:hAnsi="宋体"/>
                <w:b/>
                <w:bCs/>
                <w:kern w:val="0"/>
                <w:sz w:val="22"/>
                <w:highlight w:val="none"/>
              </w:rPr>
            </w:pPr>
          </w:p>
        </w:tc>
        <w:tc>
          <w:tcPr>
            <w:tcW w:w="934" w:type="dxa"/>
            <w:shd w:val="clear" w:color="000000" w:fill="FFFFFF"/>
            <w:vAlign w:val="center"/>
          </w:tcPr>
          <w:p>
            <w:pPr>
              <w:widowControl/>
              <w:jc w:val="center"/>
              <w:rPr>
                <w:rFonts w:ascii="宋体" w:hAnsi="宋体" w:cs="宋体"/>
                <w:b/>
                <w:bCs/>
                <w:kern w:val="0"/>
                <w:sz w:val="20"/>
                <w:highlight w:val="none"/>
              </w:rPr>
            </w:pPr>
          </w:p>
        </w:tc>
        <w:tc>
          <w:tcPr>
            <w:tcW w:w="926" w:type="dxa"/>
            <w:shd w:val="clear" w:color="000000" w:fill="FFFFFF"/>
          </w:tcPr>
          <w:p>
            <w:pPr>
              <w:widowControl/>
              <w:jc w:val="left"/>
              <w:rPr>
                <w:rFonts w:ascii="宋体" w:hAnsi="宋体" w:cs="宋体"/>
                <w:bCs/>
                <w:kern w:val="0"/>
                <w:sz w:val="20"/>
                <w:highlight w:val="none"/>
              </w:rPr>
            </w:pPr>
          </w:p>
        </w:tc>
        <w:tc>
          <w:tcPr>
            <w:tcW w:w="926" w:type="dxa"/>
            <w:shd w:val="clear" w:color="000000" w:fill="FFFFFF"/>
          </w:tcPr>
          <w:p>
            <w:pPr>
              <w:widowControl/>
              <w:jc w:val="left"/>
              <w:rPr>
                <w:rFonts w:ascii="宋体" w:hAnsi="宋体" w:cs="宋体"/>
                <w:bCs/>
                <w:kern w:val="0"/>
                <w:sz w:val="20"/>
                <w:highlight w:val="none"/>
              </w:rPr>
            </w:pPr>
          </w:p>
        </w:tc>
        <w:tc>
          <w:tcPr>
            <w:tcW w:w="926" w:type="dxa"/>
            <w:shd w:val="clear" w:color="000000" w:fill="FFFFFF"/>
            <w:vAlign w:val="center"/>
          </w:tcPr>
          <w:p>
            <w:pPr>
              <w:widowControl/>
              <w:jc w:val="left"/>
              <w:rPr>
                <w:rFonts w:ascii="宋体" w:hAnsi="宋体" w:cs="宋体"/>
                <w:bCs/>
                <w:kern w:val="0"/>
                <w:sz w:val="20"/>
                <w:highlight w:val="none"/>
              </w:rPr>
            </w:pPr>
          </w:p>
        </w:tc>
        <w:tc>
          <w:tcPr>
            <w:tcW w:w="464" w:type="dxa"/>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76" w:type="dxa"/>
            <w:shd w:val="clear" w:color="000000" w:fill="FFFFFF"/>
            <w:vAlign w:val="center"/>
          </w:tcPr>
          <w:p>
            <w:pPr>
              <w:widowControl/>
              <w:jc w:val="left"/>
              <w:rPr>
                <w:rFonts w:ascii="宋体" w:hAnsi="宋体" w:cs="宋体"/>
                <w:b/>
                <w:bCs/>
                <w:kern w:val="0"/>
                <w:sz w:val="20"/>
                <w:highlight w:val="none"/>
              </w:rPr>
            </w:pPr>
          </w:p>
        </w:tc>
        <w:tc>
          <w:tcPr>
            <w:tcW w:w="2085" w:type="dxa"/>
            <w:shd w:val="clear" w:color="000000" w:fill="FFFFFF"/>
            <w:vAlign w:val="center"/>
          </w:tcPr>
          <w:p>
            <w:pPr>
              <w:widowControl/>
              <w:snapToGrid w:val="0"/>
              <w:rPr>
                <w:rFonts w:ascii="宋体" w:hAnsi="宋体" w:cs="宋体"/>
                <w:kern w:val="0"/>
                <w:sz w:val="22"/>
                <w:highlight w:val="none"/>
              </w:rPr>
            </w:pPr>
          </w:p>
        </w:tc>
        <w:tc>
          <w:tcPr>
            <w:tcW w:w="778" w:type="dxa"/>
            <w:shd w:val="clear" w:color="000000" w:fill="FFFFFF"/>
            <w:vAlign w:val="center"/>
          </w:tcPr>
          <w:p>
            <w:pPr>
              <w:widowControl/>
              <w:snapToGrid w:val="0"/>
              <w:rPr>
                <w:rFonts w:ascii="宋体" w:hAnsi="宋体"/>
                <w:b/>
                <w:bCs/>
                <w:kern w:val="0"/>
                <w:sz w:val="22"/>
                <w:highlight w:val="none"/>
              </w:rPr>
            </w:pPr>
          </w:p>
        </w:tc>
        <w:tc>
          <w:tcPr>
            <w:tcW w:w="505" w:type="dxa"/>
            <w:shd w:val="clear" w:color="000000" w:fill="FFFFFF"/>
            <w:vAlign w:val="center"/>
          </w:tcPr>
          <w:p>
            <w:pPr>
              <w:widowControl/>
              <w:snapToGrid w:val="0"/>
              <w:jc w:val="center"/>
              <w:rPr>
                <w:rFonts w:ascii="宋体" w:hAnsi="宋体" w:cs="宋体"/>
                <w:kern w:val="0"/>
                <w:sz w:val="20"/>
                <w:highlight w:val="none"/>
              </w:rPr>
            </w:pPr>
          </w:p>
        </w:tc>
        <w:tc>
          <w:tcPr>
            <w:tcW w:w="616" w:type="dxa"/>
            <w:shd w:val="clear" w:color="000000" w:fill="FFFFFF"/>
            <w:vAlign w:val="center"/>
          </w:tcPr>
          <w:p>
            <w:pPr>
              <w:widowControl/>
              <w:snapToGrid w:val="0"/>
              <w:jc w:val="center"/>
              <w:rPr>
                <w:rFonts w:ascii="宋体" w:hAnsi="宋体" w:cs="宋体"/>
                <w:b/>
                <w:bCs/>
                <w:kern w:val="0"/>
                <w:sz w:val="20"/>
                <w:highlight w:val="none"/>
              </w:rPr>
            </w:pPr>
          </w:p>
        </w:tc>
        <w:tc>
          <w:tcPr>
            <w:tcW w:w="520" w:type="dxa"/>
            <w:shd w:val="clear" w:color="000000" w:fill="FFFFFF"/>
            <w:vAlign w:val="center"/>
          </w:tcPr>
          <w:p>
            <w:pPr>
              <w:snapToGrid w:val="0"/>
              <w:jc w:val="center"/>
              <w:rPr>
                <w:rFonts w:ascii="宋体" w:hAnsi="宋体"/>
                <w:sz w:val="20"/>
                <w:highlight w:val="none"/>
              </w:rPr>
            </w:pPr>
          </w:p>
        </w:tc>
        <w:tc>
          <w:tcPr>
            <w:tcW w:w="472" w:type="dxa"/>
            <w:shd w:val="clear" w:color="000000" w:fill="FFFFFF"/>
            <w:vAlign w:val="center"/>
          </w:tcPr>
          <w:p>
            <w:pPr>
              <w:widowControl/>
              <w:snapToGrid w:val="0"/>
              <w:rPr>
                <w:rFonts w:ascii="宋体" w:hAnsi="宋体"/>
                <w:b/>
                <w:bCs/>
                <w:kern w:val="0"/>
                <w:sz w:val="22"/>
                <w:highlight w:val="none"/>
              </w:rPr>
            </w:pPr>
          </w:p>
        </w:tc>
        <w:tc>
          <w:tcPr>
            <w:tcW w:w="934" w:type="dxa"/>
            <w:shd w:val="clear" w:color="000000" w:fill="FFFFFF"/>
            <w:vAlign w:val="center"/>
          </w:tcPr>
          <w:p>
            <w:pPr>
              <w:widowControl/>
              <w:jc w:val="center"/>
              <w:rPr>
                <w:rFonts w:ascii="宋体" w:hAnsi="宋体" w:cs="宋体"/>
                <w:b/>
                <w:bCs/>
                <w:kern w:val="0"/>
                <w:sz w:val="20"/>
                <w:highlight w:val="none"/>
              </w:rPr>
            </w:pPr>
          </w:p>
        </w:tc>
        <w:tc>
          <w:tcPr>
            <w:tcW w:w="926" w:type="dxa"/>
            <w:shd w:val="clear" w:color="000000" w:fill="FFFFFF"/>
          </w:tcPr>
          <w:p>
            <w:pPr>
              <w:widowControl/>
              <w:jc w:val="left"/>
              <w:rPr>
                <w:rFonts w:ascii="宋体" w:hAnsi="宋体" w:cs="宋体"/>
                <w:bCs/>
                <w:kern w:val="0"/>
                <w:sz w:val="20"/>
                <w:highlight w:val="none"/>
              </w:rPr>
            </w:pPr>
          </w:p>
        </w:tc>
        <w:tc>
          <w:tcPr>
            <w:tcW w:w="926" w:type="dxa"/>
            <w:shd w:val="clear" w:color="000000" w:fill="FFFFFF"/>
          </w:tcPr>
          <w:p>
            <w:pPr>
              <w:widowControl/>
              <w:jc w:val="left"/>
              <w:rPr>
                <w:rFonts w:ascii="宋体" w:hAnsi="宋体" w:cs="宋体"/>
                <w:bCs/>
                <w:kern w:val="0"/>
                <w:sz w:val="20"/>
                <w:highlight w:val="none"/>
              </w:rPr>
            </w:pPr>
          </w:p>
        </w:tc>
        <w:tc>
          <w:tcPr>
            <w:tcW w:w="926" w:type="dxa"/>
            <w:shd w:val="clear" w:color="000000" w:fill="FFFFFF"/>
            <w:vAlign w:val="center"/>
          </w:tcPr>
          <w:p>
            <w:pPr>
              <w:widowControl/>
              <w:jc w:val="left"/>
              <w:rPr>
                <w:rFonts w:ascii="宋体" w:hAnsi="宋体" w:cs="宋体"/>
                <w:bCs/>
                <w:kern w:val="0"/>
                <w:sz w:val="20"/>
                <w:highlight w:val="none"/>
              </w:rPr>
            </w:pPr>
          </w:p>
        </w:tc>
        <w:tc>
          <w:tcPr>
            <w:tcW w:w="464" w:type="dxa"/>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386" w:type="dxa"/>
            <w:gridSpan w:val="8"/>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合计</w:t>
            </w:r>
          </w:p>
        </w:tc>
        <w:tc>
          <w:tcPr>
            <w:tcW w:w="926" w:type="dxa"/>
          </w:tcPr>
          <w:p>
            <w:pPr>
              <w:widowControl/>
              <w:jc w:val="center"/>
              <w:rPr>
                <w:rFonts w:ascii="宋体" w:hAnsi="宋体" w:cs="宋体"/>
                <w:kern w:val="0"/>
                <w:sz w:val="20"/>
                <w:highlight w:val="none"/>
              </w:rPr>
            </w:pPr>
          </w:p>
        </w:tc>
        <w:tc>
          <w:tcPr>
            <w:tcW w:w="926" w:type="dxa"/>
          </w:tcPr>
          <w:p>
            <w:pPr>
              <w:widowControl/>
              <w:jc w:val="center"/>
              <w:rPr>
                <w:rFonts w:ascii="宋体" w:hAnsi="宋体" w:cs="宋体"/>
                <w:kern w:val="0"/>
                <w:sz w:val="20"/>
                <w:highlight w:val="none"/>
              </w:rPr>
            </w:pPr>
          </w:p>
        </w:tc>
        <w:tc>
          <w:tcPr>
            <w:tcW w:w="926" w:type="dxa"/>
            <w:vAlign w:val="center"/>
          </w:tcPr>
          <w:p>
            <w:pPr>
              <w:widowControl/>
              <w:jc w:val="center"/>
              <w:rPr>
                <w:rFonts w:ascii="宋体" w:hAnsi="宋体" w:cs="宋体"/>
                <w:kern w:val="0"/>
                <w:sz w:val="20"/>
                <w:highlight w:val="none"/>
              </w:rPr>
            </w:pPr>
            <w:r>
              <w:rPr>
                <w:rFonts w:hint="eastAsia" w:ascii="宋体" w:hAnsi="宋体" w:cs="宋体"/>
                <w:kern w:val="0"/>
                <w:sz w:val="20"/>
                <w:highlight w:val="none"/>
              </w:rPr>
              <w:t>　　</w:t>
            </w:r>
          </w:p>
        </w:tc>
        <w:tc>
          <w:tcPr>
            <w:tcW w:w="464" w:type="dxa"/>
            <w:vAlign w:val="center"/>
          </w:tcPr>
          <w:p>
            <w:pPr>
              <w:widowControl/>
              <w:jc w:val="center"/>
              <w:rPr>
                <w:rFonts w:ascii="宋体" w:hAnsi="宋体" w:cs="宋体"/>
                <w:kern w:val="0"/>
                <w:sz w:val="20"/>
                <w:highlight w:val="none"/>
              </w:rPr>
            </w:pPr>
            <w:r>
              <w:rPr>
                <w:rFonts w:hint="eastAsia" w:ascii="宋体" w:hAnsi="宋体" w:cs="宋体"/>
                <w:kern w:val="0"/>
                <w:sz w:val="20"/>
                <w:highlight w:val="none"/>
              </w:rPr>
              <w:t>　</w:t>
            </w:r>
          </w:p>
        </w:tc>
      </w:tr>
    </w:tbl>
    <w:p>
      <w:pPr>
        <w:spacing w:line="360" w:lineRule="auto"/>
        <w:rPr>
          <w:rFonts w:ascii="宋体" w:hAnsi="宋体" w:cs="宋体"/>
          <w:sz w:val="22"/>
          <w:highlight w:val="none"/>
        </w:rPr>
      </w:pPr>
      <w:r>
        <w:rPr>
          <w:rFonts w:hint="eastAsia" w:ascii="宋体" w:hAnsi="宋体" w:cs="宋体"/>
          <w:sz w:val="22"/>
          <w:highlight w:val="none"/>
        </w:rPr>
        <w:t>注：免费质保期</w:t>
      </w:r>
      <w:r>
        <w:rPr>
          <w:rFonts w:ascii="宋体" w:hAnsi="宋体" w:cs="宋体"/>
          <w:sz w:val="22"/>
          <w:highlight w:val="none"/>
        </w:rPr>
        <w:t>满后正常运行二年</w:t>
      </w:r>
      <w:r>
        <w:rPr>
          <w:rFonts w:hint="eastAsia" w:ascii="宋体" w:hAnsi="宋体" w:cs="宋体"/>
          <w:sz w:val="22"/>
          <w:highlight w:val="none"/>
        </w:rPr>
        <w:t>内</w:t>
      </w:r>
      <w:r>
        <w:rPr>
          <w:rFonts w:ascii="宋体" w:hAnsi="宋体" w:cs="宋体"/>
          <w:sz w:val="22"/>
          <w:highlight w:val="none"/>
        </w:rPr>
        <w:t>所需的备品、备件，</w:t>
      </w:r>
      <w:r>
        <w:rPr>
          <w:rFonts w:hint="eastAsia" w:ascii="宋体" w:hAnsi="宋体" w:cs="宋体"/>
          <w:sz w:val="22"/>
          <w:highlight w:val="none"/>
        </w:rPr>
        <w:t>清单由投标人自列，费用不计入总价。</w:t>
      </w:r>
    </w:p>
    <w:p>
      <w:pPr>
        <w:spacing w:line="360" w:lineRule="auto"/>
        <w:jc w:val="center"/>
        <w:rPr>
          <w:rFonts w:ascii="宋体" w:hAnsi="宋体" w:cs="宋体"/>
          <w:b/>
          <w:sz w:val="32"/>
          <w:szCs w:val="32"/>
          <w:highlight w:val="none"/>
        </w:rPr>
      </w:pPr>
      <w:r>
        <w:rPr>
          <w:rFonts w:hint="eastAsia" w:ascii="宋体" w:hAnsi="宋体" w:cs="宋体"/>
          <w:b/>
          <w:sz w:val="32"/>
          <w:szCs w:val="32"/>
          <w:highlight w:val="none"/>
        </w:rPr>
        <w:t>4.5投标设备每年耗材报价表</w:t>
      </w:r>
    </w:p>
    <w:p>
      <w:pPr>
        <w:spacing w:line="360" w:lineRule="auto"/>
        <w:rPr>
          <w:rFonts w:ascii="宋体" w:hAnsi="宋体" w:cs="宋体"/>
          <w:sz w:val="22"/>
          <w:highlight w:val="none"/>
        </w:rPr>
      </w:pPr>
      <w:r>
        <w:rPr>
          <w:rFonts w:hint="eastAsia" w:ascii="宋体" w:hAnsi="宋体" w:cs="宋体"/>
          <w:sz w:val="22"/>
          <w:highlight w:val="none"/>
        </w:rPr>
        <w:t>格式自拟</w:t>
      </w:r>
    </w:p>
    <w:p>
      <w:pPr>
        <w:spacing w:line="360" w:lineRule="auto"/>
        <w:rPr>
          <w:rFonts w:ascii="宋体" w:hAnsi="宋体" w:cs="宋体"/>
          <w:sz w:val="22"/>
          <w:highlight w:val="none"/>
        </w:rPr>
      </w:pPr>
      <w:r>
        <w:rPr>
          <w:rFonts w:hint="eastAsia" w:ascii="宋体" w:hAnsi="宋体" w:cs="宋体"/>
          <w:sz w:val="22"/>
          <w:highlight w:val="none"/>
        </w:rPr>
        <w:t>注：按照每台设备每年10万次检测计算。（使用耗材包括采样试纸、试剂、干燥剂等）</w:t>
      </w:r>
    </w:p>
    <w:p>
      <w:pPr>
        <w:spacing w:line="360" w:lineRule="auto"/>
        <w:jc w:val="center"/>
        <w:rPr>
          <w:rFonts w:ascii="宋体" w:hAnsi="宋体" w:cs="宋体"/>
          <w:sz w:val="22"/>
          <w:highlight w:val="none"/>
        </w:rPr>
      </w:pPr>
      <w:r>
        <w:rPr>
          <w:rFonts w:ascii="宋体" w:hAnsi="宋体"/>
          <w:sz w:val="22"/>
          <w:highlight w:val="none"/>
        </w:rPr>
        <w:br w:type="page"/>
      </w:r>
    </w:p>
    <w:p>
      <w:pPr>
        <w:spacing w:line="440" w:lineRule="exact"/>
        <w:jc w:val="center"/>
        <w:rPr>
          <w:rFonts w:ascii="宋体" w:hAnsi="宋体" w:cs="Arial"/>
          <w:b/>
          <w:sz w:val="22"/>
          <w:highlight w:val="none"/>
        </w:rPr>
      </w:pPr>
    </w:p>
    <w:p>
      <w:pPr>
        <w:spacing w:line="440" w:lineRule="exact"/>
        <w:jc w:val="center"/>
        <w:rPr>
          <w:rFonts w:ascii="Calibri" w:hAnsi="Calibri" w:eastAsia="黑体" w:cs="Calibri"/>
          <w:color w:val="000000"/>
          <w:sz w:val="32"/>
          <w:szCs w:val="32"/>
          <w:highlight w:val="none"/>
        </w:rPr>
      </w:pPr>
      <w:r>
        <w:rPr>
          <w:rFonts w:hint="eastAsia" w:ascii="Calibri" w:hAnsi="Calibri" w:eastAsia="黑体" w:cs="Calibri"/>
          <w:color w:val="000000"/>
          <w:sz w:val="32"/>
          <w:szCs w:val="32"/>
          <w:highlight w:val="none"/>
        </w:rPr>
        <w:t>五、</w:t>
      </w:r>
      <w:r>
        <w:rPr>
          <w:rFonts w:ascii="Calibri" w:hAnsi="Calibri" w:eastAsia="黑体" w:cs="Calibri"/>
          <w:color w:val="000000"/>
          <w:sz w:val="32"/>
          <w:szCs w:val="32"/>
          <w:highlight w:val="none"/>
        </w:rPr>
        <w:t>投标人资格证明文件</w:t>
      </w:r>
    </w:p>
    <w:p>
      <w:pPr>
        <w:overflowPunct w:val="0"/>
        <w:autoSpaceDE w:val="0"/>
        <w:autoSpaceDN w:val="0"/>
        <w:spacing w:line="440" w:lineRule="exact"/>
        <w:ind w:left="839" w:hanging="839"/>
        <w:jc w:val="center"/>
        <w:rPr>
          <w:rFonts w:ascii="宋体" w:hAnsi="宋体" w:cs="宋体"/>
          <w:b/>
          <w:sz w:val="32"/>
          <w:szCs w:val="32"/>
          <w:highlight w:val="none"/>
        </w:rPr>
      </w:pPr>
    </w:p>
    <w:p>
      <w:pPr>
        <w:spacing w:line="360" w:lineRule="auto"/>
        <w:jc w:val="center"/>
        <w:rPr>
          <w:rFonts w:ascii="宋体" w:hAnsi="宋体" w:cs="宋体"/>
          <w:b/>
          <w:sz w:val="32"/>
          <w:szCs w:val="32"/>
          <w:highlight w:val="none"/>
        </w:rPr>
      </w:pPr>
      <w:r>
        <w:rPr>
          <w:rFonts w:hint="eastAsia" w:ascii="宋体" w:hAnsi="宋体" w:cs="宋体"/>
          <w:b/>
          <w:sz w:val="32"/>
          <w:szCs w:val="32"/>
          <w:highlight w:val="none"/>
        </w:rPr>
        <w:t>（一）投标人一般情况</w:t>
      </w:r>
    </w:p>
    <w:tbl>
      <w:tblPr>
        <w:tblStyle w:val="52"/>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highlight w:val="none"/>
              </w:rPr>
            </w:pPr>
            <w:r>
              <w:rPr>
                <w:rFonts w:hint="eastAsia" w:ascii="宋体" w:hAnsi="宋体" w:cs="宋体"/>
                <w:sz w:val="22"/>
                <w:highlight w:val="none"/>
              </w:rPr>
              <w:t>企业名称</w:t>
            </w:r>
          </w:p>
        </w:tc>
        <w:tc>
          <w:tcPr>
            <w:tcW w:w="3165" w:type="dxa"/>
            <w:gridSpan w:val="5"/>
            <w:vAlign w:val="center"/>
          </w:tcPr>
          <w:p>
            <w:pPr>
              <w:snapToGrid w:val="0"/>
              <w:ind w:left="-170" w:right="-170"/>
              <w:jc w:val="center"/>
              <w:rPr>
                <w:rFonts w:ascii="宋体" w:hAnsi="宋体" w:cs="宋体"/>
                <w:sz w:val="22"/>
                <w:highlight w:val="none"/>
              </w:rPr>
            </w:pPr>
          </w:p>
        </w:tc>
        <w:tc>
          <w:tcPr>
            <w:tcW w:w="1748" w:type="dxa"/>
            <w:gridSpan w:val="3"/>
            <w:vAlign w:val="center"/>
          </w:tcPr>
          <w:p>
            <w:pPr>
              <w:snapToGrid w:val="0"/>
              <w:ind w:left="-170" w:right="-170"/>
              <w:jc w:val="center"/>
              <w:rPr>
                <w:rFonts w:ascii="宋体" w:hAnsi="宋体" w:cs="宋体"/>
                <w:sz w:val="22"/>
                <w:highlight w:val="none"/>
              </w:rPr>
            </w:pPr>
            <w:r>
              <w:rPr>
                <w:rFonts w:hint="eastAsia" w:ascii="宋体" w:hAnsi="宋体" w:cs="宋体"/>
                <w:sz w:val="22"/>
                <w:highlight w:val="none"/>
              </w:rPr>
              <w:t>主管部门</w:t>
            </w:r>
          </w:p>
        </w:tc>
        <w:tc>
          <w:tcPr>
            <w:tcW w:w="2730" w:type="dxa"/>
            <w:gridSpan w:val="2"/>
            <w:vAlign w:val="center"/>
          </w:tcPr>
          <w:p>
            <w:pPr>
              <w:snapToGrid w:val="0"/>
              <w:ind w:left="-170" w:right="-170"/>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highlight w:val="none"/>
              </w:rPr>
            </w:pPr>
            <w:r>
              <w:rPr>
                <w:rFonts w:hint="eastAsia" w:ascii="宋体" w:hAnsi="宋体" w:cs="宋体"/>
                <w:sz w:val="22"/>
                <w:highlight w:val="none"/>
              </w:rPr>
              <w:t>经济类型</w:t>
            </w:r>
          </w:p>
        </w:tc>
        <w:tc>
          <w:tcPr>
            <w:tcW w:w="3165" w:type="dxa"/>
            <w:gridSpan w:val="5"/>
            <w:vAlign w:val="center"/>
          </w:tcPr>
          <w:p>
            <w:pPr>
              <w:snapToGrid w:val="0"/>
              <w:ind w:left="-170" w:right="-170"/>
              <w:jc w:val="center"/>
              <w:rPr>
                <w:rFonts w:ascii="宋体" w:hAnsi="宋体" w:cs="宋体"/>
                <w:sz w:val="22"/>
                <w:highlight w:val="none"/>
              </w:rPr>
            </w:pPr>
          </w:p>
        </w:tc>
        <w:tc>
          <w:tcPr>
            <w:tcW w:w="1748" w:type="dxa"/>
            <w:gridSpan w:val="3"/>
            <w:vAlign w:val="center"/>
          </w:tcPr>
          <w:p>
            <w:pPr>
              <w:snapToGrid w:val="0"/>
              <w:ind w:left="-170" w:right="-170"/>
              <w:jc w:val="center"/>
              <w:rPr>
                <w:rFonts w:ascii="宋体" w:hAnsi="宋体" w:cs="宋体"/>
                <w:sz w:val="22"/>
                <w:highlight w:val="none"/>
              </w:rPr>
            </w:pPr>
            <w:r>
              <w:rPr>
                <w:rFonts w:hint="eastAsia" w:ascii="宋体" w:hAnsi="宋体" w:cs="宋体"/>
                <w:sz w:val="22"/>
                <w:highlight w:val="none"/>
              </w:rPr>
              <w:t>法定代表人</w:t>
            </w:r>
          </w:p>
        </w:tc>
        <w:tc>
          <w:tcPr>
            <w:tcW w:w="2730" w:type="dxa"/>
            <w:gridSpan w:val="2"/>
            <w:vAlign w:val="center"/>
          </w:tcPr>
          <w:p>
            <w:pPr>
              <w:snapToGrid w:val="0"/>
              <w:ind w:left="-170" w:right="-170"/>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highlight w:val="none"/>
              </w:rPr>
            </w:pPr>
            <w:r>
              <w:rPr>
                <w:rFonts w:hint="eastAsia" w:ascii="宋体" w:hAnsi="宋体" w:cs="宋体"/>
                <w:sz w:val="22"/>
                <w:highlight w:val="none"/>
              </w:rPr>
              <w:t>单位简历</w:t>
            </w:r>
          </w:p>
        </w:tc>
        <w:tc>
          <w:tcPr>
            <w:tcW w:w="7643" w:type="dxa"/>
            <w:gridSpan w:val="10"/>
            <w:vAlign w:val="center"/>
          </w:tcPr>
          <w:p>
            <w:pPr>
              <w:snapToGrid w:val="0"/>
              <w:ind w:right="-170"/>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highlight w:val="none"/>
              </w:rPr>
            </w:pPr>
            <w:r>
              <w:rPr>
                <w:rFonts w:hint="eastAsia" w:ascii="宋体" w:hAnsi="宋体" w:cs="宋体"/>
                <w:sz w:val="22"/>
                <w:highlight w:val="none"/>
              </w:rPr>
              <w:t>单位优势</w:t>
            </w:r>
          </w:p>
          <w:p>
            <w:pPr>
              <w:snapToGrid w:val="0"/>
              <w:ind w:left="-170" w:right="-170"/>
              <w:jc w:val="center"/>
              <w:rPr>
                <w:rFonts w:ascii="宋体" w:hAnsi="宋体" w:cs="宋体"/>
                <w:sz w:val="22"/>
                <w:highlight w:val="none"/>
              </w:rPr>
            </w:pPr>
            <w:r>
              <w:rPr>
                <w:rFonts w:hint="eastAsia" w:ascii="宋体" w:hAnsi="宋体" w:cs="宋体"/>
                <w:sz w:val="22"/>
                <w:highlight w:val="none"/>
              </w:rPr>
              <w:t>及 特 长</w:t>
            </w:r>
          </w:p>
        </w:tc>
        <w:tc>
          <w:tcPr>
            <w:tcW w:w="7643" w:type="dxa"/>
            <w:gridSpan w:val="10"/>
            <w:vAlign w:val="center"/>
          </w:tcPr>
          <w:p>
            <w:pPr>
              <w:pStyle w:val="36"/>
              <w:rPr>
                <w:rFonts w:ascii="宋体" w:hAnsi="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highlight w:val="none"/>
              </w:rPr>
            </w:pPr>
            <w:r>
              <w:rPr>
                <w:rFonts w:hint="eastAsia" w:ascii="宋体" w:hAnsi="宋体" w:cs="宋体"/>
                <w:sz w:val="22"/>
                <w:highlight w:val="none"/>
              </w:rPr>
              <w:t>单 位 概 况</w:t>
            </w:r>
          </w:p>
        </w:tc>
        <w:tc>
          <w:tcPr>
            <w:tcW w:w="1740" w:type="dxa"/>
            <w:gridSpan w:val="3"/>
            <w:vAlign w:val="center"/>
          </w:tcPr>
          <w:p>
            <w:pPr>
              <w:snapToGrid w:val="0"/>
              <w:ind w:left="-170" w:right="-170"/>
              <w:jc w:val="center"/>
              <w:rPr>
                <w:rFonts w:ascii="宋体" w:hAnsi="宋体" w:cs="宋体"/>
                <w:sz w:val="22"/>
                <w:highlight w:val="none"/>
              </w:rPr>
            </w:pPr>
            <w:r>
              <w:rPr>
                <w:rFonts w:hint="eastAsia" w:ascii="宋体" w:hAnsi="宋体" w:cs="宋体"/>
                <w:sz w:val="22"/>
                <w:highlight w:val="none"/>
              </w:rPr>
              <w:t>职工总人数</w:t>
            </w:r>
          </w:p>
        </w:tc>
        <w:tc>
          <w:tcPr>
            <w:tcW w:w="1703" w:type="dxa"/>
            <w:gridSpan w:val="3"/>
            <w:vAlign w:val="center"/>
          </w:tcPr>
          <w:p>
            <w:pPr>
              <w:snapToGrid w:val="0"/>
              <w:ind w:left="-170" w:right="-170"/>
              <w:jc w:val="center"/>
              <w:rPr>
                <w:rFonts w:ascii="宋体" w:hAnsi="宋体" w:cs="宋体"/>
                <w:sz w:val="22"/>
                <w:highlight w:val="none"/>
              </w:rPr>
            </w:pPr>
            <w:r>
              <w:rPr>
                <w:rFonts w:hint="eastAsia" w:ascii="宋体" w:hAnsi="宋体" w:cs="宋体"/>
                <w:sz w:val="22"/>
                <w:highlight w:val="none"/>
              </w:rPr>
              <w:t>人</w:t>
            </w:r>
          </w:p>
        </w:tc>
        <w:tc>
          <w:tcPr>
            <w:tcW w:w="2205" w:type="dxa"/>
            <w:gridSpan w:val="3"/>
            <w:vAlign w:val="center"/>
          </w:tcPr>
          <w:p>
            <w:pPr>
              <w:snapToGrid w:val="0"/>
              <w:ind w:left="-170" w:right="-170"/>
              <w:jc w:val="center"/>
              <w:rPr>
                <w:rFonts w:ascii="宋体" w:hAnsi="宋体" w:cs="宋体"/>
                <w:sz w:val="22"/>
                <w:highlight w:val="none"/>
              </w:rPr>
            </w:pPr>
            <w:r>
              <w:rPr>
                <w:rFonts w:hint="eastAsia" w:ascii="宋体" w:hAnsi="宋体" w:cs="宋体"/>
                <w:sz w:val="22"/>
                <w:highlight w:val="none"/>
              </w:rPr>
              <w:t>工程技术人员</w:t>
            </w:r>
          </w:p>
        </w:tc>
        <w:tc>
          <w:tcPr>
            <w:tcW w:w="1995" w:type="dxa"/>
            <w:vAlign w:val="center"/>
          </w:tcPr>
          <w:p>
            <w:pPr>
              <w:snapToGrid w:val="0"/>
              <w:ind w:left="-170" w:right="-170"/>
              <w:jc w:val="center"/>
              <w:rPr>
                <w:rFonts w:ascii="宋体" w:hAnsi="宋体" w:cs="宋体"/>
                <w:sz w:val="22"/>
                <w:highlight w:val="none"/>
              </w:rPr>
            </w:pPr>
            <w:r>
              <w:rPr>
                <w:rFonts w:hint="eastAsia" w:ascii="宋体" w:hAnsi="宋体" w:cs="宋体"/>
                <w:sz w:val="22"/>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highlight w:val="none"/>
              </w:rPr>
            </w:pPr>
          </w:p>
        </w:tc>
        <w:tc>
          <w:tcPr>
            <w:tcW w:w="1740" w:type="dxa"/>
            <w:gridSpan w:val="3"/>
            <w:vAlign w:val="center"/>
          </w:tcPr>
          <w:p>
            <w:pPr>
              <w:snapToGrid w:val="0"/>
              <w:ind w:left="-170" w:right="-170"/>
              <w:jc w:val="center"/>
              <w:rPr>
                <w:rFonts w:ascii="宋体" w:hAnsi="宋体" w:cs="宋体"/>
                <w:sz w:val="22"/>
                <w:highlight w:val="none"/>
              </w:rPr>
            </w:pPr>
            <w:r>
              <w:rPr>
                <w:rFonts w:hint="eastAsia" w:ascii="宋体" w:hAnsi="宋体" w:cs="宋体"/>
                <w:sz w:val="22"/>
                <w:highlight w:val="none"/>
              </w:rPr>
              <w:t>生产工人</w:t>
            </w:r>
          </w:p>
        </w:tc>
        <w:tc>
          <w:tcPr>
            <w:tcW w:w="1703" w:type="dxa"/>
            <w:gridSpan w:val="3"/>
            <w:vAlign w:val="center"/>
          </w:tcPr>
          <w:p>
            <w:pPr>
              <w:snapToGrid w:val="0"/>
              <w:ind w:left="-170" w:right="-170"/>
              <w:jc w:val="center"/>
              <w:rPr>
                <w:rFonts w:ascii="宋体" w:hAnsi="宋体" w:cs="宋体"/>
                <w:sz w:val="22"/>
                <w:highlight w:val="none"/>
              </w:rPr>
            </w:pPr>
            <w:r>
              <w:rPr>
                <w:rFonts w:hint="eastAsia" w:ascii="宋体" w:hAnsi="宋体" w:cs="宋体"/>
                <w:sz w:val="22"/>
                <w:highlight w:val="none"/>
              </w:rPr>
              <w:t>人</w:t>
            </w:r>
          </w:p>
        </w:tc>
        <w:tc>
          <w:tcPr>
            <w:tcW w:w="2205" w:type="dxa"/>
            <w:gridSpan w:val="3"/>
            <w:vAlign w:val="center"/>
          </w:tcPr>
          <w:p>
            <w:pPr>
              <w:snapToGrid w:val="0"/>
              <w:ind w:left="-170" w:right="-170"/>
              <w:jc w:val="center"/>
              <w:rPr>
                <w:rFonts w:ascii="宋体" w:hAnsi="宋体" w:cs="宋体"/>
                <w:sz w:val="22"/>
                <w:highlight w:val="none"/>
              </w:rPr>
            </w:pPr>
            <w:r>
              <w:rPr>
                <w:rFonts w:hint="eastAsia" w:ascii="宋体" w:hAnsi="宋体" w:cs="宋体"/>
                <w:sz w:val="22"/>
                <w:highlight w:val="none"/>
              </w:rPr>
              <w:t>销售人员</w:t>
            </w:r>
          </w:p>
        </w:tc>
        <w:tc>
          <w:tcPr>
            <w:tcW w:w="1995" w:type="dxa"/>
            <w:vAlign w:val="center"/>
          </w:tcPr>
          <w:p>
            <w:pPr>
              <w:snapToGrid w:val="0"/>
              <w:ind w:left="-170" w:right="-170"/>
              <w:jc w:val="center"/>
              <w:rPr>
                <w:rFonts w:ascii="宋体" w:hAnsi="宋体" w:cs="宋体"/>
                <w:sz w:val="22"/>
                <w:highlight w:val="none"/>
              </w:rPr>
            </w:pPr>
            <w:r>
              <w:rPr>
                <w:rFonts w:hint="eastAsia" w:ascii="宋体" w:hAnsi="宋体" w:cs="宋体"/>
                <w:sz w:val="22"/>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highlight w:val="none"/>
              </w:rPr>
            </w:pPr>
          </w:p>
        </w:tc>
        <w:tc>
          <w:tcPr>
            <w:tcW w:w="1028" w:type="dxa"/>
            <w:vMerge w:val="restart"/>
            <w:vAlign w:val="center"/>
          </w:tcPr>
          <w:p>
            <w:pPr>
              <w:snapToGrid w:val="0"/>
              <w:ind w:left="-170" w:right="-170"/>
              <w:jc w:val="center"/>
              <w:rPr>
                <w:rFonts w:ascii="宋体" w:hAnsi="宋体" w:cs="宋体"/>
                <w:sz w:val="22"/>
                <w:highlight w:val="none"/>
              </w:rPr>
            </w:pPr>
            <w:r>
              <w:rPr>
                <w:rFonts w:hint="eastAsia" w:ascii="宋体" w:hAnsi="宋体" w:cs="宋体"/>
                <w:sz w:val="22"/>
                <w:highlight w:val="none"/>
              </w:rPr>
              <w:t>固定</w:t>
            </w:r>
          </w:p>
          <w:p>
            <w:pPr>
              <w:snapToGrid w:val="0"/>
              <w:ind w:left="-170" w:right="-170"/>
              <w:jc w:val="center"/>
              <w:rPr>
                <w:rFonts w:ascii="宋体" w:hAnsi="宋体" w:cs="宋体"/>
                <w:sz w:val="22"/>
                <w:highlight w:val="none"/>
              </w:rPr>
            </w:pPr>
            <w:r>
              <w:rPr>
                <w:rFonts w:hint="eastAsia" w:ascii="宋体" w:hAnsi="宋体" w:cs="宋体"/>
                <w:sz w:val="22"/>
                <w:highlight w:val="none"/>
              </w:rPr>
              <w:t>资产</w:t>
            </w:r>
          </w:p>
        </w:tc>
        <w:tc>
          <w:tcPr>
            <w:tcW w:w="1575" w:type="dxa"/>
            <w:gridSpan w:val="3"/>
            <w:vMerge w:val="restart"/>
            <w:vAlign w:val="center"/>
          </w:tcPr>
          <w:p>
            <w:pPr>
              <w:snapToGrid w:val="0"/>
              <w:ind w:left="-170" w:right="-170"/>
              <w:jc w:val="center"/>
              <w:rPr>
                <w:rFonts w:ascii="宋体" w:hAnsi="宋体" w:cs="宋体"/>
                <w:sz w:val="22"/>
                <w:highlight w:val="none"/>
              </w:rPr>
            </w:pPr>
            <w:r>
              <w:rPr>
                <w:rFonts w:hint="eastAsia" w:ascii="宋体" w:hAnsi="宋体" w:cs="宋体"/>
                <w:sz w:val="22"/>
                <w:highlight w:val="none"/>
              </w:rPr>
              <w:t>万元</w:t>
            </w:r>
          </w:p>
        </w:tc>
        <w:tc>
          <w:tcPr>
            <w:tcW w:w="840" w:type="dxa"/>
            <w:gridSpan w:val="2"/>
            <w:vMerge w:val="restart"/>
            <w:vAlign w:val="center"/>
          </w:tcPr>
          <w:p>
            <w:pPr>
              <w:snapToGrid w:val="0"/>
              <w:ind w:left="-170" w:right="-170"/>
              <w:jc w:val="center"/>
              <w:rPr>
                <w:rFonts w:ascii="宋体" w:hAnsi="宋体" w:cs="宋体"/>
                <w:sz w:val="22"/>
                <w:highlight w:val="none"/>
              </w:rPr>
            </w:pPr>
            <w:r>
              <w:rPr>
                <w:rFonts w:hint="eastAsia" w:ascii="宋体" w:hAnsi="宋体" w:cs="宋体"/>
                <w:sz w:val="22"/>
                <w:highlight w:val="none"/>
              </w:rPr>
              <w:t>资金</w:t>
            </w:r>
          </w:p>
          <w:p>
            <w:pPr>
              <w:snapToGrid w:val="0"/>
              <w:ind w:left="-170" w:right="-170"/>
              <w:jc w:val="center"/>
              <w:rPr>
                <w:rFonts w:ascii="宋体" w:hAnsi="宋体" w:cs="宋体"/>
                <w:sz w:val="22"/>
                <w:highlight w:val="none"/>
              </w:rPr>
            </w:pPr>
            <w:r>
              <w:rPr>
                <w:rFonts w:hint="eastAsia" w:ascii="宋体" w:hAnsi="宋体" w:cs="宋体"/>
                <w:sz w:val="22"/>
                <w:highlight w:val="none"/>
              </w:rPr>
              <w:t>性质</w:t>
            </w:r>
          </w:p>
        </w:tc>
        <w:tc>
          <w:tcPr>
            <w:tcW w:w="1440" w:type="dxa"/>
            <w:vAlign w:val="center"/>
          </w:tcPr>
          <w:p>
            <w:pPr>
              <w:snapToGrid w:val="0"/>
              <w:ind w:left="-170" w:right="-170"/>
              <w:jc w:val="center"/>
              <w:rPr>
                <w:rFonts w:ascii="宋体" w:hAnsi="宋体" w:cs="宋体"/>
                <w:sz w:val="22"/>
                <w:highlight w:val="none"/>
              </w:rPr>
            </w:pPr>
            <w:r>
              <w:rPr>
                <w:rFonts w:hint="eastAsia" w:ascii="宋体" w:hAnsi="宋体" w:cs="宋体"/>
                <w:sz w:val="22"/>
                <w:highlight w:val="none"/>
              </w:rPr>
              <w:t>生产性</w:t>
            </w:r>
          </w:p>
        </w:tc>
        <w:tc>
          <w:tcPr>
            <w:tcW w:w="2760" w:type="dxa"/>
            <w:gridSpan w:val="3"/>
            <w:vAlign w:val="center"/>
          </w:tcPr>
          <w:p>
            <w:pPr>
              <w:snapToGrid w:val="0"/>
              <w:ind w:left="-170" w:right="-170"/>
              <w:jc w:val="center"/>
              <w:rPr>
                <w:rFonts w:ascii="宋体" w:hAnsi="宋体" w:cs="宋体"/>
                <w:sz w:val="22"/>
                <w:highlight w:val="none"/>
              </w:rPr>
            </w:pPr>
            <w:r>
              <w:rPr>
                <w:rFonts w:hint="eastAsia" w:ascii="宋体" w:hAnsi="宋体" w:cs="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highlight w:val="none"/>
              </w:rPr>
            </w:pPr>
          </w:p>
        </w:tc>
        <w:tc>
          <w:tcPr>
            <w:tcW w:w="1028" w:type="dxa"/>
            <w:vMerge w:val="continue"/>
            <w:vAlign w:val="center"/>
          </w:tcPr>
          <w:p>
            <w:pPr>
              <w:snapToGrid w:val="0"/>
              <w:ind w:left="-170" w:right="-170"/>
              <w:jc w:val="center"/>
              <w:rPr>
                <w:rFonts w:ascii="宋体" w:hAnsi="宋体" w:cs="宋体"/>
                <w:sz w:val="22"/>
                <w:highlight w:val="none"/>
              </w:rPr>
            </w:pPr>
          </w:p>
        </w:tc>
        <w:tc>
          <w:tcPr>
            <w:tcW w:w="1575" w:type="dxa"/>
            <w:gridSpan w:val="3"/>
            <w:vMerge w:val="continue"/>
            <w:vAlign w:val="center"/>
          </w:tcPr>
          <w:p>
            <w:pPr>
              <w:snapToGrid w:val="0"/>
              <w:ind w:left="-170" w:right="-170"/>
              <w:jc w:val="center"/>
              <w:rPr>
                <w:rFonts w:ascii="宋体" w:hAnsi="宋体" w:cs="宋体"/>
                <w:sz w:val="22"/>
                <w:highlight w:val="none"/>
              </w:rPr>
            </w:pPr>
          </w:p>
        </w:tc>
        <w:tc>
          <w:tcPr>
            <w:tcW w:w="840" w:type="dxa"/>
            <w:gridSpan w:val="2"/>
            <w:vMerge w:val="continue"/>
            <w:vAlign w:val="center"/>
          </w:tcPr>
          <w:p>
            <w:pPr>
              <w:snapToGrid w:val="0"/>
              <w:ind w:left="-170" w:right="-170"/>
              <w:jc w:val="center"/>
              <w:rPr>
                <w:rFonts w:ascii="宋体" w:hAnsi="宋体" w:cs="宋体"/>
                <w:sz w:val="22"/>
                <w:highlight w:val="none"/>
              </w:rPr>
            </w:pPr>
          </w:p>
        </w:tc>
        <w:tc>
          <w:tcPr>
            <w:tcW w:w="1440" w:type="dxa"/>
            <w:vAlign w:val="center"/>
          </w:tcPr>
          <w:p>
            <w:pPr>
              <w:snapToGrid w:val="0"/>
              <w:ind w:left="-170" w:right="-170"/>
              <w:jc w:val="center"/>
              <w:rPr>
                <w:rFonts w:ascii="宋体" w:hAnsi="宋体" w:cs="宋体"/>
                <w:sz w:val="22"/>
                <w:highlight w:val="none"/>
              </w:rPr>
            </w:pPr>
            <w:r>
              <w:rPr>
                <w:rFonts w:hint="eastAsia" w:ascii="宋体" w:hAnsi="宋体" w:cs="宋体"/>
                <w:sz w:val="22"/>
                <w:highlight w:val="none"/>
              </w:rPr>
              <w:t>非生产性</w:t>
            </w:r>
          </w:p>
        </w:tc>
        <w:tc>
          <w:tcPr>
            <w:tcW w:w="2760" w:type="dxa"/>
            <w:gridSpan w:val="3"/>
            <w:vAlign w:val="center"/>
          </w:tcPr>
          <w:p>
            <w:pPr>
              <w:snapToGrid w:val="0"/>
              <w:ind w:left="-170" w:right="-170"/>
              <w:jc w:val="center"/>
              <w:rPr>
                <w:rFonts w:ascii="宋体" w:hAnsi="宋体" w:cs="宋体"/>
                <w:sz w:val="22"/>
                <w:highlight w:val="none"/>
              </w:rPr>
            </w:pPr>
            <w:r>
              <w:rPr>
                <w:rFonts w:hint="eastAsia" w:ascii="宋体" w:hAnsi="宋体" w:cs="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highlight w:val="none"/>
              </w:rPr>
            </w:pPr>
          </w:p>
        </w:tc>
        <w:tc>
          <w:tcPr>
            <w:tcW w:w="1028" w:type="dxa"/>
            <w:vMerge w:val="restart"/>
            <w:vAlign w:val="center"/>
          </w:tcPr>
          <w:p>
            <w:pPr>
              <w:snapToGrid w:val="0"/>
              <w:ind w:left="-170" w:right="-170"/>
              <w:jc w:val="center"/>
              <w:rPr>
                <w:rFonts w:ascii="宋体" w:hAnsi="宋体" w:cs="宋体"/>
                <w:sz w:val="22"/>
                <w:highlight w:val="none"/>
              </w:rPr>
            </w:pPr>
            <w:r>
              <w:rPr>
                <w:rFonts w:hint="eastAsia" w:ascii="宋体" w:hAnsi="宋体" w:cs="宋体"/>
                <w:sz w:val="22"/>
                <w:highlight w:val="none"/>
              </w:rPr>
              <w:t>流动</w:t>
            </w:r>
          </w:p>
          <w:p>
            <w:pPr>
              <w:snapToGrid w:val="0"/>
              <w:ind w:left="-170" w:right="-170"/>
              <w:jc w:val="center"/>
              <w:rPr>
                <w:rFonts w:ascii="宋体" w:hAnsi="宋体" w:cs="宋体"/>
                <w:sz w:val="22"/>
                <w:highlight w:val="none"/>
              </w:rPr>
            </w:pPr>
            <w:r>
              <w:rPr>
                <w:rFonts w:hint="eastAsia" w:ascii="宋体" w:hAnsi="宋体" w:cs="宋体"/>
                <w:sz w:val="22"/>
                <w:highlight w:val="none"/>
              </w:rPr>
              <w:t>资金</w:t>
            </w:r>
          </w:p>
        </w:tc>
        <w:tc>
          <w:tcPr>
            <w:tcW w:w="1575" w:type="dxa"/>
            <w:gridSpan w:val="3"/>
            <w:vMerge w:val="restart"/>
            <w:vAlign w:val="center"/>
          </w:tcPr>
          <w:p>
            <w:pPr>
              <w:snapToGrid w:val="0"/>
              <w:ind w:left="-170" w:right="-170"/>
              <w:jc w:val="center"/>
              <w:rPr>
                <w:rFonts w:ascii="宋体" w:hAnsi="宋体" w:cs="宋体"/>
                <w:sz w:val="22"/>
                <w:highlight w:val="none"/>
              </w:rPr>
            </w:pPr>
            <w:r>
              <w:rPr>
                <w:rFonts w:hint="eastAsia" w:ascii="宋体" w:hAnsi="宋体" w:cs="宋体"/>
                <w:sz w:val="22"/>
                <w:highlight w:val="none"/>
              </w:rPr>
              <w:t>万元</w:t>
            </w:r>
          </w:p>
        </w:tc>
        <w:tc>
          <w:tcPr>
            <w:tcW w:w="840" w:type="dxa"/>
            <w:gridSpan w:val="2"/>
            <w:vMerge w:val="restart"/>
            <w:vAlign w:val="center"/>
          </w:tcPr>
          <w:p>
            <w:pPr>
              <w:snapToGrid w:val="0"/>
              <w:ind w:left="-170" w:right="-170"/>
              <w:jc w:val="center"/>
              <w:rPr>
                <w:rFonts w:ascii="宋体" w:hAnsi="宋体" w:cs="宋体"/>
                <w:sz w:val="22"/>
                <w:highlight w:val="none"/>
              </w:rPr>
            </w:pPr>
            <w:r>
              <w:rPr>
                <w:rFonts w:hint="eastAsia" w:ascii="宋体" w:hAnsi="宋体" w:cs="宋体"/>
                <w:sz w:val="22"/>
                <w:highlight w:val="none"/>
              </w:rPr>
              <w:t>资金</w:t>
            </w:r>
          </w:p>
          <w:p>
            <w:pPr>
              <w:snapToGrid w:val="0"/>
              <w:ind w:left="-170" w:right="-170"/>
              <w:jc w:val="center"/>
              <w:rPr>
                <w:rFonts w:ascii="宋体" w:hAnsi="宋体" w:cs="宋体"/>
                <w:sz w:val="22"/>
                <w:highlight w:val="none"/>
              </w:rPr>
            </w:pPr>
            <w:r>
              <w:rPr>
                <w:rFonts w:hint="eastAsia" w:ascii="宋体" w:hAnsi="宋体" w:cs="宋体"/>
                <w:sz w:val="22"/>
                <w:highlight w:val="none"/>
              </w:rPr>
              <w:t>来源</w:t>
            </w:r>
          </w:p>
        </w:tc>
        <w:tc>
          <w:tcPr>
            <w:tcW w:w="1440" w:type="dxa"/>
            <w:vAlign w:val="center"/>
          </w:tcPr>
          <w:p>
            <w:pPr>
              <w:snapToGrid w:val="0"/>
              <w:ind w:left="-170" w:right="-170"/>
              <w:jc w:val="center"/>
              <w:rPr>
                <w:rFonts w:ascii="宋体" w:hAnsi="宋体" w:cs="宋体"/>
                <w:sz w:val="22"/>
                <w:highlight w:val="none"/>
              </w:rPr>
            </w:pPr>
            <w:r>
              <w:rPr>
                <w:rFonts w:hint="eastAsia" w:ascii="宋体" w:hAnsi="宋体" w:cs="宋体"/>
                <w:sz w:val="22"/>
                <w:highlight w:val="none"/>
              </w:rPr>
              <w:t>自有资金</w:t>
            </w:r>
          </w:p>
        </w:tc>
        <w:tc>
          <w:tcPr>
            <w:tcW w:w="2760" w:type="dxa"/>
            <w:gridSpan w:val="3"/>
            <w:vAlign w:val="center"/>
          </w:tcPr>
          <w:p>
            <w:pPr>
              <w:snapToGrid w:val="0"/>
              <w:ind w:left="-170" w:right="-170"/>
              <w:jc w:val="center"/>
              <w:rPr>
                <w:rFonts w:ascii="宋体" w:hAnsi="宋体" w:cs="宋体"/>
                <w:sz w:val="22"/>
                <w:highlight w:val="none"/>
              </w:rPr>
            </w:pPr>
            <w:r>
              <w:rPr>
                <w:rFonts w:hint="eastAsia" w:ascii="宋体" w:hAnsi="宋体" w:cs="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highlight w:val="none"/>
              </w:rPr>
            </w:pPr>
          </w:p>
        </w:tc>
        <w:tc>
          <w:tcPr>
            <w:tcW w:w="1028" w:type="dxa"/>
            <w:vMerge w:val="continue"/>
            <w:vAlign w:val="center"/>
          </w:tcPr>
          <w:p>
            <w:pPr>
              <w:snapToGrid w:val="0"/>
              <w:ind w:left="-170" w:right="-170"/>
              <w:jc w:val="center"/>
              <w:rPr>
                <w:rFonts w:ascii="宋体" w:hAnsi="宋体" w:cs="宋体"/>
                <w:sz w:val="22"/>
                <w:highlight w:val="none"/>
              </w:rPr>
            </w:pPr>
          </w:p>
        </w:tc>
        <w:tc>
          <w:tcPr>
            <w:tcW w:w="1575" w:type="dxa"/>
            <w:gridSpan w:val="3"/>
            <w:vMerge w:val="continue"/>
            <w:vAlign w:val="center"/>
          </w:tcPr>
          <w:p>
            <w:pPr>
              <w:snapToGrid w:val="0"/>
              <w:ind w:left="-170" w:right="-170"/>
              <w:jc w:val="center"/>
              <w:rPr>
                <w:rFonts w:ascii="宋体" w:hAnsi="宋体" w:cs="宋体"/>
                <w:sz w:val="22"/>
                <w:highlight w:val="none"/>
              </w:rPr>
            </w:pPr>
          </w:p>
        </w:tc>
        <w:tc>
          <w:tcPr>
            <w:tcW w:w="840" w:type="dxa"/>
            <w:gridSpan w:val="2"/>
            <w:vMerge w:val="continue"/>
            <w:vAlign w:val="center"/>
          </w:tcPr>
          <w:p>
            <w:pPr>
              <w:snapToGrid w:val="0"/>
              <w:ind w:left="-170" w:right="-170"/>
              <w:jc w:val="center"/>
              <w:rPr>
                <w:rFonts w:ascii="宋体" w:hAnsi="宋体" w:cs="宋体"/>
                <w:sz w:val="22"/>
                <w:highlight w:val="none"/>
              </w:rPr>
            </w:pPr>
          </w:p>
        </w:tc>
        <w:tc>
          <w:tcPr>
            <w:tcW w:w="1440" w:type="dxa"/>
            <w:vAlign w:val="center"/>
          </w:tcPr>
          <w:p>
            <w:pPr>
              <w:snapToGrid w:val="0"/>
              <w:ind w:left="-170" w:right="-170"/>
              <w:jc w:val="center"/>
              <w:rPr>
                <w:rFonts w:ascii="宋体" w:hAnsi="宋体" w:cs="宋体"/>
                <w:sz w:val="22"/>
                <w:highlight w:val="none"/>
              </w:rPr>
            </w:pPr>
            <w:r>
              <w:rPr>
                <w:rFonts w:hint="eastAsia" w:ascii="宋体" w:hAnsi="宋体" w:cs="宋体"/>
                <w:sz w:val="22"/>
                <w:highlight w:val="none"/>
              </w:rPr>
              <w:t>银行贷款</w:t>
            </w:r>
          </w:p>
        </w:tc>
        <w:tc>
          <w:tcPr>
            <w:tcW w:w="2760" w:type="dxa"/>
            <w:gridSpan w:val="3"/>
            <w:vAlign w:val="center"/>
          </w:tcPr>
          <w:p>
            <w:pPr>
              <w:snapToGrid w:val="0"/>
              <w:ind w:left="-170" w:right="-170"/>
              <w:jc w:val="center"/>
              <w:rPr>
                <w:rFonts w:ascii="宋体" w:hAnsi="宋体" w:cs="宋体"/>
                <w:sz w:val="22"/>
                <w:highlight w:val="none"/>
              </w:rPr>
            </w:pPr>
            <w:r>
              <w:rPr>
                <w:rFonts w:hint="eastAsia" w:ascii="宋体" w:hAnsi="宋体" w:cs="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highlight w:val="none"/>
              </w:rPr>
            </w:pPr>
            <w:r>
              <w:rPr>
                <w:rFonts w:hint="eastAsia" w:ascii="宋体" w:hAnsi="宋体" w:cs="宋体"/>
                <w:sz w:val="22"/>
                <w:highlight w:val="none"/>
              </w:rPr>
              <w:t>经营</w:t>
            </w:r>
          </w:p>
          <w:p>
            <w:pPr>
              <w:snapToGrid w:val="0"/>
              <w:ind w:left="-170" w:right="-170"/>
              <w:jc w:val="center"/>
              <w:rPr>
                <w:rFonts w:ascii="宋体" w:hAnsi="宋体" w:cs="宋体"/>
                <w:sz w:val="22"/>
                <w:highlight w:val="none"/>
              </w:rPr>
            </w:pPr>
            <w:r>
              <w:rPr>
                <w:rFonts w:hint="eastAsia" w:ascii="宋体" w:hAnsi="宋体" w:cs="宋体"/>
                <w:sz w:val="22"/>
                <w:highlight w:val="none"/>
              </w:rPr>
              <w:t>范围</w:t>
            </w:r>
          </w:p>
        </w:tc>
        <w:tc>
          <w:tcPr>
            <w:tcW w:w="7643" w:type="dxa"/>
            <w:gridSpan w:val="10"/>
            <w:vAlign w:val="center"/>
          </w:tcPr>
          <w:p>
            <w:pPr>
              <w:snapToGrid w:val="0"/>
              <w:ind w:left="-170" w:right="-170"/>
              <w:jc w:val="center"/>
              <w:rPr>
                <w:rFonts w:ascii="宋体" w:hAnsi="宋体" w:cs="宋体"/>
                <w:sz w:val="22"/>
                <w:highlight w:val="none"/>
              </w:rPr>
            </w:pPr>
          </w:p>
          <w:p>
            <w:pPr>
              <w:snapToGrid w:val="0"/>
              <w:ind w:right="-170"/>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highlight w:val="none"/>
              </w:rPr>
            </w:pPr>
            <w:r>
              <w:rPr>
                <w:rFonts w:hint="eastAsia" w:ascii="宋体" w:hAnsi="宋体" w:cs="宋体"/>
                <w:sz w:val="22"/>
                <w:highlight w:val="none"/>
              </w:rPr>
              <w:t>经 济</w:t>
            </w:r>
          </w:p>
          <w:p>
            <w:pPr>
              <w:snapToGrid w:val="0"/>
              <w:ind w:left="-170" w:right="-170"/>
              <w:jc w:val="center"/>
              <w:rPr>
                <w:rFonts w:ascii="宋体" w:hAnsi="宋体" w:cs="宋体"/>
                <w:sz w:val="22"/>
                <w:highlight w:val="none"/>
              </w:rPr>
            </w:pPr>
            <w:r>
              <w:rPr>
                <w:rFonts w:hint="eastAsia" w:ascii="宋体" w:hAnsi="宋体" w:cs="宋体"/>
                <w:sz w:val="22"/>
                <w:highlight w:val="none"/>
              </w:rPr>
              <w:t>指 标</w:t>
            </w:r>
          </w:p>
        </w:tc>
        <w:tc>
          <w:tcPr>
            <w:tcW w:w="1553" w:type="dxa"/>
            <w:gridSpan w:val="2"/>
            <w:vAlign w:val="center"/>
          </w:tcPr>
          <w:p>
            <w:pPr>
              <w:snapToGrid w:val="0"/>
              <w:ind w:left="-170" w:right="-170"/>
              <w:jc w:val="center"/>
              <w:rPr>
                <w:rFonts w:ascii="宋体" w:hAnsi="宋体" w:cs="宋体"/>
                <w:sz w:val="22"/>
                <w:highlight w:val="none"/>
              </w:rPr>
            </w:pPr>
            <w:r>
              <w:rPr>
                <w:rFonts w:hint="eastAsia" w:ascii="宋体" w:hAnsi="宋体" w:cs="宋体"/>
                <w:sz w:val="22"/>
                <w:highlight w:val="none"/>
              </w:rPr>
              <w:t>年份</w:t>
            </w:r>
          </w:p>
        </w:tc>
        <w:tc>
          <w:tcPr>
            <w:tcW w:w="6090" w:type="dxa"/>
            <w:gridSpan w:val="8"/>
            <w:vAlign w:val="center"/>
          </w:tcPr>
          <w:p>
            <w:pPr>
              <w:snapToGrid w:val="0"/>
              <w:ind w:left="-170" w:right="-170"/>
              <w:jc w:val="center"/>
              <w:rPr>
                <w:rFonts w:ascii="宋体" w:hAnsi="宋体" w:cs="宋体"/>
                <w:sz w:val="22"/>
                <w:highlight w:val="none"/>
              </w:rPr>
            </w:pPr>
            <w:r>
              <w:rPr>
                <w:rFonts w:hint="eastAsia" w:ascii="宋体" w:hAnsi="宋体" w:cs="宋体"/>
                <w:sz w:val="22"/>
                <w:highlight w:val="none"/>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highlight w:val="none"/>
              </w:rPr>
            </w:pPr>
          </w:p>
        </w:tc>
        <w:tc>
          <w:tcPr>
            <w:tcW w:w="1553" w:type="dxa"/>
            <w:gridSpan w:val="2"/>
            <w:vAlign w:val="center"/>
          </w:tcPr>
          <w:p>
            <w:pPr>
              <w:snapToGrid w:val="0"/>
              <w:ind w:left="-170" w:right="-170"/>
              <w:jc w:val="center"/>
              <w:rPr>
                <w:rFonts w:ascii="宋体" w:hAnsi="宋体" w:cs="宋体"/>
                <w:sz w:val="22"/>
                <w:highlight w:val="none"/>
              </w:rPr>
            </w:pPr>
          </w:p>
        </w:tc>
        <w:tc>
          <w:tcPr>
            <w:tcW w:w="6090" w:type="dxa"/>
            <w:gridSpan w:val="8"/>
            <w:vAlign w:val="center"/>
          </w:tcPr>
          <w:p>
            <w:pPr>
              <w:snapToGrid w:val="0"/>
              <w:ind w:left="-170" w:right="-170"/>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highlight w:val="none"/>
              </w:rPr>
            </w:pPr>
          </w:p>
        </w:tc>
        <w:tc>
          <w:tcPr>
            <w:tcW w:w="1553" w:type="dxa"/>
            <w:gridSpan w:val="2"/>
            <w:vAlign w:val="center"/>
          </w:tcPr>
          <w:p>
            <w:pPr>
              <w:snapToGrid w:val="0"/>
              <w:ind w:left="-170" w:right="-170"/>
              <w:jc w:val="center"/>
              <w:rPr>
                <w:rFonts w:ascii="宋体" w:hAnsi="宋体" w:cs="宋体"/>
                <w:sz w:val="22"/>
                <w:highlight w:val="none"/>
              </w:rPr>
            </w:pPr>
          </w:p>
        </w:tc>
        <w:tc>
          <w:tcPr>
            <w:tcW w:w="6090" w:type="dxa"/>
            <w:gridSpan w:val="8"/>
            <w:vAlign w:val="center"/>
          </w:tcPr>
          <w:p>
            <w:pPr>
              <w:snapToGrid w:val="0"/>
              <w:ind w:left="-170" w:right="-170"/>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highlight w:val="none"/>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highlight w:val="none"/>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highlight w:val="none"/>
              </w:rPr>
            </w:pPr>
          </w:p>
        </w:tc>
      </w:tr>
    </w:tbl>
    <w:p>
      <w:pPr>
        <w:overflowPunct w:val="0"/>
        <w:autoSpaceDE w:val="0"/>
        <w:autoSpaceDN w:val="0"/>
        <w:rPr>
          <w:rFonts w:ascii="宋体" w:hAnsi="宋体" w:cs="Calibri"/>
          <w:sz w:val="22"/>
          <w:highlight w:val="none"/>
        </w:rPr>
      </w:pPr>
      <w:r>
        <w:rPr>
          <w:rFonts w:hint="eastAsia" w:ascii="宋体" w:hAnsi="宋体" w:cs="Calibri"/>
          <w:sz w:val="22"/>
          <w:highlight w:val="none"/>
        </w:rPr>
        <w:t>附营业执照、税务登记证、</w:t>
      </w:r>
      <w:r>
        <w:rPr>
          <w:rFonts w:ascii="宋体" w:hAnsi="宋体" w:cs="Calibri"/>
          <w:sz w:val="22"/>
          <w:highlight w:val="none"/>
        </w:rPr>
        <w:t>一般纳税人证明材料</w:t>
      </w:r>
      <w:r>
        <w:rPr>
          <w:rFonts w:hint="eastAsia" w:ascii="宋体" w:hAnsi="宋体" w:cs="Calibri"/>
          <w:sz w:val="22"/>
          <w:highlight w:val="none"/>
        </w:rPr>
        <w:t>、相关</w:t>
      </w:r>
      <w:r>
        <w:rPr>
          <w:rFonts w:ascii="宋体" w:hAnsi="宋体" w:cs="Calibri"/>
          <w:sz w:val="22"/>
          <w:highlight w:val="none"/>
        </w:rPr>
        <w:t>产品质量认证证书</w:t>
      </w:r>
      <w:r>
        <w:rPr>
          <w:rFonts w:hint="eastAsia" w:ascii="宋体" w:hAnsi="宋体" w:cs="Arial"/>
          <w:kern w:val="0"/>
          <w:sz w:val="22"/>
          <w:highlight w:val="none"/>
        </w:rPr>
        <w:t>、</w:t>
      </w:r>
      <w:r>
        <w:rPr>
          <w:rFonts w:hint="eastAsia" w:ascii="宋体" w:hAnsi="宋体" w:cs="Calibri"/>
          <w:sz w:val="22"/>
          <w:highlight w:val="none"/>
        </w:rPr>
        <w:t>相关</w:t>
      </w:r>
      <w:r>
        <w:rPr>
          <w:rFonts w:ascii="宋体" w:hAnsi="宋体" w:cs="Calibri"/>
          <w:sz w:val="22"/>
          <w:highlight w:val="none"/>
        </w:rPr>
        <w:t>产品鉴定证书</w:t>
      </w:r>
      <w:r>
        <w:rPr>
          <w:rFonts w:hint="eastAsia" w:ascii="宋体" w:hAnsi="宋体" w:cs="Calibri"/>
          <w:sz w:val="22"/>
          <w:highlight w:val="none"/>
        </w:rPr>
        <w:t>等</w:t>
      </w:r>
    </w:p>
    <w:p>
      <w:pPr>
        <w:spacing w:line="360" w:lineRule="auto"/>
        <w:jc w:val="center"/>
        <w:rPr>
          <w:rFonts w:ascii="宋体" w:hAnsi="宋体" w:cs="宋体"/>
          <w:b/>
          <w:sz w:val="32"/>
          <w:szCs w:val="32"/>
          <w:highlight w:val="none"/>
        </w:rPr>
      </w:pPr>
      <w:r>
        <w:rPr>
          <w:rFonts w:ascii="宋体" w:hAnsi="宋体" w:cs="Calibri"/>
          <w:sz w:val="22"/>
          <w:highlight w:val="none"/>
        </w:rPr>
        <w:br w:type="page"/>
      </w:r>
      <w:r>
        <w:rPr>
          <w:rFonts w:hint="eastAsia" w:ascii="宋体" w:hAnsi="宋体" w:cs="宋体"/>
          <w:b/>
          <w:sz w:val="32"/>
          <w:szCs w:val="32"/>
          <w:highlight w:val="none"/>
        </w:rPr>
        <w:t>（二）制造商资格声明</w:t>
      </w:r>
    </w:p>
    <w:p>
      <w:pPr>
        <w:numPr>
          <w:ilvl w:val="0"/>
          <w:numId w:val="32"/>
        </w:numPr>
        <w:adjustRightInd w:val="0"/>
        <w:spacing w:beforeLines="50" w:line="360" w:lineRule="auto"/>
        <w:textAlignment w:val="baseline"/>
        <w:rPr>
          <w:rFonts w:ascii="宋体" w:hAnsi="宋体" w:cs="宋体"/>
          <w:sz w:val="22"/>
          <w:szCs w:val="22"/>
          <w:highlight w:val="none"/>
        </w:rPr>
      </w:pPr>
      <w:r>
        <w:rPr>
          <w:rFonts w:hint="eastAsia" w:ascii="宋体" w:hAnsi="宋体" w:cs="宋体"/>
          <w:sz w:val="22"/>
          <w:szCs w:val="22"/>
          <w:highlight w:val="none"/>
        </w:rPr>
        <w:t>名称及概况：</w:t>
      </w:r>
    </w:p>
    <w:p>
      <w:pPr>
        <w:numPr>
          <w:ilvl w:val="0"/>
          <w:numId w:val="33"/>
        </w:numPr>
        <w:adjustRightInd w:val="0"/>
        <w:spacing w:line="360" w:lineRule="auto"/>
        <w:textAlignment w:val="baseline"/>
        <w:rPr>
          <w:rFonts w:ascii="宋体" w:hAnsi="宋体" w:cs="宋体"/>
          <w:sz w:val="22"/>
          <w:szCs w:val="22"/>
          <w:highlight w:val="none"/>
        </w:rPr>
      </w:pPr>
      <w:r>
        <w:rPr>
          <w:rFonts w:hint="eastAsia" w:ascii="宋体" w:hAnsi="宋体" w:cs="宋体"/>
          <w:sz w:val="22"/>
          <w:szCs w:val="22"/>
          <w:highlight w:val="none"/>
        </w:rPr>
        <w:t>制造商名称：</w:t>
      </w:r>
      <w:r>
        <w:rPr>
          <w:rFonts w:hint="eastAsia" w:ascii="宋体" w:hAnsi="宋体" w:cs="宋体"/>
          <w:sz w:val="22"/>
          <w:szCs w:val="22"/>
          <w:highlight w:val="none"/>
          <w:u w:val="single"/>
        </w:rPr>
        <w:t xml:space="preserve">                                                 </w:t>
      </w:r>
    </w:p>
    <w:p>
      <w:pPr>
        <w:numPr>
          <w:ilvl w:val="0"/>
          <w:numId w:val="33"/>
        </w:numPr>
        <w:adjustRightInd w:val="0"/>
        <w:spacing w:line="360" w:lineRule="auto"/>
        <w:textAlignment w:val="baseline"/>
        <w:rPr>
          <w:rFonts w:ascii="宋体" w:hAnsi="宋体" w:cs="宋体"/>
          <w:sz w:val="22"/>
          <w:szCs w:val="22"/>
          <w:highlight w:val="none"/>
        </w:rPr>
      </w:pPr>
      <w:r>
        <w:rPr>
          <w:rFonts w:hint="eastAsia" w:ascii="宋体" w:hAnsi="宋体" w:cs="宋体"/>
          <w:sz w:val="22"/>
          <w:szCs w:val="22"/>
          <w:highlight w:val="none"/>
        </w:rPr>
        <w:t>总部地址：</w:t>
      </w:r>
      <w:r>
        <w:rPr>
          <w:rFonts w:hint="eastAsia" w:ascii="宋体" w:hAnsi="宋体" w:cs="宋体"/>
          <w:sz w:val="22"/>
          <w:szCs w:val="22"/>
          <w:highlight w:val="none"/>
          <w:u w:val="single"/>
        </w:rPr>
        <w:t xml:space="preserve">                                                   </w:t>
      </w:r>
    </w:p>
    <w:p>
      <w:pPr>
        <w:spacing w:line="360" w:lineRule="auto"/>
        <w:ind w:left="840" w:firstLine="120"/>
        <w:rPr>
          <w:rFonts w:ascii="宋体" w:hAnsi="宋体" w:cs="宋体"/>
          <w:sz w:val="22"/>
          <w:szCs w:val="22"/>
          <w:highlight w:val="none"/>
          <w:u w:val="single"/>
        </w:rPr>
      </w:pPr>
      <w:r>
        <w:rPr>
          <w:rFonts w:hint="eastAsia" w:ascii="宋体" w:hAnsi="宋体" w:cs="宋体"/>
          <w:sz w:val="22"/>
          <w:szCs w:val="22"/>
          <w:highlight w:val="none"/>
        </w:rPr>
        <w:t>电传/传真/电话号码：</w:t>
      </w:r>
      <w:r>
        <w:rPr>
          <w:rFonts w:hint="eastAsia" w:ascii="宋体" w:hAnsi="宋体" w:cs="宋体"/>
          <w:sz w:val="22"/>
          <w:szCs w:val="22"/>
          <w:highlight w:val="none"/>
          <w:u w:val="single"/>
        </w:rPr>
        <w:t xml:space="preserve">                                         </w:t>
      </w:r>
    </w:p>
    <w:p>
      <w:pPr>
        <w:numPr>
          <w:ilvl w:val="0"/>
          <w:numId w:val="33"/>
        </w:numPr>
        <w:adjustRightInd w:val="0"/>
        <w:spacing w:line="360" w:lineRule="auto"/>
        <w:textAlignment w:val="baseline"/>
        <w:rPr>
          <w:rFonts w:ascii="宋体" w:hAnsi="宋体" w:cs="宋体"/>
          <w:sz w:val="22"/>
          <w:szCs w:val="22"/>
          <w:highlight w:val="none"/>
          <w:u w:val="single"/>
        </w:rPr>
      </w:pPr>
      <w:r>
        <w:rPr>
          <w:rFonts w:hint="eastAsia" w:ascii="宋体" w:hAnsi="宋体" w:cs="宋体"/>
          <w:sz w:val="22"/>
          <w:szCs w:val="22"/>
          <w:highlight w:val="none"/>
        </w:rPr>
        <w:t>成立和/或注册日期：</w:t>
      </w:r>
      <w:r>
        <w:rPr>
          <w:rFonts w:hint="eastAsia" w:ascii="宋体" w:hAnsi="宋体" w:cs="宋体"/>
          <w:sz w:val="22"/>
          <w:szCs w:val="22"/>
          <w:highlight w:val="none"/>
          <w:u w:val="single"/>
        </w:rPr>
        <w:t xml:space="preserve">                                          </w:t>
      </w:r>
    </w:p>
    <w:p>
      <w:pPr>
        <w:numPr>
          <w:ilvl w:val="0"/>
          <w:numId w:val="33"/>
        </w:numPr>
        <w:adjustRightInd w:val="0"/>
        <w:spacing w:line="360" w:lineRule="auto"/>
        <w:textAlignment w:val="baseline"/>
        <w:rPr>
          <w:rFonts w:ascii="宋体" w:hAnsi="宋体" w:cs="宋体"/>
          <w:sz w:val="22"/>
          <w:szCs w:val="22"/>
          <w:highlight w:val="none"/>
        </w:rPr>
      </w:pPr>
      <w:r>
        <w:rPr>
          <w:rFonts w:hint="eastAsia" w:ascii="宋体" w:hAnsi="宋体" w:cs="宋体"/>
          <w:sz w:val="22"/>
          <w:szCs w:val="22"/>
          <w:highlight w:val="none"/>
        </w:rPr>
        <w:t>实收资本：</w:t>
      </w:r>
      <w:r>
        <w:rPr>
          <w:rFonts w:hint="eastAsia" w:ascii="宋体" w:hAnsi="宋体" w:cs="宋体"/>
          <w:sz w:val="22"/>
          <w:szCs w:val="22"/>
          <w:highlight w:val="none"/>
          <w:u w:val="single"/>
        </w:rPr>
        <w:t xml:space="preserve">                                                   </w:t>
      </w:r>
    </w:p>
    <w:p>
      <w:pPr>
        <w:numPr>
          <w:ilvl w:val="0"/>
          <w:numId w:val="33"/>
        </w:numPr>
        <w:adjustRightInd w:val="0"/>
        <w:spacing w:line="360" w:lineRule="auto"/>
        <w:textAlignment w:val="baseline"/>
        <w:rPr>
          <w:rFonts w:ascii="宋体" w:hAnsi="宋体" w:cs="宋体"/>
          <w:sz w:val="22"/>
          <w:szCs w:val="22"/>
          <w:highlight w:val="none"/>
        </w:rPr>
      </w:pPr>
      <w:r>
        <w:rPr>
          <w:rFonts w:hint="eastAsia" w:ascii="宋体" w:hAnsi="宋体" w:cs="宋体"/>
          <w:sz w:val="22"/>
          <w:szCs w:val="22"/>
          <w:highlight w:val="none"/>
        </w:rPr>
        <w:t>近期资产负债表（到</w:t>
      </w:r>
      <w:r>
        <w:rPr>
          <w:rFonts w:hint="eastAsia" w:ascii="宋体" w:hAnsi="宋体" w:cs="宋体"/>
          <w:sz w:val="22"/>
          <w:szCs w:val="22"/>
          <w:highlight w:val="none"/>
          <w:u w:val="single"/>
        </w:rPr>
        <w:t xml:space="preserve">        </w:t>
      </w:r>
      <w:r>
        <w:rPr>
          <w:rFonts w:hint="eastAsia" w:ascii="宋体" w:hAnsi="宋体" w:cs="宋体"/>
          <w:sz w:val="22"/>
          <w:szCs w:val="22"/>
          <w:highlight w:val="none"/>
        </w:rPr>
        <w:t>年</w:t>
      </w:r>
      <w:r>
        <w:rPr>
          <w:rFonts w:hint="eastAsia" w:ascii="宋体" w:hAnsi="宋体" w:cs="宋体"/>
          <w:sz w:val="22"/>
          <w:szCs w:val="22"/>
          <w:highlight w:val="none"/>
          <w:u w:val="single"/>
        </w:rPr>
        <w:t xml:space="preserve">    </w:t>
      </w:r>
      <w:r>
        <w:rPr>
          <w:rFonts w:hint="eastAsia" w:ascii="宋体" w:hAnsi="宋体" w:cs="宋体"/>
          <w:sz w:val="22"/>
          <w:szCs w:val="22"/>
          <w:highlight w:val="none"/>
        </w:rPr>
        <w:t>月</w:t>
      </w:r>
      <w:r>
        <w:rPr>
          <w:rFonts w:hint="eastAsia" w:ascii="宋体" w:hAnsi="宋体" w:cs="宋体"/>
          <w:sz w:val="22"/>
          <w:szCs w:val="22"/>
          <w:highlight w:val="none"/>
          <w:u w:val="single"/>
        </w:rPr>
        <w:t xml:space="preserve">    </w:t>
      </w:r>
      <w:r>
        <w:rPr>
          <w:rFonts w:hint="eastAsia" w:ascii="宋体" w:hAnsi="宋体" w:cs="宋体"/>
          <w:sz w:val="22"/>
          <w:szCs w:val="22"/>
          <w:highlight w:val="none"/>
        </w:rPr>
        <w:t>日止）</w:t>
      </w:r>
    </w:p>
    <w:p>
      <w:pPr>
        <w:numPr>
          <w:ilvl w:val="0"/>
          <w:numId w:val="34"/>
        </w:numPr>
        <w:adjustRightInd w:val="0"/>
        <w:spacing w:line="360" w:lineRule="auto"/>
        <w:textAlignment w:val="baseline"/>
        <w:rPr>
          <w:rFonts w:ascii="宋体" w:hAnsi="宋体" w:cs="宋体"/>
          <w:sz w:val="22"/>
          <w:szCs w:val="22"/>
          <w:highlight w:val="none"/>
        </w:rPr>
      </w:pPr>
      <w:r>
        <w:rPr>
          <w:rFonts w:hint="eastAsia" w:ascii="宋体" w:hAnsi="宋体" w:cs="宋体"/>
          <w:sz w:val="22"/>
          <w:szCs w:val="22"/>
          <w:highlight w:val="none"/>
        </w:rPr>
        <w:t>固定资产：</w:t>
      </w:r>
      <w:r>
        <w:rPr>
          <w:rFonts w:hint="eastAsia" w:ascii="宋体" w:hAnsi="宋体" w:cs="宋体"/>
          <w:sz w:val="22"/>
          <w:szCs w:val="22"/>
          <w:highlight w:val="none"/>
          <w:u w:val="single"/>
        </w:rPr>
        <w:t xml:space="preserve">                                       </w:t>
      </w:r>
    </w:p>
    <w:p>
      <w:pPr>
        <w:numPr>
          <w:ilvl w:val="0"/>
          <w:numId w:val="34"/>
        </w:numPr>
        <w:adjustRightInd w:val="0"/>
        <w:spacing w:line="360" w:lineRule="auto"/>
        <w:textAlignment w:val="baseline"/>
        <w:rPr>
          <w:rFonts w:ascii="宋体" w:hAnsi="宋体" w:cs="宋体"/>
          <w:sz w:val="22"/>
          <w:szCs w:val="22"/>
          <w:highlight w:val="none"/>
        </w:rPr>
      </w:pPr>
      <w:r>
        <w:rPr>
          <w:rFonts w:hint="eastAsia" w:ascii="宋体" w:hAnsi="宋体" w:cs="宋体"/>
          <w:sz w:val="22"/>
          <w:szCs w:val="22"/>
          <w:highlight w:val="none"/>
        </w:rPr>
        <w:t>流动资产：</w:t>
      </w:r>
      <w:r>
        <w:rPr>
          <w:rFonts w:hint="eastAsia" w:ascii="宋体" w:hAnsi="宋体" w:cs="宋体"/>
          <w:sz w:val="22"/>
          <w:szCs w:val="22"/>
          <w:highlight w:val="none"/>
          <w:u w:val="single"/>
        </w:rPr>
        <w:t xml:space="preserve">                                       </w:t>
      </w:r>
    </w:p>
    <w:p>
      <w:pPr>
        <w:numPr>
          <w:ilvl w:val="0"/>
          <w:numId w:val="34"/>
        </w:numPr>
        <w:adjustRightInd w:val="0"/>
        <w:spacing w:line="360" w:lineRule="auto"/>
        <w:textAlignment w:val="baseline"/>
        <w:rPr>
          <w:rFonts w:ascii="宋体" w:hAnsi="宋体" w:cs="宋体"/>
          <w:sz w:val="22"/>
          <w:szCs w:val="22"/>
          <w:highlight w:val="none"/>
        </w:rPr>
      </w:pPr>
      <w:r>
        <w:rPr>
          <w:rFonts w:hint="eastAsia" w:ascii="宋体" w:hAnsi="宋体" w:cs="宋体"/>
          <w:sz w:val="22"/>
          <w:szCs w:val="22"/>
          <w:highlight w:val="none"/>
        </w:rPr>
        <w:t>长期负债：</w:t>
      </w:r>
      <w:r>
        <w:rPr>
          <w:rFonts w:hint="eastAsia" w:ascii="宋体" w:hAnsi="宋体" w:cs="宋体"/>
          <w:sz w:val="22"/>
          <w:szCs w:val="22"/>
          <w:highlight w:val="none"/>
          <w:u w:val="single"/>
        </w:rPr>
        <w:t xml:space="preserve">                                       </w:t>
      </w:r>
    </w:p>
    <w:p>
      <w:pPr>
        <w:numPr>
          <w:ilvl w:val="0"/>
          <w:numId w:val="34"/>
        </w:numPr>
        <w:adjustRightInd w:val="0"/>
        <w:spacing w:line="360" w:lineRule="auto"/>
        <w:textAlignment w:val="baseline"/>
        <w:rPr>
          <w:rFonts w:ascii="宋体" w:hAnsi="宋体" w:cs="宋体"/>
          <w:sz w:val="22"/>
          <w:szCs w:val="22"/>
          <w:highlight w:val="none"/>
        </w:rPr>
      </w:pPr>
      <w:r>
        <w:rPr>
          <w:rFonts w:hint="eastAsia" w:ascii="宋体" w:hAnsi="宋体" w:cs="宋体"/>
          <w:sz w:val="22"/>
          <w:szCs w:val="22"/>
          <w:highlight w:val="none"/>
        </w:rPr>
        <w:t>流动负债：</w:t>
      </w:r>
      <w:r>
        <w:rPr>
          <w:rFonts w:hint="eastAsia" w:ascii="宋体" w:hAnsi="宋体" w:cs="宋体"/>
          <w:sz w:val="22"/>
          <w:szCs w:val="22"/>
          <w:highlight w:val="none"/>
          <w:u w:val="single"/>
        </w:rPr>
        <w:t xml:space="preserve">                                       </w:t>
      </w:r>
    </w:p>
    <w:p>
      <w:pPr>
        <w:numPr>
          <w:ilvl w:val="0"/>
          <w:numId w:val="34"/>
        </w:numPr>
        <w:adjustRightInd w:val="0"/>
        <w:spacing w:line="360" w:lineRule="auto"/>
        <w:textAlignment w:val="baseline"/>
        <w:rPr>
          <w:rFonts w:ascii="宋体" w:hAnsi="宋体" w:cs="宋体"/>
          <w:sz w:val="22"/>
          <w:szCs w:val="22"/>
          <w:highlight w:val="none"/>
        </w:rPr>
      </w:pPr>
      <w:r>
        <w:rPr>
          <w:rFonts w:hint="eastAsia" w:ascii="宋体" w:hAnsi="宋体" w:cs="宋体"/>
          <w:sz w:val="22"/>
          <w:szCs w:val="22"/>
          <w:highlight w:val="none"/>
        </w:rPr>
        <w:t>净值：</w:t>
      </w:r>
      <w:r>
        <w:rPr>
          <w:rFonts w:hint="eastAsia" w:ascii="宋体" w:hAnsi="宋体" w:cs="宋体"/>
          <w:sz w:val="22"/>
          <w:szCs w:val="22"/>
          <w:highlight w:val="none"/>
          <w:u w:val="single"/>
        </w:rPr>
        <w:t xml:space="preserve">                                           </w:t>
      </w:r>
    </w:p>
    <w:p>
      <w:pPr>
        <w:numPr>
          <w:ilvl w:val="0"/>
          <w:numId w:val="35"/>
        </w:numPr>
        <w:adjustRightInd w:val="0"/>
        <w:spacing w:line="360" w:lineRule="auto"/>
        <w:textAlignment w:val="baseline"/>
        <w:rPr>
          <w:rFonts w:ascii="宋体" w:hAnsi="宋体" w:cs="宋体"/>
          <w:sz w:val="22"/>
          <w:szCs w:val="22"/>
          <w:highlight w:val="none"/>
        </w:rPr>
      </w:pPr>
      <w:r>
        <w:rPr>
          <w:rFonts w:hint="eastAsia" w:ascii="宋体" w:hAnsi="宋体" w:cs="宋体"/>
          <w:sz w:val="22"/>
          <w:szCs w:val="22"/>
          <w:highlight w:val="none"/>
        </w:rPr>
        <w:t>主要负责人姓名：（可选填）</w:t>
      </w:r>
      <w:r>
        <w:rPr>
          <w:rFonts w:hint="eastAsia" w:ascii="宋体" w:hAnsi="宋体" w:cs="宋体"/>
          <w:sz w:val="22"/>
          <w:szCs w:val="22"/>
          <w:highlight w:val="none"/>
          <w:u w:val="single"/>
        </w:rPr>
        <w:t xml:space="preserve">                          </w:t>
      </w:r>
    </w:p>
    <w:p>
      <w:pPr>
        <w:numPr>
          <w:ilvl w:val="0"/>
          <w:numId w:val="35"/>
        </w:numPr>
        <w:adjustRightInd w:val="0"/>
        <w:spacing w:line="360" w:lineRule="auto"/>
        <w:textAlignment w:val="baseline"/>
        <w:rPr>
          <w:rFonts w:ascii="宋体" w:hAnsi="宋体" w:cs="宋体"/>
          <w:sz w:val="22"/>
          <w:szCs w:val="22"/>
          <w:highlight w:val="none"/>
        </w:rPr>
      </w:pPr>
      <w:r>
        <w:rPr>
          <w:rFonts w:hint="eastAsia" w:ascii="宋体" w:hAnsi="宋体" w:cs="宋体"/>
          <w:sz w:val="22"/>
          <w:szCs w:val="22"/>
          <w:highlight w:val="none"/>
        </w:rPr>
        <w:t>制造商在中国的代表的姓名和地址：（如有的话）</w:t>
      </w:r>
    </w:p>
    <w:p>
      <w:pPr>
        <w:spacing w:line="360" w:lineRule="auto"/>
        <w:ind w:left="425"/>
        <w:rPr>
          <w:rFonts w:ascii="宋体" w:hAnsi="宋体" w:cs="宋体"/>
          <w:sz w:val="22"/>
          <w:szCs w:val="22"/>
          <w:highlight w:val="none"/>
        </w:rPr>
      </w:pPr>
      <w:r>
        <w:rPr>
          <w:rFonts w:hint="eastAsia" w:ascii="宋体" w:hAnsi="宋体" w:cs="宋体"/>
          <w:sz w:val="22"/>
          <w:szCs w:val="22"/>
          <w:highlight w:val="none"/>
          <w:u w:val="single"/>
        </w:rPr>
        <w:t xml:space="preserve">                                                        </w:t>
      </w:r>
    </w:p>
    <w:p>
      <w:pPr>
        <w:numPr>
          <w:ilvl w:val="0"/>
          <w:numId w:val="28"/>
        </w:numPr>
        <w:adjustRightInd w:val="0"/>
        <w:spacing w:line="360" w:lineRule="auto"/>
        <w:textAlignment w:val="baseline"/>
        <w:rPr>
          <w:rFonts w:ascii="宋体" w:hAnsi="宋体" w:cs="宋体"/>
          <w:sz w:val="22"/>
          <w:szCs w:val="22"/>
          <w:highlight w:val="none"/>
        </w:rPr>
      </w:pPr>
      <w:r>
        <w:rPr>
          <w:rFonts w:hint="eastAsia" w:ascii="宋体" w:hAnsi="宋体" w:cs="宋体"/>
          <w:sz w:val="22"/>
          <w:szCs w:val="22"/>
          <w:highlight w:val="none"/>
        </w:rPr>
        <w:t>(1) 关于制造投标货物的设施及其它情况：</w:t>
      </w:r>
    </w:p>
    <w:p>
      <w:pPr>
        <w:spacing w:line="360" w:lineRule="auto"/>
        <w:ind w:firstLine="360"/>
        <w:rPr>
          <w:rFonts w:ascii="宋体" w:hAnsi="宋体" w:cs="宋体"/>
          <w:sz w:val="22"/>
          <w:szCs w:val="22"/>
          <w:highlight w:val="none"/>
        </w:rPr>
      </w:pPr>
      <w:r>
        <w:rPr>
          <w:rFonts w:hint="eastAsia" w:ascii="宋体" w:hAnsi="宋体" w:cs="宋体"/>
          <w:sz w:val="22"/>
          <w:szCs w:val="22"/>
          <w:highlight w:val="none"/>
        </w:rPr>
        <w:t>工厂名称地址       生产的项目       年生产能力       职工人数</w:t>
      </w:r>
    </w:p>
    <w:p>
      <w:pPr>
        <w:spacing w:line="360" w:lineRule="auto"/>
        <w:rPr>
          <w:rFonts w:ascii="宋体" w:hAnsi="宋体" w:cs="宋体"/>
          <w:sz w:val="22"/>
          <w:szCs w:val="22"/>
          <w:highlight w:val="none"/>
        </w:rPr>
      </w:pPr>
      <w:r>
        <w:rPr>
          <w:rFonts w:hint="eastAsia" w:ascii="宋体" w:hAnsi="宋体" w:cs="宋体"/>
          <w:sz w:val="22"/>
          <w:szCs w:val="22"/>
          <w:highlight w:val="none"/>
        </w:rPr>
        <w:t xml:space="preserve">   </w:t>
      </w:r>
      <w:r>
        <w:rPr>
          <w:rFonts w:hint="eastAsia" w:ascii="宋体" w:hAnsi="宋体" w:cs="宋体"/>
          <w:sz w:val="22"/>
          <w:szCs w:val="22"/>
          <w:highlight w:val="none"/>
          <w:u w:val="single"/>
        </w:rPr>
        <w:t xml:space="preserve">            </w:t>
      </w:r>
      <w:r>
        <w:rPr>
          <w:rFonts w:hint="eastAsia" w:ascii="宋体" w:hAnsi="宋体" w:cs="宋体"/>
          <w:sz w:val="22"/>
          <w:szCs w:val="22"/>
          <w:highlight w:val="none"/>
        </w:rPr>
        <w:t xml:space="preserve">       </w:t>
      </w:r>
      <w:r>
        <w:rPr>
          <w:rFonts w:hint="eastAsia" w:ascii="宋体" w:hAnsi="宋体" w:cs="宋体"/>
          <w:sz w:val="22"/>
          <w:szCs w:val="22"/>
          <w:highlight w:val="none"/>
          <w:u w:val="single"/>
        </w:rPr>
        <w:t xml:space="preserve">           </w:t>
      </w:r>
      <w:r>
        <w:rPr>
          <w:rFonts w:hint="eastAsia" w:ascii="宋体" w:hAnsi="宋体" w:cs="宋体"/>
          <w:sz w:val="22"/>
          <w:szCs w:val="22"/>
          <w:highlight w:val="none"/>
        </w:rPr>
        <w:t xml:space="preserve">      </w:t>
      </w:r>
      <w:r>
        <w:rPr>
          <w:rFonts w:hint="eastAsia" w:ascii="宋体" w:hAnsi="宋体" w:cs="宋体"/>
          <w:sz w:val="22"/>
          <w:szCs w:val="22"/>
          <w:highlight w:val="none"/>
          <w:u w:val="single"/>
        </w:rPr>
        <w:t xml:space="preserve">           </w:t>
      </w:r>
      <w:r>
        <w:rPr>
          <w:rFonts w:hint="eastAsia" w:ascii="宋体" w:hAnsi="宋体" w:cs="宋体"/>
          <w:sz w:val="22"/>
          <w:szCs w:val="22"/>
          <w:highlight w:val="none"/>
        </w:rPr>
        <w:t xml:space="preserve">      </w:t>
      </w:r>
      <w:r>
        <w:rPr>
          <w:rFonts w:hint="eastAsia" w:ascii="宋体" w:hAnsi="宋体" w:cs="宋体"/>
          <w:sz w:val="22"/>
          <w:szCs w:val="22"/>
          <w:highlight w:val="none"/>
          <w:u w:val="single"/>
        </w:rPr>
        <w:t xml:space="preserve">           </w:t>
      </w:r>
    </w:p>
    <w:p>
      <w:pPr>
        <w:spacing w:line="360" w:lineRule="auto"/>
        <w:rPr>
          <w:rFonts w:ascii="宋体" w:hAnsi="宋体" w:cs="宋体"/>
          <w:sz w:val="22"/>
          <w:szCs w:val="22"/>
          <w:highlight w:val="none"/>
        </w:rPr>
      </w:pPr>
      <w:r>
        <w:rPr>
          <w:rFonts w:hint="eastAsia" w:ascii="宋体" w:hAnsi="宋体" w:cs="宋体"/>
          <w:sz w:val="22"/>
          <w:szCs w:val="22"/>
          <w:highlight w:val="none"/>
        </w:rPr>
        <w:t xml:space="preserve">   </w:t>
      </w:r>
      <w:r>
        <w:rPr>
          <w:rFonts w:hint="eastAsia" w:ascii="宋体" w:hAnsi="宋体" w:cs="宋体"/>
          <w:sz w:val="22"/>
          <w:szCs w:val="22"/>
          <w:highlight w:val="none"/>
          <w:u w:val="single"/>
        </w:rPr>
        <w:t xml:space="preserve">            </w:t>
      </w:r>
      <w:r>
        <w:rPr>
          <w:rFonts w:hint="eastAsia" w:ascii="宋体" w:hAnsi="宋体" w:cs="宋体"/>
          <w:sz w:val="22"/>
          <w:szCs w:val="22"/>
          <w:highlight w:val="none"/>
        </w:rPr>
        <w:t xml:space="preserve">       </w:t>
      </w:r>
      <w:r>
        <w:rPr>
          <w:rFonts w:hint="eastAsia" w:ascii="宋体" w:hAnsi="宋体" w:cs="宋体"/>
          <w:sz w:val="22"/>
          <w:szCs w:val="22"/>
          <w:highlight w:val="none"/>
          <w:u w:val="single"/>
        </w:rPr>
        <w:t xml:space="preserve">           </w:t>
      </w:r>
      <w:r>
        <w:rPr>
          <w:rFonts w:hint="eastAsia" w:ascii="宋体" w:hAnsi="宋体" w:cs="宋体"/>
          <w:sz w:val="22"/>
          <w:szCs w:val="22"/>
          <w:highlight w:val="none"/>
        </w:rPr>
        <w:t xml:space="preserve">      </w:t>
      </w:r>
      <w:r>
        <w:rPr>
          <w:rFonts w:hint="eastAsia" w:ascii="宋体" w:hAnsi="宋体" w:cs="宋体"/>
          <w:sz w:val="22"/>
          <w:szCs w:val="22"/>
          <w:highlight w:val="none"/>
          <w:u w:val="single"/>
        </w:rPr>
        <w:t xml:space="preserve">           </w:t>
      </w:r>
      <w:r>
        <w:rPr>
          <w:rFonts w:hint="eastAsia" w:ascii="宋体" w:hAnsi="宋体" w:cs="宋体"/>
          <w:sz w:val="22"/>
          <w:szCs w:val="22"/>
          <w:highlight w:val="none"/>
        </w:rPr>
        <w:t xml:space="preserve">      </w:t>
      </w:r>
      <w:r>
        <w:rPr>
          <w:rFonts w:hint="eastAsia" w:ascii="宋体" w:hAnsi="宋体" w:cs="宋体"/>
          <w:sz w:val="22"/>
          <w:szCs w:val="22"/>
          <w:highlight w:val="none"/>
          <w:u w:val="single"/>
        </w:rPr>
        <w:t xml:space="preserve">           </w:t>
      </w:r>
    </w:p>
    <w:p>
      <w:pPr>
        <w:numPr>
          <w:ilvl w:val="1"/>
          <w:numId w:val="36"/>
        </w:numPr>
        <w:tabs>
          <w:tab w:val="left" w:pos="780"/>
          <w:tab w:val="clear" w:pos="840"/>
        </w:tabs>
        <w:adjustRightInd w:val="0"/>
        <w:spacing w:line="360" w:lineRule="auto"/>
        <w:ind w:left="780" w:hanging="360"/>
        <w:textAlignment w:val="baseline"/>
        <w:rPr>
          <w:rFonts w:ascii="宋体" w:hAnsi="宋体" w:cs="宋体"/>
          <w:sz w:val="22"/>
          <w:szCs w:val="22"/>
          <w:highlight w:val="none"/>
        </w:rPr>
      </w:pPr>
      <w:r>
        <w:rPr>
          <w:rFonts w:hint="eastAsia" w:ascii="宋体" w:hAnsi="宋体" w:cs="宋体"/>
          <w:sz w:val="22"/>
          <w:szCs w:val="22"/>
          <w:highlight w:val="none"/>
        </w:rPr>
        <w:t xml:space="preserve"> 本制造商不生产，而需从其它制造商购买的主要零部件：</w:t>
      </w:r>
    </w:p>
    <w:p>
      <w:pPr>
        <w:spacing w:line="360" w:lineRule="auto"/>
        <w:ind w:firstLine="360"/>
        <w:rPr>
          <w:rFonts w:ascii="宋体" w:hAnsi="宋体" w:cs="宋体"/>
          <w:sz w:val="22"/>
          <w:szCs w:val="22"/>
          <w:highlight w:val="none"/>
        </w:rPr>
      </w:pPr>
      <w:r>
        <w:rPr>
          <w:rFonts w:hint="eastAsia" w:ascii="宋体" w:hAnsi="宋体" w:cs="宋体"/>
          <w:sz w:val="22"/>
          <w:szCs w:val="22"/>
          <w:highlight w:val="none"/>
        </w:rPr>
        <w:t>制造商名称和地址               主要零部件名称</w:t>
      </w:r>
    </w:p>
    <w:p>
      <w:pPr>
        <w:spacing w:line="360" w:lineRule="auto"/>
        <w:rPr>
          <w:rFonts w:ascii="宋体" w:hAnsi="宋体" w:cs="宋体"/>
          <w:sz w:val="22"/>
          <w:szCs w:val="22"/>
          <w:highlight w:val="none"/>
          <w:u w:val="single"/>
        </w:rPr>
      </w:pPr>
      <w:r>
        <w:rPr>
          <w:rFonts w:hint="eastAsia" w:ascii="宋体" w:hAnsi="宋体" w:cs="宋体"/>
          <w:sz w:val="22"/>
          <w:szCs w:val="22"/>
          <w:highlight w:val="none"/>
        </w:rPr>
        <w:t xml:space="preserve">   </w:t>
      </w:r>
      <w:r>
        <w:rPr>
          <w:rFonts w:hint="eastAsia" w:ascii="宋体" w:hAnsi="宋体" w:cs="宋体"/>
          <w:sz w:val="22"/>
          <w:szCs w:val="22"/>
          <w:highlight w:val="none"/>
          <w:u w:val="single"/>
        </w:rPr>
        <w:t xml:space="preserve">                        </w:t>
      </w:r>
      <w:r>
        <w:rPr>
          <w:rFonts w:hint="eastAsia" w:ascii="宋体" w:hAnsi="宋体" w:cs="宋体"/>
          <w:sz w:val="22"/>
          <w:szCs w:val="22"/>
          <w:highlight w:val="none"/>
        </w:rPr>
        <w:t xml:space="preserve">       </w:t>
      </w:r>
      <w:r>
        <w:rPr>
          <w:rFonts w:hint="eastAsia" w:ascii="宋体" w:hAnsi="宋体" w:cs="宋体"/>
          <w:sz w:val="22"/>
          <w:szCs w:val="22"/>
          <w:highlight w:val="none"/>
          <w:u w:val="single"/>
        </w:rPr>
        <w:t xml:space="preserve">                           </w:t>
      </w:r>
    </w:p>
    <w:p>
      <w:pPr>
        <w:spacing w:line="360" w:lineRule="auto"/>
        <w:rPr>
          <w:rFonts w:ascii="宋体" w:hAnsi="宋体" w:cs="宋体"/>
          <w:sz w:val="22"/>
          <w:szCs w:val="22"/>
          <w:highlight w:val="none"/>
          <w:u w:val="single"/>
        </w:rPr>
      </w:pPr>
      <w:r>
        <w:rPr>
          <w:rFonts w:hint="eastAsia" w:ascii="宋体" w:hAnsi="宋体" w:cs="宋体"/>
          <w:sz w:val="22"/>
          <w:szCs w:val="22"/>
          <w:highlight w:val="none"/>
        </w:rPr>
        <w:t xml:space="preserve">   </w:t>
      </w:r>
      <w:r>
        <w:rPr>
          <w:rFonts w:hint="eastAsia" w:ascii="宋体" w:hAnsi="宋体" w:cs="宋体"/>
          <w:sz w:val="22"/>
          <w:szCs w:val="22"/>
          <w:highlight w:val="none"/>
          <w:u w:val="single"/>
        </w:rPr>
        <w:t xml:space="preserve">                        </w:t>
      </w:r>
      <w:r>
        <w:rPr>
          <w:rFonts w:hint="eastAsia" w:ascii="宋体" w:hAnsi="宋体" w:cs="宋体"/>
          <w:sz w:val="22"/>
          <w:szCs w:val="22"/>
          <w:highlight w:val="none"/>
        </w:rPr>
        <w:t xml:space="preserve">       </w:t>
      </w:r>
      <w:r>
        <w:rPr>
          <w:rFonts w:hint="eastAsia" w:ascii="宋体" w:hAnsi="宋体" w:cs="宋体"/>
          <w:sz w:val="22"/>
          <w:szCs w:val="22"/>
          <w:highlight w:val="none"/>
          <w:u w:val="single"/>
        </w:rPr>
        <w:t xml:space="preserve">                           </w:t>
      </w:r>
    </w:p>
    <w:p>
      <w:pPr>
        <w:numPr>
          <w:ilvl w:val="0"/>
          <w:numId w:val="37"/>
        </w:numPr>
        <w:adjustRightInd w:val="0"/>
        <w:spacing w:line="360" w:lineRule="auto"/>
        <w:ind w:right="506" w:rightChars="211"/>
        <w:textAlignment w:val="baseline"/>
        <w:rPr>
          <w:rFonts w:ascii="宋体" w:hAnsi="宋体" w:cs="宋体"/>
          <w:sz w:val="22"/>
          <w:szCs w:val="22"/>
          <w:highlight w:val="none"/>
        </w:rPr>
      </w:pPr>
      <w:r>
        <w:rPr>
          <w:rFonts w:hint="eastAsia" w:ascii="宋体" w:hAnsi="宋体" w:cs="宋体"/>
          <w:sz w:val="22"/>
          <w:szCs w:val="22"/>
          <w:highlight w:val="none"/>
        </w:rPr>
        <w:t>本制造商生产投标货物的经验（包括年限、项目业主、额定能力、商业运营的起始日期等）：</w:t>
      </w:r>
    </w:p>
    <w:p>
      <w:pPr>
        <w:spacing w:line="360" w:lineRule="auto"/>
        <w:ind w:firstLine="360"/>
        <w:rPr>
          <w:rFonts w:ascii="宋体" w:hAnsi="宋体" w:cs="宋体"/>
          <w:sz w:val="22"/>
          <w:szCs w:val="22"/>
          <w:highlight w:val="none"/>
        </w:rPr>
      </w:pPr>
      <w:r>
        <w:rPr>
          <w:rFonts w:hint="eastAsia" w:ascii="宋体" w:hAnsi="宋体" w:cs="宋体"/>
          <w:sz w:val="22"/>
          <w:szCs w:val="22"/>
          <w:highlight w:val="none"/>
          <w:u w:val="single"/>
        </w:rPr>
        <w:t xml:space="preserve">                                                                 </w:t>
      </w:r>
    </w:p>
    <w:p>
      <w:pPr>
        <w:spacing w:line="360" w:lineRule="auto"/>
        <w:ind w:firstLine="360"/>
        <w:rPr>
          <w:rFonts w:ascii="宋体" w:hAnsi="宋体" w:cs="宋体"/>
          <w:sz w:val="22"/>
          <w:szCs w:val="22"/>
          <w:highlight w:val="none"/>
        </w:rPr>
      </w:pPr>
      <w:r>
        <w:rPr>
          <w:rFonts w:hint="eastAsia" w:ascii="宋体" w:hAnsi="宋体" w:cs="宋体"/>
          <w:sz w:val="22"/>
          <w:szCs w:val="22"/>
          <w:highlight w:val="none"/>
          <w:u w:val="single"/>
        </w:rPr>
        <w:t xml:space="preserve">                                                                 </w:t>
      </w:r>
    </w:p>
    <w:p>
      <w:pPr>
        <w:numPr>
          <w:ilvl w:val="0"/>
          <w:numId w:val="37"/>
        </w:numPr>
        <w:adjustRightInd w:val="0"/>
        <w:spacing w:line="360" w:lineRule="auto"/>
        <w:textAlignment w:val="baseline"/>
        <w:rPr>
          <w:rFonts w:ascii="宋体" w:hAnsi="宋体" w:cs="宋体"/>
          <w:sz w:val="22"/>
          <w:szCs w:val="22"/>
          <w:highlight w:val="none"/>
        </w:rPr>
      </w:pPr>
      <w:r>
        <w:rPr>
          <w:rFonts w:hint="eastAsia" w:ascii="宋体" w:hAnsi="宋体" w:cs="宋体"/>
          <w:sz w:val="22"/>
          <w:szCs w:val="22"/>
          <w:highlight w:val="none"/>
        </w:rPr>
        <w:t>近3年该货物主要销售给国内、外主要客户的名称地址：</w:t>
      </w:r>
    </w:p>
    <w:p>
      <w:pPr>
        <w:numPr>
          <w:ilvl w:val="0"/>
          <w:numId w:val="38"/>
        </w:numPr>
        <w:adjustRightInd w:val="0"/>
        <w:spacing w:line="360" w:lineRule="auto"/>
        <w:textAlignment w:val="baseline"/>
        <w:rPr>
          <w:rFonts w:ascii="宋体" w:hAnsi="宋体" w:cs="宋体"/>
          <w:sz w:val="22"/>
          <w:szCs w:val="22"/>
          <w:highlight w:val="none"/>
        </w:rPr>
      </w:pPr>
      <w:r>
        <w:rPr>
          <w:rFonts w:hint="eastAsia" w:ascii="宋体" w:hAnsi="宋体" w:cs="宋体"/>
          <w:sz w:val="22"/>
          <w:szCs w:val="22"/>
          <w:highlight w:val="none"/>
        </w:rPr>
        <w:t>出口销售</w:t>
      </w:r>
    </w:p>
    <w:p>
      <w:pPr>
        <w:spacing w:line="360" w:lineRule="auto"/>
        <w:ind w:firstLine="840"/>
        <w:rPr>
          <w:rFonts w:ascii="宋体" w:hAnsi="宋体" w:cs="宋体"/>
          <w:sz w:val="22"/>
          <w:szCs w:val="22"/>
          <w:highlight w:val="none"/>
          <w:u w:val="single"/>
        </w:rPr>
      </w:pPr>
      <w:r>
        <w:rPr>
          <w:rFonts w:hint="eastAsia" w:ascii="宋体" w:hAnsi="宋体" w:cs="宋体"/>
          <w:sz w:val="22"/>
          <w:szCs w:val="22"/>
          <w:highlight w:val="none"/>
        </w:rPr>
        <w:t>（</w:t>
      </w:r>
      <w:r>
        <w:rPr>
          <w:rFonts w:hint="eastAsia" w:ascii="宋体" w:hAnsi="宋体" w:cs="宋体"/>
          <w:i/>
          <w:sz w:val="22"/>
          <w:szCs w:val="22"/>
          <w:highlight w:val="none"/>
          <w:u w:val="single"/>
        </w:rPr>
        <w:t>名称和地址</w:t>
      </w:r>
      <w:r>
        <w:rPr>
          <w:rFonts w:hint="eastAsia" w:ascii="宋体" w:hAnsi="宋体" w:cs="宋体"/>
          <w:sz w:val="22"/>
          <w:szCs w:val="22"/>
          <w:highlight w:val="none"/>
        </w:rPr>
        <w:t>）</w:t>
      </w:r>
      <w:r>
        <w:rPr>
          <w:rFonts w:hint="eastAsia" w:ascii="宋体" w:hAnsi="宋体" w:cs="宋体"/>
          <w:sz w:val="22"/>
          <w:szCs w:val="22"/>
          <w:highlight w:val="none"/>
          <w:u w:val="single"/>
        </w:rPr>
        <w:t xml:space="preserve">                  </w:t>
      </w:r>
      <w:r>
        <w:rPr>
          <w:rFonts w:hint="eastAsia" w:ascii="宋体" w:hAnsi="宋体" w:cs="宋体"/>
          <w:sz w:val="22"/>
          <w:szCs w:val="22"/>
          <w:highlight w:val="none"/>
        </w:rPr>
        <w:t>（</w:t>
      </w:r>
      <w:r>
        <w:rPr>
          <w:rFonts w:hint="eastAsia" w:ascii="宋体" w:hAnsi="宋体" w:cs="宋体"/>
          <w:i/>
          <w:sz w:val="22"/>
          <w:szCs w:val="22"/>
          <w:highlight w:val="none"/>
          <w:u w:val="single"/>
        </w:rPr>
        <w:t>销售项目</w:t>
      </w:r>
      <w:r>
        <w:rPr>
          <w:rFonts w:hint="eastAsia" w:ascii="宋体" w:hAnsi="宋体" w:cs="宋体"/>
          <w:sz w:val="22"/>
          <w:szCs w:val="22"/>
          <w:highlight w:val="none"/>
        </w:rPr>
        <w:t>）</w:t>
      </w:r>
      <w:r>
        <w:rPr>
          <w:rFonts w:hint="eastAsia" w:ascii="宋体" w:hAnsi="宋体" w:cs="宋体"/>
          <w:sz w:val="22"/>
          <w:szCs w:val="22"/>
          <w:highlight w:val="none"/>
          <w:u w:val="single"/>
        </w:rPr>
        <w:t xml:space="preserve">                  </w:t>
      </w:r>
    </w:p>
    <w:p>
      <w:pPr>
        <w:numPr>
          <w:ilvl w:val="0"/>
          <w:numId w:val="38"/>
        </w:numPr>
        <w:adjustRightInd w:val="0"/>
        <w:spacing w:line="360" w:lineRule="auto"/>
        <w:textAlignment w:val="baseline"/>
        <w:rPr>
          <w:rFonts w:ascii="宋体" w:hAnsi="宋体" w:cs="宋体"/>
          <w:sz w:val="22"/>
          <w:szCs w:val="22"/>
          <w:highlight w:val="none"/>
        </w:rPr>
      </w:pPr>
      <w:r>
        <w:rPr>
          <w:rFonts w:hint="eastAsia" w:ascii="宋体" w:hAnsi="宋体" w:cs="宋体"/>
          <w:sz w:val="22"/>
          <w:szCs w:val="22"/>
          <w:highlight w:val="none"/>
        </w:rPr>
        <w:t>国内销售</w:t>
      </w:r>
    </w:p>
    <w:p>
      <w:pPr>
        <w:spacing w:line="360" w:lineRule="auto"/>
        <w:ind w:firstLine="840"/>
        <w:rPr>
          <w:rFonts w:ascii="宋体" w:hAnsi="宋体" w:cs="宋体"/>
          <w:sz w:val="22"/>
          <w:szCs w:val="22"/>
          <w:highlight w:val="none"/>
          <w:u w:val="single"/>
        </w:rPr>
      </w:pPr>
      <w:r>
        <w:rPr>
          <w:rFonts w:hint="eastAsia" w:ascii="宋体" w:hAnsi="宋体" w:cs="宋体"/>
          <w:sz w:val="22"/>
          <w:szCs w:val="22"/>
          <w:highlight w:val="none"/>
        </w:rPr>
        <w:t>（</w:t>
      </w:r>
      <w:r>
        <w:rPr>
          <w:rFonts w:hint="eastAsia" w:ascii="宋体" w:hAnsi="宋体" w:cs="宋体"/>
          <w:i/>
          <w:sz w:val="22"/>
          <w:szCs w:val="22"/>
          <w:highlight w:val="none"/>
          <w:u w:val="single"/>
        </w:rPr>
        <w:t>名称和地址</w:t>
      </w:r>
      <w:r>
        <w:rPr>
          <w:rFonts w:hint="eastAsia" w:ascii="宋体" w:hAnsi="宋体" w:cs="宋体"/>
          <w:sz w:val="22"/>
          <w:szCs w:val="22"/>
          <w:highlight w:val="none"/>
        </w:rPr>
        <w:t>）</w:t>
      </w:r>
      <w:r>
        <w:rPr>
          <w:rFonts w:hint="eastAsia" w:ascii="宋体" w:hAnsi="宋体" w:cs="宋体"/>
          <w:sz w:val="22"/>
          <w:szCs w:val="22"/>
          <w:highlight w:val="none"/>
          <w:u w:val="single"/>
        </w:rPr>
        <w:t xml:space="preserve">                  </w:t>
      </w:r>
      <w:r>
        <w:rPr>
          <w:rFonts w:hint="eastAsia" w:ascii="宋体" w:hAnsi="宋体" w:cs="宋体"/>
          <w:sz w:val="22"/>
          <w:szCs w:val="22"/>
          <w:highlight w:val="none"/>
        </w:rPr>
        <w:t>（</w:t>
      </w:r>
      <w:r>
        <w:rPr>
          <w:rFonts w:hint="eastAsia" w:ascii="宋体" w:hAnsi="宋体" w:cs="宋体"/>
          <w:i/>
          <w:sz w:val="22"/>
          <w:szCs w:val="22"/>
          <w:highlight w:val="none"/>
          <w:u w:val="single"/>
        </w:rPr>
        <w:t>销售项目</w:t>
      </w:r>
      <w:r>
        <w:rPr>
          <w:rFonts w:hint="eastAsia" w:ascii="宋体" w:hAnsi="宋体" w:cs="宋体"/>
          <w:sz w:val="22"/>
          <w:szCs w:val="22"/>
          <w:highlight w:val="none"/>
        </w:rPr>
        <w:t>）</w:t>
      </w:r>
      <w:r>
        <w:rPr>
          <w:rFonts w:hint="eastAsia" w:ascii="宋体" w:hAnsi="宋体" w:cs="宋体"/>
          <w:sz w:val="22"/>
          <w:szCs w:val="22"/>
          <w:highlight w:val="none"/>
          <w:u w:val="single"/>
        </w:rPr>
        <w:t xml:space="preserve">                  </w:t>
      </w:r>
    </w:p>
    <w:p>
      <w:pPr>
        <w:numPr>
          <w:ilvl w:val="0"/>
          <w:numId w:val="39"/>
        </w:numPr>
        <w:adjustRightInd w:val="0"/>
        <w:spacing w:line="360" w:lineRule="auto"/>
        <w:textAlignment w:val="baseline"/>
        <w:rPr>
          <w:rFonts w:ascii="宋体" w:hAnsi="宋体" w:cs="宋体"/>
          <w:sz w:val="22"/>
          <w:szCs w:val="22"/>
          <w:highlight w:val="none"/>
        </w:rPr>
      </w:pPr>
      <w:r>
        <w:rPr>
          <w:rFonts w:hint="eastAsia" w:ascii="宋体" w:hAnsi="宋体" w:cs="宋体"/>
          <w:sz w:val="22"/>
          <w:szCs w:val="22"/>
          <w:highlight w:val="none"/>
        </w:rPr>
        <w:t>近三年的年营业额</w:t>
      </w:r>
    </w:p>
    <w:p>
      <w:pPr>
        <w:spacing w:line="360" w:lineRule="auto"/>
        <w:ind w:firstLine="480"/>
        <w:rPr>
          <w:rFonts w:ascii="宋体" w:hAnsi="宋体" w:cs="宋体"/>
          <w:sz w:val="22"/>
          <w:szCs w:val="22"/>
          <w:highlight w:val="none"/>
        </w:rPr>
      </w:pPr>
      <w:r>
        <w:rPr>
          <w:rFonts w:hint="eastAsia" w:ascii="宋体" w:hAnsi="宋体" w:cs="宋体"/>
          <w:sz w:val="22"/>
          <w:szCs w:val="22"/>
          <w:highlight w:val="none"/>
        </w:rPr>
        <w:t>年份             国内             出口             总额</w:t>
      </w:r>
    </w:p>
    <w:p>
      <w:pPr>
        <w:spacing w:line="360" w:lineRule="auto"/>
        <w:ind w:left="360"/>
        <w:rPr>
          <w:rFonts w:ascii="宋体" w:hAnsi="宋体" w:cs="宋体"/>
          <w:sz w:val="22"/>
          <w:szCs w:val="22"/>
          <w:highlight w:val="none"/>
          <w:u w:val="single"/>
        </w:rPr>
      </w:pPr>
      <w:r>
        <w:rPr>
          <w:rFonts w:hint="eastAsia" w:ascii="宋体" w:hAnsi="宋体" w:cs="宋体"/>
          <w:sz w:val="22"/>
          <w:szCs w:val="22"/>
          <w:highlight w:val="none"/>
          <w:u w:val="single"/>
        </w:rPr>
        <w:t xml:space="preserve">             </w:t>
      </w:r>
      <w:r>
        <w:rPr>
          <w:rFonts w:hint="eastAsia" w:ascii="宋体" w:hAnsi="宋体" w:cs="宋体"/>
          <w:sz w:val="22"/>
          <w:szCs w:val="22"/>
          <w:highlight w:val="none"/>
        </w:rPr>
        <w:t xml:space="preserve">    </w:t>
      </w:r>
      <w:r>
        <w:rPr>
          <w:rFonts w:hint="eastAsia" w:ascii="宋体" w:hAnsi="宋体" w:cs="宋体"/>
          <w:sz w:val="22"/>
          <w:szCs w:val="22"/>
          <w:highlight w:val="none"/>
          <w:u w:val="single"/>
        </w:rPr>
        <w:t xml:space="preserve">             </w:t>
      </w:r>
      <w:r>
        <w:rPr>
          <w:rFonts w:hint="eastAsia" w:ascii="宋体" w:hAnsi="宋体" w:cs="宋体"/>
          <w:sz w:val="22"/>
          <w:szCs w:val="22"/>
          <w:highlight w:val="none"/>
        </w:rPr>
        <w:t xml:space="preserve">    </w:t>
      </w:r>
      <w:r>
        <w:rPr>
          <w:rFonts w:hint="eastAsia" w:ascii="宋体" w:hAnsi="宋体" w:cs="宋体"/>
          <w:sz w:val="22"/>
          <w:szCs w:val="22"/>
          <w:highlight w:val="none"/>
          <w:u w:val="single"/>
        </w:rPr>
        <w:t xml:space="preserve">             </w:t>
      </w:r>
      <w:r>
        <w:rPr>
          <w:rFonts w:hint="eastAsia" w:ascii="宋体" w:hAnsi="宋体" w:cs="宋体"/>
          <w:sz w:val="22"/>
          <w:szCs w:val="22"/>
          <w:highlight w:val="none"/>
        </w:rPr>
        <w:t xml:space="preserve">    </w:t>
      </w:r>
      <w:r>
        <w:rPr>
          <w:rFonts w:hint="eastAsia" w:ascii="宋体" w:hAnsi="宋体" w:cs="宋体"/>
          <w:sz w:val="22"/>
          <w:szCs w:val="22"/>
          <w:highlight w:val="none"/>
          <w:u w:val="single"/>
        </w:rPr>
        <w:t xml:space="preserve">             </w:t>
      </w:r>
      <w:r>
        <w:rPr>
          <w:rFonts w:hint="eastAsia" w:ascii="宋体" w:hAnsi="宋体" w:cs="宋体"/>
          <w:sz w:val="22"/>
          <w:szCs w:val="22"/>
          <w:highlight w:val="none"/>
          <w:u w:val="single"/>
        </w:rPr>
        <w:br w:type="textWrapping"/>
      </w:r>
      <w:r>
        <w:rPr>
          <w:rFonts w:hint="eastAsia" w:ascii="宋体" w:hAnsi="宋体" w:cs="宋体"/>
          <w:sz w:val="22"/>
          <w:szCs w:val="22"/>
          <w:highlight w:val="none"/>
          <w:u w:val="single"/>
        </w:rPr>
        <w:t xml:space="preserve">             </w:t>
      </w:r>
      <w:r>
        <w:rPr>
          <w:rFonts w:hint="eastAsia" w:ascii="宋体" w:hAnsi="宋体" w:cs="宋体"/>
          <w:sz w:val="22"/>
          <w:szCs w:val="22"/>
          <w:highlight w:val="none"/>
        </w:rPr>
        <w:t xml:space="preserve">    </w:t>
      </w:r>
      <w:r>
        <w:rPr>
          <w:rFonts w:hint="eastAsia" w:ascii="宋体" w:hAnsi="宋体" w:cs="宋体"/>
          <w:sz w:val="22"/>
          <w:szCs w:val="22"/>
          <w:highlight w:val="none"/>
          <w:u w:val="single"/>
        </w:rPr>
        <w:t xml:space="preserve">             </w:t>
      </w:r>
      <w:r>
        <w:rPr>
          <w:rFonts w:hint="eastAsia" w:ascii="宋体" w:hAnsi="宋体" w:cs="宋体"/>
          <w:sz w:val="22"/>
          <w:szCs w:val="22"/>
          <w:highlight w:val="none"/>
        </w:rPr>
        <w:t xml:space="preserve">    </w:t>
      </w:r>
      <w:r>
        <w:rPr>
          <w:rFonts w:hint="eastAsia" w:ascii="宋体" w:hAnsi="宋体" w:cs="宋体"/>
          <w:sz w:val="22"/>
          <w:szCs w:val="22"/>
          <w:highlight w:val="none"/>
          <w:u w:val="single"/>
        </w:rPr>
        <w:t xml:space="preserve">             </w:t>
      </w:r>
      <w:r>
        <w:rPr>
          <w:rFonts w:hint="eastAsia" w:ascii="宋体" w:hAnsi="宋体" w:cs="宋体"/>
          <w:sz w:val="22"/>
          <w:szCs w:val="22"/>
          <w:highlight w:val="none"/>
        </w:rPr>
        <w:t xml:space="preserve">    </w:t>
      </w:r>
      <w:r>
        <w:rPr>
          <w:rFonts w:hint="eastAsia" w:ascii="宋体" w:hAnsi="宋体" w:cs="宋体"/>
          <w:sz w:val="22"/>
          <w:szCs w:val="22"/>
          <w:highlight w:val="none"/>
          <w:u w:val="single"/>
        </w:rPr>
        <w:t xml:space="preserve">             </w:t>
      </w:r>
    </w:p>
    <w:p>
      <w:pPr>
        <w:numPr>
          <w:ilvl w:val="0"/>
          <w:numId w:val="39"/>
        </w:numPr>
        <w:adjustRightInd w:val="0"/>
        <w:spacing w:line="360" w:lineRule="auto"/>
        <w:textAlignment w:val="baseline"/>
        <w:rPr>
          <w:rFonts w:ascii="宋体" w:hAnsi="宋体" w:cs="宋体"/>
          <w:sz w:val="22"/>
          <w:szCs w:val="22"/>
          <w:highlight w:val="none"/>
        </w:rPr>
      </w:pPr>
      <w:r>
        <w:rPr>
          <w:rFonts w:hint="eastAsia" w:ascii="宋体" w:hAnsi="宋体" w:cs="宋体"/>
          <w:sz w:val="22"/>
          <w:szCs w:val="22"/>
          <w:highlight w:val="none"/>
        </w:rPr>
        <w:t>易损件供应商的名称和地址：</w:t>
      </w:r>
    </w:p>
    <w:p>
      <w:pPr>
        <w:spacing w:line="360" w:lineRule="auto"/>
        <w:ind w:firstLine="720"/>
        <w:rPr>
          <w:rFonts w:ascii="宋体" w:hAnsi="宋体" w:cs="宋体"/>
          <w:sz w:val="22"/>
          <w:szCs w:val="22"/>
          <w:highlight w:val="none"/>
        </w:rPr>
      </w:pPr>
      <w:r>
        <w:rPr>
          <w:rFonts w:hint="eastAsia" w:ascii="宋体" w:hAnsi="宋体" w:cs="宋体"/>
          <w:sz w:val="22"/>
          <w:szCs w:val="22"/>
          <w:highlight w:val="none"/>
        </w:rPr>
        <w:t>部件名称                              供应商</w:t>
      </w:r>
    </w:p>
    <w:p>
      <w:pPr>
        <w:spacing w:line="360" w:lineRule="auto"/>
        <w:ind w:firstLine="720"/>
        <w:rPr>
          <w:rFonts w:ascii="宋体" w:hAnsi="宋体" w:cs="宋体"/>
          <w:sz w:val="22"/>
          <w:szCs w:val="22"/>
          <w:highlight w:val="none"/>
          <w:u w:val="single"/>
        </w:rPr>
      </w:pPr>
      <w:r>
        <w:rPr>
          <w:rFonts w:hint="eastAsia" w:ascii="宋体" w:hAnsi="宋体" w:cs="宋体"/>
          <w:sz w:val="22"/>
          <w:szCs w:val="22"/>
          <w:highlight w:val="none"/>
          <w:u w:val="single"/>
        </w:rPr>
        <w:t xml:space="preserve">                               </w:t>
      </w:r>
      <w:r>
        <w:rPr>
          <w:rFonts w:hint="eastAsia" w:ascii="宋体" w:hAnsi="宋体" w:cs="宋体"/>
          <w:sz w:val="22"/>
          <w:szCs w:val="22"/>
          <w:highlight w:val="none"/>
        </w:rPr>
        <w:t xml:space="preserve">       </w:t>
      </w:r>
      <w:r>
        <w:rPr>
          <w:rFonts w:hint="eastAsia" w:ascii="宋体" w:hAnsi="宋体" w:cs="宋体"/>
          <w:sz w:val="22"/>
          <w:szCs w:val="22"/>
          <w:highlight w:val="none"/>
          <w:u w:val="single"/>
        </w:rPr>
        <w:t xml:space="preserve">                      </w:t>
      </w:r>
    </w:p>
    <w:p>
      <w:pPr>
        <w:spacing w:line="360" w:lineRule="auto"/>
        <w:ind w:firstLine="720"/>
        <w:rPr>
          <w:rFonts w:ascii="宋体" w:hAnsi="宋体" w:cs="宋体"/>
          <w:sz w:val="22"/>
          <w:szCs w:val="22"/>
          <w:highlight w:val="none"/>
        </w:rPr>
      </w:pPr>
      <w:r>
        <w:rPr>
          <w:rFonts w:hint="eastAsia" w:ascii="宋体" w:hAnsi="宋体" w:cs="宋体"/>
          <w:sz w:val="22"/>
          <w:szCs w:val="22"/>
          <w:highlight w:val="none"/>
          <w:u w:val="single"/>
        </w:rPr>
        <w:t xml:space="preserve">                               </w:t>
      </w:r>
      <w:r>
        <w:rPr>
          <w:rFonts w:hint="eastAsia" w:ascii="宋体" w:hAnsi="宋体" w:cs="宋体"/>
          <w:sz w:val="22"/>
          <w:szCs w:val="22"/>
          <w:highlight w:val="none"/>
        </w:rPr>
        <w:t xml:space="preserve">       </w:t>
      </w:r>
      <w:r>
        <w:rPr>
          <w:rFonts w:hint="eastAsia" w:ascii="宋体" w:hAnsi="宋体" w:cs="宋体"/>
          <w:sz w:val="22"/>
          <w:szCs w:val="22"/>
          <w:highlight w:val="none"/>
          <w:u w:val="single"/>
        </w:rPr>
        <w:t xml:space="preserve">                      </w:t>
      </w:r>
    </w:p>
    <w:p>
      <w:pPr>
        <w:numPr>
          <w:ilvl w:val="0"/>
          <w:numId w:val="39"/>
        </w:numPr>
        <w:adjustRightInd w:val="0"/>
        <w:spacing w:line="360" w:lineRule="auto"/>
        <w:textAlignment w:val="baseline"/>
        <w:rPr>
          <w:rFonts w:ascii="宋体" w:hAnsi="宋体" w:cs="宋体"/>
          <w:sz w:val="22"/>
          <w:szCs w:val="22"/>
          <w:highlight w:val="none"/>
        </w:rPr>
      </w:pPr>
      <w:r>
        <w:rPr>
          <w:rFonts w:hint="eastAsia" w:ascii="宋体" w:hAnsi="宋体" w:cs="宋体"/>
          <w:sz w:val="22"/>
          <w:szCs w:val="22"/>
          <w:highlight w:val="none"/>
        </w:rPr>
        <w:t>有关开户银行的名称和地址：</w:t>
      </w:r>
      <w:r>
        <w:rPr>
          <w:rFonts w:hint="eastAsia" w:ascii="宋体" w:hAnsi="宋体" w:cs="宋体"/>
          <w:sz w:val="22"/>
          <w:szCs w:val="22"/>
          <w:highlight w:val="none"/>
          <w:u w:val="single"/>
        </w:rPr>
        <w:t xml:space="preserve">                                      </w:t>
      </w:r>
    </w:p>
    <w:p>
      <w:pPr>
        <w:numPr>
          <w:ilvl w:val="0"/>
          <w:numId w:val="39"/>
        </w:numPr>
        <w:adjustRightInd w:val="0"/>
        <w:spacing w:line="360" w:lineRule="auto"/>
        <w:textAlignment w:val="baseline"/>
        <w:rPr>
          <w:rFonts w:ascii="宋体" w:hAnsi="宋体" w:cs="宋体"/>
          <w:sz w:val="22"/>
          <w:szCs w:val="22"/>
          <w:highlight w:val="none"/>
        </w:rPr>
      </w:pPr>
      <w:r>
        <w:rPr>
          <w:rFonts w:hint="eastAsia" w:ascii="宋体" w:hAnsi="宋体" w:cs="宋体"/>
          <w:sz w:val="22"/>
          <w:szCs w:val="22"/>
          <w:highlight w:val="none"/>
        </w:rPr>
        <w:t>制造商所属的集团公司（如有的话）：</w:t>
      </w:r>
      <w:r>
        <w:rPr>
          <w:rFonts w:hint="eastAsia" w:ascii="宋体" w:hAnsi="宋体" w:cs="宋体"/>
          <w:sz w:val="22"/>
          <w:szCs w:val="22"/>
          <w:highlight w:val="none"/>
          <w:u w:val="single"/>
        </w:rPr>
        <w:t xml:space="preserve">                                </w:t>
      </w:r>
    </w:p>
    <w:p>
      <w:pPr>
        <w:numPr>
          <w:ilvl w:val="0"/>
          <w:numId w:val="39"/>
        </w:numPr>
        <w:adjustRightInd w:val="0"/>
        <w:spacing w:line="360" w:lineRule="auto"/>
        <w:textAlignment w:val="baseline"/>
        <w:rPr>
          <w:rFonts w:ascii="宋体" w:hAnsi="宋体" w:cs="宋体"/>
          <w:sz w:val="22"/>
          <w:szCs w:val="22"/>
          <w:highlight w:val="none"/>
        </w:rPr>
      </w:pPr>
      <w:r>
        <w:rPr>
          <w:rFonts w:hint="eastAsia" w:ascii="宋体" w:hAnsi="宋体" w:cs="宋体"/>
          <w:sz w:val="22"/>
          <w:szCs w:val="22"/>
          <w:highlight w:val="none"/>
        </w:rPr>
        <w:t>其他情况：</w:t>
      </w:r>
      <w:r>
        <w:rPr>
          <w:rFonts w:hint="eastAsia" w:ascii="宋体" w:hAnsi="宋体" w:cs="宋体"/>
          <w:sz w:val="22"/>
          <w:szCs w:val="22"/>
          <w:highlight w:val="none"/>
          <w:u w:val="single"/>
        </w:rPr>
        <w:t xml:space="preserve">                                                      </w:t>
      </w:r>
    </w:p>
    <w:p>
      <w:pPr>
        <w:spacing w:line="360" w:lineRule="auto"/>
        <w:ind w:left="425"/>
        <w:rPr>
          <w:rFonts w:ascii="宋体" w:hAnsi="宋体" w:cs="宋体"/>
          <w:sz w:val="22"/>
          <w:szCs w:val="22"/>
          <w:highlight w:val="none"/>
        </w:rPr>
      </w:pPr>
    </w:p>
    <w:p>
      <w:pPr>
        <w:spacing w:line="360" w:lineRule="auto"/>
        <w:ind w:firstLine="440" w:firstLineChars="200"/>
        <w:rPr>
          <w:rFonts w:ascii="宋体" w:hAnsi="宋体" w:cs="宋体"/>
          <w:sz w:val="22"/>
          <w:szCs w:val="22"/>
          <w:highlight w:val="none"/>
        </w:rPr>
      </w:pPr>
      <w:r>
        <w:rPr>
          <w:rFonts w:hint="eastAsia" w:ascii="宋体" w:hAnsi="宋体" w:cs="宋体"/>
          <w:sz w:val="22"/>
          <w:szCs w:val="22"/>
          <w:highlight w:val="none"/>
        </w:rPr>
        <w:t>兹证明上述声明是真实、正确的，并提供了全部能提供的资料和数据，我们同意遵照贵方要求出示有关证明文件。</w:t>
      </w:r>
    </w:p>
    <w:p>
      <w:pPr>
        <w:spacing w:line="360" w:lineRule="auto"/>
        <w:rPr>
          <w:rFonts w:ascii="宋体" w:hAnsi="宋体" w:cs="宋体"/>
          <w:sz w:val="22"/>
          <w:szCs w:val="22"/>
          <w:highlight w:val="none"/>
        </w:rPr>
      </w:pPr>
    </w:p>
    <w:p>
      <w:pPr>
        <w:spacing w:line="360" w:lineRule="auto"/>
        <w:rPr>
          <w:rFonts w:ascii="宋体" w:hAnsi="宋体" w:cs="宋体"/>
          <w:sz w:val="22"/>
          <w:szCs w:val="22"/>
          <w:highlight w:val="none"/>
        </w:rPr>
      </w:pPr>
    </w:p>
    <w:p>
      <w:pPr>
        <w:spacing w:beforeLines="50" w:line="360" w:lineRule="auto"/>
        <w:rPr>
          <w:rFonts w:ascii="宋体" w:hAnsi="宋体" w:cs="宋体"/>
          <w:sz w:val="22"/>
          <w:szCs w:val="22"/>
          <w:highlight w:val="none"/>
        </w:rPr>
      </w:pPr>
      <w:r>
        <w:rPr>
          <w:rFonts w:hint="eastAsia" w:ascii="宋体" w:hAnsi="宋体" w:cs="宋体"/>
          <w:sz w:val="22"/>
          <w:szCs w:val="22"/>
          <w:highlight w:val="none"/>
        </w:rPr>
        <w:t>制造商名称 （公章）</w:t>
      </w:r>
      <w:r>
        <w:rPr>
          <w:rFonts w:hint="eastAsia" w:ascii="宋体" w:hAnsi="宋体" w:cs="宋体"/>
          <w:sz w:val="22"/>
          <w:szCs w:val="22"/>
          <w:highlight w:val="none"/>
          <w:u w:val="single"/>
        </w:rPr>
        <w:t xml:space="preserve">                                </w:t>
      </w:r>
    </w:p>
    <w:p>
      <w:pPr>
        <w:spacing w:beforeLines="50" w:line="360" w:lineRule="auto"/>
        <w:rPr>
          <w:rFonts w:ascii="宋体" w:hAnsi="宋体" w:cs="宋体"/>
          <w:sz w:val="22"/>
          <w:szCs w:val="22"/>
          <w:highlight w:val="none"/>
          <w:u w:val="single"/>
        </w:rPr>
      </w:pPr>
      <w:r>
        <w:rPr>
          <w:rFonts w:hint="eastAsia" w:ascii="宋体" w:hAnsi="宋体" w:cs="宋体"/>
          <w:sz w:val="22"/>
          <w:szCs w:val="22"/>
          <w:highlight w:val="none"/>
        </w:rPr>
        <w:t>签字人姓名和职务</w:t>
      </w:r>
      <w:r>
        <w:rPr>
          <w:rFonts w:hint="eastAsia" w:ascii="宋体" w:hAnsi="宋体" w:cs="宋体"/>
          <w:sz w:val="22"/>
          <w:szCs w:val="22"/>
          <w:highlight w:val="none"/>
          <w:u w:val="single"/>
        </w:rPr>
        <w:t xml:space="preserve">                                   </w:t>
      </w:r>
    </w:p>
    <w:p>
      <w:pPr>
        <w:spacing w:beforeLines="50" w:line="360" w:lineRule="auto"/>
        <w:rPr>
          <w:rFonts w:ascii="宋体" w:hAnsi="宋体" w:cs="宋体"/>
          <w:sz w:val="22"/>
          <w:szCs w:val="22"/>
          <w:highlight w:val="none"/>
          <w:u w:val="single"/>
        </w:rPr>
      </w:pPr>
      <w:r>
        <w:rPr>
          <w:rFonts w:hint="eastAsia" w:ascii="宋体" w:hAnsi="宋体" w:cs="宋体"/>
          <w:sz w:val="22"/>
          <w:szCs w:val="22"/>
          <w:highlight w:val="none"/>
        </w:rPr>
        <w:t>签字人签字</w:t>
      </w:r>
      <w:r>
        <w:rPr>
          <w:rFonts w:hint="eastAsia" w:ascii="宋体" w:hAnsi="宋体" w:cs="宋体"/>
          <w:sz w:val="22"/>
          <w:szCs w:val="22"/>
          <w:highlight w:val="none"/>
          <w:u w:val="single"/>
        </w:rPr>
        <w:t xml:space="preserve">                                         </w:t>
      </w:r>
    </w:p>
    <w:p>
      <w:pPr>
        <w:spacing w:beforeLines="50" w:line="360" w:lineRule="auto"/>
        <w:rPr>
          <w:rFonts w:ascii="宋体" w:hAnsi="宋体" w:cs="宋体"/>
          <w:sz w:val="22"/>
          <w:szCs w:val="22"/>
          <w:highlight w:val="none"/>
          <w:u w:val="single"/>
        </w:rPr>
      </w:pPr>
      <w:r>
        <w:rPr>
          <w:rFonts w:hint="eastAsia" w:ascii="宋体" w:hAnsi="宋体" w:cs="宋体"/>
          <w:sz w:val="22"/>
          <w:szCs w:val="22"/>
          <w:highlight w:val="none"/>
        </w:rPr>
        <w:t>签字日期</w:t>
      </w:r>
      <w:r>
        <w:rPr>
          <w:rFonts w:hint="eastAsia" w:ascii="宋体" w:hAnsi="宋体" w:cs="宋体"/>
          <w:sz w:val="22"/>
          <w:szCs w:val="22"/>
          <w:highlight w:val="none"/>
          <w:u w:val="single"/>
        </w:rPr>
        <w:t xml:space="preserve">                                           </w:t>
      </w:r>
    </w:p>
    <w:p>
      <w:pPr>
        <w:spacing w:beforeLines="50" w:line="360" w:lineRule="auto"/>
        <w:rPr>
          <w:rFonts w:ascii="宋体" w:hAnsi="宋体" w:cs="宋体"/>
          <w:sz w:val="22"/>
          <w:szCs w:val="22"/>
          <w:highlight w:val="none"/>
          <w:u w:val="single"/>
        </w:rPr>
      </w:pPr>
      <w:r>
        <w:rPr>
          <w:rFonts w:hint="eastAsia" w:ascii="宋体" w:hAnsi="宋体" w:cs="宋体"/>
          <w:sz w:val="22"/>
          <w:szCs w:val="22"/>
          <w:highlight w:val="none"/>
        </w:rPr>
        <w:t>传真</w:t>
      </w:r>
      <w:r>
        <w:rPr>
          <w:rFonts w:hint="eastAsia" w:ascii="宋体" w:hAnsi="宋体" w:cs="宋体"/>
          <w:sz w:val="22"/>
          <w:szCs w:val="22"/>
          <w:highlight w:val="none"/>
          <w:u w:val="single"/>
        </w:rPr>
        <w:t xml:space="preserve">                                               </w:t>
      </w:r>
    </w:p>
    <w:p>
      <w:pPr>
        <w:spacing w:beforeLines="50" w:line="360" w:lineRule="auto"/>
        <w:rPr>
          <w:rFonts w:ascii="宋体" w:hAnsi="宋体" w:cs="宋体"/>
          <w:sz w:val="22"/>
          <w:szCs w:val="22"/>
          <w:highlight w:val="none"/>
          <w:u w:val="single"/>
        </w:rPr>
      </w:pPr>
      <w:r>
        <w:rPr>
          <w:rFonts w:hint="eastAsia" w:ascii="宋体" w:hAnsi="宋体" w:cs="宋体"/>
          <w:sz w:val="22"/>
          <w:szCs w:val="22"/>
          <w:highlight w:val="none"/>
        </w:rPr>
        <w:t>电话</w:t>
      </w:r>
      <w:r>
        <w:rPr>
          <w:rFonts w:hint="eastAsia" w:ascii="宋体" w:hAnsi="宋体" w:cs="宋体"/>
          <w:sz w:val="22"/>
          <w:szCs w:val="22"/>
          <w:highlight w:val="none"/>
          <w:u w:val="single"/>
        </w:rPr>
        <w:t xml:space="preserve">                                               </w:t>
      </w:r>
    </w:p>
    <w:p>
      <w:pPr>
        <w:spacing w:beforeLines="50" w:line="360" w:lineRule="auto"/>
        <w:rPr>
          <w:rFonts w:ascii="宋体" w:hAnsi="宋体" w:cs="宋体"/>
          <w:highlight w:val="none"/>
          <w:u w:val="single"/>
        </w:rPr>
      </w:pPr>
    </w:p>
    <w:p>
      <w:pPr>
        <w:overflowPunct w:val="0"/>
        <w:autoSpaceDE w:val="0"/>
        <w:autoSpaceDN w:val="0"/>
        <w:spacing w:line="440" w:lineRule="exact"/>
        <w:jc w:val="left"/>
        <w:rPr>
          <w:rFonts w:ascii="宋体" w:hAnsi="宋体" w:cs="Calibri"/>
          <w:sz w:val="22"/>
          <w:highlight w:val="none"/>
        </w:rPr>
      </w:pPr>
    </w:p>
    <w:p>
      <w:pPr>
        <w:spacing w:line="360" w:lineRule="auto"/>
        <w:jc w:val="center"/>
        <w:rPr>
          <w:rFonts w:ascii="宋体" w:hAnsi="宋体" w:cs="宋体"/>
          <w:b/>
          <w:sz w:val="32"/>
          <w:szCs w:val="32"/>
          <w:highlight w:val="none"/>
        </w:rPr>
      </w:pPr>
      <w:r>
        <w:rPr>
          <w:rFonts w:ascii="宋体" w:hAnsi="宋体" w:cs="Calibri"/>
          <w:sz w:val="22"/>
          <w:highlight w:val="none"/>
        </w:rPr>
        <w:br w:type="page"/>
      </w:r>
    </w:p>
    <w:p>
      <w:pPr>
        <w:spacing w:line="360" w:lineRule="auto"/>
        <w:jc w:val="center"/>
        <w:rPr>
          <w:rFonts w:ascii="宋体" w:hAnsi="宋体" w:cs="宋体"/>
          <w:b/>
          <w:sz w:val="32"/>
          <w:szCs w:val="32"/>
          <w:highlight w:val="none"/>
        </w:rPr>
      </w:pPr>
    </w:p>
    <w:p>
      <w:pPr>
        <w:spacing w:line="360" w:lineRule="auto"/>
        <w:jc w:val="center"/>
        <w:rPr>
          <w:rFonts w:ascii="宋体" w:hAnsi="宋体" w:cs="宋体"/>
          <w:b/>
          <w:sz w:val="32"/>
          <w:szCs w:val="32"/>
          <w:highlight w:val="none"/>
        </w:rPr>
      </w:pPr>
      <w:r>
        <w:rPr>
          <w:rFonts w:hint="eastAsia" w:ascii="宋体" w:hAnsi="宋体" w:cs="宋体"/>
          <w:b/>
          <w:sz w:val="32"/>
          <w:szCs w:val="32"/>
          <w:highlight w:val="none"/>
        </w:rPr>
        <w:t>（三）</w:t>
      </w:r>
      <w:r>
        <w:rPr>
          <w:rFonts w:ascii="宋体" w:hAnsi="宋体" w:cs="宋体"/>
          <w:b/>
          <w:sz w:val="32"/>
          <w:szCs w:val="32"/>
          <w:highlight w:val="none"/>
        </w:rPr>
        <w:t>设备制造商的授权书</w:t>
      </w:r>
    </w:p>
    <w:p>
      <w:pPr>
        <w:spacing w:line="360" w:lineRule="auto"/>
        <w:jc w:val="center"/>
        <w:rPr>
          <w:rFonts w:ascii="宋体" w:hAnsi="宋体" w:cs="宋体"/>
          <w:b/>
          <w:sz w:val="32"/>
          <w:szCs w:val="32"/>
          <w:highlight w:val="none"/>
        </w:rPr>
      </w:pPr>
      <w:r>
        <w:rPr>
          <w:rFonts w:hint="eastAsia" w:ascii="宋体" w:hAnsi="宋体" w:cs="宋体"/>
          <w:b/>
          <w:sz w:val="32"/>
          <w:szCs w:val="32"/>
          <w:highlight w:val="none"/>
        </w:rPr>
        <w:t>（代理商投标时提供）</w:t>
      </w:r>
    </w:p>
    <w:p>
      <w:pPr>
        <w:spacing w:line="360" w:lineRule="auto"/>
        <w:jc w:val="center"/>
        <w:rPr>
          <w:rFonts w:ascii="宋体" w:hAnsi="宋体" w:cs="宋体"/>
          <w:b/>
          <w:sz w:val="32"/>
          <w:szCs w:val="32"/>
          <w:highlight w:val="none"/>
        </w:rPr>
      </w:pPr>
    </w:p>
    <w:p>
      <w:pPr>
        <w:spacing w:line="360" w:lineRule="auto"/>
        <w:jc w:val="center"/>
        <w:rPr>
          <w:rFonts w:ascii="宋体" w:hAnsi="宋体" w:cs="宋体"/>
          <w:b/>
          <w:sz w:val="32"/>
          <w:szCs w:val="32"/>
          <w:highlight w:val="none"/>
        </w:rPr>
      </w:pPr>
    </w:p>
    <w:p>
      <w:pPr>
        <w:spacing w:line="360" w:lineRule="auto"/>
        <w:jc w:val="center"/>
        <w:rPr>
          <w:rFonts w:ascii="宋体" w:hAnsi="宋体" w:cs="宋体"/>
          <w:b/>
          <w:sz w:val="32"/>
          <w:szCs w:val="32"/>
          <w:highlight w:val="none"/>
        </w:rPr>
      </w:pPr>
    </w:p>
    <w:p>
      <w:pPr>
        <w:spacing w:line="360" w:lineRule="auto"/>
        <w:jc w:val="center"/>
        <w:rPr>
          <w:rFonts w:ascii="宋体" w:hAnsi="宋体" w:cs="宋体"/>
          <w:b/>
          <w:sz w:val="32"/>
          <w:szCs w:val="32"/>
          <w:highlight w:val="none"/>
        </w:rPr>
      </w:pPr>
      <w:r>
        <w:rPr>
          <w:rFonts w:hint="eastAsia" w:ascii="宋体" w:hAnsi="宋体" w:cs="宋体"/>
          <w:b/>
          <w:sz w:val="32"/>
          <w:szCs w:val="32"/>
          <w:highlight w:val="none"/>
        </w:rPr>
        <w:t>（四）投标产品近三年的销售业绩一览表</w:t>
      </w:r>
    </w:p>
    <w:tbl>
      <w:tblPr>
        <w:tblStyle w:val="52"/>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highlight w:val="none"/>
              </w:rPr>
            </w:pPr>
            <w:r>
              <w:rPr>
                <w:rFonts w:hint="eastAsia" w:ascii="ˎ̥" w:hAnsi="ˎ̥" w:cs="宋体"/>
                <w:bCs/>
                <w:kern w:val="0"/>
                <w:szCs w:val="21"/>
                <w:highlight w:val="none"/>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highlight w:val="none"/>
              </w:rPr>
            </w:pPr>
            <w:r>
              <w:rPr>
                <w:rFonts w:hint="eastAsia" w:ascii="ˎ̥" w:hAnsi="ˎ̥" w:cs="宋体"/>
                <w:bCs/>
                <w:kern w:val="0"/>
                <w:szCs w:val="21"/>
                <w:highlight w:val="none"/>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highlight w:val="none"/>
              </w:rPr>
            </w:pPr>
            <w:r>
              <w:rPr>
                <w:rFonts w:hint="eastAsia" w:ascii="ˎ̥" w:hAnsi="ˎ̥" w:cs="宋体"/>
                <w:kern w:val="0"/>
                <w:szCs w:val="21"/>
                <w:highlight w:val="none"/>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highlight w:val="none"/>
              </w:rPr>
            </w:pPr>
            <w:r>
              <w:rPr>
                <w:rFonts w:hint="eastAsia" w:ascii="ˎ̥" w:hAnsi="ˎ̥" w:cs="宋体"/>
                <w:bCs/>
                <w:kern w:val="0"/>
                <w:szCs w:val="21"/>
                <w:highlight w:val="none"/>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highlight w:val="none"/>
              </w:rPr>
            </w:pPr>
            <w:r>
              <w:rPr>
                <w:rFonts w:hint="eastAsia" w:ascii="宋体" w:hAnsi="宋体" w:cs="宋体"/>
                <w:szCs w:val="21"/>
                <w:highlight w:val="none"/>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highlight w:val="none"/>
              </w:rPr>
            </w:pPr>
            <w:r>
              <w:rPr>
                <w:rFonts w:hint="eastAsia" w:ascii="ˎ̥" w:hAnsi="ˎ̥" w:cs="宋体"/>
                <w:bCs/>
                <w:kern w:val="0"/>
                <w:szCs w:val="21"/>
                <w:highlight w:val="none"/>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highlight w:val="none"/>
              </w:rPr>
            </w:pPr>
            <w:r>
              <w:rPr>
                <w:rFonts w:hint="eastAsia" w:ascii="ˎ̥" w:hAnsi="ˎ̥" w:cs="宋体"/>
                <w:bCs/>
                <w:kern w:val="0"/>
                <w:szCs w:val="2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highlight w:val="none"/>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highlight w:val="none"/>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highlight w:val="none"/>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highlight w:val="none"/>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highlight w:val="none"/>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highlight w:val="none"/>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highlight w:val="none"/>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highlight w:val="none"/>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highlight w:val="none"/>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highlight w:val="none"/>
              </w:rPr>
            </w:pPr>
          </w:p>
        </w:tc>
      </w:tr>
    </w:tbl>
    <w:p>
      <w:pPr>
        <w:spacing w:line="360" w:lineRule="auto"/>
        <w:jc w:val="left"/>
        <w:rPr>
          <w:rFonts w:ascii="ˎ̥" w:hAnsi="ˎ̥" w:cs="宋体"/>
          <w:kern w:val="0"/>
          <w:szCs w:val="21"/>
          <w:highlight w:val="none"/>
        </w:rPr>
      </w:pPr>
      <w:r>
        <w:rPr>
          <w:rFonts w:hint="eastAsia" w:ascii="ˎ̥" w:hAnsi="ˎ̥" w:cs="宋体"/>
          <w:kern w:val="0"/>
          <w:szCs w:val="21"/>
          <w:highlight w:val="none"/>
        </w:rPr>
        <w:t>注：</w:t>
      </w:r>
      <w:r>
        <w:rPr>
          <w:rFonts w:hint="eastAsia" w:ascii="宋体" w:hAnsi="宋体" w:cs="宋体"/>
          <w:highlight w:val="none"/>
        </w:rPr>
        <w:t>本表只需填写符合“招标公告”资格条件和“评标办法”业绩评审标准的业绩。</w:t>
      </w:r>
      <w:r>
        <w:rPr>
          <w:rFonts w:hint="eastAsia" w:ascii="ˎ̥" w:hAnsi="ˎ̥" w:cs="宋体"/>
          <w:kern w:val="0"/>
          <w:szCs w:val="21"/>
          <w:highlight w:val="none"/>
        </w:rPr>
        <w:t>附业绩的销售合同。</w:t>
      </w:r>
    </w:p>
    <w:p>
      <w:pPr>
        <w:spacing w:line="360" w:lineRule="auto"/>
        <w:jc w:val="left"/>
        <w:rPr>
          <w:rFonts w:ascii="ˎ̥" w:hAnsi="ˎ̥" w:cs="宋体"/>
          <w:kern w:val="0"/>
          <w:szCs w:val="21"/>
          <w:highlight w:val="none"/>
        </w:rPr>
      </w:pPr>
    </w:p>
    <w:p>
      <w:pPr>
        <w:spacing w:line="360" w:lineRule="auto"/>
        <w:jc w:val="center"/>
        <w:rPr>
          <w:rFonts w:ascii="宋体" w:hAnsi="宋体" w:cs="宋体"/>
          <w:b/>
          <w:sz w:val="32"/>
          <w:szCs w:val="32"/>
          <w:highlight w:val="none"/>
        </w:rPr>
      </w:pPr>
    </w:p>
    <w:p>
      <w:pPr>
        <w:pStyle w:val="29"/>
        <w:adjustRightInd w:val="0"/>
        <w:snapToGrid w:val="0"/>
        <w:spacing w:line="560" w:lineRule="exact"/>
        <w:rPr>
          <w:rFonts w:hAnsi="宋体"/>
          <w:b/>
          <w:highlight w:val="none"/>
        </w:rPr>
      </w:pPr>
      <w:r>
        <w:rPr>
          <w:rFonts w:hAnsi="宋体" w:cs="宋体"/>
          <w:b/>
          <w:sz w:val="32"/>
          <w:szCs w:val="32"/>
          <w:highlight w:val="none"/>
        </w:rPr>
        <w:br w:type="page"/>
      </w:r>
    </w:p>
    <w:p>
      <w:pPr>
        <w:spacing w:line="440" w:lineRule="exact"/>
        <w:jc w:val="center"/>
        <w:rPr>
          <w:rFonts w:ascii="Calibri" w:hAnsi="Calibri" w:eastAsia="黑体" w:cs="Calibri"/>
          <w:color w:val="000000"/>
          <w:sz w:val="32"/>
          <w:szCs w:val="32"/>
          <w:highlight w:val="none"/>
        </w:rPr>
      </w:pPr>
      <w:r>
        <w:rPr>
          <w:rFonts w:hint="eastAsia" w:ascii="Calibri" w:hAnsi="Calibri" w:eastAsia="黑体" w:cs="Calibri"/>
          <w:color w:val="000000"/>
          <w:sz w:val="32"/>
          <w:szCs w:val="32"/>
          <w:highlight w:val="none"/>
        </w:rPr>
        <w:t>六、技术规格偏离表</w:t>
      </w:r>
    </w:p>
    <w:p>
      <w:pPr>
        <w:spacing w:line="560" w:lineRule="exact"/>
        <w:rPr>
          <w:rFonts w:ascii="宋体" w:hAnsi="宋体"/>
          <w:highlight w:val="none"/>
        </w:rPr>
      </w:pPr>
    </w:p>
    <w:tbl>
      <w:tblPr>
        <w:tblStyle w:val="52"/>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szCs w:val="21"/>
                <w:highlight w:val="none"/>
              </w:rPr>
            </w:pPr>
            <w:r>
              <w:rPr>
                <w:rFonts w:hint="eastAsia" w:ascii="宋体" w:hAnsi="宋体"/>
                <w:szCs w:val="21"/>
                <w:highlight w:val="none"/>
              </w:rPr>
              <w:t>序号</w:t>
            </w:r>
          </w:p>
        </w:tc>
        <w:tc>
          <w:tcPr>
            <w:tcW w:w="1365" w:type="dxa"/>
            <w:vAlign w:val="center"/>
          </w:tcPr>
          <w:p>
            <w:pPr>
              <w:jc w:val="center"/>
              <w:rPr>
                <w:rFonts w:ascii="宋体" w:hAnsi="宋体"/>
                <w:szCs w:val="21"/>
                <w:highlight w:val="none"/>
              </w:rPr>
            </w:pPr>
            <w:r>
              <w:rPr>
                <w:rFonts w:hint="eastAsia" w:ascii="宋体" w:hAnsi="宋体"/>
                <w:szCs w:val="21"/>
                <w:highlight w:val="none"/>
              </w:rPr>
              <w:t>货物名称</w:t>
            </w:r>
          </w:p>
        </w:tc>
        <w:tc>
          <w:tcPr>
            <w:tcW w:w="1260" w:type="dxa"/>
            <w:vAlign w:val="center"/>
          </w:tcPr>
          <w:p>
            <w:pPr>
              <w:jc w:val="center"/>
              <w:rPr>
                <w:rFonts w:ascii="宋体" w:hAnsi="宋体"/>
                <w:szCs w:val="21"/>
                <w:highlight w:val="none"/>
              </w:rPr>
            </w:pPr>
            <w:r>
              <w:rPr>
                <w:rFonts w:hint="eastAsia" w:ascii="宋体" w:hAnsi="宋体"/>
                <w:szCs w:val="21"/>
                <w:highlight w:val="none"/>
              </w:rPr>
              <w:t>招标文件条目号</w:t>
            </w:r>
          </w:p>
        </w:tc>
        <w:tc>
          <w:tcPr>
            <w:tcW w:w="1361" w:type="dxa"/>
            <w:vAlign w:val="center"/>
          </w:tcPr>
          <w:p>
            <w:pPr>
              <w:jc w:val="center"/>
              <w:rPr>
                <w:rFonts w:ascii="宋体" w:hAnsi="宋体"/>
                <w:szCs w:val="21"/>
                <w:highlight w:val="none"/>
              </w:rPr>
            </w:pPr>
            <w:r>
              <w:rPr>
                <w:rFonts w:hint="eastAsia" w:ascii="宋体" w:hAnsi="宋体"/>
                <w:szCs w:val="21"/>
                <w:highlight w:val="none"/>
              </w:rPr>
              <w:t>招标规格</w:t>
            </w:r>
          </w:p>
        </w:tc>
        <w:tc>
          <w:tcPr>
            <w:tcW w:w="1236" w:type="dxa"/>
            <w:vAlign w:val="center"/>
          </w:tcPr>
          <w:p>
            <w:pPr>
              <w:jc w:val="center"/>
              <w:rPr>
                <w:rFonts w:ascii="宋体" w:hAnsi="宋体"/>
                <w:szCs w:val="21"/>
                <w:highlight w:val="none"/>
              </w:rPr>
            </w:pPr>
            <w:r>
              <w:rPr>
                <w:rFonts w:hint="eastAsia" w:ascii="宋体" w:hAnsi="宋体"/>
                <w:szCs w:val="21"/>
                <w:highlight w:val="none"/>
              </w:rPr>
              <w:t>投标规格</w:t>
            </w:r>
          </w:p>
        </w:tc>
        <w:tc>
          <w:tcPr>
            <w:tcW w:w="1890" w:type="dxa"/>
            <w:vAlign w:val="center"/>
          </w:tcPr>
          <w:p>
            <w:pPr>
              <w:jc w:val="center"/>
              <w:rPr>
                <w:rFonts w:ascii="宋体" w:hAnsi="宋体"/>
                <w:szCs w:val="21"/>
                <w:highlight w:val="none"/>
              </w:rPr>
            </w:pPr>
            <w:r>
              <w:rPr>
                <w:rFonts w:hint="eastAsia" w:ascii="宋体" w:hAnsi="宋体"/>
                <w:szCs w:val="21"/>
                <w:highlight w:val="none"/>
              </w:rPr>
              <w:t>偏离</w:t>
            </w:r>
          </w:p>
        </w:tc>
        <w:tc>
          <w:tcPr>
            <w:tcW w:w="1470" w:type="dxa"/>
            <w:vAlign w:val="center"/>
          </w:tcPr>
          <w:p>
            <w:pPr>
              <w:jc w:val="center"/>
              <w:rPr>
                <w:rFonts w:ascii="宋体" w:hAnsi="宋体"/>
                <w:szCs w:val="21"/>
                <w:highlight w:val="none"/>
              </w:rPr>
            </w:pPr>
            <w:r>
              <w:rPr>
                <w:rFonts w:hint="eastAsia" w:ascii="宋体" w:hAnsi="宋体"/>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highlight w:val="none"/>
              </w:rPr>
            </w:pPr>
          </w:p>
        </w:tc>
        <w:tc>
          <w:tcPr>
            <w:tcW w:w="1365" w:type="dxa"/>
          </w:tcPr>
          <w:p>
            <w:pPr>
              <w:rPr>
                <w:rFonts w:ascii="宋体" w:hAnsi="宋体"/>
                <w:szCs w:val="21"/>
                <w:highlight w:val="none"/>
              </w:rPr>
            </w:pPr>
          </w:p>
        </w:tc>
        <w:tc>
          <w:tcPr>
            <w:tcW w:w="1260" w:type="dxa"/>
          </w:tcPr>
          <w:p>
            <w:pPr>
              <w:rPr>
                <w:rFonts w:ascii="宋体" w:hAnsi="宋体"/>
                <w:szCs w:val="21"/>
                <w:highlight w:val="none"/>
              </w:rPr>
            </w:pPr>
          </w:p>
        </w:tc>
        <w:tc>
          <w:tcPr>
            <w:tcW w:w="1361" w:type="dxa"/>
          </w:tcPr>
          <w:p>
            <w:pPr>
              <w:rPr>
                <w:rFonts w:ascii="宋体" w:hAnsi="宋体"/>
                <w:szCs w:val="21"/>
                <w:highlight w:val="none"/>
              </w:rPr>
            </w:pPr>
          </w:p>
        </w:tc>
        <w:tc>
          <w:tcPr>
            <w:tcW w:w="1236" w:type="dxa"/>
          </w:tcPr>
          <w:p>
            <w:pPr>
              <w:rPr>
                <w:rFonts w:ascii="宋体" w:hAnsi="宋体"/>
                <w:szCs w:val="21"/>
                <w:highlight w:val="none"/>
              </w:rPr>
            </w:pPr>
          </w:p>
        </w:tc>
        <w:tc>
          <w:tcPr>
            <w:tcW w:w="1890" w:type="dxa"/>
          </w:tcPr>
          <w:p>
            <w:pPr>
              <w:rPr>
                <w:rFonts w:ascii="宋体" w:hAnsi="宋体"/>
                <w:szCs w:val="21"/>
                <w:highlight w:val="none"/>
              </w:rPr>
            </w:pPr>
          </w:p>
        </w:tc>
        <w:tc>
          <w:tcPr>
            <w:tcW w:w="1470" w:type="dxa"/>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highlight w:val="none"/>
              </w:rPr>
            </w:pPr>
          </w:p>
        </w:tc>
        <w:tc>
          <w:tcPr>
            <w:tcW w:w="1365" w:type="dxa"/>
          </w:tcPr>
          <w:p>
            <w:pPr>
              <w:rPr>
                <w:rFonts w:ascii="宋体" w:hAnsi="宋体"/>
                <w:szCs w:val="21"/>
                <w:highlight w:val="none"/>
              </w:rPr>
            </w:pPr>
          </w:p>
        </w:tc>
        <w:tc>
          <w:tcPr>
            <w:tcW w:w="1260" w:type="dxa"/>
          </w:tcPr>
          <w:p>
            <w:pPr>
              <w:rPr>
                <w:rFonts w:ascii="宋体" w:hAnsi="宋体"/>
                <w:szCs w:val="21"/>
                <w:highlight w:val="none"/>
              </w:rPr>
            </w:pPr>
          </w:p>
        </w:tc>
        <w:tc>
          <w:tcPr>
            <w:tcW w:w="1361" w:type="dxa"/>
          </w:tcPr>
          <w:p>
            <w:pPr>
              <w:rPr>
                <w:rFonts w:ascii="宋体" w:hAnsi="宋体"/>
                <w:szCs w:val="21"/>
                <w:highlight w:val="none"/>
              </w:rPr>
            </w:pPr>
          </w:p>
        </w:tc>
        <w:tc>
          <w:tcPr>
            <w:tcW w:w="1236" w:type="dxa"/>
          </w:tcPr>
          <w:p>
            <w:pPr>
              <w:rPr>
                <w:rFonts w:ascii="宋体" w:hAnsi="宋体"/>
                <w:szCs w:val="21"/>
                <w:highlight w:val="none"/>
              </w:rPr>
            </w:pPr>
          </w:p>
        </w:tc>
        <w:tc>
          <w:tcPr>
            <w:tcW w:w="1890" w:type="dxa"/>
          </w:tcPr>
          <w:p>
            <w:pPr>
              <w:rPr>
                <w:rFonts w:ascii="宋体" w:hAnsi="宋体"/>
                <w:szCs w:val="21"/>
                <w:highlight w:val="none"/>
              </w:rPr>
            </w:pPr>
          </w:p>
        </w:tc>
        <w:tc>
          <w:tcPr>
            <w:tcW w:w="1470" w:type="dxa"/>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highlight w:val="none"/>
              </w:rPr>
            </w:pPr>
          </w:p>
        </w:tc>
        <w:tc>
          <w:tcPr>
            <w:tcW w:w="1365" w:type="dxa"/>
          </w:tcPr>
          <w:p>
            <w:pPr>
              <w:rPr>
                <w:rFonts w:ascii="宋体" w:hAnsi="宋体"/>
                <w:szCs w:val="21"/>
                <w:highlight w:val="none"/>
              </w:rPr>
            </w:pPr>
          </w:p>
        </w:tc>
        <w:tc>
          <w:tcPr>
            <w:tcW w:w="1260" w:type="dxa"/>
          </w:tcPr>
          <w:p>
            <w:pPr>
              <w:rPr>
                <w:rFonts w:ascii="宋体" w:hAnsi="宋体"/>
                <w:szCs w:val="21"/>
                <w:highlight w:val="none"/>
              </w:rPr>
            </w:pPr>
          </w:p>
        </w:tc>
        <w:tc>
          <w:tcPr>
            <w:tcW w:w="1361" w:type="dxa"/>
          </w:tcPr>
          <w:p>
            <w:pPr>
              <w:rPr>
                <w:rFonts w:ascii="宋体" w:hAnsi="宋体"/>
                <w:szCs w:val="21"/>
                <w:highlight w:val="none"/>
              </w:rPr>
            </w:pPr>
          </w:p>
        </w:tc>
        <w:tc>
          <w:tcPr>
            <w:tcW w:w="1236" w:type="dxa"/>
          </w:tcPr>
          <w:p>
            <w:pPr>
              <w:rPr>
                <w:rFonts w:ascii="宋体" w:hAnsi="宋体"/>
                <w:szCs w:val="21"/>
                <w:highlight w:val="none"/>
              </w:rPr>
            </w:pPr>
          </w:p>
        </w:tc>
        <w:tc>
          <w:tcPr>
            <w:tcW w:w="1890" w:type="dxa"/>
          </w:tcPr>
          <w:p>
            <w:pPr>
              <w:rPr>
                <w:rFonts w:ascii="宋体" w:hAnsi="宋体"/>
                <w:szCs w:val="21"/>
                <w:highlight w:val="none"/>
              </w:rPr>
            </w:pPr>
          </w:p>
        </w:tc>
        <w:tc>
          <w:tcPr>
            <w:tcW w:w="1470" w:type="dxa"/>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highlight w:val="none"/>
              </w:rPr>
            </w:pPr>
          </w:p>
        </w:tc>
        <w:tc>
          <w:tcPr>
            <w:tcW w:w="1365" w:type="dxa"/>
          </w:tcPr>
          <w:p>
            <w:pPr>
              <w:rPr>
                <w:rFonts w:ascii="宋体" w:hAnsi="宋体"/>
                <w:szCs w:val="21"/>
                <w:highlight w:val="none"/>
              </w:rPr>
            </w:pPr>
          </w:p>
        </w:tc>
        <w:tc>
          <w:tcPr>
            <w:tcW w:w="1260" w:type="dxa"/>
          </w:tcPr>
          <w:p>
            <w:pPr>
              <w:rPr>
                <w:rFonts w:ascii="宋体" w:hAnsi="宋体"/>
                <w:szCs w:val="21"/>
                <w:highlight w:val="none"/>
              </w:rPr>
            </w:pPr>
          </w:p>
        </w:tc>
        <w:tc>
          <w:tcPr>
            <w:tcW w:w="1361" w:type="dxa"/>
          </w:tcPr>
          <w:p>
            <w:pPr>
              <w:rPr>
                <w:rFonts w:ascii="宋体" w:hAnsi="宋体"/>
                <w:szCs w:val="21"/>
                <w:highlight w:val="none"/>
              </w:rPr>
            </w:pPr>
          </w:p>
        </w:tc>
        <w:tc>
          <w:tcPr>
            <w:tcW w:w="1236" w:type="dxa"/>
          </w:tcPr>
          <w:p>
            <w:pPr>
              <w:rPr>
                <w:rFonts w:ascii="宋体" w:hAnsi="宋体"/>
                <w:szCs w:val="21"/>
                <w:highlight w:val="none"/>
              </w:rPr>
            </w:pPr>
          </w:p>
        </w:tc>
        <w:tc>
          <w:tcPr>
            <w:tcW w:w="1890" w:type="dxa"/>
          </w:tcPr>
          <w:p>
            <w:pPr>
              <w:rPr>
                <w:rFonts w:ascii="宋体" w:hAnsi="宋体"/>
                <w:szCs w:val="21"/>
                <w:highlight w:val="none"/>
              </w:rPr>
            </w:pPr>
          </w:p>
        </w:tc>
        <w:tc>
          <w:tcPr>
            <w:tcW w:w="1470" w:type="dxa"/>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highlight w:val="none"/>
              </w:rPr>
            </w:pPr>
          </w:p>
        </w:tc>
        <w:tc>
          <w:tcPr>
            <w:tcW w:w="1365" w:type="dxa"/>
          </w:tcPr>
          <w:p>
            <w:pPr>
              <w:rPr>
                <w:rFonts w:ascii="宋体" w:hAnsi="宋体"/>
                <w:szCs w:val="21"/>
                <w:highlight w:val="none"/>
              </w:rPr>
            </w:pPr>
          </w:p>
        </w:tc>
        <w:tc>
          <w:tcPr>
            <w:tcW w:w="1260" w:type="dxa"/>
          </w:tcPr>
          <w:p>
            <w:pPr>
              <w:rPr>
                <w:rFonts w:ascii="宋体" w:hAnsi="宋体"/>
                <w:szCs w:val="21"/>
                <w:highlight w:val="none"/>
              </w:rPr>
            </w:pPr>
          </w:p>
        </w:tc>
        <w:tc>
          <w:tcPr>
            <w:tcW w:w="1361" w:type="dxa"/>
          </w:tcPr>
          <w:p>
            <w:pPr>
              <w:rPr>
                <w:rFonts w:ascii="宋体" w:hAnsi="宋体"/>
                <w:szCs w:val="21"/>
                <w:highlight w:val="none"/>
              </w:rPr>
            </w:pPr>
          </w:p>
        </w:tc>
        <w:tc>
          <w:tcPr>
            <w:tcW w:w="1236" w:type="dxa"/>
          </w:tcPr>
          <w:p>
            <w:pPr>
              <w:rPr>
                <w:rFonts w:ascii="宋体" w:hAnsi="宋体"/>
                <w:szCs w:val="21"/>
                <w:highlight w:val="none"/>
              </w:rPr>
            </w:pPr>
          </w:p>
        </w:tc>
        <w:tc>
          <w:tcPr>
            <w:tcW w:w="1890" w:type="dxa"/>
          </w:tcPr>
          <w:p>
            <w:pPr>
              <w:rPr>
                <w:rFonts w:ascii="宋体" w:hAnsi="宋体"/>
                <w:szCs w:val="21"/>
                <w:highlight w:val="none"/>
              </w:rPr>
            </w:pPr>
          </w:p>
        </w:tc>
        <w:tc>
          <w:tcPr>
            <w:tcW w:w="1470" w:type="dxa"/>
          </w:tcPr>
          <w:p>
            <w:pPr>
              <w:rPr>
                <w:rFonts w:ascii="宋体" w:hAnsi="宋体"/>
                <w:szCs w:val="21"/>
                <w:highlight w:val="none"/>
              </w:rPr>
            </w:pPr>
          </w:p>
        </w:tc>
      </w:tr>
    </w:tbl>
    <w:p>
      <w:pPr>
        <w:spacing w:line="560" w:lineRule="exact"/>
        <w:rPr>
          <w:rFonts w:ascii="宋体" w:hAnsi="宋体"/>
          <w:highlight w:val="none"/>
        </w:rPr>
      </w:pPr>
      <w:r>
        <w:rPr>
          <w:rFonts w:hAnsi="宋体"/>
          <w:bCs/>
          <w:highlight w:val="none"/>
        </w:rPr>
        <w:t>注：如不填写，则视为完全响应招标文件的技术要求。</w:t>
      </w:r>
    </w:p>
    <w:p>
      <w:pPr>
        <w:spacing w:line="360" w:lineRule="auto"/>
        <w:jc w:val="center"/>
        <w:rPr>
          <w:rFonts w:hAnsi="宋体"/>
          <w:b/>
          <w:highlight w:val="none"/>
        </w:rPr>
      </w:pPr>
    </w:p>
    <w:p>
      <w:pPr>
        <w:pStyle w:val="29"/>
        <w:adjustRightInd w:val="0"/>
        <w:snapToGrid w:val="0"/>
        <w:spacing w:line="560" w:lineRule="exact"/>
        <w:rPr>
          <w:rFonts w:hAnsi="宋体"/>
          <w:b/>
          <w:highlight w:val="none"/>
        </w:rPr>
      </w:pPr>
    </w:p>
    <w:p>
      <w:pPr>
        <w:spacing w:line="440" w:lineRule="exact"/>
        <w:jc w:val="center"/>
        <w:rPr>
          <w:rFonts w:ascii="Calibri" w:hAnsi="Calibri" w:eastAsia="黑体" w:cs="Calibri"/>
          <w:color w:val="000000"/>
          <w:sz w:val="32"/>
          <w:szCs w:val="32"/>
          <w:highlight w:val="none"/>
        </w:rPr>
      </w:pPr>
      <w:r>
        <w:rPr>
          <w:rFonts w:hint="eastAsia" w:ascii="Calibri" w:hAnsi="Calibri" w:eastAsia="黑体" w:cs="Calibri"/>
          <w:color w:val="000000"/>
          <w:sz w:val="32"/>
          <w:szCs w:val="32"/>
          <w:highlight w:val="none"/>
        </w:rPr>
        <w:t>七、</w:t>
      </w:r>
      <w:r>
        <w:rPr>
          <w:rFonts w:ascii="Calibri" w:hAnsi="Calibri" w:eastAsia="黑体" w:cs="Calibri"/>
          <w:color w:val="000000"/>
          <w:sz w:val="32"/>
          <w:szCs w:val="32"/>
          <w:highlight w:val="none"/>
        </w:rPr>
        <w:t>商务条款响应</w:t>
      </w:r>
      <w:r>
        <w:rPr>
          <w:rFonts w:hint="eastAsia" w:ascii="Calibri" w:hAnsi="Calibri" w:eastAsia="黑体" w:cs="Calibri"/>
          <w:color w:val="000000"/>
          <w:sz w:val="32"/>
          <w:szCs w:val="32"/>
          <w:highlight w:val="none"/>
        </w:rPr>
        <w:t>偏离</w:t>
      </w:r>
      <w:r>
        <w:rPr>
          <w:rFonts w:ascii="Calibri" w:hAnsi="Calibri" w:eastAsia="黑体" w:cs="Calibri"/>
          <w:color w:val="000000"/>
          <w:sz w:val="32"/>
          <w:szCs w:val="32"/>
          <w:highlight w:val="none"/>
        </w:rPr>
        <w:t>表</w:t>
      </w:r>
    </w:p>
    <w:tbl>
      <w:tblPr>
        <w:tblStyle w:val="52"/>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highlight w:val="none"/>
              </w:rPr>
            </w:pPr>
            <w:r>
              <w:rPr>
                <w:rFonts w:hAnsi="宋体"/>
                <w:kern w:val="2"/>
                <w:sz w:val="21"/>
                <w:highlight w:val="none"/>
              </w:rPr>
              <w:t>序号</w:t>
            </w:r>
          </w:p>
        </w:tc>
        <w:tc>
          <w:tcPr>
            <w:tcW w:w="900" w:type="dxa"/>
            <w:vAlign w:val="center"/>
          </w:tcPr>
          <w:p>
            <w:pPr>
              <w:pStyle w:val="29"/>
              <w:adjustRightInd w:val="0"/>
              <w:snapToGrid w:val="0"/>
              <w:jc w:val="center"/>
              <w:rPr>
                <w:rFonts w:hAnsi="宋体"/>
                <w:kern w:val="2"/>
                <w:sz w:val="21"/>
                <w:highlight w:val="none"/>
              </w:rPr>
            </w:pPr>
            <w:r>
              <w:rPr>
                <w:rFonts w:hAnsi="宋体"/>
                <w:kern w:val="2"/>
                <w:sz w:val="21"/>
                <w:highlight w:val="none"/>
              </w:rPr>
              <w:t>内容</w:t>
            </w:r>
          </w:p>
        </w:tc>
        <w:tc>
          <w:tcPr>
            <w:tcW w:w="3510" w:type="dxa"/>
            <w:vAlign w:val="center"/>
          </w:tcPr>
          <w:p>
            <w:pPr>
              <w:pStyle w:val="29"/>
              <w:adjustRightInd w:val="0"/>
              <w:snapToGrid w:val="0"/>
              <w:jc w:val="center"/>
              <w:rPr>
                <w:rFonts w:hAnsi="宋体"/>
                <w:kern w:val="2"/>
                <w:sz w:val="21"/>
                <w:highlight w:val="none"/>
              </w:rPr>
            </w:pPr>
            <w:r>
              <w:rPr>
                <w:rFonts w:hAnsi="宋体"/>
                <w:kern w:val="2"/>
                <w:sz w:val="21"/>
                <w:highlight w:val="none"/>
              </w:rPr>
              <w:t>招标文件要求</w:t>
            </w:r>
          </w:p>
        </w:tc>
        <w:tc>
          <w:tcPr>
            <w:tcW w:w="3510" w:type="dxa"/>
            <w:vAlign w:val="center"/>
          </w:tcPr>
          <w:p>
            <w:pPr>
              <w:pStyle w:val="29"/>
              <w:adjustRightInd w:val="0"/>
              <w:snapToGrid w:val="0"/>
              <w:jc w:val="center"/>
              <w:rPr>
                <w:rFonts w:hAnsi="宋体"/>
                <w:kern w:val="2"/>
                <w:sz w:val="21"/>
                <w:highlight w:val="none"/>
              </w:rPr>
            </w:pPr>
            <w:r>
              <w:rPr>
                <w:rFonts w:hAnsi="宋体"/>
                <w:kern w:val="2"/>
                <w:sz w:val="21"/>
                <w:highlight w:val="none"/>
              </w:rPr>
              <w:t>投标文件对应内容</w:t>
            </w:r>
          </w:p>
        </w:tc>
        <w:tc>
          <w:tcPr>
            <w:tcW w:w="827" w:type="dxa"/>
            <w:vAlign w:val="center"/>
          </w:tcPr>
          <w:p>
            <w:pPr>
              <w:pStyle w:val="29"/>
              <w:adjustRightInd w:val="0"/>
              <w:snapToGrid w:val="0"/>
              <w:jc w:val="center"/>
              <w:rPr>
                <w:rFonts w:hAnsi="宋体"/>
                <w:kern w:val="2"/>
                <w:sz w:val="21"/>
                <w:highlight w:val="none"/>
              </w:rPr>
            </w:pPr>
            <w:r>
              <w:rPr>
                <w:rFonts w:hAnsi="宋体"/>
                <w:kern w:val="2"/>
                <w:sz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highlight w:val="none"/>
              </w:rPr>
            </w:pPr>
          </w:p>
        </w:tc>
        <w:tc>
          <w:tcPr>
            <w:tcW w:w="900" w:type="dxa"/>
            <w:vAlign w:val="center"/>
          </w:tcPr>
          <w:p>
            <w:pPr>
              <w:pStyle w:val="29"/>
              <w:adjustRightInd w:val="0"/>
              <w:snapToGrid w:val="0"/>
              <w:jc w:val="center"/>
              <w:rPr>
                <w:rFonts w:hAnsi="宋体"/>
                <w:kern w:val="2"/>
                <w:sz w:val="21"/>
                <w:highlight w:val="none"/>
              </w:rPr>
            </w:pPr>
          </w:p>
        </w:tc>
        <w:tc>
          <w:tcPr>
            <w:tcW w:w="3510" w:type="dxa"/>
            <w:vAlign w:val="center"/>
          </w:tcPr>
          <w:p>
            <w:pPr>
              <w:pStyle w:val="29"/>
              <w:adjustRightInd w:val="0"/>
              <w:snapToGrid w:val="0"/>
              <w:jc w:val="center"/>
              <w:rPr>
                <w:rFonts w:hAnsi="宋体"/>
                <w:kern w:val="2"/>
                <w:sz w:val="21"/>
                <w:highlight w:val="none"/>
              </w:rPr>
            </w:pPr>
          </w:p>
        </w:tc>
        <w:tc>
          <w:tcPr>
            <w:tcW w:w="3510" w:type="dxa"/>
            <w:vAlign w:val="center"/>
          </w:tcPr>
          <w:p>
            <w:pPr>
              <w:pStyle w:val="29"/>
              <w:adjustRightInd w:val="0"/>
              <w:snapToGrid w:val="0"/>
              <w:jc w:val="center"/>
              <w:rPr>
                <w:rFonts w:hAnsi="宋体"/>
                <w:kern w:val="2"/>
                <w:sz w:val="21"/>
                <w:highlight w:val="none"/>
              </w:rPr>
            </w:pPr>
          </w:p>
        </w:tc>
        <w:tc>
          <w:tcPr>
            <w:tcW w:w="827" w:type="dxa"/>
            <w:vAlign w:val="center"/>
          </w:tcPr>
          <w:p>
            <w:pPr>
              <w:pStyle w:val="29"/>
              <w:adjustRightInd w:val="0"/>
              <w:snapToGrid w:val="0"/>
              <w:jc w:val="center"/>
              <w:rPr>
                <w:rFonts w:hAnsi="宋体"/>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highlight w:val="none"/>
              </w:rPr>
            </w:pPr>
          </w:p>
        </w:tc>
        <w:tc>
          <w:tcPr>
            <w:tcW w:w="900" w:type="dxa"/>
            <w:vAlign w:val="center"/>
          </w:tcPr>
          <w:p>
            <w:pPr>
              <w:pStyle w:val="29"/>
              <w:adjustRightInd w:val="0"/>
              <w:snapToGrid w:val="0"/>
              <w:jc w:val="center"/>
              <w:rPr>
                <w:rFonts w:hAnsi="宋体"/>
                <w:kern w:val="2"/>
                <w:sz w:val="21"/>
                <w:highlight w:val="none"/>
              </w:rPr>
            </w:pPr>
          </w:p>
        </w:tc>
        <w:tc>
          <w:tcPr>
            <w:tcW w:w="3510" w:type="dxa"/>
            <w:vAlign w:val="center"/>
          </w:tcPr>
          <w:p>
            <w:pPr>
              <w:pStyle w:val="29"/>
              <w:adjustRightInd w:val="0"/>
              <w:snapToGrid w:val="0"/>
              <w:jc w:val="center"/>
              <w:rPr>
                <w:rFonts w:hAnsi="宋体"/>
                <w:kern w:val="2"/>
                <w:sz w:val="21"/>
                <w:highlight w:val="none"/>
              </w:rPr>
            </w:pPr>
          </w:p>
        </w:tc>
        <w:tc>
          <w:tcPr>
            <w:tcW w:w="3510" w:type="dxa"/>
            <w:vAlign w:val="center"/>
          </w:tcPr>
          <w:p>
            <w:pPr>
              <w:pStyle w:val="29"/>
              <w:adjustRightInd w:val="0"/>
              <w:snapToGrid w:val="0"/>
              <w:jc w:val="center"/>
              <w:rPr>
                <w:rFonts w:hAnsi="宋体"/>
                <w:kern w:val="2"/>
                <w:sz w:val="21"/>
                <w:highlight w:val="none"/>
              </w:rPr>
            </w:pPr>
          </w:p>
        </w:tc>
        <w:tc>
          <w:tcPr>
            <w:tcW w:w="827" w:type="dxa"/>
            <w:vAlign w:val="center"/>
          </w:tcPr>
          <w:p>
            <w:pPr>
              <w:pStyle w:val="29"/>
              <w:adjustRightInd w:val="0"/>
              <w:snapToGrid w:val="0"/>
              <w:jc w:val="center"/>
              <w:rPr>
                <w:rFonts w:hAnsi="宋体"/>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highlight w:val="none"/>
              </w:rPr>
            </w:pPr>
          </w:p>
        </w:tc>
        <w:tc>
          <w:tcPr>
            <w:tcW w:w="900" w:type="dxa"/>
            <w:vAlign w:val="center"/>
          </w:tcPr>
          <w:p>
            <w:pPr>
              <w:pStyle w:val="29"/>
              <w:adjustRightInd w:val="0"/>
              <w:snapToGrid w:val="0"/>
              <w:jc w:val="center"/>
              <w:rPr>
                <w:rFonts w:hAnsi="宋体"/>
                <w:kern w:val="2"/>
                <w:sz w:val="21"/>
                <w:highlight w:val="none"/>
              </w:rPr>
            </w:pPr>
          </w:p>
        </w:tc>
        <w:tc>
          <w:tcPr>
            <w:tcW w:w="3510" w:type="dxa"/>
            <w:vAlign w:val="center"/>
          </w:tcPr>
          <w:p>
            <w:pPr>
              <w:pStyle w:val="29"/>
              <w:adjustRightInd w:val="0"/>
              <w:snapToGrid w:val="0"/>
              <w:jc w:val="center"/>
              <w:rPr>
                <w:rFonts w:hAnsi="宋体"/>
                <w:kern w:val="2"/>
                <w:sz w:val="21"/>
                <w:highlight w:val="none"/>
              </w:rPr>
            </w:pPr>
          </w:p>
        </w:tc>
        <w:tc>
          <w:tcPr>
            <w:tcW w:w="3510" w:type="dxa"/>
            <w:vAlign w:val="center"/>
          </w:tcPr>
          <w:p>
            <w:pPr>
              <w:pStyle w:val="29"/>
              <w:adjustRightInd w:val="0"/>
              <w:snapToGrid w:val="0"/>
              <w:jc w:val="center"/>
              <w:rPr>
                <w:rFonts w:hAnsi="宋体"/>
                <w:kern w:val="2"/>
                <w:sz w:val="21"/>
                <w:highlight w:val="none"/>
              </w:rPr>
            </w:pPr>
          </w:p>
        </w:tc>
        <w:tc>
          <w:tcPr>
            <w:tcW w:w="827" w:type="dxa"/>
            <w:vAlign w:val="center"/>
          </w:tcPr>
          <w:p>
            <w:pPr>
              <w:pStyle w:val="29"/>
              <w:adjustRightInd w:val="0"/>
              <w:snapToGrid w:val="0"/>
              <w:jc w:val="center"/>
              <w:rPr>
                <w:rFonts w:hAnsi="宋体"/>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highlight w:val="none"/>
              </w:rPr>
            </w:pPr>
          </w:p>
        </w:tc>
        <w:tc>
          <w:tcPr>
            <w:tcW w:w="900" w:type="dxa"/>
            <w:vAlign w:val="center"/>
          </w:tcPr>
          <w:p>
            <w:pPr>
              <w:pStyle w:val="29"/>
              <w:adjustRightInd w:val="0"/>
              <w:snapToGrid w:val="0"/>
              <w:jc w:val="center"/>
              <w:rPr>
                <w:rFonts w:hAnsi="宋体"/>
                <w:kern w:val="2"/>
                <w:sz w:val="21"/>
                <w:highlight w:val="none"/>
              </w:rPr>
            </w:pPr>
          </w:p>
        </w:tc>
        <w:tc>
          <w:tcPr>
            <w:tcW w:w="3510" w:type="dxa"/>
            <w:vAlign w:val="center"/>
          </w:tcPr>
          <w:p>
            <w:pPr>
              <w:pStyle w:val="29"/>
              <w:adjustRightInd w:val="0"/>
              <w:snapToGrid w:val="0"/>
              <w:jc w:val="center"/>
              <w:rPr>
                <w:rFonts w:hAnsi="宋体"/>
                <w:kern w:val="2"/>
                <w:sz w:val="21"/>
                <w:highlight w:val="none"/>
              </w:rPr>
            </w:pPr>
          </w:p>
        </w:tc>
        <w:tc>
          <w:tcPr>
            <w:tcW w:w="3510" w:type="dxa"/>
            <w:vAlign w:val="center"/>
          </w:tcPr>
          <w:p>
            <w:pPr>
              <w:pStyle w:val="29"/>
              <w:adjustRightInd w:val="0"/>
              <w:snapToGrid w:val="0"/>
              <w:jc w:val="center"/>
              <w:rPr>
                <w:rFonts w:hAnsi="宋体"/>
                <w:kern w:val="2"/>
                <w:sz w:val="21"/>
                <w:highlight w:val="none"/>
              </w:rPr>
            </w:pPr>
          </w:p>
        </w:tc>
        <w:tc>
          <w:tcPr>
            <w:tcW w:w="827" w:type="dxa"/>
            <w:vAlign w:val="center"/>
          </w:tcPr>
          <w:p>
            <w:pPr>
              <w:pStyle w:val="29"/>
              <w:adjustRightInd w:val="0"/>
              <w:snapToGrid w:val="0"/>
              <w:jc w:val="center"/>
              <w:rPr>
                <w:rFonts w:hAnsi="宋体"/>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highlight w:val="none"/>
              </w:rPr>
            </w:pPr>
          </w:p>
        </w:tc>
        <w:tc>
          <w:tcPr>
            <w:tcW w:w="900" w:type="dxa"/>
            <w:vAlign w:val="center"/>
          </w:tcPr>
          <w:p>
            <w:pPr>
              <w:pStyle w:val="29"/>
              <w:adjustRightInd w:val="0"/>
              <w:snapToGrid w:val="0"/>
              <w:jc w:val="center"/>
              <w:rPr>
                <w:rFonts w:hAnsi="宋体"/>
                <w:kern w:val="2"/>
                <w:sz w:val="21"/>
                <w:highlight w:val="none"/>
              </w:rPr>
            </w:pPr>
          </w:p>
        </w:tc>
        <w:tc>
          <w:tcPr>
            <w:tcW w:w="3510" w:type="dxa"/>
            <w:vAlign w:val="center"/>
          </w:tcPr>
          <w:p>
            <w:pPr>
              <w:pStyle w:val="29"/>
              <w:adjustRightInd w:val="0"/>
              <w:snapToGrid w:val="0"/>
              <w:jc w:val="center"/>
              <w:rPr>
                <w:rFonts w:hAnsi="宋体"/>
                <w:kern w:val="2"/>
                <w:sz w:val="21"/>
                <w:highlight w:val="none"/>
              </w:rPr>
            </w:pPr>
          </w:p>
        </w:tc>
        <w:tc>
          <w:tcPr>
            <w:tcW w:w="3510" w:type="dxa"/>
            <w:vAlign w:val="center"/>
          </w:tcPr>
          <w:p>
            <w:pPr>
              <w:pStyle w:val="29"/>
              <w:adjustRightInd w:val="0"/>
              <w:snapToGrid w:val="0"/>
              <w:jc w:val="center"/>
              <w:rPr>
                <w:rFonts w:hAnsi="宋体"/>
                <w:kern w:val="2"/>
                <w:sz w:val="21"/>
                <w:highlight w:val="none"/>
              </w:rPr>
            </w:pPr>
          </w:p>
        </w:tc>
        <w:tc>
          <w:tcPr>
            <w:tcW w:w="827" w:type="dxa"/>
            <w:vAlign w:val="center"/>
          </w:tcPr>
          <w:p>
            <w:pPr>
              <w:pStyle w:val="29"/>
              <w:adjustRightInd w:val="0"/>
              <w:snapToGrid w:val="0"/>
              <w:jc w:val="center"/>
              <w:rPr>
                <w:rFonts w:hAnsi="宋体"/>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highlight w:val="none"/>
              </w:rPr>
            </w:pPr>
          </w:p>
        </w:tc>
        <w:tc>
          <w:tcPr>
            <w:tcW w:w="900" w:type="dxa"/>
            <w:vAlign w:val="center"/>
          </w:tcPr>
          <w:p>
            <w:pPr>
              <w:pStyle w:val="29"/>
              <w:adjustRightInd w:val="0"/>
              <w:snapToGrid w:val="0"/>
              <w:jc w:val="center"/>
              <w:rPr>
                <w:rFonts w:hAnsi="宋体"/>
                <w:kern w:val="2"/>
                <w:sz w:val="21"/>
                <w:highlight w:val="none"/>
              </w:rPr>
            </w:pPr>
          </w:p>
        </w:tc>
        <w:tc>
          <w:tcPr>
            <w:tcW w:w="3510" w:type="dxa"/>
            <w:vAlign w:val="center"/>
          </w:tcPr>
          <w:p>
            <w:pPr>
              <w:pStyle w:val="29"/>
              <w:adjustRightInd w:val="0"/>
              <w:snapToGrid w:val="0"/>
              <w:jc w:val="center"/>
              <w:rPr>
                <w:rFonts w:hAnsi="宋体"/>
                <w:kern w:val="2"/>
                <w:sz w:val="21"/>
                <w:highlight w:val="none"/>
              </w:rPr>
            </w:pPr>
          </w:p>
        </w:tc>
        <w:tc>
          <w:tcPr>
            <w:tcW w:w="3510" w:type="dxa"/>
            <w:vAlign w:val="center"/>
          </w:tcPr>
          <w:p>
            <w:pPr>
              <w:pStyle w:val="29"/>
              <w:adjustRightInd w:val="0"/>
              <w:snapToGrid w:val="0"/>
              <w:jc w:val="center"/>
              <w:rPr>
                <w:rFonts w:hAnsi="宋体"/>
                <w:kern w:val="2"/>
                <w:sz w:val="21"/>
                <w:highlight w:val="none"/>
              </w:rPr>
            </w:pPr>
          </w:p>
        </w:tc>
        <w:tc>
          <w:tcPr>
            <w:tcW w:w="827" w:type="dxa"/>
            <w:vAlign w:val="center"/>
          </w:tcPr>
          <w:p>
            <w:pPr>
              <w:pStyle w:val="29"/>
              <w:adjustRightInd w:val="0"/>
              <w:snapToGrid w:val="0"/>
              <w:jc w:val="center"/>
              <w:rPr>
                <w:rFonts w:hAnsi="宋体"/>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highlight w:val="none"/>
              </w:rPr>
            </w:pPr>
          </w:p>
        </w:tc>
        <w:tc>
          <w:tcPr>
            <w:tcW w:w="900" w:type="dxa"/>
            <w:vAlign w:val="center"/>
          </w:tcPr>
          <w:p>
            <w:pPr>
              <w:pStyle w:val="29"/>
              <w:adjustRightInd w:val="0"/>
              <w:snapToGrid w:val="0"/>
              <w:jc w:val="center"/>
              <w:rPr>
                <w:rFonts w:hAnsi="宋体"/>
                <w:kern w:val="2"/>
                <w:sz w:val="21"/>
                <w:highlight w:val="none"/>
              </w:rPr>
            </w:pPr>
          </w:p>
        </w:tc>
        <w:tc>
          <w:tcPr>
            <w:tcW w:w="3510" w:type="dxa"/>
            <w:vAlign w:val="center"/>
          </w:tcPr>
          <w:p>
            <w:pPr>
              <w:pStyle w:val="29"/>
              <w:adjustRightInd w:val="0"/>
              <w:snapToGrid w:val="0"/>
              <w:jc w:val="center"/>
              <w:rPr>
                <w:rFonts w:hAnsi="宋体"/>
                <w:kern w:val="2"/>
                <w:sz w:val="21"/>
                <w:highlight w:val="none"/>
              </w:rPr>
            </w:pPr>
          </w:p>
        </w:tc>
        <w:tc>
          <w:tcPr>
            <w:tcW w:w="3510" w:type="dxa"/>
            <w:vAlign w:val="center"/>
          </w:tcPr>
          <w:p>
            <w:pPr>
              <w:pStyle w:val="29"/>
              <w:adjustRightInd w:val="0"/>
              <w:snapToGrid w:val="0"/>
              <w:jc w:val="center"/>
              <w:rPr>
                <w:rFonts w:hAnsi="宋体"/>
                <w:kern w:val="2"/>
                <w:sz w:val="21"/>
                <w:highlight w:val="none"/>
              </w:rPr>
            </w:pPr>
          </w:p>
        </w:tc>
        <w:tc>
          <w:tcPr>
            <w:tcW w:w="827" w:type="dxa"/>
            <w:vAlign w:val="center"/>
          </w:tcPr>
          <w:p>
            <w:pPr>
              <w:pStyle w:val="29"/>
              <w:adjustRightInd w:val="0"/>
              <w:snapToGrid w:val="0"/>
              <w:jc w:val="center"/>
              <w:rPr>
                <w:rFonts w:hAnsi="宋体"/>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highlight w:val="none"/>
              </w:rPr>
            </w:pPr>
          </w:p>
        </w:tc>
        <w:tc>
          <w:tcPr>
            <w:tcW w:w="900" w:type="dxa"/>
            <w:vAlign w:val="center"/>
          </w:tcPr>
          <w:p>
            <w:pPr>
              <w:pStyle w:val="29"/>
              <w:adjustRightInd w:val="0"/>
              <w:snapToGrid w:val="0"/>
              <w:jc w:val="center"/>
              <w:rPr>
                <w:rFonts w:hAnsi="宋体"/>
                <w:kern w:val="2"/>
                <w:sz w:val="21"/>
                <w:highlight w:val="none"/>
              </w:rPr>
            </w:pPr>
          </w:p>
        </w:tc>
        <w:tc>
          <w:tcPr>
            <w:tcW w:w="3510" w:type="dxa"/>
            <w:vAlign w:val="center"/>
          </w:tcPr>
          <w:p>
            <w:pPr>
              <w:pStyle w:val="29"/>
              <w:adjustRightInd w:val="0"/>
              <w:snapToGrid w:val="0"/>
              <w:jc w:val="center"/>
              <w:rPr>
                <w:rFonts w:hAnsi="宋体"/>
                <w:kern w:val="2"/>
                <w:sz w:val="21"/>
                <w:highlight w:val="none"/>
              </w:rPr>
            </w:pPr>
          </w:p>
        </w:tc>
        <w:tc>
          <w:tcPr>
            <w:tcW w:w="3510" w:type="dxa"/>
            <w:vAlign w:val="center"/>
          </w:tcPr>
          <w:p>
            <w:pPr>
              <w:pStyle w:val="29"/>
              <w:adjustRightInd w:val="0"/>
              <w:snapToGrid w:val="0"/>
              <w:jc w:val="center"/>
              <w:rPr>
                <w:rFonts w:hAnsi="宋体"/>
                <w:kern w:val="2"/>
                <w:sz w:val="21"/>
                <w:highlight w:val="none"/>
              </w:rPr>
            </w:pPr>
          </w:p>
        </w:tc>
        <w:tc>
          <w:tcPr>
            <w:tcW w:w="827" w:type="dxa"/>
            <w:vAlign w:val="center"/>
          </w:tcPr>
          <w:p>
            <w:pPr>
              <w:pStyle w:val="29"/>
              <w:adjustRightInd w:val="0"/>
              <w:snapToGrid w:val="0"/>
              <w:jc w:val="center"/>
              <w:rPr>
                <w:rFonts w:hAnsi="宋体"/>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highlight w:val="none"/>
              </w:rPr>
            </w:pPr>
          </w:p>
        </w:tc>
        <w:tc>
          <w:tcPr>
            <w:tcW w:w="900" w:type="dxa"/>
            <w:vAlign w:val="center"/>
          </w:tcPr>
          <w:p>
            <w:pPr>
              <w:pStyle w:val="29"/>
              <w:adjustRightInd w:val="0"/>
              <w:snapToGrid w:val="0"/>
              <w:jc w:val="center"/>
              <w:rPr>
                <w:rFonts w:hAnsi="宋体"/>
                <w:kern w:val="2"/>
                <w:sz w:val="21"/>
                <w:highlight w:val="none"/>
              </w:rPr>
            </w:pPr>
          </w:p>
        </w:tc>
        <w:tc>
          <w:tcPr>
            <w:tcW w:w="3510" w:type="dxa"/>
            <w:vAlign w:val="center"/>
          </w:tcPr>
          <w:p>
            <w:pPr>
              <w:pStyle w:val="29"/>
              <w:adjustRightInd w:val="0"/>
              <w:snapToGrid w:val="0"/>
              <w:jc w:val="center"/>
              <w:rPr>
                <w:rFonts w:hAnsi="宋体"/>
                <w:kern w:val="2"/>
                <w:sz w:val="21"/>
                <w:highlight w:val="none"/>
              </w:rPr>
            </w:pPr>
          </w:p>
        </w:tc>
        <w:tc>
          <w:tcPr>
            <w:tcW w:w="3510" w:type="dxa"/>
            <w:vAlign w:val="center"/>
          </w:tcPr>
          <w:p>
            <w:pPr>
              <w:pStyle w:val="29"/>
              <w:adjustRightInd w:val="0"/>
              <w:snapToGrid w:val="0"/>
              <w:jc w:val="center"/>
              <w:rPr>
                <w:rFonts w:hAnsi="宋体"/>
                <w:kern w:val="2"/>
                <w:sz w:val="21"/>
                <w:highlight w:val="none"/>
              </w:rPr>
            </w:pPr>
          </w:p>
        </w:tc>
        <w:tc>
          <w:tcPr>
            <w:tcW w:w="827" w:type="dxa"/>
            <w:vAlign w:val="center"/>
          </w:tcPr>
          <w:p>
            <w:pPr>
              <w:pStyle w:val="29"/>
              <w:adjustRightInd w:val="0"/>
              <w:snapToGrid w:val="0"/>
              <w:jc w:val="center"/>
              <w:rPr>
                <w:rFonts w:hAnsi="宋体"/>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highlight w:val="none"/>
              </w:rPr>
            </w:pPr>
          </w:p>
        </w:tc>
        <w:tc>
          <w:tcPr>
            <w:tcW w:w="900" w:type="dxa"/>
            <w:vAlign w:val="center"/>
          </w:tcPr>
          <w:p>
            <w:pPr>
              <w:pStyle w:val="29"/>
              <w:adjustRightInd w:val="0"/>
              <w:snapToGrid w:val="0"/>
              <w:jc w:val="center"/>
              <w:rPr>
                <w:rFonts w:hAnsi="宋体"/>
                <w:kern w:val="2"/>
                <w:sz w:val="21"/>
                <w:highlight w:val="none"/>
              </w:rPr>
            </w:pPr>
          </w:p>
        </w:tc>
        <w:tc>
          <w:tcPr>
            <w:tcW w:w="3510" w:type="dxa"/>
            <w:vAlign w:val="center"/>
          </w:tcPr>
          <w:p>
            <w:pPr>
              <w:pStyle w:val="29"/>
              <w:adjustRightInd w:val="0"/>
              <w:snapToGrid w:val="0"/>
              <w:jc w:val="center"/>
              <w:rPr>
                <w:rFonts w:hAnsi="宋体"/>
                <w:kern w:val="2"/>
                <w:sz w:val="21"/>
                <w:highlight w:val="none"/>
              </w:rPr>
            </w:pPr>
          </w:p>
        </w:tc>
        <w:tc>
          <w:tcPr>
            <w:tcW w:w="3510" w:type="dxa"/>
            <w:vAlign w:val="center"/>
          </w:tcPr>
          <w:p>
            <w:pPr>
              <w:pStyle w:val="29"/>
              <w:adjustRightInd w:val="0"/>
              <w:snapToGrid w:val="0"/>
              <w:jc w:val="center"/>
              <w:rPr>
                <w:rFonts w:hAnsi="宋体"/>
                <w:kern w:val="2"/>
                <w:sz w:val="21"/>
                <w:highlight w:val="none"/>
              </w:rPr>
            </w:pPr>
          </w:p>
        </w:tc>
        <w:tc>
          <w:tcPr>
            <w:tcW w:w="827" w:type="dxa"/>
            <w:vAlign w:val="center"/>
          </w:tcPr>
          <w:p>
            <w:pPr>
              <w:pStyle w:val="29"/>
              <w:adjustRightInd w:val="0"/>
              <w:snapToGrid w:val="0"/>
              <w:jc w:val="center"/>
              <w:rPr>
                <w:rFonts w:hAnsi="宋体"/>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highlight w:val="none"/>
              </w:rPr>
            </w:pPr>
          </w:p>
        </w:tc>
        <w:tc>
          <w:tcPr>
            <w:tcW w:w="900" w:type="dxa"/>
            <w:vAlign w:val="center"/>
          </w:tcPr>
          <w:p>
            <w:pPr>
              <w:pStyle w:val="29"/>
              <w:adjustRightInd w:val="0"/>
              <w:snapToGrid w:val="0"/>
              <w:jc w:val="center"/>
              <w:rPr>
                <w:rFonts w:hAnsi="宋体"/>
                <w:kern w:val="2"/>
                <w:sz w:val="21"/>
                <w:highlight w:val="none"/>
              </w:rPr>
            </w:pPr>
          </w:p>
        </w:tc>
        <w:tc>
          <w:tcPr>
            <w:tcW w:w="3510" w:type="dxa"/>
            <w:vAlign w:val="center"/>
          </w:tcPr>
          <w:p>
            <w:pPr>
              <w:pStyle w:val="29"/>
              <w:adjustRightInd w:val="0"/>
              <w:snapToGrid w:val="0"/>
              <w:jc w:val="center"/>
              <w:rPr>
                <w:rFonts w:hAnsi="宋体"/>
                <w:kern w:val="2"/>
                <w:sz w:val="21"/>
                <w:highlight w:val="none"/>
              </w:rPr>
            </w:pPr>
          </w:p>
        </w:tc>
        <w:tc>
          <w:tcPr>
            <w:tcW w:w="3510" w:type="dxa"/>
            <w:vAlign w:val="center"/>
          </w:tcPr>
          <w:p>
            <w:pPr>
              <w:pStyle w:val="29"/>
              <w:adjustRightInd w:val="0"/>
              <w:snapToGrid w:val="0"/>
              <w:jc w:val="center"/>
              <w:rPr>
                <w:rFonts w:hAnsi="宋体"/>
                <w:kern w:val="2"/>
                <w:sz w:val="21"/>
                <w:highlight w:val="none"/>
              </w:rPr>
            </w:pPr>
          </w:p>
        </w:tc>
        <w:tc>
          <w:tcPr>
            <w:tcW w:w="827" w:type="dxa"/>
            <w:vAlign w:val="center"/>
          </w:tcPr>
          <w:p>
            <w:pPr>
              <w:pStyle w:val="29"/>
              <w:adjustRightInd w:val="0"/>
              <w:snapToGrid w:val="0"/>
              <w:jc w:val="center"/>
              <w:rPr>
                <w:rFonts w:hAnsi="宋体"/>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highlight w:val="none"/>
              </w:rPr>
            </w:pPr>
          </w:p>
        </w:tc>
        <w:tc>
          <w:tcPr>
            <w:tcW w:w="900" w:type="dxa"/>
            <w:vAlign w:val="center"/>
          </w:tcPr>
          <w:p>
            <w:pPr>
              <w:pStyle w:val="29"/>
              <w:adjustRightInd w:val="0"/>
              <w:snapToGrid w:val="0"/>
              <w:jc w:val="center"/>
              <w:rPr>
                <w:rFonts w:hAnsi="宋体"/>
                <w:kern w:val="2"/>
                <w:sz w:val="21"/>
                <w:highlight w:val="none"/>
              </w:rPr>
            </w:pPr>
          </w:p>
        </w:tc>
        <w:tc>
          <w:tcPr>
            <w:tcW w:w="3510" w:type="dxa"/>
            <w:vAlign w:val="center"/>
          </w:tcPr>
          <w:p>
            <w:pPr>
              <w:pStyle w:val="29"/>
              <w:adjustRightInd w:val="0"/>
              <w:snapToGrid w:val="0"/>
              <w:jc w:val="center"/>
              <w:rPr>
                <w:rFonts w:hAnsi="宋体"/>
                <w:kern w:val="2"/>
                <w:sz w:val="21"/>
                <w:highlight w:val="none"/>
              </w:rPr>
            </w:pPr>
          </w:p>
        </w:tc>
        <w:tc>
          <w:tcPr>
            <w:tcW w:w="3510" w:type="dxa"/>
            <w:vAlign w:val="center"/>
          </w:tcPr>
          <w:p>
            <w:pPr>
              <w:pStyle w:val="29"/>
              <w:adjustRightInd w:val="0"/>
              <w:snapToGrid w:val="0"/>
              <w:jc w:val="center"/>
              <w:rPr>
                <w:rFonts w:hAnsi="宋体"/>
                <w:kern w:val="2"/>
                <w:sz w:val="21"/>
                <w:highlight w:val="none"/>
              </w:rPr>
            </w:pPr>
          </w:p>
        </w:tc>
        <w:tc>
          <w:tcPr>
            <w:tcW w:w="827" w:type="dxa"/>
            <w:vAlign w:val="center"/>
          </w:tcPr>
          <w:p>
            <w:pPr>
              <w:pStyle w:val="29"/>
              <w:adjustRightInd w:val="0"/>
              <w:snapToGrid w:val="0"/>
              <w:jc w:val="center"/>
              <w:rPr>
                <w:rFonts w:hAnsi="宋体"/>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highlight w:val="none"/>
              </w:rPr>
            </w:pPr>
          </w:p>
        </w:tc>
        <w:tc>
          <w:tcPr>
            <w:tcW w:w="900" w:type="dxa"/>
            <w:vAlign w:val="center"/>
          </w:tcPr>
          <w:p>
            <w:pPr>
              <w:pStyle w:val="29"/>
              <w:adjustRightInd w:val="0"/>
              <w:snapToGrid w:val="0"/>
              <w:jc w:val="center"/>
              <w:rPr>
                <w:rFonts w:hAnsi="宋体"/>
                <w:kern w:val="2"/>
                <w:sz w:val="21"/>
                <w:highlight w:val="none"/>
              </w:rPr>
            </w:pPr>
          </w:p>
        </w:tc>
        <w:tc>
          <w:tcPr>
            <w:tcW w:w="3510" w:type="dxa"/>
            <w:vAlign w:val="center"/>
          </w:tcPr>
          <w:p>
            <w:pPr>
              <w:pStyle w:val="29"/>
              <w:adjustRightInd w:val="0"/>
              <w:snapToGrid w:val="0"/>
              <w:jc w:val="center"/>
              <w:rPr>
                <w:rFonts w:hAnsi="宋体"/>
                <w:kern w:val="2"/>
                <w:sz w:val="21"/>
                <w:highlight w:val="none"/>
              </w:rPr>
            </w:pPr>
          </w:p>
        </w:tc>
        <w:tc>
          <w:tcPr>
            <w:tcW w:w="3510" w:type="dxa"/>
            <w:vAlign w:val="center"/>
          </w:tcPr>
          <w:p>
            <w:pPr>
              <w:pStyle w:val="29"/>
              <w:adjustRightInd w:val="0"/>
              <w:snapToGrid w:val="0"/>
              <w:jc w:val="center"/>
              <w:rPr>
                <w:rFonts w:hAnsi="宋体"/>
                <w:kern w:val="2"/>
                <w:sz w:val="21"/>
                <w:highlight w:val="none"/>
              </w:rPr>
            </w:pPr>
          </w:p>
        </w:tc>
        <w:tc>
          <w:tcPr>
            <w:tcW w:w="827" w:type="dxa"/>
            <w:vAlign w:val="center"/>
          </w:tcPr>
          <w:p>
            <w:pPr>
              <w:pStyle w:val="29"/>
              <w:adjustRightInd w:val="0"/>
              <w:snapToGrid w:val="0"/>
              <w:jc w:val="center"/>
              <w:rPr>
                <w:rFonts w:hAnsi="宋体"/>
                <w:kern w:val="2"/>
                <w:sz w:val="21"/>
                <w:highlight w:val="none"/>
              </w:rPr>
            </w:pPr>
          </w:p>
        </w:tc>
      </w:tr>
    </w:tbl>
    <w:p>
      <w:pPr>
        <w:pStyle w:val="29"/>
        <w:adjustRightInd w:val="0"/>
        <w:snapToGrid w:val="0"/>
        <w:spacing w:line="560" w:lineRule="exact"/>
        <w:rPr>
          <w:rFonts w:hAnsi="宋体"/>
          <w:bCs/>
          <w:sz w:val="24"/>
          <w:szCs w:val="24"/>
          <w:highlight w:val="none"/>
        </w:rPr>
      </w:pPr>
    </w:p>
    <w:p>
      <w:pPr>
        <w:pStyle w:val="29"/>
        <w:adjustRightInd w:val="0"/>
        <w:snapToGrid w:val="0"/>
        <w:spacing w:line="560" w:lineRule="exact"/>
        <w:rPr>
          <w:rFonts w:hAnsi="宋体"/>
          <w:bCs/>
          <w:sz w:val="24"/>
          <w:szCs w:val="24"/>
          <w:highlight w:val="none"/>
        </w:rPr>
      </w:pPr>
      <w:r>
        <w:rPr>
          <w:rFonts w:hAnsi="宋体"/>
          <w:bCs/>
          <w:sz w:val="24"/>
          <w:szCs w:val="24"/>
          <w:highlight w:val="none"/>
        </w:rPr>
        <w:t>注：如不填写，则视为完全响应招标文件的</w:t>
      </w:r>
      <w:r>
        <w:rPr>
          <w:rFonts w:hint="eastAsia" w:hAnsi="宋体"/>
          <w:bCs/>
          <w:sz w:val="24"/>
          <w:szCs w:val="24"/>
          <w:highlight w:val="none"/>
        </w:rPr>
        <w:t>商务</w:t>
      </w:r>
      <w:r>
        <w:rPr>
          <w:rFonts w:hAnsi="宋体"/>
          <w:bCs/>
          <w:sz w:val="24"/>
          <w:szCs w:val="24"/>
          <w:highlight w:val="none"/>
        </w:rPr>
        <w:t>要求。</w:t>
      </w:r>
    </w:p>
    <w:p>
      <w:pPr>
        <w:pStyle w:val="29"/>
        <w:adjustRightInd w:val="0"/>
        <w:snapToGrid w:val="0"/>
        <w:spacing w:line="560" w:lineRule="exact"/>
        <w:rPr>
          <w:rFonts w:hAnsi="宋体"/>
          <w:bCs/>
          <w:sz w:val="24"/>
          <w:szCs w:val="24"/>
          <w:highlight w:val="none"/>
        </w:rPr>
      </w:pPr>
    </w:p>
    <w:p>
      <w:pPr>
        <w:widowControl/>
        <w:jc w:val="left"/>
        <w:rPr>
          <w:rFonts w:ascii="Calibri" w:hAnsi="Calibri" w:eastAsia="黑体" w:cs="Calibri"/>
          <w:color w:val="000000"/>
          <w:sz w:val="32"/>
          <w:szCs w:val="32"/>
          <w:highlight w:val="none"/>
        </w:rPr>
      </w:pPr>
    </w:p>
    <w:p>
      <w:pPr>
        <w:rPr>
          <w:highlight w:val="none"/>
        </w:rPr>
      </w:pPr>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2FF" w:usb1="400004FF" w:usb2="00000000" w:usb3="00000000" w:csb0="2000019F" w:csb1="00000000"/>
  </w:font>
  <w:font w:name="Heiti SC Light">
    <w:altName w:val="Arial Unicode MS"/>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UniversalMath1 BT">
    <w:altName w:val="Symbol"/>
    <w:panose1 w:val="00000000000000000000"/>
    <w:charset w:val="02"/>
    <w:family w:val="roman"/>
    <w:pitch w:val="default"/>
    <w:sig w:usb0="00000000" w:usb1="00000000" w:usb2="00000000" w:usb3="00000000" w:csb0="80000000" w:csb1="00000000"/>
  </w:font>
  <w:font w:name="方正小标宋简体">
    <w:panose1 w:val="03000509000000000000"/>
    <w:charset w:val="86"/>
    <w:family w:val="script"/>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34"/>
          <w:jc w:val="center"/>
        </w:pPr>
        <w:r>
          <w:fldChar w:fldCharType="begin"/>
        </w:r>
        <w:r>
          <w:instrText xml:space="preserve"> PAGE   \* MERGEFORMAT </w:instrText>
        </w:r>
        <w:r>
          <w:fldChar w:fldCharType="separate"/>
        </w:r>
        <w:r>
          <w:rPr>
            <w:lang w:val="zh-CN"/>
          </w:rPr>
          <w:t>-</w:t>
        </w:r>
        <w:r>
          <w:t xml:space="preserve"> 41 -</w:t>
        </w:r>
        <w:r>
          <w:fldChar w:fldCharType="end"/>
        </w:r>
      </w:p>
    </w:sdtContent>
  </w:sdt>
  <w:p>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5"/>
      </w:rPr>
    </w:pPr>
    <w:r>
      <w:fldChar w:fldCharType="begin"/>
    </w:r>
    <w:r>
      <w:rPr>
        <w:rStyle w:val="55"/>
      </w:rPr>
      <w:instrText xml:space="preserve">PAGE  </w:instrText>
    </w:r>
    <w:r>
      <w:fldChar w:fldCharType="end"/>
    </w:r>
  </w:p>
  <w:p>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p>
  <w:p>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5"/>
      </w:rPr>
    </w:pPr>
    <w:r>
      <w:fldChar w:fldCharType="begin"/>
    </w:r>
    <w:r>
      <w:rPr>
        <w:rStyle w:val="55"/>
      </w:rPr>
      <w:instrText xml:space="preserve">PAGE  </w:instrText>
    </w:r>
    <w:r>
      <w:fldChar w:fldCharType="separate"/>
    </w:r>
    <w:r>
      <w:rPr>
        <w:rStyle w:val="55"/>
      </w:rPr>
      <w:t>40</w:t>
    </w:r>
    <w:r>
      <w:fldChar w:fldCharType="end"/>
    </w:r>
  </w:p>
  <w:p>
    <w:pPr>
      <w:pStyle w:val="34"/>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top w:val="none" w:color="auto" w:sz="0" w:space="0"/>
        <w:left w:val="none" w:color="auto" w:sz="0" w:space="0"/>
        <w:bottom w:val="single" w:color="auto" w:sz="4" w:space="1"/>
        <w:right w:val="none" w:color="auto" w:sz="0" w:space="0"/>
      </w:pBdr>
      <w:rPr>
        <w:rFonts w:ascii="宋体" w:hAnsi="宋体"/>
        <w:szCs w:val="18"/>
      </w:rPr>
    </w:pPr>
    <w:r>
      <w:rPr>
        <w:rFonts w:hint="eastAsia" w:ascii="宋体" w:hAnsi="宋体"/>
        <w:color w:val="000000"/>
        <w:szCs w:val="18"/>
      </w:rPr>
      <w:t>杭州萧山国际机场台式爆炸物、毒品探测设备采购项目招标文件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tentative="0">
      <w:start w:val="0"/>
      <w:numFmt w:val="decimal"/>
      <w:lvlText w:val="*"/>
      <w:lvlJc w:val="left"/>
    </w:lvl>
  </w:abstractNum>
  <w:abstractNum w:abstractNumId="1">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2">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3">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4">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6">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7">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8">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9">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0">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1">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2">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3">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2227619"/>
    <w:multiLevelType w:val="singleLevel"/>
    <w:tmpl w:val="02227619"/>
    <w:lvl w:ilvl="0" w:tentative="0">
      <w:start w:val="1"/>
      <w:numFmt w:val="decimal"/>
      <w:lvlText w:val="%1)"/>
      <w:lvlJc w:val="left"/>
      <w:pPr>
        <w:ind w:left="647" w:hanging="420"/>
      </w:pPr>
      <w:rPr>
        <w:rFonts w:hint="default"/>
        <w:b/>
        <w:i w:val="0"/>
        <w:color w:val="auto"/>
        <w:sz w:val="21"/>
        <w:szCs w:val="21"/>
        <w:u w:val="none"/>
      </w:rPr>
    </w:lvl>
  </w:abstractNum>
  <w:abstractNum w:abstractNumId="15">
    <w:nsid w:val="0DB93037"/>
    <w:multiLevelType w:val="singleLevel"/>
    <w:tmpl w:val="0DB93037"/>
    <w:lvl w:ilvl="0" w:tentative="0">
      <w:start w:val="1"/>
      <w:numFmt w:val="decimal"/>
      <w:lvlText w:val="%1)"/>
      <w:lvlJc w:val="left"/>
      <w:pPr>
        <w:ind w:left="647" w:hanging="420"/>
      </w:pPr>
      <w:rPr>
        <w:rFonts w:hint="default"/>
        <w:b/>
        <w:i w:val="0"/>
        <w:color w:val="auto"/>
        <w:sz w:val="21"/>
        <w:szCs w:val="21"/>
        <w:u w:val="none"/>
      </w:rPr>
    </w:lvl>
  </w:abstractNum>
  <w:abstractNum w:abstractNumId="16">
    <w:nsid w:val="0DCA2378"/>
    <w:multiLevelType w:val="singleLevel"/>
    <w:tmpl w:val="0DCA2378"/>
    <w:lvl w:ilvl="0" w:tentative="0">
      <w:start w:val="1"/>
      <w:numFmt w:val="decimal"/>
      <w:lvlText w:val="%1)"/>
      <w:lvlJc w:val="left"/>
      <w:pPr>
        <w:ind w:left="647" w:hanging="420"/>
      </w:pPr>
      <w:rPr>
        <w:rFonts w:hint="default"/>
        <w:b/>
        <w:i w:val="0"/>
        <w:color w:val="auto"/>
        <w:sz w:val="21"/>
        <w:szCs w:val="21"/>
        <w:u w:val="none"/>
      </w:rPr>
    </w:lvl>
  </w:abstractNum>
  <w:abstractNum w:abstractNumId="17">
    <w:nsid w:val="167C3F8E"/>
    <w:multiLevelType w:val="singleLevel"/>
    <w:tmpl w:val="167C3F8E"/>
    <w:lvl w:ilvl="0" w:tentative="0">
      <w:start w:val="1"/>
      <w:numFmt w:val="decimal"/>
      <w:lvlText w:val="%1)"/>
      <w:lvlJc w:val="left"/>
      <w:pPr>
        <w:ind w:left="647" w:hanging="420"/>
      </w:pPr>
      <w:rPr>
        <w:rFonts w:hint="default"/>
        <w:b/>
        <w:i w:val="0"/>
        <w:color w:val="auto"/>
        <w:sz w:val="21"/>
        <w:szCs w:val="21"/>
        <w:u w:val="none"/>
      </w:rPr>
    </w:lvl>
  </w:abstractNum>
  <w:abstractNum w:abstractNumId="18">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19">
    <w:nsid w:val="23EE2030"/>
    <w:multiLevelType w:val="singleLevel"/>
    <w:tmpl w:val="23EE2030"/>
    <w:lvl w:ilvl="0" w:tentative="0">
      <w:start w:val="1"/>
      <w:numFmt w:val="decimal"/>
      <w:lvlText w:val="%1)"/>
      <w:lvlJc w:val="left"/>
      <w:pPr>
        <w:ind w:left="647" w:hanging="420"/>
      </w:pPr>
      <w:rPr>
        <w:rFonts w:hint="default"/>
        <w:b/>
        <w:i w:val="0"/>
        <w:color w:val="auto"/>
        <w:sz w:val="21"/>
        <w:szCs w:val="21"/>
        <w:u w:val="none"/>
      </w:rPr>
    </w:lvl>
  </w:abstractNum>
  <w:abstractNum w:abstractNumId="20">
    <w:nsid w:val="2E814E31"/>
    <w:multiLevelType w:val="singleLevel"/>
    <w:tmpl w:val="2E814E31"/>
    <w:lvl w:ilvl="0" w:tentative="0">
      <w:start w:val="1"/>
      <w:numFmt w:val="decimal"/>
      <w:lvlText w:val="%1)"/>
      <w:lvlJc w:val="left"/>
      <w:pPr>
        <w:ind w:left="647" w:hanging="420"/>
      </w:pPr>
      <w:rPr>
        <w:rFonts w:hint="default"/>
        <w:b/>
        <w:i w:val="0"/>
        <w:color w:val="auto"/>
        <w:sz w:val="21"/>
        <w:szCs w:val="21"/>
        <w:u w:val="none"/>
      </w:rPr>
    </w:lvl>
  </w:abstractNum>
  <w:abstractNum w:abstractNumId="21">
    <w:nsid w:val="2F9E7AD8"/>
    <w:multiLevelType w:val="singleLevel"/>
    <w:tmpl w:val="2F9E7AD8"/>
    <w:lvl w:ilvl="0" w:tentative="0">
      <w:start w:val="1"/>
      <w:numFmt w:val="decimal"/>
      <w:lvlText w:val="%1)"/>
      <w:lvlJc w:val="left"/>
      <w:pPr>
        <w:ind w:left="647" w:hanging="420"/>
      </w:pPr>
      <w:rPr>
        <w:rFonts w:hint="default"/>
        <w:b/>
        <w:i w:val="0"/>
        <w:color w:val="auto"/>
        <w:sz w:val="21"/>
        <w:szCs w:val="21"/>
        <w:u w:val="none"/>
      </w:rPr>
    </w:lvl>
  </w:abstractNum>
  <w:abstractNum w:abstractNumId="22">
    <w:nsid w:val="360C2342"/>
    <w:multiLevelType w:val="singleLevel"/>
    <w:tmpl w:val="360C2342"/>
    <w:lvl w:ilvl="0" w:tentative="0">
      <w:start w:val="1"/>
      <w:numFmt w:val="decimal"/>
      <w:lvlText w:val="%1)"/>
      <w:lvlJc w:val="left"/>
      <w:pPr>
        <w:ind w:left="647" w:hanging="420"/>
      </w:pPr>
      <w:rPr>
        <w:rFonts w:hint="default"/>
        <w:b/>
        <w:i w:val="0"/>
        <w:color w:val="auto"/>
        <w:sz w:val="21"/>
        <w:szCs w:val="21"/>
        <w:u w:val="none"/>
      </w:rPr>
    </w:lvl>
  </w:abstractNum>
  <w:abstractNum w:abstractNumId="23">
    <w:nsid w:val="3EFF103A"/>
    <w:multiLevelType w:val="singleLevel"/>
    <w:tmpl w:val="3EFF103A"/>
    <w:lvl w:ilvl="0" w:tentative="0">
      <w:start w:val="1"/>
      <w:numFmt w:val="decimal"/>
      <w:lvlText w:val="%1)"/>
      <w:lvlJc w:val="left"/>
      <w:pPr>
        <w:ind w:left="647" w:hanging="420"/>
      </w:pPr>
      <w:rPr>
        <w:rFonts w:hint="default"/>
        <w:b/>
        <w:i w:val="0"/>
        <w:color w:val="auto"/>
        <w:sz w:val="21"/>
        <w:szCs w:val="21"/>
        <w:u w:val="none"/>
      </w:rPr>
    </w:lvl>
  </w:abstractNum>
  <w:abstractNum w:abstractNumId="24">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5">
    <w:nsid w:val="512006EA"/>
    <w:multiLevelType w:val="singleLevel"/>
    <w:tmpl w:val="512006EA"/>
    <w:lvl w:ilvl="0" w:tentative="0">
      <w:start w:val="1"/>
      <w:numFmt w:val="decimal"/>
      <w:lvlText w:val="%1)"/>
      <w:lvlJc w:val="left"/>
      <w:pPr>
        <w:ind w:left="647" w:hanging="420"/>
      </w:pPr>
      <w:rPr>
        <w:rFonts w:hint="default"/>
        <w:b/>
        <w:i w:val="0"/>
        <w:color w:val="auto"/>
        <w:sz w:val="21"/>
        <w:szCs w:val="21"/>
        <w:u w:val="none"/>
      </w:rPr>
    </w:lvl>
  </w:abstractNum>
  <w:abstractNum w:abstractNumId="26">
    <w:nsid w:val="5D2D1F46"/>
    <w:multiLevelType w:val="singleLevel"/>
    <w:tmpl w:val="5D2D1F46"/>
    <w:lvl w:ilvl="0" w:tentative="0">
      <w:start w:val="1"/>
      <w:numFmt w:val="bullet"/>
      <w:pStyle w:val="17"/>
      <w:lvlText w:val=""/>
      <w:lvlJc w:val="left"/>
      <w:pPr>
        <w:tabs>
          <w:tab w:val="left" w:pos="360"/>
        </w:tabs>
        <w:ind w:left="360" w:hanging="360"/>
      </w:pPr>
      <w:rPr>
        <w:rFonts w:hint="default" w:ascii="Wingdings" w:hAnsi="Wingdings"/>
      </w:rPr>
    </w:lvl>
  </w:abstractNum>
  <w:abstractNum w:abstractNumId="27">
    <w:nsid w:val="5D2D1F67"/>
    <w:multiLevelType w:val="singleLevel"/>
    <w:tmpl w:val="5D2D1F67"/>
    <w:lvl w:ilvl="0" w:tentative="0">
      <w:start w:val="1"/>
      <w:numFmt w:val="bullet"/>
      <w:pStyle w:val="26"/>
      <w:lvlText w:val=""/>
      <w:lvlJc w:val="left"/>
      <w:pPr>
        <w:tabs>
          <w:tab w:val="left" w:pos="780"/>
        </w:tabs>
        <w:ind w:left="780" w:hanging="360"/>
      </w:pPr>
      <w:rPr>
        <w:rFonts w:hint="default" w:ascii="Wingdings" w:hAnsi="Wingdings"/>
      </w:rPr>
    </w:lvl>
  </w:abstractNum>
  <w:abstractNum w:abstractNumId="28">
    <w:nsid w:val="6CFC5231"/>
    <w:multiLevelType w:val="singleLevel"/>
    <w:tmpl w:val="6CFC5231"/>
    <w:lvl w:ilvl="0" w:tentative="0">
      <w:start w:val="1"/>
      <w:numFmt w:val="decimal"/>
      <w:lvlText w:val="%1)"/>
      <w:lvlJc w:val="left"/>
      <w:pPr>
        <w:ind w:left="647" w:hanging="420"/>
      </w:pPr>
      <w:rPr>
        <w:rFonts w:hint="default"/>
        <w:b/>
        <w:i w:val="0"/>
        <w:color w:val="auto"/>
        <w:sz w:val="21"/>
        <w:szCs w:val="21"/>
        <w:u w:val="none"/>
      </w:rPr>
    </w:lvl>
  </w:abstractNum>
  <w:abstractNum w:abstractNumId="29">
    <w:nsid w:val="704E31AD"/>
    <w:multiLevelType w:val="singleLevel"/>
    <w:tmpl w:val="704E31AD"/>
    <w:lvl w:ilvl="0" w:tentative="0">
      <w:start w:val="1"/>
      <w:numFmt w:val="decimal"/>
      <w:lvlText w:val="%1)"/>
      <w:lvlJc w:val="left"/>
      <w:pPr>
        <w:ind w:left="647" w:hanging="420"/>
      </w:pPr>
      <w:rPr>
        <w:rFonts w:hint="default"/>
        <w:b/>
        <w:i w:val="0"/>
        <w:color w:val="auto"/>
        <w:sz w:val="21"/>
        <w:szCs w:val="21"/>
        <w:u w:val="none"/>
      </w:rPr>
    </w:lvl>
  </w:abstractNum>
  <w:abstractNum w:abstractNumId="30">
    <w:nsid w:val="72074AB7"/>
    <w:multiLevelType w:val="singleLevel"/>
    <w:tmpl w:val="72074AB7"/>
    <w:lvl w:ilvl="0" w:tentative="0">
      <w:start w:val="1"/>
      <w:numFmt w:val="decimal"/>
      <w:lvlText w:val="%1)"/>
      <w:lvlJc w:val="left"/>
      <w:pPr>
        <w:ind w:left="647" w:hanging="420"/>
      </w:pPr>
      <w:rPr>
        <w:rFonts w:hint="default"/>
        <w:b/>
        <w:i w:val="0"/>
        <w:color w:val="auto"/>
        <w:sz w:val="21"/>
        <w:szCs w:val="21"/>
        <w:u w:val="none"/>
      </w:rPr>
    </w:lvl>
  </w:abstractNum>
  <w:abstractNum w:abstractNumId="31">
    <w:nsid w:val="76365788"/>
    <w:multiLevelType w:val="singleLevel"/>
    <w:tmpl w:val="76365788"/>
    <w:lvl w:ilvl="0" w:tentative="0">
      <w:start w:val="1"/>
      <w:numFmt w:val="decimal"/>
      <w:lvlText w:val="%1)"/>
      <w:lvlJc w:val="left"/>
      <w:pPr>
        <w:ind w:left="647" w:hanging="420"/>
      </w:pPr>
      <w:rPr>
        <w:rFonts w:hint="default"/>
        <w:b/>
        <w:i w:val="0"/>
        <w:color w:val="auto"/>
        <w:sz w:val="21"/>
        <w:szCs w:val="21"/>
        <w:u w:val="none"/>
      </w:rPr>
    </w:lvl>
  </w:abstractNum>
  <w:abstractNum w:abstractNumId="32">
    <w:nsid w:val="7917347E"/>
    <w:multiLevelType w:val="singleLevel"/>
    <w:tmpl w:val="7917347E"/>
    <w:lvl w:ilvl="0" w:tentative="0">
      <w:start w:val="1"/>
      <w:numFmt w:val="decimal"/>
      <w:lvlText w:val="%1)"/>
      <w:lvlJc w:val="left"/>
      <w:pPr>
        <w:ind w:left="647" w:hanging="420"/>
      </w:pPr>
      <w:rPr>
        <w:rFonts w:hint="default"/>
        <w:b/>
        <w:i w:val="0"/>
        <w:color w:val="auto"/>
        <w:sz w:val="21"/>
        <w:szCs w:val="21"/>
        <w:u w:val="none"/>
      </w:rPr>
    </w:lvl>
  </w:abstractNum>
  <w:abstractNum w:abstractNumId="33">
    <w:nsid w:val="7B48520D"/>
    <w:multiLevelType w:val="singleLevel"/>
    <w:tmpl w:val="7B48520D"/>
    <w:lvl w:ilvl="0" w:tentative="0">
      <w:start w:val="1"/>
      <w:numFmt w:val="decimal"/>
      <w:lvlText w:val="%1)"/>
      <w:lvlJc w:val="left"/>
      <w:pPr>
        <w:ind w:left="647" w:hanging="420"/>
      </w:pPr>
      <w:rPr>
        <w:rFonts w:hint="default"/>
        <w:b/>
        <w:i w:val="0"/>
        <w:color w:val="auto"/>
        <w:sz w:val="21"/>
        <w:szCs w:val="21"/>
        <w:u w:val="none"/>
      </w:rPr>
    </w:lvl>
  </w:abstractNum>
  <w:abstractNum w:abstractNumId="34">
    <w:nsid w:val="7C970F25"/>
    <w:multiLevelType w:val="singleLevel"/>
    <w:tmpl w:val="7C970F25"/>
    <w:lvl w:ilvl="0" w:tentative="0">
      <w:start w:val="1"/>
      <w:numFmt w:val="decimal"/>
      <w:lvlText w:val="%1)"/>
      <w:lvlJc w:val="left"/>
      <w:pPr>
        <w:ind w:left="647" w:hanging="420"/>
      </w:pPr>
      <w:rPr>
        <w:rFonts w:hint="default"/>
        <w:b/>
        <w:i w:val="0"/>
        <w:color w:val="auto"/>
        <w:sz w:val="21"/>
        <w:szCs w:val="21"/>
        <w:u w:val="none"/>
      </w:rPr>
    </w:lvl>
  </w:abstractNum>
  <w:abstractNum w:abstractNumId="35">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30"/>
      <w:lvlText w:val=""/>
      <w:lvlJc w:val="left"/>
      <w:pPr>
        <w:tabs>
          <w:tab w:val="left" w:pos="3780"/>
        </w:tabs>
        <w:ind w:left="3780" w:hanging="420"/>
      </w:pPr>
      <w:rPr>
        <w:rFonts w:hint="default" w:ascii="Wingdings" w:hAnsi="Wingdings"/>
      </w:rPr>
    </w:lvl>
  </w:abstractNum>
  <w:abstractNum w:abstractNumId="36">
    <w:nsid w:val="7DC24646"/>
    <w:multiLevelType w:val="singleLevel"/>
    <w:tmpl w:val="7DC24646"/>
    <w:lvl w:ilvl="0" w:tentative="0">
      <w:start w:val="1"/>
      <w:numFmt w:val="decimal"/>
      <w:lvlText w:val="%1)"/>
      <w:lvlJc w:val="left"/>
      <w:pPr>
        <w:ind w:left="647" w:hanging="420"/>
      </w:pPr>
      <w:rPr>
        <w:rFonts w:hint="default"/>
        <w:b/>
        <w:i w:val="0"/>
        <w:color w:val="auto"/>
        <w:sz w:val="21"/>
        <w:szCs w:val="21"/>
        <w:u w:val="none"/>
      </w:rPr>
    </w:lvl>
  </w:abstractNum>
  <w:num w:numId="1">
    <w:abstractNumId w:val="24"/>
  </w:num>
  <w:num w:numId="2">
    <w:abstractNumId w:val="26"/>
  </w:num>
  <w:num w:numId="3">
    <w:abstractNumId w:val="27"/>
  </w:num>
  <w:num w:numId="4">
    <w:abstractNumId w:val="35"/>
  </w:num>
  <w:num w:numId="5">
    <w:abstractNumId w:val="32"/>
  </w:num>
  <w:num w:numId="6">
    <w:abstractNumId w:val="36"/>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num>
  <w:num w:numId="9">
    <w:abstractNumId w:val="30"/>
  </w:num>
  <w:num w:numId="10">
    <w:abstractNumId w:val="21"/>
  </w:num>
  <w:num w:numId="11">
    <w:abstractNumId w:val="14"/>
  </w:num>
  <w:num w:numId="12">
    <w:abstractNumId w:val="22"/>
  </w:num>
  <w:num w:numId="13">
    <w:abstractNumId w:val="33"/>
  </w:num>
  <w:num w:numId="14">
    <w:abstractNumId w:val="28"/>
  </w:num>
  <w:num w:numId="15">
    <w:abstractNumId w:val="0"/>
    <w:lvlOverride w:ilvl="0">
      <w:lvl w:ilvl="0" w:tentative="1">
        <w:start w:val="1"/>
        <w:numFmt w:val="bullet"/>
        <w:lvlText w:val=""/>
        <w:legacy w:legacy="1" w:legacySpace="0" w:legacyIndent="567"/>
        <w:lvlJc w:val="left"/>
        <w:pPr>
          <w:ind w:left="987" w:hanging="567"/>
        </w:pPr>
        <w:rPr>
          <w:rFonts w:hint="default" w:ascii="Wingdings" w:hAnsi="Wingdings"/>
        </w:rPr>
      </w:lvl>
    </w:lvlOverride>
  </w:num>
  <w:num w:numId="16">
    <w:abstractNumId w:val="0"/>
    <w:lvlOverride w:ilvl="0">
      <w:lvl w:ilvl="0" w:tentative="1">
        <w:start w:val="1"/>
        <w:numFmt w:val="bullet"/>
        <w:lvlText w:val=""/>
        <w:legacy w:legacy="1" w:legacySpace="0" w:legacyIndent="227"/>
        <w:lvlJc w:val="left"/>
        <w:pPr>
          <w:ind w:left="1361" w:hanging="227"/>
        </w:pPr>
        <w:rPr>
          <w:rFonts w:hint="default" w:ascii="Wingdings" w:hAnsi="Wingdings"/>
        </w:rPr>
      </w:lvl>
    </w:lvlOverride>
  </w:num>
  <w:num w:numId="17">
    <w:abstractNumId w:val="19"/>
  </w:num>
  <w:num w:numId="18">
    <w:abstractNumId w:val="31"/>
  </w:num>
  <w:num w:numId="19">
    <w:abstractNumId w:val="17"/>
  </w:num>
  <w:num w:numId="20">
    <w:abstractNumId w:val="23"/>
  </w:num>
  <w:num w:numId="21">
    <w:abstractNumId w:val="15"/>
  </w:num>
  <w:num w:numId="22">
    <w:abstractNumId w:val="29"/>
  </w:num>
  <w:num w:numId="23">
    <w:abstractNumId w:val="25"/>
  </w:num>
  <w:num w:numId="24">
    <w:abstractNumId w:val="20"/>
  </w:num>
  <w:num w:numId="25">
    <w:abstractNumId w:val="16"/>
  </w:num>
  <w:num w:numId="26">
    <w:abstractNumId w:val="3"/>
  </w:num>
  <w:num w:numId="27">
    <w:abstractNumId w:val="18"/>
  </w:num>
  <w:num w:numId="28">
    <w:abstractNumId w:val="12"/>
  </w:num>
  <w:num w:numId="29">
    <w:abstractNumId w:val="6"/>
  </w:num>
  <w:num w:numId="30">
    <w:abstractNumId w:val="13"/>
  </w:num>
  <w:num w:numId="31">
    <w:abstractNumId w:val="2"/>
  </w:num>
  <w:num w:numId="32">
    <w:abstractNumId w:val="7"/>
  </w:num>
  <w:num w:numId="33">
    <w:abstractNumId w:val="9"/>
  </w:num>
  <w:num w:numId="34">
    <w:abstractNumId w:val="5"/>
  </w:num>
  <w:num w:numId="35">
    <w:abstractNumId w:val="1"/>
  </w:num>
  <w:num w:numId="36">
    <w:abstractNumId w:val="4"/>
  </w:num>
  <w:num w:numId="37">
    <w:abstractNumId w:val="11"/>
  </w:num>
  <w:num w:numId="38">
    <w:abstractNumId w:val="8"/>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BA52F2"/>
    <w:rsid w:val="12A06108"/>
    <w:rsid w:val="23435F4E"/>
    <w:rsid w:val="289D56A4"/>
    <w:rsid w:val="4413506B"/>
    <w:rsid w:val="481944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iPriority="0" w:semiHidden="0" w:name="index 1"/>
    <w:lsdException w:uiPriority="99" w:name="index 2"/>
    <w:lsdException w:uiPriority="99" w:name="index 3"/>
    <w:lsdException w:uiPriority="99" w:name="index 4"/>
    <w:lsdException w:qFormat="1" w:uiPriority="0" w:semiHidden="0" w:name="index 5"/>
    <w:lsdException w:uiPriority="99" w:name="index 6"/>
    <w:lsdException w:uiPriority="99" w:name="index 7"/>
    <w:lsdException w:uiPriority="99" w:name="index 8"/>
    <w:lsdException w:uiPriority="99" w:name="index 9"/>
    <w:lsdException w:uiPriority="39" w:semiHidden="0" w:name="toc 1"/>
    <w:lsdException w:qFormat="1" w:uiPriority="0" w:semiHidden="0" w:name="toc 2"/>
    <w:lsdException w:uiPriority="0" w:semiHidden="0" w:name="toc 3"/>
    <w:lsdException w:uiPriority="0" w:semiHidden="0" w:name="toc 4"/>
    <w:lsdException w:qFormat="1" w:uiPriority="0" w:semiHidden="0" w:name="toc 5"/>
    <w:lsdException w:uiPriority="0" w:semiHidden="0" w:name="toc 6"/>
    <w:lsdException w:qFormat="1" w:uiPriority="0" w:semiHidden="0" w:name="toc 7"/>
    <w:lsdException w:uiPriority="0" w:semiHidden="0" w:name="toc 8"/>
    <w:lsdException w:qFormat="1" w:uiPriority="0" w:semiHidden="0" w:name="toc 9"/>
    <w:lsdException w:qFormat="1" w:uiPriority="0" w:semiHidden="0" w:name="Normal Indent"/>
    <w:lsdException w:uiPriority="99" w:name="footnote text"/>
    <w:lsdException w:qFormat="1" w:uiPriority="0" w:semiHidden="0" w:name="annotation text"/>
    <w:lsdException w:uiPriority="0" w:semiHidden="0" w:name="header"/>
    <w:lsdException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iPriority="0" w:semiHidden="0" w:name="page number"/>
    <w:lsdException w:uiPriority="99" w:name="endnote reference"/>
    <w:lsdException w:uiPriority="99" w:name="endnote text"/>
    <w:lsdException w:qFormat="1" w:uiPriority="0" w:semiHidden="0" w:name="table of authorities"/>
    <w:lsdException w:uiPriority="99" w:name="macro"/>
    <w:lsdException w:uiPriority="99" w:name="toa heading"/>
    <w:lsdException w:qFormat="1" w:uiPriority="0" w:semiHidden="0" w:name="List"/>
    <w:lsdException w:uiPriority="0" w:semiHidden="0" w:name="List Bullet"/>
    <w:lsdException w:uiPriority="99" w:name="List Number"/>
    <w:lsdException w:uiPriority="0" w:semiHidden="0" w:name="List 2"/>
    <w:lsdException w:uiPriority="0" w:semiHidden="0" w:name="List 3"/>
    <w:lsdException w:qFormat="1" w:uiPriority="0" w:semiHidden="0"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qFormat="1" w:uiPriority="0" w:semiHidden="0" w:name="Body Text"/>
    <w:lsdException w:uiPriority="0" w:semiHidden="0" w:name="Body Text Indent"/>
    <w:lsdException w:uiPriority="0" w:semiHidden="0" w:name="List Continue"/>
    <w:lsdException w:qFormat="1"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0" w:semiHidden="0" w:name="Date"/>
    <w:lsdException w:qFormat="1" w:uiPriority="0" w:semiHidden="0" w:name="Body Text First Indent"/>
    <w:lsdException w:uiPriority="0" w:semiHidden="0" w:name="Body Text First Indent 2"/>
    <w:lsdException w:uiPriority="99" w:name="Note Heading"/>
    <w:lsdException w:qFormat="1" w:uiPriority="0" w:semiHidden="0" w:name="Body Text 2"/>
    <w:lsdException w:uiPriority="0" w:semiHidden="0" w:name="Body Text 3"/>
    <w:lsdException w:qFormat="1" w:uiPriority="0" w:semiHidden="0" w:name="Body Text Indent 2"/>
    <w:lsdException w:qFormat="1" w:uiPriority="0" w:semiHidden="0" w:name="Body Text Indent 3"/>
    <w:lsdException w:qFormat="1"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59"/>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0"/>
    <w:unhideWhenUsed/>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1"/>
    <w:unhideWhenUsed/>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2"/>
    <w:unhideWhenUsed/>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3"/>
    <w:unhideWhenUsed/>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4"/>
    <w:unhideWhenUsed/>
    <w:qFormat/>
    <w:uiPriority w:val="0"/>
    <w:pPr>
      <w:keepNext/>
      <w:keepLines/>
      <w:spacing w:before="240" w:after="64" w:line="320" w:lineRule="auto"/>
      <w:outlineLvl w:val="5"/>
    </w:pPr>
    <w:rPr>
      <w:rFonts w:ascii="Arial" w:hAnsi="Arial" w:eastAsia="黑体" w:cs="Times New Roman"/>
      <w:b/>
      <w:bCs/>
      <w:kern w:val="0"/>
    </w:rPr>
  </w:style>
  <w:style w:type="paragraph" w:styleId="8">
    <w:name w:val="heading 7"/>
    <w:basedOn w:val="1"/>
    <w:next w:val="1"/>
    <w:link w:val="65"/>
    <w:unhideWhenUsed/>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rPr>
  </w:style>
  <w:style w:type="paragraph" w:styleId="9">
    <w:name w:val="heading 8"/>
    <w:basedOn w:val="1"/>
    <w:next w:val="1"/>
    <w:link w:val="66"/>
    <w:unhideWhenUsed/>
    <w:qFormat/>
    <w:uiPriority w:val="0"/>
    <w:pPr>
      <w:keepNext/>
      <w:keepLines/>
      <w:tabs>
        <w:tab w:val="left" w:pos="1440"/>
      </w:tabs>
      <w:spacing w:before="240" w:after="64" w:line="320" w:lineRule="auto"/>
      <w:ind w:left="1440" w:hanging="1440"/>
      <w:outlineLvl w:val="7"/>
    </w:pPr>
    <w:rPr>
      <w:rFonts w:ascii="Arial" w:hAnsi="Arial" w:eastAsia="黑体" w:cs="Times New Roman"/>
      <w:kern w:val="0"/>
    </w:rPr>
  </w:style>
  <w:style w:type="paragraph" w:styleId="10">
    <w:name w:val="heading 9"/>
    <w:basedOn w:val="1"/>
    <w:next w:val="1"/>
    <w:link w:val="67"/>
    <w:unhideWhenUsed/>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3">
    <w:name w:val="Default Paragraph Font"/>
    <w:unhideWhenUsed/>
    <w:uiPriority w:val="1"/>
  </w:style>
  <w:style w:type="table" w:default="1" w:styleId="52">
    <w:name w:val="Normal Table"/>
    <w:unhideWhenUsed/>
    <w:uiPriority w:val="99"/>
    <w:tblPr>
      <w:tblLayout w:type="fixed"/>
      <w:tblCellMar>
        <w:top w:w="0" w:type="dxa"/>
        <w:left w:w="108" w:type="dxa"/>
        <w:bottom w:w="0" w:type="dxa"/>
        <w:right w:w="108" w:type="dxa"/>
      </w:tblCellMar>
    </w:tblPr>
  </w:style>
  <w:style w:type="paragraph" w:styleId="11">
    <w:name w:val="List 3"/>
    <w:basedOn w:val="1"/>
    <w:unhideWhenUsed/>
    <w:uiPriority w:val="0"/>
    <w:pPr>
      <w:ind w:left="100" w:leftChars="400" w:hanging="200" w:hangingChars="200"/>
    </w:pPr>
    <w:rPr>
      <w:rFonts w:ascii="Times New Roman" w:hAnsi="Times New Roman" w:eastAsia="宋体" w:cs="Times New Roman"/>
      <w:sz w:val="21"/>
    </w:rPr>
  </w:style>
  <w:style w:type="paragraph" w:styleId="12">
    <w:name w:val="toc 7"/>
    <w:basedOn w:val="1"/>
    <w:next w:val="1"/>
    <w:unhideWhenUsed/>
    <w:qFormat/>
    <w:uiPriority w:val="0"/>
    <w:pPr>
      <w:ind w:left="1260"/>
      <w:jc w:val="left"/>
    </w:pPr>
    <w:rPr>
      <w:rFonts w:ascii="Times New Roman" w:hAnsi="Times New Roman" w:eastAsia="宋体" w:cs="Times New Roman"/>
      <w:sz w:val="20"/>
      <w:szCs w:val="20"/>
    </w:rPr>
  </w:style>
  <w:style w:type="paragraph" w:styleId="13">
    <w:name w:val="table of authorities"/>
    <w:basedOn w:val="1"/>
    <w:next w:val="1"/>
    <w:unhideWhenUsed/>
    <w:qFormat/>
    <w:uiPriority w:val="0"/>
    <w:pPr>
      <w:ind w:left="420" w:leftChars="200"/>
    </w:pPr>
    <w:rPr>
      <w:rFonts w:ascii="Times New Roman" w:hAnsi="Times New Roman" w:eastAsia="宋体" w:cs="Times New Roman"/>
      <w:sz w:val="21"/>
    </w:rPr>
  </w:style>
  <w:style w:type="paragraph" w:styleId="14">
    <w:name w:val="Normal Indent"/>
    <w:basedOn w:val="1"/>
    <w:link w:val="141"/>
    <w:unhideWhenUsed/>
    <w:qFormat/>
    <w:uiPriority w:val="0"/>
    <w:pPr>
      <w:ind w:firstLine="420"/>
    </w:pPr>
    <w:rPr>
      <w:rFonts w:ascii="Times New Roman" w:hAnsi="Times New Roman" w:eastAsia="宋体" w:cs="Times New Roman"/>
      <w:sz w:val="21"/>
      <w:szCs w:val="20"/>
    </w:rPr>
  </w:style>
  <w:style w:type="paragraph" w:styleId="15">
    <w:name w:val="caption"/>
    <w:basedOn w:val="1"/>
    <w:next w:val="1"/>
    <w:unhideWhenUsed/>
    <w:qFormat/>
    <w:uiPriority w:val="0"/>
    <w:rPr>
      <w:rFonts w:ascii="Arial" w:hAnsi="Arial" w:eastAsia="黑体" w:cs="Arial"/>
      <w:sz w:val="20"/>
      <w:szCs w:val="20"/>
    </w:rPr>
  </w:style>
  <w:style w:type="paragraph" w:styleId="16">
    <w:name w:val="index 5"/>
    <w:basedOn w:val="1"/>
    <w:next w:val="1"/>
    <w:unhideWhenUsed/>
    <w:qFormat/>
    <w:uiPriority w:val="0"/>
    <w:pPr>
      <w:ind w:left="800" w:leftChars="800"/>
    </w:pPr>
    <w:rPr>
      <w:rFonts w:ascii="Times New Roman" w:hAnsi="Times New Roman" w:eastAsia="宋体" w:cs="Times New Roman"/>
      <w:sz w:val="21"/>
    </w:rPr>
  </w:style>
  <w:style w:type="paragraph" w:styleId="17">
    <w:name w:val="List Bullet"/>
    <w:basedOn w:val="1"/>
    <w:unhideWhenUsed/>
    <w:uiPriority w:val="0"/>
    <w:pPr>
      <w:numPr>
        <w:ilvl w:val="0"/>
        <w:numId w:val="2"/>
      </w:numPr>
    </w:pPr>
  </w:style>
  <w:style w:type="paragraph" w:styleId="18">
    <w:name w:val="Document Map"/>
    <w:basedOn w:val="1"/>
    <w:link w:val="71"/>
    <w:unhideWhenUsed/>
    <w:qFormat/>
    <w:uiPriority w:val="0"/>
    <w:pPr>
      <w:shd w:val="clear" w:color="auto" w:fill="000080"/>
    </w:pPr>
    <w:rPr>
      <w:rFonts w:ascii="Times New Roman" w:hAnsi="Times New Roman" w:eastAsia="宋体" w:cs="Times New Roman"/>
      <w:kern w:val="0"/>
      <w:sz w:val="20"/>
    </w:rPr>
  </w:style>
  <w:style w:type="paragraph" w:styleId="19">
    <w:name w:val="annotation text"/>
    <w:basedOn w:val="1"/>
    <w:link w:val="103"/>
    <w:unhideWhenUsed/>
    <w:qFormat/>
    <w:uiPriority w:val="0"/>
    <w:pPr>
      <w:jc w:val="left"/>
    </w:pPr>
  </w:style>
  <w:style w:type="paragraph" w:styleId="20">
    <w:name w:val="Body Text 3"/>
    <w:basedOn w:val="1"/>
    <w:link w:val="83"/>
    <w:unhideWhenUsed/>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1">
    <w:name w:val="Body Text"/>
    <w:basedOn w:val="1"/>
    <w:link w:val="106"/>
    <w:unhideWhenUsed/>
    <w:qFormat/>
    <w:uiPriority w:val="0"/>
    <w:pPr>
      <w:spacing w:after="120"/>
    </w:pPr>
  </w:style>
  <w:style w:type="paragraph" w:styleId="22">
    <w:name w:val="Body Text Indent"/>
    <w:basedOn w:val="1"/>
    <w:link w:val="79"/>
    <w:unhideWhenUsed/>
    <w:uiPriority w:val="0"/>
    <w:pPr>
      <w:ind w:firstLine="560" w:firstLineChars="200"/>
    </w:pPr>
    <w:rPr>
      <w:rFonts w:ascii="宋体" w:hAnsi="宋体" w:eastAsia="宋体" w:cs="Times New Roman"/>
      <w:kern w:val="0"/>
      <w:sz w:val="28"/>
      <w:szCs w:val="28"/>
    </w:rPr>
  </w:style>
  <w:style w:type="paragraph" w:styleId="23">
    <w:name w:val="List 2"/>
    <w:basedOn w:val="1"/>
    <w:unhideWhenUsed/>
    <w:uiPriority w:val="0"/>
    <w:pPr>
      <w:ind w:left="100" w:leftChars="200" w:hanging="200" w:hangingChars="200"/>
    </w:pPr>
    <w:rPr>
      <w:rFonts w:ascii="Times New Roman" w:hAnsi="Times New Roman" w:eastAsia="宋体" w:cs="Times New Roman"/>
      <w:sz w:val="21"/>
    </w:rPr>
  </w:style>
  <w:style w:type="paragraph" w:styleId="24">
    <w:name w:val="List Continue"/>
    <w:basedOn w:val="1"/>
    <w:unhideWhenUsed/>
    <w:uiPriority w:val="0"/>
    <w:pPr>
      <w:spacing w:after="120"/>
      <w:ind w:left="420" w:leftChars="200"/>
    </w:pPr>
    <w:rPr>
      <w:rFonts w:ascii="Times New Roman" w:hAnsi="Times New Roman" w:eastAsia="宋体" w:cs="Times New Roman"/>
      <w:sz w:val="21"/>
    </w:rPr>
  </w:style>
  <w:style w:type="paragraph" w:styleId="25">
    <w:name w:val="Block Text"/>
    <w:basedOn w:val="1"/>
    <w:unhideWhenUsed/>
    <w:qFormat/>
    <w:uiPriority w:val="0"/>
    <w:pPr>
      <w:spacing w:before="120" w:after="120" w:line="360" w:lineRule="auto"/>
      <w:ind w:left="525" w:right="202"/>
    </w:pPr>
    <w:rPr>
      <w:rFonts w:ascii="宋体" w:hAnsi="宋体" w:eastAsia="宋体" w:cs="Times New Roman"/>
      <w:spacing w:val="-4"/>
    </w:rPr>
  </w:style>
  <w:style w:type="paragraph" w:styleId="26">
    <w:name w:val="List Bullet 2"/>
    <w:basedOn w:val="1"/>
    <w:unhideWhenUsed/>
    <w:qFormat/>
    <w:uiPriority w:val="0"/>
    <w:pPr>
      <w:numPr>
        <w:ilvl w:val="0"/>
        <w:numId w:val="3"/>
      </w:numPr>
    </w:pPr>
  </w:style>
  <w:style w:type="paragraph" w:styleId="27">
    <w:name w:val="toc 5"/>
    <w:basedOn w:val="1"/>
    <w:next w:val="1"/>
    <w:unhideWhenUsed/>
    <w:qFormat/>
    <w:uiPriority w:val="0"/>
    <w:pPr>
      <w:ind w:left="840"/>
      <w:jc w:val="left"/>
    </w:pPr>
    <w:rPr>
      <w:rFonts w:ascii="Times New Roman" w:hAnsi="Times New Roman" w:eastAsia="宋体" w:cs="Times New Roman"/>
      <w:sz w:val="20"/>
      <w:szCs w:val="20"/>
    </w:rPr>
  </w:style>
  <w:style w:type="paragraph" w:styleId="28">
    <w:name w:val="toc 3"/>
    <w:basedOn w:val="1"/>
    <w:next w:val="1"/>
    <w:unhideWhenUsed/>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29">
    <w:name w:val="Plain Text"/>
    <w:basedOn w:val="1"/>
    <w:link w:val="74"/>
    <w:unhideWhenUsed/>
    <w:uiPriority w:val="0"/>
    <w:rPr>
      <w:rFonts w:ascii="宋体" w:hAnsi="Courier New" w:eastAsia="宋体" w:cs="Times New Roman"/>
      <w:kern w:val="0"/>
      <w:sz w:val="20"/>
      <w:szCs w:val="21"/>
    </w:rPr>
  </w:style>
  <w:style w:type="paragraph" w:styleId="30">
    <w:name w:val="toc 8"/>
    <w:basedOn w:val="1"/>
    <w:next w:val="1"/>
    <w:unhideWhenUsed/>
    <w:uiPriority w:val="0"/>
    <w:pPr>
      <w:ind w:left="1470"/>
      <w:jc w:val="left"/>
    </w:pPr>
    <w:rPr>
      <w:rFonts w:ascii="Times New Roman" w:hAnsi="Times New Roman" w:eastAsia="宋体" w:cs="Times New Roman"/>
      <w:sz w:val="20"/>
      <w:szCs w:val="20"/>
    </w:rPr>
  </w:style>
  <w:style w:type="paragraph" w:styleId="31">
    <w:name w:val="Date"/>
    <w:basedOn w:val="1"/>
    <w:next w:val="1"/>
    <w:link w:val="68"/>
    <w:unhideWhenUsed/>
    <w:uiPriority w:val="0"/>
    <w:pPr>
      <w:ind w:left="100" w:leftChars="2500"/>
    </w:pPr>
    <w:rPr>
      <w:rFonts w:ascii="Times New Roman" w:hAnsi="Times New Roman" w:eastAsia="宋体" w:cs="Times New Roman"/>
      <w:kern w:val="0"/>
      <w:sz w:val="20"/>
    </w:rPr>
  </w:style>
  <w:style w:type="paragraph" w:styleId="32">
    <w:name w:val="Body Text Indent 2"/>
    <w:basedOn w:val="1"/>
    <w:link w:val="94"/>
    <w:unhideWhenUsed/>
    <w:qFormat/>
    <w:uiPriority w:val="0"/>
    <w:pPr>
      <w:spacing w:after="120" w:line="480" w:lineRule="auto"/>
      <w:ind w:left="420" w:leftChars="200"/>
    </w:pPr>
    <w:rPr>
      <w:rFonts w:ascii="Times New Roman" w:hAnsi="Times New Roman" w:eastAsia="宋体" w:cs="Times New Roman"/>
      <w:kern w:val="0"/>
      <w:sz w:val="20"/>
    </w:rPr>
  </w:style>
  <w:style w:type="paragraph" w:styleId="33">
    <w:name w:val="Balloon Text"/>
    <w:basedOn w:val="1"/>
    <w:link w:val="69"/>
    <w:unhideWhenUsed/>
    <w:uiPriority w:val="0"/>
    <w:rPr>
      <w:rFonts w:ascii="Times New Roman" w:hAnsi="Times New Roman" w:eastAsia="宋体" w:cs="Times New Roman"/>
      <w:kern w:val="0"/>
      <w:sz w:val="18"/>
      <w:szCs w:val="18"/>
    </w:rPr>
  </w:style>
  <w:style w:type="paragraph" w:styleId="34">
    <w:name w:val="footer"/>
    <w:basedOn w:val="1"/>
    <w:link w:val="87"/>
    <w:unhideWhenUsed/>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5">
    <w:name w:val="header"/>
    <w:basedOn w:val="1"/>
    <w:link w:val="86"/>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6">
    <w:name w:val="toc 1"/>
    <w:basedOn w:val="1"/>
    <w:next w:val="1"/>
    <w:unhideWhenUsed/>
    <w:uiPriority w:val="39"/>
    <w:pPr>
      <w:adjustRightInd w:val="0"/>
      <w:snapToGrid w:val="0"/>
    </w:pPr>
    <w:rPr>
      <w:rFonts w:ascii="Times New Roman" w:hAnsi="Times New Roman" w:eastAsia="仿宋" w:cs="Times New Roman"/>
      <w:sz w:val="21"/>
    </w:rPr>
  </w:style>
  <w:style w:type="paragraph" w:styleId="37">
    <w:name w:val="toc 4"/>
    <w:basedOn w:val="1"/>
    <w:next w:val="1"/>
    <w:unhideWhenUsed/>
    <w:uiPriority w:val="0"/>
    <w:pPr>
      <w:ind w:left="630"/>
      <w:jc w:val="left"/>
    </w:pPr>
    <w:rPr>
      <w:rFonts w:ascii="楷体_GB2312" w:hAnsi="Times New Roman" w:eastAsia="楷体_GB2312" w:cs="Times New Roman"/>
      <w:sz w:val="28"/>
      <w:szCs w:val="20"/>
    </w:rPr>
  </w:style>
  <w:style w:type="paragraph" w:styleId="38">
    <w:name w:val="List"/>
    <w:basedOn w:val="1"/>
    <w:unhideWhenUsed/>
    <w:qFormat/>
    <w:uiPriority w:val="0"/>
    <w:pPr>
      <w:ind w:left="200" w:hanging="200" w:hangingChars="200"/>
    </w:pPr>
    <w:rPr>
      <w:rFonts w:ascii="Times New Roman" w:hAnsi="Times New Roman" w:eastAsia="宋体" w:cs="Times New Roman"/>
      <w:sz w:val="21"/>
    </w:rPr>
  </w:style>
  <w:style w:type="paragraph" w:styleId="39">
    <w:name w:val="toc 6"/>
    <w:basedOn w:val="1"/>
    <w:next w:val="1"/>
    <w:unhideWhenUsed/>
    <w:uiPriority w:val="0"/>
    <w:pPr>
      <w:ind w:left="1050"/>
      <w:jc w:val="left"/>
    </w:pPr>
    <w:rPr>
      <w:rFonts w:ascii="Times New Roman" w:hAnsi="Times New Roman" w:eastAsia="宋体" w:cs="Times New Roman"/>
      <w:sz w:val="20"/>
      <w:szCs w:val="20"/>
    </w:rPr>
  </w:style>
  <w:style w:type="paragraph" w:styleId="40">
    <w:name w:val="Body Text Indent 3"/>
    <w:basedOn w:val="1"/>
    <w:link w:val="89"/>
    <w:unhideWhenUsed/>
    <w:qFormat/>
    <w:uiPriority w:val="0"/>
    <w:pPr>
      <w:spacing w:after="120"/>
      <w:ind w:left="420" w:leftChars="200"/>
    </w:pPr>
    <w:rPr>
      <w:rFonts w:ascii="Times New Roman" w:hAnsi="Times New Roman" w:eastAsia="宋体" w:cs="Times New Roman"/>
      <w:kern w:val="0"/>
      <w:sz w:val="16"/>
      <w:szCs w:val="16"/>
    </w:rPr>
  </w:style>
  <w:style w:type="paragraph" w:styleId="41">
    <w:name w:val="toc 2"/>
    <w:basedOn w:val="1"/>
    <w:next w:val="1"/>
    <w:unhideWhenUsed/>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Cs w:val="28"/>
    </w:rPr>
  </w:style>
  <w:style w:type="paragraph" w:styleId="42">
    <w:name w:val="toc 9"/>
    <w:basedOn w:val="1"/>
    <w:next w:val="1"/>
    <w:unhideWhenUsed/>
    <w:qFormat/>
    <w:uiPriority w:val="0"/>
    <w:pPr>
      <w:ind w:left="1680"/>
      <w:jc w:val="left"/>
    </w:pPr>
    <w:rPr>
      <w:rFonts w:ascii="Times New Roman" w:hAnsi="Times New Roman" w:eastAsia="宋体" w:cs="Times New Roman"/>
      <w:sz w:val="20"/>
      <w:szCs w:val="20"/>
    </w:rPr>
  </w:style>
  <w:style w:type="paragraph" w:styleId="43">
    <w:name w:val="Body Text 2"/>
    <w:basedOn w:val="1"/>
    <w:link w:val="70"/>
    <w:unhideWhenUsed/>
    <w:qFormat/>
    <w:uiPriority w:val="0"/>
    <w:pPr>
      <w:spacing w:after="120" w:line="480" w:lineRule="auto"/>
    </w:pPr>
    <w:rPr>
      <w:rFonts w:ascii="Times New Roman" w:hAnsi="Times New Roman" w:eastAsia="宋体" w:cs="Times New Roman"/>
      <w:kern w:val="0"/>
      <w:sz w:val="20"/>
    </w:rPr>
  </w:style>
  <w:style w:type="paragraph" w:styleId="44">
    <w:name w:val="List 4"/>
    <w:basedOn w:val="1"/>
    <w:unhideWhenUsed/>
    <w:qFormat/>
    <w:uiPriority w:val="0"/>
    <w:pPr>
      <w:ind w:left="100" w:leftChars="600" w:hanging="200" w:hangingChars="200"/>
    </w:pPr>
    <w:rPr>
      <w:rFonts w:ascii="Times New Roman" w:hAnsi="Times New Roman" w:eastAsia="宋体" w:cs="Times New Roman"/>
      <w:sz w:val="21"/>
    </w:rPr>
  </w:style>
  <w:style w:type="paragraph" w:styleId="45">
    <w:name w:val="List Continue 2"/>
    <w:basedOn w:val="1"/>
    <w:unhideWhenUsed/>
    <w:qFormat/>
    <w:uiPriority w:val="0"/>
    <w:pPr>
      <w:spacing w:after="120"/>
      <w:ind w:left="840" w:leftChars="400"/>
    </w:pPr>
    <w:rPr>
      <w:rFonts w:ascii="Times New Roman" w:hAnsi="Times New Roman" w:eastAsia="宋体" w:cs="Times New Roman"/>
      <w:sz w:val="21"/>
    </w:rPr>
  </w:style>
  <w:style w:type="paragraph" w:styleId="46">
    <w:name w:val="Normal (Web)"/>
    <w:basedOn w:val="1"/>
    <w:unhideWhenUsed/>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47">
    <w:name w:val="index 1"/>
    <w:basedOn w:val="1"/>
    <w:next w:val="1"/>
    <w:unhideWhenUsed/>
    <w:qFormat/>
    <w:uiPriority w:val="0"/>
    <w:pPr>
      <w:adjustRightInd w:val="0"/>
      <w:snapToGrid w:val="0"/>
      <w:jc w:val="center"/>
    </w:pPr>
    <w:rPr>
      <w:rFonts w:ascii="Times New Roman" w:hAnsi="Times New Roman" w:eastAsia="宋体" w:cs="Times New Roman"/>
      <w:sz w:val="21"/>
      <w:szCs w:val="20"/>
    </w:rPr>
  </w:style>
  <w:style w:type="paragraph" w:styleId="48">
    <w:name w:val="Title"/>
    <w:basedOn w:val="1"/>
    <w:next w:val="1"/>
    <w:link w:val="96"/>
    <w:qFormat/>
    <w:uiPriority w:val="0"/>
    <w:pPr>
      <w:spacing w:before="60" w:after="60"/>
      <w:jc w:val="center"/>
      <w:outlineLvl w:val="0"/>
    </w:pPr>
    <w:rPr>
      <w:rFonts w:ascii="Cambria" w:hAnsi="Cambria" w:eastAsia="黑体" w:cs="Times New Roman"/>
      <w:b/>
      <w:bCs/>
      <w:kern w:val="0"/>
      <w:sz w:val="32"/>
      <w:szCs w:val="32"/>
    </w:rPr>
  </w:style>
  <w:style w:type="paragraph" w:styleId="49">
    <w:name w:val="annotation subject"/>
    <w:basedOn w:val="19"/>
    <w:next w:val="19"/>
    <w:link w:val="95"/>
    <w:unhideWhenUsed/>
    <w:uiPriority w:val="0"/>
    <w:rPr>
      <w:rFonts w:ascii="Times New Roman" w:hAnsi="Times New Roman" w:eastAsia="宋体" w:cs="Times New Roman"/>
      <w:b/>
      <w:bCs/>
      <w:kern w:val="0"/>
      <w:sz w:val="20"/>
    </w:rPr>
  </w:style>
  <w:style w:type="paragraph" w:styleId="50">
    <w:name w:val="Body Text First Indent"/>
    <w:basedOn w:val="21"/>
    <w:link w:val="90"/>
    <w:unhideWhenUsed/>
    <w:qFormat/>
    <w:uiPriority w:val="0"/>
    <w:pPr>
      <w:ind w:firstLine="420" w:firstLineChars="100"/>
    </w:pPr>
    <w:rPr>
      <w:rFonts w:ascii="Times New Roman" w:hAnsi="Times New Roman" w:eastAsia="宋体" w:cs="Times New Roman"/>
      <w:kern w:val="0"/>
      <w:sz w:val="20"/>
    </w:rPr>
  </w:style>
  <w:style w:type="paragraph" w:styleId="51">
    <w:name w:val="Body Text First Indent 2"/>
    <w:basedOn w:val="22"/>
    <w:link w:val="78"/>
    <w:unhideWhenUsed/>
    <w:uiPriority w:val="0"/>
    <w:pPr>
      <w:spacing w:after="120"/>
      <w:ind w:left="420" w:leftChars="200" w:firstLine="420"/>
    </w:pPr>
    <w:rPr>
      <w:szCs w:val="24"/>
    </w:rPr>
  </w:style>
  <w:style w:type="character" w:styleId="54">
    <w:name w:val="Strong"/>
    <w:qFormat/>
    <w:uiPriority w:val="0"/>
    <w:rPr>
      <w:rFonts w:asciiTheme="minorHAnsi" w:hAnsiTheme="minorHAnsi" w:eastAsiaTheme="minorEastAsia" w:cstheme="minorBidi"/>
      <w:b/>
      <w:bCs/>
      <w:kern w:val="2"/>
      <w:sz w:val="24"/>
      <w:szCs w:val="24"/>
      <w:lang w:val="en-US" w:eastAsia="zh-CN" w:bidi="ar-SA"/>
    </w:rPr>
  </w:style>
  <w:style w:type="character" w:styleId="55">
    <w:name w:val="page number"/>
    <w:basedOn w:val="53"/>
    <w:unhideWhenUsed/>
    <w:qFormat/>
    <w:uiPriority w:val="0"/>
    <w:rPr>
      <w:rFonts w:asciiTheme="minorHAnsi" w:hAnsiTheme="minorHAnsi" w:eastAsiaTheme="minorEastAsia" w:cstheme="minorBidi"/>
      <w:kern w:val="2"/>
      <w:sz w:val="24"/>
      <w:szCs w:val="24"/>
      <w:lang w:val="en-US" w:eastAsia="zh-CN" w:bidi="ar-SA"/>
    </w:rPr>
  </w:style>
  <w:style w:type="character" w:styleId="56">
    <w:name w:val="FollowedHyperlink"/>
    <w:unhideWhenUsed/>
    <w:qFormat/>
    <w:uiPriority w:val="99"/>
    <w:rPr>
      <w:rFonts w:asciiTheme="minorHAnsi" w:hAnsiTheme="minorHAnsi" w:eastAsiaTheme="minorEastAsia" w:cstheme="minorBidi"/>
      <w:color w:val="800080"/>
      <w:kern w:val="2"/>
      <w:sz w:val="24"/>
      <w:szCs w:val="24"/>
      <w:u w:val="single"/>
      <w:lang w:val="en-US" w:eastAsia="zh-CN" w:bidi="ar-SA"/>
    </w:rPr>
  </w:style>
  <w:style w:type="character" w:styleId="57">
    <w:name w:val="Hyperlink"/>
    <w:unhideWhenUsed/>
    <w:qFormat/>
    <w:uiPriority w:val="99"/>
    <w:rPr>
      <w:rFonts w:asciiTheme="minorHAnsi" w:hAnsiTheme="minorHAnsi" w:eastAsiaTheme="minorEastAsia" w:cstheme="minorBidi"/>
      <w:color w:val="0000FF"/>
      <w:kern w:val="2"/>
      <w:sz w:val="24"/>
      <w:szCs w:val="24"/>
      <w:u w:val="single"/>
      <w:lang w:val="en-US" w:eastAsia="zh-CN" w:bidi="ar-SA"/>
    </w:rPr>
  </w:style>
  <w:style w:type="character" w:styleId="58">
    <w:name w:val="annotation reference"/>
    <w:unhideWhenUsed/>
    <w:qFormat/>
    <w:uiPriority w:val="0"/>
    <w:rPr>
      <w:rFonts w:asciiTheme="minorHAnsi" w:hAnsiTheme="minorHAnsi" w:eastAsiaTheme="minorEastAsia" w:cstheme="minorBidi"/>
      <w:kern w:val="2"/>
      <w:sz w:val="21"/>
      <w:szCs w:val="21"/>
      <w:lang w:val="en-US" w:eastAsia="zh-CN" w:bidi="ar-SA"/>
    </w:rPr>
  </w:style>
  <w:style w:type="character" w:customStyle="1" w:styleId="59">
    <w:name w:val="标题 1 Char"/>
    <w:basedOn w:val="53"/>
    <w:link w:val="2"/>
    <w:qFormat/>
    <w:uiPriority w:val="0"/>
    <w:rPr>
      <w:rFonts w:ascii="Times New Roman" w:hAnsi="Times New Roman" w:eastAsia="宋体" w:cs="Times New Roman"/>
      <w:b/>
      <w:bCs/>
      <w:kern w:val="44"/>
      <w:sz w:val="30"/>
      <w:szCs w:val="44"/>
      <w:lang w:val="en-US" w:eastAsia="zh-CN" w:bidi="ar-SA"/>
    </w:rPr>
  </w:style>
  <w:style w:type="character" w:customStyle="1" w:styleId="60">
    <w:name w:val="标题 2 Char"/>
    <w:basedOn w:val="53"/>
    <w:link w:val="3"/>
    <w:qFormat/>
    <w:uiPriority w:val="0"/>
    <w:rPr>
      <w:rFonts w:ascii="Arial" w:hAnsi="Arial" w:eastAsia="宋体" w:cs="Times New Roman"/>
      <w:b/>
      <w:bCs/>
      <w:kern w:val="0"/>
      <w:sz w:val="28"/>
      <w:szCs w:val="32"/>
      <w:lang w:val="en-US" w:eastAsia="zh-CN" w:bidi="ar-SA"/>
    </w:rPr>
  </w:style>
  <w:style w:type="character" w:customStyle="1" w:styleId="61">
    <w:name w:val="标题 3 Char"/>
    <w:basedOn w:val="53"/>
    <w:link w:val="4"/>
    <w:qFormat/>
    <w:uiPriority w:val="0"/>
    <w:rPr>
      <w:rFonts w:ascii="宋体" w:hAnsi="Times New Roman" w:eastAsia="宋体" w:cs="Times New Roman"/>
      <w:b/>
      <w:kern w:val="0"/>
      <w:sz w:val="28"/>
      <w:szCs w:val="20"/>
      <w:lang w:val="en-US" w:eastAsia="zh-CN" w:bidi="ar-SA"/>
    </w:rPr>
  </w:style>
  <w:style w:type="character" w:customStyle="1" w:styleId="62">
    <w:name w:val="标题 4 Char"/>
    <w:basedOn w:val="53"/>
    <w:link w:val="5"/>
    <w:qFormat/>
    <w:uiPriority w:val="0"/>
    <w:rPr>
      <w:rFonts w:ascii="Arial" w:hAnsi="Arial" w:eastAsia="黑体" w:cs="Times New Roman"/>
      <w:b/>
      <w:bCs/>
      <w:kern w:val="0"/>
      <w:sz w:val="28"/>
      <w:szCs w:val="28"/>
      <w:lang w:val="en-US" w:eastAsia="zh-CN" w:bidi="ar-SA"/>
    </w:rPr>
  </w:style>
  <w:style w:type="character" w:customStyle="1" w:styleId="63">
    <w:name w:val="标题 5 Char"/>
    <w:basedOn w:val="53"/>
    <w:link w:val="6"/>
    <w:qFormat/>
    <w:uiPriority w:val="0"/>
    <w:rPr>
      <w:rFonts w:ascii="Times New Roman" w:hAnsi="Times New Roman" w:eastAsia="宋体" w:cs="Times New Roman"/>
      <w:b/>
      <w:bCs/>
      <w:kern w:val="0"/>
      <w:sz w:val="28"/>
      <w:szCs w:val="28"/>
      <w:lang w:val="en-US" w:eastAsia="zh-CN" w:bidi="ar-SA"/>
    </w:rPr>
  </w:style>
  <w:style w:type="character" w:customStyle="1" w:styleId="64">
    <w:name w:val="标题 6 Char"/>
    <w:basedOn w:val="53"/>
    <w:link w:val="7"/>
    <w:qFormat/>
    <w:uiPriority w:val="0"/>
    <w:rPr>
      <w:rFonts w:ascii="Arial" w:hAnsi="Arial" w:eastAsia="黑体" w:cs="Times New Roman"/>
      <w:b/>
      <w:bCs/>
      <w:kern w:val="0"/>
      <w:sz w:val="24"/>
      <w:szCs w:val="24"/>
      <w:lang w:val="en-US" w:eastAsia="zh-CN" w:bidi="ar-SA"/>
    </w:rPr>
  </w:style>
  <w:style w:type="character" w:customStyle="1" w:styleId="65">
    <w:name w:val="标题 7 Char"/>
    <w:basedOn w:val="53"/>
    <w:link w:val="8"/>
    <w:qFormat/>
    <w:uiPriority w:val="0"/>
    <w:rPr>
      <w:rFonts w:ascii="Times New Roman" w:hAnsi="Times New Roman" w:eastAsia="宋体" w:cs="Times New Roman"/>
      <w:b/>
      <w:bCs/>
      <w:kern w:val="0"/>
      <w:sz w:val="24"/>
      <w:szCs w:val="24"/>
      <w:lang w:val="en-US" w:eastAsia="zh-CN" w:bidi="ar-SA"/>
    </w:rPr>
  </w:style>
  <w:style w:type="character" w:customStyle="1" w:styleId="66">
    <w:name w:val="标题 8 Char"/>
    <w:basedOn w:val="53"/>
    <w:link w:val="9"/>
    <w:qFormat/>
    <w:uiPriority w:val="0"/>
    <w:rPr>
      <w:rFonts w:ascii="Arial" w:hAnsi="Arial" w:eastAsia="黑体" w:cs="Times New Roman"/>
      <w:kern w:val="0"/>
      <w:sz w:val="24"/>
      <w:szCs w:val="24"/>
      <w:lang w:val="en-US" w:eastAsia="zh-CN" w:bidi="ar-SA"/>
    </w:rPr>
  </w:style>
  <w:style w:type="character" w:customStyle="1" w:styleId="67">
    <w:name w:val="标题 9 Char"/>
    <w:basedOn w:val="53"/>
    <w:link w:val="10"/>
    <w:qFormat/>
    <w:uiPriority w:val="0"/>
    <w:rPr>
      <w:rFonts w:ascii="Arial" w:hAnsi="Arial" w:eastAsia="黑体" w:cs="Times New Roman"/>
      <w:kern w:val="0"/>
      <w:sz w:val="20"/>
      <w:szCs w:val="21"/>
      <w:lang w:val="en-US" w:eastAsia="zh-CN" w:bidi="ar-SA"/>
    </w:rPr>
  </w:style>
  <w:style w:type="character" w:customStyle="1" w:styleId="68">
    <w:name w:val="日期 Char"/>
    <w:link w:val="31"/>
    <w:qFormat/>
    <w:uiPriority w:val="0"/>
    <w:rPr>
      <w:rFonts w:ascii="Times New Roman" w:hAnsi="Times New Roman" w:eastAsia="宋体" w:cs="Times New Roman"/>
      <w:kern w:val="0"/>
      <w:sz w:val="20"/>
      <w:szCs w:val="24"/>
      <w:lang w:val="en-US" w:eastAsia="zh-CN" w:bidi="ar-SA"/>
    </w:rPr>
  </w:style>
  <w:style w:type="character" w:customStyle="1" w:styleId="69">
    <w:name w:val="批注框文本 Char"/>
    <w:link w:val="33"/>
    <w:semiHidden/>
    <w:qFormat/>
    <w:uiPriority w:val="0"/>
    <w:rPr>
      <w:rFonts w:ascii="Times New Roman" w:hAnsi="Times New Roman" w:eastAsia="宋体" w:cs="Times New Roman"/>
      <w:kern w:val="0"/>
      <w:sz w:val="18"/>
      <w:szCs w:val="18"/>
      <w:lang w:val="en-US" w:eastAsia="zh-CN" w:bidi="ar-SA"/>
    </w:rPr>
  </w:style>
  <w:style w:type="character" w:customStyle="1" w:styleId="70">
    <w:name w:val="正文文本 2 Char"/>
    <w:link w:val="43"/>
    <w:qFormat/>
    <w:uiPriority w:val="0"/>
    <w:rPr>
      <w:rFonts w:ascii="Times New Roman" w:hAnsi="Times New Roman" w:eastAsia="宋体" w:cs="Times New Roman"/>
      <w:kern w:val="0"/>
      <w:sz w:val="20"/>
      <w:szCs w:val="24"/>
      <w:lang w:val="en-US" w:eastAsia="zh-CN" w:bidi="ar-SA"/>
    </w:rPr>
  </w:style>
  <w:style w:type="character" w:customStyle="1" w:styleId="71">
    <w:name w:val="文档结构图 Char"/>
    <w:link w:val="18"/>
    <w:qFormat/>
    <w:uiPriority w:val="0"/>
    <w:rPr>
      <w:rFonts w:ascii="Times New Roman" w:hAnsi="Times New Roman" w:eastAsia="宋体" w:cs="Times New Roman"/>
      <w:kern w:val="0"/>
      <w:sz w:val="20"/>
      <w:szCs w:val="24"/>
      <w:lang w:val="en-US" w:eastAsia="zh-CN" w:bidi="ar-SA"/>
    </w:rPr>
  </w:style>
  <w:style w:type="character" w:customStyle="1" w:styleId="72">
    <w:name w:val="font51"/>
    <w:qFormat/>
    <w:uiPriority w:val="0"/>
    <w:rPr>
      <w:rFonts w:hint="default" w:ascii="Times New Roman" w:hAnsi="Times New Roman" w:cs="Times New Roman" w:eastAsiaTheme="minorEastAsia"/>
      <w:b/>
      <w:color w:val="000000"/>
      <w:kern w:val="2"/>
      <w:sz w:val="24"/>
      <w:szCs w:val="24"/>
      <w:u w:val="none"/>
      <w:lang w:val="en-US" w:eastAsia="zh-CN" w:bidi="ar-SA"/>
    </w:rPr>
  </w:style>
  <w:style w:type="character" w:customStyle="1" w:styleId="73">
    <w:name w:val="Char Char"/>
    <w:qFormat/>
    <w:uiPriority w:val="0"/>
    <w:rPr>
      <w:rFonts w:ascii="宋体" w:hAnsi="Courier New" w:eastAsia="宋体" w:cs="Courier New"/>
      <w:kern w:val="2"/>
      <w:sz w:val="21"/>
      <w:szCs w:val="21"/>
      <w:lang w:val="en-US" w:eastAsia="zh-CN" w:bidi="ar-SA"/>
    </w:rPr>
  </w:style>
  <w:style w:type="character" w:customStyle="1" w:styleId="74">
    <w:name w:val="纯文本 Char"/>
    <w:link w:val="29"/>
    <w:qFormat/>
    <w:uiPriority w:val="0"/>
    <w:rPr>
      <w:rFonts w:ascii="宋体" w:hAnsi="Courier New" w:eastAsia="宋体" w:cs="Times New Roman"/>
      <w:kern w:val="0"/>
      <w:sz w:val="20"/>
      <w:szCs w:val="21"/>
      <w:lang w:val="en-US" w:eastAsia="zh-CN" w:bidi="ar-SA"/>
    </w:rPr>
  </w:style>
  <w:style w:type="character" w:customStyle="1" w:styleId="75">
    <w:name w:val="注释文本字符"/>
    <w:semiHidden/>
    <w:qFormat/>
    <w:uiPriority w:val="0"/>
    <w:rPr>
      <w:rFonts w:ascii="Times New Roman" w:hAnsi="Times New Roman" w:eastAsia="宋体" w:cs="Times New Roman"/>
      <w:kern w:val="0"/>
      <w:sz w:val="20"/>
      <w:szCs w:val="24"/>
      <w:lang w:val="en-US" w:eastAsia="zh-CN" w:bidi="ar-SA"/>
    </w:rPr>
  </w:style>
  <w:style w:type="character" w:customStyle="1" w:styleId="76">
    <w:name w:val="Char Char3"/>
    <w:qFormat/>
    <w:uiPriority w:val="0"/>
    <w:rPr>
      <w:rFonts w:eastAsia="宋体" w:asciiTheme="minorHAnsi" w:hAnsiTheme="minorHAnsi" w:cstheme="minorBidi"/>
      <w:kern w:val="2"/>
      <w:sz w:val="18"/>
      <w:szCs w:val="18"/>
      <w:lang w:val="en-US" w:eastAsia="zh-CN" w:bidi="ar-SA"/>
    </w:rPr>
  </w:style>
  <w:style w:type="character" w:customStyle="1" w:styleId="77">
    <w:name w:val="font61"/>
    <w:qFormat/>
    <w:uiPriority w:val="0"/>
    <w:rPr>
      <w:rFonts w:hint="default" w:ascii="Times New Roman" w:hAnsi="Times New Roman" w:cs="Times New Roman" w:eastAsiaTheme="minorEastAsia"/>
      <w:color w:val="000000"/>
      <w:kern w:val="2"/>
      <w:sz w:val="24"/>
      <w:szCs w:val="24"/>
      <w:u w:val="none"/>
      <w:lang w:val="en-US" w:eastAsia="zh-CN" w:bidi="ar-SA"/>
    </w:rPr>
  </w:style>
  <w:style w:type="character" w:customStyle="1" w:styleId="78">
    <w:name w:val="正文首行缩进 2 Char"/>
    <w:link w:val="51"/>
    <w:qFormat/>
    <w:uiPriority w:val="0"/>
    <w:rPr>
      <w:rFonts w:asciiTheme="minorHAnsi" w:hAnsiTheme="minorHAnsi" w:eastAsiaTheme="minorEastAsia" w:cstheme="minorBidi"/>
      <w:kern w:val="2"/>
      <w:sz w:val="24"/>
      <w:szCs w:val="24"/>
      <w:lang w:val="en-US" w:eastAsia="zh-CN" w:bidi="ar-SA"/>
    </w:rPr>
  </w:style>
  <w:style w:type="character" w:customStyle="1" w:styleId="79">
    <w:name w:val="正文文本缩进 Char"/>
    <w:link w:val="22"/>
    <w:qFormat/>
    <w:uiPriority w:val="0"/>
    <w:rPr>
      <w:rFonts w:ascii="宋体" w:hAnsi="宋体" w:eastAsia="宋体" w:cs="Times New Roman"/>
      <w:kern w:val="0"/>
      <w:sz w:val="28"/>
      <w:szCs w:val="28"/>
      <w:lang w:val="en-US" w:eastAsia="zh-CN" w:bidi="ar-SA"/>
    </w:rPr>
  </w:style>
  <w:style w:type="character" w:customStyle="1" w:styleId="80">
    <w:name w:val="font21"/>
    <w:qFormat/>
    <w:uiPriority w:val="0"/>
    <w:rPr>
      <w:rFonts w:hint="default" w:ascii="Times New Roman" w:hAnsi="Times New Roman" w:cs="Times New Roman" w:eastAsiaTheme="minorEastAsia"/>
      <w:color w:val="000000"/>
      <w:kern w:val="2"/>
      <w:sz w:val="24"/>
      <w:szCs w:val="24"/>
      <w:u w:val="none"/>
      <w:vertAlign w:val="superscript"/>
      <w:lang w:val="en-US" w:eastAsia="zh-CN" w:bidi="ar-SA"/>
    </w:rPr>
  </w:style>
  <w:style w:type="character" w:customStyle="1" w:styleId="81">
    <w:name w:val="font71"/>
    <w:qFormat/>
    <w:uiPriority w:val="0"/>
    <w:rPr>
      <w:rFonts w:hint="eastAsia" w:ascii="宋体" w:hAnsi="宋体" w:eastAsia="宋体" w:cs="宋体"/>
      <w:color w:val="000000"/>
      <w:kern w:val="2"/>
      <w:sz w:val="24"/>
      <w:szCs w:val="24"/>
      <w:u w:val="none"/>
      <w:lang w:val="en-US" w:eastAsia="zh-CN" w:bidi="ar-SA"/>
    </w:rPr>
  </w:style>
  <w:style w:type="character" w:customStyle="1" w:styleId="82">
    <w:name w:val="zbggmain style9"/>
    <w:basedOn w:val="53"/>
    <w:qFormat/>
    <w:uiPriority w:val="0"/>
    <w:rPr>
      <w:rFonts w:asciiTheme="minorHAnsi" w:hAnsiTheme="minorHAnsi" w:eastAsiaTheme="minorEastAsia" w:cstheme="minorBidi"/>
      <w:kern w:val="2"/>
      <w:sz w:val="24"/>
      <w:szCs w:val="24"/>
      <w:lang w:val="en-US" w:eastAsia="zh-CN" w:bidi="ar-SA"/>
    </w:rPr>
  </w:style>
  <w:style w:type="character" w:customStyle="1" w:styleId="83">
    <w:name w:val="正文文本 3 Char"/>
    <w:link w:val="20"/>
    <w:qFormat/>
    <w:uiPriority w:val="0"/>
    <w:rPr>
      <w:rFonts w:ascii="Times New Roman" w:hAnsi="Times New Roman" w:eastAsia="宋体" w:cs="Times New Roman"/>
      <w:kern w:val="0"/>
      <w:sz w:val="16"/>
      <w:szCs w:val="16"/>
      <w:lang w:val="en-US" w:eastAsia="zh-CN" w:bidi="ar-SA"/>
    </w:rPr>
  </w:style>
  <w:style w:type="character" w:customStyle="1" w:styleId="84">
    <w:name w:val="px1233"/>
    <w:basedOn w:val="53"/>
    <w:qFormat/>
    <w:uiPriority w:val="0"/>
    <w:rPr>
      <w:rFonts w:asciiTheme="minorHAnsi" w:hAnsiTheme="minorHAnsi" w:eastAsiaTheme="minorEastAsia" w:cstheme="minorBidi"/>
      <w:kern w:val="2"/>
      <w:sz w:val="24"/>
      <w:szCs w:val="24"/>
      <w:lang w:val="en-US" w:eastAsia="zh-CN" w:bidi="ar-SA"/>
    </w:rPr>
  </w:style>
  <w:style w:type="character" w:customStyle="1" w:styleId="85">
    <w:name w:val="font11"/>
    <w:qFormat/>
    <w:uiPriority w:val="0"/>
    <w:rPr>
      <w:rFonts w:hint="default" w:ascii="Times New Roman" w:hAnsi="Times New Roman" w:cs="Times New Roman" w:eastAsiaTheme="minorEastAsia"/>
      <w:color w:val="000000"/>
      <w:kern w:val="2"/>
      <w:sz w:val="21"/>
      <w:szCs w:val="21"/>
      <w:u w:val="none"/>
      <w:lang w:val="en-US" w:eastAsia="zh-CN" w:bidi="ar-SA"/>
    </w:rPr>
  </w:style>
  <w:style w:type="character" w:customStyle="1" w:styleId="86">
    <w:name w:val="页眉 Char"/>
    <w:link w:val="35"/>
    <w:qFormat/>
    <w:uiPriority w:val="0"/>
    <w:rPr>
      <w:rFonts w:ascii="Times New Roman" w:hAnsi="Times New Roman" w:eastAsia="宋体" w:cs="Times New Roman"/>
      <w:kern w:val="0"/>
      <w:sz w:val="18"/>
      <w:szCs w:val="20"/>
      <w:lang w:val="en-US" w:eastAsia="zh-CN" w:bidi="ar-SA"/>
    </w:rPr>
  </w:style>
  <w:style w:type="character" w:customStyle="1" w:styleId="87">
    <w:name w:val="页脚 Char"/>
    <w:link w:val="34"/>
    <w:uiPriority w:val="99"/>
    <w:rPr>
      <w:rFonts w:ascii="Times New Roman" w:hAnsi="Times New Roman" w:eastAsia="宋体" w:cs="Times New Roman"/>
      <w:kern w:val="0"/>
      <w:sz w:val="18"/>
      <w:szCs w:val="20"/>
      <w:lang w:val="en-US" w:eastAsia="zh-CN" w:bidi="ar-SA"/>
    </w:rPr>
  </w:style>
  <w:style w:type="character" w:customStyle="1" w:styleId="88">
    <w:name w:val="font41"/>
    <w:qFormat/>
    <w:uiPriority w:val="0"/>
    <w:rPr>
      <w:rFonts w:hint="eastAsia" w:ascii="宋体" w:hAnsi="宋体" w:eastAsia="宋体" w:cs="宋体"/>
      <w:b/>
      <w:color w:val="000000"/>
      <w:kern w:val="2"/>
      <w:sz w:val="24"/>
      <w:szCs w:val="24"/>
      <w:u w:val="none"/>
      <w:lang w:val="en-US" w:eastAsia="zh-CN" w:bidi="ar-SA"/>
    </w:rPr>
  </w:style>
  <w:style w:type="character" w:customStyle="1" w:styleId="89">
    <w:name w:val="正文文本缩进 3 Char"/>
    <w:link w:val="40"/>
    <w:qFormat/>
    <w:uiPriority w:val="0"/>
    <w:rPr>
      <w:rFonts w:ascii="Times New Roman" w:hAnsi="Times New Roman" w:eastAsia="宋体" w:cs="Times New Roman"/>
      <w:kern w:val="0"/>
      <w:sz w:val="16"/>
      <w:szCs w:val="16"/>
      <w:lang w:val="en-US" w:eastAsia="zh-CN" w:bidi="ar-SA"/>
    </w:rPr>
  </w:style>
  <w:style w:type="character" w:customStyle="1" w:styleId="90">
    <w:name w:val="正文首行缩进 Char"/>
    <w:basedOn w:val="91"/>
    <w:link w:val="50"/>
    <w:qFormat/>
    <w:uiPriority w:val="0"/>
    <w:rPr>
      <w:rFonts w:ascii="Times New Roman" w:hAnsi="Times New Roman" w:eastAsia="宋体" w:cs="Times New Roman"/>
      <w:kern w:val="0"/>
      <w:sz w:val="20"/>
    </w:rPr>
  </w:style>
  <w:style w:type="character" w:customStyle="1" w:styleId="91">
    <w:name w:val="正文文本字符"/>
    <w:qFormat/>
    <w:uiPriority w:val="0"/>
    <w:rPr>
      <w:rFonts w:ascii="Times New Roman" w:hAnsi="Times New Roman" w:eastAsia="宋体" w:cs="Times New Roman"/>
      <w:kern w:val="0"/>
      <w:sz w:val="20"/>
      <w:szCs w:val="24"/>
      <w:lang w:val="en-US" w:eastAsia="zh-CN" w:bidi="ar-SA"/>
    </w:rPr>
  </w:style>
  <w:style w:type="character" w:customStyle="1" w:styleId="92">
    <w:name w:val="Char Char2"/>
    <w:qFormat/>
    <w:uiPriority w:val="0"/>
    <w:rPr>
      <w:rFonts w:eastAsia="宋体" w:asciiTheme="minorHAnsi" w:hAnsiTheme="minorHAnsi" w:cstheme="minorBidi"/>
      <w:kern w:val="2"/>
      <w:sz w:val="18"/>
      <w:szCs w:val="18"/>
      <w:lang w:val="en-US" w:eastAsia="zh-CN" w:bidi="ar-SA"/>
    </w:rPr>
  </w:style>
  <w:style w:type="character" w:customStyle="1" w:styleId="93">
    <w:name w:val="font01"/>
    <w:qFormat/>
    <w:uiPriority w:val="0"/>
    <w:rPr>
      <w:rFonts w:hint="eastAsia" w:ascii="宋体" w:hAnsi="宋体" w:eastAsia="宋体" w:cs="宋体"/>
      <w:color w:val="000000"/>
      <w:kern w:val="2"/>
      <w:sz w:val="21"/>
      <w:szCs w:val="21"/>
      <w:u w:val="none"/>
      <w:lang w:val="en-US" w:eastAsia="zh-CN" w:bidi="ar-SA"/>
    </w:rPr>
  </w:style>
  <w:style w:type="character" w:customStyle="1" w:styleId="94">
    <w:name w:val="正文文本缩进 2 Char"/>
    <w:link w:val="32"/>
    <w:uiPriority w:val="0"/>
    <w:rPr>
      <w:rFonts w:ascii="Times New Roman" w:hAnsi="Times New Roman" w:eastAsia="宋体" w:cs="Times New Roman"/>
      <w:kern w:val="0"/>
      <w:sz w:val="20"/>
      <w:szCs w:val="24"/>
      <w:lang w:val="en-US" w:eastAsia="zh-CN" w:bidi="ar-SA"/>
    </w:rPr>
  </w:style>
  <w:style w:type="character" w:customStyle="1" w:styleId="95">
    <w:name w:val="批注主题 Char"/>
    <w:link w:val="49"/>
    <w:semiHidden/>
    <w:qFormat/>
    <w:uiPriority w:val="0"/>
    <w:rPr>
      <w:rFonts w:ascii="Times New Roman" w:hAnsi="Times New Roman" w:eastAsia="宋体" w:cs="Times New Roman"/>
      <w:b/>
      <w:bCs/>
      <w:kern w:val="0"/>
      <w:sz w:val="20"/>
      <w:szCs w:val="24"/>
      <w:lang w:val="en-US" w:eastAsia="zh-CN" w:bidi="ar-SA"/>
    </w:rPr>
  </w:style>
  <w:style w:type="character" w:customStyle="1" w:styleId="96">
    <w:name w:val="标题 Char"/>
    <w:link w:val="48"/>
    <w:uiPriority w:val="0"/>
    <w:rPr>
      <w:rFonts w:ascii="Cambria" w:hAnsi="Cambria" w:eastAsia="黑体" w:cs="Times New Roman"/>
      <w:b/>
      <w:bCs/>
      <w:kern w:val="0"/>
      <w:sz w:val="32"/>
      <w:szCs w:val="32"/>
      <w:lang w:val="en-US" w:eastAsia="zh-CN" w:bidi="ar-SA"/>
    </w:rPr>
  </w:style>
  <w:style w:type="paragraph" w:customStyle="1" w:styleId="97">
    <w:name w:val="样式1"/>
    <w:basedOn w:val="5"/>
    <w:qFormat/>
    <w:uiPriority w:val="0"/>
    <w:pPr>
      <w:tabs>
        <w:tab w:val="left" w:pos="864"/>
      </w:tabs>
      <w:spacing w:before="120" w:after="120" w:line="360" w:lineRule="auto"/>
      <w:ind w:left="864" w:hanging="864"/>
    </w:pPr>
    <w:rPr>
      <w:b w:val="0"/>
      <w:bCs w:val="0"/>
    </w:rPr>
  </w:style>
  <w:style w:type="paragraph" w:customStyle="1" w:styleId="98">
    <w:name w:val="Char Char Char1 Char Char Char Char"/>
    <w:basedOn w:val="1"/>
    <w:uiPriority w:val="0"/>
    <w:rPr>
      <w:rFonts w:ascii="Times New Roman" w:hAnsi="Times New Roman" w:eastAsia="宋体" w:cs="Times New Roman"/>
      <w:sz w:val="21"/>
    </w:rPr>
  </w:style>
  <w:style w:type="paragraph" w:customStyle="1" w:styleId="99">
    <w:name w:val="Char Char Char Char Char Char"/>
    <w:basedOn w:val="1"/>
    <w:uiPriority w:val="0"/>
    <w:rPr>
      <w:rFonts w:ascii="Times New Roman" w:hAnsi="Times New Roman" w:eastAsia="宋体" w:cs="Times New Roman"/>
      <w:sz w:val="21"/>
    </w:rPr>
  </w:style>
  <w:style w:type="character" w:customStyle="1" w:styleId="100">
    <w:name w:val="批注框文本字符1"/>
    <w:basedOn w:val="53"/>
    <w:semiHidden/>
    <w:qFormat/>
    <w:uiPriority w:val="99"/>
    <w:rPr>
      <w:rFonts w:ascii="Heiti SC Light" w:eastAsia="Heiti SC Light" w:hAnsiTheme="minorHAnsi" w:cstheme="minorBidi"/>
      <w:kern w:val="2"/>
      <w:sz w:val="18"/>
      <w:szCs w:val="18"/>
      <w:lang w:val="en-US" w:eastAsia="zh-CN" w:bidi="ar-SA"/>
    </w:rPr>
  </w:style>
  <w:style w:type="character" w:customStyle="1" w:styleId="101">
    <w:name w:val="日期字符1"/>
    <w:basedOn w:val="53"/>
    <w:semiHidden/>
    <w:qFormat/>
    <w:uiPriority w:val="99"/>
    <w:rPr>
      <w:rFonts w:asciiTheme="minorHAnsi" w:hAnsiTheme="minorHAnsi" w:eastAsiaTheme="minorEastAsia" w:cstheme="minorBidi"/>
      <w:kern w:val="2"/>
      <w:sz w:val="24"/>
      <w:szCs w:val="24"/>
      <w:lang w:val="en-US" w:eastAsia="zh-CN" w:bidi="ar-SA"/>
    </w:rPr>
  </w:style>
  <w:style w:type="character" w:customStyle="1" w:styleId="102">
    <w:name w:val="纯文本字符1"/>
    <w:basedOn w:val="53"/>
    <w:semiHidden/>
    <w:qFormat/>
    <w:uiPriority w:val="99"/>
    <w:rPr>
      <w:rFonts w:ascii="宋体" w:hAnsi="Courier" w:eastAsia="宋体" w:cstheme="minorBidi"/>
      <w:kern w:val="2"/>
      <w:sz w:val="24"/>
      <w:szCs w:val="24"/>
      <w:lang w:val="en-US" w:eastAsia="zh-CN" w:bidi="ar-SA"/>
    </w:rPr>
  </w:style>
  <w:style w:type="character" w:customStyle="1" w:styleId="103">
    <w:name w:val="批注文字 Char"/>
    <w:basedOn w:val="53"/>
    <w:link w:val="19"/>
    <w:uiPriority w:val="99"/>
    <w:rPr>
      <w:rFonts w:asciiTheme="minorHAnsi" w:hAnsiTheme="minorHAnsi" w:eastAsiaTheme="minorEastAsia" w:cstheme="minorBidi"/>
      <w:kern w:val="2"/>
      <w:sz w:val="24"/>
      <w:szCs w:val="24"/>
      <w:lang w:val="en-US" w:eastAsia="zh-CN" w:bidi="ar-SA"/>
    </w:rPr>
  </w:style>
  <w:style w:type="character" w:customStyle="1" w:styleId="104">
    <w:name w:val="批注主题字符1"/>
    <w:basedOn w:val="103"/>
    <w:semiHidden/>
    <w:qFormat/>
    <w:uiPriority w:val="99"/>
    <w:rPr>
      <w:b/>
      <w:bCs/>
    </w:rPr>
  </w:style>
  <w:style w:type="paragraph" w:customStyle="1" w:styleId="105">
    <w:name w:val="Char Char Char Char"/>
    <w:basedOn w:val="1"/>
    <w:qFormat/>
    <w:uiPriority w:val="0"/>
    <w:rPr>
      <w:rFonts w:ascii="Times New Roman" w:hAnsi="Times New Roman" w:eastAsia="宋体" w:cs="Times New Roman"/>
      <w:sz w:val="21"/>
    </w:rPr>
  </w:style>
  <w:style w:type="character" w:customStyle="1" w:styleId="106">
    <w:name w:val="正文文本 Char"/>
    <w:basedOn w:val="53"/>
    <w:link w:val="21"/>
    <w:semiHidden/>
    <w:uiPriority w:val="99"/>
    <w:rPr>
      <w:rFonts w:asciiTheme="minorHAnsi" w:hAnsiTheme="minorHAnsi" w:eastAsiaTheme="minorEastAsia" w:cstheme="minorBidi"/>
      <w:kern w:val="2"/>
      <w:sz w:val="24"/>
      <w:szCs w:val="24"/>
      <w:lang w:val="en-US" w:eastAsia="zh-CN" w:bidi="ar-SA"/>
    </w:rPr>
  </w:style>
  <w:style w:type="character" w:customStyle="1" w:styleId="107">
    <w:name w:val="正文首行缩进字符1"/>
    <w:basedOn w:val="106"/>
    <w:semiHidden/>
    <w:uiPriority w:val="99"/>
  </w:style>
  <w:style w:type="character" w:customStyle="1" w:styleId="108">
    <w:name w:val="正文文本缩进 3字符1"/>
    <w:basedOn w:val="53"/>
    <w:semiHidden/>
    <w:uiPriority w:val="99"/>
    <w:rPr>
      <w:rFonts w:asciiTheme="minorHAnsi" w:hAnsiTheme="minorHAnsi" w:eastAsiaTheme="minorEastAsia" w:cstheme="minorBidi"/>
      <w:kern w:val="2"/>
      <w:sz w:val="16"/>
      <w:szCs w:val="16"/>
      <w:lang w:val="en-US" w:eastAsia="zh-CN" w:bidi="ar-SA"/>
    </w:rPr>
  </w:style>
  <w:style w:type="paragraph" w:customStyle="1" w:styleId="109">
    <w:name w:val="p0"/>
    <w:basedOn w:val="1"/>
    <w:qFormat/>
    <w:uiPriority w:val="0"/>
    <w:pPr>
      <w:widowControl/>
    </w:pPr>
    <w:rPr>
      <w:rFonts w:ascii="Times New Roman" w:hAnsi="Times New Roman" w:eastAsia="宋体" w:cs="Times New Roman"/>
      <w:kern w:val="0"/>
      <w:sz w:val="21"/>
      <w:szCs w:val="21"/>
    </w:rPr>
  </w:style>
  <w:style w:type="character" w:customStyle="1" w:styleId="110">
    <w:name w:val="文档结构图 字符1"/>
    <w:basedOn w:val="53"/>
    <w:semiHidden/>
    <w:qFormat/>
    <w:uiPriority w:val="99"/>
    <w:rPr>
      <w:rFonts w:ascii="Heiti SC Light" w:eastAsia="Heiti SC Light" w:hAnsiTheme="minorHAnsi" w:cstheme="minorBidi"/>
      <w:kern w:val="2"/>
      <w:sz w:val="24"/>
      <w:szCs w:val="24"/>
      <w:lang w:val="en-US" w:eastAsia="zh-CN" w:bidi="ar-SA"/>
    </w:rPr>
  </w:style>
  <w:style w:type="character" w:customStyle="1" w:styleId="111">
    <w:name w:val="正文文本 3字符1"/>
    <w:basedOn w:val="53"/>
    <w:semiHidden/>
    <w:uiPriority w:val="99"/>
    <w:rPr>
      <w:rFonts w:asciiTheme="minorHAnsi" w:hAnsiTheme="minorHAnsi" w:eastAsiaTheme="minorEastAsia" w:cstheme="minorBidi"/>
      <w:kern w:val="2"/>
      <w:sz w:val="16"/>
      <w:szCs w:val="16"/>
      <w:lang w:val="en-US" w:eastAsia="zh-CN" w:bidi="ar-SA"/>
    </w:rPr>
  </w:style>
  <w:style w:type="character" w:customStyle="1" w:styleId="112">
    <w:name w:val="正文文本缩进字符1"/>
    <w:basedOn w:val="53"/>
    <w:semiHidden/>
    <w:qFormat/>
    <w:uiPriority w:val="99"/>
    <w:rPr>
      <w:rFonts w:asciiTheme="minorHAnsi" w:hAnsiTheme="minorHAnsi" w:eastAsiaTheme="minorEastAsia" w:cstheme="minorBidi"/>
      <w:kern w:val="2"/>
      <w:sz w:val="24"/>
      <w:szCs w:val="24"/>
      <w:lang w:val="en-US" w:eastAsia="zh-CN" w:bidi="ar-SA"/>
    </w:rPr>
  </w:style>
  <w:style w:type="character" w:customStyle="1" w:styleId="113">
    <w:name w:val="正文文本缩进 2字符1"/>
    <w:basedOn w:val="53"/>
    <w:semiHidden/>
    <w:qFormat/>
    <w:uiPriority w:val="99"/>
    <w:rPr>
      <w:rFonts w:asciiTheme="minorHAnsi" w:hAnsiTheme="minorHAnsi" w:eastAsiaTheme="minorEastAsia" w:cstheme="minorBidi"/>
      <w:kern w:val="2"/>
      <w:sz w:val="24"/>
      <w:szCs w:val="24"/>
      <w:lang w:val="en-US" w:eastAsia="zh-CN" w:bidi="ar-SA"/>
    </w:rPr>
  </w:style>
  <w:style w:type="paragraph" w:customStyle="1" w:styleId="114">
    <w:name w:val="Legal 3"/>
    <w:basedOn w:val="115"/>
    <w:next w:val="115"/>
    <w:qFormat/>
    <w:uiPriority w:val="0"/>
    <w:pPr>
      <w:spacing w:after="120"/>
    </w:pPr>
    <w:rPr>
      <w:rFonts w:cs="Times New Roman"/>
      <w:color w:val="auto"/>
    </w:rPr>
  </w:style>
  <w:style w:type="paragraph" w:customStyle="1" w:styleId="115">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116">
    <w:name w:val="页脚字符1"/>
    <w:basedOn w:val="53"/>
    <w:semiHidden/>
    <w:qFormat/>
    <w:uiPriority w:val="99"/>
    <w:rPr>
      <w:rFonts w:asciiTheme="minorHAnsi" w:hAnsiTheme="minorHAnsi" w:eastAsiaTheme="minorEastAsia" w:cstheme="minorBidi"/>
      <w:kern w:val="2"/>
      <w:sz w:val="18"/>
      <w:szCs w:val="18"/>
      <w:lang w:val="en-US" w:eastAsia="zh-CN" w:bidi="ar-SA"/>
    </w:rPr>
  </w:style>
  <w:style w:type="character" w:customStyle="1" w:styleId="117">
    <w:name w:val="正文首行缩进 2字符1"/>
    <w:basedOn w:val="112"/>
    <w:semiHidden/>
    <w:qFormat/>
    <w:uiPriority w:val="99"/>
  </w:style>
  <w:style w:type="character" w:customStyle="1" w:styleId="118">
    <w:name w:val="页眉字符1"/>
    <w:basedOn w:val="53"/>
    <w:semiHidden/>
    <w:qFormat/>
    <w:uiPriority w:val="99"/>
    <w:rPr>
      <w:rFonts w:asciiTheme="minorHAnsi" w:hAnsiTheme="minorHAnsi" w:eastAsiaTheme="minorEastAsia" w:cstheme="minorBidi"/>
      <w:kern w:val="2"/>
      <w:sz w:val="18"/>
      <w:szCs w:val="18"/>
      <w:lang w:val="en-US" w:eastAsia="zh-CN" w:bidi="ar-SA"/>
    </w:rPr>
  </w:style>
  <w:style w:type="character" w:customStyle="1" w:styleId="119">
    <w:name w:val="正文文本 2字符1"/>
    <w:basedOn w:val="53"/>
    <w:semiHidden/>
    <w:qFormat/>
    <w:uiPriority w:val="99"/>
    <w:rPr>
      <w:rFonts w:asciiTheme="minorHAnsi" w:hAnsiTheme="minorHAnsi" w:eastAsiaTheme="minorEastAsia" w:cstheme="minorBidi"/>
      <w:kern w:val="2"/>
      <w:sz w:val="24"/>
      <w:szCs w:val="24"/>
      <w:lang w:val="en-US" w:eastAsia="zh-CN" w:bidi="ar-SA"/>
    </w:rPr>
  </w:style>
  <w:style w:type="character" w:customStyle="1" w:styleId="120">
    <w:name w:val="标题字符1"/>
    <w:basedOn w:val="53"/>
    <w:qFormat/>
    <w:uiPriority w:val="10"/>
    <w:rPr>
      <w:rFonts w:eastAsia="宋体" w:asciiTheme="majorHAnsi" w:hAnsiTheme="majorHAnsi" w:cstheme="majorBidi"/>
      <w:b/>
      <w:bCs/>
      <w:kern w:val="2"/>
      <w:sz w:val="32"/>
      <w:szCs w:val="32"/>
      <w:lang w:val="en-US" w:eastAsia="zh-CN" w:bidi="ar-SA"/>
    </w:rPr>
  </w:style>
  <w:style w:type="paragraph" w:customStyle="1" w:styleId="121">
    <w:name w:val="列出段落1"/>
    <w:basedOn w:val="1"/>
    <w:unhideWhenUsed/>
    <w:qFormat/>
    <w:uiPriority w:val="99"/>
    <w:pPr>
      <w:ind w:firstLine="420" w:firstLineChars="200"/>
    </w:pPr>
    <w:rPr>
      <w:rFonts w:ascii="Calibri" w:hAnsi="Calibri" w:eastAsia="宋体" w:cs="Times New Roman"/>
      <w:sz w:val="21"/>
      <w:szCs w:val="22"/>
    </w:rPr>
  </w:style>
  <w:style w:type="paragraph" w:customStyle="1" w:styleId="122">
    <w:name w:val="图表标题"/>
    <w:basedOn w:val="1"/>
    <w:next w:val="21"/>
    <w:qFormat/>
    <w:uiPriority w:val="0"/>
    <w:rPr>
      <w:rFonts w:ascii="Times New Roman" w:hAnsi="Times New Roman" w:eastAsia="宋体" w:cs="Times New Roman"/>
      <w:sz w:val="30"/>
      <w:szCs w:val="20"/>
    </w:rPr>
  </w:style>
  <w:style w:type="paragraph" w:customStyle="1" w:styleId="123">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 w:val="21"/>
      <w:szCs w:val="20"/>
    </w:rPr>
  </w:style>
  <w:style w:type="paragraph" w:customStyle="1" w:styleId="124">
    <w:name w:val="Char"/>
    <w:basedOn w:val="1"/>
    <w:qFormat/>
    <w:uiPriority w:val="0"/>
    <w:rPr>
      <w:rFonts w:ascii="仿宋_GB2312" w:hAnsi="Times New Roman" w:eastAsia="仿宋_GB2312" w:cs="Times New Roman"/>
      <w:b/>
      <w:sz w:val="32"/>
      <w:szCs w:val="32"/>
    </w:rPr>
  </w:style>
  <w:style w:type="paragraph" w:customStyle="1" w:styleId="125">
    <w:name w:val="Char4 Char Char Char"/>
    <w:basedOn w:val="18"/>
    <w:qFormat/>
    <w:uiPriority w:val="0"/>
    <w:rPr>
      <w:rFonts w:ascii="Tahoma" w:hAnsi="Tahoma"/>
      <w:sz w:val="24"/>
    </w:rPr>
  </w:style>
  <w:style w:type="paragraph" w:customStyle="1" w:styleId="126">
    <w:name w:val="表内文字"/>
    <w:basedOn w:val="1"/>
    <w:qFormat/>
    <w:uiPriority w:val="0"/>
    <w:pPr>
      <w:widowControl/>
      <w:ind w:firstLine="120" w:firstLineChars="50"/>
    </w:pPr>
    <w:rPr>
      <w:rFonts w:ascii="宋体" w:hAnsi="宋体" w:eastAsia="宋体" w:cs="Times New Roman"/>
      <w:szCs w:val="20"/>
    </w:rPr>
  </w:style>
  <w:style w:type="paragraph" w:customStyle="1" w:styleId="127">
    <w:name w:val="Char Char Char"/>
    <w:basedOn w:val="1"/>
    <w:uiPriority w:val="0"/>
    <w:pPr>
      <w:ind w:firstLine="360" w:firstLineChars="150"/>
    </w:pPr>
    <w:rPr>
      <w:rFonts w:ascii="Tahoma" w:hAnsi="Tahoma" w:eastAsia="宋体" w:cs="Times New Roman"/>
      <w:szCs w:val="20"/>
    </w:rPr>
  </w:style>
  <w:style w:type="paragraph" w:customStyle="1" w:styleId="128">
    <w:name w:val="样式 样式1 + 首行缩进:  2 字符"/>
    <w:basedOn w:val="1"/>
    <w:uiPriority w:val="0"/>
    <w:pPr>
      <w:spacing w:line="360" w:lineRule="exact"/>
      <w:ind w:firstLine="420" w:firstLineChars="200"/>
    </w:pPr>
    <w:rPr>
      <w:rFonts w:ascii="Arial" w:hAnsi="Arial" w:eastAsia="宋体" w:cs="Times New Roman"/>
      <w:sz w:val="21"/>
      <w:szCs w:val="20"/>
    </w:rPr>
  </w:style>
  <w:style w:type="paragraph" w:customStyle="1" w:styleId="129">
    <w:name w:val="legal 2"/>
    <w:basedOn w:val="115"/>
    <w:next w:val="115"/>
    <w:qFormat/>
    <w:uiPriority w:val="0"/>
    <w:pPr>
      <w:spacing w:after="120"/>
    </w:pPr>
    <w:rPr>
      <w:rFonts w:cs="Times New Roman"/>
      <w:color w:val="auto"/>
    </w:rPr>
  </w:style>
  <w:style w:type="paragraph" w:customStyle="1" w:styleId="130">
    <w:name w:val="列表延续"/>
    <w:basedOn w:val="1"/>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31">
    <w:name w:val="Legal 5"/>
    <w:basedOn w:val="115"/>
    <w:next w:val="115"/>
    <w:uiPriority w:val="0"/>
    <w:pPr>
      <w:spacing w:after="120"/>
    </w:pPr>
    <w:rPr>
      <w:rFonts w:cs="Times New Roman"/>
      <w:color w:val="auto"/>
    </w:rPr>
  </w:style>
  <w:style w:type="paragraph" w:customStyle="1" w:styleId="132">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
    <w:name w:val="Legal 4"/>
    <w:basedOn w:val="115"/>
    <w:next w:val="115"/>
    <w:qFormat/>
    <w:uiPriority w:val="0"/>
    <w:pPr>
      <w:spacing w:after="120"/>
    </w:pPr>
    <w:rPr>
      <w:rFonts w:cs="Times New Roman"/>
      <w:color w:val="auto"/>
    </w:rPr>
  </w:style>
  <w:style w:type="paragraph" w:customStyle="1" w:styleId="134">
    <w:name w:val="_Style 41"/>
    <w:next w:val="1"/>
    <w:uiPriority w:val="0"/>
    <w:pPr>
      <w:widowControl w:val="0"/>
      <w:jc w:val="both"/>
    </w:pPr>
    <w:rPr>
      <w:rFonts w:ascii="Calibri" w:hAnsi="Calibri" w:eastAsia="宋体" w:cs="Times New Roman"/>
      <w:kern w:val="2"/>
      <w:sz w:val="21"/>
      <w:szCs w:val="22"/>
      <w:lang w:val="en-US" w:eastAsia="zh-CN" w:bidi="ar-SA"/>
    </w:rPr>
  </w:style>
  <w:style w:type="paragraph" w:customStyle="1" w:styleId="135">
    <w:name w:val="正文文字3"/>
    <w:basedOn w:val="21"/>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36">
    <w:name w:val="1"/>
    <w:basedOn w:val="1"/>
    <w:qFormat/>
    <w:uiPriority w:val="0"/>
    <w:rPr>
      <w:rFonts w:ascii="仿宋_GB2312" w:hAnsi="Times New Roman" w:eastAsia="仿宋_GB2312" w:cs="Times New Roman"/>
      <w:b/>
      <w:sz w:val="32"/>
      <w:szCs w:val="32"/>
    </w:rPr>
  </w:style>
  <w:style w:type="paragraph" w:customStyle="1" w:styleId="137">
    <w:name w:val="TOC Heading"/>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8">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39">
    <w:name w:val="子项位"/>
    <w:basedOn w:val="1"/>
    <w:uiPriority w:val="0"/>
    <w:pPr>
      <w:tabs>
        <w:tab w:val="left" w:pos="1531"/>
      </w:tabs>
      <w:adjustRightInd w:val="0"/>
      <w:snapToGrid w:val="0"/>
      <w:spacing w:before="120"/>
      <w:ind w:left="1531" w:hanging="397"/>
      <w:jc w:val="left"/>
      <w:textAlignment w:val="baseline"/>
    </w:pPr>
    <w:rPr>
      <w:rFonts w:ascii="Times New Roman" w:hAnsi="Times New Roman" w:eastAsia="宋体" w:cs="Times New Roman"/>
      <w:kern w:val="0"/>
      <w:sz w:val="28"/>
      <w:szCs w:val="20"/>
    </w:rPr>
  </w:style>
  <w:style w:type="paragraph" w:customStyle="1" w:styleId="140">
    <w:name w:val="正文1"/>
    <w:qFormat/>
    <w:uiPriority w:val="0"/>
    <w:pPr>
      <w:widowControl w:val="0"/>
      <w:adjustRightInd w:val="0"/>
      <w:spacing w:line="240" w:lineRule="atLeast"/>
      <w:jc w:val="both"/>
      <w:textAlignment w:val="baseline"/>
    </w:pPr>
    <w:rPr>
      <w:rFonts w:ascii="宋体" w:hAnsi="Times New Roman" w:eastAsia="宋体" w:cs="Times New Roman"/>
      <w:kern w:val="0"/>
      <w:sz w:val="34"/>
      <w:szCs w:val="20"/>
      <w:lang w:val="en-US" w:eastAsia="zh-CN" w:bidi="ar-SA"/>
    </w:rPr>
  </w:style>
  <w:style w:type="character" w:customStyle="1" w:styleId="141">
    <w:name w:val="正文缩进 Char"/>
    <w:link w:val="14"/>
    <w:qFormat/>
    <w:locked/>
    <w:uiPriority w:val="0"/>
    <w:rPr>
      <w:rFonts w:ascii="Times New Roman" w:hAnsi="Times New Roman" w:eastAsia="宋体" w:cs="Times New Roman"/>
      <w:kern w:val="2"/>
      <w:sz w:val="21"/>
      <w:szCs w:val="20"/>
      <w:lang w:val="en-US" w:eastAsia="zh-CN" w:bidi="ar-SA"/>
    </w:rPr>
  </w:style>
  <w:style w:type="paragraph" w:customStyle="1" w:styleId="142">
    <w:name w:val="List Paragraph"/>
    <w:basedOn w:val="1"/>
    <w:qFormat/>
    <w:uiPriority w:val="34"/>
    <w:pPr>
      <w:ind w:firstLine="420" w:firstLineChars="200"/>
    </w:pPr>
    <w:rPr>
      <w:sz w:val="21"/>
      <w:szCs w:val="22"/>
    </w:rPr>
  </w:style>
  <w:style w:type="character" w:customStyle="1" w:styleId="143">
    <w:name w:val="小正文 Char"/>
    <w:link w:val="144"/>
    <w:qFormat/>
    <w:uiPriority w:val="0"/>
    <w:rPr>
      <w:rFonts w:ascii="仿宋_GB2312" w:hAnsi="宋体" w:eastAsia="仿宋_GB2312" w:cs="Times New Roman"/>
      <w:kern w:val="0"/>
      <w:sz w:val="28"/>
      <w:szCs w:val="28"/>
      <w:lang w:val="en-US" w:eastAsia="zh-CN" w:bidi="ar-SA"/>
    </w:rPr>
  </w:style>
  <w:style w:type="paragraph" w:customStyle="1" w:styleId="144">
    <w:name w:val="小正文"/>
    <w:basedOn w:val="1"/>
    <w:link w:val="143"/>
    <w:qFormat/>
    <w:uiPriority w:val="0"/>
    <w:pPr>
      <w:spacing w:line="560" w:lineRule="exact"/>
      <w:ind w:firstLine="560" w:firstLineChars="200"/>
      <w:jc w:val="left"/>
    </w:pPr>
    <w:rPr>
      <w:rFonts w:ascii="仿宋_GB2312" w:hAnsi="宋体" w:eastAsia="仿宋_GB2312" w:cs="Times New Roman"/>
      <w:kern w:val="0"/>
      <w:sz w:val="28"/>
      <w:szCs w:val="28"/>
    </w:rPr>
  </w:style>
  <w:style w:type="paragraph" w:customStyle="1" w:styleId="145">
    <w:name w:val="正文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zcmec</Company>
  <Pages>55</Pages>
  <Words>5280</Words>
  <Characters>30096</Characters>
  <Lines>250</Lines>
  <Paragraphs>70</Paragraphs>
  <TotalTime>16</TotalTime>
  <ScaleCrop>false</ScaleCrop>
  <LinksUpToDate>false</LinksUpToDate>
  <CharactersWithSpaces>35306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2016-05-04T05:11:00Z</dcterms:created>
  <dc:creator>y z</dc:creator>
  <cp:lastModifiedBy>贾思勰</cp:lastModifiedBy>
  <cp:lastPrinted>2019-02-14T05:46:00Z</cp:lastPrinted>
  <dcterms:modified xsi:type="dcterms:W3CDTF">2019-08-09T05:52:45Z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