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u w:val="single"/>
        </w:rPr>
        <w:t>主力泡沫消防车</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- 5 -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- 29 -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- 40 -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杭州萧山国际机场主力泡沫消防车采购项目进行公开招标，本招标文件中“主力泡沫消防车”是指：专门为机场航空器消防救援设计和生产的、符合《民用航空运输机场消防站消防装备配备》（MH/T7002-2006）4.1.2条性能要求的消防车辆。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 </w:t>
      </w:r>
    </w:p>
    <w:tbl>
      <w:tblPr>
        <w:tblStyle w:val="52"/>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851"/>
        <w:gridCol w:w="2835"/>
        <w:gridCol w:w="275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68" w:type="dxa"/>
            <w:vAlign w:val="center"/>
          </w:tcPr>
          <w:p>
            <w:pPr>
              <w:adjustRightInd w:val="0"/>
              <w:snapToGrid w:val="0"/>
              <w:jc w:val="center"/>
              <w:rPr>
                <w:rFonts w:ascii="宋体" w:hAnsi="宋体"/>
                <w:caps/>
                <w:sz w:val="22"/>
              </w:rPr>
            </w:pPr>
            <w:r>
              <w:rPr>
                <w:rFonts w:ascii="宋体" w:hAnsi="宋体"/>
                <w:caps/>
                <w:sz w:val="22"/>
              </w:rPr>
              <w:t>货物名称</w:t>
            </w:r>
          </w:p>
        </w:tc>
        <w:tc>
          <w:tcPr>
            <w:tcW w:w="851" w:type="dxa"/>
            <w:vAlign w:val="center"/>
          </w:tcPr>
          <w:p>
            <w:pPr>
              <w:adjustRightInd w:val="0"/>
              <w:snapToGrid w:val="0"/>
              <w:jc w:val="center"/>
              <w:rPr>
                <w:rFonts w:ascii="宋体" w:hAnsi="宋体"/>
                <w:caps/>
                <w:sz w:val="22"/>
              </w:rPr>
            </w:pPr>
            <w:r>
              <w:rPr>
                <w:rFonts w:ascii="宋体" w:hAnsi="宋体"/>
                <w:caps/>
                <w:sz w:val="22"/>
              </w:rPr>
              <w:t>数量</w:t>
            </w:r>
          </w:p>
        </w:tc>
        <w:tc>
          <w:tcPr>
            <w:tcW w:w="2835" w:type="dxa"/>
            <w:vAlign w:val="center"/>
          </w:tcPr>
          <w:p>
            <w:pPr>
              <w:adjustRightInd w:val="0"/>
              <w:snapToGrid w:val="0"/>
              <w:jc w:val="center"/>
              <w:rPr>
                <w:rFonts w:ascii="宋体" w:hAnsi="宋体"/>
                <w:caps/>
                <w:sz w:val="22"/>
              </w:rPr>
            </w:pPr>
            <w:r>
              <w:rPr>
                <w:rFonts w:ascii="宋体" w:hAnsi="宋体"/>
                <w:caps/>
                <w:sz w:val="22"/>
              </w:rPr>
              <w:t>主要技术规格</w:t>
            </w:r>
          </w:p>
        </w:tc>
        <w:tc>
          <w:tcPr>
            <w:tcW w:w="2752" w:type="dxa"/>
            <w:vAlign w:val="center"/>
          </w:tcPr>
          <w:p>
            <w:pPr>
              <w:adjustRightInd w:val="0"/>
              <w:snapToGrid w:val="0"/>
              <w:jc w:val="center"/>
              <w:rPr>
                <w:rFonts w:ascii="宋体" w:hAnsi="宋体"/>
                <w:caps/>
                <w:sz w:val="22"/>
              </w:rPr>
            </w:pPr>
            <w:r>
              <w:rPr>
                <w:rFonts w:ascii="宋体" w:hAnsi="宋体"/>
                <w:caps/>
                <w:sz w:val="22"/>
              </w:rPr>
              <w:t>交货期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68" w:type="dxa"/>
            <w:vAlign w:val="center"/>
          </w:tcPr>
          <w:p>
            <w:pPr>
              <w:rPr>
                <w:rFonts w:ascii="宋体" w:hAnsi="宋体"/>
                <w:sz w:val="22"/>
              </w:rPr>
            </w:pPr>
            <w:r>
              <w:rPr>
                <w:rFonts w:ascii="宋体" w:hAnsi="宋体"/>
                <w:sz w:val="22"/>
              </w:rPr>
              <w:t>主力泡沫消防车</w:t>
            </w:r>
          </w:p>
        </w:tc>
        <w:tc>
          <w:tcPr>
            <w:tcW w:w="851" w:type="dxa"/>
            <w:vAlign w:val="center"/>
          </w:tcPr>
          <w:p>
            <w:pPr>
              <w:snapToGrid w:val="0"/>
              <w:jc w:val="center"/>
              <w:rPr>
                <w:rFonts w:ascii="宋体" w:hAnsi="宋体"/>
                <w:sz w:val="22"/>
              </w:rPr>
            </w:pPr>
            <w:r>
              <w:rPr>
                <w:rFonts w:hint="eastAsia" w:ascii="宋体" w:hAnsi="宋体"/>
                <w:sz w:val="22"/>
              </w:rPr>
              <w:t>1</w:t>
            </w:r>
            <w:r>
              <w:rPr>
                <w:rFonts w:ascii="宋体" w:hAnsi="宋体"/>
                <w:sz w:val="22"/>
              </w:rPr>
              <w:t>辆</w:t>
            </w:r>
          </w:p>
        </w:tc>
        <w:tc>
          <w:tcPr>
            <w:tcW w:w="2835" w:type="dxa"/>
            <w:vAlign w:val="center"/>
          </w:tcPr>
          <w:p>
            <w:pPr>
              <w:pStyle w:val="19"/>
              <w:snapToGrid w:val="0"/>
              <w:jc w:val="center"/>
              <w:rPr>
                <w:rFonts w:ascii="宋体" w:hAnsi="宋体"/>
                <w:sz w:val="22"/>
                <w:szCs w:val="22"/>
              </w:rPr>
            </w:pPr>
            <w:r>
              <w:rPr>
                <w:rFonts w:ascii="宋体" w:hAnsi="宋体"/>
                <w:color w:val="000000"/>
                <w:sz w:val="22"/>
                <w:szCs w:val="22"/>
              </w:rPr>
              <w:t>配备水、泡沫灭火系统</w:t>
            </w:r>
            <w:r>
              <w:rPr>
                <w:rFonts w:hint="eastAsia" w:ascii="宋体" w:hAnsi="宋体"/>
                <w:color w:val="000000"/>
                <w:sz w:val="22"/>
                <w:szCs w:val="22"/>
              </w:rPr>
              <w:t>两</w:t>
            </w:r>
            <w:r>
              <w:rPr>
                <w:rFonts w:ascii="宋体" w:hAnsi="宋体"/>
                <w:color w:val="000000"/>
                <w:sz w:val="22"/>
                <w:szCs w:val="22"/>
              </w:rPr>
              <w:t>套灭火装置。水罐的有效容积≥</w:t>
            </w:r>
            <w:r>
              <w:rPr>
                <w:rFonts w:hint="eastAsia" w:ascii="宋体" w:hAnsi="宋体"/>
                <w:color w:val="000000"/>
                <w:sz w:val="22"/>
                <w:szCs w:val="22"/>
              </w:rPr>
              <w:t>12000</w:t>
            </w:r>
            <w:r>
              <w:rPr>
                <w:rFonts w:ascii="宋体" w:hAnsi="宋体"/>
                <w:color w:val="000000"/>
                <w:sz w:val="22"/>
                <w:szCs w:val="22"/>
              </w:rPr>
              <w:t>L，泡沫罐有效容积≥15</w:t>
            </w:r>
            <w:r>
              <w:rPr>
                <w:rFonts w:hint="eastAsia" w:ascii="宋体" w:hAnsi="宋体"/>
                <w:color w:val="000000"/>
                <w:sz w:val="22"/>
                <w:szCs w:val="22"/>
              </w:rPr>
              <w:t>0</w:t>
            </w:r>
            <w:r>
              <w:rPr>
                <w:rFonts w:ascii="宋体" w:hAnsi="宋体"/>
                <w:color w:val="000000"/>
                <w:sz w:val="22"/>
                <w:szCs w:val="22"/>
              </w:rPr>
              <w:t>0L，</w:t>
            </w:r>
            <w:r>
              <w:rPr>
                <w:rFonts w:hint="eastAsia" w:ascii="宋体" w:hAnsi="宋体"/>
                <w:sz w:val="22"/>
                <w:szCs w:val="22"/>
              </w:rPr>
              <w:t>详见第三章</w:t>
            </w:r>
          </w:p>
        </w:tc>
        <w:tc>
          <w:tcPr>
            <w:tcW w:w="2752" w:type="dxa"/>
            <w:vAlign w:val="center"/>
          </w:tcPr>
          <w:p>
            <w:pPr>
              <w:adjustRightInd w:val="0"/>
              <w:snapToGrid w:val="0"/>
              <w:jc w:val="center"/>
              <w:rPr>
                <w:rFonts w:ascii="宋体" w:hAnsi="宋体"/>
                <w:sz w:val="22"/>
              </w:rPr>
            </w:pPr>
            <w:r>
              <w:rPr>
                <w:rFonts w:hint="eastAsia" w:ascii="宋体" w:hAnsi="宋体"/>
                <w:color w:val="000000"/>
                <w:sz w:val="22"/>
              </w:rPr>
              <w:t>合同签订之日起13个月以内</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应是具有独立法人资格的制造商或具有制造商针对本项目唯一书面授权的代理商（书面授权是指需提供授权书复印件并加盖投标人公章作为证明材料，原件备查），代理商成立时间要求3年及以上（营业执照上载明的成立时间为201</w:t>
      </w:r>
      <w:r>
        <w:rPr>
          <w:rFonts w:ascii="宋体" w:hAnsi="宋体" w:cs="Arial"/>
          <w:kern w:val="0"/>
          <w:sz w:val="22"/>
        </w:rPr>
        <w:t>6</w:t>
      </w:r>
      <w:r>
        <w:rPr>
          <w:rFonts w:hint="eastAsia" w:ascii="宋体" w:hAnsi="宋体" w:cs="Arial"/>
          <w:kern w:val="0"/>
          <w:sz w:val="22"/>
        </w:rPr>
        <w:t>年1月1日以前），代理商代理销售制造商生产的消防车产品至少有1年及以上的历史（在201</w:t>
      </w:r>
      <w:r>
        <w:rPr>
          <w:rFonts w:ascii="宋体" w:hAnsi="宋体" w:cs="Arial"/>
          <w:kern w:val="0"/>
          <w:sz w:val="22"/>
        </w:rPr>
        <w:t>8</w:t>
      </w:r>
      <w:r>
        <w:rPr>
          <w:rFonts w:hint="eastAsia" w:ascii="宋体" w:hAnsi="宋体" w:cs="Arial"/>
          <w:kern w:val="0"/>
          <w:sz w:val="22"/>
        </w:rPr>
        <w:t>年1月1日以前已经有成功代理销售业绩，以合同签署的时间为准）。制造商注册资金不少于5000万元，代理商注册资金不少于1000万元。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w:t>
      </w:r>
      <w:r>
        <w:rPr>
          <w:rFonts w:hint="eastAsia" w:cs="Arial" w:asciiTheme="minorEastAsia" w:hAnsiTheme="minorEastAsia"/>
          <w:kern w:val="0"/>
          <w:sz w:val="22"/>
        </w:rPr>
        <w:t>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，可提供税率为1</w:t>
      </w:r>
      <w:r>
        <w:rPr>
          <w:rFonts w:hint="eastAsia" w:ascii="宋体" w:hAnsi="宋体" w:cs="Arial"/>
          <w:kern w:val="0"/>
          <w:sz w:val="22"/>
        </w:rPr>
        <w:t>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。（需提供税务机关出具的一般纳税人资格认定相关证明材料复印件并加盖投标人公章作为证明材料，原件备查），并且投标人应出具 “在合同有效期限内，若因国家税收政策调整而引起的增值税税率变化的，应按照国家税收政策调整，合同总金额变更为原合同不含增值税货物价格与调整后税率计算税额的合计金额”的书面承诺。</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产品的制造商在中国大陆（不含台港澳）民用机场开始销售主力泡沫消防车的历史至少有5年及以上（在2013年12月31日以前已经有成功销售业绩。成功销售业绩是指已按合同完成车辆验收交付的销售业绩，以下同。）。</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必须提供销售合同及复印件并加盖投标人公章（原件备查），且能证明设备的品牌、型号、制造商及销售时间和最终用户。</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5、自</w:t>
      </w:r>
      <w:r>
        <w:rPr>
          <w:rFonts w:ascii="宋体" w:hAnsi="宋体" w:cs="Arial"/>
          <w:kern w:val="0"/>
          <w:sz w:val="22"/>
        </w:rPr>
        <w:t>20</w:t>
      </w:r>
      <w:r>
        <w:rPr>
          <w:rFonts w:hint="eastAsia" w:ascii="宋体" w:hAnsi="宋体" w:cs="Arial"/>
          <w:kern w:val="0"/>
          <w:sz w:val="22"/>
        </w:rPr>
        <w:t>16年1月</w:t>
      </w:r>
      <w:r>
        <w:rPr>
          <w:rFonts w:ascii="宋体" w:hAnsi="宋体" w:cs="Arial"/>
          <w:kern w:val="0"/>
          <w:sz w:val="22"/>
        </w:rPr>
        <w:t>1</w:t>
      </w:r>
      <w:r>
        <w:rPr>
          <w:rFonts w:hint="eastAsia" w:ascii="宋体" w:hAnsi="宋体" w:cs="Arial"/>
          <w:kern w:val="0"/>
          <w:sz w:val="22"/>
        </w:rPr>
        <w:t>日以来（以合同签订的时间为准），投标产品的制造商生产的主力泡沫消防车必须在中国大陆（不含台港澳）民用机场有3台及以上成功销售业绩。</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销售合同复印件和用户证明文件并加盖公章（原件备查），以及机场使用部门（消防队）负责人姓名和联系电话，且所提供的证明材料应能证明设备型号、制造商、验收合格交付时间和用户使用满意的表示。</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6、投标产品必须通过中华人民共和国强制要求的CCCF认证和检测报告。</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CCCF证书和检测报告（含检测报告附件）复印件。按照国家认证认可监督管理委员会《关于进口消防车CCC认证问题有关处理意见的复函》（认证办函[2005]256号文）的规定，对符合该规定所指定条件的车辆需对上述第5条中已交付的车辆提供通过CCCF认证补充检验的证书（一车一证）和检测报告（含检测报告附件）复印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7、投标产品在中国大陆（不含台港澳）必须有售后服务机构。（需提供相关证明材料）</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pPr>
      <w:r>
        <w:rPr>
          <w:rFonts w:hint="eastAsia" w:ascii="宋体" w:hAnsi="宋体"/>
          <w:bCs/>
          <w:sz w:val="22"/>
        </w:rPr>
        <w:t>招标监督人：阮工         联系电话：0571-86662133</w:t>
      </w:r>
      <w:r>
        <w:rPr>
          <w:rFonts w:hint="eastAsia" w:ascii="宋体" w:hAnsi="宋体"/>
          <w:sz w:val="22"/>
        </w:rPr>
        <w:t xml:space="preserve"> </w:t>
      </w:r>
      <w:r>
        <w:rPr>
          <w:rFonts w:ascii="宋体" w:hAnsi="宋体"/>
          <w:sz w:val="22"/>
        </w:rPr>
        <w:br w:type="page"/>
      </w:r>
      <w:bookmarkStart w:id="1" w:name="_Toc321925452"/>
      <w:r>
        <w:t>第</w:t>
      </w:r>
      <w:r>
        <w:rPr>
          <w:rFonts w:hint="eastAsia"/>
        </w:rPr>
        <w:t>二</w:t>
      </w:r>
      <w:r>
        <w:t>章  投标</w:t>
      </w:r>
      <w:r>
        <w:rPr>
          <w:rFonts w:hint="eastAsia"/>
        </w:rPr>
        <w:t>人须知</w:t>
      </w:r>
      <w:bookmarkEnd w:id="1"/>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主力泡沫消防车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5"/>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合同签订之日起</w:t>
            </w:r>
            <w:r>
              <w:rPr>
                <w:rFonts w:hint="eastAsia" w:ascii="宋体" w:hAnsi="宋体"/>
                <w:sz w:val="22"/>
                <w:u w:val="single"/>
              </w:rPr>
              <w:t>13个月</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lang w:val="en-US" w:eastAsia="zh-CN"/>
              </w:rPr>
              <w:t>2019</w:t>
            </w:r>
            <w:r>
              <w:rPr>
                <w:rFonts w:ascii="宋体" w:hAnsi="宋体" w:cs="Calibri"/>
                <w:kern w:val="0"/>
                <w:sz w:val="22"/>
              </w:rPr>
              <w:t>年</w:t>
            </w:r>
            <w:r>
              <w:rPr>
                <w:rFonts w:hint="eastAsia" w:ascii="宋体" w:hAnsi="宋体" w:cs="Calibri"/>
                <w:kern w:val="0"/>
                <w:sz w:val="22"/>
                <w:lang w:val="en-US" w:eastAsia="zh-CN"/>
              </w:rPr>
              <w:t>8</w:t>
            </w:r>
            <w:r>
              <w:rPr>
                <w:rFonts w:ascii="宋体" w:hAnsi="宋体" w:cs="Calibri"/>
                <w:kern w:val="0"/>
                <w:sz w:val="22"/>
              </w:rPr>
              <w:t>月</w:t>
            </w:r>
            <w:r>
              <w:rPr>
                <w:rFonts w:hint="eastAsia" w:ascii="宋体" w:hAnsi="宋体" w:cs="Calibri"/>
                <w:kern w:val="0"/>
                <w:sz w:val="22"/>
                <w:lang w:val="en-US" w:eastAsia="zh-CN"/>
              </w:rPr>
              <w:t>22</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sz w:val="22"/>
              </w:rPr>
              <w:t>83837612</w:t>
            </w:r>
            <w:r>
              <w:rPr>
                <w:rFonts w:hint="eastAsia" w:ascii="宋体" w:hAnsi="宋体" w:cs="Calibri"/>
                <w:kern w:val="0"/>
                <w:sz w:val="22"/>
              </w:rPr>
              <w:t>；传真：0571-</w:t>
            </w:r>
            <w:r>
              <w:rPr>
                <w:rFonts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 壹拾万元整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p>
          <w:p>
            <w:pPr>
              <w:snapToGrid w:val="0"/>
              <w:rPr>
                <w:rFonts w:ascii="宋体" w:hAnsi="宋体"/>
                <w:sz w:val="22"/>
              </w:rPr>
            </w:pPr>
            <w:r>
              <w:rPr>
                <w:rFonts w:hint="eastAsia" w:ascii="宋体" w:hAnsi="宋体"/>
                <w:b/>
                <w:sz w:val="22"/>
                <w:lang w:val="zh-CN"/>
              </w:rPr>
              <w:t>投标人提</w:t>
            </w:r>
            <w:bookmarkStart w:id="103" w:name="_GoBack"/>
            <w:bookmarkEnd w:id="103"/>
            <w:r>
              <w:rPr>
                <w:rFonts w:hint="eastAsia" w:ascii="宋体" w:hAnsi="宋体"/>
                <w:b/>
                <w:sz w:val="22"/>
                <w:lang w:val="zh-CN"/>
              </w:rPr>
              <w:t>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杭州萧山国际机场主力泡沫消防车采购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u w:val="single"/>
              </w:rPr>
              <w:t>2019年</w:t>
            </w:r>
            <w:r>
              <w:rPr>
                <w:rFonts w:hint="eastAsia" w:ascii="宋体" w:hAnsi="宋体" w:cs="Arial"/>
                <w:kern w:val="0"/>
                <w:sz w:val="22"/>
                <w:u w:val="single"/>
                <w:lang w:val="en-US" w:eastAsia="zh-CN"/>
              </w:rPr>
              <w:t>8</w:t>
            </w:r>
            <w:r>
              <w:rPr>
                <w:rFonts w:hint="eastAsia" w:ascii="宋体" w:hAnsi="宋体" w:cs="Arial"/>
                <w:kern w:val="0"/>
                <w:sz w:val="22"/>
                <w:u w:val="single"/>
              </w:rPr>
              <w:t>月</w:t>
            </w:r>
            <w:r>
              <w:rPr>
                <w:rFonts w:hint="eastAsia" w:ascii="宋体" w:hAnsi="宋体" w:cs="Arial"/>
                <w:kern w:val="0"/>
                <w:sz w:val="22"/>
                <w:u w:val="single"/>
                <w:lang w:val="en-US" w:eastAsia="zh-CN"/>
              </w:rPr>
              <w:t>30</w:t>
            </w:r>
            <w:r>
              <w:rPr>
                <w:rFonts w:hint="eastAsia" w:ascii="宋体" w:hAnsi="宋体" w:cs="Arial"/>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：5</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sz w:val="22"/>
        </w:rPr>
        <w:t>不踏勘现场</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18806"/>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1980980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w:t>
      </w:r>
      <w:r>
        <w:rPr>
          <w:rFonts w:hint="eastAsia" w:ascii="宋体" w:hAnsi="宋体" w:cs="Calibri"/>
          <w:color w:val="000000"/>
          <w:sz w:val="22"/>
        </w:rPr>
        <w:t>物</w:t>
      </w:r>
      <w:r>
        <w:rPr>
          <w:rFonts w:ascii="宋体" w:hAnsi="宋体" w:cs="Calibri"/>
          <w:color w:val="000000"/>
          <w:sz w:val="22"/>
        </w:rPr>
        <w:t>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pPr>
      <w:r>
        <w:rPr>
          <w:sz w:val="24"/>
        </w:rPr>
        <w:br w:type="page"/>
      </w:r>
      <w:bookmarkStart w:id="72" w:name="_Toc321925453"/>
      <w:r>
        <w:t>第</w:t>
      </w:r>
      <w:r>
        <w:rPr>
          <w:rFonts w:hint="eastAsia"/>
        </w:rPr>
        <w:t>三</w:t>
      </w:r>
      <w:r>
        <w:t>章  货物需求一览表及技术规格</w:t>
      </w:r>
      <w:bookmarkEnd w:id="72"/>
    </w:p>
    <w:p>
      <w:pPr>
        <w:spacing w:line="400" w:lineRule="exact"/>
        <w:rPr>
          <w:rFonts w:ascii="宋体" w:hAnsi="宋体"/>
          <w:b/>
          <w:color w:val="000000"/>
          <w:sz w:val="22"/>
        </w:rPr>
      </w:pPr>
      <w:r>
        <w:rPr>
          <w:rFonts w:ascii="宋体" w:hAnsi="宋体"/>
          <w:b/>
          <w:color w:val="000000"/>
          <w:sz w:val="22"/>
        </w:rPr>
        <w:t>一、总则</w:t>
      </w:r>
    </w:p>
    <w:p>
      <w:pPr>
        <w:spacing w:line="400" w:lineRule="exact"/>
        <w:ind w:firstLine="440" w:firstLineChars="200"/>
        <w:rPr>
          <w:rFonts w:ascii="宋体" w:hAnsi="宋体"/>
          <w:color w:val="000000"/>
          <w:sz w:val="22"/>
        </w:rPr>
      </w:pPr>
      <w:r>
        <w:rPr>
          <w:rFonts w:ascii="宋体" w:hAnsi="宋体"/>
          <w:color w:val="000000"/>
          <w:sz w:val="22"/>
        </w:rPr>
        <w:t>1.1 本技术规格书是招标文件的组成部分。内容包括杭州萧山国际机场有限公司所需主力泡沫消防车的基本规格、条款、资料及有关文件。</w:t>
      </w:r>
    </w:p>
    <w:p>
      <w:pPr>
        <w:spacing w:line="400" w:lineRule="exact"/>
        <w:ind w:firstLine="440" w:firstLineChars="200"/>
        <w:rPr>
          <w:rFonts w:ascii="宋体" w:hAnsi="宋体"/>
          <w:color w:val="000000"/>
          <w:sz w:val="22"/>
        </w:rPr>
      </w:pPr>
      <w:r>
        <w:rPr>
          <w:rFonts w:ascii="宋体" w:hAnsi="宋体"/>
          <w:color w:val="000000"/>
          <w:sz w:val="22"/>
        </w:rPr>
        <w:t>1.2 投标人应提供成熟的、已被广泛使用的合格产品和配置，招标人不接受为此次投标单独设计、配置的设备。</w:t>
      </w:r>
    </w:p>
    <w:p>
      <w:pPr>
        <w:spacing w:line="400" w:lineRule="exact"/>
        <w:ind w:firstLine="442" w:firstLineChars="200"/>
        <w:rPr>
          <w:rFonts w:ascii="宋体" w:hAnsi="宋体"/>
          <w:b/>
          <w:color w:val="000000"/>
          <w:sz w:val="22"/>
        </w:rPr>
      </w:pPr>
      <w:r>
        <w:rPr>
          <w:rFonts w:hint="eastAsia" w:ascii="宋体" w:hAnsi="宋体"/>
          <w:b/>
          <w:color w:val="000000"/>
          <w:sz w:val="22"/>
        </w:rPr>
        <w:t>★1.3</w:t>
      </w:r>
      <w:r>
        <w:rPr>
          <w:rFonts w:ascii="宋体" w:hAnsi="宋体"/>
          <w:b/>
          <w:color w:val="000000"/>
          <w:sz w:val="22"/>
        </w:rPr>
        <w:t>投标的车辆及其所有零部件、配件和附件必须是全新并未经使用过的。</w:t>
      </w:r>
    </w:p>
    <w:p>
      <w:pPr>
        <w:spacing w:line="400" w:lineRule="exact"/>
        <w:ind w:firstLine="440" w:firstLineChars="200"/>
        <w:rPr>
          <w:rFonts w:ascii="宋体" w:hAnsi="宋体"/>
          <w:color w:val="000000"/>
          <w:sz w:val="22"/>
        </w:rPr>
      </w:pPr>
      <w:r>
        <w:rPr>
          <w:rFonts w:ascii="宋体" w:hAnsi="宋体"/>
          <w:color w:val="000000"/>
          <w:sz w:val="22"/>
        </w:rPr>
        <w:t>1.</w:t>
      </w:r>
      <w:r>
        <w:rPr>
          <w:rFonts w:hint="eastAsia" w:ascii="宋体" w:hAnsi="宋体"/>
          <w:color w:val="000000"/>
          <w:sz w:val="22"/>
        </w:rPr>
        <w:t>4</w:t>
      </w:r>
      <w:r>
        <w:rPr>
          <w:rFonts w:ascii="宋体" w:hAnsi="宋体"/>
          <w:color w:val="000000"/>
          <w:sz w:val="22"/>
        </w:rPr>
        <w:t xml:space="preserve"> 本规格书仅指出对主力泡沫消防车的基本技术和功能要求。投标人应根据投标车辆的技术发展状况，采用优良的制造工艺和生产标准，完成投标车辆的设计和制造，向招标人提供先进、完整、全新的主力泡沫消防车，并保证符合本规格书的要求。</w:t>
      </w:r>
    </w:p>
    <w:p>
      <w:pPr>
        <w:spacing w:line="400" w:lineRule="exact"/>
        <w:ind w:firstLine="440" w:firstLineChars="200"/>
        <w:rPr>
          <w:rFonts w:ascii="宋体" w:hAnsi="宋体"/>
          <w:color w:val="000000"/>
          <w:sz w:val="22"/>
        </w:rPr>
      </w:pPr>
      <w:r>
        <w:rPr>
          <w:rFonts w:ascii="宋体" w:hAnsi="宋体"/>
          <w:color w:val="000000"/>
          <w:sz w:val="22"/>
        </w:rPr>
        <w:t>1.5 投标人应在投标书中列表标明投标车辆的各项性能指标，任何偏差必须列入偏差表。中标后</w:t>
      </w:r>
      <w:r>
        <w:rPr>
          <w:rFonts w:hint="eastAsia" w:ascii="宋体" w:hAnsi="宋体"/>
          <w:color w:val="000000"/>
          <w:sz w:val="22"/>
        </w:rPr>
        <w:t>投标人</w:t>
      </w:r>
      <w:r>
        <w:rPr>
          <w:rFonts w:ascii="宋体" w:hAnsi="宋体"/>
          <w:color w:val="000000"/>
          <w:sz w:val="22"/>
        </w:rPr>
        <w:t>在合同谈判中的任何偏差不得超越此偏差表中已被招标人确认的条款。</w:t>
      </w:r>
    </w:p>
    <w:p>
      <w:pPr>
        <w:spacing w:line="400" w:lineRule="exact"/>
        <w:ind w:firstLine="440" w:firstLineChars="200"/>
        <w:rPr>
          <w:rFonts w:ascii="宋体" w:hAnsi="宋体"/>
          <w:color w:val="000000"/>
          <w:sz w:val="22"/>
        </w:rPr>
      </w:pPr>
      <w:r>
        <w:rPr>
          <w:rFonts w:ascii="宋体" w:hAnsi="宋体"/>
          <w:color w:val="000000"/>
          <w:sz w:val="22"/>
        </w:rPr>
        <w:t>1.6 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spacing w:line="400" w:lineRule="exact"/>
        <w:ind w:firstLine="442" w:firstLineChars="200"/>
        <w:rPr>
          <w:rFonts w:ascii="宋体" w:hAnsi="宋体"/>
          <w:b/>
          <w:color w:val="000000"/>
          <w:sz w:val="22"/>
        </w:rPr>
      </w:pPr>
      <w:r>
        <w:rPr>
          <w:rFonts w:hint="eastAsia" w:ascii="宋体" w:hAnsi="宋体"/>
          <w:b/>
          <w:color w:val="000000"/>
          <w:sz w:val="22"/>
        </w:rPr>
        <w:t>★1.7投标文件需对本章技术条款作列表一对一应答，要求真实、准确，应答无论符合与否都要给出具体、详细的技术数据和说明，不能以“满足”或“符合”进行应答，否则评标委员会有权将其视为相关条目不能满足招标文件要求。</w:t>
      </w:r>
    </w:p>
    <w:p>
      <w:pPr>
        <w:spacing w:line="400" w:lineRule="exact"/>
        <w:rPr>
          <w:rFonts w:ascii="宋体" w:hAnsi="宋体"/>
          <w:b/>
          <w:color w:val="000000"/>
          <w:sz w:val="22"/>
        </w:rPr>
      </w:pPr>
      <w:r>
        <w:rPr>
          <w:rFonts w:ascii="宋体" w:hAnsi="宋体"/>
          <w:b/>
          <w:color w:val="000000"/>
          <w:sz w:val="22"/>
        </w:rPr>
        <w:t>二、工作范围</w:t>
      </w:r>
    </w:p>
    <w:p>
      <w:pPr>
        <w:spacing w:line="400" w:lineRule="exact"/>
        <w:ind w:firstLine="440" w:firstLineChars="200"/>
        <w:rPr>
          <w:rFonts w:ascii="宋体" w:hAnsi="宋体"/>
          <w:color w:val="000000"/>
          <w:sz w:val="22"/>
        </w:rPr>
      </w:pPr>
      <w:r>
        <w:rPr>
          <w:rFonts w:ascii="宋体" w:hAnsi="宋体"/>
          <w:color w:val="000000"/>
          <w:sz w:val="22"/>
        </w:rPr>
        <w:t>2.1 投标人需按本规格书的要求完成本次招标范围内车辆的设计、制造、测试、运输、调试、试运行、验收、产品保护、售后服务和其他相关工作；</w:t>
      </w:r>
    </w:p>
    <w:p>
      <w:pPr>
        <w:spacing w:line="400" w:lineRule="exact"/>
        <w:ind w:firstLine="440" w:firstLineChars="200"/>
        <w:rPr>
          <w:rFonts w:ascii="宋体" w:hAnsi="宋体"/>
          <w:color w:val="000000"/>
          <w:sz w:val="22"/>
        </w:rPr>
      </w:pPr>
      <w:r>
        <w:rPr>
          <w:rFonts w:ascii="宋体" w:hAnsi="宋体"/>
          <w:color w:val="000000"/>
          <w:sz w:val="22"/>
        </w:rPr>
        <w:t>2.2 投标人需向招标人提交所需的资料，所有资料必须符合本规格书的要求；</w:t>
      </w:r>
    </w:p>
    <w:p>
      <w:pPr>
        <w:spacing w:line="400" w:lineRule="exact"/>
        <w:ind w:firstLine="440" w:firstLineChars="200"/>
        <w:rPr>
          <w:rFonts w:ascii="宋体" w:hAnsi="宋体"/>
          <w:color w:val="000000"/>
          <w:sz w:val="22"/>
        </w:rPr>
      </w:pPr>
      <w:r>
        <w:rPr>
          <w:rFonts w:ascii="宋体" w:hAnsi="宋体"/>
          <w:color w:val="000000"/>
          <w:sz w:val="22"/>
        </w:rPr>
        <w:t>2.3 投标人在投标时应提供完整的投标车辆的产品样本</w:t>
      </w:r>
      <w:r>
        <w:rPr>
          <w:rFonts w:hint="eastAsia" w:ascii="宋体" w:hAnsi="宋体"/>
          <w:color w:val="000000"/>
          <w:sz w:val="22"/>
        </w:rPr>
        <w:t>（包括并不限于公开发行的产品广告彩页、官网公布的产品信息等）</w:t>
      </w:r>
      <w:r>
        <w:rPr>
          <w:rFonts w:ascii="宋体" w:hAnsi="宋体"/>
          <w:color w:val="000000"/>
          <w:sz w:val="22"/>
        </w:rPr>
        <w:t>及本规格书要求的各项测试报告，如果投标的车辆性能参数与样本有矛盾，以后者为准；如果投标的车辆样本与测试报告有矛盾，以后者为准；</w:t>
      </w:r>
    </w:p>
    <w:p>
      <w:pPr>
        <w:spacing w:line="400" w:lineRule="exact"/>
        <w:ind w:firstLine="440" w:firstLineChars="200"/>
        <w:rPr>
          <w:rFonts w:ascii="宋体" w:hAnsi="宋体"/>
          <w:sz w:val="22"/>
        </w:rPr>
      </w:pPr>
      <w:r>
        <w:rPr>
          <w:rFonts w:ascii="宋体" w:hAnsi="宋体"/>
          <w:sz w:val="22"/>
        </w:rPr>
        <w:t>2.4 投标人在投标书中必须列表标明投标车辆和主要部件</w:t>
      </w:r>
      <w:r>
        <w:rPr>
          <w:rFonts w:hint="eastAsia" w:ascii="宋体" w:hAnsi="宋体"/>
          <w:sz w:val="22"/>
        </w:rPr>
        <w:t>（发动机、变速箱、底盘、消防水泵、消防主炮、消防副炮）</w:t>
      </w:r>
      <w:r>
        <w:rPr>
          <w:rFonts w:ascii="宋体" w:hAnsi="宋体"/>
          <w:sz w:val="22"/>
        </w:rPr>
        <w:t>的制造商全称、国别或地区、地址、电话、传真、联系人姓名、品牌 、型号等</w:t>
      </w:r>
      <w:r>
        <w:rPr>
          <w:rFonts w:hint="eastAsia" w:ascii="宋体" w:hAnsi="宋体"/>
          <w:sz w:val="22"/>
        </w:rPr>
        <w:t>；</w:t>
      </w:r>
      <w:r>
        <w:rPr>
          <w:rFonts w:ascii="宋体" w:hAnsi="宋体"/>
          <w:sz w:val="22"/>
        </w:rPr>
        <w:t>如有国内代理，应提供国内代理的地址、电话、传真、联系人姓名，并提供资格证明或授权书</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2.5 投标车辆和主要部件（发动机、变速箱、底盘系统、消防水泵、消防主炮、消防副炮）制造日期至投标设备交付使用时不得超过十八个月。</w:t>
      </w:r>
    </w:p>
    <w:p>
      <w:pPr>
        <w:spacing w:line="400" w:lineRule="exact"/>
        <w:ind w:firstLine="440" w:firstLineChars="200"/>
        <w:rPr>
          <w:rFonts w:ascii="宋体" w:hAnsi="宋体"/>
          <w:color w:val="000000"/>
          <w:sz w:val="22"/>
        </w:rPr>
      </w:pPr>
      <w:r>
        <w:rPr>
          <w:rFonts w:ascii="宋体" w:hAnsi="宋体"/>
          <w:color w:val="000000"/>
          <w:sz w:val="22"/>
        </w:rPr>
        <w:t>2.</w:t>
      </w:r>
      <w:r>
        <w:rPr>
          <w:rFonts w:hint="eastAsia" w:ascii="宋体" w:hAnsi="宋体"/>
          <w:color w:val="000000"/>
          <w:sz w:val="22"/>
        </w:rPr>
        <w:t>6</w:t>
      </w:r>
      <w:r>
        <w:rPr>
          <w:rFonts w:ascii="宋体" w:hAnsi="宋体"/>
          <w:color w:val="000000"/>
          <w:sz w:val="22"/>
        </w:rPr>
        <w:t>投标人在投标时，须提供中文或中英文对照的技术文件、资料、图纸及相应的磁盘或光盘等</w:t>
      </w:r>
      <w:r>
        <w:rPr>
          <w:rFonts w:hint="eastAsia" w:ascii="宋体" w:hAnsi="宋体"/>
          <w:color w:val="000000"/>
          <w:sz w:val="22"/>
        </w:rPr>
        <w:t>，当原件和翻译件意思表示不一致时，以原件为准；当中文和英文意思表示不一致时，以中文为准</w:t>
      </w:r>
      <w:r>
        <w:rPr>
          <w:rFonts w:ascii="宋体" w:hAnsi="宋体"/>
          <w:color w:val="000000"/>
          <w:sz w:val="22"/>
        </w:rPr>
        <w:t>。</w:t>
      </w:r>
    </w:p>
    <w:p>
      <w:pPr>
        <w:spacing w:line="400" w:lineRule="exact"/>
        <w:rPr>
          <w:rFonts w:ascii="宋体" w:hAnsi="宋体"/>
          <w:b/>
          <w:color w:val="000000"/>
          <w:sz w:val="22"/>
        </w:rPr>
      </w:pPr>
      <w:r>
        <w:rPr>
          <w:rFonts w:ascii="宋体" w:hAnsi="宋体"/>
          <w:b/>
          <w:color w:val="000000"/>
          <w:sz w:val="22"/>
        </w:rPr>
        <w:t>三、设备清单</w:t>
      </w:r>
    </w:p>
    <w:tbl>
      <w:tblPr>
        <w:tblStyle w:val="52"/>
        <w:tblW w:w="9503"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647"/>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2" w:hRule="atLeast"/>
        </w:trPr>
        <w:tc>
          <w:tcPr>
            <w:tcW w:w="1995" w:type="dxa"/>
            <w:vAlign w:val="center"/>
          </w:tcPr>
          <w:p>
            <w:pPr>
              <w:jc w:val="center"/>
              <w:rPr>
                <w:rFonts w:ascii="宋体" w:hAnsi="宋体"/>
                <w:caps/>
                <w:color w:val="000000"/>
                <w:sz w:val="22"/>
              </w:rPr>
            </w:pPr>
            <w:r>
              <w:rPr>
                <w:rFonts w:ascii="宋体" w:hAnsi="宋体"/>
                <w:caps/>
                <w:color w:val="000000"/>
                <w:sz w:val="22"/>
              </w:rPr>
              <w:t>货物名称</w:t>
            </w:r>
          </w:p>
        </w:tc>
        <w:tc>
          <w:tcPr>
            <w:tcW w:w="1155" w:type="dxa"/>
            <w:vAlign w:val="center"/>
          </w:tcPr>
          <w:p>
            <w:pPr>
              <w:jc w:val="center"/>
              <w:rPr>
                <w:rFonts w:ascii="宋体" w:hAnsi="宋体"/>
                <w:caps/>
                <w:color w:val="000000"/>
                <w:sz w:val="22"/>
              </w:rPr>
            </w:pPr>
            <w:r>
              <w:rPr>
                <w:rFonts w:ascii="宋体" w:hAnsi="宋体"/>
                <w:caps/>
                <w:color w:val="000000"/>
                <w:sz w:val="22"/>
              </w:rPr>
              <w:t>数 量</w:t>
            </w:r>
          </w:p>
        </w:tc>
        <w:tc>
          <w:tcPr>
            <w:tcW w:w="4647" w:type="dxa"/>
            <w:vAlign w:val="center"/>
          </w:tcPr>
          <w:p>
            <w:pPr>
              <w:jc w:val="center"/>
              <w:rPr>
                <w:rFonts w:ascii="宋体" w:hAnsi="宋体"/>
                <w:caps/>
                <w:color w:val="000000"/>
                <w:sz w:val="22"/>
              </w:rPr>
            </w:pPr>
            <w:r>
              <w:rPr>
                <w:rFonts w:ascii="宋体" w:hAnsi="宋体"/>
                <w:caps/>
                <w:color w:val="000000"/>
                <w:sz w:val="22"/>
              </w:rPr>
              <w:t>交货期</w:t>
            </w:r>
          </w:p>
        </w:tc>
        <w:tc>
          <w:tcPr>
            <w:tcW w:w="1706" w:type="dxa"/>
            <w:vAlign w:val="center"/>
          </w:tcPr>
          <w:p>
            <w:pPr>
              <w:jc w:val="center"/>
              <w:rPr>
                <w:rFonts w:ascii="宋体" w:hAnsi="宋体"/>
                <w:caps/>
                <w:color w:val="000000"/>
                <w:sz w:val="22"/>
              </w:rPr>
            </w:pPr>
            <w:r>
              <w:rPr>
                <w:rFonts w:ascii="宋体" w:hAnsi="宋体"/>
                <w:caps/>
                <w:color w:val="000000"/>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995" w:type="dxa"/>
            <w:vAlign w:val="center"/>
          </w:tcPr>
          <w:p>
            <w:pPr>
              <w:jc w:val="center"/>
              <w:rPr>
                <w:rFonts w:ascii="宋体" w:hAnsi="宋体"/>
                <w:color w:val="000000"/>
                <w:sz w:val="22"/>
              </w:rPr>
            </w:pPr>
            <w:r>
              <w:rPr>
                <w:rFonts w:ascii="宋体" w:hAnsi="宋体"/>
                <w:color w:val="000000"/>
                <w:sz w:val="22"/>
              </w:rPr>
              <w:t>主力泡沫</w:t>
            </w:r>
          </w:p>
          <w:p>
            <w:pPr>
              <w:jc w:val="center"/>
              <w:rPr>
                <w:rFonts w:ascii="宋体" w:hAnsi="宋体"/>
                <w:color w:val="000000"/>
                <w:sz w:val="22"/>
              </w:rPr>
            </w:pPr>
            <w:r>
              <w:rPr>
                <w:rFonts w:ascii="宋体" w:hAnsi="宋体"/>
                <w:color w:val="000000"/>
                <w:sz w:val="22"/>
              </w:rPr>
              <w:t>消防车</w:t>
            </w:r>
          </w:p>
        </w:tc>
        <w:tc>
          <w:tcPr>
            <w:tcW w:w="1155" w:type="dxa"/>
            <w:vAlign w:val="center"/>
          </w:tcPr>
          <w:p>
            <w:pPr>
              <w:jc w:val="center"/>
              <w:rPr>
                <w:rFonts w:ascii="宋体" w:hAnsi="宋体"/>
                <w:color w:val="000000"/>
                <w:sz w:val="22"/>
              </w:rPr>
            </w:pPr>
            <w:r>
              <w:rPr>
                <w:rFonts w:ascii="宋体" w:hAnsi="宋体"/>
                <w:color w:val="000000"/>
                <w:sz w:val="22"/>
              </w:rPr>
              <w:t>1辆</w:t>
            </w:r>
          </w:p>
        </w:tc>
        <w:tc>
          <w:tcPr>
            <w:tcW w:w="4647" w:type="dxa"/>
            <w:vAlign w:val="center"/>
          </w:tcPr>
          <w:p>
            <w:pPr>
              <w:jc w:val="left"/>
              <w:rPr>
                <w:rFonts w:ascii="宋体" w:hAnsi="宋体"/>
                <w:color w:val="000000"/>
                <w:sz w:val="22"/>
              </w:rPr>
            </w:pPr>
            <w:r>
              <w:rPr>
                <w:rFonts w:hint="eastAsia" w:ascii="宋体" w:hAnsi="宋体"/>
                <w:color w:val="000000"/>
                <w:sz w:val="22"/>
              </w:rPr>
              <w:t>合同签订之日起13个月以内</w:t>
            </w:r>
          </w:p>
        </w:tc>
        <w:tc>
          <w:tcPr>
            <w:tcW w:w="1706" w:type="dxa"/>
            <w:vAlign w:val="center"/>
          </w:tcPr>
          <w:p>
            <w:pPr>
              <w:jc w:val="center"/>
              <w:rPr>
                <w:rFonts w:ascii="宋体" w:hAnsi="宋体"/>
                <w:color w:val="000000"/>
                <w:sz w:val="22"/>
              </w:rPr>
            </w:pPr>
            <w:r>
              <w:rPr>
                <w:rFonts w:ascii="宋体" w:hAnsi="宋体"/>
                <w:color w:val="000000"/>
                <w:sz w:val="22"/>
              </w:rPr>
              <w:t>杭州萧山</w:t>
            </w:r>
          </w:p>
          <w:p>
            <w:pPr>
              <w:jc w:val="center"/>
              <w:rPr>
                <w:rFonts w:ascii="宋体" w:hAnsi="宋体"/>
                <w:color w:val="000000"/>
                <w:sz w:val="22"/>
              </w:rPr>
            </w:pPr>
            <w:r>
              <w:rPr>
                <w:rFonts w:ascii="宋体" w:hAnsi="宋体"/>
                <w:color w:val="000000"/>
                <w:sz w:val="22"/>
              </w:rPr>
              <w:t>国际机场</w:t>
            </w:r>
          </w:p>
        </w:tc>
      </w:tr>
    </w:tbl>
    <w:p>
      <w:pPr>
        <w:spacing w:line="400" w:lineRule="exact"/>
        <w:rPr>
          <w:rFonts w:ascii="宋体" w:hAnsi="宋体"/>
          <w:b/>
          <w:color w:val="000000"/>
          <w:sz w:val="22"/>
        </w:rPr>
      </w:pPr>
      <w:r>
        <w:rPr>
          <w:rFonts w:ascii="宋体" w:hAnsi="宋体"/>
          <w:b/>
          <w:color w:val="000000"/>
          <w:sz w:val="22"/>
        </w:rPr>
        <w:t>四、总体要求</w:t>
      </w:r>
    </w:p>
    <w:p>
      <w:pPr>
        <w:snapToGrid w:val="0"/>
        <w:spacing w:line="40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1 现场条件</w:t>
      </w:r>
    </w:p>
    <w:p>
      <w:pPr>
        <w:snapToGrid w:val="0"/>
        <w:spacing w:line="400" w:lineRule="exact"/>
        <w:ind w:firstLine="440" w:firstLineChars="200"/>
        <w:rPr>
          <w:rFonts w:ascii="宋体" w:hAnsi="宋体"/>
          <w:color w:val="000000"/>
          <w:sz w:val="22"/>
        </w:rPr>
      </w:pPr>
      <w:r>
        <w:rPr>
          <w:rFonts w:ascii="宋体" w:hAnsi="宋体"/>
          <w:color w:val="000000"/>
          <w:sz w:val="22"/>
        </w:rPr>
        <w:t>招标文件中描述的车辆和各种设备应在下列的现场条件下正常工作，投标人在选择所提供的车辆和设备时，应满足这些条件：</w:t>
      </w:r>
    </w:p>
    <w:p>
      <w:pPr>
        <w:snapToGrid w:val="0"/>
        <w:spacing w:line="400" w:lineRule="exact"/>
        <w:ind w:firstLine="440" w:firstLineChars="200"/>
        <w:rPr>
          <w:rFonts w:ascii="宋体" w:hAnsi="宋体"/>
          <w:color w:val="000000"/>
          <w:sz w:val="22"/>
        </w:rPr>
      </w:pPr>
      <w:r>
        <w:rPr>
          <w:rFonts w:ascii="宋体" w:hAnsi="宋体"/>
          <w:color w:val="000000"/>
          <w:sz w:val="22"/>
        </w:rPr>
        <w:t>大气压力：99.8Kpa--103KPa。</w:t>
      </w:r>
    </w:p>
    <w:p>
      <w:pPr>
        <w:snapToGrid w:val="0"/>
        <w:spacing w:line="400" w:lineRule="exact"/>
        <w:ind w:firstLine="440" w:firstLineChars="200"/>
        <w:rPr>
          <w:rFonts w:ascii="宋体" w:hAnsi="宋体"/>
          <w:color w:val="000000"/>
          <w:sz w:val="22"/>
        </w:rPr>
      </w:pPr>
      <w:r>
        <w:rPr>
          <w:rFonts w:ascii="宋体" w:hAnsi="宋体"/>
          <w:color w:val="000000"/>
          <w:sz w:val="22"/>
        </w:rPr>
        <w:t>环境温度: -30℃--+60℃</w:t>
      </w:r>
    </w:p>
    <w:p>
      <w:pPr>
        <w:snapToGrid w:val="0"/>
        <w:spacing w:line="400" w:lineRule="exact"/>
        <w:ind w:firstLine="440" w:firstLineChars="200"/>
        <w:rPr>
          <w:rFonts w:ascii="宋体" w:hAnsi="宋体"/>
          <w:color w:val="000000"/>
          <w:sz w:val="22"/>
        </w:rPr>
      </w:pPr>
      <w:r>
        <w:rPr>
          <w:rFonts w:ascii="宋体" w:hAnsi="宋体"/>
          <w:color w:val="000000"/>
          <w:sz w:val="22"/>
        </w:rPr>
        <w:t>空气中有盐雾</w:t>
      </w:r>
    </w:p>
    <w:p>
      <w:pPr>
        <w:snapToGrid w:val="0"/>
        <w:spacing w:line="400" w:lineRule="exact"/>
        <w:ind w:firstLine="440" w:firstLineChars="200"/>
        <w:rPr>
          <w:rFonts w:ascii="宋体" w:hAnsi="宋体"/>
          <w:color w:val="000000"/>
          <w:sz w:val="22"/>
        </w:rPr>
      </w:pPr>
      <w:r>
        <w:rPr>
          <w:rFonts w:ascii="宋体" w:hAnsi="宋体"/>
          <w:color w:val="000000"/>
          <w:sz w:val="22"/>
        </w:rPr>
        <w:t>相对湿度：20%--100%，平均80%。</w:t>
      </w:r>
    </w:p>
    <w:p>
      <w:pPr>
        <w:snapToGrid w:val="0"/>
        <w:spacing w:line="400" w:lineRule="exact"/>
        <w:ind w:firstLine="440" w:firstLineChars="200"/>
        <w:rPr>
          <w:rFonts w:ascii="宋体" w:hAnsi="宋体"/>
          <w:color w:val="000000"/>
          <w:sz w:val="22"/>
        </w:rPr>
      </w:pPr>
      <w:r>
        <w:rPr>
          <w:rFonts w:ascii="宋体" w:hAnsi="宋体"/>
          <w:color w:val="000000"/>
          <w:sz w:val="22"/>
        </w:rPr>
        <w:t>最大风速：45m/s。</w:t>
      </w:r>
    </w:p>
    <w:p>
      <w:pPr>
        <w:snapToGrid w:val="0"/>
        <w:spacing w:line="400" w:lineRule="exact"/>
        <w:ind w:firstLine="440" w:firstLineChars="200"/>
        <w:rPr>
          <w:rFonts w:ascii="宋体" w:hAnsi="宋体"/>
          <w:color w:val="000000"/>
          <w:sz w:val="22"/>
        </w:rPr>
      </w:pPr>
      <w:r>
        <w:rPr>
          <w:rFonts w:ascii="宋体" w:hAnsi="宋体"/>
          <w:color w:val="000000"/>
          <w:sz w:val="22"/>
        </w:rPr>
        <w:t>电源</w:t>
      </w:r>
      <w:r>
        <w:rPr>
          <w:rFonts w:hint="eastAsia" w:ascii="宋体" w:hAnsi="宋体"/>
          <w:color w:val="000000"/>
          <w:sz w:val="22"/>
        </w:rPr>
        <w:t>：</w:t>
      </w:r>
      <w:r>
        <w:rPr>
          <w:rFonts w:ascii="宋体" w:hAnsi="宋体"/>
          <w:color w:val="000000"/>
          <w:sz w:val="22"/>
        </w:rPr>
        <w:t>电压380V±10%    三相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电压220V±10%  单相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频率50Hz±2%。</w:t>
      </w:r>
    </w:p>
    <w:p>
      <w:pPr>
        <w:snapToGrid w:val="0"/>
        <w:spacing w:line="400" w:lineRule="exact"/>
        <w:ind w:firstLine="440" w:firstLineChars="200"/>
        <w:rPr>
          <w:rFonts w:ascii="宋体" w:hAnsi="宋体"/>
          <w:color w:val="000000"/>
          <w:sz w:val="22"/>
        </w:rPr>
      </w:pPr>
      <w:r>
        <w:rPr>
          <w:rFonts w:ascii="宋体" w:hAnsi="宋体"/>
          <w:color w:val="000000"/>
          <w:sz w:val="22"/>
        </w:rPr>
        <w:t>抗地震强度：水平加速度0.3g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垂直加速度0.15g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安全系数&gt;1.67</w:t>
      </w:r>
    </w:p>
    <w:p>
      <w:pPr>
        <w:snapToGrid w:val="0"/>
        <w:spacing w:line="400" w:lineRule="exact"/>
        <w:ind w:firstLine="440" w:firstLineChars="200"/>
        <w:rPr>
          <w:rFonts w:ascii="宋体" w:hAnsi="宋体"/>
          <w:color w:val="000000"/>
          <w:sz w:val="22"/>
        </w:rPr>
      </w:pPr>
      <w:r>
        <w:rPr>
          <w:rFonts w:ascii="宋体" w:hAnsi="宋体"/>
          <w:color w:val="000000"/>
          <w:sz w:val="22"/>
        </w:rPr>
        <w:t>4.2 产品标准和规范</w:t>
      </w:r>
    </w:p>
    <w:p>
      <w:pPr>
        <w:snapToGrid w:val="0"/>
        <w:spacing w:line="400" w:lineRule="exact"/>
        <w:ind w:firstLine="440" w:firstLineChars="200"/>
        <w:rPr>
          <w:rFonts w:ascii="宋体" w:hAnsi="宋体"/>
          <w:color w:val="000000"/>
          <w:sz w:val="22"/>
        </w:rPr>
      </w:pPr>
      <w:r>
        <w:rPr>
          <w:rFonts w:ascii="宋体" w:hAnsi="宋体"/>
          <w:color w:val="000000"/>
          <w:sz w:val="22"/>
        </w:rPr>
        <w:t>4.2.1 投标车辆的设计、制造、试验等，应采用适合于该项目的最新的且</w:t>
      </w:r>
      <w:r>
        <w:rPr>
          <w:rFonts w:hint="eastAsia" w:ascii="宋体" w:hAnsi="宋体"/>
          <w:color w:val="000000"/>
          <w:sz w:val="22"/>
        </w:rPr>
        <w:t>正在</w:t>
      </w:r>
      <w:r>
        <w:rPr>
          <w:rFonts w:ascii="宋体" w:hAnsi="宋体"/>
          <w:color w:val="000000"/>
          <w:sz w:val="22"/>
        </w:rPr>
        <w:t>实施的标准和规范，这些标准包括并不限于：</w:t>
      </w:r>
    </w:p>
    <w:p>
      <w:pPr>
        <w:snapToGrid w:val="0"/>
        <w:spacing w:line="400" w:lineRule="exact"/>
        <w:ind w:firstLine="440" w:firstLineChars="200"/>
        <w:rPr>
          <w:rFonts w:ascii="宋体" w:hAnsi="宋体"/>
          <w:color w:val="000000"/>
          <w:sz w:val="22"/>
        </w:rPr>
      </w:pPr>
      <w:r>
        <w:rPr>
          <w:rFonts w:hint="eastAsia" w:ascii="仿宋" w:hAnsi="仿宋" w:eastAsia="仿宋"/>
          <w:color w:val="000000"/>
          <w:sz w:val="22"/>
        </w:rPr>
        <w:t>★</w:t>
      </w:r>
      <w:r>
        <w:rPr>
          <w:rFonts w:ascii="宋体" w:hAnsi="宋体"/>
          <w:color w:val="000000"/>
          <w:sz w:val="22"/>
        </w:rPr>
        <w:t>4.2.1.1 中国国家标准和中国行业标准(GB,</w:t>
      </w:r>
      <w:r>
        <w:rPr>
          <w:rFonts w:hint="eastAsia" w:ascii="宋体" w:hAnsi="宋体"/>
          <w:color w:val="000000"/>
          <w:sz w:val="22"/>
        </w:rPr>
        <w:t>GA,</w:t>
      </w:r>
      <w:r>
        <w:rPr>
          <w:rFonts w:ascii="宋体" w:hAnsi="宋体"/>
          <w:color w:val="000000"/>
          <w:sz w:val="22"/>
        </w:rPr>
        <w:t>MH等)。</w:t>
      </w:r>
    </w:p>
    <w:p>
      <w:pPr>
        <w:snapToGrid w:val="0"/>
        <w:spacing w:line="400" w:lineRule="exact"/>
        <w:ind w:firstLine="440" w:firstLineChars="200"/>
        <w:rPr>
          <w:rFonts w:ascii="宋体" w:hAnsi="宋体"/>
          <w:color w:val="000000"/>
          <w:sz w:val="22"/>
        </w:rPr>
      </w:pPr>
      <w:r>
        <w:rPr>
          <w:rFonts w:ascii="宋体" w:hAnsi="宋体"/>
          <w:color w:val="000000"/>
          <w:sz w:val="22"/>
        </w:rPr>
        <w:t>4.2.1.2 国际权威性组织标准:</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ISO（国际标准化组织）；</w:t>
      </w:r>
    </w:p>
    <w:p>
      <w:pPr>
        <w:snapToGrid w:val="0"/>
        <w:spacing w:line="400" w:lineRule="exact"/>
        <w:ind w:firstLine="1100" w:firstLineChars="500"/>
        <w:rPr>
          <w:rFonts w:ascii="宋体" w:hAnsi="宋体"/>
          <w:color w:val="000000"/>
          <w:sz w:val="22"/>
        </w:rPr>
      </w:pPr>
      <w:r>
        <w:rPr>
          <w:rFonts w:hint="eastAsia" w:ascii="宋体" w:hAnsi="宋体"/>
          <w:color w:val="000000"/>
          <w:sz w:val="22"/>
        </w:rPr>
        <w:t>SI(国际单位制)</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ICAO（国际民间航空组织）；</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IATA（国际航空运输协会）；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IEC（国际电工委员会）；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SAE（美国汽车工程师协会）</w:t>
      </w:r>
      <w:r>
        <w:rPr>
          <w:rFonts w:hint="eastAsia" w:ascii="宋体" w:hAnsi="宋体"/>
          <w:color w:val="000000"/>
          <w:sz w:val="22"/>
        </w:rPr>
        <w:t>；</w:t>
      </w:r>
    </w:p>
    <w:p>
      <w:pPr>
        <w:snapToGrid w:val="0"/>
        <w:spacing w:line="400" w:lineRule="exact"/>
        <w:ind w:firstLine="1100" w:firstLineChars="500"/>
        <w:rPr>
          <w:rFonts w:ascii="宋体" w:hAnsi="宋体"/>
          <w:color w:val="000000"/>
          <w:sz w:val="22"/>
        </w:rPr>
      </w:pPr>
      <w:r>
        <w:rPr>
          <w:rFonts w:hint="eastAsia" w:ascii="宋体" w:hAnsi="宋体"/>
          <w:color w:val="000000"/>
          <w:sz w:val="22"/>
        </w:rPr>
        <w:t>FAA（美国运输部联邦航空局）</w:t>
      </w:r>
    </w:p>
    <w:p>
      <w:pPr>
        <w:snapToGrid w:val="0"/>
        <w:spacing w:line="400" w:lineRule="exact"/>
        <w:ind w:firstLine="1100" w:firstLineChars="500"/>
        <w:rPr>
          <w:rFonts w:ascii="宋体" w:hAnsi="宋体"/>
          <w:color w:val="000000"/>
          <w:sz w:val="22"/>
        </w:rPr>
      </w:pPr>
      <w:r>
        <w:rPr>
          <w:rFonts w:hint="eastAsia" w:ascii="宋体" w:hAnsi="宋体"/>
          <w:color w:val="000000"/>
          <w:sz w:val="22"/>
        </w:rPr>
        <w:t>NFPA（美国消防协会）</w:t>
      </w:r>
    </w:p>
    <w:p>
      <w:pPr>
        <w:snapToGrid w:val="0"/>
        <w:spacing w:line="400" w:lineRule="exact"/>
        <w:ind w:firstLine="1100" w:firstLineChars="500"/>
        <w:rPr>
          <w:rFonts w:ascii="宋体" w:hAnsi="宋体"/>
          <w:color w:val="000000"/>
          <w:sz w:val="22"/>
        </w:rPr>
      </w:pPr>
      <w:r>
        <w:rPr>
          <w:rFonts w:hint="eastAsia" w:ascii="宋体" w:hAnsi="宋体"/>
          <w:color w:val="000000"/>
          <w:sz w:val="22"/>
        </w:rPr>
        <w:t>DIN（德国国家标准）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JIS（日本工业标准）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AISI（美国钢铁协会）</w:t>
      </w:r>
    </w:p>
    <w:p>
      <w:pPr>
        <w:snapToGrid w:val="0"/>
        <w:spacing w:line="400" w:lineRule="exact"/>
        <w:ind w:firstLine="440" w:firstLineChars="200"/>
        <w:rPr>
          <w:rFonts w:ascii="宋体" w:hAnsi="宋体"/>
          <w:color w:val="000000"/>
          <w:sz w:val="22"/>
        </w:rPr>
      </w:pPr>
      <w:r>
        <w:rPr>
          <w:rFonts w:hint="eastAsia" w:ascii="宋体" w:hAnsi="宋体"/>
          <w:color w:val="000000"/>
          <w:sz w:val="22"/>
        </w:rPr>
        <w:t>4.2.2</w:t>
      </w:r>
      <w:r>
        <w:rPr>
          <w:rFonts w:ascii="宋体" w:hAnsi="宋体"/>
          <w:color w:val="000000"/>
          <w:sz w:val="22"/>
        </w:rPr>
        <w:t>投标人</w:t>
      </w:r>
      <w:r>
        <w:rPr>
          <w:rFonts w:hint="eastAsia" w:ascii="宋体" w:hAnsi="宋体"/>
          <w:color w:val="000000"/>
          <w:sz w:val="22"/>
        </w:rPr>
        <w:t>所投车辆应优先采用</w:t>
      </w:r>
      <w:r>
        <w:rPr>
          <w:rFonts w:ascii="宋体" w:hAnsi="宋体"/>
          <w:color w:val="000000"/>
          <w:sz w:val="22"/>
        </w:rPr>
        <w:t>中国国家标准和中国行业标准(GB,</w:t>
      </w:r>
      <w:r>
        <w:rPr>
          <w:rFonts w:hint="eastAsia" w:ascii="宋体" w:hAnsi="宋体"/>
          <w:color w:val="000000"/>
          <w:sz w:val="22"/>
        </w:rPr>
        <w:t>GA,</w:t>
      </w:r>
      <w:r>
        <w:rPr>
          <w:rFonts w:ascii="宋体" w:hAnsi="宋体"/>
          <w:color w:val="000000"/>
          <w:sz w:val="22"/>
        </w:rPr>
        <w:t>MH等)</w:t>
      </w:r>
      <w:r>
        <w:rPr>
          <w:rFonts w:hint="eastAsia"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3</w:t>
      </w:r>
      <w:r>
        <w:rPr>
          <w:rFonts w:ascii="宋体" w:hAnsi="宋体"/>
          <w:color w:val="000000"/>
          <w:sz w:val="22"/>
        </w:rPr>
        <w:t>在投标时必须详细列出所提供车辆和设备的设计、制造和检测采用的标准。投标人使用</w:t>
      </w:r>
      <w:r>
        <w:rPr>
          <w:rFonts w:hint="eastAsia" w:ascii="宋体" w:hAnsi="宋体"/>
          <w:color w:val="000000"/>
          <w:sz w:val="22"/>
        </w:rPr>
        <w:t>4.2.1条款规定</w:t>
      </w:r>
      <w:r>
        <w:rPr>
          <w:rFonts w:ascii="宋体" w:hAnsi="宋体"/>
          <w:color w:val="000000"/>
          <w:sz w:val="22"/>
        </w:rPr>
        <w:t>以外的标准和规范时，应加以说明，并在投标时提交用于替代的标准或规范的原文和中文译本，明显的差异点要特别说明。当推荐的标准和规范等效于或优于本规格书要求时，才可能被招标人接受。</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4</w:t>
      </w:r>
      <w:r>
        <w:rPr>
          <w:rFonts w:ascii="宋体" w:hAnsi="宋体"/>
          <w:color w:val="000000"/>
          <w:sz w:val="22"/>
        </w:rPr>
        <w:t xml:space="preserve"> 对车辆的各种零、配件应充分考虑其标准化和通用化，便于互换。</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5</w:t>
      </w:r>
      <w:r>
        <w:rPr>
          <w:rFonts w:ascii="宋体" w:hAnsi="宋体"/>
          <w:color w:val="000000"/>
          <w:sz w:val="22"/>
        </w:rPr>
        <w:t xml:space="preserve"> 投标书中使用所有计量单位都必须使用国际（SI）规定的单位及其导出单位。</w:t>
      </w:r>
    </w:p>
    <w:p>
      <w:pPr>
        <w:snapToGrid w:val="0"/>
        <w:spacing w:line="400" w:lineRule="exact"/>
        <w:ind w:firstLine="440" w:firstLineChars="200"/>
        <w:rPr>
          <w:rFonts w:ascii="宋体" w:hAnsi="宋体"/>
          <w:color w:val="000000"/>
          <w:sz w:val="22"/>
        </w:rPr>
      </w:pPr>
      <w:r>
        <w:rPr>
          <w:rFonts w:ascii="宋体" w:hAnsi="宋体"/>
          <w:color w:val="000000"/>
          <w:sz w:val="22"/>
        </w:rPr>
        <w:t>4.3 资料要求</w:t>
      </w:r>
    </w:p>
    <w:p>
      <w:pPr>
        <w:snapToGrid w:val="0"/>
        <w:spacing w:line="400" w:lineRule="exact"/>
        <w:ind w:firstLine="440" w:firstLineChars="200"/>
        <w:rPr>
          <w:rFonts w:ascii="宋体" w:hAnsi="宋体"/>
          <w:color w:val="000000"/>
          <w:sz w:val="22"/>
        </w:rPr>
      </w:pPr>
      <w:r>
        <w:rPr>
          <w:rFonts w:ascii="宋体" w:hAnsi="宋体"/>
          <w:color w:val="000000"/>
          <w:sz w:val="22"/>
        </w:rPr>
        <w:t>4.3.1 基本要求</w:t>
      </w:r>
    </w:p>
    <w:p>
      <w:pPr>
        <w:snapToGrid w:val="0"/>
        <w:spacing w:line="400" w:lineRule="exact"/>
        <w:ind w:firstLine="440" w:firstLineChars="200"/>
        <w:rPr>
          <w:rFonts w:ascii="宋体" w:hAnsi="宋体"/>
          <w:color w:val="000000"/>
          <w:sz w:val="22"/>
        </w:rPr>
      </w:pPr>
      <w:r>
        <w:rPr>
          <w:rFonts w:ascii="宋体" w:hAnsi="宋体"/>
          <w:color w:val="000000"/>
          <w:sz w:val="22"/>
        </w:rPr>
        <w:t>4.3.1.1 本规格书要求的所有技术文件及资料均须免费提供电子版一套和</w:t>
      </w:r>
      <w:r>
        <w:rPr>
          <w:rFonts w:hint="eastAsia" w:ascii="宋体" w:hAnsi="宋体"/>
          <w:color w:val="000000"/>
          <w:sz w:val="22"/>
        </w:rPr>
        <w:t>纸质</w:t>
      </w:r>
      <w:r>
        <w:rPr>
          <w:rFonts w:ascii="宋体" w:hAnsi="宋体"/>
          <w:color w:val="000000"/>
          <w:sz w:val="22"/>
        </w:rPr>
        <w:t>版</w:t>
      </w:r>
      <w:r>
        <w:rPr>
          <w:rFonts w:hint="eastAsia" w:ascii="宋体" w:hAnsi="宋体"/>
          <w:color w:val="000000"/>
          <w:sz w:val="22"/>
        </w:rPr>
        <w:t>三</w:t>
      </w:r>
      <w:r>
        <w:rPr>
          <w:rFonts w:ascii="宋体" w:hAnsi="宋体"/>
          <w:color w:val="000000"/>
          <w:sz w:val="22"/>
        </w:rPr>
        <w:t>套</w:t>
      </w:r>
      <w:r>
        <w:rPr>
          <w:rFonts w:hint="eastAsia" w:ascii="宋体" w:hAnsi="宋体"/>
          <w:color w:val="000000"/>
          <w:sz w:val="22"/>
        </w:rPr>
        <w:t>，</w:t>
      </w:r>
      <w:r>
        <w:rPr>
          <w:rFonts w:ascii="宋体" w:hAnsi="宋体"/>
          <w:color w:val="000000"/>
          <w:sz w:val="22"/>
        </w:rPr>
        <w:t>所有资料和图纸必须是中文或中英文对照的。</w:t>
      </w:r>
    </w:p>
    <w:p>
      <w:pPr>
        <w:snapToGrid w:val="0"/>
        <w:spacing w:line="400" w:lineRule="exact"/>
        <w:ind w:firstLine="440" w:firstLineChars="200"/>
        <w:rPr>
          <w:rFonts w:ascii="宋体" w:hAnsi="宋体"/>
          <w:color w:val="000000"/>
          <w:sz w:val="22"/>
        </w:rPr>
      </w:pPr>
      <w:r>
        <w:rPr>
          <w:rFonts w:ascii="宋体" w:hAnsi="宋体"/>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snapToGrid w:val="0"/>
        <w:spacing w:line="400" w:lineRule="exact"/>
        <w:ind w:firstLine="440" w:firstLineChars="200"/>
        <w:rPr>
          <w:rFonts w:ascii="宋体" w:hAnsi="宋体"/>
          <w:color w:val="000000"/>
          <w:sz w:val="22"/>
        </w:rPr>
      </w:pPr>
      <w:r>
        <w:rPr>
          <w:rFonts w:ascii="宋体" w:hAnsi="宋体"/>
          <w:color w:val="000000"/>
          <w:sz w:val="22"/>
        </w:rPr>
        <w:t>4.3.1.3 如果提交的文件发生短缺、损失或损坏，在接到招标人通知后一周内补齐这些文件。由于提交了不完整或不正确的图纸及数据，引起的一切相关费用及责任必须由投标人承担。</w:t>
      </w:r>
    </w:p>
    <w:p>
      <w:pPr>
        <w:snapToGrid w:val="0"/>
        <w:spacing w:line="400" w:lineRule="exact"/>
        <w:ind w:firstLine="440" w:firstLineChars="200"/>
        <w:rPr>
          <w:rFonts w:ascii="宋体" w:hAnsi="宋体"/>
          <w:color w:val="000000"/>
          <w:sz w:val="22"/>
        </w:rPr>
      </w:pPr>
      <w:r>
        <w:rPr>
          <w:rFonts w:ascii="宋体" w:hAnsi="宋体"/>
          <w:color w:val="000000"/>
          <w:sz w:val="22"/>
        </w:rPr>
        <w:t>4.3.2投标时须提供的资料：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4.3.2.1 供货设备清单（包括设备附件清单）。</w:t>
      </w:r>
    </w:p>
    <w:p>
      <w:pPr>
        <w:snapToGrid w:val="0"/>
        <w:spacing w:line="400" w:lineRule="exact"/>
        <w:ind w:firstLine="440" w:firstLineChars="200"/>
        <w:rPr>
          <w:rFonts w:ascii="宋体" w:hAnsi="宋体"/>
          <w:color w:val="000000"/>
          <w:sz w:val="22"/>
        </w:rPr>
      </w:pPr>
      <w:r>
        <w:rPr>
          <w:rFonts w:ascii="宋体" w:hAnsi="宋体"/>
          <w:color w:val="000000"/>
          <w:sz w:val="22"/>
        </w:rPr>
        <w:t>4.3.2.2 车辆制造厂及主要部件制造厂的技术资格能力。</w:t>
      </w:r>
    </w:p>
    <w:p>
      <w:pPr>
        <w:snapToGrid w:val="0"/>
        <w:spacing w:line="400" w:lineRule="exact"/>
        <w:ind w:firstLine="440" w:firstLineChars="200"/>
        <w:rPr>
          <w:rFonts w:ascii="宋体" w:hAnsi="宋体"/>
          <w:color w:val="000000"/>
          <w:sz w:val="22"/>
        </w:rPr>
      </w:pPr>
      <w:r>
        <w:rPr>
          <w:rFonts w:ascii="宋体" w:hAnsi="宋体"/>
          <w:color w:val="000000"/>
          <w:sz w:val="22"/>
        </w:rPr>
        <w:t xml:space="preserve">4.3.2.3 </w:t>
      </w:r>
      <w:r>
        <w:rPr>
          <w:rFonts w:hint="eastAsia" w:ascii="宋体" w:hAnsi="宋体"/>
          <w:color w:val="000000"/>
          <w:sz w:val="22"/>
        </w:rPr>
        <w:t>所投</w:t>
      </w:r>
      <w:r>
        <w:rPr>
          <w:rFonts w:ascii="宋体" w:hAnsi="宋体"/>
          <w:color w:val="000000"/>
          <w:sz w:val="22"/>
        </w:rPr>
        <w:t>车辆性能第三方</w:t>
      </w:r>
      <w:r>
        <w:rPr>
          <w:rFonts w:hint="eastAsia" w:ascii="宋体" w:hAnsi="宋体"/>
          <w:color w:val="000000"/>
          <w:sz w:val="22"/>
        </w:rPr>
        <w:t>检测</w:t>
      </w:r>
      <w:r>
        <w:rPr>
          <w:rFonts w:ascii="宋体" w:hAnsi="宋体"/>
          <w:color w:val="000000"/>
          <w:sz w:val="22"/>
        </w:rPr>
        <w:t>报告和</w:t>
      </w:r>
      <w:r>
        <w:rPr>
          <w:rFonts w:hint="eastAsia" w:ascii="宋体" w:hAnsi="宋体"/>
          <w:color w:val="000000"/>
          <w:sz w:val="22"/>
        </w:rPr>
        <w:t>CCCF检测报告</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4.3.2.4 所投车辆的样本（须与招标文件要求</w:t>
      </w:r>
      <w:r>
        <w:rPr>
          <w:rFonts w:hint="eastAsia" w:ascii="宋体" w:hAnsi="宋体"/>
          <w:color w:val="000000"/>
          <w:sz w:val="22"/>
        </w:rPr>
        <w:t>相同</w:t>
      </w:r>
      <w:r>
        <w:rPr>
          <w:rFonts w:ascii="宋体" w:hAnsi="宋体"/>
          <w:color w:val="000000"/>
          <w:sz w:val="22"/>
        </w:rPr>
        <w:t>的设备的图片），并提供可反映车辆的整车外观、主要部件外观和驾驶操作台配置的彩色图片。</w:t>
      </w:r>
    </w:p>
    <w:p>
      <w:pPr>
        <w:snapToGrid w:val="0"/>
        <w:spacing w:line="400" w:lineRule="exact"/>
        <w:ind w:firstLine="440" w:firstLineChars="200"/>
        <w:rPr>
          <w:rFonts w:ascii="宋体" w:hAnsi="宋体"/>
          <w:color w:val="000000"/>
          <w:sz w:val="22"/>
        </w:rPr>
      </w:pPr>
      <w:r>
        <w:rPr>
          <w:rFonts w:ascii="宋体" w:hAnsi="宋体"/>
          <w:color w:val="000000"/>
          <w:sz w:val="22"/>
        </w:rPr>
        <w:t>4.3.2.5 所投车辆的左视图、右视图、前视图、后视图和顶视图（包括中文的描述）</w:t>
      </w:r>
      <w:r>
        <w:rPr>
          <w:rFonts w:hint="eastAsia" w:ascii="宋体" w:hAnsi="宋体"/>
          <w:color w:val="000000"/>
          <w:sz w:val="22"/>
        </w:rPr>
        <w:t>等</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4.3.2.6 技术资料和图纸：</w:t>
      </w:r>
    </w:p>
    <w:p>
      <w:pPr>
        <w:snapToGrid w:val="0"/>
        <w:spacing w:line="400" w:lineRule="exact"/>
        <w:ind w:firstLine="440" w:firstLineChars="200"/>
        <w:rPr>
          <w:rFonts w:ascii="宋体" w:hAnsi="宋体"/>
          <w:color w:val="000000"/>
          <w:sz w:val="22"/>
        </w:rPr>
      </w:pPr>
      <w:r>
        <w:rPr>
          <w:rFonts w:ascii="宋体" w:hAnsi="宋体"/>
          <w:color w:val="000000"/>
          <w:sz w:val="22"/>
        </w:rPr>
        <w:t>4.3.2.6.1 所投车辆及主要部件技术性能参数。</w:t>
      </w:r>
    </w:p>
    <w:p>
      <w:pPr>
        <w:snapToGrid w:val="0"/>
        <w:spacing w:line="400" w:lineRule="exact"/>
        <w:ind w:firstLine="440" w:firstLineChars="200"/>
        <w:rPr>
          <w:rFonts w:ascii="宋体" w:hAnsi="宋体"/>
          <w:color w:val="000000"/>
          <w:sz w:val="22"/>
        </w:rPr>
      </w:pPr>
      <w:r>
        <w:rPr>
          <w:rFonts w:ascii="宋体" w:hAnsi="宋体"/>
          <w:color w:val="000000"/>
          <w:sz w:val="22"/>
        </w:rPr>
        <w:t>4.3.2.6.2 所投车辆及主要部件的结构及技术特点说明。</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4.3.2.6.3对所投车辆设计和制造工艺的介绍。</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4.3.2.6.4对所投车辆使用操作和维护保养特点总体情况的介绍；</w:t>
      </w:r>
      <w:r>
        <w:rPr>
          <w:rFonts w:ascii="宋体" w:hAnsi="宋体"/>
          <w:color w:val="000000"/>
          <w:sz w:val="22"/>
        </w:rPr>
        <w:t xml:space="preserve"> </w:t>
      </w:r>
    </w:p>
    <w:p>
      <w:pPr>
        <w:snapToGrid w:val="0"/>
        <w:spacing w:line="400" w:lineRule="exact"/>
        <w:ind w:firstLine="440" w:firstLineChars="200"/>
        <w:rPr>
          <w:rFonts w:ascii="宋体" w:hAnsi="宋体"/>
          <w:sz w:val="22"/>
        </w:rPr>
      </w:pPr>
      <w:r>
        <w:rPr>
          <w:rFonts w:ascii="宋体" w:hAnsi="宋体"/>
          <w:color w:val="000000"/>
          <w:sz w:val="22"/>
        </w:rPr>
        <w:t>4.3.2.6.</w:t>
      </w:r>
      <w:r>
        <w:rPr>
          <w:rFonts w:hint="eastAsia" w:ascii="宋体" w:hAnsi="宋体"/>
          <w:color w:val="000000"/>
          <w:sz w:val="22"/>
        </w:rPr>
        <w:t>5</w:t>
      </w:r>
      <w:r>
        <w:rPr>
          <w:rFonts w:ascii="宋体" w:hAnsi="宋体"/>
          <w:color w:val="000000"/>
          <w:sz w:val="22"/>
        </w:rPr>
        <w:t xml:space="preserve"> 所投车辆满</w:t>
      </w:r>
      <w:r>
        <w:rPr>
          <w:rFonts w:ascii="宋体" w:hAnsi="宋体"/>
          <w:sz w:val="22"/>
        </w:rPr>
        <w:t>载时的</w:t>
      </w:r>
      <w:r>
        <w:rPr>
          <w:rFonts w:hint="eastAsia" w:ascii="宋体" w:hAnsi="宋体"/>
          <w:sz w:val="22"/>
        </w:rPr>
        <w:t>质</w:t>
      </w:r>
      <w:r>
        <w:rPr>
          <w:rFonts w:ascii="宋体" w:hAnsi="宋体"/>
          <w:sz w:val="22"/>
        </w:rPr>
        <w:t>心高度。</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.7根据</w:t>
      </w:r>
      <w:r>
        <w:rPr>
          <w:rFonts w:ascii="宋体" w:hAnsi="宋体"/>
          <w:color w:val="000000"/>
          <w:sz w:val="22"/>
        </w:rPr>
        <w:t>按制造工序要求的生产期、试验期、交货期</w:t>
      </w:r>
      <w:r>
        <w:rPr>
          <w:rFonts w:hint="eastAsia" w:ascii="宋体" w:hAnsi="宋体"/>
          <w:color w:val="000000"/>
          <w:sz w:val="22"/>
        </w:rPr>
        <w:t>制定的</w:t>
      </w:r>
      <w:r>
        <w:rPr>
          <w:rFonts w:ascii="宋体" w:hAnsi="宋体"/>
          <w:color w:val="000000"/>
          <w:sz w:val="22"/>
        </w:rPr>
        <w:t>工作计划</w:t>
      </w:r>
      <w:r>
        <w:rPr>
          <w:rFonts w:hint="eastAsia" w:ascii="宋体" w:hAnsi="宋体"/>
          <w:color w:val="000000"/>
          <w:sz w:val="22"/>
        </w:rPr>
        <w:t>，</w:t>
      </w:r>
      <w:r>
        <w:rPr>
          <w:rFonts w:ascii="宋体" w:hAnsi="宋体"/>
          <w:color w:val="000000"/>
          <w:sz w:val="22"/>
        </w:rPr>
        <w:t>包括：</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.1 负责本项目的人员名单、职务、职称及简单履历，联系电话、传真和EMAIL地址。</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 xml:space="preserve">.2 </w:t>
      </w:r>
      <w:r>
        <w:rPr>
          <w:rFonts w:hint="eastAsia" w:ascii="宋体" w:hAnsi="宋体"/>
          <w:color w:val="000000"/>
          <w:sz w:val="22"/>
        </w:rPr>
        <w:t>工厂生产计划、</w:t>
      </w:r>
      <w:r>
        <w:rPr>
          <w:rFonts w:ascii="宋体" w:hAnsi="宋体"/>
          <w:color w:val="000000"/>
          <w:sz w:val="22"/>
        </w:rPr>
        <w:t>工厂检</w:t>
      </w:r>
      <w:r>
        <w:rPr>
          <w:rFonts w:hint="eastAsia" w:ascii="宋体" w:hAnsi="宋体"/>
          <w:color w:val="000000"/>
          <w:sz w:val="22"/>
        </w:rPr>
        <w:t>测</w:t>
      </w:r>
      <w:r>
        <w:rPr>
          <w:rFonts w:ascii="宋体" w:hAnsi="宋体"/>
          <w:color w:val="000000"/>
          <w:sz w:val="22"/>
        </w:rPr>
        <w:t>计划，车辆检验测试项目。</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.3现场培训计划</w:t>
      </w:r>
      <w:r>
        <w:rPr>
          <w:rFonts w:hint="eastAsia" w:ascii="宋体" w:hAnsi="宋体"/>
          <w:color w:val="000000"/>
          <w:sz w:val="22"/>
        </w:rPr>
        <w:t>，包括对师资力量的介绍，对培训内容和培训方法的介绍，对教材编制的介绍。</w:t>
      </w:r>
    </w:p>
    <w:p>
      <w:pPr>
        <w:snapToGrid w:val="0"/>
        <w:spacing w:line="400" w:lineRule="exact"/>
        <w:ind w:firstLine="440" w:firstLineChars="200"/>
        <w:rPr>
          <w:rFonts w:ascii="宋体" w:hAnsi="宋体"/>
          <w:sz w:val="22"/>
        </w:rPr>
      </w:pPr>
      <w:r>
        <w:rPr>
          <w:rFonts w:ascii="宋体" w:hAnsi="宋体"/>
          <w:sz w:val="22"/>
        </w:rPr>
        <w:t>4.3.2.</w:t>
      </w:r>
      <w:r>
        <w:rPr>
          <w:rFonts w:hint="eastAsia" w:ascii="宋体" w:hAnsi="宋体"/>
          <w:sz w:val="22"/>
        </w:rPr>
        <w:t>7</w:t>
      </w:r>
      <w:r>
        <w:rPr>
          <w:rFonts w:ascii="宋体" w:hAnsi="宋体"/>
          <w:sz w:val="22"/>
        </w:rPr>
        <w:t>.4设备交付验收计划。</w:t>
      </w:r>
    </w:p>
    <w:p>
      <w:pPr>
        <w:snapToGrid w:val="0"/>
        <w:spacing w:line="400" w:lineRule="exact"/>
        <w:ind w:firstLine="440" w:firstLineChars="200"/>
        <w:rPr>
          <w:rFonts w:ascii="宋体" w:hAnsi="宋体"/>
          <w:color w:val="000000"/>
          <w:sz w:val="22"/>
        </w:rPr>
      </w:pPr>
      <w:r>
        <w:rPr>
          <w:rFonts w:ascii="宋体" w:hAnsi="宋体"/>
          <w:color w:val="000000"/>
          <w:sz w:val="22"/>
        </w:rPr>
        <w:t>4.3.3签约后需提供的资料:</w:t>
      </w:r>
    </w:p>
    <w:p>
      <w:pPr>
        <w:snapToGrid w:val="0"/>
        <w:spacing w:line="400" w:lineRule="exact"/>
        <w:ind w:firstLine="440" w:firstLineChars="200"/>
        <w:rPr>
          <w:rFonts w:ascii="宋体" w:hAnsi="宋体"/>
          <w:color w:val="000000"/>
          <w:sz w:val="22"/>
        </w:rPr>
      </w:pPr>
      <w:r>
        <w:rPr>
          <w:rFonts w:ascii="宋体" w:hAnsi="宋体"/>
          <w:color w:val="000000"/>
          <w:sz w:val="22"/>
        </w:rPr>
        <w:t>4.3.3.1 投标人在签约后10天内应向招标人提供一份提交资料的进度表，此表应得到招标人认可，并满足设计、制造、组装、调试、试运行和验收等工作的要求。</w:t>
      </w:r>
    </w:p>
    <w:p>
      <w:pPr>
        <w:snapToGrid w:val="0"/>
        <w:spacing w:line="400" w:lineRule="exact"/>
        <w:ind w:firstLine="440" w:firstLineChars="200"/>
        <w:rPr>
          <w:rFonts w:ascii="宋体" w:hAnsi="宋体"/>
          <w:color w:val="000000"/>
          <w:sz w:val="22"/>
        </w:rPr>
      </w:pPr>
      <w:r>
        <w:rPr>
          <w:rFonts w:ascii="宋体" w:hAnsi="宋体"/>
          <w:color w:val="000000"/>
          <w:sz w:val="22"/>
        </w:rPr>
        <w:t>4.3.3.2投标人必须在设备出厂检测完成后15天内将</w:t>
      </w:r>
      <w:r>
        <w:rPr>
          <w:rFonts w:hint="eastAsia" w:ascii="宋体" w:hAnsi="宋体"/>
          <w:color w:val="000000"/>
          <w:sz w:val="22"/>
        </w:rPr>
        <w:t>拟</w:t>
      </w:r>
      <w:r>
        <w:rPr>
          <w:rFonts w:ascii="宋体" w:hAnsi="宋体"/>
          <w:color w:val="000000"/>
          <w:sz w:val="22"/>
        </w:rPr>
        <w:t>交付车辆的整车外观</w:t>
      </w:r>
      <w:r>
        <w:rPr>
          <w:rFonts w:hint="eastAsia" w:ascii="宋体" w:hAnsi="宋体"/>
          <w:color w:val="000000"/>
          <w:sz w:val="22"/>
        </w:rPr>
        <w:t>、</w:t>
      </w:r>
      <w:r>
        <w:rPr>
          <w:rFonts w:ascii="宋体" w:hAnsi="宋体"/>
          <w:color w:val="000000"/>
          <w:sz w:val="22"/>
        </w:rPr>
        <w:t>驾驶室</w:t>
      </w:r>
      <w:r>
        <w:rPr>
          <w:rFonts w:hint="eastAsia" w:ascii="宋体" w:hAnsi="宋体"/>
          <w:color w:val="000000"/>
          <w:sz w:val="22"/>
        </w:rPr>
        <w:t>操控台、</w:t>
      </w:r>
      <w:r>
        <w:rPr>
          <w:rFonts w:ascii="宋体" w:hAnsi="宋体"/>
          <w:color w:val="000000"/>
          <w:sz w:val="22"/>
        </w:rPr>
        <w:t>左视图、右视图、前视图、后视图和顶视图的照片以及所有分项检测、整车检验证书</w:t>
      </w:r>
      <w:r>
        <w:rPr>
          <w:rFonts w:hint="eastAsia" w:ascii="宋体" w:hAnsi="宋体"/>
          <w:color w:val="000000"/>
          <w:sz w:val="22"/>
        </w:rPr>
        <w:t>及</w:t>
      </w:r>
      <w:r>
        <w:rPr>
          <w:rFonts w:ascii="宋体" w:hAnsi="宋体"/>
          <w:color w:val="000000"/>
          <w:sz w:val="22"/>
        </w:rPr>
        <w:t>报告</w:t>
      </w:r>
      <w:r>
        <w:rPr>
          <w:rFonts w:hint="eastAsia" w:ascii="宋体" w:hAnsi="宋体"/>
          <w:color w:val="000000"/>
          <w:sz w:val="22"/>
        </w:rPr>
        <w:t>的电子版</w:t>
      </w:r>
      <w:r>
        <w:rPr>
          <w:rFonts w:ascii="宋体" w:hAnsi="宋体"/>
          <w:color w:val="000000"/>
          <w:sz w:val="22"/>
        </w:rPr>
        <w:t>提交招标人。</w:t>
      </w:r>
    </w:p>
    <w:p>
      <w:pPr>
        <w:snapToGrid w:val="0"/>
        <w:spacing w:line="400" w:lineRule="exact"/>
        <w:ind w:firstLine="440" w:firstLineChars="200"/>
        <w:rPr>
          <w:rFonts w:ascii="宋体" w:hAnsi="宋体"/>
          <w:color w:val="000000"/>
          <w:sz w:val="22"/>
        </w:rPr>
      </w:pPr>
      <w:r>
        <w:rPr>
          <w:rFonts w:ascii="宋体" w:hAnsi="宋体"/>
          <w:color w:val="000000"/>
          <w:sz w:val="22"/>
        </w:rPr>
        <w:t>4.3.3.3投标人应在现场培训开始前</w:t>
      </w:r>
      <w:r>
        <w:rPr>
          <w:rFonts w:hint="eastAsia" w:ascii="宋体" w:hAnsi="宋体"/>
          <w:color w:val="000000"/>
          <w:sz w:val="22"/>
        </w:rPr>
        <w:t>15</w:t>
      </w:r>
      <w:r>
        <w:rPr>
          <w:rFonts w:ascii="宋体" w:hAnsi="宋体"/>
          <w:color w:val="000000"/>
          <w:sz w:val="22"/>
        </w:rPr>
        <w:t>天向招标人免费提供相关的中文资料</w:t>
      </w:r>
      <w:r>
        <w:rPr>
          <w:rFonts w:hint="eastAsia" w:ascii="宋体" w:hAnsi="宋体"/>
          <w:color w:val="000000"/>
          <w:sz w:val="22"/>
        </w:rPr>
        <w:t>和培训教材</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4.3.3.4 在调试和试运行</w:t>
      </w:r>
      <w:r>
        <w:rPr>
          <w:rFonts w:hint="eastAsia" w:ascii="宋体" w:hAnsi="宋体"/>
          <w:color w:val="000000"/>
          <w:sz w:val="22"/>
        </w:rPr>
        <w:t>1</w:t>
      </w:r>
      <w:r>
        <w:rPr>
          <w:rFonts w:ascii="宋体" w:hAnsi="宋体"/>
          <w:color w:val="000000"/>
          <w:sz w:val="22"/>
        </w:rPr>
        <w:t>5天前，投标人需提交中文操作与维修手册，内容包括：</w:t>
      </w:r>
    </w:p>
    <w:p>
      <w:pPr>
        <w:snapToGrid w:val="0"/>
        <w:spacing w:line="400" w:lineRule="exact"/>
        <w:ind w:firstLine="440" w:firstLineChars="200"/>
        <w:rPr>
          <w:rFonts w:ascii="宋体" w:hAnsi="宋体"/>
          <w:color w:val="000000"/>
          <w:sz w:val="22"/>
        </w:rPr>
      </w:pPr>
      <w:r>
        <w:rPr>
          <w:rFonts w:ascii="宋体" w:hAnsi="宋体"/>
          <w:color w:val="000000"/>
          <w:sz w:val="22"/>
        </w:rPr>
        <w:t>4.3.3.4.1车辆和主要配套部件及系统的操作手册和维护指南、保养说明书。</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2</w:t>
      </w:r>
      <w:r>
        <w:rPr>
          <w:rFonts w:ascii="宋体" w:hAnsi="宋体"/>
          <w:color w:val="000000"/>
          <w:sz w:val="22"/>
        </w:rPr>
        <w:t xml:space="preserve"> 所</w:t>
      </w:r>
      <w:r>
        <w:rPr>
          <w:rFonts w:hint="eastAsia" w:ascii="宋体" w:hAnsi="宋体"/>
          <w:color w:val="000000"/>
          <w:sz w:val="22"/>
        </w:rPr>
        <w:t>投</w:t>
      </w:r>
      <w:r>
        <w:rPr>
          <w:rFonts w:ascii="宋体" w:hAnsi="宋体"/>
          <w:color w:val="000000"/>
          <w:sz w:val="22"/>
        </w:rPr>
        <w:t>车辆及主要配套部件的规格型号</w:t>
      </w:r>
      <w:r>
        <w:rPr>
          <w:rFonts w:hint="eastAsia" w:ascii="宋体" w:hAnsi="宋体"/>
          <w:color w:val="000000"/>
          <w:sz w:val="22"/>
        </w:rPr>
        <w:t>、</w:t>
      </w:r>
      <w:r>
        <w:rPr>
          <w:rFonts w:ascii="宋体" w:hAnsi="宋体"/>
          <w:color w:val="000000"/>
          <w:sz w:val="22"/>
        </w:rPr>
        <w:t>主要性能参数及</w:t>
      </w:r>
      <w:r>
        <w:rPr>
          <w:rFonts w:hint="eastAsia" w:ascii="宋体" w:hAnsi="宋体"/>
          <w:color w:val="000000"/>
          <w:sz w:val="22"/>
        </w:rPr>
        <w:t>结构</w:t>
      </w:r>
      <w:r>
        <w:rPr>
          <w:rFonts w:ascii="宋体" w:hAnsi="宋体"/>
          <w:color w:val="000000"/>
          <w:sz w:val="22"/>
        </w:rPr>
        <w:t>原理图</w:t>
      </w:r>
      <w:r>
        <w:rPr>
          <w:rFonts w:hint="eastAsia" w:ascii="宋体" w:hAnsi="宋体"/>
          <w:color w:val="000000"/>
          <w:sz w:val="22"/>
        </w:rPr>
        <w:t>和</w:t>
      </w:r>
      <w:r>
        <w:rPr>
          <w:rFonts w:ascii="宋体" w:hAnsi="宋体"/>
          <w:color w:val="000000"/>
          <w:sz w:val="22"/>
        </w:rPr>
        <w:t>说明。</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3</w:t>
      </w:r>
      <w:r>
        <w:rPr>
          <w:rFonts w:ascii="宋体" w:hAnsi="宋体"/>
          <w:color w:val="000000"/>
          <w:sz w:val="22"/>
        </w:rPr>
        <w:t xml:space="preserve"> 车辆各个系统和主要部件常见的故障说明及处理方法。</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4</w:t>
      </w:r>
      <w:r>
        <w:rPr>
          <w:rFonts w:ascii="宋体" w:hAnsi="宋体"/>
          <w:color w:val="000000"/>
          <w:sz w:val="22"/>
        </w:rPr>
        <w:t xml:space="preserve"> 建议的定期保养时间、项目、技术要求及紧急处置程序。</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5</w:t>
      </w:r>
      <w:r>
        <w:rPr>
          <w:rFonts w:ascii="宋体" w:hAnsi="宋体"/>
          <w:color w:val="000000"/>
          <w:sz w:val="22"/>
        </w:rPr>
        <w:t>紧急维修中心的电话、传真，e-mail地址及负责人的联系方式。</w:t>
      </w:r>
    </w:p>
    <w:p>
      <w:pPr>
        <w:snapToGrid w:val="0"/>
        <w:spacing w:line="400" w:lineRule="exact"/>
        <w:ind w:firstLine="440" w:firstLineChars="200"/>
        <w:rPr>
          <w:rFonts w:ascii="宋体" w:hAnsi="宋体"/>
          <w:color w:val="000000"/>
          <w:sz w:val="22"/>
        </w:rPr>
      </w:pPr>
      <w:r>
        <w:rPr>
          <w:rFonts w:ascii="宋体" w:hAnsi="宋体"/>
          <w:color w:val="000000"/>
          <w:sz w:val="22"/>
        </w:rPr>
        <w:t>4.3.3.4.6 全车零件目录手册。全车零件应有统一完整的配件编号，零件目录手册调整后应及时更新。</w:t>
      </w:r>
    </w:p>
    <w:p>
      <w:pPr>
        <w:snapToGrid w:val="0"/>
        <w:spacing w:line="400" w:lineRule="exact"/>
        <w:ind w:firstLine="440" w:firstLineChars="200"/>
        <w:rPr>
          <w:rFonts w:ascii="宋体" w:hAnsi="宋体"/>
          <w:color w:val="000000"/>
          <w:sz w:val="22"/>
        </w:rPr>
      </w:pPr>
      <w:r>
        <w:rPr>
          <w:rFonts w:ascii="宋体" w:hAnsi="宋体"/>
          <w:color w:val="000000"/>
          <w:sz w:val="22"/>
        </w:rPr>
        <w:t>4.3.4交货时须提供的资料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4.3.4.1 交货设备清单（含附属工具和设备清单）。</w:t>
      </w:r>
    </w:p>
    <w:p>
      <w:pPr>
        <w:snapToGrid w:val="0"/>
        <w:spacing w:line="400" w:lineRule="exact"/>
        <w:ind w:firstLine="440" w:firstLineChars="200"/>
        <w:rPr>
          <w:rFonts w:ascii="宋体" w:hAnsi="宋体"/>
          <w:color w:val="000000"/>
          <w:sz w:val="22"/>
        </w:rPr>
      </w:pPr>
      <w:r>
        <w:rPr>
          <w:rFonts w:ascii="宋体" w:hAnsi="宋体"/>
          <w:color w:val="000000"/>
          <w:sz w:val="22"/>
        </w:rPr>
        <w:t>4.3.4.2 制造厂的质量</w:t>
      </w:r>
      <w:r>
        <w:rPr>
          <w:rFonts w:hint="eastAsia" w:ascii="宋体" w:hAnsi="宋体"/>
          <w:color w:val="000000"/>
          <w:sz w:val="22"/>
        </w:rPr>
        <w:t>合格</w:t>
      </w:r>
      <w:r>
        <w:rPr>
          <w:rFonts w:ascii="宋体" w:hAnsi="宋体"/>
          <w:color w:val="000000"/>
          <w:sz w:val="22"/>
        </w:rPr>
        <w:t>证明书和出厂检测证书和报告，设备使用和维护说明书。</w:t>
      </w:r>
    </w:p>
    <w:p>
      <w:pPr>
        <w:snapToGrid w:val="0"/>
        <w:spacing w:line="400" w:lineRule="exact"/>
        <w:ind w:firstLine="440" w:firstLineChars="200"/>
        <w:rPr>
          <w:rFonts w:ascii="宋体" w:hAnsi="宋体"/>
          <w:color w:val="000000"/>
          <w:sz w:val="22"/>
        </w:rPr>
      </w:pPr>
      <w:r>
        <w:rPr>
          <w:rFonts w:ascii="宋体" w:hAnsi="宋体"/>
          <w:color w:val="000000"/>
          <w:sz w:val="22"/>
        </w:rPr>
        <w:t>4.3.4.</w:t>
      </w:r>
      <w:r>
        <w:rPr>
          <w:rFonts w:hint="eastAsia" w:ascii="宋体" w:hAnsi="宋体"/>
          <w:color w:val="000000"/>
          <w:sz w:val="22"/>
        </w:rPr>
        <w:t>3</w:t>
      </w:r>
      <w:r>
        <w:rPr>
          <w:rFonts w:ascii="宋体" w:hAnsi="宋体"/>
          <w:color w:val="000000"/>
          <w:sz w:val="22"/>
        </w:rPr>
        <w:t xml:space="preserve"> 大比例的主要系统的彩色原理图及连接图。如：发动机、传动系统、制动系统、液压系统、润滑系统、电气系统、消防系统、底盘系统等</w:t>
      </w:r>
    </w:p>
    <w:p>
      <w:pPr>
        <w:snapToGrid w:val="0"/>
        <w:spacing w:line="400" w:lineRule="exact"/>
        <w:ind w:firstLine="440" w:firstLineChars="200"/>
        <w:rPr>
          <w:rFonts w:ascii="宋体" w:hAnsi="宋体"/>
          <w:color w:val="000000"/>
          <w:sz w:val="22"/>
        </w:rPr>
      </w:pPr>
      <w:r>
        <w:rPr>
          <w:rFonts w:ascii="宋体" w:hAnsi="宋体"/>
          <w:color w:val="000000"/>
          <w:sz w:val="22"/>
        </w:rPr>
        <w:t>4.3.4.5 设备及部件制造商和国内供应商的相关信息，包括名称、国别、地址、联系电话、传真、EMAIL地址以及联系人姓名。</w:t>
      </w:r>
    </w:p>
    <w:p>
      <w:pPr>
        <w:snapToGrid w:val="0"/>
        <w:spacing w:line="400" w:lineRule="exact"/>
        <w:ind w:firstLine="440" w:firstLineChars="200"/>
        <w:rPr>
          <w:rFonts w:ascii="宋体" w:hAnsi="宋体"/>
          <w:color w:val="000000"/>
          <w:sz w:val="22"/>
        </w:rPr>
      </w:pPr>
      <w:r>
        <w:rPr>
          <w:rFonts w:hint="eastAsia" w:ascii="宋体" w:hAnsi="宋体"/>
          <w:color w:val="000000"/>
          <w:sz w:val="22"/>
        </w:rPr>
        <w:t>4.3.4.6</w:t>
      </w:r>
      <w:r>
        <w:rPr>
          <w:rFonts w:ascii="宋体" w:hAnsi="宋体"/>
          <w:color w:val="000000"/>
          <w:sz w:val="22"/>
        </w:rPr>
        <w:t>投标人在设备调试期间的所有报告。</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4.7进口车辆还需提供海关入关证明文件（扫描件）。</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4.8各主要</w:t>
      </w:r>
      <w:r>
        <w:rPr>
          <w:rFonts w:ascii="宋体" w:hAnsi="宋体"/>
          <w:color w:val="000000"/>
          <w:sz w:val="22"/>
        </w:rPr>
        <w:t>总成件（如：发动机、变速箱、液压系统、底盘系统及</w:t>
      </w:r>
      <w:r>
        <w:rPr>
          <w:rFonts w:hint="eastAsia" w:ascii="宋体" w:hAnsi="宋体"/>
          <w:color w:val="000000"/>
          <w:sz w:val="22"/>
        </w:rPr>
        <w:t>消防泵、消防炮等</w:t>
      </w:r>
      <w:r>
        <w:rPr>
          <w:rFonts w:ascii="宋体" w:hAnsi="宋体"/>
          <w:color w:val="000000"/>
          <w:sz w:val="22"/>
        </w:rPr>
        <w:t>消防系统主要元件）详实的原生产厂维修手册、配件目录及配件编号。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4.9</w:t>
      </w:r>
      <w:r>
        <w:rPr>
          <w:rFonts w:ascii="宋体" w:hAnsi="宋体"/>
          <w:color w:val="000000"/>
          <w:sz w:val="22"/>
        </w:rPr>
        <w:t>全车零件目录所列项目中，凡非车辆制造商自身制造的配件，须提供原制造厂家的名称及原厂配件编号。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4.10</w:t>
      </w:r>
      <w:r>
        <w:rPr>
          <w:rFonts w:ascii="宋体" w:hAnsi="宋体"/>
          <w:color w:val="000000"/>
          <w:sz w:val="22"/>
        </w:rPr>
        <w:t>招标文件要求及合同中规定的或投标人认为有必要提供的其它资料。</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技术培训</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.1 设备现场调试和试运行时，招标人将安排技术人员一同参与。投标人应在现场为招标人培训技术人员，培训分课堂教学和现场操作两部分。投标人应安排合格的工程师对如何正确操作、如何进行零件的拆装、如何排除故障以及检测设备的使用等给予讲解和演示。通过培训使招标人的技术人员达到熟练操作并了解设备的结构、工作原理、工作性质，能排除一般故障。现场培训的费用包括在投标总价内。现场培训时间</w:t>
      </w:r>
      <w:r>
        <w:rPr>
          <w:rFonts w:hint="eastAsia" w:ascii="宋体" w:hAnsi="宋体"/>
          <w:color w:val="000000"/>
          <w:sz w:val="22"/>
        </w:rPr>
        <w:t>不少于</w:t>
      </w:r>
      <w:r>
        <w:rPr>
          <w:rFonts w:ascii="宋体" w:hAnsi="宋体"/>
          <w:color w:val="000000"/>
          <w:sz w:val="22"/>
        </w:rPr>
        <w:t>5个工作日。招标人受训的人数为</w:t>
      </w:r>
      <w:r>
        <w:rPr>
          <w:rFonts w:hint="eastAsia" w:ascii="宋体" w:hAnsi="宋体"/>
          <w:color w:val="000000"/>
          <w:sz w:val="22"/>
        </w:rPr>
        <w:t>1</w:t>
      </w:r>
      <w:r>
        <w:rPr>
          <w:rFonts w:ascii="宋体" w:hAnsi="宋体"/>
          <w:color w:val="000000"/>
          <w:sz w:val="22"/>
        </w:rPr>
        <w:t>5人以上，具体人数由招标人和投标人协商确定。</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.2 投标书中必须列出培训计划，包括培训的内容、时间</w:t>
      </w:r>
      <w:r>
        <w:rPr>
          <w:rFonts w:hint="eastAsia" w:ascii="宋体" w:hAnsi="宋体"/>
          <w:color w:val="000000"/>
          <w:sz w:val="22"/>
        </w:rPr>
        <w:t>、</w:t>
      </w:r>
      <w:r>
        <w:rPr>
          <w:rFonts w:ascii="宋体" w:hAnsi="宋体"/>
          <w:color w:val="000000"/>
          <w:sz w:val="22"/>
        </w:rPr>
        <w:t>地点、费用等，供招标人批准。所有培训应使用中文进行。</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.3 投标人派出的培训教员，应是在所提供产品上具有5年以上的工作经验的工程师。培训教员的简历必须连同培训计划一并提交招标人批准，招标人认为培训教员不合适时，投标人应按招标人的要求立即更换。</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运输和包装要求</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.1 投标人提供设备及随车附件的包装应为出口标准包装，这种包装应能适应运输，并便于装卸。并标明"防潮"和"防撞"的标记，一切由于包装和运输而引起的任何破损和毁坏均由投标人负责。</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.2 备件和检测设备、维修工具应与设备分开包装，有明显的标识。这些包装箱盒应适合储存，储存年限应在包装上予以说明。所有备件应加以标签。</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.3 车辆上的所有配置必须是整机装运，并采用货船的底仓运输方式。除招标人特殊批准的情况外，投标人不能在现场进行装配。</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.4 所有设备应采用非木质包装，应符合中国政府的有关规定。</w:t>
      </w:r>
    </w:p>
    <w:p>
      <w:pPr>
        <w:spacing w:line="400" w:lineRule="exact"/>
        <w:rPr>
          <w:rFonts w:ascii="宋体" w:hAnsi="宋体"/>
          <w:b/>
          <w:color w:val="000000"/>
          <w:sz w:val="22"/>
        </w:rPr>
      </w:pPr>
      <w:r>
        <w:rPr>
          <w:rFonts w:ascii="宋体" w:hAnsi="宋体"/>
          <w:b/>
          <w:color w:val="000000"/>
          <w:sz w:val="22"/>
        </w:rPr>
        <w:t>五、设备</w:t>
      </w:r>
      <w:r>
        <w:rPr>
          <w:rFonts w:hint="eastAsia" w:ascii="宋体" w:hAnsi="宋体"/>
          <w:b/>
          <w:color w:val="000000"/>
          <w:sz w:val="22"/>
        </w:rPr>
        <w:t>交付</w:t>
      </w:r>
      <w:r>
        <w:rPr>
          <w:rFonts w:ascii="宋体" w:hAnsi="宋体"/>
          <w:b/>
          <w:color w:val="000000"/>
          <w:sz w:val="22"/>
        </w:rPr>
        <w:t>要求</w:t>
      </w:r>
    </w:p>
    <w:p>
      <w:pPr>
        <w:spacing w:line="400" w:lineRule="exact"/>
        <w:ind w:firstLine="440" w:firstLineChars="200"/>
        <w:rPr>
          <w:rFonts w:ascii="宋体" w:hAnsi="宋体"/>
          <w:color w:val="000000"/>
          <w:sz w:val="22"/>
        </w:rPr>
      </w:pPr>
      <w:r>
        <w:rPr>
          <w:rFonts w:ascii="宋体" w:hAnsi="宋体"/>
          <w:color w:val="000000"/>
          <w:sz w:val="22"/>
        </w:rPr>
        <w:t>5.1调试和试运行</w:t>
      </w:r>
    </w:p>
    <w:p>
      <w:pPr>
        <w:spacing w:line="400" w:lineRule="exact"/>
        <w:ind w:firstLine="440" w:firstLineChars="200"/>
        <w:rPr>
          <w:rFonts w:ascii="宋体" w:hAnsi="宋体"/>
          <w:color w:val="000000"/>
          <w:sz w:val="22"/>
        </w:rPr>
      </w:pPr>
      <w:r>
        <w:rPr>
          <w:rFonts w:ascii="宋体" w:hAnsi="宋体"/>
          <w:color w:val="000000"/>
          <w:sz w:val="22"/>
        </w:rPr>
        <w:t>5.1.1 投标人应负责在现场进行车辆的调试及试运行工作。并提供调试和试运行所需的工具、设备、仪器和劳务人员。</w:t>
      </w:r>
    </w:p>
    <w:p>
      <w:pPr>
        <w:spacing w:line="400" w:lineRule="exact"/>
        <w:ind w:firstLine="440" w:firstLineChars="200"/>
        <w:rPr>
          <w:rFonts w:ascii="宋体" w:hAnsi="宋体"/>
          <w:color w:val="000000"/>
          <w:sz w:val="22"/>
        </w:rPr>
      </w:pPr>
      <w:r>
        <w:rPr>
          <w:rFonts w:ascii="宋体" w:hAnsi="宋体"/>
          <w:color w:val="000000"/>
          <w:sz w:val="22"/>
        </w:rPr>
        <w:t>5.1.2 投标人应委派从事调试和试运行同类设备有5年以上工作经验的人员在现场负责此项工作，检测车辆的设计、制造、运行效果等方面的情况，并负责与招标人联系有关工作。招标人认为该人员不合适时，投标人应按招标人的要求立即予以更换。</w:t>
      </w:r>
    </w:p>
    <w:p>
      <w:pPr>
        <w:spacing w:line="400" w:lineRule="exact"/>
        <w:ind w:firstLine="440" w:firstLineChars="200"/>
        <w:rPr>
          <w:rFonts w:ascii="宋体" w:hAnsi="宋体"/>
          <w:color w:val="000000"/>
          <w:sz w:val="22"/>
        </w:rPr>
      </w:pPr>
      <w:r>
        <w:rPr>
          <w:rFonts w:ascii="宋体" w:hAnsi="宋体"/>
          <w:color w:val="000000"/>
          <w:sz w:val="22"/>
        </w:rPr>
        <w:t>5.1.3 投标人应在车辆调试和试运行</w:t>
      </w:r>
      <w:r>
        <w:rPr>
          <w:rFonts w:hint="eastAsia" w:ascii="宋体" w:hAnsi="宋体"/>
          <w:color w:val="000000"/>
          <w:sz w:val="22"/>
        </w:rPr>
        <w:t>7</w:t>
      </w:r>
      <w:r>
        <w:rPr>
          <w:rFonts w:ascii="宋体" w:hAnsi="宋体"/>
          <w:color w:val="000000"/>
          <w:sz w:val="22"/>
        </w:rPr>
        <w:t>天前，向招标人提交调试和试运行的程序和记录表格，供招标人批准。</w:t>
      </w:r>
    </w:p>
    <w:p>
      <w:pPr>
        <w:spacing w:line="400" w:lineRule="exact"/>
        <w:ind w:firstLine="440" w:firstLineChars="200"/>
        <w:rPr>
          <w:rFonts w:ascii="宋体" w:hAnsi="宋体"/>
          <w:color w:val="000000"/>
          <w:sz w:val="22"/>
        </w:rPr>
      </w:pPr>
      <w:r>
        <w:rPr>
          <w:rFonts w:ascii="宋体" w:hAnsi="宋体"/>
          <w:color w:val="000000"/>
          <w:sz w:val="22"/>
        </w:rPr>
        <w:t>5.1.4 投标人必须在接到招标人通知</w:t>
      </w:r>
      <w:r>
        <w:rPr>
          <w:rFonts w:hint="eastAsia" w:ascii="宋体" w:hAnsi="宋体"/>
          <w:color w:val="000000"/>
          <w:sz w:val="22"/>
        </w:rPr>
        <w:t>7</w:t>
      </w:r>
      <w:r>
        <w:rPr>
          <w:rFonts w:ascii="宋体" w:hAnsi="宋体"/>
          <w:color w:val="000000"/>
          <w:sz w:val="22"/>
        </w:rPr>
        <w:t>天内派员到达现场，并做好调试和试运行的准备工作。在没有得到招标人允许前，投标人不能更换和撤走任何一个指导人员。</w:t>
      </w:r>
    </w:p>
    <w:p>
      <w:pPr>
        <w:spacing w:line="400" w:lineRule="exact"/>
        <w:ind w:firstLine="440" w:firstLineChars="200"/>
        <w:rPr>
          <w:rFonts w:ascii="宋体" w:hAnsi="宋体"/>
          <w:color w:val="000000"/>
          <w:sz w:val="22"/>
        </w:rPr>
      </w:pPr>
      <w:r>
        <w:rPr>
          <w:rFonts w:ascii="宋体" w:hAnsi="宋体"/>
          <w:color w:val="000000"/>
          <w:sz w:val="22"/>
        </w:rPr>
        <w:t>5.1.5 投标人应根据被招标人批准的计划并有招标人代表在场的情况下进行调试和试运行，所有的记录和报告应提交招标人。由于投标人原因造成的调试和试运行失败及由此引起的延误和所发生的费用由投标人负责。</w:t>
      </w:r>
    </w:p>
    <w:p>
      <w:pPr>
        <w:spacing w:line="400" w:lineRule="exact"/>
        <w:ind w:firstLine="440" w:firstLineChars="200"/>
        <w:rPr>
          <w:rFonts w:ascii="宋体" w:hAnsi="宋体"/>
          <w:color w:val="000000"/>
          <w:sz w:val="22"/>
        </w:rPr>
      </w:pPr>
      <w:r>
        <w:rPr>
          <w:rFonts w:ascii="宋体" w:hAnsi="宋体"/>
          <w:color w:val="000000"/>
          <w:sz w:val="22"/>
        </w:rPr>
        <w:t>5.1.6 投标人应承担调试和试运行工作所需的一切费用，此费用包含在投标总价内。</w:t>
      </w:r>
    </w:p>
    <w:p>
      <w:pPr>
        <w:spacing w:line="400" w:lineRule="exact"/>
        <w:ind w:firstLine="440" w:firstLineChars="200"/>
        <w:rPr>
          <w:rFonts w:ascii="宋体" w:hAnsi="宋体"/>
          <w:color w:val="000000"/>
          <w:sz w:val="22"/>
        </w:rPr>
      </w:pPr>
      <w:r>
        <w:rPr>
          <w:rFonts w:ascii="宋体" w:hAnsi="宋体"/>
          <w:color w:val="000000"/>
          <w:sz w:val="22"/>
        </w:rPr>
        <w:t>5.2验收</w:t>
      </w:r>
    </w:p>
    <w:p>
      <w:pPr>
        <w:spacing w:line="400" w:lineRule="exact"/>
        <w:ind w:firstLine="440" w:firstLineChars="200"/>
        <w:rPr>
          <w:rFonts w:ascii="宋体" w:hAnsi="宋体"/>
          <w:color w:val="000000"/>
          <w:sz w:val="22"/>
        </w:rPr>
      </w:pPr>
      <w:r>
        <w:rPr>
          <w:rFonts w:ascii="宋体" w:hAnsi="宋体"/>
          <w:color w:val="000000"/>
          <w:sz w:val="22"/>
        </w:rPr>
        <w:t>5.2.1 交付车辆</w:t>
      </w:r>
      <w:r>
        <w:rPr>
          <w:rFonts w:hint="eastAsia" w:ascii="宋体" w:hAnsi="宋体"/>
          <w:color w:val="000000"/>
          <w:sz w:val="22"/>
        </w:rPr>
        <w:t>试</w:t>
      </w:r>
      <w:r>
        <w:rPr>
          <w:rFonts w:ascii="宋体" w:hAnsi="宋体"/>
          <w:color w:val="000000"/>
          <w:sz w:val="22"/>
        </w:rPr>
        <w:t>运行</w:t>
      </w:r>
      <w:r>
        <w:rPr>
          <w:rFonts w:hint="eastAsia" w:ascii="宋体" w:hAnsi="宋体"/>
          <w:color w:val="000000"/>
          <w:sz w:val="22"/>
        </w:rPr>
        <w:t>10</w:t>
      </w:r>
      <w:r>
        <w:rPr>
          <w:rFonts w:ascii="宋体" w:hAnsi="宋体"/>
          <w:color w:val="000000"/>
          <w:sz w:val="22"/>
        </w:rPr>
        <w:t>天后，由招标人和投标人共同组织有关专家按验收计划进行最后的验收，并签署验收合格证书。</w:t>
      </w:r>
    </w:p>
    <w:p>
      <w:pPr>
        <w:spacing w:line="400" w:lineRule="exact"/>
        <w:ind w:firstLine="440" w:firstLineChars="200"/>
        <w:rPr>
          <w:rFonts w:ascii="宋体" w:hAnsi="宋体"/>
          <w:color w:val="000000"/>
          <w:sz w:val="22"/>
        </w:rPr>
      </w:pPr>
      <w:r>
        <w:rPr>
          <w:rFonts w:ascii="宋体" w:hAnsi="宋体"/>
          <w:color w:val="000000"/>
          <w:sz w:val="22"/>
        </w:rPr>
        <w:t>5.2.2 投标人在投标时须提供验收计划，供招标人批准。</w:t>
      </w:r>
    </w:p>
    <w:p>
      <w:pPr>
        <w:spacing w:line="400" w:lineRule="exact"/>
        <w:ind w:firstLine="440" w:firstLineChars="200"/>
        <w:rPr>
          <w:rFonts w:ascii="宋体" w:hAnsi="宋体"/>
          <w:color w:val="000000"/>
          <w:sz w:val="22"/>
        </w:rPr>
      </w:pPr>
      <w:r>
        <w:rPr>
          <w:rFonts w:ascii="宋体" w:hAnsi="宋体"/>
          <w:color w:val="000000"/>
          <w:sz w:val="22"/>
        </w:rPr>
        <w:t>5.2.3 投标人应负责设备的保护、保养及清洁，直到移交招标人为止。</w:t>
      </w:r>
    </w:p>
    <w:p>
      <w:pPr>
        <w:spacing w:line="400" w:lineRule="exact"/>
        <w:ind w:firstLine="440" w:firstLineChars="200"/>
        <w:rPr>
          <w:rFonts w:ascii="宋体" w:hAnsi="宋体"/>
          <w:color w:val="000000"/>
          <w:sz w:val="22"/>
        </w:rPr>
      </w:pPr>
      <w:r>
        <w:rPr>
          <w:rFonts w:ascii="宋体" w:hAnsi="宋体"/>
          <w:color w:val="000000"/>
          <w:sz w:val="22"/>
        </w:rPr>
        <w:t>5.2.4 验收合格条件：</w:t>
      </w:r>
    </w:p>
    <w:p>
      <w:pPr>
        <w:spacing w:line="400" w:lineRule="exact"/>
        <w:ind w:firstLine="440" w:firstLineChars="200"/>
        <w:rPr>
          <w:rFonts w:ascii="宋体" w:hAnsi="宋体"/>
          <w:color w:val="000000"/>
          <w:sz w:val="22"/>
        </w:rPr>
      </w:pPr>
      <w:r>
        <w:rPr>
          <w:rFonts w:ascii="宋体" w:hAnsi="宋体"/>
          <w:color w:val="000000"/>
          <w:sz w:val="22"/>
        </w:rPr>
        <w:t>5.2.4.1 试运行时，各项性能指标满足合同中的技术要求。</w:t>
      </w:r>
    </w:p>
    <w:p>
      <w:pPr>
        <w:spacing w:line="400" w:lineRule="exact"/>
        <w:ind w:firstLine="440" w:firstLineChars="200"/>
        <w:rPr>
          <w:rFonts w:ascii="宋体" w:hAnsi="宋体"/>
          <w:color w:val="000000"/>
          <w:sz w:val="22"/>
        </w:rPr>
      </w:pPr>
      <w:r>
        <w:rPr>
          <w:rFonts w:ascii="宋体" w:hAnsi="宋体"/>
          <w:color w:val="000000"/>
          <w:sz w:val="22"/>
        </w:rPr>
        <w:t>5.2.4.2 调试和试运行时出现的问题已被解决至招标人认可。</w:t>
      </w:r>
    </w:p>
    <w:p>
      <w:pPr>
        <w:spacing w:line="400" w:lineRule="exact"/>
        <w:ind w:firstLine="440" w:firstLineChars="200"/>
        <w:rPr>
          <w:rFonts w:ascii="宋体" w:hAnsi="宋体"/>
          <w:sz w:val="22"/>
        </w:rPr>
      </w:pPr>
      <w:r>
        <w:rPr>
          <w:rFonts w:hint="eastAsia" w:ascii="宋体" w:hAnsi="宋体"/>
          <w:sz w:val="22"/>
        </w:rPr>
        <w:t>5.2.4.3 已完成招标文件规定的全部培训内容。</w:t>
      </w:r>
    </w:p>
    <w:p>
      <w:pPr>
        <w:spacing w:line="400" w:lineRule="exact"/>
        <w:ind w:firstLine="440" w:firstLineChars="200"/>
        <w:rPr>
          <w:rFonts w:ascii="宋体" w:hAnsi="宋体"/>
          <w:color w:val="000000"/>
          <w:sz w:val="22"/>
        </w:rPr>
      </w:pPr>
      <w:r>
        <w:rPr>
          <w:rFonts w:ascii="宋体" w:hAnsi="宋体"/>
          <w:color w:val="000000"/>
          <w:sz w:val="22"/>
        </w:rPr>
        <w:t>5.2.4.</w:t>
      </w:r>
      <w:r>
        <w:rPr>
          <w:rFonts w:hint="eastAsia" w:ascii="宋体" w:hAnsi="宋体"/>
          <w:color w:val="000000"/>
          <w:sz w:val="22"/>
        </w:rPr>
        <w:t>4</w:t>
      </w:r>
      <w:r>
        <w:rPr>
          <w:rFonts w:ascii="宋体" w:hAnsi="宋体"/>
          <w:color w:val="000000"/>
          <w:sz w:val="22"/>
        </w:rPr>
        <w:t xml:space="preserve"> 已提供了合同范围内的全部货物和资料。</w:t>
      </w:r>
    </w:p>
    <w:p>
      <w:pPr>
        <w:spacing w:line="400" w:lineRule="exact"/>
        <w:ind w:firstLine="440" w:firstLineChars="200"/>
        <w:rPr>
          <w:rFonts w:ascii="宋体" w:hAnsi="宋体"/>
          <w:color w:val="000000"/>
          <w:sz w:val="22"/>
        </w:rPr>
      </w:pPr>
      <w:r>
        <w:rPr>
          <w:rFonts w:ascii="宋体" w:hAnsi="宋体"/>
          <w:color w:val="000000"/>
          <w:sz w:val="22"/>
        </w:rPr>
        <w:t>5.2.4.</w:t>
      </w:r>
      <w:r>
        <w:rPr>
          <w:rFonts w:hint="eastAsia" w:ascii="宋体" w:hAnsi="宋体"/>
          <w:color w:val="000000"/>
          <w:sz w:val="22"/>
        </w:rPr>
        <w:t>5交付车辆通过CCCF认证全部程序，提交业主CCCF认证合格证书、检测报告和CCCF认证标志。</w:t>
      </w:r>
    </w:p>
    <w:p>
      <w:pPr>
        <w:spacing w:line="400" w:lineRule="exact"/>
        <w:ind w:firstLine="440" w:firstLineChars="200"/>
        <w:rPr>
          <w:rFonts w:ascii="宋体" w:hAnsi="宋体"/>
          <w:color w:val="000000"/>
          <w:sz w:val="22"/>
        </w:rPr>
      </w:pPr>
      <w:r>
        <w:rPr>
          <w:rFonts w:ascii="宋体" w:hAnsi="宋体"/>
          <w:color w:val="000000"/>
          <w:sz w:val="22"/>
        </w:rPr>
        <w:t>5.3售后服务</w:t>
      </w:r>
    </w:p>
    <w:p>
      <w:pPr>
        <w:spacing w:line="400" w:lineRule="exact"/>
        <w:ind w:firstLine="440" w:firstLineChars="200"/>
        <w:rPr>
          <w:rFonts w:ascii="宋体" w:hAnsi="宋体"/>
          <w:color w:val="000000"/>
          <w:sz w:val="22"/>
        </w:rPr>
      </w:pPr>
      <w:r>
        <w:rPr>
          <w:rFonts w:ascii="宋体" w:hAnsi="宋体"/>
          <w:color w:val="000000"/>
          <w:sz w:val="22"/>
        </w:rPr>
        <w:t>5.3.1 制造商在中国大陆内设有常驻售后服务机构，处理所有保修服务，该服务必须是24小时提供的，在接到招标人报修通知后24小时内维修人员应赶到现场，并进行连续维修，直到故障完全排除，车辆恢复正常为止。该机构须备有足够的零备件，以满足招标人的维修需要。从招标人订购零部件到收到所订零部件的最长时间，常用零配件不超过7天，总成大部件不超过45天。</w:t>
      </w:r>
    </w:p>
    <w:p>
      <w:pPr>
        <w:spacing w:line="400" w:lineRule="exact"/>
        <w:ind w:firstLine="440" w:firstLineChars="200"/>
        <w:rPr>
          <w:rFonts w:ascii="宋体" w:hAnsi="宋体"/>
          <w:sz w:val="22"/>
        </w:rPr>
      </w:pPr>
      <w:r>
        <w:rPr>
          <w:rFonts w:ascii="宋体" w:hAnsi="宋体"/>
          <w:sz w:val="22"/>
        </w:rPr>
        <w:t>5.3.2 投标人必须为投标车辆及随车附属设备提供为期24个月的免费保修期，</w:t>
      </w:r>
      <w:bookmarkStart w:id="73" w:name="OLE_LINK2"/>
      <w:bookmarkStart w:id="74" w:name="OLE_LINK1"/>
      <w:r>
        <w:rPr>
          <w:rFonts w:ascii="宋体" w:hAnsi="宋体"/>
          <w:sz w:val="22"/>
        </w:rPr>
        <w:t>时间从验收合格并正式移交招标人之日算起。</w:t>
      </w:r>
      <w:bookmarkEnd w:id="73"/>
      <w:bookmarkEnd w:id="74"/>
      <w:r>
        <w:rPr>
          <w:rFonts w:ascii="宋体" w:hAnsi="宋体"/>
          <w:sz w:val="22"/>
        </w:rPr>
        <w:t>保修期内由于车辆或设备质量原因造成的损伤和毁坏，投标人必须免费修复和更换</w:t>
      </w:r>
      <w:r>
        <w:rPr>
          <w:rFonts w:hint="eastAsia" w:ascii="宋体" w:hAnsi="宋体"/>
          <w:sz w:val="22"/>
        </w:rPr>
        <w:t>，保修范围包括人工费、材料费以及其他附加费用，投标人不承担任何费用</w:t>
      </w:r>
      <w:r>
        <w:rPr>
          <w:rFonts w:ascii="宋体" w:hAnsi="宋体"/>
          <w:sz w:val="22"/>
        </w:rPr>
        <w:t>；</w:t>
      </w:r>
      <w:r>
        <w:rPr>
          <w:rFonts w:hint="eastAsia" w:ascii="宋体" w:hAnsi="宋体"/>
          <w:sz w:val="22"/>
        </w:rPr>
        <w:t>保修</w:t>
      </w:r>
      <w:r>
        <w:rPr>
          <w:rFonts w:ascii="宋体" w:hAnsi="宋体"/>
          <w:sz w:val="22"/>
        </w:rPr>
        <w:t>部位的保修期</w:t>
      </w:r>
      <w:r>
        <w:rPr>
          <w:rFonts w:hint="eastAsia" w:ascii="宋体" w:hAnsi="宋体"/>
          <w:sz w:val="22"/>
        </w:rPr>
        <w:t>计算时间不少于6个月，具体计算方式是：从故障修复起计算，离整车质保期满6个月以上的，以整车质保期到期为限；离整车质保期满不到6个月的，故障修复部位质保期延长至6个月。</w:t>
      </w:r>
      <w:r>
        <w:rPr>
          <w:rFonts w:ascii="宋体" w:hAnsi="宋体"/>
          <w:sz w:val="22"/>
        </w:rPr>
        <w:t>执行</w:t>
      </w:r>
      <w:r>
        <w:rPr>
          <w:rFonts w:hint="eastAsia" w:ascii="宋体" w:hAnsi="宋体"/>
          <w:sz w:val="22"/>
        </w:rPr>
        <w:t>所有</w:t>
      </w:r>
      <w:r>
        <w:rPr>
          <w:rFonts w:ascii="宋体" w:hAnsi="宋体"/>
          <w:sz w:val="22"/>
        </w:rPr>
        <w:t>售后服务工作的厂家必须对投标车辆的维修技术能力方面具有相应的资质</w:t>
      </w:r>
      <w:r>
        <w:rPr>
          <w:rFonts w:hint="eastAsia" w:ascii="宋体" w:hAnsi="宋体"/>
          <w:sz w:val="22"/>
        </w:rPr>
        <w:t>（经所投车辆生产厂家授权的售后服务商或获得中华人民共和国道路运输经营二类及以上机动车维修许可）</w:t>
      </w:r>
      <w:r>
        <w:rPr>
          <w:rFonts w:ascii="宋体" w:hAnsi="宋体"/>
          <w:sz w:val="22"/>
        </w:rPr>
        <w:t>，并必须提供相应的证明文件。</w:t>
      </w:r>
    </w:p>
    <w:p>
      <w:pPr>
        <w:spacing w:line="400" w:lineRule="exact"/>
        <w:ind w:firstLine="440" w:firstLineChars="200"/>
        <w:rPr>
          <w:rFonts w:ascii="宋体" w:hAnsi="宋体"/>
          <w:color w:val="000000"/>
          <w:sz w:val="22"/>
        </w:rPr>
      </w:pPr>
      <w:r>
        <w:rPr>
          <w:rFonts w:ascii="宋体" w:hAnsi="宋体"/>
          <w:color w:val="000000"/>
          <w:sz w:val="22"/>
        </w:rPr>
        <w:t>5.3.3如果</w:t>
      </w:r>
      <w:r>
        <w:rPr>
          <w:rFonts w:ascii="宋体" w:hAnsi="宋体"/>
          <w:sz w:val="22"/>
        </w:rPr>
        <w:t>投标</w:t>
      </w:r>
      <w:r>
        <w:rPr>
          <w:rFonts w:hint="eastAsia" w:ascii="宋体" w:hAnsi="宋体"/>
          <w:color w:val="000000"/>
          <w:sz w:val="22"/>
        </w:rPr>
        <w:t>车辆</w:t>
      </w:r>
      <w:r>
        <w:rPr>
          <w:rFonts w:ascii="宋体" w:hAnsi="宋体"/>
          <w:color w:val="000000"/>
          <w:sz w:val="22"/>
        </w:rPr>
        <w:t>主要部件（</w:t>
      </w:r>
      <w:r>
        <w:rPr>
          <w:rFonts w:hint="eastAsia" w:ascii="宋体" w:hAnsi="宋体"/>
          <w:color w:val="000000"/>
          <w:sz w:val="22"/>
        </w:rPr>
        <w:t>包括</w:t>
      </w:r>
      <w:r>
        <w:rPr>
          <w:rFonts w:ascii="宋体" w:hAnsi="宋体"/>
          <w:color w:val="000000"/>
          <w:sz w:val="22"/>
        </w:rPr>
        <w:t>并不限于发动机、变速箱</w:t>
      </w:r>
      <w:r>
        <w:rPr>
          <w:rFonts w:hint="eastAsia" w:ascii="宋体" w:hAnsi="宋体"/>
          <w:color w:val="000000"/>
          <w:sz w:val="22"/>
        </w:rPr>
        <w:t>和车架底盘</w:t>
      </w:r>
      <w:r>
        <w:rPr>
          <w:rFonts w:ascii="宋体" w:hAnsi="宋体"/>
          <w:color w:val="000000"/>
          <w:sz w:val="22"/>
        </w:rPr>
        <w:t>及消防</w:t>
      </w:r>
      <w:r>
        <w:rPr>
          <w:rFonts w:hint="eastAsia" w:ascii="宋体" w:hAnsi="宋体"/>
          <w:color w:val="000000"/>
          <w:sz w:val="22"/>
        </w:rPr>
        <w:t>泵、</w:t>
      </w:r>
      <w:r>
        <w:rPr>
          <w:rFonts w:ascii="宋体" w:hAnsi="宋体"/>
          <w:color w:val="000000"/>
          <w:sz w:val="22"/>
        </w:rPr>
        <w:t>消防炮等）的生产厂家为投标人或最终用户提供了多于24个月的免费保修期，则投标人应将此权利告知招标人，招标人作为最终用户享有此权利。招标人向该部件的生产厂家提出免费保修要求，投标人应提供必要的协助。投标人在投标书中提供主要部件的说明时应同时按此条款说明保修的期限并填入附件</w:t>
      </w:r>
      <w:r>
        <w:rPr>
          <w:rFonts w:hint="eastAsia" w:ascii="宋体" w:hAnsi="宋体"/>
          <w:color w:val="000000"/>
          <w:sz w:val="22"/>
        </w:rPr>
        <w:t>一</w:t>
      </w:r>
      <w:r>
        <w:rPr>
          <w:rFonts w:ascii="宋体" w:hAnsi="宋体"/>
          <w:color w:val="000000"/>
          <w:sz w:val="22"/>
        </w:rPr>
        <w:t>“整车及各主要部件保修期限表”中。</w:t>
      </w:r>
    </w:p>
    <w:p>
      <w:pPr>
        <w:spacing w:line="400" w:lineRule="exact"/>
        <w:ind w:firstLine="440" w:firstLineChars="200"/>
        <w:rPr>
          <w:rFonts w:ascii="宋体" w:hAnsi="宋体"/>
          <w:color w:val="000000"/>
          <w:sz w:val="22"/>
        </w:rPr>
      </w:pPr>
      <w:r>
        <w:rPr>
          <w:rFonts w:ascii="宋体" w:hAnsi="宋体"/>
          <w:color w:val="000000"/>
          <w:sz w:val="22"/>
        </w:rPr>
        <w:t>5.3.4 保修期结束前2个月必须由投标人的工程师和招标人代表一起对交付车辆进行一次全面测试和检查。任何问题投标人必须负责解决，并得到招标人代表的认可。在修理之后5天内，投标人应将问题成因、补救措施、完成情况及设备恢复正常的时间、日期等报告招标人。该报告一式两份。</w:t>
      </w:r>
    </w:p>
    <w:p>
      <w:pPr>
        <w:spacing w:line="400" w:lineRule="exact"/>
        <w:ind w:firstLine="440" w:firstLineChars="200"/>
        <w:rPr>
          <w:rFonts w:ascii="宋体" w:hAnsi="宋体"/>
          <w:sz w:val="22"/>
        </w:rPr>
      </w:pPr>
      <w:r>
        <w:rPr>
          <w:rFonts w:ascii="宋体" w:hAnsi="宋体"/>
          <w:sz w:val="22"/>
        </w:rPr>
        <w:t>5.3.5 投标人在投标时须提交一份整车</w:t>
      </w:r>
      <w:r>
        <w:rPr>
          <w:rFonts w:hint="eastAsia" w:ascii="宋体" w:hAnsi="宋体"/>
          <w:sz w:val="22"/>
        </w:rPr>
        <w:t>24个月质保期</w:t>
      </w:r>
      <w:r>
        <w:rPr>
          <w:rFonts w:ascii="宋体" w:hAnsi="宋体"/>
          <w:sz w:val="22"/>
        </w:rPr>
        <w:t>内由投标人承担投标车辆正常维护保养</w:t>
      </w:r>
      <w:r>
        <w:rPr>
          <w:rFonts w:hint="eastAsia" w:ascii="宋体" w:hAnsi="宋体"/>
          <w:sz w:val="22"/>
        </w:rPr>
        <w:t>承诺书（填入附件三）</w:t>
      </w:r>
      <w:r>
        <w:rPr>
          <w:rFonts w:ascii="宋体" w:hAnsi="宋体"/>
          <w:sz w:val="22"/>
        </w:rPr>
        <w:t>，费用计入</w:t>
      </w:r>
      <w:r>
        <w:rPr>
          <w:rFonts w:hint="eastAsia" w:ascii="宋体" w:hAnsi="宋体"/>
          <w:sz w:val="22"/>
        </w:rPr>
        <w:t>投标</w:t>
      </w:r>
      <w:r>
        <w:rPr>
          <w:rFonts w:ascii="宋体" w:hAnsi="宋体"/>
          <w:sz w:val="22"/>
        </w:rPr>
        <w:t>总价。</w:t>
      </w:r>
      <w:r>
        <w:rPr>
          <w:rFonts w:hint="eastAsia" w:ascii="宋体" w:hAnsi="宋体"/>
          <w:sz w:val="22"/>
        </w:rPr>
        <w:t>承诺书</w:t>
      </w:r>
      <w:r>
        <w:rPr>
          <w:rFonts w:ascii="宋体" w:hAnsi="宋体"/>
          <w:sz w:val="22"/>
        </w:rPr>
        <w:t>至少包括以下内容：</w:t>
      </w:r>
    </w:p>
    <w:p>
      <w:pPr>
        <w:spacing w:line="400" w:lineRule="exact"/>
        <w:ind w:firstLine="440" w:firstLineChars="200"/>
        <w:rPr>
          <w:rFonts w:ascii="宋体" w:hAnsi="宋体"/>
          <w:sz w:val="22"/>
        </w:rPr>
      </w:pPr>
      <w:r>
        <w:rPr>
          <w:rFonts w:ascii="宋体" w:hAnsi="宋体"/>
          <w:sz w:val="22"/>
        </w:rPr>
        <w:t>5.3.5.1</w:t>
      </w:r>
      <w:r>
        <w:rPr>
          <w:rFonts w:hint="eastAsia"/>
        </w:rPr>
        <w:t>维护保养的项目和时间安排</w:t>
      </w:r>
    </w:p>
    <w:p>
      <w:pPr>
        <w:spacing w:line="400" w:lineRule="exact"/>
        <w:ind w:firstLine="440" w:firstLineChars="200"/>
        <w:rPr>
          <w:rFonts w:ascii="宋体" w:hAnsi="宋体"/>
          <w:sz w:val="22"/>
        </w:rPr>
      </w:pPr>
      <w:r>
        <w:rPr>
          <w:rFonts w:hint="eastAsia" w:ascii="宋体" w:hAnsi="宋体"/>
          <w:sz w:val="22"/>
        </w:rPr>
        <w:t>包括：质保期内</w:t>
      </w:r>
      <w:r>
        <w:rPr>
          <w:rFonts w:ascii="宋体" w:hAnsi="宋体"/>
          <w:sz w:val="22"/>
        </w:rPr>
        <w:t>车辆</w:t>
      </w:r>
      <w:r>
        <w:rPr>
          <w:rFonts w:hint="eastAsia" w:ascii="宋体" w:hAnsi="宋体"/>
          <w:sz w:val="22"/>
        </w:rPr>
        <w:t>正常运行所需的</w:t>
      </w:r>
      <w:r>
        <w:rPr>
          <w:rFonts w:ascii="宋体" w:hAnsi="宋体"/>
          <w:sz w:val="22"/>
        </w:rPr>
        <w:t>维护</w:t>
      </w:r>
      <w:r>
        <w:rPr>
          <w:rFonts w:hint="eastAsia" w:ascii="宋体" w:hAnsi="宋体"/>
          <w:sz w:val="22"/>
        </w:rPr>
        <w:t>保养工作内容和次数（按照车辆维保手册规定的保养周期和保养内容，如承诺的范围与车辆维保手册规定的不符，实际执行维保时以维保手册的规定为准，招标人不承担任何费用）；</w:t>
      </w:r>
    </w:p>
    <w:p>
      <w:pPr>
        <w:spacing w:line="400" w:lineRule="exact"/>
        <w:ind w:firstLine="440" w:firstLineChars="200"/>
        <w:rPr>
          <w:rFonts w:ascii="宋体" w:hAnsi="宋体"/>
          <w:sz w:val="22"/>
        </w:rPr>
      </w:pPr>
      <w:r>
        <w:rPr>
          <w:rFonts w:hint="eastAsia" w:ascii="宋体" w:hAnsi="宋体"/>
          <w:sz w:val="22"/>
        </w:rPr>
        <w:t>5.3.5.2</w:t>
      </w:r>
      <w:r>
        <w:rPr>
          <w:rFonts w:ascii="宋体" w:hAnsi="宋体"/>
          <w:sz w:val="22"/>
        </w:rPr>
        <w:t>维护</w:t>
      </w:r>
      <w:r>
        <w:rPr>
          <w:rFonts w:hint="eastAsia" w:ascii="宋体" w:hAnsi="宋体"/>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5.3.5.</w:t>
      </w:r>
      <w:r>
        <w:rPr>
          <w:rFonts w:hint="eastAsia" w:ascii="宋体" w:hAnsi="宋体"/>
          <w:sz w:val="22"/>
        </w:rPr>
        <w:t>3完成5.3.5.1要求保养内容所需的人工和物料费用明细清单；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5.3.5.4投标人</w:t>
      </w:r>
      <w:r>
        <w:rPr>
          <w:rFonts w:ascii="宋体" w:hAnsi="宋体"/>
          <w:sz w:val="22"/>
        </w:rPr>
        <w:t>不承担内容。</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5</w:t>
      </w:r>
      <w:r>
        <w:rPr>
          <w:rFonts w:ascii="宋体" w:hAnsi="宋体"/>
          <w:sz w:val="22"/>
        </w:rPr>
        <w:t>双方责任。</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6</w:t>
      </w:r>
      <w:r>
        <w:rPr>
          <w:rFonts w:ascii="宋体" w:hAnsi="宋体"/>
          <w:sz w:val="22"/>
        </w:rPr>
        <w:t>其它。</w:t>
      </w:r>
    </w:p>
    <w:p>
      <w:pPr>
        <w:spacing w:line="400" w:lineRule="exact"/>
        <w:ind w:firstLine="440" w:firstLineChars="200"/>
        <w:rPr>
          <w:rFonts w:ascii="宋体" w:hAnsi="宋体"/>
          <w:color w:val="000000"/>
          <w:sz w:val="22"/>
        </w:rPr>
      </w:pPr>
      <w:r>
        <w:rPr>
          <w:rFonts w:hint="eastAsia" w:ascii="宋体" w:hAnsi="宋体"/>
          <w:sz w:val="22"/>
        </w:rPr>
        <w:t>5.3.6</w:t>
      </w:r>
      <w:r>
        <w:rPr>
          <w:rFonts w:ascii="宋体" w:hAnsi="宋体"/>
          <w:color w:val="000000"/>
          <w:sz w:val="22"/>
        </w:rPr>
        <w:t xml:space="preserve"> 在24个月的保修期内，投标人须至少四次走访招标人，了解其产品的运行情况，并负责解决其产品出现的一切问题，费用由投标人承担。</w:t>
      </w:r>
    </w:p>
    <w:p>
      <w:pPr>
        <w:spacing w:line="400" w:lineRule="exact"/>
        <w:ind w:firstLine="440" w:firstLineChars="200"/>
        <w:rPr>
          <w:rFonts w:ascii="宋体" w:hAnsi="宋体"/>
          <w:color w:val="000000"/>
          <w:sz w:val="22"/>
        </w:rPr>
      </w:pPr>
      <w:r>
        <w:rPr>
          <w:rFonts w:ascii="宋体" w:hAnsi="宋体"/>
          <w:color w:val="000000"/>
          <w:sz w:val="22"/>
        </w:rPr>
        <w:t>5.4备件供应</w:t>
      </w:r>
    </w:p>
    <w:p>
      <w:pPr>
        <w:spacing w:line="400" w:lineRule="exact"/>
        <w:ind w:firstLine="440" w:firstLineChars="200"/>
        <w:rPr>
          <w:rFonts w:ascii="宋体" w:hAnsi="宋体"/>
          <w:color w:val="000000"/>
          <w:sz w:val="22"/>
        </w:rPr>
      </w:pPr>
      <w:r>
        <w:rPr>
          <w:rFonts w:ascii="宋体" w:hAnsi="宋体"/>
          <w:color w:val="000000"/>
          <w:sz w:val="22"/>
        </w:rPr>
        <w:t>5.4.1 在保修期内，由于产品质量</w:t>
      </w:r>
      <w:r>
        <w:rPr>
          <w:rFonts w:hint="eastAsia" w:ascii="宋体" w:hAnsi="宋体"/>
          <w:color w:val="000000"/>
          <w:sz w:val="22"/>
        </w:rPr>
        <w:t>原因</w:t>
      </w:r>
      <w:r>
        <w:rPr>
          <w:rFonts w:ascii="宋体" w:hAnsi="宋体"/>
          <w:color w:val="000000"/>
          <w:sz w:val="22"/>
        </w:rPr>
        <w:t>造成车辆的故障和损坏，备件均由投标人免费提供维修和更换。</w:t>
      </w:r>
    </w:p>
    <w:p>
      <w:pPr>
        <w:spacing w:line="400" w:lineRule="exact"/>
        <w:ind w:firstLine="440" w:firstLineChars="200"/>
        <w:rPr>
          <w:rFonts w:ascii="宋体" w:hAnsi="宋体"/>
          <w:color w:val="000000"/>
          <w:sz w:val="22"/>
        </w:rPr>
      </w:pPr>
      <w:r>
        <w:rPr>
          <w:rFonts w:ascii="宋体" w:hAnsi="宋体"/>
          <w:color w:val="000000"/>
          <w:sz w:val="22"/>
        </w:rPr>
        <w:t>5.4.</w:t>
      </w:r>
      <w:r>
        <w:rPr>
          <w:rFonts w:hint="eastAsia" w:ascii="宋体" w:hAnsi="宋体"/>
          <w:color w:val="000000"/>
          <w:sz w:val="22"/>
        </w:rPr>
        <w:t>2</w:t>
      </w:r>
      <w:r>
        <w:rPr>
          <w:rFonts w:ascii="宋体" w:hAnsi="宋体"/>
          <w:color w:val="000000"/>
          <w:sz w:val="22"/>
        </w:rPr>
        <w:t xml:space="preserve"> 投标人提供投标车辆全部备件的时限不得低于15年，并保证配件的价格在质保期内不高于投标时的价格；</w:t>
      </w:r>
      <w:r>
        <w:rPr>
          <w:rFonts w:hint="eastAsia" w:ascii="宋体" w:hAnsi="宋体"/>
          <w:color w:val="000000"/>
          <w:sz w:val="22"/>
        </w:rPr>
        <w:t>质保期</w:t>
      </w:r>
      <w:r>
        <w:rPr>
          <w:rFonts w:ascii="宋体" w:hAnsi="宋体"/>
          <w:color w:val="000000"/>
          <w:sz w:val="22"/>
        </w:rPr>
        <w:t>内，若发生备件改型而需要对</w:t>
      </w:r>
      <w:r>
        <w:rPr>
          <w:rFonts w:hint="eastAsia" w:ascii="宋体" w:hAnsi="宋体"/>
          <w:color w:val="000000"/>
          <w:sz w:val="22"/>
        </w:rPr>
        <w:t>投标</w:t>
      </w:r>
      <w:r>
        <w:rPr>
          <w:rFonts w:ascii="宋体" w:hAnsi="宋体"/>
          <w:color w:val="000000"/>
          <w:sz w:val="22"/>
        </w:rPr>
        <w:t>车辆进行改装时，由投标人免费予以解决。</w:t>
      </w:r>
    </w:p>
    <w:p>
      <w:pPr>
        <w:spacing w:line="400" w:lineRule="exact"/>
        <w:ind w:firstLine="440" w:firstLineChars="200"/>
        <w:rPr>
          <w:rFonts w:ascii="宋体" w:hAnsi="宋体"/>
          <w:color w:val="000000"/>
          <w:sz w:val="22"/>
        </w:rPr>
      </w:pPr>
      <w:r>
        <w:rPr>
          <w:rFonts w:ascii="宋体" w:hAnsi="宋体"/>
          <w:color w:val="000000"/>
          <w:sz w:val="22"/>
        </w:rPr>
        <w:t>5.5检测、维修设备和工具</w:t>
      </w:r>
    </w:p>
    <w:p>
      <w:pPr>
        <w:spacing w:line="400" w:lineRule="exact"/>
        <w:ind w:firstLine="440" w:firstLineChars="200"/>
        <w:rPr>
          <w:rFonts w:ascii="宋体" w:hAnsi="宋体"/>
          <w:color w:val="000000"/>
          <w:sz w:val="22"/>
        </w:rPr>
      </w:pPr>
      <w:r>
        <w:rPr>
          <w:rFonts w:ascii="宋体" w:hAnsi="宋体"/>
          <w:color w:val="000000"/>
          <w:sz w:val="22"/>
        </w:rPr>
        <w:t>5.5.1 投标人应提供一套检测及维修专用工具包括用于发动机、变速箱、ABS制动系统等ECU设备检测的设备和软件。投标书中应分别列出清单和单价填入附件</w:t>
      </w:r>
      <w:r>
        <w:rPr>
          <w:rFonts w:hint="eastAsia" w:ascii="宋体" w:hAnsi="宋体"/>
          <w:color w:val="000000"/>
          <w:sz w:val="22"/>
        </w:rPr>
        <w:t>二</w:t>
      </w:r>
      <w:r>
        <w:rPr>
          <w:rFonts w:ascii="宋体" w:hAnsi="宋体"/>
          <w:color w:val="000000"/>
          <w:sz w:val="22"/>
        </w:rPr>
        <w:t>“零配件及检测专用设备清单”，计入</w:t>
      </w:r>
      <w:r>
        <w:rPr>
          <w:rFonts w:hint="eastAsia" w:ascii="宋体" w:hAnsi="宋体"/>
          <w:color w:val="000000"/>
          <w:sz w:val="22"/>
        </w:rPr>
        <w:t>投标</w:t>
      </w:r>
      <w:r>
        <w:rPr>
          <w:rFonts w:ascii="宋体" w:hAnsi="宋体"/>
          <w:color w:val="000000"/>
          <w:sz w:val="22"/>
        </w:rPr>
        <w:t>总价。</w:t>
      </w:r>
    </w:p>
    <w:p>
      <w:pPr>
        <w:spacing w:line="400" w:lineRule="exact"/>
        <w:ind w:firstLine="440" w:firstLineChars="200"/>
        <w:rPr>
          <w:rFonts w:ascii="宋体" w:hAnsi="宋体"/>
          <w:color w:val="000000"/>
          <w:sz w:val="22"/>
        </w:rPr>
      </w:pPr>
      <w:r>
        <w:rPr>
          <w:rFonts w:ascii="宋体" w:hAnsi="宋体"/>
          <w:color w:val="000000"/>
          <w:sz w:val="22"/>
        </w:rPr>
        <w:t>5.5.2 所有检测设备及工具必须是全新的，并且不得用于调试和试运行，能在要求的现场条件下正常工作。</w:t>
      </w:r>
    </w:p>
    <w:p>
      <w:pPr>
        <w:spacing w:line="400" w:lineRule="exact"/>
        <w:ind w:firstLine="440" w:firstLineChars="200"/>
        <w:rPr>
          <w:rFonts w:ascii="宋体" w:hAnsi="宋体"/>
          <w:color w:val="000000"/>
          <w:sz w:val="22"/>
        </w:rPr>
      </w:pPr>
      <w:r>
        <w:rPr>
          <w:rFonts w:ascii="宋体" w:hAnsi="宋体"/>
          <w:color w:val="000000"/>
          <w:sz w:val="22"/>
        </w:rPr>
        <w:t>5.5.3 检测、维护设备、工具和相应的包装箱、工具盒应同车辆一起移交招标人。</w:t>
      </w:r>
    </w:p>
    <w:p>
      <w:pPr>
        <w:spacing w:line="400" w:lineRule="exact"/>
        <w:ind w:firstLine="440" w:firstLineChars="200"/>
        <w:rPr>
          <w:rFonts w:ascii="宋体" w:hAnsi="宋体"/>
          <w:color w:val="000000"/>
          <w:sz w:val="22"/>
        </w:rPr>
      </w:pPr>
      <w:r>
        <w:rPr>
          <w:rFonts w:ascii="宋体" w:hAnsi="宋体"/>
          <w:color w:val="000000"/>
          <w:sz w:val="22"/>
        </w:rPr>
        <w:t>5.6铭牌及各类标记</w:t>
      </w:r>
    </w:p>
    <w:p>
      <w:pPr>
        <w:spacing w:line="400" w:lineRule="exact"/>
        <w:ind w:firstLine="440" w:firstLineChars="200"/>
        <w:rPr>
          <w:rFonts w:ascii="宋体" w:hAnsi="宋体"/>
          <w:color w:val="000000"/>
          <w:sz w:val="22"/>
        </w:rPr>
      </w:pPr>
      <w:r>
        <w:rPr>
          <w:rFonts w:ascii="宋体" w:hAnsi="宋体"/>
          <w:color w:val="000000"/>
          <w:sz w:val="22"/>
        </w:rPr>
        <w:t>5.6.1 投标人提供的设备所有铭牌、使用指示、警告标记必须用中文或中英文表示。</w:t>
      </w:r>
    </w:p>
    <w:p>
      <w:pPr>
        <w:spacing w:line="400" w:lineRule="exact"/>
        <w:ind w:firstLine="440" w:firstLineChars="200"/>
        <w:rPr>
          <w:rFonts w:ascii="宋体" w:hAnsi="宋体"/>
          <w:color w:val="000000"/>
          <w:sz w:val="22"/>
        </w:rPr>
      </w:pPr>
      <w:r>
        <w:rPr>
          <w:rFonts w:ascii="宋体" w:hAnsi="宋体"/>
          <w:color w:val="000000"/>
          <w:sz w:val="22"/>
        </w:rPr>
        <w:t>5.6.2 每项设备均应有制造厂的铭牌，并装在显著的地方。铭牌应清楚标明至少下列内容：制造厂名称、设备名称及型号、制造年月、主要规格和参数、制造编号等。</w:t>
      </w:r>
    </w:p>
    <w:p>
      <w:pPr>
        <w:spacing w:line="400" w:lineRule="exact"/>
        <w:ind w:firstLine="440" w:firstLineChars="200"/>
        <w:rPr>
          <w:rFonts w:ascii="宋体" w:hAnsi="宋体"/>
          <w:color w:val="000000"/>
          <w:sz w:val="22"/>
        </w:rPr>
      </w:pPr>
      <w:r>
        <w:rPr>
          <w:rFonts w:ascii="宋体" w:hAnsi="宋体"/>
          <w:color w:val="000000"/>
          <w:sz w:val="22"/>
        </w:rPr>
        <w:t>5.6.3 各操作按钮和控制装置的明显位置应有中文操作说明和指示。各种显示装置、仪表应有表明其名称和作用的符号或标记。</w:t>
      </w:r>
    </w:p>
    <w:p>
      <w:pPr>
        <w:spacing w:line="400" w:lineRule="exact"/>
        <w:ind w:firstLine="440" w:firstLineChars="200"/>
        <w:rPr>
          <w:rFonts w:ascii="宋体" w:hAnsi="宋体"/>
          <w:color w:val="000000"/>
          <w:sz w:val="22"/>
        </w:rPr>
      </w:pPr>
      <w:r>
        <w:rPr>
          <w:rFonts w:ascii="宋体" w:hAnsi="宋体"/>
          <w:color w:val="000000"/>
          <w:sz w:val="22"/>
        </w:rPr>
        <w:t>5.6.4 易发生危险的部位应有警告标记。需要经常维护的位置应有简要说明。</w:t>
      </w:r>
    </w:p>
    <w:p>
      <w:pPr>
        <w:spacing w:line="400" w:lineRule="exact"/>
        <w:ind w:firstLine="440" w:firstLineChars="200"/>
        <w:rPr>
          <w:rFonts w:ascii="宋体" w:hAnsi="宋体"/>
          <w:color w:val="000000"/>
          <w:sz w:val="22"/>
        </w:rPr>
      </w:pPr>
      <w:r>
        <w:rPr>
          <w:rFonts w:ascii="宋体" w:hAnsi="宋体"/>
          <w:color w:val="000000"/>
          <w:sz w:val="22"/>
        </w:rPr>
        <w:t>5.6.5 电气设备的标记和标签：</w:t>
      </w:r>
    </w:p>
    <w:p>
      <w:pPr>
        <w:spacing w:line="400" w:lineRule="exact"/>
        <w:ind w:firstLine="440" w:firstLineChars="200"/>
        <w:rPr>
          <w:rFonts w:ascii="宋体" w:hAnsi="宋体"/>
          <w:color w:val="000000"/>
          <w:sz w:val="22"/>
        </w:rPr>
      </w:pPr>
      <w:r>
        <w:rPr>
          <w:rFonts w:ascii="宋体" w:hAnsi="宋体"/>
          <w:color w:val="000000"/>
          <w:sz w:val="22"/>
        </w:rPr>
        <w:t>5.6.5.1 所有电气设备或部件的接线处应清楚地打上永久性标记，连接点两端的标记号必须相同，标记号应印在护套管上；</w:t>
      </w:r>
    </w:p>
    <w:p>
      <w:pPr>
        <w:spacing w:line="400" w:lineRule="exact"/>
        <w:ind w:firstLine="440" w:firstLineChars="200"/>
        <w:rPr>
          <w:rFonts w:ascii="宋体" w:hAnsi="宋体"/>
          <w:color w:val="000000"/>
          <w:sz w:val="22"/>
        </w:rPr>
      </w:pPr>
      <w:r>
        <w:rPr>
          <w:rFonts w:ascii="宋体" w:hAnsi="宋体"/>
          <w:color w:val="000000"/>
          <w:sz w:val="22"/>
        </w:rPr>
        <w:t>5.6.5.2 不同作用的电缆和芯线应用不同颜色区分开，需要连接的两端使用相同的颜色，并有标记号。</w:t>
      </w:r>
    </w:p>
    <w:p>
      <w:pPr>
        <w:spacing w:line="400" w:lineRule="exact"/>
        <w:ind w:firstLine="440" w:firstLineChars="200"/>
        <w:rPr>
          <w:rFonts w:ascii="宋体" w:hAnsi="宋体"/>
          <w:color w:val="000000"/>
          <w:sz w:val="22"/>
        </w:rPr>
      </w:pPr>
      <w:r>
        <w:rPr>
          <w:rFonts w:ascii="宋体" w:hAnsi="宋体"/>
          <w:color w:val="000000"/>
          <w:sz w:val="22"/>
        </w:rPr>
        <w:t>5.7涂漆</w:t>
      </w:r>
    </w:p>
    <w:p>
      <w:pPr>
        <w:spacing w:line="400" w:lineRule="exact"/>
        <w:ind w:firstLine="440" w:firstLineChars="200"/>
        <w:rPr>
          <w:rFonts w:ascii="宋体" w:hAnsi="宋体"/>
          <w:color w:val="000000"/>
          <w:sz w:val="22"/>
        </w:rPr>
      </w:pPr>
      <w:r>
        <w:rPr>
          <w:rFonts w:ascii="宋体" w:hAnsi="宋体"/>
          <w:color w:val="000000"/>
          <w:sz w:val="22"/>
        </w:rPr>
        <w:t>5.7.1 车身及驾驶室外表面：</w:t>
      </w:r>
      <w:r>
        <w:rPr>
          <w:rFonts w:hint="eastAsia" w:ascii="宋体" w:hAnsi="宋体"/>
          <w:color w:val="000000"/>
          <w:sz w:val="22"/>
        </w:rPr>
        <w:t>总体消防</w:t>
      </w:r>
      <w:r>
        <w:rPr>
          <w:rFonts w:ascii="宋体" w:hAnsi="宋体"/>
          <w:color w:val="000000"/>
          <w:sz w:val="22"/>
        </w:rPr>
        <w:t>红色</w:t>
      </w:r>
      <w:r>
        <w:rPr>
          <w:rFonts w:hint="eastAsia" w:ascii="宋体" w:hAnsi="宋体"/>
          <w:color w:val="000000"/>
          <w:sz w:val="22"/>
        </w:rPr>
        <w:t>，其他</w:t>
      </w:r>
      <w:r>
        <w:rPr>
          <w:rFonts w:ascii="宋体" w:hAnsi="宋体"/>
          <w:color w:val="000000"/>
          <w:sz w:val="22"/>
        </w:rPr>
        <w:t>文字和图案</w:t>
      </w:r>
      <w:r>
        <w:rPr>
          <w:rFonts w:hint="eastAsia" w:ascii="宋体" w:hAnsi="宋体"/>
          <w:color w:val="000000"/>
          <w:sz w:val="22"/>
        </w:rPr>
        <w:t>由</w:t>
      </w:r>
      <w:r>
        <w:rPr>
          <w:rFonts w:ascii="宋体" w:hAnsi="宋体"/>
          <w:color w:val="000000"/>
          <w:sz w:val="22"/>
        </w:rPr>
        <w:t>招标人确定</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5.7.2 所有非暴露表面必须进行预加工和喷涂白色底漆；所有暴露的表面必须进行预加工、涂底漆和面漆。加工后的表面应具有防锈蚀功能。</w:t>
      </w:r>
    </w:p>
    <w:p>
      <w:pPr>
        <w:spacing w:line="400" w:lineRule="exact"/>
        <w:ind w:firstLine="440" w:firstLineChars="200"/>
        <w:rPr>
          <w:rFonts w:ascii="宋体" w:hAnsi="宋体"/>
          <w:color w:val="000000"/>
          <w:sz w:val="22"/>
        </w:rPr>
      </w:pPr>
      <w:r>
        <w:rPr>
          <w:rFonts w:ascii="宋体" w:hAnsi="宋体"/>
          <w:color w:val="000000"/>
          <w:sz w:val="22"/>
        </w:rPr>
        <w:t>5.7.3 每台车至少涂两层高锌环氧树脂底漆和一层聚氨酯面漆。在现场条件下应不易脱落、褪色。涂漆应有防腐功能，并易清洁。</w:t>
      </w:r>
    </w:p>
    <w:p>
      <w:pPr>
        <w:adjustRightInd w:val="0"/>
        <w:spacing w:line="400" w:lineRule="exact"/>
        <w:rPr>
          <w:rFonts w:ascii="宋体" w:hAnsi="宋体"/>
          <w:b/>
          <w:color w:val="000000"/>
          <w:sz w:val="22"/>
        </w:rPr>
      </w:pPr>
      <w:r>
        <w:rPr>
          <w:rFonts w:ascii="宋体" w:hAnsi="宋体"/>
          <w:b/>
          <w:color w:val="000000"/>
          <w:sz w:val="22"/>
        </w:rPr>
        <w:t>六、技术规格和要求</w:t>
      </w:r>
    </w:p>
    <w:p>
      <w:pPr>
        <w:adjustRightInd w:val="0"/>
        <w:spacing w:line="400" w:lineRule="exact"/>
        <w:ind w:firstLine="440" w:firstLineChars="200"/>
        <w:rPr>
          <w:rFonts w:ascii="宋体" w:hAnsi="宋体"/>
          <w:color w:val="000000"/>
          <w:sz w:val="22"/>
        </w:rPr>
      </w:pPr>
      <w:r>
        <w:rPr>
          <w:rFonts w:ascii="宋体" w:hAnsi="宋体"/>
          <w:color w:val="000000"/>
          <w:sz w:val="22"/>
        </w:rPr>
        <w:t>6.1基本技术要求</w:t>
      </w:r>
    </w:p>
    <w:p>
      <w:pPr>
        <w:adjustRightInd w:val="0"/>
        <w:spacing w:line="400" w:lineRule="exact"/>
        <w:ind w:firstLine="440" w:firstLineChars="200"/>
        <w:rPr>
          <w:rFonts w:ascii="宋体" w:hAnsi="宋体"/>
          <w:color w:val="000000"/>
          <w:sz w:val="22"/>
        </w:rPr>
      </w:pPr>
      <w:r>
        <w:rPr>
          <w:rFonts w:ascii="宋体" w:hAnsi="宋体"/>
          <w:color w:val="000000"/>
          <w:sz w:val="22"/>
        </w:rPr>
        <w:t>6.1.1投标的主力泡沫消防车应是为机场</w:t>
      </w:r>
      <w:r>
        <w:rPr>
          <w:rFonts w:hint="eastAsia" w:ascii="宋体" w:hAnsi="宋体"/>
          <w:color w:val="000000"/>
          <w:sz w:val="22"/>
        </w:rPr>
        <w:t>航空器</w:t>
      </w:r>
      <w:r>
        <w:rPr>
          <w:rFonts w:ascii="宋体" w:hAnsi="宋体"/>
          <w:color w:val="000000"/>
          <w:sz w:val="22"/>
        </w:rPr>
        <w:t>消防救援工作而专门设计的，主要用于迅速扑灭飞机火灾，救援飞机上的人员。</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w:t>
      </w:r>
      <w:r>
        <w:rPr>
          <w:rFonts w:ascii="宋体" w:hAnsi="宋体"/>
          <w:color w:val="000000"/>
          <w:sz w:val="22"/>
        </w:rPr>
        <w:t>.1.2投标车辆的所有的外部连接系统应符合中国工业标准。</w:t>
      </w:r>
    </w:p>
    <w:p>
      <w:pPr>
        <w:adjustRightInd w:val="0"/>
        <w:spacing w:line="400" w:lineRule="exact"/>
        <w:ind w:firstLine="440" w:firstLineChars="200"/>
        <w:rPr>
          <w:rFonts w:ascii="宋体" w:hAnsi="宋体"/>
          <w:color w:val="000000"/>
          <w:sz w:val="22"/>
        </w:rPr>
      </w:pPr>
      <w:r>
        <w:rPr>
          <w:rFonts w:ascii="宋体" w:hAnsi="宋体"/>
          <w:color w:val="000000"/>
          <w:sz w:val="22"/>
        </w:rPr>
        <w:t>6.1.3投标车辆应能符合除驾驶员外只需1人即可在驾驶室内完成控制灭火设备</w:t>
      </w:r>
      <w:r>
        <w:rPr>
          <w:rFonts w:hint="eastAsia" w:ascii="宋体" w:hAnsi="宋体"/>
          <w:color w:val="000000"/>
          <w:sz w:val="22"/>
        </w:rPr>
        <w:t>操作</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6.1.4</w:t>
      </w:r>
      <w:r>
        <w:rPr>
          <w:rFonts w:ascii="宋体" w:hAnsi="宋体"/>
          <w:color w:val="000000"/>
          <w:sz w:val="22"/>
        </w:rPr>
        <w:t>既能利用自身的</w:t>
      </w:r>
      <w:r>
        <w:rPr>
          <w:rFonts w:hint="eastAsia" w:ascii="宋体" w:hAnsi="宋体"/>
          <w:color w:val="000000"/>
          <w:sz w:val="22"/>
        </w:rPr>
        <w:t>车载</w:t>
      </w:r>
      <w:r>
        <w:rPr>
          <w:rFonts w:ascii="宋体" w:hAnsi="宋体"/>
          <w:color w:val="000000"/>
          <w:sz w:val="22"/>
        </w:rPr>
        <w:t>灭火剂进行灭火，也能直接利用消火栓和外部水源进行灭火。</w:t>
      </w:r>
    </w:p>
    <w:p>
      <w:pPr>
        <w:adjustRightInd w:val="0"/>
        <w:spacing w:line="400" w:lineRule="exact"/>
        <w:ind w:firstLine="440" w:firstLineChars="200"/>
        <w:rPr>
          <w:rFonts w:ascii="宋体" w:hAnsi="宋体"/>
          <w:color w:val="000000"/>
          <w:sz w:val="22"/>
        </w:rPr>
      </w:pPr>
      <w:r>
        <w:rPr>
          <w:rFonts w:ascii="宋体" w:hAnsi="宋体"/>
          <w:color w:val="000000"/>
          <w:sz w:val="22"/>
        </w:rPr>
        <w:t>6.2整车的性能要求</w:t>
      </w:r>
    </w:p>
    <w:p>
      <w:pPr>
        <w:adjustRightInd w:val="0"/>
        <w:spacing w:line="400" w:lineRule="exact"/>
        <w:ind w:firstLine="440" w:firstLineChars="200"/>
        <w:rPr>
          <w:rFonts w:ascii="宋体" w:hAnsi="宋体"/>
          <w:color w:val="000000"/>
          <w:sz w:val="22"/>
        </w:rPr>
      </w:pPr>
      <w:r>
        <w:rPr>
          <w:rFonts w:ascii="宋体" w:hAnsi="宋体"/>
          <w:color w:val="000000"/>
          <w:sz w:val="22"/>
        </w:rPr>
        <w:t>6.2.1投标车辆应配备水、泡沫灭火系统</w:t>
      </w:r>
      <w:r>
        <w:rPr>
          <w:rFonts w:hint="eastAsia" w:ascii="宋体" w:hAnsi="宋体"/>
          <w:color w:val="000000"/>
          <w:sz w:val="22"/>
        </w:rPr>
        <w:t>两</w:t>
      </w:r>
      <w:r>
        <w:rPr>
          <w:rFonts w:ascii="宋体" w:hAnsi="宋体"/>
          <w:color w:val="000000"/>
          <w:sz w:val="22"/>
        </w:rPr>
        <w:t>套灭火装置。水罐的有效容积</w:t>
      </w:r>
      <w:r>
        <w:rPr>
          <w:rFonts w:ascii="宋体" w:hAnsi="宋体"/>
          <w:sz w:val="22"/>
        </w:rPr>
        <w:t>≥12</w:t>
      </w:r>
      <w:r>
        <w:rPr>
          <w:rFonts w:hint="eastAsia" w:ascii="宋体" w:hAnsi="宋体"/>
          <w:sz w:val="22"/>
        </w:rPr>
        <w:t>0</w:t>
      </w:r>
      <w:r>
        <w:rPr>
          <w:rFonts w:ascii="宋体" w:hAnsi="宋体"/>
          <w:sz w:val="22"/>
        </w:rPr>
        <w:t>00L，泡沫</w:t>
      </w:r>
      <w:r>
        <w:rPr>
          <w:rFonts w:ascii="宋体" w:hAnsi="宋体"/>
          <w:color w:val="000000"/>
          <w:sz w:val="22"/>
        </w:rPr>
        <w:t>罐有效容积≥15</w:t>
      </w:r>
      <w:r>
        <w:rPr>
          <w:rFonts w:hint="eastAsia" w:ascii="宋体" w:hAnsi="宋体"/>
          <w:color w:val="000000"/>
          <w:sz w:val="22"/>
        </w:rPr>
        <w:t>0</w:t>
      </w:r>
      <w:r>
        <w:rPr>
          <w:rFonts w:ascii="宋体" w:hAnsi="宋体"/>
          <w:color w:val="000000"/>
          <w:sz w:val="22"/>
        </w:rPr>
        <w:t>0L。</w:t>
      </w:r>
    </w:p>
    <w:p>
      <w:pPr>
        <w:adjustRightInd w:val="0"/>
        <w:spacing w:line="400" w:lineRule="exact"/>
        <w:ind w:firstLine="440" w:firstLineChars="200"/>
        <w:rPr>
          <w:rFonts w:ascii="宋体" w:hAnsi="宋体"/>
          <w:color w:val="000000"/>
          <w:sz w:val="22"/>
        </w:rPr>
      </w:pPr>
      <w:r>
        <w:rPr>
          <w:rFonts w:ascii="宋体" w:hAnsi="宋体"/>
          <w:color w:val="000000"/>
          <w:sz w:val="22"/>
        </w:rPr>
        <w:t>6.2.2车身总长</w:t>
      </w:r>
      <w:r>
        <w:rPr>
          <w:rFonts w:hint="eastAsia" w:ascii="宋体" w:hAnsi="宋体"/>
          <w:color w:val="000000"/>
          <w:sz w:val="22"/>
        </w:rPr>
        <w:t>≤</w:t>
      </w:r>
      <w:r>
        <w:rPr>
          <w:rFonts w:ascii="宋体" w:hAnsi="宋体"/>
          <w:color w:val="000000"/>
          <w:sz w:val="22"/>
        </w:rPr>
        <w:t>1</w:t>
      </w:r>
      <w:r>
        <w:rPr>
          <w:rFonts w:hint="eastAsia" w:ascii="宋体" w:hAnsi="宋体"/>
          <w:color w:val="000000"/>
          <w:sz w:val="22"/>
        </w:rPr>
        <w:t>40</w:t>
      </w:r>
      <w:r>
        <w:rPr>
          <w:rFonts w:ascii="宋体" w:hAnsi="宋体"/>
          <w:color w:val="000000"/>
          <w:sz w:val="22"/>
        </w:rPr>
        <w:t>00mm，</w:t>
      </w:r>
      <w:r>
        <w:rPr>
          <w:rFonts w:hint="eastAsia" w:ascii="宋体" w:hAnsi="宋体"/>
          <w:color w:val="000000"/>
          <w:sz w:val="22"/>
        </w:rPr>
        <w:t>2800mm≤</w:t>
      </w:r>
      <w:r>
        <w:rPr>
          <w:rFonts w:ascii="宋体" w:hAnsi="宋体"/>
          <w:color w:val="000000"/>
          <w:sz w:val="22"/>
        </w:rPr>
        <w:t>总宽</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3</w:t>
      </w:r>
      <w:r>
        <w:rPr>
          <w:rFonts w:ascii="宋体" w:hAnsi="宋体"/>
          <w:color w:val="000000"/>
          <w:sz w:val="22"/>
        </w:rPr>
        <w:t>00mm</w:t>
      </w:r>
      <w:r>
        <w:rPr>
          <w:rFonts w:hint="eastAsia" w:ascii="宋体" w:hAnsi="宋体"/>
          <w:color w:val="000000"/>
          <w:sz w:val="22"/>
        </w:rPr>
        <w:t>（不含反光镜）</w:t>
      </w:r>
      <w:r>
        <w:rPr>
          <w:rFonts w:ascii="宋体" w:hAnsi="宋体"/>
          <w:color w:val="000000"/>
          <w:sz w:val="22"/>
        </w:rPr>
        <w:t>，总高</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6</w:t>
      </w:r>
      <w:r>
        <w:rPr>
          <w:rFonts w:ascii="宋体" w:hAnsi="宋体"/>
          <w:color w:val="000000"/>
          <w:sz w:val="22"/>
        </w:rPr>
        <w:t>00mm。离地最小间隙≥</w:t>
      </w:r>
      <w:r>
        <w:rPr>
          <w:rFonts w:hint="eastAsia" w:ascii="宋体" w:hAnsi="宋体"/>
          <w:color w:val="000000"/>
          <w:sz w:val="22"/>
        </w:rPr>
        <w:t>40</w:t>
      </w:r>
      <w:r>
        <w:rPr>
          <w:rFonts w:ascii="宋体" w:hAnsi="宋体"/>
          <w:color w:val="000000"/>
          <w:sz w:val="22"/>
        </w:rPr>
        <w:t>0mm。最小转弯半径≤1</w:t>
      </w:r>
      <w:r>
        <w:rPr>
          <w:rFonts w:hint="eastAsia" w:ascii="宋体" w:hAnsi="宋体"/>
          <w:color w:val="000000"/>
          <w:sz w:val="22"/>
        </w:rPr>
        <w:t>6.5</w:t>
      </w:r>
      <w:r>
        <w:rPr>
          <w:rFonts w:ascii="宋体" w:hAnsi="宋体"/>
          <w:color w:val="000000"/>
          <w:sz w:val="22"/>
        </w:rPr>
        <w:t>m，车总重量</w:t>
      </w:r>
      <w:r>
        <w:rPr>
          <w:rFonts w:hint="eastAsia" w:ascii="宋体" w:hAnsi="宋体"/>
          <w:color w:val="000000"/>
          <w:sz w:val="22"/>
        </w:rPr>
        <w:t>（满载）</w:t>
      </w:r>
      <w:r>
        <w:rPr>
          <w:rFonts w:ascii="宋体" w:hAnsi="宋体"/>
          <w:color w:val="000000"/>
          <w:sz w:val="22"/>
        </w:rPr>
        <w:t>≤</w:t>
      </w:r>
      <w:r>
        <w:rPr>
          <w:rFonts w:hint="eastAsia" w:ascii="宋体" w:hAnsi="宋体"/>
          <w:color w:val="000000"/>
          <w:sz w:val="22"/>
        </w:rPr>
        <w:t>60</w:t>
      </w:r>
      <w:r>
        <w:rPr>
          <w:rFonts w:ascii="宋体" w:hAnsi="宋体"/>
          <w:color w:val="000000"/>
          <w:sz w:val="22"/>
        </w:rPr>
        <w:t>000kg。</w:t>
      </w:r>
    </w:p>
    <w:p>
      <w:pPr>
        <w:adjustRightInd w:val="0"/>
        <w:spacing w:line="400" w:lineRule="exact"/>
        <w:ind w:firstLine="440" w:firstLineChars="200"/>
        <w:rPr>
          <w:rFonts w:ascii="宋体" w:hAnsi="宋体"/>
          <w:color w:val="000000"/>
          <w:sz w:val="22"/>
        </w:rPr>
      </w:pPr>
      <w:r>
        <w:rPr>
          <w:rFonts w:ascii="宋体" w:hAnsi="宋体"/>
          <w:color w:val="000000"/>
          <w:sz w:val="22"/>
        </w:rPr>
        <w:t>6.2.3满载状态下：侧向静态倾斜稳定能力≥</w:t>
      </w:r>
      <w:r>
        <w:rPr>
          <w:rFonts w:hint="eastAsia" w:ascii="宋体" w:hAnsi="宋体"/>
          <w:color w:val="000000"/>
          <w:sz w:val="22"/>
        </w:rPr>
        <w:t>30</w:t>
      </w:r>
      <w:r>
        <w:rPr>
          <w:rFonts w:ascii="宋体" w:hAnsi="宋体"/>
          <w:color w:val="000000"/>
          <w:sz w:val="22"/>
        </w:rPr>
        <w:t>°，在≤30m半径弯道行驶速度≥35km/h时，侧向动态倾斜稳定能力≥11°。投标车辆必须提供车辆满载时的</w:t>
      </w:r>
      <w:r>
        <w:rPr>
          <w:rFonts w:hint="eastAsia" w:ascii="宋体" w:hAnsi="宋体"/>
          <w:color w:val="000000"/>
          <w:sz w:val="22"/>
        </w:rPr>
        <w:t>质</w:t>
      </w:r>
      <w:r>
        <w:rPr>
          <w:rFonts w:ascii="宋体" w:hAnsi="宋体"/>
          <w:color w:val="000000"/>
          <w:sz w:val="22"/>
        </w:rPr>
        <w:t>心高度。</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 xml:space="preserve">6.2.4 </w:t>
      </w:r>
      <w:r>
        <w:rPr>
          <w:rFonts w:ascii="宋体" w:hAnsi="宋体"/>
          <w:bCs/>
          <w:color w:val="000000"/>
          <w:sz w:val="22"/>
        </w:rPr>
        <w:t>采用6×6</w:t>
      </w:r>
      <w:r>
        <w:rPr>
          <w:rFonts w:hint="eastAsia" w:ascii="宋体" w:hAnsi="宋体"/>
          <w:bCs/>
          <w:color w:val="000000"/>
          <w:sz w:val="22"/>
        </w:rPr>
        <w:t>或以上</w:t>
      </w:r>
      <w:r>
        <w:rPr>
          <w:rFonts w:ascii="宋体" w:hAnsi="宋体"/>
          <w:bCs/>
          <w:color w:val="000000"/>
          <w:sz w:val="22"/>
        </w:rPr>
        <w:t>全轮驱动系统</w:t>
      </w:r>
      <w:r>
        <w:rPr>
          <w:rFonts w:ascii="宋体" w:hAnsi="宋体"/>
          <w:b/>
          <w:color w:val="000000"/>
          <w:sz w:val="22"/>
        </w:rPr>
        <w:t>，满载时可保持最高车速</w:t>
      </w:r>
      <w:r>
        <w:rPr>
          <w:rFonts w:ascii="宋体" w:hAnsi="宋体"/>
          <w:color w:val="000000"/>
          <w:sz w:val="22"/>
        </w:rPr>
        <w:t>≥</w:t>
      </w:r>
      <w:r>
        <w:rPr>
          <w:rFonts w:ascii="宋体" w:hAnsi="宋体"/>
          <w:b/>
          <w:color w:val="000000"/>
          <w:sz w:val="22"/>
        </w:rPr>
        <w:t>10</w:t>
      </w:r>
      <w:r>
        <w:rPr>
          <w:rFonts w:hint="eastAsia" w:ascii="宋体" w:hAnsi="宋体"/>
          <w:b/>
          <w:color w:val="000000"/>
          <w:sz w:val="22"/>
        </w:rPr>
        <w:t>0</w:t>
      </w:r>
      <w:r>
        <w:rPr>
          <w:rFonts w:ascii="宋体" w:hAnsi="宋体"/>
          <w:b/>
          <w:color w:val="000000"/>
          <w:sz w:val="22"/>
        </w:rPr>
        <w:t>km/h，满载情况下加速性能（0-80km/h）</w:t>
      </w:r>
      <w:r>
        <w:rPr>
          <w:rFonts w:ascii="宋体" w:hAnsi="宋体"/>
          <w:color w:val="000000"/>
          <w:sz w:val="22"/>
        </w:rPr>
        <w:t>≤</w:t>
      </w:r>
      <w:r>
        <w:rPr>
          <w:rFonts w:hint="eastAsia" w:ascii="宋体" w:hAnsi="宋体"/>
          <w:b/>
          <w:color w:val="000000"/>
          <w:sz w:val="22"/>
        </w:rPr>
        <w:t>40</w:t>
      </w:r>
      <w:r>
        <w:rPr>
          <w:rFonts w:ascii="宋体" w:hAnsi="宋体"/>
          <w:b/>
          <w:color w:val="000000"/>
          <w:sz w:val="22"/>
        </w:rPr>
        <w:t>s。</w:t>
      </w:r>
      <w:r>
        <w:rPr>
          <w:rFonts w:hint="eastAsia" w:ascii="宋体" w:hAnsi="宋体"/>
          <w:b/>
          <w:color w:val="000000"/>
          <w:sz w:val="22"/>
        </w:rPr>
        <w:t>投标人</w:t>
      </w:r>
      <w:r>
        <w:rPr>
          <w:rFonts w:ascii="宋体" w:hAnsi="宋体"/>
          <w:b/>
          <w:color w:val="000000"/>
          <w:sz w:val="22"/>
        </w:rPr>
        <w:t>对该款要求必须</w:t>
      </w:r>
      <w:r>
        <w:rPr>
          <w:rFonts w:hint="eastAsia" w:ascii="宋体" w:hAnsi="宋体"/>
          <w:b/>
          <w:color w:val="000000"/>
          <w:sz w:val="22"/>
        </w:rPr>
        <w:t>第三方</w:t>
      </w:r>
      <w:r>
        <w:rPr>
          <w:rFonts w:ascii="宋体" w:hAnsi="宋体"/>
          <w:b/>
          <w:color w:val="000000"/>
          <w:sz w:val="22"/>
        </w:rPr>
        <w:t>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6.2.5满载时，可上、下≥50%的陡坡，可在≥</w:t>
      </w:r>
      <w:r>
        <w:rPr>
          <w:rFonts w:hint="eastAsia" w:ascii="宋体" w:hAnsi="宋体"/>
          <w:color w:val="000000"/>
          <w:sz w:val="22"/>
        </w:rPr>
        <w:t>2</w:t>
      </w:r>
      <w:r>
        <w:rPr>
          <w:rFonts w:ascii="宋体" w:hAnsi="宋体"/>
          <w:color w:val="000000"/>
          <w:sz w:val="22"/>
        </w:rPr>
        <w:t>0%的坡上停驻或起动，干燥路面条件下，当速度≥60km/h时，紧急制动距离≤</w:t>
      </w:r>
      <w:r>
        <w:rPr>
          <w:rFonts w:hint="eastAsia" w:ascii="宋体" w:hAnsi="宋体"/>
          <w:color w:val="000000"/>
          <w:sz w:val="22"/>
        </w:rPr>
        <w:t>8</w:t>
      </w:r>
      <w:r>
        <w:rPr>
          <w:rFonts w:ascii="宋体" w:hAnsi="宋体"/>
          <w:color w:val="000000"/>
          <w:sz w:val="22"/>
        </w:rPr>
        <w:t>0m</w:t>
      </w:r>
      <w:r>
        <w:rPr>
          <w:rFonts w:hint="eastAsia" w:ascii="宋体" w:hAnsi="宋体"/>
          <w:color w:val="000000"/>
          <w:sz w:val="22"/>
        </w:rPr>
        <w:t>。投标人</w:t>
      </w:r>
      <w:r>
        <w:rPr>
          <w:rFonts w:ascii="宋体" w:hAnsi="宋体"/>
          <w:color w:val="000000"/>
          <w:sz w:val="22"/>
        </w:rPr>
        <w:t>对该款要求必须</w:t>
      </w:r>
      <w:r>
        <w:rPr>
          <w:rFonts w:hint="eastAsia" w:ascii="宋体" w:hAnsi="宋体"/>
          <w:color w:val="000000"/>
          <w:sz w:val="22"/>
        </w:rPr>
        <w:t>第三方</w:t>
      </w:r>
      <w:r>
        <w:rPr>
          <w:rFonts w:ascii="宋体" w:hAnsi="宋体"/>
          <w:color w:val="000000"/>
          <w:sz w:val="22"/>
        </w:rPr>
        <w:t>提供检测报告。</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6.2.6 当车辆行驶速度≥</w:t>
      </w:r>
      <w:r>
        <w:rPr>
          <w:rFonts w:hint="eastAsia" w:ascii="宋体" w:hAnsi="宋体"/>
          <w:b/>
          <w:color w:val="000000"/>
          <w:sz w:val="22"/>
        </w:rPr>
        <w:t>40</w:t>
      </w:r>
      <w:r>
        <w:rPr>
          <w:rFonts w:ascii="宋体" w:hAnsi="宋体"/>
          <w:b/>
          <w:color w:val="000000"/>
          <w:sz w:val="22"/>
        </w:rPr>
        <w:t>km/h时，消防泵可全功率运转，消防系统可正常工作，可实现边行驶边喷射灭火剂。</w:t>
      </w:r>
      <w:r>
        <w:rPr>
          <w:rFonts w:hint="eastAsia" w:ascii="宋体" w:hAnsi="宋体"/>
          <w:b/>
          <w:color w:val="000000"/>
          <w:sz w:val="22"/>
        </w:rPr>
        <w:t>投标人</w:t>
      </w:r>
      <w:r>
        <w:rPr>
          <w:rFonts w:ascii="宋体" w:hAnsi="宋体"/>
          <w:b/>
          <w:color w:val="000000"/>
          <w:sz w:val="22"/>
        </w:rPr>
        <w:t>对该款要求必须提供</w:t>
      </w:r>
      <w:r>
        <w:rPr>
          <w:rFonts w:hint="eastAsia" w:ascii="宋体" w:hAnsi="宋体"/>
          <w:b/>
          <w:color w:val="000000"/>
          <w:sz w:val="22"/>
        </w:rPr>
        <w:t>第三方</w:t>
      </w:r>
      <w:r>
        <w:rPr>
          <w:rFonts w:ascii="宋体" w:hAnsi="宋体"/>
          <w:b/>
          <w:color w:val="000000"/>
          <w:sz w:val="22"/>
        </w:rPr>
        <w:t>检测报告。</w:t>
      </w:r>
    </w:p>
    <w:p>
      <w:pPr>
        <w:adjustRightInd w:val="0"/>
        <w:spacing w:line="400" w:lineRule="exact"/>
        <w:ind w:firstLine="440" w:firstLineChars="200"/>
        <w:rPr>
          <w:rFonts w:ascii="宋体" w:hAnsi="宋体"/>
          <w:color w:val="000000"/>
          <w:sz w:val="22"/>
        </w:rPr>
      </w:pPr>
      <w:r>
        <w:rPr>
          <w:rFonts w:ascii="宋体" w:hAnsi="宋体"/>
          <w:color w:val="000000"/>
          <w:sz w:val="22"/>
        </w:rPr>
        <w:t>6.3消防系统要求</w:t>
      </w:r>
    </w:p>
    <w:p>
      <w:pPr>
        <w:adjustRightInd w:val="0"/>
        <w:spacing w:line="400" w:lineRule="exact"/>
        <w:ind w:firstLine="440" w:firstLineChars="200"/>
        <w:rPr>
          <w:rFonts w:ascii="宋体" w:hAnsi="宋体"/>
          <w:color w:val="000000"/>
          <w:sz w:val="22"/>
        </w:rPr>
      </w:pPr>
      <w:r>
        <w:rPr>
          <w:rFonts w:ascii="宋体" w:hAnsi="宋体"/>
          <w:color w:val="000000"/>
          <w:sz w:val="22"/>
        </w:rPr>
        <w:t>6.3.1消防主炮应为非吸气式，能喷水或泡沫</w:t>
      </w:r>
      <w:r>
        <w:rPr>
          <w:rFonts w:hint="eastAsia" w:ascii="宋体" w:hAnsi="宋体"/>
          <w:color w:val="000000"/>
          <w:sz w:val="22"/>
        </w:rPr>
        <w:t>，</w:t>
      </w:r>
      <w:r>
        <w:rPr>
          <w:rFonts w:ascii="宋体" w:hAnsi="宋体"/>
          <w:color w:val="000000"/>
          <w:sz w:val="22"/>
        </w:rPr>
        <w:t>喷水或泡沫时直射、散射可调。</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6.3.1.1</w:t>
      </w:r>
      <w:r>
        <w:rPr>
          <w:rFonts w:ascii="宋体" w:hAnsi="宋体"/>
          <w:color w:val="000000"/>
          <w:sz w:val="22"/>
        </w:rPr>
        <w:t>主炮安装在驾驶室顶，</w:t>
      </w:r>
      <w:r>
        <w:rPr>
          <w:rFonts w:hint="eastAsia" w:ascii="宋体" w:hAnsi="宋体"/>
          <w:color w:val="000000"/>
          <w:sz w:val="22"/>
        </w:rPr>
        <w:t>在驾驶室内可以观察到炮指向的方向，</w:t>
      </w:r>
      <w:r>
        <w:rPr>
          <w:rFonts w:ascii="宋体" w:hAnsi="宋体"/>
          <w:color w:val="000000"/>
          <w:sz w:val="22"/>
        </w:rPr>
        <w:t>可通过操控手柄在驾驶室内电动遥控操纵，手柄方向和炮筒方向应保持一致</w:t>
      </w:r>
      <w:r>
        <w:rPr>
          <w:rFonts w:hint="eastAsia" w:ascii="宋体" w:hAnsi="宋体"/>
          <w:color w:val="000000"/>
          <w:sz w:val="22"/>
        </w:rPr>
        <w:t>。</w:t>
      </w:r>
      <w:r>
        <w:rPr>
          <w:rFonts w:ascii="宋体" w:hAnsi="宋体"/>
          <w:color w:val="000000"/>
          <w:sz w:val="22"/>
        </w:rPr>
        <w:t>当遥控系统失灵时，可立即实行手动操作系统调整炮位角度和实施喷射</w:t>
      </w:r>
      <w:r>
        <w:rPr>
          <w:rFonts w:hint="eastAsia" w:ascii="宋体" w:hAnsi="宋体"/>
          <w:color w:val="000000"/>
          <w:sz w:val="22"/>
        </w:rPr>
        <w:t>灭火剂。手动操作系统应轻便灵活，便于控制，用手动方式调整方向时，主炮角度移动的速率应和电动遥控操作时一致</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6.3.1.2主炮关闭时</w:t>
      </w:r>
      <w:r>
        <w:rPr>
          <w:rFonts w:ascii="宋体" w:hAnsi="宋体"/>
          <w:color w:val="000000"/>
          <w:sz w:val="22"/>
        </w:rPr>
        <w:t>应有自动复位和锁定装置。</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6.3.1.3主炮上安装与炮头同步运动并带红外光夜视功能的高清摄像头，在驾驶室内的彩色显示屏幕上可以通过高清摄像头采集的视频图像，使操炮员方便地调整车顶主炮对准射水目标。彩色显示屏尺寸</w:t>
      </w:r>
      <w:r>
        <w:rPr>
          <w:rFonts w:ascii="宋体" w:hAnsi="宋体"/>
          <w:color w:val="000000"/>
          <w:sz w:val="22"/>
        </w:rPr>
        <w:t>≥</w:t>
      </w:r>
      <w:r>
        <w:rPr>
          <w:rFonts w:hint="eastAsia" w:ascii="宋体" w:hAnsi="宋体"/>
          <w:color w:val="000000"/>
          <w:sz w:val="22"/>
        </w:rPr>
        <w:t>10inch；高清摄像头清晰度不小于480线，防护等级不小于IP65，高清摄像头有效聚焦距离范围25米-100米区间。</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4</w:t>
      </w:r>
      <w:r>
        <w:rPr>
          <w:rFonts w:ascii="宋体" w:hAnsi="宋体"/>
          <w:color w:val="000000"/>
          <w:sz w:val="22"/>
        </w:rPr>
        <w:t>无风状态下有效射程应符合：直射射程≥</w:t>
      </w:r>
      <w:r>
        <w:rPr>
          <w:rFonts w:hint="eastAsia" w:ascii="宋体" w:hAnsi="宋体"/>
          <w:color w:val="000000"/>
          <w:sz w:val="22"/>
        </w:rPr>
        <w:t>75</w:t>
      </w:r>
      <w:r>
        <w:rPr>
          <w:rFonts w:ascii="宋体" w:hAnsi="宋体"/>
          <w:color w:val="000000"/>
          <w:sz w:val="22"/>
        </w:rPr>
        <w:t>m, 散射射程≥</w:t>
      </w:r>
      <w:r>
        <w:rPr>
          <w:rFonts w:hint="eastAsia" w:ascii="宋体" w:hAnsi="宋体"/>
          <w:color w:val="000000"/>
          <w:sz w:val="22"/>
        </w:rPr>
        <w:t>2</w:t>
      </w:r>
      <w:r>
        <w:rPr>
          <w:rFonts w:ascii="宋体" w:hAnsi="宋体"/>
          <w:color w:val="000000"/>
          <w:sz w:val="22"/>
        </w:rPr>
        <w:t>0m；散射宽度≥10m。</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5</w:t>
      </w:r>
      <w:r>
        <w:rPr>
          <w:rFonts w:ascii="宋体" w:hAnsi="宋体"/>
          <w:color w:val="000000"/>
          <w:sz w:val="22"/>
        </w:rPr>
        <w:t xml:space="preserve"> 消防主炮可向左、右各回转≥1</w:t>
      </w:r>
      <w:r>
        <w:rPr>
          <w:rFonts w:hint="eastAsia" w:ascii="宋体" w:hAnsi="宋体"/>
          <w:color w:val="000000"/>
          <w:sz w:val="22"/>
        </w:rPr>
        <w:t>2</w:t>
      </w:r>
      <w:r>
        <w:rPr>
          <w:rFonts w:ascii="宋体" w:hAnsi="宋体"/>
          <w:color w:val="000000"/>
          <w:sz w:val="22"/>
        </w:rPr>
        <w:t>0°，具有自动左右摆动功能；仰角≥45°,俯角≥15°。</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6</w:t>
      </w:r>
      <w:r>
        <w:rPr>
          <w:rFonts w:ascii="宋体" w:hAnsi="宋体"/>
          <w:color w:val="000000"/>
          <w:sz w:val="22"/>
        </w:rPr>
        <w:t>喷射量应双速可调，高速时≥</w:t>
      </w:r>
      <w:r>
        <w:rPr>
          <w:rFonts w:hint="eastAsia" w:ascii="宋体" w:hAnsi="宋体"/>
          <w:color w:val="000000"/>
          <w:sz w:val="22"/>
        </w:rPr>
        <w:t>60</w:t>
      </w:r>
      <w:r>
        <w:rPr>
          <w:rFonts w:ascii="宋体" w:hAnsi="宋体"/>
          <w:color w:val="000000"/>
          <w:sz w:val="22"/>
        </w:rPr>
        <w:t>00L/min,低速时≥</w:t>
      </w:r>
      <w:r>
        <w:rPr>
          <w:rFonts w:hint="eastAsia" w:ascii="宋体" w:hAnsi="宋体"/>
          <w:color w:val="000000"/>
          <w:sz w:val="22"/>
        </w:rPr>
        <w:t>300</w:t>
      </w:r>
      <w:r>
        <w:rPr>
          <w:rFonts w:ascii="宋体" w:hAnsi="宋体"/>
          <w:color w:val="000000"/>
          <w:sz w:val="22"/>
        </w:rPr>
        <w:t>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6.3.1.7消防主炮应选用Akron、Rosenbauer、Elkhart等同档次或以上国际知名品牌原装进口产品。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8</w:t>
      </w:r>
      <w:r>
        <w:rPr>
          <w:rFonts w:ascii="宋体" w:hAnsi="宋体"/>
          <w:color w:val="000000"/>
          <w:sz w:val="22"/>
        </w:rPr>
        <w:t>投标书应</w:t>
      </w:r>
      <w:r>
        <w:rPr>
          <w:rFonts w:hint="eastAsia" w:ascii="宋体" w:hAnsi="宋体"/>
          <w:color w:val="000000"/>
          <w:sz w:val="22"/>
        </w:rPr>
        <w:t>对消防主炮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ascii="宋体" w:hAnsi="宋体"/>
          <w:color w:val="000000"/>
          <w:sz w:val="22"/>
        </w:rPr>
        <w:t>6.3.2消防副炮应为非吸气式，能喷水或喷泡沫，直射、散射可调。副炮安装在车前保险杠上，通过手柄在驾驶室内电动遥控操纵，手柄方向和炮筒方向应保持一致。</w:t>
      </w:r>
    </w:p>
    <w:p>
      <w:pPr>
        <w:adjustRightInd w:val="0"/>
        <w:spacing w:line="400" w:lineRule="exact"/>
        <w:ind w:firstLine="440" w:firstLineChars="200"/>
        <w:rPr>
          <w:rFonts w:ascii="宋体" w:hAnsi="宋体"/>
          <w:color w:val="000000"/>
          <w:sz w:val="22"/>
        </w:rPr>
      </w:pPr>
      <w:r>
        <w:rPr>
          <w:rFonts w:ascii="宋体" w:hAnsi="宋体"/>
          <w:color w:val="000000"/>
          <w:sz w:val="22"/>
        </w:rPr>
        <w:t>6.3.2.1无风状态下有效射程应符合：直射射程≥</w:t>
      </w:r>
      <w:r>
        <w:rPr>
          <w:rFonts w:hint="eastAsia" w:ascii="宋体" w:hAnsi="宋体"/>
          <w:color w:val="000000"/>
          <w:sz w:val="22"/>
        </w:rPr>
        <w:t>75</w:t>
      </w:r>
      <w:r>
        <w:rPr>
          <w:rFonts w:ascii="宋体" w:hAnsi="宋体"/>
          <w:color w:val="000000"/>
          <w:sz w:val="22"/>
        </w:rPr>
        <w:t>m, 散射射程≥20m；散射宽度≥</w:t>
      </w:r>
      <w:r>
        <w:rPr>
          <w:rFonts w:hint="eastAsia" w:ascii="宋体" w:hAnsi="宋体"/>
          <w:color w:val="000000"/>
          <w:sz w:val="22"/>
        </w:rPr>
        <w:t>10</w:t>
      </w:r>
      <w:r>
        <w:rPr>
          <w:rFonts w:ascii="宋体" w:hAnsi="宋体"/>
          <w:color w:val="000000"/>
          <w:sz w:val="22"/>
        </w:rPr>
        <w:t>m。</w:t>
      </w:r>
    </w:p>
    <w:p>
      <w:pPr>
        <w:adjustRightInd w:val="0"/>
        <w:spacing w:line="400" w:lineRule="exact"/>
        <w:ind w:firstLine="440" w:firstLineChars="200"/>
        <w:rPr>
          <w:rFonts w:ascii="宋体" w:hAnsi="宋体"/>
          <w:color w:val="000000"/>
          <w:sz w:val="22"/>
        </w:rPr>
      </w:pPr>
      <w:r>
        <w:rPr>
          <w:rFonts w:ascii="宋体" w:hAnsi="宋体"/>
          <w:color w:val="000000"/>
          <w:sz w:val="22"/>
        </w:rPr>
        <w:t>6.3.2.2消防副炮可向左、右各回转≥90°，同时具有自动左右摆动功能；仰角≥45°；俯角≥</w:t>
      </w:r>
      <w:r>
        <w:rPr>
          <w:rFonts w:hint="eastAsia" w:ascii="宋体" w:hAnsi="宋体"/>
          <w:color w:val="000000"/>
          <w:sz w:val="22"/>
        </w:rPr>
        <w:t>15</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6.3.2.3高速时≥</w:t>
      </w:r>
      <w:r>
        <w:rPr>
          <w:rFonts w:hint="eastAsia" w:ascii="宋体" w:hAnsi="宋体"/>
          <w:color w:val="000000"/>
          <w:sz w:val="22"/>
        </w:rPr>
        <w:t>45</w:t>
      </w:r>
      <w:r>
        <w:rPr>
          <w:rFonts w:ascii="宋体" w:hAnsi="宋体"/>
          <w:color w:val="000000"/>
          <w:sz w:val="22"/>
        </w:rPr>
        <w:t>00L/min,低速时≥</w:t>
      </w:r>
      <w:r>
        <w:rPr>
          <w:rFonts w:hint="eastAsia" w:ascii="宋体" w:hAnsi="宋体"/>
          <w:color w:val="000000"/>
          <w:sz w:val="22"/>
        </w:rPr>
        <w:t>2250</w:t>
      </w:r>
      <w:r>
        <w:rPr>
          <w:rFonts w:ascii="宋体" w:hAnsi="宋体"/>
          <w:color w:val="000000"/>
          <w:sz w:val="22"/>
        </w:rPr>
        <w:t>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6.3.2.4消防副炮具有低位攻击功能，水平高度可以调节，最大可以下降到炮座离地面</w:t>
      </w:r>
      <w:r>
        <w:rPr>
          <w:rFonts w:ascii="宋体" w:hAnsi="宋体"/>
          <w:color w:val="000000"/>
          <w:sz w:val="22"/>
        </w:rPr>
        <w:t>≤</w:t>
      </w:r>
      <w:r>
        <w:rPr>
          <w:rFonts w:hint="eastAsia" w:ascii="宋体" w:hAnsi="宋体"/>
          <w:color w:val="000000"/>
          <w:sz w:val="22"/>
        </w:rPr>
        <w:t>50mm的水平高度，并在调节过程中可以连续射水。</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6.3.2.5消防副炮应选用Akron、Rosenbauer、Elkhart等同档次或以上国际知名品牌原装进口产品。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6.3.2.</w:t>
      </w:r>
      <w:r>
        <w:rPr>
          <w:rFonts w:hint="eastAsia" w:ascii="宋体" w:hAnsi="宋体"/>
          <w:color w:val="000000"/>
          <w:sz w:val="22"/>
        </w:rPr>
        <w:t>6</w:t>
      </w:r>
      <w:r>
        <w:rPr>
          <w:rFonts w:ascii="宋体" w:hAnsi="宋体"/>
          <w:color w:val="000000"/>
          <w:sz w:val="22"/>
        </w:rPr>
        <w:t>投标书应</w:t>
      </w:r>
      <w:r>
        <w:rPr>
          <w:rFonts w:hint="eastAsia" w:ascii="宋体" w:hAnsi="宋体"/>
          <w:color w:val="000000"/>
          <w:sz w:val="22"/>
        </w:rPr>
        <w:t>对消防副炮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6.3.2.7有效射程是指主炮、副炮在额定最大喷射流量时，90%的射流能够达到的距离。</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消防泵组的要求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.1为带自起动注油器的中低压离心泵组，其所需动力来源于车载发动机，</w:t>
      </w:r>
      <w:r>
        <w:rPr>
          <w:rFonts w:hint="eastAsia" w:ascii="宋体" w:hAnsi="宋体"/>
          <w:color w:val="000000"/>
          <w:sz w:val="22"/>
        </w:rPr>
        <w:t>在10Bar压力下，排量</w:t>
      </w:r>
      <w:r>
        <w:rPr>
          <w:rFonts w:ascii="宋体" w:hAnsi="宋体"/>
          <w:color w:val="000000"/>
          <w:sz w:val="22"/>
        </w:rPr>
        <w:t>≥</w:t>
      </w:r>
      <w:r>
        <w:rPr>
          <w:rFonts w:hint="eastAsia" w:ascii="宋体" w:hAnsi="宋体"/>
          <w:color w:val="000000"/>
          <w:sz w:val="22"/>
        </w:rPr>
        <w:t>7500L/min</w:t>
      </w:r>
      <w:r>
        <w:rPr>
          <w:rFonts w:ascii="宋体" w:hAnsi="宋体"/>
          <w:color w:val="000000"/>
          <w:sz w:val="22"/>
        </w:rPr>
        <w:t>。在车辆高速行驶时（≥4</w:t>
      </w:r>
      <w:r>
        <w:rPr>
          <w:rFonts w:hint="eastAsia" w:ascii="宋体" w:hAnsi="宋体"/>
          <w:color w:val="000000"/>
          <w:sz w:val="22"/>
        </w:rPr>
        <w:t>0</w:t>
      </w:r>
      <w:r>
        <w:rPr>
          <w:rFonts w:ascii="宋体" w:hAnsi="宋体"/>
          <w:color w:val="000000"/>
          <w:sz w:val="22"/>
        </w:rPr>
        <w:t>km/h）泵组应能正常工作，可同时提供水和泡沫两套喷射的需要。离心泵可从车载水罐中吸水，或可通过外部水源吸水来向车载水罐加水。消防系统应另加设真空泵，保证可从外部消火栓、水池接力吸水。吸水高度应≥7m，最大真空≥90%。</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.2泵的壳体和转子应采用铸青铜或具有良好防腐、防锈性能的合金材料制造，泵轴应采用不锈钢材料制造。</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3泵的控制板位置设计要合理，并便于操作。各种仪表和控制应防水，配置应齐全，如：隔膜真空压力表、水罐和泡沫罐容量表、手微调控制油门、水阀和泡沫阀控制、泡沫混合比例控制、喷水枪控制等各种必备的仪表和控制。除驾驶室里有上述配置外，在车身左侧便于操作的位置同样需安装上述配置。</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.4 控制板上还应装有放水开关，可以用以放尽水泵和消防管道里的积水，防止冰冻引起消防水泵或管道的破裂。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6.3.3.5 应有水泵过热保护设施，当泵单元达到预设温度时，能自动启动冷却功能保护水泵。</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w:t>
      </w:r>
      <w:r>
        <w:rPr>
          <w:rFonts w:hint="eastAsia" w:ascii="宋体" w:hAnsi="宋体"/>
          <w:color w:val="000000"/>
          <w:sz w:val="22"/>
        </w:rPr>
        <w:t>6消防泵组应选用w</w:t>
      </w:r>
      <w:r>
        <w:rPr>
          <w:rFonts w:ascii="宋体" w:hAnsi="宋体"/>
          <w:color w:val="000000"/>
          <w:sz w:val="22"/>
        </w:rPr>
        <w:t>aterous</w:t>
      </w:r>
      <w:r>
        <w:rPr>
          <w:rFonts w:hint="eastAsia" w:ascii="宋体" w:hAnsi="宋体"/>
          <w:color w:val="000000"/>
          <w:sz w:val="22"/>
        </w:rPr>
        <w:t>、rosenbauer、hale等同档次或以上国际知名品牌原装进口产品。</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6.3.3.7</w:t>
      </w:r>
      <w:r>
        <w:rPr>
          <w:rFonts w:ascii="宋体" w:hAnsi="宋体"/>
          <w:color w:val="000000"/>
          <w:sz w:val="22"/>
        </w:rPr>
        <w:t>投标书应对</w:t>
      </w:r>
      <w:r>
        <w:rPr>
          <w:rFonts w:hint="eastAsia" w:ascii="宋体" w:hAnsi="宋体"/>
          <w:color w:val="000000"/>
          <w:sz w:val="22"/>
        </w:rPr>
        <w:t>消防泵组</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w:t>
      </w:r>
      <w:r>
        <w:rPr>
          <w:rFonts w:ascii="宋体" w:hAnsi="宋体"/>
          <w:color w:val="000000"/>
          <w:sz w:val="22"/>
        </w:rPr>
        <w:t>并</w:t>
      </w:r>
      <w:r>
        <w:rPr>
          <w:rFonts w:hint="eastAsia" w:ascii="宋体" w:hAnsi="宋体"/>
          <w:color w:val="000000"/>
          <w:sz w:val="22"/>
        </w:rPr>
        <w:t>提供消防泵特征曲线。。</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外接水口及水枪</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.1在车体</w:t>
      </w:r>
      <w:r>
        <w:rPr>
          <w:rFonts w:hint="eastAsia" w:ascii="宋体" w:hAnsi="宋体"/>
          <w:color w:val="000000"/>
          <w:sz w:val="22"/>
        </w:rPr>
        <w:t>左</w:t>
      </w:r>
      <w:r>
        <w:rPr>
          <w:rFonts w:ascii="宋体" w:hAnsi="宋体"/>
          <w:color w:val="000000"/>
          <w:sz w:val="22"/>
        </w:rPr>
        <w:t>侧便于操作位置，应安装1个直径为10</w:t>
      </w:r>
      <w:r>
        <w:rPr>
          <w:rFonts w:hint="eastAsia" w:ascii="宋体" w:hAnsi="宋体"/>
          <w:color w:val="000000"/>
          <w:sz w:val="22"/>
        </w:rPr>
        <w:t>0</w:t>
      </w:r>
      <w:r>
        <w:rPr>
          <w:rFonts w:ascii="宋体" w:hAnsi="宋体"/>
          <w:color w:val="000000"/>
          <w:sz w:val="22"/>
        </w:rPr>
        <w:t>mm含联接器和过滤器的吸水口，并</w:t>
      </w:r>
      <w:r>
        <w:rPr>
          <w:rFonts w:hint="eastAsia" w:ascii="宋体" w:hAnsi="宋体"/>
          <w:color w:val="000000"/>
          <w:sz w:val="22"/>
        </w:rPr>
        <w:t>配有硬质抽吸管（吸管两头配连接口，</w:t>
      </w:r>
      <w:r>
        <w:rPr>
          <w:rFonts w:ascii="宋体" w:hAnsi="宋体"/>
          <w:color w:val="000000"/>
          <w:sz w:val="22"/>
        </w:rPr>
        <w:t>可以</w:t>
      </w:r>
      <w:r>
        <w:rPr>
          <w:rFonts w:hint="eastAsia" w:ascii="宋体" w:hAnsi="宋体"/>
          <w:color w:val="000000"/>
          <w:sz w:val="22"/>
        </w:rPr>
        <w:t>从地上或地下</w:t>
      </w:r>
      <w:r>
        <w:rPr>
          <w:rFonts w:ascii="宋体" w:hAnsi="宋体"/>
          <w:color w:val="000000"/>
          <w:sz w:val="22"/>
        </w:rPr>
        <w:t>消火栓100mm出水口直接连接</w:t>
      </w:r>
      <w:r>
        <w:rPr>
          <w:rFonts w:hint="eastAsia" w:ascii="宋体" w:hAnsi="宋体"/>
          <w:color w:val="000000"/>
          <w:sz w:val="22"/>
        </w:rPr>
        <w:t>吸水，接口规格应符合中国标准）和鼓型吸滤器。</w:t>
      </w:r>
      <w:r>
        <w:rPr>
          <w:rFonts w:ascii="宋体" w:hAnsi="宋体"/>
          <w:color w:val="000000"/>
          <w:sz w:val="22"/>
        </w:rPr>
        <w:t xml:space="preserve"> </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6.3.4.2在车体两侧各安装</w:t>
      </w:r>
      <w:r>
        <w:rPr>
          <w:rFonts w:ascii="宋体" w:hAnsi="宋体"/>
          <w:color w:val="000000"/>
          <w:sz w:val="22"/>
        </w:rPr>
        <w:t>一个直径为80mm的注水口（内扣连接）</w:t>
      </w:r>
      <w:r>
        <w:rPr>
          <w:rFonts w:hint="eastAsia" w:ascii="宋体" w:hAnsi="宋体"/>
          <w:color w:val="000000"/>
          <w:sz w:val="22"/>
        </w:rPr>
        <w:t>，用于向水罐注水。</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6.3.4.3在车体两侧各安装</w:t>
      </w:r>
      <w:r>
        <w:rPr>
          <w:rFonts w:ascii="宋体" w:hAnsi="宋体"/>
          <w:color w:val="000000"/>
          <w:sz w:val="22"/>
        </w:rPr>
        <w:t>两个直径为65mm的出水口（内扣连接）用于向外排放</w:t>
      </w:r>
      <w:r>
        <w:rPr>
          <w:rFonts w:hint="eastAsia" w:ascii="宋体" w:hAnsi="宋体"/>
          <w:color w:val="000000"/>
          <w:sz w:val="22"/>
        </w:rPr>
        <w:t>水或泡沫灭火剂</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w:t>
      </w:r>
      <w:r>
        <w:rPr>
          <w:rFonts w:hint="eastAsia" w:ascii="宋体" w:hAnsi="宋体"/>
          <w:color w:val="000000"/>
          <w:sz w:val="22"/>
        </w:rPr>
        <w:t>4</w:t>
      </w:r>
      <w:r>
        <w:rPr>
          <w:rFonts w:ascii="宋体" w:hAnsi="宋体"/>
          <w:color w:val="000000"/>
          <w:sz w:val="22"/>
        </w:rPr>
        <w:t>在车体两侧的贮存箱内，应各配备一条</w:t>
      </w:r>
      <w:r>
        <w:rPr>
          <w:rFonts w:hint="eastAsia" w:ascii="宋体" w:hAnsi="宋体"/>
          <w:color w:val="000000"/>
          <w:sz w:val="22"/>
        </w:rPr>
        <w:t>带</w:t>
      </w:r>
      <w:r>
        <w:rPr>
          <w:rFonts w:ascii="宋体" w:hAnsi="宋体"/>
          <w:color w:val="000000"/>
          <w:sz w:val="22"/>
        </w:rPr>
        <w:t>手持喷枪的直径≥32mm、长≥30m喷射水和泡沫的管线</w:t>
      </w:r>
      <w:r>
        <w:rPr>
          <w:rFonts w:hint="eastAsia" w:ascii="宋体" w:hAnsi="宋体"/>
          <w:color w:val="000000"/>
          <w:sz w:val="22"/>
        </w:rPr>
        <w:t>，</w:t>
      </w:r>
      <w:r>
        <w:rPr>
          <w:rFonts w:ascii="宋体" w:hAnsi="宋体"/>
          <w:color w:val="000000"/>
          <w:sz w:val="22"/>
        </w:rPr>
        <w:t>用电动卷盘卷绕，电动卷</w:t>
      </w:r>
      <w:r>
        <w:rPr>
          <w:rFonts w:hint="eastAsia" w:ascii="宋体" w:hAnsi="宋体"/>
          <w:color w:val="000000"/>
          <w:sz w:val="22"/>
        </w:rPr>
        <w:t>盘</w:t>
      </w:r>
      <w:r>
        <w:rPr>
          <w:rFonts w:ascii="宋体" w:hAnsi="宋体"/>
          <w:color w:val="000000"/>
          <w:sz w:val="22"/>
        </w:rPr>
        <w:t>同时也可手动操作。主泵应通过一个独立的阀来</w:t>
      </w:r>
      <w:r>
        <w:rPr>
          <w:rFonts w:hint="eastAsia" w:ascii="宋体" w:hAnsi="宋体"/>
          <w:color w:val="000000"/>
          <w:sz w:val="22"/>
        </w:rPr>
        <w:t>控制</w:t>
      </w:r>
      <w:r>
        <w:rPr>
          <w:rFonts w:ascii="宋体" w:hAnsi="宋体"/>
          <w:color w:val="000000"/>
          <w:sz w:val="22"/>
        </w:rPr>
        <w:t>水带出水。手持喷枪上设置闸阀。直射距离≥15m，散射距离≥6m，散射宽度≥4m，最大喷射量≥200L/min。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6.3.4.5</w:t>
      </w:r>
      <w:r>
        <w:rPr>
          <w:rFonts w:ascii="宋体" w:hAnsi="宋体"/>
          <w:color w:val="000000"/>
          <w:sz w:val="22"/>
        </w:rPr>
        <w:t>在车体的左侧应有</w:t>
      </w:r>
      <w:r>
        <w:rPr>
          <w:rFonts w:hint="eastAsia" w:ascii="宋体" w:hAnsi="宋体"/>
          <w:color w:val="000000"/>
          <w:sz w:val="22"/>
        </w:rPr>
        <w:t>泡沫液充注和排放接口，配有连接管等组合件，用于向泡沫罐充注或回收泡沫罐中的泡沫原液。投标车辆应自带电动或气动泡沫原液加注泵。</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6.3.4.6</w:t>
      </w:r>
      <w:r>
        <w:rPr>
          <w:rFonts w:ascii="宋体" w:hAnsi="宋体"/>
          <w:color w:val="000000"/>
          <w:sz w:val="22"/>
        </w:rPr>
        <w:t>在车体的左侧应有</w:t>
      </w:r>
      <w:r>
        <w:rPr>
          <w:rFonts w:hint="eastAsia" w:ascii="宋体" w:hAnsi="宋体"/>
          <w:color w:val="000000"/>
          <w:sz w:val="22"/>
        </w:rPr>
        <w:t>泡沫虹吸接口，用于虹吸外部泡沫原液实施灭火。虹吸接口应配有</w:t>
      </w:r>
      <w:r>
        <w:rPr>
          <w:rFonts w:ascii="宋体" w:hAnsi="宋体"/>
          <w:color w:val="000000"/>
          <w:sz w:val="22"/>
        </w:rPr>
        <w:t>外接泡沫虹吸管和冲洗用接头。</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水罐和泡沫罐</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1水罐应采用不锈钢板材（材质厚度≥3mm）或强化合成材料结构，与车体弹性连接，具有良好的柔韧性，可承受底盘的扭曲。水罐内应有防波板。以最大速度排放时能将水全部排除而不产生气穴。应装有用于清洁的操作孔，并装有快速放水阀门。罐顶装有消除真空的通气孔。注水口装有加注时预防冲压的溢流管。吸水口的过滤器应为自冲洗的线形过滤器，防止吸入异物。</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2泡沫罐应采用不锈钢板材（材质厚度≥3mm）或强化合成材料结构，与车体弹性连接，具有良好的柔韧性，可承受底盘的扭曲。内部应有浮标，并有足够通径的进、出液管。罐盖能完全打开、移去，便于清洗。罐内底板应设计成中间凹或一边斜的结构。应装有溢流管和与液体放出阀连动的透气阀，在加注时透气阀应能手动操作。</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w:t>
      </w:r>
      <w:r>
        <w:rPr>
          <w:rFonts w:hint="eastAsia" w:ascii="宋体" w:hAnsi="宋体"/>
          <w:color w:val="000000"/>
          <w:sz w:val="22"/>
        </w:rPr>
        <w:t>3</w:t>
      </w:r>
      <w:r>
        <w:rPr>
          <w:rFonts w:ascii="宋体" w:hAnsi="宋体"/>
          <w:color w:val="000000"/>
          <w:sz w:val="22"/>
        </w:rPr>
        <w:t>水罐、泡沫罐</w:t>
      </w:r>
      <w:r>
        <w:rPr>
          <w:rFonts w:hint="eastAsia" w:ascii="宋体" w:hAnsi="宋体"/>
          <w:color w:val="000000"/>
          <w:sz w:val="22"/>
        </w:rPr>
        <w:t>（包含水罐、泡沫罐的支撑和固定部件）</w:t>
      </w:r>
      <w:r>
        <w:rPr>
          <w:rFonts w:ascii="宋体" w:hAnsi="宋体"/>
          <w:color w:val="000000"/>
          <w:sz w:val="22"/>
        </w:rPr>
        <w:t>应终身免费保修</w:t>
      </w:r>
      <w:r>
        <w:rPr>
          <w:rFonts w:hint="eastAsia" w:ascii="宋体" w:hAnsi="宋体"/>
          <w:color w:val="000000"/>
          <w:sz w:val="22"/>
        </w:rPr>
        <w:t>（列入附件一</w:t>
      </w:r>
      <w:r>
        <w:rPr>
          <w:rFonts w:ascii="宋体" w:hAnsi="宋体"/>
          <w:color w:val="000000"/>
          <w:sz w:val="22"/>
        </w:rPr>
        <w:t>“整车及各主要部件保修期限表”</w:t>
      </w:r>
      <w:r>
        <w:rPr>
          <w:rFonts w:hint="eastAsia" w:ascii="宋体" w:hAnsi="宋体"/>
          <w:color w:val="000000"/>
          <w:sz w:val="22"/>
        </w:rPr>
        <w:t>）</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其他要求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.1 消防系统的各个控制开关应采用电控制式，同时配有手动应急操作装置。泡沫自动比例调节系统泡沫自动比例调节系统可</w:t>
      </w:r>
      <w:r>
        <w:rPr>
          <w:rFonts w:ascii="宋体" w:hAnsi="宋体"/>
          <w:sz w:val="22"/>
        </w:rPr>
        <w:t>使</w:t>
      </w:r>
      <w:r>
        <w:rPr>
          <w:rFonts w:hint="eastAsia" w:ascii="宋体" w:hAnsi="宋体"/>
          <w:sz w:val="22"/>
        </w:rPr>
        <w:t>AFFF</w:t>
      </w:r>
      <w:r>
        <w:rPr>
          <w:rFonts w:ascii="宋体" w:hAnsi="宋体"/>
          <w:sz w:val="22"/>
        </w:rPr>
        <w:t>泡沫溶液浓度</w:t>
      </w:r>
      <w:r>
        <w:rPr>
          <w:rFonts w:hint="eastAsia" w:ascii="宋体" w:hAnsi="宋体"/>
          <w:sz w:val="22"/>
        </w:rPr>
        <w:t>设置</w:t>
      </w:r>
      <w:r>
        <w:rPr>
          <w:rFonts w:hint="eastAsia" w:ascii="宋体" w:hAnsi="宋体"/>
          <w:color w:val="000000"/>
          <w:sz w:val="22"/>
        </w:rPr>
        <w:t>为</w:t>
      </w:r>
      <w:r>
        <w:rPr>
          <w:rFonts w:ascii="宋体" w:hAnsi="宋体"/>
          <w:color w:val="000000"/>
          <w:sz w:val="22"/>
        </w:rPr>
        <w:t>3%</w:t>
      </w:r>
      <w:r>
        <w:rPr>
          <w:rFonts w:hint="eastAsia" w:ascii="宋体" w:hAnsi="宋体"/>
          <w:color w:val="000000"/>
          <w:sz w:val="22"/>
        </w:rPr>
        <w:t>或</w:t>
      </w:r>
      <w:r>
        <w:rPr>
          <w:rFonts w:ascii="宋体" w:hAnsi="宋体"/>
          <w:color w:val="000000"/>
          <w:sz w:val="22"/>
        </w:rPr>
        <w:t>6%</w:t>
      </w:r>
      <w:r>
        <w:rPr>
          <w:rFonts w:hint="eastAsia" w:ascii="宋体" w:hAnsi="宋体"/>
          <w:color w:val="000000"/>
          <w:sz w:val="22"/>
        </w:rPr>
        <w:t>两种模式</w:t>
      </w:r>
      <w:r>
        <w:rPr>
          <w:rFonts w:ascii="宋体" w:hAnsi="宋体"/>
          <w:color w:val="000000"/>
          <w:sz w:val="22"/>
        </w:rPr>
        <w:t>，并且在流量变化时能始终保持预先设置的比例。</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6.3.6.2</w:t>
      </w:r>
      <w:r>
        <w:rPr>
          <w:rFonts w:ascii="宋体" w:hAnsi="宋体"/>
          <w:color w:val="000000"/>
          <w:sz w:val="22"/>
        </w:rPr>
        <w:t>车底前桥、后桥和前后桥间应安装自保喷射装置，其中车底前桥位置应安装2个喷射装置，每个喷嘴的排量在10BAR时≥70L/min，保护范围≥170°射程半径≥2米。其余</w:t>
      </w:r>
      <w:r>
        <w:rPr>
          <w:rFonts w:hint="eastAsia" w:ascii="宋体" w:hAnsi="宋体"/>
          <w:color w:val="000000"/>
          <w:sz w:val="22"/>
        </w:rPr>
        <w:t>2</w:t>
      </w:r>
      <w:r>
        <w:rPr>
          <w:rFonts w:ascii="宋体" w:hAnsi="宋体"/>
          <w:color w:val="000000"/>
          <w:sz w:val="22"/>
        </w:rPr>
        <w:t>个喷嘴的排量10BAR时≥70L/min。保护范围360°射程半径≥2米。</w:t>
      </w:r>
    </w:p>
    <w:p>
      <w:pPr>
        <w:adjustRightInd w:val="0"/>
        <w:spacing w:line="400" w:lineRule="exact"/>
        <w:ind w:firstLine="440" w:firstLineChars="200"/>
        <w:rPr>
          <w:rFonts w:ascii="宋体" w:hAnsi="宋体"/>
          <w:color w:val="000000"/>
          <w:sz w:val="22"/>
        </w:rPr>
      </w:pPr>
      <w:r>
        <w:rPr>
          <w:rFonts w:ascii="宋体" w:hAnsi="宋体"/>
          <w:color w:val="000000"/>
          <w:sz w:val="22"/>
        </w:rPr>
        <w:t>6.4发动机性能要求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6.4.1发动机应采用四冲程水冷柴油发动机，≥6缸，微电脑控制，具有涡轮增压、进气强制冷却功能</w:t>
      </w:r>
      <w:r>
        <w:rPr>
          <w:rFonts w:hint="eastAsia" w:ascii="宋体" w:hAnsi="宋体"/>
          <w:b/>
          <w:color w:val="000000"/>
          <w:sz w:val="22"/>
        </w:rPr>
        <w:t xml:space="preserve">。 </w:t>
      </w:r>
    </w:p>
    <w:p>
      <w:pPr>
        <w:adjustRightInd w:val="0"/>
        <w:spacing w:line="400" w:lineRule="exact"/>
        <w:ind w:firstLine="440" w:firstLineChars="200"/>
        <w:rPr>
          <w:rFonts w:ascii="宋体" w:hAnsi="宋体"/>
          <w:bCs/>
          <w:sz w:val="22"/>
        </w:rPr>
      </w:pPr>
      <w:r>
        <w:rPr>
          <w:rFonts w:ascii="宋体" w:hAnsi="宋体"/>
          <w:bCs/>
          <w:color w:val="000000"/>
          <w:sz w:val="22"/>
        </w:rPr>
        <w:t>6.4.2发动机额定功率应≥500kw，最大扭矩≥2500N-m，能通过动力分配器来同时满足满载高速行驶和消防泵全功率工作等要求。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6.4.2投标车辆</w:t>
      </w:r>
      <w:r>
        <w:rPr>
          <w:rFonts w:hint="eastAsia" w:ascii="宋体" w:hAnsi="宋体"/>
          <w:b/>
          <w:color w:val="000000"/>
          <w:sz w:val="22"/>
        </w:rPr>
        <w:t>尾气排放符合国Ⅳ或同等标准</w:t>
      </w:r>
      <w:r>
        <w:rPr>
          <w:rFonts w:hint="eastAsia" w:ascii="宋体" w:hAnsi="宋体"/>
          <w:b/>
          <w:sz w:val="22"/>
        </w:rPr>
        <w:t>，</w:t>
      </w:r>
      <w:r>
        <w:rPr>
          <w:rFonts w:ascii="宋体" w:hAnsi="宋体"/>
          <w:b/>
          <w:sz w:val="22"/>
        </w:rPr>
        <w:t>发动机采用的燃料</w:t>
      </w:r>
      <w:r>
        <w:rPr>
          <w:rFonts w:hint="eastAsia" w:ascii="宋体" w:hAnsi="宋体"/>
          <w:b/>
          <w:sz w:val="22"/>
        </w:rPr>
        <w:t>、冷却液、润滑油等</w:t>
      </w:r>
      <w:r>
        <w:rPr>
          <w:rFonts w:ascii="宋体" w:hAnsi="宋体"/>
          <w:b/>
          <w:sz w:val="22"/>
        </w:rPr>
        <w:t>符合中国国内</w:t>
      </w:r>
      <w:r>
        <w:rPr>
          <w:rFonts w:hint="eastAsia" w:ascii="宋体" w:hAnsi="宋体"/>
          <w:b/>
          <w:sz w:val="22"/>
        </w:rPr>
        <w:t>现行标准</w:t>
      </w:r>
      <w:r>
        <w:rPr>
          <w:rFonts w:ascii="宋体" w:hAnsi="宋体"/>
          <w:b/>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6.4.3发动机应具有能利用外接220V电源加热的功能。6.4.4</w:t>
      </w:r>
      <w:r>
        <w:rPr>
          <w:rFonts w:hint="eastAsia" w:ascii="宋体" w:hAnsi="宋体"/>
          <w:color w:val="000000"/>
          <w:sz w:val="22"/>
        </w:rPr>
        <w:t>应配备发动机高速空转控制系统，以保证该系统开启时发动机能稳定保持在</w:t>
      </w:r>
      <w:r>
        <w:rPr>
          <w:rFonts w:ascii="宋体" w:hAnsi="宋体"/>
          <w:color w:val="000000"/>
          <w:sz w:val="22"/>
        </w:rPr>
        <w:t>1200 rpm</w:t>
      </w:r>
      <w:r>
        <w:rPr>
          <w:rFonts w:hint="eastAsia" w:ascii="宋体" w:hAnsi="宋体"/>
          <w:color w:val="000000"/>
          <w:sz w:val="22"/>
        </w:rPr>
        <w:t>左右（±5%）高怠速运转。同时该系统具有安全联锁设置，仅当将变速器置于空档位置并且设置了停车制动后才能被启用。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6.4.5</w:t>
      </w:r>
      <w:r>
        <w:rPr>
          <w:rFonts w:ascii="宋体" w:hAnsi="宋体"/>
          <w:color w:val="000000"/>
          <w:sz w:val="22"/>
        </w:rPr>
        <w:t>排气系统不应有不适当的背压，排气管应采用带消音器的优质不锈钢材料，使噪音排放符合环保要求。并且管口朝向不能直接对地和人员操作位置。</w:t>
      </w:r>
    </w:p>
    <w:p>
      <w:pPr>
        <w:adjustRightInd w:val="0"/>
        <w:spacing w:line="400" w:lineRule="exact"/>
        <w:ind w:firstLine="440" w:firstLineChars="200"/>
        <w:rPr>
          <w:rFonts w:ascii="宋体" w:hAnsi="宋体"/>
          <w:color w:val="000000"/>
          <w:sz w:val="22"/>
        </w:rPr>
      </w:pPr>
      <w:r>
        <w:rPr>
          <w:rFonts w:ascii="宋体" w:hAnsi="宋体"/>
          <w:color w:val="000000"/>
          <w:sz w:val="22"/>
        </w:rPr>
        <w:t>6.4.5</w:t>
      </w:r>
      <w:r>
        <w:rPr>
          <w:rFonts w:hint="eastAsia" w:ascii="宋体" w:hAnsi="宋体"/>
          <w:color w:val="000000"/>
          <w:sz w:val="22"/>
        </w:rPr>
        <w:t>发动机采用DEUTZ、VOLOV、CATERPILLAR等同档次或以上国际知名品牌原装进口产品。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6.4.6</w:t>
      </w:r>
      <w:r>
        <w:rPr>
          <w:rFonts w:ascii="宋体" w:hAnsi="宋体"/>
          <w:color w:val="000000"/>
          <w:sz w:val="22"/>
        </w:rPr>
        <w:t>投标书应对发动机的制造厂全称、国别、品牌、型号、技术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6.5底盘性能要求</w:t>
      </w:r>
    </w:p>
    <w:p>
      <w:pPr>
        <w:adjustRightInd w:val="0"/>
        <w:spacing w:line="400" w:lineRule="exact"/>
        <w:ind w:firstLine="440" w:firstLineChars="200"/>
        <w:rPr>
          <w:rFonts w:ascii="宋体" w:hAnsi="宋体"/>
          <w:color w:val="000000"/>
          <w:sz w:val="22"/>
        </w:rPr>
      </w:pPr>
      <w:r>
        <w:rPr>
          <w:rFonts w:ascii="宋体" w:hAnsi="宋体"/>
          <w:color w:val="000000"/>
          <w:sz w:val="22"/>
        </w:rPr>
        <w:t>6.5.1投标车辆变速箱采用全自动</w:t>
      </w:r>
      <w:r>
        <w:rPr>
          <w:rFonts w:hint="eastAsia" w:ascii="宋体" w:hAnsi="宋体"/>
          <w:color w:val="000000"/>
          <w:sz w:val="22"/>
        </w:rPr>
        <w:t>无级</w:t>
      </w:r>
      <w:r>
        <w:rPr>
          <w:rFonts w:ascii="宋体" w:hAnsi="宋体"/>
          <w:color w:val="000000"/>
          <w:sz w:val="22"/>
        </w:rPr>
        <w:t>变速器，采用微电脑控制，设置≥</w:t>
      </w:r>
      <w:r>
        <w:rPr>
          <w:rFonts w:hint="eastAsia" w:ascii="宋体" w:hAnsi="宋体"/>
          <w:color w:val="000000"/>
          <w:sz w:val="22"/>
        </w:rPr>
        <w:t>6</w:t>
      </w:r>
      <w:r>
        <w:rPr>
          <w:rFonts w:ascii="宋体" w:hAnsi="宋体"/>
          <w:color w:val="000000"/>
          <w:sz w:val="22"/>
        </w:rPr>
        <w:t>个前进档位，</w:t>
      </w:r>
      <w:r>
        <w:rPr>
          <w:rFonts w:hint="eastAsia" w:ascii="宋体" w:hAnsi="宋体"/>
          <w:color w:val="000000"/>
          <w:sz w:val="22"/>
        </w:rPr>
        <w:t>1</w:t>
      </w:r>
      <w:r>
        <w:rPr>
          <w:rFonts w:ascii="宋体" w:hAnsi="宋体"/>
          <w:color w:val="000000"/>
          <w:sz w:val="22"/>
        </w:rPr>
        <w:t>个倒车档位。换档应平稳，无明显冲击感。选择任何驱动轮时，可全动力向前和向后输出。</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6.5.2 投标车辆变速箱应采用ZF、Allison、Twindisc等同档次或以上国际知名品牌原装进口产品。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6.5.3</w:t>
      </w:r>
      <w:r>
        <w:rPr>
          <w:rFonts w:ascii="宋体" w:hAnsi="宋体"/>
          <w:color w:val="000000"/>
          <w:sz w:val="22"/>
        </w:rPr>
        <w:t>投标书应对</w:t>
      </w:r>
      <w:r>
        <w:rPr>
          <w:rFonts w:hint="eastAsia" w:ascii="宋体" w:hAnsi="宋体"/>
          <w:color w:val="000000"/>
          <w:sz w:val="22"/>
        </w:rPr>
        <w:t>变速箱</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4</w:t>
      </w:r>
      <w:r>
        <w:rPr>
          <w:rFonts w:ascii="宋体" w:hAnsi="宋体"/>
          <w:color w:val="000000"/>
          <w:sz w:val="22"/>
        </w:rPr>
        <w:t>投标车辆采用全轮独立悬挂或带平衡杆的高强度螺旋弹簧悬挂，具有良好的越野性能，在任何地面条件下，整车载荷分布符合轮载要求。车桥的承载应合理，每根桥上装有减震器，有足够的弹簧间隙满足越野工作时的要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6.5.5车辆接近角和离去角</w:t>
      </w:r>
      <w:r>
        <w:rPr>
          <w:rFonts w:ascii="宋体" w:hAnsi="宋体"/>
          <w:color w:val="000000"/>
          <w:sz w:val="22"/>
        </w:rPr>
        <w:t>≥</w:t>
      </w:r>
      <w:r>
        <w:rPr>
          <w:rFonts w:hint="eastAsia" w:ascii="宋体" w:hAnsi="宋体"/>
          <w:color w:val="000000"/>
          <w:sz w:val="22"/>
        </w:rPr>
        <w:t>28</w:t>
      </w:r>
      <w:r>
        <w:rPr>
          <w:rFonts w:hint="eastAsia" w:ascii="宋体" w:hAnsi="宋体"/>
          <w:color w:val="000000"/>
          <w:sz w:val="22"/>
          <w:vertAlign w:val="superscript"/>
        </w:rPr>
        <w:t>0</w:t>
      </w:r>
      <w:r>
        <w:rPr>
          <w:rFonts w:hint="eastAsia" w:ascii="宋体" w:hAnsi="宋体"/>
          <w:color w:val="000000"/>
          <w:sz w:val="22"/>
        </w:rPr>
        <w:t>，最小离地间隙</w:t>
      </w:r>
      <w:r>
        <w:rPr>
          <w:rFonts w:ascii="宋体" w:hAnsi="宋体"/>
          <w:color w:val="000000"/>
          <w:sz w:val="22"/>
        </w:rPr>
        <w:t>≥</w:t>
      </w:r>
      <w:r>
        <w:rPr>
          <w:rFonts w:hint="eastAsia" w:ascii="宋体" w:hAnsi="宋体"/>
          <w:color w:val="000000"/>
          <w:sz w:val="22"/>
        </w:rPr>
        <w:t>400mm</w:t>
      </w:r>
      <w:r>
        <w:rPr>
          <w:rFonts w:ascii="宋体" w:hAnsi="宋体"/>
          <w:color w:val="000000"/>
          <w:sz w:val="22"/>
        </w:rPr>
        <w:t>，能够适应各种崎岖路面行驶的要求</w:t>
      </w:r>
      <w:r>
        <w:rPr>
          <w:rFonts w:hint="eastAsia" w:ascii="宋体" w:hAnsi="宋体"/>
          <w:color w:val="000000"/>
          <w:sz w:val="22"/>
        </w:rPr>
        <w:t>，在车辆</w:t>
      </w:r>
      <w:r>
        <w:rPr>
          <w:rFonts w:ascii="宋体" w:hAnsi="宋体"/>
          <w:color w:val="000000"/>
          <w:sz w:val="22"/>
        </w:rPr>
        <w:t>≥</w:t>
      </w:r>
      <w:r>
        <w:rPr>
          <w:rFonts w:hint="eastAsia" w:ascii="宋体" w:hAnsi="宋体"/>
          <w:color w:val="000000"/>
          <w:sz w:val="22"/>
        </w:rPr>
        <w:t>40KM/h速度行进中轮胎连续上下跳动</w:t>
      </w:r>
      <w:r>
        <w:rPr>
          <w:rFonts w:ascii="宋体" w:hAnsi="宋体"/>
          <w:color w:val="000000"/>
          <w:sz w:val="22"/>
        </w:rPr>
        <w:t>≥</w:t>
      </w:r>
      <w:r>
        <w:rPr>
          <w:rFonts w:hint="eastAsia" w:ascii="宋体" w:hAnsi="宋体"/>
          <w:color w:val="000000"/>
          <w:sz w:val="22"/>
        </w:rPr>
        <w:t>350mm时能保持车身平稳，</w:t>
      </w:r>
      <w:r>
        <w:rPr>
          <w:rFonts w:ascii="宋体" w:hAnsi="宋体"/>
          <w:color w:val="000000"/>
          <w:sz w:val="22"/>
        </w:rPr>
        <w:t>不影响</w:t>
      </w:r>
      <w:r>
        <w:rPr>
          <w:rFonts w:hint="eastAsia" w:ascii="宋体" w:hAnsi="宋体"/>
          <w:color w:val="000000"/>
          <w:sz w:val="22"/>
        </w:rPr>
        <w:t>驾驶</w:t>
      </w:r>
      <w:r>
        <w:rPr>
          <w:rFonts w:ascii="宋体" w:hAnsi="宋体"/>
          <w:color w:val="000000"/>
          <w:sz w:val="22"/>
        </w:rPr>
        <w:t>人员操控稳定性。</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6.5.6</w:t>
      </w:r>
      <w:r>
        <w:rPr>
          <w:rFonts w:ascii="宋体" w:hAnsi="宋体"/>
          <w:color w:val="000000"/>
          <w:sz w:val="22"/>
        </w:rPr>
        <w:t>投标车辆采用</w:t>
      </w:r>
      <w:r>
        <w:rPr>
          <w:rFonts w:hint="eastAsia" w:ascii="宋体" w:hAnsi="宋体"/>
          <w:color w:val="000000"/>
          <w:sz w:val="22"/>
        </w:rPr>
        <w:t>消防车专用底盘系统，车架大梁、车桥、悬挂、连接件和紧固件等系统和部件强度、刚度、柔韧性应满足车辆在满载越野、长时间满载停放等恶劣环境工作的要求。招标人优先选用消防车生产厂家自产的车辆底盘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6.5.7</w:t>
      </w:r>
      <w:r>
        <w:rPr>
          <w:rFonts w:ascii="宋体" w:hAnsi="宋体"/>
          <w:color w:val="000000"/>
          <w:sz w:val="22"/>
        </w:rPr>
        <w:t>投标人</w:t>
      </w:r>
      <w:r>
        <w:rPr>
          <w:rFonts w:hint="eastAsia" w:ascii="宋体" w:hAnsi="宋体"/>
          <w:color w:val="000000"/>
          <w:sz w:val="22"/>
        </w:rPr>
        <w:t>提供底盘结构形式示意效果图，对技术性能</w:t>
      </w:r>
      <w:r>
        <w:rPr>
          <w:rFonts w:ascii="宋体" w:hAnsi="宋体"/>
          <w:color w:val="000000"/>
          <w:sz w:val="22"/>
        </w:rPr>
        <w:t>（包括悬挂系统、越野性能</w:t>
      </w:r>
      <w:r>
        <w:rPr>
          <w:rFonts w:hint="eastAsia" w:ascii="宋体" w:hAnsi="宋体"/>
          <w:color w:val="000000"/>
          <w:sz w:val="22"/>
        </w:rPr>
        <w:t>、</w:t>
      </w:r>
      <w:r>
        <w:rPr>
          <w:rFonts w:ascii="宋体" w:hAnsi="宋体"/>
          <w:color w:val="000000"/>
          <w:sz w:val="22"/>
        </w:rPr>
        <w:t>稳定性能</w:t>
      </w:r>
      <w:r>
        <w:rPr>
          <w:rFonts w:hint="eastAsia" w:ascii="宋体" w:hAnsi="宋体"/>
          <w:color w:val="000000"/>
          <w:sz w:val="22"/>
        </w:rPr>
        <w:t>、</w:t>
      </w:r>
      <w:r>
        <w:rPr>
          <w:rFonts w:ascii="宋体" w:hAnsi="宋体"/>
          <w:color w:val="000000"/>
          <w:sz w:val="22"/>
        </w:rPr>
        <w:t>大梁强度等）进行详细说明并提供检测报告。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8</w:t>
      </w:r>
      <w:r>
        <w:rPr>
          <w:rFonts w:ascii="宋体" w:hAnsi="宋体"/>
          <w:color w:val="000000"/>
          <w:sz w:val="22"/>
        </w:rPr>
        <w:t>制动系统采用独立双回路的全轮带ABS空气制动系统，一个独立回路的气动弹簧式停车制动系统。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6.5.9</w:t>
      </w:r>
      <w:r>
        <w:rPr>
          <w:rFonts w:ascii="宋体" w:hAnsi="宋体"/>
          <w:color w:val="000000"/>
          <w:sz w:val="22"/>
        </w:rPr>
        <w:t>发动机启动15s内快速充气能够使车辆及时起动并保证制动系统的安全操作。当车辆发生故障时，有应急装置可迅速解除制动。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6.5.10</w:t>
      </w:r>
      <w:r>
        <w:rPr>
          <w:rFonts w:ascii="宋体" w:hAnsi="宋体"/>
          <w:color w:val="000000"/>
          <w:sz w:val="22"/>
        </w:rPr>
        <w:t>车辆应安装辅助电动充气泵，利用外接220V交流电源直接为车辆供气，充气气压自动控制，保证车辆在任何时间内都保持足够的气压。</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11</w:t>
      </w:r>
      <w:r>
        <w:rPr>
          <w:rFonts w:ascii="宋体" w:hAnsi="宋体"/>
          <w:color w:val="000000"/>
          <w:sz w:val="22"/>
        </w:rPr>
        <w:t>方向盘应安装在驾驶室内靠左或中间位置，前后多级可调。应提供动力助力转向系统，保证在任何车辆在任何运行状态下驾驶员都能轻巧、灵活地控制方向。动力转向系统失效时，手动转向应能立即实施操作。</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12</w:t>
      </w:r>
      <w:r>
        <w:rPr>
          <w:rFonts w:ascii="宋体" w:hAnsi="宋体"/>
          <w:color w:val="000000"/>
          <w:sz w:val="22"/>
        </w:rPr>
        <w:t>应选用米其林无内胎</w:t>
      </w:r>
      <w:r>
        <w:rPr>
          <w:rFonts w:hint="eastAsia" w:ascii="宋体" w:hAnsi="宋体"/>
          <w:color w:val="000000"/>
          <w:sz w:val="22"/>
        </w:rPr>
        <w:t>低压</w:t>
      </w:r>
      <w:r>
        <w:rPr>
          <w:rFonts w:ascii="宋体" w:hAnsi="宋体"/>
          <w:color w:val="000000"/>
          <w:sz w:val="22"/>
        </w:rPr>
        <w:t>轮胎，层压级≥24级，载荷符合要求。满足在高速度、粗糙路面、满载操作、恶劣气候等条件下均有较长使用寿命。所有车轮应可实现互换，便于拆卸和维修。</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13</w:t>
      </w:r>
      <w:r>
        <w:rPr>
          <w:rFonts w:ascii="宋体" w:hAnsi="宋体"/>
          <w:color w:val="000000"/>
          <w:sz w:val="22"/>
        </w:rPr>
        <w:t xml:space="preserve"> 在前后桥、各左右轮之间都应装有差速器。应有可以进行全轮驱动和后轮驱动切换的装置。</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6.5.14 投标人应对车辆底盘</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15</w:t>
      </w:r>
      <w:r>
        <w:rPr>
          <w:rFonts w:ascii="宋体" w:hAnsi="宋体"/>
          <w:color w:val="000000"/>
          <w:sz w:val="22"/>
        </w:rPr>
        <w:t>灯光和电器设备应采用12V或24V直流型。电气组件、元件及导线连接处需绝缘、防水、密封和加屏蔽保护。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16</w:t>
      </w:r>
      <w:r>
        <w:rPr>
          <w:rFonts w:ascii="宋体" w:hAnsi="宋体"/>
          <w:color w:val="000000"/>
          <w:sz w:val="22"/>
        </w:rPr>
        <w:t>采用双交流发电机系统，当一个发电机发生故障时，另一个发电机能继续保持供电，同时配有交流发电机故障报警系统。发电机应有较好的性能，输出电流≥200A，在低速时有高输出，并装有用于充电的C/W整流器和调节器。</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17</w:t>
      </w:r>
      <w:r>
        <w:rPr>
          <w:rFonts w:ascii="宋体" w:hAnsi="宋体"/>
          <w:color w:val="000000"/>
          <w:sz w:val="22"/>
        </w:rPr>
        <w:t>免维护蓄电池组输出电流≥</w:t>
      </w:r>
      <w:r>
        <w:rPr>
          <w:rFonts w:hint="eastAsia" w:ascii="宋体" w:hAnsi="宋体"/>
          <w:color w:val="000000"/>
          <w:sz w:val="22"/>
        </w:rPr>
        <w:t>2000CCA</w:t>
      </w:r>
      <w:r>
        <w:rPr>
          <w:rFonts w:ascii="宋体" w:hAnsi="宋体"/>
          <w:color w:val="000000"/>
          <w:sz w:val="22"/>
        </w:rPr>
        <w:t>。安装位置应方便维修检测、通风良好、抗酸和风雨。有电源箱的明显位置表明系统极性。车辆应安装带过充保护的直流充电器，可以直接利用外接220V电源对蓄电池进行充电。</w:t>
      </w:r>
      <w:r>
        <w:rPr>
          <w:rFonts w:hint="eastAsia" w:ascii="宋体" w:hAnsi="宋体"/>
          <w:color w:val="000000"/>
          <w:sz w:val="22"/>
        </w:rPr>
        <w:t>车辆发动时，充电插口能自动弹出。</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18</w:t>
      </w:r>
      <w:r>
        <w:rPr>
          <w:rFonts w:ascii="宋体" w:hAnsi="宋体"/>
          <w:color w:val="000000"/>
          <w:sz w:val="22"/>
        </w:rPr>
        <w:t>所有电气线路的保险盒、连接盒应在驾驶室内的便于维修、更换处。所有电路和电器设备应有保险丝或断路器保护。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19</w:t>
      </w:r>
      <w:r>
        <w:rPr>
          <w:rFonts w:ascii="宋体" w:hAnsi="宋体"/>
          <w:color w:val="000000"/>
          <w:sz w:val="22"/>
        </w:rPr>
        <w:t>车辆各种通用照明设备的配置应符合国际交通规则的要求。投标书中应对各种通用标准照明设备的名称、数量、控制方式和分布情况进行说明。车辆至少安装以下专用照明设备：</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各种仪表面板、控制开关面板及各个贮存箱应有照明灯。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车体两侧应有2个氙气消防探照灯。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应能有主炮运动方向同步的主炮探照灯。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车前大灯和主炮探照灯应选用氙气灯。</w:t>
      </w:r>
    </w:p>
    <w:p>
      <w:pPr>
        <w:adjustRightInd w:val="0"/>
        <w:spacing w:line="400" w:lineRule="exact"/>
        <w:ind w:firstLine="440" w:firstLineChars="200"/>
        <w:rPr>
          <w:rFonts w:ascii="宋体" w:hAnsi="宋体"/>
          <w:color w:val="000000"/>
          <w:sz w:val="22"/>
        </w:rPr>
      </w:pPr>
      <w:r>
        <w:rPr>
          <w:rFonts w:ascii="宋体" w:hAnsi="宋体"/>
          <w:color w:val="000000"/>
          <w:sz w:val="22"/>
        </w:rPr>
        <w:t>6.6消防车驾驶室要求</w:t>
      </w:r>
    </w:p>
    <w:p>
      <w:pPr>
        <w:adjustRightInd w:val="0"/>
        <w:spacing w:line="400" w:lineRule="exact"/>
        <w:ind w:firstLine="440" w:firstLineChars="200"/>
        <w:rPr>
          <w:rFonts w:ascii="宋体" w:hAnsi="宋体"/>
          <w:color w:val="000000"/>
          <w:sz w:val="22"/>
        </w:rPr>
      </w:pPr>
      <w:r>
        <w:rPr>
          <w:rFonts w:ascii="宋体" w:hAnsi="宋体"/>
          <w:color w:val="000000"/>
          <w:sz w:val="22"/>
        </w:rPr>
        <w:t>6.6.1全封闭的驾驶室应具有良好的视野，在正常情况下不存在视觉死角。投标人提供在驾驶室内中心位置时所能达到的视野范围角度值。驾驶室</w:t>
      </w:r>
      <w:r>
        <w:rPr>
          <w:rFonts w:hint="eastAsia" w:ascii="宋体" w:hAnsi="宋体"/>
          <w:color w:val="000000"/>
          <w:sz w:val="22"/>
        </w:rPr>
        <w:t>独立一体成型，无通过改装拼接扩大内部空间，内部前后排之间无隔断，</w:t>
      </w:r>
      <w:r>
        <w:rPr>
          <w:rFonts w:ascii="宋体" w:hAnsi="宋体"/>
          <w:color w:val="000000"/>
          <w:sz w:val="22"/>
        </w:rPr>
        <w:t>安装</w:t>
      </w:r>
      <w:r>
        <w:rPr>
          <w:rFonts w:hint="eastAsia" w:ascii="宋体" w:hAnsi="宋体"/>
          <w:color w:val="000000"/>
          <w:sz w:val="22"/>
        </w:rPr>
        <w:t>4</w:t>
      </w:r>
      <w:r>
        <w:rPr>
          <w:rFonts w:ascii="宋体" w:hAnsi="宋体"/>
          <w:color w:val="000000"/>
          <w:sz w:val="22"/>
        </w:rPr>
        <w:t>个座椅（包括驾驶员），每个座位应有安全带</w:t>
      </w:r>
      <w:r>
        <w:rPr>
          <w:rFonts w:hint="eastAsia" w:ascii="宋体" w:hAnsi="宋体"/>
          <w:color w:val="000000"/>
          <w:sz w:val="22"/>
        </w:rPr>
        <w:t>，</w:t>
      </w:r>
      <w:r>
        <w:rPr>
          <w:rFonts w:ascii="宋体" w:hAnsi="宋体"/>
          <w:color w:val="000000"/>
          <w:sz w:val="22"/>
        </w:rPr>
        <w:t>驾驶员座位应独立分开</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6.6.2</w:t>
      </w:r>
      <w:r>
        <w:rPr>
          <w:rFonts w:ascii="宋体" w:hAnsi="宋体"/>
          <w:color w:val="000000"/>
          <w:sz w:val="22"/>
        </w:rPr>
        <w:t>座位均为空气悬浮式，</w:t>
      </w:r>
      <w:r>
        <w:rPr>
          <w:rFonts w:hint="eastAsia" w:ascii="宋体" w:hAnsi="宋体"/>
          <w:color w:val="000000"/>
          <w:sz w:val="22"/>
        </w:rPr>
        <w:t>驾驶员座位和副驾驶座位</w:t>
      </w:r>
      <w:r>
        <w:rPr>
          <w:rFonts w:ascii="宋体" w:hAnsi="宋体"/>
          <w:color w:val="000000"/>
          <w:sz w:val="22"/>
        </w:rPr>
        <w:t>可上下、前后</w:t>
      </w:r>
      <w:r>
        <w:rPr>
          <w:rFonts w:hint="eastAsia" w:ascii="宋体" w:hAnsi="宋体"/>
          <w:color w:val="000000"/>
          <w:sz w:val="22"/>
        </w:rPr>
        <w:t>、前倾、后倾全向</w:t>
      </w:r>
      <w:r>
        <w:rPr>
          <w:rFonts w:ascii="宋体" w:hAnsi="宋体"/>
          <w:color w:val="000000"/>
          <w:sz w:val="22"/>
        </w:rPr>
        <w:t>调整</w:t>
      </w:r>
      <w:r>
        <w:rPr>
          <w:rFonts w:hint="eastAsia" w:ascii="宋体" w:hAnsi="宋体"/>
          <w:color w:val="000000"/>
          <w:sz w:val="22"/>
        </w:rPr>
        <w:t>，椅背可前后调节</w:t>
      </w:r>
      <w:r>
        <w:rPr>
          <w:rFonts w:ascii="宋体" w:hAnsi="宋体"/>
          <w:color w:val="000000"/>
          <w:sz w:val="22"/>
        </w:rPr>
        <w:t>。车门的宽度、开启的方向应保证人员能从两边方便、迅速地出入。</w:t>
      </w:r>
    </w:p>
    <w:p>
      <w:pPr>
        <w:adjustRightInd w:val="0"/>
        <w:spacing w:line="400" w:lineRule="exact"/>
        <w:ind w:firstLine="440" w:firstLineChars="200"/>
        <w:rPr>
          <w:rFonts w:ascii="宋体" w:hAnsi="宋体"/>
          <w:color w:val="000000"/>
          <w:sz w:val="22"/>
        </w:rPr>
      </w:pPr>
      <w:r>
        <w:rPr>
          <w:rFonts w:ascii="宋体" w:hAnsi="宋体"/>
          <w:color w:val="000000"/>
          <w:sz w:val="22"/>
        </w:rPr>
        <w:t>6.6.2驾驶室外框应采用高强度合金材料制造，多点悬挂。应具有噪音低（室内≤75db）、震动小、密封性好和隔热的特点。挡风玻璃应为全宽耐高温防暴安全层压玻璃。挡风玻璃前安装利用车载消防水源的水幕喷淋用于减低在火场上挡风玻璃的温度。应配备双速刮水器、除雾器、洗涤器、遮光板、后视镜等各种基本附件。驾驶室内应配有大功率冷暖空调。</w:t>
      </w:r>
    </w:p>
    <w:p>
      <w:pPr>
        <w:adjustRightInd w:val="0"/>
        <w:spacing w:line="400" w:lineRule="exact"/>
        <w:ind w:firstLine="440" w:firstLineChars="200"/>
        <w:rPr>
          <w:rFonts w:ascii="宋体" w:hAnsi="宋体"/>
          <w:color w:val="000000"/>
          <w:sz w:val="22"/>
        </w:rPr>
      </w:pPr>
      <w:r>
        <w:rPr>
          <w:rFonts w:ascii="宋体" w:hAnsi="宋体"/>
          <w:color w:val="000000"/>
          <w:sz w:val="22"/>
        </w:rPr>
        <w:t>6.6.3各种仪表、开关及控制件应为防水设计，并按照行车工作区和消防工作区合理布置，方便操作、易于识别。通常行车用各种仪表、开关、控制杆和附件的配置应符合国际交通规则的要求。</w:t>
      </w:r>
    </w:p>
    <w:p>
      <w:pPr>
        <w:adjustRightInd w:val="0"/>
        <w:spacing w:line="400" w:lineRule="exact"/>
        <w:ind w:firstLine="440" w:firstLineChars="200"/>
        <w:rPr>
          <w:rFonts w:ascii="宋体" w:hAnsi="宋体"/>
          <w:color w:val="000000"/>
          <w:sz w:val="22"/>
        </w:rPr>
      </w:pPr>
      <w:r>
        <w:rPr>
          <w:rFonts w:ascii="宋体" w:hAnsi="宋体"/>
          <w:color w:val="000000"/>
          <w:sz w:val="22"/>
        </w:rPr>
        <w:t>6.6.4驾驶室内除配置通常行车用各种仪表外，还应配置水罐液位计、泡沫罐液位计</w:t>
      </w:r>
      <w:r>
        <w:rPr>
          <w:rFonts w:hint="eastAsia" w:ascii="宋体" w:hAnsi="宋体"/>
          <w:color w:val="000000"/>
          <w:sz w:val="22"/>
        </w:rPr>
        <w:t>、</w:t>
      </w:r>
      <w:r>
        <w:rPr>
          <w:rFonts w:ascii="宋体" w:hAnsi="宋体"/>
          <w:color w:val="000000"/>
          <w:sz w:val="22"/>
        </w:rPr>
        <w:t>水泵压力表等各种必备的专用仪表。投标书应对车辆的各种通用和专用仪表的配置进行详细的说明。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6.6.5驾驶室内除配置通常行车用各种开关和控制杆外，还应配置遥控主、副炮开关和操纵杆（含直/散射控制、喷射量控制）、水罐吸液阀开关、泡沫罐吸液阀开关、泡沫浓度调控开关、泡沫管路清洗开关、泵系统组合控制开关、自保喷嘴开关、探照灯开关、警报器和警告灯开关等各种必备的专用开关和操纵控制杆。投标书应对车辆的各种通用和专用开关和控制杆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6.6.6驾驶室内除配备通常行车用显示灯外，还应配置泡沫罐吸液阀控制灯、真空泵控制灯和各种主要设备的工作状态显示灯。投标书应对投标车辆的各种通用和专用显示灯的配置进行详细的说明。</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6.6.7</w:t>
      </w:r>
      <w:r>
        <w:rPr>
          <w:rFonts w:ascii="宋体" w:hAnsi="宋体"/>
          <w:color w:val="000000"/>
          <w:sz w:val="22"/>
        </w:rPr>
        <w:t>驾驶室内应有上车顶的天窗和楼梯</w:t>
      </w:r>
      <w:r>
        <w:rPr>
          <w:rFonts w:hint="eastAsia" w:ascii="宋体" w:hAnsi="宋体"/>
          <w:color w:val="000000"/>
          <w:sz w:val="22"/>
        </w:rPr>
        <w:t>，不但</w:t>
      </w:r>
      <w:r>
        <w:rPr>
          <w:rFonts w:ascii="宋体" w:hAnsi="宋体"/>
          <w:color w:val="000000"/>
          <w:sz w:val="22"/>
        </w:rPr>
        <w:t>可以快速地从驾驶室内直达车顶</w:t>
      </w:r>
      <w:r>
        <w:rPr>
          <w:rFonts w:hint="eastAsia" w:ascii="宋体" w:hAnsi="宋体"/>
          <w:color w:val="000000"/>
          <w:sz w:val="22"/>
        </w:rPr>
        <w:t>，</w:t>
      </w:r>
      <w:r>
        <w:rPr>
          <w:rFonts w:ascii="宋体" w:hAnsi="宋体"/>
          <w:color w:val="000000"/>
          <w:sz w:val="22"/>
        </w:rPr>
        <w:t>并且在主炮电动手柄遥控失效情况下</w:t>
      </w:r>
      <w:r>
        <w:rPr>
          <w:rFonts w:hint="eastAsia" w:ascii="宋体" w:hAnsi="宋体"/>
          <w:color w:val="000000"/>
          <w:sz w:val="22"/>
        </w:rPr>
        <w:t>，</w:t>
      </w:r>
      <w:r>
        <w:rPr>
          <w:rFonts w:ascii="宋体" w:hAnsi="宋体"/>
          <w:color w:val="000000"/>
          <w:sz w:val="22"/>
        </w:rPr>
        <w:t>可以</w:t>
      </w:r>
      <w:r>
        <w:rPr>
          <w:rFonts w:hint="eastAsia" w:ascii="宋体" w:hAnsi="宋体"/>
          <w:color w:val="000000"/>
          <w:sz w:val="22"/>
        </w:rPr>
        <w:t>让</w:t>
      </w:r>
      <w:r>
        <w:rPr>
          <w:rFonts w:ascii="宋体" w:hAnsi="宋体"/>
          <w:color w:val="000000"/>
          <w:sz w:val="22"/>
        </w:rPr>
        <w:t>消防员在</w:t>
      </w:r>
      <w:r>
        <w:rPr>
          <w:rFonts w:hint="eastAsia" w:ascii="宋体" w:hAnsi="宋体"/>
          <w:color w:val="000000"/>
          <w:sz w:val="22"/>
        </w:rPr>
        <w:t>舒</w:t>
      </w:r>
      <w:r>
        <w:rPr>
          <w:rFonts w:ascii="宋体" w:hAnsi="宋体"/>
          <w:color w:val="000000"/>
          <w:sz w:val="22"/>
        </w:rPr>
        <w:t>适的高度方便地手动操</w:t>
      </w:r>
      <w:r>
        <w:rPr>
          <w:rFonts w:hint="eastAsia" w:ascii="宋体" w:hAnsi="宋体"/>
          <w:color w:val="000000"/>
          <w:sz w:val="22"/>
        </w:rPr>
        <w:t>控</w:t>
      </w:r>
      <w:r>
        <w:rPr>
          <w:rFonts w:ascii="宋体" w:hAnsi="宋体"/>
          <w:color w:val="000000"/>
          <w:sz w:val="22"/>
        </w:rPr>
        <w:t>顶炮</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6.6.8 驾驶室配电动升降玻璃窗。</w:t>
      </w:r>
    </w:p>
    <w:p>
      <w:pPr>
        <w:adjustRightInd w:val="0"/>
        <w:spacing w:line="400" w:lineRule="exact"/>
        <w:ind w:firstLine="440" w:firstLineChars="200"/>
        <w:rPr>
          <w:rFonts w:ascii="宋体" w:hAnsi="宋体"/>
          <w:color w:val="000000"/>
          <w:sz w:val="22"/>
        </w:rPr>
      </w:pPr>
      <w:r>
        <w:rPr>
          <w:rFonts w:ascii="宋体" w:hAnsi="宋体"/>
          <w:color w:val="000000"/>
          <w:sz w:val="22"/>
        </w:rPr>
        <w:t>6.7消防车车体结构要求</w:t>
      </w:r>
    </w:p>
    <w:p>
      <w:pPr>
        <w:adjustRightInd w:val="0"/>
        <w:spacing w:line="400" w:lineRule="exact"/>
        <w:ind w:firstLine="440" w:firstLineChars="200"/>
        <w:rPr>
          <w:rFonts w:ascii="宋体" w:hAnsi="宋体"/>
          <w:color w:val="000000"/>
          <w:sz w:val="22"/>
        </w:rPr>
      </w:pPr>
      <w:r>
        <w:rPr>
          <w:rFonts w:ascii="宋体" w:hAnsi="宋体"/>
          <w:color w:val="000000"/>
          <w:sz w:val="22"/>
        </w:rPr>
        <w:t>6.7.1车身的所有金属部分应采用高强度铝合金材料制造，并提供车身防护装置。底部应经过阻燃化合物的处理。前驱动桥应有紧急防护板。车前后应有坚固的牵引挂钩。</w:t>
      </w:r>
    </w:p>
    <w:p>
      <w:pPr>
        <w:adjustRightInd w:val="0"/>
        <w:spacing w:line="400" w:lineRule="exact"/>
        <w:ind w:firstLine="440" w:firstLineChars="200"/>
        <w:rPr>
          <w:rFonts w:ascii="宋体" w:hAnsi="宋体"/>
          <w:color w:val="000000"/>
          <w:sz w:val="22"/>
        </w:rPr>
      </w:pPr>
      <w:r>
        <w:rPr>
          <w:rFonts w:ascii="宋体" w:hAnsi="宋体"/>
          <w:color w:val="000000"/>
          <w:sz w:val="22"/>
        </w:rPr>
        <w:t>6.7.2水罐、泡沫罐、泵组等各种设备应被车体包住，车体板可开启和拆卸。</w:t>
      </w:r>
    </w:p>
    <w:p>
      <w:pPr>
        <w:adjustRightInd w:val="0"/>
        <w:spacing w:line="400" w:lineRule="exact"/>
        <w:ind w:firstLine="440" w:firstLineChars="200"/>
        <w:rPr>
          <w:rFonts w:ascii="宋体" w:hAnsi="宋体"/>
          <w:color w:val="000000"/>
          <w:sz w:val="22"/>
        </w:rPr>
      </w:pPr>
      <w:r>
        <w:rPr>
          <w:rFonts w:ascii="宋体" w:hAnsi="宋体"/>
          <w:color w:val="000000"/>
          <w:sz w:val="22"/>
        </w:rPr>
        <w:t>6.7.3车体应为辅助设备和工具提供有良好的防尘、防水、防锈、通风的贮存箱。箱的内部设计应以设备和工具摆放合理、便于使用和维护为原则，并应用固定的卡扣，以防止车辆行驶时箱内设备和工具的移动。箱门为卷帘碰锁式。在箱内</w:t>
      </w:r>
      <w:r>
        <w:rPr>
          <w:rFonts w:hint="eastAsia" w:ascii="宋体" w:hAnsi="宋体"/>
          <w:color w:val="000000"/>
          <w:sz w:val="22"/>
        </w:rPr>
        <w:t>应配有LED照明，并在</w:t>
      </w:r>
      <w:r>
        <w:rPr>
          <w:rFonts w:ascii="宋体" w:hAnsi="宋体"/>
          <w:color w:val="000000"/>
          <w:sz w:val="22"/>
        </w:rPr>
        <w:t>便于触及处安装手动照明开关。</w:t>
      </w:r>
    </w:p>
    <w:p>
      <w:pPr>
        <w:adjustRightInd w:val="0"/>
        <w:spacing w:line="400" w:lineRule="exact"/>
        <w:ind w:firstLine="440" w:firstLineChars="200"/>
        <w:rPr>
          <w:rFonts w:ascii="宋体" w:hAnsi="宋体"/>
          <w:color w:val="000000"/>
          <w:sz w:val="22"/>
        </w:rPr>
      </w:pPr>
      <w:r>
        <w:rPr>
          <w:rFonts w:ascii="宋体" w:hAnsi="宋体"/>
          <w:color w:val="000000"/>
          <w:sz w:val="22"/>
        </w:rPr>
        <w:t>6.7.</w:t>
      </w:r>
      <w:r>
        <w:rPr>
          <w:rFonts w:hint="eastAsia" w:ascii="宋体" w:hAnsi="宋体"/>
          <w:color w:val="000000"/>
          <w:sz w:val="22"/>
        </w:rPr>
        <w:t>4</w:t>
      </w:r>
      <w:r>
        <w:rPr>
          <w:rFonts w:ascii="宋体" w:hAnsi="宋体"/>
          <w:color w:val="000000"/>
          <w:sz w:val="22"/>
        </w:rPr>
        <w:t>在车身的合理位置应安装上车顶的爬梯。车顶应加固而承受≥3人（100kg/人）的重量，四周应有一定高度的护栏。人员可登踏或行走的所有部位应采用坚固材料制造，并有防滑设施。</w:t>
      </w:r>
    </w:p>
    <w:p>
      <w:pPr>
        <w:adjustRightInd w:val="0"/>
        <w:spacing w:line="400" w:lineRule="exact"/>
        <w:ind w:firstLine="440" w:firstLineChars="200"/>
        <w:rPr>
          <w:rFonts w:ascii="宋体" w:hAnsi="宋体"/>
          <w:color w:val="000000"/>
          <w:sz w:val="22"/>
        </w:rPr>
      </w:pPr>
      <w:r>
        <w:rPr>
          <w:rFonts w:ascii="宋体" w:hAnsi="宋体"/>
          <w:color w:val="000000"/>
          <w:sz w:val="22"/>
        </w:rPr>
        <w:t>6.8消防车其他要求</w:t>
      </w:r>
    </w:p>
    <w:p>
      <w:pPr>
        <w:adjustRightInd w:val="0"/>
        <w:spacing w:line="400" w:lineRule="exact"/>
        <w:ind w:firstLine="440" w:firstLineChars="200"/>
        <w:rPr>
          <w:rFonts w:ascii="宋体" w:hAnsi="宋体"/>
          <w:color w:val="000000"/>
          <w:sz w:val="22"/>
        </w:rPr>
      </w:pPr>
      <w:r>
        <w:rPr>
          <w:rFonts w:ascii="宋体" w:hAnsi="宋体"/>
          <w:color w:val="000000"/>
          <w:sz w:val="22"/>
        </w:rPr>
        <w:t>6.8.1警告装置</w:t>
      </w:r>
    </w:p>
    <w:p>
      <w:pPr>
        <w:adjustRightInd w:val="0"/>
        <w:spacing w:line="400" w:lineRule="exact"/>
        <w:ind w:firstLine="440" w:firstLineChars="200"/>
        <w:rPr>
          <w:rFonts w:ascii="宋体" w:hAnsi="宋体"/>
          <w:color w:val="000000"/>
          <w:sz w:val="22"/>
        </w:rPr>
      </w:pPr>
      <w:r>
        <w:rPr>
          <w:rFonts w:ascii="宋体" w:hAnsi="宋体"/>
          <w:color w:val="000000"/>
          <w:sz w:val="22"/>
        </w:rPr>
        <w:t>6.8.1.1车顶前、后部两侧应各安装1个醒目的圆形旋转红色警告灯和黄色空中警告灯。警告灯应不易损坏，安装位置不能影响水炮作业和各种车顶作业。</w:t>
      </w:r>
    </w:p>
    <w:p>
      <w:pPr>
        <w:adjustRightInd w:val="0"/>
        <w:spacing w:line="400" w:lineRule="exact"/>
        <w:ind w:firstLine="440" w:firstLineChars="200"/>
        <w:rPr>
          <w:rFonts w:ascii="宋体" w:hAnsi="宋体"/>
          <w:color w:val="000000"/>
          <w:sz w:val="22"/>
        </w:rPr>
      </w:pPr>
      <w:r>
        <w:rPr>
          <w:rFonts w:ascii="宋体" w:hAnsi="宋体"/>
          <w:color w:val="000000"/>
          <w:sz w:val="22"/>
        </w:rPr>
        <w:t>6.8.1.2在车前应安装一个双调喇叭和一套警报器。应有倒车报警系统</w:t>
      </w:r>
      <w:r>
        <w:rPr>
          <w:rFonts w:hint="eastAsia" w:ascii="宋体" w:hAnsi="宋体"/>
          <w:color w:val="000000"/>
          <w:sz w:val="22"/>
        </w:rPr>
        <w:t>、倒车车尾照明和</w:t>
      </w:r>
      <w:r>
        <w:rPr>
          <w:rFonts w:ascii="宋体" w:hAnsi="宋体"/>
          <w:color w:val="000000"/>
          <w:sz w:val="22"/>
        </w:rPr>
        <w:t>可视（彩色视频图像）倒车雷达系统</w:t>
      </w:r>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w:t>
      </w:r>
    </w:p>
    <w:p>
      <w:pPr>
        <w:adjustRightInd w:val="0"/>
        <w:spacing w:line="400" w:lineRule="exact"/>
        <w:ind w:firstLine="440" w:firstLineChars="200"/>
        <w:rPr>
          <w:rFonts w:ascii="宋体" w:hAnsi="宋体"/>
          <w:color w:val="000000"/>
          <w:sz w:val="22"/>
        </w:rPr>
      </w:pPr>
      <w:r>
        <w:rPr>
          <w:rFonts w:ascii="宋体" w:hAnsi="宋体"/>
          <w:color w:val="000000"/>
          <w:sz w:val="22"/>
        </w:rPr>
        <w:t>6.8.1.3对各种主要设备的故障或危险状态应有闪烁的报警灯来提示操作人员。</w:t>
      </w:r>
    </w:p>
    <w:p>
      <w:pPr>
        <w:adjustRightInd w:val="0"/>
        <w:spacing w:line="400" w:lineRule="exact"/>
        <w:ind w:firstLine="440" w:firstLineChars="200"/>
        <w:rPr>
          <w:rFonts w:ascii="宋体" w:hAnsi="宋体"/>
          <w:color w:val="000000"/>
          <w:sz w:val="22"/>
        </w:rPr>
      </w:pPr>
      <w:r>
        <w:rPr>
          <w:rFonts w:ascii="宋体" w:hAnsi="宋体"/>
          <w:color w:val="000000"/>
          <w:sz w:val="22"/>
        </w:rPr>
        <w:t>6.8.1.4投标书应对车辆的各种警告显示灯的配置进行详细说明。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6.8.2车辆的所有管路、阀门和连接头应用优质防锈、防腐、防火材料制造，能防止AFFF、FFFP和蛋白质泡沫混合液的腐蚀。应安装用于管路、泵和阀门的清洗装置，并提供一套大比例水系统原理及连接图。</w:t>
      </w:r>
    </w:p>
    <w:p>
      <w:pPr>
        <w:adjustRightInd w:val="0"/>
        <w:spacing w:line="400" w:lineRule="exact"/>
        <w:ind w:firstLine="440" w:firstLineChars="200"/>
        <w:rPr>
          <w:rFonts w:ascii="宋体" w:hAnsi="宋体"/>
          <w:color w:val="000000"/>
          <w:sz w:val="22"/>
        </w:rPr>
      </w:pPr>
      <w:r>
        <w:rPr>
          <w:rFonts w:ascii="宋体" w:hAnsi="宋体"/>
          <w:color w:val="000000"/>
          <w:sz w:val="22"/>
        </w:rPr>
        <w:t>6.8.3 后视镜具有电动调整和电热除雾功能。</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6.8.4 驾驶室内安装行车记录仪，</w:t>
      </w:r>
      <w:bookmarkStart w:id="75" w:name="_Toc442103651"/>
      <w:bookmarkStart w:id="76" w:name="_Toc109628762"/>
      <w:bookmarkStart w:id="77" w:name="_Toc111349987"/>
      <w:bookmarkStart w:id="78" w:name="_Toc111349783"/>
      <w:bookmarkStart w:id="79" w:name="_Toc109629353"/>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10inch，高清摄像头分辨率不小于1440P，带夜视功能，存储卡容量</w:t>
      </w:r>
      <w:r>
        <w:rPr>
          <w:rFonts w:ascii="宋体" w:hAnsi="宋体"/>
          <w:color w:val="000000"/>
          <w:sz w:val="22"/>
        </w:rPr>
        <w:t>≥</w:t>
      </w:r>
      <w:r>
        <w:rPr>
          <w:rFonts w:hint="eastAsia" w:ascii="宋体" w:hAnsi="宋体"/>
          <w:color w:val="000000"/>
          <w:sz w:val="22"/>
        </w:rPr>
        <w:t>64GB。</w:t>
      </w:r>
    </w:p>
    <w:p>
      <w:pPr>
        <w:adjustRightInd w:val="0"/>
        <w:spacing w:line="400" w:lineRule="exact"/>
        <w:ind w:firstLine="442" w:firstLineChars="200"/>
        <w:rPr>
          <w:rFonts w:ascii="宋体" w:hAnsi="宋体"/>
          <w:b/>
          <w:color w:val="000000"/>
          <w:sz w:val="22"/>
        </w:rPr>
      </w:pPr>
    </w:p>
    <w:p>
      <w:pPr>
        <w:adjustRightInd w:val="0"/>
        <w:spacing w:line="400" w:lineRule="exact"/>
        <w:jc w:val="center"/>
        <w:rPr>
          <w:rFonts w:ascii="宋体" w:hAnsi="宋体"/>
          <w:b/>
          <w:color w:val="000000"/>
          <w:sz w:val="22"/>
        </w:rPr>
      </w:pPr>
      <w:r>
        <w:rPr>
          <w:rFonts w:ascii="宋体" w:hAnsi="宋体"/>
          <w:b/>
          <w:color w:val="000000"/>
          <w:sz w:val="22"/>
        </w:rPr>
        <w:t>附件一：整车及各主要部件保修期限表</w:t>
      </w:r>
      <w:bookmarkEnd w:id="75"/>
    </w:p>
    <w:tbl>
      <w:tblPr>
        <w:tblStyle w:val="52"/>
        <w:tblW w:w="827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587"/>
        <w:gridCol w:w="220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序号</w:t>
            </w:r>
          </w:p>
        </w:tc>
        <w:tc>
          <w:tcPr>
            <w:tcW w:w="2587" w:type="dxa"/>
          </w:tcPr>
          <w:p>
            <w:pPr>
              <w:jc w:val="center"/>
              <w:rPr>
                <w:rFonts w:ascii="宋体" w:hAnsi="宋体"/>
                <w:color w:val="000000"/>
                <w:sz w:val="22"/>
              </w:rPr>
            </w:pPr>
            <w:r>
              <w:rPr>
                <w:rFonts w:ascii="宋体" w:hAnsi="宋体"/>
                <w:color w:val="000000"/>
                <w:sz w:val="22"/>
              </w:rPr>
              <w:t>整车和部件</w:t>
            </w:r>
          </w:p>
        </w:tc>
        <w:tc>
          <w:tcPr>
            <w:tcW w:w="2205" w:type="dxa"/>
          </w:tcPr>
          <w:p>
            <w:pPr>
              <w:jc w:val="center"/>
              <w:rPr>
                <w:rFonts w:ascii="宋体" w:hAnsi="宋体"/>
                <w:color w:val="000000"/>
                <w:sz w:val="22"/>
              </w:rPr>
            </w:pPr>
            <w:r>
              <w:rPr>
                <w:rFonts w:ascii="宋体" w:hAnsi="宋体"/>
                <w:color w:val="000000"/>
                <w:sz w:val="22"/>
              </w:rPr>
              <w:t>保修期限</w:t>
            </w:r>
          </w:p>
        </w:tc>
        <w:tc>
          <w:tcPr>
            <w:tcW w:w="2730" w:type="dxa"/>
          </w:tcPr>
          <w:p>
            <w:pPr>
              <w:jc w:val="center"/>
              <w:rPr>
                <w:rFonts w:ascii="宋体" w:hAnsi="宋体"/>
                <w:color w:val="000000"/>
                <w:sz w:val="22"/>
              </w:rPr>
            </w:pPr>
            <w:r>
              <w:rPr>
                <w:rFonts w:ascii="宋体" w:hAnsi="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1</w:t>
            </w:r>
          </w:p>
        </w:tc>
        <w:tc>
          <w:tcPr>
            <w:tcW w:w="2587" w:type="dxa"/>
          </w:tcPr>
          <w:p>
            <w:pPr>
              <w:jc w:val="center"/>
              <w:rPr>
                <w:rFonts w:ascii="宋体" w:hAnsi="宋体"/>
                <w:color w:val="000000"/>
                <w:sz w:val="22"/>
              </w:rPr>
            </w:pPr>
            <w:r>
              <w:rPr>
                <w:rFonts w:ascii="宋体" w:hAnsi="宋体"/>
                <w:color w:val="000000"/>
                <w:sz w:val="22"/>
              </w:rPr>
              <w:t>整车</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2</w:t>
            </w:r>
          </w:p>
        </w:tc>
        <w:tc>
          <w:tcPr>
            <w:tcW w:w="2587" w:type="dxa"/>
          </w:tcPr>
          <w:p>
            <w:pPr>
              <w:jc w:val="center"/>
              <w:rPr>
                <w:rFonts w:ascii="宋体" w:hAnsi="宋体"/>
                <w:color w:val="000000"/>
                <w:sz w:val="22"/>
              </w:rPr>
            </w:pPr>
            <w:r>
              <w:rPr>
                <w:rFonts w:ascii="宋体" w:hAnsi="宋体"/>
                <w:color w:val="000000"/>
                <w:sz w:val="22"/>
              </w:rPr>
              <w:t>发动机</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3</w:t>
            </w:r>
          </w:p>
        </w:tc>
        <w:tc>
          <w:tcPr>
            <w:tcW w:w="2587" w:type="dxa"/>
          </w:tcPr>
          <w:p>
            <w:pPr>
              <w:jc w:val="center"/>
              <w:rPr>
                <w:rFonts w:ascii="宋体" w:hAnsi="宋体"/>
                <w:color w:val="000000"/>
                <w:sz w:val="22"/>
              </w:rPr>
            </w:pPr>
            <w:r>
              <w:rPr>
                <w:rFonts w:ascii="宋体" w:hAnsi="宋体"/>
                <w:color w:val="000000"/>
                <w:sz w:val="22"/>
              </w:rPr>
              <w:t>变速箱</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4</w:t>
            </w:r>
          </w:p>
        </w:tc>
        <w:tc>
          <w:tcPr>
            <w:tcW w:w="2587" w:type="dxa"/>
          </w:tcPr>
          <w:p>
            <w:pPr>
              <w:jc w:val="center"/>
              <w:rPr>
                <w:rFonts w:ascii="宋体" w:hAnsi="宋体"/>
                <w:color w:val="000000"/>
                <w:sz w:val="22"/>
              </w:rPr>
            </w:pPr>
            <w:r>
              <w:rPr>
                <w:rFonts w:hint="eastAsia" w:ascii="宋体" w:hAnsi="宋体"/>
                <w:color w:val="000000"/>
                <w:sz w:val="22"/>
              </w:rPr>
              <w:t>底盘系统</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5</w:t>
            </w:r>
          </w:p>
        </w:tc>
        <w:tc>
          <w:tcPr>
            <w:tcW w:w="2587" w:type="dxa"/>
          </w:tcPr>
          <w:p>
            <w:pPr>
              <w:jc w:val="center"/>
              <w:rPr>
                <w:rFonts w:ascii="宋体" w:hAnsi="宋体"/>
                <w:color w:val="000000"/>
                <w:sz w:val="22"/>
              </w:rPr>
            </w:pPr>
            <w:r>
              <w:rPr>
                <w:rFonts w:ascii="宋体" w:hAnsi="宋体"/>
                <w:color w:val="000000"/>
                <w:sz w:val="22"/>
              </w:rPr>
              <w:t>消防泵</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6</w:t>
            </w:r>
          </w:p>
        </w:tc>
        <w:tc>
          <w:tcPr>
            <w:tcW w:w="2587" w:type="dxa"/>
          </w:tcPr>
          <w:p>
            <w:pPr>
              <w:jc w:val="center"/>
              <w:rPr>
                <w:rFonts w:ascii="宋体" w:hAnsi="宋体"/>
                <w:color w:val="000000"/>
                <w:sz w:val="22"/>
              </w:rPr>
            </w:pPr>
            <w:r>
              <w:rPr>
                <w:rFonts w:ascii="宋体" w:hAnsi="宋体"/>
                <w:color w:val="000000"/>
                <w:sz w:val="22"/>
              </w:rPr>
              <w:t>消防水炮</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7</w:t>
            </w:r>
          </w:p>
        </w:tc>
        <w:tc>
          <w:tcPr>
            <w:tcW w:w="2587" w:type="dxa"/>
          </w:tcPr>
          <w:p>
            <w:pPr>
              <w:jc w:val="center"/>
              <w:rPr>
                <w:rFonts w:ascii="宋体" w:hAnsi="宋体"/>
                <w:color w:val="000000"/>
                <w:sz w:val="22"/>
              </w:rPr>
            </w:pPr>
            <w:r>
              <w:rPr>
                <w:rFonts w:ascii="宋体" w:hAnsi="宋体"/>
                <w:color w:val="000000"/>
                <w:sz w:val="22"/>
              </w:rPr>
              <w:t>水罐和泡沫罐</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w:t>
            </w:r>
          </w:p>
        </w:tc>
        <w:tc>
          <w:tcPr>
            <w:tcW w:w="2587" w:type="dxa"/>
          </w:tcPr>
          <w:p>
            <w:pPr>
              <w:rPr>
                <w:rFonts w:ascii="宋体" w:hAnsi="宋体"/>
                <w:color w:val="000000"/>
                <w:sz w:val="22"/>
              </w:rPr>
            </w:pPr>
          </w:p>
        </w:tc>
        <w:tc>
          <w:tcPr>
            <w:tcW w:w="2205" w:type="dxa"/>
          </w:tcPr>
          <w:p>
            <w:pPr>
              <w:rPr>
                <w:rFonts w:ascii="宋体" w:hAnsi="宋体"/>
                <w:color w:val="000000"/>
                <w:sz w:val="22"/>
              </w:rPr>
            </w:pPr>
          </w:p>
        </w:tc>
        <w:tc>
          <w:tcPr>
            <w:tcW w:w="2730" w:type="dxa"/>
          </w:tcPr>
          <w:p>
            <w:pPr>
              <w:rPr>
                <w:rFonts w:ascii="宋体" w:hAnsi="宋体"/>
                <w:color w:val="000000"/>
                <w:sz w:val="22"/>
              </w:rPr>
            </w:pPr>
          </w:p>
        </w:tc>
      </w:tr>
      <w:bookmarkEnd w:id="76"/>
      <w:bookmarkEnd w:id="77"/>
      <w:bookmarkEnd w:id="78"/>
      <w:bookmarkEnd w:id="79"/>
    </w:tbl>
    <w:p>
      <w:pPr>
        <w:pStyle w:val="2"/>
        <w:rPr>
          <w:rFonts w:ascii="宋体" w:hAnsi="宋体"/>
          <w:color w:val="000000"/>
          <w:sz w:val="22"/>
          <w:szCs w:val="22"/>
        </w:rPr>
      </w:pPr>
      <w:bookmarkStart w:id="80" w:name="_Toc442103652"/>
      <w:bookmarkStart w:id="81" w:name="_Toc111349989"/>
      <w:bookmarkStart w:id="82" w:name="_Toc111349785"/>
      <w:bookmarkStart w:id="83" w:name="_Toc109629355"/>
      <w:bookmarkStart w:id="84" w:name="_Toc109628764"/>
      <w:r>
        <w:rPr>
          <w:rFonts w:ascii="宋体" w:hAnsi="宋体"/>
          <w:color w:val="000000"/>
          <w:sz w:val="22"/>
          <w:szCs w:val="22"/>
        </w:rPr>
        <w:t>附件二：零备件及检测维修专用设备清单</w:t>
      </w:r>
      <w:bookmarkEnd w:id="80"/>
    </w:p>
    <w:tbl>
      <w:tblPr>
        <w:tblStyle w:val="52"/>
        <w:tblW w:w="8769"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80"/>
        <w:gridCol w:w="1365"/>
        <w:gridCol w:w="1155"/>
        <w:gridCol w:w="105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 w:hRule="atLeast"/>
        </w:trPr>
        <w:tc>
          <w:tcPr>
            <w:tcW w:w="840" w:type="dxa"/>
            <w:vMerge w:val="restart"/>
            <w:vAlign w:val="center"/>
          </w:tcPr>
          <w:p>
            <w:pPr>
              <w:ind w:left="-108" w:hanging="108"/>
              <w:jc w:val="center"/>
              <w:rPr>
                <w:rFonts w:ascii="宋体" w:hAnsi="宋体"/>
                <w:color w:val="000000"/>
                <w:sz w:val="22"/>
              </w:rPr>
            </w:pPr>
            <w:r>
              <w:rPr>
                <w:rFonts w:ascii="宋体" w:hAnsi="宋体"/>
                <w:color w:val="000000"/>
                <w:sz w:val="22"/>
              </w:rPr>
              <w:t>序号</w:t>
            </w:r>
          </w:p>
        </w:tc>
        <w:tc>
          <w:tcPr>
            <w:tcW w:w="2080" w:type="dxa"/>
            <w:vMerge w:val="restart"/>
            <w:vAlign w:val="center"/>
          </w:tcPr>
          <w:p>
            <w:pPr>
              <w:jc w:val="center"/>
              <w:rPr>
                <w:rFonts w:ascii="宋体" w:hAnsi="宋体"/>
                <w:color w:val="000000"/>
                <w:sz w:val="22"/>
              </w:rPr>
            </w:pPr>
            <w:r>
              <w:rPr>
                <w:rFonts w:ascii="宋体" w:hAnsi="宋体"/>
                <w:color w:val="000000"/>
                <w:sz w:val="22"/>
              </w:rPr>
              <w:t>名  称</w:t>
            </w:r>
          </w:p>
        </w:tc>
        <w:tc>
          <w:tcPr>
            <w:tcW w:w="1365" w:type="dxa"/>
            <w:vMerge w:val="restart"/>
            <w:vAlign w:val="center"/>
          </w:tcPr>
          <w:p>
            <w:pPr>
              <w:jc w:val="center"/>
              <w:rPr>
                <w:rFonts w:ascii="宋体" w:hAnsi="宋体"/>
                <w:color w:val="000000"/>
                <w:sz w:val="22"/>
              </w:rPr>
            </w:pPr>
            <w:r>
              <w:rPr>
                <w:rFonts w:ascii="宋体" w:hAnsi="宋体"/>
                <w:color w:val="000000"/>
                <w:sz w:val="22"/>
              </w:rPr>
              <w:t>数  量</w:t>
            </w:r>
          </w:p>
        </w:tc>
        <w:tc>
          <w:tcPr>
            <w:tcW w:w="2205" w:type="dxa"/>
            <w:gridSpan w:val="2"/>
            <w:vAlign w:val="center"/>
          </w:tcPr>
          <w:p>
            <w:pPr>
              <w:jc w:val="center"/>
              <w:rPr>
                <w:rFonts w:ascii="宋体" w:hAnsi="宋体"/>
                <w:color w:val="000000"/>
                <w:sz w:val="22"/>
              </w:rPr>
            </w:pPr>
            <w:r>
              <w:rPr>
                <w:rFonts w:ascii="宋体" w:hAnsi="宋体"/>
                <w:color w:val="000000"/>
                <w:sz w:val="22"/>
              </w:rPr>
              <w:t>价格</w:t>
            </w:r>
          </w:p>
        </w:tc>
        <w:tc>
          <w:tcPr>
            <w:tcW w:w="2279" w:type="dxa"/>
            <w:vMerge w:val="restart"/>
            <w:vAlign w:val="center"/>
          </w:tcPr>
          <w:p>
            <w:pPr>
              <w:jc w:val="center"/>
              <w:rPr>
                <w:rFonts w:ascii="宋体" w:hAnsi="宋体"/>
                <w:color w:val="000000"/>
                <w:sz w:val="22"/>
              </w:rPr>
            </w:pPr>
            <w:r>
              <w:rPr>
                <w:rFonts w:ascii="宋体" w:hAnsi="宋体"/>
                <w:color w:val="000000"/>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840" w:type="dxa"/>
            <w:vMerge w:val="continue"/>
            <w:vAlign w:val="center"/>
          </w:tcPr>
          <w:p>
            <w:pPr>
              <w:ind w:left="-108" w:hanging="108"/>
              <w:jc w:val="center"/>
              <w:rPr>
                <w:rFonts w:ascii="宋体" w:hAnsi="宋体"/>
                <w:color w:val="000000"/>
                <w:sz w:val="22"/>
              </w:rPr>
            </w:pPr>
          </w:p>
        </w:tc>
        <w:tc>
          <w:tcPr>
            <w:tcW w:w="2080" w:type="dxa"/>
            <w:vMerge w:val="continue"/>
            <w:vAlign w:val="center"/>
          </w:tcPr>
          <w:p>
            <w:pPr>
              <w:jc w:val="center"/>
              <w:rPr>
                <w:rFonts w:ascii="宋体" w:hAnsi="宋体"/>
                <w:color w:val="000000"/>
                <w:sz w:val="22"/>
              </w:rPr>
            </w:pPr>
          </w:p>
        </w:tc>
        <w:tc>
          <w:tcPr>
            <w:tcW w:w="1365" w:type="dxa"/>
            <w:vMerge w:val="continue"/>
            <w:vAlign w:val="center"/>
          </w:tcPr>
          <w:p>
            <w:pPr>
              <w:jc w:val="center"/>
              <w:rPr>
                <w:rFonts w:ascii="宋体" w:hAnsi="宋体"/>
                <w:color w:val="000000"/>
                <w:sz w:val="22"/>
              </w:rPr>
            </w:pPr>
          </w:p>
        </w:tc>
        <w:tc>
          <w:tcPr>
            <w:tcW w:w="1155" w:type="dxa"/>
            <w:vAlign w:val="center"/>
          </w:tcPr>
          <w:p>
            <w:pPr>
              <w:jc w:val="center"/>
              <w:rPr>
                <w:rFonts w:ascii="宋体" w:hAnsi="宋体"/>
                <w:color w:val="000000"/>
                <w:sz w:val="22"/>
              </w:rPr>
            </w:pPr>
            <w:r>
              <w:rPr>
                <w:rFonts w:ascii="宋体" w:hAnsi="宋体"/>
                <w:color w:val="000000"/>
                <w:sz w:val="22"/>
              </w:rPr>
              <w:t>单价</w:t>
            </w:r>
          </w:p>
        </w:tc>
        <w:tc>
          <w:tcPr>
            <w:tcW w:w="1050" w:type="dxa"/>
            <w:vAlign w:val="center"/>
          </w:tcPr>
          <w:p>
            <w:pPr>
              <w:jc w:val="center"/>
              <w:rPr>
                <w:rFonts w:ascii="宋体" w:hAnsi="宋体"/>
                <w:color w:val="000000"/>
                <w:sz w:val="22"/>
              </w:rPr>
            </w:pPr>
            <w:r>
              <w:rPr>
                <w:rFonts w:ascii="宋体" w:hAnsi="宋体"/>
                <w:color w:val="000000"/>
                <w:sz w:val="22"/>
              </w:rPr>
              <w:t>总价</w:t>
            </w:r>
          </w:p>
        </w:tc>
        <w:tc>
          <w:tcPr>
            <w:tcW w:w="2279" w:type="dxa"/>
            <w:vMerge w:val="continue"/>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1</w:t>
            </w:r>
          </w:p>
        </w:tc>
        <w:tc>
          <w:tcPr>
            <w:tcW w:w="2080" w:type="dxa"/>
          </w:tcPr>
          <w:p>
            <w:pPr>
              <w:rPr>
                <w:rFonts w:ascii="宋体" w:hAnsi="宋体"/>
                <w:color w:val="000000"/>
                <w:sz w:val="22"/>
              </w:rPr>
            </w:pPr>
            <w:r>
              <w:rPr>
                <w:rFonts w:ascii="宋体" w:hAnsi="宋体"/>
                <w:color w:val="000000"/>
                <w:sz w:val="22"/>
              </w:rPr>
              <w:t>底盘随车附件</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请注明附件种类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2</w:t>
            </w:r>
          </w:p>
        </w:tc>
        <w:tc>
          <w:tcPr>
            <w:tcW w:w="2080" w:type="dxa"/>
          </w:tcPr>
          <w:p>
            <w:pPr>
              <w:rPr>
                <w:rFonts w:ascii="宋体" w:hAnsi="宋体"/>
                <w:color w:val="000000"/>
                <w:sz w:val="22"/>
              </w:rPr>
            </w:pPr>
            <w:r>
              <w:rPr>
                <w:rFonts w:ascii="宋体" w:hAnsi="宋体"/>
                <w:color w:val="000000"/>
                <w:sz w:val="22"/>
              </w:rPr>
              <w:t>备用轮胎（含轮毂）</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hint="eastAsia" w:ascii="宋体" w:hAnsi="宋体"/>
                <w:color w:val="000000"/>
                <w:sz w:val="22"/>
              </w:rPr>
              <w:t>3</w:t>
            </w:r>
          </w:p>
        </w:tc>
        <w:tc>
          <w:tcPr>
            <w:tcW w:w="2080" w:type="dxa"/>
          </w:tcPr>
          <w:p>
            <w:pPr>
              <w:rPr>
                <w:rFonts w:ascii="宋体" w:hAnsi="宋体"/>
                <w:color w:val="000000"/>
                <w:sz w:val="22"/>
              </w:rPr>
            </w:pPr>
            <w:r>
              <w:rPr>
                <w:rFonts w:ascii="宋体" w:hAnsi="宋体"/>
                <w:color w:val="000000"/>
                <w:sz w:val="22"/>
              </w:rPr>
              <w:t>换轮工具</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包含20吨千斤顶1台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w:t>
            </w: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bookmarkEnd w:id="81"/>
      <w:bookmarkEnd w:id="82"/>
      <w:bookmarkEnd w:id="83"/>
      <w:bookmarkEnd w:id="84"/>
    </w:tbl>
    <w:p>
      <w:pPr>
        <w:adjustRightInd w:val="0"/>
        <w:snapToGrid w:val="0"/>
        <w:spacing w:line="360" w:lineRule="exact"/>
        <w:ind w:firstLine="422" w:firstLineChars="200"/>
        <w:jc w:val="center"/>
        <w:rPr>
          <w:b/>
        </w:rPr>
      </w:pPr>
    </w:p>
    <w:p>
      <w:pPr>
        <w:adjustRightInd w:val="0"/>
        <w:snapToGrid w:val="0"/>
        <w:spacing w:line="360" w:lineRule="exact"/>
        <w:jc w:val="center"/>
        <w:rPr>
          <w:sz w:val="22"/>
        </w:rPr>
      </w:pPr>
      <w:r>
        <w:rPr>
          <w:rFonts w:hint="eastAsia"/>
          <w:b/>
          <w:sz w:val="22"/>
        </w:rPr>
        <w:t>附件三：质保期内投标人承担</w:t>
      </w:r>
      <w:r>
        <w:rPr>
          <w:rFonts w:ascii="宋体" w:hAnsi="宋体"/>
          <w:b/>
          <w:sz w:val="22"/>
        </w:rPr>
        <w:t>投标车辆正常维护保养</w:t>
      </w:r>
      <w:r>
        <w:rPr>
          <w:rFonts w:hint="eastAsia" w:ascii="宋体" w:hAnsi="宋体"/>
          <w:b/>
          <w:sz w:val="22"/>
        </w:rPr>
        <w:t>承诺书</w:t>
      </w:r>
    </w:p>
    <w:p>
      <w:pPr>
        <w:adjustRightInd w:val="0"/>
        <w:snapToGrid w:val="0"/>
        <w:spacing w:line="360" w:lineRule="exact"/>
        <w:ind w:firstLine="422" w:firstLineChars="200"/>
        <w:rPr>
          <w:b/>
        </w:rPr>
      </w:pPr>
    </w:p>
    <w:p>
      <w:pPr>
        <w:adjustRightInd w:val="0"/>
        <w:snapToGrid w:val="0"/>
        <w:spacing w:line="360" w:lineRule="exact"/>
        <w:ind w:firstLine="420" w:firstLineChars="200"/>
      </w:pPr>
      <w:r>
        <w:t>致</w:t>
      </w:r>
      <w:r>
        <w:rPr>
          <w:rFonts w:hint="eastAsia"/>
        </w:rPr>
        <w:t>：</w:t>
      </w:r>
      <w:r>
        <w:t>杭州萧山国际机场有限公司</w:t>
      </w:r>
    </w:p>
    <w:p>
      <w:pPr>
        <w:adjustRightInd w:val="0"/>
        <w:snapToGrid w:val="0"/>
        <w:spacing w:line="360" w:lineRule="exact"/>
        <w:ind w:firstLine="420" w:firstLineChars="200"/>
      </w:pPr>
      <w:r>
        <w:rPr>
          <w:rFonts w:hint="eastAsia"/>
        </w:rPr>
        <w:t xml:space="preserve">    根据杭州萧山国际机场主力泡沫消防车采购项目招标文件5.3.5 条款的要求，我方承诺：如果我方中标此项目，我方负责按车辆维修保养手册的规范要求 ，完成整车质保期24个月内车辆的正常维护保养工作，所有人工和材料费用已包含在投标总价内。具体项目实施计划如下：</w:t>
      </w:r>
    </w:p>
    <w:p>
      <w:pPr>
        <w:pStyle w:val="155"/>
        <w:numPr>
          <w:ilvl w:val="0"/>
          <w:numId w:val="6"/>
        </w:numPr>
        <w:adjustRightInd w:val="0"/>
        <w:snapToGrid w:val="0"/>
        <w:spacing w:line="360" w:lineRule="exact"/>
        <w:ind w:firstLineChars="0"/>
        <w:rPr>
          <w:rFonts w:ascii="宋体" w:hAnsi="宋体"/>
          <w:color w:val="000000"/>
          <w:sz w:val="22"/>
        </w:rPr>
      </w:pPr>
      <w:r>
        <w:rPr>
          <w:rFonts w:hint="eastAsia"/>
        </w:rPr>
        <w:t>维护保养的项目和时间安排</w:t>
      </w:r>
      <w:r>
        <w:rPr>
          <w:rFonts w:hint="eastAsia" w:ascii="宋体" w:hAnsi="宋体"/>
          <w:color w:val="000000"/>
          <w:sz w:val="22"/>
        </w:rPr>
        <w:t>：......</w:t>
      </w:r>
    </w:p>
    <w:p>
      <w:pPr>
        <w:spacing w:line="400" w:lineRule="exact"/>
        <w:ind w:firstLine="440" w:firstLineChars="200"/>
        <w:rPr>
          <w:rFonts w:ascii="宋体" w:hAnsi="宋体"/>
          <w:sz w:val="22"/>
        </w:rPr>
      </w:pPr>
      <w:r>
        <w:rPr>
          <w:rFonts w:hint="eastAsia" w:ascii="宋体" w:hAnsi="宋体"/>
          <w:color w:val="000000"/>
          <w:sz w:val="22"/>
        </w:rPr>
        <w:t>二、</w:t>
      </w:r>
      <w:r>
        <w:rPr>
          <w:rFonts w:ascii="宋体" w:hAnsi="宋体"/>
          <w:color w:val="000000"/>
          <w:sz w:val="22"/>
        </w:rPr>
        <w:t>维护</w:t>
      </w:r>
      <w:r>
        <w:rPr>
          <w:rFonts w:hint="eastAsia" w:ascii="宋体" w:hAnsi="宋体"/>
          <w:color w:val="000000"/>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三</w:t>
      </w:r>
      <w:r>
        <w:rPr>
          <w:rFonts w:hint="eastAsia" w:ascii="宋体" w:hAnsi="宋体"/>
          <w:sz w:val="22"/>
        </w:rPr>
        <w:t>、完成要求保养内容所需的人工和物料费用明细清单：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四、投标人</w:t>
      </w:r>
      <w:r>
        <w:rPr>
          <w:rFonts w:ascii="宋体" w:hAnsi="宋体"/>
          <w:sz w:val="22"/>
        </w:rPr>
        <w:t>不承担内容</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五、</w:t>
      </w:r>
      <w:r>
        <w:rPr>
          <w:rFonts w:ascii="宋体" w:hAnsi="宋体"/>
          <w:sz w:val="22"/>
        </w:rPr>
        <w:t>双方责任</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六、</w:t>
      </w:r>
      <w:r>
        <w:rPr>
          <w:rFonts w:ascii="宋体" w:hAnsi="宋体"/>
          <w:sz w:val="22"/>
        </w:rPr>
        <w:t>其它</w:t>
      </w:r>
      <w:r>
        <w:rPr>
          <w:rFonts w:hint="eastAsia" w:ascii="宋体" w:hAnsi="宋体"/>
          <w:sz w:val="22"/>
        </w:rPr>
        <w:t>：......</w:t>
      </w:r>
    </w:p>
    <w:p>
      <w:pPr>
        <w:adjustRightInd w:val="0"/>
        <w:snapToGrid w:val="0"/>
        <w:spacing w:line="360" w:lineRule="exact"/>
        <w:jc w:val="center"/>
        <w:rPr>
          <w:b/>
          <w:sz w:val="30"/>
          <w:szCs w:val="30"/>
        </w:rPr>
      </w:pPr>
      <w:r>
        <w:rPr>
          <w:b/>
        </w:rPr>
        <w:br w:type="page"/>
      </w:r>
      <w:bookmarkStart w:id="85" w:name="_Toc321925454"/>
      <w:r>
        <w:rPr>
          <w:rFonts w:hint="eastAsia"/>
          <w:b/>
          <w:sz w:val="30"/>
          <w:szCs w:val="30"/>
        </w:rPr>
        <w:t xml:space="preserve">第四章  </w:t>
      </w:r>
      <w:r>
        <w:rPr>
          <w:b/>
          <w:sz w:val="30"/>
          <w:szCs w:val="30"/>
        </w:rPr>
        <w:t>合同条款</w:t>
      </w:r>
      <w:bookmarkEnd w:id="85"/>
    </w:p>
    <w:p>
      <w:pPr>
        <w:adjustRightInd w:val="0"/>
        <w:snapToGrid w:val="0"/>
        <w:spacing w:line="360" w:lineRule="exact"/>
        <w:ind w:firstLine="452"/>
        <w:jc w:val="left"/>
        <w:rPr>
          <w:rFonts w:ascii="宋体" w:hAnsi="宋体"/>
          <w:b/>
          <w:sz w:val="22"/>
        </w:rPr>
      </w:pPr>
    </w:p>
    <w:p>
      <w:pPr>
        <w:spacing w:line="560" w:lineRule="exact"/>
        <w:ind w:firstLine="643" w:firstLineChars="200"/>
        <w:jc w:val="center"/>
        <w:rPr>
          <w:rFonts w:ascii="方正小标宋简体" w:hAnsi="仿宋" w:eastAsia="方正小标宋简体"/>
          <w:b/>
          <w:sz w:val="32"/>
          <w:szCs w:val="32"/>
        </w:rPr>
      </w:pPr>
      <w:bookmarkStart w:id="86" w:name="_Toc206217401"/>
      <w:bookmarkStart w:id="87" w:name="_Toc90452722"/>
      <w:r>
        <w:rPr>
          <w:rFonts w:hint="eastAsia" w:ascii="方正小标宋简体" w:hAnsi="仿宋" w:eastAsia="方正小标宋简体"/>
          <w:b/>
          <w:sz w:val="32"/>
          <w:szCs w:val="32"/>
        </w:rPr>
        <w:t>杭州萧山国际机场主力泡沫消防车采购合同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甲方：杭州萧山国际机场有限公司</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住所地：杭州萧山国际机场内</w:t>
      </w:r>
    </w:p>
    <w:p>
      <w:pPr>
        <w:adjustRightInd w:val="0"/>
        <w:snapToGrid w:val="0"/>
        <w:spacing w:line="560" w:lineRule="exact"/>
        <w:rPr>
          <w:rFonts w:ascii="宋体" w:hAnsi="宋体"/>
          <w:color w:val="000000"/>
          <w:sz w:val="22"/>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乙方:</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w:t>
      </w:r>
    </w:p>
    <w:p>
      <w:pPr>
        <w:adjustRightInd w:val="0"/>
        <w:snapToGrid w:val="0"/>
        <w:spacing w:line="560" w:lineRule="exact"/>
        <w:ind w:firstLine="450"/>
        <w:rPr>
          <w:rFonts w:ascii="宋体" w:hAnsi="宋体"/>
          <w:color w:val="000000"/>
          <w:sz w:val="22"/>
        </w:rPr>
      </w:pP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olor w:val="000000"/>
          <w:sz w:val="22"/>
        </w:rPr>
      </w:pPr>
      <w:r>
        <w:rPr>
          <w:rFonts w:hint="eastAsia" w:ascii="宋体" w:hAnsi="宋体"/>
          <w:color w:val="000000"/>
          <w:sz w:val="22"/>
        </w:rPr>
        <w:t>一、产品规格型号及参数</w:t>
      </w:r>
    </w:p>
    <w:tbl>
      <w:tblPr>
        <w:tblStyle w:val="52"/>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序号</w:t>
            </w:r>
          </w:p>
        </w:tc>
        <w:tc>
          <w:tcPr>
            <w:tcW w:w="1559" w:type="dxa"/>
            <w:vAlign w:val="center"/>
          </w:tcPr>
          <w:p>
            <w:pPr>
              <w:pStyle w:val="146"/>
              <w:spacing w:line="560" w:lineRule="exact"/>
              <w:jc w:val="center"/>
              <w:rPr>
                <w:rFonts w:ascii="宋体" w:hAnsi="宋体"/>
                <w:color w:val="000000"/>
                <w:sz w:val="22"/>
              </w:rPr>
            </w:pPr>
            <w:r>
              <w:rPr>
                <w:rFonts w:hint="eastAsia" w:ascii="宋体" w:hAnsi="宋体"/>
                <w:color w:val="000000"/>
                <w:sz w:val="22"/>
              </w:rPr>
              <w:t>产品名称</w:t>
            </w:r>
          </w:p>
        </w:tc>
        <w:tc>
          <w:tcPr>
            <w:tcW w:w="1820" w:type="dxa"/>
            <w:vAlign w:val="center"/>
          </w:tcPr>
          <w:p>
            <w:pPr>
              <w:pStyle w:val="146"/>
              <w:spacing w:line="560" w:lineRule="exact"/>
              <w:jc w:val="center"/>
              <w:rPr>
                <w:rFonts w:ascii="宋体" w:hAnsi="宋体"/>
                <w:color w:val="000000"/>
                <w:sz w:val="22"/>
              </w:rPr>
            </w:pPr>
            <w:r>
              <w:rPr>
                <w:rFonts w:hint="eastAsia" w:ascii="宋体" w:hAnsi="宋体"/>
                <w:color w:val="000000"/>
                <w:sz w:val="22"/>
              </w:rPr>
              <w:t>品牌型号</w:t>
            </w:r>
          </w:p>
        </w:tc>
        <w:tc>
          <w:tcPr>
            <w:tcW w:w="2150"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单位</w:t>
            </w:r>
          </w:p>
        </w:tc>
        <w:tc>
          <w:tcPr>
            <w:tcW w:w="1180" w:type="dxa"/>
            <w:vAlign w:val="center"/>
          </w:tcPr>
          <w:p>
            <w:pPr>
              <w:pStyle w:val="146"/>
              <w:spacing w:line="560" w:lineRule="exact"/>
              <w:jc w:val="center"/>
              <w:rPr>
                <w:rFonts w:ascii="宋体" w:hAnsi="宋体"/>
                <w:color w:val="000000"/>
                <w:sz w:val="22"/>
              </w:rPr>
            </w:pPr>
            <w:r>
              <w:rPr>
                <w:rFonts w:hint="eastAsia" w:ascii="宋体" w:hAnsi="宋体"/>
                <w:color w:val="000000"/>
                <w:sz w:val="22"/>
              </w:rPr>
              <w:t>数量</w:t>
            </w:r>
          </w:p>
        </w:tc>
        <w:tc>
          <w:tcPr>
            <w:tcW w:w="1134"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单价</w:t>
            </w:r>
          </w:p>
        </w:tc>
        <w:tc>
          <w:tcPr>
            <w:tcW w:w="1476" w:type="dxa"/>
            <w:vAlign w:val="center"/>
          </w:tcPr>
          <w:p>
            <w:pPr>
              <w:pStyle w:val="146"/>
              <w:spacing w:line="560" w:lineRule="exact"/>
              <w:jc w:val="center"/>
              <w:rPr>
                <w:rFonts w:ascii="宋体" w:hAnsi="宋体"/>
                <w:color w:val="000000"/>
                <w:sz w:val="22"/>
              </w:rPr>
            </w:pPr>
            <w:r>
              <w:rPr>
                <w:rFonts w:hint="eastAsia" w:ascii="宋体" w:hAnsi="宋体"/>
                <w:color w:val="000000"/>
                <w:sz w:val="22"/>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46"/>
              <w:spacing w:line="560" w:lineRule="exact"/>
              <w:jc w:val="center"/>
              <w:rPr>
                <w:rFonts w:ascii="宋体" w:hAnsi="宋体"/>
                <w:color w:val="000000"/>
                <w:sz w:val="22"/>
              </w:rPr>
            </w:pPr>
          </w:p>
        </w:tc>
        <w:tc>
          <w:tcPr>
            <w:tcW w:w="1559" w:type="dxa"/>
            <w:vAlign w:val="center"/>
          </w:tcPr>
          <w:p>
            <w:pPr>
              <w:pStyle w:val="146"/>
              <w:spacing w:line="560" w:lineRule="exact"/>
              <w:jc w:val="center"/>
              <w:rPr>
                <w:rFonts w:ascii="宋体" w:hAnsi="宋体"/>
                <w:color w:val="000000"/>
                <w:sz w:val="22"/>
              </w:rPr>
            </w:pPr>
          </w:p>
        </w:tc>
        <w:tc>
          <w:tcPr>
            <w:tcW w:w="1820" w:type="dxa"/>
            <w:vAlign w:val="center"/>
          </w:tcPr>
          <w:p>
            <w:pPr>
              <w:pStyle w:val="146"/>
              <w:spacing w:line="560" w:lineRule="exact"/>
              <w:jc w:val="center"/>
              <w:rPr>
                <w:rFonts w:ascii="宋体" w:hAnsi="宋体"/>
                <w:color w:val="000000"/>
                <w:sz w:val="22"/>
              </w:rPr>
            </w:pPr>
          </w:p>
        </w:tc>
        <w:tc>
          <w:tcPr>
            <w:tcW w:w="2150" w:type="dxa"/>
            <w:vAlign w:val="center"/>
          </w:tcPr>
          <w:p>
            <w:pPr>
              <w:pStyle w:val="146"/>
              <w:spacing w:line="560" w:lineRule="exact"/>
              <w:jc w:val="center"/>
              <w:rPr>
                <w:rFonts w:ascii="宋体" w:hAnsi="宋体"/>
                <w:color w:val="000000"/>
                <w:sz w:val="22"/>
              </w:rPr>
            </w:pPr>
          </w:p>
        </w:tc>
        <w:tc>
          <w:tcPr>
            <w:tcW w:w="1180" w:type="dxa"/>
            <w:vAlign w:val="center"/>
          </w:tcPr>
          <w:p>
            <w:pPr>
              <w:pStyle w:val="146"/>
              <w:spacing w:line="560" w:lineRule="exact"/>
              <w:ind w:firstLine="110" w:firstLineChars="50"/>
              <w:jc w:val="center"/>
              <w:rPr>
                <w:rFonts w:ascii="宋体" w:hAnsi="宋体"/>
                <w:color w:val="000000"/>
                <w:sz w:val="22"/>
              </w:rPr>
            </w:pPr>
          </w:p>
        </w:tc>
        <w:tc>
          <w:tcPr>
            <w:tcW w:w="1134" w:type="dxa"/>
            <w:vAlign w:val="center"/>
          </w:tcPr>
          <w:p>
            <w:pPr>
              <w:pStyle w:val="146"/>
              <w:spacing w:line="560" w:lineRule="exact"/>
              <w:jc w:val="center"/>
              <w:rPr>
                <w:rFonts w:ascii="宋体" w:hAnsi="宋体"/>
                <w:color w:val="000000"/>
                <w:sz w:val="22"/>
              </w:rPr>
            </w:pPr>
          </w:p>
        </w:tc>
        <w:tc>
          <w:tcPr>
            <w:tcW w:w="1476" w:type="dxa"/>
            <w:vAlign w:val="center"/>
          </w:tcPr>
          <w:p>
            <w:pPr>
              <w:pStyle w:val="146"/>
              <w:spacing w:line="560" w:lineRule="exact"/>
              <w:ind w:firstLine="110" w:firstLineChars="5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合计</w:t>
            </w:r>
          </w:p>
        </w:tc>
        <w:tc>
          <w:tcPr>
            <w:tcW w:w="9319" w:type="dxa"/>
            <w:gridSpan w:val="6"/>
          </w:tcPr>
          <w:p>
            <w:pPr>
              <w:pStyle w:val="146"/>
              <w:spacing w:line="560" w:lineRule="exact"/>
              <w:jc w:val="right"/>
              <w:rPr>
                <w:rFonts w:ascii="宋体" w:hAnsi="宋体"/>
                <w:color w:val="000000"/>
                <w:sz w:val="22"/>
              </w:rPr>
            </w:pPr>
          </w:p>
        </w:tc>
      </w:tr>
    </w:tbl>
    <w:p>
      <w:pPr>
        <w:adjustRightInd w:val="0"/>
        <w:snapToGrid w:val="0"/>
        <w:spacing w:line="560" w:lineRule="exact"/>
        <w:ind w:firstLine="602"/>
        <w:rPr>
          <w:rFonts w:ascii="宋体" w:hAnsi="宋体"/>
          <w:color w:val="000000"/>
          <w:sz w:val="22"/>
        </w:rPr>
      </w:pPr>
      <w:r>
        <w:rPr>
          <w:rFonts w:hint="eastAsia" w:ascii="宋体" w:hAnsi="宋体"/>
          <w:color w:val="000000"/>
          <w:sz w:val="22"/>
        </w:rPr>
        <w:t>二、合同金额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本合同金额为（大写）：</w:t>
      </w:r>
      <w:r>
        <w:rPr>
          <w:rFonts w:ascii="宋体" w:hAnsi="宋体"/>
          <w:color w:val="000000"/>
          <w:sz w:val="22"/>
        </w:rPr>
        <w:t xml:space="preserve">              元（￥          元）人民币。本合同价为杭州萧山国际机场内交货价，含产品价格、运输费、包装费、保险费、税费等所有费用。甲方不再承担其他任何费用。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三、技术资料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1.乙方应在交付合同产品时同时向甲方提供使用产品的有关技术资料。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四、知识产权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五、产权担保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六、转包或分包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七、产品包装、发运及运输</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八、交货期、交货方式及交货地点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交货期：</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交货方式：</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交货地点：杭州萧山国际机场内</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九、安装、调试、试运行与验收</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七日内完成现场安装、调试，并进行十天试运行，确保设备正常运行。安装、调试和试运行完毕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2.乙方交货前应对产品作出全面检查和对验收文件进行整理，并列出清单，作为甲方收货验收和使用的技术条件依据，乙方检验的结果应随货物交甲方。</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 xml:space="preserve"> 验收合格条件</w:t>
      </w:r>
      <w:r>
        <w:rPr>
          <w:rFonts w:hint="eastAsia"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4.1 试运行时，各项性能指标</w:t>
      </w:r>
      <w:r>
        <w:rPr>
          <w:rFonts w:hint="eastAsia" w:ascii="宋体" w:hAnsi="宋体"/>
          <w:color w:val="000000"/>
          <w:sz w:val="22"/>
        </w:rPr>
        <w:t>符合投标文件中被甲方接受的各项条款</w:t>
      </w:r>
      <w:r>
        <w:rPr>
          <w:rFonts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4.2 调试和试运行时出现的问题已被解决至</w:t>
      </w:r>
      <w:r>
        <w:rPr>
          <w:rFonts w:hint="eastAsia" w:ascii="宋体" w:hAnsi="宋体"/>
          <w:color w:val="000000"/>
          <w:sz w:val="22"/>
        </w:rPr>
        <w:t>甲方</w:t>
      </w:r>
      <w:r>
        <w:rPr>
          <w:rFonts w:ascii="宋体" w:hAnsi="宋体"/>
          <w:color w:val="000000"/>
          <w:sz w:val="22"/>
        </w:rPr>
        <w:t>认可。</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4.3 已完成招标文件规定的全部培训内容。</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 xml:space="preserve"> 已提供了合同范围内的全部货物和资料。</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5交付车辆通过CCCF认证全部程序，提交业主CCCF认证合格证书、检测报告和CCCF认证标志。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十、货款支付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合同签订之日起15个工作日内甲方向乙方支付合同总金额的20%，乙方向甲方提供银行保函。设备安装调试完成后，并经甲方验收合格后十五个工作日内，支付至合同总金额的95%.</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质量保证金为合同总价5</w:t>
      </w:r>
      <w:r>
        <w:rPr>
          <w:rFonts w:ascii="宋体" w:hAnsi="宋体"/>
          <w:color w:val="000000"/>
          <w:sz w:val="22"/>
        </w:rPr>
        <w:t>%，</w:t>
      </w:r>
      <w:r>
        <w:rPr>
          <w:rFonts w:hint="eastAsia" w:ascii="宋体" w:hAnsi="宋体"/>
          <w:color w:val="000000"/>
          <w:sz w:val="22"/>
        </w:rPr>
        <w:t>质量保证金于质量保证期满后十五</w:t>
      </w:r>
      <w:r>
        <w:rPr>
          <w:rFonts w:ascii="宋体" w:hAnsi="宋体"/>
          <w:color w:val="000000"/>
          <w:sz w:val="22"/>
        </w:rPr>
        <w:t>工作日内</w:t>
      </w:r>
      <w:r>
        <w:rPr>
          <w:rFonts w:hint="eastAsia" w:ascii="宋体" w:hAnsi="宋体"/>
          <w:color w:val="000000"/>
          <w:sz w:val="22"/>
        </w:rPr>
        <w:t>一并无息</w:t>
      </w:r>
      <w:r>
        <w:rPr>
          <w:rFonts w:ascii="宋体" w:hAnsi="宋体"/>
          <w:color w:val="000000"/>
          <w:sz w:val="22"/>
        </w:rPr>
        <w:t>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3.乙方在甲方每次付款前开具正式增值税发票。</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十一、履约保证金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1．乙方应在收到甲方中标通知书后十日内，向甲方支付合同总价的10%作为履约保证金。如果逾期未缴纳，甲方有权解除本合同，并要求乙方承担由此给甲方造成的损失。</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2．在合同履行期间，如果乙方存在违约情形，甲方有权优先从履约保证金中扣除相应款项，并书面通知乙方。乙方自收到书面通知之日起五日内补足履约保证金。如果乙方不及时补足履约保证金，视为乙方违约，甲方有权解除合同，并要求乙方承担相应的违约责任。待合同约定服务内容全部履行并完毕，乙方不存在任何违约情形并收到甲方书面认可后十日内，甲方无息返还履约保证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十二、免费质保期及服务内容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乙方应为产品提供二十四个月的免费质保期(含工时费和零部件费)，时间自甲方最终签署安装验收合格报告之日起计算。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乙方提供24小时售后服务，在接到报修通知后，维修人员应在24小时内赶到杭州萧山国际机场，并连续进行维修，直到产品恢复正常。</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免费质保期结束的十五天前，乙方负责对产品进行一次全面的检修和维护，并由甲方验收认可。甲方验收认可并不免除乙方对于验收认可后发生的但尚在质保期限内的产品故障或损坏的维修、退换货义务。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十三、违约责任</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十四、不可抗力事件处理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不可抗力事件发生后，遭遇不可抗力的一方应立即通知对方，并寄送有关官方权威机构出具的证明。</w:t>
      </w:r>
    </w:p>
    <w:p>
      <w:pPr>
        <w:spacing w:line="560" w:lineRule="exact"/>
        <w:ind w:firstLine="418" w:firstLineChars="190"/>
        <w:rPr>
          <w:rFonts w:ascii="宋体" w:hAnsi="宋体"/>
          <w:color w:val="000000"/>
          <w:sz w:val="22"/>
        </w:rPr>
      </w:pPr>
      <w:r>
        <w:rPr>
          <w:rFonts w:hint="eastAsia" w:ascii="宋体" w:hAnsi="宋体"/>
          <w:color w:val="000000"/>
          <w:sz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十五、争议解决</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十六、合同组成文件包含下列内容，且解释顺序如下：</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1.本合同协议书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2.中标通知书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3.招标文件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4.投标书及其附件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5.标准、规范及有关技术文件</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十七、合同生效及其它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合同经双方法定代表人或授权代表签字并加盖单位公章或者合同章之日起生效。</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adjustRightInd w:val="0"/>
        <w:snapToGrid w:val="0"/>
        <w:spacing w:line="560" w:lineRule="exact"/>
        <w:ind w:left="3520" w:hanging="3520" w:hangingChars="1600"/>
        <w:rPr>
          <w:rFonts w:ascii="宋体" w:hAnsi="宋体"/>
          <w:color w:val="000000"/>
          <w:sz w:val="22"/>
        </w:rPr>
      </w:pPr>
      <w:r>
        <w:rPr>
          <w:rFonts w:hint="eastAsia" w:ascii="宋体" w:hAnsi="宋体"/>
          <w:color w:val="000000"/>
          <w:sz w:val="22"/>
        </w:rPr>
        <w:t>甲方：杭州萧山国际机场有限公司  乙方：</w:t>
      </w:r>
    </w:p>
    <w:p>
      <w:pPr>
        <w:adjustRightInd w:val="0"/>
        <w:snapToGrid w:val="0"/>
        <w:spacing w:line="560" w:lineRule="exact"/>
        <w:ind w:left="6750" w:hanging="6750"/>
        <w:rPr>
          <w:rFonts w:ascii="宋体" w:hAnsi="宋体"/>
          <w:color w:val="000000"/>
          <w:sz w:val="22"/>
        </w:rPr>
      </w:pPr>
      <w:r>
        <w:rPr>
          <w:rFonts w:hint="eastAsia" w:ascii="宋体" w:hAnsi="宋体"/>
          <w:color w:val="000000"/>
          <w:sz w:val="22"/>
        </w:rPr>
        <w:t>地址：杭州萧山国际机场内        地址：</w:t>
      </w:r>
    </w:p>
    <w:p>
      <w:pPr>
        <w:adjustRightInd w:val="0"/>
        <w:snapToGrid w:val="0"/>
        <w:spacing w:line="560" w:lineRule="exact"/>
        <w:ind w:left="6750" w:hanging="6750"/>
        <w:rPr>
          <w:rFonts w:ascii="宋体" w:hAnsi="宋体"/>
          <w:color w:val="000000"/>
          <w:sz w:val="22"/>
        </w:rPr>
      </w:pPr>
    </w:p>
    <w:p>
      <w:pPr>
        <w:adjustRightInd w:val="0"/>
        <w:snapToGrid w:val="0"/>
        <w:spacing w:line="560" w:lineRule="exact"/>
        <w:rPr>
          <w:rFonts w:ascii="宋体" w:hAnsi="宋体"/>
          <w:color w:val="000000"/>
          <w:sz w:val="22"/>
        </w:rPr>
      </w:pPr>
      <w:r>
        <w:rPr>
          <w:rFonts w:hint="eastAsia" w:ascii="宋体" w:hAnsi="宋体"/>
          <w:color w:val="000000"/>
          <w:sz w:val="22"/>
        </w:rPr>
        <w:t>法定代表人：                     法定代表人：</w:t>
      </w:r>
    </w:p>
    <w:p>
      <w:pPr>
        <w:adjustRightInd w:val="0"/>
        <w:snapToGrid w:val="0"/>
        <w:spacing w:line="560" w:lineRule="exact"/>
        <w:rPr>
          <w:rFonts w:ascii="宋体" w:hAnsi="宋体"/>
          <w:color w:val="000000"/>
          <w:sz w:val="22"/>
        </w:rPr>
      </w:pPr>
      <w:r>
        <w:rPr>
          <w:rFonts w:hint="eastAsia" w:ascii="宋体" w:hAnsi="宋体"/>
          <w:color w:val="000000"/>
          <w:sz w:val="22"/>
        </w:rPr>
        <w:t>或                               或</w:t>
      </w:r>
    </w:p>
    <w:p>
      <w:pPr>
        <w:adjustRightInd w:val="0"/>
        <w:snapToGrid w:val="0"/>
        <w:spacing w:line="560" w:lineRule="exact"/>
        <w:rPr>
          <w:rFonts w:ascii="宋体" w:hAnsi="宋体"/>
          <w:color w:val="000000"/>
          <w:sz w:val="22"/>
        </w:rPr>
      </w:pPr>
      <w:r>
        <w:rPr>
          <w:rFonts w:hint="eastAsia" w:ascii="宋体" w:hAnsi="宋体"/>
          <w:color w:val="000000"/>
          <w:sz w:val="22"/>
        </w:rPr>
        <w:t>授权代表：                       授权代表：</w:t>
      </w:r>
    </w:p>
    <w:p>
      <w:pPr>
        <w:adjustRightInd w:val="0"/>
        <w:snapToGrid w:val="0"/>
        <w:spacing w:line="560" w:lineRule="exact"/>
        <w:rPr>
          <w:rFonts w:ascii="宋体" w:hAnsi="宋体"/>
          <w:color w:val="000000"/>
          <w:sz w:val="22"/>
        </w:rPr>
      </w:pPr>
      <w:r>
        <w:rPr>
          <w:rFonts w:hint="eastAsia" w:ascii="宋体" w:hAnsi="宋体"/>
          <w:color w:val="000000"/>
          <w:sz w:val="22"/>
        </w:rPr>
        <w:t xml:space="preserve">签字日期：                       签字日期：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年  月  日                      年  月  日</w:t>
      </w:r>
    </w:p>
    <w:p>
      <w:pPr>
        <w:spacing w:line="560" w:lineRule="exact"/>
        <w:ind w:firstLine="440" w:firstLineChars="200"/>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pStyle w:val="137"/>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42"/>
        <w:adjustRightInd w:val="0"/>
        <w:snapToGrid w:val="0"/>
        <w:ind w:firstLine="442"/>
        <w:jc w:val="left"/>
        <w:rPr>
          <w:rFonts w:ascii="宋体" w:hAnsi="宋体"/>
          <w:b/>
          <w:sz w:val="22"/>
          <w:szCs w:val="22"/>
        </w:rPr>
      </w:pPr>
    </w:p>
    <w:p>
      <w:pPr>
        <w:pStyle w:val="142"/>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42"/>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42"/>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2"/>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42"/>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42"/>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42"/>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42"/>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42"/>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42"/>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42"/>
        <w:adjustRightInd w:val="0"/>
        <w:snapToGrid w:val="0"/>
        <w:ind w:firstLine="600"/>
        <w:jc w:val="left"/>
        <w:rPr>
          <w:rFonts w:ascii="宋体" w:hAnsi="宋体"/>
          <w:sz w:val="30"/>
          <w:szCs w:val="30"/>
        </w:rPr>
      </w:pPr>
    </w:p>
    <w:p>
      <w:pPr>
        <w:pStyle w:val="142"/>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42"/>
        <w:adjustRightInd w:val="0"/>
        <w:snapToGrid w:val="0"/>
        <w:ind w:firstLine="602"/>
        <w:jc w:val="left"/>
        <w:rPr>
          <w:rFonts w:ascii="宋体" w:hAnsi="宋体"/>
          <w:b/>
          <w:sz w:val="30"/>
          <w:szCs w:val="30"/>
        </w:rPr>
      </w:pPr>
    </w:p>
    <w:p>
      <w:pPr>
        <w:pStyle w:val="48"/>
        <w:rPr>
          <w:rFonts w:ascii="宋体" w:hAnsi="宋体" w:eastAsia="宋体"/>
          <w:b w:val="0"/>
          <w:sz w:val="30"/>
          <w:szCs w:val="30"/>
        </w:rPr>
      </w:pPr>
      <w:r>
        <w:rPr>
          <w:rFonts w:hint="eastAsia" w:ascii="宋体" w:hAnsi="宋体" w:eastAsia="宋体"/>
          <w:b w:val="0"/>
          <w:sz w:val="30"/>
          <w:szCs w:val="30"/>
        </w:rPr>
        <w:t xml:space="preserve">                           年     月     日</w:t>
      </w:r>
    </w:p>
    <w:bookmarkEnd w:id="86"/>
    <w:bookmarkEnd w:id="87"/>
    <w:p>
      <w:pPr>
        <w:pStyle w:val="2"/>
        <w:spacing w:before="0" w:after="0"/>
        <w:rPr>
          <w:rFonts w:ascii="Calibri" w:hAnsi="Calibri" w:eastAsia="黑体" w:cs="Calibri"/>
          <w:kern w:val="0"/>
          <w:sz w:val="32"/>
        </w:rPr>
      </w:pPr>
      <w:bookmarkStart w:id="88" w:name="_Toc448002987"/>
      <w:bookmarkStart w:id="89" w:name="_Toc321925456"/>
      <w:bookmarkStart w:id="90"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8"/>
      <w:bookmarkEnd w:id="89"/>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5</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kern w:val="0"/>
          <w:sz w:val="22"/>
        </w:rPr>
        <w:t>7、不能满足招标文件第三章技术条款要求</w:t>
      </w:r>
      <w:r>
        <w:rPr>
          <w:rFonts w:hint="eastAsia" w:ascii="宋体" w:hAnsi="宋体" w:cs="Calibri"/>
          <w:color w:val="000000"/>
          <w:kern w:val="0"/>
          <w:sz w:val="22"/>
        </w:rPr>
        <w:t>≥4条；</w:t>
      </w:r>
    </w:p>
    <w:p>
      <w:pPr>
        <w:spacing w:line="360" w:lineRule="exact"/>
        <w:ind w:firstLine="470"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10</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r>
        <w:rPr>
          <w:rFonts w:hAnsi="宋体" w:cs="Calibri"/>
          <w:b/>
          <w:sz w:val="22"/>
          <w:szCs w:val="22"/>
        </w:rPr>
        <w:t xml:space="preserve"> </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40分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52"/>
        <w:gridCol w:w="666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序号</w:t>
            </w:r>
          </w:p>
        </w:tc>
        <w:tc>
          <w:tcPr>
            <w:tcW w:w="13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6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6"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1</w:t>
            </w:r>
          </w:p>
        </w:tc>
        <w:tc>
          <w:tcPr>
            <w:tcW w:w="1352" w:type="dxa"/>
            <w:vAlign w:val="center"/>
          </w:tcPr>
          <w:p>
            <w:pPr>
              <w:snapToGrid w:val="0"/>
              <w:jc w:val="center"/>
              <w:rPr>
                <w:rFonts w:ascii="宋体" w:hAnsi="宋体"/>
                <w:color w:val="000000"/>
                <w:szCs w:val="21"/>
              </w:rPr>
            </w:pPr>
            <w:r>
              <w:rPr>
                <w:rFonts w:hint="eastAsia" w:ascii="宋体" w:hAnsi="宋体"/>
                <w:color w:val="000000"/>
                <w:szCs w:val="21"/>
              </w:rPr>
              <w:t>产品业绩</w:t>
            </w:r>
          </w:p>
          <w:p>
            <w:pPr>
              <w:snapToGrid w:val="0"/>
              <w:jc w:val="center"/>
              <w:rPr>
                <w:rFonts w:ascii="宋体" w:hAnsi="宋体"/>
                <w:color w:val="000000"/>
                <w:szCs w:val="21"/>
              </w:rPr>
            </w:pPr>
            <w:r>
              <w:rPr>
                <w:rFonts w:hint="eastAsia" w:ascii="宋体" w:hAnsi="宋体"/>
                <w:color w:val="000000"/>
                <w:szCs w:val="21"/>
              </w:rPr>
              <w:t>（4分）</w:t>
            </w:r>
          </w:p>
        </w:tc>
        <w:tc>
          <w:tcPr>
            <w:tcW w:w="6663" w:type="dxa"/>
            <w:tcBorders>
              <w:bottom w:val="single" w:color="auto" w:sz="4" w:space="0"/>
            </w:tcBorders>
            <w:vAlign w:val="center"/>
          </w:tcPr>
          <w:p>
            <w:pPr>
              <w:widowControl/>
              <w:rPr>
                <w:rFonts w:ascii="宋体" w:hAnsi="宋体"/>
                <w:bCs/>
              </w:rPr>
            </w:pPr>
            <w:r>
              <w:rPr>
                <w:rFonts w:hint="eastAsia" w:ascii="宋体" w:hAnsi="宋体"/>
              </w:rPr>
              <w:t>投标产品制造商生产的主力泡沫消防车从2016年1月1日至投标截止日止以来（以合同的签署时间为准）在中国大陆</w:t>
            </w:r>
            <w:r>
              <w:rPr>
                <w:rFonts w:hint="eastAsia" w:ascii="宋体" w:hAnsi="宋体"/>
                <w:szCs w:val="21"/>
              </w:rPr>
              <w:t>（不含台港澳）民用机场</w:t>
            </w:r>
            <w:r>
              <w:rPr>
                <w:rFonts w:hint="eastAsia" w:ascii="宋体" w:hAnsi="宋体"/>
              </w:rPr>
              <w:t>成功销售业绩</w:t>
            </w:r>
            <w:r>
              <w:rPr>
                <w:rFonts w:hint="eastAsia" w:ascii="宋体" w:hAnsi="宋体"/>
                <w:szCs w:val="21"/>
              </w:rPr>
              <w:t>（业绩须提供销售合同复印件和用户证明文件并加盖投标人公章（原件备查），</w:t>
            </w:r>
            <w:r>
              <w:rPr>
                <w:rFonts w:hint="eastAsia" w:ascii="宋体" w:hAnsi="宋体"/>
              </w:rPr>
              <w:t>未提供</w:t>
            </w:r>
            <w:r>
              <w:rPr>
                <w:rFonts w:hint="eastAsia" w:ascii="宋体" w:hAnsi="宋体"/>
                <w:szCs w:val="21"/>
              </w:rPr>
              <w:t>销售合同复印件和用户证明文件</w:t>
            </w:r>
            <w:r>
              <w:rPr>
                <w:rFonts w:hint="eastAsia" w:ascii="宋体" w:hAnsi="宋体"/>
              </w:rPr>
              <w:t>的业绩不予认可</w:t>
            </w:r>
            <w:r>
              <w:rPr>
                <w:rFonts w:hint="eastAsia" w:ascii="宋体" w:hAnsi="宋体"/>
                <w:szCs w:val="21"/>
              </w:rPr>
              <w:t>）</w:t>
            </w:r>
            <w:r>
              <w:rPr>
                <w:rFonts w:hint="eastAsia" w:ascii="宋体" w:hAnsi="宋体"/>
                <w:bCs/>
              </w:rPr>
              <w:t>（4分）</w:t>
            </w:r>
          </w:p>
          <w:p>
            <w:pPr>
              <w:widowControl/>
              <w:rPr>
                <w:rFonts w:ascii="宋体" w:hAnsi="宋体"/>
                <w:kern w:val="0"/>
              </w:rPr>
            </w:pPr>
            <w:r>
              <w:rPr>
                <w:rFonts w:hint="eastAsia" w:ascii="宋体" w:hAnsi="宋体"/>
                <w:b/>
                <w:bCs/>
                <w:szCs w:val="21"/>
              </w:rPr>
              <w:t>评分标准</w:t>
            </w:r>
            <w:r>
              <w:rPr>
                <w:rFonts w:hint="eastAsia" w:ascii="宋体" w:hAnsi="宋体"/>
                <w:bCs/>
                <w:szCs w:val="21"/>
              </w:rPr>
              <w:t>：</w:t>
            </w:r>
            <w:r>
              <w:rPr>
                <w:rFonts w:hint="eastAsia" w:ascii="宋体" w:hAnsi="宋体"/>
                <w:szCs w:val="21"/>
              </w:rPr>
              <w:t>在2016年-2018年连续3年旅客吞吐量大于4000万人次机场（北京/首都、上海/浦东、广州/白云、成都/双流、深圳/宝安、上海/虹桥）的销售业绩</w:t>
            </w:r>
            <w:r>
              <w:rPr>
                <w:rFonts w:hint="eastAsia" w:ascii="宋体" w:hAnsi="宋体"/>
                <w:bCs/>
                <w:szCs w:val="21"/>
              </w:rPr>
              <w:t>每提供1个（含）得0.3分，每增加1个加0.3分；其他民用机场销售业绩每提供</w:t>
            </w:r>
            <w:r>
              <w:rPr>
                <w:rFonts w:ascii="宋体" w:hAnsi="宋体"/>
                <w:bCs/>
                <w:szCs w:val="21"/>
              </w:rPr>
              <w:t>1个（含）得0.2分，每增加1个加0</w:t>
            </w:r>
            <w:r>
              <w:rPr>
                <w:rFonts w:hint="eastAsia" w:ascii="宋体" w:hAnsi="宋体"/>
                <w:bCs/>
                <w:szCs w:val="21"/>
              </w:rPr>
              <w:t>.2分</w:t>
            </w:r>
            <w:r>
              <w:rPr>
                <w:rFonts w:hint="eastAsia" w:ascii="宋体" w:hAnsi="宋体"/>
                <w:kern w:val="0"/>
              </w:rPr>
              <w:t>。</w:t>
            </w:r>
          </w:p>
          <w:p>
            <w:pPr>
              <w:widowControl/>
              <w:rPr>
                <w:rFonts w:ascii="宋体" w:hAnsi="宋体"/>
                <w:b/>
                <w:szCs w:val="21"/>
              </w:rPr>
            </w:pPr>
            <w:r>
              <w:rPr>
                <w:rFonts w:hint="eastAsia" w:ascii="宋体" w:hAnsi="宋体"/>
                <w:bCs/>
              </w:rPr>
              <w:t>注：（1）</w:t>
            </w:r>
            <w:r>
              <w:rPr>
                <w:rFonts w:hint="eastAsia" w:ascii="宋体" w:hAnsi="宋体"/>
                <w:szCs w:val="21"/>
              </w:rPr>
              <w:t>所提供的证明材料应能证明合同签署时间、制造商和车型和验收合格交付时间。（2）提供的用户证明应能说明用户使用车辆正常、满意，用户证明中显示用户不满意的业绩不得分。（3）</w:t>
            </w:r>
            <w:r>
              <w:rPr>
                <w:rFonts w:hint="eastAsia" w:ascii="宋体" w:hAnsi="宋体"/>
              </w:rPr>
              <w:t>销售业绩的个数以投标人在投标文件中</w:t>
            </w:r>
            <w:r>
              <w:rPr>
                <w:rFonts w:hint="eastAsia" w:ascii="宋体" w:hAnsi="宋体"/>
                <w:szCs w:val="21"/>
              </w:rPr>
              <w:t>提供的自2016年1月1日</w:t>
            </w:r>
            <w:r>
              <w:rPr>
                <w:rFonts w:hint="eastAsia" w:ascii="宋体" w:hAnsi="宋体"/>
              </w:rPr>
              <w:t>至投标截止日止</w:t>
            </w:r>
            <w:r>
              <w:rPr>
                <w:rFonts w:hint="eastAsia" w:ascii="宋体" w:hAnsi="宋体"/>
                <w:szCs w:val="21"/>
              </w:rPr>
              <w:t>（以合同的签署时间为准）以来在中国大陆（不含台港澳）民用机场成功销售业绩的数量为计算依据，提供1辆算1个，提供2辆算2个，以此类推。</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jc w:val="center"/>
              <w:rPr>
                <w:rFonts w:ascii="宋体" w:hAnsi="宋体"/>
                <w:color w:val="000000"/>
                <w:szCs w:val="21"/>
              </w:rPr>
            </w:pPr>
            <w:r>
              <w:rPr>
                <w:rFonts w:hint="eastAsia" w:ascii="宋体" w:hAnsi="宋体"/>
                <w:color w:val="000000"/>
                <w:szCs w:val="21"/>
              </w:rPr>
              <w:t>2</w:t>
            </w:r>
          </w:p>
        </w:tc>
        <w:tc>
          <w:tcPr>
            <w:tcW w:w="1352" w:type="dxa"/>
            <w:vMerge w:val="restart"/>
            <w:vAlign w:val="center"/>
          </w:tcPr>
          <w:p>
            <w:pPr>
              <w:snapToGrid w:val="0"/>
              <w:rPr>
                <w:rFonts w:ascii="宋体" w:hAnsi="宋体"/>
                <w:color w:val="000000"/>
                <w:szCs w:val="21"/>
              </w:rPr>
            </w:pPr>
            <w:r>
              <w:rPr>
                <w:rFonts w:hint="eastAsia" w:ascii="宋体" w:hAnsi="宋体"/>
                <w:color w:val="000000"/>
                <w:szCs w:val="21"/>
              </w:rPr>
              <w:t>技术方案(32分)</w:t>
            </w:r>
          </w:p>
        </w:tc>
        <w:tc>
          <w:tcPr>
            <w:tcW w:w="6663" w:type="dxa"/>
            <w:tcBorders>
              <w:bottom w:val="single" w:color="auto" w:sz="4" w:space="0"/>
            </w:tcBorders>
            <w:vAlign w:val="center"/>
          </w:tcPr>
          <w:p>
            <w:pPr>
              <w:jc w:val="left"/>
              <w:rPr>
                <w:rFonts w:ascii="宋体" w:hAnsi="宋体"/>
                <w:b/>
                <w:bCs/>
                <w:szCs w:val="21"/>
              </w:rPr>
            </w:pPr>
            <w:r>
              <w:rPr>
                <w:rFonts w:hint="eastAsia" w:ascii="宋体" w:hAnsi="宋体"/>
                <w:b/>
                <w:kern w:val="0"/>
                <w:szCs w:val="21"/>
              </w:rPr>
              <w:t>投标车辆的技术参数指标</w:t>
            </w:r>
            <w:r>
              <w:rPr>
                <w:rFonts w:hint="eastAsia" w:ascii="宋体" w:hAnsi="宋体"/>
                <w:b/>
                <w:bCs/>
                <w:szCs w:val="21"/>
              </w:rPr>
              <w:t>满足招标文件的程度（9分）</w:t>
            </w:r>
          </w:p>
          <w:p>
            <w:pPr>
              <w:jc w:val="left"/>
              <w:rPr>
                <w:rFonts w:ascii="宋体" w:hAnsi="宋体"/>
                <w:szCs w:val="21"/>
              </w:rPr>
            </w:pPr>
            <w:r>
              <w:rPr>
                <w:rFonts w:hint="eastAsia" w:ascii="宋体" w:hAnsi="宋体"/>
                <w:szCs w:val="21"/>
              </w:rPr>
              <w:t>全部满足招标文件要求：得9分</w:t>
            </w:r>
          </w:p>
          <w:p>
            <w:pPr>
              <w:snapToGrid w:val="0"/>
              <w:jc w:val="left"/>
              <w:rPr>
                <w:rFonts w:ascii="宋体" w:hAnsi="宋体"/>
                <w:szCs w:val="21"/>
              </w:rPr>
            </w:pPr>
            <w:r>
              <w:rPr>
                <w:rFonts w:hint="eastAsia" w:ascii="宋体" w:hAnsi="宋体"/>
                <w:szCs w:val="21"/>
              </w:rPr>
              <w:t>不满足招标文件要求：每负偏离一项扣3分。</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snapToGrid w:val="0"/>
              <w:jc w:val="left"/>
              <w:rPr>
                <w:rFonts w:ascii="宋体" w:hAnsi="宋体"/>
                <w:b/>
                <w:bCs/>
                <w:szCs w:val="21"/>
              </w:rPr>
            </w:pPr>
            <w:r>
              <w:rPr>
                <w:rFonts w:hint="eastAsia" w:ascii="宋体" w:hAnsi="宋体"/>
                <w:b/>
                <w:kern w:val="0"/>
                <w:szCs w:val="21"/>
              </w:rPr>
              <w:t>投标车辆的</w:t>
            </w:r>
            <w:r>
              <w:rPr>
                <w:rFonts w:ascii="宋体" w:hAnsi="宋体"/>
                <w:b/>
                <w:kern w:val="0"/>
                <w:szCs w:val="21"/>
              </w:rPr>
              <w:t>设计</w:t>
            </w:r>
            <w:r>
              <w:rPr>
                <w:rFonts w:hint="eastAsia" w:ascii="宋体" w:hAnsi="宋体"/>
                <w:b/>
                <w:kern w:val="0"/>
                <w:szCs w:val="21"/>
              </w:rPr>
              <w:t>和制造工艺情况</w:t>
            </w:r>
            <w:r>
              <w:rPr>
                <w:rFonts w:hint="eastAsia" w:ascii="宋体" w:hAnsi="宋体"/>
                <w:b/>
                <w:bCs/>
                <w:szCs w:val="21"/>
              </w:rPr>
              <w:t>（7分）</w:t>
            </w:r>
          </w:p>
          <w:p>
            <w:pPr>
              <w:snapToGrid w:val="0"/>
              <w:jc w:val="left"/>
              <w:rPr>
                <w:rFonts w:ascii="宋体" w:hAnsi="宋体"/>
                <w:kern w:val="0"/>
                <w:szCs w:val="21"/>
              </w:rPr>
            </w:pPr>
            <w:r>
              <w:rPr>
                <w:rFonts w:hint="eastAsia" w:ascii="宋体" w:hAnsi="宋体"/>
                <w:bCs/>
                <w:szCs w:val="21"/>
              </w:rPr>
              <w:t>由</w:t>
            </w:r>
            <w:r>
              <w:rPr>
                <w:rFonts w:hint="eastAsia" w:ascii="宋体" w:hAnsi="宋体"/>
                <w:szCs w:val="21"/>
              </w:rPr>
              <w:t>评标委员会根据各投标人提供的主力泡沫消防车</w:t>
            </w:r>
            <w:r>
              <w:rPr>
                <w:rFonts w:hint="eastAsia" w:ascii="宋体" w:hAnsi="宋体"/>
                <w:kern w:val="0"/>
                <w:szCs w:val="21"/>
              </w:rPr>
              <w:t>设计和制造工艺</w:t>
            </w:r>
            <w:r>
              <w:rPr>
                <w:rFonts w:hint="eastAsia" w:ascii="宋体" w:hAnsi="宋体"/>
                <w:bCs/>
                <w:szCs w:val="21"/>
              </w:rPr>
              <w:t>情况进行横向比较，</w:t>
            </w:r>
            <w:r>
              <w:rPr>
                <w:rFonts w:hint="eastAsia" w:ascii="宋体" w:hAnsi="宋体"/>
                <w:kern w:val="0"/>
                <w:szCs w:val="21"/>
              </w:rPr>
              <w:t>酌情打分</w:t>
            </w:r>
          </w:p>
          <w:p>
            <w:pPr>
              <w:snapToGrid w:val="0"/>
              <w:jc w:val="left"/>
              <w:rPr>
                <w:rFonts w:ascii="宋体" w:hAnsi="宋体"/>
                <w:color w:val="000000"/>
                <w:szCs w:val="21"/>
              </w:rPr>
            </w:pPr>
            <w:r>
              <w:rPr>
                <w:rFonts w:hint="eastAsia" w:ascii="宋体" w:hAnsi="宋体"/>
                <w:b/>
                <w:szCs w:val="21"/>
              </w:rPr>
              <w:t>注：</w:t>
            </w:r>
            <w:r>
              <w:rPr>
                <w:rFonts w:hint="eastAsia" w:ascii="宋体" w:hAnsi="宋体"/>
                <w:b/>
                <w:kern w:val="0"/>
                <w:szCs w:val="21"/>
              </w:rPr>
              <w:t>本条对</w:t>
            </w:r>
            <w:r>
              <w:rPr>
                <w:rFonts w:ascii="宋体" w:hAnsi="宋体"/>
                <w:b/>
                <w:kern w:val="0"/>
                <w:szCs w:val="21"/>
              </w:rPr>
              <w:t>投标</w:t>
            </w:r>
            <w:r>
              <w:rPr>
                <w:rFonts w:hint="eastAsia" w:ascii="宋体" w:hAnsi="宋体"/>
                <w:b/>
                <w:kern w:val="0"/>
                <w:szCs w:val="21"/>
              </w:rPr>
              <w:t>主力泡沫消防车的</w:t>
            </w:r>
            <w:r>
              <w:rPr>
                <w:rFonts w:ascii="宋体" w:hAnsi="宋体"/>
                <w:b/>
                <w:kern w:val="0"/>
                <w:szCs w:val="21"/>
              </w:rPr>
              <w:t>设计</w:t>
            </w:r>
            <w:r>
              <w:rPr>
                <w:rFonts w:hint="eastAsia" w:ascii="宋体" w:hAnsi="宋体"/>
                <w:b/>
                <w:kern w:val="0"/>
                <w:szCs w:val="21"/>
              </w:rPr>
              <w:t>和制造工艺进行技术评价的因素主要包括：</w:t>
            </w:r>
            <w:r>
              <w:rPr>
                <w:rFonts w:ascii="宋体" w:hAnsi="宋体"/>
                <w:b/>
                <w:kern w:val="0"/>
                <w:szCs w:val="21"/>
              </w:rPr>
              <w:t>车辆的整车外观、</w:t>
            </w:r>
            <w:r>
              <w:rPr>
                <w:rFonts w:hint="eastAsia" w:ascii="宋体" w:hAnsi="宋体"/>
                <w:b/>
                <w:kern w:val="0"/>
                <w:szCs w:val="21"/>
              </w:rPr>
              <w:t>车体结构和布局、使用操作和维修保养的便捷性、安全性设计、加工和安装工艺等，评标委员会将根据各投标人所提供的投标主力泡沫消防车上述内容设计的合理性、便捷性、科学性和先进性等方面进行评价。</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rPr>
                <w:rFonts w:ascii="宋体" w:hAnsi="宋体"/>
                <w:szCs w:val="21"/>
              </w:rPr>
            </w:pPr>
            <w:r>
              <w:rPr>
                <w:rFonts w:hint="eastAsia" w:ascii="宋体" w:hAnsi="宋体"/>
                <w:b/>
                <w:kern w:val="0"/>
                <w:szCs w:val="21"/>
              </w:rPr>
              <w:t>投标车辆主要部件和材料情况</w:t>
            </w:r>
            <w:r>
              <w:rPr>
                <w:rFonts w:hint="eastAsia" w:ascii="宋体" w:hAnsi="宋体"/>
                <w:b/>
                <w:bCs/>
                <w:szCs w:val="21"/>
              </w:rPr>
              <w:t>（8分）</w:t>
            </w:r>
          </w:p>
          <w:p>
            <w:pPr>
              <w:widowControl/>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评标委员会根据各投标人提供的投标消防车主要部件和材料情况，横向比较，酌情打分</w:t>
            </w:r>
          </w:p>
          <w:p>
            <w:pPr>
              <w:widowControl/>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主力泡沫消防车的主要</w:t>
            </w:r>
            <w:r>
              <w:rPr>
                <w:rFonts w:ascii="宋体" w:hAnsi="宋体"/>
                <w:b/>
                <w:kern w:val="0"/>
                <w:szCs w:val="21"/>
              </w:rPr>
              <w:t>部件和材料</w:t>
            </w:r>
            <w:r>
              <w:rPr>
                <w:rFonts w:hint="eastAsia" w:ascii="宋体" w:hAnsi="宋体"/>
                <w:b/>
                <w:kern w:val="0"/>
                <w:szCs w:val="21"/>
              </w:rPr>
              <w:t>进行技术评价的因素主要包括：车架大梁，车体材料，发动机，变速箱，底盘，消防炮，消防泵，</w:t>
            </w:r>
            <w:r>
              <w:rPr>
                <w:rFonts w:ascii="宋体" w:hAnsi="宋体"/>
                <w:b/>
                <w:kern w:val="0"/>
                <w:szCs w:val="21"/>
              </w:rPr>
              <w:t>水罐和泡沫罐</w:t>
            </w:r>
            <w:r>
              <w:rPr>
                <w:rFonts w:hint="eastAsia" w:ascii="宋体" w:hAnsi="宋体"/>
                <w:b/>
                <w:kern w:val="0"/>
                <w:szCs w:val="21"/>
              </w:rPr>
              <w:t>，车体附属设施（蓄电池、空调系统、发电机、轮胎、各仪表指示系统），</w:t>
            </w:r>
            <w:r>
              <w:rPr>
                <w:rFonts w:ascii="宋体" w:hAnsi="宋体"/>
                <w:b/>
                <w:kern w:val="0"/>
                <w:szCs w:val="21"/>
              </w:rPr>
              <w:t>管路、阀门和连接头</w:t>
            </w:r>
            <w:r>
              <w:rPr>
                <w:rFonts w:hint="eastAsia" w:ascii="宋体" w:hAnsi="宋体"/>
                <w:b/>
                <w:kern w:val="0"/>
                <w:szCs w:val="21"/>
              </w:rPr>
              <w:t>，</w:t>
            </w:r>
            <w:r>
              <w:rPr>
                <w:rFonts w:ascii="宋体" w:hAnsi="宋体"/>
                <w:b/>
                <w:kern w:val="0"/>
                <w:szCs w:val="21"/>
              </w:rPr>
              <w:t>专用照明设备</w:t>
            </w:r>
            <w:r>
              <w:rPr>
                <w:rFonts w:hint="eastAsia" w:ascii="宋体" w:hAnsi="宋体"/>
                <w:b/>
                <w:kern w:val="0"/>
                <w:szCs w:val="21"/>
              </w:rPr>
              <w:t>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snapToGrid w:val="0"/>
              <w:jc w:val="left"/>
              <w:rPr>
                <w:rFonts w:ascii="宋体" w:hAnsi="宋体"/>
                <w:b/>
                <w:bCs/>
                <w:szCs w:val="21"/>
              </w:rPr>
            </w:pPr>
            <w:r>
              <w:rPr>
                <w:rFonts w:hint="eastAsia" w:ascii="宋体" w:hAnsi="宋体"/>
                <w:b/>
                <w:kern w:val="0"/>
                <w:szCs w:val="21"/>
              </w:rPr>
              <w:t>主力泡沫消防车功能配置和性能优化的优</w:t>
            </w:r>
            <w:r>
              <w:rPr>
                <w:rFonts w:hint="eastAsia" w:ascii="宋体" w:hAnsi="宋体"/>
                <w:b/>
                <w:bCs/>
                <w:szCs w:val="21"/>
              </w:rPr>
              <w:t>于招标文件的程度（8分）</w:t>
            </w:r>
          </w:p>
          <w:p>
            <w:pPr>
              <w:widowControl/>
              <w:snapToGrid w:val="0"/>
              <w:jc w:val="left"/>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评标委员会根据各投标人的主力泡沫消防车</w:t>
            </w:r>
            <w:r>
              <w:rPr>
                <w:rFonts w:hint="eastAsia" w:ascii="宋体" w:hAnsi="宋体"/>
                <w:spacing w:val="8"/>
                <w:szCs w:val="21"/>
              </w:rPr>
              <w:t>功能</w:t>
            </w:r>
            <w:r>
              <w:rPr>
                <w:rFonts w:hint="eastAsia" w:ascii="宋体" w:hAnsi="宋体"/>
                <w:kern w:val="0"/>
                <w:szCs w:val="21"/>
              </w:rPr>
              <w:t>配置</w:t>
            </w:r>
            <w:r>
              <w:rPr>
                <w:rFonts w:hint="eastAsia" w:ascii="宋体" w:hAnsi="宋体"/>
                <w:spacing w:val="8"/>
                <w:szCs w:val="21"/>
              </w:rPr>
              <w:t>和性能</w:t>
            </w:r>
            <w:r>
              <w:rPr>
                <w:rFonts w:hint="eastAsia" w:ascii="宋体" w:hAnsi="宋体"/>
                <w:kern w:val="0"/>
                <w:szCs w:val="21"/>
              </w:rPr>
              <w:t>优化的程度酌情打分</w:t>
            </w:r>
          </w:p>
          <w:p>
            <w:pPr>
              <w:widowControl/>
              <w:snapToGrid w:val="0"/>
              <w:jc w:val="left"/>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功能和性能进行技术评价的因素主要包括：加速性能，越野性能，灵活性，稳定性，最高车速，制动性能，灭火剂喷射射程，灭火剂喷射流量，灭火剂装载量，消防泵流量及车辆使用和维护成本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3</w:t>
            </w:r>
          </w:p>
        </w:tc>
        <w:tc>
          <w:tcPr>
            <w:tcW w:w="8015" w:type="dxa"/>
            <w:gridSpan w:val="2"/>
            <w:vAlign w:val="center"/>
          </w:tcPr>
          <w:p>
            <w:pPr>
              <w:snapToGrid w:val="0"/>
              <w:jc w:val="left"/>
              <w:rPr>
                <w:rFonts w:ascii="宋体" w:hAnsi="宋体"/>
                <w:color w:val="000000"/>
                <w:szCs w:val="21"/>
              </w:rPr>
            </w:pPr>
            <w:r>
              <w:rPr>
                <w:rFonts w:hint="eastAsia" w:ascii="宋体" w:hAnsi="宋体"/>
                <w:b/>
                <w:bCs/>
              </w:rPr>
              <w:t>售后服务方案和保证措施</w:t>
            </w:r>
            <w:r>
              <w:rPr>
                <w:rFonts w:hint="eastAsia" w:ascii="宋体" w:hAnsi="宋体"/>
                <w:color w:val="000000"/>
                <w:szCs w:val="21"/>
              </w:rPr>
              <w:t>（3分）</w:t>
            </w:r>
          </w:p>
          <w:p>
            <w:pPr>
              <w:snapToGrid w:val="0"/>
              <w:jc w:val="left"/>
              <w:rPr>
                <w:rFonts w:ascii="仿宋_GB2312" w:eastAsia="仿宋_GB2312"/>
                <w:b/>
              </w:rPr>
            </w:pPr>
            <w:r>
              <w:rPr>
                <w:rFonts w:hint="eastAsia" w:ascii="宋体" w:hAnsi="宋体"/>
                <w:color w:val="000000"/>
                <w:szCs w:val="21"/>
              </w:rPr>
              <w:t>根据投标文件的质保期承诺、售后服务情况酌情打分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4</w:t>
            </w:r>
          </w:p>
        </w:tc>
        <w:tc>
          <w:tcPr>
            <w:tcW w:w="8015" w:type="dxa"/>
            <w:gridSpan w:val="2"/>
            <w:vAlign w:val="center"/>
          </w:tcPr>
          <w:p>
            <w:pPr>
              <w:snapToGrid w:val="0"/>
              <w:jc w:val="left"/>
              <w:rPr>
                <w:rFonts w:ascii="宋体" w:hAnsi="宋体"/>
                <w:color w:val="000000"/>
                <w:szCs w:val="21"/>
              </w:rPr>
            </w:pPr>
            <w:r>
              <w:rPr>
                <w:rFonts w:hint="eastAsia" w:ascii="宋体" w:hAnsi="宋体"/>
                <w:b/>
                <w:bCs/>
              </w:rPr>
              <w:t>技术培训</w:t>
            </w:r>
            <w:r>
              <w:rPr>
                <w:rFonts w:hint="eastAsia" w:ascii="宋体" w:hAnsi="宋体"/>
                <w:color w:val="000000"/>
                <w:szCs w:val="21"/>
              </w:rPr>
              <w:t>（1分）</w:t>
            </w:r>
          </w:p>
          <w:p>
            <w:pPr>
              <w:snapToGrid w:val="0"/>
              <w:jc w:val="left"/>
              <w:rPr>
                <w:rFonts w:ascii="宋体" w:hAnsi="宋体"/>
                <w:color w:val="000000"/>
                <w:szCs w:val="21"/>
              </w:rPr>
            </w:pPr>
            <w:r>
              <w:rPr>
                <w:rFonts w:hint="eastAsia" w:ascii="宋体" w:hAnsi="宋体"/>
                <w:color w:val="000000"/>
                <w:szCs w:val="21"/>
              </w:rPr>
              <w:t>根据投标文件的技术培训情况酌情打分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1</w:t>
            </w:r>
          </w:p>
        </w:tc>
      </w:tr>
    </w:tbl>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48"/>
      </w:pPr>
      <w:bookmarkStart w:id="91" w:name="_Toc321925457"/>
      <w:r>
        <w:t>第</w:t>
      </w:r>
      <w:r>
        <w:rPr>
          <w:rFonts w:hint="eastAsia"/>
        </w:rPr>
        <w:t>六</w:t>
      </w:r>
      <w:r>
        <w:t>章  投标文件格式</w:t>
      </w:r>
      <w:bookmarkEnd w:id="90"/>
      <w:bookmarkEnd w:id="9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投标产品近三年（2016年1月1日至开标日）的销售业绩一览表（附业绩的合同）。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九、技术参数、结构及性能特点等产品技术规格书（按第三章相关条款要求填写）；</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2" w:name="_Toc171421958"/>
      <w:r>
        <w:rPr>
          <w:rFonts w:cs="Calibri"/>
          <w:color w:val="000000"/>
        </w:rPr>
        <w:t>封面</w:t>
      </w:r>
      <w:bookmarkEnd w:id="9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主力泡沫消防车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w:t>
      </w:r>
      <w:r>
        <w:rPr>
          <w:rFonts w:hint="eastAsia" w:ascii="宋体" w:hAnsi="宋体"/>
          <w:sz w:val="22"/>
        </w:rPr>
        <w:t>10</w:t>
      </w:r>
      <w:r>
        <w:rPr>
          <w:rFonts w:ascii="宋体" w:hAnsi="宋体"/>
          <w:sz w:val="22"/>
        </w:rPr>
        <w:t>%的履约保证金，作为履行合同的担保。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93" w:name="_Toc144265958"/>
      <w:bookmarkStart w:id="94" w:name="_Toc137373398"/>
      <w:bookmarkStart w:id="95" w:name="_Toc133470542"/>
      <w:bookmarkStart w:id="96" w:name="_Toc133214309"/>
      <w:bookmarkStart w:id="97" w:name="_Toc133214102"/>
    </w:p>
    <w:p>
      <w:pPr>
        <w:pStyle w:val="29"/>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3"/>
    <w:bookmarkEnd w:id="94"/>
    <w:bookmarkEnd w:id="95"/>
    <w:bookmarkEnd w:id="96"/>
    <w:bookmarkEnd w:id="9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3</w:t>
            </w:r>
          </w:p>
        </w:tc>
        <w:tc>
          <w:tcPr>
            <w:tcW w:w="2976" w:type="dxa"/>
            <w:vAlign w:val="center"/>
          </w:tcPr>
          <w:p>
            <w:pPr>
              <w:snapToGrid w:val="0"/>
              <w:jc w:val="center"/>
              <w:rPr>
                <w:rFonts w:ascii="宋体" w:hAnsi="宋体" w:cs="宋体"/>
                <w:sz w:val="22"/>
              </w:rPr>
            </w:pPr>
            <w:r>
              <w:rPr>
                <w:rFonts w:hint="eastAsia" w:ascii="宋体" w:hAnsi="宋体" w:cs="宋体"/>
                <w:sz w:val="22"/>
              </w:rPr>
              <w:t>其他附加服务费用</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8" w:name="_Toc133214310"/>
      <w:bookmarkStart w:id="99" w:name="_Toc133470544"/>
      <w:bookmarkStart w:id="100" w:name="_Toc133214103"/>
      <w:bookmarkStart w:id="101" w:name="_Toc137373399"/>
    </w:p>
    <w:p>
      <w:pPr>
        <w:spacing w:line="360" w:lineRule="auto"/>
        <w:jc w:val="center"/>
        <w:rPr>
          <w:rFonts w:ascii="宋体" w:hAnsi="宋体" w:cs="宋体"/>
          <w:b/>
          <w:sz w:val="32"/>
          <w:szCs w:val="32"/>
        </w:rPr>
      </w:pPr>
      <w:bookmarkStart w:id="102" w:name="_Toc144265959"/>
      <w:r>
        <w:rPr>
          <w:rFonts w:hint="eastAsia" w:ascii="宋体" w:hAnsi="宋体" w:cs="宋体"/>
          <w:b/>
          <w:sz w:val="32"/>
          <w:szCs w:val="32"/>
        </w:rPr>
        <w:br w:type="page"/>
      </w:r>
    </w:p>
    <w:bookmarkEnd w:id="98"/>
    <w:bookmarkEnd w:id="99"/>
    <w:bookmarkEnd w:id="100"/>
    <w:bookmarkEnd w:id="101"/>
    <w:bookmarkEnd w:id="10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8"/>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9"/>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近三年该货物主要销售给国内、外主要客户的名称地址：</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9"/>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14 -</w:t>
    </w:r>
    <w:r>
      <w:fldChar w:fldCharType="end"/>
    </w:r>
  </w:p>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rPr>
        <w:rFonts w:ascii="宋体" w:hAnsi="宋体"/>
        <w:color w:val="000000"/>
      </w:rPr>
    </w:pPr>
    <w:r>
      <w:rPr>
        <w:rFonts w:hint="eastAsia" w:ascii="宋体" w:hAnsi="宋体"/>
        <w:color w:val="000000"/>
      </w:rPr>
      <w:t>杭州萧山国际机场主力泡沫消防车采购项目招标文件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3834A"/>
    <w:multiLevelType w:val="singleLevel"/>
    <w:tmpl w:val="A4C3834A"/>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C6E7AA9F"/>
    <w:multiLevelType w:val="singleLevel"/>
    <w:tmpl w:val="C6E7AA9F"/>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39A7C53"/>
    <w:multiLevelType w:val="multilevel"/>
    <w:tmpl w:val="539A7C53"/>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9">
    <w:nsid w:val="725B50C2"/>
    <w:multiLevelType w:val="multilevel"/>
    <w:tmpl w:val="725B50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20"/>
  </w:num>
  <w:num w:numId="5">
    <w:abstractNumId w:val="19"/>
  </w:num>
  <w:num w:numId="6">
    <w:abstractNumId w:val="17"/>
  </w:num>
  <w:num w:numId="7">
    <w:abstractNumId w:val="18"/>
  </w:num>
  <w:num w:numId="8">
    <w:abstractNumId w:val="4"/>
  </w:num>
  <w:num w:numId="9">
    <w:abstractNumId w:val="15"/>
  </w:num>
  <w:num w:numId="10">
    <w:abstractNumId w:val="13"/>
  </w:num>
  <w:num w:numId="11">
    <w:abstractNumId w:val="7"/>
  </w:num>
  <w:num w:numId="12">
    <w:abstractNumId w:val="14"/>
  </w:num>
  <w:num w:numId="13">
    <w:abstractNumId w:val="3"/>
  </w:num>
  <w:num w:numId="14">
    <w:abstractNumId w:val="8"/>
  </w:num>
  <w:num w:numId="15">
    <w:abstractNumId w:val="10"/>
  </w:num>
  <w:num w:numId="16">
    <w:abstractNumId w:val="6"/>
  </w:num>
  <w:num w:numId="17">
    <w:abstractNumId w:val="2"/>
  </w:num>
  <w:num w:numId="18">
    <w:abstractNumId w:val="5"/>
  </w:num>
  <w:num w:numId="19">
    <w:abstractNumId w:val="12"/>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B2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3">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oc 7"/>
    <w:basedOn w:val="1"/>
    <w:next w:val="1"/>
    <w:qFormat/>
    <w:uiPriority w:val="0"/>
    <w:pPr>
      <w:ind w:left="1260"/>
      <w:jc w:val="left"/>
    </w:pPr>
    <w:rPr>
      <w:rFonts w:ascii="Times New Roman" w:hAnsi="Times New Roman"/>
      <w:sz w:val="20"/>
      <w:szCs w:val="20"/>
    </w:rPr>
  </w:style>
  <w:style w:type="paragraph" w:styleId="13">
    <w:name w:val="table of authorities"/>
    <w:basedOn w:val="1"/>
    <w:next w:val="1"/>
    <w:qFormat/>
    <w:uiPriority w:val="0"/>
    <w:pPr>
      <w:ind w:left="420" w:leftChars="200"/>
    </w:pPr>
    <w:rPr>
      <w:rFonts w:ascii="Times New Roman" w:hAnsi="Times New Roman"/>
      <w:szCs w:val="24"/>
    </w:rPr>
  </w:style>
  <w:style w:type="paragraph" w:styleId="14">
    <w:name w:val="Normal Indent"/>
    <w:basedOn w:val="1"/>
    <w:qFormat/>
    <w:uiPriority w:val="0"/>
    <w:pPr>
      <w:ind w:firstLine="420"/>
    </w:pPr>
    <w:rPr>
      <w:rFonts w:ascii="Times New Roman" w:hAnsi="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szCs w:val="24"/>
    </w:rPr>
  </w:style>
  <w:style w:type="paragraph" w:styleId="17">
    <w:name w:val="List Bullet"/>
    <w:basedOn w:val="1"/>
    <w:qFormat/>
    <w:uiPriority w:val="0"/>
    <w:pPr>
      <w:numPr>
        <w:ilvl w:val="0"/>
        <w:numId w:val="2"/>
      </w:numPr>
    </w:pPr>
  </w:style>
  <w:style w:type="paragraph" w:styleId="18">
    <w:name w:val="Document Map"/>
    <w:basedOn w:val="1"/>
    <w:link w:val="74"/>
    <w:qFormat/>
    <w:uiPriority w:val="0"/>
    <w:pPr>
      <w:shd w:val="clear" w:color="auto" w:fill="000080"/>
    </w:pPr>
    <w:rPr>
      <w:rFonts w:ascii="Times New Roman" w:hAnsi="Times New Roman"/>
      <w:kern w:val="0"/>
      <w:sz w:val="20"/>
      <w:szCs w:val="20"/>
    </w:rPr>
  </w:style>
  <w:style w:type="paragraph" w:styleId="19">
    <w:name w:val="annotation text"/>
    <w:basedOn w:val="1"/>
    <w:link w:val="107"/>
    <w:unhideWhenUsed/>
    <w:qFormat/>
    <w:uiPriority w:val="0"/>
    <w:pPr>
      <w:jc w:val="left"/>
    </w:pPr>
    <w:rPr>
      <w:sz w:val="24"/>
      <w:szCs w:val="24"/>
    </w:rPr>
  </w:style>
  <w:style w:type="paragraph" w:styleId="20">
    <w:name w:val="Body Text 3"/>
    <w:basedOn w:val="1"/>
    <w:link w:val="86"/>
    <w:qFormat/>
    <w:uiPriority w:val="0"/>
    <w:pPr>
      <w:adjustRightInd w:val="0"/>
      <w:spacing w:after="120" w:line="360" w:lineRule="atLeast"/>
      <w:textAlignment w:val="baseline"/>
    </w:pPr>
    <w:rPr>
      <w:rFonts w:ascii="Times New Roman" w:hAnsi="Times New Roman"/>
      <w:kern w:val="0"/>
      <w:sz w:val="16"/>
      <w:szCs w:val="16"/>
    </w:rPr>
  </w:style>
  <w:style w:type="paragraph" w:styleId="21">
    <w:name w:val="Body Text"/>
    <w:basedOn w:val="1"/>
    <w:link w:val="111"/>
    <w:unhideWhenUsed/>
    <w:qFormat/>
    <w:uiPriority w:val="0"/>
    <w:pPr>
      <w:spacing w:after="120"/>
    </w:pPr>
    <w:rPr>
      <w:sz w:val="24"/>
      <w:szCs w:val="24"/>
    </w:rPr>
  </w:style>
  <w:style w:type="paragraph" w:styleId="22">
    <w:name w:val="Body Text Indent"/>
    <w:basedOn w:val="1"/>
    <w:link w:val="82"/>
    <w:qFormat/>
    <w:uiPriority w:val="0"/>
    <w:pPr>
      <w:ind w:firstLine="560" w:firstLineChars="200"/>
    </w:pPr>
    <w:rPr>
      <w:rFonts w:ascii="宋体" w:hAnsi="宋体"/>
      <w:kern w:val="0"/>
      <w:sz w:val="28"/>
      <w:szCs w:val="28"/>
    </w:rPr>
  </w:style>
  <w:style w:type="paragraph" w:styleId="23">
    <w:name w:val="List 2"/>
    <w:basedOn w:val="1"/>
    <w:qFormat/>
    <w:uiPriority w:val="0"/>
    <w:pPr>
      <w:ind w:left="100" w:leftChars="200" w:hanging="200" w:hangingChars="200"/>
    </w:pPr>
    <w:rPr>
      <w:rFonts w:ascii="Times New Roman" w:hAnsi="Times New Roman"/>
      <w:szCs w:val="24"/>
    </w:rPr>
  </w:style>
  <w:style w:type="paragraph" w:styleId="24">
    <w:name w:val="List Continue"/>
    <w:basedOn w:val="1"/>
    <w:qFormat/>
    <w:uiPriority w:val="0"/>
    <w:pPr>
      <w:spacing w:after="120"/>
      <w:ind w:left="420" w:leftChars="200"/>
    </w:pPr>
    <w:rPr>
      <w:rFonts w:ascii="Times New Roman" w:hAnsi="Times New Roman"/>
      <w:szCs w:val="24"/>
    </w:rPr>
  </w:style>
  <w:style w:type="paragraph" w:styleId="25">
    <w:name w:val="Block Text"/>
    <w:basedOn w:val="1"/>
    <w:qFormat/>
    <w:uiPriority w:val="0"/>
    <w:pPr>
      <w:spacing w:before="120" w:after="120" w:line="360" w:lineRule="auto"/>
      <w:ind w:left="525" w:right="202"/>
    </w:pPr>
    <w:rPr>
      <w:rFonts w:ascii="宋体" w:hAnsi="宋体"/>
      <w:spacing w:val="-4"/>
      <w:sz w:val="24"/>
      <w:szCs w:val="24"/>
    </w:rPr>
  </w:style>
  <w:style w:type="paragraph" w:styleId="26">
    <w:name w:val="List Bullet 2"/>
    <w:basedOn w:val="1"/>
    <w:semiHidden/>
    <w:unhideWhenUsed/>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sz w:val="28"/>
      <w:szCs w:val="20"/>
    </w:rPr>
  </w:style>
  <w:style w:type="paragraph" w:styleId="29">
    <w:name w:val="Plain Text"/>
    <w:basedOn w:val="1"/>
    <w:link w:val="77"/>
    <w:qFormat/>
    <w:uiPriority w:val="0"/>
    <w:rPr>
      <w:rFonts w:ascii="宋体" w:hAnsi="Courier New"/>
      <w:kern w:val="0"/>
      <w:sz w:val="20"/>
      <w:szCs w:val="21"/>
    </w:rPr>
  </w:style>
  <w:style w:type="paragraph" w:styleId="30">
    <w:name w:val="toc 8"/>
    <w:basedOn w:val="1"/>
    <w:next w:val="1"/>
    <w:qFormat/>
    <w:uiPriority w:val="0"/>
    <w:pPr>
      <w:ind w:left="1470"/>
      <w:jc w:val="left"/>
    </w:pPr>
    <w:rPr>
      <w:rFonts w:ascii="Times New Roman" w:hAnsi="Times New Roman"/>
      <w:sz w:val="20"/>
      <w:szCs w:val="20"/>
    </w:rPr>
  </w:style>
  <w:style w:type="paragraph" w:styleId="31">
    <w:name w:val="Date"/>
    <w:basedOn w:val="1"/>
    <w:next w:val="1"/>
    <w:link w:val="71"/>
    <w:qFormat/>
    <w:uiPriority w:val="0"/>
    <w:pPr>
      <w:ind w:left="100" w:leftChars="2500"/>
    </w:pPr>
    <w:rPr>
      <w:rFonts w:ascii="Times New Roman" w:hAnsi="Times New Roman"/>
      <w:kern w:val="0"/>
      <w:sz w:val="20"/>
      <w:szCs w:val="20"/>
    </w:rPr>
  </w:style>
  <w:style w:type="paragraph" w:styleId="32">
    <w:name w:val="Body Text Indent 2"/>
    <w:basedOn w:val="1"/>
    <w:link w:val="95"/>
    <w:qFormat/>
    <w:uiPriority w:val="0"/>
    <w:pPr>
      <w:spacing w:after="120" w:line="480" w:lineRule="auto"/>
      <w:ind w:left="420" w:leftChars="200"/>
    </w:pPr>
    <w:rPr>
      <w:rFonts w:ascii="Times New Roman" w:hAnsi="Times New Roman"/>
      <w:kern w:val="0"/>
      <w:sz w:val="20"/>
      <w:szCs w:val="20"/>
    </w:rPr>
  </w:style>
  <w:style w:type="paragraph" w:styleId="33">
    <w:name w:val="Balloon Text"/>
    <w:basedOn w:val="1"/>
    <w:link w:val="72"/>
    <w:semiHidden/>
    <w:qFormat/>
    <w:uiPriority w:val="0"/>
    <w:rPr>
      <w:rFonts w:ascii="Times New Roman" w:hAnsi="Times New Roman"/>
      <w:kern w:val="0"/>
      <w:sz w:val="18"/>
      <w:szCs w:val="18"/>
    </w:rPr>
  </w:style>
  <w:style w:type="paragraph" w:styleId="34">
    <w:name w:val="footer"/>
    <w:basedOn w:val="1"/>
    <w:link w:val="69"/>
    <w:unhideWhenUsed/>
    <w:qFormat/>
    <w:uiPriority w:val="99"/>
    <w:pPr>
      <w:tabs>
        <w:tab w:val="center" w:pos="4153"/>
        <w:tab w:val="right" w:pos="8306"/>
      </w:tabs>
      <w:snapToGrid w:val="0"/>
      <w:jc w:val="left"/>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szCs w:val="24"/>
    </w:rPr>
  </w:style>
  <w:style w:type="paragraph" w:styleId="37">
    <w:name w:val="toc 4"/>
    <w:basedOn w:val="1"/>
    <w:next w:val="1"/>
    <w:qFormat/>
    <w:uiPriority w:val="0"/>
    <w:pPr>
      <w:ind w:left="630"/>
      <w:jc w:val="left"/>
    </w:pPr>
    <w:rPr>
      <w:rFonts w:ascii="楷体_GB2312" w:hAnsi="Times New Roman" w:eastAsia="楷体_GB2312"/>
      <w:sz w:val="28"/>
      <w:szCs w:val="20"/>
    </w:rPr>
  </w:style>
  <w:style w:type="paragraph" w:styleId="38">
    <w:name w:val="List"/>
    <w:basedOn w:val="1"/>
    <w:qFormat/>
    <w:uiPriority w:val="0"/>
    <w:pPr>
      <w:ind w:left="200" w:hanging="200" w:hangingChars="200"/>
    </w:pPr>
    <w:rPr>
      <w:rFonts w:ascii="Times New Roman" w:hAnsi="Times New Roman"/>
      <w:szCs w:val="24"/>
    </w:rPr>
  </w:style>
  <w:style w:type="paragraph" w:styleId="39">
    <w:name w:val="toc 6"/>
    <w:basedOn w:val="1"/>
    <w:next w:val="1"/>
    <w:qFormat/>
    <w:uiPriority w:val="0"/>
    <w:pPr>
      <w:ind w:left="1050"/>
      <w:jc w:val="left"/>
    </w:pPr>
    <w:rPr>
      <w:rFonts w:ascii="Times New Roman" w:hAnsi="Times New Roman"/>
      <w:sz w:val="20"/>
      <w:szCs w:val="20"/>
    </w:rPr>
  </w:style>
  <w:style w:type="paragraph" w:styleId="40">
    <w:name w:val="Body Text Indent 3"/>
    <w:basedOn w:val="1"/>
    <w:link w:val="90"/>
    <w:qFormat/>
    <w:uiPriority w:val="0"/>
    <w:pPr>
      <w:spacing w:after="120"/>
      <w:ind w:left="420" w:leftChars="200"/>
    </w:pPr>
    <w:rPr>
      <w:rFonts w:ascii="Times New Roman" w:hAnsi="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2">
    <w:name w:val="toc 9"/>
    <w:basedOn w:val="1"/>
    <w:next w:val="1"/>
    <w:qFormat/>
    <w:uiPriority w:val="0"/>
    <w:pPr>
      <w:ind w:left="1680"/>
      <w:jc w:val="left"/>
    </w:pPr>
    <w:rPr>
      <w:rFonts w:ascii="Times New Roman" w:hAnsi="Times New Roman"/>
      <w:sz w:val="20"/>
      <w:szCs w:val="20"/>
    </w:rPr>
  </w:style>
  <w:style w:type="paragraph" w:styleId="43">
    <w:name w:val="Body Text 2"/>
    <w:basedOn w:val="1"/>
    <w:link w:val="73"/>
    <w:unhideWhenUsed/>
    <w:qFormat/>
    <w:uiPriority w:val="0"/>
    <w:pPr>
      <w:spacing w:after="120" w:line="480" w:lineRule="auto"/>
    </w:pPr>
    <w:rPr>
      <w:rFonts w:ascii="Times New Roman" w:hAnsi="Times New Roman"/>
      <w:kern w:val="0"/>
      <w:sz w:val="20"/>
      <w:szCs w:val="20"/>
    </w:rPr>
  </w:style>
  <w:style w:type="paragraph" w:styleId="44">
    <w:name w:val="List 4"/>
    <w:basedOn w:val="1"/>
    <w:qFormat/>
    <w:uiPriority w:val="0"/>
    <w:pPr>
      <w:ind w:left="100" w:leftChars="600" w:hanging="200" w:hangingChars="200"/>
    </w:pPr>
    <w:rPr>
      <w:rFonts w:ascii="Times New Roman" w:hAnsi="Times New Roman"/>
      <w:szCs w:val="24"/>
    </w:rPr>
  </w:style>
  <w:style w:type="paragraph" w:styleId="45">
    <w:name w:val="List Continue 2"/>
    <w:basedOn w:val="1"/>
    <w:qFormat/>
    <w:uiPriority w:val="0"/>
    <w:pPr>
      <w:spacing w:after="120"/>
      <w:ind w:left="840" w:leftChars="400"/>
    </w:pPr>
    <w:rPr>
      <w:rFonts w:ascii="Times New Roman" w:hAnsi="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szCs w:val="20"/>
    </w:rPr>
  </w:style>
  <w:style w:type="paragraph" w:styleId="48">
    <w:name w:val="Title"/>
    <w:basedOn w:val="1"/>
    <w:next w:val="1"/>
    <w:link w:val="97"/>
    <w:qFormat/>
    <w:uiPriority w:val="0"/>
    <w:pPr>
      <w:spacing w:before="60" w:after="60"/>
      <w:jc w:val="center"/>
      <w:outlineLvl w:val="0"/>
    </w:pPr>
    <w:rPr>
      <w:rFonts w:ascii="Cambria" w:hAnsi="Cambria" w:eastAsia="黑体"/>
      <w:b/>
      <w:bCs/>
      <w:kern w:val="0"/>
      <w:sz w:val="32"/>
      <w:szCs w:val="32"/>
    </w:rPr>
  </w:style>
  <w:style w:type="paragraph" w:styleId="49">
    <w:name w:val="annotation subject"/>
    <w:basedOn w:val="19"/>
    <w:next w:val="19"/>
    <w:link w:val="96"/>
    <w:semiHidden/>
    <w:qFormat/>
    <w:uiPriority w:val="0"/>
    <w:rPr>
      <w:rFonts w:ascii="Times New Roman" w:hAnsi="Times New Roman"/>
      <w:b/>
      <w:bCs/>
      <w:kern w:val="0"/>
      <w:sz w:val="20"/>
      <w:szCs w:val="20"/>
    </w:rPr>
  </w:style>
  <w:style w:type="paragraph" w:styleId="50">
    <w:name w:val="Body Text First Indent"/>
    <w:basedOn w:val="21"/>
    <w:link w:val="91"/>
    <w:qFormat/>
    <w:uiPriority w:val="0"/>
    <w:pPr>
      <w:ind w:firstLine="420" w:firstLineChars="100"/>
    </w:pPr>
    <w:rPr>
      <w:kern w:val="0"/>
      <w:sz w:val="20"/>
      <w:szCs w:val="20"/>
    </w:rPr>
  </w:style>
  <w:style w:type="paragraph" w:styleId="51">
    <w:name w:val="Body Text First Indent 2"/>
    <w:basedOn w:val="22"/>
    <w:link w:val="81"/>
    <w:qFormat/>
    <w:uiPriority w:val="0"/>
    <w:pPr>
      <w:spacing w:after="120"/>
      <w:ind w:left="420" w:leftChars="200" w:firstLine="420"/>
    </w:pPr>
    <w:rPr>
      <w:szCs w:val="20"/>
    </w:rPr>
  </w:style>
  <w:style w:type="character" w:styleId="54">
    <w:name w:val="Strong"/>
    <w:qFormat/>
    <w:uiPriority w:val="0"/>
    <w:rPr>
      <w:rFonts w:ascii="Times New Roman" w:hAnsi="Times New Roman" w:eastAsia="宋体" w:cs="Times New Roman"/>
      <w:b/>
      <w:bCs/>
      <w:lang w:val="en-US" w:eastAsia="zh-CN" w:bidi="ar-SA"/>
    </w:rPr>
  </w:style>
  <w:style w:type="character" w:styleId="55">
    <w:name w:val="page number"/>
    <w:qFormat/>
    <w:uiPriority w:val="0"/>
    <w:rPr>
      <w:rFonts w:ascii="Times New Roman" w:hAnsi="Times New Roman" w:eastAsia="宋体" w:cs="Times New Roman"/>
      <w:lang w:val="en-US" w:eastAsia="zh-CN" w:bidi="ar-SA"/>
    </w:rPr>
  </w:style>
  <w:style w:type="character" w:styleId="56">
    <w:name w:val="Emphasis"/>
    <w:basedOn w:val="53"/>
    <w:qFormat/>
    <w:uiPriority w:val="20"/>
    <w:rPr>
      <w:rFonts w:ascii="Times New Roman" w:hAnsi="Times New Roman" w:eastAsia="宋体" w:cs="Times New Roman"/>
      <w:i/>
      <w:iCs/>
      <w:lang w:val="en-US" w:eastAsia="zh-CN" w:bidi="ar-SA"/>
    </w:rPr>
  </w:style>
  <w:style w:type="character" w:styleId="57">
    <w:name w:val="Hyperlink"/>
    <w:qFormat/>
    <w:uiPriority w:val="99"/>
    <w:rPr>
      <w:rFonts w:ascii="Times New Roman" w:hAnsi="Times New Roman" w:eastAsia="宋体" w:cs="Times New Roman"/>
      <w:color w:val="0000FF"/>
      <w:u w:val="single"/>
      <w:lang w:val="en-US" w:eastAsia="zh-CN" w:bidi="ar-SA"/>
    </w:rPr>
  </w:style>
  <w:style w:type="character" w:styleId="58">
    <w:name w:val="annotation reference"/>
    <w:semiHidden/>
    <w:qFormat/>
    <w:uiPriority w:val="0"/>
    <w:rPr>
      <w:rFonts w:ascii="Times New Roman" w:hAnsi="Times New Roman" w:eastAsia="宋体" w:cs="Times New Roman"/>
      <w:sz w:val="21"/>
      <w:szCs w:val="21"/>
      <w:lang w:val="en-US" w:eastAsia="zh-CN" w:bidi="ar-SA"/>
    </w:rPr>
  </w:style>
  <w:style w:type="character" w:customStyle="1" w:styleId="59">
    <w:name w:val="标题 1 Char"/>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link w:val="3"/>
    <w:qFormat/>
    <w:uiPriority w:val="0"/>
    <w:rPr>
      <w:rFonts w:ascii="Arial" w:hAnsi="Arial" w:eastAsia="宋体" w:cs="Times New Roman"/>
      <w:b/>
      <w:bCs/>
      <w:kern w:val="0"/>
      <w:sz w:val="28"/>
      <w:szCs w:val="32"/>
      <w:lang w:val="en-US" w:eastAsia="zh-CN" w:bidi="ar-SA"/>
    </w:rPr>
  </w:style>
  <w:style w:type="character" w:customStyle="1" w:styleId="61">
    <w:name w:val="标题 3 Char"/>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link w:val="5"/>
    <w:qFormat/>
    <w:uiPriority w:val="0"/>
    <w:rPr>
      <w:rFonts w:ascii="Arial" w:hAnsi="Arial" w:eastAsia="黑体" w:cs="Times New Roman"/>
      <w:b/>
      <w:bCs/>
      <w:kern w:val="0"/>
      <w:sz w:val="28"/>
      <w:szCs w:val="28"/>
      <w:lang w:val="en-US" w:eastAsia="zh-CN" w:bidi="ar-SA"/>
    </w:rPr>
  </w:style>
  <w:style w:type="character" w:customStyle="1" w:styleId="63">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link w:val="7"/>
    <w:qFormat/>
    <w:uiPriority w:val="0"/>
    <w:rPr>
      <w:rFonts w:ascii="Arial" w:hAnsi="Arial" w:eastAsia="黑体" w:cs="Times New Roman"/>
      <w:b/>
      <w:bCs/>
      <w:kern w:val="0"/>
      <w:sz w:val="24"/>
      <w:szCs w:val="24"/>
      <w:lang w:val="en-US" w:eastAsia="zh-CN" w:bidi="ar-SA"/>
    </w:rPr>
  </w:style>
  <w:style w:type="character" w:customStyle="1" w:styleId="65">
    <w:name w:val="标题 7 Char"/>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Char"/>
    <w:link w:val="9"/>
    <w:qFormat/>
    <w:uiPriority w:val="0"/>
    <w:rPr>
      <w:rFonts w:ascii="Arial" w:hAnsi="Arial" w:eastAsia="黑体" w:cs="Times New Roman"/>
      <w:kern w:val="0"/>
      <w:sz w:val="24"/>
      <w:szCs w:val="24"/>
      <w:lang w:val="en-US" w:eastAsia="zh-CN" w:bidi="ar-SA"/>
    </w:rPr>
  </w:style>
  <w:style w:type="character" w:customStyle="1" w:styleId="67">
    <w:name w:val="标题 9 Char"/>
    <w:link w:val="10"/>
    <w:qFormat/>
    <w:uiPriority w:val="0"/>
    <w:rPr>
      <w:rFonts w:ascii="Arial" w:hAnsi="Arial" w:eastAsia="黑体" w:cs="Times New Roman"/>
      <w:kern w:val="0"/>
      <w:sz w:val="20"/>
      <w:szCs w:val="21"/>
      <w:lang w:val="en-US" w:eastAsia="zh-CN" w:bidi="ar-SA"/>
    </w:rPr>
  </w:style>
  <w:style w:type="character" w:customStyle="1" w:styleId="68">
    <w:name w:val="页眉 Char"/>
    <w:link w:val="35"/>
    <w:qFormat/>
    <w:uiPriority w:val="0"/>
    <w:rPr>
      <w:rFonts w:ascii="Times New Roman" w:hAnsi="Times New Roman" w:eastAsia="宋体" w:cs="Times New Roman"/>
      <w:sz w:val="18"/>
      <w:szCs w:val="18"/>
      <w:lang w:val="en-US" w:eastAsia="zh-CN" w:bidi="ar-SA"/>
    </w:rPr>
  </w:style>
  <w:style w:type="character" w:customStyle="1" w:styleId="69">
    <w:name w:val="页脚 Char"/>
    <w:link w:val="34"/>
    <w:qFormat/>
    <w:uiPriority w:val="99"/>
    <w:rPr>
      <w:rFonts w:ascii="Times New Roman" w:hAnsi="Times New Roman" w:eastAsia="宋体" w:cs="Times New Roman"/>
      <w:sz w:val="18"/>
      <w:szCs w:val="18"/>
      <w:lang w:val="en-US" w:eastAsia="zh-CN" w:bidi="ar-SA"/>
    </w:rPr>
  </w:style>
  <w:style w:type="character" w:customStyle="1" w:styleId="70">
    <w:name w:val="访问过的超链接1"/>
    <w:unhideWhenUsed/>
    <w:qFormat/>
    <w:uiPriority w:val="99"/>
    <w:rPr>
      <w:rFonts w:ascii="Times New Roman" w:hAnsi="Times New Roman" w:eastAsia="宋体" w:cs="Times New Roman"/>
      <w:color w:val="800080"/>
      <w:u w:val="single"/>
      <w:lang w:val="en-US" w:eastAsia="zh-CN" w:bidi="ar-SA"/>
    </w:rPr>
  </w:style>
  <w:style w:type="character" w:customStyle="1" w:styleId="71">
    <w:name w:val="日期 Char"/>
    <w:link w:val="31"/>
    <w:uiPriority w:val="0"/>
    <w:rPr>
      <w:rFonts w:ascii="Times New Roman" w:hAnsi="Times New Roman" w:eastAsia="宋体" w:cs="Times New Roman"/>
      <w:kern w:val="0"/>
      <w:sz w:val="20"/>
      <w:szCs w:val="20"/>
      <w:lang w:val="en-US" w:eastAsia="zh-CN" w:bidi="ar-SA"/>
    </w:rPr>
  </w:style>
  <w:style w:type="character" w:customStyle="1" w:styleId="72">
    <w:name w:val="批注框文本 Char"/>
    <w:link w:val="33"/>
    <w:semiHidden/>
    <w:qFormat/>
    <w:uiPriority w:val="0"/>
    <w:rPr>
      <w:rFonts w:ascii="Times New Roman" w:hAnsi="Times New Roman" w:eastAsia="宋体" w:cs="Times New Roman"/>
      <w:kern w:val="0"/>
      <w:sz w:val="18"/>
      <w:szCs w:val="18"/>
      <w:lang w:val="en-US" w:eastAsia="zh-CN" w:bidi="ar-SA"/>
    </w:rPr>
  </w:style>
  <w:style w:type="character" w:customStyle="1" w:styleId="73">
    <w:name w:val="正文文本 2 Char"/>
    <w:link w:val="43"/>
    <w:qFormat/>
    <w:uiPriority w:val="0"/>
    <w:rPr>
      <w:rFonts w:ascii="Times New Roman" w:hAnsi="Times New Roman" w:eastAsia="宋体" w:cs="Times New Roman"/>
      <w:kern w:val="0"/>
      <w:sz w:val="20"/>
      <w:szCs w:val="20"/>
      <w:lang w:val="en-US" w:eastAsia="zh-CN" w:bidi="ar-SA"/>
    </w:rPr>
  </w:style>
  <w:style w:type="character" w:customStyle="1" w:styleId="74">
    <w:name w:val="文档结构图 Char"/>
    <w:link w:val="18"/>
    <w:qFormat/>
    <w:uiPriority w:val="0"/>
    <w:rPr>
      <w:rFonts w:ascii="Times New Roman" w:hAnsi="Times New Roman" w:eastAsia="宋体" w:cs="Times New Roman"/>
      <w:kern w:val="0"/>
      <w:sz w:val="20"/>
      <w:szCs w:val="20"/>
      <w:lang w:val="en-US" w:eastAsia="zh-CN" w:bidi="ar-SA"/>
    </w:rPr>
  </w:style>
  <w:style w:type="character" w:customStyle="1" w:styleId="75">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76">
    <w:name w:val="Char Char"/>
    <w:qFormat/>
    <w:uiPriority w:val="0"/>
    <w:rPr>
      <w:rFonts w:ascii="宋体" w:hAnsi="Courier New" w:eastAsia="宋体" w:cs="Courier New"/>
      <w:kern w:val="2"/>
      <w:sz w:val="21"/>
      <w:szCs w:val="21"/>
      <w:lang w:val="en-US" w:eastAsia="zh-CN" w:bidi="ar-SA"/>
    </w:rPr>
  </w:style>
  <w:style w:type="character" w:customStyle="1" w:styleId="77">
    <w:name w:val="纯文本 Char"/>
    <w:link w:val="29"/>
    <w:qFormat/>
    <w:uiPriority w:val="0"/>
    <w:rPr>
      <w:rFonts w:ascii="宋体" w:hAnsi="Courier New" w:eastAsia="宋体" w:cs="Times New Roman"/>
      <w:kern w:val="0"/>
      <w:sz w:val="20"/>
      <w:szCs w:val="21"/>
      <w:lang w:val="en-US" w:eastAsia="zh-CN" w:bidi="ar-SA"/>
    </w:rPr>
  </w:style>
  <w:style w:type="character" w:customStyle="1" w:styleId="7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9">
    <w:name w:val="Char Char3"/>
    <w:qFormat/>
    <w:uiPriority w:val="0"/>
    <w:rPr>
      <w:rFonts w:ascii="Times New Roman" w:hAnsi="Times New Roman" w:eastAsia="宋体" w:cs="Times New Roman"/>
      <w:kern w:val="2"/>
      <w:sz w:val="18"/>
      <w:szCs w:val="18"/>
      <w:lang w:val="en-US" w:eastAsia="zh-CN" w:bidi="ar-SA"/>
    </w:rPr>
  </w:style>
  <w:style w:type="character" w:customStyle="1" w:styleId="80">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81">
    <w:name w:val="正文首行缩进 2 Char"/>
    <w:link w:val="51"/>
    <w:qFormat/>
    <w:uiPriority w:val="0"/>
    <w:rPr>
      <w:rFonts w:ascii="Times New Roman" w:hAnsi="Times New Roman" w:eastAsia="宋体" w:cs="Times New Roman"/>
      <w:szCs w:val="20"/>
      <w:lang w:val="en-US" w:eastAsia="zh-CN" w:bidi="ar-SA"/>
    </w:rPr>
  </w:style>
  <w:style w:type="character" w:customStyle="1" w:styleId="82">
    <w:name w:val="正文文本缩进 Char"/>
    <w:link w:val="22"/>
    <w:qFormat/>
    <w:uiPriority w:val="0"/>
    <w:rPr>
      <w:rFonts w:ascii="宋体" w:hAnsi="宋体" w:eastAsia="宋体" w:cs="Times New Roman"/>
      <w:kern w:val="0"/>
      <w:sz w:val="28"/>
      <w:szCs w:val="28"/>
      <w:lang w:val="en-US" w:eastAsia="zh-CN" w:bidi="ar-SA"/>
    </w:rPr>
  </w:style>
  <w:style w:type="character" w:customStyle="1" w:styleId="83">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4">
    <w:name w:val="font71"/>
    <w:qFormat/>
    <w:uiPriority w:val="0"/>
    <w:rPr>
      <w:rFonts w:hint="eastAsia" w:ascii="宋体" w:hAnsi="宋体" w:eastAsia="宋体" w:cs="宋体"/>
      <w:color w:val="000000"/>
      <w:sz w:val="24"/>
      <w:szCs w:val="24"/>
      <w:u w:val="none"/>
      <w:lang w:val="en-US" w:eastAsia="zh-CN" w:bidi="ar-SA"/>
    </w:rPr>
  </w:style>
  <w:style w:type="character" w:customStyle="1" w:styleId="85">
    <w:name w:val="zbggmain style9"/>
    <w:qFormat/>
    <w:uiPriority w:val="0"/>
    <w:rPr>
      <w:rFonts w:ascii="Times New Roman" w:hAnsi="Times New Roman" w:eastAsia="宋体" w:cs="Times New Roman"/>
      <w:lang w:val="en-US" w:eastAsia="zh-CN" w:bidi="ar-SA"/>
    </w:rPr>
  </w:style>
  <w:style w:type="character" w:customStyle="1" w:styleId="86">
    <w:name w:val="正文文本 3 Char"/>
    <w:link w:val="20"/>
    <w:qFormat/>
    <w:uiPriority w:val="0"/>
    <w:rPr>
      <w:rFonts w:ascii="Times New Roman" w:hAnsi="Times New Roman" w:eastAsia="宋体" w:cs="Times New Roman"/>
      <w:kern w:val="0"/>
      <w:sz w:val="16"/>
      <w:szCs w:val="16"/>
      <w:lang w:val="en-US" w:eastAsia="zh-CN" w:bidi="ar-SA"/>
    </w:rPr>
  </w:style>
  <w:style w:type="character" w:customStyle="1" w:styleId="87">
    <w:name w:val="px1233"/>
    <w:qFormat/>
    <w:uiPriority w:val="0"/>
    <w:rPr>
      <w:rFonts w:ascii="Times New Roman" w:hAnsi="Times New Roman" w:eastAsia="宋体" w:cs="Times New Roman"/>
      <w:lang w:val="en-US" w:eastAsia="zh-CN" w:bidi="ar-SA"/>
    </w:rPr>
  </w:style>
  <w:style w:type="character" w:customStyle="1" w:styleId="88">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0"/>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link w:val="50"/>
    <w:qFormat/>
    <w:uiPriority w:val="0"/>
    <w:rPr>
      <w:rFonts w:ascii="Times New Roman" w:hAnsi="Times New Roman" w:eastAsia="宋体" w:cs="Times New Roman"/>
      <w:kern w:val="0"/>
      <w:sz w:val="20"/>
      <w:szCs w:val="20"/>
      <w:lang w:val="en-US" w:eastAsia="zh-CN" w:bidi="ar-SA"/>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ascii="Times New Roman" w:hAnsi="Times New Roman" w:eastAsia="宋体" w:cs="Times New Roman"/>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2"/>
    <w:qFormat/>
    <w:uiPriority w:val="0"/>
    <w:rPr>
      <w:rFonts w:ascii="Times New Roman" w:hAnsi="Times New Roman" w:eastAsia="宋体" w:cs="Times New Roman"/>
      <w:kern w:val="0"/>
      <w:sz w:val="20"/>
      <w:szCs w:val="20"/>
      <w:lang w:val="en-US" w:eastAsia="zh-CN" w:bidi="ar-SA"/>
    </w:rPr>
  </w:style>
  <w:style w:type="character" w:customStyle="1" w:styleId="96">
    <w:name w:val="批注主题 Char"/>
    <w:link w:val="49"/>
    <w:semiHidden/>
    <w:qFormat/>
    <w:uiPriority w:val="0"/>
    <w:rPr>
      <w:rFonts w:ascii="Times New Roman" w:hAnsi="Times New Roman" w:eastAsia="宋体" w:cs="Times New Roman"/>
      <w:b/>
      <w:bCs/>
      <w:kern w:val="0"/>
      <w:sz w:val="20"/>
      <w:szCs w:val="20"/>
      <w:lang w:val="en-US" w:eastAsia="zh-CN" w:bidi="ar-SA"/>
    </w:rPr>
  </w:style>
  <w:style w:type="character" w:customStyle="1" w:styleId="97">
    <w:name w:val="标题 Char"/>
    <w:link w:val="48"/>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szCs w:val="24"/>
    </w:rPr>
  </w:style>
  <w:style w:type="paragraph" w:customStyle="1" w:styleId="100">
    <w:name w:val="Char Char Char Char Char Char"/>
    <w:basedOn w:val="1"/>
    <w:qFormat/>
    <w:uiPriority w:val="0"/>
    <w:rPr>
      <w:rFonts w:ascii="Times New Roman" w:hAnsi="Times New Roman"/>
      <w:szCs w:val="24"/>
    </w:rPr>
  </w:style>
  <w:style w:type="character" w:customStyle="1" w:styleId="101">
    <w:name w:val="批注框文本 Char1"/>
    <w:semiHidden/>
    <w:qFormat/>
    <w:uiPriority w:val="99"/>
    <w:rPr>
      <w:rFonts w:ascii="Times New Roman" w:hAnsi="Times New Roman" w:eastAsia="宋体" w:cs="Times New Roman"/>
      <w:kern w:val="2"/>
      <w:sz w:val="18"/>
      <w:szCs w:val="18"/>
      <w:lang w:val="en-US" w:eastAsia="zh-CN" w:bidi="ar-SA"/>
    </w:rPr>
  </w:style>
  <w:style w:type="character" w:customStyle="1" w:styleId="102">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103">
    <w:name w:val="日期 Char1"/>
    <w:semiHidden/>
    <w:qFormat/>
    <w:uiPriority w:val="99"/>
    <w:rPr>
      <w:rFonts w:ascii="Times New Roman" w:hAnsi="Times New Roman" w:eastAsia="宋体" w:cs="Times New Roman"/>
      <w:kern w:val="2"/>
      <w:sz w:val="21"/>
      <w:szCs w:val="22"/>
      <w:lang w:val="en-US" w:eastAsia="zh-CN" w:bidi="ar-SA"/>
    </w:rPr>
  </w:style>
  <w:style w:type="character" w:customStyle="1" w:styleId="104">
    <w:name w:val="日期字符1"/>
    <w:semiHidden/>
    <w:qFormat/>
    <w:uiPriority w:val="99"/>
    <w:rPr>
      <w:rFonts w:ascii="Times New Roman" w:hAnsi="Times New Roman" w:eastAsia="宋体" w:cs="Times New Roman"/>
      <w:lang w:val="en-US" w:eastAsia="zh-CN" w:bidi="ar-SA"/>
    </w:rPr>
  </w:style>
  <w:style w:type="character" w:customStyle="1" w:styleId="105">
    <w:name w:val="纯文本 Char1"/>
    <w:semiHidden/>
    <w:qFormat/>
    <w:uiPriority w:val="99"/>
    <w:rPr>
      <w:rFonts w:ascii="宋体" w:hAnsi="Courier New" w:eastAsia="宋体" w:cs="Courier New"/>
      <w:kern w:val="2"/>
      <w:sz w:val="21"/>
      <w:szCs w:val="21"/>
      <w:lang w:val="en-US" w:eastAsia="zh-CN" w:bidi="ar-SA"/>
    </w:rPr>
  </w:style>
  <w:style w:type="character" w:customStyle="1" w:styleId="106">
    <w:name w:val="纯文本字符1"/>
    <w:semiHidden/>
    <w:qFormat/>
    <w:uiPriority w:val="99"/>
    <w:rPr>
      <w:rFonts w:ascii="宋体" w:hAnsi="Courier" w:eastAsia="宋体" w:cs="Times New Roman"/>
      <w:lang w:val="en-US" w:eastAsia="zh-CN" w:bidi="ar-SA"/>
    </w:rPr>
  </w:style>
  <w:style w:type="character" w:customStyle="1" w:styleId="107">
    <w:name w:val="批注文字 Char"/>
    <w:link w:val="19"/>
    <w:qFormat/>
    <w:uiPriority w:val="0"/>
    <w:rPr>
      <w:rFonts w:ascii="Times New Roman" w:hAnsi="Times New Roman" w:eastAsia="宋体" w:cs="Times New Roman"/>
      <w:sz w:val="24"/>
      <w:szCs w:val="24"/>
      <w:lang w:val="en-US" w:eastAsia="zh-CN" w:bidi="ar-SA"/>
    </w:rPr>
  </w:style>
  <w:style w:type="character" w:customStyle="1" w:styleId="108">
    <w:name w:val="批注主题 Char1"/>
    <w:semiHidden/>
    <w:qFormat/>
    <w:uiPriority w:val="99"/>
    <w:rPr>
      <w:rFonts w:ascii="Times New Roman" w:hAnsi="Times New Roman" w:eastAsia="宋体" w:cs="Times New Roman"/>
      <w:b/>
      <w:bCs/>
      <w:kern w:val="2"/>
      <w:sz w:val="24"/>
      <w:szCs w:val="24"/>
      <w:lang w:val="en-US" w:eastAsia="zh-CN" w:bidi="ar-SA"/>
    </w:rPr>
  </w:style>
  <w:style w:type="character" w:customStyle="1" w:styleId="109">
    <w:name w:val="批注主题字符1"/>
    <w:semiHidden/>
    <w:qFormat/>
    <w:uiPriority w:val="99"/>
    <w:rPr>
      <w:rFonts w:ascii="Times New Roman" w:hAnsi="Times New Roman" w:eastAsia="宋体" w:cs="Times New Roman"/>
      <w:b/>
      <w:bCs/>
      <w:kern w:val="2"/>
      <w:sz w:val="24"/>
      <w:szCs w:val="24"/>
      <w:lang w:val="en-US" w:eastAsia="zh-CN" w:bidi="ar-SA"/>
    </w:rPr>
  </w:style>
  <w:style w:type="paragraph" w:customStyle="1" w:styleId="110">
    <w:name w:val="Char Char Char Char"/>
    <w:basedOn w:val="1"/>
    <w:uiPriority w:val="0"/>
    <w:rPr>
      <w:rFonts w:ascii="Times New Roman" w:hAnsi="Times New Roman"/>
      <w:szCs w:val="24"/>
    </w:rPr>
  </w:style>
  <w:style w:type="character" w:customStyle="1" w:styleId="111">
    <w:name w:val="正文文本 Char"/>
    <w:link w:val="21"/>
    <w:qFormat/>
    <w:uiPriority w:val="0"/>
    <w:rPr>
      <w:rFonts w:ascii="Times New Roman" w:hAnsi="Times New Roman" w:eastAsia="宋体" w:cs="Times New Roman"/>
      <w:sz w:val="24"/>
      <w:szCs w:val="24"/>
      <w:lang w:val="en-US" w:eastAsia="zh-CN" w:bidi="ar-SA"/>
    </w:rPr>
  </w:style>
  <w:style w:type="character" w:customStyle="1" w:styleId="112">
    <w:name w:val="正文首行缩进 Char1"/>
    <w:basedOn w:val="111"/>
    <w:semiHidden/>
    <w:qFormat/>
    <w:uiPriority w:val="99"/>
    <w:rPr>
      <w:kern w:val="2"/>
      <w:sz w:val="24"/>
      <w:szCs w:val="24"/>
    </w:rPr>
  </w:style>
  <w:style w:type="character" w:customStyle="1" w:styleId="113">
    <w:name w:val="正文首行缩进字符1"/>
    <w:semiHidden/>
    <w:qFormat/>
    <w:uiPriority w:val="99"/>
    <w:rPr>
      <w:rFonts w:ascii="Times New Roman" w:hAnsi="Times New Roman" w:eastAsia="宋体" w:cs="Times New Roman"/>
      <w:kern w:val="2"/>
      <w:sz w:val="24"/>
      <w:szCs w:val="24"/>
      <w:lang w:val="en-US" w:eastAsia="zh-CN" w:bidi="ar-SA"/>
    </w:rPr>
  </w:style>
  <w:style w:type="character" w:customStyle="1" w:styleId="114">
    <w:name w:val="正文文本缩进 3 Char1"/>
    <w:semiHidden/>
    <w:qFormat/>
    <w:uiPriority w:val="99"/>
    <w:rPr>
      <w:rFonts w:ascii="Times New Roman" w:hAnsi="Times New Roman" w:eastAsia="宋体" w:cs="Times New Roman"/>
      <w:kern w:val="2"/>
      <w:sz w:val="16"/>
      <w:szCs w:val="16"/>
      <w:lang w:val="en-US" w:eastAsia="zh-CN" w:bidi="ar-SA"/>
    </w:rPr>
  </w:style>
  <w:style w:type="character" w:customStyle="1" w:styleId="115">
    <w:name w:val="正文文本缩进 3字符1"/>
    <w:semiHidden/>
    <w:qFormat/>
    <w:uiPriority w:val="99"/>
    <w:rPr>
      <w:rFonts w:ascii="Times New Roman" w:hAnsi="Times New Roman" w:eastAsia="宋体" w:cs="Times New Roman"/>
      <w:sz w:val="16"/>
      <w:szCs w:val="16"/>
      <w:lang w:val="en-US" w:eastAsia="zh-CN" w:bidi="ar-SA"/>
    </w:rPr>
  </w:style>
  <w:style w:type="paragraph" w:customStyle="1" w:styleId="116">
    <w:name w:val="p0"/>
    <w:basedOn w:val="1"/>
    <w:qFormat/>
    <w:uiPriority w:val="0"/>
    <w:pPr>
      <w:widowControl/>
    </w:pPr>
    <w:rPr>
      <w:rFonts w:ascii="Times New Roman" w:hAnsi="Times New Roman"/>
      <w:kern w:val="0"/>
      <w:szCs w:val="21"/>
    </w:rPr>
  </w:style>
  <w:style w:type="character" w:customStyle="1" w:styleId="117">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118">
    <w:name w:val="文档结构图 字符1"/>
    <w:semiHidden/>
    <w:qFormat/>
    <w:uiPriority w:val="99"/>
    <w:rPr>
      <w:rFonts w:ascii="Heiti SC Light" w:hAnsi="Times New Roman" w:eastAsia="Heiti SC Light" w:cs="Times New Roman"/>
      <w:lang w:val="en-US" w:eastAsia="zh-CN" w:bidi="ar-SA"/>
    </w:rPr>
  </w:style>
  <w:style w:type="character" w:customStyle="1" w:styleId="119">
    <w:name w:val="正文文本 3 Char1"/>
    <w:semiHidden/>
    <w:qFormat/>
    <w:uiPriority w:val="99"/>
    <w:rPr>
      <w:rFonts w:ascii="Times New Roman" w:hAnsi="Times New Roman" w:eastAsia="宋体" w:cs="Times New Roman"/>
      <w:kern w:val="2"/>
      <w:sz w:val="16"/>
      <w:szCs w:val="16"/>
      <w:lang w:val="en-US" w:eastAsia="zh-CN" w:bidi="ar-SA"/>
    </w:rPr>
  </w:style>
  <w:style w:type="character" w:customStyle="1" w:styleId="120">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121">
    <w:name w:val="正文文本缩进 Char1"/>
    <w:semiHidden/>
    <w:qFormat/>
    <w:uiPriority w:val="99"/>
    <w:rPr>
      <w:rFonts w:ascii="Times New Roman" w:hAnsi="Times New Roman" w:eastAsia="宋体" w:cs="Times New Roman"/>
      <w:kern w:val="2"/>
      <w:sz w:val="21"/>
      <w:szCs w:val="22"/>
      <w:lang w:val="en-US" w:eastAsia="zh-CN" w:bidi="ar-SA"/>
    </w:rPr>
  </w:style>
  <w:style w:type="character" w:customStyle="1" w:styleId="122">
    <w:name w:val="正文文本缩进字符1"/>
    <w:semiHidden/>
    <w:qFormat/>
    <w:uiPriority w:val="99"/>
    <w:rPr>
      <w:rFonts w:ascii="Times New Roman" w:hAnsi="Times New Roman" w:eastAsia="宋体" w:cs="Times New Roman"/>
      <w:lang w:val="en-US" w:eastAsia="zh-CN" w:bidi="ar-SA"/>
    </w:rPr>
  </w:style>
  <w:style w:type="character" w:customStyle="1" w:styleId="123">
    <w:name w:val="正文文本缩进 2 Char1"/>
    <w:semiHidden/>
    <w:qFormat/>
    <w:uiPriority w:val="99"/>
    <w:rPr>
      <w:rFonts w:ascii="Times New Roman" w:hAnsi="Times New Roman" w:eastAsia="宋体" w:cs="Times New Roman"/>
      <w:kern w:val="2"/>
      <w:sz w:val="21"/>
      <w:szCs w:val="22"/>
      <w:lang w:val="en-US" w:eastAsia="zh-CN" w:bidi="ar-SA"/>
    </w:rPr>
  </w:style>
  <w:style w:type="character" w:customStyle="1" w:styleId="124">
    <w:name w:val="正文文本缩进 2字符1"/>
    <w:semiHidden/>
    <w:qFormat/>
    <w:uiPriority w:val="99"/>
    <w:rPr>
      <w:rFonts w:ascii="Times New Roman" w:hAnsi="Times New Roman" w:eastAsia="宋体" w:cs="Times New Roman"/>
      <w:lang w:val="en-US" w:eastAsia="zh-CN" w:bidi="ar-SA"/>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页脚字符1"/>
    <w:semiHidden/>
    <w:qFormat/>
    <w:uiPriority w:val="99"/>
    <w:rPr>
      <w:rFonts w:ascii="Times New Roman" w:hAnsi="Times New Roman" w:eastAsia="宋体" w:cs="Times New Roman"/>
      <w:sz w:val="18"/>
      <w:szCs w:val="18"/>
      <w:lang w:val="en-US" w:eastAsia="zh-CN" w:bidi="ar-SA"/>
    </w:rPr>
  </w:style>
  <w:style w:type="character" w:customStyle="1" w:styleId="128">
    <w:name w:val="正文首行缩进 2 Char1"/>
    <w:basedOn w:val="121"/>
    <w:semiHidden/>
    <w:qFormat/>
    <w:uiPriority w:val="99"/>
    <w:rPr>
      <w:kern w:val="2"/>
      <w:sz w:val="21"/>
      <w:szCs w:val="22"/>
    </w:rPr>
  </w:style>
  <w:style w:type="character" w:customStyle="1" w:styleId="129">
    <w:name w:val="正文首行缩进 2字符1"/>
    <w:semiHidden/>
    <w:qFormat/>
    <w:uiPriority w:val="99"/>
    <w:rPr>
      <w:rFonts w:ascii="Times New Roman" w:hAnsi="Times New Roman" w:eastAsia="宋体" w:cs="Times New Roman"/>
      <w:lang w:val="en-US" w:eastAsia="zh-CN" w:bidi="ar-SA"/>
    </w:rPr>
  </w:style>
  <w:style w:type="character" w:customStyle="1" w:styleId="130">
    <w:name w:val="页眉字符1"/>
    <w:semiHidden/>
    <w:qFormat/>
    <w:uiPriority w:val="99"/>
    <w:rPr>
      <w:rFonts w:ascii="Times New Roman" w:hAnsi="Times New Roman" w:eastAsia="宋体" w:cs="Times New Roman"/>
      <w:sz w:val="18"/>
      <w:szCs w:val="18"/>
      <w:lang w:val="en-US" w:eastAsia="zh-CN" w:bidi="ar-SA"/>
    </w:rPr>
  </w:style>
  <w:style w:type="character" w:customStyle="1" w:styleId="131">
    <w:name w:val="正文文本 2 Char1"/>
    <w:semiHidden/>
    <w:qFormat/>
    <w:uiPriority w:val="99"/>
    <w:rPr>
      <w:rFonts w:ascii="Times New Roman" w:hAnsi="Times New Roman" w:eastAsia="宋体" w:cs="Times New Roman"/>
      <w:kern w:val="2"/>
      <w:sz w:val="21"/>
      <w:szCs w:val="22"/>
      <w:lang w:val="en-US" w:eastAsia="zh-CN" w:bidi="ar-SA"/>
    </w:rPr>
  </w:style>
  <w:style w:type="character" w:customStyle="1" w:styleId="132">
    <w:name w:val="正文文本 2字符1"/>
    <w:semiHidden/>
    <w:qFormat/>
    <w:uiPriority w:val="99"/>
    <w:rPr>
      <w:rFonts w:ascii="Times New Roman" w:hAnsi="Times New Roman" w:eastAsia="宋体" w:cs="Times New Roman"/>
      <w:lang w:val="en-US" w:eastAsia="zh-CN" w:bidi="ar-SA"/>
    </w:rPr>
  </w:style>
  <w:style w:type="character" w:customStyle="1" w:styleId="133">
    <w:name w:val="标题 Char1"/>
    <w:qFormat/>
    <w:uiPriority w:val="10"/>
    <w:rPr>
      <w:rFonts w:ascii="Cambria" w:hAnsi="Cambria" w:eastAsia="宋体" w:cs="Times New Roman"/>
      <w:b/>
      <w:bCs/>
      <w:kern w:val="2"/>
      <w:sz w:val="32"/>
      <w:szCs w:val="32"/>
      <w:lang w:val="en-US" w:eastAsia="zh-CN" w:bidi="ar-SA"/>
    </w:rPr>
  </w:style>
  <w:style w:type="character" w:customStyle="1" w:styleId="134">
    <w:name w:val="标题字符1"/>
    <w:qFormat/>
    <w:uiPriority w:val="10"/>
    <w:rPr>
      <w:rFonts w:ascii="Cambria" w:hAnsi="Cambria" w:eastAsia="宋体" w:cs="Times New Roman"/>
      <w:b/>
      <w:bCs/>
      <w:sz w:val="32"/>
      <w:szCs w:val="32"/>
      <w:lang w:val="en-US" w:eastAsia="zh-CN" w:bidi="ar-SA"/>
    </w:rPr>
  </w:style>
  <w:style w:type="paragraph" w:customStyle="1" w:styleId="135">
    <w:name w:val="列出段落1"/>
    <w:basedOn w:val="1"/>
    <w:unhideWhenUsed/>
    <w:qFormat/>
    <w:uiPriority w:val="99"/>
    <w:pPr>
      <w:ind w:firstLine="420" w:firstLineChars="200"/>
    </w:pPr>
  </w:style>
  <w:style w:type="paragraph" w:customStyle="1" w:styleId="136">
    <w:name w:val="图表标题"/>
    <w:basedOn w:val="1"/>
    <w:next w:val="21"/>
    <w:qFormat/>
    <w:uiPriority w:val="0"/>
    <w:rPr>
      <w:rFonts w:ascii="Times New Roman" w:hAnsi="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38">
    <w:name w:val="Char"/>
    <w:basedOn w:val="1"/>
    <w:qFormat/>
    <w:uiPriority w:val="0"/>
    <w:rPr>
      <w:rFonts w:ascii="仿宋_GB2312" w:hAnsi="Times New Roman" w:eastAsia="仿宋_GB2312"/>
      <w:b/>
      <w:sz w:val="32"/>
      <w:szCs w:val="32"/>
    </w:rPr>
  </w:style>
  <w:style w:type="paragraph" w:customStyle="1" w:styleId="139">
    <w:name w:val="Char4 Char Char Char"/>
    <w:basedOn w:val="18"/>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sz w:val="24"/>
      <w:szCs w:val="20"/>
    </w:rPr>
  </w:style>
  <w:style w:type="paragraph" w:customStyle="1" w:styleId="141">
    <w:name w:val="Char Char Char"/>
    <w:basedOn w:val="1"/>
    <w:qFormat/>
    <w:uiPriority w:val="0"/>
    <w:pPr>
      <w:ind w:firstLine="360" w:firstLineChars="150"/>
    </w:pPr>
    <w:rPr>
      <w:rFonts w:ascii="Tahoma" w:hAnsi="Tahoma"/>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21"/>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50">
    <w:name w:val="1"/>
    <w:basedOn w:val="1"/>
    <w:qFormat/>
    <w:uiPriority w:val="0"/>
    <w:rPr>
      <w:rFonts w:ascii="仿宋_GB2312" w:hAnsi="Times New Roman" w:eastAsia="仿宋_GB2312"/>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153">
    <w:name w:val="Char Char Char1"/>
    <w:basedOn w:val="1"/>
    <w:qFormat/>
    <w:uiPriority w:val="0"/>
    <w:rPr>
      <w:rFonts w:ascii="仿宋_GB2312" w:hAnsi="Times New Roman" w:eastAsia="仿宋_GB2312"/>
      <w:b/>
      <w:sz w:val="32"/>
      <w:szCs w:val="32"/>
    </w:rPr>
  </w:style>
  <w:style w:type="paragraph" w:customStyle="1" w:styleId="1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6137</Words>
  <Characters>34982</Characters>
  <Lines>291</Lines>
  <Paragraphs>82</Paragraphs>
  <TotalTime>13</TotalTime>
  <ScaleCrop>false</ScaleCrop>
  <LinksUpToDate>false</LinksUpToDate>
  <CharactersWithSpaces>41037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2019-04-12T05:48:00Z</dcterms:created>
  <dc:creator>俞楚石</dc:creator>
  <cp:lastModifiedBy>贾思勰</cp:lastModifiedBy>
  <cp:lastPrinted>2019-05-29T02:10:00Z</cp:lastPrinted>
  <dcterms:modified xsi:type="dcterms:W3CDTF">2019-08-09T08:18:48Z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