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航站楼智能导视系统采购项目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lang w:val="en-US" w:eastAsia="zh-CN"/>
        </w:rPr>
        <w:t>8</w:t>
      </w:r>
      <w:r>
        <w:rPr>
          <w:rFonts w:ascii="Calibri" w:hAnsi="Calibri" w:eastAsia="黑体" w:cs="Calibri"/>
          <w:sz w:val="32"/>
          <w:szCs w:val="32"/>
        </w:rPr>
        <w:t>月</w:t>
      </w:r>
    </w:p>
    <w:p>
      <w:pPr>
        <w:pStyle w:val="19"/>
        <w:spacing w:line="480" w:lineRule="auto"/>
        <w:rPr>
          <w:rFonts w:ascii="Calibri" w:hAnsi="Calibri" w:eastAsia="黑体" w:cs="Calibri"/>
          <w:sz w:val="32"/>
          <w:szCs w:val="32"/>
        </w:rPr>
      </w:pPr>
    </w:p>
    <w:p>
      <w:pPr>
        <w:pStyle w:val="86"/>
        <w:ind w:firstLine="0" w:firstLineChars="0"/>
        <w:rPr>
          <w:rFonts w:ascii="Calibri" w:hAnsi="Calibri" w:eastAsia="楷体_GB2312" w:cs="Calibri"/>
          <w:kern w:val="0"/>
          <w:sz w:val="24"/>
          <w:szCs w:val="24"/>
          <w:u w:val="single"/>
        </w:rPr>
      </w:pPr>
      <w:bookmarkStart w:id="3" w:name="_Toc386359390"/>
      <w:bookmarkStart w:id="4" w:name="_Toc349007685"/>
      <w:bookmarkStart w:id="5" w:name="_Toc349011855"/>
      <w:bookmarkStart w:id="6" w:name="_Toc386363314"/>
    </w:p>
    <w:p>
      <w:pPr>
        <w:pStyle w:val="86"/>
        <w:ind w:firstLine="0" w:firstLineChars="0"/>
        <w:rPr>
          <w:rFonts w:ascii="Calibri" w:hAnsi="Calibri" w:eastAsia="楷体_GB2312" w:cs="Calibri"/>
          <w:kern w:val="0"/>
          <w:sz w:val="24"/>
          <w:szCs w:val="24"/>
          <w:u w:val="single"/>
        </w:rPr>
      </w:pPr>
    </w:p>
    <w:p>
      <w:pPr>
        <w:pStyle w:val="86"/>
        <w:ind w:firstLine="0" w:firstLineChars="0"/>
        <w:rPr>
          <w:rFonts w:ascii="Calibri" w:hAnsi="Calibri" w:eastAsia="楷体_GB2312" w:cs="Calibri"/>
          <w:kern w:val="0"/>
          <w:sz w:val="24"/>
          <w:szCs w:val="24"/>
          <w:u w:val="single"/>
        </w:rPr>
      </w:pPr>
    </w:p>
    <w:p>
      <w:pPr>
        <w:pStyle w:val="86"/>
        <w:ind w:firstLine="0" w:firstLineChars="0"/>
      </w:pPr>
    </w:p>
    <w:p>
      <w:pPr>
        <w:pStyle w:val="27"/>
        <w:rPr>
          <w:rFonts w:ascii="Calibri" w:hAnsi="Calibri" w:cs="Calibri"/>
          <w:b/>
          <w:sz w:val="44"/>
        </w:rPr>
      </w:pPr>
      <w:bookmarkStart w:id="7" w:name="_Toc9351378"/>
      <w:bookmarkStart w:id="8" w:name="_Toc448002981"/>
      <w:bookmarkStart w:id="9" w:name="_Toc478453289"/>
      <w:bookmarkStart w:id="10" w:name="_Toc444173456"/>
      <w:bookmarkStart w:id="11" w:name="_Toc400369182"/>
      <w:bookmarkStart w:id="12" w:name="_Toc444811406"/>
      <w:bookmarkStart w:id="13" w:name="_Toc444174976"/>
      <w:r>
        <w:rPr>
          <w:rFonts w:ascii="Calibri" w:cs="Calibri"/>
          <w:b/>
          <w:sz w:val="44"/>
        </w:rPr>
        <w:t>目录</w:t>
      </w:r>
      <w:bookmarkEnd w:id="3"/>
      <w:bookmarkEnd w:id="4"/>
      <w:bookmarkEnd w:id="5"/>
      <w:bookmarkEnd w:id="6"/>
      <w:bookmarkEnd w:id="7"/>
      <w:bookmarkEnd w:id="8"/>
      <w:bookmarkEnd w:id="9"/>
      <w:bookmarkEnd w:id="10"/>
      <w:bookmarkEnd w:id="11"/>
      <w:bookmarkEnd w:id="12"/>
      <w:bookmarkEnd w:id="13"/>
    </w:p>
    <w:p>
      <w:pPr>
        <w:pStyle w:val="27"/>
        <w:rPr>
          <w:rFonts w:ascii="等线" w:hAnsi="等线" w:eastAsia="等线"/>
          <w:bCs w:val="0"/>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27"/>
        <w:rPr>
          <w:rFonts w:ascii="等线" w:hAnsi="等线" w:eastAsia="等线"/>
          <w:bCs w:val="0"/>
          <w:kern w:val="2"/>
          <w:szCs w:val="22"/>
        </w:rPr>
      </w:pPr>
      <w:r>
        <w:fldChar w:fldCharType="begin"/>
      </w:r>
      <w:r>
        <w:instrText xml:space="preserve"> HYPERLINK \l "_Toc9351379" </w:instrText>
      </w:r>
      <w:r>
        <w:fldChar w:fldCharType="separate"/>
      </w:r>
      <w:r>
        <w:rPr>
          <w:rStyle w:val="52"/>
          <w:rFonts w:eastAsia="黑体" w:cs="Calibri"/>
          <w:kern w:val="0"/>
        </w:rPr>
        <w:t>第一章招标公告</w:t>
      </w:r>
      <w:r>
        <w:tab/>
      </w:r>
      <w:r>
        <w:fldChar w:fldCharType="begin"/>
      </w:r>
      <w:r>
        <w:instrText xml:space="preserve"> PAGEREF _Toc9351379 \h </w:instrText>
      </w:r>
      <w:r>
        <w:fldChar w:fldCharType="separate"/>
      </w:r>
      <w:r>
        <w:t>3</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"_Toc9351380" </w:instrText>
      </w:r>
      <w:r>
        <w:fldChar w:fldCharType="separate"/>
      </w:r>
      <w:r>
        <w:rPr>
          <w:rStyle w:val="52"/>
          <w:rFonts w:eastAsia="黑体" w:cs="Calibri"/>
          <w:kern w:val="0"/>
        </w:rPr>
        <w:t>第二章投标人须知</w:t>
      </w:r>
      <w:r>
        <w:tab/>
      </w:r>
      <w:r>
        <w:fldChar w:fldCharType="begin"/>
      </w:r>
      <w:r>
        <w:instrText xml:space="preserve"> PAGEREF _Toc9351380 \h </w:instrText>
      </w:r>
      <w:r>
        <w:fldChar w:fldCharType="separate"/>
      </w:r>
      <w:r>
        <w:t>5</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"_Toc9351381" </w:instrText>
      </w:r>
      <w:r>
        <w:fldChar w:fldCharType="separate"/>
      </w:r>
      <w:r>
        <w:rPr>
          <w:rStyle w:val="52"/>
          <w:rFonts w:hAnsi="Arial" w:eastAsia="黑体" w:cs="Calibri"/>
        </w:rPr>
        <w:t>投标人须知前附表</w:t>
      </w:r>
      <w:r>
        <w:tab/>
      </w:r>
      <w:r>
        <w:fldChar w:fldCharType="begin"/>
      </w:r>
      <w:r>
        <w:instrText xml:space="preserve"> PAGEREF _Toc9351381 \h </w:instrText>
      </w:r>
      <w:r>
        <w:fldChar w:fldCharType="separate"/>
      </w:r>
      <w:r>
        <w:t>5</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"_Toc9351382" </w:instrText>
      </w:r>
      <w:r>
        <w:fldChar w:fldCharType="separate"/>
      </w:r>
      <w:r>
        <w:rPr>
          <w:rStyle w:val="52"/>
          <w:rFonts w:eastAsia="黑体" w:cs="Calibri"/>
          <w:kern w:val="0"/>
        </w:rPr>
        <w:t>第三章货物需求一览表及技术规格</w:t>
      </w:r>
      <w:r>
        <w:tab/>
      </w:r>
      <w:r>
        <w:fldChar w:fldCharType="begin"/>
      </w:r>
      <w:r>
        <w:instrText xml:space="preserve"> PAGEREF _Toc9351382 \h </w:instrText>
      </w:r>
      <w:r>
        <w:fldChar w:fldCharType="separate"/>
      </w:r>
      <w:r>
        <w:t>14</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"_Toc9351383" </w:instrText>
      </w:r>
      <w:r>
        <w:fldChar w:fldCharType="separate"/>
      </w:r>
      <w:r>
        <w:rPr>
          <w:rStyle w:val="52"/>
          <w:rFonts w:eastAsia="黑体" w:cs="Calibri"/>
          <w:kern w:val="0"/>
        </w:rPr>
        <w:t>第四章合同条款</w:t>
      </w:r>
      <w:r>
        <w:tab/>
      </w:r>
      <w:r>
        <w:fldChar w:fldCharType="begin"/>
      </w:r>
      <w:r>
        <w:instrText xml:space="preserve"> PAGEREF _Toc9351383 \h </w:instrText>
      </w:r>
      <w:r>
        <w:fldChar w:fldCharType="separate"/>
      </w:r>
      <w:r>
        <w:t>18</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"_Toc9351393" </w:instrText>
      </w:r>
      <w:r>
        <w:fldChar w:fldCharType="separate"/>
      </w:r>
      <w:r>
        <w:rPr>
          <w:rStyle w:val="52"/>
          <w:rFonts w:eastAsia="黑体" w:cs="Calibri"/>
          <w:kern w:val="0"/>
        </w:rPr>
        <w:t>第五章评标方法及标准</w:t>
      </w:r>
      <w:r>
        <w:tab/>
      </w:r>
      <w:r>
        <w:fldChar w:fldCharType="begin"/>
      </w:r>
      <w:r>
        <w:instrText xml:space="preserve"> PAGEREF _Toc9351393 \h </w:instrText>
      </w:r>
      <w:r>
        <w:fldChar w:fldCharType="separate"/>
      </w:r>
      <w:r>
        <w:t>24</w:t>
      </w:r>
      <w:r>
        <w:fldChar w:fldCharType="end"/>
      </w:r>
      <w:r>
        <w:fldChar w:fldCharType="end"/>
      </w:r>
    </w:p>
    <w:p>
      <w:pPr>
        <w:pStyle w:val="27"/>
        <w:rPr>
          <w:rFonts w:ascii="等线" w:hAnsi="等线" w:eastAsia="等线"/>
          <w:bCs w:val="0"/>
          <w:kern w:val="2"/>
          <w:szCs w:val="22"/>
        </w:rPr>
      </w:pPr>
      <w:r>
        <w:fldChar w:fldCharType="begin"/>
      </w:r>
      <w:r>
        <w:instrText xml:space="preserve"> HYPERLINK \l "_Toc9351394" </w:instrText>
      </w:r>
      <w:r>
        <w:fldChar w:fldCharType="separate"/>
      </w:r>
      <w:r>
        <w:rPr>
          <w:rStyle w:val="52"/>
          <w:rFonts w:eastAsia="黑体" w:cs="Calibri"/>
          <w:kern w:val="0"/>
        </w:rPr>
        <w:t>第六章投标文件格式</w:t>
      </w:r>
      <w:r>
        <w:tab/>
      </w:r>
      <w:r>
        <w:fldChar w:fldCharType="begin"/>
      </w:r>
      <w:r>
        <w:instrText xml:space="preserve"> PAGEREF _Toc9351394 \h </w:instrText>
      </w:r>
      <w:r>
        <w:fldChar w:fldCharType="separate"/>
      </w:r>
      <w:r>
        <w:t>26</w:t>
      </w:r>
      <w:r>
        <w:fldChar w:fldCharType="end"/>
      </w:r>
      <w: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24932"/>
      <w:bookmarkStart w:id="15" w:name="_Toc8110"/>
      <w:bookmarkStart w:id="16" w:name="_Toc24784"/>
      <w:bookmarkStart w:id="17" w:name="_Toc7641"/>
      <w:bookmarkStart w:id="18" w:name="_Toc6832"/>
      <w:bookmarkStart w:id="19" w:name="_Toc14628"/>
      <w:bookmarkStart w:id="20" w:name="_Toc6581"/>
      <w:bookmarkStart w:id="21" w:name="_Toc18642"/>
      <w:bookmarkStart w:id="22" w:name="_Toc22293"/>
      <w:bookmarkStart w:id="23" w:name="_Toc9351379"/>
      <w:bookmarkStart w:id="24" w:name="_Toc248766631"/>
      <w:bookmarkStart w:id="25" w:name="_Toc249322950"/>
      <w:r>
        <w:rPr>
          <w:rFonts w:ascii="Calibri" w:eastAsia="黑体" w:cs="Calibri"/>
          <w:kern w:val="0"/>
          <w:sz w:val="32"/>
        </w:rPr>
        <w:t>第一章</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bookmarkStart w:id="74" w:name="_GoBack"/>
      <w:r>
        <w:rPr>
          <w:rFonts w:hint="eastAsia" w:ascii="Arial" w:hAnsi="Arial" w:cs="Arial"/>
          <w:b/>
          <w:bCs/>
          <w:kern w:val="0"/>
          <w:sz w:val="22"/>
        </w:rPr>
        <w:t>一、招标范围及内容</w:t>
      </w:r>
    </w:p>
    <w:p>
      <w:pPr>
        <w:widowControl/>
        <w:snapToGrid w:val="0"/>
        <w:spacing w:line="340" w:lineRule="exact"/>
        <w:ind w:firstLine="440" w:firstLineChars="200"/>
        <w:jc w:val="left"/>
        <w:rPr>
          <w:rFonts w:ascii="Arial" w:hAnsi="Arial" w:cs="Arial"/>
          <w:bCs/>
          <w:kern w:val="0"/>
          <w:sz w:val="22"/>
        </w:rPr>
      </w:pPr>
      <w:r>
        <w:rPr>
          <w:rFonts w:hint="eastAsia" w:ascii="Arial" w:hAnsi="Arial" w:cs="Arial"/>
          <w:bCs/>
          <w:kern w:val="0"/>
          <w:sz w:val="22"/>
        </w:rPr>
        <w:t>杭州萧山国际机场有限公司航站楼智能导视系统一套（含需求分析、系统设计、开发、接口开发、实施、培训、运营和售后服务等）；</w:t>
      </w:r>
    </w:p>
    <w:p>
      <w:pPr>
        <w:widowControl/>
        <w:snapToGrid w:val="0"/>
        <w:spacing w:line="340" w:lineRule="exact"/>
        <w:ind w:firstLine="440" w:firstLineChars="200"/>
        <w:jc w:val="left"/>
        <w:rPr>
          <w:rFonts w:ascii="Arial" w:hAnsi="Arial" w:cs="Arial"/>
          <w:bCs/>
          <w:kern w:val="0"/>
          <w:sz w:val="22"/>
        </w:rPr>
      </w:pPr>
      <w:r>
        <w:rPr>
          <w:rFonts w:hint="eastAsia" w:ascii="Arial" w:hAnsi="Arial" w:cs="Arial"/>
          <w:bCs/>
          <w:kern w:val="0"/>
          <w:sz w:val="22"/>
        </w:rPr>
        <w:t>本项目中标方为航站楼智能导视系统的集成商，全面负责系统软硬件的调试安装，</w:t>
      </w:r>
      <w:r>
        <w:rPr>
          <w:rFonts w:ascii="Arial" w:hAnsi="Arial" w:cs="Arial"/>
          <w:bCs/>
          <w:kern w:val="0"/>
          <w:sz w:val="22"/>
        </w:rPr>
        <w:t>按甲方要求保质保量做好项目建设。中标方负责处理本项目总体进度与协调工作，包括硬件服务器采购、软件程序的部署及相关数据接口的开发对接。</w:t>
      </w:r>
    </w:p>
    <w:p>
      <w:pPr>
        <w:widowControl/>
        <w:snapToGrid w:val="0"/>
        <w:spacing w:line="340" w:lineRule="exact"/>
        <w:jc w:val="left"/>
        <w:rPr>
          <w:rFonts w:ascii="宋体" w:hAnsi="宋体" w:cs="Arial"/>
          <w:b/>
          <w:bCs/>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（1）具有独立法人资格，持有有效营业执照，注册资金不少于人民币</w:t>
      </w:r>
      <w:r>
        <w:rPr>
          <w:rFonts w:hint="eastAsia" w:ascii="宋体" w:hAnsi="宋体" w:cs="Arial"/>
          <w:kern w:val="0"/>
          <w:sz w:val="22"/>
          <w:lang w:val="en-US" w:eastAsia="zh-CN"/>
        </w:rPr>
        <w:t>300</w:t>
      </w:r>
      <w:r>
        <w:rPr>
          <w:rFonts w:hint="eastAsia" w:ascii="宋体" w:hAnsi="宋体" w:cs="Arial"/>
          <w:kern w:val="0"/>
          <w:sz w:val="22"/>
        </w:rPr>
        <w:t>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hint="eastAsia" w:ascii="宋体" w:hAnsi="宋体" w:cs="Arial"/>
          <w:kern w:val="0"/>
          <w:sz w:val="22"/>
          <w:lang w:val="en-US" w:eastAsia="zh-CN"/>
        </w:rPr>
        <w:t>6</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公示期间发现中标候选人在投标截止日前存在行贿犯罪记录的，招标人将依法取消其中标资格，并有权没收投标保证金。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公示期间发现中标候选人不具有一般纳税人资格，招标人将依法取消其中标资格，并有权没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（5）近年（201</w:t>
      </w:r>
      <w:r>
        <w:rPr>
          <w:rFonts w:hint="eastAsia" w:ascii="宋体" w:hAnsi="宋体" w:cs="Arial"/>
          <w:kern w:val="0"/>
          <w:sz w:val="22"/>
          <w:lang w:val="en-US" w:eastAsia="zh-CN"/>
        </w:rPr>
        <w:t>6</w:t>
      </w:r>
      <w:r>
        <w:rPr>
          <w:rFonts w:hint="eastAsia" w:ascii="宋体" w:hAnsi="宋体" w:cs="Arial"/>
          <w:kern w:val="0"/>
          <w:sz w:val="22"/>
        </w:rPr>
        <w:t>年1月1日起至投标截止日）至少具有一个50万以上软件开发、实施案例业绩，需提供中标通知书或合同复印件并加盖投标人公章作为证明材料，原件备查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w:t>
      </w:r>
      <w:r>
        <w:rPr>
          <w:rFonts w:ascii="宋体" w:hAnsi="宋体" w:cs="Arial"/>
          <w:kern w:val="0"/>
          <w:sz w:val="22"/>
        </w:rPr>
        <w:fldChar w:fldCharType="end"/>
      </w:r>
      <w:r>
        <w:rPr>
          <w:rFonts w:hint="eastAsia" w:ascii="宋体" w:hAnsi="宋体" w:cs="Arial"/>
          <w:kern w:val="0"/>
          <w:sz w:val="22"/>
        </w:rPr>
        <w:t>招标公告页面自行下载招标文件。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2019年9月2日上午9时30分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2019年9月2日上午9时30分（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2019年9月2日上午9时30分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 阮工        联系电话：0</w:t>
      </w:r>
      <w:r>
        <w:rPr>
          <w:rFonts w:ascii="宋体" w:hAnsi="宋体"/>
          <w:bCs/>
          <w:sz w:val="22"/>
        </w:rPr>
        <w:t>571-86662133</w:t>
      </w:r>
    </w:p>
    <w:bookmarkEnd w:id="74"/>
    <w:p>
      <w:pPr>
        <w:pStyle w:val="2"/>
        <w:spacing w:before="0" w:after="0" w:line="360" w:lineRule="auto"/>
        <w:jc w:val="center"/>
        <w:rPr>
          <w:rFonts w:ascii="Calibri" w:hAnsi="Calibri" w:eastAsia="黑体" w:cs="Calibri"/>
          <w:kern w:val="0"/>
          <w:sz w:val="32"/>
        </w:rPr>
      </w:pPr>
      <w:bookmarkStart w:id="26" w:name="_Toc9351380"/>
      <w:r>
        <w:rPr>
          <w:rFonts w:ascii="Calibri" w:eastAsia="黑体" w:cs="Calibri"/>
          <w:kern w:val="0"/>
          <w:sz w:val="32"/>
        </w:rPr>
        <w:br w:type="page"/>
      </w:r>
      <w:r>
        <w:rPr>
          <w:rFonts w:ascii="Calibri" w:eastAsia="黑体" w:cs="Calibri"/>
          <w:kern w:val="0"/>
          <w:sz w:val="32"/>
        </w:rPr>
        <w:t>第二章投标人须知</w:t>
      </w:r>
      <w:bookmarkEnd w:id="0"/>
      <w:bookmarkEnd w:id="24"/>
      <w:bookmarkEnd w:id="25"/>
      <w:bookmarkEnd w:id="26"/>
      <w:bookmarkStart w:id="27" w:name="_Toc143421654"/>
    </w:p>
    <w:p>
      <w:pPr>
        <w:pStyle w:val="58"/>
        <w:jc w:val="center"/>
        <w:rPr>
          <w:rFonts w:ascii="Calibri" w:hAnsi="Calibri" w:eastAsia="黑体" w:cs="Calibri"/>
          <w:kern w:val="2"/>
          <w:sz w:val="28"/>
          <w:szCs w:val="32"/>
        </w:rPr>
      </w:pPr>
      <w:bookmarkStart w:id="28" w:name="_Toc444173459"/>
      <w:bookmarkStart w:id="29" w:name="_Toc386363317"/>
      <w:bookmarkStart w:id="30" w:name="_Toc444174979"/>
      <w:bookmarkStart w:id="31" w:name="_Toc9351381"/>
      <w:bookmarkStart w:id="32" w:name="_Toc349011858"/>
      <w:bookmarkStart w:id="33" w:name="_Toc386359393"/>
      <w:bookmarkStart w:id="34" w:name="_Toc400369185"/>
      <w:bookmarkStart w:id="35" w:name="_Toc349007688"/>
      <w:bookmarkStart w:id="36" w:name="_Toc444811409"/>
      <w:bookmarkStart w:id="37" w:name="_Toc11881"/>
      <w:bookmarkStart w:id="38" w:name="_Toc448002984"/>
      <w:r>
        <w:rPr>
          <w:rFonts w:ascii="Calibri" w:hAnsi="Arial" w:eastAsia="黑体" w:cs="Calibri"/>
          <w:kern w:val="2"/>
          <w:sz w:val="28"/>
          <w:szCs w:val="32"/>
        </w:rPr>
        <w:t>投标人须知前附表</w:t>
      </w:r>
      <w:bookmarkEnd w:id="1"/>
      <w:bookmarkEnd w:id="2"/>
      <w:bookmarkEnd w:id="27"/>
      <w:bookmarkEnd w:id="28"/>
      <w:bookmarkEnd w:id="29"/>
      <w:bookmarkEnd w:id="30"/>
      <w:bookmarkEnd w:id="31"/>
      <w:bookmarkEnd w:id="32"/>
      <w:bookmarkEnd w:id="33"/>
      <w:bookmarkEnd w:id="34"/>
      <w:bookmarkEnd w:id="35"/>
      <w:bookmarkEnd w:id="36"/>
      <w:bookmarkEnd w:id="37"/>
      <w:bookmarkEnd w:id="38"/>
      <w:bookmarkStart w:id="39" w:name="_Toc11067"/>
      <w:bookmarkStart w:id="40" w:name="_Toc143421656"/>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杭州萧山国际机场航站楼智能导视系统采购项目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60</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8</w:t>
            </w:r>
            <w:r>
              <w:rPr>
                <w:rFonts w:hint="eastAsia" w:ascii="宋体" w:hAnsi="宋体" w:cs="Calibri"/>
                <w:kern w:val="0"/>
                <w:sz w:val="22"/>
              </w:rPr>
              <w:t>月</w:t>
            </w:r>
            <w:r>
              <w:rPr>
                <w:rFonts w:hint="eastAsia" w:ascii="宋体" w:hAnsi="宋体" w:cs="Calibri"/>
                <w:kern w:val="0"/>
                <w:sz w:val="22"/>
                <w:lang w:val="en-US" w:eastAsia="zh-CN"/>
              </w:rPr>
              <w:t>26</w:t>
            </w:r>
            <w:r>
              <w:rPr>
                <w:rFonts w:hint="eastAsia" w:ascii="宋体" w:hAnsi="宋体" w:cs="Calibri"/>
                <w:kern w:val="0"/>
                <w:sz w:val="22"/>
              </w:rPr>
              <w:t>日11：30前，以书面加盖公章的形式通过E-mail或传真提交给招标人（投标联系人:贾工，电话0571-83837612；传真：0571-83837612；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2019年9月2日上午9时30分</w:t>
            </w:r>
            <w:r>
              <w:rPr>
                <w:rFonts w:hint="eastAsia"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投标保证金的形式：银行转账，必须在投标截止时间前通过投标人的基本账户以银行转账方式缴纳。</w:t>
            </w:r>
          </w:p>
          <w:p>
            <w:pPr>
              <w:autoSpaceDE w:val="0"/>
              <w:autoSpaceDN w:val="0"/>
              <w:adjustRightInd w:val="0"/>
              <w:snapToGrid w:val="0"/>
              <w:rPr>
                <w:rFonts w:ascii="宋体" w:hAnsi="宋体" w:cs="Calibri"/>
                <w:kern w:val="0"/>
                <w:sz w:val="22"/>
                <w:u w:val="single"/>
              </w:rPr>
            </w:pPr>
            <w:r>
              <w:rPr>
                <w:rFonts w:hint="eastAsia" w:ascii="宋体" w:hAnsi="宋体" w:cs="Calibri"/>
                <w:kern w:val="0"/>
                <w:sz w:val="22"/>
              </w:rPr>
              <w:t>投标保证金的金额：</w:t>
            </w:r>
            <w:r>
              <w:rPr>
                <w:rFonts w:hint="eastAsia" w:ascii="宋体" w:hAnsi="宋体" w:cs="Calibri"/>
                <w:kern w:val="0"/>
                <w:sz w:val="22"/>
                <w:u w:val="single"/>
              </w:rPr>
              <w:t>人民币壹万元整</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投标保证金应在投标截止时间前汇入以下帐户：</w:t>
            </w:r>
          </w:p>
          <w:p>
            <w:pPr>
              <w:autoSpaceDE w:val="0"/>
              <w:autoSpaceDN w:val="0"/>
              <w:adjustRightInd w:val="0"/>
              <w:snapToGrid w:val="0"/>
              <w:rPr>
                <w:rFonts w:ascii="宋体" w:hAnsi="宋体" w:cs="Calibri"/>
                <w:kern w:val="0"/>
                <w:sz w:val="22"/>
              </w:rPr>
            </w:pPr>
            <w:r>
              <w:rPr>
                <w:rFonts w:hint="eastAsia" w:ascii="宋体" w:hAnsi="宋体" w:cs="Calibri"/>
                <w:kern w:val="0"/>
                <w:sz w:val="22"/>
              </w:rPr>
              <w:t>开户名：杭州萧山国际机场有限公司</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开户银行：工行杭州市空港城支行 </w:t>
            </w:r>
          </w:p>
          <w:p>
            <w:pPr>
              <w:autoSpaceDE w:val="0"/>
              <w:autoSpaceDN w:val="0"/>
              <w:adjustRightInd w:val="0"/>
              <w:snapToGrid w:val="0"/>
              <w:rPr>
                <w:rFonts w:ascii="宋体" w:hAnsi="宋体" w:cs="Calibri"/>
                <w:kern w:val="0"/>
                <w:sz w:val="22"/>
              </w:rPr>
            </w:pPr>
            <w:r>
              <w:rPr>
                <w:rFonts w:hint="eastAsia" w:ascii="宋体" w:hAnsi="宋体" w:cs="Calibri"/>
                <w:kern w:val="0"/>
                <w:sz w:val="22"/>
              </w:rPr>
              <w:t>帐号：1202050209904601740</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投标人提交投标保证金时需注明“</w:t>
            </w:r>
            <w:r>
              <w:rPr>
                <w:rFonts w:hint="eastAsia" w:ascii="宋体" w:hAnsi="宋体" w:cs="Calibri"/>
                <w:kern w:val="0"/>
                <w:sz w:val="22"/>
                <w:u w:val="single"/>
              </w:rPr>
              <w:t>**项目投标保证金</w:t>
            </w:r>
            <w:r>
              <w:rPr>
                <w:rFonts w:hint="eastAsia" w:ascii="宋体" w:hAnsi="宋体" w:cs="Calibri"/>
                <w:kern w:val="0"/>
                <w:sz w:val="22"/>
              </w:rPr>
              <w:t>”，投标时需提供基本账户开户许可证复印件并加盖公章。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杭州萧山国际机场航站楼智能导视采购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2019年9月2日上午9时30分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b/>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0"/>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0"/>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numPr>
          <w:ilvl w:val="0"/>
          <w:numId w:val="1"/>
        </w:numPr>
        <w:adjustRightInd w:val="0"/>
        <w:snapToGrid w:val="0"/>
        <w:spacing w:line="276" w:lineRule="auto"/>
        <w:ind w:firstLine="440"/>
        <w:rPr>
          <w:rFonts w:hint="eastAsia" w:ascii="宋体" w:hAnsi="宋体" w:cs="Calibri"/>
          <w:sz w:val="22"/>
        </w:rPr>
      </w:pP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2</w:t>
      </w:r>
      <w:r>
        <w:rPr>
          <w:rFonts w:hint="eastAsia" w:ascii="宋体" w:hAnsi="宋体" w:cs="Arial"/>
          <w:kern w:val="0"/>
          <w:sz w:val="22"/>
        </w:rPr>
        <w:t>）具有独立法人资格，持有有效营业执照，注册资金不少于人民币</w:t>
      </w:r>
      <w:r>
        <w:rPr>
          <w:rFonts w:hint="eastAsia" w:ascii="宋体" w:hAnsi="宋体" w:cs="Arial"/>
          <w:kern w:val="0"/>
          <w:sz w:val="22"/>
          <w:lang w:val="en-US" w:eastAsia="zh-CN"/>
        </w:rPr>
        <w:t>300</w:t>
      </w:r>
      <w:r>
        <w:rPr>
          <w:rFonts w:hint="eastAsia" w:ascii="宋体" w:hAnsi="宋体" w:cs="Arial"/>
          <w:kern w:val="0"/>
          <w:sz w:val="22"/>
        </w:rPr>
        <w:t>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3</w:t>
      </w:r>
      <w:r>
        <w:rPr>
          <w:rFonts w:hint="eastAsia" w:ascii="宋体" w:hAnsi="宋体" w:cs="Arial"/>
          <w:kern w:val="0"/>
          <w:sz w:val="22"/>
        </w:rPr>
        <w:t xml:space="preserve">）依据最高人民法院等九部门《关于在招标投标活动中对失信被执行人实施联合惩戒的通知》，投标人不得为失信被执行人。（通过信用中国网站www.creditchina.gov.cn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）近年（201</w:t>
      </w:r>
      <w:r>
        <w:rPr>
          <w:rFonts w:hint="eastAsia" w:ascii="宋体" w:hAnsi="宋体" w:cs="Arial"/>
          <w:kern w:val="0"/>
          <w:sz w:val="22"/>
          <w:lang w:val="en-US" w:eastAsia="zh-CN"/>
        </w:rPr>
        <w:t>6</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公示期间发现中标候选人在投标截止日前存在行贿犯罪记录的，招标人将依法取消其中标资格，并有权没收投标保证金。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公示期间发现中标候选人不具有一般纳税人资格，招标人将依法取消其中标资格，并有权没收投标保证金。</w:t>
      </w:r>
    </w:p>
    <w:p>
      <w:pPr>
        <w:widowControl/>
        <w:adjustRightInd w:val="0"/>
        <w:snapToGrid w:val="0"/>
        <w:spacing w:line="340" w:lineRule="exact"/>
        <w:ind w:firstLine="440" w:firstLineChars="200"/>
        <w:rPr>
          <w:rFonts w:hint="eastAsia" w:ascii="宋体" w:hAnsi="宋体" w:cs="Calibri"/>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）近年（201</w:t>
      </w:r>
      <w:r>
        <w:rPr>
          <w:rFonts w:hint="eastAsia" w:ascii="宋体" w:hAnsi="宋体" w:cs="Arial"/>
          <w:kern w:val="0"/>
          <w:sz w:val="22"/>
          <w:lang w:val="en-US" w:eastAsia="zh-CN"/>
        </w:rPr>
        <w:t>6</w:t>
      </w:r>
      <w:r>
        <w:rPr>
          <w:rFonts w:hint="eastAsia" w:ascii="宋体" w:hAnsi="宋体" w:cs="Arial"/>
          <w:kern w:val="0"/>
          <w:sz w:val="22"/>
        </w:rPr>
        <w:t>年1月1日起至投标截止日）至少具有一个50万以上软件开发、实施案例业绩，需提供中标通知书或合同复印件并加盖投标人公章作为证明材料，原件备查</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39"/>
      <w:bookmarkEnd w:id="40"/>
    </w:p>
    <w:p>
      <w:pPr>
        <w:autoSpaceDE w:val="0"/>
        <w:autoSpaceDN w:val="0"/>
        <w:adjustRightInd w:val="0"/>
        <w:snapToGrid w:val="0"/>
        <w:spacing w:line="360" w:lineRule="exact"/>
        <w:rPr>
          <w:rFonts w:ascii="宋体" w:hAnsi="宋体"/>
          <w:sz w:val="2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1" w:name="_Toc213036227"/>
      <w:bookmarkStart w:id="42" w:name="_Toc223327527"/>
      <w:bookmarkStart w:id="43"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1"/>
      <w:bookmarkEnd w:id="42"/>
      <w:r>
        <w:rPr>
          <w:rFonts w:hint="eastAsia" w:ascii="Calibri" w:hAnsi="Calibri" w:eastAsia="黑体" w:cs="Calibri"/>
          <w:kern w:val="0"/>
          <w:sz w:val="32"/>
        </w:rPr>
        <w:t>货物需求一览表及技术规格</w:t>
      </w:r>
      <w:bookmarkEnd w:id="43"/>
    </w:p>
    <w:p>
      <w:pPr>
        <w:pStyle w:val="61"/>
        <w:spacing w:line="276" w:lineRule="auto"/>
        <w:ind w:firstLine="442"/>
        <w:outlineLvl w:val="9"/>
        <w:rPr>
          <w:rFonts w:ascii="宋体" w:eastAsia="宋体" w:cs="宋体"/>
          <w:sz w:val="22"/>
          <w:szCs w:val="22"/>
        </w:rPr>
      </w:pPr>
      <w:r>
        <w:rPr>
          <w:rFonts w:hint="eastAsia" w:ascii="宋体" w:eastAsia="宋体" w:cs="宋体"/>
          <w:sz w:val="22"/>
          <w:szCs w:val="22"/>
        </w:rPr>
        <w:t>一、货物需求一览表</w:t>
      </w:r>
    </w:p>
    <w:p>
      <w:pPr>
        <w:widowControl/>
        <w:jc w:val="left"/>
        <w:rPr>
          <w:rFonts w:ascii="宋体" w:hAnsi="宋体" w:cs="Calibri"/>
          <w:b/>
          <w:kern w:val="0"/>
          <w:sz w:val="22"/>
        </w:rPr>
      </w:pPr>
    </w:p>
    <w:tbl>
      <w:tblPr>
        <w:tblStyle w:val="46"/>
        <w:tblW w:w="9367"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7"/>
        <w:gridCol w:w="992"/>
        <w:gridCol w:w="1276"/>
        <w:gridCol w:w="41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2977" w:type="dxa"/>
            <w:vAlign w:val="center"/>
          </w:tcPr>
          <w:p>
            <w:pPr>
              <w:adjustRightInd w:val="0"/>
              <w:snapToGrid w:val="0"/>
              <w:spacing w:line="276" w:lineRule="auto"/>
              <w:jc w:val="center"/>
              <w:rPr>
                <w:rFonts w:asciiTheme="minorEastAsia" w:hAnsiTheme="minorEastAsia"/>
                <w:szCs w:val="21"/>
              </w:rPr>
            </w:pPr>
            <w:r>
              <w:rPr>
                <w:rFonts w:hint="eastAsia" w:asciiTheme="minorEastAsia" w:hAnsiTheme="minorEastAsia"/>
                <w:szCs w:val="21"/>
              </w:rPr>
              <w:t>货物名称</w:t>
            </w:r>
          </w:p>
        </w:tc>
        <w:tc>
          <w:tcPr>
            <w:tcW w:w="992" w:type="dxa"/>
            <w:vAlign w:val="center"/>
          </w:tcPr>
          <w:p>
            <w:pPr>
              <w:adjustRightInd w:val="0"/>
              <w:snapToGrid w:val="0"/>
              <w:spacing w:line="276" w:lineRule="auto"/>
              <w:rPr>
                <w:rFonts w:asciiTheme="minorEastAsia" w:hAnsiTheme="minorEastAsia"/>
                <w:szCs w:val="21"/>
              </w:rPr>
            </w:pPr>
            <w:r>
              <w:rPr>
                <w:rFonts w:hint="eastAsia" w:asciiTheme="minorEastAsia" w:hAnsiTheme="minorEastAsia"/>
                <w:szCs w:val="21"/>
              </w:rPr>
              <w:t>数量</w:t>
            </w:r>
          </w:p>
        </w:tc>
        <w:tc>
          <w:tcPr>
            <w:tcW w:w="1276" w:type="dxa"/>
            <w:tcBorders>
              <w:left w:val="single" w:color="auto" w:sz="4" w:space="0"/>
            </w:tcBorders>
            <w:vAlign w:val="center"/>
          </w:tcPr>
          <w:p>
            <w:pPr>
              <w:adjustRightInd w:val="0"/>
              <w:snapToGrid w:val="0"/>
              <w:spacing w:line="276" w:lineRule="auto"/>
              <w:rPr>
                <w:rFonts w:asciiTheme="minorEastAsia" w:hAnsiTheme="minorEastAsia"/>
                <w:szCs w:val="21"/>
              </w:rPr>
            </w:pPr>
            <w:r>
              <w:rPr>
                <w:rFonts w:hint="eastAsia" w:asciiTheme="minorEastAsia" w:hAnsiTheme="minorEastAsia"/>
                <w:szCs w:val="21"/>
              </w:rPr>
              <w:t>交货期</w:t>
            </w:r>
          </w:p>
        </w:tc>
        <w:tc>
          <w:tcPr>
            <w:tcW w:w="4122" w:type="dxa"/>
            <w:vAlign w:val="center"/>
          </w:tcPr>
          <w:p>
            <w:pPr>
              <w:adjustRightInd w:val="0"/>
              <w:snapToGrid w:val="0"/>
              <w:spacing w:line="276" w:lineRule="auto"/>
              <w:jc w:val="center"/>
              <w:rPr>
                <w:rFonts w:asciiTheme="minorEastAsia" w:hAnsiTheme="minorEastAsia"/>
                <w:szCs w:val="21"/>
              </w:rPr>
            </w:pPr>
            <w:r>
              <w:rPr>
                <w:rFonts w:hint="eastAsia" w:asciiTheme="minorEastAsia" w:hAnsiTheme="minorEastAsia"/>
                <w:szCs w:val="21"/>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977" w:type="dxa"/>
            <w:vAlign w:val="center"/>
          </w:tcPr>
          <w:p>
            <w:pPr>
              <w:adjustRightInd w:val="0"/>
              <w:snapToGrid w:val="0"/>
              <w:spacing w:line="276" w:lineRule="auto"/>
              <w:jc w:val="left"/>
              <w:rPr>
                <w:rFonts w:asciiTheme="minorEastAsia" w:hAnsiTheme="minorEastAsia"/>
                <w:szCs w:val="21"/>
              </w:rPr>
            </w:pPr>
            <w:r>
              <w:rPr>
                <w:rFonts w:hint="eastAsia" w:ascii="Arial" w:hAnsi="Arial" w:cs="Arial"/>
                <w:bCs/>
                <w:kern w:val="0"/>
                <w:sz w:val="22"/>
              </w:rPr>
              <w:t>航站楼智能导视</w:t>
            </w:r>
            <w:r>
              <w:rPr>
                <w:rFonts w:hint="eastAsia" w:asciiTheme="minorEastAsia" w:hAnsiTheme="minorEastAsia"/>
                <w:szCs w:val="21"/>
              </w:rPr>
              <w:t>软、硬件系统（含实施、开发）</w:t>
            </w:r>
          </w:p>
        </w:tc>
        <w:tc>
          <w:tcPr>
            <w:tcW w:w="992" w:type="dxa"/>
            <w:vAlign w:val="center"/>
          </w:tcPr>
          <w:p>
            <w:pPr>
              <w:adjustRightInd w:val="0"/>
              <w:snapToGrid w:val="0"/>
              <w:spacing w:line="276" w:lineRule="auto"/>
              <w:rPr>
                <w:rFonts w:asciiTheme="minorEastAsia" w:hAnsiTheme="minorEastAsia"/>
                <w:szCs w:val="21"/>
              </w:rPr>
            </w:pPr>
            <w:r>
              <w:rPr>
                <w:rFonts w:hint="eastAsia" w:asciiTheme="minorEastAsia" w:hAnsiTheme="minorEastAsia"/>
                <w:szCs w:val="21"/>
              </w:rPr>
              <w:t>1套</w:t>
            </w:r>
          </w:p>
        </w:tc>
        <w:tc>
          <w:tcPr>
            <w:tcW w:w="1276" w:type="dxa"/>
            <w:tcBorders>
              <w:left w:val="single" w:color="auto" w:sz="4" w:space="0"/>
            </w:tcBorders>
            <w:vAlign w:val="center"/>
          </w:tcPr>
          <w:p>
            <w:pPr>
              <w:adjustRightInd w:val="0"/>
              <w:snapToGrid w:val="0"/>
              <w:spacing w:line="276" w:lineRule="auto"/>
              <w:rPr>
                <w:rFonts w:asciiTheme="minorEastAsia" w:hAnsiTheme="minorEastAsia"/>
                <w:szCs w:val="21"/>
              </w:rPr>
            </w:pPr>
            <w:r>
              <w:rPr>
                <w:rFonts w:asciiTheme="minorEastAsia" w:hAnsiTheme="minorEastAsia"/>
                <w:szCs w:val="21"/>
              </w:rPr>
              <w:t>60</w:t>
            </w:r>
            <w:r>
              <w:rPr>
                <w:rFonts w:hint="eastAsia" w:asciiTheme="minorEastAsia" w:hAnsiTheme="minorEastAsia"/>
                <w:szCs w:val="21"/>
              </w:rPr>
              <w:t>日历天</w:t>
            </w:r>
          </w:p>
        </w:tc>
        <w:tc>
          <w:tcPr>
            <w:tcW w:w="4122" w:type="dxa"/>
            <w:vAlign w:val="center"/>
          </w:tcPr>
          <w:p>
            <w:pPr>
              <w:adjustRightInd w:val="0"/>
              <w:snapToGrid w:val="0"/>
              <w:spacing w:line="276" w:lineRule="auto"/>
              <w:ind w:firstLine="420" w:firstLineChars="200"/>
              <w:rPr>
                <w:rFonts w:asciiTheme="minorEastAsia" w:hAnsiTheme="minorEastAsia"/>
                <w:szCs w:val="21"/>
              </w:rPr>
            </w:pPr>
            <w:r>
              <w:rPr>
                <w:rFonts w:hint="eastAsia" w:asciiTheme="minorEastAsia" w:hAnsiTheme="minorEastAsia"/>
                <w:szCs w:val="21"/>
              </w:rPr>
              <w:t>杭州萧山国际机场</w:t>
            </w:r>
          </w:p>
        </w:tc>
      </w:tr>
    </w:tbl>
    <w:p>
      <w:pPr>
        <w:pStyle w:val="61"/>
        <w:spacing w:line="276" w:lineRule="auto"/>
        <w:ind w:firstLine="440"/>
        <w:outlineLvl w:val="9"/>
        <w:rPr>
          <w:rFonts w:ascii="宋体" w:eastAsia="宋体" w:cs="等线"/>
          <w:b w:val="0"/>
          <w:sz w:val="22"/>
          <w:szCs w:val="22"/>
        </w:rPr>
      </w:pPr>
    </w:p>
    <w:p>
      <w:pPr>
        <w:widowControl/>
        <w:snapToGrid w:val="0"/>
        <w:spacing w:line="340" w:lineRule="exact"/>
        <w:ind w:firstLine="440" w:firstLineChars="200"/>
        <w:jc w:val="left"/>
        <w:rPr>
          <w:rFonts w:ascii="宋体" w:cs="等线"/>
          <w:sz w:val="22"/>
        </w:rPr>
      </w:pPr>
      <w:r>
        <w:rPr>
          <w:rFonts w:hint="eastAsia" w:ascii="宋体" w:cs="等线"/>
          <w:sz w:val="22"/>
        </w:rPr>
        <w:t>★</w:t>
      </w:r>
      <w:r>
        <w:rPr>
          <w:rFonts w:hint="eastAsia" w:ascii="Arial" w:hAnsi="Arial" w:cs="Arial"/>
          <w:bCs/>
          <w:kern w:val="0"/>
          <w:sz w:val="22"/>
        </w:rPr>
        <w:t>本项目</w:t>
      </w:r>
      <w:r>
        <w:rPr>
          <w:rFonts w:hint="eastAsia" w:ascii="Arial" w:hAnsi="Arial" w:cs="Arial"/>
          <w:bCs/>
          <w:kern w:val="0"/>
          <w:sz w:val="22"/>
          <w:lang w:val="en-US" w:eastAsia="zh-CN"/>
        </w:rPr>
        <w:t>投标人应为</w:t>
      </w:r>
      <w:r>
        <w:rPr>
          <w:rFonts w:hint="eastAsia" w:ascii="Arial" w:hAnsi="Arial" w:cs="Arial"/>
          <w:bCs/>
          <w:kern w:val="0"/>
          <w:sz w:val="22"/>
        </w:rPr>
        <w:t>系统</w:t>
      </w:r>
      <w:r>
        <w:rPr>
          <w:rFonts w:hint="eastAsia" w:ascii="Arial" w:hAnsi="Arial" w:cs="Arial"/>
          <w:bCs/>
          <w:kern w:val="0"/>
          <w:sz w:val="22"/>
          <w:lang w:val="en-US" w:eastAsia="zh-CN"/>
        </w:rPr>
        <w:t>总</w:t>
      </w:r>
      <w:r>
        <w:rPr>
          <w:rFonts w:hint="eastAsia" w:ascii="Arial" w:hAnsi="Arial" w:cs="Arial"/>
          <w:bCs/>
          <w:kern w:val="0"/>
          <w:sz w:val="22"/>
        </w:rPr>
        <w:t>集成商，全面负责系统软硬件的调试安装，</w:t>
      </w:r>
      <w:r>
        <w:rPr>
          <w:rFonts w:ascii="Arial" w:hAnsi="Arial" w:cs="Arial"/>
          <w:bCs/>
          <w:kern w:val="0"/>
          <w:sz w:val="22"/>
        </w:rPr>
        <w:t>按甲方要求保质保量做好项目建设。中标方负责处理本项目总体进度与协调工作，包括硬件服务器采购、软件程序的部署及相关数据接口的开发对接。</w:t>
      </w:r>
    </w:p>
    <w:p>
      <w:pPr>
        <w:pStyle w:val="61"/>
        <w:spacing w:line="276" w:lineRule="auto"/>
        <w:ind w:firstLine="442"/>
        <w:outlineLvl w:val="9"/>
        <w:rPr>
          <w:rFonts w:ascii="宋体" w:eastAsia="宋体" w:cs="宋体"/>
          <w:sz w:val="22"/>
          <w:szCs w:val="22"/>
        </w:rPr>
      </w:pPr>
      <w:r>
        <w:rPr>
          <w:rFonts w:hint="eastAsia" w:ascii="宋体" w:eastAsia="宋体" w:cs="宋体"/>
          <w:sz w:val="22"/>
          <w:szCs w:val="22"/>
        </w:rPr>
        <w:t>二、主要配置及要求</w:t>
      </w:r>
    </w:p>
    <w:p>
      <w:pPr>
        <w:pStyle w:val="61"/>
        <w:spacing w:line="276" w:lineRule="auto"/>
        <w:ind w:firstLine="316" w:firstLineChars="150"/>
        <w:outlineLvl w:val="9"/>
        <w:rPr>
          <w:rFonts w:asciiTheme="minorEastAsia" w:hAnsiTheme="minorEastAsia" w:eastAsiaTheme="minorEastAsia"/>
          <w:sz w:val="21"/>
          <w:szCs w:val="21"/>
        </w:rPr>
      </w:pPr>
      <w:r>
        <w:rPr>
          <w:rFonts w:asciiTheme="minorEastAsia" w:hAnsiTheme="minorEastAsia" w:eastAsiaTheme="minorEastAsia"/>
          <w:sz w:val="21"/>
          <w:szCs w:val="21"/>
        </w:rPr>
        <w:t>2.1</w:t>
      </w:r>
      <w:r>
        <w:rPr>
          <w:rFonts w:hint="eastAsia" w:asciiTheme="minorEastAsia" w:hAnsiTheme="minorEastAsia" w:eastAsiaTheme="minorEastAsia"/>
          <w:sz w:val="21"/>
          <w:szCs w:val="21"/>
        </w:rPr>
        <w:t>总体目标</w:t>
      </w:r>
    </w:p>
    <w:p>
      <w:pPr>
        <w:spacing w:line="276" w:lineRule="auto"/>
        <w:ind w:firstLine="315" w:firstLineChars="150"/>
        <w:rPr>
          <w:rFonts w:cs="宋体" w:asciiTheme="minorEastAsia" w:hAnsiTheme="minorEastAsia"/>
          <w:b/>
          <w:szCs w:val="21"/>
        </w:rPr>
      </w:pPr>
      <w:r>
        <w:rPr>
          <w:rFonts w:hint="eastAsia" w:cs="宋体" w:asciiTheme="minorEastAsia" w:hAnsiTheme="minorEastAsia"/>
          <w:kern w:val="0"/>
          <w:szCs w:val="21"/>
        </w:rPr>
        <w:t>总体技术方案应包括：总体技术架构设计、集成架构设计、技术实现、硬件部署方案、系统安全方案（至少包括应用安全、用户访问安全、数据与应用备份恢复设计方案）、接口标准体系（至少包括应用集成接口标准、统一用户管理接口标准、统一认证标准等）。</w:t>
      </w:r>
    </w:p>
    <w:p>
      <w:pPr>
        <w:pStyle w:val="61"/>
        <w:spacing w:line="276" w:lineRule="auto"/>
        <w:ind w:firstLine="310" w:firstLineChars="147"/>
        <w:outlineLvl w:val="9"/>
        <w:rPr>
          <w:rFonts w:asciiTheme="minorEastAsia" w:hAnsiTheme="minorEastAsia" w:eastAsiaTheme="minorEastAsia"/>
          <w:sz w:val="21"/>
          <w:szCs w:val="21"/>
        </w:rPr>
      </w:pPr>
      <w:r>
        <w:rPr>
          <w:rFonts w:asciiTheme="minorEastAsia" w:hAnsiTheme="minorEastAsia" w:eastAsiaTheme="minorEastAsia"/>
          <w:sz w:val="21"/>
          <w:szCs w:val="21"/>
        </w:rPr>
        <w:t>2.2</w:t>
      </w:r>
      <w:r>
        <w:rPr>
          <w:rFonts w:hint="eastAsia" w:asciiTheme="minorEastAsia" w:hAnsiTheme="minorEastAsia" w:eastAsiaTheme="minorEastAsia"/>
          <w:sz w:val="21"/>
          <w:szCs w:val="21"/>
        </w:rPr>
        <w:t>软件功能要求</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.2.1</w:t>
      </w:r>
      <w:r>
        <w:rPr>
          <w:rFonts w:hint="eastAsia" w:cs="宋体" w:asciiTheme="minorEastAsia" w:hAnsiTheme="minorEastAsia"/>
          <w:kern w:val="0"/>
          <w:szCs w:val="21"/>
        </w:rPr>
        <w:t>航站楼功能布局</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在触摸智能导乘台展示本场航站楼的地图信息，其中需要将功能性设施做重点标示，并且在地图页面设置常用按钮，以便公众快捷查询。功能性设施包括：厕所、母婴室、办证中心、行李快递、行李寄存、行李打包、失物招领、贵宾室、外币兑换、ATM、主要商铺（此功能预留）。需要设置查询入口，可通过文字输入，查询母婴室等相关设施的具体位置。将查询结果在地图中有突出标示，同时需要在地图上将当前用户所在地到目的地的路径规划在地图中标示出来。地图支持本场航站楼多楼层的路径规划，地图的部署必须本地化（地图部署在甲方服务器），地图的初始化工作由中标方完成（甲方提供CAD工程图等相关资料），地图每年的更新维护费用含在维保费在报价中要体现，作为商务评分依据。</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.2.2</w:t>
      </w:r>
      <w:r>
        <w:rPr>
          <w:rFonts w:hint="eastAsia" w:cs="宋体" w:asciiTheme="minorEastAsia" w:hAnsiTheme="minorEastAsia"/>
          <w:kern w:val="0"/>
          <w:szCs w:val="21"/>
        </w:rPr>
        <w:t>办票导航</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可通过航空公司（快捷按键）或者航班号（输入查询），查询相关的值机岛的位置。同时在地图中，将当前用户所在地到目的值机岛的路径规划在地图中标示出来。</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r>
        <w:rPr>
          <w:rFonts w:hint="eastAsia" w:cs="宋体" w:asciiTheme="minorEastAsia" w:hAnsiTheme="minorEastAsia"/>
          <w:kern w:val="0"/>
          <w:szCs w:val="21"/>
        </w:rPr>
        <w:t>3售票导航</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可通过航空公司（快捷按键）或者航班号（输入查询），查询相关的航空公司售票柜台的位置。同时在地图中，将当前用户所在地到目的售票柜台的路径规划在地图中标示出来。</w:t>
      </w:r>
    </w:p>
    <w:p>
      <w:pPr>
        <w:spacing w:line="276" w:lineRule="auto"/>
        <w:ind w:firstLine="315" w:firstLineChars="150"/>
        <w:rPr>
          <w:rFonts w:cs="宋体" w:asciiTheme="minorEastAsia" w:hAnsiTheme="minorEastAsia"/>
          <w:kern w:val="0"/>
          <w:szCs w:val="21"/>
        </w:rPr>
      </w:pPr>
      <w:r>
        <w:rPr>
          <w:rFonts w:cs="宋体" w:asciiTheme="minorEastAsia" w:hAnsiTheme="minorEastAsia"/>
          <w:kern w:val="0"/>
          <w:szCs w:val="21"/>
        </w:rPr>
        <w:t>2.2</w:t>
      </w:r>
      <w:r>
        <w:rPr>
          <w:rFonts w:hint="eastAsia" w:cs="宋体" w:asciiTheme="minorEastAsia" w:hAnsiTheme="minorEastAsia"/>
          <w:kern w:val="0"/>
          <w:szCs w:val="21"/>
        </w:rPr>
        <w:t>.4违禁品告知</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通过快捷按钮“违禁品告知”展示违禁品告知信息，信息支持后台发布。</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r>
        <w:rPr>
          <w:rFonts w:hint="eastAsia" w:cs="宋体" w:asciiTheme="minorEastAsia" w:hAnsiTheme="minorEastAsia"/>
          <w:kern w:val="0"/>
          <w:szCs w:val="21"/>
        </w:rPr>
        <w:t>5乘机导航</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用户可以通过智能导乘台自带的扫码功能，扫描登机牌（条形码）或者移动终端登机牌（二维码），直接获取航班信息。通过读取后台数据库，获取当前航班的值机位置、最近的安检口位置、登机口信息。将当前用户所在地-值机区域-安检口-登机口的路径规划在地图中标示出来。</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隔离区外显示：当前用户所在地-值机区域-安检口-登机口的路径规划；</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隔离区内显示：当前用户所在地-登机口的路径规划；</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只可查询当日航班信息，不查询历史航班。</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国际航班的值机位置每日不固定，需要后台确认能否获取到相关数据。</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r>
        <w:rPr>
          <w:rFonts w:hint="eastAsia" w:cs="宋体" w:asciiTheme="minorEastAsia" w:hAnsiTheme="minorEastAsia"/>
          <w:kern w:val="0"/>
          <w:szCs w:val="21"/>
        </w:rPr>
        <w:t>6交通信息查询</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通过获取机场官网大巴数据展示大巴信息，通过智能导乘台快捷按钮直接查询。</w:t>
      </w:r>
    </w:p>
    <w:p>
      <w:pPr>
        <w:spacing w:line="276" w:lineRule="auto"/>
        <w:ind w:firstLine="315" w:firstLineChars="150"/>
        <w:rPr>
          <w:rFonts w:ascii="仿宋_GB2312" w:eastAsia="仿宋_GB2312"/>
          <w:sz w:val="32"/>
          <w:szCs w:val="32"/>
        </w:rPr>
      </w:pPr>
      <w:r>
        <w:rPr>
          <w:rFonts w:hint="eastAsia" w:cs="宋体" w:asciiTheme="minorEastAsia" w:hAnsiTheme="minorEastAsia"/>
          <w:kern w:val="0"/>
          <w:szCs w:val="21"/>
        </w:rPr>
        <w:t>2</w:t>
      </w:r>
      <w:r>
        <w:rPr>
          <w:rFonts w:cs="宋体" w:asciiTheme="minorEastAsia" w:hAnsiTheme="minorEastAsia"/>
          <w:kern w:val="0"/>
          <w:szCs w:val="21"/>
        </w:rPr>
        <w:t>.2.</w:t>
      </w:r>
      <w:r>
        <w:rPr>
          <w:rFonts w:hint="eastAsia" w:cs="宋体" w:asciiTheme="minorEastAsia" w:hAnsiTheme="minorEastAsia"/>
          <w:kern w:val="0"/>
          <w:szCs w:val="21"/>
        </w:rPr>
        <w:t>7航班查询</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可通过输入航班号、起始地、目的地等条件查询航班相关信息。查询结果包括航班计划起飞时间、实际起飞时间、计划到达时间、实际到达时间、登机口、行李转盘等相关信息。</w:t>
      </w:r>
    </w:p>
    <w:p>
      <w:pPr>
        <w:spacing w:line="276" w:lineRule="auto"/>
        <w:ind w:firstLine="315" w:firstLineChars="150"/>
        <w:rPr>
          <w:rFonts w:cs="宋体" w:asciiTheme="minorEastAsia" w:hAnsiTheme="minorEastAsia"/>
          <w:kern w:val="0"/>
          <w:szCs w:val="21"/>
        </w:rPr>
      </w:pPr>
      <w:r>
        <w:rPr>
          <w:rFonts w:cs="宋体" w:asciiTheme="minorEastAsia" w:hAnsiTheme="minorEastAsia"/>
          <w:kern w:val="0"/>
          <w:szCs w:val="21"/>
        </w:rPr>
        <w:t>2.2.</w:t>
      </w:r>
      <w:r>
        <w:rPr>
          <w:rFonts w:hint="eastAsia" w:cs="宋体" w:asciiTheme="minorEastAsia" w:hAnsiTheme="minorEastAsia"/>
          <w:kern w:val="0"/>
          <w:szCs w:val="21"/>
        </w:rPr>
        <w:t>8视频客服通话</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用户可以在智能导航台点击快捷按钮向客服发起视频通话，此功能预留。</w:t>
      </w:r>
    </w:p>
    <w:p>
      <w:pPr>
        <w:spacing w:line="276" w:lineRule="auto"/>
        <w:ind w:firstLine="315" w:firstLineChars="150"/>
        <w:rPr>
          <w:rFonts w:cs="宋体" w:asciiTheme="minorEastAsia" w:hAnsiTheme="minorEastAsia"/>
          <w:kern w:val="0"/>
          <w:szCs w:val="21"/>
        </w:rPr>
      </w:pPr>
      <w:r>
        <w:rPr>
          <w:rFonts w:cs="宋体" w:asciiTheme="minorEastAsia" w:hAnsiTheme="minorEastAsia"/>
          <w:kern w:val="0"/>
          <w:szCs w:val="21"/>
        </w:rPr>
        <w:t>2.2.</w:t>
      </w:r>
      <w:r>
        <w:rPr>
          <w:rFonts w:hint="eastAsia" w:cs="宋体" w:asciiTheme="minorEastAsia" w:hAnsiTheme="minorEastAsia"/>
          <w:kern w:val="0"/>
          <w:szCs w:val="21"/>
        </w:rPr>
        <w:t>9航班数据接口</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对于扫码智能导乘及航班查询功能模块本项目包含与本场数据中心进行航班数据接口开发的双方接口</w:t>
      </w:r>
      <w:r>
        <w:rPr>
          <w:rFonts w:hint="eastAsia" w:cs="宋体" w:asciiTheme="minorEastAsia" w:hAnsiTheme="minorEastAsia"/>
          <w:kern w:val="0"/>
          <w:szCs w:val="21"/>
          <w:lang w:val="en-US" w:eastAsia="zh-CN"/>
        </w:rPr>
        <w:t>开发工作及</w:t>
      </w:r>
      <w:r>
        <w:rPr>
          <w:rFonts w:hint="eastAsia" w:cs="宋体" w:asciiTheme="minorEastAsia" w:hAnsiTheme="minorEastAsia"/>
          <w:kern w:val="0"/>
          <w:szCs w:val="21"/>
        </w:rPr>
        <w:t>费用</w:t>
      </w:r>
      <w:r>
        <w:rPr>
          <w:rFonts w:hint="eastAsia" w:ascii="仿宋_GB2312" w:eastAsia="仿宋_GB2312" w:cs="宋体" w:hAnsiTheme="minorEastAsia"/>
          <w:kern w:val="0"/>
          <w:szCs w:val="21"/>
          <w:lang w:eastAsia="zh-CN"/>
        </w:rPr>
        <w:t>（</w:t>
      </w:r>
      <w:r>
        <w:rPr>
          <w:rFonts w:hint="eastAsia" w:ascii="仿宋_GB2312" w:eastAsia="仿宋_GB2312" w:cs="宋体" w:hAnsiTheme="minorEastAsia"/>
          <w:kern w:val="0"/>
          <w:szCs w:val="21"/>
          <w:lang w:val="en-US" w:eastAsia="zh-CN"/>
        </w:rPr>
        <w:t>杭州机场</w:t>
      </w:r>
      <w:r>
        <w:rPr>
          <w:rFonts w:hint="eastAsia" w:ascii="仿宋_GB2312" w:eastAsia="仿宋_GB2312" w:cs="宋体" w:hAnsiTheme="minorEastAsia"/>
          <w:kern w:val="0"/>
          <w:szCs w:val="21"/>
        </w:rPr>
        <w:t>数据中心</w:t>
      </w:r>
      <w:r>
        <w:rPr>
          <w:rFonts w:hint="eastAsia" w:ascii="仿宋_GB2312" w:eastAsia="仿宋_GB2312" w:cs="宋体" w:hAnsiTheme="minorEastAsia"/>
          <w:kern w:val="0"/>
          <w:szCs w:val="21"/>
          <w:lang w:val="en-US" w:eastAsia="zh-CN"/>
        </w:rPr>
        <w:t>航班接口开发费用为6万</w:t>
      </w:r>
      <w:r>
        <w:rPr>
          <w:rFonts w:hint="eastAsia" w:ascii="仿宋_GB2312" w:eastAsia="仿宋_GB2312" w:cs="宋体" w:hAnsiTheme="minorEastAsia"/>
          <w:kern w:val="0"/>
          <w:szCs w:val="21"/>
          <w:lang w:eastAsia="zh-CN"/>
        </w:rPr>
        <w:t>）</w:t>
      </w:r>
      <w:r>
        <w:rPr>
          <w:rFonts w:hint="eastAsia" w:cs="宋体" w:asciiTheme="minorEastAsia" w:hAnsiTheme="minorEastAsia"/>
          <w:kern w:val="0"/>
          <w:szCs w:val="21"/>
        </w:rPr>
        <w:t>；</w:t>
      </w:r>
    </w:p>
    <w:p>
      <w:pPr>
        <w:spacing w:line="276" w:lineRule="auto"/>
        <w:ind w:firstLine="315" w:firstLineChars="150"/>
        <w:rPr>
          <w:rFonts w:cs="宋体" w:asciiTheme="minorEastAsia" w:hAnsiTheme="minorEastAsia"/>
          <w:kern w:val="0"/>
          <w:szCs w:val="21"/>
        </w:rPr>
      </w:pPr>
      <w:r>
        <w:rPr>
          <w:rFonts w:cs="宋体" w:asciiTheme="minorEastAsia" w:hAnsiTheme="minorEastAsia"/>
          <w:kern w:val="0"/>
          <w:szCs w:val="21"/>
        </w:rPr>
        <w:t>2.2.</w:t>
      </w:r>
      <w:r>
        <w:rPr>
          <w:rFonts w:hint="eastAsia" w:cs="宋体" w:asciiTheme="minorEastAsia" w:hAnsiTheme="minorEastAsia"/>
          <w:kern w:val="0"/>
          <w:szCs w:val="21"/>
        </w:rPr>
        <w:t>10后台管理功能</w:t>
      </w:r>
    </w:p>
    <w:p>
      <w:pPr>
        <w:spacing w:line="276" w:lineRule="auto"/>
        <w:ind w:firstLine="315" w:firstLineChars="150"/>
        <w:rPr>
          <w:rFonts w:cs="宋体" w:asciiTheme="minorEastAsia" w:hAnsiTheme="minorEastAsia"/>
          <w:kern w:val="0"/>
          <w:szCs w:val="21"/>
        </w:rPr>
      </w:pPr>
      <w:r>
        <w:rPr>
          <w:rFonts w:hint="eastAsia" w:cs="宋体" w:asciiTheme="minorEastAsia" w:hAnsiTheme="minorEastAsia"/>
          <w:kern w:val="0"/>
          <w:szCs w:val="21"/>
        </w:rPr>
        <w:t>可以监控智能导乘台，如有导乘台故障宕机等发生不在线的情况，后台可以监控到；后台接听旅客的视频通话，通话记录可查等（此功能预留）；具有统计功能，按菜单功能统计旅客使用导乘台的次数。</w:t>
      </w:r>
    </w:p>
    <w:p>
      <w:pPr>
        <w:spacing w:line="276" w:lineRule="auto"/>
        <w:ind w:firstLine="316" w:firstLineChars="150"/>
        <w:rPr>
          <w:rFonts w:cs="宋体" w:asciiTheme="minorEastAsia" w:hAnsiTheme="minorEastAsia"/>
          <w:b/>
          <w:kern w:val="0"/>
          <w:szCs w:val="21"/>
        </w:rPr>
      </w:pPr>
      <w:r>
        <w:rPr>
          <w:rFonts w:hint="eastAsia" w:cs="宋体" w:asciiTheme="minorEastAsia" w:hAnsiTheme="minorEastAsia"/>
          <w:b/>
          <w:kern w:val="0"/>
          <w:szCs w:val="21"/>
        </w:rPr>
        <w:t>投标人提供产品包含但不限于以上功能。另注：提供一年免费的航站楼地图更新维护，由用户部门提供每次变更的信息内容，中标单位安排专人进行地图的更新工作，免费期后根据中标单位报的地图更新维护费计入最终的系统维保费用。</w:t>
      </w:r>
    </w:p>
    <w:p>
      <w:pPr>
        <w:spacing w:line="276" w:lineRule="auto"/>
        <w:ind w:firstLine="316" w:firstLineChars="150"/>
        <w:rPr>
          <w:rFonts w:cs="宋体" w:asciiTheme="minorEastAsia" w:hAnsiTheme="minorEastAsia"/>
          <w:b/>
          <w:kern w:val="0"/>
          <w:szCs w:val="21"/>
        </w:rPr>
      </w:pPr>
    </w:p>
    <w:p>
      <w:pPr>
        <w:pStyle w:val="61"/>
        <w:spacing w:line="276" w:lineRule="auto"/>
        <w:ind w:firstLine="316" w:firstLineChars="150"/>
        <w:outlineLvl w:val="9"/>
        <w:rPr>
          <w:rFonts w:asciiTheme="minorEastAsia" w:hAnsiTheme="minorEastAsia" w:eastAsiaTheme="minorEastAsia"/>
          <w:sz w:val="21"/>
          <w:szCs w:val="21"/>
        </w:rPr>
      </w:pPr>
      <w:r>
        <w:rPr>
          <w:rFonts w:asciiTheme="minorEastAsia" w:hAnsiTheme="minorEastAsia" w:eastAsiaTheme="minorEastAsia"/>
          <w:sz w:val="21"/>
          <w:szCs w:val="21"/>
        </w:rPr>
        <w:t>2.3</w:t>
      </w:r>
      <w:r>
        <w:rPr>
          <w:rFonts w:hint="eastAsia" w:asciiTheme="minorEastAsia" w:hAnsiTheme="minorEastAsia" w:eastAsiaTheme="minorEastAsia"/>
          <w:sz w:val="21"/>
          <w:szCs w:val="21"/>
        </w:rPr>
        <w:t>设备清单</w:t>
      </w:r>
    </w:p>
    <w:tbl>
      <w:tblPr>
        <w:tblStyle w:val="46"/>
        <w:tblpPr w:leftFromText="180" w:rightFromText="180" w:vertAnchor="text" w:horzAnchor="margin" w:tblpXSpec="center" w:tblpY="59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268"/>
        <w:gridCol w:w="4253"/>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序号</w:t>
            </w:r>
          </w:p>
        </w:tc>
        <w:tc>
          <w:tcPr>
            <w:tcW w:w="2268"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内容</w:t>
            </w:r>
          </w:p>
        </w:tc>
        <w:tc>
          <w:tcPr>
            <w:tcW w:w="4253" w:type="dxa"/>
            <w:shd w:val="clear" w:color="auto" w:fill="D9D9D9"/>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备注</w:t>
            </w:r>
          </w:p>
        </w:tc>
        <w:tc>
          <w:tcPr>
            <w:tcW w:w="919"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1</w:t>
            </w:r>
          </w:p>
        </w:tc>
        <w:tc>
          <w:tcPr>
            <w:tcW w:w="2268" w:type="dxa"/>
            <w:vAlign w:val="center"/>
          </w:tcPr>
          <w:p>
            <w:r>
              <w:rPr>
                <w:rFonts w:hint="eastAsia" w:cs="宋体" w:asciiTheme="minorEastAsia" w:hAnsiTheme="minorEastAsia"/>
                <w:b/>
                <w:kern w:val="0"/>
                <w:szCs w:val="21"/>
              </w:rPr>
              <w:t>触摸智能导航台</w:t>
            </w:r>
          </w:p>
          <w:p>
            <w:pPr>
              <w:spacing w:line="276" w:lineRule="auto"/>
              <w:jc w:val="center"/>
              <w:rPr>
                <w:rFonts w:asciiTheme="minorEastAsia" w:hAnsiTheme="minorEastAsia"/>
                <w:b/>
                <w:kern w:val="0"/>
                <w:szCs w:val="21"/>
              </w:rPr>
            </w:pPr>
          </w:p>
        </w:tc>
        <w:tc>
          <w:tcPr>
            <w:tcW w:w="4253" w:type="dxa"/>
          </w:tcPr>
          <w:p>
            <w:r>
              <w:rPr>
                <w:rFonts w:hint="eastAsia" w:cs="宋体" w:asciiTheme="minorEastAsia" w:hAnsiTheme="minorEastAsia"/>
                <w:kern w:val="0"/>
                <w:szCs w:val="21"/>
              </w:rPr>
              <w:t>显示屏尺寸49寸，包含扫码功能，自带操作系统，支持网口；同时负责设备在航站楼的安装，包含在航站楼内的弱电跳线工作（包含需要的网络设备）</w:t>
            </w:r>
          </w:p>
          <w:p>
            <w:pPr>
              <w:spacing w:line="276" w:lineRule="auto"/>
              <w:jc w:val="left"/>
              <w:rPr>
                <w:rFonts w:cs="宋体" w:asciiTheme="minorEastAsia" w:hAnsiTheme="minorEastAsia"/>
                <w:kern w:val="0"/>
                <w:szCs w:val="21"/>
              </w:rPr>
            </w:pPr>
          </w:p>
          <w:p>
            <w:pPr>
              <w:spacing w:line="276" w:lineRule="auto"/>
              <w:jc w:val="left"/>
              <w:rPr>
                <w:rFonts w:asciiTheme="minorEastAsia" w:hAnsiTheme="minorEastAsia"/>
                <w:kern w:val="0"/>
                <w:szCs w:val="21"/>
              </w:rPr>
            </w:pPr>
            <w:r>
              <w:rPr>
                <w:rFonts w:hint="eastAsia" w:cs="宋体" w:asciiTheme="minorEastAsia" w:hAnsiTheme="minorEastAsia"/>
                <w:kern w:val="0"/>
                <w:szCs w:val="21"/>
              </w:rPr>
              <w:t>原厂质保三年</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2</w:t>
            </w:r>
          </w:p>
        </w:tc>
        <w:tc>
          <w:tcPr>
            <w:tcW w:w="2268"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综合布线</w:t>
            </w:r>
          </w:p>
        </w:tc>
        <w:tc>
          <w:tcPr>
            <w:tcW w:w="4253" w:type="dxa"/>
          </w:tcPr>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6台导乘台的网络跳线，包括布线所需相应的网络设备，如交换机等</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3</w:t>
            </w:r>
          </w:p>
        </w:tc>
        <w:tc>
          <w:tcPr>
            <w:tcW w:w="2268"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航班信息接口</w:t>
            </w:r>
          </w:p>
        </w:tc>
        <w:tc>
          <w:tcPr>
            <w:tcW w:w="4253" w:type="dxa"/>
          </w:tcPr>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与杭州机场数据中心的航班数据接口，包含双方的数据接口开发</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4</w:t>
            </w:r>
          </w:p>
        </w:tc>
        <w:tc>
          <w:tcPr>
            <w:tcW w:w="2268"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智能导航软件</w:t>
            </w:r>
          </w:p>
        </w:tc>
        <w:tc>
          <w:tcPr>
            <w:tcW w:w="4253" w:type="dxa"/>
          </w:tcPr>
          <w:p>
            <w:pPr>
              <w:pStyle w:val="61"/>
              <w:spacing w:line="276" w:lineRule="auto"/>
              <w:ind w:firstLine="0" w:firstLineChars="0"/>
              <w:outlineLvl w:val="9"/>
              <w:rPr>
                <w:rFonts w:cs="宋体" w:asciiTheme="minorEastAsia" w:hAnsiTheme="minorEastAsia"/>
                <w:szCs w:val="21"/>
              </w:rPr>
            </w:pPr>
            <w:r>
              <w:rPr>
                <w:rFonts w:hint="eastAsia" w:eastAsia="宋体" w:cs="宋体" w:asciiTheme="minorEastAsia" w:hAnsiTheme="minorEastAsia"/>
                <w:b w:val="0"/>
                <w:sz w:val="21"/>
                <w:szCs w:val="21"/>
              </w:rPr>
              <w:t>详见</w:t>
            </w:r>
            <w:r>
              <w:rPr>
                <w:rFonts w:eastAsia="宋体" w:cs="宋体" w:asciiTheme="minorEastAsia" w:hAnsiTheme="minorEastAsia"/>
                <w:b w:val="0"/>
                <w:sz w:val="21"/>
                <w:szCs w:val="21"/>
              </w:rPr>
              <w:t>2.2</w:t>
            </w:r>
            <w:r>
              <w:rPr>
                <w:rFonts w:hint="eastAsia" w:eastAsia="宋体" w:cs="宋体" w:asciiTheme="minorEastAsia" w:hAnsiTheme="minorEastAsia"/>
                <w:b w:val="0"/>
                <w:sz w:val="21"/>
                <w:szCs w:val="21"/>
              </w:rPr>
              <w:t>软件功能要求</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5</w:t>
            </w:r>
          </w:p>
        </w:tc>
        <w:tc>
          <w:tcPr>
            <w:tcW w:w="2268" w:type="dxa"/>
            <w:vAlign w:val="center"/>
          </w:tcPr>
          <w:p>
            <w:pPr>
              <w:spacing w:line="276" w:lineRule="auto"/>
              <w:jc w:val="center"/>
              <w:rPr>
                <w:rFonts w:asciiTheme="minorEastAsia" w:hAnsiTheme="minorEastAsia"/>
                <w:b/>
                <w:kern w:val="0"/>
                <w:szCs w:val="21"/>
              </w:rPr>
            </w:pPr>
            <w:r>
              <w:rPr>
                <w:rFonts w:hint="eastAsia" w:cs="宋体" w:asciiTheme="minorEastAsia" w:hAnsiTheme="minorEastAsia"/>
                <w:b/>
                <w:kern w:val="0"/>
                <w:szCs w:val="21"/>
              </w:rPr>
              <w:t>服务器</w:t>
            </w:r>
          </w:p>
        </w:tc>
        <w:tc>
          <w:tcPr>
            <w:tcW w:w="4253" w:type="dxa"/>
          </w:tcPr>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详见</w:t>
            </w:r>
            <w:r>
              <w:rPr>
                <w:rFonts w:cs="宋体" w:asciiTheme="minorEastAsia" w:hAnsiTheme="minorEastAsia"/>
                <w:kern w:val="0"/>
                <w:szCs w:val="21"/>
              </w:rPr>
              <w:t xml:space="preserve">2.3.2 </w:t>
            </w:r>
            <w:r>
              <w:rPr>
                <w:rFonts w:hint="eastAsia" w:cs="宋体" w:asciiTheme="minorEastAsia" w:hAnsiTheme="minorEastAsia"/>
                <w:kern w:val="0"/>
                <w:szCs w:val="21"/>
              </w:rPr>
              <w:t>服务器配置要求</w:t>
            </w:r>
          </w:p>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原厂质保三年</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1台</w:t>
            </w:r>
          </w:p>
        </w:tc>
      </w:tr>
    </w:tbl>
    <w:p>
      <w:pPr>
        <w:pStyle w:val="61"/>
        <w:spacing w:line="276" w:lineRule="auto"/>
        <w:ind w:firstLine="0" w:firstLineChars="0"/>
        <w:outlineLvl w:val="9"/>
        <w:rPr>
          <w:rFonts w:asciiTheme="minorEastAsia" w:hAnsiTheme="minorEastAsia" w:eastAsiaTheme="minorEastAsia"/>
          <w:sz w:val="21"/>
          <w:szCs w:val="21"/>
        </w:rPr>
      </w:pPr>
    </w:p>
    <w:p>
      <w:pPr>
        <w:pStyle w:val="61"/>
        <w:spacing w:line="276" w:lineRule="auto"/>
        <w:ind w:firstLine="316" w:firstLineChars="150"/>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2.3.1 智能触摸台配置要求</w:t>
      </w:r>
    </w:p>
    <w:tbl>
      <w:tblPr>
        <w:tblStyle w:val="4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技术指标</w:t>
            </w:r>
          </w:p>
        </w:tc>
        <w:tc>
          <w:tcPr>
            <w:tcW w:w="7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液晶屏品牌</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三星/LG或同档次及以上知名品牌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处理器</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推荐Intel酷睿i5处理器，主频:≥2.</w:t>
            </w:r>
            <w:r>
              <w:rPr>
                <w:rFonts w:cs="宋体" w:asciiTheme="minorEastAsia" w:hAnsiTheme="minorEastAsia"/>
                <w:kern w:val="0"/>
                <w:szCs w:val="21"/>
              </w:rPr>
              <w:t>4</w:t>
            </w:r>
            <w:r>
              <w:rPr>
                <w:rFonts w:hint="eastAsia" w:cs="宋体" w:asciiTheme="minorEastAsia" w:hAnsiTheme="minorEastAsia"/>
                <w:kern w:val="0"/>
                <w:szCs w:val="21"/>
              </w:rPr>
              <w:t>GHz，≥4核；或同等以上配置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内存</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b/>
                <w:kern w:val="0"/>
                <w:szCs w:val="21"/>
              </w:rPr>
            </w:pPr>
            <w:r>
              <w:rPr>
                <w:rFonts w:hint="eastAsia" w:cs="宋体" w:asciiTheme="minorEastAsia" w:hAnsiTheme="minorEastAsia"/>
                <w:kern w:val="0"/>
                <w:szCs w:val="21"/>
              </w:rPr>
              <w:t>&gt;=8G；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存储</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内置200G及以上固态硬盘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板载网口</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包含wifi模块，标准有线模块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操作系统</w:t>
            </w:r>
          </w:p>
        </w:tc>
        <w:tc>
          <w:tcPr>
            <w:tcW w:w="7513" w:type="dxa"/>
            <w:tcBorders>
              <w:top w:val="single" w:color="auto" w:sz="4" w:space="0"/>
              <w:left w:val="single" w:color="auto" w:sz="4" w:space="0"/>
              <w:bottom w:val="single" w:color="auto" w:sz="4" w:space="0"/>
              <w:right w:val="single" w:color="auto" w:sz="4" w:space="0"/>
            </w:tcBorders>
          </w:tcPr>
          <w:p/>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安卓或Windows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电源</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提供高效率冗余电源，并提供配套的电源连接线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分辨率</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rPr>
              <w:t>1920*1080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触摸点数</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rPr>
              <w:t>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显示屏尺寸</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highlight w:val="red"/>
              </w:rPr>
              <w:t>横屏</w:t>
            </w:r>
            <w:r>
              <w:rPr>
                <w:rFonts w:cs="宋体" w:asciiTheme="minorEastAsia" w:hAnsiTheme="minorEastAsia"/>
                <w:kern w:val="0"/>
                <w:szCs w:val="21"/>
                <w:highlight w:val="red"/>
              </w:rPr>
              <w:t>49寸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其他配置</w:t>
            </w:r>
          </w:p>
        </w:tc>
        <w:tc>
          <w:tcPr>
            <w:tcW w:w="7513" w:type="dxa"/>
            <w:tcBorders>
              <w:top w:val="single" w:color="auto" w:sz="4" w:space="0"/>
              <w:left w:val="single" w:color="auto" w:sz="4" w:space="0"/>
              <w:bottom w:val="single" w:color="auto" w:sz="4" w:space="0"/>
              <w:right w:val="single" w:color="auto" w:sz="4" w:space="0"/>
            </w:tcBorders>
            <w:vAlign w:val="center"/>
          </w:tcPr>
          <w:p/>
          <w:p>
            <w:pPr>
              <w:widowControl/>
              <w:spacing w:line="276" w:lineRule="auto"/>
              <w:jc w:val="left"/>
              <w:rPr>
                <w:rFonts w:cs="宋体" w:asciiTheme="minorEastAsia" w:hAnsiTheme="minorEastAsia"/>
                <w:szCs w:val="21"/>
              </w:rPr>
            </w:pPr>
            <w:r>
              <w:rPr>
                <w:rFonts w:hint="eastAsia" w:cs="宋体" w:asciiTheme="minorEastAsia" w:hAnsiTheme="minorEastAsia"/>
                <w:kern w:val="0"/>
                <w:szCs w:val="21"/>
              </w:rPr>
              <w:t>支持触摸操作；支持扫码（二维码及条形码）；自带摄像头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质保要求</w:t>
            </w:r>
          </w:p>
        </w:tc>
        <w:tc>
          <w:tcPr>
            <w:tcW w:w="7513"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原厂三年质保</w:t>
            </w:r>
          </w:p>
        </w:tc>
      </w:tr>
    </w:tbl>
    <w:p>
      <w:pPr>
        <w:pStyle w:val="61"/>
        <w:spacing w:line="276" w:lineRule="auto"/>
        <w:ind w:firstLine="0" w:firstLineChars="0"/>
        <w:jc w:val="both"/>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2.3.2 服务器配置要求</w:t>
      </w:r>
    </w:p>
    <w:tbl>
      <w:tblPr>
        <w:tblStyle w:val="46"/>
        <w:tblW w:w="907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技术指标</w:t>
            </w:r>
          </w:p>
        </w:tc>
        <w:tc>
          <w:tcPr>
            <w:tcW w:w="7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推荐品牌</w:t>
            </w:r>
          </w:p>
        </w:tc>
        <w:tc>
          <w:tcPr>
            <w:tcW w:w="7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DELL 、联想</w:t>
            </w:r>
            <w:r>
              <w:rPr>
                <w:rFonts w:hint="eastAsia" w:cs="宋体" w:asciiTheme="minorEastAsia" w:hAnsiTheme="minorEastAsia"/>
                <w:kern w:val="0"/>
                <w:szCs w:val="21"/>
              </w:rPr>
              <w:t>或同档次及以上</w:t>
            </w:r>
            <w:r>
              <w:rPr>
                <w:rFonts w:hint="eastAsia" w:cs="宋体" w:asciiTheme="minorEastAsia" w:hAnsiTheme="minorEastAsia"/>
                <w:b/>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处理器</w:t>
            </w:r>
          </w:p>
        </w:tc>
        <w:tc>
          <w:tcPr>
            <w:tcW w:w="7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b/>
                <w:kern w:val="0"/>
                <w:sz w:val="22"/>
              </w:rPr>
            </w:pPr>
            <w:r>
              <w:rPr>
                <w:rFonts w:hint="eastAsia" w:cs="Calibri" w:asciiTheme="minorEastAsia" w:hAnsiTheme="minorEastAsia"/>
                <w:sz w:val="22"/>
              </w:rPr>
              <w:t>配置2*英特尔至强</w:t>
            </w:r>
            <w:r>
              <w:rPr>
                <w:rFonts w:cs="Calibri" w:asciiTheme="minorEastAsia" w:hAnsiTheme="minorEastAsia"/>
                <w:sz w:val="22"/>
              </w:rPr>
              <w:t xml:space="preserve"> 银牌 4114 2.2G, 10C/20T</w:t>
            </w:r>
            <w:r>
              <w:rPr>
                <w:rFonts w:hint="eastAsia" w:cs="Calibri" w:asciiTheme="minorEastAsia" w:hAnsiTheme="minorEastAsia"/>
                <w:sz w:val="22"/>
              </w:rPr>
              <w:t>处理器；可支持铂金81xx，金61xx/51xx，银41xx，铜31xx系列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内存</w:t>
            </w:r>
          </w:p>
        </w:tc>
        <w:tc>
          <w:tcPr>
            <w:tcW w:w="7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支持RDIMM，LRDIMM，NVDIMM-N；24 个DIMM 插槽，本次配置2*</w:t>
            </w:r>
            <w:r>
              <w:rPr>
                <w:rFonts w:cs="Calibri" w:asciiTheme="minorEastAsia" w:hAnsiTheme="minorEastAsia"/>
                <w:sz w:val="22"/>
              </w:rPr>
              <w:t>32GB RDIMM内存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硬盘</w:t>
            </w:r>
          </w:p>
        </w:tc>
        <w:tc>
          <w:tcPr>
            <w:tcW w:w="7528" w:type="dxa"/>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≥1</w:t>
            </w:r>
            <w:r>
              <w:rPr>
                <w:rFonts w:cs="Calibri" w:asciiTheme="minorEastAsia" w:hAnsiTheme="minorEastAsia"/>
                <w:sz w:val="22"/>
              </w:rPr>
              <w:t>6</w:t>
            </w:r>
            <w:r>
              <w:rPr>
                <w:rFonts w:hint="eastAsia" w:cs="Calibri" w:asciiTheme="minorEastAsia" w:hAnsiTheme="minorEastAsia"/>
                <w:sz w:val="22"/>
              </w:rPr>
              <w:t>个硬盘槽位；本次配置5</w:t>
            </w:r>
            <w:r>
              <w:rPr>
                <w:rFonts w:cs="Calibri" w:asciiTheme="minorEastAsia" w:hAnsiTheme="minorEastAsia"/>
                <w:sz w:val="22"/>
              </w:rPr>
              <w:t>*960GB SSD SATA SSD</w:t>
            </w:r>
          </w:p>
          <w:p>
            <w:pPr>
              <w:autoSpaceDE w:val="0"/>
              <w:autoSpaceDN w:val="0"/>
              <w:adjustRightInd w:val="0"/>
              <w:spacing w:line="276" w:lineRule="auto"/>
              <w:jc w:val="left"/>
              <w:rPr>
                <w:rFonts w:cs="Calibri" w:asciiTheme="minorEastAsia" w:hAnsiTheme="minorEastAsia"/>
                <w:sz w:val="22"/>
              </w:rPr>
            </w:pPr>
            <w:r>
              <w:rPr>
                <w:rFonts w:hint="eastAsia" w:cs="宋体" w:asciiTheme="minorEastAsia" w:hAnsiTheme="minorEastAsia"/>
                <w:kern w:val="0"/>
                <w:sz w:val="22"/>
              </w:rPr>
              <w:t>硬盘应在VMware官方VSAN兼容列表中可查。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快擦硬盘/SSD</w:t>
            </w:r>
          </w:p>
        </w:tc>
        <w:tc>
          <w:tcPr>
            <w:tcW w:w="7528" w:type="dxa"/>
            <w:shd w:val="clear" w:color="auto" w:fill="auto"/>
            <w:vAlign w:val="center"/>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可选服务器生命周期结束或者挪作它用时一键删除硬盘/SSD所有信息，只需要几分钟就能保证信息不泄露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RAID卡</w:t>
            </w:r>
          </w:p>
        </w:tc>
        <w:tc>
          <w:tcPr>
            <w:tcW w:w="7528" w:type="dxa"/>
            <w:shd w:val="clear" w:color="auto" w:fill="auto"/>
            <w:vAlign w:val="center"/>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配置≥2GB高速缓存，支持RAID 0、1、5、6、10、50、60，断电保护；可选4Gb RAID卡</w:t>
            </w:r>
          </w:p>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RAID卡</w:t>
            </w:r>
            <w:r>
              <w:rPr>
                <w:rFonts w:hint="eastAsia" w:cs="宋体" w:asciiTheme="minorEastAsia" w:hAnsiTheme="minorEastAsia"/>
                <w:kern w:val="0"/>
                <w:sz w:val="22"/>
              </w:rPr>
              <w:t>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SD卡</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配置2个16GB SD卡，Raid1，可用于部署虚拟化软件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PCI插槽</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w:t>
            </w:r>
            <w:r>
              <w:rPr>
                <w:rFonts w:cs="Calibri" w:asciiTheme="minorEastAsia" w:hAnsiTheme="minorEastAsia"/>
                <w:sz w:val="22"/>
              </w:rPr>
              <w:t>4</w:t>
            </w:r>
            <w:r>
              <w:rPr>
                <w:rFonts w:hint="eastAsia" w:cs="Calibri" w:asciiTheme="minorEastAsia" w:hAnsiTheme="minorEastAsia"/>
                <w:sz w:val="22"/>
              </w:rPr>
              <w:t>个PCIe第3代插槽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cs="Courier New" w:asciiTheme="minorEastAsia" w:hAnsiTheme="minorEastAsia"/>
                <w:b/>
                <w:bCs/>
                <w:sz w:val="22"/>
              </w:rPr>
              <w:t>HBA卡</w:t>
            </w:r>
          </w:p>
        </w:tc>
        <w:tc>
          <w:tcPr>
            <w:tcW w:w="7528" w:type="dxa"/>
            <w:shd w:val="clear" w:color="auto" w:fill="auto"/>
            <w:vAlign w:val="center"/>
          </w:tcPr>
          <w:p>
            <w:pPr>
              <w:spacing w:line="276" w:lineRule="auto"/>
              <w:rPr>
                <w:rFonts w:cs="Calibri" w:asciiTheme="minorEastAsia" w:hAnsiTheme="minorEastAsia"/>
                <w:sz w:val="22"/>
              </w:rPr>
            </w:pPr>
            <w:r>
              <w:rPr>
                <w:rFonts w:cs="Calibri" w:asciiTheme="minorEastAsia" w:hAnsiTheme="minorEastAsia"/>
                <w:sz w:val="22"/>
              </w:rPr>
              <w:t>Emulex LPe31002-M6-D 双端口 16Gb 光纤通道 HBA</w:t>
            </w:r>
            <w:r>
              <w:rPr>
                <w:rFonts w:hint="eastAsia" w:cs="Calibri" w:asciiTheme="minorEastAsia" w:hAnsiTheme="minorEastAsia"/>
                <w:sz w:val="22"/>
              </w:rPr>
              <w:t>卡</w:t>
            </w:r>
            <w:r>
              <w:rPr>
                <w:rFonts w:hint="eastAsia" w:asciiTheme="minorEastAsia" w:hAnsiTheme="minorEastAsia" w:cstheme="minorEastAsia"/>
                <w:kern w:val="0"/>
                <w:sz w:val="22"/>
              </w:rPr>
              <w:t>（含2个光模块）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网卡</w:t>
            </w:r>
          </w:p>
        </w:tc>
        <w:tc>
          <w:tcPr>
            <w:tcW w:w="7528" w:type="dxa"/>
            <w:shd w:val="clear" w:color="auto" w:fill="auto"/>
            <w:vAlign w:val="center"/>
          </w:tcPr>
          <w:p>
            <w:pPr>
              <w:spacing w:line="276" w:lineRule="auto"/>
              <w:rPr>
                <w:rFonts w:cs="Calibri" w:asciiTheme="minorEastAsia" w:hAnsiTheme="minorEastAsia"/>
                <w:sz w:val="22"/>
              </w:rPr>
            </w:pPr>
            <w:r>
              <w:rPr>
                <w:rFonts w:hint="eastAsia" w:cs="宋体" w:asciiTheme="minorEastAsia" w:hAnsiTheme="minorEastAsia"/>
                <w:kern w:val="0"/>
                <w:sz w:val="22"/>
              </w:rPr>
              <w:t>配置1块2端口</w:t>
            </w:r>
            <w:r>
              <w:rPr>
                <w:rFonts w:cs="Calibri" w:asciiTheme="minorEastAsia" w:hAnsiTheme="minorEastAsia"/>
                <w:sz w:val="22"/>
              </w:rPr>
              <w:t>英特尔 X520 DP 10Gb DA/SFP+</w:t>
            </w:r>
            <w:r>
              <w:rPr>
                <w:rFonts w:hint="eastAsia" w:cs="Calibri" w:asciiTheme="minorEastAsia" w:hAnsiTheme="minorEastAsia"/>
                <w:sz w:val="22"/>
              </w:rPr>
              <w:t>含2个多模光模块</w:t>
            </w:r>
          </w:p>
          <w:p>
            <w:pPr>
              <w:spacing w:line="276" w:lineRule="auto"/>
              <w:rPr>
                <w:rFonts w:cs="Calibri" w:asciiTheme="minorEastAsia" w:hAnsiTheme="minorEastAsia"/>
                <w:sz w:val="22"/>
              </w:rPr>
            </w:pPr>
            <w:r>
              <w:rPr>
                <w:rFonts w:cs="Calibri" w:asciiTheme="minorEastAsia" w:hAnsiTheme="minorEastAsia"/>
                <w:sz w:val="22"/>
              </w:rPr>
              <w:t>英特尔以太网 I350 QP 1Gb 网络子卡</w:t>
            </w:r>
            <w:r>
              <w:rPr>
                <w:rFonts w:hint="eastAsia" w:cs="Calibri" w:asciiTheme="minorEastAsia" w:hAnsiTheme="minorEastAsia"/>
                <w:sz w:val="22"/>
              </w:rPr>
              <w:t>≥</w:t>
            </w:r>
            <w:r>
              <w:rPr>
                <w:rFonts w:cs="Calibri" w:asciiTheme="minorEastAsia" w:hAnsiTheme="minorEastAsia"/>
                <w:sz w:val="22"/>
              </w:rPr>
              <w:t>4</w:t>
            </w:r>
            <w:r>
              <w:rPr>
                <w:rFonts w:hint="eastAsia" w:cs="Calibri" w:asciiTheme="minorEastAsia" w:hAnsiTheme="minorEastAsia"/>
                <w:sz w:val="22"/>
              </w:rPr>
              <w:t>个</w:t>
            </w:r>
          </w:p>
          <w:p>
            <w:pPr>
              <w:spacing w:line="276" w:lineRule="auto"/>
              <w:rPr>
                <w:rFonts w:cs="Calibri" w:asciiTheme="minorEastAsia" w:hAnsiTheme="minorEastAsia"/>
                <w:sz w:val="22"/>
              </w:rPr>
            </w:pPr>
            <w:r>
              <w:rPr>
                <w:rFonts w:hint="eastAsia" w:cs="宋体" w:asciiTheme="minorEastAsia" w:hAnsiTheme="minorEastAsia"/>
                <w:kern w:val="0"/>
                <w:sz w:val="22"/>
              </w:rPr>
              <w:t>10Gb网卡应在VMware官方VSAN兼容列表中可查。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电源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配置1+1≥750</w:t>
            </w:r>
            <w:r>
              <w:rPr>
                <w:rFonts w:cs="Calibri" w:asciiTheme="minorEastAsia" w:hAnsiTheme="minorEastAsia"/>
                <w:sz w:val="22"/>
              </w:rPr>
              <w:t>W</w:t>
            </w:r>
            <w:r>
              <w:rPr>
                <w:rFonts w:hint="eastAsia" w:cs="Calibri" w:asciiTheme="minorEastAsia" w:hAnsiTheme="minorEastAsia"/>
                <w:sz w:val="22"/>
              </w:rPr>
              <w:t>冗余热插拔电源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安全功能和特性</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加密签名固件，硬件根信任，安全启动，自动BIOS恢复，快速OS恢复，系统一键锁定，安全的缺省密码，配置和固件漂移检测，持久日志（包括用户形迹）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前置管理液晶屏</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前面板上配备有可拆卸液晶屏，可显示默认或定制信息，包括IP地址、服务器名称、支持服务编号等。如果系统发生故障，该液晶屏上将显示关于故障的具体信息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能耗管理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可监控、报告及控制处理器、内存及系统级的能耗，允许通过一体化管理控制台实现基于策略的功耗封顶。虚拟机功耗映射，可以根据功耗对于虚拟机进行负载平衡以及按虚拟机报告功能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第三方管理平台集成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 xml:space="preserve"> 提供主流管理平台如VMware vCenter，Microsoft System Center，BMC Software的插件集成；能够连接常见的管理平台如Nagios &amp; Nagios XI,Oracle Enterprise Manager, HP Operations Manager,</w:t>
            </w:r>
          </w:p>
          <w:p>
            <w:pPr>
              <w:spacing w:line="276" w:lineRule="auto"/>
              <w:rPr>
                <w:rFonts w:cs="Calibri" w:asciiTheme="minorEastAsia" w:hAnsiTheme="minorEastAsia"/>
                <w:sz w:val="22"/>
              </w:rPr>
            </w:pPr>
            <w:r>
              <w:rPr>
                <w:rFonts w:hint="eastAsia" w:cs="Calibri" w:asciiTheme="minorEastAsia" w:hAnsiTheme="minorEastAsia"/>
                <w:sz w:val="22"/>
              </w:rPr>
              <w:t>IBM Tivoli Netcool/OMNIbus, IBM Tivoli® Network Manager, CA Network and Systems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远程管理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配置远程管理卡，具有单独的管理网口，可不依赖主机操作系统进行远程操作。提供远程监控图形界面，可实现与操作系统无关的远程对服务器的完全控制，包括远程的开关机、重启、更新Firmware, 虚拟KVM, 虚拟软驱，虚拟光驱、虚拟介质重定向等操作；支持SNMP，IPMI和Redfish；支持IPv6。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前置专用USB管理口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允许用户独立于操作系统状态之外（免代理安装方式）远程访问、监控、维修、修复和升级服务器。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能够利用SD卡保存操作系统安装镜像，从而实现一站式地完成操作系统的部署，包括内建驱动程序安装、固件更新、硬件配置和问题诊断。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组管理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一个页面可以集中管理100台服务器，且无需任何软件和代理。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移动管理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可升级通过手机和平板电脑管理服务器，可以做现场的资产清点。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全生命周期管理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从服务器出厂免光盘安装部署，到升级，监控，维护，直至报废涉及的方方面面提供全生命周期管理。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导轨</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通用滑动机架式导轨,免工具安装。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lang w:val="zh-CN"/>
              </w:rPr>
              <w:t>监控分析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提供性能监控分析软件并提供图文报告：包含CPU、内存、读写IOPS的峰值、吞吐量、读写比例，以及延迟、队列等性能数据，同时能提供所连接服务器的总核心数、以及CPU的峰值和最低值；支持监测VMware虚拟化集群、linux和Windows系统，且没有数量限制；深入分析服务器工作负载和容量需求，以优化数据中心运行效率；必须在应答书里描述如何实现并提供详细的报告样本实例，同时必须在签订合同前通过测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服务</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原厂商3年硬件免费保修，原厂工程师7 x 24 x 4小时免费上门服务，带原厂商服务承诺函；服务器硬盘故障免回收。</w:t>
            </w:r>
          </w:p>
        </w:tc>
      </w:tr>
    </w:tbl>
    <w:p>
      <w:pPr>
        <w:pStyle w:val="61"/>
        <w:spacing w:line="276" w:lineRule="auto"/>
        <w:ind w:firstLine="0" w:firstLineChars="0"/>
        <w:outlineLvl w:val="9"/>
        <w:rPr>
          <w:rFonts w:asciiTheme="minorEastAsia" w:hAnsiTheme="minorEastAsia" w:eastAsiaTheme="minorEastAsia"/>
          <w:sz w:val="21"/>
          <w:szCs w:val="21"/>
        </w:rPr>
      </w:pPr>
    </w:p>
    <w:p>
      <w:pPr>
        <w:pStyle w:val="61"/>
        <w:spacing w:line="276" w:lineRule="auto"/>
        <w:ind w:firstLine="316" w:firstLineChars="150"/>
        <w:outlineLvl w:val="9"/>
        <w:rPr>
          <w:rFonts w:asciiTheme="minorEastAsia" w:hAnsiTheme="minorEastAsia" w:eastAsiaTheme="minorEastAsia"/>
          <w:sz w:val="21"/>
          <w:szCs w:val="21"/>
        </w:rPr>
      </w:pPr>
    </w:p>
    <w:p>
      <w:pPr>
        <w:pStyle w:val="61"/>
        <w:spacing w:line="276" w:lineRule="auto"/>
        <w:ind w:firstLine="316" w:firstLineChars="150"/>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2.4系统软硬件技术要求</w:t>
      </w:r>
    </w:p>
    <w:p>
      <w:pPr>
        <w:pStyle w:val="61"/>
        <w:spacing w:line="276" w:lineRule="auto"/>
        <w:ind w:firstLine="316" w:firstLineChars="150"/>
        <w:outlineLvl w:val="9"/>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.4.</w:t>
      </w:r>
      <w:r>
        <w:rPr>
          <w:rFonts w:asciiTheme="minorEastAsia" w:hAnsiTheme="minorEastAsia" w:eastAsiaTheme="minorEastAsia"/>
          <w:sz w:val="21"/>
          <w:szCs w:val="21"/>
        </w:rPr>
        <w:t>1</w:t>
      </w:r>
      <w:r>
        <w:rPr>
          <w:rFonts w:hint="eastAsia" w:asciiTheme="minorEastAsia" w:hAnsiTheme="minorEastAsia" w:eastAsiaTheme="minorEastAsia"/>
          <w:sz w:val="21"/>
          <w:szCs w:val="21"/>
        </w:rPr>
        <w:t>总体软硬件技术要求</w:t>
      </w:r>
    </w:p>
    <w:p>
      <w:pPr>
        <w:pStyle w:val="152"/>
        <w:numPr>
          <w:ilvl w:val="0"/>
          <w:numId w:val="2"/>
        </w:numPr>
        <w:spacing w:line="276" w:lineRule="auto"/>
        <w:ind w:left="0" w:firstLine="420"/>
        <w:textAlignment w:val="center"/>
        <w:rPr>
          <w:rFonts w:asciiTheme="minorEastAsia" w:hAnsiTheme="minorEastAsia" w:eastAsiaTheme="minorEastAsia"/>
          <w:kern w:val="0"/>
          <w:szCs w:val="21"/>
        </w:rPr>
      </w:pPr>
      <w:r>
        <w:rPr>
          <w:rFonts w:hint="eastAsia" w:asciiTheme="minorEastAsia" w:hAnsiTheme="minorEastAsia" w:eastAsiaTheme="minorEastAsia"/>
          <w:kern w:val="0"/>
          <w:szCs w:val="21"/>
        </w:rPr>
        <w:t>1）开放性要求：支持多种硬件平台，采用通用软件开发平台开发，具备良好的可移植性。采用标准开放接口，支持与其它系统的数据交换、共享和功能模块调用。</w:t>
      </w:r>
    </w:p>
    <w:p>
      <w:pPr>
        <w:pStyle w:val="152"/>
        <w:numPr>
          <w:ilvl w:val="0"/>
          <w:numId w:val="2"/>
        </w:numPr>
        <w:spacing w:line="276" w:lineRule="auto"/>
        <w:ind w:left="0" w:firstLine="420"/>
        <w:textAlignment w:val="center"/>
        <w:rPr>
          <w:rFonts w:asciiTheme="minorEastAsia" w:hAnsiTheme="minorEastAsia" w:eastAsiaTheme="minorEastAsia"/>
          <w:kern w:val="0"/>
          <w:szCs w:val="21"/>
        </w:rPr>
      </w:pPr>
      <w:r>
        <w:rPr>
          <w:rFonts w:hint="eastAsia" w:asciiTheme="minorEastAsia" w:hAnsiTheme="minorEastAsia" w:eastAsiaTheme="minorEastAsia"/>
          <w:kern w:val="0"/>
          <w:szCs w:val="21"/>
        </w:rPr>
        <w:t>2）标准化要求：各项软件开发工具和系统开发平台应符合我国国家标准、招标人相关技术规范和要求。</w:t>
      </w:r>
    </w:p>
    <w:p>
      <w:pPr>
        <w:pStyle w:val="152"/>
        <w:numPr>
          <w:ilvl w:val="0"/>
          <w:numId w:val="2"/>
        </w:numPr>
        <w:spacing w:line="276" w:lineRule="auto"/>
        <w:ind w:left="0" w:firstLine="420"/>
        <w:textAlignment w:val="center"/>
        <w:rPr>
          <w:rFonts w:asciiTheme="minorEastAsia" w:hAnsiTheme="minorEastAsia" w:eastAsiaTheme="minorEastAsia"/>
          <w:kern w:val="0"/>
          <w:szCs w:val="21"/>
        </w:rPr>
      </w:pPr>
      <w:r>
        <w:rPr>
          <w:rFonts w:hint="eastAsia" w:asciiTheme="minorEastAsia" w:hAnsiTheme="minorEastAsia" w:eastAsiaTheme="minorEastAsia"/>
          <w:kern w:val="0"/>
          <w:szCs w:val="21"/>
        </w:rPr>
        <w:t>3）可靠性要求：系统应具有较高的可靠性，能连续7×24小时不间断工作，出现故障应能及时告警，以便在发生错误时能快速恢复正常运行。</w:t>
      </w:r>
    </w:p>
    <w:p>
      <w:pPr>
        <w:pStyle w:val="152"/>
        <w:numPr>
          <w:ilvl w:val="0"/>
          <w:numId w:val="2"/>
        </w:numPr>
        <w:spacing w:line="276" w:lineRule="auto"/>
        <w:ind w:left="0" w:firstLine="420"/>
        <w:textAlignment w:val="center"/>
        <w:rPr>
          <w:rFonts w:asciiTheme="minorEastAsia" w:hAnsiTheme="minorEastAsia" w:eastAsiaTheme="minorEastAsia"/>
          <w:kern w:val="0"/>
          <w:szCs w:val="21"/>
        </w:rPr>
      </w:pPr>
      <w:r>
        <w:rPr>
          <w:rFonts w:hint="eastAsia" w:asciiTheme="minorEastAsia" w:hAnsiTheme="minorEastAsia" w:eastAsiaTheme="minorEastAsia"/>
          <w:kern w:val="0"/>
          <w:szCs w:val="21"/>
        </w:rPr>
        <w:t>4）兼容性要求：满足向下兼容的要求，软件版本易于升级，任何一个模块的维护和更新以及新模块的追加都不应影响其它模块，且在升级的过程中不影响系统的性能与运行。</w:t>
      </w:r>
    </w:p>
    <w:p>
      <w:pPr>
        <w:pStyle w:val="152"/>
        <w:numPr>
          <w:ilvl w:val="0"/>
          <w:numId w:val="2"/>
        </w:numPr>
        <w:spacing w:line="276" w:lineRule="auto"/>
        <w:ind w:left="0" w:firstLine="420"/>
        <w:textAlignment w:val="center"/>
        <w:rPr>
          <w:rFonts w:asciiTheme="minorEastAsia" w:hAnsiTheme="minorEastAsia" w:eastAsiaTheme="minorEastAsia"/>
          <w:kern w:val="0"/>
          <w:szCs w:val="21"/>
        </w:rPr>
      </w:pPr>
      <w:r>
        <w:rPr>
          <w:rFonts w:hint="eastAsia" w:asciiTheme="minorEastAsia" w:hAnsiTheme="minorEastAsia" w:eastAsiaTheme="minorEastAsia"/>
          <w:kern w:val="0"/>
          <w:szCs w:val="21"/>
        </w:rPr>
        <w:t>5）性能特性要求：能够保证现有智能导乘台同时不间断的被旅客使用。</w:t>
      </w:r>
    </w:p>
    <w:p>
      <w:pPr>
        <w:tabs>
          <w:tab w:val="left" w:pos="5985"/>
        </w:tabs>
        <w:snapToGrid w:val="0"/>
        <w:rPr>
          <w:rFonts w:ascii="宋体" w:hAnsi="宋体"/>
          <w:b/>
          <w:snapToGrid w:val="0"/>
          <w:kern w:val="0"/>
          <w:szCs w:val="21"/>
        </w:rPr>
      </w:pPr>
      <w:r>
        <w:rPr>
          <w:rFonts w:hint="eastAsia" w:ascii="宋体" w:hAnsi="宋体"/>
          <w:b/>
          <w:snapToGrid w:val="0"/>
          <w:kern w:val="0"/>
          <w:szCs w:val="21"/>
        </w:rPr>
        <w:t>三、项目实施要求</w:t>
      </w:r>
    </w:p>
    <w:p>
      <w:pPr>
        <w:tabs>
          <w:tab w:val="left" w:pos="5985"/>
        </w:tabs>
        <w:snapToGrid w:val="0"/>
        <w:spacing w:line="360" w:lineRule="auto"/>
        <w:ind w:firstLine="422" w:firstLineChars="200"/>
        <w:rPr>
          <w:rFonts w:ascii="宋体" w:hAnsi="宋体" w:cs="宋体"/>
          <w:b/>
          <w:bCs/>
          <w:szCs w:val="21"/>
        </w:rPr>
      </w:pPr>
      <w:r>
        <w:rPr>
          <w:rFonts w:hint="eastAsia" w:ascii="宋体" w:hAnsi="宋体" w:cs="宋体"/>
          <w:b/>
          <w:bCs/>
          <w:szCs w:val="21"/>
        </w:rPr>
        <w:t>3.1项目实施人员要求</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本项目不得分包或转包。严格遵循招标人项目进度要求，不得无故拖延工期。</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3.1.1</w:t>
      </w:r>
      <w:r>
        <w:rPr>
          <w:rFonts w:hint="eastAsia" w:ascii="宋体" w:hAnsi="宋体" w:cs="宋体"/>
          <w:bCs/>
          <w:szCs w:val="21"/>
        </w:rPr>
        <w:t>项目经理：要求3年以上项目管理经验。</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3.1.2</w:t>
      </w:r>
      <w:r>
        <w:rPr>
          <w:rFonts w:hint="eastAsia" w:ascii="宋体" w:hAnsi="宋体" w:cs="宋体"/>
          <w:bCs/>
          <w:szCs w:val="21"/>
        </w:rPr>
        <w:t>实施工程师</w:t>
      </w:r>
      <w:r>
        <w:rPr>
          <w:rFonts w:ascii="宋体" w:hAnsi="宋体" w:cs="宋体"/>
          <w:bCs/>
          <w:szCs w:val="21"/>
        </w:rPr>
        <w:t>:</w:t>
      </w:r>
      <w:r>
        <w:rPr>
          <w:rFonts w:hint="eastAsia" w:ascii="宋体" w:hAnsi="宋体" w:cs="宋体"/>
          <w:bCs/>
          <w:szCs w:val="21"/>
        </w:rPr>
        <w:t xml:space="preserve"> 要求</w:t>
      </w:r>
      <w:r>
        <w:rPr>
          <w:rFonts w:ascii="宋体" w:hAnsi="宋体" w:cs="宋体"/>
          <w:bCs/>
          <w:szCs w:val="21"/>
        </w:rPr>
        <w:t>2</w:t>
      </w:r>
      <w:r>
        <w:rPr>
          <w:rFonts w:hint="eastAsia" w:ascii="宋体" w:hAnsi="宋体" w:cs="宋体"/>
          <w:bCs/>
          <w:szCs w:val="21"/>
        </w:rPr>
        <w:t>年以上项目管理经验。</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3.1.3</w:t>
      </w:r>
      <w:r>
        <w:rPr>
          <w:rFonts w:hint="eastAsia" w:ascii="宋体" w:hAnsi="宋体" w:cs="宋体"/>
          <w:bCs/>
          <w:szCs w:val="21"/>
        </w:rPr>
        <w:t>项目实施过程中，中标人应严格按照投标文件中承诺提供的项目人员，不得随意更换项目主要成员。</w:t>
      </w:r>
    </w:p>
    <w:p>
      <w:pPr>
        <w:tabs>
          <w:tab w:val="left" w:pos="5985"/>
        </w:tabs>
        <w:snapToGrid w:val="0"/>
        <w:spacing w:line="360" w:lineRule="auto"/>
        <w:ind w:firstLine="422" w:firstLineChars="200"/>
        <w:rPr>
          <w:rFonts w:ascii="宋体" w:hAnsi="宋体" w:cs="宋体"/>
          <w:b/>
          <w:bCs/>
          <w:szCs w:val="21"/>
        </w:rPr>
      </w:pPr>
      <w:r>
        <w:rPr>
          <w:rFonts w:ascii="宋体" w:hAnsi="宋体" w:cs="宋体"/>
          <w:b/>
          <w:bCs/>
          <w:szCs w:val="21"/>
        </w:rPr>
        <w:t>3.2</w:t>
      </w:r>
      <w:r>
        <w:rPr>
          <w:rFonts w:hint="eastAsia" w:ascii="宋体" w:hAnsi="宋体" w:cs="宋体"/>
          <w:b/>
          <w:bCs/>
          <w:szCs w:val="21"/>
        </w:rPr>
        <w:t>实施过程要求</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3.2.1</w:t>
      </w:r>
      <w:r>
        <w:rPr>
          <w:rFonts w:hint="eastAsia" w:ascii="宋体" w:hAnsi="宋体" w:cs="宋体"/>
          <w:bCs/>
          <w:szCs w:val="21"/>
        </w:rPr>
        <w:t>业务需求分析</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投标人必须在规定时间内对现状进行详细调研，对现有管理信息系统及各部门、分子公司进行需求分析，包括：业务现状和需求、系统现状和需求、当前统计分析规则和需求、数据源定义和接口定义等。经招标人审查同意后，可进入系统设计阶段。</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2建设实施：</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 xml:space="preserve">投标人必须在规定时间内提出切实可行的总体实施规划。总体实施规划至少应包括以下内容： </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3.2.2.1</w:t>
      </w:r>
      <w:r>
        <w:rPr>
          <w:rFonts w:hint="eastAsia" w:ascii="宋体" w:hAnsi="宋体" w:cs="宋体"/>
          <w:bCs/>
          <w:szCs w:val="21"/>
        </w:rPr>
        <w:t>项目的进度控制：</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投标人须根据推荐的软件提出详细的项目进度，并提出保证项目进度的措施，在项目实施中需招标人管理人员或工程技术人员配合的工作内容。</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3.2.2.2</w:t>
      </w:r>
      <w:r>
        <w:rPr>
          <w:rFonts w:hint="eastAsia" w:ascii="宋体" w:hAnsi="宋体" w:cs="宋体"/>
          <w:bCs/>
          <w:szCs w:val="21"/>
        </w:rPr>
        <w:t xml:space="preserve">项目的管理与质量控制。 </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3.2.2.3</w:t>
      </w:r>
      <w:r>
        <w:rPr>
          <w:rFonts w:hint="eastAsia" w:ascii="宋体" w:hAnsi="宋体" w:cs="宋体"/>
          <w:bCs/>
          <w:szCs w:val="21"/>
        </w:rPr>
        <w:t>文档管理：</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投标人要提出具体的实施文档管理办法。在实施过程中的每一步都要有相关的文档作保证。</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3.2.2.4</w:t>
      </w:r>
      <w:r>
        <w:rPr>
          <w:rFonts w:hint="eastAsia" w:ascii="宋体" w:hAnsi="宋体" w:cs="宋体"/>
          <w:bCs/>
          <w:szCs w:val="21"/>
        </w:rPr>
        <w:t>安装、调试：投标人按照项目需要及招标人的要求进行系统的安装、调试。</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3.2.2.5</w:t>
      </w:r>
      <w:r>
        <w:rPr>
          <w:rFonts w:hint="eastAsia" w:ascii="宋体" w:hAnsi="宋体" w:cs="宋体"/>
          <w:bCs/>
          <w:szCs w:val="21"/>
        </w:rPr>
        <w:t>实施及服务的实现：投标人应提交完整的实施组织方案，包括实施理论、范围、组织机构、计划控制、质量管理及风险管理等方案，方案必须有可操作性。</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实施及服务要根据总体实施方案要求分步进行。要制定严格细致的分步实施计划，确定每个实施及服务步骤的任务（如起止时间、准备工作、具体内容、工作保障机制、产生的结果、验收等）。</w:t>
      </w:r>
      <w:r>
        <w:rPr>
          <w:rFonts w:hint="eastAsia" w:ascii="宋体" w:hAnsi="宋体" w:cs="宋体"/>
          <w:b/>
          <w:bCs/>
          <w:szCs w:val="21"/>
        </w:rPr>
        <w:t>实施过程必须保证有软件原厂商开发人员支持与服务。</w:t>
      </w:r>
      <w:r>
        <w:rPr>
          <w:rFonts w:hint="eastAsia" w:ascii="宋体" w:hAnsi="宋体" w:cs="宋体"/>
          <w:bCs/>
          <w:szCs w:val="21"/>
        </w:rPr>
        <w:t>投标人必须保证项目组成员符合实施及服务要求，保证项目组成员的稳定，保证项目组成员在实施及服务现场的时间。在项目实施的不同阶段，投标人要根据情况保证本方实施人员的数量，</w:t>
      </w:r>
      <w:r>
        <w:rPr>
          <w:rFonts w:hint="eastAsia" w:ascii="宋体" w:hAnsi="宋体" w:cs="宋体"/>
          <w:b/>
          <w:bCs/>
          <w:szCs w:val="21"/>
        </w:rPr>
        <w:t>并做出招标人参加项目实施人员的需求计划</w:t>
      </w:r>
      <w:r>
        <w:rPr>
          <w:rFonts w:hint="eastAsia" w:ascii="宋体" w:hAnsi="宋体" w:cs="宋体"/>
          <w:bCs/>
          <w:szCs w:val="21"/>
        </w:rPr>
        <w:t>（人数、专业技术等相关要求）。在系统正式上线运行前，投标人要协助招标人制订保证系统正常运行的相关制度及措施。</w:t>
      </w:r>
    </w:p>
    <w:p>
      <w:pPr>
        <w:tabs>
          <w:tab w:val="left" w:pos="5985"/>
        </w:tabs>
        <w:snapToGrid w:val="0"/>
        <w:spacing w:line="360" w:lineRule="auto"/>
        <w:ind w:firstLine="420" w:firstLineChars="200"/>
        <w:rPr>
          <w:rFonts w:ascii="宋体" w:hAnsi="宋体" w:cs="宋体"/>
          <w:bCs/>
          <w:szCs w:val="21"/>
        </w:rPr>
      </w:pPr>
      <w:r>
        <w:rPr>
          <w:rFonts w:ascii="宋体" w:hAnsi="宋体" w:cs="宋体"/>
          <w:bCs/>
          <w:szCs w:val="21"/>
        </w:rPr>
        <w:t>3.2.2.6</w:t>
      </w:r>
      <w:r>
        <w:rPr>
          <w:rFonts w:hint="eastAsia" w:ascii="宋体" w:hAnsi="宋体" w:cs="宋体"/>
          <w:bCs/>
          <w:szCs w:val="21"/>
        </w:rPr>
        <w:t>技术培训要求</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由中标人对机场用户进行操作和实施培训，培训的过程中必须做到有明确的目的、有合适的教材、有具体的评价（评测），培训工作应贯穿整个项目的实施过程，达到能独立进行管理、故障处理、日常测试维护等工作的目的。</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提供系统使用操作培训，并提交用户使用手册；</w:t>
      </w:r>
    </w:p>
    <w:p>
      <w:pPr>
        <w:tabs>
          <w:tab w:val="left" w:pos="5985"/>
        </w:tabs>
        <w:snapToGrid w:val="0"/>
        <w:spacing w:line="360" w:lineRule="auto"/>
        <w:ind w:firstLine="420" w:firstLineChars="200"/>
        <w:rPr>
          <w:rFonts w:ascii="宋体" w:hAnsi="宋体" w:cs="宋体"/>
          <w:bCs/>
          <w:szCs w:val="21"/>
        </w:rPr>
      </w:pPr>
      <w:r>
        <w:rPr>
          <w:rFonts w:hint="eastAsia" w:ascii="宋体" w:hAnsi="宋体" w:cs="宋体"/>
          <w:bCs/>
          <w:szCs w:val="21"/>
        </w:rPr>
        <w:t>提供系统维护方案，提供各种典型的出错处理方法；</w:t>
      </w:r>
    </w:p>
    <w:p>
      <w:pPr>
        <w:ind w:firstLine="422" w:firstLineChars="200"/>
        <w:textAlignment w:val="center"/>
        <w:rPr>
          <w:rFonts w:ascii="宋体" w:hAnsi="宋体" w:cs="Calibri"/>
          <w:b/>
          <w:szCs w:val="21"/>
        </w:rPr>
      </w:pPr>
    </w:p>
    <w:p>
      <w:pPr>
        <w:pStyle w:val="61"/>
        <w:spacing w:line="240" w:lineRule="auto"/>
        <w:ind w:firstLine="422"/>
        <w:outlineLvl w:val="9"/>
        <w:rPr>
          <w:rFonts w:ascii="宋体" w:eastAsia="宋体"/>
          <w:sz w:val="21"/>
          <w:szCs w:val="21"/>
        </w:rPr>
      </w:pPr>
      <w:r>
        <w:rPr>
          <w:rFonts w:hint="eastAsia" w:ascii="宋体" w:eastAsia="宋体"/>
          <w:sz w:val="21"/>
          <w:szCs w:val="21"/>
        </w:rPr>
        <w:t>四、</w:t>
      </w:r>
      <w:r>
        <w:rPr>
          <w:rFonts w:ascii="宋体" w:eastAsia="宋体"/>
          <w:sz w:val="21"/>
          <w:szCs w:val="21"/>
        </w:rPr>
        <w:t>产品</w:t>
      </w:r>
      <w:r>
        <w:rPr>
          <w:rFonts w:hint="eastAsia" w:ascii="宋体" w:eastAsia="宋体"/>
          <w:sz w:val="21"/>
          <w:szCs w:val="21"/>
        </w:rPr>
        <w:t>需满足的</w:t>
      </w:r>
      <w:r>
        <w:rPr>
          <w:rFonts w:ascii="宋体" w:eastAsia="宋体"/>
          <w:sz w:val="21"/>
          <w:szCs w:val="21"/>
        </w:rPr>
        <w:t>标准和规范</w:t>
      </w:r>
    </w:p>
    <w:p>
      <w:pPr>
        <w:pStyle w:val="61"/>
        <w:spacing w:line="240" w:lineRule="auto"/>
        <w:ind w:firstLine="420"/>
        <w:outlineLvl w:val="9"/>
        <w:rPr>
          <w:rFonts w:ascii="宋体" w:eastAsia="宋体"/>
          <w:b w:val="0"/>
          <w:sz w:val="21"/>
          <w:szCs w:val="21"/>
        </w:rPr>
      </w:pPr>
      <w:r>
        <w:rPr>
          <w:rFonts w:hint="eastAsia" w:ascii="宋体" w:eastAsia="宋体"/>
          <w:b w:val="0"/>
          <w:sz w:val="21"/>
          <w:szCs w:val="21"/>
        </w:rPr>
        <w:t>4.1正规渠道货源，不存在任何质量瑕疵或因质量瑕疵而导致的安全隐患，且规格型号符合招标文件的要求。</w:t>
      </w:r>
    </w:p>
    <w:p>
      <w:pPr>
        <w:pStyle w:val="61"/>
        <w:spacing w:line="240" w:lineRule="auto"/>
        <w:ind w:firstLine="420"/>
        <w:outlineLvl w:val="9"/>
        <w:rPr>
          <w:rFonts w:ascii="宋体" w:eastAsia="宋体"/>
          <w:b w:val="0"/>
          <w:sz w:val="21"/>
          <w:szCs w:val="21"/>
          <w:u w:val="single"/>
        </w:rPr>
      </w:pPr>
      <w:r>
        <w:rPr>
          <w:rFonts w:hint="eastAsia" w:ascii="宋体" w:eastAsia="宋体"/>
          <w:b w:val="0"/>
          <w:sz w:val="21"/>
          <w:szCs w:val="21"/>
        </w:rPr>
        <w:t>4.2除特殊要求质保期外，</w:t>
      </w:r>
      <w:r>
        <w:rPr>
          <w:rFonts w:hint="eastAsia" w:ascii="宋体" w:eastAsia="宋体"/>
          <w:b w:val="0"/>
          <w:sz w:val="21"/>
          <w:szCs w:val="21"/>
          <w:u w:val="single"/>
        </w:rPr>
        <w:t>产品均要求原厂标准质保。</w:t>
      </w:r>
    </w:p>
    <w:p>
      <w:pPr>
        <w:pStyle w:val="61"/>
        <w:spacing w:line="240" w:lineRule="auto"/>
        <w:ind w:firstLine="420"/>
        <w:outlineLvl w:val="9"/>
        <w:rPr>
          <w:rFonts w:ascii="宋体" w:eastAsia="宋体"/>
          <w:b w:val="0"/>
          <w:sz w:val="21"/>
          <w:szCs w:val="21"/>
        </w:rPr>
      </w:pPr>
      <w:r>
        <w:rPr>
          <w:rFonts w:ascii="宋体" w:eastAsia="宋体"/>
          <w:b w:val="0"/>
          <w:sz w:val="21"/>
          <w:szCs w:val="21"/>
        </w:rPr>
        <w:t>4.3</w:t>
      </w:r>
      <w:r>
        <w:rPr>
          <w:rFonts w:hint="eastAsia" w:ascii="宋体" w:eastAsia="宋体"/>
          <w:b w:val="0"/>
          <w:sz w:val="21"/>
          <w:szCs w:val="21"/>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招标人不承担责任。</w:t>
      </w:r>
    </w:p>
    <w:p>
      <w:pPr>
        <w:widowControl/>
        <w:adjustRightInd w:val="0"/>
        <w:snapToGrid w:val="0"/>
        <w:spacing w:line="340" w:lineRule="exact"/>
        <w:ind w:firstLine="420" w:firstLineChars="200"/>
        <w:rPr>
          <w:rFonts w:ascii="宋体" w:hAnsi="宋体" w:cstheme="minorBidi"/>
          <w:szCs w:val="21"/>
        </w:rPr>
      </w:pPr>
      <w:r>
        <w:rPr>
          <w:rFonts w:hint="eastAsia" w:ascii="宋体" w:hAnsi="宋体"/>
          <w:szCs w:val="21"/>
        </w:rPr>
        <w:t>4.4 投标人需保证所提供产品符合本次招标要求及国家相关产品，符合售后服务技术支持，具备知识产权保障的最新质量标准的产品。有产品原厂质保书或产品合格证书和使用时所必须的各类相关使用操作、系统管理、培训等资料。</w:t>
      </w:r>
    </w:p>
    <w:p>
      <w:pPr>
        <w:pStyle w:val="61"/>
        <w:spacing w:line="240" w:lineRule="auto"/>
        <w:ind w:firstLine="422"/>
        <w:outlineLvl w:val="9"/>
        <w:rPr>
          <w:rFonts w:ascii="宋体" w:eastAsia="宋体"/>
          <w:sz w:val="21"/>
          <w:szCs w:val="21"/>
        </w:rPr>
      </w:pPr>
    </w:p>
    <w:p>
      <w:pPr>
        <w:pStyle w:val="61"/>
        <w:spacing w:line="240" w:lineRule="auto"/>
        <w:ind w:firstLine="422"/>
        <w:outlineLvl w:val="9"/>
        <w:rPr>
          <w:rFonts w:ascii="宋体" w:eastAsia="宋体"/>
          <w:sz w:val="21"/>
          <w:szCs w:val="21"/>
        </w:rPr>
      </w:pPr>
      <w:r>
        <w:rPr>
          <w:rFonts w:hint="eastAsia" w:ascii="宋体" w:eastAsia="宋体"/>
          <w:sz w:val="21"/>
          <w:szCs w:val="21"/>
        </w:rPr>
        <w:t>五、 资料要求</w:t>
      </w:r>
    </w:p>
    <w:p>
      <w:pPr>
        <w:pStyle w:val="82"/>
        <w:spacing w:line="240" w:lineRule="auto"/>
        <w:ind w:firstLine="420"/>
        <w:rPr>
          <w:rFonts w:ascii="宋体" w:eastAsia="宋体"/>
          <w:sz w:val="21"/>
          <w:szCs w:val="21"/>
        </w:rPr>
      </w:pPr>
      <w:r>
        <w:rPr>
          <w:rFonts w:hint="eastAsia" w:ascii="宋体" w:eastAsia="宋体"/>
          <w:sz w:val="21"/>
          <w:szCs w:val="21"/>
        </w:rPr>
        <w:t>5.1使用说明书、质量检验证明书、随配附件和工具以及清单一并附于货物内。</w:t>
      </w:r>
    </w:p>
    <w:p>
      <w:pPr>
        <w:pStyle w:val="61"/>
        <w:spacing w:line="240" w:lineRule="auto"/>
        <w:ind w:firstLine="422"/>
        <w:outlineLvl w:val="9"/>
        <w:rPr>
          <w:rFonts w:ascii="宋体" w:eastAsia="宋体"/>
          <w:sz w:val="21"/>
          <w:szCs w:val="21"/>
        </w:rPr>
      </w:pPr>
      <w:r>
        <w:rPr>
          <w:rFonts w:hint="eastAsia" w:ascii="宋体" w:eastAsia="宋体"/>
          <w:sz w:val="21"/>
          <w:szCs w:val="21"/>
        </w:rPr>
        <w:t>六、运输和包装要求</w:t>
      </w:r>
    </w:p>
    <w:p>
      <w:pPr>
        <w:pStyle w:val="82"/>
        <w:spacing w:line="240" w:lineRule="auto"/>
        <w:ind w:firstLine="420"/>
        <w:rPr>
          <w:rFonts w:ascii="宋体" w:eastAsia="宋体"/>
          <w:sz w:val="21"/>
          <w:szCs w:val="21"/>
        </w:rPr>
      </w:pPr>
      <w:r>
        <w:rPr>
          <w:rFonts w:hint="eastAsia" w:ascii="宋体" w:eastAsia="宋体"/>
          <w:sz w:val="21"/>
          <w:szCs w:val="21"/>
        </w:rPr>
        <w:t>6.1中标人负责将全部货物运送到杭州萧山国际机场内指定地点，并承担一切费用及风险。</w:t>
      </w:r>
    </w:p>
    <w:p>
      <w:pPr>
        <w:pStyle w:val="82"/>
        <w:spacing w:line="240" w:lineRule="auto"/>
        <w:ind w:firstLine="420"/>
        <w:rPr>
          <w:rFonts w:ascii="宋体" w:eastAsia="宋体"/>
          <w:sz w:val="21"/>
          <w:szCs w:val="21"/>
        </w:rPr>
      </w:pPr>
      <w:r>
        <w:rPr>
          <w:rFonts w:ascii="宋体" w:eastAsia="宋体"/>
          <w:sz w:val="21"/>
          <w:szCs w:val="21"/>
        </w:rPr>
        <w:t>6.2</w:t>
      </w:r>
      <w:r>
        <w:rPr>
          <w:rFonts w:hint="eastAsia" w:ascii="宋体" w:eastAsia="宋体"/>
          <w:sz w:val="21"/>
          <w:szCs w:val="21"/>
        </w:rPr>
        <w:t>运输方式中标人自定，但必须确保运输方式适合货物特性及质量要求。</w:t>
      </w:r>
    </w:p>
    <w:p>
      <w:pPr>
        <w:pStyle w:val="82"/>
        <w:spacing w:line="240" w:lineRule="auto"/>
        <w:ind w:firstLine="420"/>
        <w:rPr>
          <w:rFonts w:ascii="宋体" w:eastAsia="宋体"/>
          <w:sz w:val="21"/>
          <w:szCs w:val="21"/>
        </w:rPr>
      </w:pPr>
      <w:r>
        <w:rPr>
          <w:rFonts w:ascii="宋体" w:eastAsia="宋体"/>
          <w:sz w:val="21"/>
          <w:szCs w:val="21"/>
        </w:rPr>
        <w:t>6.3</w:t>
      </w:r>
      <w:r>
        <w:rPr>
          <w:rFonts w:hint="eastAsia" w:ascii="宋体" w:eastAsia="宋体"/>
          <w:sz w:val="21"/>
          <w:szCs w:val="21"/>
        </w:rPr>
        <w:t>包装：符合产品性质及质量要求的原厂包装，完好无破损、无刮痕。</w:t>
      </w:r>
    </w:p>
    <w:p>
      <w:pPr>
        <w:pStyle w:val="61"/>
        <w:spacing w:line="240" w:lineRule="auto"/>
        <w:ind w:firstLine="422"/>
        <w:outlineLvl w:val="9"/>
        <w:rPr>
          <w:rFonts w:ascii="宋体" w:eastAsia="宋体"/>
          <w:sz w:val="21"/>
          <w:szCs w:val="21"/>
        </w:rPr>
      </w:pPr>
      <w:r>
        <w:rPr>
          <w:rFonts w:hint="eastAsia" w:ascii="宋体" w:eastAsia="宋体"/>
          <w:sz w:val="21"/>
          <w:szCs w:val="21"/>
        </w:rPr>
        <w:t>七、验收</w:t>
      </w:r>
    </w:p>
    <w:p>
      <w:pPr>
        <w:pStyle w:val="82"/>
        <w:spacing w:line="240" w:lineRule="auto"/>
        <w:ind w:firstLine="420"/>
        <w:rPr>
          <w:rFonts w:ascii="宋体" w:eastAsia="宋体"/>
          <w:sz w:val="21"/>
          <w:szCs w:val="21"/>
        </w:rPr>
      </w:pPr>
      <w:r>
        <w:rPr>
          <w:rFonts w:hint="eastAsia" w:ascii="宋体" w:eastAsia="宋体"/>
          <w:sz w:val="21"/>
          <w:szCs w:val="21"/>
        </w:rPr>
        <w:t>项目完成后提交初验，初验通过后上线试运行。试运行期为一个月，系统稳定后可提交终验申请，进行项目终验验收。</w:t>
      </w:r>
    </w:p>
    <w:p>
      <w:pPr>
        <w:pStyle w:val="82"/>
        <w:spacing w:line="240" w:lineRule="auto"/>
        <w:ind w:firstLine="420"/>
        <w:rPr>
          <w:rFonts w:ascii="宋体" w:eastAsia="宋体"/>
          <w:sz w:val="21"/>
          <w:szCs w:val="21"/>
        </w:rPr>
      </w:pPr>
    </w:p>
    <w:p>
      <w:pPr>
        <w:pStyle w:val="82"/>
        <w:spacing w:line="240" w:lineRule="auto"/>
        <w:ind w:firstLine="420"/>
        <w:rPr>
          <w:rFonts w:ascii="宋体" w:eastAsia="宋体"/>
          <w:sz w:val="21"/>
          <w:szCs w:val="21"/>
        </w:rPr>
      </w:pPr>
    </w:p>
    <w:p>
      <w:pPr>
        <w:pStyle w:val="61"/>
        <w:spacing w:line="240" w:lineRule="auto"/>
        <w:ind w:firstLine="422"/>
        <w:outlineLvl w:val="9"/>
        <w:rPr>
          <w:rFonts w:ascii="宋体" w:eastAsia="宋体"/>
          <w:sz w:val="21"/>
          <w:szCs w:val="21"/>
        </w:rPr>
      </w:pPr>
      <w:r>
        <w:rPr>
          <w:rFonts w:hint="eastAsia" w:ascii="宋体" w:eastAsia="宋体"/>
          <w:sz w:val="21"/>
          <w:szCs w:val="21"/>
        </w:rPr>
        <w:t>八、售后服务及技术支持要求</w:t>
      </w:r>
    </w:p>
    <w:p>
      <w:pPr>
        <w:pStyle w:val="61"/>
        <w:spacing w:line="276" w:lineRule="auto"/>
        <w:ind w:firstLine="420"/>
        <w:outlineLvl w:val="9"/>
        <w:rPr>
          <w:rFonts w:ascii="宋体" w:eastAsia="宋体"/>
          <w:b w:val="0"/>
          <w:sz w:val="21"/>
          <w:szCs w:val="21"/>
        </w:rPr>
      </w:pPr>
      <w:r>
        <w:rPr>
          <w:rFonts w:hint="eastAsia" w:ascii="宋体" w:eastAsia="宋体"/>
          <w:b w:val="0"/>
          <w:sz w:val="21"/>
          <w:szCs w:val="21"/>
        </w:rPr>
        <w:t>8.1要求竞争性谈判方向招标方提供一份完整的售后服务方案，包含全方位的、有效的、及时的维护服务、技术支持及后期的二次开发服务；对应用系统应提供不少于1年（自验收通过之日起）的免费版本升级、技术支持服务及航站楼地图更新维护服务；并能根据用户的需求，在不改变总体结构前提下，中标方需提供不少于4次的应用系统修改以满足变化的需求，系统本身原因需要修改的，必须立即处理，并不受次数限制。</w:t>
      </w:r>
    </w:p>
    <w:p>
      <w:pPr>
        <w:pStyle w:val="61"/>
        <w:spacing w:line="276" w:lineRule="auto"/>
        <w:ind w:firstLine="420"/>
        <w:outlineLvl w:val="9"/>
        <w:rPr>
          <w:rFonts w:ascii="宋体" w:eastAsia="宋体"/>
          <w:b w:val="0"/>
          <w:sz w:val="21"/>
          <w:szCs w:val="21"/>
        </w:rPr>
      </w:pPr>
    </w:p>
    <w:p>
      <w:pPr>
        <w:pStyle w:val="61"/>
        <w:spacing w:line="276" w:lineRule="auto"/>
        <w:ind w:firstLine="420"/>
        <w:outlineLvl w:val="9"/>
        <w:rPr>
          <w:rFonts w:ascii="宋体" w:eastAsia="宋体"/>
          <w:b w:val="0"/>
          <w:sz w:val="21"/>
          <w:szCs w:val="21"/>
          <w:u w:val="single"/>
        </w:rPr>
      </w:pPr>
      <w:r>
        <w:rPr>
          <w:rFonts w:hint="eastAsia" w:ascii="宋体" w:eastAsia="宋体"/>
          <w:b w:val="0"/>
          <w:sz w:val="21"/>
          <w:szCs w:val="21"/>
        </w:rPr>
        <w:t>8.2质保期内中标人必须为用户提供技术援助电话,用于用户报告故障。电话咨询：免费提供咨询电话技术支持服务，解答用户在系统使用中遇到的问题，及时提出解决问题的建议和操作方法。如电话支持无法解决,中标人应在接到通知后</w:t>
      </w:r>
      <w:r>
        <w:rPr>
          <w:rFonts w:hint="eastAsia" w:ascii="宋体" w:eastAsia="宋体"/>
          <w:b w:val="0"/>
          <w:sz w:val="21"/>
          <w:szCs w:val="21"/>
          <w:u w:val="single"/>
        </w:rPr>
        <w:t>24小时内来现场解决。</w:t>
      </w:r>
    </w:p>
    <w:p>
      <w:pPr>
        <w:pStyle w:val="61"/>
        <w:spacing w:line="276" w:lineRule="auto"/>
        <w:ind w:firstLine="420"/>
        <w:outlineLvl w:val="9"/>
        <w:rPr>
          <w:rFonts w:ascii="宋体" w:eastAsia="宋体"/>
          <w:b w:val="0"/>
          <w:sz w:val="21"/>
          <w:szCs w:val="21"/>
        </w:rPr>
      </w:pPr>
      <w:r>
        <w:rPr>
          <w:rFonts w:hint="eastAsia" w:ascii="宋体" w:eastAsia="宋体"/>
          <w:b w:val="0"/>
          <w:sz w:val="21"/>
          <w:szCs w:val="21"/>
        </w:rPr>
        <w:t>8.3远程在线诊断和故障排除：提供远程在线终端接入维护（如VPN等方式）。</w:t>
      </w:r>
    </w:p>
    <w:p>
      <w:pPr>
        <w:pStyle w:val="61"/>
        <w:spacing w:line="276" w:lineRule="auto"/>
        <w:ind w:firstLine="420"/>
        <w:outlineLvl w:val="9"/>
        <w:rPr>
          <w:rFonts w:ascii="宋体" w:eastAsia="宋体"/>
          <w:b w:val="0"/>
          <w:sz w:val="21"/>
          <w:szCs w:val="21"/>
        </w:rPr>
      </w:pPr>
      <w:r>
        <w:rPr>
          <w:rFonts w:ascii="宋体" w:eastAsia="宋体"/>
          <w:b w:val="0"/>
          <w:sz w:val="21"/>
          <w:szCs w:val="21"/>
        </w:rPr>
        <w:t>8.4</w:t>
      </w:r>
      <w:r>
        <w:rPr>
          <w:rFonts w:hint="eastAsia" w:ascii="宋体" w:eastAsia="宋体"/>
          <w:b w:val="0"/>
          <w:sz w:val="21"/>
          <w:szCs w:val="21"/>
        </w:rPr>
        <w:t>故障响应：</w:t>
      </w:r>
      <w:r>
        <w:rPr>
          <w:rFonts w:hint="eastAsia" w:ascii="宋体" w:eastAsia="宋体"/>
          <w:b w:val="0"/>
          <w:sz w:val="21"/>
          <w:szCs w:val="21"/>
          <w:u w:val="single"/>
        </w:rPr>
        <w:t>自收到用户的服务请求起4小时内，</w:t>
      </w:r>
      <w:r>
        <w:rPr>
          <w:rFonts w:hint="eastAsia" w:ascii="宋体" w:eastAsia="宋体"/>
          <w:b w:val="0"/>
          <w:sz w:val="21"/>
          <w:szCs w:val="21"/>
        </w:rPr>
        <w:t>若以上服务形式不能解决问题，投标人应及时组织有关技术专家进行会诊，并采取相应措施以确保系统的正常运行。</w:t>
      </w:r>
    </w:p>
    <w:p>
      <w:pPr>
        <w:pStyle w:val="61"/>
        <w:spacing w:line="276" w:lineRule="auto"/>
        <w:ind w:firstLine="420"/>
        <w:outlineLvl w:val="9"/>
        <w:rPr>
          <w:rFonts w:ascii="宋体" w:eastAsia="宋体"/>
          <w:b w:val="0"/>
          <w:sz w:val="21"/>
          <w:szCs w:val="21"/>
        </w:rPr>
      </w:pPr>
      <w:r>
        <w:rPr>
          <w:rFonts w:ascii="宋体" w:eastAsia="宋体"/>
          <w:b w:val="0"/>
          <w:sz w:val="21"/>
          <w:szCs w:val="21"/>
        </w:rPr>
        <w:t>8.5</w:t>
      </w:r>
      <w:r>
        <w:rPr>
          <w:rFonts w:hint="eastAsia" w:ascii="宋体" w:eastAsia="宋体"/>
          <w:b w:val="0"/>
          <w:sz w:val="21"/>
          <w:szCs w:val="21"/>
        </w:rPr>
        <w:t>配置优化：根据用户需求和安全态势变化制定有效的策略和方案，对相关设备配置文件进行有针对性的调整和优化。</w:t>
      </w:r>
    </w:p>
    <w:p>
      <w:pPr>
        <w:pStyle w:val="9"/>
        <w:rPr>
          <w:rFonts w:hAnsi="宋体"/>
          <w:color w:val="000000"/>
          <w:sz w:val="22"/>
          <w:szCs w:val="22"/>
        </w:rPr>
      </w:pPr>
    </w:p>
    <w:p>
      <w:pPr>
        <w:pStyle w:val="9"/>
        <w:rPr>
          <w:rFonts w:hAnsi="宋体"/>
          <w:color w:val="000000"/>
          <w:sz w:val="22"/>
          <w:szCs w:val="22"/>
        </w:rPr>
      </w:pPr>
    </w:p>
    <w:p>
      <w:pPr>
        <w:pStyle w:val="9"/>
        <w:rPr>
          <w:rFonts w:hAnsi="宋体"/>
          <w:color w:val="000000"/>
          <w:sz w:val="22"/>
          <w:szCs w:val="22"/>
        </w:rPr>
      </w:pPr>
    </w:p>
    <w:p>
      <w:pPr>
        <w:pStyle w:val="9"/>
        <w:rPr>
          <w:rFonts w:hAnsi="宋体"/>
          <w:color w:val="000000"/>
          <w:sz w:val="22"/>
          <w:szCs w:val="22"/>
        </w:rPr>
      </w:pPr>
    </w:p>
    <w:p>
      <w:pPr>
        <w:pStyle w:val="9"/>
        <w:rPr>
          <w:rFonts w:hAnsi="宋体"/>
          <w:color w:val="000000"/>
          <w:sz w:val="22"/>
          <w:szCs w:val="22"/>
        </w:rPr>
      </w:pPr>
    </w:p>
    <w:p>
      <w:pPr>
        <w:widowControl/>
        <w:jc w:val="left"/>
        <w:rPr>
          <w:rFonts w:ascii="方正小标宋简体" w:hAnsi="仿宋_GB2312" w:eastAsia="方正小标宋简体" w:cs="仿宋_GB2312"/>
          <w:b/>
          <w:sz w:val="44"/>
          <w:szCs w:val="44"/>
        </w:rPr>
      </w:pPr>
      <w:r>
        <w:rPr>
          <w:rFonts w:ascii="方正小标宋简体" w:hAnsi="仿宋_GB2312" w:eastAsia="方正小标宋简体" w:cs="仿宋_GB2312"/>
          <w:b/>
          <w:sz w:val="44"/>
          <w:szCs w:val="44"/>
        </w:rPr>
        <w:br w:type="page"/>
      </w:r>
    </w:p>
    <w:p>
      <w:pPr>
        <w:adjustRightInd w:val="0"/>
        <w:snapToGrid w:val="0"/>
        <w:spacing w:line="560" w:lineRule="exact"/>
        <w:ind w:firstLine="452"/>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航站楼智能导视系统建设合同</w:t>
      </w:r>
    </w:p>
    <w:p>
      <w:pPr>
        <w:pStyle w:val="19"/>
        <w:spacing w:line="560" w:lineRule="exact"/>
        <w:ind w:right="200" w:firstLine="420"/>
        <w:jc w:val="right"/>
        <w:rPr>
          <w:rFonts w:ascii="仿宋_GB2312" w:hAnsi="仿宋_GB2312" w:eastAsia="仿宋_GB2312" w:cs="仿宋_GB2312"/>
          <w:bCs/>
          <w:sz w:val="28"/>
          <w:szCs w:val="28"/>
        </w:rPr>
      </w:pPr>
    </w:p>
    <w:p>
      <w:pPr>
        <w:adjustRightInd w:val="0"/>
        <w:snapToGrid w:val="0"/>
        <w:spacing w:line="560" w:lineRule="exact"/>
        <w:ind w:firstLine="452"/>
        <w:jc w:val="left"/>
        <w:rPr>
          <w:rFonts w:ascii="仿宋_GB2312" w:hAnsi="仿宋_GB2312" w:eastAsia="仿宋_GB2312" w:cs="仿宋_GB2312"/>
          <w:b/>
          <w:szCs w:val="21"/>
          <w:u w:val="single"/>
        </w:rPr>
      </w:pPr>
      <w:r>
        <w:rPr>
          <w:rFonts w:hint="eastAsia" w:ascii="仿宋_GB2312" w:hAnsi="仿宋_GB2312" w:eastAsia="仿宋_GB2312" w:cs="仿宋_GB2312"/>
          <w:b/>
          <w:szCs w:val="21"/>
        </w:rPr>
        <w:t>甲方：</w:t>
      </w:r>
      <w:r>
        <w:rPr>
          <w:rFonts w:hint="eastAsia" w:ascii="仿宋_GB2312" w:hAnsi="仿宋_GB2312" w:eastAsia="仿宋_GB2312" w:cs="仿宋_GB2312"/>
          <w:b/>
          <w:szCs w:val="21"/>
          <w:u w:val="single"/>
        </w:rPr>
        <w:t>杭州萧山国际机场有限公司</w:t>
      </w:r>
    </w:p>
    <w:p>
      <w:pPr>
        <w:adjustRightInd w:val="0"/>
        <w:snapToGrid w:val="0"/>
        <w:spacing w:line="560" w:lineRule="exact"/>
        <w:ind w:firstLine="452"/>
        <w:jc w:val="left"/>
        <w:rPr>
          <w:rFonts w:ascii="仿宋_GB2312" w:hAnsi="仿宋_GB2312" w:eastAsia="仿宋_GB2312" w:cs="仿宋_GB2312"/>
          <w:b/>
          <w:szCs w:val="21"/>
        </w:rPr>
      </w:pPr>
      <w:r>
        <w:rPr>
          <w:rFonts w:hint="eastAsia" w:ascii="仿宋_GB2312" w:hAnsi="仿宋_GB2312" w:eastAsia="仿宋_GB2312" w:cs="仿宋_GB2312"/>
          <w:b/>
          <w:szCs w:val="21"/>
        </w:rPr>
        <w:t>住所地：</w:t>
      </w:r>
      <w:r>
        <w:rPr>
          <w:rFonts w:hint="eastAsia" w:ascii="仿宋_GB2312" w:hAnsi="仿宋_GB2312" w:eastAsia="仿宋_GB2312" w:cs="仿宋_GB2312"/>
          <w:b/>
          <w:szCs w:val="21"/>
          <w:u w:val="single"/>
        </w:rPr>
        <w:t xml:space="preserve">杭州萧山国际机场内    </w:t>
      </w:r>
    </w:p>
    <w:p>
      <w:pPr>
        <w:adjustRightInd w:val="0"/>
        <w:snapToGrid w:val="0"/>
        <w:spacing w:line="560" w:lineRule="exact"/>
        <w:ind w:firstLine="452"/>
        <w:jc w:val="left"/>
        <w:rPr>
          <w:rFonts w:ascii="仿宋_GB2312" w:hAnsi="仿宋_GB2312" w:eastAsia="仿宋_GB2312" w:cs="仿宋_GB2312"/>
          <w:b/>
          <w:szCs w:val="21"/>
        </w:rPr>
      </w:pPr>
    </w:p>
    <w:p>
      <w:pPr>
        <w:adjustRightInd w:val="0"/>
        <w:snapToGrid w:val="0"/>
        <w:spacing w:line="560" w:lineRule="exact"/>
        <w:ind w:firstLine="452"/>
        <w:jc w:val="left"/>
        <w:rPr>
          <w:rFonts w:ascii="仿宋_GB2312" w:hAnsi="仿宋_GB2312" w:eastAsia="仿宋_GB2312" w:cs="仿宋_GB2312"/>
          <w:b/>
          <w:szCs w:val="21"/>
          <w:u w:val="single"/>
        </w:rPr>
      </w:pPr>
      <w:r>
        <w:rPr>
          <w:rFonts w:hint="eastAsia" w:ascii="仿宋_GB2312" w:hAnsi="仿宋_GB2312" w:eastAsia="仿宋_GB2312" w:cs="仿宋_GB2312"/>
          <w:b/>
          <w:szCs w:val="21"/>
        </w:rPr>
        <w:t>乙方：</w:t>
      </w:r>
    </w:p>
    <w:p>
      <w:pPr>
        <w:adjustRightInd w:val="0"/>
        <w:snapToGrid w:val="0"/>
        <w:spacing w:line="560" w:lineRule="exact"/>
        <w:ind w:firstLine="452"/>
        <w:jc w:val="left"/>
        <w:rPr>
          <w:rFonts w:ascii="仿宋_GB2312" w:hAnsi="仿宋_GB2312" w:eastAsia="仿宋_GB2312" w:cs="仿宋_GB2312"/>
          <w:szCs w:val="21"/>
          <w:u w:val="single"/>
        </w:rPr>
      </w:pPr>
      <w:r>
        <w:rPr>
          <w:rFonts w:hint="eastAsia" w:ascii="仿宋_GB2312" w:hAnsi="仿宋_GB2312" w:eastAsia="仿宋_GB2312" w:cs="仿宋_GB2312"/>
          <w:b/>
          <w:szCs w:val="21"/>
        </w:rPr>
        <w:t>住所地：</w:t>
      </w:r>
    </w:p>
    <w:p>
      <w:pPr>
        <w:adjustRightInd w:val="0"/>
        <w:snapToGrid w:val="0"/>
        <w:spacing w:line="560" w:lineRule="exact"/>
        <w:ind w:firstLine="450"/>
        <w:jc w:val="left"/>
        <w:rPr>
          <w:rFonts w:ascii="仿宋_GB2312" w:hAnsi="仿宋_GB2312" w:eastAsia="仿宋_GB2312" w:cs="仿宋_GB2312"/>
          <w:szCs w:val="21"/>
        </w:rPr>
      </w:pP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甲、乙双方根据《中华人民共和国合同法》等相关法律法规，就相关产品采购事宜，在互利、平等的原则基础上，经协商一致，特签订本合同，以共同遵守。</w:t>
      </w:r>
    </w:p>
    <w:p>
      <w:pPr>
        <w:spacing w:line="560" w:lineRule="exact"/>
        <w:ind w:firstLine="593"/>
        <w:jc w:val="left"/>
        <w:rPr>
          <w:rFonts w:ascii="仿宋_GB2312" w:hAnsi="仿宋_GB2312" w:eastAsia="仿宋_GB2312" w:cs="仿宋_GB2312"/>
          <w:b/>
          <w:bCs/>
          <w:szCs w:val="21"/>
        </w:rPr>
      </w:pPr>
      <w:r>
        <w:rPr>
          <w:rFonts w:hint="eastAsia" w:ascii="仿宋_GB2312" w:hAnsi="仿宋_GB2312" w:eastAsia="仿宋_GB2312" w:cs="仿宋_GB2312"/>
          <w:b/>
          <w:bCs/>
          <w:szCs w:val="21"/>
        </w:rPr>
        <w:t>一、产品规格型号及参数</w:t>
      </w:r>
    </w:p>
    <w:p>
      <w:pPr>
        <w:spacing w:line="56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本合同下，乙方向甲方提供如下系统及服务：</w:t>
      </w:r>
    </w:p>
    <w:tbl>
      <w:tblPr>
        <w:tblStyle w:val="46"/>
        <w:tblW w:w="9367"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7"/>
        <w:gridCol w:w="1113"/>
        <w:gridCol w:w="1695"/>
        <w:gridCol w:w="358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2977"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1113"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695" w:type="dxa"/>
            <w:tcBorders>
              <w:left w:val="single" w:color="auto" w:sz="4" w:space="0"/>
            </w:tcBorders>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交货期</w:t>
            </w:r>
          </w:p>
        </w:tc>
        <w:tc>
          <w:tcPr>
            <w:tcW w:w="3582"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977"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航站楼智能导视软、硬件系统（含实施、开发）</w:t>
            </w:r>
          </w:p>
        </w:tc>
        <w:tc>
          <w:tcPr>
            <w:tcW w:w="1113"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ascii="仿宋_GB2312" w:hAnsi="仿宋_GB2312" w:eastAsia="仿宋_GB2312" w:cs="仿宋_GB2312"/>
                <w:szCs w:val="21"/>
              </w:rPr>
              <w:t>1套</w:t>
            </w:r>
          </w:p>
        </w:tc>
        <w:tc>
          <w:tcPr>
            <w:tcW w:w="1695" w:type="dxa"/>
            <w:tcBorders>
              <w:left w:val="single" w:color="auto" w:sz="4" w:space="0"/>
            </w:tcBorders>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ascii="仿宋_GB2312" w:hAnsi="仿宋_GB2312" w:eastAsia="仿宋_GB2312" w:cs="仿宋_GB2312"/>
                <w:szCs w:val="21"/>
              </w:rPr>
              <w:t>60</w:t>
            </w:r>
            <w:r>
              <w:rPr>
                <w:rFonts w:hint="eastAsia" w:ascii="仿宋_GB2312" w:hAnsi="仿宋_GB2312" w:eastAsia="仿宋_GB2312" w:cs="仿宋_GB2312"/>
                <w:szCs w:val="21"/>
              </w:rPr>
              <w:t>日历天</w:t>
            </w:r>
          </w:p>
        </w:tc>
        <w:tc>
          <w:tcPr>
            <w:tcW w:w="3582" w:type="dxa"/>
            <w:vAlign w:val="center"/>
          </w:tcPr>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杭州萧山国际机场</w:t>
            </w:r>
          </w:p>
        </w:tc>
      </w:tr>
    </w:tbl>
    <w:p>
      <w:pPr>
        <w:adjustRightInd w:val="0"/>
        <w:snapToGrid w:val="0"/>
        <w:spacing w:line="560" w:lineRule="exact"/>
        <w:ind w:firstLine="420" w:firstLineChars="200"/>
        <w:jc w:val="left"/>
        <w:rPr>
          <w:rFonts w:ascii="仿宋_GB2312" w:hAnsi="仿宋_GB2312" w:eastAsia="仿宋_GB2312" w:cs="仿宋_GB2312"/>
          <w:b/>
          <w:szCs w:val="21"/>
        </w:rPr>
      </w:pPr>
      <w:r>
        <w:rPr>
          <w:rFonts w:hint="eastAsia" w:ascii="仿宋_GB2312" w:hAnsi="仿宋_GB2312" w:eastAsia="仿宋_GB2312" w:cs="仿宋_GB2312"/>
          <w:szCs w:val="21"/>
        </w:rPr>
        <w:t>★本项目乙方为航站楼智能导视系统的集成商，按甲方要求保质保量做好项目建设，处理本项目总体进度与协调工作，包括但不限于全面负责本项目硬件设施设备采购、安装、调试，软件系统制定开发、维护、升级，软件程序的部署及相关数据接口的开发对接等。</w:t>
      </w:r>
    </w:p>
    <w:p>
      <w:pPr>
        <w:spacing w:line="56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具体参数等数据详见附件【】</w:t>
      </w:r>
    </w:p>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二、合同金额</w:t>
      </w:r>
    </w:p>
    <w:p>
      <w:pPr>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本合同金额为（大写）：</w:t>
      </w:r>
      <w:r>
        <w:rPr>
          <w:rFonts w:hint="eastAsia" w:ascii="仿宋_GB2312" w:hAnsi="仿宋_GB2312" w:eastAsia="仿宋_GB2312" w:cs="仿宋_GB2312"/>
          <w:b/>
          <w:szCs w:val="21"/>
          <w:u w:val="single"/>
        </w:rPr>
        <w:t xml:space="preserve">       人民币（</w:t>
      </w:r>
      <w:r>
        <w:rPr>
          <w:rFonts w:hint="eastAsia" w:ascii="宋体" w:hAnsi="宋体" w:cs="宋体"/>
          <w:b/>
          <w:szCs w:val="21"/>
          <w:u w:val="single"/>
        </w:rPr>
        <w:t>¥</w:t>
      </w:r>
      <w:r>
        <w:rPr>
          <w:rFonts w:hint="eastAsia" w:ascii="仿宋_GB2312" w:hAnsi="仿宋_GB2312" w:eastAsia="仿宋_GB2312" w:cs="仿宋_GB2312"/>
          <w:b/>
          <w:szCs w:val="21"/>
          <w:u w:val="single"/>
        </w:rPr>
        <w:t xml:space="preserve">    .00）。</w:t>
      </w:r>
      <w:r>
        <w:rPr>
          <w:rFonts w:hint="eastAsia" w:ascii="仿宋_GB2312" w:hAnsi="仿宋_GB2312" w:eastAsia="仿宋_GB2312" w:cs="仿宋_GB2312"/>
          <w:szCs w:val="21"/>
        </w:rPr>
        <w:t>本合同价为杭州萧山国际机场内交货价，含产品价格、运输费、包装费、保险费、税费、</w:t>
      </w:r>
      <w:r>
        <w:rPr>
          <w:rFonts w:hint="eastAsia" w:ascii="仿宋_GB2312" w:hAnsi="仿宋_GB2312" w:eastAsia="仿宋_GB2312" w:cs="仿宋_GB2312"/>
          <w:szCs w:val="21"/>
          <w:u w:val="single"/>
        </w:rPr>
        <w:t>安装调试、应用软件和各个其它系统厂家的接口对接和维护</w:t>
      </w:r>
      <w:r>
        <w:rPr>
          <w:rFonts w:hint="eastAsia" w:ascii="仿宋_GB2312" w:hAnsi="仿宋_GB2312" w:eastAsia="仿宋_GB2312" w:cs="仿宋_GB2312"/>
          <w:szCs w:val="21"/>
        </w:rPr>
        <w:t>等所有费用。甲方不再承担其他任何费用。</w:t>
      </w:r>
    </w:p>
    <w:p>
      <w:pPr>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56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三、技术要求</w:t>
      </w:r>
      <w:bookmarkStart w:id="44" w:name="_Toc510195154"/>
      <w:bookmarkStart w:id="45" w:name="_Toc324859367"/>
      <w:bookmarkStart w:id="46" w:name="_Toc510195155"/>
      <w:bookmarkStart w:id="47" w:name="_Toc510018377"/>
      <w:bookmarkStart w:id="48" w:name="_Toc324860156"/>
      <w:bookmarkStart w:id="49" w:name="_Toc433407156"/>
      <w:bookmarkStart w:id="50" w:name="_Toc510028347"/>
      <w:bookmarkStart w:id="51" w:name="_Toc510018380"/>
    </w:p>
    <w:p>
      <w:pPr>
        <w:tabs>
          <w:tab w:val="left" w:pos="5985"/>
        </w:tabs>
        <w:snapToGrid w:val="0"/>
        <w:spacing w:line="560" w:lineRule="exact"/>
        <w:ind w:firstLine="422" w:firstLineChars="200"/>
        <w:rPr>
          <w:rFonts w:ascii="仿宋_GB2312" w:hAnsi="仿宋_GB2312" w:eastAsia="仿宋_GB2312" w:cs="仿宋_GB2312"/>
          <w:b/>
          <w:snapToGrid w:val="0"/>
          <w:szCs w:val="21"/>
        </w:rPr>
      </w:pPr>
      <w:r>
        <w:rPr>
          <w:rFonts w:hint="eastAsia" w:ascii="仿宋_GB2312" w:hAnsi="仿宋_GB2312" w:eastAsia="仿宋_GB2312" w:cs="仿宋_GB2312"/>
          <w:b/>
          <w:snapToGrid w:val="0"/>
          <w:szCs w:val="21"/>
        </w:rPr>
        <w:t xml:space="preserve">3.1 </w:t>
      </w:r>
      <w:bookmarkEnd w:id="44"/>
      <w:r>
        <w:rPr>
          <w:rFonts w:hint="eastAsia" w:ascii="仿宋_GB2312" w:hAnsi="仿宋_GB2312" w:eastAsia="仿宋_GB2312" w:cs="仿宋_GB2312"/>
          <w:b/>
          <w:snapToGrid w:val="0"/>
          <w:szCs w:val="21"/>
        </w:rPr>
        <w:t>总体目标</w:t>
      </w:r>
      <w:bookmarkStart w:id="52" w:name="_Toc510195158"/>
      <w:bookmarkStart w:id="53" w:name="_Toc483396597"/>
      <w:bookmarkStart w:id="54" w:name="_Toc510018384"/>
      <w:bookmarkStart w:id="55" w:name="_Toc510028351"/>
    </w:p>
    <w:p>
      <w:pPr>
        <w:spacing w:line="276" w:lineRule="auto"/>
        <w:ind w:firstLine="315" w:firstLineChars="150"/>
        <w:rPr>
          <w:rFonts w:hint="eastAsia" w:ascii="仿宋_GB2312" w:hAnsi="仿宋_GB2312" w:eastAsia="仿宋_GB2312" w:cs="仿宋_GB2312"/>
          <w:b/>
          <w:snapToGrid w:val="0"/>
          <w:szCs w:val="21"/>
        </w:rPr>
      </w:pPr>
      <w:r>
        <w:rPr>
          <w:rFonts w:hint="eastAsia" w:ascii="仿宋_GB2312" w:eastAsia="仿宋_GB2312" w:cs="宋体" w:hAnsiTheme="minorEastAsia"/>
          <w:kern w:val="0"/>
          <w:szCs w:val="21"/>
        </w:rPr>
        <w:t>总体技术方案应包括：总体技术架构设计、集成架构设计、技术实现、硬件部署方案、系统安全方案（至少包括应用安全、用户访问安全、数据与应用备份恢复设计方案）、接口标准体系（至少包括应用集成接口标准、统一用户管理接口标准、统一认证标准等）。</w:t>
      </w:r>
    </w:p>
    <w:p>
      <w:pPr>
        <w:spacing w:line="560" w:lineRule="exact"/>
        <w:ind w:firstLine="422" w:firstLineChars="200"/>
        <w:rPr>
          <w:rFonts w:hint="eastAsia" w:ascii="仿宋_GB2312" w:hAnsi="仿宋_GB2312" w:eastAsia="仿宋_GB2312" w:cs="仿宋_GB2312"/>
          <w:b/>
          <w:snapToGrid w:val="0"/>
          <w:szCs w:val="21"/>
        </w:rPr>
      </w:pPr>
      <w:r>
        <w:rPr>
          <w:rFonts w:hint="eastAsia" w:ascii="仿宋_GB2312" w:hAnsi="仿宋_GB2312" w:eastAsia="仿宋_GB2312" w:cs="仿宋_GB2312"/>
          <w:b/>
          <w:snapToGrid w:val="0"/>
          <w:szCs w:val="21"/>
        </w:rPr>
        <w:t xml:space="preserve">3.2 </w:t>
      </w:r>
      <w:bookmarkEnd w:id="52"/>
      <w:bookmarkEnd w:id="53"/>
      <w:r>
        <w:rPr>
          <w:rFonts w:hint="eastAsia" w:ascii="仿宋_GB2312" w:hAnsi="仿宋_GB2312" w:eastAsia="仿宋_GB2312" w:cs="仿宋_GB2312"/>
          <w:b/>
          <w:snapToGrid w:val="0"/>
          <w:szCs w:val="21"/>
        </w:rPr>
        <w:t>功能要求</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3.2.1航站楼功能布局</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在触摸智能导乘台展示本场航站楼的地图信息，其中需要将功能性设施做重点标示，并且在地图页面设置常用按钮，以便公众快捷查询。功能性设施包括：厕所、母婴室、办证中心、行李快递、行李寄存、行李打包、失物招领、贵宾室、外币兑换、ATM、主要商铺（此功能预留）。需要设置查询入口，可通过文字输入，查询母婴室等相关设施的具体位置。将查询结果在地图中有突出标示，同时需要在地图上将当前用户所在地到目的地的路径规划在地图中标示出来。地图支持本场航站楼多楼层的路径规划，地图的部署必须本地化（地图部署在甲方服务器），地图的初始化工作由中标方完成（甲方提供CAD工程图等相关资料），地图每年的更新维护费用含在维保费在报价中要体现，作为商务评分依据。</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3.2.2办票导航</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可通过航空公司（快捷按键）或者航班号（输入查询），查询相关的值机岛的位置。同时在地图中，将当前用户所在地到目的值机岛的路径规划在地图中标示出来。</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3.2.3售票导航</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可通过航空公司（快捷按键）或者航班号（输入查询），查询相关的航空公司售票柜台的位置。同时在地图中，将当前用户所在地到目的售票柜台的路径规划在地图中标示出来。</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2.2.4违禁品告知</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通过快捷按钮“违禁品告知”展示违禁品告知信息，信息支持后台发布。</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3.2.5乘机导航</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用户可以通过智能导乘台自带的扫码功能，扫描登机牌（条形码）或者移动终端登机牌（二维码），直接获取航班信息。通过读取后台数据库，获取当前航班的值机位置、最近的安检口位置、登机口信息。将当前用户所在地-值机区域-安检口-登机口的路径规划在地图中标示出来。</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隔离区外显示：当前用户所在地-值机区域-安检口-登机口的路径规划；</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隔离区内显示：当前用户所在地-登机口的路径规划；</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只可查询当日航班信息，不查询历史航班。</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国际航班的值机位置每日不固定，需要后台确认能否获取到相关数据。</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3.2.6交通信息查询</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通过获取机场官网大巴数据展示大巴信息，通过智能导乘台快捷按钮直接查询。</w:t>
      </w:r>
    </w:p>
    <w:p>
      <w:pPr>
        <w:spacing w:line="276" w:lineRule="auto"/>
        <w:ind w:firstLine="315" w:firstLineChars="150"/>
        <w:rPr>
          <w:rFonts w:hint="eastAsia" w:ascii="仿宋_GB2312" w:eastAsia="仿宋_GB2312"/>
          <w:sz w:val="32"/>
          <w:szCs w:val="32"/>
        </w:rPr>
      </w:pPr>
      <w:r>
        <w:rPr>
          <w:rFonts w:hint="eastAsia" w:ascii="仿宋_GB2312" w:eastAsia="仿宋_GB2312" w:cs="宋体" w:hAnsiTheme="minorEastAsia"/>
          <w:kern w:val="0"/>
          <w:szCs w:val="21"/>
        </w:rPr>
        <w:t>3.2.7航班查询</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可通过输入航班号、起始地、目的地等条件查询航班相关信息。查询结果包括航班计划起飞时间、实际起飞时间、计划到达时间、实际到达时间、登机口、行李转盘等相关信息。</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3.2.8视频客服通话</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用户可以在智能导航台点击快捷按钮向客服发起视频通话，此功能预留。</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3.2.9航班数据接口</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对于扫码智能导乘及航班查询功能模块本项目包含与本场数据中心进行航班数据接口开发的双方接口</w:t>
      </w:r>
      <w:r>
        <w:rPr>
          <w:rFonts w:hint="eastAsia" w:ascii="仿宋_GB2312" w:eastAsia="仿宋_GB2312" w:cs="宋体" w:hAnsiTheme="minorEastAsia"/>
          <w:kern w:val="0"/>
          <w:szCs w:val="21"/>
          <w:lang w:val="en-US" w:eastAsia="zh-CN"/>
        </w:rPr>
        <w:t>开发工作及</w:t>
      </w:r>
      <w:r>
        <w:rPr>
          <w:rFonts w:hint="eastAsia" w:ascii="仿宋_GB2312" w:eastAsia="仿宋_GB2312" w:cs="宋体" w:hAnsiTheme="minorEastAsia"/>
          <w:kern w:val="0"/>
          <w:szCs w:val="21"/>
        </w:rPr>
        <w:t>费用</w:t>
      </w:r>
      <w:r>
        <w:rPr>
          <w:rFonts w:hint="eastAsia" w:ascii="仿宋_GB2312" w:eastAsia="仿宋_GB2312" w:cs="宋体" w:hAnsiTheme="minorEastAsia"/>
          <w:kern w:val="0"/>
          <w:szCs w:val="21"/>
          <w:lang w:eastAsia="zh-CN"/>
        </w:rPr>
        <w:t>（</w:t>
      </w:r>
      <w:r>
        <w:rPr>
          <w:rFonts w:hint="eastAsia" w:ascii="仿宋_GB2312" w:eastAsia="仿宋_GB2312" w:cs="宋体" w:hAnsiTheme="minorEastAsia"/>
          <w:kern w:val="0"/>
          <w:szCs w:val="21"/>
          <w:lang w:val="en-US" w:eastAsia="zh-CN"/>
        </w:rPr>
        <w:t>杭州机场</w:t>
      </w:r>
      <w:r>
        <w:rPr>
          <w:rFonts w:hint="eastAsia" w:ascii="仿宋_GB2312" w:eastAsia="仿宋_GB2312" w:cs="宋体" w:hAnsiTheme="minorEastAsia"/>
          <w:kern w:val="0"/>
          <w:szCs w:val="21"/>
        </w:rPr>
        <w:t>数据中心</w:t>
      </w:r>
      <w:r>
        <w:rPr>
          <w:rFonts w:hint="eastAsia" w:ascii="仿宋_GB2312" w:eastAsia="仿宋_GB2312" w:cs="宋体" w:hAnsiTheme="minorEastAsia"/>
          <w:kern w:val="0"/>
          <w:szCs w:val="21"/>
          <w:lang w:val="en-US" w:eastAsia="zh-CN"/>
        </w:rPr>
        <w:t>航班接口开发费用为6万</w:t>
      </w:r>
      <w:r>
        <w:rPr>
          <w:rFonts w:hint="eastAsia" w:ascii="仿宋_GB2312" w:eastAsia="仿宋_GB2312" w:cs="宋体" w:hAnsiTheme="minorEastAsia"/>
          <w:kern w:val="0"/>
          <w:szCs w:val="21"/>
          <w:lang w:eastAsia="zh-CN"/>
        </w:rPr>
        <w:t>）</w:t>
      </w:r>
      <w:r>
        <w:rPr>
          <w:rFonts w:hint="eastAsia" w:ascii="仿宋_GB2312" w:eastAsia="仿宋_GB2312" w:cs="宋体" w:hAnsiTheme="minorEastAsia"/>
          <w:kern w:val="0"/>
          <w:szCs w:val="21"/>
        </w:rPr>
        <w:t>；</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3.2.10后台管理功能</w:t>
      </w:r>
    </w:p>
    <w:p>
      <w:pPr>
        <w:spacing w:line="276" w:lineRule="auto"/>
        <w:ind w:firstLine="315" w:firstLineChars="150"/>
        <w:rPr>
          <w:rFonts w:hint="eastAsia" w:ascii="仿宋_GB2312" w:eastAsia="仿宋_GB2312" w:cs="宋体" w:hAnsiTheme="minorEastAsia"/>
          <w:kern w:val="0"/>
          <w:szCs w:val="21"/>
        </w:rPr>
      </w:pPr>
      <w:r>
        <w:rPr>
          <w:rFonts w:hint="eastAsia" w:ascii="仿宋_GB2312" w:eastAsia="仿宋_GB2312" w:cs="宋体" w:hAnsiTheme="minorEastAsia"/>
          <w:kern w:val="0"/>
          <w:szCs w:val="21"/>
        </w:rPr>
        <w:t>可以监控智能导乘台，如有导乘台故障宕机等发生不在线的情况，后台可以监控到；后台接听旅客的视频通话，通话记录可查等（此功能预留）；具有统计功能，按菜单功能统计旅客使用导乘台的次数。</w:t>
      </w:r>
    </w:p>
    <w:p>
      <w:pPr>
        <w:spacing w:line="276" w:lineRule="auto"/>
        <w:ind w:firstLine="316" w:firstLineChars="150"/>
        <w:rPr>
          <w:rFonts w:hint="eastAsia" w:ascii="仿宋_GB2312" w:eastAsia="仿宋_GB2312" w:cs="宋体" w:hAnsiTheme="minorEastAsia"/>
          <w:b/>
          <w:kern w:val="0"/>
          <w:szCs w:val="21"/>
        </w:rPr>
      </w:pPr>
      <w:r>
        <w:rPr>
          <w:rFonts w:hint="eastAsia" w:ascii="仿宋_GB2312" w:eastAsia="仿宋_GB2312" w:cs="宋体" w:hAnsiTheme="minorEastAsia"/>
          <w:b/>
          <w:kern w:val="0"/>
          <w:szCs w:val="21"/>
        </w:rPr>
        <w:t>乙方提供产品包含但不限于以上功能。另注：乙方须提供一年的航站楼地图更新维护服务，根据甲方提供的地图变更信息内容，乙方须安排专人进行地图的更新工作，相关费用计入合同总价中，甲方不再另行支付费用。</w:t>
      </w:r>
    </w:p>
    <w:p>
      <w:pPr>
        <w:tabs>
          <w:tab w:val="left" w:pos="5985"/>
        </w:tabs>
        <w:snapToGrid w:val="0"/>
        <w:spacing w:line="560" w:lineRule="exact"/>
        <w:ind w:firstLine="422" w:firstLineChars="200"/>
        <w:rPr>
          <w:rFonts w:ascii="仿宋_GB2312" w:hAnsi="仿宋_GB2312" w:eastAsia="仿宋_GB2312" w:cs="仿宋_GB2312"/>
          <w:b/>
          <w:snapToGrid w:val="0"/>
          <w:kern w:val="0"/>
          <w:szCs w:val="21"/>
        </w:rPr>
      </w:pPr>
      <w:r>
        <w:rPr>
          <w:rFonts w:hint="eastAsia" w:ascii="仿宋_GB2312" w:hAnsi="仿宋_GB2312" w:eastAsia="仿宋_GB2312" w:cs="仿宋_GB2312"/>
          <w:b/>
          <w:szCs w:val="21"/>
        </w:rPr>
        <w:t>3.3设备清单</w:t>
      </w:r>
    </w:p>
    <w:tbl>
      <w:tblPr>
        <w:tblStyle w:val="46"/>
        <w:tblpPr w:leftFromText="180" w:rightFromText="180" w:vertAnchor="text" w:horzAnchor="margin" w:tblpXSpec="center" w:tblpY="59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268"/>
        <w:gridCol w:w="4253"/>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序号</w:t>
            </w:r>
          </w:p>
        </w:tc>
        <w:tc>
          <w:tcPr>
            <w:tcW w:w="2268"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内容</w:t>
            </w:r>
          </w:p>
        </w:tc>
        <w:tc>
          <w:tcPr>
            <w:tcW w:w="4253" w:type="dxa"/>
            <w:shd w:val="clear" w:color="auto" w:fill="D9D9D9"/>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备注</w:t>
            </w:r>
          </w:p>
        </w:tc>
        <w:tc>
          <w:tcPr>
            <w:tcW w:w="919" w:type="dxa"/>
            <w:shd w:val="clear" w:color="auto" w:fill="D9D9D9"/>
            <w:vAlign w:val="center"/>
          </w:tcPr>
          <w:p>
            <w:pPr>
              <w:spacing w:line="276" w:lineRule="auto"/>
              <w:jc w:val="center"/>
              <w:rPr>
                <w:rFonts w:asciiTheme="minorEastAsia" w:hAnsiTheme="minorEastAsia"/>
                <w:b/>
                <w:kern w:val="0"/>
                <w:szCs w:val="21"/>
                <w:shd w:val="clear" w:color="auto" w:fill="D9D9D9"/>
              </w:rPr>
            </w:pPr>
            <w:r>
              <w:rPr>
                <w:rFonts w:hint="eastAsia" w:asciiTheme="minorEastAsia" w:hAnsiTheme="minorEastAsia"/>
                <w:b/>
                <w:kern w:val="0"/>
                <w:szCs w:val="21"/>
                <w:shd w:val="clear" w:color="auto" w:fill="D9D9D9"/>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1</w:t>
            </w:r>
          </w:p>
        </w:tc>
        <w:tc>
          <w:tcPr>
            <w:tcW w:w="2268" w:type="dxa"/>
            <w:vAlign w:val="center"/>
          </w:tcPr>
          <w:p>
            <w:r>
              <w:rPr>
                <w:rFonts w:hint="eastAsia" w:cs="宋体" w:asciiTheme="minorEastAsia" w:hAnsiTheme="minorEastAsia"/>
                <w:b/>
                <w:kern w:val="0"/>
                <w:szCs w:val="21"/>
              </w:rPr>
              <w:t>触摸智能导航台</w:t>
            </w:r>
          </w:p>
          <w:p>
            <w:pPr>
              <w:spacing w:line="276" w:lineRule="auto"/>
              <w:jc w:val="center"/>
              <w:rPr>
                <w:rFonts w:asciiTheme="minorEastAsia" w:hAnsiTheme="minorEastAsia"/>
                <w:b/>
                <w:kern w:val="0"/>
                <w:szCs w:val="21"/>
              </w:rPr>
            </w:pPr>
          </w:p>
        </w:tc>
        <w:tc>
          <w:tcPr>
            <w:tcW w:w="4253" w:type="dxa"/>
          </w:tcPr>
          <w:p>
            <w:r>
              <w:rPr>
                <w:rFonts w:hint="eastAsia" w:cs="宋体" w:asciiTheme="minorEastAsia" w:hAnsiTheme="minorEastAsia"/>
                <w:kern w:val="0"/>
                <w:szCs w:val="21"/>
              </w:rPr>
              <w:t>显示屏尺寸49寸，包含扫码功能，自带操作系统，支持网口；同时负责设备在航站楼的安装，包含在航站楼内的弱电跳线工作（包含需要的网络设备）</w:t>
            </w:r>
          </w:p>
          <w:p>
            <w:pPr>
              <w:spacing w:line="276" w:lineRule="auto"/>
              <w:jc w:val="left"/>
              <w:rPr>
                <w:rFonts w:cs="宋体" w:asciiTheme="minorEastAsia" w:hAnsiTheme="minorEastAsia"/>
                <w:kern w:val="0"/>
                <w:szCs w:val="21"/>
              </w:rPr>
            </w:pPr>
          </w:p>
          <w:p>
            <w:pPr>
              <w:spacing w:line="276" w:lineRule="auto"/>
              <w:jc w:val="left"/>
              <w:rPr>
                <w:rFonts w:asciiTheme="minorEastAsia" w:hAnsiTheme="minorEastAsia"/>
                <w:kern w:val="0"/>
                <w:szCs w:val="21"/>
              </w:rPr>
            </w:pPr>
            <w:r>
              <w:rPr>
                <w:rFonts w:hint="eastAsia" w:cs="宋体" w:asciiTheme="minorEastAsia" w:hAnsiTheme="minorEastAsia"/>
                <w:kern w:val="0"/>
                <w:szCs w:val="21"/>
              </w:rPr>
              <w:t>原厂质保三年</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2</w:t>
            </w:r>
          </w:p>
        </w:tc>
        <w:tc>
          <w:tcPr>
            <w:tcW w:w="2268"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综合布线</w:t>
            </w:r>
          </w:p>
        </w:tc>
        <w:tc>
          <w:tcPr>
            <w:tcW w:w="4253" w:type="dxa"/>
          </w:tcPr>
          <w:p>
            <w:pPr>
              <w:spacing w:line="276" w:lineRule="auto"/>
              <w:jc w:val="left"/>
              <w:rPr>
                <w:rFonts w:asciiTheme="minorEastAsia" w:hAnsiTheme="minorEastAsia"/>
                <w:kern w:val="0"/>
                <w:szCs w:val="21"/>
              </w:rPr>
            </w:pPr>
            <w:r>
              <w:rPr>
                <w:rFonts w:hint="eastAsia" w:cs="宋体" w:asciiTheme="minorEastAsia" w:hAnsiTheme="minorEastAsia"/>
                <w:kern w:val="0"/>
                <w:szCs w:val="21"/>
              </w:rPr>
              <w:t>6台导乘台的网络跳线，包括布线所需相应的网络设备，如交换机等</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3</w:t>
            </w:r>
          </w:p>
        </w:tc>
        <w:tc>
          <w:tcPr>
            <w:tcW w:w="2268" w:type="dxa"/>
            <w:vAlign w:val="center"/>
          </w:tcPr>
          <w:p>
            <w:pPr>
              <w:spacing w:line="276" w:lineRule="auto"/>
              <w:jc w:val="center"/>
              <w:rPr>
                <w:rFonts w:cs="宋体" w:asciiTheme="minorEastAsia" w:hAnsiTheme="minorEastAsia"/>
                <w:b/>
                <w:kern w:val="0"/>
                <w:szCs w:val="21"/>
              </w:rPr>
            </w:pPr>
            <w:r>
              <w:rPr>
                <w:rFonts w:hint="eastAsia" w:asciiTheme="minorEastAsia" w:hAnsiTheme="minorEastAsia"/>
                <w:b/>
                <w:kern w:val="0"/>
                <w:szCs w:val="21"/>
              </w:rPr>
              <w:t>航班信息接口</w:t>
            </w:r>
          </w:p>
        </w:tc>
        <w:tc>
          <w:tcPr>
            <w:tcW w:w="4253" w:type="dxa"/>
          </w:tcPr>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与杭州机场数据中心的航班数据接口，包含双方的数据接口开发</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4</w:t>
            </w:r>
          </w:p>
        </w:tc>
        <w:tc>
          <w:tcPr>
            <w:tcW w:w="2268" w:type="dxa"/>
            <w:vAlign w:val="center"/>
          </w:tcPr>
          <w:p>
            <w:pPr>
              <w:spacing w:line="276" w:lineRule="auto"/>
              <w:jc w:val="center"/>
              <w:rPr>
                <w:rFonts w:cs="宋体" w:asciiTheme="minorEastAsia" w:hAnsiTheme="minorEastAsia"/>
                <w:b/>
                <w:kern w:val="0"/>
                <w:szCs w:val="21"/>
              </w:rPr>
            </w:pPr>
            <w:r>
              <w:rPr>
                <w:rFonts w:hint="eastAsia" w:asciiTheme="minorEastAsia" w:hAnsiTheme="minorEastAsia"/>
                <w:b/>
                <w:kern w:val="0"/>
                <w:szCs w:val="21"/>
              </w:rPr>
              <w:t>智能导航软件</w:t>
            </w:r>
          </w:p>
        </w:tc>
        <w:tc>
          <w:tcPr>
            <w:tcW w:w="4253" w:type="dxa"/>
          </w:tcPr>
          <w:p>
            <w:pPr>
              <w:pStyle w:val="61"/>
              <w:spacing w:line="276" w:lineRule="auto"/>
              <w:ind w:firstLine="0" w:firstLineChars="0"/>
              <w:outlineLvl w:val="9"/>
              <w:rPr>
                <w:rFonts w:cs="宋体" w:asciiTheme="minorEastAsia" w:hAnsiTheme="minorEastAsia"/>
                <w:szCs w:val="21"/>
              </w:rPr>
            </w:pPr>
            <w:r>
              <w:rPr>
                <w:rFonts w:hint="eastAsia" w:eastAsia="宋体" w:cs="宋体" w:asciiTheme="minorEastAsia" w:hAnsiTheme="minorEastAsia"/>
                <w:b w:val="0"/>
                <w:sz w:val="21"/>
                <w:szCs w:val="21"/>
              </w:rPr>
              <w:t>详见2.2软件功能要求</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99" w:type="dxa"/>
            <w:vAlign w:val="center"/>
          </w:tcPr>
          <w:p>
            <w:pPr>
              <w:spacing w:line="276" w:lineRule="auto"/>
              <w:jc w:val="center"/>
              <w:rPr>
                <w:rFonts w:asciiTheme="minorEastAsia" w:hAnsiTheme="minorEastAsia"/>
                <w:b/>
                <w:kern w:val="0"/>
                <w:szCs w:val="21"/>
              </w:rPr>
            </w:pPr>
            <w:r>
              <w:rPr>
                <w:rFonts w:hint="eastAsia" w:asciiTheme="minorEastAsia" w:hAnsiTheme="minorEastAsia"/>
                <w:b/>
                <w:kern w:val="0"/>
                <w:szCs w:val="21"/>
              </w:rPr>
              <w:t>5</w:t>
            </w:r>
          </w:p>
        </w:tc>
        <w:tc>
          <w:tcPr>
            <w:tcW w:w="2268" w:type="dxa"/>
            <w:vAlign w:val="center"/>
          </w:tcPr>
          <w:p>
            <w:pPr>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服务器</w:t>
            </w:r>
          </w:p>
        </w:tc>
        <w:tc>
          <w:tcPr>
            <w:tcW w:w="4253" w:type="dxa"/>
          </w:tcPr>
          <w:p/>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详见2.3.2 服务器配置要求</w:t>
            </w:r>
          </w:p>
          <w:p>
            <w:pPr>
              <w:spacing w:line="276" w:lineRule="auto"/>
              <w:jc w:val="left"/>
              <w:rPr>
                <w:rFonts w:cs="宋体" w:asciiTheme="minorEastAsia" w:hAnsiTheme="minorEastAsia"/>
                <w:kern w:val="0"/>
                <w:szCs w:val="21"/>
              </w:rPr>
            </w:pPr>
            <w:r>
              <w:rPr>
                <w:rFonts w:hint="eastAsia" w:cs="宋体" w:asciiTheme="minorEastAsia" w:hAnsiTheme="minorEastAsia"/>
                <w:kern w:val="0"/>
                <w:szCs w:val="21"/>
              </w:rPr>
              <w:t>原厂质保三年</w:t>
            </w:r>
          </w:p>
        </w:tc>
        <w:tc>
          <w:tcPr>
            <w:tcW w:w="919" w:type="dxa"/>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1台</w:t>
            </w:r>
          </w:p>
        </w:tc>
      </w:tr>
    </w:tbl>
    <w:p>
      <w:pPr>
        <w:pStyle w:val="61"/>
        <w:spacing w:line="276" w:lineRule="auto"/>
        <w:ind w:firstLine="0" w:firstLineChars="0"/>
        <w:outlineLvl w:val="9"/>
        <w:rPr>
          <w:rFonts w:asciiTheme="minorEastAsia" w:hAnsiTheme="minorEastAsia" w:eastAsiaTheme="minorEastAsia"/>
          <w:sz w:val="21"/>
          <w:szCs w:val="21"/>
        </w:rPr>
      </w:pPr>
    </w:p>
    <w:p>
      <w:pPr>
        <w:pStyle w:val="61"/>
        <w:spacing w:line="276" w:lineRule="auto"/>
        <w:ind w:firstLine="316" w:firstLineChars="150"/>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3.3.1 智能触摸屏配置要求</w:t>
      </w:r>
    </w:p>
    <w:tbl>
      <w:tblPr>
        <w:tblStyle w:val="4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技术指标</w:t>
            </w:r>
          </w:p>
        </w:tc>
        <w:tc>
          <w:tcPr>
            <w:tcW w:w="7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液晶屏品牌</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三星/LG或同档次及以上知名品牌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处理器</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推荐Intel酷睿i5处理器，主频:≥2.</w:t>
            </w:r>
            <w:r>
              <w:rPr>
                <w:rFonts w:cs="宋体" w:asciiTheme="minorEastAsia" w:hAnsiTheme="minorEastAsia"/>
                <w:kern w:val="0"/>
                <w:szCs w:val="21"/>
              </w:rPr>
              <w:t>4</w:t>
            </w:r>
            <w:r>
              <w:rPr>
                <w:rFonts w:hint="eastAsia" w:cs="宋体" w:asciiTheme="minorEastAsia" w:hAnsiTheme="minorEastAsia"/>
                <w:kern w:val="0"/>
                <w:szCs w:val="21"/>
              </w:rPr>
              <w:t>GHz，≥4核；或同等以上配置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内存</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b/>
                <w:kern w:val="0"/>
                <w:szCs w:val="21"/>
              </w:rPr>
            </w:pPr>
            <w:r>
              <w:rPr>
                <w:rFonts w:hint="eastAsia" w:cs="宋体" w:asciiTheme="minorEastAsia" w:hAnsiTheme="minorEastAsia"/>
                <w:kern w:val="0"/>
                <w:szCs w:val="21"/>
              </w:rPr>
              <w:t>&gt;=8G；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8"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存储</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内置200G及以上固态硬盘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板载网口</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包含wifi模块，标准有线模块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操作系统</w:t>
            </w:r>
          </w:p>
        </w:tc>
        <w:tc>
          <w:tcPr>
            <w:tcW w:w="7513" w:type="dxa"/>
            <w:tcBorders>
              <w:top w:val="single" w:color="auto" w:sz="4" w:space="0"/>
              <w:left w:val="single" w:color="auto" w:sz="4" w:space="0"/>
              <w:bottom w:val="single" w:color="auto" w:sz="4" w:space="0"/>
              <w:right w:val="single" w:color="auto" w:sz="4" w:space="0"/>
            </w:tcBorders>
          </w:tcPr>
          <w:p/>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安卓或Windows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电源</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kern w:val="0"/>
                <w:szCs w:val="21"/>
              </w:rPr>
            </w:pPr>
            <w:r>
              <w:rPr>
                <w:rFonts w:hint="eastAsia" w:cs="宋体" w:asciiTheme="minorEastAsia" w:hAnsiTheme="minorEastAsia"/>
                <w:kern w:val="0"/>
                <w:szCs w:val="21"/>
              </w:rPr>
              <w:t>提供高效率冗余电源，并提供配套的电源连接线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分辨率</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rPr>
              <w:t>1920*1080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触摸点数</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rPr>
              <w:t>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显示屏尺寸</w:t>
            </w:r>
          </w:p>
        </w:tc>
        <w:tc>
          <w:tcPr>
            <w:tcW w:w="75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cs="宋体" w:asciiTheme="minorEastAsia" w:hAnsiTheme="minorEastAsia"/>
                <w:kern w:val="0"/>
                <w:szCs w:val="21"/>
              </w:rPr>
            </w:pPr>
            <w:r>
              <w:rPr>
                <w:rFonts w:hint="eastAsia" w:cs="宋体" w:asciiTheme="minorEastAsia" w:hAnsiTheme="minorEastAsia"/>
                <w:kern w:val="0"/>
                <w:szCs w:val="21"/>
              </w:rPr>
              <w:t>横屏49寸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其他配置</w:t>
            </w:r>
          </w:p>
        </w:tc>
        <w:tc>
          <w:tcPr>
            <w:tcW w:w="7513" w:type="dxa"/>
            <w:tcBorders>
              <w:top w:val="single" w:color="auto" w:sz="4" w:space="0"/>
              <w:left w:val="single" w:color="auto" w:sz="4" w:space="0"/>
              <w:bottom w:val="single" w:color="auto" w:sz="4" w:space="0"/>
              <w:right w:val="single" w:color="auto" w:sz="4" w:space="0"/>
            </w:tcBorders>
            <w:vAlign w:val="center"/>
          </w:tcPr>
          <w:p/>
          <w:p>
            <w:pPr>
              <w:widowControl/>
              <w:spacing w:line="276" w:lineRule="auto"/>
              <w:jc w:val="left"/>
              <w:rPr>
                <w:rFonts w:cs="宋体" w:asciiTheme="minorEastAsia" w:hAnsiTheme="minorEastAsia"/>
                <w:szCs w:val="21"/>
              </w:rPr>
            </w:pPr>
            <w:r>
              <w:rPr>
                <w:rFonts w:hint="eastAsia" w:cs="宋体" w:asciiTheme="minorEastAsia" w:hAnsiTheme="minorEastAsia"/>
                <w:kern w:val="0"/>
                <w:szCs w:val="21"/>
              </w:rPr>
              <w:t>支持触摸操作；支持扫码（二维码及条形码）；自带摄像头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asciiTheme="minorEastAsia" w:hAnsiTheme="minorEastAsia"/>
                <w:b/>
                <w:kern w:val="0"/>
                <w:szCs w:val="21"/>
              </w:rPr>
            </w:pPr>
            <w:r>
              <w:rPr>
                <w:rFonts w:hint="eastAsia" w:cs="宋体" w:asciiTheme="minorEastAsia" w:hAnsiTheme="minorEastAsia"/>
                <w:b/>
                <w:kern w:val="0"/>
                <w:szCs w:val="21"/>
              </w:rPr>
              <w:t>质保要求</w:t>
            </w:r>
          </w:p>
        </w:tc>
        <w:tc>
          <w:tcPr>
            <w:tcW w:w="7513"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原厂三年质保</w:t>
            </w:r>
          </w:p>
        </w:tc>
      </w:tr>
    </w:tbl>
    <w:p>
      <w:pPr>
        <w:pStyle w:val="61"/>
        <w:spacing w:line="276" w:lineRule="auto"/>
        <w:ind w:firstLine="0" w:firstLineChars="0"/>
        <w:jc w:val="both"/>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3.3.2 服务器配置要求</w:t>
      </w:r>
    </w:p>
    <w:tbl>
      <w:tblPr>
        <w:tblStyle w:val="46"/>
        <w:tblW w:w="907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技术指标</w:t>
            </w:r>
          </w:p>
        </w:tc>
        <w:tc>
          <w:tcPr>
            <w:tcW w:w="7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推荐品牌</w:t>
            </w:r>
          </w:p>
        </w:tc>
        <w:tc>
          <w:tcPr>
            <w:tcW w:w="7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DELL 、联想</w:t>
            </w:r>
            <w:r>
              <w:rPr>
                <w:rFonts w:hint="eastAsia" w:cs="宋体" w:asciiTheme="minorEastAsia" w:hAnsiTheme="minorEastAsia"/>
                <w:kern w:val="0"/>
                <w:szCs w:val="21"/>
              </w:rPr>
              <w:t>或同档次及以上</w:t>
            </w:r>
            <w:r>
              <w:rPr>
                <w:rFonts w:hint="eastAsia" w:cs="宋体" w:asciiTheme="minorEastAsia" w:hAnsiTheme="minorEastAsia"/>
                <w:b/>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处理器</w:t>
            </w:r>
          </w:p>
        </w:tc>
        <w:tc>
          <w:tcPr>
            <w:tcW w:w="7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宋体" w:asciiTheme="minorEastAsia" w:hAnsiTheme="minorEastAsia"/>
                <w:b/>
                <w:kern w:val="0"/>
                <w:sz w:val="22"/>
              </w:rPr>
            </w:pPr>
            <w:r>
              <w:rPr>
                <w:rFonts w:hint="eastAsia" w:cs="Calibri" w:asciiTheme="minorEastAsia" w:hAnsiTheme="minorEastAsia"/>
                <w:sz w:val="22"/>
              </w:rPr>
              <w:t>配置2*英特尔至强</w:t>
            </w:r>
            <w:r>
              <w:rPr>
                <w:rFonts w:cs="Calibri" w:asciiTheme="minorEastAsia" w:hAnsiTheme="minorEastAsia"/>
                <w:sz w:val="22"/>
              </w:rPr>
              <w:t xml:space="preserve"> 银牌 4114 2.2G, 10C/20T</w:t>
            </w:r>
            <w:r>
              <w:rPr>
                <w:rFonts w:hint="eastAsia" w:cs="Calibri" w:asciiTheme="minorEastAsia" w:hAnsiTheme="minorEastAsia"/>
                <w:sz w:val="22"/>
              </w:rPr>
              <w:t>处理器；可支持铂金81xx，金61xx/51xx，银41xx，铜31xx系列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宋体" w:asciiTheme="minorEastAsia" w:hAnsiTheme="minorEastAsia"/>
                <w:b/>
                <w:kern w:val="0"/>
                <w:sz w:val="22"/>
              </w:rPr>
              <w:t>内存</w:t>
            </w:r>
          </w:p>
        </w:tc>
        <w:tc>
          <w:tcPr>
            <w:tcW w:w="7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支持RDIMM，LRDIMM，NVDIMM-N；24 个DIMM 插槽，本次配置2*</w:t>
            </w:r>
            <w:r>
              <w:rPr>
                <w:rFonts w:cs="Calibri" w:asciiTheme="minorEastAsia" w:hAnsiTheme="minorEastAsia"/>
                <w:sz w:val="22"/>
              </w:rPr>
              <w:t>32GB RDIMM内存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硬盘</w:t>
            </w:r>
          </w:p>
        </w:tc>
        <w:tc>
          <w:tcPr>
            <w:tcW w:w="7528" w:type="dxa"/>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≥1</w:t>
            </w:r>
            <w:r>
              <w:rPr>
                <w:rFonts w:cs="Calibri" w:asciiTheme="minorEastAsia" w:hAnsiTheme="minorEastAsia"/>
                <w:sz w:val="22"/>
              </w:rPr>
              <w:t>6</w:t>
            </w:r>
            <w:r>
              <w:rPr>
                <w:rFonts w:hint="eastAsia" w:cs="Calibri" w:asciiTheme="minorEastAsia" w:hAnsiTheme="minorEastAsia"/>
                <w:sz w:val="22"/>
              </w:rPr>
              <w:t>个硬盘槽位；本次配置5</w:t>
            </w:r>
            <w:r>
              <w:rPr>
                <w:rFonts w:cs="Calibri" w:asciiTheme="minorEastAsia" w:hAnsiTheme="minorEastAsia"/>
                <w:sz w:val="22"/>
              </w:rPr>
              <w:t>*960GB SSD SATA SSD</w:t>
            </w:r>
          </w:p>
          <w:p>
            <w:pPr>
              <w:autoSpaceDE w:val="0"/>
              <w:autoSpaceDN w:val="0"/>
              <w:adjustRightInd w:val="0"/>
              <w:spacing w:line="276" w:lineRule="auto"/>
              <w:jc w:val="left"/>
              <w:rPr>
                <w:rFonts w:cs="Calibri" w:asciiTheme="minorEastAsia" w:hAnsiTheme="minorEastAsia"/>
                <w:sz w:val="22"/>
              </w:rPr>
            </w:pPr>
            <w:r>
              <w:rPr>
                <w:rFonts w:hint="eastAsia" w:cs="宋体" w:asciiTheme="minorEastAsia" w:hAnsiTheme="minorEastAsia"/>
                <w:kern w:val="0"/>
                <w:sz w:val="22"/>
              </w:rPr>
              <w:t>硬盘应在VMware官方VSAN兼容列表中可查。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快擦硬盘/SSD</w:t>
            </w:r>
          </w:p>
        </w:tc>
        <w:tc>
          <w:tcPr>
            <w:tcW w:w="7528" w:type="dxa"/>
            <w:shd w:val="clear" w:color="auto" w:fill="auto"/>
            <w:vAlign w:val="center"/>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可选服务器生命周期结束或者挪作它用时一键删除硬盘/SSD所有信息，只需要几分钟就能保证信息不泄露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autoSpaceDE w:val="0"/>
              <w:autoSpaceDN w:val="0"/>
              <w:adjustRightInd w:val="0"/>
              <w:spacing w:line="276" w:lineRule="auto"/>
              <w:jc w:val="center"/>
              <w:rPr>
                <w:rFonts w:cs="宋体" w:asciiTheme="minorEastAsia" w:hAnsiTheme="minorEastAsia"/>
                <w:b/>
                <w:kern w:val="0"/>
                <w:sz w:val="22"/>
              </w:rPr>
            </w:pPr>
            <w:r>
              <w:rPr>
                <w:rFonts w:hint="eastAsia" w:cs="Calibri" w:asciiTheme="minorEastAsia" w:hAnsiTheme="minorEastAsia"/>
                <w:b/>
                <w:bCs/>
                <w:sz w:val="22"/>
              </w:rPr>
              <w:t>RAID卡</w:t>
            </w:r>
          </w:p>
        </w:tc>
        <w:tc>
          <w:tcPr>
            <w:tcW w:w="7528" w:type="dxa"/>
            <w:shd w:val="clear" w:color="auto" w:fill="auto"/>
            <w:vAlign w:val="center"/>
          </w:tcPr>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配置≥2GB高速缓存，支持RAID 0、1、5、6、10、50、60，断电保护；可选4Gb RAID卡</w:t>
            </w:r>
          </w:p>
          <w:p>
            <w:pPr>
              <w:autoSpaceDE w:val="0"/>
              <w:autoSpaceDN w:val="0"/>
              <w:adjustRightInd w:val="0"/>
              <w:spacing w:line="276" w:lineRule="auto"/>
              <w:jc w:val="left"/>
              <w:rPr>
                <w:rFonts w:cs="Calibri" w:asciiTheme="minorEastAsia" w:hAnsiTheme="minorEastAsia"/>
                <w:sz w:val="22"/>
              </w:rPr>
            </w:pPr>
            <w:r>
              <w:rPr>
                <w:rFonts w:hint="eastAsia" w:cs="Calibri" w:asciiTheme="minorEastAsia" w:hAnsiTheme="minorEastAsia"/>
                <w:sz w:val="22"/>
              </w:rPr>
              <w:t>RAID卡</w:t>
            </w:r>
            <w:r>
              <w:rPr>
                <w:rFonts w:hint="eastAsia" w:cs="宋体" w:asciiTheme="minorEastAsia" w:hAnsiTheme="minorEastAsia"/>
                <w:kern w:val="0"/>
                <w:sz w:val="22"/>
              </w:rPr>
              <w:t>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SD卡</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配置2个16GB SD卡，Raid1，可用于部署虚拟化软件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PCI插槽</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w:t>
            </w:r>
            <w:r>
              <w:rPr>
                <w:rFonts w:cs="Calibri" w:asciiTheme="minorEastAsia" w:hAnsiTheme="minorEastAsia"/>
                <w:sz w:val="22"/>
              </w:rPr>
              <w:t>4</w:t>
            </w:r>
            <w:r>
              <w:rPr>
                <w:rFonts w:hint="eastAsia" w:cs="Calibri" w:asciiTheme="minorEastAsia" w:hAnsiTheme="minorEastAsia"/>
                <w:sz w:val="22"/>
              </w:rPr>
              <w:t>个PCIe第3代插槽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cs="Courier New" w:asciiTheme="minorEastAsia" w:hAnsiTheme="minorEastAsia"/>
                <w:b/>
                <w:bCs/>
                <w:sz w:val="22"/>
              </w:rPr>
              <w:t>HBA卡</w:t>
            </w:r>
          </w:p>
        </w:tc>
        <w:tc>
          <w:tcPr>
            <w:tcW w:w="7528" w:type="dxa"/>
            <w:shd w:val="clear" w:color="auto" w:fill="auto"/>
            <w:vAlign w:val="center"/>
          </w:tcPr>
          <w:p>
            <w:pPr>
              <w:spacing w:line="276" w:lineRule="auto"/>
              <w:rPr>
                <w:rFonts w:cs="Calibri" w:asciiTheme="minorEastAsia" w:hAnsiTheme="minorEastAsia"/>
                <w:sz w:val="22"/>
              </w:rPr>
            </w:pPr>
            <w:r>
              <w:rPr>
                <w:rFonts w:cs="Calibri" w:asciiTheme="minorEastAsia" w:hAnsiTheme="minorEastAsia"/>
                <w:sz w:val="22"/>
              </w:rPr>
              <w:t>Emulex LPe31002-M6-D 双端口 16Gb 光纤通道 HBA</w:t>
            </w:r>
            <w:r>
              <w:rPr>
                <w:rFonts w:hint="eastAsia" w:cs="Calibri" w:asciiTheme="minorEastAsia" w:hAnsiTheme="minorEastAsia"/>
                <w:sz w:val="22"/>
              </w:rPr>
              <w:t>卡</w:t>
            </w:r>
            <w:r>
              <w:rPr>
                <w:rFonts w:hint="eastAsia" w:asciiTheme="minorEastAsia" w:hAnsiTheme="minorEastAsia" w:cstheme="minorEastAsia"/>
                <w:kern w:val="0"/>
                <w:sz w:val="22"/>
              </w:rPr>
              <w:t>（含2个光模块）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网卡</w:t>
            </w:r>
          </w:p>
        </w:tc>
        <w:tc>
          <w:tcPr>
            <w:tcW w:w="7528" w:type="dxa"/>
            <w:shd w:val="clear" w:color="auto" w:fill="auto"/>
            <w:vAlign w:val="center"/>
          </w:tcPr>
          <w:p>
            <w:pPr>
              <w:spacing w:line="276" w:lineRule="auto"/>
              <w:rPr>
                <w:rFonts w:cs="Calibri" w:asciiTheme="minorEastAsia" w:hAnsiTheme="minorEastAsia"/>
                <w:sz w:val="22"/>
              </w:rPr>
            </w:pPr>
            <w:r>
              <w:rPr>
                <w:rFonts w:hint="eastAsia" w:cs="宋体" w:asciiTheme="minorEastAsia" w:hAnsiTheme="minorEastAsia"/>
                <w:kern w:val="0"/>
                <w:sz w:val="22"/>
              </w:rPr>
              <w:t>配置1块2端口</w:t>
            </w:r>
            <w:r>
              <w:rPr>
                <w:rFonts w:cs="Calibri" w:asciiTheme="minorEastAsia" w:hAnsiTheme="minorEastAsia"/>
                <w:sz w:val="22"/>
              </w:rPr>
              <w:t>英特尔 X520 DP 10Gb DA/SFP+</w:t>
            </w:r>
            <w:r>
              <w:rPr>
                <w:rFonts w:hint="eastAsia" w:cs="Calibri" w:asciiTheme="minorEastAsia" w:hAnsiTheme="minorEastAsia"/>
                <w:sz w:val="22"/>
              </w:rPr>
              <w:t>含2个多模光模块</w:t>
            </w:r>
          </w:p>
          <w:p>
            <w:pPr>
              <w:spacing w:line="276" w:lineRule="auto"/>
              <w:rPr>
                <w:rFonts w:cs="Calibri" w:asciiTheme="minorEastAsia" w:hAnsiTheme="minorEastAsia"/>
                <w:sz w:val="22"/>
              </w:rPr>
            </w:pPr>
            <w:r>
              <w:rPr>
                <w:rFonts w:cs="Calibri" w:asciiTheme="minorEastAsia" w:hAnsiTheme="minorEastAsia"/>
                <w:sz w:val="22"/>
              </w:rPr>
              <w:t>英特尔以太网 I350 QP 1Gb 网络子卡</w:t>
            </w:r>
            <w:r>
              <w:rPr>
                <w:rFonts w:hint="eastAsia" w:cs="Calibri" w:asciiTheme="minorEastAsia" w:hAnsiTheme="minorEastAsia"/>
                <w:sz w:val="22"/>
              </w:rPr>
              <w:t>≥</w:t>
            </w:r>
            <w:r>
              <w:rPr>
                <w:rFonts w:cs="Calibri" w:asciiTheme="minorEastAsia" w:hAnsiTheme="minorEastAsia"/>
                <w:sz w:val="22"/>
              </w:rPr>
              <w:t>4</w:t>
            </w:r>
            <w:r>
              <w:rPr>
                <w:rFonts w:hint="eastAsia" w:cs="Calibri" w:asciiTheme="minorEastAsia" w:hAnsiTheme="minorEastAsia"/>
                <w:sz w:val="22"/>
              </w:rPr>
              <w:t>个</w:t>
            </w:r>
          </w:p>
          <w:p>
            <w:pPr>
              <w:spacing w:line="276" w:lineRule="auto"/>
              <w:rPr>
                <w:rFonts w:cs="Calibri" w:asciiTheme="minorEastAsia" w:hAnsiTheme="minorEastAsia"/>
                <w:sz w:val="22"/>
              </w:rPr>
            </w:pPr>
            <w:r>
              <w:rPr>
                <w:rFonts w:hint="eastAsia" w:cs="宋体" w:asciiTheme="minorEastAsia" w:hAnsiTheme="minorEastAsia"/>
                <w:kern w:val="0"/>
                <w:sz w:val="22"/>
              </w:rPr>
              <w:t>10Gb网卡应在VMware官方VSAN兼容列表中可查。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电源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配置1+1≥750</w:t>
            </w:r>
            <w:r>
              <w:rPr>
                <w:rFonts w:cs="Calibri" w:asciiTheme="minorEastAsia" w:hAnsiTheme="minorEastAsia"/>
                <w:sz w:val="22"/>
              </w:rPr>
              <w:t>W</w:t>
            </w:r>
            <w:r>
              <w:rPr>
                <w:rFonts w:hint="eastAsia" w:cs="Calibri" w:asciiTheme="minorEastAsia" w:hAnsiTheme="minorEastAsia"/>
                <w:sz w:val="22"/>
              </w:rPr>
              <w:t>冗余热插拔电源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安全功能和特性</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加密签名固件，硬件根信任，安全启动，自动BIOS恢复，快速OS恢复，系统一键锁定，安全的缺省密码，配置和固件漂移检测，持久日志（包括用户形迹）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前置管理液晶屏</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前面板上配备有可拆卸液晶屏，可显示默认或定制信息，包括IP地址、服务器名称、支持服务编号等。如果系统发生故障，该液晶屏上将显示关于故障的具体信息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能耗管理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可监控、报告及控制处理器、内存及系统级的能耗，允许通过一体化管理控制台实现基于策略的功耗封顶。虚拟机功耗映射，可以根据功耗对于虚拟机进行负载平衡以及按虚拟机报告功能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第三方管理平台集成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 xml:space="preserve"> 提供主流管理平台如VMware vCenter，Microsoft System Center，BMC Software的插件集成；能够连接常见的管理平台如Nagios &amp; Nagios XI,Oracle Enterprise Manager, HP Operations Manager,</w:t>
            </w:r>
          </w:p>
          <w:p>
            <w:pPr>
              <w:spacing w:line="276" w:lineRule="auto"/>
              <w:rPr>
                <w:rFonts w:cs="Calibri" w:asciiTheme="minorEastAsia" w:hAnsiTheme="minorEastAsia"/>
                <w:sz w:val="22"/>
              </w:rPr>
            </w:pPr>
            <w:r>
              <w:rPr>
                <w:rFonts w:hint="eastAsia" w:cs="Calibri" w:asciiTheme="minorEastAsia" w:hAnsiTheme="minorEastAsia"/>
                <w:sz w:val="22"/>
              </w:rPr>
              <w:t>IBM Tivoli Netcool/OMNIbus, IBM Tivoli® Network Manager, CA Network and Systems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远程管理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配置远程管理卡，具有单独的管理网口，可不依赖主机操作系统进行远程操作。提供远程监控图形界面，可实现与操作系统无关的远程对服务器的完全控制，包括远程的开关机、重启、更新Firmware, 虚拟KVM, 虚拟软驱，虚拟光驱、虚拟介质重定向等操作；支持SNMP，IPMI和Redfish；支持IPv6。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前置专用USB管理口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允许用户独立于操作系统状态之外（免代理安装方式）远程访问、监控、维修、修复和升级服务器。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vAlign w:val="center"/>
          </w:tcPr>
          <w:p>
            <w:pPr>
              <w:spacing w:line="276" w:lineRule="auto"/>
              <w:jc w:val="center"/>
              <w:rPr>
                <w:rFonts w:cs="宋体" w:asciiTheme="minorEastAsia" w:hAnsiTheme="minorEastAsia"/>
                <w:b/>
                <w:kern w:val="0"/>
                <w:sz w:val="22"/>
              </w:rPr>
            </w:pP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能够利用SD卡保存操作系统安装镜像，从而实现一站式地完成操作系统的部署，包括内建驱动程序安装、固件更新、硬件配置和问题诊断。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组管理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一个页面可以集中管理100台服务器，且无需任何软件和代理。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移动管理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可升级通过手机和平板电脑管理服务器，可以做现场的资产清点。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全生命周期管理</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从服务器出厂免光盘安装部署，到升级，监控，维护，直至报废涉及的方方面面提供全生命周期管理。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导轨</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通用滑动机架式导轨,免工具安装。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lang w:val="zh-CN"/>
              </w:rPr>
              <w:t>监控分析</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提供性能监控分析软件并提供图文报告：包含CPU、内存、读写IOPS的峰值、吞吐量、读写比例，以及延迟、队列等性能数据，同时能提供所连接服务器的总核心数、以及CPU的峰值和最低值；支持监测VMware虚拟化集群、linux和Windows系统，且没有数量限制；深入分析服务器工作负载和容量需求，以优化数据中心运行效率；必须在应答书里描述如何实现并提供详细的报告样本实例，同时必须在签订合同前通过测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shd w:val="clear" w:color="auto" w:fill="auto"/>
            <w:vAlign w:val="center"/>
          </w:tcPr>
          <w:p>
            <w:pPr>
              <w:spacing w:line="276" w:lineRule="auto"/>
              <w:jc w:val="center"/>
              <w:rPr>
                <w:rFonts w:cs="宋体" w:asciiTheme="minorEastAsia" w:hAnsiTheme="minorEastAsia"/>
                <w:b/>
                <w:kern w:val="0"/>
                <w:sz w:val="22"/>
              </w:rPr>
            </w:pPr>
            <w:r>
              <w:rPr>
                <w:rFonts w:hint="eastAsia" w:cs="Calibri" w:asciiTheme="minorEastAsia" w:hAnsiTheme="minorEastAsia"/>
                <w:b/>
                <w:bCs/>
                <w:sz w:val="22"/>
              </w:rPr>
              <w:t>服务</w:t>
            </w:r>
          </w:p>
        </w:tc>
        <w:tc>
          <w:tcPr>
            <w:tcW w:w="7528" w:type="dxa"/>
            <w:shd w:val="clear" w:color="auto" w:fill="auto"/>
            <w:vAlign w:val="center"/>
          </w:tcPr>
          <w:p>
            <w:pPr>
              <w:spacing w:line="276" w:lineRule="auto"/>
              <w:rPr>
                <w:rFonts w:cs="Calibri" w:asciiTheme="minorEastAsia" w:hAnsiTheme="minorEastAsia"/>
                <w:sz w:val="22"/>
              </w:rPr>
            </w:pPr>
            <w:r>
              <w:rPr>
                <w:rFonts w:hint="eastAsia" w:cs="Calibri" w:asciiTheme="minorEastAsia" w:hAnsiTheme="minorEastAsia"/>
                <w:sz w:val="22"/>
              </w:rPr>
              <w:t>原厂商3年硬件免费保修，原厂工程师7 x 24 x 4小时免费上门服务，带原厂商服务承诺函；服务器硬盘故障免回收。</w:t>
            </w:r>
          </w:p>
        </w:tc>
      </w:tr>
    </w:tbl>
    <w:p>
      <w:pPr>
        <w:spacing w:line="560" w:lineRule="exact"/>
        <w:ind w:firstLine="422" w:firstLineChars="200"/>
        <w:rPr>
          <w:rFonts w:ascii="仿宋_GB2312" w:hAnsi="仿宋_GB2312" w:eastAsia="仿宋_GB2312" w:cs="仿宋_GB2312"/>
          <w:b/>
          <w:snapToGrid w:val="0"/>
          <w:szCs w:val="21"/>
        </w:rPr>
      </w:pPr>
    </w:p>
    <w:bookmarkEnd w:id="45"/>
    <w:bookmarkEnd w:id="46"/>
    <w:bookmarkEnd w:id="47"/>
    <w:bookmarkEnd w:id="48"/>
    <w:bookmarkEnd w:id="49"/>
    <w:bookmarkEnd w:id="54"/>
    <w:bookmarkEnd w:id="55"/>
    <w:p>
      <w:pPr>
        <w:tabs>
          <w:tab w:val="left" w:pos="5985"/>
        </w:tabs>
        <w:snapToGrid w:val="0"/>
        <w:spacing w:line="560" w:lineRule="exact"/>
        <w:ind w:firstLine="422" w:firstLineChars="200"/>
        <w:rPr>
          <w:rFonts w:hint="eastAsia" w:ascii="仿宋_GB2312" w:hAnsi="仿宋_GB2312" w:eastAsia="仿宋_GB2312" w:cs="仿宋_GB2312"/>
          <w:b/>
          <w:snapToGrid w:val="0"/>
          <w:kern w:val="0"/>
          <w:szCs w:val="21"/>
        </w:rPr>
      </w:pPr>
      <w:r>
        <w:rPr>
          <w:rFonts w:hint="eastAsia" w:ascii="仿宋_GB2312" w:hAnsi="仿宋_GB2312" w:eastAsia="仿宋_GB2312" w:cs="仿宋_GB2312"/>
          <w:b/>
          <w:szCs w:val="21"/>
        </w:rPr>
        <w:t>3.4</w:t>
      </w:r>
      <w:r>
        <w:rPr>
          <w:rFonts w:hint="eastAsia" w:ascii="仿宋_GB2312" w:hAnsi="仿宋_GB2312" w:eastAsia="仿宋_GB2312" w:cs="仿宋_GB2312"/>
          <w:b/>
          <w:snapToGrid w:val="0"/>
          <w:kern w:val="0"/>
          <w:szCs w:val="21"/>
        </w:rPr>
        <w:t>实施要求</w:t>
      </w:r>
    </w:p>
    <w:p>
      <w:pPr>
        <w:tabs>
          <w:tab w:val="left" w:pos="5985"/>
        </w:tabs>
        <w:snapToGrid w:val="0"/>
        <w:spacing w:line="360" w:lineRule="auto"/>
        <w:ind w:firstLine="422" w:firstLineChars="200"/>
        <w:rPr>
          <w:rFonts w:hint="eastAsia" w:ascii="仿宋_GB2312" w:hAnsi="宋体" w:eastAsia="仿宋_GB2312" w:cs="宋体"/>
          <w:b/>
          <w:bCs/>
          <w:szCs w:val="21"/>
        </w:rPr>
      </w:pPr>
      <w:r>
        <w:rPr>
          <w:rFonts w:hint="eastAsia" w:ascii="仿宋_GB2312" w:hAnsi="宋体" w:eastAsia="仿宋_GB2312" w:cs="宋体"/>
          <w:b/>
          <w:bCs/>
          <w:szCs w:val="21"/>
        </w:rPr>
        <w:t>3.4.1项目实施人员要求</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本项目不得分包或转包。严格遵循甲方的项目进度要求，不得无故拖延工期。</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3.4.1.1项目经理：要求3年以上项目管理经验。</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3.4.2.2实施工程师: 要求2年以上项目管理经验。</w:t>
      </w:r>
    </w:p>
    <w:p>
      <w:pPr>
        <w:tabs>
          <w:tab w:val="left" w:pos="5985"/>
        </w:tabs>
        <w:snapToGrid w:val="0"/>
        <w:spacing w:line="360" w:lineRule="auto"/>
        <w:ind w:firstLine="422" w:firstLineChars="200"/>
        <w:rPr>
          <w:rFonts w:hint="eastAsia" w:ascii="仿宋_GB2312" w:hAnsi="宋体" w:eastAsia="仿宋_GB2312" w:cs="宋体"/>
          <w:b/>
          <w:bCs/>
          <w:szCs w:val="21"/>
        </w:rPr>
      </w:pPr>
      <w:r>
        <w:rPr>
          <w:rFonts w:hint="eastAsia" w:ascii="仿宋_GB2312" w:hAnsi="宋体" w:eastAsia="仿宋_GB2312" w:cs="宋体"/>
          <w:b/>
          <w:bCs/>
          <w:szCs w:val="21"/>
        </w:rPr>
        <w:t>3.4.2实施过程要求</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3.4.2.1业务需求分析</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乙方乙方必须在规定时间内对现状进行详细调研，对现有管理信息系统及各部门、分子公司进行需求分析，包括：业务现状和需求、系统现状和需求、当前统计分析规则和需求、数据源定义和接口定义等。经招标人审查同意后，可进入系统设计阶段。</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3.4.2.2建设实施：</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乙方乙方必须在规定时间内提出切实可行的总体实施规划。总体实施规划至少应包括以下内容： </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3.4.2.3项目的进度控制：</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乙方乙方须根据推荐的软件提出详细的项目进度，并提出保证项目进度的措施，在项目实施中需招标人管理人员或工程技术人员配合的工作内容。</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3.4.2.4项目的管理与质量控制。 </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3.4.2.5文档管理：</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乙方乙方要提出具体的实施文档管理办法。在实施过程中的每一步都要有相关的文档作保证。</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3.4.2.6安装、调试：乙方乙方按照项目需要及甲方的要求进行系统的安装、调试。</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3.4.2.7实施及服务的实现：乙方乙方应提交完整的实施组织方案，包括实施理论、范围、组织机构、计划控制、质量管理及风险管理等方案，方案必须有可操作性。</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实施及服务要根据总体实施方案要求分步进行。要制定严格细致的分步实施计划，确定每个实施及服务步骤的任务（如起止时间、准备工作、具体内容、工作保障机制、产生的结果、验收等）。</w:t>
      </w:r>
      <w:r>
        <w:rPr>
          <w:rFonts w:hint="eastAsia" w:ascii="仿宋_GB2312" w:hAnsi="宋体" w:eastAsia="仿宋_GB2312" w:cs="宋体"/>
          <w:b/>
          <w:bCs/>
          <w:szCs w:val="21"/>
        </w:rPr>
        <w:t>实施过程必须保证有软件原厂商开发人员支持与服务。</w:t>
      </w:r>
      <w:r>
        <w:rPr>
          <w:rFonts w:hint="eastAsia" w:ascii="仿宋_GB2312" w:hAnsi="宋体" w:eastAsia="仿宋_GB2312" w:cs="宋体"/>
          <w:bCs/>
          <w:szCs w:val="21"/>
        </w:rPr>
        <w:t>乙方乙方必须保证项目组成员符合实施及服务要求，保证项目组成员的稳定，保证项目组成员在实施及服务现场的时间。在项目实施的不同阶段，乙方乙方要根据情况保证本方实施人员的数量，</w:t>
      </w:r>
      <w:r>
        <w:rPr>
          <w:rFonts w:hint="eastAsia" w:ascii="仿宋_GB2312" w:hAnsi="宋体" w:eastAsia="仿宋_GB2312" w:cs="宋体"/>
          <w:b/>
          <w:bCs/>
          <w:szCs w:val="21"/>
        </w:rPr>
        <w:t>并做出招标人参加项目实施人员的需求计划</w:t>
      </w:r>
      <w:r>
        <w:rPr>
          <w:rFonts w:hint="eastAsia" w:ascii="仿宋_GB2312" w:hAnsi="宋体" w:eastAsia="仿宋_GB2312" w:cs="宋体"/>
          <w:bCs/>
          <w:szCs w:val="21"/>
        </w:rPr>
        <w:t>（人数、专业技术等相关要求）。在系统正式上线运行前，乙方乙方要协助招标人制订保证系统正常运行的相关制度及措施。</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3.4.2.8技术培训要求</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由乙方对机场用户进行操作和实施培训，培训的过程中必须做到有明确的目的、有合适的教材、有具体的评价（评测），培训工作应贯穿整个项目的实施过程，达到能独立进行管理、故障处理、日常测试维护等工作的目的。</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提供系统使用操作培训，并提交用户使用手册；</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提供系统维护方案，提供各种典型的出错处理方法；</w:t>
      </w:r>
    </w:p>
    <w:p>
      <w:pPr>
        <w:tabs>
          <w:tab w:val="left" w:pos="5985"/>
        </w:tabs>
        <w:snapToGrid w:val="0"/>
        <w:spacing w:line="5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3.4.1实施工期要求</w:t>
      </w:r>
    </w:p>
    <w:p>
      <w:pPr>
        <w:tabs>
          <w:tab w:val="left" w:pos="5985"/>
        </w:tabs>
        <w:snapToGrid w:val="0"/>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本项目要求【60】日历天完成</w:t>
      </w:r>
      <w:r>
        <w:rPr>
          <w:rFonts w:hint="eastAsia" w:ascii="仿宋_GB2312" w:hAnsi="仿宋_GB2312" w:eastAsia="仿宋_GB2312" w:cs="仿宋_GB2312"/>
          <w:szCs w:val="21"/>
          <w:u w:val="single"/>
        </w:rPr>
        <w:t>（含【项目软硬件实施及安装调试试运行及验收等全部工作】）</w:t>
      </w:r>
      <w:r>
        <w:rPr>
          <w:rFonts w:hint="eastAsia" w:ascii="仿宋_GB2312" w:hAnsi="仿宋_GB2312" w:eastAsia="仿宋_GB2312" w:cs="仿宋_GB2312"/>
          <w:bCs/>
          <w:szCs w:val="21"/>
        </w:rPr>
        <w:t>。</w:t>
      </w:r>
    </w:p>
    <w:p>
      <w:pPr>
        <w:tabs>
          <w:tab w:val="left" w:pos="5985"/>
        </w:tabs>
        <w:snapToGrid w:val="0"/>
        <w:spacing w:line="56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3.4.2实施过程要求</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1、业务需求分析</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投标人必须在规定时间内对现状进行详细调研，对现有管理信息系统及各部门、分子公司进行需求分析，包括：业务现状和需求、系统现状和需求、当前统计分析规则和需求、数据源定义和接口定义等。经招标人审查同意后，可进入系统设计时间。</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2、建设实施：</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投标人必须在规定时间内提出切实可行的总体实施规划。总体实施规划至少应包括以下内容： </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（1）项目的进度控制：</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投标人须根据推荐的软件提出详细的项目进度，并提出保证项目进度的措施，在项目实施中需招标人管理人员或工程技术人员配合的工作内容。</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（2）项目的管理与质量控制。 </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（3）文</w:t>
      </w:r>
      <w:r>
        <w:rPr>
          <w:rFonts w:hint="eastAsia" w:ascii="仿宋_GB2312" w:hAnsi="宋体" w:cs="宋体"/>
          <w:bCs/>
          <w:szCs w:val="21"/>
        </w:rPr>
        <w:t>檔</w:t>
      </w:r>
      <w:r>
        <w:rPr>
          <w:rFonts w:hint="eastAsia" w:ascii="仿宋_GB2312" w:hAnsi="宋体" w:eastAsia="仿宋_GB2312" w:cs="宋体"/>
          <w:bCs/>
          <w:szCs w:val="21"/>
        </w:rPr>
        <w:t>管理：</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投标人要提出具体的实施文档管理办法。在实施过程中的每一步都要有相关的文档作保证。</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（4）安装、调试：投标人按照项目需要及招标人的要求进行系统的安装、调试。</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（5）实施及服务的实现：投标人应提交完整的实施组织方案，包括实施理论、范围、组织机构、计划控制、质量管理及风险管理等方案，方案必须有可操作性。</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实施及服务要根据总体实施方案要求分步进行。要制定严格细致的分步实施计划，确定每个实施及服务步骤的任务（如起止时间、准备工作、具体内容、工作保障机制、产生的结果、验收等）。</w:t>
      </w:r>
      <w:r>
        <w:rPr>
          <w:rFonts w:hint="eastAsia" w:ascii="仿宋_GB2312" w:hAnsi="宋体" w:eastAsia="仿宋_GB2312" w:cs="宋体"/>
          <w:b/>
          <w:bCs/>
          <w:szCs w:val="21"/>
        </w:rPr>
        <w:t>实施过程必须保证有软件原厂商开发人员支持与服务。</w:t>
      </w:r>
      <w:r>
        <w:rPr>
          <w:rFonts w:hint="eastAsia" w:ascii="仿宋_GB2312" w:hAnsi="宋体" w:eastAsia="仿宋_GB2312" w:cs="宋体"/>
          <w:bCs/>
          <w:szCs w:val="21"/>
        </w:rPr>
        <w:t>投标人必须保证项目组成员符合实施及服务要求，保证项目组成员的稳定，保证项目组成员在实施及服务现场的时间。在项目实施的不同阶段，投标人要根据情况保证本方实施人员的数量，</w:t>
      </w:r>
      <w:r>
        <w:rPr>
          <w:rFonts w:hint="eastAsia" w:ascii="仿宋_GB2312" w:hAnsi="宋体" w:eastAsia="仿宋_GB2312" w:cs="宋体"/>
          <w:b/>
          <w:bCs/>
          <w:szCs w:val="21"/>
        </w:rPr>
        <w:t>并做出招标人参加项目实施人员的需求计划</w:t>
      </w:r>
      <w:r>
        <w:rPr>
          <w:rFonts w:hint="eastAsia" w:ascii="仿宋_GB2312" w:hAnsi="宋体" w:eastAsia="仿宋_GB2312" w:cs="宋体"/>
          <w:bCs/>
          <w:szCs w:val="21"/>
        </w:rPr>
        <w:t>（人数、专业技术等相关要求）。在系统正式上线运行前，投标人要协助招标人制订保证系统正常运行的相关制度及措施。</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（6）技术培训要求</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由中标人对机场用户进行操作和实施培训，培训的过程中必须做到有明确的目的、有合适的教材、有具体的评价（评测），培训工作应贯穿整个项目的实施过程，达到能独立进行管理、故障处理、日常测试维护等工作的目的。</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提供系统使用操作培训，并提交用户使用手册；</w:t>
      </w:r>
    </w:p>
    <w:p>
      <w:pPr>
        <w:tabs>
          <w:tab w:val="left" w:pos="5985"/>
        </w:tabs>
        <w:snapToGrid w:val="0"/>
        <w:spacing w:line="360" w:lineRule="auto"/>
        <w:ind w:firstLine="420" w:firstLineChars="200"/>
        <w:rPr>
          <w:rFonts w:hint="eastAsia" w:ascii="仿宋_GB2312" w:hAnsi="宋体" w:eastAsia="仿宋_GB2312" w:cs="宋体"/>
          <w:bCs/>
          <w:szCs w:val="21"/>
        </w:rPr>
      </w:pPr>
      <w:r>
        <w:rPr>
          <w:rFonts w:hint="eastAsia" w:ascii="仿宋_GB2312" w:hAnsi="宋体" w:eastAsia="仿宋_GB2312" w:cs="宋体"/>
          <w:bCs/>
          <w:szCs w:val="21"/>
        </w:rPr>
        <w:t>提供系统维护方案，提供各种典型的出错处理方法；</w:t>
      </w:r>
    </w:p>
    <w:p>
      <w:pPr>
        <w:tabs>
          <w:tab w:val="left" w:pos="5985"/>
        </w:tabs>
        <w:snapToGrid w:val="0"/>
        <w:spacing w:line="560" w:lineRule="exact"/>
        <w:ind w:firstLine="422" w:firstLineChars="200"/>
        <w:rPr>
          <w:rFonts w:hint="eastAsia" w:ascii="仿宋_GB2312" w:hAnsi="仿宋_GB2312" w:eastAsia="仿宋_GB2312" w:cs="仿宋_GB2312"/>
          <w:b/>
          <w:bCs/>
          <w:szCs w:val="21"/>
        </w:rPr>
      </w:pPr>
    </w:p>
    <w:bookmarkEnd w:id="50"/>
    <w:bookmarkEnd w:id="51"/>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四、技术资料</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1.乙方应在</w:t>
      </w:r>
      <w:r>
        <w:rPr>
          <w:rFonts w:hint="eastAsia" w:ascii="仿宋_GB2312" w:hAnsi="仿宋_GB2312" w:eastAsia="仿宋_GB2312" w:cs="仿宋_GB2312"/>
          <w:szCs w:val="21"/>
          <w:u w:val="single"/>
        </w:rPr>
        <w:t xml:space="preserve">项目最终验收前【5】日内 </w:t>
      </w:r>
      <w:r>
        <w:rPr>
          <w:rFonts w:hint="eastAsia" w:ascii="仿宋_GB2312" w:hAnsi="仿宋_GB2312" w:eastAsia="仿宋_GB2312" w:cs="仿宋_GB2312"/>
          <w:szCs w:val="21"/>
        </w:rPr>
        <w:t>向甲方提供使用系统的有关技术资料。乙方按照本合同约定期间交付符合本合同规定的货物和服务以及全部技术资料的，方视为完成交付义务。</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五、知识产权</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乙方应保证所提供的</w:t>
      </w:r>
      <w:r>
        <w:rPr>
          <w:rFonts w:hint="eastAsia" w:ascii="仿宋_GB2312" w:hAnsi="仿宋_GB2312" w:eastAsia="仿宋_GB2312" w:cs="仿宋_GB2312"/>
          <w:szCs w:val="21"/>
          <w:u w:val="single"/>
        </w:rPr>
        <w:t>系统</w:t>
      </w:r>
      <w:r>
        <w:rPr>
          <w:rFonts w:hint="eastAsia" w:ascii="仿宋_GB2312" w:hAnsi="仿宋_GB2312" w:eastAsia="仿宋_GB2312" w:cs="仿宋_GB2312"/>
          <w:szCs w:val="21"/>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六、产权担保</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560" w:lineRule="exact"/>
        <w:ind w:firstLine="422" w:firstLineChars="200"/>
        <w:jc w:val="left"/>
        <w:outlineLvl w:val="0"/>
        <w:rPr>
          <w:rFonts w:ascii="仿宋_GB2312" w:hAnsi="仿宋_GB2312" w:eastAsia="仿宋_GB2312" w:cs="仿宋_GB2312"/>
          <w:b/>
          <w:szCs w:val="21"/>
        </w:rPr>
      </w:pPr>
      <w:r>
        <w:rPr>
          <w:rFonts w:hint="eastAsia" w:ascii="仿宋_GB2312" w:hAnsi="仿宋_GB2312" w:eastAsia="仿宋_GB2312" w:cs="仿宋_GB2312"/>
          <w:b/>
          <w:szCs w:val="21"/>
        </w:rPr>
        <w:t>七、履约担保</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1.履约保证金金额：</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2.履约保证金支付时间： </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该履约保证金在完成系统最终验收后【7】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3】日内提出异议并补足履约保证金，如果逾期未提出，视为同意。如果乙方不及时补足履约保证金，经甲方通知后【3】日内，仍未补足，视为乙方违约，甲方有权解除合同，并要求乙方承担由此给甲方造成的所有损失。</w:t>
      </w:r>
    </w:p>
    <w:p>
      <w:pPr>
        <w:adjustRightInd w:val="0"/>
        <w:snapToGrid w:val="0"/>
        <w:spacing w:line="560" w:lineRule="exact"/>
        <w:ind w:firstLine="422" w:firstLineChars="200"/>
        <w:jc w:val="left"/>
        <w:outlineLvl w:val="0"/>
        <w:rPr>
          <w:rFonts w:ascii="仿宋_GB2312" w:hAnsi="仿宋_GB2312" w:eastAsia="仿宋_GB2312" w:cs="仿宋_GB2312"/>
          <w:b/>
          <w:szCs w:val="21"/>
        </w:rPr>
      </w:pPr>
      <w:r>
        <w:rPr>
          <w:rFonts w:hint="eastAsia" w:ascii="仿宋_GB2312" w:hAnsi="仿宋_GB2312" w:eastAsia="仿宋_GB2312" w:cs="仿宋_GB2312"/>
          <w:b/>
          <w:szCs w:val="21"/>
        </w:rPr>
        <w:t>八、转包或分包</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1.</w:t>
      </w:r>
      <w:r>
        <w:rPr>
          <w:rFonts w:hint="eastAsia" w:ascii="仿宋_GB2312" w:hAnsi="仿宋_GB2312" w:eastAsia="仿宋_GB2312" w:cs="仿宋_GB2312"/>
          <w:szCs w:val="21"/>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如有未经甲方书面同意的转让和分包行为，甲方有权解除合同，并追究乙方的违约责任。</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56" w:name="_Toc478453295"/>
      <w:r>
        <w:rPr>
          <w:rFonts w:hint="eastAsia" w:ascii="仿宋_GB2312" w:hAnsi="仿宋_GB2312" w:eastAsia="仿宋_GB2312" w:cs="仿宋_GB2312"/>
          <w:b/>
          <w:szCs w:val="21"/>
        </w:rPr>
        <w:t>九、交货期、交货方式</w:t>
      </w:r>
      <w:bookmarkEnd w:id="56"/>
    </w:p>
    <w:p>
      <w:pPr>
        <w:adjustRightInd w:val="0"/>
        <w:snapToGrid w:val="0"/>
        <w:spacing w:line="560" w:lineRule="exact"/>
        <w:ind w:firstLine="420" w:firstLineChars="200"/>
        <w:jc w:val="left"/>
        <w:rPr>
          <w:rFonts w:ascii="仿宋_GB2312" w:hAnsi="仿宋_GB2312" w:eastAsia="仿宋_GB2312" w:cs="仿宋_GB2312"/>
          <w:szCs w:val="21"/>
          <w:u w:val="single"/>
        </w:rPr>
      </w:pPr>
      <w:r>
        <w:rPr>
          <w:rFonts w:hint="eastAsia" w:ascii="仿宋_GB2312" w:hAnsi="仿宋_GB2312" w:eastAsia="仿宋_GB2312" w:cs="仿宋_GB2312"/>
          <w:szCs w:val="21"/>
        </w:rPr>
        <w:t>1.交货期：合同生效之日起60日历天。</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2.交货地点：杭州萧山国际机场内</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3.交货方式：乙方在甲方安装联调系统。</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57" w:name="_Toc478453296"/>
      <w:r>
        <w:rPr>
          <w:rFonts w:hint="eastAsia" w:ascii="仿宋_GB2312" w:hAnsi="仿宋_GB2312" w:eastAsia="仿宋_GB2312" w:cs="仿宋_GB2312"/>
          <w:b/>
          <w:szCs w:val="21"/>
        </w:rPr>
        <w:t>十、安装、调试、试运行及验收</w:t>
      </w:r>
      <w:bookmarkEnd w:id="57"/>
    </w:p>
    <w:p>
      <w:pPr>
        <w:adjustRightInd w:val="0"/>
        <w:snapToGrid w:val="0"/>
        <w:spacing w:line="560" w:lineRule="exact"/>
        <w:ind w:firstLine="422" w:firstLineChars="200"/>
        <w:jc w:val="left"/>
        <w:rPr>
          <w:rFonts w:ascii="仿宋_GB2312" w:hAnsi="仿宋_GB2312" w:eastAsia="仿宋_GB2312" w:cs="仿宋_GB2312"/>
          <w:szCs w:val="21"/>
        </w:rPr>
      </w:pPr>
      <w:bookmarkStart w:id="58" w:name="_Toc478453297"/>
      <w:r>
        <w:rPr>
          <w:rFonts w:hint="eastAsia" w:ascii="仿宋_GB2312" w:hAnsi="仿宋_GB2312" w:eastAsia="仿宋_GB2312" w:cs="仿宋_GB2312"/>
          <w:b/>
          <w:szCs w:val="21"/>
        </w:rPr>
        <w:t>1.</w:t>
      </w:r>
      <w:r>
        <w:rPr>
          <w:rFonts w:hint="eastAsia" w:ascii="仿宋_GB2312" w:hAnsi="仿宋_GB2312" w:eastAsia="仿宋_GB2312" w:cs="仿宋_GB2312"/>
          <w:szCs w:val="21"/>
        </w:rPr>
        <w:t>乙方系统开发完成后，负责在甲方完成现场安装、调试，确保系统正常运行。系统安装、调试完毕由乙方提交甲方初验，甲方按本合同及招标文件的要求对系统进行初验，初验合格后，进入为期【20】天的试运行。</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初验的标准是：</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完成整套系统软硬件的开发及安装部署并试运行1个月，试运行期间系统运行稳定，功能符合招标文件要求。</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试运行的标准是：</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bCs/>
          <w:szCs w:val="21"/>
          <w:lang w:val="en-US" w:eastAsia="zh-CN"/>
        </w:rPr>
        <w:t>系统稳定试运行1个月后系统开始正式上线运行，系统正式运行3个月内要求系统运行稳定，功能根据用户体验进行合理的改进并最终达到用户要求；同时提供系统使用操作手册、维护操作文档等相关系统文档。</w:t>
      </w: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2.项目实施试运行期间，乙方提供【20】人/天的原厂现场技术支持服务。</w:t>
      </w: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3.试运行期满后，乙方提交甲方进行终验。</w:t>
      </w: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终验标准是：</w:t>
      </w:r>
    </w:p>
    <w:p>
      <w:pPr>
        <w:adjustRightInd w:val="0"/>
        <w:snapToGrid w:val="0"/>
        <w:spacing w:line="560" w:lineRule="exact"/>
        <w:ind w:firstLine="420" w:firstLineChars="200"/>
        <w:jc w:val="left"/>
        <w:outlineLvl w:val="0"/>
        <w:rPr>
          <w:rFonts w:ascii="仿宋_GB2312" w:hAnsi="仿宋_GB2312" w:eastAsia="仿宋_GB2312" w:cs="仿宋_GB2312"/>
          <w:szCs w:val="21"/>
        </w:rPr>
      </w:pPr>
    </w:p>
    <w:p>
      <w:pPr>
        <w:adjustRightInd w:val="0"/>
        <w:snapToGrid w:val="0"/>
        <w:spacing w:line="560" w:lineRule="exact"/>
        <w:ind w:firstLine="420" w:firstLineChars="200"/>
        <w:jc w:val="left"/>
        <w:outlineLvl w:val="0"/>
        <w:rPr>
          <w:rFonts w:ascii="仿宋_GB2312" w:hAnsi="仿宋_GB2312" w:eastAsia="仿宋_GB2312" w:cs="仿宋_GB2312"/>
          <w:szCs w:val="21"/>
        </w:rPr>
      </w:pPr>
    </w:p>
    <w:p>
      <w:pPr>
        <w:adjustRightInd w:val="0"/>
        <w:snapToGrid w:val="0"/>
        <w:spacing w:line="560" w:lineRule="exact"/>
        <w:ind w:firstLine="420" w:firstLineChars="200"/>
        <w:jc w:val="left"/>
        <w:outlineLvl w:val="0"/>
        <w:rPr>
          <w:rFonts w:ascii="仿宋_GB2312" w:hAnsi="仿宋_GB2312" w:eastAsia="仿宋_GB2312" w:cs="仿宋_GB2312"/>
          <w:szCs w:val="21"/>
        </w:rPr>
      </w:pP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4. 乙方安装调试系统前应对产品做出全面检查和对验收文件进行整理，并列出清单，作为甲方验收和使用的技术条件依据，乙方检验的结果应随系统交甲方。</w:t>
      </w: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5.甲方在验收后如发现产品的品种、型号、规格、数量或质量不符合合同约定或相关质量要求，甲方应在验收之日起【3】日内以书面或电话形式向乙方提出异议；乙方应当在收到甲方异议之日起【3】日内作出答复或与甲方协商处理，并承担由此产生的相关费用。在上述异议期及产品质量问题的处理期间，甲方有权中止本合同项下的付款义务。</w:t>
      </w:r>
    </w:p>
    <w:p>
      <w:pPr>
        <w:adjustRightInd w:val="0"/>
        <w:snapToGrid w:val="0"/>
        <w:spacing w:line="560" w:lineRule="exact"/>
        <w:ind w:firstLine="420" w:firstLineChars="200"/>
        <w:jc w:val="left"/>
        <w:outlineLvl w:val="0"/>
        <w:rPr>
          <w:rFonts w:ascii="仿宋_GB2312" w:hAnsi="仿宋_GB2312" w:eastAsia="仿宋_GB2312" w:cs="仿宋_GB2312"/>
          <w:szCs w:val="21"/>
        </w:rPr>
      </w:pPr>
      <w:r>
        <w:rPr>
          <w:rFonts w:hint="eastAsia" w:ascii="仿宋_GB2312" w:hAnsi="仿宋_GB2312" w:eastAsia="仿宋_GB2312" w:cs="仿宋_GB2312"/>
          <w:szCs w:val="21"/>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560" w:lineRule="exact"/>
        <w:ind w:firstLine="420" w:firstLineChars="200"/>
        <w:jc w:val="left"/>
        <w:outlineLvl w:val="0"/>
        <w:rPr>
          <w:rFonts w:ascii="仿宋_GB2312" w:hAnsi="仿宋_GB2312" w:eastAsia="仿宋_GB2312" w:cs="仿宋_GB2312"/>
          <w:szCs w:val="21"/>
        </w:rPr>
      </w:pPr>
    </w:p>
    <w:p>
      <w:pPr>
        <w:adjustRightInd w:val="0"/>
        <w:snapToGrid w:val="0"/>
        <w:spacing w:line="560" w:lineRule="exact"/>
        <w:ind w:firstLine="420" w:firstLineChars="200"/>
        <w:jc w:val="left"/>
        <w:outlineLvl w:val="0"/>
        <w:rPr>
          <w:rFonts w:ascii="仿宋_GB2312" w:hAnsi="仿宋_GB2312" w:eastAsia="仿宋_GB2312" w:cs="仿宋_GB2312"/>
          <w:szCs w:val="21"/>
        </w:rPr>
      </w:pPr>
    </w:p>
    <w:p>
      <w:pPr>
        <w:adjustRightInd w:val="0"/>
        <w:snapToGrid w:val="0"/>
        <w:spacing w:line="560" w:lineRule="exact"/>
        <w:ind w:firstLine="422" w:firstLineChars="200"/>
        <w:jc w:val="left"/>
        <w:outlineLvl w:val="0"/>
        <w:rPr>
          <w:rFonts w:ascii="仿宋_GB2312" w:hAnsi="仿宋_GB2312" w:eastAsia="仿宋_GB2312" w:cs="仿宋_GB2312"/>
          <w:b/>
          <w:szCs w:val="21"/>
        </w:rPr>
      </w:pPr>
      <w:r>
        <w:rPr>
          <w:rFonts w:hint="eastAsia" w:ascii="仿宋_GB2312" w:hAnsi="仿宋_GB2312" w:eastAsia="仿宋_GB2312" w:cs="仿宋_GB2312"/>
          <w:b/>
          <w:szCs w:val="21"/>
        </w:rPr>
        <w:t>十一、货款支付</w:t>
      </w:r>
      <w:bookmarkEnd w:id="58"/>
    </w:p>
    <w:p>
      <w:pPr>
        <w:snapToGrid w:val="0"/>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1、预付款：甲方发布中标公告经公示无异议后15日内支付本合同总金额的30%</w:t>
      </w:r>
    </w:p>
    <w:p>
      <w:pPr>
        <w:snapToGrid w:val="0"/>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2、乙方完成软件系统的部署、本地化设置与开发、安装调试上线后，可申请初验，由甲方出具初验合格证明后【15】日内，甲方支付本合同总金额的【30%】。</w:t>
      </w:r>
    </w:p>
    <w:p>
      <w:pPr>
        <w:snapToGrid w:val="0"/>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3、初验通过后，进入【60】日全面试运行期。试运行期系统稳定运行，可申请终验。经甲方终验合格后【15】日内，甲方支付本合同总价的【35%】。</w:t>
      </w:r>
    </w:p>
    <w:p>
      <w:pPr>
        <w:snapToGrid w:val="0"/>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4、质量保证期满一年后，甲方支付本合同总价的【5%】。</w:t>
      </w:r>
    </w:p>
    <w:p>
      <w:pPr>
        <w:snapToGrid w:val="0"/>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以上款项支付时，乙方需开具增值税专用发票。</w:t>
      </w:r>
    </w:p>
    <w:p>
      <w:pPr>
        <w:adjustRightInd w:val="0"/>
        <w:snapToGrid w:val="0"/>
        <w:spacing w:line="560" w:lineRule="exact"/>
        <w:ind w:firstLine="422" w:firstLineChars="200"/>
        <w:jc w:val="left"/>
        <w:outlineLvl w:val="0"/>
        <w:rPr>
          <w:rFonts w:ascii="仿宋_GB2312" w:hAnsi="仿宋_GB2312" w:eastAsia="仿宋_GB2312" w:cs="仿宋_GB2312"/>
          <w:szCs w:val="21"/>
        </w:rPr>
      </w:pPr>
      <w:bookmarkStart w:id="59" w:name="_Toc478453298"/>
      <w:r>
        <w:rPr>
          <w:rFonts w:hint="eastAsia" w:ascii="仿宋_GB2312" w:hAnsi="仿宋_GB2312" w:eastAsia="仿宋_GB2312" w:cs="仿宋_GB2312"/>
          <w:b/>
          <w:szCs w:val="21"/>
        </w:rPr>
        <w:t>十二、税费</w:t>
      </w:r>
      <w:bookmarkEnd w:id="59"/>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双方各自承担因履行本合同根据法律法规规定所应承担的税费。</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60" w:name="_Toc478453299"/>
      <w:r>
        <w:rPr>
          <w:rFonts w:hint="eastAsia" w:ascii="仿宋_GB2312" w:hAnsi="仿宋_GB2312" w:eastAsia="仿宋_GB2312" w:cs="仿宋_GB2312"/>
          <w:b/>
          <w:szCs w:val="21"/>
        </w:rPr>
        <w:t>十三、质量保证及售后服务</w:t>
      </w:r>
      <w:bookmarkEnd w:id="60"/>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1.</w:t>
      </w:r>
      <w:r>
        <w:rPr>
          <w:rFonts w:hint="eastAsia" w:ascii="仿宋_GB2312" w:hAnsi="仿宋_GB2312" w:eastAsia="仿宋_GB2312" w:cs="仿宋_GB2312"/>
          <w:szCs w:val="21"/>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560" w:lineRule="exact"/>
        <w:ind w:firstLine="422" w:firstLineChars="200"/>
        <w:jc w:val="left"/>
        <w:rPr>
          <w:rFonts w:ascii="仿宋_GB2312" w:hAnsi="仿宋_GB2312" w:eastAsia="仿宋_GB2312" w:cs="仿宋_GB2312"/>
          <w:szCs w:val="21"/>
          <w:u w:val="single"/>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乙方应为系统提供的免费质量保证期：</w:t>
      </w:r>
      <w:r>
        <w:rPr>
          <w:rFonts w:hint="eastAsia" w:ascii="仿宋_GB2312" w:hAnsi="仿宋_GB2312" w:eastAsia="仿宋_GB2312" w:cs="仿宋_GB2312"/>
          <w:szCs w:val="21"/>
          <w:u w:val="single"/>
        </w:rPr>
        <w:t>自最终验收合格且双方签署最终验收合格报告之日起开始计算质保期，时间为【】。</w:t>
      </w:r>
    </w:p>
    <w:p>
      <w:pPr>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3．</w:t>
      </w:r>
      <w:r>
        <w:rPr>
          <w:rFonts w:hint="eastAsia" w:ascii="仿宋_GB2312" w:hAnsi="仿宋_GB2312" w:eastAsia="仿宋_GB2312" w:cs="仿宋_GB2312"/>
          <w:szCs w:val="21"/>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4．</w:t>
      </w:r>
      <w:r>
        <w:rPr>
          <w:rFonts w:hint="eastAsia" w:ascii="仿宋_GB2312" w:hAnsi="仿宋_GB2312" w:eastAsia="仿宋_GB2312" w:cs="仿宋_GB2312"/>
          <w:szCs w:val="21"/>
        </w:rPr>
        <w:t>免费质保期内，乙方提供【24】小时售后服务，在接到报修通知后，维修人员应在【3】小时内赶到杭州萧山国际机场，并连续进行维修，直到系统恢复正常。修复部分的质保期自修复之日起重新开始计算。</w:t>
      </w:r>
    </w:p>
    <w:p>
      <w:pPr>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5．</w:t>
      </w:r>
      <w:r>
        <w:rPr>
          <w:rFonts w:hint="eastAsia" w:ascii="仿宋_GB2312" w:hAnsi="仿宋_GB2312" w:eastAsia="仿宋_GB2312" w:cs="仿宋_GB2312"/>
          <w:szCs w:val="21"/>
        </w:rPr>
        <w:t>免费质保期结束的【10】天前，乙方负责对系统进行一次全面的检查和维护，并由甲方验收认可。</w:t>
      </w:r>
    </w:p>
    <w:p>
      <w:pPr>
        <w:tabs>
          <w:tab w:val="left" w:pos="5985"/>
        </w:tabs>
        <w:snapToGrid w:val="0"/>
        <w:spacing w:line="360" w:lineRule="auto"/>
        <w:ind w:firstLine="422" w:firstLineChars="200"/>
        <w:rPr>
          <w:rFonts w:ascii="仿宋_GB2312" w:hAnsi="仿宋_GB2312" w:eastAsia="仿宋_GB2312" w:cs="仿宋_GB2312"/>
          <w:bCs w:val="0"/>
          <w:szCs w:val="21"/>
        </w:rPr>
      </w:pPr>
      <w:r>
        <w:rPr>
          <w:rFonts w:ascii="仿宋_GB2312" w:hAnsi="仿宋_GB2312" w:eastAsia="仿宋_GB2312" w:cs="仿宋_GB2312"/>
          <w:b/>
          <w:szCs w:val="21"/>
        </w:rPr>
        <w:t>6</w:t>
      </w:r>
      <w:r>
        <w:rPr>
          <w:rFonts w:hint="eastAsia" w:ascii="仿宋_GB2312" w:hAnsi="仿宋_GB2312" w:eastAsia="仿宋_GB2312" w:cs="仿宋_GB2312"/>
          <w:bCs w:val="0"/>
          <w:szCs w:val="21"/>
        </w:rPr>
        <w:t>、</w:t>
      </w:r>
      <w:r>
        <w:rPr>
          <w:rFonts w:hint="eastAsia" w:ascii="仿宋_GB2312" w:hAnsi="仿宋_GB2312" w:eastAsia="仿宋_GB2312" w:cs="仿宋_GB2312"/>
          <w:szCs w:val="21"/>
        </w:rPr>
        <w:t>乙方需组织符合以下资质的人员负责本项目。</w:t>
      </w:r>
      <w:r>
        <w:rPr>
          <w:rFonts w:hint="eastAsia" w:ascii="仿宋_GB2312" w:hAnsi="仿宋_GB2312" w:eastAsia="仿宋_GB2312" w:cs="仿宋_GB2312"/>
          <w:bCs w:val="0"/>
          <w:szCs w:val="21"/>
        </w:rPr>
        <w:t>项目经理：要求</w:t>
      </w:r>
      <w:r>
        <w:rPr>
          <w:rFonts w:ascii="仿宋_GB2312" w:hAnsi="仿宋_GB2312" w:eastAsia="仿宋_GB2312" w:cs="仿宋_GB2312"/>
          <w:bCs w:val="0"/>
          <w:szCs w:val="21"/>
        </w:rPr>
        <w:t>3年以上项目管理经验</w:t>
      </w:r>
      <w:r>
        <w:rPr>
          <w:rFonts w:hint="eastAsia" w:ascii="仿宋_GB2312" w:hAnsi="仿宋_GB2312" w:eastAsia="仿宋_GB2312" w:cs="仿宋_GB2312"/>
          <w:bCs w:val="0"/>
          <w:szCs w:val="21"/>
        </w:rPr>
        <w:t>，实施工程师</w:t>
      </w:r>
      <w:r>
        <w:rPr>
          <w:rFonts w:ascii="仿宋_GB2312" w:hAnsi="仿宋_GB2312" w:eastAsia="仿宋_GB2312" w:cs="仿宋_GB2312"/>
          <w:bCs w:val="0"/>
          <w:szCs w:val="21"/>
        </w:rPr>
        <w:t>: 要求2</w:t>
      </w:r>
      <w:r>
        <w:rPr>
          <w:rFonts w:hint="eastAsia" w:ascii="仿宋_GB2312" w:hAnsi="仿宋_GB2312" w:eastAsia="仿宋_GB2312" w:cs="仿宋_GB2312"/>
          <w:bCs w:val="0"/>
          <w:szCs w:val="21"/>
        </w:rPr>
        <w:t>年以上项目管理经验。</w:t>
      </w:r>
    </w:p>
    <w:p>
      <w:pPr>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7.</w:t>
      </w:r>
      <w:r>
        <w:rPr>
          <w:rFonts w:hint="eastAsia" w:ascii="仿宋_GB2312" w:hAnsi="仿宋_GB2312" w:eastAsia="仿宋_GB2312" w:cs="仿宋_GB2312"/>
          <w:szCs w:val="21"/>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5】的违约金。</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61" w:name="_Toc478453300"/>
      <w:r>
        <w:rPr>
          <w:rFonts w:hint="eastAsia" w:ascii="仿宋_GB2312" w:hAnsi="仿宋_GB2312" w:eastAsia="仿宋_GB2312" w:cs="仿宋_GB2312"/>
          <w:b/>
          <w:szCs w:val="21"/>
        </w:rPr>
        <w:t>十四、违约责任</w:t>
      </w:r>
      <w:bookmarkEnd w:id="61"/>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1.</w:t>
      </w:r>
      <w:r>
        <w:rPr>
          <w:rFonts w:hint="eastAsia" w:ascii="仿宋_GB2312" w:hAnsi="仿宋_GB2312" w:eastAsia="仿宋_GB2312" w:cs="仿宋_GB2312"/>
          <w:szCs w:val="21"/>
        </w:rPr>
        <w:t xml:space="preserve"> 甲方无正当理由拒收系统的，甲方向乙方偿付</w:t>
      </w:r>
      <w:r>
        <w:rPr>
          <w:rFonts w:hint="eastAsia" w:ascii="仿宋_GB2312" w:hAnsi="仿宋_GB2312" w:eastAsia="仿宋_GB2312" w:cs="仿宋_GB2312"/>
          <w:szCs w:val="21"/>
          <w:u w:val="single"/>
        </w:rPr>
        <w:t>合同款项百分之五作为违约金。</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 xml:space="preserve"> 甲方无故逾期支付本合同约定款项的,甲方应按逾期付款总额每日【1】%向乙方支付违约金。</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 xml:space="preserve">3. </w:t>
      </w:r>
      <w:r>
        <w:rPr>
          <w:rFonts w:hint="eastAsia" w:ascii="仿宋_GB2312" w:hAnsi="仿宋_GB2312" w:eastAsia="仿宋_GB2312" w:cs="仿宋_GB2312"/>
          <w:szCs w:val="21"/>
        </w:rPr>
        <w:t xml:space="preserve">乙方责任原因逾期交付系统或提供服务（包含质保期内未按照本合同约定提供免费质保服务）的，乙方应按逾期交付部分每日【2】%向甲方支付违约金，由甲方从货款中扣除。逾期超过约定日期【20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 xml:space="preserve">4. </w:t>
      </w:r>
      <w:r>
        <w:rPr>
          <w:rFonts w:hint="eastAsia" w:ascii="仿宋_GB2312" w:hAnsi="仿宋_GB2312" w:eastAsia="仿宋_GB2312" w:cs="仿宋_GB2312"/>
          <w:szCs w:val="21"/>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5．</w:t>
      </w:r>
      <w:r>
        <w:rPr>
          <w:rFonts w:hint="eastAsia" w:ascii="仿宋_GB2312" w:hAnsi="仿宋_GB2312" w:eastAsia="仿宋_GB2312" w:cs="仿宋_GB2312"/>
          <w:szCs w:val="21"/>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 初验、试运行、终验过程中，如果发现系统运行存在任何问题时，乙方接到甲方通知之日起，必须3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7.</w:t>
      </w:r>
      <w:r>
        <w:rPr>
          <w:rFonts w:hint="eastAsia" w:ascii="仿宋_GB2312" w:hAnsi="仿宋_GB2312" w:eastAsia="仿宋_GB2312" w:cs="仿宋_GB2312"/>
          <w:szCs w:val="21"/>
        </w:rPr>
        <w:t xml:space="preserve"> 在系统免费质量保证期内，乙方提供服务，详见本合同第十三条。质保期内，如果乙方不能及时解决故障，甲方有权扣除乙方质保金。 </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8．</w:t>
      </w:r>
      <w:r>
        <w:rPr>
          <w:rFonts w:hint="eastAsia" w:ascii="仿宋_GB2312" w:hAnsi="仿宋_GB2312" w:eastAsia="仿宋_GB2312" w:cs="仿宋_GB2312"/>
          <w:szCs w:val="21"/>
        </w:rPr>
        <w:t>除本合同另有规定外，乙方违反其在本合同项下其他义务并给甲方造成损失的，须向甲方承担全部赔偿责任。</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62" w:name="_Toc478453301"/>
      <w:r>
        <w:rPr>
          <w:rFonts w:hint="eastAsia" w:ascii="仿宋_GB2312" w:hAnsi="仿宋_GB2312" w:eastAsia="仿宋_GB2312" w:cs="仿宋_GB2312"/>
          <w:b/>
          <w:szCs w:val="21"/>
        </w:rPr>
        <w:t>十五、不可抗力事件处理</w:t>
      </w:r>
      <w:bookmarkEnd w:id="62"/>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十六、争议解决</w:t>
      </w:r>
    </w:p>
    <w:p>
      <w:pPr>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双方在执行合同中所发生的一切争议，应通过协商解决。如协商不成，由甲方所在地的人民法院管辖审理。</w:t>
      </w:r>
    </w:p>
    <w:p>
      <w:pPr>
        <w:adjustRightInd w:val="0"/>
        <w:snapToGrid w:val="0"/>
        <w:spacing w:line="560" w:lineRule="exact"/>
        <w:ind w:firstLine="422"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十七、合同组成文件包含下列内容，且解释顺序如下：</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1.</w:t>
      </w:r>
      <w:r>
        <w:rPr>
          <w:rFonts w:hint="eastAsia" w:ascii="仿宋_GB2312" w:hAnsi="仿宋_GB2312" w:eastAsia="仿宋_GB2312" w:cs="仿宋_GB2312"/>
          <w:szCs w:val="21"/>
        </w:rPr>
        <w:t>本合同协议书</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中标通知书</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3.</w:t>
      </w:r>
      <w:r>
        <w:rPr>
          <w:rFonts w:hint="eastAsia" w:ascii="仿宋_GB2312" w:hAnsi="仿宋_GB2312" w:eastAsia="仿宋_GB2312" w:cs="仿宋_GB2312"/>
          <w:szCs w:val="21"/>
        </w:rPr>
        <w:t>招标文件</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4.</w:t>
      </w:r>
      <w:r>
        <w:rPr>
          <w:rFonts w:hint="eastAsia" w:ascii="仿宋_GB2312" w:hAnsi="仿宋_GB2312" w:eastAsia="仿宋_GB2312" w:cs="仿宋_GB2312"/>
          <w:szCs w:val="21"/>
        </w:rPr>
        <w:t>投标书及其附件</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5.</w:t>
      </w:r>
      <w:r>
        <w:rPr>
          <w:rFonts w:hint="eastAsia" w:ascii="仿宋_GB2312" w:hAnsi="仿宋_GB2312" w:eastAsia="仿宋_GB2312" w:cs="仿宋_GB2312"/>
          <w:szCs w:val="21"/>
        </w:rPr>
        <w:t>标准、规范及有关技术文件</w:t>
      </w:r>
    </w:p>
    <w:p>
      <w:pPr>
        <w:adjustRightInd w:val="0"/>
        <w:snapToGrid w:val="0"/>
        <w:spacing w:line="560" w:lineRule="exact"/>
        <w:ind w:firstLine="422" w:firstLineChars="200"/>
        <w:jc w:val="left"/>
        <w:outlineLvl w:val="0"/>
        <w:rPr>
          <w:rFonts w:ascii="仿宋_GB2312" w:hAnsi="仿宋_GB2312" w:eastAsia="仿宋_GB2312" w:cs="仿宋_GB2312"/>
          <w:b/>
          <w:szCs w:val="21"/>
        </w:rPr>
      </w:pPr>
      <w:bookmarkStart w:id="63" w:name="_Toc478453302"/>
      <w:r>
        <w:rPr>
          <w:rFonts w:hint="eastAsia" w:ascii="仿宋_GB2312" w:hAnsi="仿宋_GB2312" w:eastAsia="仿宋_GB2312" w:cs="仿宋_GB2312"/>
          <w:b/>
          <w:szCs w:val="21"/>
        </w:rPr>
        <w:t>十八、合同生效及其它</w:t>
      </w:r>
      <w:bookmarkEnd w:id="63"/>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1.</w:t>
      </w:r>
      <w:r>
        <w:rPr>
          <w:rFonts w:hint="eastAsia" w:ascii="仿宋_GB2312" w:hAnsi="仿宋_GB2312" w:eastAsia="仿宋_GB2312" w:cs="仿宋_GB2312"/>
          <w:szCs w:val="21"/>
        </w:rPr>
        <w:t xml:space="preserve"> 合同经双方法定代表人或授权代表签字/盖章，并加盖单位公章或者合同专用章之日起生效。</w:t>
      </w:r>
    </w:p>
    <w:p>
      <w:pPr>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szCs w:val="21"/>
        </w:rPr>
        <w:t>本合同未尽事宜，双方可签订补充协议予以执行；未达成补充协议的，遵照《合同法》及有关法律法规执行。</w:t>
      </w:r>
    </w:p>
    <w:p>
      <w:pPr>
        <w:tabs>
          <w:tab w:val="right" w:pos="8306"/>
        </w:tabs>
        <w:adjustRightInd w:val="0"/>
        <w:snapToGrid w:val="0"/>
        <w:spacing w:line="56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3.</w:t>
      </w:r>
      <w:r>
        <w:rPr>
          <w:rFonts w:hint="eastAsia" w:ascii="仿宋_GB2312" w:hAnsi="仿宋_GB2312" w:eastAsia="仿宋_GB2312" w:cs="仿宋_GB2312"/>
          <w:szCs w:val="21"/>
        </w:rPr>
        <w:t>本合同</w:t>
      </w:r>
      <w:r>
        <w:rPr>
          <w:rFonts w:hint="eastAsia" w:ascii="仿宋_GB2312" w:hAnsi="仿宋_GB2312" w:eastAsia="仿宋_GB2312" w:cs="仿宋_GB2312"/>
          <w:szCs w:val="21"/>
          <w:u w:val="single"/>
        </w:rPr>
        <w:t>一式陆份，甲乙双方各持叁份</w:t>
      </w:r>
      <w:r>
        <w:rPr>
          <w:rFonts w:hint="eastAsia" w:ascii="仿宋_GB2312" w:hAnsi="仿宋_GB2312" w:eastAsia="仿宋_GB2312" w:cs="仿宋_GB2312"/>
          <w:szCs w:val="21"/>
        </w:rPr>
        <w:t>，具有同等法律效力。</w:t>
      </w:r>
    </w:p>
    <w:p>
      <w:pPr>
        <w:tabs>
          <w:tab w:val="right" w:pos="8306"/>
        </w:tabs>
        <w:adjustRightInd w:val="0"/>
        <w:snapToGrid w:val="0"/>
        <w:spacing w:line="56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4.附件： </w:t>
      </w:r>
    </w:p>
    <w:p>
      <w:pPr>
        <w:widowControl/>
        <w:spacing w:line="560" w:lineRule="exact"/>
        <w:jc w:val="left"/>
        <w:rPr>
          <w:rFonts w:ascii="仿宋_GB2312" w:hAnsi="仿宋_GB2312" w:eastAsia="仿宋_GB2312" w:cs="仿宋_GB2312"/>
          <w:szCs w:val="21"/>
        </w:rPr>
      </w:pPr>
    </w:p>
    <w:p>
      <w:pPr>
        <w:adjustRightInd w:val="0"/>
        <w:snapToGrid w:val="0"/>
        <w:spacing w:line="560" w:lineRule="exact"/>
        <w:jc w:val="left"/>
        <w:rPr>
          <w:rFonts w:ascii="仿宋_GB2312" w:hAnsi="仿宋_GB2312" w:eastAsia="仿宋_GB2312" w:cs="仿宋_GB2312"/>
          <w:szCs w:val="21"/>
        </w:rPr>
      </w:pPr>
      <w:r>
        <w:rPr>
          <w:rFonts w:hint="eastAsia" w:ascii="仿宋_GB2312" w:hAnsi="仿宋_GB2312" w:eastAsia="仿宋_GB2312" w:cs="仿宋_GB2312"/>
          <w:szCs w:val="21"/>
        </w:rPr>
        <w:t>（签字盖章页）</w:t>
      </w:r>
    </w:p>
    <w:p>
      <w:pPr>
        <w:adjustRightInd w:val="0"/>
        <w:snapToGrid w:val="0"/>
        <w:spacing w:line="560" w:lineRule="exact"/>
        <w:jc w:val="left"/>
        <w:rPr>
          <w:rFonts w:ascii="仿宋_GB2312" w:hAnsi="仿宋_GB2312" w:eastAsia="仿宋_GB2312" w:cs="仿宋_GB2312"/>
          <w:szCs w:val="21"/>
        </w:rPr>
      </w:pPr>
    </w:p>
    <w:p>
      <w:pPr>
        <w:adjustRightInd w:val="0"/>
        <w:snapToGrid w:val="0"/>
        <w:spacing w:line="560" w:lineRule="exact"/>
        <w:jc w:val="left"/>
        <w:rPr>
          <w:rFonts w:ascii="仿宋_GB2312" w:hAnsi="仿宋_GB2312" w:eastAsia="仿宋_GB2312" w:cs="仿宋_GB2312"/>
          <w:szCs w:val="21"/>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Cs w:val="21"/>
        </w:rPr>
      </w:pPr>
    </w:p>
    <w:p>
      <w:pPr>
        <w:adjustRightInd w:val="0"/>
        <w:snapToGrid w:val="0"/>
        <w:spacing w:line="560" w:lineRule="exact"/>
        <w:jc w:val="left"/>
        <w:rPr>
          <w:rFonts w:ascii="宋体" w:hAnsi="宋体" w:cs="Calibri"/>
          <w:bCs/>
          <w:kern w:val="0"/>
          <w:szCs w:val="21"/>
        </w:rPr>
      </w:pPr>
      <w:r>
        <w:rPr>
          <w:rFonts w:hint="eastAsia" w:ascii="宋体" w:hAnsi="宋体" w:cs="Calibri"/>
          <w:bCs/>
          <w:kern w:val="0"/>
          <w:szCs w:val="21"/>
        </w:rPr>
        <w:t xml:space="preserve">甲方：杭州萧山国际机场有限公司        乙方： </w:t>
      </w: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r>
        <w:rPr>
          <w:rFonts w:hint="eastAsia" w:ascii="宋体" w:hAnsi="宋体" w:cs="Calibri"/>
          <w:bCs/>
          <w:kern w:val="0"/>
          <w:szCs w:val="21"/>
        </w:rPr>
        <w:t xml:space="preserve">法定代表人或授权代表：                法定代表人或授权代表：   </w:t>
      </w: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p>
    <w:p>
      <w:pPr>
        <w:widowControl/>
        <w:spacing w:line="560" w:lineRule="exact"/>
        <w:jc w:val="left"/>
        <w:rPr>
          <w:rFonts w:ascii="宋体" w:hAnsi="宋体" w:cs="Calibri"/>
          <w:bCs/>
          <w:kern w:val="0"/>
          <w:szCs w:val="21"/>
        </w:rPr>
      </w:pPr>
      <w:r>
        <w:rPr>
          <w:rFonts w:hint="eastAsia" w:ascii="宋体" w:hAnsi="宋体" w:cs="Calibri"/>
          <w:bCs/>
          <w:kern w:val="0"/>
          <w:szCs w:val="21"/>
        </w:rPr>
        <w:t>签订日期：    年    月   日</w:t>
      </w: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pStyle w:val="19"/>
        <w:spacing w:line="276" w:lineRule="auto"/>
        <w:ind w:firstLine="220" w:firstLineChars="100"/>
        <w:rPr>
          <w:rFonts w:hAnsi="宋体" w:cs="Calibri"/>
          <w:bCs/>
          <w:sz w:val="22"/>
          <w:szCs w:val="22"/>
        </w:rPr>
      </w:pPr>
      <w:r>
        <w:rPr>
          <w:rFonts w:hint="eastAsia" w:hAnsi="宋体" w:cs="Calibri"/>
          <w:bCs/>
          <w:sz w:val="22"/>
          <w:szCs w:val="22"/>
        </w:rPr>
        <w:t>附件1</w:t>
      </w:r>
      <w:r>
        <w:rPr>
          <w:rFonts w:hAnsi="宋体" w:cs="Calibri"/>
          <w:bCs/>
          <w:sz w:val="22"/>
          <w:szCs w:val="22"/>
        </w:rPr>
        <w:t>:</w:t>
      </w:r>
      <w:r>
        <w:rPr>
          <w:rFonts w:hint="eastAsia" w:hAnsi="宋体" w:cs="Calibri"/>
          <w:bCs/>
          <w:sz w:val="22"/>
          <w:szCs w:val="22"/>
        </w:rPr>
        <w:t>廉洁自律承诺书</w:t>
      </w:r>
    </w:p>
    <w:p>
      <w:pPr>
        <w:pStyle w:val="19"/>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19"/>
        <w:spacing w:line="276" w:lineRule="auto"/>
        <w:ind w:firstLine="420"/>
        <w:rPr>
          <w:rFonts w:hAnsi="宋体" w:cs="Calibri"/>
          <w:bCs/>
          <w:sz w:val="22"/>
          <w:szCs w:val="22"/>
        </w:rPr>
      </w:pPr>
    </w:p>
    <w:p>
      <w:pPr>
        <w:pStyle w:val="19"/>
        <w:spacing w:line="276" w:lineRule="auto"/>
        <w:ind w:firstLine="220" w:firstLineChars="100"/>
        <w:rPr>
          <w:rFonts w:hAnsi="宋体" w:cs="Calibri"/>
          <w:bCs/>
          <w:sz w:val="22"/>
          <w:szCs w:val="22"/>
        </w:rPr>
      </w:pPr>
      <w:r>
        <w:rPr>
          <w:rFonts w:hint="eastAsia" w:hAnsi="宋体" w:cs="Calibri"/>
          <w:bCs/>
          <w:sz w:val="22"/>
          <w:szCs w:val="22"/>
        </w:rPr>
        <w:t>附件2：保密承诺书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19"/>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19"/>
        <w:spacing w:line="276" w:lineRule="auto"/>
        <w:ind w:firstLine="420"/>
        <w:rPr>
          <w:rFonts w:hAnsi="宋体" w:cs="Calibri"/>
          <w:bCs/>
          <w:sz w:val="22"/>
          <w:szCs w:val="22"/>
        </w:rPr>
      </w:pPr>
      <w:r>
        <w:rPr>
          <w:rFonts w:hint="eastAsia" w:hAnsi="宋体" w:cs="Calibri"/>
          <w:bCs/>
          <w:sz w:val="22"/>
          <w:szCs w:val="22"/>
        </w:rPr>
        <w:t>1.商业秘密</w:t>
      </w:r>
    </w:p>
    <w:p>
      <w:pPr>
        <w:pStyle w:val="19"/>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19"/>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19"/>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19"/>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19"/>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19"/>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19"/>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19"/>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19"/>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19"/>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19"/>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19"/>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19"/>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19"/>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19"/>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19"/>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19"/>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19"/>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19"/>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19"/>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19"/>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19"/>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19"/>
        <w:spacing w:line="276" w:lineRule="auto"/>
        <w:ind w:firstLine="420"/>
        <w:rPr>
          <w:rFonts w:hAnsi="宋体" w:cs="Calibri"/>
          <w:bCs/>
          <w:sz w:val="22"/>
          <w:szCs w:val="22"/>
        </w:rPr>
      </w:pPr>
      <w:r>
        <w:rPr>
          <w:rFonts w:hint="eastAsia" w:hAnsi="宋体" w:cs="Calibri"/>
          <w:bCs/>
          <w:sz w:val="22"/>
          <w:szCs w:val="22"/>
        </w:rPr>
        <w:t>8、违约责任</w:t>
      </w:r>
    </w:p>
    <w:p>
      <w:pPr>
        <w:pStyle w:val="19"/>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19"/>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19"/>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19"/>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19"/>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19"/>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19"/>
        <w:spacing w:line="276" w:lineRule="auto"/>
        <w:ind w:firstLine="3960" w:firstLineChars="1800"/>
        <w:rPr>
          <w:rFonts w:hAnsi="宋体" w:cs="Calibri"/>
          <w:bCs/>
          <w:sz w:val="22"/>
          <w:szCs w:val="22"/>
        </w:rPr>
      </w:pPr>
      <w:r>
        <w:rPr>
          <w:rFonts w:hint="eastAsia" w:hAnsi="宋体" w:cs="Calibri"/>
          <w:bCs/>
          <w:sz w:val="22"/>
          <w:szCs w:val="22"/>
        </w:rPr>
        <w:t>地址：</w:t>
      </w:r>
    </w:p>
    <w:p>
      <w:pPr>
        <w:pStyle w:val="19"/>
        <w:spacing w:line="276" w:lineRule="auto"/>
        <w:ind w:firstLine="3960" w:firstLineChars="1800"/>
        <w:rPr>
          <w:rFonts w:hAnsi="宋体"/>
          <w:sz w:val="22"/>
        </w:rPr>
      </w:pPr>
      <w:r>
        <w:rPr>
          <w:rFonts w:hint="eastAsia" w:hAnsi="宋体" w:cs="Calibri"/>
          <w:bCs/>
          <w:sz w:val="22"/>
          <w:szCs w:val="22"/>
        </w:rPr>
        <w:t>日期：     年   月   日</w:t>
      </w:r>
    </w:p>
    <w:p>
      <w:pPr>
        <w:widowControl/>
        <w:jc w:val="left"/>
        <w:rPr>
          <w:rFonts w:eastAsia="黑体" w:cs="Calibri"/>
          <w:b/>
          <w:bCs/>
          <w:kern w:val="0"/>
          <w:sz w:val="32"/>
          <w:szCs w:val="44"/>
        </w:rPr>
      </w:pPr>
      <w:bookmarkStart w:id="64" w:name="_Toc321925456"/>
      <w:bookmarkStart w:id="65" w:name="_Toc9351393"/>
      <w:r>
        <w:rPr>
          <w:rFonts w:eastAsia="黑体" w:cs="Calibri"/>
          <w:kern w:val="0"/>
          <w:sz w:val="32"/>
        </w:rPr>
        <w:br w:type="page"/>
      </w:r>
    </w:p>
    <w:p>
      <w:pPr>
        <w:pStyle w:val="2"/>
        <w:spacing w:before="0" w:after="0"/>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64"/>
      <w:bookmarkEnd w:id="65"/>
    </w:p>
    <w:p>
      <w:pPr>
        <w:pStyle w:val="19"/>
        <w:spacing w:line="360" w:lineRule="exact"/>
        <w:ind w:firstLine="420"/>
        <w:rPr>
          <w:rFonts w:hAnsi="宋体" w:cs="Calibri"/>
          <w:bCs/>
          <w:sz w:val="22"/>
          <w:szCs w:val="22"/>
        </w:rPr>
      </w:pPr>
      <w:bookmarkStart w:id="66" w:name="_Toc29892"/>
      <w:bookmarkStart w:id="67" w:name="_Toc9351394"/>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（5）供货期不满足招标文件要求的；</w:t>
      </w:r>
    </w:p>
    <w:p>
      <w:pPr>
        <w:spacing w:line="360" w:lineRule="exact"/>
        <w:ind w:firstLine="470" w:firstLineChars="214"/>
        <w:rPr>
          <w:rFonts w:ascii="宋体" w:hAnsi="宋体" w:cs="Calibri"/>
          <w:sz w:val="22"/>
        </w:rPr>
      </w:pPr>
      <w:r>
        <w:rPr>
          <w:rFonts w:hint="eastAsia" w:ascii="宋体" w:hAnsi="宋体" w:cs="Calibri"/>
          <w:sz w:val="22"/>
        </w:rPr>
        <w:t>（6）不响应招标文件规定的实质性要求（包括具体条文前用“★”标示的）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（9）被浙江省机场集团有限公司或杭州萧山国际机场有限公司列入禁止交易名单的单位；</w:t>
      </w:r>
    </w:p>
    <w:p>
      <w:pPr>
        <w:spacing w:line="360" w:lineRule="exact"/>
        <w:ind w:firstLine="470" w:firstLineChars="214"/>
        <w:rPr>
          <w:rFonts w:ascii="宋体" w:hAnsi="宋体" w:cs="Calibri"/>
          <w:sz w:val="22"/>
        </w:rPr>
      </w:pPr>
      <w:r>
        <w:rPr>
          <w:rFonts w:hint="eastAsia" w:ascii="宋体" w:hAnsi="宋体" w:cs="Calibri"/>
          <w:sz w:val="22"/>
        </w:rPr>
        <w:t>（10）存在法律、法规、规章规定的其它无效投标情况的。</w:t>
      </w:r>
    </w:p>
    <w:p>
      <w:pPr>
        <w:spacing w:line="360" w:lineRule="exact"/>
        <w:ind w:firstLine="470" w:firstLineChars="214"/>
        <w:rPr>
          <w:rFonts w:ascii="宋体" w:hAnsi="宋体" w:cs="Calibri"/>
          <w:sz w:val="22"/>
        </w:rPr>
      </w:pPr>
      <w:r>
        <w:rPr>
          <w:rFonts w:hint="eastAsia" w:ascii="宋体" w:hAnsi="宋体" w:cs="Calibri"/>
          <w:sz w:val="22"/>
        </w:rPr>
        <w:t>（11）投标人须知前附表规定的其他要求。</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涉及本文件投标人资格条件3.1第2至4款，若投标人采用承诺方式的，评标委员会有权通过信用中国网站</w:t>
      </w:r>
      <w:r>
        <w:rPr>
          <w:rFonts w:ascii="宋体" w:hAnsi="宋体" w:cs="Calibri"/>
          <w:sz w:val="22"/>
        </w:rPr>
        <w:fldChar w:fldCharType="begin"/>
      </w:r>
      <w:r>
        <w:rPr>
          <w:rFonts w:ascii="宋体" w:hAnsi="宋体" w:cs="Calibri"/>
          <w:sz w:val="22"/>
        </w:rPr>
        <w:instrText xml:space="preserve"> HYPERLINK "http://</w:instrText>
      </w:r>
      <w:r>
        <w:rPr>
          <w:rFonts w:hint="eastAsia" w:ascii="宋体" w:hAnsi="宋体" w:cs="Calibri"/>
          <w:sz w:val="22"/>
        </w:rPr>
        <w:instrText xml:space="preserve">www.creditchina.gov.cn</w:instrText>
      </w:r>
      <w:r>
        <w:rPr>
          <w:rFonts w:ascii="宋体" w:hAnsi="宋体" w:cs="Calibri"/>
          <w:sz w:val="22"/>
        </w:rPr>
        <w:instrText xml:space="preserve">" </w:instrText>
      </w:r>
      <w:r>
        <w:rPr>
          <w:rFonts w:ascii="宋体" w:hAnsi="宋体" w:cs="Calibri"/>
          <w:sz w:val="22"/>
        </w:rPr>
        <w:fldChar w:fldCharType="separate"/>
      </w:r>
      <w:r>
        <w:rPr>
          <w:rFonts w:hint="eastAsia" w:ascii="宋体" w:hAnsi="宋体" w:cs="Calibri"/>
          <w:sz w:val="22"/>
        </w:rPr>
        <w:t>www.creditchina.gov.cn</w:t>
      </w:r>
      <w:r>
        <w:rPr>
          <w:rFonts w:ascii="宋体" w:hAnsi="宋体" w:cs="Calibri"/>
          <w:sz w:val="22"/>
        </w:rPr>
        <w:fldChar w:fldCharType="end"/>
      </w:r>
      <w:r>
        <w:rPr>
          <w:rFonts w:hint="eastAsia" w:ascii="宋体" w:hAnsi="宋体" w:cs="Calibri"/>
          <w:sz w:val="22"/>
        </w:rPr>
        <w:t>、中国裁判文书网</w:t>
      </w:r>
      <w:r>
        <w:rPr>
          <w:rFonts w:ascii="宋体" w:hAnsi="宋体" w:cs="Calibri"/>
          <w:sz w:val="22"/>
        </w:rPr>
        <w:fldChar w:fldCharType="begin"/>
      </w:r>
      <w:r>
        <w:rPr>
          <w:rFonts w:ascii="宋体" w:hAnsi="宋体" w:cs="Calibri"/>
          <w:sz w:val="22"/>
        </w:rPr>
        <w:instrText xml:space="preserve"> HYPERLINK "</w:instrText>
      </w:r>
      <w:r>
        <w:rPr>
          <w:rFonts w:hint="eastAsia" w:ascii="宋体" w:hAnsi="宋体" w:cs="Calibri"/>
          <w:sz w:val="22"/>
        </w:rPr>
        <w:instrText xml:space="preserve">http://wenshu.court.gov.cn</w:instrText>
      </w:r>
      <w:r>
        <w:rPr>
          <w:rFonts w:ascii="宋体" w:hAnsi="宋体" w:cs="Calibri"/>
          <w:sz w:val="22"/>
        </w:rPr>
        <w:instrText xml:space="preserve">" </w:instrText>
      </w:r>
      <w:r>
        <w:rPr>
          <w:rFonts w:ascii="宋体" w:hAnsi="宋体" w:cs="Calibri"/>
          <w:sz w:val="22"/>
        </w:rPr>
        <w:fldChar w:fldCharType="separate"/>
      </w:r>
      <w:r>
        <w:rPr>
          <w:rFonts w:hint="eastAsia" w:ascii="宋体" w:hAnsi="宋体" w:cs="Calibri"/>
          <w:sz w:val="22"/>
        </w:rPr>
        <w:t>http://wenshu.court.gov.cn</w:t>
      </w:r>
      <w:r>
        <w:rPr>
          <w:rFonts w:ascii="宋体" w:hAnsi="宋体" w:cs="Calibri"/>
          <w:sz w:val="22"/>
        </w:rPr>
        <w:fldChar w:fldCharType="end"/>
      </w:r>
      <w:r>
        <w:rPr>
          <w:rFonts w:hint="eastAsia" w:ascii="宋体" w:hAnsi="宋体" w:cs="Calibri"/>
          <w:sz w:val="22"/>
        </w:rPr>
        <w:t>、国家税务总局各省电子税务局网站进行查询，若查询结果不符合资格条件要求或无法查询到相关信息的，评标委员会有权对该投标人作否决投标处理。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w:t>
      </w: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19"/>
        <w:adjustRightInd w:val="0"/>
        <w:snapToGrid w:val="0"/>
        <w:spacing w:line="360" w:lineRule="exact"/>
        <w:ind w:firstLine="442" w:firstLineChars="200"/>
        <w:rPr>
          <w:rFonts w:hAnsi="宋体" w:cs="宋体"/>
          <w:b/>
          <w:sz w:val="22"/>
          <w:szCs w:val="22"/>
        </w:rPr>
      </w:pPr>
      <w:r>
        <w:rPr>
          <w:rFonts w:hint="eastAsia" w:hAnsi="宋体" w:cs="宋体"/>
          <w:b/>
          <w:sz w:val="22"/>
          <w:szCs w:val="22"/>
        </w:rPr>
        <w:t>3.3.1商务报价分   40-60分</w:t>
      </w:r>
    </w:p>
    <w:p>
      <w:pPr>
        <w:pStyle w:val="19"/>
        <w:adjustRightInd w:val="0"/>
        <w:snapToGrid w:val="0"/>
        <w:spacing w:line="360" w:lineRule="exact"/>
        <w:ind w:firstLine="440" w:firstLineChars="200"/>
        <w:rPr>
          <w:rFonts w:hAnsi="宋体" w:cs="Calibri"/>
          <w:b/>
          <w:sz w:val="22"/>
          <w:szCs w:val="22"/>
        </w:rPr>
      </w:pPr>
      <w:r>
        <w:rPr>
          <w:rFonts w:hint="eastAsia" w:hAnsi="宋体"/>
          <w:sz w:val="22"/>
          <w:szCs w:val="22"/>
        </w:rPr>
        <w:t>报价评分应在投标报价响应招标文件要求的基础上，</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ind w:firstLine="542" w:firstLineChars="257"/>
        <w:jc w:val="center"/>
        <w:rPr>
          <w:rFonts w:ascii="宋体" w:hAnsi="宋体" w:cs="宋体"/>
          <w:b/>
          <w:szCs w:val="21"/>
        </w:rPr>
      </w:pPr>
    </w:p>
    <w:p>
      <w:pPr>
        <w:pStyle w:val="19"/>
        <w:adjustRightInd w:val="0"/>
        <w:snapToGrid w:val="0"/>
        <w:spacing w:line="360" w:lineRule="exact"/>
        <w:ind w:firstLine="402" w:firstLineChars="200"/>
        <w:jc w:val="center"/>
        <w:rPr>
          <w:rFonts w:hAnsi="宋体" w:cs="宋体"/>
          <w:b/>
        </w:rPr>
      </w:pPr>
      <w:r>
        <w:rPr>
          <w:rFonts w:hint="eastAsia" w:hAnsi="宋体" w:cs="宋体"/>
          <w:b/>
        </w:rPr>
        <w:t>商务标评分细则</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Merge w:val="restart"/>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58</w:t>
            </w:r>
            <w:r>
              <w:rPr>
                <w:rFonts w:hint="eastAsia" w:ascii="宋体" w:hAnsi="宋体"/>
                <w:szCs w:val="21"/>
              </w:rPr>
              <w:t>分）</w:t>
            </w:r>
          </w:p>
        </w:tc>
        <w:tc>
          <w:tcPr>
            <w:tcW w:w="5132" w:type="dxa"/>
            <w:vAlign w:val="center"/>
          </w:tcPr>
          <w:p>
            <w:pPr>
              <w:pStyle w:val="19"/>
              <w:adjustRightInd w:val="0"/>
              <w:snapToGrid w:val="0"/>
              <w:spacing w:line="360" w:lineRule="exact"/>
              <w:rPr>
                <w:rFonts w:hAnsi="宋体"/>
                <w:bCs/>
                <w:sz w:val="21"/>
              </w:rPr>
            </w:pPr>
            <w:r>
              <w:rPr>
                <w:rFonts w:hint="eastAsia" w:hAnsi="宋体"/>
                <w:sz w:val="21"/>
              </w:rPr>
              <w:t>投标报价评分应在投标报价响应招标文件要求的基础上，评标基准价的计算方式为：（1）若有效评标价少于4家（含）时，报价平均值与最低价的平均值作为基准价。（2）若有效评标价大于4家时，报价的平均值与次低价的平均值作为基准价。</w:t>
            </w:r>
          </w:p>
          <w:p>
            <w:pPr>
              <w:snapToGrid w:val="0"/>
              <w:jc w:val="left"/>
              <w:rPr>
                <w:rFonts w:ascii="宋体" w:hAnsi="宋体"/>
                <w:szCs w:val="21"/>
              </w:rPr>
            </w:pPr>
          </w:p>
          <w:p>
            <w:pPr>
              <w:snapToGrid w:val="0"/>
              <w:jc w:val="left"/>
              <w:rPr>
                <w:rFonts w:ascii="宋体" w:hAnsi="宋体"/>
                <w:szCs w:val="21"/>
              </w:rPr>
            </w:pPr>
            <w:r>
              <w:rPr>
                <w:rFonts w:hint="eastAsia" w:ascii="宋体" w:hAnsi="宋体"/>
                <w:szCs w:val="21"/>
              </w:rPr>
              <w:t>与基准价相等的为满分58分。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投标总价每低于基准价1%，扣</w:t>
            </w:r>
            <w:r>
              <w:rPr>
                <w:rFonts w:ascii="宋体" w:hAnsi="宋体"/>
                <w:szCs w:val="21"/>
              </w:rPr>
              <w:t>0.5</w:t>
            </w:r>
            <w:r>
              <w:rPr>
                <w:rFonts w:hint="eastAsia" w:ascii="宋体" w:hAnsi="宋体"/>
                <w:szCs w:val="21"/>
              </w:rPr>
              <w:t>分。</w:t>
            </w:r>
          </w:p>
          <w:p>
            <w:pPr>
              <w:snapToGrid w:val="0"/>
              <w:jc w:val="left"/>
              <w:rPr>
                <w:rFonts w:ascii="宋体" w:hAnsi="宋体"/>
                <w:szCs w:val="21"/>
              </w:rPr>
            </w:pPr>
            <w:r>
              <w:rPr>
                <w:rFonts w:hint="eastAsia" w:ascii="宋体" w:hAnsi="宋体"/>
                <w:bCs/>
                <w:szCs w:val="21"/>
              </w:rPr>
              <w:t>投标报价分扣分至39分止。</w:t>
            </w:r>
          </w:p>
        </w:tc>
        <w:tc>
          <w:tcPr>
            <w:tcW w:w="1276" w:type="dxa"/>
            <w:vAlign w:val="center"/>
          </w:tcPr>
          <w:p>
            <w:pPr>
              <w:snapToGrid w:val="0"/>
              <w:jc w:val="center"/>
              <w:rPr>
                <w:rFonts w:ascii="宋体" w:hAnsi="宋体"/>
                <w:b/>
                <w:szCs w:val="21"/>
              </w:rPr>
            </w:pPr>
            <w:r>
              <w:rPr>
                <w:rFonts w:hint="eastAsia" w:ascii="宋体" w:hAnsi="宋体"/>
                <w:b/>
                <w:szCs w:val="21"/>
              </w:rPr>
              <w:t>39-</w:t>
            </w:r>
            <w:r>
              <w:rPr>
                <w:rFonts w:ascii="宋体" w:hAnsi="宋体"/>
                <w:b/>
                <w:szCs w:val="21"/>
              </w:rPr>
              <w:t>58</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Merge w:val="continue"/>
            <w:vAlign w:val="center"/>
          </w:tcPr>
          <w:p>
            <w:pPr>
              <w:snapToGrid w:val="0"/>
              <w:jc w:val="center"/>
              <w:rPr>
                <w:rFonts w:ascii="宋体" w:hAnsi="宋体"/>
                <w:szCs w:val="21"/>
              </w:rPr>
            </w:pPr>
          </w:p>
        </w:tc>
        <w:tc>
          <w:tcPr>
            <w:tcW w:w="1701" w:type="dxa"/>
            <w:vAlign w:val="center"/>
          </w:tcPr>
          <w:p>
            <w:pPr>
              <w:snapToGrid w:val="0"/>
              <w:rPr>
                <w:rFonts w:ascii="宋体" w:hAnsi="宋体"/>
                <w:szCs w:val="21"/>
              </w:rPr>
            </w:pPr>
            <w:r>
              <w:rPr>
                <w:rFonts w:hint="eastAsia" w:ascii="宋体" w:hAnsi="宋体"/>
                <w:szCs w:val="21"/>
              </w:rPr>
              <w:t>免费质保期满后售后服务费用（包含地图更新维护费）（2分）</w:t>
            </w:r>
          </w:p>
        </w:tc>
        <w:tc>
          <w:tcPr>
            <w:tcW w:w="5132" w:type="dxa"/>
            <w:vAlign w:val="center"/>
          </w:tcPr>
          <w:p>
            <w:pPr>
              <w:rPr>
                <w:rFonts w:ascii="宋体" w:hAnsi="宋体"/>
                <w:szCs w:val="21"/>
              </w:rPr>
            </w:pPr>
            <w:r>
              <w:rPr>
                <w:rFonts w:hint="eastAsia" w:hAnsi="宋体"/>
                <w:sz w:val="22"/>
              </w:rPr>
              <w:t>在投标报价响应招标文件要求的基础上，年服务费报价</w:t>
            </w:r>
            <w:r>
              <w:rPr>
                <w:rFonts w:hint="eastAsia" w:ascii="宋体" w:hAnsi="宋体"/>
                <w:szCs w:val="21"/>
              </w:rPr>
              <w:t>最低的得2分，年服务费报价次低的得1分，其它得0分。</w:t>
            </w:r>
          </w:p>
          <w:p>
            <w:pPr>
              <w:snapToGrid w:val="0"/>
              <w:jc w:val="left"/>
              <w:rPr>
                <w:rFonts w:ascii="宋体" w:hAnsi="宋体"/>
                <w:szCs w:val="21"/>
              </w:rPr>
            </w:pPr>
          </w:p>
        </w:tc>
        <w:tc>
          <w:tcPr>
            <w:tcW w:w="1276" w:type="dxa"/>
            <w:vAlign w:val="center"/>
          </w:tcPr>
          <w:p>
            <w:pPr>
              <w:snapToGrid w:val="0"/>
              <w:jc w:val="center"/>
              <w:rPr>
                <w:rFonts w:ascii="宋体" w:hAnsi="宋体"/>
                <w:b/>
                <w:szCs w:val="21"/>
              </w:rPr>
            </w:pPr>
            <w:r>
              <w:rPr>
                <w:rFonts w:hint="eastAsia" w:ascii="宋体" w:hAnsi="宋体"/>
                <w:b/>
                <w:szCs w:val="21"/>
              </w:rPr>
              <w:t>1-2分</w:t>
            </w:r>
          </w:p>
        </w:tc>
      </w:tr>
    </w:tbl>
    <w:p>
      <w:pPr>
        <w:pStyle w:val="19"/>
        <w:adjustRightInd w:val="0"/>
        <w:snapToGrid w:val="0"/>
        <w:spacing w:line="360" w:lineRule="exact"/>
        <w:ind w:firstLine="402" w:firstLineChars="200"/>
        <w:rPr>
          <w:rFonts w:hAnsi="宋体" w:cs="宋体"/>
          <w:b/>
        </w:rPr>
      </w:pPr>
    </w:p>
    <w:p>
      <w:pPr>
        <w:pStyle w:val="19"/>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19"/>
        <w:adjustRightInd w:val="0"/>
        <w:snapToGrid w:val="0"/>
        <w:spacing w:line="360" w:lineRule="exact"/>
        <w:ind w:firstLine="442" w:firstLineChars="200"/>
        <w:rPr>
          <w:rFonts w:hAnsi="宋体" w:cs="宋体"/>
          <w:b/>
          <w:sz w:val="22"/>
          <w:szCs w:val="22"/>
        </w:rPr>
      </w:pPr>
      <w:r>
        <w:rPr>
          <w:rFonts w:hint="eastAsia" w:hAnsi="宋体" w:cs="宋体"/>
          <w:b/>
          <w:sz w:val="22"/>
          <w:szCs w:val="22"/>
        </w:rPr>
        <w:t>2、资信及技术评分   0-40分</w:t>
      </w:r>
    </w:p>
    <w:p>
      <w:pPr>
        <w:pStyle w:val="19"/>
        <w:adjustRightInd w:val="0"/>
        <w:snapToGrid w:val="0"/>
        <w:spacing w:line="360" w:lineRule="exact"/>
        <w:ind w:firstLine="420" w:firstLineChars="200"/>
        <w:rPr>
          <w:rFonts w:hAnsi="宋体" w:cs="宋体"/>
          <w:sz w:val="21"/>
        </w:rPr>
      </w:pPr>
      <w:r>
        <w:rPr>
          <w:rFonts w:hint="eastAsia" w:hAnsi="宋体" w:cs="宋体"/>
          <w:sz w:val="21"/>
        </w:rPr>
        <w:t>该评分分值由评标委员会成员独立打分（具体分值设定详见下表），小数点后保留1位小数。每个投标人的最终资信及技术得分为评标委员会打分的算术平均值（小数点后保留2位，第三位四舍五入）。</w:t>
      </w:r>
    </w:p>
    <w:p>
      <w:pPr>
        <w:pStyle w:val="19"/>
        <w:adjustRightInd w:val="0"/>
        <w:snapToGrid w:val="0"/>
        <w:spacing w:line="360" w:lineRule="exact"/>
        <w:ind w:firstLine="420" w:firstLineChars="200"/>
        <w:rPr>
          <w:rFonts w:hAnsi="宋体" w:cs="宋体"/>
          <w:sz w:val="21"/>
        </w:rPr>
      </w:pPr>
      <w:r>
        <w:rPr>
          <w:rFonts w:hint="eastAsia" w:hAnsi="宋体" w:cs="宋体"/>
          <w:sz w:val="21"/>
        </w:rPr>
        <w:t>资信及技术评分分值设定标准</w:t>
      </w:r>
    </w:p>
    <w:tbl>
      <w:tblPr>
        <w:tblStyle w:val="4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Align w:val="center"/>
          </w:tcPr>
          <w:p>
            <w:pPr>
              <w:snapToGrid w:val="0"/>
              <w:jc w:val="center"/>
              <w:rPr>
                <w:rFonts w:ascii="宋体" w:hAnsi="宋体"/>
                <w:szCs w:val="21"/>
              </w:rPr>
            </w:pPr>
            <w:r>
              <w:rPr>
                <w:rFonts w:hint="eastAsia" w:ascii="宋体" w:hAnsi="宋体"/>
                <w:szCs w:val="21"/>
              </w:rPr>
              <w:t>公司基本</w:t>
            </w:r>
          </w:p>
          <w:p>
            <w:pPr>
              <w:snapToGrid w:val="0"/>
              <w:jc w:val="center"/>
              <w:rPr>
                <w:rFonts w:ascii="宋体" w:hAnsi="宋体"/>
                <w:szCs w:val="21"/>
              </w:rPr>
            </w:pPr>
            <w:r>
              <w:rPr>
                <w:rFonts w:hint="eastAsia" w:ascii="宋体" w:hAnsi="宋体"/>
                <w:szCs w:val="21"/>
              </w:rPr>
              <w:t>资质</w:t>
            </w:r>
          </w:p>
          <w:p>
            <w:pPr>
              <w:snapToGrid w:val="0"/>
              <w:jc w:val="center"/>
              <w:rPr>
                <w:rFonts w:ascii="宋体" w:hAnsi="宋体"/>
                <w:szCs w:val="21"/>
              </w:rPr>
            </w:pPr>
            <w:r>
              <w:rPr>
                <w:rFonts w:hint="eastAsia" w:ascii="宋体" w:hAnsi="宋体"/>
                <w:szCs w:val="21"/>
              </w:rPr>
              <w:t>（4分）</w:t>
            </w:r>
          </w:p>
        </w:tc>
        <w:tc>
          <w:tcPr>
            <w:tcW w:w="1701" w:type="dxa"/>
            <w:vAlign w:val="center"/>
          </w:tcPr>
          <w:p>
            <w:pPr>
              <w:snapToGrid w:val="0"/>
              <w:jc w:val="center"/>
              <w:rPr>
                <w:rFonts w:hint="default" w:ascii="宋体" w:hAnsi="宋体" w:eastAsia="宋体"/>
                <w:szCs w:val="21"/>
                <w:lang w:val="en-US" w:eastAsia="zh-CN"/>
              </w:rPr>
            </w:pPr>
            <w:r>
              <w:rPr>
                <w:rFonts w:hint="eastAsia" w:ascii="宋体" w:hAnsi="宋体"/>
                <w:szCs w:val="21"/>
                <w:lang w:val="en-US" w:eastAsia="zh-CN"/>
              </w:rPr>
              <w:t>根据提供案例情况打分</w:t>
            </w:r>
          </w:p>
        </w:tc>
        <w:tc>
          <w:tcPr>
            <w:tcW w:w="5057" w:type="dxa"/>
            <w:vAlign w:val="center"/>
          </w:tcPr>
          <w:p>
            <w:pPr>
              <w:snapToGrid w:val="0"/>
              <w:rPr>
                <w:rFonts w:hint="default" w:ascii="宋体" w:hAnsi="宋体" w:cs="Arial"/>
                <w:kern w:val="0"/>
                <w:sz w:val="22"/>
                <w:lang w:val="en-US" w:eastAsia="zh-CN"/>
              </w:rPr>
            </w:pPr>
            <w:r>
              <w:rPr>
                <w:rFonts w:hint="eastAsia" w:ascii="宋体" w:hAnsi="宋体" w:cs="Arial"/>
                <w:kern w:val="0"/>
                <w:sz w:val="22"/>
                <w:lang w:val="en-US" w:eastAsia="zh-CN"/>
              </w:rPr>
              <w:t>每提供一个100万以上</w:t>
            </w:r>
            <w:r>
              <w:rPr>
                <w:rFonts w:hint="eastAsia" w:ascii="宋体" w:hAnsi="宋体" w:cs="Arial"/>
                <w:kern w:val="0"/>
                <w:sz w:val="22"/>
              </w:rPr>
              <w:t>软件开发、实施案例</w:t>
            </w:r>
            <w:r>
              <w:rPr>
                <w:rFonts w:hint="eastAsia" w:ascii="宋体" w:hAnsi="宋体" w:cs="Arial"/>
                <w:kern w:val="0"/>
                <w:sz w:val="22"/>
                <w:lang w:val="en-US" w:eastAsia="zh-CN"/>
              </w:rPr>
              <w:t>得1分，每提供一个200万以上</w:t>
            </w:r>
            <w:r>
              <w:rPr>
                <w:rFonts w:hint="eastAsia" w:ascii="宋体" w:hAnsi="宋体" w:cs="Arial"/>
                <w:kern w:val="0"/>
                <w:sz w:val="22"/>
              </w:rPr>
              <w:t>软件开发、实施案例</w:t>
            </w:r>
            <w:r>
              <w:rPr>
                <w:rFonts w:hint="eastAsia" w:ascii="宋体" w:hAnsi="宋体" w:cs="Arial"/>
                <w:kern w:val="0"/>
                <w:sz w:val="22"/>
                <w:lang w:val="en-US" w:eastAsia="zh-CN"/>
              </w:rPr>
              <w:t>得2分</w:t>
            </w:r>
          </w:p>
          <w:p>
            <w:pPr>
              <w:snapToGrid w:val="0"/>
              <w:rPr>
                <w:rFonts w:ascii="宋体" w:hAnsi="宋体"/>
                <w:szCs w:val="21"/>
              </w:rPr>
            </w:pPr>
            <w:r>
              <w:rPr>
                <w:rFonts w:hint="eastAsia" w:ascii="宋体" w:hAnsi="宋体" w:cs="Arial"/>
                <w:kern w:val="0"/>
                <w:sz w:val="22"/>
              </w:rPr>
              <w:t>（</w:t>
            </w:r>
            <w:r>
              <w:rPr>
                <w:rFonts w:hint="eastAsia" w:ascii="宋体" w:hAnsi="宋体" w:cs="Arial"/>
                <w:kern w:val="0"/>
                <w:sz w:val="22"/>
                <w:lang w:val="en-US" w:eastAsia="zh-CN"/>
              </w:rPr>
              <w:t>需提供</w:t>
            </w:r>
            <w:r>
              <w:rPr>
                <w:rFonts w:hint="eastAsia" w:ascii="宋体" w:hAnsi="宋体" w:cs="Arial"/>
                <w:kern w:val="0"/>
                <w:sz w:val="22"/>
              </w:rPr>
              <w:t>合同复印件</w:t>
            </w:r>
            <w:r>
              <w:rPr>
                <w:rFonts w:hint="eastAsia" w:ascii="宋体" w:hAnsi="宋体" w:cs="Arial"/>
                <w:kern w:val="0"/>
                <w:sz w:val="22"/>
                <w:lang w:val="en-US" w:eastAsia="zh-CN"/>
              </w:rPr>
              <w:t>并加盖公章</w:t>
            </w:r>
            <w:r>
              <w:rPr>
                <w:rFonts w:hint="eastAsia" w:ascii="宋体" w:hAnsi="宋体" w:cs="Arial"/>
                <w:kern w:val="0"/>
                <w:sz w:val="22"/>
              </w:rPr>
              <w:t>，原件备查）</w:t>
            </w:r>
            <w:r>
              <w:rPr>
                <w:rFonts w:hint="eastAsia" w:ascii="宋体" w:hAnsi="宋体" w:cs="Arial"/>
                <w:kern w:val="0"/>
                <w:sz w:val="22"/>
                <w:lang w:eastAsia="zh-CN"/>
              </w:rPr>
              <w:t>，</w:t>
            </w:r>
            <w:r>
              <w:rPr>
                <w:rFonts w:hint="eastAsia" w:ascii="宋体" w:hAnsi="宋体" w:cs="Arial"/>
                <w:kern w:val="0"/>
                <w:sz w:val="22"/>
                <w:lang w:val="en-US" w:eastAsia="zh-CN"/>
              </w:rPr>
              <w:t>总分不超过4分，不重复得分</w:t>
            </w:r>
          </w:p>
        </w:tc>
        <w:tc>
          <w:tcPr>
            <w:tcW w:w="1276" w:type="dxa"/>
            <w:vAlign w:val="center"/>
          </w:tcPr>
          <w:p>
            <w:pPr>
              <w:snapToGrid w:val="0"/>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restart"/>
            <w:vAlign w:val="center"/>
          </w:tcPr>
          <w:p>
            <w:pPr>
              <w:jc w:val="center"/>
              <w:rPr>
                <w:rFonts w:ascii="宋体" w:hAnsi="宋体"/>
                <w:szCs w:val="21"/>
              </w:rPr>
            </w:pPr>
            <w:r>
              <w:rPr>
                <w:rFonts w:hint="eastAsia" w:ascii="宋体" w:hAnsi="宋体"/>
                <w:szCs w:val="21"/>
              </w:rPr>
              <w:t>项目实施方案合理性（28分）</w:t>
            </w:r>
          </w:p>
        </w:tc>
        <w:tc>
          <w:tcPr>
            <w:tcW w:w="1701" w:type="dxa"/>
            <w:vAlign w:val="center"/>
          </w:tcPr>
          <w:p>
            <w:pPr>
              <w:jc w:val="center"/>
              <w:rPr>
                <w:rFonts w:ascii="宋体" w:hAnsi="宋体"/>
                <w:snapToGrid w:val="0"/>
                <w:kern w:val="0"/>
                <w:szCs w:val="21"/>
              </w:rPr>
            </w:pPr>
            <w:r>
              <w:rPr>
                <w:rFonts w:hint="eastAsia" w:ascii="宋体" w:hAnsi="宋体"/>
                <w:szCs w:val="21"/>
              </w:rPr>
              <w:t>理解项目需求，功能描述清晰，提供满足要求的系统解决方案</w:t>
            </w:r>
          </w:p>
        </w:tc>
        <w:tc>
          <w:tcPr>
            <w:tcW w:w="5057" w:type="dxa"/>
            <w:vAlign w:val="center"/>
          </w:tcPr>
          <w:p>
            <w:pPr>
              <w:snapToGrid w:val="0"/>
              <w:rPr>
                <w:rFonts w:ascii="宋体" w:hAnsi="宋体"/>
                <w:szCs w:val="21"/>
              </w:rPr>
            </w:pPr>
            <w:r>
              <w:rPr>
                <w:rFonts w:hint="eastAsia" w:ascii="宋体" w:hAnsi="宋体"/>
                <w:szCs w:val="21"/>
              </w:rPr>
              <w:t>满足招标文件，由评委横向比较打分，航班数据接口开发能力0-8分，整体功能满足程度0-8分</w:t>
            </w:r>
          </w:p>
        </w:tc>
        <w:tc>
          <w:tcPr>
            <w:tcW w:w="1276" w:type="dxa"/>
            <w:vAlign w:val="center"/>
          </w:tcPr>
          <w:p>
            <w:pPr>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培训方案</w:t>
            </w:r>
          </w:p>
        </w:tc>
        <w:tc>
          <w:tcPr>
            <w:tcW w:w="5057" w:type="dxa"/>
            <w:vAlign w:val="center"/>
          </w:tcPr>
          <w:p>
            <w:pPr>
              <w:snapToGrid w:val="0"/>
              <w:rPr>
                <w:rFonts w:ascii="宋体" w:hAnsi="宋体"/>
                <w:szCs w:val="21"/>
              </w:rPr>
            </w:pPr>
            <w:r>
              <w:rPr>
                <w:rFonts w:hint="eastAsia" w:ascii="宋体" w:hAnsi="宋体"/>
                <w:szCs w:val="21"/>
              </w:rPr>
              <w:t>操作人员、领导、管理员和技术平台培训方案健全，缺一项扣1分，扣完为止</w:t>
            </w:r>
          </w:p>
        </w:tc>
        <w:tc>
          <w:tcPr>
            <w:tcW w:w="1276"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napToGrid w:val="0"/>
                <w:kern w:val="0"/>
                <w:szCs w:val="21"/>
              </w:rPr>
            </w:pPr>
            <w:r>
              <w:rPr>
                <w:rFonts w:hint="eastAsia" w:ascii="宋体" w:hAnsi="宋体"/>
                <w:szCs w:val="21"/>
              </w:rPr>
              <w:t>售后服务</w:t>
            </w:r>
          </w:p>
        </w:tc>
        <w:tc>
          <w:tcPr>
            <w:tcW w:w="5057" w:type="dxa"/>
            <w:vAlign w:val="center"/>
          </w:tcPr>
          <w:p>
            <w:pPr>
              <w:snapToGrid w:val="0"/>
              <w:rPr>
                <w:rFonts w:ascii="宋体" w:hAnsi="宋体"/>
                <w:szCs w:val="21"/>
              </w:rPr>
            </w:pPr>
            <w:r>
              <w:rPr>
                <w:rFonts w:hint="eastAsia" w:ascii="宋体" w:hAnsi="宋体"/>
                <w:szCs w:val="21"/>
              </w:rPr>
              <w:t>故障快速响应到达现场时间做出承诺，由评委横向比较打分最优得4分</w:t>
            </w:r>
          </w:p>
        </w:tc>
        <w:tc>
          <w:tcPr>
            <w:tcW w:w="1276"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napToGrid w:val="0"/>
                <w:kern w:val="0"/>
                <w:szCs w:val="21"/>
              </w:rPr>
            </w:pPr>
            <w:r>
              <w:rPr>
                <w:rFonts w:hint="eastAsia" w:ascii="宋体" w:hAnsi="宋体"/>
                <w:szCs w:val="21"/>
              </w:rPr>
              <w:t>优化建议</w:t>
            </w:r>
          </w:p>
        </w:tc>
        <w:tc>
          <w:tcPr>
            <w:tcW w:w="5057" w:type="dxa"/>
            <w:vAlign w:val="center"/>
          </w:tcPr>
          <w:p>
            <w:pPr>
              <w:snapToGrid w:val="0"/>
              <w:rPr>
                <w:rFonts w:ascii="宋体" w:hAnsi="宋体"/>
                <w:szCs w:val="21"/>
              </w:rPr>
            </w:pPr>
            <w:r>
              <w:rPr>
                <w:rFonts w:hint="eastAsia" w:ascii="宋体" w:hAnsi="宋体"/>
                <w:szCs w:val="21"/>
              </w:rPr>
              <w:t>了解项目需求，能提出优化建议或新增应用，每增加一条得1分，最高不超过2分</w:t>
            </w:r>
          </w:p>
        </w:tc>
        <w:tc>
          <w:tcPr>
            <w:tcW w:w="1276" w:type="dxa"/>
            <w:vAlign w:val="center"/>
          </w:tcPr>
          <w:p>
            <w:pPr>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napToGrid w:val="0"/>
                <w:kern w:val="0"/>
                <w:szCs w:val="21"/>
              </w:rPr>
            </w:pPr>
            <w:r>
              <w:rPr>
                <w:rFonts w:hint="eastAsia" w:ascii="宋体" w:hAnsi="宋体"/>
                <w:szCs w:val="21"/>
              </w:rPr>
              <w:t>业务熟悉程度</w:t>
            </w:r>
          </w:p>
        </w:tc>
        <w:tc>
          <w:tcPr>
            <w:tcW w:w="5057" w:type="dxa"/>
            <w:vAlign w:val="center"/>
          </w:tcPr>
          <w:p>
            <w:pPr>
              <w:snapToGrid w:val="0"/>
              <w:rPr>
                <w:rFonts w:ascii="宋体" w:hAnsi="宋体"/>
                <w:szCs w:val="21"/>
              </w:rPr>
            </w:pPr>
            <w:r>
              <w:rPr>
                <w:rFonts w:hint="eastAsia" w:ascii="宋体" w:hAnsi="宋体"/>
                <w:szCs w:val="21"/>
              </w:rPr>
              <w:t>根据旅客乘机业务熟悉度的情况，由评委横向比较打分，共6分。</w:t>
            </w:r>
          </w:p>
        </w:tc>
        <w:tc>
          <w:tcPr>
            <w:tcW w:w="1276" w:type="dxa"/>
            <w:vAlign w:val="center"/>
          </w:tcPr>
          <w:p>
            <w:pPr>
              <w:snapToGrid w:val="0"/>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restart"/>
            <w:vAlign w:val="center"/>
          </w:tcPr>
          <w:p>
            <w:pPr>
              <w:jc w:val="center"/>
              <w:rPr>
                <w:rFonts w:ascii="宋体" w:hAnsi="宋体"/>
                <w:szCs w:val="21"/>
              </w:rPr>
            </w:pPr>
            <w:r>
              <w:rPr>
                <w:rFonts w:hint="eastAsia" w:ascii="宋体" w:hAnsi="宋体"/>
                <w:szCs w:val="21"/>
              </w:rPr>
              <w:t>项目实施团队（8分）</w:t>
            </w:r>
          </w:p>
        </w:tc>
        <w:tc>
          <w:tcPr>
            <w:tcW w:w="1701" w:type="dxa"/>
            <w:vAlign w:val="center"/>
          </w:tcPr>
          <w:p>
            <w:pPr>
              <w:jc w:val="center"/>
              <w:rPr>
                <w:rFonts w:ascii="宋体" w:hAnsi="宋体"/>
                <w:snapToGrid w:val="0"/>
                <w:kern w:val="0"/>
                <w:szCs w:val="21"/>
              </w:rPr>
            </w:pPr>
            <w:r>
              <w:rPr>
                <w:rFonts w:hint="eastAsia" w:ascii="宋体" w:hAnsi="宋体"/>
                <w:szCs w:val="21"/>
              </w:rPr>
              <w:t>项目经理</w:t>
            </w:r>
          </w:p>
        </w:tc>
        <w:tc>
          <w:tcPr>
            <w:tcW w:w="5057" w:type="dxa"/>
            <w:vAlign w:val="center"/>
          </w:tcPr>
          <w:p>
            <w:pPr>
              <w:snapToGrid w:val="0"/>
              <w:rPr>
                <w:rFonts w:ascii="宋体" w:hAnsi="宋体"/>
                <w:szCs w:val="21"/>
              </w:rPr>
            </w:pPr>
            <w:r>
              <w:rPr>
                <w:rFonts w:hint="eastAsia" w:ascii="宋体" w:hAnsi="宋体"/>
                <w:szCs w:val="21"/>
              </w:rPr>
              <w:t>2个5年以上项目经理经历得满分，1个得2分其余不得分</w:t>
            </w:r>
          </w:p>
        </w:tc>
        <w:tc>
          <w:tcPr>
            <w:tcW w:w="1276"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606" w:type="dxa"/>
            <w:vMerge w:val="continue"/>
            <w:vAlign w:val="center"/>
          </w:tcPr>
          <w:p>
            <w:pPr>
              <w:snapToGrid w:val="0"/>
              <w:jc w:val="center"/>
              <w:rPr>
                <w:rFonts w:ascii="宋体" w:hAnsi="宋体"/>
                <w:szCs w:val="21"/>
              </w:rPr>
            </w:pPr>
          </w:p>
        </w:tc>
        <w:tc>
          <w:tcPr>
            <w:tcW w:w="1701" w:type="dxa"/>
            <w:vAlign w:val="center"/>
          </w:tcPr>
          <w:p>
            <w:pPr>
              <w:jc w:val="center"/>
              <w:rPr>
                <w:rFonts w:ascii="宋体" w:hAnsi="宋体"/>
                <w:szCs w:val="21"/>
              </w:rPr>
            </w:pPr>
            <w:r>
              <w:rPr>
                <w:rFonts w:hint="eastAsia" w:ascii="宋体" w:hAnsi="宋体"/>
                <w:szCs w:val="21"/>
              </w:rPr>
              <w:t>项目实施团队</w:t>
            </w:r>
          </w:p>
        </w:tc>
        <w:tc>
          <w:tcPr>
            <w:tcW w:w="5057" w:type="dxa"/>
            <w:vAlign w:val="center"/>
          </w:tcPr>
          <w:p>
            <w:pPr>
              <w:snapToGrid w:val="0"/>
              <w:rPr>
                <w:rFonts w:ascii="宋体" w:hAnsi="宋体"/>
                <w:szCs w:val="21"/>
              </w:rPr>
            </w:pPr>
            <w:r>
              <w:rPr>
                <w:rFonts w:hint="eastAsia" w:ascii="宋体" w:hAnsi="宋体"/>
                <w:szCs w:val="21"/>
              </w:rPr>
              <w:t>团队成员具有2个5年以上项目实施经验；项目组成员在5人以上；每缺1项扣1分，扣完为止</w:t>
            </w:r>
          </w:p>
        </w:tc>
        <w:tc>
          <w:tcPr>
            <w:tcW w:w="1276" w:type="dxa"/>
            <w:vAlign w:val="center"/>
          </w:tcPr>
          <w:p>
            <w:pPr>
              <w:jc w:val="center"/>
              <w:rPr>
                <w:rFonts w:ascii="宋体" w:hAnsi="宋体"/>
                <w:szCs w:val="21"/>
              </w:rPr>
            </w:pPr>
            <w:r>
              <w:rPr>
                <w:rFonts w:hint="eastAsia" w:ascii="宋体" w:hAnsi="宋体"/>
                <w:szCs w:val="21"/>
              </w:rPr>
              <w:t>2</w:t>
            </w:r>
          </w:p>
        </w:tc>
      </w:tr>
    </w:tbl>
    <w:p>
      <w:pPr>
        <w:pStyle w:val="19"/>
        <w:adjustRightInd w:val="0"/>
        <w:snapToGrid w:val="0"/>
        <w:spacing w:line="360" w:lineRule="exact"/>
        <w:ind w:firstLine="440" w:firstLineChars="200"/>
        <w:rPr>
          <w:rFonts w:hAnsi="宋体" w:cs="宋体"/>
          <w:sz w:val="22"/>
          <w:szCs w:val="22"/>
        </w:rPr>
      </w:pPr>
    </w:p>
    <w:p>
      <w:pPr>
        <w:pStyle w:val="1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rPr>
      </w:pPr>
      <w:r>
        <w:rPr>
          <w:rFonts w:hint="eastAsia" w:hAnsi="宋体" w:cs="Calibri"/>
          <w:sz w:val="22"/>
          <w:szCs w:val="22"/>
        </w:rPr>
        <w:t>4.4招标人对评标、定标结果不负责解释。</w:t>
      </w:r>
      <w:bookmarkEnd w:id="66"/>
    </w:p>
    <w:p>
      <w:pPr>
        <w:pStyle w:val="2"/>
        <w:spacing w:before="0" w:after="0"/>
        <w:jc w:val="center"/>
        <w:rPr>
          <w:rFonts w:ascii="Cambria" w:hAnsi="Cambria" w:eastAsia="黑体"/>
          <w:b w:val="0"/>
          <w:bCs w:val="0"/>
          <w:kern w:val="0"/>
          <w:sz w:val="32"/>
          <w:szCs w:val="32"/>
        </w:rPr>
      </w:pPr>
      <w:r>
        <w:br w:type="page"/>
      </w:r>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章投标文件格式</w:t>
      </w:r>
      <w:bookmarkEnd w:id="67"/>
    </w:p>
    <w:p>
      <w:pPr>
        <w:spacing w:line="440" w:lineRule="exact"/>
        <w:rPr>
          <w:rFonts w:cs="Calibri"/>
          <w:sz w:val="24"/>
        </w:rPr>
      </w:pPr>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2</w:t>
      </w:r>
      <w:r>
        <w:rPr>
          <w:rFonts w:hint="eastAsia" w:ascii="宋体" w:hAnsi="宋体" w:cs="Arial"/>
          <w:kern w:val="0"/>
          <w:sz w:val="22"/>
        </w:rPr>
        <w:t>）具有独立法人资格，持有有效营业执照，注册资金不少于人民币</w:t>
      </w:r>
      <w:r>
        <w:rPr>
          <w:rFonts w:hint="eastAsia" w:ascii="宋体" w:hAnsi="宋体" w:cs="Arial"/>
          <w:kern w:val="0"/>
          <w:sz w:val="22"/>
          <w:lang w:val="en-US" w:eastAsia="zh-CN"/>
        </w:rPr>
        <w:t>300</w:t>
      </w:r>
      <w:r>
        <w:rPr>
          <w:rFonts w:hint="eastAsia" w:ascii="宋体" w:hAnsi="宋体" w:cs="Arial"/>
          <w:kern w:val="0"/>
          <w:sz w:val="22"/>
        </w:rPr>
        <w:t>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3</w:t>
      </w:r>
      <w:r>
        <w:rPr>
          <w:rFonts w:hint="eastAsia" w:ascii="宋体" w:hAnsi="宋体" w:cs="Arial"/>
          <w:kern w:val="0"/>
          <w:sz w:val="22"/>
        </w:rPr>
        <w:t xml:space="preserve">）依据最高人民法院等九部门《关于在招标投标活动中对失信被执行人实施联合惩戒的通知》，投标人不得为失信被执行人。（通过信用中国网站www.creditchina.gov.cn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）近年（201</w:t>
      </w:r>
      <w:r>
        <w:rPr>
          <w:rFonts w:hint="eastAsia" w:ascii="宋体" w:hAnsi="宋体" w:cs="Arial"/>
          <w:kern w:val="0"/>
          <w:sz w:val="22"/>
          <w:lang w:val="en-US" w:eastAsia="zh-CN"/>
        </w:rPr>
        <w:t>6</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公示期间发现中标候选人在投标截止日前存在行贿犯罪记录的，招标人将依法取消其中标资格，并有权没收投标保证金。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公示期间发现中标候选人不具有一般纳税人资格，招标人将依法取消其中标资格，并有权没收投标保证金。</w:t>
      </w:r>
    </w:p>
    <w:p>
      <w:pPr>
        <w:widowControl/>
        <w:adjustRightInd w:val="0"/>
        <w:snapToGrid w:val="0"/>
        <w:spacing w:line="340" w:lineRule="exact"/>
        <w:ind w:firstLine="440" w:firstLineChars="200"/>
        <w:rPr>
          <w:rFonts w:ascii="宋体" w:hAnsi="宋体" w:cs="Calibri"/>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）近年（201</w:t>
      </w:r>
      <w:r>
        <w:rPr>
          <w:rFonts w:hint="eastAsia" w:ascii="宋体" w:hAnsi="宋体" w:cs="Arial"/>
          <w:kern w:val="0"/>
          <w:sz w:val="22"/>
          <w:lang w:val="en-US" w:eastAsia="zh-CN"/>
        </w:rPr>
        <w:t>6</w:t>
      </w:r>
      <w:r>
        <w:rPr>
          <w:rFonts w:hint="eastAsia" w:ascii="宋体" w:hAnsi="宋体" w:cs="Arial"/>
          <w:kern w:val="0"/>
          <w:sz w:val="22"/>
        </w:rPr>
        <w:t>年1月1日起至投标截止日）至少具有一个50万以上软件开发、实施案例业绩，需提供中标通知书或合同复印件并加盖投标人公章作为证明材料，原件备查</w:t>
      </w:r>
      <w:r>
        <w:rPr>
          <w:rFonts w:hint="eastAsia" w:ascii="宋体" w:hAnsi="宋体" w:cs="Calibri"/>
          <w:sz w:val="22"/>
        </w:rPr>
        <w:t>。</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spacing w:line="440" w:lineRule="exact"/>
        <w:ind w:firstLine="440" w:firstLineChars="200"/>
        <w:rPr>
          <w:rFonts w:ascii="宋体" w:hAnsi="宋体" w:cs="宋体"/>
          <w:sz w:val="22"/>
        </w:rPr>
      </w:pPr>
      <w:r>
        <w:rPr>
          <w:rFonts w:hint="eastAsia" w:ascii="宋体" w:hAnsi="宋体" w:cs="宋体"/>
          <w:sz w:val="22"/>
        </w:rPr>
        <w:t>八、服务大纲（含售后服务承诺函、产品安装使用培训、质保期限等）；</w:t>
      </w:r>
    </w:p>
    <w:p>
      <w:pPr>
        <w:spacing w:line="440" w:lineRule="exact"/>
        <w:ind w:firstLine="440" w:firstLineChars="200"/>
        <w:rPr>
          <w:rFonts w:eastAsia="黑体" w:cs="Calibri"/>
          <w:sz w:val="32"/>
          <w:szCs w:val="32"/>
        </w:rPr>
      </w:pPr>
      <w:r>
        <w:rPr>
          <w:rFonts w:hint="eastAsia" w:ascii="宋体" w:hAnsi="宋体" w:cs="宋体"/>
          <w:sz w:val="22"/>
        </w:rPr>
        <w:t>九、廉洁自律承诺书；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68" w:name="_Toc171421958"/>
      <w:r>
        <w:rPr>
          <w:rFonts w:cs="Calibri"/>
        </w:rPr>
        <w:t>封面</w:t>
      </w:r>
      <w:bookmarkEnd w:id="6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一、投标函</w:t>
      </w:r>
    </w:p>
    <w:p>
      <w:pPr>
        <w:spacing w:line="440" w:lineRule="exact"/>
        <w:jc w:val="center"/>
        <w:rPr>
          <w:rFonts w:cs="Calibri"/>
          <w:b/>
          <w:bCs/>
          <w:sz w:val="28"/>
          <w:szCs w:val="28"/>
        </w:rPr>
      </w:pP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 xml:space="preserve">2. </w:t>
      </w:r>
      <w:r>
        <w:rPr>
          <w:rFonts w:hint="eastAsia" w:ascii="宋体" w:hAnsi="宋体" w:cs="宋体"/>
          <w:spacing w:val="1"/>
          <w:kern w:val="0"/>
          <w:sz w:val="22"/>
        </w:rPr>
        <w:t xml:space="preserve"> </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的</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包</w:t>
      </w:r>
      <w:r>
        <w:rPr>
          <w:rFonts w:hint="eastAsia" w:ascii="宋体" w:hAnsi="宋体" w:cs="宋体"/>
          <w:spacing w:val="-2"/>
          <w:kern w:val="0"/>
          <w:sz w:val="22"/>
        </w:rPr>
        <w:t>括下</w:t>
      </w:r>
      <w:r>
        <w:rPr>
          <w:rFonts w:hint="eastAsia" w:ascii="宋体" w:hAnsi="宋体" w:cs="宋体"/>
          <w:kern w:val="0"/>
          <w:sz w:val="22"/>
        </w:rPr>
        <w:t>列内</w:t>
      </w:r>
      <w:r>
        <w:rPr>
          <w:rFonts w:hint="eastAsia" w:ascii="宋体" w:hAnsi="宋体" w:cs="宋体"/>
          <w:spacing w:val="-2"/>
          <w:kern w:val="0"/>
          <w:sz w:val="22"/>
        </w:rPr>
        <w:t>容</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函；</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法</w:t>
      </w:r>
      <w:r>
        <w:rPr>
          <w:rFonts w:hint="eastAsia" w:ascii="宋体" w:hAnsi="宋体" w:cs="宋体"/>
          <w:spacing w:val="-2"/>
          <w:kern w:val="0"/>
          <w:sz w:val="22"/>
        </w:rPr>
        <w:t>定</w:t>
      </w:r>
      <w:r>
        <w:rPr>
          <w:rFonts w:hint="eastAsia" w:ascii="宋体" w:hAnsi="宋体" w:cs="宋体"/>
          <w:kern w:val="0"/>
          <w:sz w:val="22"/>
        </w:rPr>
        <w:t>代</w:t>
      </w:r>
      <w:r>
        <w:rPr>
          <w:rFonts w:hint="eastAsia" w:ascii="宋体" w:hAnsi="宋体" w:cs="宋体"/>
          <w:spacing w:val="-2"/>
          <w:kern w:val="0"/>
          <w:sz w:val="22"/>
        </w:rPr>
        <w:t>表</w:t>
      </w:r>
      <w:r>
        <w:rPr>
          <w:rFonts w:hint="eastAsia" w:ascii="宋体" w:hAnsi="宋体" w:cs="宋体"/>
          <w:kern w:val="0"/>
          <w:sz w:val="22"/>
        </w:rPr>
        <w:t>人身</w:t>
      </w:r>
      <w:r>
        <w:rPr>
          <w:rFonts w:hint="eastAsia" w:ascii="宋体" w:hAnsi="宋体" w:cs="宋体"/>
          <w:spacing w:val="-2"/>
          <w:kern w:val="0"/>
          <w:sz w:val="22"/>
        </w:rPr>
        <w:t>份</w:t>
      </w:r>
      <w:r>
        <w:rPr>
          <w:rFonts w:hint="eastAsia" w:ascii="宋体" w:hAnsi="宋体" w:cs="宋体"/>
          <w:kern w:val="0"/>
          <w:sz w:val="22"/>
        </w:rPr>
        <w:t>证</w:t>
      </w:r>
      <w:r>
        <w:rPr>
          <w:rFonts w:hint="eastAsia" w:ascii="宋体" w:hAnsi="宋体" w:cs="宋体"/>
          <w:spacing w:val="-2"/>
          <w:kern w:val="0"/>
          <w:sz w:val="22"/>
        </w:rPr>
        <w:t>明</w:t>
      </w:r>
      <w:r>
        <w:rPr>
          <w:rFonts w:hint="eastAsia" w:ascii="宋体" w:hAnsi="宋体" w:cs="宋体"/>
          <w:kern w:val="0"/>
          <w:sz w:val="22"/>
        </w:rPr>
        <w:t>或</w:t>
      </w:r>
      <w:r>
        <w:rPr>
          <w:rFonts w:hint="eastAsia" w:ascii="宋体" w:hAnsi="宋体" w:cs="宋体"/>
          <w:spacing w:val="-2"/>
          <w:kern w:val="0"/>
          <w:sz w:val="22"/>
        </w:rPr>
        <w:t>授</w:t>
      </w:r>
      <w:r>
        <w:rPr>
          <w:rFonts w:hint="eastAsia" w:ascii="宋体" w:hAnsi="宋体" w:cs="宋体"/>
          <w:kern w:val="0"/>
          <w:sz w:val="22"/>
        </w:rPr>
        <w:t>权</w:t>
      </w:r>
      <w:r>
        <w:rPr>
          <w:rFonts w:hint="eastAsia" w:ascii="宋体" w:hAnsi="宋体" w:cs="宋体"/>
          <w:spacing w:val="-2"/>
          <w:kern w:val="0"/>
          <w:sz w:val="22"/>
        </w:rPr>
        <w:t>委</w:t>
      </w:r>
      <w:r>
        <w:rPr>
          <w:rFonts w:hint="eastAsia" w:ascii="宋体" w:hAnsi="宋体" w:cs="宋体"/>
          <w:kern w:val="0"/>
          <w:sz w:val="22"/>
        </w:rPr>
        <w:t>托书；</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联</w:t>
      </w:r>
      <w:r>
        <w:rPr>
          <w:rFonts w:hint="eastAsia" w:ascii="宋体" w:hAnsi="宋体" w:cs="宋体"/>
          <w:spacing w:val="-2"/>
          <w:kern w:val="0"/>
          <w:sz w:val="22"/>
        </w:rPr>
        <w:t>合</w:t>
      </w:r>
      <w:r>
        <w:rPr>
          <w:rFonts w:hint="eastAsia" w:ascii="宋体" w:hAnsi="宋体" w:cs="宋体"/>
          <w:kern w:val="0"/>
          <w:sz w:val="22"/>
        </w:rPr>
        <w:t>体</w:t>
      </w:r>
      <w:r>
        <w:rPr>
          <w:rFonts w:hint="eastAsia" w:ascii="宋体" w:hAnsi="宋体" w:cs="宋体"/>
          <w:spacing w:val="-2"/>
          <w:kern w:val="0"/>
          <w:sz w:val="22"/>
        </w:rPr>
        <w:t>协</w:t>
      </w:r>
      <w:r>
        <w:rPr>
          <w:rFonts w:hint="eastAsia" w:ascii="宋体" w:hAnsi="宋体" w:cs="宋体"/>
          <w:kern w:val="0"/>
          <w:sz w:val="22"/>
        </w:rPr>
        <w:t>议</w:t>
      </w:r>
      <w:r>
        <w:rPr>
          <w:rFonts w:hint="eastAsia" w:ascii="宋体" w:hAnsi="宋体" w:cs="宋体"/>
          <w:spacing w:val="-2"/>
          <w:kern w:val="0"/>
          <w:sz w:val="22"/>
        </w:rPr>
        <w:t>书</w:t>
      </w:r>
      <w:r>
        <w:rPr>
          <w:rFonts w:hint="eastAsia" w:ascii="宋体" w:hAnsi="宋体" w:cs="宋体"/>
          <w:kern w:val="0"/>
          <w:sz w:val="22"/>
        </w:rPr>
        <w:t>(</w:t>
      </w:r>
      <w:r>
        <w:rPr>
          <w:rFonts w:hint="eastAsia" w:ascii="宋体" w:hAnsi="宋体" w:cs="宋体"/>
          <w:spacing w:val="-2"/>
          <w:kern w:val="0"/>
          <w:sz w:val="22"/>
        </w:rPr>
        <w:t>如有</w:t>
      </w:r>
      <w:r>
        <w:rPr>
          <w:rFonts w:hint="eastAsia" w:ascii="宋体" w:hAnsi="宋体" w:cs="宋体"/>
          <w:spacing w:val="-106"/>
          <w:kern w:val="0"/>
          <w:sz w:val="22"/>
        </w:rPr>
        <w:t>)</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r>
        <w:rPr>
          <w:rFonts w:hint="eastAsia" w:ascii="宋体" w:hAnsi="宋体" w:cs="宋体"/>
          <w:spacing w:val="-2"/>
          <w:kern w:val="0"/>
          <w:sz w:val="22"/>
        </w:rPr>
        <w:t>(</w:t>
      </w:r>
      <w:r>
        <w:rPr>
          <w:rFonts w:hint="eastAsia" w:ascii="宋体" w:hAnsi="宋体" w:cs="宋体"/>
          <w:kern w:val="0"/>
          <w:sz w:val="22"/>
        </w:rPr>
        <w:t>如有</w:t>
      </w:r>
      <w:r>
        <w:rPr>
          <w:rFonts w:hint="eastAsia" w:ascii="宋体" w:hAnsi="宋体" w:cs="宋体"/>
          <w:spacing w:val="-108"/>
          <w:kern w:val="0"/>
          <w:sz w:val="22"/>
        </w:rPr>
        <w:t>)</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(5</w:t>
      </w:r>
      <w:r>
        <w:rPr>
          <w:rFonts w:hint="eastAsia" w:ascii="宋体" w:hAnsi="宋体" w:cs="宋体"/>
          <w:spacing w:val="-2"/>
          <w:kern w:val="0"/>
          <w:sz w:val="22"/>
        </w:rPr>
        <w:t>)</w:t>
      </w:r>
      <w:r>
        <w:rPr>
          <w:rFonts w:hint="eastAsia" w:ascii="宋体" w:hAnsi="宋体" w:cs="宋体"/>
          <w:kern w:val="0"/>
          <w:sz w:val="22"/>
        </w:rPr>
        <w:t>商务和技术偏离表；</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(6</w:t>
      </w:r>
      <w:r>
        <w:rPr>
          <w:rFonts w:hint="eastAsia" w:ascii="宋体" w:hAnsi="宋体" w:cs="宋体"/>
          <w:spacing w:val="-2"/>
          <w:kern w:val="0"/>
          <w:sz w:val="22"/>
        </w:rPr>
        <w:t>)</w:t>
      </w:r>
      <w:r>
        <w:rPr>
          <w:rFonts w:hint="eastAsia" w:ascii="宋体" w:hAnsi="宋体" w:cs="宋体"/>
          <w:kern w:val="0"/>
          <w:sz w:val="22"/>
        </w:rPr>
        <w:t>投标报</w:t>
      </w:r>
      <w:r>
        <w:rPr>
          <w:rFonts w:hint="eastAsia" w:ascii="宋体" w:hAnsi="宋体" w:cs="宋体"/>
          <w:spacing w:val="-2"/>
          <w:kern w:val="0"/>
          <w:sz w:val="22"/>
        </w:rPr>
        <w:t>价</w:t>
      </w:r>
      <w:r>
        <w:rPr>
          <w:rFonts w:hint="eastAsia" w:ascii="宋体" w:hAnsi="宋体" w:cs="宋体"/>
          <w:kern w:val="0"/>
          <w:sz w:val="22"/>
        </w:rPr>
        <w:t>表；</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(7</w:t>
      </w:r>
      <w:r>
        <w:rPr>
          <w:rFonts w:hint="eastAsia" w:ascii="宋体" w:hAnsi="宋体" w:cs="宋体"/>
          <w:spacing w:val="-2"/>
          <w:kern w:val="0"/>
          <w:sz w:val="22"/>
        </w:rPr>
        <w:t>)</w:t>
      </w:r>
      <w:r>
        <w:rPr>
          <w:rFonts w:hint="eastAsia" w:ascii="宋体" w:hAnsi="宋体" w:cs="宋体"/>
          <w:kern w:val="0"/>
          <w:sz w:val="22"/>
        </w:rPr>
        <w:t>资</w:t>
      </w:r>
      <w:r>
        <w:rPr>
          <w:rFonts w:hint="eastAsia" w:ascii="宋体" w:hAnsi="宋体" w:cs="宋体"/>
          <w:spacing w:val="-2"/>
          <w:kern w:val="0"/>
          <w:sz w:val="22"/>
        </w:rPr>
        <w:t>格</w:t>
      </w:r>
      <w:r>
        <w:rPr>
          <w:rFonts w:hint="eastAsia" w:ascii="宋体" w:hAnsi="宋体" w:cs="宋体"/>
          <w:kern w:val="0"/>
          <w:sz w:val="22"/>
        </w:rPr>
        <w:t>审</w:t>
      </w:r>
      <w:r>
        <w:rPr>
          <w:rFonts w:hint="eastAsia" w:ascii="宋体" w:hAnsi="宋体" w:cs="宋体"/>
          <w:spacing w:val="-2"/>
          <w:kern w:val="0"/>
          <w:sz w:val="22"/>
        </w:rPr>
        <w:t>查</w:t>
      </w:r>
      <w:r>
        <w:rPr>
          <w:rFonts w:hint="eastAsia" w:ascii="宋体" w:hAnsi="宋体" w:cs="宋体"/>
          <w:kern w:val="0"/>
          <w:sz w:val="22"/>
        </w:rPr>
        <w:t>资</w:t>
      </w:r>
      <w:r>
        <w:rPr>
          <w:rFonts w:hint="eastAsia" w:ascii="宋体" w:hAnsi="宋体" w:cs="宋体"/>
          <w:spacing w:val="-3"/>
          <w:kern w:val="0"/>
          <w:sz w:val="22"/>
        </w:rPr>
        <w:t>料</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(8</w:t>
      </w:r>
      <w:r>
        <w:rPr>
          <w:rFonts w:hint="eastAsia" w:ascii="宋体" w:hAnsi="宋体" w:cs="宋体"/>
          <w:spacing w:val="-2"/>
          <w:kern w:val="0"/>
          <w:sz w:val="22"/>
        </w:rPr>
        <w:t>)</w:t>
      </w:r>
      <w:r>
        <w:rPr>
          <w:rFonts w:hint="eastAsia" w:ascii="宋体" w:hAnsi="宋体" w:cs="宋体"/>
          <w:kern w:val="0"/>
          <w:sz w:val="22"/>
        </w:rPr>
        <w:t>技术方案；</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(9</w:t>
      </w:r>
      <w:r>
        <w:rPr>
          <w:rFonts w:hint="eastAsia" w:ascii="宋体" w:hAnsi="宋体" w:cs="宋体"/>
          <w:spacing w:val="-2"/>
          <w:kern w:val="0"/>
          <w:sz w:val="22"/>
        </w:rPr>
        <w:t>)</w:t>
      </w:r>
      <w:r>
        <w:rPr>
          <w:rFonts w:hint="eastAsia" w:ascii="宋体" w:hAnsi="宋体" w:cs="宋体"/>
          <w:kern w:val="0"/>
          <w:sz w:val="22"/>
        </w:rPr>
        <w:t>投标单位优势及其他；</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ascii="宋体" w:hAnsi="宋体" w:cs="宋体"/>
          <w:kern w:val="0"/>
          <w:sz w:val="22"/>
        </w:rPr>
        <w:t>0</w:t>
      </w:r>
      <w:r>
        <w:rPr>
          <w:rFonts w:hint="eastAsia" w:ascii="宋体" w:hAnsi="宋体" w:cs="宋体"/>
          <w:kern w:val="0"/>
          <w:sz w:val="22"/>
        </w:rPr>
        <w:t>)投标人须知前附表规定的其他资料；</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上</w:t>
      </w:r>
      <w:r>
        <w:rPr>
          <w:rFonts w:hint="eastAsia" w:ascii="宋体" w:hAnsi="宋体" w:cs="宋体"/>
          <w:spacing w:val="-2"/>
          <w:kern w:val="0"/>
          <w:sz w:val="22"/>
        </w:rPr>
        <w:t>述</w:t>
      </w:r>
      <w:r>
        <w:rPr>
          <w:rFonts w:hint="eastAsia" w:ascii="宋体" w:hAnsi="宋体" w:cs="宋体"/>
          <w:kern w:val="0"/>
          <w:sz w:val="22"/>
        </w:rPr>
        <w:t>组</w:t>
      </w:r>
      <w:r>
        <w:rPr>
          <w:rFonts w:hint="eastAsia" w:ascii="宋体" w:hAnsi="宋体" w:cs="宋体"/>
          <w:spacing w:val="-2"/>
          <w:kern w:val="0"/>
          <w:sz w:val="22"/>
        </w:rPr>
        <w:t>成</w:t>
      </w:r>
      <w:r>
        <w:rPr>
          <w:rFonts w:hint="eastAsia" w:ascii="宋体" w:hAnsi="宋体" w:cs="宋体"/>
          <w:kern w:val="0"/>
          <w:sz w:val="22"/>
        </w:rPr>
        <w:t>部</w:t>
      </w:r>
      <w:r>
        <w:rPr>
          <w:rFonts w:hint="eastAsia" w:ascii="宋体" w:hAnsi="宋体" w:cs="宋体"/>
          <w:spacing w:val="-2"/>
          <w:kern w:val="0"/>
          <w:sz w:val="22"/>
        </w:rPr>
        <w:t>分</w:t>
      </w:r>
      <w:r>
        <w:rPr>
          <w:rFonts w:hint="eastAsia" w:ascii="宋体" w:hAnsi="宋体" w:cs="宋体"/>
          <w:kern w:val="0"/>
          <w:sz w:val="22"/>
        </w:rPr>
        <w:t>如存</w:t>
      </w:r>
      <w:r>
        <w:rPr>
          <w:rFonts w:hint="eastAsia" w:ascii="宋体" w:hAnsi="宋体" w:cs="宋体"/>
          <w:spacing w:val="-2"/>
          <w:kern w:val="0"/>
          <w:sz w:val="22"/>
        </w:rPr>
        <w:t>在</w:t>
      </w:r>
      <w:r>
        <w:rPr>
          <w:rFonts w:hint="eastAsia" w:ascii="宋体" w:hAnsi="宋体" w:cs="宋体"/>
          <w:kern w:val="0"/>
          <w:sz w:val="22"/>
        </w:rPr>
        <w:t>内</w:t>
      </w:r>
      <w:r>
        <w:rPr>
          <w:rFonts w:hint="eastAsia" w:ascii="宋体" w:hAnsi="宋体" w:cs="宋体"/>
          <w:spacing w:val="-2"/>
          <w:kern w:val="0"/>
          <w:sz w:val="22"/>
        </w:rPr>
        <w:t>容</w:t>
      </w:r>
      <w:r>
        <w:rPr>
          <w:rFonts w:hint="eastAsia" w:ascii="宋体" w:hAnsi="宋体" w:cs="宋体"/>
          <w:kern w:val="0"/>
          <w:sz w:val="22"/>
        </w:rPr>
        <w:t>不</w:t>
      </w:r>
      <w:r>
        <w:rPr>
          <w:rFonts w:hint="eastAsia" w:ascii="宋体" w:hAnsi="宋体" w:cs="宋体"/>
          <w:spacing w:val="-2"/>
          <w:kern w:val="0"/>
          <w:sz w:val="22"/>
        </w:rPr>
        <w:t>一</w:t>
      </w:r>
      <w:r>
        <w:rPr>
          <w:rFonts w:hint="eastAsia" w:ascii="宋体" w:hAnsi="宋体" w:cs="宋体"/>
          <w:kern w:val="0"/>
          <w:sz w:val="22"/>
        </w:rPr>
        <w:t>致</w:t>
      </w:r>
      <w:r>
        <w:rPr>
          <w:rFonts w:hint="eastAsia" w:ascii="宋体" w:hAnsi="宋体" w:cs="宋体"/>
          <w:spacing w:val="-2"/>
          <w:kern w:val="0"/>
          <w:sz w:val="22"/>
        </w:rPr>
        <w:t>的</w:t>
      </w:r>
      <w:r>
        <w:rPr>
          <w:rFonts w:hint="eastAsia" w:ascii="宋体" w:hAnsi="宋体" w:cs="宋体"/>
          <w:kern w:val="0"/>
          <w:sz w:val="22"/>
        </w:rPr>
        <w:t>，</w:t>
      </w:r>
      <w:r>
        <w:rPr>
          <w:rFonts w:hint="eastAsia" w:ascii="宋体" w:hAnsi="宋体" w:cs="宋体"/>
          <w:spacing w:val="-2"/>
          <w:kern w:val="0"/>
          <w:sz w:val="22"/>
        </w:rPr>
        <w:t>以</w:t>
      </w:r>
      <w:r>
        <w:rPr>
          <w:rFonts w:hint="eastAsia" w:ascii="宋体" w:hAnsi="宋体" w:cs="宋体"/>
          <w:kern w:val="0"/>
          <w:sz w:val="22"/>
        </w:rPr>
        <w:t>投标</w:t>
      </w:r>
      <w:r>
        <w:rPr>
          <w:rFonts w:hint="eastAsia" w:ascii="宋体" w:hAnsi="宋体" w:cs="宋体"/>
          <w:spacing w:val="-2"/>
          <w:kern w:val="0"/>
          <w:sz w:val="22"/>
        </w:rPr>
        <w:t>函</w:t>
      </w:r>
      <w:r>
        <w:rPr>
          <w:rFonts w:hint="eastAsia" w:ascii="宋体" w:hAnsi="宋体" w:cs="宋体"/>
          <w:kern w:val="0"/>
          <w:sz w:val="22"/>
        </w:rPr>
        <w:t>为</w:t>
      </w:r>
      <w:r>
        <w:rPr>
          <w:rFonts w:hint="eastAsia" w:ascii="宋体" w:hAnsi="宋体" w:cs="宋体"/>
          <w:spacing w:val="-2"/>
          <w:kern w:val="0"/>
          <w:sz w:val="22"/>
        </w:rPr>
        <w:t>准</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right="157" w:firstLine="440" w:firstLineChars="200"/>
        <w:jc w:val="left"/>
        <w:rPr>
          <w:rFonts w:ascii="宋体" w:hAnsi="宋体" w:cs="宋体"/>
          <w:kern w:val="0"/>
          <w:sz w:val="22"/>
        </w:rPr>
      </w:pPr>
      <w:r>
        <w:rPr>
          <w:rFonts w:hint="eastAsia" w:ascii="宋体" w:hAnsi="宋体" w:cs="宋体"/>
          <w:kern w:val="0"/>
          <w:sz w:val="22"/>
        </w:rPr>
        <w:t>5.</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right="157"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right="157"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6．</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7</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8．</w:t>
      </w:r>
      <w:r>
        <w:rPr>
          <w:rFonts w:hint="eastAsia" w:ascii="宋体" w:hAnsi="宋体" w:cs="宋体"/>
          <w:spacing w:val="0"/>
          <w:kern w:val="0"/>
          <w:sz w:val="22"/>
          <w:u w:val="none"/>
        </w:rPr>
        <w:t>我</w:t>
      </w:r>
      <w:r>
        <w:rPr>
          <w:rFonts w:hint="eastAsia" w:ascii="宋体" w:hAnsi="宋体" w:cs="宋体"/>
          <w:kern w:val="0"/>
          <w:sz w:val="22"/>
        </w:rPr>
        <w:t>方</w:t>
      </w:r>
      <w:r>
        <w:rPr>
          <w:rFonts w:hint="eastAsia" w:ascii="宋体" w:hAnsi="宋体" w:cs="宋体"/>
          <w:spacing w:val="0"/>
          <w:kern w:val="0"/>
          <w:sz w:val="22"/>
          <w:u w:val="none"/>
        </w:rPr>
        <w:t>已详细审查招标文件包括澄清函和修改文件</w:t>
      </w:r>
      <w:r>
        <w:rPr>
          <w:rFonts w:ascii="宋体" w:hAnsi="宋体" w:cs="宋体"/>
          <w:spacing w:val="0"/>
          <w:kern w:val="0"/>
          <w:sz w:val="22"/>
          <w:u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9.</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p>
    <w:p>
      <w:pPr>
        <w:spacing w:afterLines="50" w:line="440" w:lineRule="exact"/>
        <w:rPr>
          <w:rFonts w:cs="Calibri"/>
          <w:color w:val="000000"/>
          <w:sz w:val="22"/>
          <w:u w:val="single"/>
        </w:rPr>
      </w:pPr>
      <w:r>
        <w:rPr>
          <w:rFonts w:cs="Calibri"/>
          <w:color w:val="000000"/>
          <w:sz w:val="22"/>
        </w:rPr>
        <w:t>单位性质：</w:t>
      </w:r>
    </w:p>
    <w:p>
      <w:pPr>
        <w:spacing w:afterLines="50" w:line="440" w:lineRule="exact"/>
        <w:rPr>
          <w:rFonts w:cs="Calibri"/>
          <w:color w:val="000000"/>
          <w:sz w:val="22"/>
          <w:u w:val="single"/>
        </w:rPr>
      </w:pPr>
      <w:r>
        <w:rPr>
          <w:rFonts w:cs="Calibri"/>
          <w:color w:val="000000"/>
          <w:sz w:val="22"/>
        </w:rPr>
        <w:t>地址：</w:t>
      </w:r>
    </w:p>
    <w:p>
      <w:pPr>
        <w:spacing w:afterLines="50" w:line="440" w:lineRule="exact"/>
        <w:rPr>
          <w:rFonts w:cs="Calibri"/>
          <w:color w:val="000000"/>
          <w:sz w:val="22"/>
          <w:u w:val="single"/>
        </w:rPr>
      </w:pPr>
      <w:r>
        <w:rPr>
          <w:rFonts w:cs="Calibri"/>
          <w:color w:val="000000"/>
          <w:sz w:val="22"/>
        </w:rPr>
        <w:t>成立时间：年月日</w:t>
      </w:r>
    </w:p>
    <w:p>
      <w:pPr>
        <w:spacing w:afterLines="50" w:line="440" w:lineRule="exact"/>
        <w:rPr>
          <w:rFonts w:cs="Calibri"/>
          <w:color w:val="000000"/>
          <w:sz w:val="22"/>
          <w:u w:val="single"/>
        </w:rPr>
      </w:pPr>
      <w:r>
        <w:rPr>
          <w:rFonts w:cs="Calibri"/>
          <w:color w:val="000000"/>
          <w:sz w:val="22"/>
        </w:rPr>
        <w:t>经营期限：</w:t>
      </w:r>
    </w:p>
    <w:p>
      <w:pPr>
        <w:spacing w:afterLines="50" w:line="440" w:lineRule="exact"/>
        <w:rPr>
          <w:rFonts w:cs="Calibri"/>
          <w:color w:val="000000"/>
          <w:sz w:val="22"/>
          <w:u w:val="single"/>
        </w:rPr>
      </w:pPr>
      <w:r>
        <w:rPr>
          <w:rFonts w:cs="Calibri"/>
          <w:color w:val="000000"/>
          <w:sz w:val="22"/>
        </w:rPr>
        <w:t>姓名：性别：年龄：职务：</w:t>
      </w:r>
    </w:p>
    <w:p>
      <w:pPr>
        <w:spacing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pStyle w:val="19"/>
        <w:spacing w:afterLines="50" w:line="360" w:lineRule="auto"/>
        <w:jc w:val="left"/>
        <w:rPr>
          <w:rFonts w:hAnsi="宋体" w:cs="宋体"/>
          <w:b/>
        </w:rPr>
      </w:pPr>
      <w:r>
        <w:rPr>
          <w:rFonts w:hAnsi="宋体" w:cs="宋体"/>
          <w:b/>
        </w:rPr>
        <w:br w:type="page"/>
      </w:r>
      <w:bookmarkStart w:id="69" w:name="_Toc144265958"/>
      <w:bookmarkStart w:id="70" w:name="_Toc133214309"/>
      <w:bookmarkStart w:id="71" w:name="_Toc137373398"/>
      <w:bookmarkStart w:id="72" w:name="_Toc133214102"/>
      <w:bookmarkStart w:id="73" w:name="_Toc133470542"/>
    </w:p>
    <w:p>
      <w:pPr>
        <w:pStyle w:val="19"/>
        <w:spacing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19"/>
        <w:spacing w:afterLines="50" w:line="360" w:lineRule="auto"/>
        <w:jc w:val="center"/>
        <w:rPr>
          <w:rFonts w:hAnsi="宋体" w:cs="宋体"/>
        </w:rPr>
      </w:pPr>
    </w:p>
    <w:p>
      <w:pPr>
        <w:pStyle w:val="19"/>
        <w:numPr>
          <w:ilvl w:val="1"/>
          <w:numId w:val="4"/>
        </w:numPr>
        <w:snapToGrid w:val="0"/>
        <w:spacing w:beforeLines="50" w:line="360" w:lineRule="exact"/>
        <w:rPr>
          <w:rFonts w:hAnsi="宋体" w:cs="宋体"/>
          <w:b/>
          <w:sz w:val="22"/>
          <w:szCs w:val="22"/>
        </w:rPr>
      </w:pPr>
      <w:r>
        <w:rPr>
          <w:rFonts w:hint="eastAsia" w:hAnsi="宋体" w:cs="宋体"/>
          <w:b/>
          <w:sz w:val="22"/>
          <w:szCs w:val="22"/>
        </w:rPr>
        <w:t>总则</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9"/>
        <w:numPr>
          <w:ilvl w:val="1"/>
          <w:numId w:val="5"/>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19"/>
        <w:numPr>
          <w:ilvl w:val="1"/>
          <w:numId w:val="4"/>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69"/>
    <w:bookmarkEnd w:id="70"/>
    <w:bookmarkEnd w:id="71"/>
    <w:bookmarkEnd w:id="72"/>
    <w:bookmarkEnd w:id="73"/>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cs="Calibri"/>
          <w:b/>
          <w:bCs/>
          <w:sz w:val="32"/>
        </w:rPr>
      </w:pPr>
    </w:p>
    <w:p>
      <w:pPr>
        <w:spacing w:line="440" w:lineRule="exact"/>
        <w:jc w:val="center"/>
        <w:rPr>
          <w:rFonts w:eastAsia="黑体" w:cs="Calibri"/>
          <w:sz w:val="32"/>
          <w:szCs w:val="32"/>
        </w:rPr>
        <w:sectPr>
          <w:footerReference r:id="rId6"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p>
    <w:tbl>
      <w:tblPr>
        <w:tblStyle w:val="46"/>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r>
              <w:rPr>
                <w:rFonts w:hint="eastAsia" w:cs="宋体" w:asciiTheme="minorEastAsia" w:hAnsiTheme="minorEastAsia"/>
                <w:b/>
                <w:kern w:val="0"/>
                <w:szCs w:val="21"/>
              </w:rPr>
              <w:t>触摸智能导航台</w:t>
            </w:r>
          </w:p>
          <w:p>
            <w:pPr>
              <w:spacing w:line="276" w:lineRule="auto"/>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Theme="minorEastAsia" w:hAnsiTheme="minorEastAsia"/>
                <w:kern w:val="0"/>
                <w:szCs w:val="21"/>
              </w:rPr>
              <w:t>详见项目技术要求</w:t>
            </w: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spacing w:line="276" w:lineRule="auto"/>
              <w:jc w:val="center"/>
              <w:rPr>
                <w:rFonts w:ascii="宋体" w:hAnsi="宋体"/>
                <w:b/>
                <w:bCs/>
                <w:kern w:val="0"/>
                <w:szCs w:val="21"/>
              </w:rPr>
            </w:pPr>
            <w:r>
              <w:rPr>
                <w:rFonts w:hint="eastAsia" w:asciiTheme="minorEastAsia" w:hAnsiTheme="minorEastAsia"/>
                <w:b/>
                <w:kern w:val="0"/>
                <w:szCs w:val="21"/>
              </w:rPr>
              <w:t>综合布线</w:t>
            </w: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Theme="minorEastAsia" w:hAnsiTheme="minorEastAsia"/>
                <w:kern w:val="0"/>
                <w:szCs w:val="21"/>
              </w:rPr>
              <w:t>详见项目技术要求</w:t>
            </w: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spacing w:line="276" w:lineRule="auto"/>
              <w:jc w:val="center"/>
              <w:rPr>
                <w:rFonts w:ascii="宋体" w:hAnsi="宋体"/>
                <w:b/>
                <w:bCs/>
                <w:kern w:val="0"/>
                <w:szCs w:val="21"/>
              </w:rPr>
            </w:pPr>
            <w:r>
              <w:rPr>
                <w:rFonts w:hint="eastAsia" w:asciiTheme="minorEastAsia" w:hAnsiTheme="minorEastAsia"/>
                <w:b/>
                <w:kern w:val="0"/>
                <w:szCs w:val="21"/>
              </w:rPr>
              <w:t>航班信息接口</w:t>
            </w:r>
          </w:p>
        </w:tc>
        <w:tc>
          <w:tcPr>
            <w:tcW w:w="1227" w:type="dxa"/>
            <w:tcBorders>
              <w:bottom w:val="single" w:color="auto" w:sz="4" w:space="0"/>
            </w:tcBorders>
            <w:shd w:val="clear" w:color="000000" w:fill="FFFFFF"/>
          </w:tcPr>
          <w:p>
            <w:pPr>
              <w:widowControl/>
              <w:jc w:val="center"/>
              <w:rPr>
                <w:rFonts w:asciiTheme="minorEastAsia" w:hAnsiTheme="minorEastAsia"/>
                <w:kern w:val="0"/>
                <w:szCs w:val="21"/>
              </w:rPr>
            </w:pPr>
            <w:r>
              <w:rPr>
                <w:rFonts w:hint="eastAsia" w:asciiTheme="minorEastAsia" w:hAnsiTheme="minorEastAsia"/>
                <w:kern w:val="0"/>
                <w:szCs w:val="21"/>
              </w:rPr>
              <w:t>详见项目技术要求</w:t>
            </w: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spacing w:line="276" w:lineRule="auto"/>
              <w:jc w:val="center"/>
              <w:rPr>
                <w:rFonts w:ascii="宋体" w:hAnsi="宋体"/>
                <w:b/>
                <w:bCs/>
                <w:kern w:val="0"/>
                <w:szCs w:val="21"/>
              </w:rPr>
            </w:pPr>
            <w:r>
              <w:rPr>
                <w:rFonts w:hint="eastAsia" w:asciiTheme="minorEastAsia" w:hAnsiTheme="minorEastAsia"/>
                <w:b/>
                <w:kern w:val="0"/>
                <w:szCs w:val="21"/>
              </w:rPr>
              <w:t>智能导航软件</w:t>
            </w:r>
          </w:p>
        </w:tc>
        <w:tc>
          <w:tcPr>
            <w:tcW w:w="1227" w:type="dxa"/>
            <w:tcBorders>
              <w:bottom w:val="single" w:color="auto" w:sz="4" w:space="0"/>
            </w:tcBorders>
            <w:shd w:val="clear" w:color="000000" w:fill="FFFFFF"/>
          </w:tcPr>
          <w:p>
            <w:pPr>
              <w:widowControl/>
              <w:jc w:val="center"/>
              <w:rPr>
                <w:rFonts w:asciiTheme="minorEastAsia" w:hAnsiTheme="minorEastAsia"/>
                <w:kern w:val="0"/>
                <w:szCs w:val="21"/>
              </w:rPr>
            </w:pPr>
            <w:r>
              <w:rPr>
                <w:rFonts w:hint="eastAsia" w:asciiTheme="minorEastAsia" w:hAnsiTheme="minorEastAsia"/>
                <w:kern w:val="0"/>
                <w:szCs w:val="21"/>
              </w:rPr>
              <w:t>详见项目技术要求</w:t>
            </w: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5</w:t>
            </w:r>
          </w:p>
        </w:tc>
        <w:tc>
          <w:tcPr>
            <w:tcW w:w="1665" w:type="dxa"/>
            <w:shd w:val="clear" w:color="000000" w:fill="FFFFFF"/>
            <w:vAlign w:val="center"/>
          </w:tcPr>
          <w:p>
            <w:pPr>
              <w:spacing w:line="276" w:lineRule="auto"/>
              <w:jc w:val="center"/>
              <w:rPr>
                <w:rFonts w:ascii="宋体" w:hAnsi="宋体"/>
                <w:b/>
                <w:bCs/>
                <w:kern w:val="0"/>
                <w:szCs w:val="21"/>
              </w:rPr>
            </w:pPr>
            <w:r>
              <w:rPr>
                <w:rFonts w:hint="eastAsia" w:cs="宋体" w:asciiTheme="minorEastAsia" w:hAnsiTheme="minorEastAsia"/>
                <w:b/>
                <w:kern w:val="0"/>
                <w:szCs w:val="21"/>
              </w:rPr>
              <w:t>服务器</w:t>
            </w:r>
          </w:p>
        </w:tc>
        <w:tc>
          <w:tcPr>
            <w:tcW w:w="1227" w:type="dxa"/>
            <w:tcBorders>
              <w:bottom w:val="single" w:color="auto" w:sz="4" w:space="0"/>
            </w:tcBorders>
            <w:shd w:val="clear" w:color="000000" w:fill="FFFFFF"/>
          </w:tcPr>
          <w:p>
            <w:pPr>
              <w:widowControl/>
              <w:jc w:val="center"/>
              <w:rPr>
                <w:rFonts w:asciiTheme="minorEastAsia" w:hAnsiTheme="minorEastAsia"/>
                <w:kern w:val="0"/>
                <w:szCs w:val="21"/>
              </w:rPr>
            </w:pPr>
            <w:r>
              <w:rPr>
                <w:rFonts w:hint="eastAsia" w:asciiTheme="minorEastAsia" w:hAnsiTheme="minorEastAsia"/>
                <w:kern w:val="0"/>
                <w:szCs w:val="21"/>
              </w:rPr>
              <w:t>详见项目技术要求</w:t>
            </w: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人民币大写 元，</w:t>
            </w:r>
            <w:r>
              <w:rPr>
                <w:rFonts w:ascii="宋体" w:hAnsi="宋体" w:cs="宋体"/>
                <w:b/>
                <w:bCs/>
                <w:kern w:val="0"/>
                <w:sz w:val="20"/>
              </w:rPr>
              <w:t>¥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售后服务费用（超出质保期年维保费，包含地图更新维护费用）</w:t>
            </w:r>
          </w:p>
        </w:tc>
        <w:tc>
          <w:tcPr>
            <w:tcW w:w="12310" w:type="dxa"/>
            <w:gridSpan w:val="10"/>
            <w:tcBorders>
              <w:bottom w:val="single" w:color="auto" w:sz="4" w:space="0"/>
            </w:tcBorders>
            <w:shd w:val="clear" w:color="000000" w:fill="FFFFFF"/>
            <w:vAlign w:val="center"/>
          </w:tcPr>
          <w:p>
            <w:pPr>
              <w:widowControl/>
              <w:jc w:val="right"/>
              <w:rPr>
                <w:rFonts w:ascii="宋体" w:hAnsi="宋体" w:cs="宋体"/>
                <w:b/>
                <w:bCs/>
                <w:kern w:val="0"/>
                <w:sz w:val="20"/>
              </w:rPr>
            </w:pPr>
            <w:r>
              <w:rPr>
                <w:rFonts w:hint="eastAsia" w:asciiTheme="minorEastAsia" w:hAnsiTheme="minorEastAsia"/>
                <w:kern w:val="0"/>
                <w:szCs w:val="21"/>
              </w:rPr>
              <w:t>（单位：万元/年）</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hint="eastAsia" w:ascii="宋体" w:hAnsi="宋体" w:cs="Calibri"/>
          <w:b/>
          <w:sz w:val="32"/>
          <w:szCs w:val="32"/>
        </w:rPr>
        <w:t>（一）投标人一般情况</w:t>
      </w:r>
    </w:p>
    <w:tbl>
      <w:tblPr>
        <w:tblStyle w:val="4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27"/>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（二）具有独立法人资格，持有有效营业执照，注册资金不少于人民币</w:t>
      </w:r>
      <w:r>
        <w:rPr>
          <w:rFonts w:hint="eastAsia" w:ascii="宋体" w:hAnsi="宋体" w:cs="Calibri"/>
          <w:b/>
          <w:sz w:val="32"/>
          <w:szCs w:val="32"/>
          <w:lang w:val="en-US" w:eastAsia="zh-CN"/>
        </w:rPr>
        <w:t>300</w:t>
      </w:r>
      <w:r>
        <w:rPr>
          <w:rFonts w:hint="eastAsia" w:ascii="宋体" w:hAnsi="宋体" w:cs="Calibri"/>
          <w:b/>
          <w:sz w:val="32"/>
          <w:szCs w:val="32"/>
        </w:rPr>
        <w:t>万元或等值外币(按投标截止日中国人民银行公布的汇率中间价换算)，需提供营业执照复印件并加盖投标人公章作为证明材料，原件备查。</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spacing w:line="360" w:lineRule="auto"/>
        <w:jc w:val="center"/>
        <w:rPr>
          <w:rFonts w:hint="eastAsia" w:cs="Calibri"/>
          <w:b/>
          <w:sz w:val="32"/>
          <w:szCs w:val="32"/>
        </w:rPr>
      </w:pPr>
      <w:r>
        <w:rPr>
          <w:rFonts w:ascii="宋体" w:hAnsi="宋体" w:cs="宋体"/>
          <w:b/>
          <w:sz w:val="32"/>
          <w:szCs w:val="32"/>
        </w:rPr>
        <w:br w:type="page"/>
      </w:r>
      <w:r>
        <w:rPr>
          <w:rFonts w:hint="eastAsia" w:cs="Calibri"/>
          <w:b/>
          <w:sz w:val="32"/>
          <w:szCs w:val="32"/>
        </w:rPr>
        <w:t>（四）近年（201</w:t>
      </w:r>
      <w:r>
        <w:rPr>
          <w:rFonts w:hint="eastAsia" w:cs="Calibri"/>
          <w:b/>
          <w:sz w:val="32"/>
          <w:szCs w:val="32"/>
          <w:lang w:val="en-US" w:eastAsia="zh-CN"/>
        </w:rPr>
        <w:t>6</w:t>
      </w:r>
      <w:r>
        <w:rPr>
          <w:rFonts w:hint="eastAsia" w:cs="Calibri"/>
          <w:b/>
          <w:sz w:val="32"/>
          <w:szCs w:val="3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公示期间发现中标候选人在投标截止日前存在行贿犯罪记录的，招标人将依法取消其中标资格，并有权没收投标保证金。 </w:t>
      </w:r>
    </w:p>
    <w:p>
      <w:pPr>
        <w:spacing w:line="360" w:lineRule="auto"/>
        <w:jc w:val="center"/>
        <w:rPr>
          <w:rFonts w:ascii="宋体" w:hAnsi="宋体" w:cs="宋体"/>
          <w:b/>
          <w:sz w:val="32"/>
          <w:szCs w:val="32"/>
        </w:rPr>
      </w:pPr>
    </w:p>
    <w:p>
      <w:pPr>
        <w:spacing w:line="360" w:lineRule="auto"/>
        <w:jc w:val="center"/>
        <w:rPr>
          <w:rFonts w:cs="Calibri"/>
          <w:b/>
          <w:sz w:val="32"/>
          <w:szCs w:val="32"/>
        </w:rPr>
      </w:pPr>
      <w:r>
        <w:rPr>
          <w:rFonts w:cs="Calibri"/>
          <w:b/>
          <w:sz w:val="36"/>
          <w:szCs w:val="36"/>
        </w:rPr>
        <w:br w:type="page"/>
      </w:r>
      <w:r>
        <w:rPr>
          <w:rFonts w:hint="eastAsia" w:cs="Calibri"/>
          <w:b/>
          <w:sz w:val="32"/>
          <w:szCs w:val="32"/>
        </w:rPr>
        <w:t>（五）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公示期间发现中标候选人不具有一般纳税人资格，招标人将依法取消其中标资格，并有权没收投标保证金。</w:t>
      </w:r>
    </w:p>
    <w:p>
      <w:pPr>
        <w:spacing w:line="360" w:lineRule="auto"/>
        <w:jc w:val="center"/>
        <w:rPr>
          <w:rFonts w:cs="Calibri"/>
          <w:b/>
          <w:sz w:val="32"/>
          <w:szCs w:val="32"/>
        </w:rPr>
      </w:pPr>
      <w:r>
        <w:rPr>
          <w:rFonts w:cs="Calibri"/>
          <w:b/>
          <w:sz w:val="36"/>
          <w:szCs w:val="36"/>
        </w:rPr>
        <w:br w:type="page"/>
      </w:r>
      <w:r>
        <w:rPr>
          <w:rFonts w:hint="eastAsia" w:cs="Calibri"/>
          <w:b/>
          <w:sz w:val="36"/>
          <w:szCs w:val="36"/>
        </w:rPr>
        <w:t>（六）</w:t>
      </w:r>
      <w:r>
        <w:rPr>
          <w:rFonts w:hint="eastAsia" w:cs="Calibri"/>
          <w:b/>
          <w:sz w:val="32"/>
          <w:szCs w:val="32"/>
        </w:rPr>
        <w:t>投标产品近三年的销售业绩一览表</w:t>
      </w:r>
    </w:p>
    <w:p>
      <w:pPr>
        <w:spacing w:line="360" w:lineRule="auto"/>
        <w:jc w:val="center"/>
        <w:rPr>
          <w:rFonts w:cs="Calibri"/>
          <w:b/>
          <w:sz w:val="36"/>
          <w:szCs w:val="36"/>
        </w:rPr>
      </w:pPr>
      <w:r>
        <w:rPr>
          <w:rFonts w:hint="eastAsia" w:cs="Calibri"/>
          <w:b/>
          <w:sz w:val="32"/>
          <w:szCs w:val="32"/>
        </w:rPr>
        <w:t>（根据投标人销售合同）。</w:t>
      </w: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六、技术规格偏离表</w:t>
      </w:r>
    </w:p>
    <w:p>
      <w:pPr>
        <w:rPr>
          <w:rFonts w:ascii="宋体" w:hAnsi="宋体"/>
          <w:szCs w:val="21"/>
        </w:rPr>
      </w:pPr>
    </w:p>
    <w:tbl>
      <w:tblPr>
        <w:tblStyle w:val="4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七、商务条款响应偏离表</w:t>
      </w:r>
    </w:p>
    <w:tbl>
      <w:tblPr>
        <w:tblStyle w:val="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r>
              <w:rPr>
                <w:rFonts w:hint="eastAsia" w:hAnsi="宋体"/>
                <w:kern w:val="2"/>
                <w:sz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r>
              <w:rPr>
                <w:rFonts w:hint="eastAsia" w:hAnsi="宋体"/>
                <w:kern w:val="2"/>
                <w:sz w:val="21"/>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r>
              <w:rPr>
                <w:rFonts w:hint="eastAsia" w:hAnsi="宋体"/>
                <w:kern w:val="2"/>
                <w:sz w:val="21"/>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r>
              <w:rPr>
                <w:rFonts w:hint="eastAsia" w:hAnsi="宋体"/>
                <w:kern w:val="2"/>
                <w:sz w:val="21"/>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jc w:val="center"/>
              <w:rPr>
                <w:rFonts w:hAnsi="宋体"/>
                <w:kern w:val="2"/>
                <w:sz w:val="21"/>
              </w:rPr>
            </w:pPr>
          </w:p>
        </w:tc>
      </w:tr>
    </w:tbl>
    <w:p>
      <w:pPr>
        <w:pStyle w:val="19"/>
        <w:adjustRightInd w:val="0"/>
        <w:snapToGrid w:val="0"/>
        <w:rPr>
          <w:rFonts w:hAnsi="宋体"/>
          <w:bCs/>
        </w:rPr>
      </w:pPr>
    </w:p>
    <w:p>
      <w:pPr>
        <w:pStyle w:val="19"/>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八、服务大纲</w:t>
      </w:r>
    </w:p>
    <w:p>
      <w:pPr>
        <w:spacing w:line="440" w:lineRule="exact"/>
        <w:jc w:val="center"/>
        <w:rPr>
          <w:rFonts w:eastAsia="黑体" w:cs="Calibri"/>
          <w:sz w:val="32"/>
          <w:szCs w:val="32"/>
        </w:rPr>
      </w:pPr>
      <w:r>
        <w:rPr>
          <w:rFonts w:hint="eastAsia" w:eastAsia="黑体" w:cs="Calibri"/>
          <w:sz w:val="32"/>
          <w:szCs w:val="32"/>
        </w:rPr>
        <w:t>（含售后服务承诺函、产品安装使用培训、质保期限等）</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九、廉洁自律承诺书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32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3F990C67"/>
    <w:multiLevelType w:val="multilevel"/>
    <w:tmpl w:val="3F990C67"/>
    <w:lvl w:ilvl="0" w:tentative="0">
      <w:start w:val="1"/>
      <w:numFmt w:val="bullet"/>
      <w:lvlText w:val=""/>
      <w:lvlJc w:val="left"/>
      <w:pPr>
        <w:ind w:left="3255"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5">
    <w:nsid w:val="68CA7BCF"/>
    <w:multiLevelType w:val="singleLevel"/>
    <w:tmpl w:val="68CA7BCF"/>
    <w:lvl w:ilvl="0" w:tentative="0">
      <w:start w:val="1"/>
      <w:numFmt w:val="decimal"/>
      <w:suff w:val="nothing"/>
      <w:lvlText w:val="（%1）"/>
      <w:lvlJc w:val="left"/>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11D66"/>
    <w:rsid w:val="657C7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7"/>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32"/>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8"/>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39"/>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toc 7"/>
    <w:basedOn w:val="1"/>
    <w:next w:val="1"/>
    <w:qFormat/>
    <w:uiPriority w:val="0"/>
    <w:pPr>
      <w:ind w:left="2520"/>
    </w:pPr>
    <w:rPr>
      <w:rFonts w:ascii="Times New Roman" w:hAnsi="Times New Roman"/>
      <w:szCs w:val="24"/>
    </w:rPr>
  </w:style>
  <w:style w:type="paragraph" w:styleId="9">
    <w:name w:val="Normal Indent"/>
    <w:basedOn w:val="1"/>
    <w:link w:val="94"/>
    <w:qFormat/>
    <w:uiPriority w:val="0"/>
    <w:pPr>
      <w:autoSpaceDE w:val="0"/>
      <w:autoSpaceDN w:val="0"/>
      <w:adjustRightInd w:val="0"/>
      <w:ind w:firstLine="420"/>
      <w:jc w:val="left"/>
    </w:pPr>
    <w:rPr>
      <w:rFonts w:ascii="宋体" w:hAnsi="Times New Roman"/>
      <w:kern w:val="0"/>
      <w:sz w:val="34"/>
      <w:szCs w:val="20"/>
    </w:rPr>
  </w:style>
  <w:style w:type="paragraph" w:styleId="10">
    <w:name w:val="caption"/>
    <w:basedOn w:val="1"/>
    <w:next w:val="1"/>
    <w:unhideWhenUsed/>
    <w:qFormat/>
    <w:uiPriority w:val="0"/>
    <w:rPr>
      <w:rFonts w:ascii="Arial" w:hAnsi="Arial" w:eastAsia="黑体" w:cs="Arial"/>
      <w:sz w:val="20"/>
      <w:szCs w:val="20"/>
    </w:rPr>
  </w:style>
  <w:style w:type="paragraph" w:styleId="11">
    <w:name w:val="Document Map"/>
    <w:basedOn w:val="1"/>
    <w:link w:val="141"/>
    <w:qFormat/>
    <w:uiPriority w:val="0"/>
    <w:pPr>
      <w:shd w:val="clear" w:color="auto" w:fill="000080"/>
    </w:pPr>
    <w:rPr>
      <w:rFonts w:ascii="Times New Roman" w:hAnsi="Times New Roman"/>
      <w:kern w:val="0"/>
      <w:sz w:val="20"/>
      <w:szCs w:val="24"/>
    </w:rPr>
  </w:style>
  <w:style w:type="paragraph" w:styleId="12">
    <w:name w:val="toa heading"/>
    <w:basedOn w:val="1"/>
    <w:next w:val="1"/>
    <w:qFormat/>
    <w:uiPriority w:val="0"/>
    <w:pPr>
      <w:spacing w:before="120"/>
    </w:pPr>
    <w:rPr>
      <w:rFonts w:ascii="Arial" w:hAnsi="Arial" w:cs="Arial"/>
      <w:sz w:val="24"/>
      <w:szCs w:val="24"/>
    </w:rPr>
  </w:style>
  <w:style w:type="paragraph" w:styleId="13">
    <w:name w:val="annotation text"/>
    <w:basedOn w:val="1"/>
    <w:link w:val="124"/>
    <w:qFormat/>
    <w:uiPriority w:val="0"/>
    <w:pPr>
      <w:jc w:val="left"/>
    </w:pPr>
  </w:style>
  <w:style w:type="paragraph" w:styleId="14">
    <w:name w:val="Body Text"/>
    <w:basedOn w:val="1"/>
    <w:link w:val="108"/>
    <w:qFormat/>
    <w:uiPriority w:val="0"/>
    <w:pPr>
      <w:spacing w:after="120"/>
    </w:pPr>
    <w:rPr>
      <w:kern w:val="0"/>
      <w:sz w:val="20"/>
      <w:szCs w:val="20"/>
    </w:rPr>
  </w:style>
  <w:style w:type="paragraph" w:styleId="15">
    <w:name w:val="Body Text Indent"/>
    <w:basedOn w:val="1"/>
    <w:link w:val="117"/>
    <w:qFormat/>
    <w:uiPriority w:val="0"/>
    <w:pPr>
      <w:spacing w:after="120"/>
      <w:ind w:left="420" w:leftChars="200"/>
    </w:pPr>
    <w:rPr>
      <w:kern w:val="0"/>
      <w:sz w:val="20"/>
      <w:szCs w:val="20"/>
    </w:rPr>
  </w:style>
  <w:style w:type="paragraph" w:styleId="16">
    <w:name w:val="List 2"/>
    <w:basedOn w:val="1"/>
    <w:qFormat/>
    <w:uiPriority w:val="0"/>
    <w:pPr>
      <w:ind w:left="100" w:leftChars="200" w:hanging="200" w:hangingChars="200"/>
    </w:pPr>
    <w:rPr>
      <w:rFonts w:ascii="Times New Roman" w:hAnsi="Times New Roman"/>
      <w:szCs w:val="24"/>
    </w:rPr>
  </w:style>
  <w:style w:type="paragraph" w:styleId="17">
    <w:name w:val="toc 5"/>
    <w:basedOn w:val="1"/>
    <w:next w:val="1"/>
    <w:qFormat/>
    <w:uiPriority w:val="0"/>
    <w:pPr>
      <w:ind w:left="1680"/>
    </w:pPr>
    <w:rPr>
      <w:rFonts w:ascii="Times New Roman" w:hAnsi="Times New Roman"/>
      <w:szCs w:val="24"/>
    </w:rPr>
  </w:style>
  <w:style w:type="paragraph" w:styleId="18">
    <w:name w:val="toc 3"/>
    <w:basedOn w:val="1"/>
    <w:next w:val="1"/>
    <w:qFormat/>
    <w:uiPriority w:val="0"/>
    <w:pPr>
      <w:spacing w:line="360" w:lineRule="auto"/>
      <w:ind w:left="400" w:leftChars="400"/>
    </w:pPr>
    <w:rPr>
      <w:rFonts w:ascii="Times New Roman" w:hAnsi="Times New Roman"/>
      <w:szCs w:val="24"/>
    </w:rPr>
  </w:style>
  <w:style w:type="paragraph" w:styleId="19">
    <w:name w:val="Plain Text"/>
    <w:basedOn w:val="1"/>
    <w:link w:val="147"/>
    <w:qFormat/>
    <w:uiPriority w:val="0"/>
    <w:rPr>
      <w:rFonts w:ascii="宋体" w:hAnsi="Courier New"/>
      <w:kern w:val="0"/>
      <w:sz w:val="20"/>
      <w:szCs w:val="21"/>
    </w:rPr>
  </w:style>
  <w:style w:type="paragraph" w:styleId="20">
    <w:name w:val="toc 8"/>
    <w:basedOn w:val="1"/>
    <w:next w:val="1"/>
    <w:qFormat/>
    <w:uiPriority w:val="0"/>
    <w:pPr>
      <w:ind w:left="2940"/>
    </w:pPr>
    <w:rPr>
      <w:rFonts w:ascii="Times New Roman" w:hAnsi="Times New Roman"/>
      <w:szCs w:val="24"/>
    </w:rPr>
  </w:style>
  <w:style w:type="paragraph" w:styleId="21">
    <w:name w:val="index 3"/>
    <w:basedOn w:val="1"/>
    <w:next w:val="1"/>
    <w:qFormat/>
    <w:uiPriority w:val="0"/>
    <w:pPr>
      <w:ind w:left="400" w:leftChars="400"/>
    </w:pPr>
    <w:rPr>
      <w:rFonts w:ascii="Times New Roman" w:hAnsi="Times New Roman"/>
      <w:szCs w:val="24"/>
    </w:rPr>
  </w:style>
  <w:style w:type="paragraph" w:styleId="22">
    <w:name w:val="Date"/>
    <w:basedOn w:val="1"/>
    <w:next w:val="1"/>
    <w:link w:val="128"/>
    <w:qFormat/>
    <w:uiPriority w:val="0"/>
    <w:pPr>
      <w:ind w:left="100" w:leftChars="2500"/>
    </w:pPr>
    <w:rPr>
      <w:rFonts w:ascii="Times New Roman" w:hAnsi="Times New Roman"/>
      <w:b/>
      <w:bCs/>
      <w:kern w:val="0"/>
      <w:sz w:val="36"/>
      <w:szCs w:val="24"/>
    </w:rPr>
  </w:style>
  <w:style w:type="paragraph" w:styleId="23">
    <w:name w:val="Body Text Indent 2"/>
    <w:basedOn w:val="1"/>
    <w:link w:val="103"/>
    <w:qFormat/>
    <w:uiPriority w:val="0"/>
    <w:pPr>
      <w:spacing w:after="120" w:line="480" w:lineRule="auto"/>
      <w:ind w:left="420" w:leftChars="200"/>
    </w:pPr>
    <w:rPr>
      <w:rFonts w:ascii="Times New Roman" w:hAnsi="Times New Roman"/>
      <w:kern w:val="0"/>
      <w:sz w:val="20"/>
      <w:szCs w:val="24"/>
    </w:rPr>
  </w:style>
  <w:style w:type="paragraph" w:styleId="24">
    <w:name w:val="Balloon Text"/>
    <w:basedOn w:val="1"/>
    <w:link w:val="126"/>
    <w:qFormat/>
    <w:uiPriority w:val="0"/>
    <w:rPr>
      <w:rFonts w:ascii="Times New Roman" w:hAnsi="Times New Roman"/>
      <w:kern w:val="0"/>
      <w:sz w:val="18"/>
      <w:szCs w:val="18"/>
    </w:rPr>
  </w:style>
  <w:style w:type="paragraph" w:styleId="25">
    <w:name w:val="footer"/>
    <w:basedOn w:val="1"/>
    <w:link w:val="138"/>
    <w:qFormat/>
    <w:uiPriority w:val="0"/>
    <w:pPr>
      <w:tabs>
        <w:tab w:val="center" w:pos="4153"/>
        <w:tab w:val="right" w:pos="8306"/>
      </w:tabs>
      <w:snapToGrid w:val="0"/>
      <w:jc w:val="left"/>
    </w:pPr>
    <w:rPr>
      <w:rFonts w:ascii="Times New Roman" w:hAnsi="Times New Roman"/>
      <w:kern w:val="0"/>
      <w:sz w:val="18"/>
      <w:szCs w:val="18"/>
    </w:rPr>
  </w:style>
  <w:style w:type="paragraph" w:styleId="26">
    <w:name w:val="header"/>
    <w:basedOn w:val="1"/>
    <w:link w:val="106"/>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7">
    <w:name w:val="toc 1"/>
    <w:basedOn w:val="2"/>
    <w:next w:val="1"/>
    <w:qFormat/>
    <w:uiPriority w:val="0"/>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szCs w:val="24"/>
    </w:rPr>
  </w:style>
  <w:style w:type="paragraph" w:styleId="29">
    <w:name w:val="List"/>
    <w:basedOn w:val="1"/>
    <w:qFormat/>
    <w:uiPriority w:val="0"/>
    <w:pPr>
      <w:ind w:left="200" w:hanging="200" w:hangingChars="200"/>
    </w:pPr>
    <w:rPr>
      <w:rFonts w:ascii="Times New Roman" w:hAnsi="Times New Roman"/>
      <w:szCs w:val="24"/>
    </w:rPr>
  </w:style>
  <w:style w:type="paragraph" w:styleId="30">
    <w:name w:val="footnote text"/>
    <w:basedOn w:val="1"/>
    <w:link w:val="95"/>
    <w:qFormat/>
    <w:uiPriority w:val="0"/>
    <w:pPr>
      <w:snapToGrid w:val="0"/>
      <w:jc w:val="left"/>
    </w:pPr>
    <w:rPr>
      <w:rFonts w:ascii="Times New Roman" w:hAnsi="Times New Roman"/>
      <w:kern w:val="0"/>
      <w:sz w:val="18"/>
      <w:szCs w:val="18"/>
    </w:rPr>
  </w:style>
  <w:style w:type="paragraph" w:styleId="31">
    <w:name w:val="toc 6"/>
    <w:basedOn w:val="1"/>
    <w:next w:val="1"/>
    <w:qFormat/>
    <w:uiPriority w:val="0"/>
    <w:pPr>
      <w:ind w:left="2100"/>
    </w:pPr>
    <w:rPr>
      <w:rFonts w:ascii="Times New Roman" w:hAnsi="Times New Roman"/>
      <w:szCs w:val="24"/>
    </w:rPr>
  </w:style>
  <w:style w:type="paragraph" w:styleId="32">
    <w:name w:val="Body Text Indent 3"/>
    <w:basedOn w:val="1"/>
    <w:link w:val="100"/>
    <w:qFormat/>
    <w:uiPriority w:val="0"/>
    <w:pPr>
      <w:spacing w:line="540" w:lineRule="atLeast"/>
      <w:ind w:firstLine="480" w:firstLineChars="200"/>
    </w:pPr>
    <w:rPr>
      <w:rFonts w:ascii="Times New Roman" w:hAnsi="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szCs w:val="24"/>
    </w:rPr>
  </w:style>
  <w:style w:type="paragraph" w:styleId="34">
    <w:name w:val="toc 2"/>
    <w:basedOn w:val="1"/>
    <w:next w:val="1"/>
    <w:qFormat/>
    <w:uiPriority w:val="0"/>
    <w:pPr>
      <w:spacing w:line="360" w:lineRule="auto"/>
      <w:ind w:left="200" w:leftChars="200"/>
    </w:pPr>
    <w:rPr>
      <w:rFonts w:ascii="Times New Roman" w:hAnsi="Times New Roman"/>
      <w:szCs w:val="24"/>
    </w:rPr>
  </w:style>
  <w:style w:type="paragraph" w:styleId="35">
    <w:name w:val="toc 9"/>
    <w:basedOn w:val="1"/>
    <w:next w:val="1"/>
    <w:qFormat/>
    <w:uiPriority w:val="0"/>
    <w:pPr>
      <w:ind w:left="3360"/>
    </w:pPr>
    <w:rPr>
      <w:rFonts w:ascii="Times New Roman" w:hAnsi="Times New Roman"/>
      <w:szCs w:val="24"/>
    </w:rPr>
  </w:style>
  <w:style w:type="paragraph" w:styleId="36">
    <w:name w:val="Body Text 2"/>
    <w:basedOn w:val="1"/>
    <w:link w:val="102"/>
    <w:qFormat/>
    <w:uiPriority w:val="0"/>
    <w:pPr>
      <w:spacing w:after="120" w:line="480" w:lineRule="auto"/>
    </w:pPr>
    <w:rPr>
      <w:rFonts w:ascii="Times New Roman" w:hAnsi="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szCs w:val="24"/>
    </w:rPr>
  </w:style>
  <w:style w:type="paragraph" w:styleId="38">
    <w:name w:val="List Continue 2"/>
    <w:basedOn w:val="1"/>
    <w:qFormat/>
    <w:uiPriority w:val="0"/>
    <w:pPr>
      <w:spacing w:after="120"/>
      <w:ind w:left="840" w:leftChars="400"/>
    </w:pPr>
    <w:rPr>
      <w:rFonts w:ascii="Times New Roman" w:hAnsi="Times New Roman"/>
      <w:szCs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szCs w:val="24"/>
    </w:rPr>
  </w:style>
  <w:style w:type="paragraph" w:styleId="42">
    <w:name w:val="Title"/>
    <w:basedOn w:val="1"/>
    <w:link w:val="112"/>
    <w:qFormat/>
    <w:uiPriority w:val="0"/>
    <w:pPr>
      <w:spacing w:before="240" w:after="60"/>
      <w:jc w:val="center"/>
      <w:outlineLvl w:val="0"/>
    </w:pPr>
    <w:rPr>
      <w:rFonts w:ascii="Arial" w:hAnsi="Arial"/>
      <w:b/>
      <w:bCs/>
      <w:kern w:val="0"/>
      <w:sz w:val="32"/>
      <w:szCs w:val="32"/>
    </w:rPr>
  </w:style>
  <w:style w:type="paragraph" w:styleId="43">
    <w:name w:val="annotation subject"/>
    <w:basedOn w:val="13"/>
    <w:next w:val="13"/>
    <w:link w:val="123"/>
    <w:qFormat/>
    <w:uiPriority w:val="0"/>
    <w:rPr>
      <w:rFonts w:ascii="Times New Roman" w:hAnsi="Times New Roman"/>
      <w:b/>
      <w:bCs/>
      <w:kern w:val="0"/>
      <w:sz w:val="20"/>
      <w:szCs w:val="24"/>
    </w:rPr>
  </w:style>
  <w:style w:type="paragraph" w:styleId="44">
    <w:name w:val="Body Text First Indent"/>
    <w:basedOn w:val="14"/>
    <w:link w:val="101"/>
    <w:qFormat/>
    <w:uiPriority w:val="0"/>
    <w:pPr>
      <w:ind w:firstLine="420" w:firstLineChars="100"/>
    </w:pPr>
    <w:rPr>
      <w:rFonts w:ascii="Times New Roman" w:hAnsi="Times New Roman"/>
      <w:szCs w:val="24"/>
    </w:rPr>
  </w:style>
  <w:style w:type="paragraph" w:styleId="45">
    <w:name w:val="Body Text First Indent 2"/>
    <w:basedOn w:val="15"/>
    <w:link w:val="98"/>
    <w:qFormat/>
    <w:uiPriority w:val="0"/>
    <w:pPr>
      <w:ind w:firstLine="420" w:firstLineChars="200"/>
    </w:pPr>
    <w:rPr>
      <w:rFonts w:ascii="Times New Roman" w:hAnsi="Times New Roman"/>
      <w:szCs w:val="24"/>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page number"/>
    <w:qFormat/>
    <w:uiPriority w:val="0"/>
    <w:rPr>
      <w:rFonts w:ascii="Calibri" w:hAnsi="Calibri" w:eastAsia="宋体" w:cs="Times New Roman"/>
    </w:rPr>
  </w:style>
  <w:style w:type="character" w:styleId="50">
    <w:name w:val="FollowedHyperlink"/>
    <w:qFormat/>
    <w:uiPriority w:val="0"/>
    <w:rPr>
      <w:rFonts w:ascii="Calibri" w:hAnsi="Calibri" w:eastAsia="宋体" w:cs="Times New Roman"/>
      <w:color w:val="800080"/>
      <w:u w:val="single"/>
    </w:rPr>
  </w:style>
  <w:style w:type="character" w:styleId="51">
    <w:name w:val="Emphasis"/>
    <w:qFormat/>
    <w:uiPriority w:val="0"/>
    <w:rPr>
      <w:rFonts w:ascii="Calibri" w:hAnsi="Calibri" w:eastAsia="宋体" w:cs="Times New Roman"/>
      <w:i/>
      <w:iCs/>
    </w:rPr>
  </w:style>
  <w:style w:type="character" w:styleId="52">
    <w:name w:val="Hyperlink"/>
    <w:qFormat/>
    <w:uiPriority w:val="0"/>
    <w:rPr>
      <w:rFonts w:ascii="Calibri" w:hAnsi="Calibri" w:eastAsia="宋体" w:cs="Times New Roman"/>
      <w:color w:val="0000FF"/>
      <w:u w:val="single"/>
    </w:rPr>
  </w:style>
  <w:style w:type="character" w:styleId="53">
    <w:name w:val="annotation reference"/>
    <w:qFormat/>
    <w:uiPriority w:val="0"/>
    <w:rPr>
      <w:rFonts w:ascii="Calibri" w:hAnsi="Calibri" w:eastAsia="宋体" w:cs="Times New Roman"/>
      <w:sz w:val="21"/>
      <w:szCs w:val="21"/>
    </w:rPr>
  </w:style>
  <w:style w:type="character" w:styleId="54">
    <w:name w:val="footnote reference"/>
    <w:qFormat/>
    <w:uiPriority w:val="0"/>
    <w:rPr>
      <w:rFonts w:ascii="Calibri" w:hAnsi="Calibri" w:eastAsia="宋体" w:cs="Times New Roman"/>
      <w:vertAlign w:val="superscript"/>
    </w:r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z-窗体顶端1"/>
    <w:basedOn w:val="1"/>
    <w:next w:val="1"/>
    <w:link w:val="135"/>
    <w:qFormat/>
    <w:uiPriority w:val="0"/>
    <w:pPr>
      <w:pBdr>
        <w:bottom w:val="single" w:color="auto" w:sz="6" w:space="1"/>
      </w:pBdr>
      <w:jc w:val="center"/>
    </w:pPr>
    <w:rPr>
      <w:rFonts w:ascii="Arial" w:hAnsi="Arial"/>
      <w:vanish/>
      <w:kern w:val="0"/>
      <w:sz w:val="16"/>
      <w:szCs w:val="16"/>
    </w:rPr>
  </w:style>
  <w:style w:type="paragraph" w:customStyle="1" w:styleId="58">
    <w:name w:val="样式 标题 1 + (符号) Arial 三号"/>
    <w:basedOn w:val="2"/>
    <w:qFormat/>
    <w:uiPriority w:val="0"/>
    <w:pPr>
      <w:snapToGrid w:val="0"/>
      <w:spacing w:before="0" w:after="0" w:line="360" w:lineRule="auto"/>
    </w:pPr>
    <w:rPr>
      <w:sz w:val="32"/>
    </w:rPr>
  </w:style>
  <w:style w:type="paragraph" w:customStyle="1" w:styleId="59">
    <w:name w:val="列出段落1"/>
    <w:basedOn w:val="1"/>
    <w:qFormat/>
    <w:uiPriority w:val="34"/>
    <w:pPr>
      <w:ind w:firstLine="420" w:firstLineChars="200"/>
    </w:pPr>
  </w:style>
  <w:style w:type="paragraph" w:customStyle="1" w:styleId="60">
    <w:name w:val="0"/>
    <w:basedOn w:val="1"/>
    <w:qFormat/>
    <w:uiPriority w:val="0"/>
    <w:pPr>
      <w:widowControl/>
    </w:pPr>
    <w:rPr>
      <w:rFonts w:ascii="Times New Roman" w:hAnsi="Times New Roman"/>
      <w:kern w:val="0"/>
      <w:szCs w:val="20"/>
    </w:rPr>
  </w:style>
  <w:style w:type="paragraph" w:customStyle="1" w:styleId="61">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2">
    <w:name w:val="样式2"/>
    <w:basedOn w:val="33"/>
    <w:qFormat/>
    <w:uiPriority w:val="0"/>
    <w:pPr>
      <w:ind w:firstLine="2720"/>
    </w:pPr>
    <w:rPr>
      <w:bCs/>
    </w:rPr>
  </w:style>
  <w:style w:type="paragraph" w:customStyle="1" w:styleId="63">
    <w:name w:val="Char Char Char Char"/>
    <w:basedOn w:val="1"/>
    <w:qFormat/>
    <w:uiPriority w:val="0"/>
    <w:rPr>
      <w:rFonts w:ascii="仿宋_GB2312" w:hAnsi="Times New Roman" w:eastAsia="仿宋_GB2312"/>
      <w:b/>
      <w:sz w:val="32"/>
      <w:szCs w:val="32"/>
    </w:rPr>
  </w:style>
  <w:style w:type="paragraph" w:customStyle="1" w:styleId="64">
    <w:name w:val="z-窗体底端1"/>
    <w:basedOn w:val="1"/>
    <w:next w:val="1"/>
    <w:link w:val="109"/>
    <w:qFormat/>
    <w:uiPriority w:val="0"/>
    <w:pPr>
      <w:pBdr>
        <w:top w:val="single" w:color="auto" w:sz="6" w:space="1"/>
      </w:pBdr>
      <w:jc w:val="center"/>
    </w:pPr>
    <w:rPr>
      <w:rFonts w:ascii="Arial" w:hAnsi="Arial"/>
      <w:vanish/>
      <w:kern w:val="0"/>
      <w:sz w:val="16"/>
      <w:szCs w:val="16"/>
    </w:rPr>
  </w:style>
  <w:style w:type="paragraph" w:customStyle="1" w:styleId="65">
    <w:name w:val="样式3"/>
    <w:basedOn w:val="4"/>
    <w:qFormat/>
    <w:uiPriority w:val="0"/>
    <w:pPr>
      <w:keepNext/>
      <w:keepLines/>
      <w:spacing w:before="120" w:after="120" w:line="360" w:lineRule="auto"/>
    </w:pPr>
    <w:rPr>
      <w:rFonts w:eastAsia="宋体"/>
      <w:sz w:val="24"/>
      <w:szCs w:val="24"/>
    </w:rPr>
  </w:style>
  <w:style w:type="paragraph" w:customStyle="1" w:styleId="66">
    <w:name w:val="_Style 5"/>
    <w:basedOn w:val="1"/>
    <w:next w:val="1"/>
    <w:qFormat/>
    <w:uiPriority w:val="0"/>
    <w:rPr>
      <w:rFonts w:ascii="Times New Roman" w:hAnsi="Times New Roman"/>
      <w:szCs w:val="20"/>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70">
    <w:name w:val="标题4"/>
    <w:next w:val="1"/>
    <w:link w:val="119"/>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标题5"/>
    <w:basedOn w:val="70"/>
    <w:next w:val="1"/>
    <w:qFormat/>
    <w:uiPriority w:val="0"/>
    <w:pPr>
      <w:outlineLvl w:val="4"/>
    </w:pPr>
    <w:rPr>
      <w:b w:val="0"/>
      <w:sz w:val="24"/>
    </w:rPr>
  </w:style>
  <w:style w:type="paragraph" w:customStyle="1" w:styleId="73">
    <w:name w:val="Char Char"/>
    <w:basedOn w:val="1"/>
    <w:qFormat/>
    <w:uiPriority w:val="0"/>
    <w:rPr>
      <w:rFonts w:ascii="Tahoma" w:hAnsi="Tahoma"/>
      <w:sz w:val="24"/>
      <w:szCs w:val="20"/>
    </w:rPr>
  </w:style>
  <w:style w:type="paragraph" w:customStyle="1" w:styleId="7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75">
    <w:name w:val="Char"/>
    <w:basedOn w:val="1"/>
    <w:qFormat/>
    <w:uiPriority w:val="0"/>
    <w:pPr>
      <w:spacing w:line="360" w:lineRule="auto"/>
    </w:pPr>
    <w:rPr>
      <w:rFonts w:ascii="黑体" w:hAnsi="黑体"/>
      <w:sz w:val="24"/>
      <w:szCs w:val="24"/>
      <w:lang w:val="zh-CN"/>
    </w:rPr>
  </w:style>
  <w:style w:type="paragraph" w:customStyle="1" w:styleId="7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7">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8">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9">
    <w:name w:val="_Style 10"/>
    <w:basedOn w:val="1"/>
    <w:next w:val="1"/>
    <w:qFormat/>
    <w:uiPriority w:val="0"/>
    <w:rPr>
      <w:rFonts w:ascii="Times New Roman" w:hAnsi="Times New Roman"/>
      <w:szCs w:val="24"/>
    </w:rPr>
  </w:style>
  <w:style w:type="paragraph" w:customStyle="1" w:styleId="80">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1">
    <w:name w:val="正文段"/>
    <w:basedOn w:val="1"/>
    <w:qFormat/>
    <w:uiPriority w:val="0"/>
    <w:pPr>
      <w:spacing w:line="360" w:lineRule="auto"/>
      <w:ind w:firstLine="420"/>
    </w:pPr>
    <w:rPr>
      <w:rFonts w:ascii="宋体" w:hAnsi="Times New Roman"/>
      <w:sz w:val="24"/>
      <w:szCs w:val="24"/>
    </w:rPr>
  </w:style>
  <w:style w:type="paragraph" w:customStyle="1" w:styleId="82">
    <w:name w:val="小正文"/>
    <w:basedOn w:val="75"/>
    <w:link w:val="107"/>
    <w:qFormat/>
    <w:uiPriority w:val="0"/>
    <w:pPr>
      <w:spacing w:line="560" w:lineRule="exact"/>
      <w:ind w:firstLine="560" w:firstLineChars="200"/>
      <w:jc w:val="left"/>
    </w:pPr>
    <w:rPr>
      <w:rFonts w:ascii="仿宋_GB2312" w:hAnsi="宋体" w:eastAsia="仿宋_GB2312"/>
      <w:kern w:val="0"/>
      <w:sz w:val="28"/>
      <w:szCs w:val="28"/>
    </w:rPr>
  </w:style>
  <w:style w:type="paragraph" w:customStyle="1" w:styleId="83">
    <w:name w:val="样式 样式1 + 首行缩进:  2 字符"/>
    <w:basedOn w:val="55"/>
    <w:link w:val="110"/>
    <w:qFormat/>
    <w:uiPriority w:val="0"/>
    <w:pPr>
      <w:spacing w:line="360" w:lineRule="exact"/>
      <w:ind w:firstLine="420" w:firstLineChars="200"/>
      <w:jc w:val="both"/>
    </w:pPr>
    <w:rPr>
      <w:rFonts w:ascii="Arial" w:hAnsi="Arial"/>
      <w:kern w:val="0"/>
      <w:sz w:val="24"/>
      <w:szCs w:val="20"/>
    </w:rPr>
  </w:style>
  <w:style w:type="paragraph" w:customStyle="1" w:styleId="84">
    <w:name w:val="列出段落2"/>
    <w:basedOn w:val="1"/>
    <w:qFormat/>
    <w:uiPriority w:val="0"/>
    <w:pPr>
      <w:spacing w:before="100" w:beforeAutospacing="1" w:after="100" w:afterAutospacing="1" w:line="300" w:lineRule="auto"/>
      <w:ind w:firstLine="420" w:firstLineChars="200"/>
    </w:pPr>
  </w:style>
  <w:style w:type="paragraph" w:customStyle="1" w:styleId="85">
    <w:name w:val="样式 一号 加粗 居中"/>
    <w:basedOn w:val="1"/>
    <w:qFormat/>
    <w:uiPriority w:val="0"/>
    <w:pPr>
      <w:jc w:val="center"/>
    </w:pPr>
    <w:rPr>
      <w:rFonts w:ascii="Times New Roman" w:hAnsi="Times New Roman" w:cs="宋体"/>
      <w:bCs/>
      <w:sz w:val="52"/>
      <w:szCs w:val="20"/>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8">
    <w:name w:val="表"/>
    <w:basedOn w:val="1"/>
    <w:qFormat/>
    <w:uiPriority w:val="0"/>
    <w:pPr>
      <w:spacing w:line="360" w:lineRule="auto"/>
      <w:jc w:val="center"/>
    </w:pPr>
    <w:rPr>
      <w:rFonts w:ascii="Times New Roman" w:hAnsi="Times New Roman"/>
      <w:color w:val="000000"/>
      <w:szCs w:val="21"/>
    </w:rPr>
  </w:style>
  <w:style w:type="paragraph" w:customStyle="1" w:styleId="89">
    <w:name w:val="表格一"/>
    <w:basedOn w:val="1"/>
    <w:qFormat/>
    <w:uiPriority w:val="0"/>
    <w:pPr>
      <w:spacing w:line="240" w:lineRule="exact"/>
      <w:ind w:left="105" w:leftChars="50"/>
    </w:pPr>
    <w:rPr>
      <w:rFonts w:ascii="Times New Roman" w:hAnsi="Times New Roman"/>
      <w:sz w:val="18"/>
      <w:szCs w:val="21"/>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2">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93">
    <w:name w:val="默认段落字体 Para Char Char Char Char"/>
    <w:basedOn w:val="1"/>
    <w:qFormat/>
    <w:uiPriority w:val="0"/>
    <w:pPr>
      <w:spacing w:line="360" w:lineRule="auto"/>
      <w:ind w:firstLine="200" w:firstLineChars="200"/>
    </w:pPr>
    <w:rPr>
      <w:rFonts w:ascii="宋体" w:hAnsi="宋体" w:cs="宋体"/>
      <w:sz w:val="24"/>
      <w:szCs w:val="24"/>
    </w:rPr>
  </w:style>
  <w:style w:type="character" w:customStyle="1" w:styleId="94">
    <w:name w:val="正文缩进 Char"/>
    <w:link w:val="9"/>
    <w:qFormat/>
    <w:uiPriority w:val="0"/>
    <w:rPr>
      <w:rFonts w:ascii="宋体" w:hAnsi="Times New Roman" w:eastAsia="宋体" w:cs="Times New Roman"/>
      <w:kern w:val="0"/>
      <w:sz w:val="34"/>
      <w:szCs w:val="20"/>
    </w:rPr>
  </w:style>
  <w:style w:type="character" w:customStyle="1" w:styleId="95">
    <w:name w:val="脚注文本 Char"/>
    <w:link w:val="30"/>
    <w:qFormat/>
    <w:uiPriority w:val="0"/>
    <w:rPr>
      <w:rFonts w:ascii="Times New Roman" w:hAnsi="Times New Roman" w:eastAsia="宋体" w:cs="Times New Roman"/>
      <w:kern w:val="0"/>
      <w:sz w:val="18"/>
      <w:szCs w:val="18"/>
    </w:rPr>
  </w:style>
  <w:style w:type="character" w:customStyle="1" w:styleId="96">
    <w:name w:val="正文文本缩进 2 字符"/>
    <w:semiHidden/>
    <w:qFormat/>
    <w:uiPriority w:val="99"/>
    <w:rPr>
      <w:rFonts w:ascii="Calibri" w:hAnsi="Calibri" w:eastAsia="宋体" w:cs="Times New Roman"/>
    </w:rPr>
  </w:style>
  <w:style w:type="character" w:customStyle="1" w:styleId="97">
    <w:name w:val="标题 2 Char"/>
    <w:link w:val="3"/>
    <w:qFormat/>
    <w:uiPriority w:val="0"/>
    <w:rPr>
      <w:rFonts w:ascii="Arial" w:hAnsi="Arial" w:eastAsia="黑体" w:cs="Times New Roman"/>
      <w:b/>
      <w:bCs/>
      <w:kern w:val="0"/>
      <w:sz w:val="32"/>
      <w:szCs w:val="32"/>
    </w:rPr>
  </w:style>
  <w:style w:type="character" w:customStyle="1" w:styleId="98">
    <w:name w:val="正文首行缩进 2 Char"/>
    <w:link w:val="45"/>
    <w:qFormat/>
    <w:uiPriority w:val="0"/>
    <w:rPr>
      <w:rFonts w:ascii="Times New Roman" w:hAnsi="Times New Roman" w:eastAsia="宋体" w:cs="Times New Roman"/>
      <w:szCs w:val="24"/>
    </w:rPr>
  </w:style>
  <w:style w:type="character" w:customStyle="1" w:styleId="99">
    <w:name w:val="批注主题 Char1"/>
    <w:semiHidden/>
    <w:qFormat/>
    <w:uiPriority w:val="99"/>
    <w:rPr>
      <w:rFonts w:ascii="Calibri" w:hAnsi="Calibri" w:eastAsia="宋体" w:cs="Times New Roman"/>
      <w:b/>
      <w:bCs/>
      <w:kern w:val="2"/>
      <w:sz w:val="21"/>
      <w:szCs w:val="22"/>
    </w:rPr>
  </w:style>
  <w:style w:type="character" w:customStyle="1" w:styleId="100">
    <w:name w:val="正文文本缩进 3 Char"/>
    <w:link w:val="32"/>
    <w:qFormat/>
    <w:uiPriority w:val="0"/>
    <w:rPr>
      <w:rFonts w:ascii="Times New Roman" w:hAnsi="Times New Roman" w:eastAsia="宋体" w:cs="Times New Roman"/>
      <w:kern w:val="0"/>
      <w:sz w:val="24"/>
      <w:szCs w:val="24"/>
    </w:rPr>
  </w:style>
  <w:style w:type="character" w:customStyle="1" w:styleId="101">
    <w:name w:val="正文首行缩进 Char"/>
    <w:link w:val="44"/>
    <w:qFormat/>
    <w:uiPriority w:val="0"/>
    <w:rPr>
      <w:rFonts w:ascii="Times New Roman" w:hAnsi="Times New Roman" w:eastAsia="宋体" w:cs="Times New Roman"/>
      <w:szCs w:val="24"/>
    </w:rPr>
  </w:style>
  <w:style w:type="character" w:customStyle="1" w:styleId="102">
    <w:name w:val="正文文本 2 Char"/>
    <w:link w:val="36"/>
    <w:qFormat/>
    <w:uiPriority w:val="0"/>
    <w:rPr>
      <w:rFonts w:ascii="Times New Roman" w:hAnsi="Times New Roman" w:eastAsia="宋体" w:cs="Times New Roman"/>
      <w:kern w:val="0"/>
      <w:sz w:val="20"/>
      <w:szCs w:val="24"/>
    </w:rPr>
  </w:style>
  <w:style w:type="character" w:customStyle="1" w:styleId="103">
    <w:name w:val="正文文本缩进 2 Char"/>
    <w:link w:val="23"/>
    <w:qFormat/>
    <w:uiPriority w:val="0"/>
    <w:rPr>
      <w:rFonts w:ascii="Times New Roman" w:hAnsi="Times New Roman" w:eastAsia="宋体" w:cs="Times New Roman"/>
      <w:kern w:val="0"/>
      <w:sz w:val="20"/>
      <w:szCs w:val="24"/>
    </w:rPr>
  </w:style>
  <w:style w:type="character" w:customStyle="1" w:styleId="104">
    <w:name w:val="文档结构图 字符"/>
    <w:semiHidden/>
    <w:qFormat/>
    <w:uiPriority w:val="99"/>
    <w:rPr>
      <w:rFonts w:ascii="Microsoft YaHei UI" w:hAnsi="Calibri" w:eastAsia="Microsoft YaHei UI" w:cs="Times New Roman"/>
      <w:sz w:val="18"/>
      <w:szCs w:val="18"/>
    </w:rPr>
  </w:style>
  <w:style w:type="character" w:customStyle="1" w:styleId="105">
    <w:name w:val="标题 1 字符"/>
    <w:qFormat/>
    <w:uiPriority w:val="9"/>
    <w:rPr>
      <w:rFonts w:ascii="Calibri" w:hAnsi="Calibri" w:eastAsia="宋体" w:cs="Times New Roman"/>
      <w:b/>
      <w:bCs/>
      <w:kern w:val="44"/>
      <w:sz w:val="44"/>
      <w:szCs w:val="44"/>
    </w:rPr>
  </w:style>
  <w:style w:type="character" w:customStyle="1" w:styleId="106">
    <w:name w:val="页眉 Char"/>
    <w:link w:val="26"/>
    <w:qFormat/>
    <w:uiPriority w:val="99"/>
    <w:rPr>
      <w:rFonts w:ascii="Times New Roman" w:hAnsi="Times New Roman" w:eastAsia="宋体" w:cs="Times New Roman"/>
      <w:kern w:val="0"/>
      <w:sz w:val="18"/>
      <w:szCs w:val="18"/>
    </w:rPr>
  </w:style>
  <w:style w:type="character" w:customStyle="1" w:styleId="107">
    <w:name w:val="小正文 Char"/>
    <w:link w:val="82"/>
    <w:qFormat/>
    <w:uiPriority w:val="0"/>
    <w:rPr>
      <w:rFonts w:ascii="仿宋_GB2312" w:hAnsi="宋体" w:eastAsia="仿宋_GB2312" w:cs="Times New Roman"/>
      <w:kern w:val="0"/>
      <w:sz w:val="28"/>
      <w:szCs w:val="28"/>
    </w:rPr>
  </w:style>
  <w:style w:type="character" w:customStyle="1" w:styleId="108">
    <w:name w:val="正文文本 Char"/>
    <w:basedOn w:val="48"/>
    <w:link w:val="14"/>
    <w:qFormat/>
    <w:uiPriority w:val="0"/>
    <w:rPr>
      <w:rFonts w:ascii="Calibri" w:hAnsi="Calibri" w:eastAsia="宋体" w:cs="Times New Roman"/>
      <w:kern w:val="0"/>
      <w:sz w:val="20"/>
      <w:szCs w:val="20"/>
    </w:rPr>
  </w:style>
  <w:style w:type="character" w:customStyle="1" w:styleId="109">
    <w:name w:val="z-窗体底端 Char"/>
    <w:link w:val="64"/>
    <w:qFormat/>
    <w:uiPriority w:val="0"/>
    <w:rPr>
      <w:rFonts w:ascii="Arial" w:hAnsi="Arial" w:eastAsia="宋体" w:cs="Times New Roman"/>
      <w:vanish/>
      <w:kern w:val="0"/>
      <w:sz w:val="16"/>
      <w:szCs w:val="16"/>
    </w:rPr>
  </w:style>
  <w:style w:type="character" w:customStyle="1" w:styleId="110">
    <w:name w:val="样式 样式1 + 首行缩进:  2 字符 Char"/>
    <w:link w:val="83"/>
    <w:qFormat/>
    <w:uiPriority w:val="0"/>
    <w:rPr>
      <w:rFonts w:ascii="Arial" w:hAnsi="Arial" w:eastAsia="宋体" w:cs="Times New Roman"/>
      <w:kern w:val="0"/>
      <w:sz w:val="24"/>
      <w:szCs w:val="20"/>
    </w:rPr>
  </w:style>
  <w:style w:type="character" w:customStyle="1" w:styleId="111">
    <w:name w:val="批注框文本 字符"/>
    <w:semiHidden/>
    <w:qFormat/>
    <w:uiPriority w:val="99"/>
    <w:rPr>
      <w:rFonts w:ascii="Calibri" w:hAnsi="Calibri" w:eastAsia="宋体" w:cs="Times New Roman"/>
      <w:sz w:val="18"/>
      <w:szCs w:val="18"/>
    </w:rPr>
  </w:style>
  <w:style w:type="character" w:customStyle="1" w:styleId="112">
    <w:name w:val="标题 Char"/>
    <w:link w:val="42"/>
    <w:qFormat/>
    <w:uiPriority w:val="0"/>
    <w:rPr>
      <w:rFonts w:ascii="Arial" w:hAnsi="Arial" w:eastAsia="宋体" w:cs="Times New Roman"/>
      <w:b/>
      <w:bCs/>
      <w:kern w:val="0"/>
      <w:sz w:val="32"/>
      <w:szCs w:val="32"/>
    </w:rPr>
  </w:style>
  <w:style w:type="character" w:customStyle="1" w:styleId="113">
    <w:name w:val="纯文本 字符"/>
    <w:qFormat/>
    <w:uiPriority w:val="0"/>
    <w:rPr>
      <w:rFonts w:ascii="宋体" w:hAnsi="Courier New" w:eastAsia="宋体" w:cs="Courier New"/>
    </w:rPr>
  </w:style>
  <w:style w:type="character" w:customStyle="1" w:styleId="114">
    <w:name w:val="标题 1 Char1"/>
    <w:link w:val="2"/>
    <w:qFormat/>
    <w:uiPriority w:val="0"/>
    <w:rPr>
      <w:rFonts w:ascii="Times New Roman" w:hAnsi="Times New Roman" w:eastAsia="宋体" w:cs="Times New Roman"/>
      <w:b/>
      <w:bCs/>
      <w:kern w:val="44"/>
      <w:sz w:val="44"/>
      <w:szCs w:val="44"/>
    </w:rPr>
  </w:style>
  <w:style w:type="character" w:customStyle="1" w:styleId="115">
    <w:name w:val="Char Char14"/>
    <w:qFormat/>
    <w:uiPriority w:val="0"/>
    <w:rPr>
      <w:rFonts w:ascii="宋体" w:hAnsi="Courier New" w:eastAsia="宋体" w:cs="Courier New"/>
      <w:kern w:val="2"/>
      <w:sz w:val="21"/>
      <w:szCs w:val="21"/>
      <w:lang w:val="en-US" w:eastAsia="zh-CN" w:bidi="ar-SA"/>
    </w:rPr>
  </w:style>
  <w:style w:type="character" w:customStyle="1" w:styleId="116">
    <w:name w:val="标题 字符"/>
    <w:qFormat/>
    <w:uiPriority w:val="10"/>
    <w:rPr>
      <w:rFonts w:ascii="Calibri Light" w:hAnsi="Calibri Light" w:eastAsia="宋体" w:cs="Times New Roman"/>
      <w:b/>
      <w:bCs/>
      <w:sz w:val="32"/>
      <w:szCs w:val="32"/>
    </w:rPr>
  </w:style>
  <w:style w:type="character" w:customStyle="1" w:styleId="117">
    <w:name w:val="正文文本缩进 Char"/>
    <w:basedOn w:val="48"/>
    <w:link w:val="15"/>
    <w:qFormat/>
    <w:uiPriority w:val="0"/>
    <w:rPr>
      <w:rFonts w:ascii="Calibri" w:hAnsi="Calibri" w:eastAsia="宋体" w:cs="Times New Roman"/>
      <w:kern w:val="0"/>
      <w:sz w:val="20"/>
      <w:szCs w:val="20"/>
    </w:rPr>
  </w:style>
  <w:style w:type="character" w:customStyle="1" w:styleId="118">
    <w:name w:val="正文文本 2 字符"/>
    <w:semiHidden/>
    <w:qFormat/>
    <w:uiPriority w:val="99"/>
    <w:rPr>
      <w:rFonts w:ascii="Calibri" w:hAnsi="Calibri" w:eastAsia="宋体" w:cs="Times New Roman"/>
    </w:rPr>
  </w:style>
  <w:style w:type="character" w:customStyle="1" w:styleId="119">
    <w:name w:val="标题4 Char Char"/>
    <w:link w:val="70"/>
    <w:qFormat/>
    <w:uiPriority w:val="0"/>
    <w:rPr>
      <w:rFonts w:ascii="Calibri" w:hAnsi="Calibri" w:eastAsia="宋体" w:cs="Times New Roman"/>
      <w:b/>
      <w:kern w:val="2"/>
      <w:sz w:val="28"/>
      <w:szCs w:val="24"/>
      <w:lang w:val="en-US" w:eastAsia="zh-CN" w:bidi="ar-SA"/>
    </w:rPr>
  </w:style>
  <w:style w:type="character" w:customStyle="1" w:styleId="120">
    <w:name w:val="标题 5 字符"/>
    <w:semiHidden/>
    <w:qFormat/>
    <w:uiPriority w:val="9"/>
    <w:rPr>
      <w:rFonts w:ascii="Calibri" w:hAnsi="Calibri" w:eastAsia="宋体" w:cs="Times New Roman"/>
      <w:b/>
      <w:bCs/>
      <w:sz w:val="28"/>
      <w:szCs w:val="28"/>
    </w:rPr>
  </w:style>
  <w:style w:type="character" w:customStyle="1" w:styleId="121">
    <w:name w:val="正文文本 字符"/>
    <w:semiHidden/>
    <w:qFormat/>
    <w:uiPriority w:val="99"/>
    <w:rPr>
      <w:rFonts w:ascii="Calibri" w:hAnsi="Calibri" w:eastAsia="宋体" w:cs="Times New Roman"/>
    </w:rPr>
  </w:style>
  <w:style w:type="character" w:customStyle="1" w:styleId="122">
    <w:name w:val="纯文本 Char"/>
    <w:qFormat/>
    <w:uiPriority w:val="0"/>
    <w:rPr>
      <w:rFonts w:ascii="宋体" w:hAnsi="Courier New" w:eastAsia="宋体" w:cs="Times New Roman"/>
      <w:szCs w:val="21"/>
    </w:rPr>
  </w:style>
  <w:style w:type="character" w:customStyle="1" w:styleId="123">
    <w:name w:val="批注主题 Char"/>
    <w:link w:val="43"/>
    <w:semiHidden/>
    <w:qFormat/>
    <w:uiPriority w:val="0"/>
    <w:rPr>
      <w:rFonts w:ascii="Times New Roman" w:hAnsi="Times New Roman" w:eastAsia="宋体" w:cs="Times New Roman"/>
      <w:b/>
      <w:bCs/>
      <w:kern w:val="0"/>
      <w:sz w:val="20"/>
      <w:szCs w:val="24"/>
    </w:rPr>
  </w:style>
  <w:style w:type="character" w:customStyle="1" w:styleId="124">
    <w:name w:val="批注文字 Char"/>
    <w:link w:val="13"/>
    <w:qFormat/>
    <w:uiPriority w:val="0"/>
    <w:rPr>
      <w:rFonts w:ascii="Calibri" w:hAnsi="Calibri" w:eastAsia="宋体" w:cs="Times New Roman"/>
    </w:rPr>
  </w:style>
  <w:style w:type="character" w:customStyle="1" w:styleId="125">
    <w:name w:val="页脚 字符"/>
    <w:semiHidden/>
    <w:qFormat/>
    <w:uiPriority w:val="99"/>
    <w:rPr>
      <w:rFonts w:ascii="Calibri" w:hAnsi="Calibri" w:eastAsia="宋体" w:cs="Times New Roman"/>
      <w:sz w:val="18"/>
      <w:szCs w:val="18"/>
    </w:rPr>
  </w:style>
  <w:style w:type="character" w:customStyle="1" w:styleId="126">
    <w:name w:val="批注框文本 Char"/>
    <w:link w:val="24"/>
    <w:qFormat/>
    <w:uiPriority w:val="0"/>
    <w:rPr>
      <w:rFonts w:ascii="Times New Roman" w:hAnsi="Times New Roman" w:eastAsia="宋体" w:cs="Times New Roman"/>
      <w:kern w:val="0"/>
      <w:sz w:val="18"/>
      <w:szCs w:val="18"/>
    </w:rPr>
  </w:style>
  <w:style w:type="character" w:customStyle="1" w:styleId="127">
    <w:name w:val="日期 字符"/>
    <w:semiHidden/>
    <w:qFormat/>
    <w:uiPriority w:val="99"/>
    <w:rPr>
      <w:rFonts w:ascii="Calibri" w:hAnsi="Calibri" w:eastAsia="宋体" w:cs="Times New Roman"/>
    </w:rPr>
  </w:style>
  <w:style w:type="character" w:customStyle="1" w:styleId="128">
    <w:name w:val="日期 Char"/>
    <w:link w:val="22"/>
    <w:qFormat/>
    <w:uiPriority w:val="0"/>
    <w:rPr>
      <w:rFonts w:ascii="Times New Roman" w:hAnsi="Times New Roman" w:eastAsia="宋体" w:cs="Times New Roman"/>
      <w:b/>
      <w:bCs/>
      <w:kern w:val="0"/>
      <w:sz w:val="36"/>
      <w:szCs w:val="24"/>
    </w:rPr>
  </w:style>
  <w:style w:type="character" w:customStyle="1" w:styleId="129">
    <w:name w:val="页眉 字符"/>
    <w:semiHidden/>
    <w:qFormat/>
    <w:uiPriority w:val="99"/>
    <w:rPr>
      <w:rFonts w:ascii="Calibri" w:hAnsi="Calibri" w:eastAsia="宋体" w:cs="Times New Roman"/>
      <w:sz w:val="18"/>
      <w:szCs w:val="18"/>
    </w:rPr>
  </w:style>
  <w:style w:type="character" w:customStyle="1" w:styleId="130">
    <w:name w:val="标题 3 字符"/>
    <w:semiHidden/>
    <w:qFormat/>
    <w:uiPriority w:val="9"/>
    <w:rPr>
      <w:rFonts w:ascii="Calibri" w:hAnsi="Calibri" w:eastAsia="宋体" w:cs="Times New Roman"/>
      <w:b/>
      <w:bCs/>
      <w:sz w:val="32"/>
      <w:szCs w:val="32"/>
    </w:rPr>
  </w:style>
  <w:style w:type="character" w:customStyle="1" w:styleId="131">
    <w:name w:val="标题 2 字符"/>
    <w:semiHidden/>
    <w:qFormat/>
    <w:uiPriority w:val="9"/>
    <w:rPr>
      <w:rFonts w:ascii="Calibri Light" w:hAnsi="Calibri Light" w:eastAsia="宋体" w:cs="Times New Roman"/>
      <w:b/>
      <w:bCs/>
      <w:sz w:val="32"/>
      <w:szCs w:val="32"/>
    </w:rPr>
  </w:style>
  <w:style w:type="character" w:customStyle="1" w:styleId="132">
    <w:name w:val="标题 3 Char"/>
    <w:link w:val="4"/>
    <w:qFormat/>
    <w:uiPriority w:val="0"/>
    <w:rPr>
      <w:rFonts w:ascii="Times New Roman" w:hAnsi="Times New Roman" w:eastAsia="楷体_GB2312" w:cs="Times New Roman"/>
      <w:kern w:val="0"/>
      <w:sz w:val="28"/>
      <w:szCs w:val="20"/>
    </w:rPr>
  </w:style>
  <w:style w:type="character" w:customStyle="1" w:styleId="133">
    <w:name w:val="px1233"/>
    <w:qFormat/>
    <w:uiPriority w:val="0"/>
    <w:rPr>
      <w:rFonts w:ascii="Calibri" w:hAnsi="Calibri" w:eastAsia="宋体" w:cs="Times New Roman"/>
    </w:rPr>
  </w:style>
  <w:style w:type="character" w:customStyle="1" w:styleId="134">
    <w:name w:val="标题 4 字符"/>
    <w:semiHidden/>
    <w:qFormat/>
    <w:uiPriority w:val="9"/>
    <w:rPr>
      <w:rFonts w:ascii="Calibri Light" w:hAnsi="Calibri Light" w:eastAsia="宋体" w:cs="Times New Roman"/>
      <w:b/>
      <w:bCs/>
      <w:sz w:val="28"/>
      <w:szCs w:val="28"/>
    </w:rPr>
  </w:style>
  <w:style w:type="character" w:customStyle="1" w:styleId="135">
    <w:name w:val="z-窗体顶端 Char"/>
    <w:link w:val="57"/>
    <w:qFormat/>
    <w:uiPriority w:val="0"/>
    <w:rPr>
      <w:rFonts w:ascii="Arial" w:hAnsi="Arial" w:eastAsia="宋体" w:cs="Times New Roman"/>
      <w:vanish/>
      <w:kern w:val="0"/>
      <w:sz w:val="16"/>
      <w:szCs w:val="16"/>
    </w:rPr>
  </w:style>
  <w:style w:type="character" w:customStyle="1" w:styleId="136">
    <w:name w:val="正文文本缩进 2 Char1"/>
    <w:qFormat/>
    <w:uiPriority w:val="0"/>
    <w:rPr>
      <w:rFonts w:ascii="Times New Roman" w:hAnsi="Times New Roman" w:eastAsia="宋体" w:cs="Times New Roman"/>
      <w:kern w:val="0"/>
      <w:sz w:val="20"/>
      <w:szCs w:val="24"/>
    </w:rPr>
  </w:style>
  <w:style w:type="character" w:customStyle="1" w:styleId="137">
    <w:name w:val="正文首行缩进 2 字符"/>
    <w:semiHidden/>
    <w:qFormat/>
    <w:uiPriority w:val="99"/>
    <w:rPr>
      <w:rFonts w:ascii="Calibri" w:hAnsi="Calibri" w:eastAsia="宋体" w:cs="Times New Roman"/>
    </w:rPr>
  </w:style>
  <w:style w:type="character" w:customStyle="1" w:styleId="138">
    <w:name w:val="页脚 Char1"/>
    <w:link w:val="25"/>
    <w:qFormat/>
    <w:uiPriority w:val="99"/>
    <w:rPr>
      <w:rFonts w:ascii="Times New Roman" w:hAnsi="Times New Roman" w:eastAsia="宋体" w:cs="Times New Roman"/>
      <w:kern w:val="0"/>
      <w:sz w:val="18"/>
      <w:szCs w:val="18"/>
    </w:rPr>
  </w:style>
  <w:style w:type="character" w:customStyle="1" w:styleId="139">
    <w:name w:val="标题 5 Char"/>
    <w:link w:val="6"/>
    <w:qFormat/>
    <w:uiPriority w:val="0"/>
    <w:rPr>
      <w:rFonts w:ascii="Times New Roman" w:hAnsi="Times New Roman" w:eastAsia="宋体" w:cs="Times New Roman"/>
      <w:b/>
      <w:bCs/>
      <w:kern w:val="0"/>
      <w:sz w:val="28"/>
      <w:szCs w:val="28"/>
    </w:rPr>
  </w:style>
  <w:style w:type="character" w:customStyle="1" w:styleId="140">
    <w:name w:val="正文文本缩进 字符"/>
    <w:semiHidden/>
    <w:qFormat/>
    <w:uiPriority w:val="99"/>
    <w:rPr>
      <w:rFonts w:ascii="Calibri" w:hAnsi="Calibri" w:eastAsia="宋体" w:cs="Times New Roman"/>
    </w:rPr>
  </w:style>
  <w:style w:type="character" w:customStyle="1" w:styleId="141">
    <w:name w:val="文档结构图 Char"/>
    <w:link w:val="11"/>
    <w:qFormat/>
    <w:uiPriority w:val="0"/>
    <w:rPr>
      <w:rFonts w:ascii="Times New Roman" w:hAnsi="Times New Roman" w:eastAsia="宋体" w:cs="Times New Roman"/>
      <w:kern w:val="0"/>
      <w:sz w:val="20"/>
      <w:szCs w:val="24"/>
    </w:rPr>
  </w:style>
  <w:style w:type="character" w:customStyle="1" w:styleId="142">
    <w:name w:val="z-窗体顶端 字符"/>
    <w:semiHidden/>
    <w:qFormat/>
    <w:uiPriority w:val="99"/>
    <w:rPr>
      <w:rFonts w:ascii="Arial" w:hAnsi="Arial" w:eastAsia="宋体" w:cs="Arial"/>
      <w:vanish/>
      <w:sz w:val="16"/>
      <w:szCs w:val="16"/>
    </w:rPr>
  </w:style>
  <w:style w:type="character" w:customStyle="1" w:styleId="143">
    <w:name w:val="正文文本缩进 3 字符"/>
    <w:semiHidden/>
    <w:qFormat/>
    <w:uiPriority w:val="99"/>
    <w:rPr>
      <w:rFonts w:ascii="Calibri" w:hAnsi="Calibri" w:eastAsia="宋体" w:cs="Times New Roman"/>
      <w:sz w:val="16"/>
      <w:szCs w:val="16"/>
    </w:rPr>
  </w:style>
  <w:style w:type="character" w:customStyle="1" w:styleId="144">
    <w:name w:val="脚注文本 字符"/>
    <w:semiHidden/>
    <w:qFormat/>
    <w:uiPriority w:val="99"/>
    <w:rPr>
      <w:rFonts w:ascii="Calibri" w:hAnsi="Calibri" w:eastAsia="宋体" w:cs="Times New Roman"/>
      <w:sz w:val="18"/>
      <w:szCs w:val="18"/>
    </w:rPr>
  </w:style>
  <w:style w:type="character" w:customStyle="1" w:styleId="145">
    <w:name w:val="zbggmain style9"/>
    <w:qFormat/>
    <w:uiPriority w:val="0"/>
    <w:rPr>
      <w:rFonts w:ascii="Calibri" w:hAnsi="Calibri" w:eastAsia="宋体" w:cs="Times New Roman"/>
    </w:rPr>
  </w:style>
  <w:style w:type="character" w:customStyle="1" w:styleId="146">
    <w:name w:val="z-窗体底端 字符"/>
    <w:semiHidden/>
    <w:qFormat/>
    <w:uiPriority w:val="99"/>
    <w:rPr>
      <w:rFonts w:ascii="Arial" w:hAnsi="Arial" w:eastAsia="宋体" w:cs="Arial"/>
      <w:vanish/>
      <w:sz w:val="16"/>
      <w:szCs w:val="16"/>
    </w:rPr>
  </w:style>
  <w:style w:type="character" w:customStyle="1" w:styleId="147">
    <w:name w:val="纯文本 Char1"/>
    <w:link w:val="19"/>
    <w:qFormat/>
    <w:uiPriority w:val="0"/>
    <w:rPr>
      <w:rFonts w:ascii="宋体" w:hAnsi="Courier New" w:eastAsia="宋体" w:cs="Times New Roman"/>
      <w:kern w:val="0"/>
      <w:sz w:val="20"/>
      <w:szCs w:val="21"/>
    </w:rPr>
  </w:style>
  <w:style w:type="character" w:customStyle="1" w:styleId="148">
    <w:name w:val="标题 4 Char"/>
    <w:link w:val="5"/>
    <w:qFormat/>
    <w:uiPriority w:val="0"/>
    <w:rPr>
      <w:rFonts w:ascii="Arial" w:hAnsi="Arial" w:eastAsia="黑体" w:cs="Times New Roman"/>
      <w:b/>
      <w:bCs/>
      <w:kern w:val="0"/>
      <w:sz w:val="28"/>
      <w:szCs w:val="28"/>
    </w:rPr>
  </w:style>
  <w:style w:type="character" w:customStyle="1" w:styleId="149">
    <w:name w:val="正文首行缩进 字符"/>
    <w:semiHidden/>
    <w:qFormat/>
    <w:uiPriority w:val="99"/>
    <w:rPr>
      <w:rFonts w:ascii="Calibri" w:hAnsi="Calibri" w:eastAsia="宋体" w:cs="Times New Roman"/>
    </w:rPr>
  </w:style>
  <w:style w:type="character" w:customStyle="1" w:styleId="150">
    <w:name w:val="页脚 Char"/>
    <w:qFormat/>
    <w:uiPriority w:val="99"/>
    <w:rPr>
      <w:rFonts w:ascii="Times New Roman" w:hAnsi="Times New Roman" w:eastAsia="宋体" w:cs="Times New Roman"/>
      <w:sz w:val="18"/>
      <w:szCs w:val="18"/>
    </w:rPr>
  </w:style>
  <w:style w:type="character" w:customStyle="1" w:styleId="151">
    <w:name w:val="标题 1 Char"/>
    <w:qFormat/>
    <w:uiPriority w:val="0"/>
    <w:rPr>
      <w:rFonts w:ascii="Times New Roman" w:hAnsi="Times New Roman" w:eastAsia="宋体" w:cs="Times New Roman"/>
      <w:b/>
      <w:bCs/>
      <w:kern w:val="44"/>
      <w:sz w:val="44"/>
      <w:szCs w:val="44"/>
    </w:rPr>
  </w:style>
  <w:style w:type="paragraph" w:customStyle="1" w:styleId="152">
    <w:name w:val="列出段落21"/>
    <w:basedOn w:val="1"/>
    <w:qFormat/>
    <w:uiPriority w:val="0"/>
    <w:pPr>
      <w:ind w:firstLine="420" w:firstLineChars="200"/>
    </w:pPr>
  </w:style>
  <w:style w:type="paragraph" w:customStyle="1" w:styleId="15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5667</Words>
  <Characters>32303</Characters>
  <Lines>269</Lines>
  <Paragraphs>75</Paragraphs>
  <TotalTime>7</TotalTime>
  <ScaleCrop>false</ScaleCrop>
  <LinksUpToDate>false</LinksUpToDate>
  <CharactersWithSpaces>37895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2019-08-05T03:14:00Z</dcterms:created>
  <dc:creator>dell</dc:creator>
  <cp:lastModifiedBy>贾思勰</cp:lastModifiedBy>
  <dcterms:modified xsi:type="dcterms:W3CDTF">2019-08-12T03:15:06Z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