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国际快件中心监控新增和围界报警系统改造</w:t>
      </w:r>
      <w:r>
        <w:rPr>
          <w:rFonts w:hint="eastAsia" w:eastAsia="黑体" w:cs="Calibri"/>
          <w:b/>
          <w:sz w:val="44"/>
          <w:szCs w:val="44"/>
        </w:rPr>
        <w:t>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招标文件</w:t>
      </w: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textAlignment w:val="bottom"/>
        <w:rPr>
          <w:rFonts w:ascii="宋体"/>
          <w:bCs/>
          <w:sz w:val="32"/>
          <w:szCs w:val="32"/>
        </w:rPr>
      </w:pPr>
      <w:r>
        <w:rPr>
          <w:rFonts w:ascii="宋体" w:hAnsi="宋体"/>
          <w:b/>
          <w:sz w:val="32"/>
          <w:szCs w:val="32"/>
        </w:rPr>
        <w:t xml:space="preserve">                             </w:t>
      </w:r>
    </w:p>
    <w:p>
      <w:pPr>
        <w:widowControl/>
        <w:autoSpaceDE w:val="0"/>
        <w:autoSpaceDN w:val="0"/>
        <w:snapToGrid w:val="0"/>
        <w:spacing w:line="560" w:lineRule="exact"/>
        <w:textAlignment w:val="bottom"/>
        <w:rPr>
          <w:rFonts w:ascii="宋体"/>
          <w:b/>
          <w:sz w:val="32"/>
          <w:szCs w:val="32"/>
        </w:rPr>
      </w:pPr>
      <w:r>
        <w:rPr>
          <w:rFonts w:ascii="宋体" w:hAnsi="宋体"/>
          <w:bCs/>
          <w:sz w:val="32"/>
          <w:szCs w:val="32"/>
        </w:rPr>
        <w:t xml:space="preserve">                             </w:t>
      </w: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31"/>
        <w:spacing w:line="480" w:lineRule="auto"/>
        <w:jc w:val="center"/>
        <w:rPr>
          <w:rFonts w:ascii="宋体"/>
          <w:b/>
          <w:bCs/>
          <w:sz w:val="32"/>
          <w:szCs w:val="32"/>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八</w:t>
      </w:r>
      <w:r>
        <w:rPr>
          <w:rFonts w:hint="eastAsia" w:ascii="Calibri" w:hAnsi="Calibri" w:eastAsia="黑体" w:cs="Calibri"/>
          <w:sz w:val="32"/>
          <w:szCs w:val="32"/>
        </w:rPr>
        <w:t>月</w:t>
      </w: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w:t>
      </w:r>
      <w:r>
        <w:rPr>
          <w:b/>
          <w:bCs/>
          <w:sz w:val="44"/>
          <w:szCs w:val="44"/>
        </w:rPr>
        <w:t xml:space="preserve">  </w:t>
      </w:r>
      <w:r>
        <w:rPr>
          <w:rFonts w:hint="eastAsia"/>
          <w:b/>
          <w:bCs/>
          <w:sz w:val="44"/>
          <w:szCs w:val="44"/>
        </w:rPr>
        <w:t>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276" w:lineRule="auto"/>
        <w:rPr>
          <w:rFonts w:ascii="宋体" w:hAnsi="宋体" w:eastAsia="宋体"/>
          <w:szCs w:val="22"/>
        </w:rPr>
      </w:pPr>
      <w:r>
        <w:rPr>
          <w:rFonts w:ascii="宋体" w:hAnsi="宋体" w:eastAsia="宋体"/>
          <w:b/>
          <w:sz w:val="22"/>
          <w:szCs w:val="22"/>
        </w:rPr>
        <w:fldChar w:fldCharType="begin"/>
      </w:r>
      <w:r>
        <w:rPr>
          <w:rFonts w:ascii="宋体" w:hAnsi="宋体" w:eastAsia="宋体"/>
          <w:b/>
          <w:sz w:val="22"/>
          <w:szCs w:val="22"/>
        </w:rPr>
        <w:instrText xml:space="preserve"> TOC \o "1-1" \h \z \u </w:instrText>
      </w:r>
      <w:r>
        <w:rPr>
          <w:rFonts w:ascii="宋体" w:hAnsi="宋体" w:eastAsia="宋体"/>
          <w:b/>
          <w:sz w:val="22"/>
          <w:szCs w:val="22"/>
        </w:rPr>
        <w:fldChar w:fldCharType="separate"/>
      </w: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"_Toc13826045"</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第一章</w:t>
      </w:r>
      <w:r>
        <w:rPr>
          <w:rStyle w:val="62"/>
          <w:rFonts w:hint="eastAsia" w:ascii="宋体" w:hAnsi="宋体" w:eastAsia="宋体"/>
        </w:rPr>
        <w:t xml:space="preserve"> </w:t>
      </w:r>
      <w:r>
        <w:rPr>
          <w:rStyle w:val="62"/>
          <w:rFonts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_Toc13826045 \h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"_Toc13826046"</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第二章  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_Toc13826046 \h </w:instrText>
      </w:r>
      <w:r>
        <w:rPr>
          <w:rFonts w:ascii="宋体" w:hAnsi="宋体" w:eastAsia="宋体"/>
        </w:rPr>
        <w:fldChar w:fldCharType="separate"/>
      </w:r>
      <w:r>
        <w:rPr>
          <w:rFonts w:ascii="宋体" w:hAnsi="宋体" w:eastAsia="宋体"/>
        </w:rPr>
        <w:t>4</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"_Toc13826047"</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第三章  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_Toc13826047 \h </w:instrText>
      </w:r>
      <w:r>
        <w:rPr>
          <w:rFonts w:ascii="宋体" w:hAnsi="宋体" w:eastAsia="宋体"/>
        </w:rPr>
        <w:fldChar w:fldCharType="separate"/>
      </w:r>
      <w:r>
        <w:rPr>
          <w:rFonts w:ascii="宋体" w:hAnsi="宋体" w:eastAsia="宋体"/>
        </w:rPr>
        <w:t>14</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"_Toc13826048"</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第四章  参考工程量清单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_Toc13826048 \h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"_Toc13826049"</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第五章  图纸</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_Toc13826049 \h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"_Toc13826050"</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第七章  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_Toc13826050 \h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r>
        <w:rPr>
          <w:rStyle w:val="62"/>
          <w:rFonts w:ascii="宋体" w:hAnsi="宋体" w:eastAsia="宋体"/>
        </w:rPr>
        <w:fldChar w:fldCharType="begin"/>
      </w:r>
      <w:r>
        <w:rPr>
          <w:rStyle w:val="62"/>
          <w:rFonts w:ascii="宋体" w:hAnsi="宋体" w:eastAsia="宋体"/>
        </w:rPr>
        <w:instrText xml:space="preserve"> </w:instrText>
      </w:r>
      <w:r>
        <w:rPr>
          <w:rFonts w:ascii="宋体" w:hAnsi="宋体" w:eastAsia="宋体"/>
        </w:rPr>
        <w:instrText xml:space="preserve">HYPERLINK \l "_Toc13826051"</w:instrText>
      </w:r>
      <w:r>
        <w:rPr>
          <w:rStyle w:val="62"/>
          <w:rFonts w:ascii="宋体" w:hAnsi="宋体" w:eastAsia="宋体"/>
        </w:rPr>
        <w:instrText xml:space="preserve"> </w:instrText>
      </w:r>
      <w:r>
        <w:rPr>
          <w:rStyle w:val="62"/>
          <w:rFonts w:ascii="宋体" w:hAnsi="宋体" w:eastAsia="宋体"/>
        </w:rPr>
        <w:fldChar w:fldCharType="separate"/>
      </w:r>
      <w:r>
        <w:rPr>
          <w:rStyle w:val="62"/>
          <w:rFonts w:ascii="宋体" w:hAnsi="宋体" w:eastAsia="宋体"/>
        </w:rPr>
        <w:t>技术规格书</w:t>
      </w:r>
      <w:r>
        <w:rPr>
          <w:rFonts w:ascii="宋体" w:hAnsi="宋体" w:eastAsia="宋体"/>
        </w:rPr>
        <w:tab/>
      </w:r>
      <w:r>
        <w:rPr>
          <w:rFonts w:ascii="宋体" w:hAnsi="宋体" w:eastAsia="宋体"/>
        </w:rPr>
        <w:fldChar w:fldCharType="begin"/>
      </w:r>
      <w:r>
        <w:rPr>
          <w:rFonts w:ascii="宋体" w:hAnsi="宋体" w:eastAsia="宋体"/>
        </w:rPr>
        <w:instrText xml:space="preserve"> PAGEREF _Toc13826051 \h </w:instrText>
      </w:r>
      <w:r>
        <w:rPr>
          <w:rFonts w:ascii="宋体" w:hAnsi="宋体" w:eastAsia="宋体"/>
        </w:rPr>
        <w:fldChar w:fldCharType="separate"/>
      </w:r>
      <w:r>
        <w:rPr>
          <w:rFonts w:ascii="宋体" w:hAnsi="宋体" w:eastAsia="宋体"/>
        </w:rPr>
        <w:t>95</w:t>
      </w:r>
      <w:r>
        <w:rPr>
          <w:rFonts w:ascii="宋体" w:hAnsi="宋体" w:eastAsia="宋体"/>
        </w:rPr>
        <w:fldChar w:fldCharType="end"/>
      </w:r>
      <w:r>
        <w:rPr>
          <w:rStyle w:val="62"/>
          <w:rFonts w:ascii="宋体" w:hAnsi="宋体" w:eastAsia="宋体"/>
        </w:rPr>
        <w:fldChar w:fldCharType="end"/>
      </w:r>
    </w:p>
    <w:p>
      <w:pPr>
        <w:pStyle w:val="39"/>
        <w:tabs>
          <w:tab w:val="right" w:leader="dot" w:pos="8290"/>
        </w:tabs>
        <w:spacing w:line="276" w:lineRule="auto"/>
        <w:rPr>
          <w:rFonts w:ascii="宋体" w:hAnsi="宋体" w:eastAsia="宋体"/>
          <w:szCs w:val="22"/>
        </w:rPr>
      </w:pPr>
    </w:p>
    <w:p>
      <w:pPr>
        <w:pStyle w:val="72"/>
        <w:tabs>
          <w:tab w:val="right" w:leader="dot" w:pos="8300"/>
        </w:tabs>
        <w:spacing w:line="276" w:lineRule="auto"/>
        <w:ind w:firstLine="0" w:firstLineChars="0"/>
        <w:rPr>
          <w:rFonts w:ascii="宋体" w:cs="宋体"/>
          <w:color w:val="000000"/>
          <w:szCs w:val="21"/>
        </w:rPr>
      </w:pPr>
      <w:r>
        <w:rPr>
          <w:rFonts w:ascii="宋体" w:hAnsi="宋体"/>
          <w:b/>
          <w:sz w:val="22"/>
        </w:rPr>
        <w:fldChar w:fldCharType="end"/>
      </w:r>
      <w:r>
        <w:rPr>
          <w:rFonts w:ascii="宋体" w:cs="宋体"/>
          <w:color w:val="000000"/>
          <w:szCs w:val="21"/>
        </w:rPr>
        <w:t xml:space="preserve"> </w:t>
      </w:r>
    </w:p>
    <w:p>
      <w:pPr>
        <w:tabs>
          <w:tab w:val="right" w:leader="dot" w:pos="8364"/>
        </w:tabs>
        <w:spacing w:line="360" w:lineRule="auto"/>
        <w:rPr>
          <w:b/>
        </w:rPr>
      </w:pP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b/>
        </w:rPr>
        <w:t xml:space="preserve">                                                          </w:t>
      </w:r>
    </w:p>
    <w:p>
      <w:pPr>
        <w:pStyle w:val="53"/>
      </w:pPr>
      <w:bookmarkStart w:id="0" w:name="_Toc13826045"/>
      <w:r>
        <w:rPr>
          <w:rFonts w:hint="eastAsia"/>
        </w:rPr>
        <w:t>第一章</w:t>
      </w:r>
      <w:r>
        <w:t xml:space="preserve"> </w:t>
      </w:r>
      <w:r>
        <w:rPr>
          <w:rFonts w:hint="eastAsia"/>
        </w:rPr>
        <w:t>招标公告</w:t>
      </w:r>
      <w:bookmarkEnd w:id="0"/>
    </w:p>
    <w:p>
      <w:pPr>
        <w:pStyle w:val="4"/>
        <w:numPr>
          <w:ilvl w:val="0"/>
          <w:numId w:val="0"/>
        </w:numPr>
        <w:rPr>
          <w:rFonts w:cs="Arial"/>
          <w:b w:val="0"/>
          <w:bCs/>
          <w:sz w:val="22"/>
          <w:szCs w:val="22"/>
        </w:rPr>
      </w:pPr>
    </w:p>
    <w:p>
      <w:pPr>
        <w:pStyle w:val="73"/>
        <w:widowControl/>
        <w:numPr>
          <w:ilvl w:val="0"/>
          <w:numId w:val="0"/>
        </w:numPr>
        <w:snapToGrid w:val="0"/>
        <w:spacing w:line="360" w:lineRule="exact"/>
        <w:ind w:leftChars="0"/>
        <w:jc w:val="left"/>
        <w:rPr>
          <w:rFonts w:asci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lang w:eastAsia="zh-CN"/>
        </w:rPr>
        <w:t>（一）</w:t>
      </w:r>
      <w:r>
        <w:rPr>
          <w:rFonts w:hint="eastAsia" w:ascii="等线" w:hAnsi="等线" w:cs="Arial"/>
          <w:kern w:val="0"/>
          <w:sz w:val="22"/>
          <w:szCs w:val="22"/>
        </w:rPr>
        <w:t>项目概况：</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响应海关、物流公司要求，在国际快件中心（原联邦快递）库区新增98个摄像机；在改建后的围界新增围界报警设备。</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（二）招标内容：</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（1）国际快件中心库区监控：</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1、国际快件中心监控安装：</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 xml:space="preserve">  在国际快件中心新增监控摄像机98个。其中海关专用摄像机50个，接入海关专网，录像存储90天；机场专用摄像机48个，接入本场现有安防网，录像存储90天。</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2、信号传输光缆敷设：</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 xml:space="preserve">  从国际快件中心库区的弱电机房敷设一根48芯的光缆至货站B区进线间；</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 xml:space="preserve">  从货站A区进线间敷设一根24芯光缆至货站A区物流运控室；</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 xml:space="preserve">  从货站B区消控室敷设一根24芯光缆至海关中心机房（货站B区消控室楼上）。</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lang w:eastAsia="zh-CN"/>
        </w:rPr>
        <w:t>（</w:t>
      </w:r>
      <w:r>
        <w:rPr>
          <w:rFonts w:hint="eastAsia" w:ascii="等线" w:hAnsi="等线" w:cs="Arial"/>
          <w:kern w:val="0"/>
          <w:sz w:val="22"/>
          <w:szCs w:val="22"/>
          <w:lang w:val="en-US" w:eastAsia="zh-CN"/>
        </w:rPr>
        <w:t>2</w:t>
      </w:r>
      <w:r>
        <w:rPr>
          <w:rFonts w:hint="eastAsia" w:ascii="等线" w:hAnsi="等线" w:cs="Arial"/>
          <w:kern w:val="0"/>
          <w:sz w:val="22"/>
          <w:szCs w:val="22"/>
          <w:lang w:eastAsia="zh-CN"/>
        </w:rPr>
        <w:t>）</w:t>
      </w:r>
      <w:r>
        <w:rPr>
          <w:rFonts w:hint="eastAsia" w:ascii="等线" w:hAnsi="等线" w:cs="Arial"/>
          <w:kern w:val="0"/>
          <w:sz w:val="22"/>
          <w:szCs w:val="22"/>
        </w:rPr>
        <w:t>新建物理围界加装报警系统：</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国际快件库改造完成后会新增约350米物理围界，2号道口至五号安防箱之间的现有物理围界将失去隔离作用。现需将2号道口至五号安防箱之间物理围界现有的约250米的围界报警系统相关设备迁移至新增的物理围界上，同时新增部分围界报警系统设备，使新增的物理围界上覆盖报警系统。迁移与新增的围界报警设备接入现有一期飞行区围界报警系统。</w:t>
      </w:r>
    </w:p>
    <w:p>
      <w:pPr>
        <w:widowControl/>
        <w:adjustRightInd w:val="0"/>
        <w:snapToGrid w:val="0"/>
        <w:spacing w:line="340" w:lineRule="exact"/>
        <w:ind w:firstLine="440" w:firstLineChars="200"/>
        <w:rPr>
          <w:rFonts w:hint="eastAsia" w:ascii="等线" w:hAnsi="等线" w:cs="Arial"/>
          <w:kern w:val="0"/>
          <w:sz w:val="22"/>
          <w:szCs w:val="22"/>
        </w:rPr>
      </w:pPr>
      <w:r>
        <w:rPr>
          <w:rFonts w:hint="eastAsia" w:ascii="等线" w:hAnsi="等线" w:cs="Arial"/>
          <w:kern w:val="0"/>
          <w:sz w:val="22"/>
          <w:szCs w:val="22"/>
        </w:rPr>
        <w:t xml:space="preserve">详细内容见技术规格书。 </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二、投标人资格要求</w:t>
      </w:r>
      <w:r>
        <w:rPr>
          <w:rFonts w:asci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等线" w:hAnsi="等线" w:cs="Arial"/>
          <w:kern w:val="0"/>
          <w:sz w:val="22"/>
          <w:szCs w:val="22"/>
        </w:rPr>
        <w:t>（1）</w:t>
      </w:r>
      <w:r>
        <w:rPr>
          <w:rFonts w:hint="eastAsia" w:ascii="宋体" w:hAnsi="宋体" w:cs="宋体"/>
          <w:sz w:val="22"/>
          <w:szCs w:val="22"/>
        </w:rPr>
        <w:t>投标人具备电子与智能化工程专业承包二级及以上或民航空管工程及机场弱电系统工程专业承包二级及以上资质（需提供证明文件并加盖公章，原件备查）；</w:t>
      </w:r>
    </w:p>
    <w:p>
      <w:pPr>
        <w:widowControl/>
        <w:adjustRightInd w:val="0"/>
        <w:snapToGrid w:val="0"/>
        <w:spacing w:line="340" w:lineRule="exact"/>
        <w:ind w:firstLine="440" w:firstLineChars="200"/>
        <w:rPr>
          <w:rFonts w:ascii="宋体" w:hAnsi="宋体" w:cs="宋体"/>
          <w:sz w:val="22"/>
          <w:szCs w:val="22"/>
        </w:rPr>
      </w:pPr>
      <w:r>
        <w:rPr>
          <w:rFonts w:hint="eastAsia" w:ascii="等线" w:hAnsi="等线"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等线" w:hAnsi="等线"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机电   </w:t>
      </w:r>
      <w:r>
        <w:rPr>
          <w:rFonts w:hint="eastAsia" w:ascii="宋体" w:hAnsi="宋体" w:cs="宋体"/>
          <w:sz w:val="22"/>
          <w:szCs w:val="22"/>
        </w:rPr>
        <w:t>专业</w:t>
      </w:r>
      <w:r>
        <w:rPr>
          <w:rFonts w:hint="eastAsia" w:ascii="宋体" w:hAnsi="宋体" w:cs="宋体"/>
          <w:sz w:val="22"/>
          <w:szCs w:val="22"/>
          <w:u w:val="single"/>
        </w:rPr>
        <w:t xml:space="preserve">  贰级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hint="eastAsia" w:ascii="宋体" w:hAnsi="宋体" w:cs="Arial"/>
          <w:color w:val="000000"/>
          <w:kern w:val="0"/>
          <w:sz w:val="22"/>
        </w:rPr>
      </w:pPr>
      <w:r>
        <w:rPr>
          <w:rFonts w:hint="eastAsia" w:ascii="等线" w:hAnsi="等线" w:cs="Arial"/>
          <w:kern w:val="0"/>
          <w:sz w:val="22"/>
          <w:szCs w:val="22"/>
        </w:rPr>
        <w:t>（</w:t>
      </w:r>
      <w:r>
        <w:rPr>
          <w:rFonts w:ascii="等线" w:hAnsi="等线" w:cs="Arial"/>
          <w:kern w:val="0"/>
          <w:sz w:val="22"/>
          <w:szCs w:val="22"/>
        </w:rPr>
        <w:t>4</w:t>
      </w:r>
      <w:r>
        <w:rPr>
          <w:rFonts w:hint="eastAsia" w:ascii="等线" w:hAnsi="等线" w:cs="Arial"/>
          <w:kern w:val="0"/>
          <w:sz w:val="22"/>
          <w:szCs w:val="22"/>
        </w:rPr>
        <w:t>）</w:t>
      </w:r>
      <w:r>
        <w:rPr>
          <w:rFonts w:ascii="等线" w:hAnsi="等线" w:cs="Arial"/>
          <w:kern w:val="0"/>
          <w:sz w:val="22"/>
          <w:szCs w:val="22"/>
        </w:rPr>
        <w:t>本项目不接受联合</w:t>
      </w:r>
      <w:r>
        <w:rPr>
          <w:rFonts w:hint="eastAsia" w:ascii="等线" w:hAnsi="等线" w:cs="Arial"/>
          <w:kern w:val="0"/>
          <w:sz w:val="22"/>
          <w:szCs w:val="22"/>
        </w:rPr>
        <w:t>体</w:t>
      </w:r>
      <w:r>
        <w:rPr>
          <w:rFonts w:ascii="等线" w:hAnsi="等线" w:cs="Arial"/>
          <w:kern w:val="0"/>
          <w:sz w:val="22"/>
          <w:szCs w:val="22"/>
        </w:rPr>
        <w:t>投标</w:t>
      </w:r>
      <w:r>
        <w:rPr>
          <w:rFonts w:hint="eastAsia" w:ascii="等线" w:hAnsi="等线" w:cs="Arial"/>
          <w:kern w:val="0"/>
          <w:sz w:val="22"/>
          <w:szCs w:val="22"/>
        </w:rPr>
        <w:t>。</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HYPERLINK "http://www.hzairport.com/zbxx.aspx"</w:instrText>
      </w:r>
      <w:r>
        <w:fldChar w:fldCharType="separate"/>
      </w:r>
      <w:r>
        <w:rPr>
          <w:rFonts w:ascii="宋体" w:hAnsi="宋体" w:cs="Arial"/>
          <w:kern w:val="0"/>
          <w:sz w:val="22"/>
          <w:szCs w:val="22"/>
        </w:rPr>
        <w:t>http://www.hzairport.com/zbxx.aspx</w:t>
      </w:r>
      <w: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四、投标文件的递交</w:t>
      </w:r>
    </w:p>
    <w:p>
      <w:pPr>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）投标文件递交截止时间：</w:t>
      </w: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4</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分（北京时间）。投标文件在封口处加盖公章，并派专人于</w:t>
      </w: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4</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分（北京时间）前送至杭州萧山国际机场翔越路综合服务楼园区招标中心，逾期无效；若采用投递方式的，请于</w:t>
      </w: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4</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分（北京时间）前投递至杭州萧山国际机场综合楼</w:t>
      </w:r>
      <w:r>
        <w:rPr>
          <w:rFonts w:ascii="宋体" w:hAnsi="宋体" w:cs="Arial"/>
          <w:kern w:val="0"/>
          <w:sz w:val="22"/>
        </w:rPr>
        <w:t>213</w:t>
      </w:r>
      <w:r>
        <w:rPr>
          <w:rFonts w:hint="eastAsia" w:ascii="宋体" w:hAnsi="宋体" w:cs="Arial"/>
          <w:kern w:val="0"/>
          <w:sz w:val="22"/>
        </w:rPr>
        <w:t>室，逾期无效。</w:t>
      </w:r>
    </w:p>
    <w:p>
      <w:pPr>
        <w:adjustRightInd w:val="0"/>
        <w:snapToGrid w:val="0"/>
        <w:spacing w:line="276" w:lineRule="auto"/>
        <w:ind w:firstLine="440" w:firstLineChars="200"/>
        <w:rPr>
          <w:rFonts w:ascii="宋体" w:hAnsi="宋体" w:cs="Arial"/>
          <w:color w:val="000000"/>
          <w:kern w:val="0"/>
          <w:sz w:val="22"/>
        </w:rPr>
      </w:pPr>
      <w:r>
        <w:rPr>
          <w:rFonts w:hint="eastAsia" w:ascii="宋体" w:hAnsi="宋体" w:cs="Arial"/>
          <w:color w:val="000000"/>
          <w:kern w:val="0"/>
          <w:sz w:val="22"/>
        </w:rPr>
        <w:t>（</w:t>
      </w:r>
      <w:r>
        <w:rPr>
          <w:rFonts w:ascii="宋体" w:hAnsi="宋体" w:cs="Arial"/>
          <w:color w:val="000000"/>
          <w:kern w:val="0"/>
          <w:sz w:val="22"/>
        </w:rPr>
        <w:t>2</w:t>
      </w:r>
      <w:r>
        <w:rPr>
          <w:rFonts w:hint="eastAsia" w:ascii="宋体" w:hAnsi="宋体" w:cs="Arial"/>
          <w:color w:val="000000"/>
          <w:kern w:val="0"/>
          <w:sz w:val="22"/>
        </w:rPr>
        <w:t>）</w:t>
      </w:r>
      <w:r>
        <w:rPr>
          <w:rFonts w:hint="eastAsia" w:ascii="宋体" w:hAnsi="宋体"/>
          <w:color w:val="000000"/>
          <w:sz w:val="22"/>
        </w:rPr>
        <w:t>逾期送达或者未送达指定地点的投标文件，招标人不予受理。</w:t>
      </w:r>
    </w:p>
    <w:p>
      <w:pPr>
        <w:snapToGrid w:val="0"/>
        <w:spacing w:line="276" w:lineRule="auto"/>
        <w:jc w:val="left"/>
        <w:rPr>
          <w:rFonts w:ascii="宋体" w:hAnsi="宋体" w:cs="Arial"/>
          <w:b/>
          <w:bCs/>
          <w:color w:val="000000"/>
          <w:kern w:val="0"/>
          <w:sz w:val="22"/>
        </w:rPr>
      </w:pPr>
      <w:r>
        <w:rPr>
          <w:rFonts w:hint="eastAsia" w:ascii="宋体" w:hAnsi="宋体" w:cs="Arial"/>
          <w:b/>
          <w:bCs/>
          <w:color w:val="000000"/>
          <w:kern w:val="0"/>
          <w:sz w:val="22"/>
        </w:rPr>
        <w:t>五、发布公告的媒介</w:t>
      </w:r>
    </w:p>
    <w:p>
      <w:pPr>
        <w:adjustRightInd w:val="0"/>
        <w:snapToGrid w:val="0"/>
        <w:spacing w:line="276" w:lineRule="auto"/>
        <w:ind w:firstLine="440" w:firstLineChars="200"/>
        <w:rPr>
          <w:rFonts w:hint="eastAsia" w:ascii="宋体" w:hAnsi="宋体" w:cs="Arial"/>
          <w:kern w:val="0"/>
          <w:sz w:val="22"/>
        </w:rPr>
      </w:pPr>
      <w:r>
        <w:rPr>
          <w:rFonts w:hint="eastAsia" w:ascii="宋体" w:hAnsi="宋体" w:cs="Arial"/>
          <w:kern w:val="0"/>
          <w:sz w:val="22"/>
        </w:rPr>
        <w:t>本次招标公告在中国采购与招标网和杭州萧山机场有限公司主页上发布</w:t>
      </w:r>
    </w:p>
    <w:p>
      <w:pPr>
        <w:adjustRightInd w:val="0"/>
        <w:snapToGrid w:val="0"/>
        <w:spacing w:line="276" w:lineRule="auto"/>
        <w:ind w:firstLine="440" w:firstLineChars="200"/>
        <w:rPr>
          <w:rFonts w:hint="eastAsia" w:ascii="宋体" w:hAnsi="宋体" w:cs="Arial"/>
          <w:kern w:val="0"/>
          <w:sz w:val="22"/>
        </w:rPr>
      </w:pPr>
      <w:r>
        <w:rPr>
          <w:rFonts w:hint="eastAsia" w:ascii="宋体" w:hAnsi="宋体" w:cs="Arial"/>
          <w:kern w:val="0"/>
          <w:sz w:val="22"/>
        </w:rPr>
        <w:t>中国采购与招标网</w:t>
      </w:r>
      <w:r>
        <w:rPr>
          <w:rFonts w:hint="eastAsia" w:ascii="宋体" w:hAnsi="宋体" w:cs="Arial"/>
          <w:kern w:val="0"/>
          <w:sz w:val="22"/>
        </w:rPr>
        <w:fldChar w:fldCharType="begin"/>
      </w:r>
      <w:r>
        <w:rPr>
          <w:rFonts w:hint="eastAsia" w:ascii="宋体" w:hAnsi="宋体" w:cs="Arial"/>
          <w:kern w:val="0"/>
          <w:sz w:val="22"/>
        </w:rPr>
        <w:instrText xml:space="preserve">HYPERLINK "http://www.chinabidding.com.cn/"</w:instrText>
      </w:r>
      <w:r>
        <w:rPr>
          <w:rFonts w:hint="eastAsia" w:ascii="宋体" w:hAnsi="宋体" w:cs="Arial"/>
          <w:kern w:val="0"/>
          <w:sz w:val="22"/>
        </w:rPr>
        <w:fldChar w:fldCharType="separate"/>
      </w:r>
      <w:r>
        <w:rPr>
          <w:rFonts w:hint="eastAsia" w:ascii="宋体" w:hAnsi="宋体" w:cs="Arial"/>
          <w:kern w:val="0"/>
          <w:sz w:val="22"/>
        </w:rPr>
        <w:t>http://www.chinabidding.com.cn</w:t>
      </w:r>
      <w:r>
        <w:rPr>
          <w:rFonts w:hint="eastAsia" w:ascii="宋体" w:hAnsi="宋体" w:cs="Arial"/>
          <w:kern w:val="0"/>
          <w:sz w:val="22"/>
        </w:rPr>
        <w:fldChar w:fldCharType="end"/>
      </w:r>
    </w:p>
    <w:p>
      <w:pPr>
        <w:adjustRightInd w:val="0"/>
        <w:snapToGrid w:val="0"/>
        <w:spacing w:line="276" w:lineRule="auto"/>
        <w:ind w:firstLine="440" w:firstLineChars="200"/>
        <w:rPr>
          <w:rFonts w:hint="eastAsia" w:ascii="宋体" w:hAnsi="宋体" w:cs="Arial"/>
          <w:kern w:val="0"/>
          <w:sz w:val="22"/>
        </w:rPr>
      </w:pPr>
      <w:r>
        <w:rPr>
          <w:rFonts w:hint="eastAsia" w:ascii="宋体" w:hAnsi="宋体" w:cs="Arial"/>
          <w:kern w:val="0"/>
          <w:sz w:val="22"/>
        </w:rPr>
        <w:t>杭州萧山机场有限公司主页http://www.hzairport.com</w:t>
      </w:r>
    </w:p>
    <w:p>
      <w:pPr>
        <w:snapToGrid w:val="0"/>
        <w:spacing w:line="276" w:lineRule="auto"/>
        <w:jc w:val="left"/>
        <w:rPr>
          <w:rFonts w:ascii="宋体" w:hAnsi="宋体" w:cs="Arial"/>
          <w:b/>
          <w:bCs/>
          <w:color w:val="000000"/>
          <w:kern w:val="0"/>
          <w:sz w:val="22"/>
        </w:rPr>
      </w:pPr>
      <w:r>
        <w:rPr>
          <w:rFonts w:hint="eastAsia" w:ascii="宋体" w:hAnsi="宋体" w:cs="Arial"/>
          <w:b/>
          <w:bCs/>
          <w:color w:val="000000"/>
          <w:kern w:val="0"/>
          <w:sz w:val="22"/>
        </w:rPr>
        <w:t>六、联系方式</w:t>
      </w:r>
    </w:p>
    <w:p>
      <w:pPr>
        <w:adjustRightInd w:val="0"/>
        <w:snapToGrid w:val="0"/>
        <w:spacing w:line="276" w:lineRule="auto"/>
        <w:ind w:firstLine="440" w:firstLineChars="200"/>
        <w:rPr>
          <w:rFonts w:ascii="宋体" w:hAnsi="宋体"/>
          <w:color w:val="000000"/>
          <w:sz w:val="22"/>
        </w:rPr>
      </w:pPr>
      <w:r>
        <w:rPr>
          <w:rFonts w:hint="eastAsia" w:ascii="宋体" w:hAnsi="宋体"/>
          <w:color w:val="000000"/>
          <w:sz w:val="22"/>
        </w:rPr>
        <w:t>投标联系人：贾工</w:t>
      </w:r>
      <w:r>
        <w:rPr>
          <w:rFonts w:ascii="宋体" w:hAnsi="宋体"/>
          <w:color w:val="000000"/>
          <w:sz w:val="22"/>
        </w:rPr>
        <w:t xml:space="preserve">             </w:t>
      </w:r>
      <w:r>
        <w:rPr>
          <w:rFonts w:hint="eastAsia" w:ascii="宋体" w:hAnsi="宋体"/>
          <w:color w:val="000000"/>
          <w:sz w:val="22"/>
        </w:rPr>
        <w:t>联系电话：</w:t>
      </w:r>
      <w:r>
        <w:rPr>
          <w:rFonts w:ascii="宋体" w:hAnsi="宋体"/>
          <w:color w:val="000000"/>
          <w:sz w:val="22"/>
        </w:rPr>
        <w:t>0571-83837612</w:t>
      </w:r>
    </w:p>
    <w:p>
      <w:pPr>
        <w:widowControl/>
        <w:adjustRightInd w:val="0"/>
        <w:snapToGrid w:val="0"/>
        <w:spacing w:line="340" w:lineRule="exact"/>
        <w:ind w:firstLine="440" w:firstLineChars="200"/>
        <w:rPr>
          <w:rFonts w:ascii="宋体" w:hAnsi="宋体"/>
          <w:bCs/>
          <w:sz w:val="22"/>
        </w:rPr>
      </w:pPr>
      <w:r>
        <w:rPr>
          <w:rFonts w:hint="eastAsia" w:ascii="宋体" w:hAnsi="宋体"/>
          <w:sz w:val="22"/>
        </w:rPr>
        <w:t>招标监督人：</w:t>
      </w:r>
      <w:r>
        <w:rPr>
          <w:rFonts w:hint="eastAsia" w:ascii="宋体" w:hAnsi="宋体"/>
          <w:bCs/>
          <w:sz w:val="22"/>
        </w:rPr>
        <w:t xml:space="preserve">阮工          </w:t>
      </w:r>
      <w:r>
        <w:rPr>
          <w:rFonts w:ascii="宋体" w:hAnsi="宋体"/>
          <w:bCs/>
          <w:sz w:val="22"/>
        </w:rPr>
        <w:t xml:space="preserve"> </w:t>
      </w:r>
      <w:r>
        <w:rPr>
          <w:rFonts w:hint="eastAsia" w:ascii="宋体" w:hAnsi="宋体"/>
          <w:bCs/>
          <w:sz w:val="22"/>
        </w:rPr>
        <w:t xml:space="preserve">  联系电话：0</w:t>
      </w:r>
      <w:r>
        <w:rPr>
          <w:rFonts w:ascii="宋体" w:hAnsi="宋体"/>
          <w:bCs/>
          <w:sz w:val="22"/>
        </w:rPr>
        <w:t>571-86662133</w:t>
      </w:r>
    </w:p>
    <w:p>
      <w:pPr>
        <w:adjustRightInd w:val="0"/>
        <w:snapToGrid w:val="0"/>
        <w:spacing w:line="276" w:lineRule="auto"/>
        <w:ind w:firstLine="440" w:firstLineChars="200"/>
        <w:rPr>
          <w:rFonts w:ascii="宋体" w:hAnsi="宋体"/>
          <w:sz w:val="22"/>
        </w:rPr>
      </w:pPr>
    </w:p>
    <w:p>
      <w:pPr>
        <w:pStyle w:val="53"/>
      </w:pPr>
      <w:r>
        <w:rPr>
          <w:rFonts w:ascii="宋体" w:eastAsia="宋体"/>
          <w:bCs w:val="0"/>
          <w:sz w:val="22"/>
          <w:szCs w:val="22"/>
        </w:rPr>
        <w:br w:type="page"/>
      </w:r>
      <w:bookmarkStart w:id="1" w:name="_Toc13826046"/>
      <w:bookmarkStart w:id="2" w:name="_Toc450630557"/>
      <w:r>
        <w:rPr>
          <w:rFonts w:hint="eastAsia"/>
        </w:rPr>
        <w:t>第二章</w:t>
      </w:r>
      <w:r>
        <w:t xml:space="preserve">  </w:t>
      </w:r>
      <w:r>
        <w:rPr>
          <w:rFonts w:hint="eastAsia"/>
        </w:rPr>
        <w:t>投标人须知</w:t>
      </w:r>
      <w:bookmarkEnd w:id="1"/>
      <w:bookmarkEnd w:id="2"/>
    </w:p>
    <w:p>
      <w:pPr>
        <w:pStyle w:val="34"/>
        <w:spacing w:line="240" w:lineRule="auto"/>
        <w:ind w:left="480"/>
        <w:jc w:val="center"/>
        <w:rPr>
          <w:rFonts w:hint="eastAsia"/>
          <w:b/>
          <w:sz w:val="28"/>
          <w:szCs w:val="28"/>
        </w:rPr>
      </w:pPr>
      <w:r>
        <w:rPr>
          <w:rFonts w:hint="eastAsia"/>
          <w:b/>
          <w:sz w:val="28"/>
          <w:szCs w:val="28"/>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条款号</w:t>
            </w:r>
          </w:p>
        </w:tc>
        <w:tc>
          <w:tcPr>
            <w:tcW w:w="2004" w:type="dxa"/>
            <w:tcBorders>
              <w:top w:val="single" w:color="auto" w:sz="12" w:space="0"/>
            </w:tcBorders>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条</w:t>
            </w:r>
            <w:r>
              <w:rPr>
                <w:rFonts w:ascii="宋体" w:hAnsi="宋体" w:cs="Calibri"/>
                <w:color w:val="000000"/>
                <w:kern w:val="0"/>
                <w:sz w:val="22"/>
              </w:rPr>
              <w:t xml:space="preserve"> </w:t>
            </w:r>
            <w:r>
              <w:rPr>
                <w:rFonts w:hint="eastAsia" w:ascii="宋体" w:hAnsi="宋体" w:cs="Calibri"/>
                <w:color w:val="000000"/>
                <w:kern w:val="0"/>
                <w:sz w:val="22"/>
              </w:rPr>
              <w:t>款</w:t>
            </w:r>
            <w:r>
              <w:rPr>
                <w:rFonts w:ascii="宋体" w:hAnsi="宋体" w:cs="Calibri"/>
                <w:color w:val="000000"/>
                <w:kern w:val="0"/>
                <w:sz w:val="22"/>
              </w:rPr>
              <w:t xml:space="preserve"> </w:t>
            </w:r>
            <w:r>
              <w:rPr>
                <w:rFonts w:hint="eastAsia" w:ascii="宋体" w:hAnsi="宋体" w:cs="Calibri"/>
                <w:color w:val="000000"/>
                <w:kern w:val="0"/>
                <w:sz w:val="22"/>
              </w:rPr>
              <w:t>名</w:t>
            </w:r>
            <w:r>
              <w:rPr>
                <w:rFonts w:ascii="宋体" w:hAnsi="宋体" w:cs="Calibri"/>
                <w:color w:val="000000"/>
                <w:kern w:val="0"/>
                <w:sz w:val="22"/>
              </w:rPr>
              <w:t xml:space="preserve"> </w:t>
            </w:r>
            <w:r>
              <w:rPr>
                <w:rFonts w:hint="eastAsia" w:ascii="宋体" w:hAnsi="宋体" w:cs="Calibri"/>
                <w:color w:val="000000"/>
                <w:kern w:val="0"/>
                <w:sz w:val="22"/>
              </w:rPr>
              <w:t>称</w:t>
            </w:r>
          </w:p>
        </w:tc>
        <w:tc>
          <w:tcPr>
            <w:tcW w:w="6487" w:type="dxa"/>
            <w:tcBorders>
              <w:top w:val="single" w:color="auto" w:sz="12" w:space="0"/>
            </w:tcBorders>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编</w:t>
            </w:r>
            <w:r>
              <w:rPr>
                <w:rFonts w:ascii="宋体" w:hAnsi="宋体" w:cs="Calibri"/>
                <w:color w:val="000000"/>
                <w:kern w:val="0"/>
                <w:sz w:val="22"/>
              </w:rPr>
              <w:t xml:space="preserve"> </w:t>
            </w:r>
            <w:r>
              <w:rPr>
                <w:rFonts w:hint="eastAsia" w:ascii="宋体" w:hAnsi="宋体" w:cs="Calibri"/>
                <w:color w:val="000000"/>
                <w:kern w:val="0"/>
                <w:sz w:val="22"/>
              </w:rPr>
              <w:t>列</w:t>
            </w:r>
            <w:r>
              <w:rPr>
                <w:rFonts w:ascii="宋体" w:hAnsi="宋体" w:cs="Calibri"/>
                <w:color w:val="000000"/>
                <w:kern w:val="0"/>
                <w:sz w:val="22"/>
              </w:rPr>
              <w:t xml:space="preserve"> </w:t>
            </w:r>
            <w:r>
              <w:rPr>
                <w:rFonts w:hint="eastAsia" w:ascii="宋体" w:hAnsi="宋体" w:cs="Calibri"/>
                <w:color w:val="000000"/>
                <w:kern w:val="0"/>
                <w:sz w:val="22"/>
              </w:rPr>
              <w:t>内</w:t>
            </w:r>
            <w:r>
              <w:rPr>
                <w:rFonts w:ascii="宋体" w:hAnsi="宋体" w:cs="Calibri"/>
                <w:color w:val="000000"/>
                <w:kern w:val="0"/>
                <w:sz w:val="22"/>
              </w:rPr>
              <w:t xml:space="preserve"> </w:t>
            </w:r>
            <w:r>
              <w:rPr>
                <w:rFonts w:hint="eastAsia" w:ascii="宋体" w:hAnsi="宋体" w:cs="Calibri"/>
                <w:color w:val="000000"/>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sz w:val="22"/>
              </w:rPr>
              <w:t>1.1.1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项目名称</w:t>
            </w:r>
          </w:p>
        </w:tc>
        <w:tc>
          <w:tcPr>
            <w:tcW w:w="6487" w:type="dxa"/>
            <w:noWrap w:val="0"/>
            <w:vAlign w:val="center"/>
          </w:tcPr>
          <w:p>
            <w:pPr>
              <w:autoSpaceDE w:val="0"/>
              <w:autoSpaceDN w:val="0"/>
              <w:adjustRightInd w:val="0"/>
              <w:snapToGrid w:val="0"/>
              <w:rPr>
                <w:rFonts w:hint="eastAsia" w:ascii="宋体" w:hAnsi="宋体" w:cs="Calibri"/>
                <w:color w:val="FF0000"/>
                <w:kern w:val="0"/>
                <w:sz w:val="22"/>
              </w:rPr>
            </w:pPr>
            <w:r>
              <w:rPr>
                <w:rFonts w:hint="eastAsia" w:ascii="宋体" w:hAnsi="宋体" w:cs="Arial"/>
                <w:kern w:val="0"/>
                <w:sz w:val="22"/>
              </w:rPr>
              <w:t>杭州萧山国际机场国际快件中心监控新增和围界报警系统改造工程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sz w:val="22"/>
              </w:rPr>
            </w:pPr>
            <w:r>
              <w:rPr>
                <w:rFonts w:ascii="宋体" w:hAnsi="宋体" w:cs="Calibri"/>
                <w:color w:val="000000"/>
                <w:sz w:val="22"/>
              </w:rPr>
              <w:t>1.1.2</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建设地点</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杭州萧山国际机场</w:t>
            </w:r>
            <w:r>
              <w:rPr>
                <w:rFonts w:hint="eastAsia" w:ascii="宋体" w:hAnsi="宋体" w:cs="Calibri"/>
                <w:color w:val="000000"/>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sz w:val="22"/>
              </w:rPr>
            </w:pPr>
            <w:r>
              <w:rPr>
                <w:rFonts w:ascii="宋体" w:hAnsi="宋体" w:cs="Calibri"/>
                <w:color w:val="000000"/>
                <w:sz w:val="22"/>
              </w:rPr>
              <w:t>1.2</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资金来源</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Style w:val="138"/>
                <w:rFonts w:hint="eastAsia" w:ascii="宋体" w:hAnsi="宋体" w:cs="Calibri"/>
                <w:color w:val="000000"/>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1.3</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招标内容</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详见招标文件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1.4</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招标方式</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1.5</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资格审查</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1.6</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投标人资质条件、能力和信誉</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详见招标公告“</w:t>
            </w:r>
            <w:r>
              <w:rPr>
                <w:rFonts w:hint="eastAsia" w:ascii="宋体" w:hAnsi="宋体"/>
                <w:color w:val="000000"/>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1.7</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工期要求</w:t>
            </w:r>
          </w:p>
        </w:tc>
        <w:tc>
          <w:tcPr>
            <w:tcW w:w="6487" w:type="dxa"/>
            <w:noWrap w:val="0"/>
            <w:vAlign w:val="center"/>
          </w:tcPr>
          <w:p>
            <w:pPr>
              <w:autoSpaceDE w:val="0"/>
              <w:autoSpaceDN w:val="0"/>
              <w:adjustRightInd w:val="0"/>
              <w:snapToGrid w:val="0"/>
              <w:rPr>
                <w:rFonts w:hint="eastAsia" w:ascii="宋体" w:hAnsi="宋体" w:cs="Calibri"/>
                <w:color w:val="000000"/>
                <w:kern w:val="0"/>
                <w:sz w:val="22"/>
              </w:rPr>
            </w:pPr>
            <w:r>
              <w:rPr>
                <w:rFonts w:hint="eastAsia" w:ascii="宋体" w:hAnsi="宋体"/>
                <w:b/>
                <w:bCs/>
                <w:sz w:val="22"/>
                <w:szCs w:val="22"/>
              </w:rPr>
              <w:t>工期为</w:t>
            </w:r>
            <w:r>
              <w:rPr>
                <w:rFonts w:ascii="宋体" w:hAnsi="宋体"/>
                <w:b/>
                <w:bCs/>
                <w:sz w:val="22"/>
                <w:szCs w:val="22"/>
                <w:u w:val="single"/>
              </w:rPr>
              <w:t>60</w:t>
            </w:r>
            <w:r>
              <w:rPr>
                <w:rFonts w:hint="eastAsia" w:ascii="宋体" w:hAnsi="宋体"/>
                <w:b/>
                <w:bCs/>
                <w:sz w:val="22"/>
                <w:szCs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1.8</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质量要求</w:t>
            </w:r>
          </w:p>
        </w:tc>
        <w:tc>
          <w:tcPr>
            <w:tcW w:w="6487" w:type="dxa"/>
            <w:noWrap w:val="0"/>
            <w:vAlign w:val="center"/>
          </w:tcPr>
          <w:p>
            <w:pPr>
              <w:autoSpaceDE w:val="0"/>
              <w:autoSpaceDN w:val="0"/>
              <w:adjustRightInd w:val="0"/>
              <w:snapToGrid w:val="0"/>
              <w:rPr>
                <w:rFonts w:ascii="宋体" w:hAnsi="宋体"/>
                <w:color w:val="000000"/>
                <w:sz w:val="22"/>
              </w:rPr>
            </w:pPr>
            <w:r>
              <w:rPr>
                <w:rFonts w:hint="eastAsia" w:ascii="宋体" w:hAnsi="宋体"/>
                <w:color w:val="000000"/>
                <w:sz w:val="22"/>
              </w:rPr>
              <w:t>符合</w:t>
            </w:r>
            <w:r>
              <w:rPr>
                <w:rFonts w:hint="eastAsia" w:ascii="宋体" w:hAnsi="宋体" w:cs="Arial"/>
                <w:color w:val="000000"/>
                <w:sz w:val="22"/>
              </w:rPr>
              <w:t>行业部门和机场公司相关规定的</w:t>
            </w:r>
            <w:r>
              <w:rPr>
                <w:rFonts w:hint="eastAsia" w:ascii="宋体" w:hAnsi="宋体"/>
                <w:color w:val="000000"/>
                <w:sz w:val="22"/>
              </w:rPr>
              <w:t>要求</w:t>
            </w:r>
            <w:r>
              <w:rPr>
                <w:rFonts w:ascii="宋体" w:hAnsi="宋体" w:cs="Arial"/>
                <w:color w:val="000000"/>
                <w:sz w:val="22"/>
              </w:rPr>
              <w:t>(</w:t>
            </w:r>
            <w:r>
              <w:rPr>
                <w:rFonts w:hint="eastAsia" w:ascii="宋体" w:hAnsi="宋体" w:cs="Arial"/>
                <w:color w:val="000000"/>
                <w:sz w:val="22"/>
              </w:rPr>
              <w:t>详细见招标文件</w:t>
            </w:r>
            <w:r>
              <w:rPr>
                <w:rFonts w:ascii="宋体" w:hAnsi="宋体" w:cs="Arial"/>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1.9.1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踏勘现场</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□不组织，</w:t>
            </w:r>
            <w:r>
              <w:rPr>
                <w:rFonts w:hint="eastAsia" w:ascii="宋体" w:hAnsi="宋体" w:cs="Arial"/>
                <w:color w:val="000000"/>
              </w:rPr>
              <w:t>投标人如有需要，可自行前往。</w:t>
            </w:r>
          </w:p>
          <w:p>
            <w:pPr>
              <w:autoSpaceDE w:val="0"/>
              <w:autoSpaceDN w:val="0"/>
              <w:adjustRightInd w:val="0"/>
              <w:snapToGrid w:val="0"/>
              <w:rPr>
                <w:rFonts w:ascii="宋体" w:hAnsi="宋体" w:cs="Calibri"/>
                <w:color w:val="FF0000"/>
                <w:kern w:val="0"/>
                <w:sz w:val="22"/>
              </w:rPr>
            </w:pPr>
            <w:r>
              <w:rPr>
                <w:rFonts w:hint="eastAsia" w:ascii="宋体" w:hAnsi="宋体" w:cs="Calibri"/>
                <w:kern w:val="0"/>
                <w:sz w:val="22"/>
              </w:rPr>
              <w:sym w:font="Wingdings" w:char="F0FE"/>
            </w:r>
            <w:r>
              <w:rPr>
                <w:rFonts w:hint="eastAsia" w:ascii="宋体" w:hAnsi="宋体" w:cs="Calibri"/>
                <w:kern w:val="0"/>
                <w:sz w:val="22"/>
              </w:rPr>
              <w:t>组织，踏勘时间：2</w:t>
            </w:r>
            <w:r>
              <w:rPr>
                <w:rFonts w:ascii="宋体" w:hAnsi="宋体" w:cs="Calibri"/>
                <w:kern w:val="0"/>
                <w:sz w:val="22"/>
              </w:rPr>
              <w:t>019</w:t>
            </w:r>
            <w:r>
              <w:rPr>
                <w:rFonts w:hint="eastAsia" w:ascii="宋体" w:hAnsi="宋体" w:cs="Calibri"/>
                <w:kern w:val="0"/>
                <w:sz w:val="22"/>
              </w:rPr>
              <w:t>年</w:t>
            </w:r>
            <w:r>
              <w:rPr>
                <w:rFonts w:hint="eastAsia" w:ascii="宋体" w:hAnsi="宋体" w:cs="Calibri"/>
                <w:kern w:val="0"/>
                <w:sz w:val="22"/>
                <w:lang w:val="en-US" w:eastAsia="zh-CN"/>
              </w:rPr>
              <w:t>8</w:t>
            </w:r>
            <w:r>
              <w:rPr>
                <w:rFonts w:hint="eastAsia" w:ascii="宋体" w:hAnsi="宋体" w:cs="Calibri"/>
                <w:kern w:val="0"/>
                <w:sz w:val="22"/>
              </w:rPr>
              <w:t>月</w:t>
            </w:r>
            <w:r>
              <w:rPr>
                <w:rFonts w:hint="eastAsia" w:ascii="宋体" w:hAnsi="宋体" w:cs="Calibri"/>
                <w:kern w:val="0"/>
                <w:sz w:val="22"/>
                <w:lang w:val="en-US" w:eastAsia="zh-CN"/>
              </w:rPr>
              <w:t>27</w:t>
            </w:r>
            <w:r>
              <w:rPr>
                <w:rFonts w:hint="eastAsia" w:ascii="宋体" w:hAnsi="宋体" w:cs="Calibri"/>
                <w:kern w:val="0"/>
                <w:sz w:val="22"/>
              </w:rPr>
              <w:t>日上午</w:t>
            </w:r>
            <w:r>
              <w:rPr>
                <w:rFonts w:hint="eastAsia" w:ascii="宋体" w:hAnsi="宋体" w:cs="Calibri"/>
                <w:kern w:val="0"/>
                <w:sz w:val="22"/>
                <w:lang w:val="en-US" w:eastAsia="zh-CN"/>
              </w:rPr>
              <w:t>9:00</w:t>
            </w:r>
            <w:r>
              <w:rPr>
                <w:rFonts w:ascii="宋体" w:hAnsi="宋体" w:cs="Calibri"/>
                <w:color w:val="FF0000"/>
                <w:kern w:val="0"/>
                <w:sz w:val="22"/>
              </w:rPr>
              <w:t xml:space="preserve"> </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踏勘集中地点：杭州萧山国际机场翔越路综合服务楼园区招标中心</w:t>
            </w:r>
          </w:p>
          <w:p>
            <w:pPr>
              <w:autoSpaceDE w:val="0"/>
              <w:autoSpaceDN w:val="0"/>
              <w:adjustRightInd w:val="0"/>
              <w:snapToGrid w:val="0"/>
              <w:rPr>
                <w:rFonts w:hint="default" w:ascii="宋体" w:hAnsi="宋体" w:eastAsia="宋体" w:cs="Calibri"/>
                <w:color w:val="000000"/>
                <w:kern w:val="0"/>
                <w:sz w:val="22"/>
                <w:lang w:val="en-US" w:eastAsia="zh-CN"/>
              </w:rPr>
            </w:pPr>
            <w:r>
              <w:rPr>
                <w:rFonts w:hint="eastAsia" w:ascii="宋体" w:hAnsi="宋体" w:cs="Calibri"/>
                <w:color w:val="000000"/>
                <w:kern w:val="0"/>
                <w:sz w:val="22"/>
              </w:rPr>
              <w:t>联系方式：贾工，</w:t>
            </w:r>
            <w:r>
              <w:rPr>
                <w:rFonts w:hint="eastAsia" w:ascii="宋体" w:hAnsi="宋体" w:cs="Calibri"/>
                <w:color w:val="000000"/>
                <w:kern w:val="0"/>
                <w:sz w:val="22"/>
                <w:lang w:val="en-US" w:eastAsia="zh-CN"/>
              </w:rPr>
              <w:t>83837612</w:t>
            </w:r>
          </w:p>
          <w:p>
            <w:pPr>
              <w:autoSpaceDE w:val="0"/>
              <w:autoSpaceDN w:val="0"/>
              <w:adjustRightInd w:val="0"/>
              <w:snapToGrid w:val="0"/>
              <w:rPr>
                <w:rFonts w:hint="eastAsia" w:ascii="宋体" w:hAnsi="宋体" w:cs="Calibri"/>
                <w:color w:val="000000"/>
                <w:kern w:val="0"/>
                <w:sz w:val="22"/>
              </w:rPr>
            </w:pPr>
            <w:r>
              <w:rPr>
                <w:rFonts w:hint="eastAsia" w:ascii="宋体" w:hAnsi="宋体" w:cs="Calibri"/>
                <w:color w:val="000000"/>
                <w:kern w:val="0"/>
                <w:sz w:val="22"/>
              </w:rPr>
              <w:t>准备的材料：1</w:t>
            </w:r>
            <w:r>
              <w:rPr>
                <w:rFonts w:ascii="宋体" w:hAnsi="宋体" w:cs="Calibri"/>
                <w:color w:val="000000"/>
                <w:kern w:val="0"/>
                <w:sz w:val="22"/>
              </w:rPr>
              <w:t>.</w:t>
            </w:r>
            <w:r>
              <w:rPr>
                <w:rFonts w:hint="eastAsia" w:ascii="宋体" w:hAnsi="宋体" w:cs="Calibri"/>
                <w:color w:val="000000"/>
                <w:kern w:val="0"/>
                <w:sz w:val="22"/>
              </w:rPr>
              <w:t>需要办理进入机场隔离区证件：请提供身份证原件、一寸照片一张。</w:t>
            </w:r>
          </w:p>
          <w:p>
            <w:pPr>
              <w:autoSpaceDE w:val="0"/>
              <w:autoSpaceDN w:val="0"/>
              <w:adjustRightInd w:val="0"/>
              <w:snapToGrid w:val="0"/>
              <w:rPr>
                <w:rFonts w:ascii="宋体" w:hAnsi="宋体" w:cs="Calibri"/>
                <w:color w:val="000000"/>
                <w:kern w:val="0"/>
                <w:sz w:val="22"/>
              </w:rPr>
            </w:pPr>
            <w:r>
              <w:rPr>
                <w:rFonts w:hint="eastAsia" w:ascii="宋体" w:hAnsi="宋体" w:cs="Arial"/>
                <w:color w:val="000000"/>
                <w:sz w:val="22"/>
              </w:rPr>
              <w:t>（</w:t>
            </w:r>
            <w:r>
              <w:rPr>
                <w:rFonts w:hint="eastAsia" w:ascii="宋体" w:hAnsi="宋体" w:cs="Arial"/>
                <w:b/>
                <w:color w:val="000000"/>
                <w:sz w:val="22"/>
              </w:rPr>
              <w:t>由于未参加现场踏勘引起的报价失误等责任由投标人自负</w:t>
            </w:r>
            <w:r>
              <w:rPr>
                <w:rFonts w:hint="eastAsia" w:ascii="宋体" w:hAnsi="宋体" w:cs="Arial"/>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1.10</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投标预备会</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sym w:font="Wingdings" w:char="F0FE"/>
            </w:r>
            <w:r>
              <w:rPr>
                <w:rFonts w:hint="eastAsia" w:ascii="宋体" w:hAnsi="宋体" w:cs="Calibri"/>
                <w:color w:val="000000"/>
                <w:kern w:val="0"/>
                <w:sz w:val="22"/>
              </w:rPr>
              <w:t>不召开</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□召开，召开时间：</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召开地点：</w:t>
            </w:r>
            <w:r>
              <w:rPr>
                <w:rFonts w:ascii="宋体" w:hAnsi="宋体" w:cs="Calibri"/>
                <w:color w:val="000000"/>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2.2.1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投标人提出问题的截止时间</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201</w:t>
            </w:r>
            <w:r>
              <w:rPr>
                <w:rFonts w:hint="eastAsia" w:ascii="宋体" w:hAnsi="宋体" w:cs="Calibri"/>
                <w:color w:val="000000"/>
                <w:kern w:val="0"/>
                <w:sz w:val="22"/>
              </w:rPr>
              <w:t>9年</w:t>
            </w:r>
            <w:r>
              <w:rPr>
                <w:rFonts w:hint="eastAsia" w:ascii="宋体" w:hAnsi="宋体" w:cs="Calibri"/>
                <w:color w:val="000000"/>
                <w:kern w:val="0"/>
                <w:sz w:val="22"/>
                <w:lang w:val="en-US" w:eastAsia="zh-CN"/>
              </w:rPr>
              <w:t>8</w:t>
            </w:r>
            <w:r>
              <w:rPr>
                <w:rFonts w:hint="eastAsia" w:ascii="宋体" w:hAnsi="宋体" w:cs="Calibri"/>
                <w:color w:val="000000"/>
                <w:kern w:val="0"/>
                <w:sz w:val="22"/>
              </w:rPr>
              <w:t>月</w:t>
            </w:r>
            <w:r>
              <w:rPr>
                <w:rFonts w:hint="eastAsia" w:ascii="宋体" w:hAnsi="宋体" w:cs="Calibri"/>
                <w:color w:val="000000"/>
                <w:kern w:val="0"/>
                <w:sz w:val="22"/>
                <w:lang w:val="en-US" w:eastAsia="zh-CN"/>
              </w:rPr>
              <w:t>27</w:t>
            </w:r>
            <w:r>
              <w:rPr>
                <w:rFonts w:hint="eastAsia" w:ascii="宋体" w:hAnsi="宋体" w:cs="Calibri"/>
                <w:color w:val="000000"/>
                <w:kern w:val="0"/>
                <w:sz w:val="22"/>
              </w:rPr>
              <w:t>日</w:t>
            </w:r>
            <w:r>
              <w:rPr>
                <w:rFonts w:ascii="宋体" w:hAnsi="宋体" w:cs="Calibri"/>
                <w:color w:val="000000"/>
                <w:kern w:val="0"/>
                <w:sz w:val="22"/>
              </w:rPr>
              <w:t>11:30</w:t>
            </w:r>
            <w:r>
              <w:rPr>
                <w:rFonts w:hint="eastAsia" w:ascii="宋体" w:hAnsi="宋体" w:cs="Calibri"/>
                <w:color w:val="000000"/>
                <w:kern w:val="0"/>
                <w:sz w:val="22"/>
              </w:rPr>
              <w:t>前，以书面加盖公章的形式通过</w:t>
            </w:r>
            <w:r>
              <w:rPr>
                <w:rFonts w:ascii="宋体" w:hAnsi="宋体" w:cs="Calibri"/>
                <w:color w:val="000000"/>
                <w:kern w:val="0"/>
                <w:sz w:val="22"/>
              </w:rPr>
              <w:t>E-mail</w:t>
            </w:r>
            <w:r>
              <w:rPr>
                <w:rFonts w:hint="eastAsia" w:ascii="宋体" w:hAnsi="宋体" w:cs="Calibri"/>
                <w:color w:val="000000"/>
                <w:kern w:val="0"/>
                <w:sz w:val="22"/>
              </w:rPr>
              <w:t>或传真提交给招标人（投标联系人</w:t>
            </w:r>
            <w:r>
              <w:rPr>
                <w:rFonts w:ascii="宋体" w:hAnsi="宋体" w:cs="Calibri"/>
                <w:color w:val="000000"/>
                <w:kern w:val="0"/>
                <w:sz w:val="22"/>
              </w:rPr>
              <w:t>:</w:t>
            </w:r>
            <w:r>
              <w:rPr>
                <w:rFonts w:hint="eastAsia" w:ascii="宋体" w:hAnsi="宋体" w:cs="Calibri"/>
                <w:color w:val="000000"/>
                <w:kern w:val="0"/>
                <w:sz w:val="22"/>
              </w:rPr>
              <w:t>贾工，电话</w:t>
            </w:r>
            <w:r>
              <w:rPr>
                <w:rFonts w:ascii="宋体" w:hAnsi="宋体" w:cs="Calibri"/>
                <w:color w:val="000000"/>
                <w:kern w:val="0"/>
                <w:sz w:val="22"/>
              </w:rPr>
              <w:t>0571-83837612</w:t>
            </w:r>
            <w:r>
              <w:rPr>
                <w:rFonts w:hint="eastAsia" w:ascii="宋体" w:hAnsi="宋体" w:cs="Calibri"/>
                <w:color w:val="000000"/>
                <w:kern w:val="0"/>
                <w:sz w:val="22"/>
              </w:rPr>
              <w:t>；传真：</w:t>
            </w:r>
            <w:r>
              <w:rPr>
                <w:rFonts w:ascii="宋体" w:hAnsi="宋体" w:cs="Calibri"/>
                <w:color w:val="000000"/>
                <w:kern w:val="0"/>
                <w:sz w:val="22"/>
              </w:rPr>
              <w:t>0571-83837612</w:t>
            </w:r>
            <w:r>
              <w:rPr>
                <w:rFonts w:hint="eastAsia" w:ascii="宋体" w:hAnsi="宋体" w:cs="Calibri"/>
                <w:color w:val="000000"/>
                <w:kern w:val="0"/>
                <w:sz w:val="22"/>
              </w:rPr>
              <w:t>；电子邮箱：</w:t>
            </w:r>
            <w:r>
              <w:rPr>
                <w:rFonts w:ascii="宋体" w:hAnsi="宋体" w:cs="Calibri"/>
                <w:color w:val="000000"/>
                <w:kern w:val="0"/>
                <w:sz w:val="22"/>
              </w:rPr>
              <w:t>zbzx@hzairport.com</w:t>
            </w:r>
            <w:r>
              <w:rPr>
                <w:rFonts w:hint="eastAsia" w:ascii="宋体" w:hAnsi="宋体" w:cs="Calibri"/>
                <w:color w:val="000000"/>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2.2.3</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投标人确认收到招标文件澄清的时间</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2.3.2</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投标人确认收到招标文件修改的时间</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3.3</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投标报价</w:t>
            </w:r>
          </w:p>
        </w:tc>
        <w:tc>
          <w:tcPr>
            <w:tcW w:w="6487" w:type="dxa"/>
            <w:noWrap w:val="0"/>
            <w:vAlign w:val="center"/>
          </w:tcPr>
          <w:p>
            <w:pPr>
              <w:autoSpaceDE w:val="0"/>
              <w:autoSpaceDN w:val="0"/>
              <w:adjustRightInd w:val="0"/>
              <w:snapToGrid w:val="0"/>
              <w:rPr>
                <w:rFonts w:ascii="宋体" w:hAnsi="宋体" w:cs="Calibri"/>
                <w:color w:val="000000"/>
                <w:kern w:val="0"/>
              </w:rPr>
            </w:pPr>
            <w:r>
              <w:rPr>
                <w:rFonts w:hint="eastAsia" w:ascii="宋体" w:hAnsi="宋体" w:cs="Calibri"/>
                <w:color w:val="000000"/>
                <w:kern w:val="0"/>
                <w:sz w:val="22"/>
              </w:rPr>
              <w:t>投标人应充分考虑以下各项风险因素可能导致发生或增加的费用，并计入投标报价中，不报视作优惠：</w:t>
            </w:r>
          </w:p>
          <w:p>
            <w:pPr>
              <w:autoSpaceDE w:val="0"/>
              <w:autoSpaceDN w:val="0"/>
              <w:adjustRightInd w:val="0"/>
              <w:snapToGrid w:val="0"/>
              <w:rPr>
                <w:rFonts w:hint="eastAsia" w:ascii="宋体" w:hAnsi="宋体" w:cs="Calibri"/>
                <w:b/>
                <w:color w:val="000000"/>
                <w:kern w:val="0"/>
              </w:rPr>
            </w:pPr>
            <w:r>
              <w:rPr>
                <w:rFonts w:hint="eastAsia" w:ascii="宋体" w:hAnsi="宋体" w:cs="Calibri"/>
                <w:b/>
                <w:color w:val="000000"/>
                <w:kern w:val="0"/>
              </w:rPr>
              <w:t>a、 隔离区施工监管费，按每个作业点每天400元计；</w:t>
            </w:r>
          </w:p>
          <w:p>
            <w:pPr>
              <w:autoSpaceDE w:val="0"/>
              <w:autoSpaceDN w:val="0"/>
              <w:adjustRightInd w:val="0"/>
              <w:snapToGrid w:val="0"/>
              <w:rPr>
                <w:rFonts w:hint="eastAsia" w:ascii="宋体" w:hAnsi="宋体" w:cs="Calibri"/>
                <w:b/>
                <w:color w:val="000000"/>
                <w:kern w:val="0"/>
              </w:rPr>
            </w:pPr>
            <w:r>
              <w:rPr>
                <w:rFonts w:hint="eastAsia" w:ascii="宋体" w:hAnsi="宋体" w:cs="Calibri"/>
                <w:b/>
                <w:color w:val="000000"/>
                <w:kern w:val="0"/>
              </w:rPr>
              <w:t>b、 投标人将隔离区施工监管费单列。若未列明，默认包含在总价内。</w:t>
            </w:r>
          </w:p>
          <w:p>
            <w:pPr>
              <w:autoSpaceDE w:val="0"/>
              <w:autoSpaceDN w:val="0"/>
              <w:adjustRightInd w:val="0"/>
              <w:snapToGrid w:val="0"/>
              <w:rPr>
                <w:rFonts w:hint="eastAsia" w:ascii="宋体" w:hAnsi="宋体" w:cs="Calibri"/>
                <w:b/>
                <w:color w:val="000000"/>
                <w:kern w:val="0"/>
              </w:rPr>
            </w:pPr>
            <w:r>
              <w:rPr>
                <w:rFonts w:hint="eastAsia" w:ascii="宋体" w:hAnsi="宋体" w:cs="Calibri"/>
                <w:b/>
                <w:color w:val="000000"/>
                <w:kern w:val="0"/>
              </w:rPr>
              <w:t>c、 投标人合理评估隔离区内施工作业时间。</w:t>
            </w:r>
          </w:p>
          <w:p>
            <w:pPr>
              <w:autoSpaceDE w:val="0"/>
              <w:autoSpaceDN w:val="0"/>
              <w:adjustRightInd w:val="0"/>
              <w:snapToGrid w:val="0"/>
              <w:rPr>
                <w:rFonts w:hint="eastAsia" w:ascii="宋体" w:hAnsi="宋体" w:cs="Calibri"/>
                <w:color w:val="000000"/>
                <w:kern w:val="0"/>
                <w:sz w:val="22"/>
              </w:rPr>
            </w:pPr>
            <w:r>
              <w:rPr>
                <w:rFonts w:hint="eastAsia" w:ascii="宋体" w:hAnsi="宋体" w:cs="Calibri"/>
                <w:b/>
                <w:color w:val="000000"/>
                <w:kern w:val="0"/>
              </w:rPr>
              <w:t>d、 本项目库区监控新增的施工区域为隔离区外，不需要考虑监管费用；围界报警系统改造的施工区域为隔离区内，需考虑监管费用。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3.4.1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投标有效期</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120</w:t>
            </w:r>
            <w:r>
              <w:rPr>
                <w:rFonts w:hint="eastAsia" w:ascii="宋体" w:hAnsi="宋体" w:cs="Calibri"/>
                <w:color w:val="000000"/>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3.5.1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投标保证金</w:t>
            </w:r>
          </w:p>
        </w:tc>
        <w:tc>
          <w:tcPr>
            <w:tcW w:w="6487" w:type="dxa"/>
            <w:noWrap w:val="0"/>
            <w:vAlign w:val="center"/>
          </w:tcPr>
          <w:p>
            <w:pPr>
              <w:snapToGrid w:val="0"/>
              <w:rPr>
                <w:rFonts w:ascii="宋体" w:hAnsi="宋体"/>
                <w:color w:val="000000"/>
                <w:sz w:val="22"/>
              </w:rPr>
            </w:pPr>
            <w:r>
              <w:rPr>
                <w:rFonts w:hint="eastAsia" w:ascii="宋体" w:hAnsi="宋体"/>
                <w:color w:val="000000"/>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3.6.3</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签字或盖章要求</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b/>
                <w:color w:val="000000"/>
                <w:kern w:val="0"/>
                <w:sz w:val="22"/>
              </w:rPr>
              <w:t>投标文件封面（或扉页）、投标函以及各类报价表</w:t>
            </w:r>
            <w:r>
              <w:rPr>
                <w:rFonts w:hint="eastAsia" w:ascii="宋体" w:hAnsi="宋体" w:cs="Calibri"/>
                <w:color w:val="000000"/>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3.6.4</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投标文件份数</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3.6.5</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装订要求</w:t>
            </w:r>
          </w:p>
        </w:tc>
        <w:tc>
          <w:tcPr>
            <w:tcW w:w="6487" w:type="dxa"/>
            <w:noWrap w:val="0"/>
            <w:vAlign w:val="center"/>
          </w:tcPr>
          <w:p>
            <w:pPr>
              <w:autoSpaceDE w:val="0"/>
              <w:autoSpaceDN w:val="0"/>
              <w:adjustRightInd w:val="0"/>
              <w:snapToGrid w:val="0"/>
              <w:rPr>
                <w:rFonts w:ascii="宋体" w:hAnsi="宋体"/>
              </w:rPr>
            </w:pPr>
            <w:r>
              <w:rPr>
                <w:rFonts w:hint="eastAsia" w:ascii="宋体" w:hAnsi="宋体" w:cs="Calibri"/>
                <w:color w:val="000000"/>
                <w:kern w:val="0"/>
                <w:sz w:val="22"/>
              </w:rPr>
              <w:t>按照投标人须知</w:t>
            </w:r>
            <w:r>
              <w:rPr>
                <w:rFonts w:ascii="宋体" w:hAnsi="宋体" w:cs="Calibri"/>
                <w:color w:val="000000"/>
                <w:kern w:val="0"/>
                <w:sz w:val="22"/>
              </w:rPr>
              <w:t>3.2</w:t>
            </w:r>
            <w:r>
              <w:rPr>
                <w:rFonts w:hint="eastAsia" w:ascii="宋体" w:hAnsi="宋体" w:cs="Calibri"/>
                <w:color w:val="000000"/>
                <w:kern w:val="0"/>
                <w:sz w:val="22"/>
              </w:rPr>
              <w:t>项约定的投标文件组成内容，投标文件应按以下要求装订：</w:t>
            </w:r>
          </w:p>
          <w:p>
            <w:pPr>
              <w:autoSpaceDE w:val="0"/>
              <w:autoSpaceDN w:val="0"/>
              <w:adjustRightInd w:val="0"/>
              <w:snapToGrid w:val="0"/>
              <w:rPr>
                <w:rFonts w:ascii="宋体" w:hAnsi="宋体"/>
              </w:rPr>
            </w:pPr>
            <w:r>
              <w:rPr>
                <w:rFonts w:ascii="宋体" w:hAnsi="宋体"/>
              </w:rPr>
              <w:t>(不分册装订</w:t>
            </w:r>
          </w:p>
          <w:p>
            <w:pPr>
              <w:autoSpaceDE w:val="0"/>
              <w:autoSpaceDN w:val="0"/>
              <w:adjustRightInd w:val="0"/>
              <w:snapToGrid w:val="0"/>
              <w:rPr>
                <w:rFonts w:ascii="宋体" w:hAnsi="宋体"/>
              </w:rPr>
            </w:pPr>
            <w:r>
              <w:rPr>
                <w:rFonts w:ascii="宋体" w:hAnsi="宋体"/>
              </w:rPr>
              <w:t>□分册装订</w:t>
            </w:r>
          </w:p>
          <w:p>
            <w:pPr>
              <w:autoSpaceDE w:val="0"/>
              <w:autoSpaceDN w:val="0"/>
              <w:adjustRightInd w:val="0"/>
              <w:snapToGrid w:val="0"/>
              <w:rPr>
                <w:rFonts w:ascii="宋体" w:hAnsi="宋体"/>
              </w:rPr>
            </w:pPr>
            <w:r>
              <w:rPr>
                <w:rFonts w:ascii="宋体" w:hAnsi="宋体"/>
              </w:rPr>
              <w:t>每册采用 胶装 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4.1.2</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封套上写明</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招标人的地址：</w:t>
            </w:r>
            <w:r>
              <w:rPr>
                <w:rFonts w:hint="eastAsia" w:ascii="宋体" w:hAnsi="宋体"/>
                <w:color w:val="000000"/>
                <w:sz w:val="22"/>
                <w:u w:val="single"/>
              </w:rPr>
              <w:t>杭州萧山国际机场内</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招标人名称：</w:t>
            </w:r>
            <w:r>
              <w:rPr>
                <w:rFonts w:hint="eastAsia" w:ascii="宋体" w:hAnsi="宋体" w:cs="Calibri"/>
                <w:color w:val="000000"/>
                <w:kern w:val="0"/>
                <w:sz w:val="22"/>
                <w:u w:val="single"/>
              </w:rPr>
              <w:t>杭州萧山国际机场有限公司</w:t>
            </w:r>
          </w:p>
          <w:p>
            <w:pPr>
              <w:autoSpaceDE w:val="0"/>
              <w:autoSpaceDN w:val="0"/>
              <w:adjustRightInd w:val="0"/>
              <w:snapToGrid w:val="0"/>
              <w:rPr>
                <w:rFonts w:ascii="宋体" w:hAnsi="宋体" w:cs="Calibri"/>
                <w:color w:val="000000"/>
                <w:kern w:val="0"/>
                <w:sz w:val="22"/>
              </w:rPr>
            </w:pPr>
            <w:r>
              <w:rPr>
                <w:rFonts w:hint="eastAsia" w:ascii="宋体" w:hAnsi="宋体"/>
                <w:color w:val="000000"/>
                <w:sz w:val="22"/>
              </w:rPr>
              <w:t>项目名称：</w:t>
            </w:r>
            <w:r>
              <w:rPr>
                <w:rFonts w:hint="eastAsia" w:ascii="宋体" w:hAnsi="宋体" w:cs="Calibri"/>
                <w:kern w:val="0"/>
                <w:sz w:val="22"/>
                <w:u w:val="single"/>
              </w:rPr>
              <w:t>杭州萧山国际机场</w:t>
            </w:r>
            <w:r>
              <w:rPr>
                <w:rFonts w:hint="eastAsia" w:ascii="宋体" w:hAnsi="宋体" w:cs="Arial"/>
                <w:kern w:val="0"/>
                <w:sz w:val="22"/>
                <w:u w:val="single"/>
              </w:rPr>
              <w:t>国际快件中心监控新增和围界报警系统改造工程</w:t>
            </w:r>
            <w:r>
              <w:rPr>
                <w:rFonts w:hint="eastAsia" w:ascii="宋体" w:hAnsi="宋体"/>
                <w:color w:val="000000"/>
                <w:sz w:val="22"/>
              </w:rPr>
              <w:t>投标文件</w:t>
            </w:r>
            <w:r>
              <w:rPr>
                <w:rFonts w:hint="eastAsia" w:ascii="宋体" w:hAnsi="宋体" w:cs="Calibri"/>
                <w:color w:val="000000"/>
                <w:kern w:val="0"/>
                <w:sz w:val="22"/>
              </w:rPr>
              <w:t>在</w:t>
            </w:r>
            <w:r>
              <w:rPr>
                <w:rFonts w:hint="eastAsia" w:ascii="宋体" w:hAnsi="宋体" w:cs="Calibri"/>
                <w:color w:val="000000"/>
                <w:kern w:val="0"/>
                <w:sz w:val="22"/>
                <w:u w:val="single"/>
              </w:rPr>
              <w:t xml:space="preserve"> 2019年</w:t>
            </w:r>
            <w:r>
              <w:rPr>
                <w:rFonts w:hint="eastAsia" w:ascii="宋体" w:hAnsi="宋体" w:cs="Calibri"/>
                <w:color w:val="000000"/>
                <w:kern w:val="0"/>
                <w:sz w:val="22"/>
                <w:u w:val="single"/>
                <w:lang w:val="en-US" w:eastAsia="zh-CN"/>
              </w:rPr>
              <w:t>9</w:t>
            </w:r>
            <w:r>
              <w:rPr>
                <w:rFonts w:hint="eastAsia" w:ascii="宋体" w:hAnsi="宋体" w:cs="Calibri"/>
                <w:color w:val="000000"/>
                <w:kern w:val="0"/>
                <w:sz w:val="22"/>
                <w:u w:val="single"/>
              </w:rPr>
              <w:t>月</w:t>
            </w:r>
            <w:r>
              <w:rPr>
                <w:rFonts w:hint="eastAsia" w:ascii="宋体" w:hAnsi="宋体" w:cs="Calibri"/>
                <w:color w:val="000000"/>
                <w:kern w:val="0"/>
                <w:sz w:val="22"/>
                <w:u w:val="single"/>
                <w:lang w:val="en-US" w:eastAsia="zh-CN"/>
              </w:rPr>
              <w:t>4</w:t>
            </w:r>
            <w:r>
              <w:rPr>
                <w:rFonts w:hint="eastAsia" w:ascii="宋体" w:hAnsi="宋体" w:cs="Calibri"/>
                <w:color w:val="000000"/>
                <w:kern w:val="0"/>
                <w:sz w:val="22"/>
                <w:u w:val="single"/>
              </w:rPr>
              <w:t>日上午9时00分</w:t>
            </w:r>
            <w:r>
              <w:rPr>
                <w:rFonts w:hint="eastAsia" w:ascii="宋体" w:hAnsi="宋体" w:cs="Calibri"/>
                <w:color w:val="000000"/>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4.2.1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投标截止时间</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4</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w:t>
            </w:r>
            <w:r>
              <w:rPr>
                <w:rFonts w:hint="eastAsia" w:ascii="宋体" w:hAnsi="宋体" w:cs="Arial"/>
                <w:color w:val="000000"/>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4.2.2</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递交投标文件地点</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b/>
                <w:bCs/>
                <w:color w:val="000000"/>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4.2.3</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是否退还投标文件</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sym w:font="Wingdings" w:char="F0FE"/>
            </w:r>
            <w:r>
              <w:rPr>
                <w:rFonts w:hint="eastAsia" w:ascii="宋体" w:hAnsi="宋体" w:cs="Calibri"/>
                <w:color w:val="000000"/>
                <w:kern w:val="0"/>
                <w:sz w:val="22"/>
              </w:rPr>
              <w:t>否</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5.1.1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开标时间和地点</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开标时间：同投标截止时间</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5.2</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开标程序</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）密封情况检查：由投标人或者其集体推选的代表检查投标文件的密封情况。</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6.1.1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评标委员会的组建</w:t>
            </w:r>
          </w:p>
        </w:tc>
        <w:tc>
          <w:tcPr>
            <w:tcW w:w="6487" w:type="dxa"/>
            <w:noWrap w:val="0"/>
            <w:vAlign w:val="center"/>
          </w:tcPr>
          <w:p>
            <w:pPr>
              <w:autoSpaceDE w:val="0"/>
              <w:autoSpaceDN w:val="0"/>
              <w:adjustRightInd w:val="0"/>
              <w:snapToGrid w:val="0"/>
              <w:jc w:val="left"/>
              <w:rPr>
                <w:rFonts w:ascii="宋体" w:hAnsi="宋体"/>
                <w:color w:val="000000"/>
                <w:sz w:val="22"/>
              </w:rPr>
            </w:pPr>
            <w:r>
              <w:rPr>
                <w:rFonts w:hint="eastAsia" w:ascii="宋体" w:hAnsi="宋体"/>
                <w:color w:val="000000"/>
                <w:sz w:val="22"/>
              </w:rPr>
              <w:t>评标委员会构成</w:t>
            </w: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olor w:val="000000"/>
                <w:sz w:val="22"/>
              </w:rPr>
              <w:t>人及以上单数</w:t>
            </w:r>
          </w:p>
          <w:p>
            <w:pPr>
              <w:autoSpaceDE w:val="0"/>
              <w:autoSpaceDN w:val="0"/>
              <w:adjustRightInd w:val="0"/>
              <w:snapToGrid w:val="0"/>
              <w:jc w:val="left"/>
              <w:rPr>
                <w:rFonts w:ascii="宋体" w:hAnsi="宋体"/>
                <w:color w:val="000000"/>
                <w:sz w:val="22"/>
              </w:rPr>
            </w:pPr>
            <w:r>
              <w:rPr>
                <w:rFonts w:hint="eastAsia" w:ascii="宋体" w:hAnsi="宋体"/>
                <w:color w:val="000000"/>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7.1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是否授权评标委员会确定中标人</w:t>
            </w:r>
          </w:p>
        </w:tc>
        <w:tc>
          <w:tcPr>
            <w:tcW w:w="6487" w:type="dxa"/>
            <w:noWrap w:val="0"/>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□是</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sym w:font="Wingdings" w:char="F0FE"/>
            </w:r>
            <w:r>
              <w:rPr>
                <w:rFonts w:hint="eastAsia" w:ascii="宋体" w:hAnsi="宋体" w:cs="Calibri"/>
                <w:color w:val="000000"/>
                <w:kern w:val="0"/>
                <w:sz w:val="22"/>
              </w:rPr>
              <w:t>否，推荐的中标候选人数：</w:t>
            </w:r>
            <w:r>
              <w:rPr>
                <w:rFonts w:ascii="宋体" w:hAnsi="宋体" w:cs="Calibri"/>
                <w:color w:val="000000"/>
                <w:kern w:val="0"/>
                <w:sz w:val="22"/>
              </w:rPr>
              <w:t>2</w:t>
            </w:r>
            <w:r>
              <w:rPr>
                <w:rFonts w:hint="eastAsia" w:ascii="宋体" w:hAnsi="宋体" w:cs="Calibri"/>
                <w:color w:val="000000"/>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7.3.1</w:t>
            </w:r>
          </w:p>
        </w:tc>
        <w:tc>
          <w:tcPr>
            <w:tcW w:w="2004" w:type="dxa"/>
            <w:noWrap w:val="0"/>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履约保证金</w:t>
            </w:r>
          </w:p>
        </w:tc>
        <w:tc>
          <w:tcPr>
            <w:tcW w:w="6487" w:type="dxa"/>
            <w:noWrap w:val="0"/>
            <w:vAlign w:val="center"/>
          </w:tcPr>
          <w:p>
            <w:pPr>
              <w:autoSpaceDE w:val="0"/>
              <w:autoSpaceDN w:val="0"/>
              <w:adjustRightInd w:val="0"/>
              <w:snapToGrid w:val="0"/>
              <w:jc w:val="left"/>
              <w:rPr>
                <w:rFonts w:ascii="宋体" w:hAnsi="宋体"/>
                <w:color w:val="000000"/>
                <w:sz w:val="22"/>
              </w:rPr>
            </w:pPr>
            <w:r>
              <w:rPr>
                <w:rFonts w:hint="eastAsia" w:ascii="宋体" w:hAnsi="宋体"/>
                <w:color w:val="000000"/>
                <w:sz w:val="22"/>
              </w:rPr>
              <w:t>履约保证金的形式：</w:t>
            </w:r>
            <w:r>
              <w:rPr>
                <w:rFonts w:hint="eastAsia" w:ascii="宋体" w:hAnsi="宋体"/>
                <w:b/>
                <w:color w:val="000000"/>
                <w:sz w:val="22"/>
              </w:rPr>
              <w:t>银行转账</w:t>
            </w:r>
          </w:p>
          <w:p>
            <w:pPr>
              <w:autoSpaceDE w:val="0"/>
              <w:autoSpaceDN w:val="0"/>
              <w:adjustRightInd w:val="0"/>
              <w:snapToGrid w:val="0"/>
              <w:jc w:val="left"/>
              <w:rPr>
                <w:rFonts w:ascii="宋体" w:hAnsi="宋体"/>
                <w:color w:val="000000"/>
                <w:sz w:val="22"/>
              </w:rPr>
            </w:pPr>
            <w:r>
              <w:rPr>
                <w:rFonts w:hint="eastAsia" w:ascii="宋体" w:hAnsi="宋体"/>
                <w:color w:val="000000"/>
                <w:sz w:val="22"/>
              </w:rPr>
              <w:t>履约保证金的金额：</w:t>
            </w:r>
            <w:r>
              <w:rPr>
                <w:rFonts w:hint="eastAsia" w:ascii="宋体" w:hAnsi="宋体"/>
                <w:b/>
                <w:color w:val="000000"/>
                <w:sz w:val="22"/>
              </w:rPr>
              <w:t>合同总价的</w:t>
            </w:r>
            <w:r>
              <w:rPr>
                <w:rFonts w:ascii="宋体" w:hAnsi="宋体"/>
                <w:b/>
                <w:color w:val="000000"/>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10</w:t>
            </w:r>
          </w:p>
        </w:tc>
        <w:tc>
          <w:tcPr>
            <w:tcW w:w="8491" w:type="dxa"/>
            <w:gridSpan w:val="2"/>
            <w:noWrap w:val="0"/>
            <w:vAlign w:val="center"/>
          </w:tcPr>
          <w:p>
            <w:pPr>
              <w:autoSpaceDE w:val="0"/>
              <w:autoSpaceDN w:val="0"/>
              <w:adjustRightInd w:val="0"/>
              <w:snapToGrid w:val="0"/>
              <w:jc w:val="center"/>
              <w:rPr>
                <w:rFonts w:ascii="宋体" w:hAnsi="宋体" w:cs="Calibri"/>
                <w:snapToGrid w:val="0"/>
                <w:color w:val="000000"/>
                <w:sz w:val="22"/>
              </w:rPr>
            </w:pPr>
            <w:r>
              <w:rPr>
                <w:rFonts w:hint="eastAsia" w:ascii="宋体" w:hAnsi="宋体" w:cs="Calibri"/>
                <w:color w:val="000000"/>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10.2</w:t>
            </w:r>
          </w:p>
        </w:tc>
        <w:tc>
          <w:tcPr>
            <w:tcW w:w="2004" w:type="dxa"/>
            <w:shd w:val="clear" w:color="auto" w:fill="auto"/>
            <w:noWrap w:val="0"/>
            <w:vAlign w:val="center"/>
          </w:tcPr>
          <w:p>
            <w:pPr>
              <w:pStyle w:val="52"/>
              <w:rPr>
                <w:rFonts w:ascii="宋体" w:hAnsi="宋体" w:cs="Calibri"/>
                <w:color w:val="000000"/>
                <w:sz w:val="22"/>
                <w:szCs w:val="22"/>
              </w:rPr>
            </w:pPr>
            <w:r>
              <w:rPr>
                <w:rFonts w:hint="eastAsia" w:ascii="宋体" w:hAnsi="宋体" w:cs="Calibri"/>
                <w:color w:val="000000"/>
                <w:sz w:val="22"/>
                <w:szCs w:val="22"/>
              </w:rPr>
              <w:t>其他</w:t>
            </w:r>
          </w:p>
        </w:tc>
        <w:tc>
          <w:tcPr>
            <w:tcW w:w="6487" w:type="dxa"/>
            <w:shd w:val="clear" w:color="auto" w:fill="FFFFFF"/>
            <w:noWrap w:val="0"/>
            <w:vAlign w:val="center"/>
          </w:tcPr>
          <w:p>
            <w:pPr>
              <w:adjustRightInd w:val="0"/>
              <w:snapToGrid w:val="0"/>
              <w:rPr>
                <w:rFonts w:ascii="宋体" w:hAnsi="宋体" w:cs="Calibri"/>
                <w:snapToGrid w:val="0"/>
                <w:color w:val="000000"/>
                <w:kern w:val="0"/>
                <w:sz w:val="22"/>
              </w:rPr>
            </w:pPr>
            <w:r>
              <w:rPr>
                <w:rFonts w:ascii="宋体" w:hAnsi="宋体" w:cs="Calibri"/>
                <w:snapToGrid w:val="0"/>
                <w:color w:val="000000"/>
                <w:kern w:val="0"/>
                <w:sz w:val="22"/>
              </w:rPr>
              <w:t>1</w:t>
            </w:r>
            <w:r>
              <w:rPr>
                <w:rFonts w:hint="eastAsia" w:ascii="宋体" w:hAnsi="宋体" w:cs="Calibri"/>
                <w:snapToGrid w:val="0"/>
                <w:color w:val="00000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color w:val="000000"/>
                <w:kern w:val="0"/>
                <w:sz w:val="22"/>
              </w:rPr>
            </w:pPr>
            <w:r>
              <w:rPr>
                <w:rFonts w:ascii="宋体" w:hAnsi="宋体" w:cs="Calibri"/>
                <w:snapToGrid w:val="0"/>
                <w:color w:val="000000"/>
                <w:kern w:val="0"/>
                <w:sz w:val="22"/>
              </w:rPr>
              <w:t>2</w:t>
            </w:r>
            <w:r>
              <w:rPr>
                <w:rFonts w:hint="eastAsia" w:ascii="宋体" w:hAnsi="宋体" w:cs="Calibri"/>
                <w:snapToGrid w:val="0"/>
                <w:color w:val="000000"/>
                <w:kern w:val="0"/>
                <w:sz w:val="22"/>
              </w:rPr>
              <w:t>、本前附表内容与招标文件其他内容不一致之处，以本前附表为准。</w:t>
            </w:r>
          </w:p>
          <w:p>
            <w:pPr>
              <w:adjustRightInd w:val="0"/>
              <w:snapToGrid w:val="0"/>
              <w:rPr>
                <w:rFonts w:ascii="宋体" w:hAnsi="宋体" w:cs="Calibri"/>
                <w:snapToGrid w:val="0"/>
                <w:color w:val="000000"/>
                <w:kern w:val="0"/>
                <w:sz w:val="22"/>
              </w:rPr>
            </w:pPr>
            <w:r>
              <w:rPr>
                <w:rFonts w:ascii="宋体" w:hAnsi="宋体" w:cs="Calibri"/>
                <w:snapToGrid w:val="0"/>
                <w:color w:val="000000"/>
                <w:kern w:val="0"/>
                <w:sz w:val="22"/>
              </w:rPr>
              <w:t>3</w:t>
            </w:r>
            <w:r>
              <w:rPr>
                <w:rFonts w:hint="eastAsia" w:ascii="宋体" w:hAnsi="宋体" w:cs="Calibri"/>
                <w:snapToGrid w:val="0"/>
                <w:color w:val="000000"/>
                <w:kern w:val="0"/>
                <w:sz w:val="22"/>
              </w:rPr>
              <w:t>、</w:t>
            </w:r>
            <w:r>
              <w:rPr>
                <w:rFonts w:hint="eastAsia" w:ascii="宋体" w:hAnsi="宋体" w:cs="Calibri"/>
                <w:b/>
                <w:snapToGrid w:val="0"/>
                <w:color w:val="000000"/>
                <w:kern w:val="0"/>
                <w:sz w:val="22"/>
              </w:rPr>
              <w:t>本工程包含少量隔离区施工，</w:t>
            </w:r>
            <w:r>
              <w:rPr>
                <w:rFonts w:hint="eastAsia" w:ascii="宋体" w:hAnsi="宋体"/>
                <w:b/>
                <w:color w:val="000000"/>
                <w:sz w:val="22"/>
              </w:rPr>
              <w:t>投标人应充分考虑施工监管等风险因素可能导致发生或增加的费用。</w:t>
            </w:r>
            <w:r>
              <w:rPr>
                <w:rFonts w:hint="eastAsia" w:ascii="宋体" w:hAnsi="宋体"/>
                <w:b/>
                <w:bCs/>
                <w:color w:val="000000"/>
                <w:sz w:val="22"/>
              </w:rPr>
              <w:t>隔离区内施工监管费用施工标准</w:t>
            </w:r>
            <w:r>
              <w:rPr>
                <w:rFonts w:ascii="宋体" w:hAnsi="宋体"/>
                <w:b/>
                <w:bCs/>
                <w:color w:val="000000"/>
                <w:sz w:val="22"/>
              </w:rPr>
              <w:t xml:space="preserve"> </w:t>
            </w:r>
            <w:r>
              <w:rPr>
                <w:rFonts w:hint="eastAsia" w:ascii="宋体" w:hAnsi="宋体"/>
                <w:b/>
                <w:bCs/>
                <w:color w:val="000000"/>
                <w:sz w:val="22"/>
              </w:rPr>
              <w:t>见</w:t>
            </w:r>
            <w:r>
              <w:rPr>
                <w:rFonts w:ascii="宋体" w:hAnsi="宋体"/>
                <w:b/>
                <w:bCs/>
                <w:color w:val="000000"/>
                <w:sz w:val="22"/>
              </w:rPr>
              <w:t>3.3.7</w:t>
            </w:r>
            <w:r>
              <w:rPr>
                <w:rFonts w:hint="eastAsia" w:ascii="宋体" w:hAnsi="宋体"/>
                <w:b/>
                <w:bCs/>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bottom w:val="single" w:color="auto" w:sz="12" w:space="0"/>
            </w:tcBorders>
            <w:shd w:val="clear" w:color="auto" w:fill="auto"/>
            <w:noWrap w:val="0"/>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10.3</w:t>
            </w:r>
          </w:p>
        </w:tc>
        <w:tc>
          <w:tcPr>
            <w:tcW w:w="2004" w:type="dxa"/>
            <w:tcBorders>
              <w:bottom w:val="single" w:color="auto" w:sz="12" w:space="0"/>
            </w:tcBorders>
            <w:shd w:val="clear" w:color="auto" w:fill="auto"/>
            <w:noWrap w:val="0"/>
            <w:vAlign w:val="center"/>
          </w:tcPr>
          <w:p>
            <w:pPr>
              <w:pStyle w:val="52"/>
              <w:rPr>
                <w:rFonts w:ascii="宋体" w:hAnsi="宋体"/>
                <w:color w:val="000000"/>
              </w:rPr>
            </w:pPr>
            <w:r>
              <w:rPr>
                <w:rFonts w:hint="eastAsia" w:ascii="宋体" w:hAnsi="宋体"/>
                <w:color w:val="000000"/>
              </w:rPr>
              <w:t>备注</w:t>
            </w:r>
          </w:p>
        </w:tc>
        <w:tc>
          <w:tcPr>
            <w:tcW w:w="6487" w:type="dxa"/>
            <w:tcBorders>
              <w:bottom w:val="single" w:color="auto" w:sz="12" w:space="0"/>
            </w:tcBorders>
            <w:shd w:val="clear" w:color="auto" w:fill="FFFFFF"/>
            <w:noWrap w:val="0"/>
            <w:vAlign w:val="center"/>
          </w:tcPr>
          <w:p>
            <w:pPr>
              <w:adjustRightInd w:val="0"/>
              <w:snapToGrid w:val="0"/>
              <w:rPr>
                <w:rFonts w:ascii="宋体" w:hAnsi="宋体" w:cs="Calibri"/>
                <w:snapToGrid w:val="0"/>
                <w:color w:val="000000"/>
                <w:kern w:val="0"/>
                <w:sz w:val="22"/>
              </w:rPr>
            </w:pPr>
            <w:r>
              <w:rPr>
                <w:rFonts w:hint="eastAsia" w:ascii="宋体" w:hAnsi="宋体" w:cs="Calibri"/>
                <w:snapToGrid w:val="0"/>
                <w:color w:val="000000"/>
                <w:kern w:val="0"/>
                <w:sz w:val="22"/>
              </w:rPr>
              <w:t>本前附表内容与招标文件其他内容不一致之处，以本前附表为准。</w:t>
            </w:r>
          </w:p>
        </w:tc>
      </w:tr>
    </w:tbl>
    <w:p>
      <w:pPr>
        <w:pStyle w:val="34"/>
        <w:spacing w:line="240" w:lineRule="auto"/>
        <w:ind w:left="480"/>
        <w:jc w:val="center"/>
        <w:rPr>
          <w:rFonts w:hint="eastAsia"/>
          <w:b/>
          <w:sz w:val="28"/>
          <w:szCs w:val="28"/>
        </w:rPr>
      </w:pPr>
    </w:p>
    <w:p>
      <w:pPr>
        <w:rPr>
          <w:rFonts w:ascii="宋体" w:hAnsi="宋体" w:cs="Calibri"/>
          <w:b/>
          <w:bCs/>
          <w:color w:val="000000"/>
          <w:kern w:val="0"/>
          <w:sz w:val="22"/>
        </w:rPr>
      </w:pPr>
      <w:bookmarkStart w:id="3" w:name="_Toc26216"/>
      <w:r>
        <w:rPr>
          <w:b/>
        </w:rPr>
        <w:br w:type="page"/>
      </w:r>
      <w:bookmarkEnd w:id="3"/>
      <w:r>
        <w:rPr>
          <w:rFonts w:ascii="宋体" w:hAnsi="宋体" w:cs="Calibri"/>
          <w:b/>
          <w:bCs/>
          <w:color w:val="000000"/>
          <w:kern w:val="0"/>
          <w:sz w:val="22"/>
        </w:rPr>
        <w:t>1.</w:t>
      </w:r>
      <w:r>
        <w:rPr>
          <w:rFonts w:hint="eastAsia" w:ascii="宋体" w:hAnsi="宋体" w:cs="Calibri"/>
          <w:b/>
          <w:bCs/>
          <w:color w:val="000000"/>
          <w:kern w:val="0"/>
          <w:sz w:val="22"/>
        </w:rPr>
        <w:t>总则</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1.1 </w:t>
      </w:r>
      <w:r>
        <w:rPr>
          <w:rFonts w:hint="eastAsia" w:ascii="宋体" w:hAnsi="宋体" w:cs="Calibri"/>
          <w:b/>
          <w:bCs/>
          <w:color w:val="000000"/>
          <w:kern w:val="0"/>
          <w:sz w:val="22"/>
        </w:rPr>
        <w:t>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项目建设地点见投标人须知前附表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hAnsi="宋体" w:cs="Calibri"/>
          <w:b/>
          <w:bCs/>
          <w:color w:val="000000"/>
          <w:kern w:val="0"/>
          <w:sz w:val="22"/>
        </w:rPr>
      </w:pPr>
      <w:bookmarkStart w:id="4" w:name="_Toc9136"/>
      <w:r>
        <w:rPr>
          <w:rFonts w:ascii="宋体" w:hAnsi="宋体" w:cs="Calibri"/>
          <w:b/>
          <w:bCs/>
          <w:color w:val="000000"/>
          <w:kern w:val="0"/>
          <w:sz w:val="22"/>
        </w:rPr>
        <w:t xml:space="preserve">1.2 </w:t>
      </w:r>
      <w:r>
        <w:rPr>
          <w:rFonts w:hint="eastAsia" w:ascii="宋体" w:hAnsi="宋体" w:cs="Calibri"/>
          <w:b/>
          <w:bCs/>
          <w:color w:val="000000"/>
          <w:kern w:val="0"/>
          <w:sz w:val="22"/>
        </w:rPr>
        <w:t>资金来源</w:t>
      </w:r>
      <w:bookmarkEnd w:id="4"/>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5" w:name="_Toc10673"/>
      <w:r>
        <w:rPr>
          <w:rFonts w:ascii="宋体" w:hAnsi="宋体" w:cs="Calibri"/>
          <w:b/>
          <w:bCs/>
          <w:color w:val="000000"/>
          <w:kern w:val="0"/>
          <w:sz w:val="22"/>
        </w:rPr>
        <w:t xml:space="preserve">1.3 </w:t>
      </w:r>
      <w:r>
        <w:rPr>
          <w:rFonts w:hint="eastAsia" w:ascii="宋体" w:hAnsi="宋体" w:cs="Calibri"/>
          <w:b/>
          <w:bCs/>
          <w:color w:val="000000"/>
          <w:kern w:val="0"/>
          <w:sz w:val="22"/>
        </w:rPr>
        <w:t>招标</w:t>
      </w:r>
      <w:bookmarkEnd w:id="5"/>
      <w:r>
        <w:rPr>
          <w:rFonts w:hint="eastAsia" w:ascii="宋体" w:hAnsi="宋体" w:cs="Calibri"/>
          <w:b/>
          <w:bCs/>
          <w:color w:val="000000"/>
          <w:kern w:val="0"/>
          <w:sz w:val="22"/>
        </w:rPr>
        <w:t>内容</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6" w:name="_Toc718"/>
      <w:r>
        <w:rPr>
          <w:rFonts w:ascii="宋体" w:hAnsi="宋体" w:cs="Calibri"/>
          <w:b/>
          <w:bCs/>
          <w:color w:val="000000"/>
          <w:kern w:val="0"/>
          <w:sz w:val="22"/>
        </w:rPr>
        <w:t xml:space="preserve">1.4 </w:t>
      </w:r>
      <w:r>
        <w:rPr>
          <w:rFonts w:hint="eastAsia" w:ascii="宋体" w:hAnsi="宋体" w:cs="Calibri"/>
          <w:b/>
          <w:bCs/>
          <w:color w:val="000000"/>
          <w:kern w:val="0"/>
          <w:sz w:val="22"/>
        </w:rPr>
        <w:t>招标方式</w:t>
      </w:r>
      <w:bookmarkEnd w:id="6"/>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7" w:name="_Toc9161"/>
      <w:r>
        <w:rPr>
          <w:rFonts w:ascii="宋体" w:hAnsi="宋体" w:cs="Calibri"/>
          <w:b/>
          <w:bCs/>
          <w:color w:val="000000"/>
          <w:kern w:val="0"/>
          <w:sz w:val="22"/>
        </w:rPr>
        <w:t xml:space="preserve">1.5 </w:t>
      </w:r>
      <w:r>
        <w:rPr>
          <w:rFonts w:hint="eastAsia" w:ascii="宋体" w:hAnsi="宋体" w:cs="Calibri"/>
          <w:b/>
          <w:bCs/>
          <w:color w:val="000000"/>
          <w:kern w:val="0"/>
          <w:sz w:val="22"/>
        </w:rPr>
        <w:t>资格审查</w:t>
      </w:r>
      <w:bookmarkEnd w:id="7"/>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8" w:name="_Toc13012"/>
      <w:r>
        <w:rPr>
          <w:rFonts w:ascii="宋体" w:hAnsi="宋体" w:cs="Calibri"/>
          <w:b/>
          <w:bCs/>
          <w:color w:val="000000"/>
          <w:kern w:val="0"/>
          <w:sz w:val="22"/>
        </w:rPr>
        <w:t xml:space="preserve">1.6 </w:t>
      </w:r>
      <w:r>
        <w:rPr>
          <w:rFonts w:hint="eastAsia" w:ascii="宋体" w:hAnsi="宋体" w:cs="Calibri"/>
          <w:b/>
          <w:bCs/>
          <w:color w:val="000000"/>
          <w:kern w:val="0"/>
          <w:sz w:val="22"/>
        </w:rPr>
        <w:t>投标人资质条件、能力和信誉</w:t>
      </w:r>
      <w:bookmarkEnd w:id="8"/>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9" w:name="_Toc2796"/>
      <w:r>
        <w:rPr>
          <w:rFonts w:ascii="宋体" w:hAnsi="宋体" w:cs="Calibri"/>
          <w:b/>
          <w:bCs/>
          <w:color w:val="000000"/>
          <w:kern w:val="0"/>
          <w:sz w:val="22"/>
        </w:rPr>
        <w:t xml:space="preserve">1.7 </w:t>
      </w:r>
      <w:r>
        <w:rPr>
          <w:rFonts w:hint="eastAsia" w:ascii="宋体" w:hAnsi="宋体" w:cs="Calibri"/>
          <w:b/>
          <w:bCs/>
          <w:color w:val="000000"/>
          <w:kern w:val="0"/>
          <w:sz w:val="22"/>
        </w:rPr>
        <w:t>工期</w:t>
      </w:r>
      <w:bookmarkEnd w:id="9"/>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1.8 </w:t>
      </w:r>
      <w:r>
        <w:rPr>
          <w:rFonts w:hint="eastAsia" w:ascii="宋体" w:hAnsi="宋体" w:cs="Calibri"/>
          <w:b/>
          <w:bCs/>
          <w:color w:val="000000"/>
          <w:kern w:val="0"/>
          <w:sz w:val="22"/>
        </w:rPr>
        <w:t>质量要求</w:t>
      </w:r>
    </w:p>
    <w:p>
      <w:pPr>
        <w:adjustRightInd w:val="0"/>
        <w:snapToGrid w:val="0"/>
        <w:spacing w:line="360" w:lineRule="exact"/>
        <w:ind w:firstLine="440"/>
        <w:rPr>
          <w:rFonts w:ascii="宋体" w:hAnsi="宋体" w:cs="Calibri"/>
          <w:color w:val="000000"/>
          <w:sz w:val="22"/>
        </w:rPr>
      </w:pPr>
      <w:bookmarkStart w:id="10"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1.9 </w:t>
      </w:r>
      <w:r>
        <w:rPr>
          <w:rFonts w:hint="eastAsia" w:ascii="宋体" w:hAnsi="宋体" w:cs="Calibri"/>
          <w:b/>
          <w:bCs/>
          <w:color w:val="000000"/>
          <w:kern w:val="0"/>
          <w:sz w:val="22"/>
        </w:rPr>
        <w:t>踏勘现场</w:t>
      </w:r>
      <w:bookmarkEnd w:id="10"/>
    </w:p>
    <w:p>
      <w:pPr>
        <w:adjustRightInd w:val="0"/>
        <w:snapToGrid w:val="0"/>
        <w:spacing w:line="360" w:lineRule="exact"/>
        <w:ind w:left="460" w:leftChars="100" w:hanging="220" w:hangingChars="100"/>
        <w:rPr>
          <w:rFonts w:ascii="宋体" w:hAnsi="宋体" w:cs="Calibri"/>
          <w:color w:val="000000"/>
          <w:sz w:val="22"/>
        </w:rPr>
      </w:pPr>
      <w:r>
        <w:rPr>
          <w:rFonts w:ascii="宋体" w:hAnsi="宋体" w:cs="Calibri"/>
          <w:color w:val="000000"/>
          <w:sz w:val="22"/>
        </w:rPr>
        <w:t>1.9.1</w:t>
      </w:r>
      <w:r>
        <w:rPr>
          <w:rFonts w:hint="eastAsia" w:ascii="宋体" w:hAnsi="宋体" w:cs="Calibri"/>
          <w:color w:val="000000"/>
          <w:sz w:val="22"/>
        </w:rPr>
        <w:t>投标人须知前附表约定不组织踏勘现场的，投标人如有需要，可自行前往。</w:t>
      </w:r>
    </w:p>
    <w:p>
      <w:pPr>
        <w:adjustRightInd w:val="0"/>
        <w:snapToGrid w:val="0"/>
        <w:spacing w:line="360" w:lineRule="exact"/>
        <w:ind w:left="460" w:leftChars="100" w:hanging="220" w:hangingChars="100"/>
        <w:rPr>
          <w:rFonts w:ascii="宋体" w:hAns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220" w:firstLineChars="100"/>
        <w:rPr>
          <w:rFonts w:ascii="宋体" w:hAns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220" w:firstLineChars="100"/>
        <w:rPr>
          <w:rFonts w:ascii="宋体" w:hAns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color w:val="000000"/>
          <w:kern w:val="0"/>
          <w:sz w:val="22"/>
        </w:rPr>
      </w:pPr>
      <w:bookmarkStart w:id="11" w:name="_Toc4199"/>
      <w:r>
        <w:rPr>
          <w:rFonts w:ascii="宋体" w:hAnsi="宋体" w:cs="Calibri"/>
          <w:b/>
          <w:bCs/>
          <w:color w:val="000000"/>
          <w:kern w:val="0"/>
          <w:sz w:val="22"/>
        </w:rPr>
        <w:t xml:space="preserve">1.10 </w:t>
      </w:r>
      <w:r>
        <w:rPr>
          <w:rFonts w:hint="eastAsia" w:ascii="宋体" w:hAnsi="宋体" w:cs="Calibri"/>
          <w:b/>
          <w:bCs/>
          <w:color w:val="000000"/>
          <w:kern w:val="0"/>
          <w:sz w:val="22"/>
        </w:rPr>
        <w:t>投标预备会</w:t>
      </w:r>
      <w:bookmarkEnd w:id="11"/>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12" w:name="_Toc4584"/>
      <w:r>
        <w:rPr>
          <w:rFonts w:ascii="宋体" w:hAnsi="宋体" w:cs="Calibri"/>
          <w:b/>
          <w:bCs/>
          <w:color w:val="000000"/>
          <w:kern w:val="0"/>
          <w:sz w:val="22"/>
        </w:rPr>
        <w:t xml:space="preserve">1.11 </w:t>
      </w:r>
      <w:r>
        <w:rPr>
          <w:rFonts w:hint="eastAsia" w:ascii="宋体" w:hAnsi="宋体" w:cs="Calibri"/>
          <w:b/>
          <w:bCs/>
          <w:color w:val="000000"/>
          <w:kern w:val="0"/>
          <w:sz w:val="22"/>
        </w:rPr>
        <w:t>分包</w:t>
      </w:r>
      <w:bookmarkEnd w:id="12"/>
    </w:p>
    <w:p>
      <w:pPr>
        <w:autoSpaceDE w:val="0"/>
        <w:autoSpaceDN w:val="0"/>
        <w:adjustRightInd w:val="0"/>
        <w:snapToGrid w:val="0"/>
        <w:spacing w:line="360" w:lineRule="auto"/>
        <w:ind w:firstLine="440" w:firstLineChars="200"/>
        <w:rPr>
          <w:rFonts w:ascii="宋体" w:hAnsi="宋体" w:cs="Calibri"/>
          <w:color w:val="000000"/>
          <w:sz w:val="22"/>
        </w:rPr>
      </w:pPr>
      <w:bookmarkStart w:id="13" w:name="_Toc3996"/>
      <w:r>
        <w:rPr>
          <w:rFonts w:hint="eastAsia" w:ascii="宋体" w:hAnsi="宋体" w:cs="Calibri"/>
          <w:color w:val="000000"/>
          <w:sz w:val="22"/>
        </w:rPr>
        <w:t>本项目不允许分包。</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1.12 </w:t>
      </w:r>
      <w:r>
        <w:rPr>
          <w:rFonts w:hint="eastAsia" w:ascii="宋体" w:hAnsi="宋体" w:cs="Calibri"/>
          <w:b/>
          <w:bCs/>
          <w:color w:val="000000"/>
          <w:kern w:val="0"/>
          <w:sz w:val="22"/>
        </w:rPr>
        <w:t>投标费用</w:t>
      </w:r>
      <w:bookmarkEnd w:id="13"/>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color w:val="000000"/>
          <w:kern w:val="0"/>
          <w:sz w:val="22"/>
        </w:rPr>
      </w:pPr>
      <w:bookmarkStart w:id="14" w:name="_Toc143421657"/>
      <w:bookmarkStart w:id="15" w:name="_Toc15241"/>
      <w:r>
        <w:rPr>
          <w:rFonts w:ascii="宋体" w:hAnsi="宋体" w:cs="Calibri"/>
          <w:b/>
          <w:bCs/>
          <w:color w:val="000000"/>
          <w:kern w:val="0"/>
          <w:sz w:val="22"/>
        </w:rPr>
        <w:t>2.</w:t>
      </w:r>
      <w:r>
        <w:rPr>
          <w:rFonts w:hint="eastAsia" w:ascii="宋体" w:hAnsi="宋体" w:cs="Calibri"/>
          <w:b/>
          <w:bCs/>
          <w:color w:val="000000"/>
          <w:kern w:val="0"/>
          <w:sz w:val="22"/>
        </w:rPr>
        <w:t>招标文件</w:t>
      </w:r>
      <w:bookmarkEnd w:id="14"/>
      <w:bookmarkEnd w:id="15"/>
    </w:p>
    <w:p>
      <w:pPr>
        <w:autoSpaceDE w:val="0"/>
        <w:autoSpaceDN w:val="0"/>
        <w:adjustRightInd w:val="0"/>
        <w:snapToGrid w:val="0"/>
        <w:spacing w:line="360" w:lineRule="exact"/>
        <w:rPr>
          <w:rFonts w:ascii="宋体" w:hAnsi="宋体" w:cs="Calibri"/>
          <w:b/>
          <w:bCs/>
          <w:color w:val="000000"/>
          <w:kern w:val="0"/>
          <w:sz w:val="22"/>
        </w:rPr>
      </w:pPr>
      <w:bookmarkStart w:id="16" w:name="_Toc1426"/>
      <w:r>
        <w:rPr>
          <w:rFonts w:ascii="宋体" w:hAnsi="宋体" w:cs="Calibri"/>
          <w:b/>
          <w:bCs/>
          <w:color w:val="000000"/>
          <w:kern w:val="0"/>
          <w:sz w:val="22"/>
        </w:rPr>
        <w:t xml:space="preserve">2.1 </w:t>
      </w:r>
      <w:r>
        <w:rPr>
          <w:rFonts w:hint="eastAsia" w:ascii="宋体" w:hAnsi="宋体" w:cs="Calibri"/>
          <w:b/>
          <w:bCs/>
          <w:color w:val="000000"/>
          <w:kern w:val="0"/>
          <w:sz w:val="22"/>
        </w:rPr>
        <w:t>招标文件的组成</w:t>
      </w:r>
      <w:bookmarkEnd w:id="16"/>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本招标文件包括：</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）招标公告</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）投标人须知及评标办法</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）合同条款及格式</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）参考工程量清单</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）图纸</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）投标文件格式</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sz w:val="22"/>
        </w:rPr>
        <w:t>根据本须知第</w:t>
      </w:r>
      <w:r>
        <w:rPr>
          <w:rFonts w:ascii="宋体" w:hAnsi="宋体" w:cs="Calibri"/>
          <w:color w:val="000000"/>
          <w:sz w:val="22"/>
        </w:rPr>
        <w:t>2.2</w:t>
      </w:r>
      <w:r>
        <w:rPr>
          <w:rFonts w:hint="eastAsia" w:ascii="宋体" w:hAnsi="宋体" w:cs="Calibri"/>
          <w:color w:val="000000"/>
          <w:sz w:val="22"/>
        </w:rPr>
        <w:t>款和</w:t>
      </w:r>
      <w:r>
        <w:rPr>
          <w:rFonts w:ascii="宋体" w:hAnsi="宋体" w:cs="Calibri"/>
          <w:color w:val="000000"/>
          <w:sz w:val="22"/>
        </w:rPr>
        <w:t>2.3</w:t>
      </w:r>
      <w:r>
        <w:rPr>
          <w:rFonts w:hint="eastAsia" w:ascii="宋体" w:hAnsi="宋体" w:cs="Calibri"/>
          <w:color w:val="000000"/>
          <w:sz w:val="22"/>
        </w:rPr>
        <w:t>款对招标文件做出的澄清、修改，构成招标文件的组成部分。</w:t>
      </w:r>
    </w:p>
    <w:p>
      <w:pPr>
        <w:autoSpaceDE w:val="0"/>
        <w:autoSpaceDN w:val="0"/>
        <w:adjustRightInd w:val="0"/>
        <w:snapToGrid w:val="0"/>
        <w:spacing w:line="360" w:lineRule="exact"/>
        <w:rPr>
          <w:rFonts w:ascii="宋体" w:hAnsi="宋体" w:cs="Calibri"/>
          <w:b/>
          <w:bCs/>
          <w:color w:val="000000"/>
          <w:kern w:val="0"/>
          <w:sz w:val="22"/>
        </w:rPr>
      </w:pPr>
      <w:bookmarkStart w:id="17" w:name="_Toc18230"/>
      <w:r>
        <w:rPr>
          <w:rFonts w:ascii="宋体" w:hAnsi="宋体" w:cs="Calibri"/>
          <w:b/>
          <w:bCs/>
          <w:color w:val="000000"/>
          <w:kern w:val="0"/>
          <w:sz w:val="22"/>
        </w:rPr>
        <w:t xml:space="preserve">2.2 </w:t>
      </w:r>
      <w:r>
        <w:rPr>
          <w:rFonts w:hint="eastAsia" w:ascii="宋体" w:hAnsi="宋体" w:cs="Calibri"/>
          <w:b/>
          <w:bCs/>
          <w:color w:val="000000"/>
          <w:kern w:val="0"/>
          <w:sz w:val="22"/>
        </w:rPr>
        <w:t>招标文件的澄清</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color w:val="000000"/>
          <w:kern w:val="0"/>
          <w:sz w:val="22"/>
        </w:rPr>
        <w:t>招标人将视情况采用补充公告的方式予以澄清。</w:t>
      </w:r>
    </w:p>
    <w:p>
      <w:pPr>
        <w:autoSpaceDE w:val="0"/>
        <w:autoSpaceDN w:val="0"/>
        <w:adjustRightInd w:val="0"/>
        <w:snapToGrid w:val="0"/>
        <w:spacing w:line="360" w:lineRule="exact"/>
        <w:rPr>
          <w:rFonts w:ascii="宋体" w:hAnsi="宋体" w:cs="Calibri"/>
          <w:b/>
          <w:bCs/>
          <w:color w:val="000000"/>
          <w:kern w:val="0"/>
          <w:sz w:val="22"/>
        </w:rPr>
      </w:pPr>
      <w:bookmarkStart w:id="18" w:name="_Toc18303"/>
      <w:r>
        <w:rPr>
          <w:rFonts w:ascii="宋体" w:hAnsi="宋体" w:cs="Calibri"/>
          <w:b/>
          <w:bCs/>
          <w:color w:val="000000"/>
          <w:kern w:val="0"/>
          <w:sz w:val="22"/>
        </w:rPr>
        <w:t xml:space="preserve">2.3 </w:t>
      </w:r>
      <w:r>
        <w:rPr>
          <w:rFonts w:hint="eastAsia" w:ascii="宋体" w:hAnsi="宋体" w:cs="Calibri"/>
          <w:b/>
          <w:bCs/>
          <w:color w:val="000000"/>
          <w:kern w:val="0"/>
          <w:sz w:val="22"/>
        </w:rPr>
        <w:t>招标文件的修改</w:t>
      </w:r>
      <w:bookmarkEnd w:id="18"/>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color w:val="000000"/>
          <w:kern w:val="0"/>
          <w:sz w:val="22"/>
        </w:rPr>
      </w:pPr>
      <w:bookmarkStart w:id="19" w:name="_Toc143421658"/>
      <w:bookmarkStart w:id="20" w:name="_Toc18870"/>
      <w:r>
        <w:rPr>
          <w:rFonts w:ascii="宋体" w:hAnsi="宋体" w:cs="Calibri"/>
          <w:b/>
          <w:bCs/>
          <w:color w:val="000000"/>
          <w:kern w:val="0"/>
          <w:sz w:val="22"/>
        </w:rPr>
        <w:t>3.</w:t>
      </w:r>
      <w:r>
        <w:rPr>
          <w:rFonts w:hint="eastAsia" w:ascii="宋体" w:hAnsi="宋体" w:cs="Calibri"/>
          <w:b/>
          <w:bCs/>
          <w:color w:val="000000"/>
          <w:kern w:val="0"/>
          <w:sz w:val="22"/>
        </w:rPr>
        <w:t>投标文件</w:t>
      </w:r>
      <w:bookmarkEnd w:id="19"/>
      <w:bookmarkEnd w:id="20"/>
    </w:p>
    <w:p>
      <w:pPr>
        <w:autoSpaceDE w:val="0"/>
        <w:autoSpaceDN w:val="0"/>
        <w:adjustRightInd w:val="0"/>
        <w:snapToGrid w:val="0"/>
        <w:spacing w:line="360" w:lineRule="exact"/>
        <w:rPr>
          <w:rFonts w:ascii="宋体" w:hAnsi="宋体" w:cs="Calibri"/>
          <w:b/>
          <w:bCs/>
          <w:color w:val="000000"/>
          <w:kern w:val="0"/>
          <w:sz w:val="22"/>
        </w:rPr>
      </w:pPr>
      <w:bookmarkStart w:id="21" w:name="_Toc461"/>
      <w:r>
        <w:rPr>
          <w:rFonts w:ascii="宋体" w:hAnsi="宋体" w:cs="Calibri"/>
          <w:b/>
          <w:bCs/>
          <w:color w:val="000000"/>
          <w:kern w:val="0"/>
          <w:sz w:val="22"/>
        </w:rPr>
        <w:t xml:space="preserve">3.1 </w:t>
      </w:r>
      <w:r>
        <w:rPr>
          <w:rFonts w:hint="eastAsia" w:ascii="宋体" w:hAnsi="宋体" w:cs="Calibri"/>
          <w:b/>
          <w:bCs/>
          <w:color w:val="000000"/>
          <w:kern w:val="0"/>
          <w:sz w:val="22"/>
        </w:rPr>
        <w:t>投标文件的语言和计量单位</w:t>
      </w:r>
      <w:bookmarkEnd w:id="21"/>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3.1.1</w:t>
      </w:r>
      <w:r>
        <w:rPr>
          <w:rFonts w:hint="eastAsia" w:ascii="宋体" w:hAnsi="宋体" w:cs="Calibri"/>
          <w:color w:val="000000"/>
          <w:sz w:val="22"/>
        </w:rPr>
        <w:t>投标文件与投标有关的所有文件均应使用中文。</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3.1.2</w:t>
      </w:r>
      <w:r>
        <w:rPr>
          <w:rFonts w:hint="eastAsia" w:ascii="宋体" w:hAnsi="宋体" w:cs="Calibri"/>
          <w:color w:val="000000"/>
          <w:kern w:val="0"/>
          <w:sz w:val="22"/>
        </w:rPr>
        <w:t>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3.1.3</w:t>
      </w:r>
      <w:r>
        <w:rPr>
          <w:rFonts w:hint="eastAsia" w:ascii="宋体" w:hAnsi="宋体" w:cs="Calibri"/>
          <w:color w:val="000000"/>
          <w:kern w:val="0"/>
          <w:sz w:val="22"/>
        </w:rPr>
        <w:t>招标文件中的“天”除特别说明外，均为日历天。</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3.1.4</w:t>
      </w:r>
      <w:r>
        <w:rPr>
          <w:rFonts w:hint="eastAsia" w:ascii="宋体" w:hAnsi="宋体" w:cs="Calibri"/>
          <w:color w:val="000000"/>
          <w:kern w:val="0"/>
          <w:sz w:val="22"/>
        </w:rPr>
        <w:t>招标文件中所指的“合同”除特别说明外，指</w:t>
      </w:r>
      <w:r>
        <w:rPr>
          <w:rFonts w:ascii="宋体" w:hAnsi="宋体" w:cs="Calibri"/>
          <w:color w:val="000000"/>
          <w:kern w:val="0"/>
          <w:sz w:val="22"/>
        </w:rPr>
        <w:t xml:space="preserve"> </w:t>
      </w:r>
      <w:r>
        <w:rPr>
          <w:rFonts w:hint="eastAsia" w:ascii="宋体" w:hAnsi="宋体" w:cs="Calibri"/>
          <w:color w:val="000000"/>
          <w:kern w:val="0"/>
          <w:sz w:val="22"/>
        </w:rPr>
        <w:t>“施工合同”。</w:t>
      </w:r>
    </w:p>
    <w:p>
      <w:pPr>
        <w:autoSpaceDE w:val="0"/>
        <w:autoSpaceDN w:val="0"/>
        <w:adjustRightInd w:val="0"/>
        <w:snapToGrid w:val="0"/>
        <w:spacing w:line="360" w:lineRule="exact"/>
        <w:rPr>
          <w:rFonts w:ascii="宋体" w:hAnsi="宋体" w:cs="Calibri"/>
          <w:b/>
          <w:bCs/>
          <w:color w:val="000000"/>
          <w:kern w:val="0"/>
          <w:sz w:val="22"/>
        </w:rPr>
      </w:pPr>
      <w:bookmarkStart w:id="22" w:name="_Toc1411"/>
      <w:r>
        <w:rPr>
          <w:rFonts w:ascii="宋体" w:hAnsi="宋体" w:cs="Calibri"/>
          <w:b/>
          <w:bCs/>
          <w:color w:val="000000"/>
          <w:kern w:val="0"/>
          <w:sz w:val="22"/>
        </w:rPr>
        <w:t xml:space="preserve">3.2 </w:t>
      </w:r>
      <w:r>
        <w:rPr>
          <w:rFonts w:hint="eastAsia" w:ascii="宋体" w:hAnsi="宋体" w:cs="Calibri"/>
          <w:b/>
          <w:bCs/>
          <w:color w:val="000000"/>
          <w:kern w:val="0"/>
          <w:sz w:val="22"/>
        </w:rPr>
        <w:t>投标文件的组成</w:t>
      </w:r>
      <w:bookmarkEnd w:id="22"/>
    </w:p>
    <w:p>
      <w:pPr>
        <w:adjustRightInd w:val="0"/>
        <w:snapToGrid w:val="0"/>
        <w:spacing w:line="360" w:lineRule="exact"/>
        <w:ind w:firstLine="440"/>
        <w:rPr>
          <w:rFonts w:ascii="宋体" w:hAnsi="宋体" w:cs="Calibri"/>
          <w:color w:val="000000"/>
          <w:sz w:val="22"/>
        </w:rPr>
      </w:pPr>
      <w:bookmarkStart w:id="23" w:name="_Toc32225"/>
      <w:r>
        <w:rPr>
          <w:rFonts w:ascii="宋体" w:hAnsi="宋体" w:cs="Calibri"/>
          <w:color w:val="000000"/>
          <w:sz w:val="22"/>
        </w:rPr>
        <w:t>3.2.1</w:t>
      </w:r>
      <w:r>
        <w:rPr>
          <w:rFonts w:hint="eastAsia" w:ascii="宋体" w:hAnsi="宋体" w:cs="Calibri"/>
          <w:color w:val="000000"/>
          <w:sz w:val="22"/>
        </w:rPr>
        <w:t>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3.2.2</w:t>
      </w:r>
      <w:r>
        <w:rPr>
          <w:rFonts w:hint="eastAsia"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3.2.3</w:t>
      </w:r>
      <w:r>
        <w:rPr>
          <w:rFonts w:hint="eastAsia"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3.2.4</w:t>
      </w:r>
      <w:r>
        <w:rPr>
          <w:rFonts w:hint="eastAsia" w:ascii="宋体" w:hAnsi="宋体" w:cs="Calibri"/>
          <w:color w:val="000000"/>
          <w:sz w:val="22"/>
        </w:rPr>
        <w:t>已标价工程量清单；</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3.2.6 </w:t>
      </w:r>
      <w:r>
        <w:rPr>
          <w:rFonts w:hint="eastAsia" w:ascii="宋体" w:hAnsi="宋体" w:cs="Calibri"/>
          <w:color w:val="000000"/>
          <w:sz w:val="22"/>
        </w:rPr>
        <w:t>项目管理机构</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3.2.7 </w:t>
      </w:r>
      <w:r>
        <w:rPr>
          <w:rFonts w:hint="eastAsia" w:ascii="宋体" w:hAnsi="宋体" w:cs="Calibri"/>
          <w:color w:val="000000"/>
          <w:sz w:val="22"/>
        </w:rPr>
        <w:t>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3.2.8</w:t>
      </w:r>
      <w:r>
        <w:rPr>
          <w:rFonts w:hint="eastAsia" w:ascii="宋体" w:hAnsi="宋体" w:cs="Arial"/>
          <w:color w:val="000000"/>
          <w:sz w:val="22"/>
        </w:rPr>
        <w:t>投标人认为应该提供的其他材料</w:t>
      </w:r>
      <w:r>
        <w:rPr>
          <w:rFonts w:hint="eastAsia" w:ascii="宋体" w:hAnsi="宋体" w:cs="宋体"/>
          <w:color w:val="000000"/>
          <w:sz w:val="22"/>
        </w:rPr>
        <w:t>。</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3.3 </w:t>
      </w:r>
      <w:r>
        <w:rPr>
          <w:rFonts w:hint="eastAsia" w:ascii="宋体" w:hAnsi="宋体" w:cs="Calibri"/>
          <w:b/>
          <w:bCs/>
          <w:color w:val="000000"/>
          <w:kern w:val="0"/>
          <w:sz w:val="22"/>
        </w:rPr>
        <w:t>投标报价</w:t>
      </w:r>
      <w:bookmarkEnd w:id="23"/>
    </w:p>
    <w:p>
      <w:pPr>
        <w:adjustRightInd w:val="0"/>
        <w:snapToGrid w:val="0"/>
        <w:spacing w:line="360" w:lineRule="exact"/>
        <w:ind w:firstLine="440"/>
        <w:rPr>
          <w:rFonts w:ascii="宋体" w:hAnsi="宋体" w:cs="宋体"/>
          <w:color w:val="000000"/>
          <w:sz w:val="22"/>
        </w:rPr>
      </w:pPr>
      <w:bookmarkStart w:id="24" w:name="_Toc13307"/>
      <w:r>
        <w:rPr>
          <w:rFonts w:ascii="宋体" w:hAnsi="宋体" w:cs="宋体"/>
          <w:color w:val="000000"/>
          <w:sz w:val="22"/>
        </w:rPr>
        <w:t>3.3.1</w:t>
      </w:r>
      <w:r>
        <w:rPr>
          <w:rFonts w:hint="eastAsia" w:ascii="宋体" w:hAnsi="宋体" w:cs="宋体"/>
          <w:color w:val="000000"/>
          <w:sz w:val="22"/>
        </w:rPr>
        <w:t>投标人应按第七章“投标文件格式”的要求填写相应表格并报价。</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3.3.2</w:t>
      </w:r>
      <w:r>
        <w:rPr>
          <w:rFonts w:hint="eastAsia" w:ascii="宋体" w:hAnsi="宋体" w:cs="宋体"/>
          <w:color w:val="000000"/>
          <w:sz w:val="22"/>
        </w:rPr>
        <w:t>本工程各项取费标准及相关调整系数，根据《浙江省建设工程施工取费定额》（</w:t>
      </w:r>
      <w:r>
        <w:rPr>
          <w:rFonts w:ascii="宋体" w:hAnsi="宋体" w:cs="宋体"/>
          <w:color w:val="000000"/>
          <w:sz w:val="22"/>
        </w:rPr>
        <w:t>2010</w:t>
      </w:r>
      <w:r>
        <w:rPr>
          <w:rFonts w:hint="eastAsia" w:ascii="宋体" w:hAnsi="宋体" w:cs="宋体"/>
          <w:color w:val="000000"/>
          <w:sz w:val="22"/>
        </w:rPr>
        <w:t>版）及浙江省现行的相关文件规定，请投标人在投标报价中，按照上述文件精神执行。</w:t>
      </w:r>
    </w:p>
    <w:p>
      <w:pPr>
        <w:adjustRightInd w:val="0"/>
        <w:snapToGrid w:val="0"/>
        <w:spacing w:line="360" w:lineRule="exact"/>
        <w:ind w:firstLine="440"/>
        <w:rPr>
          <w:rFonts w:ascii="宋体" w:hAnsi="宋体" w:cs="宋体"/>
          <w:b/>
          <w:color w:val="000000"/>
          <w:sz w:val="22"/>
        </w:rPr>
      </w:pPr>
      <w:r>
        <w:rPr>
          <w:rFonts w:ascii="宋体" w:hAnsi="宋体" w:cs="宋体"/>
          <w:color w:val="000000"/>
          <w:sz w:val="22"/>
        </w:rPr>
        <w:t>3.3.3</w:t>
      </w:r>
      <w:r>
        <w:rPr>
          <w:rFonts w:hint="eastAsia" w:ascii="宋体" w:hAnsi="宋体" w:cs="宋体"/>
          <w:color w:val="000000"/>
          <w:sz w:val="22"/>
        </w:rPr>
        <w:t>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3.3.4</w:t>
      </w:r>
      <w:r>
        <w:rPr>
          <w:rFonts w:hint="eastAsia" w:ascii="宋体" w:hAnsi="宋体" w:cs="宋体"/>
          <w:b/>
          <w:color w:val="000000"/>
          <w:sz w:val="22"/>
        </w:rPr>
        <w:t>本工程为固定总价合同（计日工除外）</w:t>
      </w:r>
      <w:r>
        <w:rPr>
          <w:rFonts w:hint="eastAsia" w:ascii="宋体" w:hAnsi="宋体" w:cs="宋体"/>
          <w:color w:val="000000"/>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3.3.5</w:t>
      </w:r>
      <w:r>
        <w:rPr>
          <w:rFonts w:hint="eastAsia" w:ascii="宋体" w:hAnsi="宋体" w:cs="宋体"/>
          <w:color w:val="000000"/>
          <w:sz w:val="22"/>
        </w:rPr>
        <w:t>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 xml:space="preserve">3.3.6 </w:t>
      </w:r>
      <w:r>
        <w:rPr>
          <w:rFonts w:hint="eastAsia" w:ascii="宋体" w:hAnsi="宋体" w:cs="宋体"/>
          <w:color w:val="000000"/>
          <w:sz w:val="22"/>
        </w:rPr>
        <w:t>工程量清单中的报价，均应以人民币元为单位，最终以人民币办理结算。</w:t>
      </w:r>
    </w:p>
    <w:p>
      <w:pPr>
        <w:adjustRightInd w:val="0"/>
        <w:snapToGrid w:val="0"/>
        <w:spacing w:line="360" w:lineRule="auto"/>
        <w:ind w:firstLine="440"/>
        <w:rPr>
          <w:rFonts w:ascii="宋体" w:hAnsi="宋体" w:cs="宋体"/>
          <w:b/>
          <w:color w:val="000000"/>
          <w:sz w:val="22"/>
        </w:rPr>
      </w:pPr>
      <w:r>
        <w:rPr>
          <w:rFonts w:ascii="宋体" w:hAnsi="宋体" w:cs="宋体"/>
          <w:b/>
          <w:color w:val="000000"/>
          <w:sz w:val="22"/>
        </w:rPr>
        <w:t>3.3.7</w:t>
      </w:r>
      <w:r>
        <w:rPr>
          <w:rFonts w:hint="eastAsia" w:ascii="宋体" w:hAnsi="宋体" w:cs="宋体"/>
          <w:b/>
          <w:color w:val="000000"/>
          <w:sz w:val="22"/>
        </w:rPr>
        <w:t>投标人应充分考虑以下各项风险因素可能导致发生或增加的费用，并计入投标报价中，不报视作优惠：</w:t>
      </w:r>
    </w:p>
    <w:p>
      <w:pPr>
        <w:numPr>
          <w:ilvl w:val="0"/>
          <w:numId w:val="5"/>
        </w:numPr>
        <w:adjustRightInd w:val="0"/>
        <w:snapToGrid w:val="0"/>
        <w:spacing w:line="360" w:lineRule="auto"/>
        <w:ind w:firstLine="440"/>
        <w:rPr>
          <w:rFonts w:ascii="宋体" w:hAnsi="宋体" w:cs="宋体"/>
          <w:b/>
          <w:color w:val="000000"/>
          <w:sz w:val="22"/>
          <w:u w:val="single"/>
        </w:rPr>
      </w:pPr>
      <w:r>
        <w:rPr>
          <w:rFonts w:hint="eastAsia" w:ascii="宋体" w:hAnsi="宋体" w:cs="宋体"/>
          <w:b/>
          <w:color w:val="000000"/>
          <w:sz w:val="22"/>
          <w:u w:val="single"/>
        </w:rPr>
        <w:t>隔离区施工监管费，按每个作业点每天</w:t>
      </w:r>
      <w:r>
        <w:rPr>
          <w:rFonts w:ascii="宋体" w:hAnsi="宋体" w:cs="宋体"/>
          <w:b/>
          <w:color w:val="000000"/>
          <w:sz w:val="22"/>
          <w:u w:val="single"/>
        </w:rPr>
        <w:t>400</w:t>
      </w:r>
      <w:r>
        <w:rPr>
          <w:rFonts w:hint="eastAsia" w:ascii="宋体" w:hAnsi="宋体" w:cs="宋体"/>
          <w:b/>
          <w:color w:val="000000"/>
          <w:sz w:val="22"/>
          <w:u w:val="single"/>
        </w:rPr>
        <w:t>元计；</w:t>
      </w:r>
    </w:p>
    <w:p>
      <w:pPr>
        <w:numPr>
          <w:ilvl w:val="0"/>
          <w:numId w:val="5"/>
        </w:numPr>
        <w:adjustRightInd w:val="0"/>
        <w:snapToGrid w:val="0"/>
        <w:spacing w:line="360" w:lineRule="auto"/>
        <w:ind w:firstLine="440"/>
        <w:rPr>
          <w:rFonts w:ascii="宋体" w:hAnsi="宋体" w:cs="宋体"/>
          <w:b/>
          <w:color w:val="000000"/>
          <w:sz w:val="22"/>
          <w:u w:val="single"/>
        </w:rPr>
      </w:pPr>
      <w:r>
        <w:rPr>
          <w:rFonts w:hint="eastAsia" w:ascii="宋体" w:hAnsi="宋体" w:cs="宋体"/>
          <w:b/>
          <w:color w:val="000000"/>
          <w:sz w:val="22"/>
          <w:u w:val="single"/>
        </w:rPr>
        <w:t>投标人将隔离区施工监管费单列。若未列明，默认包含在总价内。</w:t>
      </w:r>
    </w:p>
    <w:p>
      <w:pPr>
        <w:numPr>
          <w:ilvl w:val="0"/>
          <w:numId w:val="5"/>
        </w:numPr>
        <w:adjustRightInd w:val="0"/>
        <w:snapToGrid w:val="0"/>
        <w:spacing w:line="360" w:lineRule="auto"/>
        <w:ind w:firstLine="440"/>
        <w:rPr>
          <w:rFonts w:hint="eastAsia" w:ascii="宋体" w:hAnsi="宋体" w:cs="宋体"/>
          <w:b/>
          <w:color w:val="000000"/>
          <w:sz w:val="22"/>
          <w:u w:val="single"/>
        </w:rPr>
      </w:pPr>
      <w:r>
        <w:rPr>
          <w:rFonts w:hint="eastAsia" w:ascii="宋体" w:hAnsi="宋体" w:cs="宋体"/>
          <w:b/>
          <w:color w:val="000000"/>
          <w:sz w:val="22"/>
          <w:u w:val="single"/>
        </w:rPr>
        <w:t>投标人合理评估隔离区内施工作业时间。</w:t>
      </w:r>
    </w:p>
    <w:p>
      <w:pPr>
        <w:numPr>
          <w:ilvl w:val="0"/>
          <w:numId w:val="5"/>
        </w:numPr>
        <w:adjustRightInd w:val="0"/>
        <w:snapToGrid w:val="0"/>
        <w:spacing w:line="360" w:lineRule="auto"/>
        <w:ind w:firstLine="440"/>
        <w:rPr>
          <w:rFonts w:ascii="宋体" w:hAnsi="宋体" w:cs="宋体"/>
          <w:b/>
          <w:color w:val="000000"/>
          <w:sz w:val="22"/>
          <w:u w:val="single"/>
        </w:rPr>
      </w:pPr>
      <w:r>
        <w:rPr>
          <w:rFonts w:hint="eastAsia" w:ascii="宋体" w:hAnsi="宋体" w:cs="宋体"/>
          <w:b/>
          <w:color w:val="000000"/>
          <w:sz w:val="22"/>
          <w:u w:val="single"/>
        </w:rPr>
        <w:t>本项目库区监控新增的施工区域为隔离区外，不需要考虑监管费用；围界报警系统改造的施工区域为隔离区内，需考虑监管费用。</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3.4 </w:t>
      </w:r>
      <w:r>
        <w:rPr>
          <w:rFonts w:hint="eastAsia" w:ascii="宋体" w:hAnsi="宋体" w:cs="Calibri"/>
          <w:b/>
          <w:bCs/>
          <w:color w:val="000000"/>
          <w:kern w:val="0"/>
          <w:sz w:val="22"/>
        </w:rPr>
        <w:t>投标有效期</w:t>
      </w:r>
      <w:bookmarkEnd w:id="24"/>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3.4.1</w:t>
      </w:r>
      <w:r>
        <w:rPr>
          <w:rFonts w:hint="eastAsia" w:ascii="宋体" w:hAnsi="宋体" w:cs="Calibri"/>
          <w:color w:val="000000"/>
          <w:kern w:val="0"/>
          <w:sz w:val="22"/>
        </w:rPr>
        <w:t>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3.4.2</w:t>
      </w:r>
      <w:r>
        <w:rPr>
          <w:rFonts w:hint="eastAsia" w:ascii="宋体" w:hAnsi="宋体" w:cs="Calibri"/>
          <w:color w:val="000000"/>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kern w:val="0"/>
          <w:sz w:val="22"/>
        </w:rPr>
      </w:pPr>
      <w:bookmarkStart w:id="25" w:name="_Toc30464"/>
      <w:r>
        <w:rPr>
          <w:rFonts w:ascii="宋体" w:hAnsi="宋体" w:cs="Calibri"/>
          <w:b/>
          <w:bCs/>
          <w:color w:val="000000"/>
          <w:kern w:val="0"/>
          <w:sz w:val="22"/>
        </w:rPr>
        <w:t xml:space="preserve">3.5 </w:t>
      </w:r>
      <w:r>
        <w:rPr>
          <w:rFonts w:hint="eastAsia" w:ascii="宋体" w:hAnsi="宋体" w:cs="Calibri"/>
          <w:b/>
          <w:bCs/>
          <w:color w:val="000000"/>
          <w:kern w:val="0"/>
          <w:sz w:val="22"/>
        </w:rPr>
        <w:t>投标保证金</w:t>
      </w:r>
      <w:bookmarkEnd w:id="25"/>
      <w:r>
        <w:rPr>
          <w:rFonts w:hint="eastAsia" w:ascii="宋体" w:hAnsi="宋体" w:cs="Calibri"/>
          <w:b/>
          <w:bCs/>
          <w:color w:val="000000"/>
          <w:kern w:val="0"/>
          <w:sz w:val="22"/>
        </w:rPr>
        <w:t>（如有）</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3.5.1</w:t>
      </w:r>
      <w:r>
        <w:rPr>
          <w:rFonts w:hint="eastAsia" w:ascii="宋体" w:hAnsi="宋体" w:cs="Calibri"/>
          <w:color w:val="000000"/>
          <w:kern w:val="0"/>
          <w:sz w:val="22"/>
        </w:rPr>
        <w:t>投标人在递交投标文件的同时，应按投标人须知前附表规定的金额、担保形式和第七章</w:t>
      </w:r>
      <w:r>
        <w:rPr>
          <w:rFonts w:hint="eastAsia" w:ascii="宋体" w:hAnsi="宋体" w:cs="Calibri"/>
          <w:color w:val="000000"/>
          <w:sz w:val="22"/>
        </w:rPr>
        <w:t>“投标文件格式”</w:t>
      </w:r>
      <w:r>
        <w:rPr>
          <w:rFonts w:hint="eastAsia" w:ascii="宋体" w:hAnsi="宋体" w:cs="Calibri"/>
          <w:color w:val="000000"/>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3.5.2</w:t>
      </w:r>
      <w:r>
        <w:rPr>
          <w:rFonts w:hint="eastAsia" w:ascii="宋体" w:hAnsi="宋体" w:cs="Calibri"/>
          <w:color w:val="000000"/>
          <w:kern w:val="0"/>
          <w:sz w:val="22"/>
        </w:rPr>
        <w:t>中标人的投标保证金，将在与招标人签订合同后</w:t>
      </w:r>
      <w:r>
        <w:rPr>
          <w:rFonts w:ascii="宋体" w:hAnsi="宋体" w:cs="Calibri"/>
          <w:color w:val="000000"/>
          <w:kern w:val="0"/>
          <w:sz w:val="22"/>
        </w:rPr>
        <w:t>10</w:t>
      </w:r>
      <w:r>
        <w:rPr>
          <w:rFonts w:hint="eastAsia" w:ascii="宋体" w:hAnsi="宋体" w:cs="Calibri"/>
          <w:color w:val="000000"/>
          <w:kern w:val="0"/>
          <w:sz w:val="22"/>
        </w:rPr>
        <w:t>个工作日内无息退还（以银行转账方式）；未中标的投标保证金，将在中标公示结束后</w:t>
      </w:r>
      <w:r>
        <w:rPr>
          <w:rFonts w:ascii="宋体" w:hAnsi="宋体" w:cs="Calibri"/>
          <w:color w:val="000000"/>
          <w:kern w:val="0"/>
          <w:sz w:val="22"/>
        </w:rPr>
        <w:t>15</w:t>
      </w:r>
      <w:r>
        <w:rPr>
          <w:rFonts w:hint="eastAsia" w:ascii="宋体" w:hAnsi="宋体" w:cs="Calibri"/>
          <w:color w:val="000000"/>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3.5.3</w:t>
      </w:r>
      <w:r>
        <w:rPr>
          <w:rFonts w:hint="eastAsia" w:ascii="宋体" w:hAnsi="宋体" w:cs="Calibri"/>
          <w:color w:val="000000"/>
          <w:kern w:val="0"/>
          <w:sz w:val="22"/>
        </w:rPr>
        <w:t>投标人如有下列情形之一的，投标保证金将不予退还：</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）投标人在规定的投标有效期内撤销或修改其投标文件；</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kern w:val="0"/>
          <w:sz w:val="22"/>
        </w:rPr>
      </w:pPr>
      <w:bookmarkStart w:id="26" w:name="_Toc29989"/>
      <w:r>
        <w:rPr>
          <w:rFonts w:ascii="宋体" w:hAnsi="宋体" w:cs="Calibri"/>
          <w:b/>
          <w:bCs/>
          <w:color w:val="000000"/>
          <w:kern w:val="0"/>
          <w:sz w:val="22"/>
        </w:rPr>
        <w:t xml:space="preserve">3.6 </w:t>
      </w:r>
      <w:r>
        <w:rPr>
          <w:rFonts w:hint="eastAsia" w:ascii="宋体" w:hAnsi="宋体" w:cs="Calibri"/>
          <w:b/>
          <w:bCs/>
          <w:color w:val="000000"/>
          <w:kern w:val="0"/>
          <w:sz w:val="22"/>
        </w:rPr>
        <w:t>投标文件的编制</w:t>
      </w:r>
      <w:bookmarkEnd w:id="2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3.6.1 </w:t>
      </w:r>
      <w:r>
        <w:rPr>
          <w:rFonts w:hint="eastAsia" w:ascii="宋体" w:hAnsi="宋体" w:cs="Calibri"/>
          <w:color w:val="000000"/>
          <w:sz w:val="22"/>
        </w:rPr>
        <w:t>投标文件应按本须知第</w:t>
      </w:r>
      <w:r>
        <w:rPr>
          <w:rFonts w:ascii="宋体" w:hAnsi="宋体" w:cs="Calibri"/>
          <w:color w:val="000000"/>
          <w:sz w:val="22"/>
        </w:rPr>
        <w:t>3.2</w:t>
      </w:r>
      <w:r>
        <w:rPr>
          <w:rFonts w:hint="eastAsia" w:ascii="宋体" w:hAnsi="宋体" w:cs="Calibri"/>
          <w:color w:val="000000"/>
          <w:sz w:val="22"/>
        </w:rPr>
        <w:t>款规定的内容和第七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 xml:space="preserve">3.6.2 </w:t>
      </w:r>
      <w:r>
        <w:rPr>
          <w:rFonts w:hint="eastAsia" w:ascii="宋体" w:hAnsi="宋体" w:cs="Calibri"/>
          <w:color w:val="000000"/>
          <w:kern w:val="0"/>
          <w:sz w:val="22"/>
        </w:rPr>
        <w:t>投标文件应对招标文件有关工期、投标有效期、招标内容等实质性内容作出响应。</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3.6.3 </w:t>
      </w:r>
      <w:r>
        <w:rPr>
          <w:rFonts w:hint="eastAsia" w:ascii="宋体" w:hAnsi="宋体" w:cs="Calibri"/>
          <w:color w:val="000000"/>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cs="Calibri"/>
          <w:color w:val="000000"/>
          <w:kern w:val="0"/>
          <w:sz w:val="22"/>
        </w:rPr>
        <w:t>签字或盖章的具体要求见投标人须知前附表。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3.6.4</w:t>
      </w:r>
      <w:r>
        <w:rPr>
          <w:rFonts w:hint="eastAsia" w:ascii="宋体" w:hAnsi="宋体" w:cs="Calibri"/>
          <w:color w:val="000000"/>
          <w:sz w:val="22"/>
        </w:rPr>
        <w:t>投标文件正本一份，</w:t>
      </w:r>
      <w:r>
        <w:rPr>
          <w:rFonts w:ascii="宋体" w:hAnsi="宋体" w:cs="Calibri"/>
          <w:color w:val="000000"/>
          <w:sz w:val="22"/>
        </w:rPr>
        <w:t xml:space="preserve"> </w:t>
      </w:r>
      <w:r>
        <w:rPr>
          <w:rFonts w:hint="eastAsia" w:ascii="宋体" w:hAnsi="宋体" w:cs="Calibri"/>
          <w:color w:val="000000"/>
          <w:sz w:val="22"/>
        </w:rPr>
        <w:t>副本份数见投标人须知前附表。正本、副本的封面上应清楚地标记</w:t>
      </w:r>
      <w:r>
        <w:rPr>
          <w:rFonts w:hint="eastAsia" w:ascii="宋体" w:hAnsi="宋体" w:cs="Calibri"/>
          <w:b/>
          <w:bCs/>
          <w:color w:val="000000"/>
          <w:sz w:val="22"/>
        </w:rPr>
        <w:t>“正本</w:t>
      </w:r>
      <w:r>
        <w:rPr>
          <w:rFonts w:hint="eastAsia" w:ascii="宋体" w:hAnsi="宋体" w:cs="Calibri"/>
          <w:color w:val="000000"/>
          <w:sz w:val="22"/>
        </w:rPr>
        <w:t>”或“</w:t>
      </w:r>
      <w:r>
        <w:rPr>
          <w:rFonts w:hint="eastAsia" w:ascii="宋体" w:hAnsi="宋体" w:cs="Calibri"/>
          <w:b/>
          <w:bCs/>
          <w:color w:val="000000"/>
          <w:sz w:val="22"/>
        </w:rPr>
        <w:t>副本</w:t>
      </w:r>
      <w:r>
        <w:rPr>
          <w:rFonts w:hint="eastAsia" w:ascii="宋体" w:hAnsi="宋体" w:cs="Calibri"/>
          <w:color w:val="000000"/>
          <w:sz w:val="22"/>
        </w:rPr>
        <w:t>”的字样。当副本和正本不一致时，以正本为准。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3.6.5</w:t>
      </w:r>
      <w:r>
        <w:rPr>
          <w:rFonts w:hint="eastAsia" w:ascii="宋体" w:hAnsi="宋体" w:cs="Calibri"/>
          <w:color w:val="000000"/>
          <w:sz w:val="22"/>
        </w:rPr>
        <w:t>投标文件的正本与副本应分别按</w:t>
      </w:r>
      <w:r>
        <w:rPr>
          <w:rFonts w:ascii="宋体" w:hAnsi="宋体" w:cs="Calibri"/>
          <w:color w:val="000000"/>
          <w:sz w:val="22"/>
        </w:rPr>
        <w:t>A4</w:t>
      </w:r>
      <w:r>
        <w:rPr>
          <w:rFonts w:hint="eastAsia" w:ascii="宋体" w:hAnsi="宋体" w:cs="Calibri"/>
          <w:color w:val="000000"/>
          <w:sz w:val="22"/>
        </w:rPr>
        <w:t>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color w:val="000000"/>
          <w:kern w:val="0"/>
          <w:sz w:val="22"/>
        </w:rPr>
      </w:pPr>
      <w:bookmarkStart w:id="28" w:name="_Toc32652"/>
      <w:r>
        <w:rPr>
          <w:rFonts w:ascii="宋体" w:hAnsi="宋体" w:cs="Calibri"/>
          <w:b/>
          <w:bCs/>
          <w:color w:val="000000"/>
          <w:kern w:val="0"/>
          <w:sz w:val="22"/>
        </w:rPr>
        <w:t>4.</w:t>
      </w:r>
      <w:r>
        <w:rPr>
          <w:rFonts w:hint="eastAsia" w:ascii="宋体" w:hAnsi="宋体" w:cs="Calibri"/>
          <w:b/>
          <w:bCs/>
          <w:color w:val="000000"/>
          <w:kern w:val="0"/>
          <w:sz w:val="22"/>
        </w:rPr>
        <w:t>投标</w:t>
      </w:r>
      <w:bookmarkEnd w:id="27"/>
      <w:bookmarkEnd w:id="28"/>
    </w:p>
    <w:p>
      <w:pPr>
        <w:autoSpaceDE w:val="0"/>
        <w:autoSpaceDN w:val="0"/>
        <w:adjustRightInd w:val="0"/>
        <w:snapToGrid w:val="0"/>
        <w:spacing w:line="360" w:lineRule="exact"/>
        <w:rPr>
          <w:rFonts w:ascii="宋体" w:hAnsi="宋体" w:cs="Calibri"/>
          <w:b/>
          <w:bCs/>
          <w:color w:val="000000"/>
          <w:kern w:val="0"/>
          <w:sz w:val="22"/>
        </w:rPr>
      </w:pPr>
      <w:bookmarkStart w:id="29" w:name="_Toc649"/>
      <w:r>
        <w:rPr>
          <w:rFonts w:ascii="宋体" w:hAnsi="宋体" w:cs="Calibri"/>
          <w:b/>
          <w:bCs/>
          <w:color w:val="000000"/>
          <w:kern w:val="0"/>
          <w:sz w:val="22"/>
        </w:rPr>
        <w:t xml:space="preserve">4.1 </w:t>
      </w:r>
      <w:r>
        <w:rPr>
          <w:rFonts w:hint="eastAsia" w:ascii="宋体" w:hAnsi="宋体" w:cs="Calibri"/>
          <w:b/>
          <w:bCs/>
          <w:color w:val="000000"/>
          <w:kern w:val="0"/>
          <w:sz w:val="22"/>
        </w:rPr>
        <w:t>投标文件的密封和标识</w:t>
      </w:r>
      <w:bookmarkEnd w:id="29"/>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4.1.1</w:t>
      </w:r>
      <w:r>
        <w:rPr>
          <w:rFonts w:hint="eastAsia" w:ascii="宋体" w:hAnsi="宋体" w:cs="Calibri"/>
          <w:color w:val="000000"/>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4.1.2 </w:t>
      </w:r>
      <w:r>
        <w:rPr>
          <w:rFonts w:hint="eastAsia" w:ascii="宋体" w:hAnsi="宋体" w:cs="Calibri"/>
          <w:color w:val="000000"/>
          <w:sz w:val="22"/>
        </w:rPr>
        <w:t>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4.1.3 </w:t>
      </w:r>
      <w:r>
        <w:rPr>
          <w:rFonts w:hint="eastAsia" w:ascii="宋体" w:hAnsi="宋体" w:cs="Calibri"/>
          <w:color w:val="000000"/>
          <w:sz w:val="22"/>
        </w:rPr>
        <w:t>未按本章第</w:t>
      </w:r>
      <w:r>
        <w:rPr>
          <w:rFonts w:ascii="宋体" w:hAnsi="宋体" w:cs="Calibri"/>
          <w:color w:val="000000"/>
          <w:sz w:val="22"/>
        </w:rPr>
        <w:t>4.1.1</w:t>
      </w:r>
      <w:r>
        <w:rPr>
          <w:rFonts w:hint="eastAsia" w:ascii="宋体" w:hAnsi="宋体" w:cs="Calibri"/>
          <w:color w:val="000000"/>
          <w:sz w:val="22"/>
        </w:rPr>
        <w:t>项或第</w:t>
      </w:r>
      <w:r>
        <w:rPr>
          <w:rFonts w:ascii="宋体" w:hAnsi="宋体" w:cs="Calibri"/>
          <w:color w:val="000000"/>
          <w:sz w:val="22"/>
        </w:rPr>
        <w:t>4.1.2</w:t>
      </w:r>
      <w:r>
        <w:rPr>
          <w:rFonts w:hint="eastAsia" w:ascii="宋体" w:hAnsi="宋体" w:cs="Calibri"/>
          <w:color w:val="000000"/>
          <w:sz w:val="22"/>
        </w:rPr>
        <w:t>项要求密封和加写标记的投标文件，招标人不予受理。</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4.1.4</w:t>
      </w:r>
      <w:r>
        <w:rPr>
          <w:rFonts w:hint="eastAsia" w:ascii="宋体" w:hAnsi="宋体" w:cs="Calibri"/>
          <w:color w:val="000000"/>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kern w:val="0"/>
          <w:sz w:val="22"/>
        </w:rPr>
      </w:pPr>
      <w:bookmarkStart w:id="30" w:name="_Toc16616"/>
      <w:r>
        <w:rPr>
          <w:rFonts w:ascii="宋体" w:hAnsi="宋体" w:cs="Calibri"/>
          <w:b/>
          <w:bCs/>
          <w:color w:val="000000"/>
          <w:kern w:val="0"/>
          <w:sz w:val="22"/>
        </w:rPr>
        <w:t xml:space="preserve">4.2 </w:t>
      </w:r>
      <w:r>
        <w:rPr>
          <w:rFonts w:hint="eastAsia" w:ascii="宋体" w:hAnsi="宋体" w:cs="Calibri"/>
          <w:b/>
          <w:bCs/>
          <w:color w:val="000000"/>
          <w:kern w:val="0"/>
          <w:sz w:val="22"/>
        </w:rPr>
        <w:t>投标文件的递交</w:t>
      </w:r>
      <w:r>
        <w:rPr>
          <w:rFonts w:ascii="宋体" w:hAnsi="宋体" w:cs="Calibri"/>
          <w:b/>
          <w:bCs/>
          <w:color w:val="000000"/>
          <w:kern w:val="0"/>
          <w:sz w:val="22"/>
        </w:rPr>
        <w:t xml:space="preserve"> </w:t>
      </w:r>
      <w:bookmarkEnd w:id="30"/>
    </w:p>
    <w:p>
      <w:pPr>
        <w:autoSpaceDE w:val="0"/>
        <w:autoSpaceDN w:val="0"/>
        <w:adjustRightInd w:val="0"/>
        <w:snapToGrid w:val="0"/>
        <w:spacing w:line="360" w:lineRule="exact"/>
        <w:ind w:firstLine="476"/>
        <w:rPr>
          <w:rFonts w:ascii="宋体" w:hAnsi="宋体" w:cs="Calibri"/>
          <w:bCs/>
          <w:color w:val="000000"/>
          <w:kern w:val="0"/>
          <w:sz w:val="22"/>
        </w:rPr>
      </w:pPr>
      <w:r>
        <w:rPr>
          <w:rFonts w:ascii="宋体" w:hAnsi="宋体" w:cs="Calibri"/>
          <w:bCs/>
          <w:color w:val="000000"/>
          <w:kern w:val="0"/>
          <w:sz w:val="22"/>
        </w:rPr>
        <w:t>4.2.1</w:t>
      </w:r>
      <w:r>
        <w:rPr>
          <w:rFonts w:hint="eastAsia" w:ascii="宋体" w:hAnsi="宋体" w:cs="Calibri"/>
          <w:bCs/>
          <w:color w:val="000000"/>
          <w:kern w:val="0"/>
          <w:sz w:val="22"/>
        </w:rPr>
        <w:t>投标人应在本须知前附表规定的投标截止时间前递交投标文件。</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4.2.2</w:t>
      </w:r>
      <w:r>
        <w:rPr>
          <w:rFonts w:hint="eastAsia" w:ascii="宋体" w:hAnsi="宋体" w:cs="Calibri"/>
          <w:color w:val="000000"/>
          <w:sz w:val="22"/>
        </w:rPr>
        <w:t>投标人送达投标文件的地点：见投标人须知前附表。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4.2.3</w:t>
      </w:r>
      <w:r>
        <w:rPr>
          <w:rFonts w:hint="eastAsia" w:ascii="宋体" w:hAnsi="宋体" w:cs="Calibri"/>
          <w:color w:val="000000"/>
          <w:sz w:val="22"/>
        </w:rPr>
        <w:t>除投标人须知前附表另有规定外，投标人所递交的投标文件不予退还。</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4.2.4</w:t>
      </w:r>
      <w:r>
        <w:rPr>
          <w:rFonts w:hint="eastAsia"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kern w:val="0"/>
          <w:sz w:val="22"/>
        </w:rPr>
      </w:pPr>
      <w:bookmarkStart w:id="31" w:name="_Toc26099"/>
      <w:r>
        <w:rPr>
          <w:rFonts w:ascii="宋体" w:hAnsi="宋体" w:cs="Calibri"/>
          <w:b/>
          <w:bCs/>
          <w:color w:val="000000"/>
          <w:kern w:val="0"/>
          <w:sz w:val="22"/>
        </w:rPr>
        <w:t xml:space="preserve">4.3 </w:t>
      </w:r>
      <w:r>
        <w:rPr>
          <w:rFonts w:hint="eastAsia" w:ascii="宋体" w:hAnsi="宋体" w:cs="Calibri"/>
          <w:b/>
          <w:bCs/>
          <w:color w:val="000000"/>
          <w:kern w:val="0"/>
          <w:sz w:val="22"/>
        </w:rPr>
        <w:t>投标文件的修改和撤回</w:t>
      </w:r>
      <w:bookmarkEnd w:id="31"/>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4.3.1</w:t>
      </w:r>
      <w:r>
        <w:rPr>
          <w:rFonts w:hint="eastAsia" w:ascii="宋体" w:hAnsi="宋体" w:cs="Calibri"/>
          <w:color w:val="000000"/>
          <w:kern w:val="0"/>
          <w:sz w:val="22"/>
        </w:rPr>
        <w:t>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4.3.2</w:t>
      </w:r>
      <w:r>
        <w:rPr>
          <w:rFonts w:hint="eastAsia" w:ascii="宋体" w:hAnsi="宋体" w:cs="Calibri"/>
          <w:color w:val="000000"/>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4.3.3</w:t>
      </w:r>
      <w:r>
        <w:rPr>
          <w:rFonts w:hint="eastAsia" w:ascii="宋体" w:hAnsi="宋体" w:cs="Calibri"/>
          <w:color w:val="000000"/>
          <w:kern w:val="0"/>
          <w:sz w:val="22"/>
        </w:rPr>
        <w:t>修改的内容为投标文件的组成部分。修改的投标文件应按照本须知</w:t>
      </w:r>
      <w:r>
        <w:rPr>
          <w:rFonts w:ascii="宋体" w:hAnsi="宋体" w:cs="Calibri"/>
          <w:color w:val="000000"/>
          <w:kern w:val="0"/>
          <w:sz w:val="22"/>
        </w:rPr>
        <w:t>3</w:t>
      </w: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规定进行编制、密封、标识和递交，并标明“修改”字样。</w:t>
      </w:r>
    </w:p>
    <w:p>
      <w:pPr>
        <w:autoSpaceDE w:val="0"/>
        <w:autoSpaceDN w:val="0"/>
        <w:adjustRightInd w:val="0"/>
        <w:snapToGrid w:val="0"/>
        <w:spacing w:line="360" w:lineRule="exact"/>
        <w:rPr>
          <w:rFonts w:ascii="宋体" w:hAnsi="宋体" w:cs="Calibri"/>
          <w:b/>
          <w:bCs/>
          <w:color w:val="000000"/>
          <w:kern w:val="0"/>
          <w:sz w:val="22"/>
        </w:rPr>
      </w:pPr>
      <w:bookmarkStart w:id="32" w:name="_Toc29641"/>
      <w:r>
        <w:rPr>
          <w:rFonts w:ascii="宋体" w:hAnsi="宋体" w:cs="Calibri"/>
          <w:b/>
          <w:bCs/>
          <w:color w:val="000000"/>
          <w:kern w:val="0"/>
          <w:sz w:val="22"/>
        </w:rPr>
        <w:t>5.</w:t>
      </w:r>
      <w:r>
        <w:rPr>
          <w:rFonts w:hint="eastAsia" w:ascii="宋体" w:hAnsi="宋体" w:cs="Calibri"/>
          <w:b/>
          <w:bCs/>
          <w:color w:val="000000"/>
          <w:kern w:val="0"/>
          <w:sz w:val="22"/>
        </w:rPr>
        <w:t>开标</w:t>
      </w:r>
      <w:bookmarkEnd w:id="32"/>
    </w:p>
    <w:p>
      <w:pPr>
        <w:autoSpaceDE w:val="0"/>
        <w:autoSpaceDN w:val="0"/>
        <w:adjustRightInd w:val="0"/>
        <w:snapToGrid w:val="0"/>
        <w:spacing w:line="360" w:lineRule="exact"/>
        <w:rPr>
          <w:rFonts w:ascii="宋体" w:hAnsi="宋体" w:cs="Calibri"/>
          <w:b/>
          <w:bCs/>
          <w:color w:val="000000"/>
          <w:kern w:val="0"/>
          <w:sz w:val="22"/>
        </w:rPr>
      </w:pPr>
      <w:bookmarkStart w:id="33" w:name="_Toc15123"/>
      <w:r>
        <w:rPr>
          <w:rFonts w:ascii="宋体" w:hAnsi="宋体" w:cs="Calibri"/>
          <w:b/>
          <w:bCs/>
          <w:color w:val="000000"/>
          <w:kern w:val="0"/>
          <w:sz w:val="22"/>
        </w:rPr>
        <w:t xml:space="preserve">5.1 </w:t>
      </w:r>
      <w:r>
        <w:rPr>
          <w:rFonts w:hint="eastAsia" w:ascii="宋体" w:hAnsi="宋体" w:cs="Calibri"/>
          <w:b/>
          <w:bCs/>
          <w:color w:val="000000"/>
          <w:kern w:val="0"/>
          <w:sz w:val="22"/>
        </w:rPr>
        <w:t>开标时间和地点</w:t>
      </w:r>
      <w:bookmarkEnd w:id="3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5.1.1</w:t>
      </w:r>
      <w:r>
        <w:rPr>
          <w:rFonts w:hint="eastAsia" w:ascii="宋体" w:hAnsi="宋体" w:cs="Calibri"/>
          <w:color w:val="000000"/>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5.1.2</w:t>
      </w:r>
      <w:r>
        <w:rPr>
          <w:rFonts w:hint="eastAsia" w:ascii="宋体" w:hAnsi="宋体" w:cs="Calibri"/>
          <w:color w:val="000000"/>
          <w:sz w:val="22"/>
        </w:rPr>
        <w:t>投标人在投标时应随身携带下列资料提交招标人</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）委托代理人的身份证、法定代表人授权委托书（装订在投标文件内亦可）；</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）投标保证金收执证明或汇款凭证或银行回单（装订在投标文件内亦可）（如有）。</w:t>
      </w:r>
    </w:p>
    <w:p>
      <w:pPr>
        <w:autoSpaceDE w:val="0"/>
        <w:autoSpaceDN w:val="0"/>
        <w:adjustRightInd w:val="0"/>
        <w:snapToGrid w:val="0"/>
        <w:spacing w:line="360" w:lineRule="exact"/>
        <w:rPr>
          <w:rFonts w:ascii="宋体" w:hAnsi="宋体" w:cs="Calibri"/>
          <w:b/>
          <w:bCs/>
          <w:color w:val="000000"/>
          <w:kern w:val="0"/>
          <w:sz w:val="22"/>
        </w:rPr>
      </w:pPr>
      <w:bookmarkStart w:id="34" w:name="_Toc7101"/>
      <w:r>
        <w:rPr>
          <w:rFonts w:ascii="宋体" w:hAnsi="宋体" w:cs="Calibri"/>
          <w:b/>
          <w:bCs/>
          <w:color w:val="000000"/>
          <w:kern w:val="0"/>
          <w:sz w:val="22"/>
        </w:rPr>
        <w:t xml:space="preserve">5.2 </w:t>
      </w:r>
      <w:r>
        <w:rPr>
          <w:rFonts w:hint="eastAsia" w:ascii="宋体" w:hAnsi="宋体" w:cs="Calibri"/>
          <w:b/>
          <w:bCs/>
          <w:color w:val="000000"/>
          <w:kern w:val="0"/>
          <w:sz w:val="22"/>
        </w:rPr>
        <w:t>开标程序</w:t>
      </w:r>
      <w:bookmarkEnd w:id="34"/>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主持人按下列程序进行开标：</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）宣布开标纪律；</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）宣布开标人、唱标人、记录人、监标人等有关人员姓名；</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）按照投标人须知前附表规定检查投标文件的密封情况；</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）按照投标人须知前附表的规定确定并宣布投标文件开标顺序；</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w:t>
      </w:r>
      <w:r>
        <w:rPr>
          <w:rFonts w:hint="eastAsia" w:ascii="宋体" w:hAnsi="宋体" w:cs="Calibri"/>
          <w:color w:val="000000"/>
          <w:sz w:val="22"/>
        </w:rPr>
        <w:t>按照宣布的开标顺序当众开标，公布投标人名称、投标保证金的递交情况、投标报价、工期、质量目标及其他内容，并记录在案；</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7</w:t>
      </w:r>
      <w:r>
        <w:rPr>
          <w:rFonts w:hint="eastAsia" w:ascii="宋体" w:hAnsi="宋体" w:cs="Calibri"/>
          <w:color w:val="000000"/>
          <w:kern w:val="0"/>
          <w:sz w:val="22"/>
        </w:rPr>
        <w:t>）投标人代表、招标人代表、监标人、记录人等有关人员在开标记录上签字确认；</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8</w:t>
      </w:r>
      <w:r>
        <w:rPr>
          <w:rFonts w:hint="eastAsia" w:ascii="宋体" w:hAnsi="宋体" w:cs="Calibri"/>
          <w:color w:val="000000"/>
          <w:kern w:val="0"/>
          <w:sz w:val="22"/>
        </w:rPr>
        <w:t>）开标结束。</w:t>
      </w:r>
    </w:p>
    <w:p>
      <w:pPr>
        <w:autoSpaceDE w:val="0"/>
        <w:autoSpaceDN w:val="0"/>
        <w:adjustRightInd w:val="0"/>
        <w:snapToGrid w:val="0"/>
        <w:spacing w:line="360" w:lineRule="exact"/>
        <w:rPr>
          <w:rFonts w:ascii="宋体" w:hAnsi="宋体" w:cs="Calibri"/>
          <w:b/>
          <w:bCs/>
          <w:color w:val="000000"/>
          <w:kern w:val="0"/>
          <w:sz w:val="22"/>
        </w:rPr>
      </w:pPr>
      <w:bookmarkStart w:id="35" w:name="_Toc31578"/>
      <w:r>
        <w:rPr>
          <w:rFonts w:ascii="宋体" w:hAnsi="宋体" w:cs="Calibri"/>
          <w:b/>
          <w:bCs/>
          <w:color w:val="000000"/>
          <w:kern w:val="0"/>
          <w:sz w:val="22"/>
        </w:rPr>
        <w:t>6.</w:t>
      </w:r>
      <w:r>
        <w:rPr>
          <w:rFonts w:hint="eastAsia" w:ascii="宋体" w:hAnsi="宋体" w:cs="Calibri"/>
          <w:b/>
          <w:bCs/>
          <w:color w:val="000000"/>
          <w:kern w:val="0"/>
          <w:sz w:val="22"/>
        </w:rPr>
        <w:t>评标</w:t>
      </w:r>
      <w:bookmarkEnd w:id="35"/>
    </w:p>
    <w:p>
      <w:pPr>
        <w:autoSpaceDE w:val="0"/>
        <w:autoSpaceDN w:val="0"/>
        <w:adjustRightInd w:val="0"/>
        <w:snapToGrid w:val="0"/>
        <w:spacing w:line="360" w:lineRule="exact"/>
        <w:rPr>
          <w:rFonts w:ascii="宋体" w:hAnsi="宋体" w:cs="Calibri"/>
          <w:b/>
          <w:bCs/>
          <w:color w:val="000000"/>
          <w:kern w:val="0"/>
          <w:sz w:val="22"/>
        </w:rPr>
      </w:pPr>
      <w:bookmarkStart w:id="36" w:name="_Toc10279"/>
      <w:r>
        <w:rPr>
          <w:rFonts w:ascii="宋体" w:hAnsi="宋体" w:cs="Calibri"/>
          <w:b/>
          <w:bCs/>
          <w:color w:val="000000"/>
          <w:kern w:val="0"/>
          <w:sz w:val="22"/>
        </w:rPr>
        <w:t xml:space="preserve">6.1 </w:t>
      </w:r>
      <w:r>
        <w:rPr>
          <w:rFonts w:hint="eastAsia" w:ascii="宋体" w:hAnsi="宋体" w:cs="Calibri"/>
          <w:b/>
          <w:bCs/>
          <w:color w:val="000000"/>
          <w:kern w:val="0"/>
          <w:sz w:val="22"/>
        </w:rPr>
        <w:t>评标委员会</w:t>
      </w:r>
      <w:bookmarkEnd w:id="36"/>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6.1.1</w:t>
      </w:r>
      <w:r>
        <w:rPr>
          <w:rFonts w:hint="eastAsia" w:ascii="宋体" w:hAnsi="宋体" w:cs="Calibri"/>
          <w:color w:val="000000"/>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6.1.2</w:t>
      </w:r>
      <w:r>
        <w:rPr>
          <w:rFonts w:hint="eastAsia" w:ascii="宋体" w:hAnsi="宋体" w:cs="Calibri"/>
          <w:color w:val="000000"/>
          <w:kern w:val="0"/>
          <w:sz w:val="22"/>
        </w:rPr>
        <w:t>评标委员会成员有下列情形之一的，应当回避：</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）招标人或投标人的主要负责人的近亲属；</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）项目主管部门或者行政监督部门的人员；</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）与投标人有经济利益关系，可能影响对投标公正评审的；</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kern w:val="0"/>
          <w:sz w:val="22"/>
        </w:rPr>
      </w:pPr>
      <w:bookmarkStart w:id="37" w:name="_Toc3460"/>
      <w:r>
        <w:rPr>
          <w:rFonts w:ascii="宋体" w:hAnsi="宋体" w:cs="Calibri"/>
          <w:b/>
          <w:bCs/>
          <w:color w:val="000000"/>
          <w:kern w:val="0"/>
          <w:sz w:val="22"/>
        </w:rPr>
        <w:t xml:space="preserve">6.2 </w:t>
      </w:r>
      <w:r>
        <w:rPr>
          <w:rFonts w:hint="eastAsia" w:ascii="宋体" w:hAnsi="宋体" w:cs="Calibri"/>
          <w:b/>
          <w:bCs/>
          <w:color w:val="000000"/>
          <w:kern w:val="0"/>
          <w:sz w:val="22"/>
        </w:rPr>
        <w:t>评标原则</w:t>
      </w:r>
      <w:bookmarkEnd w:id="37"/>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kern w:val="0"/>
          <w:sz w:val="22"/>
        </w:rPr>
      </w:pPr>
      <w:bookmarkStart w:id="38" w:name="_Toc28178"/>
      <w:r>
        <w:rPr>
          <w:rFonts w:ascii="宋体" w:hAnsi="宋体" w:cs="Calibri"/>
          <w:b/>
          <w:bCs/>
          <w:color w:val="000000"/>
          <w:kern w:val="0"/>
          <w:sz w:val="22"/>
        </w:rPr>
        <w:t xml:space="preserve">6.3 </w:t>
      </w:r>
      <w:r>
        <w:rPr>
          <w:rFonts w:hint="eastAsia" w:ascii="宋体" w:hAnsi="宋体" w:cs="Calibri"/>
          <w:b/>
          <w:bCs/>
          <w:color w:val="000000"/>
          <w:kern w:val="0"/>
          <w:sz w:val="22"/>
        </w:rPr>
        <w:t>评标</w:t>
      </w:r>
      <w:bookmarkEnd w:id="38"/>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评标委员会按照第六章“评标方法及标准”对投标文件进行评审。第六章“评标方法及标准”没有规定的方法、评审因素和标准，不作为评标依据。</w:t>
      </w:r>
    </w:p>
    <w:p>
      <w:pPr>
        <w:autoSpaceDE w:val="0"/>
        <w:autoSpaceDN w:val="0"/>
        <w:adjustRightInd w:val="0"/>
        <w:snapToGrid w:val="0"/>
        <w:spacing w:line="360" w:lineRule="exact"/>
        <w:rPr>
          <w:rFonts w:ascii="宋体" w:hAnsi="宋体" w:cs="Calibri"/>
          <w:b/>
          <w:bCs/>
          <w:color w:val="000000"/>
          <w:kern w:val="0"/>
          <w:sz w:val="22"/>
        </w:rPr>
      </w:pPr>
      <w:bookmarkStart w:id="39" w:name="_Toc24237"/>
      <w:r>
        <w:rPr>
          <w:rFonts w:ascii="宋体" w:hAnsi="宋体" w:cs="Calibri"/>
          <w:b/>
          <w:bCs/>
          <w:color w:val="000000"/>
          <w:kern w:val="0"/>
          <w:sz w:val="22"/>
        </w:rPr>
        <w:t>7.</w:t>
      </w:r>
      <w:r>
        <w:rPr>
          <w:rFonts w:hint="eastAsia" w:ascii="宋体" w:hAnsi="宋体" w:cs="Calibri"/>
          <w:b/>
          <w:bCs/>
          <w:color w:val="000000"/>
          <w:kern w:val="0"/>
          <w:sz w:val="22"/>
        </w:rPr>
        <w:t>合同授予</w:t>
      </w:r>
      <w:bookmarkEnd w:id="39"/>
    </w:p>
    <w:p>
      <w:pPr>
        <w:autoSpaceDE w:val="0"/>
        <w:autoSpaceDN w:val="0"/>
        <w:adjustRightInd w:val="0"/>
        <w:snapToGrid w:val="0"/>
        <w:spacing w:line="360" w:lineRule="exact"/>
        <w:rPr>
          <w:rFonts w:ascii="宋体" w:hAnsi="宋体" w:cs="Calibri"/>
          <w:b/>
          <w:bCs/>
          <w:color w:val="000000"/>
          <w:kern w:val="0"/>
          <w:sz w:val="22"/>
        </w:rPr>
      </w:pPr>
      <w:bookmarkStart w:id="40" w:name="_Toc18809"/>
      <w:r>
        <w:rPr>
          <w:rFonts w:ascii="宋体" w:hAnsi="宋体" w:cs="Calibri"/>
          <w:b/>
          <w:bCs/>
          <w:color w:val="000000"/>
          <w:kern w:val="0"/>
          <w:sz w:val="22"/>
        </w:rPr>
        <w:t xml:space="preserve">7.1 </w:t>
      </w:r>
      <w:r>
        <w:rPr>
          <w:rFonts w:hint="eastAsia" w:ascii="宋体" w:hAnsi="宋体" w:cs="Calibri"/>
          <w:b/>
          <w:bCs/>
          <w:color w:val="000000"/>
          <w:kern w:val="0"/>
          <w:sz w:val="22"/>
        </w:rPr>
        <w:t>定标方式</w:t>
      </w:r>
      <w:bookmarkEnd w:id="40"/>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41" w:name="_Toc14573"/>
      <w:r>
        <w:rPr>
          <w:rFonts w:ascii="宋体" w:hAnsi="宋体" w:cs="Calibri"/>
          <w:b/>
          <w:bCs/>
          <w:color w:val="000000"/>
          <w:kern w:val="0"/>
          <w:sz w:val="22"/>
        </w:rPr>
        <w:t xml:space="preserve">7.2 </w:t>
      </w:r>
      <w:r>
        <w:rPr>
          <w:rFonts w:hint="eastAsia" w:ascii="宋体" w:hAnsi="宋体" w:cs="Calibri"/>
          <w:b/>
          <w:bCs/>
          <w:color w:val="000000"/>
          <w:kern w:val="0"/>
          <w:sz w:val="22"/>
        </w:rPr>
        <w:t>中标通知</w:t>
      </w:r>
      <w:bookmarkEnd w:id="41"/>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在投标人须知第</w:t>
      </w:r>
      <w:r>
        <w:rPr>
          <w:rFonts w:ascii="宋体" w:hAnsi="宋体" w:cs="Calibri"/>
          <w:color w:val="000000"/>
          <w:kern w:val="0"/>
          <w:sz w:val="22"/>
        </w:rPr>
        <w:t>3.4</w:t>
      </w:r>
      <w:r>
        <w:rPr>
          <w:rFonts w:hint="eastAsia" w:ascii="宋体" w:hAnsi="宋体" w:cs="Calibri"/>
          <w:color w:val="000000"/>
          <w:kern w:val="0"/>
          <w:sz w:val="22"/>
        </w:rPr>
        <w:t>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kern w:val="0"/>
          <w:sz w:val="22"/>
        </w:rPr>
      </w:pPr>
      <w:bookmarkStart w:id="42" w:name="_Toc27132"/>
      <w:r>
        <w:rPr>
          <w:rFonts w:ascii="宋体" w:hAnsi="宋体" w:cs="Calibri"/>
          <w:b/>
          <w:bCs/>
          <w:color w:val="000000"/>
          <w:kern w:val="0"/>
          <w:sz w:val="22"/>
        </w:rPr>
        <w:t xml:space="preserve">7.3 </w:t>
      </w:r>
      <w:r>
        <w:rPr>
          <w:rFonts w:hint="eastAsia" w:ascii="宋体" w:hAnsi="宋体" w:cs="Calibri"/>
          <w:b/>
          <w:bCs/>
          <w:color w:val="000000"/>
          <w:kern w:val="0"/>
          <w:sz w:val="22"/>
        </w:rPr>
        <w:t>履约保证金</w:t>
      </w:r>
      <w:bookmarkEnd w:id="42"/>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7.3.1</w:t>
      </w:r>
      <w:r>
        <w:rPr>
          <w:rFonts w:hint="eastAsia" w:ascii="宋体" w:hAnsi="宋体" w:cs="Calibri"/>
          <w:color w:val="000000"/>
          <w:kern w:val="0"/>
          <w:sz w:val="22"/>
        </w:rPr>
        <w:t>在签订合同前，中标人应按投标人须知前附表规定的金额和担保形式向招标人提交履约保证金。</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 xml:space="preserve">7.3.2 </w:t>
      </w:r>
      <w:r>
        <w:rPr>
          <w:rFonts w:hint="eastAsia" w:ascii="宋体" w:hAnsi="宋体" w:cs="Calibri"/>
          <w:color w:val="000000"/>
          <w:kern w:val="0"/>
          <w:sz w:val="22"/>
        </w:rPr>
        <w:t>中标人不能按本章第</w:t>
      </w:r>
      <w:r>
        <w:rPr>
          <w:rFonts w:ascii="宋体" w:hAnsi="宋体" w:cs="Calibri"/>
          <w:color w:val="000000"/>
          <w:kern w:val="0"/>
          <w:sz w:val="22"/>
        </w:rPr>
        <w:t>7.3.1</w:t>
      </w:r>
      <w:r>
        <w:rPr>
          <w:rFonts w:hint="eastAsia" w:ascii="宋体" w:hAnsi="宋体" w:cs="Calibri"/>
          <w:color w:val="000000"/>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color w:val="000000"/>
          <w:kern w:val="0"/>
          <w:sz w:val="22"/>
        </w:rPr>
      </w:pPr>
      <w:bookmarkStart w:id="43" w:name="_Toc27581"/>
      <w:r>
        <w:rPr>
          <w:rFonts w:ascii="宋体" w:hAnsi="宋体" w:cs="Calibri"/>
          <w:b/>
          <w:bCs/>
          <w:color w:val="000000"/>
          <w:kern w:val="0"/>
          <w:sz w:val="22"/>
        </w:rPr>
        <w:t xml:space="preserve">7.4 </w:t>
      </w:r>
      <w:r>
        <w:rPr>
          <w:rFonts w:hint="eastAsia" w:ascii="宋体" w:hAnsi="宋体" w:cs="Calibri"/>
          <w:b/>
          <w:bCs/>
          <w:color w:val="000000"/>
          <w:kern w:val="0"/>
          <w:sz w:val="22"/>
        </w:rPr>
        <w:t>签订合同</w:t>
      </w:r>
      <w:bookmarkEnd w:id="43"/>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7</w:t>
      </w:r>
      <w:bookmarkStart w:id="44" w:name="_Toc219809801"/>
      <w:bookmarkStart w:id="45" w:name="_Toc220123241"/>
      <w:bookmarkStart w:id="46" w:name="_Toc11806"/>
      <w:r>
        <w:rPr>
          <w:rFonts w:ascii="宋体" w:hAnsi="宋体" w:cs="Calibri"/>
          <w:color w:val="000000"/>
          <w:kern w:val="0"/>
          <w:sz w:val="22"/>
        </w:rPr>
        <w:t>.4.1</w:t>
      </w:r>
      <w:r>
        <w:rPr>
          <w:rFonts w:hint="eastAsia" w:ascii="宋体" w:hAnsi="宋体" w:cs="Calibri"/>
          <w:color w:val="000000"/>
          <w:kern w:val="0"/>
          <w:sz w:val="22"/>
        </w:rPr>
        <w:t>招标人和中标人应当自中标通知书发出之日起</w:t>
      </w:r>
      <w:r>
        <w:rPr>
          <w:rFonts w:ascii="宋体" w:hAnsi="宋体" w:cs="Calibri"/>
          <w:color w:val="000000"/>
          <w:kern w:val="0"/>
          <w:sz w:val="22"/>
        </w:rPr>
        <w:t>30</w:t>
      </w:r>
      <w:r>
        <w:rPr>
          <w:rFonts w:hint="eastAsia" w:ascii="宋体" w:hAnsi="宋体" w:cs="Calibri"/>
          <w:color w:val="000000"/>
          <w:kern w:val="0"/>
          <w:sz w:val="22"/>
        </w:rPr>
        <w:t>个工作日内订立书面合同（合同条款按第三章“合同条款及格式”）。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 xml:space="preserve">7.4.2 </w:t>
      </w:r>
      <w:r>
        <w:rPr>
          <w:rFonts w:hint="eastAsia" w:ascii="宋体" w:hAnsi="宋体" w:cs="Calibri"/>
          <w:color w:val="000000"/>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djustRightInd w:val="0"/>
        <w:snapToGrid w:val="0"/>
        <w:spacing w:line="360" w:lineRule="exact"/>
        <w:ind w:firstLine="440"/>
        <w:rPr>
          <w:rFonts w:ascii="宋体" w:hAnsi="宋体" w:cs="Calibri"/>
          <w:color w:val="000000"/>
          <w:kern w:val="0"/>
          <w:sz w:val="22"/>
        </w:rPr>
      </w:pP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8.</w:t>
      </w:r>
      <w:r>
        <w:rPr>
          <w:rFonts w:hint="eastAsia" w:ascii="宋体" w:hAnsi="宋体" w:cs="Calibri"/>
          <w:b/>
          <w:bCs/>
          <w:color w:val="000000"/>
          <w:kern w:val="0"/>
          <w:sz w:val="22"/>
        </w:rPr>
        <w:t>重新招标和不再招标</w:t>
      </w:r>
      <w:bookmarkEnd w:id="44"/>
      <w:bookmarkEnd w:id="45"/>
      <w:bookmarkEnd w:id="46"/>
    </w:p>
    <w:p>
      <w:pPr>
        <w:autoSpaceDE w:val="0"/>
        <w:autoSpaceDN w:val="0"/>
        <w:adjustRightInd w:val="0"/>
        <w:snapToGrid w:val="0"/>
        <w:spacing w:line="360" w:lineRule="exact"/>
        <w:rPr>
          <w:rFonts w:ascii="宋体" w:hAnsi="宋体" w:cs="Calibri"/>
          <w:b/>
          <w:bCs/>
          <w:color w:val="000000"/>
          <w:kern w:val="0"/>
          <w:sz w:val="22"/>
        </w:rPr>
      </w:pPr>
      <w:bookmarkStart w:id="47" w:name="_Toc15553"/>
      <w:bookmarkStart w:id="48" w:name="_Toc219809802"/>
      <w:bookmarkStart w:id="49" w:name="_Toc220123242"/>
      <w:r>
        <w:rPr>
          <w:rFonts w:ascii="宋体" w:hAnsi="宋体" w:cs="Calibri"/>
          <w:b/>
          <w:bCs/>
          <w:color w:val="000000"/>
          <w:kern w:val="0"/>
          <w:sz w:val="22"/>
        </w:rPr>
        <w:t xml:space="preserve">8.1 </w:t>
      </w:r>
      <w:r>
        <w:rPr>
          <w:rFonts w:hint="eastAsia" w:ascii="宋体" w:hAnsi="宋体" w:cs="Calibri"/>
          <w:b/>
          <w:bCs/>
          <w:color w:val="000000"/>
          <w:kern w:val="0"/>
          <w:sz w:val="22"/>
        </w:rPr>
        <w:t>重新招标</w:t>
      </w:r>
      <w:bookmarkEnd w:id="47"/>
      <w:bookmarkEnd w:id="48"/>
      <w:bookmarkEnd w:id="49"/>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有下列情形之一的，招标人将重新招标；</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）投标截止时间止，投标人少于</w:t>
      </w:r>
      <w:r>
        <w:rPr>
          <w:rFonts w:ascii="宋体" w:hAnsi="宋体" w:cs="Calibri"/>
          <w:color w:val="000000"/>
          <w:kern w:val="0"/>
          <w:sz w:val="22"/>
        </w:rPr>
        <w:t>3</w:t>
      </w:r>
      <w:r>
        <w:rPr>
          <w:rFonts w:hint="eastAsia" w:ascii="宋体" w:hAnsi="宋体" w:cs="Calibri"/>
          <w:color w:val="000000"/>
          <w:kern w:val="0"/>
          <w:sz w:val="22"/>
        </w:rPr>
        <w:t>个的；</w:t>
      </w:r>
    </w:p>
    <w:p>
      <w:pPr>
        <w:adjustRightInd w:val="0"/>
        <w:snapToGrid w:val="0"/>
        <w:spacing w:line="360" w:lineRule="exact"/>
        <w:ind w:firstLine="476"/>
        <w:rPr>
          <w:rFonts w:ascii="宋体" w:hAnsi="宋体" w:cs="Calibri"/>
          <w:b/>
          <w:color w:val="000000"/>
          <w:kern w:val="0"/>
          <w:sz w:val="22"/>
        </w:rPr>
      </w:pPr>
      <w:r>
        <w:rPr>
          <w:rFonts w:hint="eastAsia" w:ascii="宋体" w:hAnsi="宋体" w:cs="Calibri"/>
          <w:b/>
          <w:color w:val="000000"/>
          <w:kern w:val="0"/>
          <w:sz w:val="22"/>
        </w:rPr>
        <w:t>（</w:t>
      </w:r>
      <w:r>
        <w:rPr>
          <w:rFonts w:ascii="宋体" w:hAnsi="宋体" w:cs="Calibri"/>
          <w:b/>
          <w:color w:val="000000"/>
          <w:kern w:val="0"/>
          <w:sz w:val="22"/>
        </w:rPr>
        <w:t>2</w:t>
      </w:r>
      <w:r>
        <w:rPr>
          <w:rFonts w:hint="eastAsia" w:ascii="宋体" w:hAnsi="宋体" w:cs="Calibri"/>
          <w:b/>
          <w:color w:val="000000"/>
          <w:kern w:val="0"/>
          <w:sz w:val="22"/>
        </w:rPr>
        <w:t>）所有投标人的报价均偏高，招标人无法接受的；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color w:val="000000"/>
          <w:kern w:val="0"/>
          <w:sz w:val="22"/>
        </w:rPr>
      </w:pPr>
      <w:bookmarkStart w:id="50" w:name="_Toc219809803"/>
      <w:bookmarkStart w:id="51" w:name="_Toc220123243"/>
      <w:bookmarkStart w:id="52" w:name="_Toc18806"/>
      <w:r>
        <w:rPr>
          <w:rFonts w:ascii="宋体" w:hAnsi="宋体" w:cs="Calibri"/>
          <w:b/>
          <w:bCs/>
          <w:color w:val="000000"/>
          <w:kern w:val="0"/>
          <w:sz w:val="22"/>
        </w:rPr>
        <w:t xml:space="preserve">8.2 </w:t>
      </w:r>
      <w:r>
        <w:rPr>
          <w:rFonts w:hint="eastAsia" w:ascii="宋体" w:hAnsi="宋体" w:cs="Calibri"/>
          <w:b/>
          <w:bCs/>
          <w:color w:val="000000"/>
          <w:kern w:val="0"/>
          <w:sz w:val="22"/>
        </w:rPr>
        <w:t>不再招标</w:t>
      </w:r>
      <w:bookmarkEnd w:id="50"/>
      <w:bookmarkEnd w:id="51"/>
      <w:bookmarkEnd w:id="52"/>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重新招标后投标人仍少于</w:t>
      </w:r>
      <w:r>
        <w:rPr>
          <w:rFonts w:ascii="宋体" w:hAnsi="宋体" w:cs="Calibri"/>
          <w:color w:val="000000"/>
          <w:sz w:val="22"/>
        </w:rPr>
        <w:t>3</w:t>
      </w:r>
      <w:r>
        <w:rPr>
          <w:rFonts w:hint="eastAsia" w:ascii="宋体" w:hAnsi="宋体" w:cs="Calibri"/>
          <w:color w:val="000000"/>
          <w:sz w:val="22"/>
        </w:rPr>
        <w:t>个或者所有投标被否决的，经批准后不再进行招标。</w:t>
      </w:r>
    </w:p>
    <w:p>
      <w:pPr>
        <w:autoSpaceDE w:val="0"/>
        <w:autoSpaceDN w:val="0"/>
        <w:adjustRightInd w:val="0"/>
        <w:snapToGrid w:val="0"/>
        <w:spacing w:line="360" w:lineRule="exact"/>
        <w:rPr>
          <w:rFonts w:ascii="宋体" w:hAnsi="宋体" w:cs="Calibri"/>
          <w:b/>
          <w:bCs/>
          <w:color w:val="000000"/>
          <w:kern w:val="0"/>
          <w:sz w:val="22"/>
        </w:rPr>
      </w:pPr>
      <w:bookmarkStart w:id="53" w:name="_Toc220123244"/>
      <w:bookmarkStart w:id="54" w:name="_Toc219809804"/>
      <w:bookmarkStart w:id="55" w:name="_Toc215941254"/>
      <w:bookmarkStart w:id="56" w:name="_Toc2986"/>
      <w:r>
        <w:rPr>
          <w:rFonts w:ascii="宋体" w:hAnsi="宋体" w:cs="Calibri"/>
          <w:b/>
          <w:bCs/>
          <w:color w:val="000000"/>
          <w:kern w:val="0"/>
          <w:sz w:val="22"/>
        </w:rPr>
        <w:t>9.</w:t>
      </w:r>
      <w:r>
        <w:rPr>
          <w:rFonts w:hint="eastAsia" w:ascii="宋体" w:hAnsi="宋体" w:cs="Calibri"/>
          <w:b/>
          <w:bCs/>
          <w:color w:val="000000"/>
          <w:kern w:val="0"/>
          <w:sz w:val="22"/>
        </w:rPr>
        <w:t>纪律和监督</w:t>
      </w:r>
      <w:bookmarkEnd w:id="53"/>
      <w:bookmarkEnd w:id="54"/>
      <w:bookmarkEnd w:id="55"/>
      <w:bookmarkEnd w:id="56"/>
    </w:p>
    <w:p>
      <w:pPr>
        <w:autoSpaceDE w:val="0"/>
        <w:autoSpaceDN w:val="0"/>
        <w:adjustRightInd w:val="0"/>
        <w:snapToGrid w:val="0"/>
        <w:spacing w:line="360" w:lineRule="exact"/>
        <w:rPr>
          <w:rFonts w:ascii="宋体" w:hAnsi="宋体" w:cs="Calibri"/>
          <w:b/>
          <w:bCs/>
          <w:color w:val="000000"/>
          <w:kern w:val="0"/>
          <w:sz w:val="22"/>
        </w:rPr>
      </w:pPr>
      <w:bookmarkStart w:id="57" w:name="_Toc5509"/>
      <w:bookmarkStart w:id="58" w:name="_Toc219809805"/>
      <w:bookmarkStart w:id="59" w:name="_Toc220123245"/>
      <w:r>
        <w:rPr>
          <w:rFonts w:ascii="宋体" w:hAnsi="宋体" w:cs="Calibri"/>
          <w:b/>
          <w:bCs/>
          <w:color w:val="000000"/>
          <w:kern w:val="0"/>
          <w:sz w:val="22"/>
        </w:rPr>
        <w:t xml:space="preserve">9.1 </w:t>
      </w:r>
      <w:r>
        <w:rPr>
          <w:rFonts w:hint="eastAsia" w:ascii="宋体" w:hAnsi="宋体" w:cs="Calibri"/>
          <w:b/>
          <w:bCs/>
          <w:color w:val="000000"/>
          <w:kern w:val="0"/>
          <w:sz w:val="22"/>
        </w:rPr>
        <w:t>对招标人的纪律要求</w:t>
      </w:r>
      <w:bookmarkEnd w:id="57"/>
      <w:bookmarkEnd w:id="58"/>
      <w:bookmarkEnd w:id="59"/>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kern w:val="0"/>
          <w:sz w:val="22"/>
        </w:rPr>
      </w:pPr>
      <w:bookmarkStart w:id="60" w:name="_Toc220123246"/>
      <w:bookmarkStart w:id="61" w:name="_Toc10820"/>
      <w:bookmarkStart w:id="62" w:name="_Toc219809806"/>
      <w:r>
        <w:rPr>
          <w:rFonts w:ascii="宋体" w:hAnsi="宋体" w:cs="Calibri"/>
          <w:b/>
          <w:bCs/>
          <w:color w:val="000000"/>
          <w:kern w:val="0"/>
          <w:sz w:val="22"/>
        </w:rPr>
        <w:t xml:space="preserve">9.2 </w:t>
      </w:r>
      <w:r>
        <w:rPr>
          <w:rFonts w:hint="eastAsia" w:ascii="宋体" w:hAnsi="宋体" w:cs="Calibri"/>
          <w:b/>
          <w:bCs/>
          <w:color w:val="000000"/>
          <w:kern w:val="0"/>
          <w:sz w:val="22"/>
        </w:rPr>
        <w:t>对投标人的纪律要求</w:t>
      </w:r>
      <w:bookmarkEnd w:id="60"/>
      <w:bookmarkEnd w:id="61"/>
      <w:bookmarkEnd w:id="62"/>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w:t>
      </w:r>
      <w:r>
        <w:rPr>
          <w:rFonts w:ascii="宋体" w:hAnsi="宋体" w:cs="Calibri"/>
          <w:b/>
          <w:color w:val="000000"/>
          <w:sz w:val="22"/>
        </w:rPr>
        <w:t>2</w:t>
      </w:r>
      <w:r>
        <w:rPr>
          <w:rFonts w:hint="eastAsia" w:ascii="宋体" w:hAnsi="宋体" w:cs="Calibri"/>
          <w:b/>
          <w:color w:val="000000"/>
          <w:sz w:val="22"/>
        </w:rPr>
        <w:t>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kern w:val="0"/>
          <w:sz w:val="22"/>
        </w:rPr>
      </w:pPr>
      <w:bookmarkStart w:id="63" w:name="_Toc220123247"/>
      <w:bookmarkStart w:id="64" w:name="_Toc10756"/>
      <w:bookmarkStart w:id="65" w:name="_Toc219809807"/>
      <w:r>
        <w:rPr>
          <w:rFonts w:ascii="宋体" w:hAnsi="宋体" w:cs="Calibri"/>
          <w:b/>
          <w:bCs/>
          <w:color w:val="000000"/>
          <w:kern w:val="0"/>
          <w:sz w:val="22"/>
        </w:rPr>
        <w:t xml:space="preserve">9.3 </w:t>
      </w:r>
      <w:r>
        <w:rPr>
          <w:rFonts w:hint="eastAsia" w:ascii="宋体" w:hAnsi="宋体" w:cs="Calibri"/>
          <w:b/>
          <w:bCs/>
          <w:color w:val="000000"/>
          <w:kern w:val="0"/>
          <w:sz w:val="22"/>
        </w:rPr>
        <w:t>对评标委员会成员的纪律要求</w:t>
      </w:r>
      <w:bookmarkEnd w:id="63"/>
      <w:bookmarkEnd w:id="64"/>
      <w:bookmarkEnd w:id="65"/>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六章“评标办法及标准”没有规定的评审因素和标准进行评标。</w:t>
      </w:r>
    </w:p>
    <w:p>
      <w:pPr>
        <w:autoSpaceDE w:val="0"/>
        <w:autoSpaceDN w:val="0"/>
        <w:adjustRightInd w:val="0"/>
        <w:snapToGrid w:val="0"/>
        <w:spacing w:line="360" w:lineRule="exact"/>
        <w:rPr>
          <w:rFonts w:ascii="宋体" w:hAnsi="宋体" w:cs="Calibri"/>
          <w:b/>
          <w:bCs/>
          <w:color w:val="000000"/>
          <w:kern w:val="0"/>
          <w:sz w:val="22"/>
        </w:rPr>
      </w:pPr>
      <w:bookmarkStart w:id="66" w:name="_Toc12792"/>
      <w:bookmarkStart w:id="67" w:name="_Toc219809808"/>
      <w:bookmarkStart w:id="68" w:name="_Toc220123248"/>
      <w:r>
        <w:rPr>
          <w:rFonts w:ascii="宋体" w:hAnsi="宋体" w:cs="Calibri"/>
          <w:b/>
          <w:bCs/>
          <w:color w:val="000000"/>
          <w:kern w:val="0"/>
          <w:sz w:val="22"/>
        </w:rPr>
        <w:t xml:space="preserve">9.4 </w:t>
      </w:r>
      <w:r>
        <w:rPr>
          <w:rFonts w:hint="eastAsia" w:ascii="宋体" w:hAnsi="宋体" w:cs="Calibri"/>
          <w:b/>
          <w:bCs/>
          <w:color w:val="000000"/>
          <w:kern w:val="0"/>
          <w:sz w:val="22"/>
        </w:rPr>
        <w:t>对评标活动有关的工作人员的纪律要求</w:t>
      </w:r>
      <w:bookmarkEnd w:id="66"/>
      <w:bookmarkEnd w:id="67"/>
      <w:bookmarkEnd w:id="68"/>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kern w:val="0"/>
          <w:sz w:val="22"/>
        </w:rPr>
      </w:pPr>
      <w:bookmarkStart w:id="69" w:name="_Toc219809809"/>
      <w:bookmarkStart w:id="70" w:name="_Toc220123249"/>
      <w:bookmarkStart w:id="71" w:name="_Toc239"/>
      <w:r>
        <w:rPr>
          <w:rFonts w:ascii="宋体" w:hAnsi="宋体" w:cs="Calibri"/>
          <w:b/>
          <w:bCs/>
          <w:color w:val="000000"/>
          <w:kern w:val="0"/>
          <w:sz w:val="22"/>
        </w:rPr>
        <w:t xml:space="preserve">9.5 </w:t>
      </w:r>
      <w:r>
        <w:rPr>
          <w:rFonts w:hint="eastAsia" w:ascii="宋体" w:hAnsi="宋体" w:cs="Calibri"/>
          <w:b/>
          <w:bCs/>
          <w:color w:val="000000"/>
          <w:kern w:val="0"/>
          <w:sz w:val="22"/>
        </w:rPr>
        <w:t>投诉</w:t>
      </w:r>
      <w:bookmarkEnd w:id="69"/>
      <w:bookmarkEnd w:id="70"/>
      <w:bookmarkEnd w:id="71"/>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kern w:val="0"/>
          <w:sz w:val="22"/>
        </w:rPr>
      </w:pPr>
      <w:bookmarkStart w:id="72" w:name="_Toc10817"/>
      <w:r>
        <w:rPr>
          <w:rFonts w:ascii="宋体" w:hAnsi="宋体" w:cs="Calibri"/>
          <w:b/>
          <w:bCs/>
          <w:color w:val="000000"/>
          <w:kern w:val="0"/>
          <w:sz w:val="22"/>
        </w:rPr>
        <w:t xml:space="preserve">10. </w:t>
      </w:r>
      <w:r>
        <w:rPr>
          <w:rFonts w:hint="eastAsia" w:ascii="宋体" w:hAnsi="宋体" w:cs="Calibri"/>
          <w:b/>
          <w:bCs/>
          <w:color w:val="000000"/>
          <w:kern w:val="0"/>
          <w:sz w:val="22"/>
        </w:rPr>
        <w:t>需要补充的其他内容</w:t>
      </w:r>
      <w:bookmarkEnd w:id="72"/>
    </w:p>
    <w:p>
      <w:pPr>
        <w:autoSpaceDE w:val="0"/>
        <w:autoSpaceDN w:val="0"/>
        <w:adjustRightInd w:val="0"/>
        <w:snapToGrid w:val="0"/>
        <w:spacing w:line="360" w:lineRule="exact"/>
        <w:ind w:firstLine="440"/>
        <w:jc w:val="left"/>
        <w:rPr>
          <w:rFonts w:ascii="宋体" w:hAnsi="宋体" w:cs="Calibri"/>
          <w:color w:val="000000"/>
          <w:sz w:val="22"/>
        </w:rPr>
      </w:pPr>
      <w:r>
        <w:rPr>
          <w:rFonts w:hint="eastAsia" w:ascii="宋体" w:hAnsi="宋体" w:cs="Calibri"/>
          <w:color w:val="000000"/>
          <w:sz w:val="22"/>
        </w:rPr>
        <w:t>需要补充的其他内容：见投标人须知前附表。</w:t>
      </w:r>
    </w:p>
    <w:p>
      <w:pPr>
        <w:autoSpaceDE w:val="0"/>
        <w:autoSpaceDN w:val="0"/>
        <w:adjustRightInd w:val="0"/>
        <w:snapToGrid w:val="0"/>
        <w:spacing w:line="360" w:lineRule="exact"/>
        <w:jc w:val="left"/>
        <w:rPr>
          <w:rFonts w:ascii="宋体" w:hAnsi="宋体" w:cs="Calibri"/>
          <w:color w:val="000000"/>
          <w:sz w:val="22"/>
        </w:rPr>
      </w:pPr>
    </w:p>
    <w:p>
      <w:pPr>
        <w:autoSpaceDE w:val="0"/>
        <w:autoSpaceDN w:val="0"/>
        <w:adjustRightInd w:val="0"/>
        <w:snapToGrid w:val="0"/>
        <w:spacing w:line="360" w:lineRule="exact"/>
        <w:jc w:val="left"/>
        <w:rPr>
          <w:rFonts w:ascii="宋体" w:hAnsi="宋体" w:cs="Calibri"/>
          <w:color w:val="000000"/>
          <w:sz w:val="22"/>
        </w:rPr>
      </w:pPr>
    </w:p>
    <w:p>
      <w:pPr>
        <w:autoSpaceDE w:val="0"/>
        <w:autoSpaceDN w:val="0"/>
        <w:adjustRightInd w:val="0"/>
        <w:snapToGrid w:val="0"/>
        <w:spacing w:line="360" w:lineRule="exact"/>
        <w:ind w:firstLine="440"/>
        <w:jc w:val="left"/>
        <w:rPr>
          <w:rFonts w:ascii="宋体" w:cs="Calibri"/>
          <w:color w:val="000000"/>
          <w:sz w:val="22"/>
        </w:rPr>
      </w:pPr>
    </w:p>
    <w:p>
      <w:pPr>
        <w:autoSpaceDE w:val="0"/>
        <w:autoSpaceDN w:val="0"/>
        <w:adjustRightInd w:val="0"/>
        <w:snapToGrid w:val="0"/>
        <w:spacing w:line="360" w:lineRule="exact"/>
        <w:ind w:firstLine="440"/>
        <w:jc w:val="left"/>
        <w:rPr>
          <w:rFonts w:ascii="宋体" w:cs="Calibri"/>
          <w:color w:val="000000"/>
          <w:sz w:val="22"/>
        </w:rPr>
      </w:pPr>
    </w:p>
    <w:p>
      <w:pPr>
        <w:pStyle w:val="53"/>
        <w:rPr>
          <w:rFonts w:hint="eastAsia"/>
        </w:rPr>
      </w:pPr>
      <w:r>
        <w:rPr>
          <w:sz w:val="24"/>
        </w:rPr>
        <w:br w:type="page"/>
      </w:r>
      <w:r>
        <w:rPr>
          <w:color w:val="000000"/>
        </w:rPr>
        <w:t xml:space="preserve"> </w:t>
      </w:r>
      <w:bookmarkStart w:id="73" w:name="_Toc13826047"/>
      <w:r>
        <w:rPr>
          <w:rFonts w:hint="eastAsia"/>
          <w:color w:val="000000"/>
        </w:rPr>
        <w:t>第三章 合同条款及格式</w:t>
      </w:r>
      <w:bookmarkEnd w:id="73"/>
      <w:bookmarkStart w:id="74" w:name="_Toc448097405"/>
      <w:bookmarkStart w:id="75" w:name="_Toc450630560"/>
    </w:p>
    <w:bookmarkEnd w:id="74"/>
    <w:bookmarkEnd w:id="75"/>
    <w:p>
      <w:pPr>
        <w:keepNext/>
        <w:keepLines/>
        <w:spacing w:before="120" w:after="120" w:line="400" w:lineRule="exact"/>
        <w:ind w:right="-17"/>
        <w:jc w:val="center"/>
        <w:rPr>
          <w:rFonts w:ascii="宋体" w:hAnsi="宋体" w:cs="宋体"/>
          <w:b/>
          <w:sz w:val="28"/>
          <w:szCs w:val="20"/>
        </w:rPr>
      </w:pPr>
      <w:r>
        <w:rPr>
          <w:rFonts w:hint="eastAsia" w:ascii="宋体" w:hAnsi="宋体" w:cs="宋体"/>
          <w:b/>
          <w:sz w:val="28"/>
          <w:szCs w:val="20"/>
        </w:rPr>
        <w:t>第一部分  合同协议书</w:t>
      </w:r>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rPr>
        <w:t>杭州萧山国际机场            工程</w:t>
      </w:r>
      <w:r>
        <w:rPr>
          <w:rFonts w:hint="eastAsia" w:ascii="宋体" w:hAnsi="宋体"/>
          <w:sz w:val="22"/>
          <w:szCs w:val="22"/>
        </w:rPr>
        <w:t>，已接受（以下简称“承包人”）对该项目施工的投标。发包人和承包人共同达成如下协议。</w:t>
      </w:r>
    </w:p>
    <w:p>
      <w:pPr>
        <w:spacing w:line="400" w:lineRule="exact"/>
        <w:ind w:firstLine="440" w:firstLineChars="200"/>
        <w:rPr>
          <w:rFonts w:ascii="宋体" w:hAnsi="宋体"/>
          <w:sz w:val="22"/>
          <w:szCs w:val="22"/>
        </w:rPr>
      </w:pPr>
      <w:bookmarkStart w:id="76" w:name="_Toc152042548"/>
      <w:bookmarkStart w:id="77" w:name="_Toc144974828"/>
      <w:r>
        <w:rPr>
          <w:rFonts w:hint="eastAsia" w:ascii="宋体" w:hAnsi="宋体"/>
          <w:sz w:val="22"/>
          <w:szCs w:val="22"/>
        </w:rPr>
        <w:t>1. 本协议书与下列文件一起构成合同文件：</w:t>
      </w:r>
      <w:bookmarkEnd w:id="76"/>
      <w:bookmarkEnd w:id="77"/>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78" w:name="_Toc152042549"/>
      <w:bookmarkStart w:id="79" w:name="_Toc144974829"/>
      <w:r>
        <w:rPr>
          <w:rFonts w:hint="eastAsia" w:ascii="宋体" w:hAnsi="宋体"/>
          <w:sz w:val="22"/>
          <w:szCs w:val="22"/>
        </w:rPr>
        <w:t>2. 上述文件互相补充和解释，如有不明确或不一致之处，以合同约定次序在先者为准。</w:t>
      </w:r>
      <w:bookmarkEnd w:id="78"/>
      <w:bookmarkEnd w:id="79"/>
    </w:p>
    <w:p>
      <w:pPr>
        <w:spacing w:line="400" w:lineRule="exact"/>
        <w:ind w:firstLine="440" w:firstLineChars="200"/>
        <w:rPr>
          <w:rFonts w:ascii="宋体" w:hAnsi="宋体"/>
          <w:sz w:val="22"/>
          <w:szCs w:val="22"/>
        </w:rPr>
      </w:pPr>
      <w:r>
        <w:rPr>
          <w:rFonts w:hint="eastAsia" w:ascii="宋体" w:hAnsi="宋体"/>
          <w:sz w:val="22"/>
          <w:szCs w:val="22"/>
        </w:rPr>
        <w:t>3. 本合同为【固定总价】合同，签约合同价：人民币（大写）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2" w:firstLineChars="200"/>
        <w:rPr>
          <w:rFonts w:hint="eastAsia" w:ascii="宋体" w:hAnsi="宋体"/>
          <w:b/>
          <w:sz w:val="22"/>
          <w:szCs w:val="22"/>
        </w:rPr>
      </w:pPr>
      <w:r>
        <w:rPr>
          <w:rFonts w:hint="eastAsia" w:ascii="宋体" w:hAnsi="宋体"/>
          <w:b/>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40" w:firstLineChars="200"/>
        <w:rPr>
          <w:rFonts w:ascii="宋体" w:hAnsi="宋体"/>
          <w:sz w:val="22"/>
          <w:szCs w:val="22"/>
        </w:rPr>
      </w:pPr>
      <w:r>
        <w:rPr>
          <w:rFonts w:hint="eastAsia" w:ascii="宋体" w:hAnsi="宋体"/>
          <w:sz w:val="22"/>
          <w:szCs w:val="22"/>
        </w:rPr>
        <w:t xml:space="preserve">4. 承包人项目经理： </w:t>
      </w:r>
      <w:r>
        <w:rPr>
          <w:rFonts w:ascii="宋体" w:hAnsi="宋体"/>
          <w:sz w:val="22"/>
          <w:szCs w:val="22"/>
        </w:rPr>
        <w:t xml:space="preserve">   </w:t>
      </w:r>
      <w:r>
        <w:rPr>
          <w:rFonts w:hint="eastAsia" w:ascii="宋体" w:hAnsi="宋体"/>
          <w:sz w:val="22"/>
          <w:szCs w:val="22"/>
        </w:rPr>
        <w:t>。</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rPr>
        <w:t xml:space="preserve">    </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w:t>
      </w:r>
    </w:p>
    <w:p>
      <w:pPr>
        <w:spacing w:line="400" w:lineRule="exact"/>
        <w:ind w:firstLine="440" w:firstLineChars="200"/>
        <w:rPr>
          <w:rFonts w:ascii="宋体" w:hAnsi="宋体"/>
          <w:sz w:val="22"/>
          <w:szCs w:val="22"/>
        </w:rPr>
      </w:pPr>
      <w:bookmarkStart w:id="80" w:name="_Toc144974830"/>
      <w:bookmarkStart w:id="81" w:name="_Toc152042550"/>
      <w:r>
        <w:rPr>
          <w:rFonts w:hint="eastAsia" w:ascii="宋体" w:hAnsi="宋体"/>
          <w:sz w:val="22"/>
          <w:szCs w:val="22"/>
        </w:rPr>
        <w:t>10. 合同未尽事宜，双方另行签订补充协议。补充协议是合同的组成部分。</w:t>
      </w:r>
      <w:bookmarkEnd w:id="80"/>
      <w:bookmarkEnd w:id="81"/>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rPr>
          <w:rFonts w:ascii="宋体" w:hAnsi="宋体"/>
          <w:sz w:val="22"/>
        </w:rPr>
      </w:pPr>
    </w:p>
    <w:p>
      <w:pPr>
        <w:spacing w:line="400" w:lineRule="exact"/>
        <w:rPr>
          <w:rFonts w:ascii="宋体" w:hAnsi="宋体"/>
          <w:sz w:val="22"/>
        </w:rPr>
      </w:pPr>
      <w:r>
        <w:rPr>
          <w:rFonts w:ascii="宋体" w:hAnsi="宋体"/>
          <w:sz w:val="22"/>
        </w:rPr>
        <w:br w:type="page"/>
      </w:r>
    </w:p>
    <w:p>
      <w:pPr>
        <w:spacing w:line="400" w:lineRule="exact"/>
        <w:ind w:firstLine="482" w:firstLineChars="200"/>
        <w:jc w:val="center"/>
        <w:rPr>
          <w:b/>
          <w:szCs w:val="21"/>
        </w:rPr>
      </w:pPr>
      <w:bookmarkStart w:id="82" w:name="_Toc375636694"/>
      <w:bookmarkStart w:id="83" w:name="_Toc152045766"/>
      <w:bookmarkStart w:id="84" w:name="_Toc144974736"/>
      <w:bookmarkStart w:id="85" w:name="_Toc152042545"/>
      <w:r>
        <w:rPr>
          <w:rFonts w:hint="eastAsia"/>
          <w:b/>
          <w:szCs w:val="21"/>
        </w:rPr>
        <w:t>第二部分  通用合同条款</w:t>
      </w:r>
    </w:p>
    <w:p>
      <w:pPr>
        <w:spacing w:line="400" w:lineRule="exact"/>
        <w:ind w:firstLine="480" w:firstLineChars="200"/>
        <w:rPr>
          <w:szCs w:val="21"/>
        </w:rPr>
      </w:pPr>
      <w:r>
        <w:rPr>
          <w:rFonts w:hint="eastAsia"/>
          <w:szCs w:val="21"/>
        </w:rPr>
        <w:t>1. 一般约定</w:t>
      </w:r>
    </w:p>
    <w:p>
      <w:pPr>
        <w:spacing w:line="400" w:lineRule="exact"/>
        <w:ind w:firstLine="480" w:firstLineChars="200"/>
        <w:rPr>
          <w:szCs w:val="21"/>
        </w:rPr>
      </w:pPr>
      <w:r>
        <w:rPr>
          <w:rFonts w:hint="eastAsia"/>
          <w:szCs w:val="21"/>
        </w:rPr>
        <w:t>1.1 词语定义</w:t>
      </w:r>
    </w:p>
    <w:p>
      <w:pPr>
        <w:spacing w:line="400" w:lineRule="exact"/>
        <w:ind w:firstLine="480" w:firstLineChars="200"/>
        <w:rPr>
          <w:szCs w:val="21"/>
        </w:rPr>
      </w:pPr>
      <w:r>
        <w:rPr>
          <w:rFonts w:hint="eastAsia"/>
          <w:szCs w:val="21"/>
        </w:rPr>
        <w:t>1.1.1 合同</w:t>
      </w:r>
    </w:p>
    <w:p>
      <w:pPr>
        <w:spacing w:line="400" w:lineRule="exact"/>
        <w:ind w:firstLine="480" w:firstLineChars="200"/>
        <w:rPr>
          <w:szCs w:val="21"/>
        </w:rPr>
      </w:pPr>
      <w:r>
        <w:rPr>
          <w:rFonts w:hint="eastAsia"/>
          <w:szCs w:val="21"/>
        </w:rPr>
        <w:t>1.1.1.1 合同文件（或称合同）：指合同协议书、中标通知书、投标函及投标函附录、专用合同条款、通用合同条款、技术标准和要求、图纸、已标价工程量清单，以及其他合同文件。</w:t>
      </w:r>
    </w:p>
    <w:p>
      <w:pPr>
        <w:spacing w:line="400" w:lineRule="exact"/>
        <w:ind w:firstLine="480" w:firstLineChars="200"/>
        <w:rPr>
          <w:szCs w:val="21"/>
        </w:rPr>
      </w:pPr>
      <w:r>
        <w:rPr>
          <w:rFonts w:hint="eastAsia"/>
          <w:szCs w:val="21"/>
        </w:rPr>
        <w:t>1.1.1.2 合同协议书：指第1.5款所指的合同协议书。</w:t>
      </w:r>
    </w:p>
    <w:p>
      <w:pPr>
        <w:spacing w:line="400" w:lineRule="exact"/>
        <w:ind w:firstLine="480" w:firstLineChars="200"/>
        <w:rPr>
          <w:szCs w:val="21"/>
        </w:rPr>
      </w:pPr>
      <w:r>
        <w:rPr>
          <w:rFonts w:hint="eastAsia"/>
          <w:szCs w:val="21"/>
        </w:rPr>
        <w:t>1.1.1.3 中标通知书：指发包人通知承包人中标的函件。</w:t>
      </w:r>
    </w:p>
    <w:p>
      <w:pPr>
        <w:spacing w:line="400" w:lineRule="exact"/>
        <w:ind w:firstLine="480" w:firstLineChars="200"/>
        <w:rPr>
          <w:szCs w:val="21"/>
        </w:rPr>
      </w:pPr>
      <w:r>
        <w:rPr>
          <w:rFonts w:hint="eastAsia"/>
          <w:szCs w:val="21"/>
        </w:rPr>
        <w:t>1.1.1.4 投标函：指构成合同文件组成部分的由承包人填写并签署的投标函。</w:t>
      </w:r>
    </w:p>
    <w:p>
      <w:pPr>
        <w:spacing w:line="400" w:lineRule="exact"/>
        <w:ind w:firstLine="480" w:firstLineChars="200"/>
        <w:rPr>
          <w:szCs w:val="21"/>
        </w:rPr>
      </w:pPr>
      <w:r>
        <w:rPr>
          <w:rFonts w:hint="eastAsia"/>
          <w:szCs w:val="21"/>
        </w:rPr>
        <w:t>1.1.1.5 投标函附录：指附在投标函后构成合同文件的投标函附录。</w:t>
      </w:r>
    </w:p>
    <w:p>
      <w:pPr>
        <w:spacing w:line="400" w:lineRule="exact"/>
        <w:ind w:firstLine="480" w:firstLineChars="200"/>
        <w:rPr>
          <w:szCs w:val="21"/>
        </w:rPr>
      </w:pPr>
      <w:r>
        <w:rPr>
          <w:rFonts w:hint="eastAsia"/>
          <w:szCs w:val="21"/>
        </w:rPr>
        <w:t>1.1.1.6 技术标准和要求：指构成合同文件组成部分的名为技术标准和要求的文件，包括合同双方当事人约定对其所作的修改或补充。</w:t>
      </w:r>
    </w:p>
    <w:p>
      <w:pPr>
        <w:spacing w:line="400" w:lineRule="exact"/>
        <w:ind w:firstLine="480" w:firstLineChars="200"/>
        <w:rPr>
          <w:szCs w:val="21"/>
        </w:rPr>
      </w:pPr>
      <w:r>
        <w:rPr>
          <w:rFonts w:hint="eastAsia"/>
          <w:szCs w:val="21"/>
        </w:rPr>
        <w:t>1.1.1.7图纸：指包含在合同中的工程图纸，以及由发包人按合同约定提供的任何补充和修改的图纸，包括配套的说明。</w:t>
      </w:r>
    </w:p>
    <w:p>
      <w:pPr>
        <w:spacing w:line="400" w:lineRule="exact"/>
        <w:ind w:firstLine="480" w:firstLineChars="200"/>
        <w:rPr>
          <w:szCs w:val="21"/>
        </w:rPr>
      </w:pPr>
      <w:r>
        <w:rPr>
          <w:rFonts w:hint="eastAsia"/>
          <w:szCs w:val="21"/>
        </w:rPr>
        <w:t>1.1.1.8 已标价工程量清单：指构成合同文件组成部分的由承包人按照规定的格式和要求填写并标明价格的工程量清单。</w:t>
      </w:r>
    </w:p>
    <w:p>
      <w:pPr>
        <w:spacing w:line="400" w:lineRule="exact"/>
        <w:ind w:firstLine="480" w:firstLineChars="200"/>
        <w:rPr>
          <w:szCs w:val="21"/>
        </w:rPr>
      </w:pPr>
      <w:r>
        <w:rPr>
          <w:rFonts w:hint="eastAsia"/>
          <w:szCs w:val="21"/>
        </w:rPr>
        <w:t>1.1.1.9 其他合同文件：指经合同双方当事人确认构成合同文件的其他文件。</w:t>
      </w:r>
    </w:p>
    <w:p>
      <w:pPr>
        <w:spacing w:line="400" w:lineRule="exact"/>
        <w:ind w:firstLine="480" w:firstLineChars="200"/>
        <w:rPr>
          <w:szCs w:val="21"/>
        </w:rPr>
      </w:pPr>
      <w:r>
        <w:rPr>
          <w:rFonts w:hint="eastAsia"/>
          <w:szCs w:val="21"/>
        </w:rPr>
        <w:t>1.1.2 合同当事人和人员</w:t>
      </w:r>
    </w:p>
    <w:p>
      <w:pPr>
        <w:spacing w:line="400" w:lineRule="exact"/>
        <w:ind w:firstLine="480" w:firstLineChars="200"/>
        <w:rPr>
          <w:szCs w:val="21"/>
        </w:rPr>
      </w:pPr>
      <w:r>
        <w:rPr>
          <w:rFonts w:hint="eastAsia"/>
          <w:szCs w:val="21"/>
        </w:rPr>
        <w:t>1.1.2.1 合同当事人:指发包人和（或）承包人。</w:t>
      </w:r>
    </w:p>
    <w:p>
      <w:pPr>
        <w:spacing w:line="400" w:lineRule="exact"/>
        <w:ind w:firstLine="480" w:firstLineChars="200"/>
        <w:rPr>
          <w:szCs w:val="21"/>
        </w:rPr>
      </w:pPr>
      <w:r>
        <w:rPr>
          <w:rFonts w:hint="eastAsia"/>
          <w:szCs w:val="21"/>
        </w:rPr>
        <w:t>1.1.2.2 发包人：指专用合同条款中指明并与承包人在合同协议书中签字的当事人。</w:t>
      </w:r>
    </w:p>
    <w:p>
      <w:pPr>
        <w:spacing w:line="400" w:lineRule="exact"/>
        <w:ind w:firstLine="480" w:firstLineChars="200"/>
        <w:rPr>
          <w:szCs w:val="21"/>
        </w:rPr>
      </w:pPr>
      <w:r>
        <w:rPr>
          <w:rFonts w:hint="eastAsia"/>
          <w:szCs w:val="21"/>
        </w:rPr>
        <w:t>1.1.2.3 承包人：指与发包人签订合同协议书的当事人。</w:t>
      </w:r>
    </w:p>
    <w:p>
      <w:pPr>
        <w:spacing w:line="400" w:lineRule="exact"/>
        <w:ind w:firstLine="480" w:firstLineChars="200"/>
        <w:rPr>
          <w:szCs w:val="21"/>
        </w:rPr>
      </w:pPr>
      <w:r>
        <w:rPr>
          <w:rFonts w:hint="eastAsia"/>
          <w:szCs w:val="21"/>
        </w:rPr>
        <w:t>1.1.2.4 承包人项目经理：指承包人派驻施工场地的全权负责人。</w:t>
      </w:r>
    </w:p>
    <w:p>
      <w:pPr>
        <w:spacing w:line="400" w:lineRule="exact"/>
        <w:ind w:firstLine="480" w:firstLineChars="200"/>
        <w:rPr>
          <w:szCs w:val="21"/>
        </w:rPr>
      </w:pPr>
      <w:r>
        <w:rPr>
          <w:rFonts w:hint="eastAsia"/>
          <w:szCs w:val="21"/>
        </w:rPr>
        <w:t>1.1.2.5 分包人：指从承包人处分包合同中某一部分工程，并与其签订分包合同的分包人。</w:t>
      </w:r>
    </w:p>
    <w:p>
      <w:pPr>
        <w:spacing w:line="400" w:lineRule="exact"/>
        <w:ind w:firstLine="480" w:firstLineChars="200"/>
        <w:rPr>
          <w:szCs w:val="21"/>
        </w:rPr>
      </w:pPr>
      <w:r>
        <w:rPr>
          <w:rFonts w:hint="eastAsia"/>
          <w:szCs w:val="21"/>
        </w:rPr>
        <w:t>1.1.2.6 监理人：指在专用合同条款中指明的，受发包人委托对合同履行实施管理的法人或其他组织。</w:t>
      </w:r>
    </w:p>
    <w:p>
      <w:pPr>
        <w:spacing w:line="400" w:lineRule="exact"/>
        <w:ind w:firstLine="480" w:firstLineChars="200"/>
        <w:rPr>
          <w:szCs w:val="21"/>
        </w:rPr>
      </w:pPr>
      <w:r>
        <w:rPr>
          <w:rFonts w:hint="eastAsia"/>
          <w:szCs w:val="21"/>
        </w:rPr>
        <w:t>1.1.2.7 总监理工程师（总监）：指由监理人委派常驻施工场地对合同履行实施管理的全权负责人。</w:t>
      </w:r>
    </w:p>
    <w:p>
      <w:pPr>
        <w:spacing w:line="400" w:lineRule="exact"/>
        <w:ind w:firstLine="480" w:firstLineChars="200"/>
        <w:rPr>
          <w:szCs w:val="21"/>
        </w:rPr>
      </w:pPr>
      <w:r>
        <w:rPr>
          <w:rFonts w:hint="eastAsia"/>
          <w:szCs w:val="21"/>
        </w:rPr>
        <w:t>1.1.3 工程和设备</w:t>
      </w:r>
    </w:p>
    <w:p>
      <w:pPr>
        <w:spacing w:line="400" w:lineRule="exact"/>
        <w:ind w:firstLine="480" w:firstLineChars="200"/>
        <w:rPr>
          <w:szCs w:val="21"/>
        </w:rPr>
      </w:pPr>
      <w:r>
        <w:rPr>
          <w:rFonts w:hint="eastAsia"/>
          <w:szCs w:val="21"/>
        </w:rPr>
        <w:t>1.1.3.1 工程：指永久工程和（或）临时工程。</w:t>
      </w:r>
    </w:p>
    <w:p>
      <w:pPr>
        <w:spacing w:line="400" w:lineRule="exact"/>
        <w:ind w:firstLine="480" w:firstLineChars="200"/>
        <w:rPr>
          <w:szCs w:val="21"/>
        </w:rPr>
      </w:pPr>
      <w:r>
        <w:rPr>
          <w:rFonts w:hint="eastAsia"/>
          <w:szCs w:val="21"/>
        </w:rPr>
        <w:t>1.1.3.2 永久工程：指按合同约定建造并移交给发包人的工程，包括工程设备。</w:t>
      </w:r>
    </w:p>
    <w:p>
      <w:pPr>
        <w:spacing w:line="400" w:lineRule="exact"/>
        <w:ind w:firstLine="480" w:firstLineChars="200"/>
        <w:rPr>
          <w:szCs w:val="21"/>
        </w:rPr>
      </w:pPr>
      <w:r>
        <w:rPr>
          <w:rFonts w:hint="eastAsia"/>
          <w:szCs w:val="21"/>
        </w:rPr>
        <w:t>1.1.3.3 临时工程：指为完成合同约定的永久工程所修建的各类临时性工程，不包括施工设备。</w:t>
      </w:r>
    </w:p>
    <w:p>
      <w:pPr>
        <w:spacing w:line="400" w:lineRule="exact"/>
        <w:ind w:firstLine="480" w:firstLineChars="200"/>
        <w:rPr>
          <w:szCs w:val="21"/>
        </w:rPr>
      </w:pPr>
      <w:r>
        <w:rPr>
          <w:rFonts w:hint="eastAsia"/>
          <w:szCs w:val="21"/>
        </w:rPr>
        <w:t>1.1.3.4 单位工程：指专用合同条款中指明特定范围的永久工程。</w:t>
      </w:r>
    </w:p>
    <w:p>
      <w:pPr>
        <w:spacing w:line="400" w:lineRule="exact"/>
        <w:ind w:firstLine="480" w:firstLineChars="200"/>
        <w:rPr>
          <w:szCs w:val="21"/>
        </w:rPr>
      </w:pPr>
      <w:r>
        <w:rPr>
          <w:rFonts w:hint="eastAsia"/>
          <w:szCs w:val="21"/>
        </w:rPr>
        <w:t>1.1.3.5 工程设备：指构成或计划构成永久工程一部分的机电设备、金属结构设备、仪器装置及其他类似的设备和装置。</w:t>
      </w:r>
    </w:p>
    <w:p>
      <w:pPr>
        <w:spacing w:line="400" w:lineRule="exact"/>
        <w:ind w:firstLine="480" w:firstLineChars="200"/>
        <w:rPr>
          <w:szCs w:val="21"/>
        </w:rPr>
      </w:pPr>
      <w:r>
        <w:rPr>
          <w:rFonts w:hint="eastAsia"/>
          <w:szCs w:val="21"/>
        </w:rPr>
        <w:t>1.1.3.6 施工设备：指为完成合同约定的各项工作所需的设备、器具和其他物品，不包括临时工程和材料。</w:t>
      </w:r>
    </w:p>
    <w:p>
      <w:pPr>
        <w:spacing w:line="400" w:lineRule="exact"/>
        <w:ind w:firstLine="480" w:firstLineChars="200"/>
        <w:rPr>
          <w:szCs w:val="21"/>
        </w:rPr>
      </w:pPr>
      <w:r>
        <w:rPr>
          <w:rFonts w:hint="eastAsia"/>
          <w:szCs w:val="21"/>
        </w:rPr>
        <w:t>1.1.3.7 临时设施：指为完成合同约定的各项工作所服务的临时性生产和生活设施。</w:t>
      </w:r>
    </w:p>
    <w:p>
      <w:pPr>
        <w:spacing w:line="400" w:lineRule="exact"/>
        <w:ind w:firstLine="480" w:firstLineChars="200"/>
        <w:rPr>
          <w:szCs w:val="21"/>
        </w:rPr>
      </w:pPr>
      <w:r>
        <w:rPr>
          <w:rFonts w:hint="eastAsia"/>
          <w:szCs w:val="21"/>
        </w:rPr>
        <w:t>1.1.3.8 承包人设备：指承包人自带的施工设备。</w:t>
      </w:r>
    </w:p>
    <w:p>
      <w:pPr>
        <w:spacing w:line="400" w:lineRule="exact"/>
        <w:ind w:firstLine="480" w:firstLineChars="200"/>
        <w:rPr>
          <w:szCs w:val="21"/>
        </w:rPr>
      </w:pPr>
      <w:r>
        <w:rPr>
          <w:rFonts w:hint="eastAsia"/>
          <w:szCs w:val="21"/>
        </w:rPr>
        <w:t>1.1.3.9 施工场地（或称工地、现场）：指用于合同工程施工的场所，以及在合同中指定作为施工场地组成部分的其他场所，包括永久占地和临时占地。</w:t>
      </w:r>
    </w:p>
    <w:p>
      <w:pPr>
        <w:spacing w:line="400" w:lineRule="exact"/>
        <w:ind w:firstLine="480" w:firstLineChars="200"/>
        <w:rPr>
          <w:szCs w:val="21"/>
        </w:rPr>
      </w:pPr>
      <w:r>
        <w:rPr>
          <w:rFonts w:hint="eastAsia"/>
          <w:szCs w:val="21"/>
        </w:rPr>
        <w:t>1.1.3.10 永久占地：指专用合同条款中指明为实施合同工程需永久占用的土地。</w:t>
      </w:r>
    </w:p>
    <w:p>
      <w:pPr>
        <w:spacing w:line="400" w:lineRule="exact"/>
        <w:ind w:firstLine="480" w:firstLineChars="200"/>
        <w:rPr>
          <w:szCs w:val="21"/>
        </w:rPr>
      </w:pPr>
      <w:r>
        <w:rPr>
          <w:rFonts w:hint="eastAsia"/>
          <w:szCs w:val="21"/>
        </w:rPr>
        <w:t>1.1.3.11 临时占地：指专用合同条款中指明为实施合同工程需临时占用的土地。</w:t>
      </w:r>
    </w:p>
    <w:p>
      <w:pPr>
        <w:spacing w:line="400" w:lineRule="exact"/>
        <w:ind w:firstLine="480" w:firstLineChars="200"/>
        <w:rPr>
          <w:szCs w:val="21"/>
        </w:rPr>
      </w:pPr>
      <w:r>
        <w:rPr>
          <w:rFonts w:hint="eastAsia"/>
          <w:szCs w:val="21"/>
        </w:rPr>
        <w:t>1.1.4 日期</w:t>
      </w:r>
    </w:p>
    <w:p>
      <w:pPr>
        <w:spacing w:line="400" w:lineRule="exact"/>
        <w:ind w:firstLine="480" w:firstLineChars="200"/>
        <w:rPr>
          <w:szCs w:val="21"/>
        </w:rPr>
      </w:pPr>
      <w:r>
        <w:rPr>
          <w:rFonts w:hint="eastAsia"/>
          <w:szCs w:val="21"/>
        </w:rPr>
        <w:t>1.1.4.1 开工通知：指监理人按第11.1款通知承包人开工的函件。</w:t>
      </w:r>
    </w:p>
    <w:p>
      <w:pPr>
        <w:spacing w:line="400" w:lineRule="exact"/>
        <w:ind w:firstLine="480" w:firstLineChars="200"/>
        <w:rPr>
          <w:szCs w:val="21"/>
        </w:rPr>
      </w:pPr>
      <w:r>
        <w:rPr>
          <w:rFonts w:hint="eastAsia"/>
          <w:szCs w:val="21"/>
        </w:rPr>
        <w:t>1.1.4.2 开工日期：指监理人按第11.1款发出的开工通知中写明的开工日期。</w:t>
      </w:r>
    </w:p>
    <w:p>
      <w:pPr>
        <w:spacing w:line="400" w:lineRule="exact"/>
        <w:ind w:firstLine="480" w:firstLineChars="200"/>
        <w:rPr>
          <w:szCs w:val="21"/>
        </w:rPr>
      </w:pPr>
      <w:r>
        <w:rPr>
          <w:rFonts w:hint="eastAsia"/>
          <w:szCs w:val="21"/>
        </w:rPr>
        <w:t>1.1.4.3工期：指承包人在投标函中承诺的完成合同工程所需的期限，包括按第11.3款、第11.4款和第11.6款约定所作的变更。</w:t>
      </w:r>
    </w:p>
    <w:p>
      <w:pPr>
        <w:spacing w:line="400" w:lineRule="exact"/>
        <w:ind w:firstLine="480" w:firstLineChars="200"/>
        <w:rPr>
          <w:szCs w:val="21"/>
        </w:rPr>
      </w:pPr>
      <w:r>
        <w:rPr>
          <w:rFonts w:hint="eastAsia"/>
          <w:szCs w:val="21"/>
        </w:rPr>
        <w:t>1.1.4.4 竣工日期：指第1.1.4.3目约定工期届满时的日期。实际竣工日期以工程接收证书中写明的日期为准。</w:t>
      </w:r>
    </w:p>
    <w:p>
      <w:pPr>
        <w:spacing w:line="400" w:lineRule="exact"/>
        <w:ind w:firstLine="480" w:firstLineChars="200"/>
        <w:rPr>
          <w:szCs w:val="21"/>
        </w:rPr>
      </w:pPr>
      <w:r>
        <w:rPr>
          <w:rFonts w:hint="eastAsia"/>
          <w:szCs w:val="21"/>
        </w:rPr>
        <w:t>1.1.4.5 缺陷责任期：指履行第19.2款约定的缺陷责任的期限，具体期限由专用合同条款约定，包括根据第19.3款约定所作的延长。</w:t>
      </w:r>
    </w:p>
    <w:p>
      <w:pPr>
        <w:spacing w:line="400" w:lineRule="exact"/>
        <w:ind w:firstLine="480" w:firstLineChars="200"/>
        <w:rPr>
          <w:szCs w:val="21"/>
        </w:rPr>
      </w:pPr>
      <w:r>
        <w:rPr>
          <w:rFonts w:hint="eastAsia"/>
          <w:szCs w:val="21"/>
        </w:rPr>
        <w:t>1.1.4.6 基准日期：指投标截止时间前28天的日期。</w:t>
      </w:r>
    </w:p>
    <w:p>
      <w:pPr>
        <w:spacing w:line="400" w:lineRule="exact"/>
        <w:ind w:firstLine="480" w:firstLineChars="200"/>
        <w:rPr>
          <w:szCs w:val="21"/>
        </w:rPr>
      </w:pPr>
      <w:r>
        <w:rPr>
          <w:rFonts w:hint="eastAsia"/>
          <w:szCs w:val="21"/>
        </w:rPr>
        <w:t>1.1.4.7 天：除特别指明外，指日历天。合同中按天计算时间的，开始当天不计入，从次日开始计算。期限最后一天的截止时间为当天24:00。</w:t>
      </w:r>
    </w:p>
    <w:p>
      <w:pPr>
        <w:spacing w:line="400" w:lineRule="exact"/>
        <w:ind w:firstLine="480" w:firstLineChars="200"/>
        <w:rPr>
          <w:szCs w:val="21"/>
        </w:rPr>
      </w:pPr>
      <w:r>
        <w:rPr>
          <w:rFonts w:hint="eastAsia"/>
          <w:szCs w:val="21"/>
        </w:rPr>
        <w:t>1.1.5 合同价格和费用</w:t>
      </w:r>
    </w:p>
    <w:p>
      <w:pPr>
        <w:spacing w:line="400" w:lineRule="exact"/>
        <w:ind w:firstLine="480" w:firstLineChars="200"/>
        <w:rPr>
          <w:szCs w:val="21"/>
        </w:rPr>
      </w:pPr>
      <w:r>
        <w:rPr>
          <w:rFonts w:hint="eastAsia"/>
          <w:szCs w:val="21"/>
        </w:rPr>
        <w:t>1.1.5.1 签约合同价：指签订合同时合同协议书中写明的，包括了暂列金额、暂估价的合同总金额。</w:t>
      </w:r>
    </w:p>
    <w:p>
      <w:pPr>
        <w:spacing w:line="400" w:lineRule="exact"/>
        <w:ind w:firstLine="480" w:firstLineChars="200"/>
        <w:rPr>
          <w:szCs w:val="21"/>
        </w:rPr>
      </w:pPr>
      <w:r>
        <w:rPr>
          <w:rFonts w:hint="eastAsia"/>
          <w:szCs w:val="21"/>
        </w:rPr>
        <w:t>1.1.5.2 合同价格：指承包人按合同约定完成了包括缺陷责任期内的全部承包工作后，发包人应付给承包人的金额，包括在履行合同过程中按合同约定进行的变更和调整。</w:t>
      </w:r>
    </w:p>
    <w:p>
      <w:pPr>
        <w:spacing w:line="400" w:lineRule="exact"/>
        <w:ind w:firstLine="480" w:firstLineChars="200"/>
        <w:rPr>
          <w:szCs w:val="21"/>
        </w:rPr>
      </w:pPr>
      <w:r>
        <w:rPr>
          <w:rFonts w:hint="eastAsia"/>
          <w:szCs w:val="21"/>
        </w:rPr>
        <w:t>1.1.5.3 费用：指为履行合同所发生的或将要发生的所有合理开支，包括管理费和应分摊的其他费用，但不包括利润。</w:t>
      </w:r>
    </w:p>
    <w:p>
      <w:pPr>
        <w:spacing w:line="400" w:lineRule="exact"/>
        <w:ind w:firstLine="480" w:firstLineChars="200"/>
        <w:rPr>
          <w:szCs w:val="21"/>
        </w:rPr>
      </w:pPr>
      <w:r>
        <w:rPr>
          <w:rFonts w:hint="eastAsia"/>
          <w:szCs w:val="21"/>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480" w:firstLineChars="200"/>
        <w:rPr>
          <w:szCs w:val="21"/>
        </w:rPr>
      </w:pPr>
      <w:r>
        <w:rPr>
          <w:rFonts w:hint="eastAsia"/>
          <w:szCs w:val="21"/>
        </w:rPr>
        <w:t>1.1.5.5暂估价：指发包人在工程量清单中给定的用于支付必然发生但暂时不能确定价格的材料、设备以及专业工程的金额。</w:t>
      </w:r>
    </w:p>
    <w:p>
      <w:pPr>
        <w:spacing w:line="400" w:lineRule="exact"/>
        <w:ind w:firstLine="480" w:firstLineChars="200"/>
        <w:rPr>
          <w:szCs w:val="21"/>
        </w:rPr>
      </w:pPr>
      <w:r>
        <w:rPr>
          <w:rFonts w:hint="eastAsia"/>
          <w:szCs w:val="21"/>
        </w:rPr>
        <w:t>1.1.5.6 计日工：指对零星工作采取的一种计价方式，按合同中的计日工子目及其单价计价付款。</w:t>
      </w:r>
    </w:p>
    <w:p>
      <w:pPr>
        <w:spacing w:line="400" w:lineRule="exact"/>
        <w:ind w:firstLine="480" w:firstLineChars="200"/>
        <w:rPr>
          <w:szCs w:val="21"/>
        </w:rPr>
      </w:pPr>
      <w:r>
        <w:rPr>
          <w:rFonts w:hint="eastAsia"/>
          <w:szCs w:val="21"/>
        </w:rPr>
        <w:t>1.1.5.7 质量保证金（或称保留金）：指按第17.4.1项约定用于保证在缺陷责任期内履行缺陷修复义务的金额。</w:t>
      </w:r>
    </w:p>
    <w:p>
      <w:pPr>
        <w:spacing w:line="400" w:lineRule="exact"/>
        <w:ind w:firstLine="480" w:firstLineChars="200"/>
        <w:rPr>
          <w:szCs w:val="21"/>
        </w:rPr>
      </w:pPr>
      <w:r>
        <w:rPr>
          <w:rFonts w:hint="eastAsia"/>
          <w:szCs w:val="21"/>
        </w:rPr>
        <w:t>1.1.6 其他</w:t>
      </w:r>
    </w:p>
    <w:p>
      <w:pPr>
        <w:spacing w:line="400" w:lineRule="exact"/>
        <w:ind w:firstLine="480" w:firstLineChars="200"/>
        <w:rPr>
          <w:szCs w:val="21"/>
        </w:rPr>
      </w:pPr>
      <w:r>
        <w:rPr>
          <w:rFonts w:hint="eastAsia"/>
          <w:szCs w:val="21"/>
        </w:rPr>
        <w:t>1.1.6.1 书面形式：指合同文件、信函、电报、传真等可以有形地表现所载内容的形式。</w:t>
      </w:r>
    </w:p>
    <w:p>
      <w:pPr>
        <w:spacing w:line="400" w:lineRule="exact"/>
        <w:ind w:firstLine="480" w:firstLineChars="200"/>
        <w:rPr>
          <w:szCs w:val="21"/>
        </w:rPr>
      </w:pPr>
      <w:r>
        <w:rPr>
          <w:rFonts w:hint="eastAsia"/>
          <w:szCs w:val="21"/>
        </w:rPr>
        <w:t>1.2 语言文字</w:t>
      </w:r>
    </w:p>
    <w:p>
      <w:pPr>
        <w:spacing w:line="400" w:lineRule="exact"/>
        <w:ind w:firstLine="480" w:firstLineChars="200"/>
        <w:rPr>
          <w:szCs w:val="21"/>
        </w:rPr>
      </w:pPr>
      <w:r>
        <w:rPr>
          <w:rFonts w:hint="eastAsia"/>
          <w:szCs w:val="21"/>
        </w:rPr>
        <w:t>除专用术语外，合同使用的语言文字为中文。必要时专用术语应附有中文注释。</w:t>
      </w:r>
    </w:p>
    <w:p>
      <w:pPr>
        <w:spacing w:line="400" w:lineRule="exact"/>
        <w:ind w:firstLine="480" w:firstLineChars="200"/>
        <w:rPr>
          <w:szCs w:val="21"/>
        </w:rPr>
      </w:pPr>
      <w:r>
        <w:rPr>
          <w:rFonts w:hint="eastAsia"/>
          <w:szCs w:val="21"/>
        </w:rPr>
        <w:t>1.3 法律</w:t>
      </w:r>
    </w:p>
    <w:p>
      <w:pPr>
        <w:spacing w:line="400" w:lineRule="exact"/>
        <w:ind w:firstLine="480" w:firstLineChars="200"/>
        <w:rPr>
          <w:szCs w:val="21"/>
        </w:rPr>
      </w:pPr>
      <w:r>
        <w:rPr>
          <w:rFonts w:hint="eastAsia"/>
          <w:szCs w:val="21"/>
        </w:rPr>
        <w:t>适用于合同的法律包括中华人民共和国法律、行政法规、部门规章，以及工程所在地的地方法规、自治条例、单行条例和地方政府规章。</w:t>
      </w:r>
    </w:p>
    <w:p>
      <w:pPr>
        <w:spacing w:line="400" w:lineRule="exact"/>
        <w:ind w:firstLine="480" w:firstLineChars="200"/>
        <w:rPr>
          <w:szCs w:val="21"/>
        </w:rPr>
      </w:pPr>
      <w:r>
        <w:rPr>
          <w:rFonts w:hint="eastAsia"/>
          <w:szCs w:val="21"/>
        </w:rPr>
        <w:t>1.4 合同文件的优先顺序</w:t>
      </w:r>
    </w:p>
    <w:p>
      <w:pPr>
        <w:spacing w:line="400" w:lineRule="exact"/>
        <w:ind w:firstLine="480" w:firstLineChars="200"/>
        <w:rPr>
          <w:szCs w:val="21"/>
        </w:rPr>
      </w:pPr>
      <w:r>
        <w:rPr>
          <w:rFonts w:hint="eastAsia"/>
          <w:szCs w:val="21"/>
        </w:rPr>
        <w:t>组成合同的各项文件应互相解释，互为说明。除专用合同条款另有约定外，解释合同文件的优先顺序如下：</w:t>
      </w:r>
    </w:p>
    <w:p>
      <w:pPr>
        <w:spacing w:line="400" w:lineRule="exact"/>
        <w:ind w:firstLine="480" w:firstLineChars="200"/>
        <w:rPr>
          <w:szCs w:val="21"/>
        </w:rPr>
      </w:pPr>
      <w:r>
        <w:rPr>
          <w:rFonts w:hint="eastAsia"/>
          <w:szCs w:val="21"/>
        </w:rPr>
        <w:t>（1）合同协议书；</w:t>
      </w:r>
    </w:p>
    <w:p>
      <w:pPr>
        <w:spacing w:line="400" w:lineRule="exact"/>
        <w:ind w:firstLine="480" w:firstLineChars="200"/>
        <w:rPr>
          <w:szCs w:val="21"/>
        </w:rPr>
      </w:pPr>
      <w:r>
        <w:rPr>
          <w:rFonts w:hint="eastAsia"/>
          <w:szCs w:val="21"/>
        </w:rPr>
        <w:t>（2）中标通知书；</w:t>
      </w:r>
    </w:p>
    <w:p>
      <w:pPr>
        <w:spacing w:line="400" w:lineRule="exact"/>
        <w:ind w:firstLine="480" w:firstLineChars="200"/>
        <w:rPr>
          <w:szCs w:val="21"/>
        </w:rPr>
      </w:pPr>
      <w:r>
        <w:rPr>
          <w:rFonts w:hint="eastAsia"/>
          <w:szCs w:val="21"/>
        </w:rPr>
        <w:t>（3）投标函及投标函附录；</w:t>
      </w:r>
    </w:p>
    <w:p>
      <w:pPr>
        <w:spacing w:line="400" w:lineRule="exact"/>
        <w:ind w:firstLine="480" w:firstLineChars="200"/>
        <w:rPr>
          <w:szCs w:val="21"/>
        </w:rPr>
      </w:pPr>
      <w:r>
        <w:rPr>
          <w:rFonts w:hint="eastAsia"/>
          <w:szCs w:val="21"/>
        </w:rPr>
        <w:t>（4）专用合同条款；</w:t>
      </w:r>
    </w:p>
    <w:p>
      <w:pPr>
        <w:spacing w:line="400" w:lineRule="exact"/>
        <w:ind w:firstLine="480" w:firstLineChars="200"/>
        <w:rPr>
          <w:szCs w:val="21"/>
        </w:rPr>
      </w:pPr>
      <w:r>
        <w:rPr>
          <w:rFonts w:hint="eastAsia"/>
          <w:szCs w:val="21"/>
        </w:rPr>
        <w:t>（5）通用合同条款；</w:t>
      </w:r>
    </w:p>
    <w:p>
      <w:pPr>
        <w:spacing w:line="400" w:lineRule="exact"/>
        <w:ind w:firstLine="480" w:firstLineChars="200"/>
        <w:rPr>
          <w:szCs w:val="21"/>
        </w:rPr>
      </w:pPr>
      <w:r>
        <w:rPr>
          <w:rFonts w:hint="eastAsia"/>
          <w:szCs w:val="21"/>
        </w:rPr>
        <w:t>（6）技术标准和要求；</w:t>
      </w:r>
    </w:p>
    <w:p>
      <w:pPr>
        <w:spacing w:line="400" w:lineRule="exact"/>
        <w:ind w:firstLine="480" w:firstLineChars="200"/>
        <w:rPr>
          <w:szCs w:val="21"/>
        </w:rPr>
      </w:pPr>
      <w:r>
        <w:rPr>
          <w:rFonts w:hint="eastAsia"/>
          <w:szCs w:val="21"/>
        </w:rPr>
        <w:t>（7）图纸；</w:t>
      </w:r>
    </w:p>
    <w:p>
      <w:pPr>
        <w:spacing w:line="400" w:lineRule="exact"/>
        <w:ind w:firstLine="480" w:firstLineChars="200"/>
        <w:rPr>
          <w:szCs w:val="21"/>
        </w:rPr>
      </w:pPr>
      <w:r>
        <w:rPr>
          <w:rFonts w:hint="eastAsia"/>
          <w:szCs w:val="21"/>
        </w:rPr>
        <w:t>（8）已标价工程量清单；</w:t>
      </w:r>
    </w:p>
    <w:p>
      <w:pPr>
        <w:spacing w:line="400" w:lineRule="exact"/>
        <w:ind w:firstLine="480" w:firstLineChars="200"/>
        <w:rPr>
          <w:szCs w:val="21"/>
        </w:rPr>
      </w:pPr>
      <w:r>
        <w:rPr>
          <w:rFonts w:hint="eastAsia"/>
          <w:szCs w:val="21"/>
        </w:rPr>
        <w:t>（9）其他合同文件。</w:t>
      </w:r>
    </w:p>
    <w:p>
      <w:pPr>
        <w:spacing w:line="400" w:lineRule="exact"/>
        <w:ind w:firstLine="480" w:firstLineChars="200"/>
        <w:rPr>
          <w:szCs w:val="21"/>
        </w:rPr>
      </w:pPr>
      <w:r>
        <w:rPr>
          <w:rFonts w:hint="eastAsia"/>
          <w:szCs w:val="21"/>
        </w:rPr>
        <w:t>1.5 合同协议书</w:t>
      </w:r>
    </w:p>
    <w:p>
      <w:pPr>
        <w:spacing w:line="400" w:lineRule="exact"/>
        <w:ind w:firstLine="480" w:firstLineChars="200"/>
        <w:rPr>
          <w:szCs w:val="21"/>
        </w:rPr>
      </w:pPr>
      <w:r>
        <w:rPr>
          <w:rFonts w:hint="eastAsia"/>
          <w:szCs w:val="21"/>
        </w:rPr>
        <w:t>承包人按中标通知书规定的时间与发包人签订合同协议书。除法律另有规定或合同另有约定外，发包人和承包人的法定代表人或其委托代理人在合同协议书上签字并盖单位章后，合同生效。</w:t>
      </w:r>
    </w:p>
    <w:p>
      <w:pPr>
        <w:spacing w:line="400" w:lineRule="exact"/>
        <w:ind w:firstLine="480" w:firstLineChars="200"/>
        <w:rPr>
          <w:szCs w:val="21"/>
        </w:rPr>
      </w:pPr>
      <w:r>
        <w:rPr>
          <w:rFonts w:hint="eastAsia"/>
          <w:szCs w:val="21"/>
        </w:rPr>
        <w:t>1.6 图纸和承包人文件</w:t>
      </w:r>
    </w:p>
    <w:p>
      <w:pPr>
        <w:spacing w:line="400" w:lineRule="exact"/>
        <w:ind w:firstLine="480" w:firstLineChars="200"/>
        <w:rPr>
          <w:szCs w:val="21"/>
        </w:rPr>
      </w:pPr>
      <w:r>
        <w:rPr>
          <w:rFonts w:hint="eastAsia"/>
          <w:szCs w:val="21"/>
        </w:rPr>
        <w:t>1.6.1图纸的提供</w:t>
      </w:r>
    </w:p>
    <w:p>
      <w:pPr>
        <w:spacing w:line="400" w:lineRule="exact"/>
        <w:ind w:firstLine="480" w:firstLineChars="200"/>
        <w:rPr>
          <w:szCs w:val="21"/>
        </w:rPr>
      </w:pPr>
      <w:r>
        <w:rPr>
          <w:rFonts w:hint="eastAsia"/>
          <w:szCs w:val="21"/>
        </w:rPr>
        <w:t>除专用合同条款另有约定外，图纸应在合理的期限内按照合同约定的数量提供给承包人。由于发包人未按时提供图纸造成工期延误的，按第11.3款的约定办理。</w:t>
      </w:r>
    </w:p>
    <w:p>
      <w:pPr>
        <w:spacing w:line="400" w:lineRule="exact"/>
        <w:ind w:firstLine="480" w:firstLineChars="200"/>
        <w:rPr>
          <w:szCs w:val="21"/>
        </w:rPr>
      </w:pPr>
      <w:r>
        <w:rPr>
          <w:rFonts w:hint="eastAsia"/>
          <w:szCs w:val="21"/>
        </w:rPr>
        <w:t>1.6.2 承包人提供的文件</w:t>
      </w:r>
    </w:p>
    <w:p>
      <w:pPr>
        <w:spacing w:line="400" w:lineRule="exact"/>
        <w:ind w:firstLine="480" w:firstLineChars="200"/>
        <w:rPr>
          <w:szCs w:val="21"/>
        </w:rPr>
      </w:pPr>
      <w:r>
        <w:rPr>
          <w:rFonts w:hint="eastAsia"/>
          <w:szCs w:val="21"/>
        </w:rPr>
        <w:t>　　按专用合同条款约定由承包人提供的文件，包括部分工程的大样图、加工图等，承包人应按约定的数量和期限报送监理人。监理人应在专用合同条款约定的期限内批复。</w:t>
      </w:r>
    </w:p>
    <w:p>
      <w:pPr>
        <w:spacing w:line="400" w:lineRule="exact"/>
        <w:ind w:firstLine="480" w:firstLineChars="200"/>
        <w:rPr>
          <w:szCs w:val="21"/>
        </w:rPr>
      </w:pPr>
      <w:r>
        <w:rPr>
          <w:rFonts w:hint="eastAsia"/>
          <w:szCs w:val="21"/>
        </w:rPr>
        <w:t>1.6.3 图纸的修改</w:t>
      </w:r>
    </w:p>
    <w:p>
      <w:pPr>
        <w:spacing w:line="400" w:lineRule="exact"/>
        <w:ind w:firstLine="480" w:firstLineChars="200"/>
        <w:rPr>
          <w:szCs w:val="21"/>
        </w:rPr>
      </w:pPr>
      <w:r>
        <w:rPr>
          <w:rFonts w:hint="eastAsia"/>
          <w:szCs w:val="21"/>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80" w:firstLineChars="200"/>
        <w:rPr>
          <w:szCs w:val="21"/>
        </w:rPr>
      </w:pPr>
      <w:r>
        <w:rPr>
          <w:rFonts w:hint="eastAsia"/>
          <w:szCs w:val="21"/>
        </w:rPr>
        <w:t>1.6.4 图纸的错误</w:t>
      </w:r>
    </w:p>
    <w:p>
      <w:pPr>
        <w:spacing w:line="400" w:lineRule="exact"/>
        <w:ind w:firstLine="480" w:firstLineChars="200"/>
        <w:rPr>
          <w:szCs w:val="21"/>
        </w:rPr>
      </w:pPr>
      <w:r>
        <w:rPr>
          <w:rFonts w:hint="eastAsia"/>
          <w:szCs w:val="21"/>
        </w:rPr>
        <w:t>承包人发现发包人提供的图纸存在明显错误或疏忽，应及时通知监理人。</w:t>
      </w:r>
    </w:p>
    <w:p>
      <w:pPr>
        <w:spacing w:line="400" w:lineRule="exact"/>
        <w:ind w:firstLine="480" w:firstLineChars="200"/>
        <w:rPr>
          <w:szCs w:val="21"/>
        </w:rPr>
      </w:pPr>
      <w:r>
        <w:rPr>
          <w:rFonts w:hint="eastAsia"/>
          <w:szCs w:val="21"/>
        </w:rPr>
        <w:t>1.6.5 图纸和承包人文件的保管</w:t>
      </w:r>
    </w:p>
    <w:p>
      <w:pPr>
        <w:spacing w:line="400" w:lineRule="exact"/>
        <w:ind w:firstLine="480" w:firstLineChars="200"/>
        <w:rPr>
          <w:szCs w:val="21"/>
        </w:rPr>
      </w:pPr>
      <w:r>
        <w:rPr>
          <w:rFonts w:hint="eastAsia"/>
          <w:szCs w:val="21"/>
        </w:rPr>
        <w:t>监理人和承包人均应在施工场地各保存一套完整的包含第1.6.1项、第1.6.2项、第1.6.3项约定内容的图纸和承包人文件。</w:t>
      </w:r>
    </w:p>
    <w:p>
      <w:pPr>
        <w:spacing w:line="400" w:lineRule="exact"/>
        <w:ind w:firstLine="480" w:firstLineChars="200"/>
        <w:rPr>
          <w:szCs w:val="21"/>
        </w:rPr>
      </w:pPr>
      <w:r>
        <w:rPr>
          <w:rFonts w:hint="eastAsia"/>
          <w:szCs w:val="21"/>
        </w:rPr>
        <w:t>1.7 联络</w:t>
      </w:r>
    </w:p>
    <w:p>
      <w:pPr>
        <w:spacing w:line="400" w:lineRule="exact"/>
        <w:ind w:firstLine="480" w:firstLineChars="200"/>
        <w:rPr>
          <w:szCs w:val="21"/>
        </w:rPr>
      </w:pPr>
      <w:r>
        <w:rPr>
          <w:rFonts w:hint="eastAsia"/>
          <w:szCs w:val="21"/>
        </w:rPr>
        <w:t>1.7.1 与合同有关的通知、批准、证明、证书、指示、要求、请求、同意、意见、确定和决定等，均应采用书面形式。</w:t>
      </w:r>
    </w:p>
    <w:p>
      <w:pPr>
        <w:spacing w:line="400" w:lineRule="exact"/>
        <w:ind w:firstLine="480" w:firstLineChars="200"/>
        <w:rPr>
          <w:szCs w:val="21"/>
        </w:rPr>
      </w:pPr>
      <w:r>
        <w:rPr>
          <w:rFonts w:hint="eastAsia"/>
          <w:szCs w:val="21"/>
        </w:rPr>
        <w:t>1.7.2 第1.7.1项中的通知、批准、证明、证书、指示、要求、请求、同意、意见、确定和决定等来往函件，均应在合同约定的期限内送达指定地点和接收人，并办理签收手续。</w:t>
      </w:r>
    </w:p>
    <w:p>
      <w:pPr>
        <w:spacing w:line="400" w:lineRule="exact"/>
        <w:ind w:firstLine="480" w:firstLineChars="200"/>
        <w:rPr>
          <w:szCs w:val="21"/>
        </w:rPr>
      </w:pPr>
      <w:r>
        <w:rPr>
          <w:rFonts w:hint="eastAsia"/>
          <w:szCs w:val="21"/>
        </w:rPr>
        <w:t>1.8 转让</w:t>
      </w:r>
    </w:p>
    <w:p>
      <w:pPr>
        <w:spacing w:line="400" w:lineRule="exact"/>
        <w:ind w:firstLine="480" w:firstLineChars="200"/>
        <w:rPr>
          <w:szCs w:val="21"/>
        </w:rPr>
      </w:pPr>
      <w:r>
        <w:rPr>
          <w:rFonts w:hint="eastAsia"/>
          <w:szCs w:val="21"/>
        </w:rPr>
        <w:t>除合同另有约定外，未经对方当事人同意，一方当事人不得将合同权利全部或部分转让给第三人，也不得全部或部分转移合同义务。</w:t>
      </w:r>
    </w:p>
    <w:p>
      <w:pPr>
        <w:spacing w:line="400" w:lineRule="exact"/>
        <w:ind w:firstLine="480" w:firstLineChars="200"/>
        <w:rPr>
          <w:szCs w:val="21"/>
        </w:rPr>
      </w:pPr>
      <w:r>
        <w:rPr>
          <w:rFonts w:hint="eastAsia"/>
          <w:szCs w:val="21"/>
        </w:rPr>
        <w:t>1.9 严禁贿赂</w:t>
      </w:r>
    </w:p>
    <w:p>
      <w:pPr>
        <w:spacing w:line="400" w:lineRule="exact"/>
        <w:ind w:firstLine="480" w:firstLineChars="200"/>
        <w:rPr>
          <w:szCs w:val="21"/>
        </w:rPr>
      </w:pPr>
      <w:r>
        <w:rPr>
          <w:rFonts w:hint="eastAsia"/>
          <w:szCs w:val="21"/>
        </w:rPr>
        <w:t>合同双方当事人不得以贿赂或变相贿赂的方式，谋取不当利益或损害对方权益。因贿赂造成对方损失的，行为人应赔偿损失，并承担相应的法律责任。</w:t>
      </w:r>
    </w:p>
    <w:p>
      <w:pPr>
        <w:spacing w:line="400" w:lineRule="exact"/>
        <w:ind w:firstLine="480" w:firstLineChars="200"/>
        <w:rPr>
          <w:szCs w:val="21"/>
        </w:rPr>
      </w:pPr>
      <w:r>
        <w:rPr>
          <w:rFonts w:hint="eastAsia"/>
          <w:szCs w:val="21"/>
        </w:rPr>
        <w:t>1.10 化石、文物</w:t>
      </w:r>
    </w:p>
    <w:p>
      <w:pPr>
        <w:spacing w:line="400" w:lineRule="exact"/>
        <w:ind w:firstLine="480" w:firstLineChars="200"/>
        <w:rPr>
          <w:szCs w:val="21"/>
        </w:rPr>
      </w:pPr>
      <w:r>
        <w:rPr>
          <w:rFonts w:hint="eastAsia"/>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80" w:firstLineChars="200"/>
        <w:rPr>
          <w:szCs w:val="21"/>
        </w:rPr>
      </w:pPr>
      <w:r>
        <w:rPr>
          <w:rFonts w:hint="eastAsia"/>
          <w:szCs w:val="21"/>
        </w:rPr>
        <w:t>1.10.2 承包人发现文物后不及时报告或隐瞒不报，致使文物丢失或损坏的，应赔偿损失，并承担相应的法律责任。</w:t>
      </w:r>
    </w:p>
    <w:p>
      <w:pPr>
        <w:spacing w:line="400" w:lineRule="exact"/>
        <w:ind w:firstLine="480" w:firstLineChars="200"/>
        <w:rPr>
          <w:szCs w:val="21"/>
        </w:rPr>
      </w:pPr>
      <w:r>
        <w:rPr>
          <w:rFonts w:hint="eastAsia"/>
          <w:szCs w:val="21"/>
        </w:rPr>
        <w:t>1.11 专利技术</w:t>
      </w:r>
    </w:p>
    <w:p>
      <w:pPr>
        <w:spacing w:line="400" w:lineRule="exact"/>
        <w:ind w:firstLine="480" w:firstLineChars="200"/>
        <w:rPr>
          <w:szCs w:val="21"/>
        </w:rPr>
      </w:pPr>
      <w:r>
        <w:rPr>
          <w:rFonts w:hint="eastAsia"/>
          <w:szCs w:val="21"/>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80" w:firstLineChars="200"/>
        <w:rPr>
          <w:szCs w:val="21"/>
        </w:rPr>
      </w:pPr>
      <w:r>
        <w:rPr>
          <w:rFonts w:hint="eastAsia"/>
          <w:szCs w:val="21"/>
        </w:rPr>
        <w:t>1.11.2 承包人在投标文件中采用专利技术的，专利技术的使用费包含在投标报价内。</w:t>
      </w:r>
    </w:p>
    <w:p>
      <w:pPr>
        <w:spacing w:line="400" w:lineRule="exact"/>
        <w:ind w:firstLine="480" w:firstLineChars="200"/>
        <w:rPr>
          <w:szCs w:val="21"/>
        </w:rPr>
      </w:pPr>
      <w:r>
        <w:rPr>
          <w:rFonts w:hint="eastAsia"/>
          <w:szCs w:val="21"/>
        </w:rPr>
        <w:t>1.11.3 承包人的技术秘密和声明需要保密的资料和信息，发包人和监理人不得为合同以外的目的泄露给他人。</w:t>
      </w:r>
    </w:p>
    <w:p>
      <w:pPr>
        <w:spacing w:line="400" w:lineRule="exact"/>
        <w:ind w:firstLine="480" w:firstLineChars="200"/>
        <w:rPr>
          <w:szCs w:val="21"/>
        </w:rPr>
      </w:pPr>
      <w:r>
        <w:rPr>
          <w:rFonts w:hint="eastAsia"/>
          <w:szCs w:val="21"/>
        </w:rPr>
        <w:t>1.12 图纸和文件的保密</w:t>
      </w:r>
    </w:p>
    <w:p>
      <w:pPr>
        <w:spacing w:line="400" w:lineRule="exact"/>
        <w:ind w:firstLine="480" w:firstLineChars="200"/>
        <w:rPr>
          <w:szCs w:val="21"/>
        </w:rPr>
      </w:pPr>
      <w:r>
        <w:rPr>
          <w:rFonts w:hint="eastAsia"/>
          <w:szCs w:val="21"/>
        </w:rPr>
        <w:t>1.12.1 发包人提供的图纸和文件，未经发包人同意，承包人不得为合同以外的目的泄露给他人或公开发表与引用。</w:t>
      </w:r>
    </w:p>
    <w:p>
      <w:pPr>
        <w:spacing w:line="400" w:lineRule="exact"/>
        <w:ind w:firstLine="480" w:firstLineChars="200"/>
        <w:rPr>
          <w:szCs w:val="21"/>
        </w:rPr>
      </w:pPr>
      <w:r>
        <w:rPr>
          <w:rFonts w:hint="eastAsia"/>
          <w:szCs w:val="21"/>
        </w:rPr>
        <w:t>1.12.2 承包人提供的文件，未经承包人同意，发包人和监理人不得为合同以外的目的泄露给他人或公开发表与引用。</w:t>
      </w:r>
    </w:p>
    <w:p>
      <w:pPr>
        <w:spacing w:line="400" w:lineRule="exact"/>
        <w:ind w:firstLine="480" w:firstLineChars="200"/>
        <w:rPr>
          <w:szCs w:val="21"/>
        </w:rPr>
      </w:pPr>
      <w:r>
        <w:rPr>
          <w:rFonts w:hint="eastAsia"/>
          <w:szCs w:val="21"/>
        </w:rPr>
        <w:t>2. 发包人义务</w:t>
      </w:r>
    </w:p>
    <w:p>
      <w:pPr>
        <w:spacing w:line="400" w:lineRule="exact"/>
        <w:ind w:firstLine="480" w:firstLineChars="200"/>
        <w:rPr>
          <w:szCs w:val="21"/>
        </w:rPr>
      </w:pPr>
      <w:r>
        <w:rPr>
          <w:rFonts w:hint="eastAsia"/>
          <w:szCs w:val="21"/>
        </w:rPr>
        <w:t>2.1 遵守法律</w:t>
      </w:r>
    </w:p>
    <w:p>
      <w:pPr>
        <w:spacing w:line="400" w:lineRule="exact"/>
        <w:ind w:firstLine="480" w:firstLineChars="200"/>
        <w:rPr>
          <w:szCs w:val="21"/>
        </w:rPr>
      </w:pPr>
      <w:r>
        <w:rPr>
          <w:rFonts w:hint="eastAsia"/>
          <w:szCs w:val="21"/>
        </w:rPr>
        <w:t>发包人在履行合同过程中应遵守法律，并保证承包人免于承担因发包人违反法律而引起的任何责任。</w:t>
      </w:r>
    </w:p>
    <w:p>
      <w:pPr>
        <w:spacing w:line="400" w:lineRule="exact"/>
        <w:ind w:firstLine="480" w:firstLineChars="200"/>
        <w:rPr>
          <w:szCs w:val="21"/>
        </w:rPr>
      </w:pPr>
      <w:r>
        <w:rPr>
          <w:rFonts w:hint="eastAsia"/>
          <w:szCs w:val="21"/>
        </w:rPr>
        <w:t>2.2 发出开工通知</w:t>
      </w:r>
    </w:p>
    <w:p>
      <w:pPr>
        <w:spacing w:line="400" w:lineRule="exact"/>
        <w:ind w:firstLine="480" w:firstLineChars="200"/>
        <w:rPr>
          <w:szCs w:val="21"/>
        </w:rPr>
      </w:pPr>
      <w:r>
        <w:rPr>
          <w:rFonts w:hint="eastAsia"/>
          <w:szCs w:val="21"/>
        </w:rPr>
        <w:t>发包人应委托监理人按第11.1款的约定向承包人发出开工通知。</w:t>
      </w:r>
    </w:p>
    <w:p>
      <w:pPr>
        <w:spacing w:line="400" w:lineRule="exact"/>
        <w:ind w:firstLine="480" w:firstLineChars="200"/>
        <w:rPr>
          <w:szCs w:val="21"/>
        </w:rPr>
      </w:pPr>
      <w:r>
        <w:rPr>
          <w:rFonts w:hint="eastAsia"/>
          <w:szCs w:val="21"/>
        </w:rPr>
        <w:t>2.3 提供施工场地</w:t>
      </w:r>
    </w:p>
    <w:p>
      <w:pPr>
        <w:spacing w:line="400" w:lineRule="exact"/>
        <w:ind w:firstLine="480" w:firstLineChars="200"/>
        <w:rPr>
          <w:szCs w:val="21"/>
        </w:rPr>
      </w:pPr>
      <w:r>
        <w:rPr>
          <w:rFonts w:hint="eastAsia"/>
          <w:szCs w:val="21"/>
        </w:rPr>
        <w:t>发包人应按专用合同条款约定向承包人提供施工场地，以及施工场地内地下管线和地下设施等有关资料，并保证资料的真实、准确、完整。</w:t>
      </w:r>
    </w:p>
    <w:p>
      <w:pPr>
        <w:spacing w:line="400" w:lineRule="exact"/>
        <w:ind w:firstLine="480" w:firstLineChars="200"/>
        <w:rPr>
          <w:szCs w:val="21"/>
        </w:rPr>
      </w:pPr>
      <w:r>
        <w:rPr>
          <w:rFonts w:hint="eastAsia"/>
          <w:szCs w:val="21"/>
        </w:rPr>
        <w:t>2.4 协助承包人办理证件和批件</w:t>
      </w:r>
    </w:p>
    <w:p>
      <w:pPr>
        <w:spacing w:line="400" w:lineRule="exact"/>
        <w:ind w:firstLine="480" w:firstLineChars="200"/>
        <w:rPr>
          <w:szCs w:val="21"/>
        </w:rPr>
      </w:pPr>
      <w:r>
        <w:rPr>
          <w:rFonts w:hint="eastAsia"/>
          <w:szCs w:val="21"/>
        </w:rPr>
        <w:t>发包人应协助承包人办理法律规定的有关施工证件和批件。</w:t>
      </w:r>
    </w:p>
    <w:p>
      <w:pPr>
        <w:spacing w:line="400" w:lineRule="exact"/>
        <w:ind w:firstLine="480" w:firstLineChars="200"/>
        <w:rPr>
          <w:szCs w:val="21"/>
        </w:rPr>
      </w:pPr>
      <w:r>
        <w:rPr>
          <w:rFonts w:hint="eastAsia"/>
          <w:szCs w:val="21"/>
        </w:rPr>
        <w:t>2.5 组织设计交底</w:t>
      </w:r>
    </w:p>
    <w:p>
      <w:pPr>
        <w:spacing w:line="400" w:lineRule="exact"/>
        <w:ind w:firstLine="480" w:firstLineChars="200"/>
        <w:rPr>
          <w:szCs w:val="21"/>
        </w:rPr>
      </w:pPr>
      <w:r>
        <w:rPr>
          <w:rFonts w:hint="eastAsia"/>
          <w:szCs w:val="21"/>
        </w:rPr>
        <w:t>发包人应根据合同进度计划，组织设计单位向承包人进行设计交底。</w:t>
      </w:r>
    </w:p>
    <w:p>
      <w:pPr>
        <w:spacing w:line="400" w:lineRule="exact"/>
        <w:ind w:firstLine="480" w:firstLineChars="200"/>
        <w:rPr>
          <w:szCs w:val="21"/>
        </w:rPr>
      </w:pPr>
      <w:r>
        <w:rPr>
          <w:rFonts w:hint="eastAsia"/>
          <w:szCs w:val="21"/>
        </w:rPr>
        <w:t>2.6 支付合同价款</w:t>
      </w:r>
    </w:p>
    <w:p>
      <w:pPr>
        <w:spacing w:line="400" w:lineRule="exact"/>
        <w:ind w:firstLine="480" w:firstLineChars="200"/>
        <w:rPr>
          <w:szCs w:val="21"/>
        </w:rPr>
      </w:pPr>
      <w:r>
        <w:rPr>
          <w:rFonts w:hint="eastAsia"/>
          <w:szCs w:val="21"/>
        </w:rPr>
        <w:t>发包人应按合同约定向承包人及时支付合同价款。</w:t>
      </w:r>
    </w:p>
    <w:p>
      <w:pPr>
        <w:spacing w:line="400" w:lineRule="exact"/>
        <w:ind w:firstLine="480" w:firstLineChars="200"/>
        <w:rPr>
          <w:szCs w:val="21"/>
        </w:rPr>
      </w:pPr>
      <w:r>
        <w:rPr>
          <w:rFonts w:hint="eastAsia"/>
          <w:szCs w:val="21"/>
        </w:rPr>
        <w:t>2.7 组织竣工验收</w:t>
      </w:r>
    </w:p>
    <w:p>
      <w:pPr>
        <w:spacing w:line="400" w:lineRule="exact"/>
        <w:ind w:firstLine="480" w:firstLineChars="200"/>
        <w:rPr>
          <w:szCs w:val="21"/>
        </w:rPr>
      </w:pPr>
      <w:r>
        <w:rPr>
          <w:rFonts w:hint="eastAsia"/>
          <w:szCs w:val="21"/>
        </w:rPr>
        <w:t>发包人应按合同约定及时组织竣工验收。</w:t>
      </w:r>
    </w:p>
    <w:p>
      <w:pPr>
        <w:spacing w:line="400" w:lineRule="exact"/>
        <w:ind w:firstLine="480" w:firstLineChars="200"/>
        <w:rPr>
          <w:szCs w:val="21"/>
        </w:rPr>
      </w:pPr>
      <w:r>
        <w:rPr>
          <w:rFonts w:hint="eastAsia"/>
          <w:szCs w:val="21"/>
        </w:rPr>
        <w:t>2.8 其他义务</w:t>
      </w:r>
    </w:p>
    <w:p>
      <w:pPr>
        <w:spacing w:line="400" w:lineRule="exact"/>
        <w:ind w:firstLine="480" w:firstLineChars="200"/>
        <w:rPr>
          <w:szCs w:val="21"/>
        </w:rPr>
      </w:pPr>
      <w:r>
        <w:rPr>
          <w:rFonts w:hint="eastAsia"/>
          <w:szCs w:val="21"/>
        </w:rPr>
        <w:t>发包人应履行合同约定的其他义务。</w:t>
      </w:r>
    </w:p>
    <w:p>
      <w:pPr>
        <w:spacing w:line="400" w:lineRule="exact"/>
        <w:ind w:firstLine="480" w:firstLineChars="200"/>
        <w:rPr>
          <w:szCs w:val="21"/>
        </w:rPr>
      </w:pPr>
      <w:r>
        <w:rPr>
          <w:rFonts w:hint="eastAsia"/>
          <w:szCs w:val="21"/>
        </w:rPr>
        <w:t>3. 监理人</w:t>
      </w:r>
    </w:p>
    <w:p>
      <w:pPr>
        <w:spacing w:line="400" w:lineRule="exact"/>
        <w:ind w:firstLine="480" w:firstLineChars="200"/>
        <w:rPr>
          <w:szCs w:val="21"/>
        </w:rPr>
      </w:pPr>
      <w:r>
        <w:rPr>
          <w:rFonts w:hint="eastAsia"/>
          <w:szCs w:val="21"/>
        </w:rPr>
        <w:t>3.1 监理人的职责和权力</w:t>
      </w:r>
    </w:p>
    <w:p>
      <w:pPr>
        <w:spacing w:line="400" w:lineRule="exact"/>
        <w:ind w:firstLine="480" w:firstLineChars="200"/>
        <w:rPr>
          <w:szCs w:val="21"/>
        </w:rPr>
      </w:pPr>
      <w:r>
        <w:rPr>
          <w:rFonts w:hint="eastAsia"/>
          <w:szCs w:val="21"/>
        </w:rPr>
        <w:t>3.1.1 监理人受发包人委托，享有合同约定的权力。监理人在行使某项权力前需要经发包人事先批准而通用合同条款没有指明的，应在专用合同条款中指明。</w:t>
      </w:r>
    </w:p>
    <w:p>
      <w:pPr>
        <w:spacing w:line="400" w:lineRule="exact"/>
        <w:ind w:firstLine="480" w:firstLineChars="200"/>
        <w:rPr>
          <w:szCs w:val="21"/>
        </w:rPr>
      </w:pPr>
      <w:r>
        <w:rPr>
          <w:rFonts w:hint="eastAsia"/>
          <w:szCs w:val="21"/>
        </w:rPr>
        <w:t>3.1.2 监理人发出的任何指示应视为已得到发包人的批准，但监理人无权免除或变更合同约定的发包人和承包人的权利、义务和责任。</w:t>
      </w:r>
    </w:p>
    <w:p>
      <w:pPr>
        <w:spacing w:line="400" w:lineRule="exact"/>
        <w:ind w:firstLine="480" w:firstLineChars="200"/>
        <w:rPr>
          <w:szCs w:val="21"/>
        </w:rPr>
      </w:pPr>
      <w:r>
        <w:rPr>
          <w:rFonts w:hint="eastAsia"/>
          <w:szCs w:val="21"/>
        </w:rPr>
        <w:t>3.1.3 合同约定应由承包人承担的义务和责任，不因监理人对承包人提交文件的审查或批准，对工程、材料和设备的检查和检验，以及为实施监理作出的指示等职务行为而减轻或解除。</w:t>
      </w:r>
    </w:p>
    <w:p>
      <w:pPr>
        <w:spacing w:line="400" w:lineRule="exact"/>
        <w:ind w:firstLine="480" w:firstLineChars="200"/>
        <w:rPr>
          <w:szCs w:val="21"/>
        </w:rPr>
      </w:pPr>
      <w:r>
        <w:rPr>
          <w:rFonts w:hint="eastAsia"/>
          <w:szCs w:val="21"/>
        </w:rPr>
        <w:t>3.2 总监理工程师</w:t>
      </w:r>
    </w:p>
    <w:p>
      <w:pPr>
        <w:spacing w:line="400" w:lineRule="exact"/>
        <w:ind w:firstLine="480" w:firstLineChars="200"/>
        <w:rPr>
          <w:szCs w:val="21"/>
        </w:rPr>
      </w:pPr>
      <w:r>
        <w:rPr>
          <w:rFonts w:hint="eastAsia"/>
          <w:szCs w:val="21"/>
        </w:rPr>
        <w:t>发包人应在发出开工通知前将总监理工程师的任命通知承包人。总监理工程师更换时，应在调离14天前通知承包人。总监理工程师短期离开施工场地的，应委派代表代行其职责，并通知承包人。</w:t>
      </w:r>
    </w:p>
    <w:p>
      <w:pPr>
        <w:spacing w:line="400" w:lineRule="exact"/>
        <w:ind w:firstLine="480" w:firstLineChars="200"/>
        <w:rPr>
          <w:szCs w:val="21"/>
        </w:rPr>
      </w:pPr>
      <w:r>
        <w:rPr>
          <w:rFonts w:hint="eastAsia"/>
          <w:szCs w:val="21"/>
        </w:rPr>
        <w:t>3.3 监理人员</w:t>
      </w:r>
    </w:p>
    <w:p>
      <w:pPr>
        <w:spacing w:line="400" w:lineRule="exact"/>
        <w:ind w:firstLine="480" w:firstLineChars="200"/>
        <w:rPr>
          <w:szCs w:val="21"/>
        </w:rPr>
      </w:pPr>
      <w:r>
        <w:rPr>
          <w:rFonts w:hint="eastAsia"/>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80" w:firstLineChars="200"/>
        <w:rPr>
          <w:szCs w:val="21"/>
        </w:rPr>
      </w:pPr>
      <w:r>
        <w:rPr>
          <w:rFonts w:hint="eastAsia"/>
          <w:szCs w:val="21"/>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80" w:firstLineChars="200"/>
        <w:rPr>
          <w:szCs w:val="21"/>
        </w:rPr>
      </w:pPr>
      <w:r>
        <w:rPr>
          <w:rFonts w:hint="eastAsia"/>
          <w:szCs w:val="21"/>
        </w:rPr>
        <w:t>3.3.3 承包人对总监理工程师授权的监理人员发出的指示有疑问的，可向总监理工程师提出书面异议，总监理工程师应在48小时内对该指示予以确认、更改或撤销。</w:t>
      </w:r>
    </w:p>
    <w:p>
      <w:pPr>
        <w:spacing w:line="400" w:lineRule="exact"/>
        <w:ind w:firstLine="480" w:firstLineChars="200"/>
        <w:rPr>
          <w:szCs w:val="21"/>
        </w:rPr>
      </w:pPr>
      <w:r>
        <w:rPr>
          <w:rFonts w:hint="eastAsia"/>
          <w:szCs w:val="21"/>
        </w:rPr>
        <w:t>3.3.4 除专用合同条款另有约定外，总监理工程师不应将第3.5款约定应由总监理工程师作出确定的权力授权或委托给其他监理人员。</w:t>
      </w:r>
    </w:p>
    <w:p>
      <w:pPr>
        <w:spacing w:line="400" w:lineRule="exact"/>
        <w:ind w:firstLine="480" w:firstLineChars="200"/>
        <w:rPr>
          <w:szCs w:val="21"/>
        </w:rPr>
      </w:pPr>
      <w:r>
        <w:rPr>
          <w:rFonts w:hint="eastAsia"/>
          <w:szCs w:val="21"/>
        </w:rPr>
        <w:t>3.4 监理人的指示</w:t>
      </w:r>
    </w:p>
    <w:p>
      <w:pPr>
        <w:spacing w:line="400" w:lineRule="exact"/>
        <w:ind w:firstLine="480" w:firstLineChars="200"/>
        <w:rPr>
          <w:szCs w:val="21"/>
        </w:rPr>
      </w:pPr>
      <w:r>
        <w:rPr>
          <w:rFonts w:hint="eastAsia"/>
          <w:szCs w:val="21"/>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80" w:firstLineChars="200"/>
        <w:rPr>
          <w:szCs w:val="21"/>
        </w:rPr>
      </w:pPr>
      <w:r>
        <w:rPr>
          <w:rFonts w:hint="eastAsia"/>
          <w:szCs w:val="21"/>
        </w:rPr>
        <w:t>3.4.2 承包人收到监理人按第3.4.1项作出的指示后应遵照执行。指示构成变更的，应按第15条处理。</w:t>
      </w:r>
    </w:p>
    <w:p>
      <w:pPr>
        <w:spacing w:line="400" w:lineRule="exact"/>
        <w:ind w:firstLine="480" w:firstLineChars="200"/>
        <w:rPr>
          <w:szCs w:val="21"/>
        </w:rPr>
      </w:pPr>
      <w:r>
        <w:rPr>
          <w:rFonts w:hint="eastAsia"/>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80" w:firstLineChars="200"/>
        <w:rPr>
          <w:szCs w:val="21"/>
        </w:rPr>
      </w:pPr>
      <w:r>
        <w:rPr>
          <w:rFonts w:hint="eastAsia"/>
          <w:szCs w:val="21"/>
        </w:rPr>
        <w:t>3.4.4 除合同另有约定外，承包人只从总监理工程师或按第3.3.1项被授权的监理人员处取得指示。</w:t>
      </w:r>
    </w:p>
    <w:p>
      <w:pPr>
        <w:spacing w:line="400" w:lineRule="exact"/>
        <w:ind w:firstLine="480" w:firstLineChars="200"/>
        <w:rPr>
          <w:szCs w:val="21"/>
        </w:rPr>
      </w:pPr>
      <w:r>
        <w:rPr>
          <w:rFonts w:hint="eastAsia"/>
          <w:szCs w:val="21"/>
        </w:rPr>
        <w:t xml:space="preserve">3.4.5 由于监理人未能按合同约定发出指示、指示延误或指示错误而导致承包人费用增加和（或）工期延误的，由发包人承担赔偿责任。 </w:t>
      </w:r>
    </w:p>
    <w:p>
      <w:pPr>
        <w:spacing w:line="400" w:lineRule="exact"/>
        <w:ind w:firstLine="480" w:firstLineChars="200"/>
        <w:rPr>
          <w:szCs w:val="21"/>
        </w:rPr>
      </w:pPr>
      <w:r>
        <w:rPr>
          <w:rFonts w:hint="eastAsia"/>
          <w:szCs w:val="21"/>
        </w:rPr>
        <w:t>3.5 商定或确定</w:t>
      </w:r>
    </w:p>
    <w:p>
      <w:pPr>
        <w:spacing w:line="400" w:lineRule="exact"/>
        <w:ind w:firstLine="480" w:firstLineChars="200"/>
        <w:rPr>
          <w:szCs w:val="21"/>
        </w:rPr>
      </w:pPr>
      <w:r>
        <w:rPr>
          <w:rFonts w:hint="eastAsia"/>
          <w:szCs w:val="21"/>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80" w:firstLineChars="200"/>
        <w:rPr>
          <w:szCs w:val="21"/>
        </w:rPr>
      </w:pPr>
      <w:r>
        <w:rPr>
          <w:rFonts w:hint="eastAsia"/>
          <w:szCs w:val="21"/>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spacing w:line="400" w:lineRule="exact"/>
        <w:ind w:firstLine="480" w:firstLineChars="200"/>
        <w:rPr>
          <w:szCs w:val="21"/>
        </w:rPr>
      </w:pPr>
      <w:r>
        <w:rPr>
          <w:rFonts w:hint="eastAsia"/>
          <w:szCs w:val="21"/>
        </w:rPr>
        <w:t>4. 承包人</w:t>
      </w:r>
    </w:p>
    <w:p>
      <w:pPr>
        <w:spacing w:line="400" w:lineRule="exact"/>
        <w:ind w:firstLine="480" w:firstLineChars="200"/>
        <w:rPr>
          <w:szCs w:val="21"/>
        </w:rPr>
      </w:pPr>
      <w:r>
        <w:rPr>
          <w:rFonts w:hint="eastAsia"/>
          <w:szCs w:val="21"/>
        </w:rPr>
        <w:t>4.1 承包人的一般义务</w:t>
      </w:r>
    </w:p>
    <w:p>
      <w:pPr>
        <w:spacing w:line="400" w:lineRule="exact"/>
        <w:ind w:firstLine="480" w:firstLineChars="200"/>
        <w:rPr>
          <w:szCs w:val="21"/>
        </w:rPr>
      </w:pPr>
      <w:r>
        <w:rPr>
          <w:rFonts w:hint="eastAsia"/>
          <w:szCs w:val="21"/>
        </w:rPr>
        <w:t>4.1.1 遵守法律</w:t>
      </w:r>
    </w:p>
    <w:p>
      <w:pPr>
        <w:spacing w:line="400" w:lineRule="exact"/>
        <w:ind w:firstLine="480" w:firstLineChars="200"/>
        <w:rPr>
          <w:szCs w:val="21"/>
        </w:rPr>
      </w:pPr>
      <w:r>
        <w:rPr>
          <w:rFonts w:hint="eastAsia"/>
          <w:szCs w:val="21"/>
        </w:rPr>
        <w:t>承包人在履行合同过程中应遵守法律，并保证发包人免于承担因承包人违反法律而引起的任何责任。</w:t>
      </w:r>
    </w:p>
    <w:p>
      <w:pPr>
        <w:spacing w:line="400" w:lineRule="exact"/>
        <w:ind w:firstLine="480" w:firstLineChars="200"/>
        <w:rPr>
          <w:szCs w:val="21"/>
        </w:rPr>
      </w:pPr>
      <w:r>
        <w:rPr>
          <w:rFonts w:hint="eastAsia"/>
          <w:szCs w:val="21"/>
        </w:rPr>
        <w:t>4.1.2 依法纳税</w:t>
      </w:r>
    </w:p>
    <w:p>
      <w:pPr>
        <w:spacing w:line="400" w:lineRule="exact"/>
        <w:ind w:firstLine="480" w:firstLineChars="200"/>
        <w:rPr>
          <w:szCs w:val="21"/>
        </w:rPr>
      </w:pPr>
      <w:r>
        <w:rPr>
          <w:rFonts w:hint="eastAsia"/>
          <w:szCs w:val="21"/>
        </w:rPr>
        <w:t>承包人应按有关法律规定纳税，应缴纳的税金包括在合同价格内。</w:t>
      </w:r>
    </w:p>
    <w:p>
      <w:pPr>
        <w:spacing w:line="400" w:lineRule="exact"/>
        <w:ind w:firstLine="480" w:firstLineChars="200"/>
        <w:rPr>
          <w:szCs w:val="21"/>
        </w:rPr>
      </w:pPr>
      <w:r>
        <w:rPr>
          <w:rFonts w:hint="eastAsia"/>
          <w:szCs w:val="21"/>
        </w:rPr>
        <w:t>4.1.3 完成各项承包工作</w:t>
      </w:r>
    </w:p>
    <w:p>
      <w:pPr>
        <w:spacing w:line="400" w:lineRule="exact"/>
        <w:ind w:firstLine="480" w:firstLineChars="200"/>
        <w:rPr>
          <w:szCs w:val="21"/>
        </w:rPr>
      </w:pPr>
      <w:r>
        <w:rPr>
          <w:rFonts w:hint="eastAsia"/>
          <w:szCs w:val="21"/>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80" w:firstLineChars="200"/>
        <w:rPr>
          <w:szCs w:val="21"/>
        </w:rPr>
      </w:pPr>
      <w:r>
        <w:rPr>
          <w:rFonts w:hint="eastAsia"/>
          <w:szCs w:val="21"/>
        </w:rPr>
        <w:t>4.1.4 对施工作业和施工方法的完备性负责</w:t>
      </w:r>
    </w:p>
    <w:p>
      <w:pPr>
        <w:spacing w:line="400" w:lineRule="exact"/>
        <w:ind w:firstLine="480" w:firstLineChars="200"/>
        <w:rPr>
          <w:szCs w:val="21"/>
        </w:rPr>
      </w:pPr>
      <w:r>
        <w:rPr>
          <w:rFonts w:hint="eastAsia"/>
          <w:szCs w:val="21"/>
        </w:rPr>
        <w:t>承包人应按合同约定的工作内容和施工进度要求，编制施工组织设计和施工措施计划，并对所有施工作业和施工方法的完备性和安全可靠性负责。</w:t>
      </w:r>
    </w:p>
    <w:p>
      <w:pPr>
        <w:spacing w:line="400" w:lineRule="exact"/>
        <w:ind w:firstLine="480" w:firstLineChars="200"/>
        <w:rPr>
          <w:szCs w:val="21"/>
        </w:rPr>
      </w:pPr>
      <w:r>
        <w:rPr>
          <w:rFonts w:hint="eastAsia"/>
          <w:szCs w:val="21"/>
        </w:rPr>
        <w:t>4.1.5 保证工程施工和人员的安全</w:t>
      </w:r>
    </w:p>
    <w:p>
      <w:pPr>
        <w:spacing w:line="400" w:lineRule="exact"/>
        <w:ind w:firstLine="480" w:firstLineChars="200"/>
        <w:rPr>
          <w:szCs w:val="21"/>
        </w:rPr>
      </w:pPr>
      <w:r>
        <w:rPr>
          <w:rFonts w:hint="eastAsia"/>
          <w:szCs w:val="21"/>
        </w:rPr>
        <w:t>承包人应按第9.2款约定采取施工安全措施，确保工程及其人员、材料、设备和设施的安全，防止因工程施工造成的人身伤害和财产损失。</w:t>
      </w:r>
    </w:p>
    <w:p>
      <w:pPr>
        <w:spacing w:line="400" w:lineRule="exact"/>
        <w:ind w:firstLine="480" w:firstLineChars="200"/>
        <w:rPr>
          <w:szCs w:val="21"/>
        </w:rPr>
      </w:pPr>
      <w:r>
        <w:rPr>
          <w:rFonts w:hint="eastAsia"/>
          <w:szCs w:val="21"/>
        </w:rPr>
        <w:t>4.1.6 负责施工场地及其周边环境与生态的保护工作</w:t>
      </w:r>
    </w:p>
    <w:p>
      <w:pPr>
        <w:spacing w:line="400" w:lineRule="exact"/>
        <w:ind w:firstLine="480" w:firstLineChars="200"/>
        <w:rPr>
          <w:szCs w:val="21"/>
        </w:rPr>
      </w:pPr>
      <w:r>
        <w:rPr>
          <w:rFonts w:hint="eastAsia"/>
          <w:szCs w:val="21"/>
        </w:rPr>
        <w:t>承包人应按照第9.4款约定负责施工场地及其周边环境与生态的保护工作。</w:t>
      </w:r>
    </w:p>
    <w:p>
      <w:pPr>
        <w:spacing w:line="400" w:lineRule="exact"/>
        <w:ind w:firstLine="480" w:firstLineChars="200"/>
        <w:rPr>
          <w:szCs w:val="21"/>
        </w:rPr>
      </w:pPr>
      <w:r>
        <w:rPr>
          <w:rFonts w:hint="eastAsia"/>
          <w:szCs w:val="21"/>
        </w:rPr>
        <w:t>4.1.7 避免施工对公众与他人的利益造成损害</w:t>
      </w:r>
    </w:p>
    <w:p>
      <w:pPr>
        <w:spacing w:line="400" w:lineRule="exact"/>
        <w:ind w:firstLine="480" w:firstLineChars="200"/>
        <w:rPr>
          <w:szCs w:val="21"/>
        </w:rPr>
      </w:pPr>
      <w:r>
        <w:rPr>
          <w:rFonts w:hint="eastAsia"/>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80" w:firstLineChars="200"/>
        <w:rPr>
          <w:szCs w:val="21"/>
        </w:rPr>
      </w:pPr>
      <w:r>
        <w:rPr>
          <w:rFonts w:hint="eastAsia"/>
          <w:szCs w:val="21"/>
        </w:rPr>
        <w:t>4.1.8 为他人提供方便</w:t>
      </w:r>
    </w:p>
    <w:p>
      <w:pPr>
        <w:spacing w:line="400" w:lineRule="exact"/>
        <w:ind w:firstLine="480" w:firstLineChars="200"/>
        <w:rPr>
          <w:szCs w:val="21"/>
        </w:rPr>
      </w:pPr>
      <w:r>
        <w:rPr>
          <w:rFonts w:hint="eastAsia"/>
          <w:szCs w:val="21"/>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80" w:firstLineChars="200"/>
        <w:rPr>
          <w:szCs w:val="21"/>
        </w:rPr>
      </w:pPr>
      <w:r>
        <w:rPr>
          <w:rFonts w:hint="eastAsia"/>
          <w:szCs w:val="21"/>
        </w:rPr>
        <w:t>4.1.9 工程的维护和照管</w:t>
      </w:r>
    </w:p>
    <w:p>
      <w:pPr>
        <w:spacing w:line="400" w:lineRule="exact"/>
        <w:ind w:firstLine="480" w:firstLineChars="200"/>
        <w:rPr>
          <w:szCs w:val="21"/>
        </w:rPr>
      </w:pPr>
      <w:r>
        <w:rPr>
          <w:rFonts w:hint="eastAsia"/>
          <w:szCs w:val="21"/>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80" w:firstLineChars="200"/>
        <w:rPr>
          <w:szCs w:val="21"/>
        </w:rPr>
      </w:pPr>
      <w:r>
        <w:rPr>
          <w:rFonts w:hint="eastAsia"/>
          <w:szCs w:val="21"/>
        </w:rPr>
        <w:t>4.1.10 其他义务</w:t>
      </w:r>
    </w:p>
    <w:p>
      <w:pPr>
        <w:spacing w:line="400" w:lineRule="exact"/>
        <w:ind w:firstLine="480" w:firstLineChars="200"/>
        <w:rPr>
          <w:szCs w:val="21"/>
        </w:rPr>
      </w:pPr>
      <w:r>
        <w:rPr>
          <w:rFonts w:hint="eastAsia"/>
          <w:szCs w:val="21"/>
        </w:rPr>
        <w:t>承包人应履行合同约定的其他义务。</w:t>
      </w:r>
    </w:p>
    <w:p>
      <w:pPr>
        <w:spacing w:line="400" w:lineRule="exact"/>
        <w:ind w:firstLine="480" w:firstLineChars="200"/>
        <w:rPr>
          <w:szCs w:val="21"/>
        </w:rPr>
      </w:pPr>
      <w:r>
        <w:rPr>
          <w:rFonts w:hint="eastAsia"/>
          <w:szCs w:val="21"/>
        </w:rPr>
        <w:t>4.2 履约担保</w:t>
      </w:r>
    </w:p>
    <w:p>
      <w:pPr>
        <w:spacing w:line="400" w:lineRule="exact"/>
        <w:ind w:firstLine="480" w:firstLineChars="200"/>
        <w:rPr>
          <w:szCs w:val="21"/>
        </w:rPr>
      </w:pPr>
      <w:r>
        <w:rPr>
          <w:rFonts w:hint="eastAsia"/>
          <w:szCs w:val="21"/>
        </w:rPr>
        <w:t>承包人应保证其履约担保在发包人颁发工程接收证书前一直有效。发包人应在工程接收证书颁发后28天内把履约担保退还给承包人。</w:t>
      </w:r>
    </w:p>
    <w:p>
      <w:pPr>
        <w:spacing w:line="400" w:lineRule="exact"/>
        <w:ind w:firstLine="480" w:firstLineChars="200"/>
        <w:rPr>
          <w:szCs w:val="21"/>
        </w:rPr>
      </w:pPr>
      <w:r>
        <w:rPr>
          <w:rFonts w:hint="eastAsia"/>
          <w:szCs w:val="21"/>
        </w:rPr>
        <w:t>4.3 分包</w:t>
      </w:r>
    </w:p>
    <w:p>
      <w:pPr>
        <w:spacing w:line="400" w:lineRule="exact"/>
        <w:ind w:firstLine="480" w:firstLineChars="200"/>
        <w:rPr>
          <w:szCs w:val="21"/>
        </w:rPr>
      </w:pPr>
      <w:r>
        <w:rPr>
          <w:rFonts w:hint="eastAsia"/>
          <w:szCs w:val="21"/>
        </w:rPr>
        <w:t>4.3.1 承包人不得将其承包的全部工程转包给第三人，或将其承包的全部工程肢解后以分包的名义转包给第三人。</w:t>
      </w:r>
    </w:p>
    <w:p>
      <w:pPr>
        <w:spacing w:line="400" w:lineRule="exact"/>
        <w:ind w:firstLine="480" w:firstLineChars="200"/>
        <w:rPr>
          <w:szCs w:val="21"/>
        </w:rPr>
      </w:pPr>
      <w:r>
        <w:rPr>
          <w:rFonts w:hint="eastAsia"/>
          <w:szCs w:val="21"/>
        </w:rPr>
        <w:t>4.3.2 承包人不得将工程主体、关键性工作分包给第三人。除专用合同条款另有约定外，未经发包人同意，承包人不得将工程的其他部分或工作分包给第三人。</w:t>
      </w:r>
    </w:p>
    <w:p>
      <w:pPr>
        <w:spacing w:line="400" w:lineRule="exact"/>
        <w:ind w:firstLine="480" w:firstLineChars="200"/>
        <w:rPr>
          <w:szCs w:val="21"/>
        </w:rPr>
      </w:pPr>
      <w:r>
        <w:rPr>
          <w:rFonts w:hint="eastAsia"/>
          <w:szCs w:val="21"/>
        </w:rPr>
        <w:t>4.3.3 分包人的资格能力应与其分包工程的标准和规模相适应。</w:t>
      </w:r>
    </w:p>
    <w:p>
      <w:pPr>
        <w:spacing w:line="400" w:lineRule="exact"/>
        <w:ind w:firstLine="480" w:firstLineChars="200"/>
        <w:rPr>
          <w:szCs w:val="21"/>
        </w:rPr>
      </w:pPr>
      <w:r>
        <w:rPr>
          <w:rFonts w:hint="eastAsia"/>
          <w:szCs w:val="21"/>
        </w:rPr>
        <w:t>4.3.4 按投标函附录约定分包工程的，承包人应向发包人和监理人提交分包合同副本。</w:t>
      </w:r>
    </w:p>
    <w:p>
      <w:pPr>
        <w:spacing w:line="400" w:lineRule="exact"/>
        <w:ind w:firstLine="480" w:firstLineChars="200"/>
        <w:rPr>
          <w:szCs w:val="21"/>
        </w:rPr>
      </w:pPr>
      <w:r>
        <w:rPr>
          <w:rFonts w:hint="eastAsia"/>
          <w:szCs w:val="21"/>
        </w:rPr>
        <w:t>4.3.5 承包人应与分包人就分包工程向发包人承担连带责任。</w:t>
      </w:r>
    </w:p>
    <w:p>
      <w:pPr>
        <w:spacing w:line="400" w:lineRule="exact"/>
        <w:ind w:firstLine="480" w:firstLineChars="200"/>
        <w:rPr>
          <w:szCs w:val="21"/>
        </w:rPr>
      </w:pPr>
      <w:r>
        <w:rPr>
          <w:rFonts w:hint="eastAsia"/>
          <w:szCs w:val="21"/>
        </w:rPr>
        <w:t>4.4 联合体</w:t>
      </w:r>
    </w:p>
    <w:p>
      <w:pPr>
        <w:spacing w:line="400" w:lineRule="exact"/>
        <w:ind w:firstLine="480" w:firstLineChars="200"/>
        <w:rPr>
          <w:szCs w:val="21"/>
        </w:rPr>
      </w:pPr>
      <w:r>
        <w:rPr>
          <w:rFonts w:hint="eastAsia"/>
          <w:szCs w:val="21"/>
        </w:rPr>
        <w:t>4.4.1 联合体各方应共同与发包人签订合同协议书。联合体各方应为履行合同承担连带责任。</w:t>
      </w:r>
    </w:p>
    <w:p>
      <w:pPr>
        <w:spacing w:line="400" w:lineRule="exact"/>
        <w:ind w:firstLine="480" w:firstLineChars="200"/>
        <w:rPr>
          <w:szCs w:val="21"/>
        </w:rPr>
      </w:pPr>
      <w:r>
        <w:rPr>
          <w:rFonts w:hint="eastAsia"/>
          <w:szCs w:val="21"/>
        </w:rPr>
        <w:t>4.4.2 联合体协议经发包人确认后作为合同附件。在履行合同过程中，未经发包人同意，不得修改联合体协议。</w:t>
      </w:r>
    </w:p>
    <w:p>
      <w:pPr>
        <w:spacing w:line="400" w:lineRule="exact"/>
        <w:ind w:firstLine="480" w:firstLineChars="200"/>
        <w:rPr>
          <w:szCs w:val="21"/>
        </w:rPr>
      </w:pPr>
      <w:r>
        <w:rPr>
          <w:rFonts w:hint="eastAsia"/>
          <w:szCs w:val="21"/>
        </w:rPr>
        <w:t>4.4.3 联合体牵头人负责与发包人和监理人联系，并接受指示，负责组织联合体各成员全面履行合同。</w:t>
      </w:r>
    </w:p>
    <w:p>
      <w:pPr>
        <w:spacing w:line="400" w:lineRule="exact"/>
        <w:ind w:firstLine="480" w:firstLineChars="200"/>
        <w:rPr>
          <w:szCs w:val="21"/>
        </w:rPr>
      </w:pPr>
      <w:r>
        <w:rPr>
          <w:rFonts w:hint="eastAsia"/>
          <w:szCs w:val="21"/>
        </w:rPr>
        <w:t>4.5 承包人项目经理</w:t>
      </w:r>
    </w:p>
    <w:p>
      <w:pPr>
        <w:spacing w:line="400" w:lineRule="exact"/>
        <w:ind w:firstLine="480" w:firstLineChars="200"/>
        <w:rPr>
          <w:szCs w:val="21"/>
        </w:rPr>
      </w:pPr>
      <w:r>
        <w:rPr>
          <w:rFonts w:hint="eastAsia"/>
          <w:szCs w:val="21"/>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80" w:firstLineChars="200"/>
        <w:rPr>
          <w:szCs w:val="21"/>
        </w:rPr>
      </w:pPr>
      <w:r>
        <w:rPr>
          <w:rFonts w:hint="eastAsia"/>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80" w:firstLineChars="200"/>
        <w:rPr>
          <w:szCs w:val="21"/>
        </w:rPr>
      </w:pPr>
      <w:r>
        <w:rPr>
          <w:rFonts w:hint="eastAsia"/>
          <w:szCs w:val="21"/>
        </w:rPr>
        <w:t>4.5.3承包人为履行合同发出的一切函件均应盖有承包人授权的施工场地管理机构章，并由承包人项目经理或其授权代表签字。</w:t>
      </w:r>
    </w:p>
    <w:p>
      <w:pPr>
        <w:spacing w:line="400" w:lineRule="exact"/>
        <w:ind w:firstLine="480" w:firstLineChars="200"/>
        <w:rPr>
          <w:szCs w:val="21"/>
        </w:rPr>
      </w:pPr>
      <w:r>
        <w:rPr>
          <w:rFonts w:hint="eastAsia"/>
          <w:szCs w:val="21"/>
        </w:rPr>
        <w:t>4.5.4 承包人项目经理可以授权其下属人员履行其某项职责，但事先应将这些人员的姓名和授权范围通知监理人。</w:t>
      </w:r>
    </w:p>
    <w:p>
      <w:pPr>
        <w:spacing w:line="400" w:lineRule="exact"/>
        <w:ind w:firstLine="480" w:firstLineChars="200"/>
        <w:rPr>
          <w:szCs w:val="21"/>
        </w:rPr>
      </w:pPr>
      <w:r>
        <w:rPr>
          <w:rFonts w:hint="eastAsia"/>
          <w:szCs w:val="21"/>
        </w:rPr>
        <w:t>4.6 承包人人员的管理</w:t>
      </w:r>
    </w:p>
    <w:p>
      <w:pPr>
        <w:spacing w:line="400" w:lineRule="exact"/>
        <w:ind w:firstLine="480" w:firstLineChars="200"/>
        <w:rPr>
          <w:szCs w:val="21"/>
        </w:rPr>
      </w:pPr>
      <w:r>
        <w:rPr>
          <w:rFonts w:hint="eastAsia"/>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80" w:firstLineChars="200"/>
        <w:rPr>
          <w:szCs w:val="21"/>
        </w:rPr>
      </w:pPr>
      <w:r>
        <w:rPr>
          <w:rFonts w:hint="eastAsia"/>
          <w:szCs w:val="21"/>
        </w:rPr>
        <w:t>4.6.2 为完成合同约定的各项工作，承包人应向施工场地派遣或雇佣足够数量的下列人员：</w:t>
      </w:r>
    </w:p>
    <w:p>
      <w:pPr>
        <w:spacing w:line="400" w:lineRule="exact"/>
        <w:ind w:firstLine="480" w:firstLineChars="200"/>
        <w:rPr>
          <w:szCs w:val="21"/>
        </w:rPr>
      </w:pPr>
      <w:r>
        <w:rPr>
          <w:rFonts w:hint="eastAsia"/>
          <w:szCs w:val="21"/>
        </w:rPr>
        <w:t>（1）具有相应资格的专业技工和合格的普工；</w:t>
      </w:r>
    </w:p>
    <w:p>
      <w:pPr>
        <w:spacing w:line="400" w:lineRule="exact"/>
        <w:ind w:firstLine="480" w:firstLineChars="200"/>
        <w:rPr>
          <w:szCs w:val="21"/>
        </w:rPr>
      </w:pPr>
      <w:r>
        <w:rPr>
          <w:rFonts w:hint="eastAsia"/>
          <w:szCs w:val="21"/>
        </w:rPr>
        <w:t>（2）具有相应施工经验的技术人员；</w:t>
      </w:r>
    </w:p>
    <w:p>
      <w:pPr>
        <w:spacing w:line="400" w:lineRule="exact"/>
        <w:ind w:firstLine="480" w:firstLineChars="200"/>
        <w:rPr>
          <w:szCs w:val="21"/>
        </w:rPr>
      </w:pPr>
      <w:r>
        <w:rPr>
          <w:rFonts w:hint="eastAsia"/>
          <w:szCs w:val="21"/>
        </w:rPr>
        <w:t>（3）具有相应岗位资格的各级管理人员。</w:t>
      </w:r>
    </w:p>
    <w:p>
      <w:pPr>
        <w:spacing w:line="400" w:lineRule="exact"/>
        <w:ind w:firstLine="480" w:firstLineChars="200"/>
        <w:rPr>
          <w:szCs w:val="21"/>
        </w:rPr>
      </w:pPr>
      <w:r>
        <w:rPr>
          <w:rFonts w:hint="eastAsia"/>
          <w:szCs w:val="21"/>
        </w:rPr>
        <w:t>4.6.3 承包人安排在施工场地的主要管理人员和技术骨干应相对稳定。承包人更换主要管理人员和技术骨干时，应取得监理人的同意。</w:t>
      </w:r>
    </w:p>
    <w:p>
      <w:pPr>
        <w:spacing w:line="400" w:lineRule="exact"/>
        <w:ind w:firstLine="480" w:firstLineChars="200"/>
        <w:rPr>
          <w:szCs w:val="21"/>
        </w:rPr>
      </w:pPr>
      <w:r>
        <w:rPr>
          <w:rFonts w:hint="eastAsia"/>
          <w:szCs w:val="21"/>
        </w:rPr>
        <w:t>4.6.4 特殊岗位的工作人员均应持有相应的资格证明，监理人有权随时检查。监理人认为有必要时，可进行现场考核。</w:t>
      </w:r>
    </w:p>
    <w:p>
      <w:pPr>
        <w:spacing w:line="400" w:lineRule="exact"/>
        <w:ind w:firstLine="480" w:firstLineChars="200"/>
        <w:rPr>
          <w:szCs w:val="21"/>
        </w:rPr>
      </w:pPr>
      <w:r>
        <w:rPr>
          <w:rFonts w:hint="eastAsia"/>
          <w:szCs w:val="21"/>
        </w:rPr>
        <w:t>4.7 撤换承包人项目经理和其他人员</w:t>
      </w:r>
    </w:p>
    <w:p>
      <w:pPr>
        <w:spacing w:line="400" w:lineRule="exact"/>
        <w:ind w:firstLine="480" w:firstLineChars="200"/>
        <w:rPr>
          <w:szCs w:val="21"/>
        </w:rPr>
      </w:pPr>
      <w:r>
        <w:rPr>
          <w:rFonts w:hint="eastAsia"/>
          <w:szCs w:val="21"/>
        </w:rPr>
        <w:t>承包人应对其项目经理和其他人员进行有效管理。发包人、监理人要求撤换不能胜任本职工作、行为不端或玩忽职守的承包人项目经理和其他人员的，承包人应予以撤换。</w:t>
      </w:r>
    </w:p>
    <w:p>
      <w:pPr>
        <w:spacing w:line="400" w:lineRule="exact"/>
        <w:ind w:firstLine="480" w:firstLineChars="200"/>
        <w:rPr>
          <w:szCs w:val="21"/>
        </w:rPr>
      </w:pPr>
      <w:r>
        <w:rPr>
          <w:rFonts w:hint="eastAsia"/>
          <w:szCs w:val="21"/>
        </w:rPr>
        <w:t>4.8 保障承包人人员的合法权益</w:t>
      </w:r>
    </w:p>
    <w:p>
      <w:pPr>
        <w:spacing w:line="400" w:lineRule="exact"/>
        <w:ind w:firstLine="480" w:firstLineChars="200"/>
        <w:rPr>
          <w:szCs w:val="21"/>
        </w:rPr>
      </w:pPr>
      <w:r>
        <w:rPr>
          <w:rFonts w:hint="eastAsia"/>
          <w:szCs w:val="21"/>
        </w:rPr>
        <w:t>4.8.1 承包人应与其雇佣的人员签订劳动合同，并按时发放工资。</w:t>
      </w:r>
    </w:p>
    <w:p>
      <w:pPr>
        <w:spacing w:line="400" w:lineRule="exact"/>
        <w:ind w:firstLine="480" w:firstLineChars="200"/>
        <w:rPr>
          <w:szCs w:val="21"/>
        </w:rPr>
      </w:pPr>
      <w:r>
        <w:rPr>
          <w:rFonts w:hint="eastAsia"/>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80" w:firstLineChars="200"/>
        <w:rPr>
          <w:szCs w:val="21"/>
        </w:rPr>
      </w:pPr>
      <w:r>
        <w:rPr>
          <w:rFonts w:hint="eastAsia"/>
          <w:szCs w:val="21"/>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80" w:firstLineChars="200"/>
        <w:rPr>
          <w:szCs w:val="21"/>
        </w:rPr>
      </w:pPr>
      <w:r>
        <w:rPr>
          <w:rFonts w:hint="eastAsia"/>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80" w:firstLineChars="200"/>
        <w:rPr>
          <w:szCs w:val="21"/>
        </w:rPr>
      </w:pPr>
      <w:r>
        <w:rPr>
          <w:rFonts w:hint="eastAsia"/>
          <w:szCs w:val="21"/>
        </w:rPr>
        <w:t>4.8.5 承包人应按有关法律规定和合同约定，为其雇佣人员办理保险。</w:t>
      </w:r>
    </w:p>
    <w:p>
      <w:pPr>
        <w:spacing w:line="400" w:lineRule="exact"/>
        <w:ind w:firstLine="480" w:firstLineChars="200"/>
        <w:rPr>
          <w:szCs w:val="21"/>
        </w:rPr>
      </w:pPr>
      <w:r>
        <w:rPr>
          <w:rFonts w:hint="eastAsia"/>
          <w:szCs w:val="21"/>
        </w:rPr>
        <w:t>4.8.6 承包人应负责处理其雇佣人员因工伤亡事故的善后事宜。</w:t>
      </w:r>
    </w:p>
    <w:p>
      <w:pPr>
        <w:spacing w:line="400" w:lineRule="exact"/>
        <w:ind w:firstLine="480" w:firstLineChars="200"/>
        <w:rPr>
          <w:szCs w:val="21"/>
        </w:rPr>
      </w:pPr>
      <w:r>
        <w:rPr>
          <w:rFonts w:hint="eastAsia"/>
          <w:szCs w:val="21"/>
        </w:rPr>
        <w:t>4.9 工程价款应专款专用</w:t>
      </w:r>
    </w:p>
    <w:p>
      <w:pPr>
        <w:spacing w:line="400" w:lineRule="exact"/>
        <w:ind w:firstLine="480" w:firstLineChars="200"/>
        <w:rPr>
          <w:szCs w:val="21"/>
        </w:rPr>
      </w:pPr>
      <w:r>
        <w:rPr>
          <w:rFonts w:hint="eastAsia"/>
          <w:szCs w:val="21"/>
        </w:rPr>
        <w:t>发包人按合同约定支付给承包人的各项价款应专用于合同工程。</w:t>
      </w:r>
    </w:p>
    <w:p>
      <w:pPr>
        <w:spacing w:line="400" w:lineRule="exact"/>
        <w:ind w:firstLine="480" w:firstLineChars="200"/>
        <w:rPr>
          <w:szCs w:val="21"/>
        </w:rPr>
      </w:pPr>
      <w:r>
        <w:rPr>
          <w:rFonts w:hint="eastAsia"/>
          <w:szCs w:val="21"/>
        </w:rPr>
        <w:t xml:space="preserve">4.10 承包人现场查勘                                                                                                           </w:t>
      </w:r>
    </w:p>
    <w:p>
      <w:pPr>
        <w:spacing w:line="400" w:lineRule="exact"/>
        <w:ind w:firstLine="480" w:firstLineChars="200"/>
        <w:rPr>
          <w:szCs w:val="21"/>
        </w:rPr>
      </w:pPr>
      <w:r>
        <w:rPr>
          <w:rFonts w:hint="eastAsia"/>
          <w:szCs w:val="21"/>
        </w:rPr>
        <w:t>4.10.1 发包人应将其持有的现场地质勘探资料、水文气象资料提供给承包人，并对其准确性负责。但承包人应对其阅读上述有关资料后所作出的解释和推断负责。</w:t>
      </w:r>
    </w:p>
    <w:p>
      <w:pPr>
        <w:spacing w:line="400" w:lineRule="exact"/>
        <w:ind w:firstLine="480" w:firstLineChars="200"/>
        <w:rPr>
          <w:szCs w:val="21"/>
        </w:rPr>
      </w:pPr>
      <w:r>
        <w:rPr>
          <w:rFonts w:hint="eastAsia"/>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spacing w:line="400" w:lineRule="exact"/>
        <w:ind w:firstLine="480" w:firstLineChars="200"/>
        <w:rPr>
          <w:szCs w:val="21"/>
        </w:rPr>
      </w:pPr>
      <w:r>
        <w:rPr>
          <w:rFonts w:hint="eastAsia"/>
          <w:szCs w:val="21"/>
        </w:rPr>
        <w:t>4.11 不利物质条件</w:t>
      </w:r>
    </w:p>
    <w:p>
      <w:pPr>
        <w:spacing w:line="400" w:lineRule="exact"/>
        <w:ind w:firstLine="480" w:firstLineChars="200"/>
        <w:rPr>
          <w:szCs w:val="21"/>
        </w:rPr>
      </w:pPr>
      <w:r>
        <w:rPr>
          <w:rFonts w:hint="eastAsia"/>
          <w:szCs w:val="21"/>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80" w:firstLineChars="200"/>
        <w:rPr>
          <w:szCs w:val="21"/>
        </w:rPr>
      </w:pPr>
      <w:r>
        <w:rPr>
          <w:rFonts w:hint="eastAsia"/>
          <w:szCs w:val="21"/>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spacing w:line="400" w:lineRule="exact"/>
        <w:ind w:firstLine="480" w:firstLineChars="200"/>
        <w:rPr>
          <w:szCs w:val="21"/>
        </w:rPr>
      </w:pPr>
      <w:r>
        <w:rPr>
          <w:rFonts w:hint="eastAsia"/>
          <w:szCs w:val="21"/>
        </w:rPr>
        <w:t>5. 材料和工程设备</w:t>
      </w:r>
    </w:p>
    <w:p>
      <w:pPr>
        <w:spacing w:line="400" w:lineRule="exact"/>
        <w:ind w:firstLine="480" w:firstLineChars="200"/>
        <w:rPr>
          <w:szCs w:val="21"/>
        </w:rPr>
      </w:pPr>
      <w:r>
        <w:rPr>
          <w:rFonts w:hint="eastAsia"/>
          <w:szCs w:val="21"/>
        </w:rPr>
        <w:t>5.1 承包人提供的材料和工程设备</w:t>
      </w:r>
    </w:p>
    <w:p>
      <w:pPr>
        <w:spacing w:line="400" w:lineRule="exact"/>
        <w:ind w:firstLine="480" w:firstLineChars="200"/>
        <w:rPr>
          <w:szCs w:val="21"/>
        </w:rPr>
      </w:pPr>
      <w:r>
        <w:rPr>
          <w:rFonts w:hint="eastAsia"/>
          <w:szCs w:val="21"/>
        </w:rPr>
        <w:t>5.1.1 除专用合同条款另有约定外，承包人提供的材料和工程设备均由承包人负责采购、运输和保管。承包人应对其采购的材料和工程设备负责。</w:t>
      </w:r>
    </w:p>
    <w:p>
      <w:pPr>
        <w:spacing w:line="400" w:lineRule="exact"/>
        <w:ind w:firstLine="480" w:firstLineChars="200"/>
        <w:rPr>
          <w:szCs w:val="21"/>
        </w:rPr>
      </w:pPr>
      <w:r>
        <w:rPr>
          <w:rFonts w:hint="eastAsia"/>
          <w:szCs w:val="21"/>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80" w:firstLineChars="200"/>
        <w:rPr>
          <w:szCs w:val="21"/>
        </w:rPr>
      </w:pPr>
      <w:r>
        <w:rPr>
          <w:rFonts w:hint="eastAsia"/>
          <w:szCs w:val="21"/>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line="400" w:lineRule="exact"/>
        <w:ind w:firstLine="480" w:firstLineChars="200"/>
        <w:rPr>
          <w:szCs w:val="21"/>
        </w:rPr>
      </w:pPr>
      <w:r>
        <w:rPr>
          <w:rFonts w:hint="eastAsia"/>
          <w:szCs w:val="21"/>
        </w:rPr>
        <w:t>5.2 发包人提供的材料和工程设备</w:t>
      </w:r>
    </w:p>
    <w:p>
      <w:pPr>
        <w:spacing w:line="400" w:lineRule="exact"/>
        <w:ind w:firstLine="480" w:firstLineChars="200"/>
        <w:rPr>
          <w:szCs w:val="21"/>
        </w:rPr>
      </w:pPr>
      <w:r>
        <w:rPr>
          <w:rFonts w:hint="eastAsia"/>
          <w:szCs w:val="21"/>
        </w:rPr>
        <w:t>5.2.1 发包人提供的材料和工程设备，应在专用合同条款中写明材料和工程设备的名称、规格、数量、价格、交货方式、交货地点和计划交货日期等。</w:t>
      </w:r>
    </w:p>
    <w:p>
      <w:pPr>
        <w:spacing w:line="400" w:lineRule="exact"/>
        <w:ind w:firstLine="480" w:firstLineChars="200"/>
        <w:rPr>
          <w:szCs w:val="21"/>
        </w:rPr>
      </w:pPr>
      <w:r>
        <w:rPr>
          <w:rFonts w:hint="eastAsia"/>
          <w:szCs w:val="21"/>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80" w:firstLineChars="200"/>
        <w:rPr>
          <w:szCs w:val="21"/>
        </w:rPr>
      </w:pPr>
      <w:r>
        <w:rPr>
          <w:rFonts w:hint="eastAsia"/>
          <w:szCs w:val="21"/>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80" w:firstLineChars="200"/>
        <w:rPr>
          <w:szCs w:val="21"/>
        </w:rPr>
      </w:pPr>
      <w:r>
        <w:rPr>
          <w:rFonts w:hint="eastAsia"/>
          <w:szCs w:val="21"/>
        </w:rPr>
        <w:t xml:space="preserve">5.2.4 发包人要求向承包人提前交货的，承包人不得拒绝，但发包人应承担承包人由此增加的费用。 </w:t>
      </w:r>
    </w:p>
    <w:p>
      <w:pPr>
        <w:spacing w:line="400" w:lineRule="exact"/>
        <w:ind w:firstLine="480" w:firstLineChars="200"/>
        <w:rPr>
          <w:szCs w:val="21"/>
        </w:rPr>
      </w:pPr>
      <w:r>
        <w:rPr>
          <w:rFonts w:hint="eastAsia"/>
          <w:szCs w:val="21"/>
        </w:rPr>
        <w:t xml:space="preserve">5.2.5 承包人要求更改交货日期或地点的，应事先报请监理人批准。由于承包人要求更改交货时间或地点所增加的费用和（或）工期延误由承包人承担。 </w:t>
      </w:r>
    </w:p>
    <w:p>
      <w:pPr>
        <w:spacing w:line="400" w:lineRule="exact"/>
        <w:ind w:firstLine="480" w:firstLineChars="200"/>
        <w:rPr>
          <w:szCs w:val="21"/>
        </w:rPr>
      </w:pPr>
      <w:r>
        <w:rPr>
          <w:rFonts w:hint="eastAsia"/>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400" w:lineRule="exact"/>
        <w:ind w:firstLine="480" w:firstLineChars="200"/>
        <w:rPr>
          <w:szCs w:val="21"/>
        </w:rPr>
      </w:pPr>
      <w:r>
        <w:rPr>
          <w:rFonts w:hint="eastAsia"/>
          <w:szCs w:val="21"/>
        </w:rPr>
        <w:t>5.3 材料和工程设备专用于合同工程</w:t>
      </w:r>
    </w:p>
    <w:p>
      <w:pPr>
        <w:spacing w:line="400" w:lineRule="exact"/>
        <w:ind w:firstLine="480" w:firstLineChars="200"/>
        <w:rPr>
          <w:szCs w:val="21"/>
        </w:rPr>
      </w:pPr>
      <w:r>
        <w:rPr>
          <w:rFonts w:hint="eastAsia"/>
          <w:szCs w:val="21"/>
        </w:rPr>
        <w:t>5.3.1运入施工场地的材料、工程设备，包括备品备件、安装专用工器具与随机资料，必须专用于合同工程，未经监理人同意，承包人不得运出施工场地或挪作他用。</w:t>
      </w:r>
    </w:p>
    <w:p>
      <w:pPr>
        <w:spacing w:line="400" w:lineRule="exact"/>
        <w:ind w:firstLine="480" w:firstLineChars="200"/>
        <w:rPr>
          <w:szCs w:val="21"/>
        </w:rPr>
      </w:pPr>
      <w:r>
        <w:rPr>
          <w:rFonts w:hint="eastAsia"/>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400" w:lineRule="exact"/>
        <w:ind w:firstLine="480" w:firstLineChars="200"/>
        <w:rPr>
          <w:szCs w:val="21"/>
        </w:rPr>
      </w:pPr>
      <w:r>
        <w:rPr>
          <w:rFonts w:hint="eastAsia"/>
          <w:szCs w:val="21"/>
        </w:rPr>
        <w:t>5.4 禁止使用不合格的材料和工程设备</w:t>
      </w:r>
    </w:p>
    <w:p>
      <w:pPr>
        <w:spacing w:line="400" w:lineRule="exact"/>
        <w:ind w:firstLine="480" w:firstLineChars="200"/>
        <w:rPr>
          <w:szCs w:val="21"/>
        </w:rPr>
      </w:pPr>
      <w:r>
        <w:rPr>
          <w:rFonts w:hint="eastAsia"/>
          <w:szCs w:val="21"/>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80" w:firstLineChars="200"/>
        <w:rPr>
          <w:szCs w:val="21"/>
        </w:rPr>
      </w:pPr>
      <w:r>
        <w:rPr>
          <w:rFonts w:hint="eastAsia"/>
          <w:szCs w:val="21"/>
        </w:rPr>
        <w:t>5.4.2 监理人发现承包人使用了不合格的材料和工程设备，应即时发出指示要求承包人立即改正，并禁止在工程中继续使用不合格的材料和工程设备。</w:t>
      </w:r>
    </w:p>
    <w:p>
      <w:pPr>
        <w:spacing w:line="400" w:lineRule="exact"/>
        <w:ind w:firstLine="480" w:firstLineChars="200"/>
        <w:rPr>
          <w:szCs w:val="21"/>
        </w:rPr>
      </w:pPr>
      <w:r>
        <w:rPr>
          <w:rFonts w:hint="eastAsia"/>
          <w:szCs w:val="21"/>
        </w:rPr>
        <w:t>5.4.3 发包人提供的材料或工程设备不符合合同要求的，承包人有权拒绝，并可要求发包人更换，由此增加的费用和（或）工期延误由发包人承担。</w:t>
      </w:r>
    </w:p>
    <w:p>
      <w:pPr>
        <w:spacing w:line="400" w:lineRule="exact"/>
        <w:ind w:firstLine="480" w:firstLineChars="200"/>
        <w:rPr>
          <w:szCs w:val="21"/>
        </w:rPr>
      </w:pPr>
      <w:r>
        <w:rPr>
          <w:rFonts w:hint="eastAsia"/>
          <w:szCs w:val="21"/>
        </w:rPr>
        <w:t>6. 施工设备和临时设施</w:t>
      </w:r>
    </w:p>
    <w:p>
      <w:pPr>
        <w:spacing w:line="400" w:lineRule="exact"/>
        <w:ind w:firstLine="480" w:firstLineChars="200"/>
        <w:rPr>
          <w:szCs w:val="21"/>
        </w:rPr>
      </w:pPr>
      <w:r>
        <w:rPr>
          <w:rFonts w:hint="eastAsia"/>
          <w:szCs w:val="21"/>
        </w:rPr>
        <w:t>6.1 承包人提供的施工设备和临时设施</w:t>
      </w:r>
    </w:p>
    <w:p>
      <w:pPr>
        <w:spacing w:line="400" w:lineRule="exact"/>
        <w:ind w:firstLine="480" w:firstLineChars="200"/>
        <w:rPr>
          <w:szCs w:val="21"/>
        </w:rPr>
      </w:pPr>
      <w:r>
        <w:rPr>
          <w:rFonts w:hint="eastAsia"/>
          <w:szCs w:val="21"/>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80" w:firstLineChars="200"/>
        <w:rPr>
          <w:szCs w:val="21"/>
        </w:rPr>
      </w:pPr>
      <w:r>
        <w:rPr>
          <w:rFonts w:hint="eastAsia"/>
          <w:szCs w:val="21"/>
        </w:rPr>
        <w:t>6.1.2除专用合同条款另有约定外，承包人应自行承担修建临时设施的费用，需要临时占地的，应由发包人办理申请手续并承担相应费用。</w:t>
      </w:r>
    </w:p>
    <w:p>
      <w:pPr>
        <w:spacing w:line="400" w:lineRule="exact"/>
        <w:ind w:firstLine="480" w:firstLineChars="200"/>
        <w:rPr>
          <w:szCs w:val="21"/>
        </w:rPr>
      </w:pPr>
      <w:r>
        <w:rPr>
          <w:rFonts w:hint="eastAsia"/>
          <w:szCs w:val="21"/>
        </w:rPr>
        <w:t>6.2 发包人提供的施工设备和临时设施</w:t>
      </w:r>
    </w:p>
    <w:p>
      <w:pPr>
        <w:spacing w:line="400" w:lineRule="exact"/>
        <w:ind w:firstLine="480" w:firstLineChars="200"/>
        <w:rPr>
          <w:szCs w:val="21"/>
        </w:rPr>
      </w:pPr>
      <w:r>
        <w:rPr>
          <w:rFonts w:hint="eastAsia"/>
          <w:szCs w:val="21"/>
        </w:rPr>
        <w:t>发包人提供的施工设备或临时设施在专用合同条款中约定。</w:t>
      </w:r>
    </w:p>
    <w:p>
      <w:pPr>
        <w:spacing w:line="400" w:lineRule="exact"/>
        <w:ind w:firstLine="480" w:firstLineChars="200"/>
        <w:rPr>
          <w:szCs w:val="21"/>
        </w:rPr>
      </w:pPr>
      <w:r>
        <w:rPr>
          <w:rFonts w:hint="eastAsia"/>
          <w:szCs w:val="21"/>
        </w:rPr>
        <w:t>6.3 要求承包人增加或更换施工设备</w:t>
      </w:r>
    </w:p>
    <w:p>
      <w:pPr>
        <w:spacing w:line="400" w:lineRule="exact"/>
        <w:ind w:firstLine="480" w:firstLineChars="200"/>
        <w:rPr>
          <w:szCs w:val="21"/>
        </w:rPr>
      </w:pPr>
      <w:r>
        <w:rPr>
          <w:rFonts w:hint="eastAsia"/>
          <w:szCs w:val="21"/>
        </w:rPr>
        <w:t>承包人使用的施工设备不能满足合同进度计划和（或）质量要求时，监理人有权要求承包人增加或更换施工设备，承包人应及时增加或更换，由此增加的费用和（或）工期延误由承包人承担。</w:t>
      </w:r>
    </w:p>
    <w:p>
      <w:pPr>
        <w:spacing w:line="400" w:lineRule="exact"/>
        <w:ind w:firstLine="480" w:firstLineChars="200"/>
        <w:rPr>
          <w:szCs w:val="21"/>
        </w:rPr>
      </w:pPr>
      <w:r>
        <w:rPr>
          <w:rFonts w:hint="eastAsia"/>
          <w:szCs w:val="21"/>
        </w:rPr>
        <w:t>6.4 施工设备和临时设施专用于合同工程</w:t>
      </w:r>
    </w:p>
    <w:p>
      <w:pPr>
        <w:spacing w:line="400" w:lineRule="exact"/>
        <w:ind w:firstLine="480" w:firstLineChars="200"/>
        <w:rPr>
          <w:szCs w:val="21"/>
        </w:rPr>
      </w:pPr>
      <w:r>
        <w:rPr>
          <w:rFonts w:hint="eastAsia"/>
          <w:szCs w:val="21"/>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80" w:firstLineChars="200"/>
        <w:rPr>
          <w:szCs w:val="21"/>
        </w:rPr>
      </w:pPr>
      <w:r>
        <w:rPr>
          <w:rFonts w:hint="eastAsia"/>
          <w:szCs w:val="21"/>
        </w:rPr>
        <w:t>6.4.2 经监理人同意，承包人可根据合同进度计划撤走闲置的施工设备。</w:t>
      </w:r>
    </w:p>
    <w:p>
      <w:pPr>
        <w:spacing w:line="400" w:lineRule="exact"/>
        <w:ind w:firstLine="480" w:firstLineChars="200"/>
        <w:rPr>
          <w:szCs w:val="21"/>
        </w:rPr>
      </w:pPr>
      <w:r>
        <w:rPr>
          <w:rFonts w:hint="eastAsia"/>
          <w:szCs w:val="21"/>
        </w:rPr>
        <w:t>7. 交通运输</w:t>
      </w:r>
    </w:p>
    <w:p>
      <w:pPr>
        <w:spacing w:line="400" w:lineRule="exact"/>
        <w:ind w:firstLine="480" w:firstLineChars="200"/>
        <w:rPr>
          <w:szCs w:val="21"/>
        </w:rPr>
      </w:pPr>
      <w:r>
        <w:rPr>
          <w:rFonts w:hint="eastAsia"/>
          <w:szCs w:val="21"/>
        </w:rPr>
        <w:t>7.1 道路通行权和场外设施</w:t>
      </w:r>
    </w:p>
    <w:p>
      <w:pPr>
        <w:spacing w:line="400" w:lineRule="exact"/>
        <w:ind w:firstLine="480" w:firstLineChars="200"/>
        <w:rPr>
          <w:szCs w:val="21"/>
        </w:rPr>
      </w:pPr>
      <w:r>
        <w:rPr>
          <w:rFonts w:hint="eastAsia"/>
          <w:szCs w:val="21"/>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spacing w:line="400" w:lineRule="exact"/>
        <w:ind w:firstLine="480" w:firstLineChars="200"/>
        <w:rPr>
          <w:szCs w:val="21"/>
        </w:rPr>
      </w:pPr>
      <w:r>
        <w:rPr>
          <w:rFonts w:hint="eastAsia"/>
          <w:szCs w:val="21"/>
        </w:rPr>
        <w:t>7.2 场内施工道路</w:t>
      </w:r>
    </w:p>
    <w:p>
      <w:pPr>
        <w:spacing w:line="400" w:lineRule="exact"/>
        <w:ind w:firstLine="480" w:firstLineChars="200"/>
        <w:rPr>
          <w:szCs w:val="21"/>
        </w:rPr>
      </w:pPr>
      <w:r>
        <w:rPr>
          <w:rFonts w:hint="eastAsia"/>
          <w:szCs w:val="21"/>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80" w:firstLineChars="200"/>
        <w:rPr>
          <w:szCs w:val="21"/>
        </w:rPr>
      </w:pPr>
      <w:r>
        <w:rPr>
          <w:rFonts w:hint="eastAsia"/>
          <w:szCs w:val="21"/>
        </w:rPr>
        <w:t>7.2.2 除专用合同条款另有约定外，承包人修建的临时道路和交通设施应免费提供发包人和监理人使用。</w:t>
      </w:r>
    </w:p>
    <w:p>
      <w:pPr>
        <w:spacing w:line="400" w:lineRule="exact"/>
        <w:ind w:firstLine="480" w:firstLineChars="200"/>
        <w:rPr>
          <w:szCs w:val="21"/>
        </w:rPr>
      </w:pPr>
      <w:r>
        <w:rPr>
          <w:rFonts w:hint="eastAsia"/>
          <w:szCs w:val="21"/>
        </w:rPr>
        <w:t>7.3 场外交通</w:t>
      </w:r>
    </w:p>
    <w:p>
      <w:pPr>
        <w:spacing w:line="400" w:lineRule="exact"/>
        <w:ind w:firstLine="480" w:firstLineChars="200"/>
        <w:rPr>
          <w:szCs w:val="21"/>
        </w:rPr>
      </w:pPr>
      <w:r>
        <w:rPr>
          <w:rFonts w:hint="eastAsia"/>
          <w:szCs w:val="21"/>
        </w:rPr>
        <w:t>7.3.1 承包人车辆外出行驶所需的场外公共道路的通行费、养路费和税款等由承包人承担。</w:t>
      </w:r>
    </w:p>
    <w:p>
      <w:pPr>
        <w:spacing w:line="400" w:lineRule="exact"/>
        <w:ind w:firstLine="480" w:firstLineChars="200"/>
        <w:rPr>
          <w:szCs w:val="21"/>
        </w:rPr>
      </w:pPr>
      <w:r>
        <w:rPr>
          <w:rFonts w:hint="eastAsia"/>
          <w:szCs w:val="21"/>
        </w:rPr>
        <w:t>7.3.2 承包人应遵守有关交通法规，严格按照道路和桥梁的限制荷重安全行驶，并服从交通管理部门的检查和监督。</w:t>
      </w:r>
    </w:p>
    <w:p>
      <w:pPr>
        <w:spacing w:line="400" w:lineRule="exact"/>
        <w:ind w:firstLine="480" w:firstLineChars="200"/>
        <w:rPr>
          <w:szCs w:val="21"/>
        </w:rPr>
      </w:pPr>
      <w:r>
        <w:rPr>
          <w:rFonts w:hint="eastAsia"/>
          <w:szCs w:val="21"/>
        </w:rPr>
        <w:t>7.4 超大件和超重件的运输</w:t>
      </w:r>
    </w:p>
    <w:p>
      <w:pPr>
        <w:spacing w:line="400" w:lineRule="exact"/>
        <w:ind w:firstLine="480" w:firstLineChars="200"/>
        <w:rPr>
          <w:szCs w:val="21"/>
        </w:rPr>
      </w:pPr>
      <w:r>
        <w:rPr>
          <w:rFonts w:hint="eastAsia"/>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400" w:lineRule="exact"/>
        <w:ind w:firstLine="480" w:firstLineChars="200"/>
        <w:rPr>
          <w:szCs w:val="21"/>
        </w:rPr>
      </w:pPr>
      <w:r>
        <w:rPr>
          <w:rFonts w:hint="eastAsia"/>
          <w:szCs w:val="21"/>
        </w:rPr>
        <w:t>7.5 道路和桥梁的损坏责任</w:t>
      </w:r>
    </w:p>
    <w:p>
      <w:pPr>
        <w:spacing w:line="400" w:lineRule="exact"/>
        <w:ind w:firstLine="480" w:firstLineChars="200"/>
        <w:rPr>
          <w:szCs w:val="21"/>
        </w:rPr>
      </w:pPr>
      <w:r>
        <w:rPr>
          <w:rFonts w:hint="eastAsia"/>
          <w:szCs w:val="21"/>
        </w:rPr>
        <w:t>因承包人运输造成施工场地内外公共道路和桥梁损坏的，由承包人承担修复损坏的全部费用和可能引起的赔偿。</w:t>
      </w:r>
    </w:p>
    <w:p>
      <w:pPr>
        <w:spacing w:line="400" w:lineRule="exact"/>
        <w:ind w:firstLine="480" w:firstLineChars="200"/>
        <w:rPr>
          <w:szCs w:val="21"/>
        </w:rPr>
      </w:pPr>
      <w:r>
        <w:rPr>
          <w:rFonts w:hint="eastAsia"/>
          <w:szCs w:val="21"/>
        </w:rPr>
        <w:t>7.6 水路和航空运输</w:t>
      </w:r>
    </w:p>
    <w:p>
      <w:pPr>
        <w:spacing w:line="400" w:lineRule="exact"/>
        <w:ind w:firstLine="480" w:firstLineChars="200"/>
        <w:rPr>
          <w:szCs w:val="21"/>
        </w:rPr>
      </w:pPr>
      <w:r>
        <w:rPr>
          <w:rFonts w:hint="eastAsia"/>
          <w:szCs w:val="21"/>
        </w:rPr>
        <w:t xml:space="preserve">本条上述各款的内容适用于水路运输和航空运输，其中“道路”一词的涵义包括河道、航线、船闸、机场、码头、堤防以及水路或航空运输中其他相似结构物；“车辆”一词的涵义包括船舶和飞机等。 </w:t>
      </w:r>
    </w:p>
    <w:p>
      <w:pPr>
        <w:spacing w:line="400" w:lineRule="exact"/>
        <w:ind w:firstLine="480" w:firstLineChars="200"/>
        <w:rPr>
          <w:szCs w:val="21"/>
        </w:rPr>
      </w:pPr>
      <w:r>
        <w:rPr>
          <w:rFonts w:hint="eastAsia"/>
          <w:szCs w:val="21"/>
        </w:rPr>
        <w:t>8. 测量放线</w:t>
      </w:r>
    </w:p>
    <w:p>
      <w:pPr>
        <w:spacing w:line="400" w:lineRule="exact"/>
        <w:ind w:firstLine="480" w:firstLineChars="200"/>
        <w:rPr>
          <w:szCs w:val="21"/>
        </w:rPr>
      </w:pPr>
      <w:r>
        <w:rPr>
          <w:rFonts w:hint="eastAsia"/>
          <w:szCs w:val="21"/>
        </w:rPr>
        <w:t>8.1 施工控制网</w:t>
      </w:r>
    </w:p>
    <w:p>
      <w:pPr>
        <w:spacing w:line="400" w:lineRule="exact"/>
        <w:ind w:firstLine="480" w:firstLineChars="200"/>
        <w:rPr>
          <w:szCs w:val="21"/>
        </w:rPr>
      </w:pPr>
      <w:r>
        <w:rPr>
          <w:rFonts w:hint="eastAsia"/>
          <w:szCs w:val="21"/>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80" w:firstLineChars="200"/>
        <w:rPr>
          <w:szCs w:val="21"/>
        </w:rPr>
      </w:pPr>
      <w:r>
        <w:rPr>
          <w:rFonts w:hint="eastAsia"/>
          <w:szCs w:val="21"/>
        </w:rPr>
        <w:t>8.1.2承包人应负责管理施工控制网点。施工控制网点丢失或损坏的，承包人应及时修复。承包人应承担施工控制网点的管理与修复费用，并在工程竣工后将施工控制网点移交发包人。</w:t>
      </w:r>
    </w:p>
    <w:p>
      <w:pPr>
        <w:spacing w:line="400" w:lineRule="exact"/>
        <w:ind w:firstLine="480" w:firstLineChars="200"/>
        <w:rPr>
          <w:szCs w:val="21"/>
        </w:rPr>
      </w:pPr>
      <w:r>
        <w:rPr>
          <w:rFonts w:hint="eastAsia"/>
          <w:szCs w:val="21"/>
        </w:rPr>
        <w:t>8.2 施工测量</w:t>
      </w:r>
    </w:p>
    <w:p>
      <w:pPr>
        <w:spacing w:line="400" w:lineRule="exact"/>
        <w:ind w:firstLine="480" w:firstLineChars="200"/>
        <w:rPr>
          <w:szCs w:val="21"/>
        </w:rPr>
      </w:pPr>
      <w:r>
        <w:rPr>
          <w:rFonts w:hint="eastAsia"/>
          <w:szCs w:val="21"/>
        </w:rPr>
        <w:t>8.2.1承包人应负责施工过程中的全部施工测量放线工作，并配置合格的人员、仪器、设备和其他物品。</w:t>
      </w:r>
    </w:p>
    <w:p>
      <w:pPr>
        <w:spacing w:line="400" w:lineRule="exact"/>
        <w:ind w:firstLine="480" w:firstLineChars="200"/>
        <w:rPr>
          <w:szCs w:val="21"/>
        </w:rPr>
      </w:pPr>
      <w:r>
        <w:rPr>
          <w:rFonts w:hint="eastAsia"/>
          <w:szCs w:val="21"/>
        </w:rPr>
        <w:t>8.2.2监理人可以指示承包人进行抽样复测，当复测中发现错误或出现超过合同约定的误差时，承包人应按监理人指示进行修正或补测，并承担相应的复测费用。</w:t>
      </w:r>
    </w:p>
    <w:p>
      <w:pPr>
        <w:spacing w:line="400" w:lineRule="exact"/>
        <w:ind w:firstLine="480" w:firstLineChars="200"/>
        <w:rPr>
          <w:szCs w:val="21"/>
        </w:rPr>
      </w:pPr>
      <w:r>
        <w:rPr>
          <w:rFonts w:hint="eastAsia"/>
          <w:szCs w:val="21"/>
        </w:rPr>
        <w:t>8.3 基准资料错误的责任</w:t>
      </w:r>
    </w:p>
    <w:p>
      <w:pPr>
        <w:spacing w:line="400" w:lineRule="exact"/>
        <w:ind w:firstLine="480" w:firstLineChars="200"/>
        <w:rPr>
          <w:szCs w:val="21"/>
        </w:rPr>
      </w:pPr>
      <w:r>
        <w:rPr>
          <w:rFonts w:hint="eastAsia"/>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spacing w:line="400" w:lineRule="exact"/>
        <w:ind w:firstLine="480" w:firstLineChars="200"/>
        <w:rPr>
          <w:szCs w:val="21"/>
        </w:rPr>
      </w:pPr>
      <w:r>
        <w:rPr>
          <w:rFonts w:hint="eastAsia"/>
          <w:szCs w:val="21"/>
        </w:rPr>
        <w:t>8.4 监理人使用施工控制网</w:t>
      </w:r>
    </w:p>
    <w:p>
      <w:pPr>
        <w:spacing w:line="400" w:lineRule="exact"/>
        <w:ind w:firstLine="480" w:firstLineChars="200"/>
        <w:rPr>
          <w:szCs w:val="21"/>
        </w:rPr>
      </w:pPr>
      <w:r>
        <w:rPr>
          <w:rFonts w:hint="eastAsia"/>
          <w:szCs w:val="21"/>
        </w:rPr>
        <w:t>监理人需要使用施工控制网的，承包人应提供必要的协助，发包人不再为此支付费用。</w:t>
      </w:r>
    </w:p>
    <w:p>
      <w:pPr>
        <w:spacing w:line="400" w:lineRule="exact"/>
        <w:ind w:firstLine="480" w:firstLineChars="200"/>
        <w:rPr>
          <w:szCs w:val="21"/>
        </w:rPr>
      </w:pPr>
      <w:r>
        <w:rPr>
          <w:rFonts w:hint="eastAsia"/>
          <w:szCs w:val="21"/>
        </w:rPr>
        <w:t>9. 施工安全、治安保卫和环境保护</w:t>
      </w:r>
    </w:p>
    <w:p>
      <w:pPr>
        <w:spacing w:line="400" w:lineRule="exact"/>
        <w:ind w:firstLine="480" w:firstLineChars="200"/>
        <w:rPr>
          <w:szCs w:val="21"/>
        </w:rPr>
      </w:pPr>
      <w:r>
        <w:rPr>
          <w:rFonts w:hint="eastAsia"/>
          <w:szCs w:val="21"/>
        </w:rPr>
        <w:t>9.1 发包人的施工安全责任</w:t>
      </w:r>
    </w:p>
    <w:p>
      <w:pPr>
        <w:spacing w:line="400" w:lineRule="exact"/>
        <w:ind w:firstLine="480" w:firstLineChars="200"/>
        <w:rPr>
          <w:szCs w:val="21"/>
        </w:rPr>
      </w:pPr>
      <w:r>
        <w:rPr>
          <w:rFonts w:hint="eastAsia"/>
          <w:szCs w:val="21"/>
        </w:rPr>
        <w:t>9.1.1 发包人应按合同约定履行安全职责，授权监理人按合同约定的安全工作内容监督、检查承包人安全工作的实施，组织承包人和有关单位进行安全检查。</w:t>
      </w:r>
    </w:p>
    <w:p>
      <w:pPr>
        <w:spacing w:line="400" w:lineRule="exact"/>
        <w:ind w:firstLine="480" w:firstLineChars="200"/>
        <w:rPr>
          <w:szCs w:val="21"/>
        </w:rPr>
      </w:pPr>
      <w:r>
        <w:rPr>
          <w:rFonts w:hint="eastAsia"/>
          <w:szCs w:val="21"/>
        </w:rPr>
        <w:t>9.1.2 发包人应对其现场机构雇佣的全部人员的工伤事故承担责任，但由于承包人原因造成发包人人员工伤的，应由承包人承担责任。</w:t>
      </w:r>
    </w:p>
    <w:p>
      <w:pPr>
        <w:spacing w:line="400" w:lineRule="exact"/>
        <w:ind w:firstLine="480" w:firstLineChars="200"/>
        <w:rPr>
          <w:szCs w:val="21"/>
        </w:rPr>
      </w:pPr>
      <w:r>
        <w:rPr>
          <w:rFonts w:hint="eastAsia"/>
          <w:szCs w:val="21"/>
        </w:rPr>
        <w:t>9.1.3 发包人应负责赔偿以下各种情况造成的第三者人身伤亡和财产损失：</w:t>
      </w:r>
    </w:p>
    <w:p>
      <w:pPr>
        <w:spacing w:line="400" w:lineRule="exact"/>
        <w:ind w:firstLine="480" w:firstLineChars="200"/>
        <w:rPr>
          <w:szCs w:val="21"/>
        </w:rPr>
      </w:pPr>
      <w:r>
        <w:rPr>
          <w:rFonts w:hint="eastAsia"/>
          <w:szCs w:val="21"/>
        </w:rPr>
        <w:t>（1） 工程或工程的任何部分对土地的占用所造成的第三者财产损失；</w:t>
      </w:r>
    </w:p>
    <w:p>
      <w:pPr>
        <w:spacing w:line="400" w:lineRule="exact"/>
        <w:ind w:firstLine="480" w:firstLineChars="200"/>
        <w:rPr>
          <w:szCs w:val="21"/>
        </w:rPr>
      </w:pPr>
      <w:r>
        <w:rPr>
          <w:rFonts w:hint="eastAsia"/>
          <w:szCs w:val="21"/>
        </w:rPr>
        <w:t>（2） 由于发包人原因在施工场地及其毗邻地带造成的第三者人身伤亡和财产损失。</w:t>
      </w:r>
    </w:p>
    <w:p>
      <w:pPr>
        <w:spacing w:line="400" w:lineRule="exact"/>
        <w:ind w:firstLine="480" w:firstLineChars="200"/>
        <w:rPr>
          <w:szCs w:val="21"/>
        </w:rPr>
      </w:pPr>
      <w:r>
        <w:rPr>
          <w:rFonts w:hint="eastAsia"/>
          <w:szCs w:val="21"/>
        </w:rPr>
        <w:t>9.2 承包人的施工安全责任</w:t>
      </w:r>
    </w:p>
    <w:p>
      <w:pPr>
        <w:spacing w:line="400" w:lineRule="exact"/>
        <w:ind w:firstLine="480" w:firstLineChars="200"/>
        <w:rPr>
          <w:szCs w:val="21"/>
        </w:rPr>
      </w:pPr>
      <w:r>
        <w:rPr>
          <w:rFonts w:hint="eastAsia"/>
          <w:szCs w:val="21"/>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80" w:firstLineChars="200"/>
        <w:rPr>
          <w:szCs w:val="21"/>
        </w:rPr>
      </w:pPr>
      <w:r>
        <w:rPr>
          <w:rFonts w:hint="eastAsia"/>
          <w:szCs w:val="21"/>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480" w:firstLineChars="200"/>
        <w:rPr>
          <w:szCs w:val="21"/>
        </w:rPr>
      </w:pPr>
      <w:r>
        <w:rPr>
          <w:rFonts w:hint="eastAsia"/>
          <w:szCs w:val="21"/>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80" w:firstLineChars="200"/>
        <w:rPr>
          <w:szCs w:val="21"/>
        </w:rPr>
      </w:pPr>
      <w:r>
        <w:rPr>
          <w:rFonts w:hint="eastAsia"/>
          <w:szCs w:val="21"/>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80" w:firstLineChars="200"/>
        <w:rPr>
          <w:szCs w:val="21"/>
        </w:rPr>
      </w:pPr>
      <w:r>
        <w:rPr>
          <w:rFonts w:hint="eastAsia"/>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80" w:firstLineChars="200"/>
        <w:rPr>
          <w:szCs w:val="21"/>
        </w:rPr>
      </w:pPr>
      <w:r>
        <w:rPr>
          <w:rFonts w:hint="eastAsia"/>
          <w:szCs w:val="21"/>
        </w:rPr>
        <w:t>9.2.6 承包人应对其履行合同所雇佣的全部人员，包括分包人人员的工伤事故承担责任，但由于发包人原因造成承包人人员工伤事故的，应由发包人承担责任。</w:t>
      </w:r>
    </w:p>
    <w:p>
      <w:pPr>
        <w:spacing w:line="400" w:lineRule="exact"/>
        <w:ind w:firstLine="480" w:firstLineChars="200"/>
        <w:rPr>
          <w:szCs w:val="21"/>
        </w:rPr>
      </w:pPr>
      <w:r>
        <w:rPr>
          <w:rFonts w:hint="eastAsia"/>
          <w:szCs w:val="21"/>
        </w:rPr>
        <w:t>9.2.7 由于承包人原因在施工场地内及其毗邻地带造成的第三者人员伤亡和财产损失，由承包人负责赔偿。</w:t>
      </w:r>
    </w:p>
    <w:p>
      <w:pPr>
        <w:spacing w:line="400" w:lineRule="exact"/>
        <w:ind w:firstLine="480" w:firstLineChars="200"/>
        <w:rPr>
          <w:szCs w:val="21"/>
        </w:rPr>
      </w:pPr>
      <w:r>
        <w:rPr>
          <w:rFonts w:hint="eastAsia"/>
          <w:szCs w:val="21"/>
        </w:rPr>
        <w:t>9.3 治安保卫</w:t>
      </w:r>
    </w:p>
    <w:p>
      <w:pPr>
        <w:spacing w:line="400" w:lineRule="exact"/>
        <w:ind w:firstLine="480" w:firstLineChars="200"/>
        <w:rPr>
          <w:szCs w:val="21"/>
        </w:rPr>
      </w:pPr>
      <w:r>
        <w:rPr>
          <w:rFonts w:hint="eastAsia"/>
          <w:szCs w:val="21"/>
        </w:rPr>
        <w:t>9.3.1 除合同另有约定外，发包人应与当地公安部门协商，在现场建立治安管理机构或联防组织，统一管理施工场地的治安保卫事项，履行合同工程的治安保卫职责。</w:t>
      </w:r>
    </w:p>
    <w:p>
      <w:pPr>
        <w:spacing w:line="400" w:lineRule="exact"/>
        <w:ind w:firstLine="480" w:firstLineChars="200"/>
        <w:rPr>
          <w:szCs w:val="21"/>
        </w:rPr>
      </w:pPr>
      <w:r>
        <w:rPr>
          <w:rFonts w:hint="eastAsia"/>
          <w:szCs w:val="21"/>
        </w:rPr>
        <w:t>9.3.2 发包人和承包人除应协助现场治安管理机构或联防组织维护施工场地的社会治安外，还应做好包括生活区在内的各自管辖区的治安保卫工作。</w:t>
      </w:r>
    </w:p>
    <w:p>
      <w:pPr>
        <w:spacing w:line="400" w:lineRule="exact"/>
        <w:ind w:firstLine="480" w:firstLineChars="200"/>
        <w:rPr>
          <w:szCs w:val="21"/>
        </w:rPr>
      </w:pPr>
      <w:r>
        <w:rPr>
          <w:rFonts w:hint="eastAsia"/>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line="400" w:lineRule="exact"/>
        <w:ind w:firstLine="480" w:firstLineChars="200"/>
        <w:rPr>
          <w:szCs w:val="21"/>
        </w:rPr>
      </w:pPr>
      <w:r>
        <w:rPr>
          <w:rFonts w:hint="eastAsia"/>
          <w:szCs w:val="21"/>
        </w:rPr>
        <w:t>9.4 环境保护</w:t>
      </w:r>
    </w:p>
    <w:p>
      <w:pPr>
        <w:spacing w:line="400" w:lineRule="exact"/>
        <w:ind w:firstLine="480" w:firstLineChars="200"/>
        <w:rPr>
          <w:szCs w:val="21"/>
        </w:rPr>
      </w:pPr>
      <w:r>
        <w:rPr>
          <w:rFonts w:hint="eastAsia"/>
          <w:szCs w:val="21"/>
        </w:rPr>
        <w:t>9.4.1 承包人在施工过程中，应遵守有关环境保护的法律，履行合同约定的环境保护义务，并对违反法律和合同约定义务所造成的环境破坏、人身伤害和财产损失负责。</w:t>
      </w:r>
    </w:p>
    <w:p>
      <w:pPr>
        <w:spacing w:line="400" w:lineRule="exact"/>
        <w:ind w:firstLine="480" w:firstLineChars="200"/>
        <w:rPr>
          <w:szCs w:val="21"/>
        </w:rPr>
      </w:pPr>
      <w:r>
        <w:rPr>
          <w:rFonts w:hint="eastAsia"/>
          <w:szCs w:val="21"/>
        </w:rPr>
        <w:t>9.4.2 承包人应按合同约定的环保工作内容，编制施工环保措施计划，报送监理人审批。</w:t>
      </w:r>
    </w:p>
    <w:p>
      <w:pPr>
        <w:spacing w:line="400" w:lineRule="exact"/>
        <w:ind w:firstLine="480" w:firstLineChars="200"/>
        <w:rPr>
          <w:szCs w:val="21"/>
        </w:rPr>
      </w:pPr>
      <w:r>
        <w:rPr>
          <w:rFonts w:hint="eastAsia"/>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480" w:firstLineChars="200"/>
        <w:rPr>
          <w:szCs w:val="21"/>
        </w:rPr>
      </w:pPr>
      <w:r>
        <w:rPr>
          <w:rFonts w:hint="eastAsia"/>
          <w:szCs w:val="21"/>
        </w:rPr>
        <w:t>9.4.4 承包人应按合同约定采取有效措施，对施工开挖的边坡及时进行支护,维护排水设施，并进行水土保护，避免因施工造成的地质灾害。</w:t>
      </w:r>
    </w:p>
    <w:p>
      <w:pPr>
        <w:spacing w:line="400" w:lineRule="exact"/>
        <w:ind w:firstLine="480" w:firstLineChars="200"/>
        <w:rPr>
          <w:szCs w:val="21"/>
        </w:rPr>
      </w:pPr>
      <w:r>
        <w:rPr>
          <w:rFonts w:hint="eastAsia"/>
          <w:szCs w:val="21"/>
        </w:rPr>
        <w:t>9.4.5 承包人应按国家饮用水管理标准定期对饮用水源进行监测，防止施工活动污染饮用水源。</w:t>
      </w:r>
    </w:p>
    <w:p>
      <w:pPr>
        <w:spacing w:line="400" w:lineRule="exact"/>
        <w:ind w:firstLine="480" w:firstLineChars="200"/>
        <w:rPr>
          <w:szCs w:val="21"/>
        </w:rPr>
      </w:pPr>
      <w:r>
        <w:rPr>
          <w:rFonts w:hint="eastAsia"/>
          <w:szCs w:val="21"/>
        </w:rPr>
        <w:t>9.4.6 承包人应按合同约定，加强对噪声、粉尘、废气、废水和废油的控制，努力降低噪声，控制粉尘和废气浓度，做好废水和废油的治理和排放。</w:t>
      </w:r>
    </w:p>
    <w:p>
      <w:pPr>
        <w:spacing w:line="400" w:lineRule="exact"/>
        <w:ind w:firstLine="480" w:firstLineChars="200"/>
        <w:rPr>
          <w:szCs w:val="21"/>
        </w:rPr>
      </w:pPr>
      <w:r>
        <w:rPr>
          <w:rFonts w:hint="eastAsia"/>
          <w:szCs w:val="21"/>
        </w:rPr>
        <w:t>9.5 事故处理</w:t>
      </w:r>
    </w:p>
    <w:p>
      <w:pPr>
        <w:spacing w:line="400" w:lineRule="exact"/>
        <w:ind w:firstLine="480" w:firstLineChars="200"/>
        <w:rPr>
          <w:szCs w:val="21"/>
        </w:rPr>
      </w:pPr>
      <w:r>
        <w:rPr>
          <w:rFonts w:hint="eastAsia"/>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400" w:lineRule="exact"/>
        <w:ind w:firstLine="480" w:firstLineChars="200"/>
        <w:rPr>
          <w:szCs w:val="21"/>
        </w:rPr>
      </w:pPr>
      <w:r>
        <w:rPr>
          <w:rFonts w:hint="eastAsia"/>
          <w:szCs w:val="21"/>
        </w:rPr>
        <w:t>10. 进度计划</w:t>
      </w:r>
    </w:p>
    <w:p>
      <w:pPr>
        <w:spacing w:line="400" w:lineRule="exact"/>
        <w:ind w:firstLine="480" w:firstLineChars="200"/>
        <w:rPr>
          <w:szCs w:val="21"/>
        </w:rPr>
      </w:pPr>
      <w:r>
        <w:rPr>
          <w:rFonts w:hint="eastAsia"/>
          <w:szCs w:val="21"/>
        </w:rPr>
        <w:t>10.1 合同进度计划</w:t>
      </w:r>
    </w:p>
    <w:p>
      <w:pPr>
        <w:spacing w:line="400" w:lineRule="exact"/>
        <w:ind w:firstLine="480" w:firstLineChars="200"/>
        <w:rPr>
          <w:szCs w:val="21"/>
        </w:rPr>
      </w:pPr>
      <w:r>
        <w:rPr>
          <w:rFonts w:hint="eastAsia"/>
          <w:szCs w:val="21"/>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spacing w:line="400" w:lineRule="exact"/>
        <w:ind w:firstLine="480" w:firstLineChars="200"/>
        <w:rPr>
          <w:szCs w:val="21"/>
        </w:rPr>
      </w:pPr>
      <w:r>
        <w:rPr>
          <w:rFonts w:hint="eastAsia"/>
          <w:szCs w:val="21"/>
        </w:rPr>
        <w:t>10.2 合同进度计划的修订</w:t>
      </w:r>
    </w:p>
    <w:p>
      <w:pPr>
        <w:spacing w:line="400" w:lineRule="exact"/>
        <w:ind w:firstLine="480" w:firstLineChars="200"/>
        <w:rPr>
          <w:szCs w:val="21"/>
        </w:rPr>
      </w:pPr>
      <w:r>
        <w:rPr>
          <w:rFonts w:hint="eastAsia"/>
          <w:szCs w:val="21"/>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spacing w:line="400" w:lineRule="exact"/>
        <w:ind w:firstLine="480" w:firstLineChars="200"/>
        <w:rPr>
          <w:szCs w:val="21"/>
        </w:rPr>
      </w:pPr>
      <w:r>
        <w:rPr>
          <w:rFonts w:hint="eastAsia"/>
          <w:szCs w:val="21"/>
        </w:rPr>
        <w:t>11. 开工和竣工</w:t>
      </w:r>
    </w:p>
    <w:p>
      <w:pPr>
        <w:spacing w:line="400" w:lineRule="exact"/>
        <w:ind w:firstLine="480" w:firstLineChars="200"/>
        <w:rPr>
          <w:szCs w:val="21"/>
        </w:rPr>
      </w:pPr>
      <w:r>
        <w:rPr>
          <w:rFonts w:hint="eastAsia"/>
          <w:szCs w:val="21"/>
        </w:rPr>
        <w:t>11.1 开工</w:t>
      </w:r>
    </w:p>
    <w:p>
      <w:pPr>
        <w:spacing w:line="400" w:lineRule="exact"/>
        <w:ind w:firstLine="480" w:firstLineChars="200"/>
        <w:rPr>
          <w:szCs w:val="21"/>
        </w:rPr>
      </w:pPr>
      <w:r>
        <w:rPr>
          <w:rFonts w:hint="eastAsia"/>
          <w:szCs w:val="21"/>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80" w:firstLineChars="200"/>
        <w:rPr>
          <w:szCs w:val="21"/>
        </w:rPr>
      </w:pPr>
      <w:r>
        <w:rPr>
          <w:rFonts w:hint="eastAsia"/>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400" w:lineRule="exact"/>
        <w:ind w:firstLine="480" w:firstLineChars="200"/>
        <w:rPr>
          <w:szCs w:val="21"/>
        </w:rPr>
      </w:pPr>
      <w:r>
        <w:rPr>
          <w:rFonts w:hint="eastAsia"/>
          <w:szCs w:val="21"/>
        </w:rPr>
        <w:t>11.2 竣工</w:t>
      </w:r>
    </w:p>
    <w:p>
      <w:pPr>
        <w:spacing w:line="400" w:lineRule="exact"/>
        <w:ind w:firstLine="480" w:firstLineChars="200"/>
        <w:rPr>
          <w:szCs w:val="21"/>
        </w:rPr>
      </w:pPr>
      <w:r>
        <w:rPr>
          <w:rFonts w:hint="eastAsia"/>
          <w:szCs w:val="21"/>
        </w:rPr>
        <w:t>承包人应在第1.1.4.3目约定的期限内完成合同工程。实际竣工日期在接收证书中写明。</w:t>
      </w:r>
    </w:p>
    <w:p>
      <w:pPr>
        <w:spacing w:line="400" w:lineRule="exact"/>
        <w:ind w:firstLine="480" w:firstLineChars="200"/>
        <w:rPr>
          <w:szCs w:val="21"/>
        </w:rPr>
      </w:pPr>
      <w:r>
        <w:rPr>
          <w:rFonts w:hint="eastAsia"/>
          <w:szCs w:val="21"/>
        </w:rPr>
        <w:t>11.3 发包人的工期延误</w:t>
      </w:r>
    </w:p>
    <w:p>
      <w:pPr>
        <w:spacing w:line="400" w:lineRule="exact"/>
        <w:ind w:firstLine="480" w:firstLineChars="200"/>
        <w:rPr>
          <w:szCs w:val="21"/>
        </w:rPr>
      </w:pPr>
      <w:r>
        <w:rPr>
          <w:rFonts w:hint="eastAsia"/>
          <w:szCs w:val="21"/>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480" w:firstLineChars="200"/>
        <w:rPr>
          <w:szCs w:val="21"/>
        </w:rPr>
      </w:pPr>
      <w:r>
        <w:rPr>
          <w:rFonts w:hint="eastAsia"/>
          <w:szCs w:val="21"/>
        </w:rPr>
        <w:t>（1）增加合同工作内容；</w:t>
      </w:r>
    </w:p>
    <w:p>
      <w:pPr>
        <w:spacing w:line="400" w:lineRule="exact"/>
        <w:ind w:firstLine="480" w:firstLineChars="200"/>
        <w:rPr>
          <w:szCs w:val="21"/>
        </w:rPr>
      </w:pPr>
      <w:r>
        <w:rPr>
          <w:rFonts w:hint="eastAsia"/>
          <w:szCs w:val="21"/>
        </w:rPr>
        <w:t>（2）改变合同中任何一项工作的质量要求或其他特性；</w:t>
      </w:r>
    </w:p>
    <w:p>
      <w:pPr>
        <w:spacing w:line="400" w:lineRule="exact"/>
        <w:ind w:firstLine="480" w:firstLineChars="200"/>
        <w:rPr>
          <w:szCs w:val="21"/>
        </w:rPr>
      </w:pPr>
      <w:r>
        <w:rPr>
          <w:rFonts w:hint="eastAsia"/>
          <w:szCs w:val="21"/>
        </w:rPr>
        <w:t>（3）发包人迟延提供材料、工程设备或变更交货地点的；</w:t>
      </w:r>
    </w:p>
    <w:p>
      <w:pPr>
        <w:spacing w:line="400" w:lineRule="exact"/>
        <w:ind w:firstLine="480" w:firstLineChars="200"/>
        <w:rPr>
          <w:szCs w:val="21"/>
        </w:rPr>
      </w:pPr>
      <w:r>
        <w:rPr>
          <w:rFonts w:hint="eastAsia"/>
          <w:szCs w:val="21"/>
        </w:rPr>
        <w:t>（4）因发包人原因导致的暂停施工；</w:t>
      </w:r>
    </w:p>
    <w:p>
      <w:pPr>
        <w:spacing w:line="400" w:lineRule="exact"/>
        <w:ind w:firstLine="480" w:firstLineChars="200"/>
        <w:rPr>
          <w:szCs w:val="21"/>
        </w:rPr>
      </w:pPr>
      <w:r>
        <w:rPr>
          <w:rFonts w:hint="eastAsia"/>
          <w:szCs w:val="21"/>
        </w:rPr>
        <w:t>（5）提供图纸延误；</w:t>
      </w:r>
    </w:p>
    <w:p>
      <w:pPr>
        <w:spacing w:line="400" w:lineRule="exact"/>
        <w:ind w:firstLine="480" w:firstLineChars="200"/>
        <w:rPr>
          <w:szCs w:val="21"/>
        </w:rPr>
      </w:pPr>
      <w:r>
        <w:rPr>
          <w:rFonts w:hint="eastAsia"/>
          <w:szCs w:val="21"/>
        </w:rPr>
        <w:t>（6）未按合同约定及时支付预付款、进度款；</w:t>
      </w:r>
    </w:p>
    <w:p>
      <w:pPr>
        <w:spacing w:line="400" w:lineRule="exact"/>
        <w:ind w:firstLine="480" w:firstLineChars="200"/>
        <w:rPr>
          <w:szCs w:val="21"/>
        </w:rPr>
      </w:pPr>
      <w:r>
        <w:rPr>
          <w:rFonts w:hint="eastAsia"/>
          <w:szCs w:val="21"/>
        </w:rPr>
        <w:t>（7）发包人造成工期延误的其他原因。</w:t>
      </w:r>
    </w:p>
    <w:p>
      <w:pPr>
        <w:spacing w:line="400" w:lineRule="exact"/>
        <w:ind w:firstLine="480" w:firstLineChars="200"/>
        <w:rPr>
          <w:szCs w:val="21"/>
        </w:rPr>
      </w:pPr>
      <w:r>
        <w:rPr>
          <w:rFonts w:hint="eastAsia"/>
          <w:szCs w:val="21"/>
        </w:rPr>
        <w:t>11.4 异常恶劣的气候条件</w:t>
      </w:r>
    </w:p>
    <w:p>
      <w:pPr>
        <w:spacing w:line="400" w:lineRule="exact"/>
        <w:ind w:firstLine="480" w:firstLineChars="200"/>
        <w:rPr>
          <w:szCs w:val="21"/>
        </w:rPr>
      </w:pPr>
      <w:r>
        <w:rPr>
          <w:rFonts w:hint="eastAsia"/>
          <w:szCs w:val="21"/>
        </w:rPr>
        <w:t>由于出现专用合同条款规定的异常恶劣气候的条件导致工期延误的，承包人有权要求发包人延长工期。</w:t>
      </w:r>
    </w:p>
    <w:p>
      <w:pPr>
        <w:spacing w:line="400" w:lineRule="exact"/>
        <w:ind w:firstLine="480" w:firstLineChars="200"/>
        <w:rPr>
          <w:szCs w:val="21"/>
        </w:rPr>
      </w:pPr>
      <w:r>
        <w:rPr>
          <w:rFonts w:hint="eastAsia"/>
          <w:szCs w:val="21"/>
        </w:rPr>
        <w:t>11.5 承包人的工期延误</w:t>
      </w:r>
    </w:p>
    <w:p>
      <w:pPr>
        <w:spacing w:line="400" w:lineRule="exact"/>
        <w:ind w:firstLine="480" w:firstLineChars="200"/>
        <w:rPr>
          <w:szCs w:val="21"/>
        </w:rPr>
      </w:pPr>
      <w:r>
        <w:rPr>
          <w:rFonts w:hint="eastAsia"/>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spacing w:line="400" w:lineRule="exact"/>
        <w:ind w:firstLine="480" w:firstLineChars="200"/>
        <w:rPr>
          <w:szCs w:val="21"/>
        </w:rPr>
      </w:pPr>
      <w:r>
        <w:rPr>
          <w:rFonts w:hint="eastAsia"/>
          <w:szCs w:val="21"/>
        </w:rPr>
        <w:t>11.6 工期提前</w:t>
      </w:r>
    </w:p>
    <w:p>
      <w:pPr>
        <w:spacing w:line="400" w:lineRule="exact"/>
        <w:ind w:firstLine="480" w:firstLineChars="200"/>
        <w:rPr>
          <w:szCs w:val="21"/>
        </w:rPr>
      </w:pPr>
      <w:r>
        <w:rPr>
          <w:rFonts w:hint="eastAsia"/>
          <w:szCs w:val="21"/>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spacing w:line="400" w:lineRule="exact"/>
        <w:ind w:firstLine="480" w:firstLineChars="200"/>
        <w:rPr>
          <w:szCs w:val="21"/>
        </w:rPr>
      </w:pPr>
      <w:r>
        <w:rPr>
          <w:rFonts w:hint="eastAsia"/>
          <w:szCs w:val="21"/>
        </w:rPr>
        <w:t>12. 暂停施工</w:t>
      </w:r>
    </w:p>
    <w:p>
      <w:pPr>
        <w:spacing w:line="400" w:lineRule="exact"/>
        <w:ind w:firstLine="480" w:firstLineChars="200"/>
        <w:rPr>
          <w:szCs w:val="21"/>
        </w:rPr>
      </w:pPr>
      <w:r>
        <w:rPr>
          <w:rFonts w:hint="eastAsia"/>
          <w:szCs w:val="21"/>
        </w:rPr>
        <w:t>12.1 承包人暂停施工的责任</w:t>
      </w:r>
    </w:p>
    <w:p>
      <w:pPr>
        <w:spacing w:line="400" w:lineRule="exact"/>
        <w:ind w:firstLine="480" w:firstLineChars="200"/>
        <w:rPr>
          <w:szCs w:val="21"/>
        </w:rPr>
      </w:pPr>
      <w:r>
        <w:rPr>
          <w:rFonts w:hint="eastAsia"/>
          <w:szCs w:val="21"/>
        </w:rPr>
        <w:t>因下列暂停施工增加的费用和（或）工期延误由承包人承担：</w:t>
      </w:r>
    </w:p>
    <w:p>
      <w:pPr>
        <w:spacing w:line="400" w:lineRule="exact"/>
        <w:ind w:firstLine="480" w:firstLineChars="200"/>
        <w:rPr>
          <w:szCs w:val="21"/>
        </w:rPr>
      </w:pPr>
      <w:r>
        <w:rPr>
          <w:rFonts w:hint="eastAsia"/>
          <w:szCs w:val="21"/>
        </w:rPr>
        <w:t>（1）承包人违约引起的暂停施工；</w:t>
      </w:r>
    </w:p>
    <w:p>
      <w:pPr>
        <w:spacing w:line="400" w:lineRule="exact"/>
        <w:ind w:firstLine="480" w:firstLineChars="200"/>
        <w:rPr>
          <w:szCs w:val="21"/>
        </w:rPr>
      </w:pPr>
      <w:r>
        <w:rPr>
          <w:rFonts w:hint="eastAsia"/>
          <w:szCs w:val="21"/>
        </w:rPr>
        <w:t>（2）由于承包人原因为工程合理施工和安全保障所必需的暂停施工；</w:t>
      </w:r>
    </w:p>
    <w:p>
      <w:pPr>
        <w:spacing w:line="400" w:lineRule="exact"/>
        <w:ind w:firstLine="480" w:firstLineChars="200"/>
        <w:rPr>
          <w:szCs w:val="21"/>
        </w:rPr>
      </w:pPr>
      <w:r>
        <w:rPr>
          <w:rFonts w:hint="eastAsia"/>
          <w:szCs w:val="21"/>
        </w:rPr>
        <w:t>（3）承包人擅自暂停施工；</w:t>
      </w:r>
    </w:p>
    <w:p>
      <w:pPr>
        <w:spacing w:line="400" w:lineRule="exact"/>
        <w:ind w:firstLine="480" w:firstLineChars="200"/>
        <w:rPr>
          <w:szCs w:val="21"/>
        </w:rPr>
      </w:pPr>
      <w:r>
        <w:rPr>
          <w:rFonts w:hint="eastAsia"/>
          <w:szCs w:val="21"/>
        </w:rPr>
        <w:t>（4）承包人其他原因引起的暂停施工；</w:t>
      </w:r>
    </w:p>
    <w:p>
      <w:pPr>
        <w:spacing w:line="400" w:lineRule="exact"/>
        <w:ind w:firstLine="480" w:firstLineChars="200"/>
        <w:rPr>
          <w:szCs w:val="21"/>
        </w:rPr>
      </w:pPr>
      <w:r>
        <w:rPr>
          <w:rFonts w:hint="eastAsia"/>
          <w:szCs w:val="21"/>
        </w:rPr>
        <w:t>（5）专用合同条款约定由承包人承担的其他暂停施工。</w:t>
      </w:r>
    </w:p>
    <w:p>
      <w:pPr>
        <w:spacing w:line="400" w:lineRule="exact"/>
        <w:ind w:firstLine="480" w:firstLineChars="200"/>
        <w:rPr>
          <w:szCs w:val="21"/>
        </w:rPr>
      </w:pPr>
      <w:r>
        <w:rPr>
          <w:rFonts w:hint="eastAsia"/>
          <w:szCs w:val="21"/>
        </w:rPr>
        <w:t>12.2 发包人暂停施工的责任</w:t>
      </w:r>
    </w:p>
    <w:p>
      <w:pPr>
        <w:spacing w:line="400" w:lineRule="exact"/>
        <w:ind w:firstLine="480" w:firstLineChars="200"/>
        <w:rPr>
          <w:szCs w:val="21"/>
        </w:rPr>
      </w:pPr>
      <w:r>
        <w:rPr>
          <w:rFonts w:hint="eastAsia"/>
          <w:szCs w:val="21"/>
        </w:rPr>
        <w:t>由于发包人原因引起的暂停施工造成工期延误的，承包人有权要求发包人延长工期和（或）增加费用，并支付合理利润。</w:t>
      </w:r>
    </w:p>
    <w:p>
      <w:pPr>
        <w:spacing w:line="400" w:lineRule="exact"/>
        <w:ind w:firstLine="480" w:firstLineChars="200"/>
        <w:rPr>
          <w:szCs w:val="21"/>
        </w:rPr>
      </w:pPr>
      <w:r>
        <w:rPr>
          <w:rFonts w:hint="eastAsia"/>
          <w:szCs w:val="21"/>
        </w:rPr>
        <w:t>12.3 监理人暂停施工指示</w:t>
      </w:r>
    </w:p>
    <w:p>
      <w:pPr>
        <w:spacing w:line="400" w:lineRule="exact"/>
        <w:ind w:firstLine="480" w:firstLineChars="200"/>
        <w:rPr>
          <w:szCs w:val="21"/>
        </w:rPr>
      </w:pPr>
      <w:r>
        <w:rPr>
          <w:rFonts w:hint="eastAsia"/>
          <w:szCs w:val="21"/>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80" w:firstLineChars="200"/>
        <w:rPr>
          <w:szCs w:val="21"/>
        </w:rPr>
      </w:pPr>
      <w:r>
        <w:rPr>
          <w:rFonts w:hint="eastAsia"/>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400" w:lineRule="exact"/>
        <w:ind w:firstLine="480" w:firstLineChars="200"/>
        <w:rPr>
          <w:szCs w:val="21"/>
        </w:rPr>
      </w:pPr>
      <w:r>
        <w:rPr>
          <w:rFonts w:hint="eastAsia"/>
          <w:szCs w:val="21"/>
        </w:rPr>
        <w:t>12.4 暂停施工后的复工</w:t>
      </w:r>
    </w:p>
    <w:p>
      <w:pPr>
        <w:spacing w:line="400" w:lineRule="exact"/>
        <w:ind w:firstLine="480" w:firstLineChars="200"/>
        <w:rPr>
          <w:szCs w:val="21"/>
        </w:rPr>
      </w:pPr>
      <w:r>
        <w:rPr>
          <w:rFonts w:hint="eastAsia"/>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80" w:firstLineChars="200"/>
        <w:rPr>
          <w:szCs w:val="21"/>
        </w:rPr>
      </w:pPr>
      <w:r>
        <w:rPr>
          <w:rFonts w:hint="eastAsia"/>
          <w:szCs w:val="21"/>
        </w:rPr>
        <w:t>12.4.2 承包人无故拖延和拒绝复工的，由此增加的费用和工期延误由承包人承担；因发包人原因无法按时复工的，承包人有权要求发包人延长工期和（或）增加费用，并支付合理利润。</w:t>
      </w:r>
    </w:p>
    <w:p>
      <w:pPr>
        <w:spacing w:line="400" w:lineRule="exact"/>
        <w:ind w:firstLine="480" w:firstLineChars="200"/>
        <w:rPr>
          <w:szCs w:val="21"/>
        </w:rPr>
      </w:pPr>
      <w:r>
        <w:rPr>
          <w:rFonts w:hint="eastAsia"/>
          <w:szCs w:val="21"/>
        </w:rPr>
        <w:t>12.5 暂停施工持续56天以上</w:t>
      </w:r>
    </w:p>
    <w:p>
      <w:pPr>
        <w:spacing w:line="400" w:lineRule="exact"/>
        <w:ind w:firstLine="480" w:firstLineChars="200"/>
        <w:rPr>
          <w:szCs w:val="21"/>
        </w:rPr>
      </w:pPr>
      <w:r>
        <w:rPr>
          <w:rFonts w:hint="eastAsia"/>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spacing w:line="400" w:lineRule="exact"/>
        <w:ind w:firstLine="480" w:firstLineChars="200"/>
        <w:rPr>
          <w:szCs w:val="21"/>
        </w:rPr>
      </w:pPr>
      <w:r>
        <w:rPr>
          <w:rFonts w:hint="eastAsia"/>
          <w:szCs w:val="21"/>
        </w:rPr>
        <w:t>12.5.2 由于承包人责任引起的暂停施工，如承包人在收到监理人暂停施工指示后56天内不认真采取有效的复工措施，造成工期延误，可视为承包人违约，应按第22.1款的规定办理。</w:t>
      </w:r>
    </w:p>
    <w:p>
      <w:pPr>
        <w:spacing w:line="400" w:lineRule="exact"/>
        <w:ind w:firstLine="480" w:firstLineChars="200"/>
        <w:rPr>
          <w:szCs w:val="21"/>
        </w:rPr>
      </w:pPr>
      <w:r>
        <w:rPr>
          <w:rFonts w:hint="eastAsia"/>
          <w:szCs w:val="21"/>
        </w:rPr>
        <w:t>13. 工程质量</w:t>
      </w:r>
    </w:p>
    <w:p>
      <w:pPr>
        <w:spacing w:line="400" w:lineRule="exact"/>
        <w:ind w:firstLine="480" w:firstLineChars="200"/>
        <w:rPr>
          <w:szCs w:val="21"/>
        </w:rPr>
      </w:pPr>
      <w:r>
        <w:rPr>
          <w:rFonts w:hint="eastAsia"/>
          <w:szCs w:val="21"/>
        </w:rPr>
        <w:t>13.1 工程质量要求</w:t>
      </w:r>
    </w:p>
    <w:p>
      <w:pPr>
        <w:spacing w:line="400" w:lineRule="exact"/>
        <w:ind w:firstLine="480" w:firstLineChars="200"/>
        <w:rPr>
          <w:szCs w:val="21"/>
        </w:rPr>
      </w:pPr>
      <w:r>
        <w:rPr>
          <w:rFonts w:hint="eastAsia"/>
          <w:szCs w:val="21"/>
        </w:rPr>
        <w:t>13.1.1 工程质量验收按合同约定验收标准执行。</w:t>
      </w:r>
    </w:p>
    <w:p>
      <w:pPr>
        <w:spacing w:line="400" w:lineRule="exact"/>
        <w:ind w:firstLine="480" w:firstLineChars="200"/>
        <w:rPr>
          <w:szCs w:val="21"/>
        </w:rPr>
      </w:pPr>
      <w:r>
        <w:rPr>
          <w:rFonts w:hint="eastAsia"/>
          <w:szCs w:val="21"/>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80" w:firstLineChars="200"/>
        <w:rPr>
          <w:szCs w:val="21"/>
        </w:rPr>
      </w:pPr>
      <w:r>
        <w:rPr>
          <w:rFonts w:hint="eastAsia"/>
          <w:szCs w:val="21"/>
        </w:rPr>
        <w:t>13.1.3 因发包人原因造成工程质量达不到合同约定验收标准的，发包人应承担由于承包人返工造成的费用增加和（或）工期延误，并支付承包人合理利润。</w:t>
      </w:r>
    </w:p>
    <w:p>
      <w:pPr>
        <w:spacing w:line="400" w:lineRule="exact"/>
        <w:ind w:firstLine="480" w:firstLineChars="200"/>
        <w:rPr>
          <w:szCs w:val="21"/>
        </w:rPr>
      </w:pPr>
      <w:r>
        <w:rPr>
          <w:rFonts w:hint="eastAsia"/>
          <w:szCs w:val="21"/>
        </w:rPr>
        <w:t>13.2 承包人的质量管理</w:t>
      </w:r>
    </w:p>
    <w:p>
      <w:pPr>
        <w:spacing w:line="400" w:lineRule="exact"/>
        <w:ind w:firstLine="480" w:firstLineChars="200"/>
        <w:rPr>
          <w:szCs w:val="21"/>
        </w:rPr>
      </w:pPr>
      <w:r>
        <w:rPr>
          <w:rFonts w:hint="eastAsia"/>
          <w:szCs w:val="21"/>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80" w:firstLineChars="200"/>
        <w:rPr>
          <w:szCs w:val="21"/>
        </w:rPr>
      </w:pPr>
      <w:r>
        <w:rPr>
          <w:rFonts w:hint="eastAsia"/>
          <w:szCs w:val="21"/>
        </w:rPr>
        <w:t>13.2.2 承包人应加强对施工人员的质量教育和技术培训，定期考核施工人员的劳动技能，严格执行规范和操作规程。</w:t>
      </w:r>
    </w:p>
    <w:p>
      <w:pPr>
        <w:spacing w:line="400" w:lineRule="exact"/>
        <w:ind w:firstLine="480" w:firstLineChars="200"/>
        <w:rPr>
          <w:szCs w:val="21"/>
        </w:rPr>
      </w:pPr>
      <w:r>
        <w:rPr>
          <w:rFonts w:hint="eastAsia"/>
          <w:szCs w:val="21"/>
        </w:rPr>
        <w:t>13.3 承包人的质量检查</w:t>
      </w:r>
    </w:p>
    <w:p>
      <w:pPr>
        <w:spacing w:line="400" w:lineRule="exact"/>
        <w:ind w:firstLine="480" w:firstLineChars="200"/>
        <w:rPr>
          <w:szCs w:val="21"/>
        </w:rPr>
      </w:pPr>
      <w:r>
        <w:rPr>
          <w:rFonts w:hint="eastAsia"/>
          <w:szCs w:val="21"/>
        </w:rPr>
        <w:t>承包人应按合同约定对材料、工程设备以及工程的所有部位及其施工工艺进行全过程的质量检查和检验，并作详细记录，编制工程质量报表，报送监理人审查。</w:t>
      </w:r>
    </w:p>
    <w:p>
      <w:pPr>
        <w:spacing w:line="400" w:lineRule="exact"/>
        <w:ind w:firstLine="480" w:firstLineChars="200"/>
        <w:rPr>
          <w:szCs w:val="21"/>
        </w:rPr>
      </w:pPr>
      <w:r>
        <w:rPr>
          <w:rFonts w:hint="eastAsia"/>
          <w:szCs w:val="21"/>
        </w:rPr>
        <w:t>13.4 监理人的质量检查</w:t>
      </w:r>
    </w:p>
    <w:p>
      <w:pPr>
        <w:spacing w:line="400" w:lineRule="exact"/>
        <w:ind w:firstLine="480" w:firstLineChars="200"/>
        <w:rPr>
          <w:szCs w:val="21"/>
        </w:rPr>
      </w:pPr>
      <w:r>
        <w:rPr>
          <w:rFonts w:hint="eastAsia"/>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400" w:lineRule="exact"/>
        <w:ind w:firstLine="480" w:firstLineChars="200"/>
        <w:rPr>
          <w:szCs w:val="21"/>
        </w:rPr>
      </w:pPr>
      <w:r>
        <w:rPr>
          <w:rFonts w:hint="eastAsia"/>
          <w:szCs w:val="21"/>
        </w:rPr>
        <w:t>13.5 工程隐蔽部位覆盖前的检查</w:t>
      </w:r>
    </w:p>
    <w:p>
      <w:pPr>
        <w:spacing w:line="400" w:lineRule="exact"/>
        <w:ind w:firstLine="480" w:firstLineChars="200"/>
        <w:rPr>
          <w:szCs w:val="21"/>
        </w:rPr>
      </w:pPr>
      <w:r>
        <w:rPr>
          <w:rFonts w:hint="eastAsia"/>
          <w:szCs w:val="21"/>
        </w:rPr>
        <w:t>13.5.1 通知监理人检查</w:t>
      </w:r>
    </w:p>
    <w:p>
      <w:pPr>
        <w:spacing w:line="400" w:lineRule="exact"/>
        <w:ind w:firstLine="480" w:firstLineChars="200"/>
        <w:rPr>
          <w:szCs w:val="21"/>
        </w:rPr>
      </w:pPr>
      <w:r>
        <w:rPr>
          <w:rFonts w:hint="eastAsia"/>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80" w:firstLineChars="200"/>
        <w:rPr>
          <w:szCs w:val="21"/>
        </w:rPr>
      </w:pPr>
      <w:r>
        <w:rPr>
          <w:rFonts w:hint="eastAsia"/>
          <w:szCs w:val="21"/>
        </w:rPr>
        <w:t>13.5.2 监理人未到场检查</w:t>
      </w:r>
    </w:p>
    <w:p>
      <w:pPr>
        <w:spacing w:line="400" w:lineRule="exact"/>
        <w:ind w:firstLine="480" w:firstLineChars="200"/>
        <w:rPr>
          <w:szCs w:val="21"/>
        </w:rPr>
      </w:pPr>
      <w:r>
        <w:rPr>
          <w:rFonts w:hint="eastAsia"/>
          <w:szCs w:val="21"/>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80" w:firstLineChars="200"/>
        <w:rPr>
          <w:szCs w:val="21"/>
        </w:rPr>
      </w:pPr>
      <w:r>
        <w:rPr>
          <w:rFonts w:hint="eastAsia"/>
          <w:szCs w:val="21"/>
        </w:rPr>
        <w:t>13.5.3 监理人重新检查</w:t>
      </w:r>
    </w:p>
    <w:p>
      <w:pPr>
        <w:spacing w:line="400" w:lineRule="exact"/>
        <w:ind w:firstLine="480" w:firstLineChars="200"/>
        <w:rPr>
          <w:szCs w:val="21"/>
        </w:rPr>
      </w:pPr>
      <w:r>
        <w:rPr>
          <w:rFonts w:hint="eastAsia"/>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80" w:firstLineChars="200"/>
        <w:rPr>
          <w:szCs w:val="21"/>
        </w:rPr>
      </w:pPr>
      <w:r>
        <w:rPr>
          <w:rFonts w:hint="eastAsia"/>
          <w:szCs w:val="21"/>
        </w:rPr>
        <w:t>13.5.4 承包人私自覆盖</w:t>
      </w:r>
    </w:p>
    <w:p>
      <w:pPr>
        <w:spacing w:line="400" w:lineRule="exact"/>
        <w:ind w:firstLine="480" w:firstLineChars="200"/>
        <w:rPr>
          <w:szCs w:val="21"/>
        </w:rPr>
      </w:pPr>
      <w:r>
        <w:rPr>
          <w:rFonts w:hint="eastAsia"/>
          <w:szCs w:val="21"/>
        </w:rPr>
        <w:t>承包人未通知监理人到场检查，私自将工程隐蔽部位覆盖的，监理人有权指示承包人钻孔探测或揭开检查，由此增加的费用和（或）工期延误由承包人承担。</w:t>
      </w:r>
    </w:p>
    <w:p>
      <w:pPr>
        <w:spacing w:line="400" w:lineRule="exact"/>
        <w:ind w:firstLine="480" w:firstLineChars="200"/>
        <w:rPr>
          <w:szCs w:val="21"/>
        </w:rPr>
      </w:pPr>
      <w:r>
        <w:rPr>
          <w:rFonts w:hint="eastAsia"/>
          <w:szCs w:val="21"/>
        </w:rPr>
        <w:t>13.6 清除不合格工程</w:t>
      </w:r>
    </w:p>
    <w:p>
      <w:pPr>
        <w:spacing w:line="400" w:lineRule="exact"/>
        <w:ind w:firstLine="480" w:firstLineChars="200"/>
        <w:rPr>
          <w:szCs w:val="21"/>
        </w:rPr>
      </w:pPr>
      <w:r>
        <w:rPr>
          <w:rFonts w:hint="eastAsia"/>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80" w:firstLineChars="200"/>
        <w:rPr>
          <w:szCs w:val="21"/>
        </w:rPr>
      </w:pPr>
      <w:r>
        <w:rPr>
          <w:rFonts w:hint="eastAsia"/>
          <w:szCs w:val="21"/>
        </w:rPr>
        <w:t>13.6.2 由于发包人提供的材料或工程设备不合格造成的工程不合格，需要承包人采取措施补救的，发包人应承担由此增加的费用和（或）工期延误，并支付承包人合理利润。</w:t>
      </w:r>
    </w:p>
    <w:p>
      <w:pPr>
        <w:spacing w:line="400" w:lineRule="exact"/>
        <w:ind w:firstLine="480" w:firstLineChars="200"/>
        <w:rPr>
          <w:szCs w:val="21"/>
        </w:rPr>
      </w:pPr>
      <w:r>
        <w:rPr>
          <w:rFonts w:hint="eastAsia"/>
          <w:szCs w:val="21"/>
        </w:rPr>
        <w:t>14. 试验和检验</w:t>
      </w:r>
    </w:p>
    <w:p>
      <w:pPr>
        <w:spacing w:line="400" w:lineRule="exact"/>
        <w:ind w:firstLine="480" w:firstLineChars="200"/>
        <w:rPr>
          <w:szCs w:val="21"/>
        </w:rPr>
      </w:pPr>
      <w:r>
        <w:rPr>
          <w:rFonts w:hint="eastAsia"/>
          <w:szCs w:val="21"/>
        </w:rPr>
        <w:t>14.1 材料、工程设备和工程的试验和检验</w:t>
      </w:r>
    </w:p>
    <w:p>
      <w:pPr>
        <w:spacing w:line="400" w:lineRule="exact"/>
        <w:ind w:firstLine="480" w:firstLineChars="200"/>
        <w:rPr>
          <w:szCs w:val="21"/>
        </w:rPr>
      </w:pPr>
      <w:r>
        <w:rPr>
          <w:rFonts w:hint="eastAsia"/>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80" w:firstLineChars="200"/>
        <w:rPr>
          <w:szCs w:val="21"/>
        </w:rPr>
      </w:pPr>
      <w:r>
        <w:rPr>
          <w:rFonts w:hint="eastAsia"/>
          <w:szCs w:val="21"/>
        </w:rPr>
        <w:t>14.1.2 监理人未按合同约定派员参加试验和检验的，除监理人另有指示外，承包人可自行试验和检验，并应立即将试验和检验结果报送监理人，监理人应签字确认。</w:t>
      </w:r>
    </w:p>
    <w:p>
      <w:pPr>
        <w:spacing w:line="400" w:lineRule="exact"/>
        <w:ind w:firstLine="480" w:firstLineChars="200"/>
        <w:rPr>
          <w:szCs w:val="21"/>
        </w:rPr>
      </w:pPr>
      <w:r>
        <w:rPr>
          <w:rFonts w:hint="eastAsia"/>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line="400" w:lineRule="exact"/>
        <w:ind w:firstLine="480" w:firstLineChars="200"/>
        <w:rPr>
          <w:szCs w:val="21"/>
        </w:rPr>
      </w:pPr>
      <w:r>
        <w:rPr>
          <w:rFonts w:hint="eastAsia"/>
          <w:szCs w:val="21"/>
        </w:rPr>
        <w:t>14.2 现场材料试验</w:t>
      </w:r>
    </w:p>
    <w:p>
      <w:pPr>
        <w:spacing w:line="400" w:lineRule="exact"/>
        <w:ind w:firstLine="480" w:firstLineChars="200"/>
        <w:rPr>
          <w:szCs w:val="21"/>
        </w:rPr>
      </w:pPr>
      <w:r>
        <w:rPr>
          <w:rFonts w:hint="eastAsia"/>
          <w:szCs w:val="21"/>
        </w:rPr>
        <w:t>14.2.1 承包人根据合同约定或监理人指示进行的现场材料试验，应由承包人提供试验场所、试验人员、试验设备器材以及其他必要的试验条件。</w:t>
      </w:r>
    </w:p>
    <w:p>
      <w:pPr>
        <w:spacing w:line="400" w:lineRule="exact"/>
        <w:ind w:firstLine="480" w:firstLineChars="200"/>
        <w:rPr>
          <w:szCs w:val="21"/>
        </w:rPr>
      </w:pPr>
      <w:r>
        <w:rPr>
          <w:rFonts w:hint="eastAsia"/>
          <w:szCs w:val="21"/>
        </w:rPr>
        <w:t>14.2.2 监理人在必要时可以使用承包人的试验场所、试验设备器材以及其他试验条件，进行以工程质量检查为目的的复核性材料试验，承包人应予以协助。</w:t>
      </w:r>
    </w:p>
    <w:p>
      <w:pPr>
        <w:spacing w:line="400" w:lineRule="exact"/>
        <w:ind w:firstLine="480" w:firstLineChars="200"/>
        <w:rPr>
          <w:szCs w:val="21"/>
        </w:rPr>
      </w:pPr>
      <w:r>
        <w:rPr>
          <w:rFonts w:hint="eastAsia"/>
          <w:szCs w:val="21"/>
        </w:rPr>
        <w:t>14.3 现场工艺试验</w:t>
      </w:r>
    </w:p>
    <w:p>
      <w:pPr>
        <w:spacing w:line="400" w:lineRule="exact"/>
        <w:ind w:firstLine="480" w:firstLineChars="200"/>
        <w:rPr>
          <w:szCs w:val="21"/>
        </w:rPr>
      </w:pPr>
      <w:r>
        <w:rPr>
          <w:rFonts w:hint="eastAsia"/>
          <w:szCs w:val="21"/>
        </w:rPr>
        <w:t>承包人应按合同约定或监理人指示进行现场工艺试验。对大型的现场工艺试验，监理人认为必要时，应由承包人根据监理人提出的工艺试验要求，编制工艺试验措施计划，报送监理人审批。</w:t>
      </w:r>
    </w:p>
    <w:p>
      <w:pPr>
        <w:spacing w:line="400" w:lineRule="exact"/>
        <w:ind w:firstLine="480" w:firstLineChars="200"/>
        <w:rPr>
          <w:szCs w:val="21"/>
        </w:rPr>
      </w:pPr>
      <w:r>
        <w:rPr>
          <w:rFonts w:hint="eastAsia"/>
          <w:szCs w:val="21"/>
        </w:rPr>
        <w:t>15. 变更</w:t>
      </w:r>
    </w:p>
    <w:p>
      <w:pPr>
        <w:spacing w:line="400" w:lineRule="exact"/>
        <w:ind w:firstLine="480" w:firstLineChars="200"/>
        <w:rPr>
          <w:szCs w:val="21"/>
        </w:rPr>
      </w:pPr>
      <w:r>
        <w:rPr>
          <w:rFonts w:hint="eastAsia"/>
          <w:szCs w:val="21"/>
        </w:rPr>
        <w:t>15.1 变更的范围和内容</w:t>
      </w:r>
    </w:p>
    <w:p>
      <w:pPr>
        <w:spacing w:line="400" w:lineRule="exact"/>
        <w:ind w:firstLine="480" w:firstLineChars="200"/>
        <w:rPr>
          <w:szCs w:val="21"/>
        </w:rPr>
      </w:pPr>
      <w:r>
        <w:rPr>
          <w:rFonts w:hint="eastAsia"/>
          <w:szCs w:val="21"/>
        </w:rPr>
        <w:t>除专用合同条款另有约定外，在履行合同中发生以下情形之一，应按照本条规定进行变更。</w:t>
      </w:r>
    </w:p>
    <w:p>
      <w:pPr>
        <w:spacing w:line="400" w:lineRule="exact"/>
        <w:ind w:firstLine="480" w:firstLineChars="200"/>
        <w:rPr>
          <w:szCs w:val="21"/>
        </w:rPr>
      </w:pPr>
      <w:r>
        <w:rPr>
          <w:rFonts w:hint="eastAsia"/>
          <w:szCs w:val="21"/>
        </w:rPr>
        <w:t>（1）取消合同中任何一项工作，但被取消的工作不能转由发包人或其他人实施；</w:t>
      </w:r>
    </w:p>
    <w:p>
      <w:pPr>
        <w:spacing w:line="400" w:lineRule="exact"/>
        <w:ind w:firstLine="480" w:firstLineChars="200"/>
        <w:rPr>
          <w:szCs w:val="21"/>
        </w:rPr>
      </w:pPr>
      <w:r>
        <w:rPr>
          <w:rFonts w:hint="eastAsia"/>
          <w:szCs w:val="21"/>
        </w:rPr>
        <w:t>（2）改变合同中任何一项工作的质量或其他特性；</w:t>
      </w:r>
    </w:p>
    <w:p>
      <w:pPr>
        <w:spacing w:line="400" w:lineRule="exact"/>
        <w:ind w:firstLine="480" w:firstLineChars="200"/>
        <w:rPr>
          <w:szCs w:val="21"/>
        </w:rPr>
      </w:pPr>
      <w:r>
        <w:rPr>
          <w:rFonts w:hint="eastAsia"/>
          <w:szCs w:val="21"/>
        </w:rPr>
        <w:t>（3）改变合同工程的基线、标高、位置或尺寸；</w:t>
      </w:r>
    </w:p>
    <w:p>
      <w:pPr>
        <w:spacing w:line="400" w:lineRule="exact"/>
        <w:ind w:firstLine="480" w:firstLineChars="200"/>
        <w:rPr>
          <w:szCs w:val="21"/>
        </w:rPr>
      </w:pPr>
      <w:r>
        <w:rPr>
          <w:rFonts w:hint="eastAsia"/>
          <w:szCs w:val="21"/>
        </w:rPr>
        <w:t>（4）改变合同中任何一项工作的施工时间或改变已批准的施工工艺或顺序；</w:t>
      </w:r>
    </w:p>
    <w:p>
      <w:pPr>
        <w:spacing w:line="400" w:lineRule="exact"/>
        <w:ind w:firstLine="480" w:firstLineChars="200"/>
        <w:rPr>
          <w:szCs w:val="21"/>
        </w:rPr>
      </w:pPr>
      <w:r>
        <w:rPr>
          <w:rFonts w:hint="eastAsia"/>
          <w:szCs w:val="21"/>
        </w:rPr>
        <w:t>（5）为完成工程需要追加的额外工作。</w:t>
      </w:r>
    </w:p>
    <w:p>
      <w:pPr>
        <w:spacing w:line="400" w:lineRule="exact"/>
        <w:ind w:firstLine="480" w:firstLineChars="200"/>
        <w:rPr>
          <w:szCs w:val="21"/>
        </w:rPr>
      </w:pPr>
      <w:r>
        <w:rPr>
          <w:rFonts w:hint="eastAsia"/>
          <w:szCs w:val="21"/>
        </w:rPr>
        <w:t>15.2 变更权</w:t>
      </w:r>
    </w:p>
    <w:p>
      <w:pPr>
        <w:spacing w:line="400" w:lineRule="exact"/>
        <w:ind w:firstLine="480" w:firstLineChars="200"/>
        <w:rPr>
          <w:szCs w:val="21"/>
        </w:rPr>
      </w:pPr>
      <w:r>
        <w:rPr>
          <w:rFonts w:hint="eastAsia"/>
          <w:szCs w:val="21"/>
        </w:rPr>
        <w:t>在履行合同过程中，经发包人同意，监理人可按第15.3款约定的变更程序向承包人作出变更指示，承包人应遵照执行。没有监理人的变更指示，承包人不得擅自变更。</w:t>
      </w:r>
    </w:p>
    <w:p>
      <w:pPr>
        <w:spacing w:line="400" w:lineRule="exact"/>
        <w:ind w:firstLine="480" w:firstLineChars="200"/>
        <w:rPr>
          <w:szCs w:val="21"/>
        </w:rPr>
      </w:pPr>
      <w:r>
        <w:rPr>
          <w:rFonts w:hint="eastAsia"/>
          <w:szCs w:val="21"/>
        </w:rPr>
        <w:t>15.3 变更程序</w:t>
      </w:r>
    </w:p>
    <w:p>
      <w:pPr>
        <w:spacing w:line="400" w:lineRule="exact"/>
        <w:ind w:firstLine="480" w:firstLineChars="200"/>
        <w:rPr>
          <w:szCs w:val="21"/>
        </w:rPr>
      </w:pPr>
      <w:r>
        <w:rPr>
          <w:rFonts w:hint="eastAsia"/>
          <w:szCs w:val="21"/>
        </w:rPr>
        <w:t>15.3.1 变更的提出</w:t>
      </w:r>
    </w:p>
    <w:p>
      <w:pPr>
        <w:spacing w:line="400" w:lineRule="exact"/>
        <w:ind w:firstLine="480" w:firstLineChars="200"/>
        <w:rPr>
          <w:szCs w:val="21"/>
        </w:rPr>
      </w:pPr>
      <w:r>
        <w:rPr>
          <w:rFonts w:hint="eastAsia"/>
          <w:szCs w:val="21"/>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80" w:firstLineChars="200"/>
        <w:rPr>
          <w:szCs w:val="21"/>
        </w:rPr>
      </w:pPr>
      <w:r>
        <w:rPr>
          <w:rFonts w:hint="eastAsia"/>
          <w:szCs w:val="21"/>
        </w:rPr>
        <w:t>（2）在合同履行过程中，发生第15.1款约定情形的，监理人应按照第15.3.3项约定向承包人发出变更指示。</w:t>
      </w:r>
    </w:p>
    <w:p>
      <w:pPr>
        <w:spacing w:line="400" w:lineRule="exact"/>
        <w:ind w:firstLine="480" w:firstLineChars="200"/>
        <w:rPr>
          <w:szCs w:val="21"/>
        </w:rPr>
      </w:pPr>
      <w:r>
        <w:rPr>
          <w:rFonts w:hint="eastAsia"/>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80" w:firstLineChars="200"/>
        <w:rPr>
          <w:szCs w:val="21"/>
        </w:rPr>
      </w:pPr>
      <w:r>
        <w:rPr>
          <w:rFonts w:hint="eastAsia"/>
          <w:szCs w:val="21"/>
        </w:rPr>
        <w:t>（4）若承包人收到监理人的变更意向书后认为难以实施此项变更，应立即通知监理人，说明原因并附详细依据。监理人与承包人和发包人协商后确定撤销、改变或不改变原变更意向书。</w:t>
      </w:r>
    </w:p>
    <w:p>
      <w:pPr>
        <w:spacing w:line="400" w:lineRule="exact"/>
        <w:ind w:firstLine="480" w:firstLineChars="200"/>
        <w:rPr>
          <w:szCs w:val="21"/>
        </w:rPr>
      </w:pPr>
      <w:r>
        <w:rPr>
          <w:rFonts w:hint="eastAsia"/>
          <w:szCs w:val="21"/>
        </w:rPr>
        <w:t>15.3.2 变更估价</w:t>
      </w:r>
    </w:p>
    <w:p>
      <w:pPr>
        <w:spacing w:line="400" w:lineRule="exact"/>
        <w:ind w:firstLine="480" w:firstLineChars="200"/>
        <w:rPr>
          <w:szCs w:val="21"/>
        </w:rPr>
      </w:pPr>
      <w:r>
        <w:rPr>
          <w:rFonts w:hint="eastAsia"/>
          <w:szCs w:val="21"/>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80" w:firstLineChars="200"/>
        <w:rPr>
          <w:szCs w:val="21"/>
        </w:rPr>
      </w:pPr>
      <w:r>
        <w:rPr>
          <w:rFonts w:hint="eastAsia"/>
          <w:szCs w:val="21"/>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80" w:firstLineChars="200"/>
        <w:rPr>
          <w:szCs w:val="21"/>
        </w:rPr>
      </w:pPr>
      <w:r>
        <w:rPr>
          <w:rFonts w:hint="eastAsia"/>
          <w:szCs w:val="21"/>
        </w:rPr>
        <w:t>（3）除专用合同条款对期限另有约定外，监理人收到承包人变更报价书后的14天内，根据第15.4款约定的估价原则，按照第3.5款商定或确定变更价格。</w:t>
      </w:r>
    </w:p>
    <w:p>
      <w:pPr>
        <w:spacing w:line="400" w:lineRule="exact"/>
        <w:ind w:firstLine="480" w:firstLineChars="200"/>
        <w:rPr>
          <w:szCs w:val="21"/>
        </w:rPr>
      </w:pPr>
      <w:r>
        <w:rPr>
          <w:rFonts w:hint="eastAsia"/>
          <w:szCs w:val="21"/>
        </w:rPr>
        <w:t>15.3.3 变更指示</w:t>
      </w:r>
    </w:p>
    <w:p>
      <w:pPr>
        <w:spacing w:line="400" w:lineRule="exact"/>
        <w:ind w:firstLine="480" w:firstLineChars="200"/>
        <w:rPr>
          <w:szCs w:val="21"/>
        </w:rPr>
      </w:pPr>
      <w:r>
        <w:rPr>
          <w:rFonts w:hint="eastAsia"/>
          <w:szCs w:val="21"/>
        </w:rPr>
        <w:t>（1）变更指示只能由监理人发出。</w:t>
      </w:r>
    </w:p>
    <w:p>
      <w:pPr>
        <w:spacing w:line="400" w:lineRule="exact"/>
        <w:ind w:firstLine="480" w:firstLineChars="200"/>
        <w:rPr>
          <w:szCs w:val="21"/>
        </w:rPr>
      </w:pPr>
      <w:r>
        <w:rPr>
          <w:rFonts w:hint="eastAsia"/>
          <w:szCs w:val="21"/>
        </w:rPr>
        <w:t>（2）变更指示应说明变更的目的、范围、变更内容以及变更的工程量及其进度和技术要求，并附有关图纸和文件。承包人收到变更指示后，应按变更指示进行变更工作。</w:t>
      </w:r>
    </w:p>
    <w:p>
      <w:pPr>
        <w:spacing w:line="400" w:lineRule="exact"/>
        <w:ind w:firstLine="480" w:firstLineChars="200"/>
        <w:rPr>
          <w:szCs w:val="21"/>
        </w:rPr>
      </w:pPr>
      <w:r>
        <w:rPr>
          <w:rFonts w:hint="eastAsia"/>
          <w:szCs w:val="21"/>
        </w:rPr>
        <w:t>15.4 变更的估价原则</w:t>
      </w:r>
    </w:p>
    <w:p>
      <w:pPr>
        <w:spacing w:line="400" w:lineRule="exact"/>
        <w:ind w:firstLine="480" w:firstLineChars="200"/>
        <w:rPr>
          <w:szCs w:val="21"/>
        </w:rPr>
      </w:pPr>
      <w:r>
        <w:rPr>
          <w:rFonts w:hint="eastAsia"/>
          <w:szCs w:val="21"/>
        </w:rPr>
        <w:t>除专用合同条款另有约定外，因变更引起的价格调整按照本款约定处理。</w:t>
      </w:r>
    </w:p>
    <w:p>
      <w:pPr>
        <w:spacing w:line="400" w:lineRule="exact"/>
        <w:ind w:firstLine="480" w:firstLineChars="200"/>
        <w:rPr>
          <w:szCs w:val="21"/>
        </w:rPr>
      </w:pPr>
      <w:r>
        <w:rPr>
          <w:rFonts w:hint="eastAsia"/>
          <w:szCs w:val="21"/>
        </w:rPr>
        <w:t>15.4.1 已标价工程量清单中有适用于变更工作的子目的，采用该子目的单价。</w:t>
      </w:r>
    </w:p>
    <w:p>
      <w:pPr>
        <w:spacing w:line="400" w:lineRule="exact"/>
        <w:ind w:firstLine="480" w:firstLineChars="200"/>
        <w:rPr>
          <w:szCs w:val="21"/>
        </w:rPr>
      </w:pPr>
      <w:r>
        <w:rPr>
          <w:rFonts w:hint="eastAsia"/>
          <w:szCs w:val="21"/>
        </w:rPr>
        <w:t>15.4.2 已标价工程量清单中无适用于变更工作的子目，但有类似子目的，可在合理范围内参照类似子目的单价，由监理人按第3.5款商定或确定变更工作的单价。</w:t>
      </w:r>
    </w:p>
    <w:p>
      <w:pPr>
        <w:spacing w:line="400" w:lineRule="exact"/>
        <w:ind w:firstLine="480" w:firstLineChars="200"/>
        <w:rPr>
          <w:szCs w:val="21"/>
        </w:rPr>
      </w:pPr>
      <w:r>
        <w:rPr>
          <w:rFonts w:hint="eastAsia"/>
          <w:szCs w:val="21"/>
        </w:rPr>
        <w:t>15.4.3 已标价工程量清单中无适用或类似子目的单价，可按照成本加利润的原则，由监理人按第3.5款商定或确定变更工作的单价。</w:t>
      </w:r>
    </w:p>
    <w:p>
      <w:pPr>
        <w:spacing w:line="400" w:lineRule="exact"/>
        <w:ind w:firstLine="480" w:firstLineChars="200"/>
        <w:rPr>
          <w:szCs w:val="21"/>
        </w:rPr>
      </w:pPr>
      <w:r>
        <w:rPr>
          <w:rFonts w:hint="eastAsia"/>
          <w:szCs w:val="21"/>
        </w:rPr>
        <w:t>15.5 承包人的合理化建议</w:t>
      </w:r>
    </w:p>
    <w:p>
      <w:pPr>
        <w:spacing w:line="400" w:lineRule="exact"/>
        <w:ind w:firstLine="480" w:firstLineChars="200"/>
        <w:rPr>
          <w:szCs w:val="21"/>
        </w:rPr>
      </w:pPr>
      <w:r>
        <w:rPr>
          <w:rFonts w:hint="eastAsia"/>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80" w:firstLineChars="200"/>
        <w:rPr>
          <w:szCs w:val="21"/>
        </w:rPr>
      </w:pPr>
      <w:r>
        <w:rPr>
          <w:rFonts w:hint="eastAsia"/>
          <w:szCs w:val="21"/>
        </w:rPr>
        <w:t>15.5.2 承包人提出的合理化建议降低了合同价格、缩短了工期或者提高了工程经济效益的，发包人可按国家有关规定在专用合同条款中约定给予奖励。</w:t>
      </w:r>
    </w:p>
    <w:p>
      <w:pPr>
        <w:spacing w:line="400" w:lineRule="exact"/>
        <w:ind w:firstLine="480" w:firstLineChars="200"/>
        <w:rPr>
          <w:szCs w:val="21"/>
        </w:rPr>
      </w:pPr>
      <w:r>
        <w:rPr>
          <w:rFonts w:hint="eastAsia"/>
          <w:szCs w:val="21"/>
        </w:rPr>
        <w:t>15.6 暂列金额</w:t>
      </w:r>
    </w:p>
    <w:p>
      <w:pPr>
        <w:spacing w:line="400" w:lineRule="exact"/>
        <w:ind w:firstLine="480" w:firstLineChars="200"/>
        <w:rPr>
          <w:szCs w:val="21"/>
        </w:rPr>
      </w:pPr>
      <w:r>
        <w:rPr>
          <w:rFonts w:hint="eastAsia"/>
          <w:szCs w:val="21"/>
        </w:rPr>
        <w:t>暂列金额只能按照监理人的指示使用，并对合同价格进行相应调整。</w:t>
      </w:r>
    </w:p>
    <w:p>
      <w:pPr>
        <w:spacing w:line="400" w:lineRule="exact"/>
        <w:ind w:firstLine="480" w:firstLineChars="200"/>
        <w:rPr>
          <w:szCs w:val="21"/>
        </w:rPr>
      </w:pPr>
      <w:r>
        <w:rPr>
          <w:rFonts w:hint="eastAsia"/>
          <w:szCs w:val="21"/>
        </w:rPr>
        <w:t>15.7 计日工</w:t>
      </w:r>
    </w:p>
    <w:p>
      <w:pPr>
        <w:spacing w:line="400" w:lineRule="exact"/>
        <w:ind w:firstLine="480" w:firstLineChars="200"/>
        <w:rPr>
          <w:szCs w:val="21"/>
        </w:rPr>
      </w:pPr>
      <w:r>
        <w:rPr>
          <w:rFonts w:hint="eastAsia"/>
          <w:szCs w:val="21"/>
        </w:rPr>
        <w:t>15.7.1 发包人认为有必要时，由监理人通知承包人以计日工方式实施变更的零星工作。其价款按列入已标价工程量清单中的计日工计价子目及其单价进行计算。</w:t>
      </w:r>
    </w:p>
    <w:p>
      <w:pPr>
        <w:spacing w:line="400" w:lineRule="exact"/>
        <w:ind w:firstLine="480" w:firstLineChars="200"/>
        <w:rPr>
          <w:szCs w:val="21"/>
        </w:rPr>
      </w:pPr>
      <w:r>
        <w:rPr>
          <w:rFonts w:hint="eastAsia"/>
          <w:szCs w:val="21"/>
        </w:rPr>
        <w:t>15.7.2 采用计日工计价的任何一项变更工作，应从暂列金额中支付，承包人应在该项变更的实施过程中，每天提交以下报表和有关凭证报送监理人审批：</w:t>
      </w:r>
    </w:p>
    <w:p>
      <w:pPr>
        <w:spacing w:line="400" w:lineRule="exact"/>
        <w:ind w:firstLine="480" w:firstLineChars="200"/>
        <w:rPr>
          <w:szCs w:val="21"/>
        </w:rPr>
      </w:pPr>
      <w:r>
        <w:rPr>
          <w:rFonts w:hint="eastAsia"/>
          <w:szCs w:val="21"/>
        </w:rPr>
        <w:t>（1）工作名称、内容和数量；</w:t>
      </w:r>
    </w:p>
    <w:p>
      <w:pPr>
        <w:spacing w:line="400" w:lineRule="exact"/>
        <w:ind w:firstLine="480" w:firstLineChars="200"/>
        <w:rPr>
          <w:szCs w:val="21"/>
        </w:rPr>
      </w:pPr>
      <w:r>
        <w:rPr>
          <w:rFonts w:hint="eastAsia"/>
          <w:szCs w:val="21"/>
        </w:rPr>
        <w:t>（2）投入该工作所有人员的姓名、工种、级别和耗用工时；</w:t>
      </w:r>
    </w:p>
    <w:p>
      <w:pPr>
        <w:spacing w:line="400" w:lineRule="exact"/>
        <w:ind w:firstLine="480" w:firstLineChars="200"/>
        <w:rPr>
          <w:szCs w:val="21"/>
        </w:rPr>
      </w:pPr>
      <w:r>
        <w:rPr>
          <w:rFonts w:hint="eastAsia"/>
          <w:szCs w:val="21"/>
        </w:rPr>
        <w:t>（3）投入该工作的材料类别和数量；</w:t>
      </w:r>
    </w:p>
    <w:p>
      <w:pPr>
        <w:spacing w:line="400" w:lineRule="exact"/>
        <w:ind w:firstLine="480" w:firstLineChars="200"/>
        <w:rPr>
          <w:szCs w:val="21"/>
        </w:rPr>
      </w:pPr>
      <w:r>
        <w:rPr>
          <w:rFonts w:hint="eastAsia"/>
          <w:szCs w:val="21"/>
        </w:rPr>
        <w:t>（4）投入该工作的施工设备型号、台数和耗用台时；</w:t>
      </w:r>
    </w:p>
    <w:p>
      <w:pPr>
        <w:spacing w:line="400" w:lineRule="exact"/>
        <w:ind w:firstLine="480" w:firstLineChars="200"/>
        <w:rPr>
          <w:szCs w:val="21"/>
        </w:rPr>
      </w:pPr>
      <w:r>
        <w:rPr>
          <w:rFonts w:hint="eastAsia"/>
          <w:szCs w:val="21"/>
        </w:rPr>
        <w:t>（5）监理人要求提交的其他资料和凭证。</w:t>
      </w:r>
    </w:p>
    <w:p>
      <w:pPr>
        <w:spacing w:line="400" w:lineRule="exact"/>
        <w:ind w:firstLine="480" w:firstLineChars="200"/>
        <w:rPr>
          <w:szCs w:val="21"/>
        </w:rPr>
      </w:pPr>
      <w:r>
        <w:rPr>
          <w:rFonts w:hint="eastAsia"/>
          <w:szCs w:val="21"/>
        </w:rPr>
        <w:t>15.7.3 计日工由承包人汇总后，按第17.3.2项的约定列入进度付款申请单，由监理人复核并经发包人同意后列入进度付款。</w:t>
      </w:r>
    </w:p>
    <w:p>
      <w:pPr>
        <w:spacing w:line="400" w:lineRule="exact"/>
        <w:ind w:firstLine="480" w:firstLineChars="200"/>
        <w:rPr>
          <w:szCs w:val="21"/>
        </w:rPr>
      </w:pPr>
      <w:r>
        <w:rPr>
          <w:rFonts w:hint="eastAsia"/>
          <w:szCs w:val="21"/>
        </w:rPr>
        <w:t>15.8 暂估价</w:t>
      </w:r>
    </w:p>
    <w:p>
      <w:pPr>
        <w:spacing w:line="400" w:lineRule="exact"/>
        <w:ind w:firstLine="480" w:firstLineChars="200"/>
        <w:rPr>
          <w:szCs w:val="21"/>
        </w:rPr>
      </w:pPr>
      <w:r>
        <w:rPr>
          <w:rFonts w:hint="eastAsia"/>
          <w:szCs w:val="21"/>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80" w:firstLineChars="200"/>
        <w:rPr>
          <w:szCs w:val="21"/>
        </w:rPr>
      </w:pPr>
      <w:r>
        <w:rPr>
          <w:rFonts w:hint="eastAsia"/>
          <w:szCs w:val="21"/>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80" w:firstLineChars="200"/>
        <w:rPr>
          <w:szCs w:val="21"/>
        </w:rPr>
      </w:pPr>
      <w:r>
        <w:rPr>
          <w:rFonts w:hint="eastAsia"/>
          <w:szCs w:val="21"/>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spacing w:line="400" w:lineRule="exact"/>
        <w:ind w:firstLine="480" w:firstLineChars="200"/>
        <w:rPr>
          <w:szCs w:val="21"/>
        </w:rPr>
      </w:pPr>
      <w:r>
        <w:rPr>
          <w:rFonts w:hint="eastAsia"/>
          <w:szCs w:val="21"/>
        </w:rPr>
        <w:t>16. 价格调整</w:t>
      </w:r>
    </w:p>
    <w:p>
      <w:pPr>
        <w:spacing w:line="400" w:lineRule="exact"/>
        <w:ind w:firstLine="480" w:firstLineChars="200"/>
        <w:rPr>
          <w:szCs w:val="21"/>
        </w:rPr>
      </w:pPr>
      <w:r>
        <w:rPr>
          <w:rFonts w:hint="eastAsia"/>
          <w:szCs w:val="21"/>
        </w:rPr>
        <w:t>16.1 物价波动引起的价格调整</w:t>
      </w:r>
    </w:p>
    <w:p>
      <w:pPr>
        <w:spacing w:line="400" w:lineRule="exact"/>
        <w:ind w:firstLine="480" w:firstLineChars="200"/>
        <w:rPr>
          <w:szCs w:val="21"/>
        </w:rPr>
      </w:pPr>
      <w:r>
        <w:rPr>
          <w:rFonts w:hint="eastAsia"/>
          <w:szCs w:val="21"/>
        </w:rPr>
        <w:t>除专用合同条款另有约定外，因物价波动引起的价格调整按照本款约定处理。</w:t>
      </w:r>
    </w:p>
    <w:p>
      <w:pPr>
        <w:spacing w:line="400" w:lineRule="exact"/>
        <w:ind w:firstLine="480" w:firstLineChars="200"/>
        <w:rPr>
          <w:szCs w:val="21"/>
        </w:rPr>
      </w:pPr>
      <w:r>
        <w:rPr>
          <w:rFonts w:hint="eastAsia"/>
          <w:szCs w:val="21"/>
        </w:rPr>
        <w:t>16.1.1 采用价格指数调整价格差额</w:t>
      </w:r>
    </w:p>
    <w:p>
      <w:pPr>
        <w:spacing w:line="400" w:lineRule="exact"/>
        <w:ind w:firstLine="480" w:firstLineChars="200"/>
        <w:rPr>
          <w:szCs w:val="21"/>
        </w:rPr>
      </w:pPr>
      <w:r>
        <w:rPr>
          <w:rFonts w:hint="eastAsia"/>
          <w:szCs w:val="21"/>
        </w:rPr>
        <w:t>16.1.1.1 价格调整公式</w:t>
      </w:r>
    </w:p>
    <w:p>
      <w:pPr>
        <w:spacing w:line="400" w:lineRule="exact"/>
        <w:ind w:firstLine="480" w:firstLineChars="200"/>
        <w:rPr>
          <w:szCs w:val="21"/>
        </w:rPr>
      </w:pPr>
      <w:r>
        <w:rPr>
          <w:rFonts w:hint="eastAsia"/>
          <w:szCs w:val="21"/>
        </w:rPr>
        <w:t>因人工、材料和设备等价格波动影响合同价格时，根据投标函附录中的价格指数和权重表约定的数据，按以下公式计算差额并调整合同价格。</w:t>
      </w:r>
    </w:p>
    <w:p>
      <w:pPr>
        <w:spacing w:line="400" w:lineRule="exact"/>
        <w:ind w:firstLine="480" w:firstLineChars="200"/>
        <w:rPr>
          <w:szCs w:val="21"/>
        </w:rPr>
      </w:pPr>
      <w:r>
        <w:rPr>
          <w:szCs w:val="21"/>
        </w:rPr>
        <w:t xml:space="preserve">         </w:t>
      </w:r>
    </w:p>
    <w:p>
      <w:pPr>
        <w:spacing w:line="400" w:lineRule="exact"/>
        <w:ind w:firstLine="480" w:firstLineChars="200"/>
        <w:rPr>
          <w:szCs w:val="21"/>
        </w:rPr>
      </w:pPr>
      <w:r>
        <w:rPr>
          <w:rFonts w:hint="eastAsia"/>
          <w:szCs w:val="21"/>
        </w:rPr>
        <w:t>式中： △P -- 需调整的价格差额；</w:t>
      </w:r>
    </w:p>
    <w:p>
      <w:pPr>
        <w:spacing w:line="400" w:lineRule="exact"/>
        <w:ind w:firstLine="480" w:firstLineChars="200"/>
        <w:rPr>
          <w:szCs w:val="21"/>
        </w:rPr>
      </w:pPr>
      <w:r>
        <w:rPr>
          <w:rFonts w:hint="eastAsia"/>
          <w:szCs w:val="21"/>
        </w:rPr>
        <w:tab/>
      </w:r>
      <w:r>
        <w:rPr>
          <w:rFonts w:hint="eastAsia"/>
          <w:szCs w:val="21"/>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pacing w:line="400" w:lineRule="exact"/>
        <w:ind w:firstLine="480" w:firstLineChars="200"/>
        <w:rPr>
          <w:szCs w:val="21"/>
        </w:rPr>
      </w:pPr>
      <w:r>
        <w:rPr>
          <w:rFonts w:hint="eastAsia"/>
          <w:szCs w:val="21"/>
        </w:rPr>
        <w:tab/>
      </w:r>
      <w:r>
        <w:rPr>
          <w:rFonts w:hint="eastAsia"/>
          <w:szCs w:val="21"/>
        </w:rPr>
        <w:t>A -- 定值权重(即不调部分的权重)；</w:t>
      </w:r>
    </w:p>
    <w:p>
      <w:pPr>
        <w:spacing w:line="400" w:lineRule="exact"/>
        <w:ind w:firstLine="480" w:firstLineChars="200"/>
        <w:rPr>
          <w:szCs w:val="21"/>
        </w:rPr>
      </w:pPr>
      <w:r>
        <w:rPr>
          <w:rFonts w:hint="eastAsia"/>
          <w:szCs w:val="21"/>
        </w:rPr>
        <w:tab/>
      </w:r>
      <w:r>
        <w:rPr>
          <w:rFonts w:hint="eastAsia"/>
          <w:szCs w:val="21"/>
        </w:rPr>
        <w:t>B1; B2 ;B3·····Bn -- 各可调因子的变值权重(即可调部分的权重)为各可调因子在投标函投标总报价中所占的比例；</w:t>
      </w:r>
    </w:p>
    <w:p>
      <w:pPr>
        <w:spacing w:line="400" w:lineRule="exact"/>
        <w:ind w:firstLine="480" w:firstLineChars="200"/>
        <w:rPr>
          <w:szCs w:val="21"/>
        </w:rPr>
      </w:pPr>
      <w:r>
        <w:rPr>
          <w:rFonts w:hint="eastAsia"/>
          <w:szCs w:val="21"/>
        </w:rPr>
        <w:tab/>
      </w:r>
      <w:r>
        <w:rPr>
          <w:rFonts w:hint="eastAsia"/>
          <w:szCs w:val="21"/>
        </w:rPr>
        <w:t>Ft1 ;Ft2 ;Ft3·····Ftn -- 各可调因子的现行价格指数，指第17.3.3项、第17.5.2项和第17.6.2项约定的付款证书相关周期最后一天的前42天的各可调因子的价格指数；</w:t>
      </w:r>
    </w:p>
    <w:p>
      <w:pPr>
        <w:spacing w:line="400" w:lineRule="exact"/>
        <w:ind w:firstLine="480" w:firstLineChars="200"/>
        <w:rPr>
          <w:szCs w:val="21"/>
        </w:rPr>
      </w:pPr>
      <w:r>
        <w:rPr>
          <w:rFonts w:hint="eastAsia"/>
          <w:szCs w:val="21"/>
        </w:rPr>
        <w:tab/>
      </w:r>
      <w:r>
        <w:rPr>
          <w:rFonts w:hint="eastAsia"/>
          <w:szCs w:val="21"/>
        </w:rPr>
        <w:t>Fo1; Fo2; Fo3·····Fon -- 各可调因子的基本价格指数，指基准日期的各可调因子的价格指数。</w:t>
      </w:r>
    </w:p>
    <w:p>
      <w:pPr>
        <w:spacing w:line="400" w:lineRule="exact"/>
        <w:ind w:firstLine="480" w:firstLineChars="200"/>
        <w:rPr>
          <w:szCs w:val="21"/>
        </w:rPr>
      </w:pPr>
      <w:r>
        <w:rPr>
          <w:rFonts w:hint="eastAsia"/>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80" w:firstLineChars="200"/>
        <w:rPr>
          <w:szCs w:val="21"/>
        </w:rPr>
      </w:pPr>
      <w:r>
        <w:rPr>
          <w:rFonts w:hint="eastAsia"/>
          <w:szCs w:val="21"/>
        </w:rPr>
        <w:t>16.1.1.2 暂时确定调整差额</w:t>
      </w:r>
    </w:p>
    <w:p>
      <w:pPr>
        <w:spacing w:line="400" w:lineRule="exact"/>
        <w:ind w:firstLine="480" w:firstLineChars="200"/>
        <w:rPr>
          <w:szCs w:val="21"/>
        </w:rPr>
      </w:pPr>
      <w:r>
        <w:rPr>
          <w:rFonts w:hint="eastAsia"/>
          <w:szCs w:val="21"/>
        </w:rPr>
        <w:t>在计算调整差额时得不到现行价格指数的，可暂用上一次价格指数计算，并在以后的付款中再按实际价格指数进行调整。</w:t>
      </w:r>
    </w:p>
    <w:p>
      <w:pPr>
        <w:spacing w:line="400" w:lineRule="exact"/>
        <w:ind w:firstLine="480" w:firstLineChars="200"/>
        <w:rPr>
          <w:szCs w:val="21"/>
        </w:rPr>
      </w:pPr>
      <w:r>
        <w:rPr>
          <w:rFonts w:hint="eastAsia"/>
          <w:szCs w:val="21"/>
        </w:rPr>
        <w:t>16.1.1.3 权重的调整</w:t>
      </w:r>
    </w:p>
    <w:p>
      <w:pPr>
        <w:spacing w:line="400" w:lineRule="exact"/>
        <w:ind w:firstLine="480" w:firstLineChars="200"/>
        <w:rPr>
          <w:szCs w:val="21"/>
        </w:rPr>
      </w:pPr>
      <w:r>
        <w:rPr>
          <w:rFonts w:hint="eastAsia"/>
          <w:szCs w:val="21"/>
        </w:rPr>
        <w:t>按第15.1款约定的变更导致原定合同中的权重不合理时，由监理人与承包人和发包人协商后进行调整。</w:t>
      </w:r>
    </w:p>
    <w:p>
      <w:pPr>
        <w:spacing w:line="400" w:lineRule="exact"/>
        <w:ind w:firstLine="480" w:firstLineChars="200"/>
        <w:rPr>
          <w:szCs w:val="21"/>
        </w:rPr>
      </w:pPr>
      <w:r>
        <w:rPr>
          <w:rFonts w:hint="eastAsia"/>
          <w:szCs w:val="21"/>
        </w:rPr>
        <w:t>16.1.1.4 承包人工期延误后的价格调整</w:t>
      </w:r>
    </w:p>
    <w:p>
      <w:pPr>
        <w:spacing w:line="400" w:lineRule="exact"/>
        <w:ind w:firstLine="480" w:firstLineChars="200"/>
        <w:rPr>
          <w:szCs w:val="21"/>
        </w:rPr>
      </w:pPr>
      <w:r>
        <w:rPr>
          <w:rFonts w:hint="eastAsia"/>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80" w:firstLineChars="200"/>
        <w:rPr>
          <w:szCs w:val="21"/>
        </w:rPr>
      </w:pPr>
      <w:r>
        <w:rPr>
          <w:rFonts w:hint="eastAsia"/>
          <w:szCs w:val="21"/>
        </w:rPr>
        <w:t>16.1.2 采用造价信息调整价格差额</w:t>
      </w:r>
    </w:p>
    <w:p>
      <w:pPr>
        <w:spacing w:line="400" w:lineRule="exact"/>
        <w:ind w:firstLine="480" w:firstLineChars="200"/>
        <w:rPr>
          <w:szCs w:val="21"/>
        </w:rPr>
      </w:pPr>
      <w:r>
        <w:rPr>
          <w:rFonts w:hint="eastAsia"/>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400" w:lineRule="exact"/>
        <w:ind w:firstLine="480" w:firstLineChars="200"/>
        <w:rPr>
          <w:szCs w:val="21"/>
        </w:rPr>
      </w:pPr>
      <w:r>
        <w:rPr>
          <w:rFonts w:hint="eastAsia"/>
          <w:szCs w:val="21"/>
        </w:rPr>
        <w:t>16.2 法律变化引起的价格调整</w:t>
      </w:r>
    </w:p>
    <w:p>
      <w:pPr>
        <w:spacing w:line="400" w:lineRule="exact"/>
        <w:ind w:firstLine="480" w:firstLineChars="200"/>
        <w:rPr>
          <w:szCs w:val="21"/>
        </w:rPr>
      </w:pPr>
      <w:r>
        <w:rPr>
          <w:rFonts w:hint="eastAsia"/>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spacing w:line="400" w:lineRule="exact"/>
        <w:ind w:firstLine="480" w:firstLineChars="200"/>
        <w:rPr>
          <w:szCs w:val="21"/>
        </w:rPr>
      </w:pPr>
      <w:r>
        <w:rPr>
          <w:rFonts w:hint="eastAsia"/>
          <w:szCs w:val="21"/>
        </w:rPr>
        <w:t>17. 计量与支付</w:t>
      </w:r>
    </w:p>
    <w:p>
      <w:pPr>
        <w:spacing w:line="400" w:lineRule="exact"/>
        <w:ind w:firstLine="480" w:firstLineChars="200"/>
        <w:rPr>
          <w:szCs w:val="21"/>
        </w:rPr>
      </w:pPr>
      <w:r>
        <w:rPr>
          <w:rFonts w:hint="eastAsia"/>
          <w:szCs w:val="21"/>
        </w:rPr>
        <w:t>17.1 计量</w:t>
      </w:r>
    </w:p>
    <w:p>
      <w:pPr>
        <w:spacing w:line="400" w:lineRule="exact"/>
        <w:ind w:firstLine="480" w:firstLineChars="200"/>
        <w:rPr>
          <w:szCs w:val="21"/>
        </w:rPr>
      </w:pPr>
      <w:r>
        <w:rPr>
          <w:rFonts w:hint="eastAsia"/>
          <w:szCs w:val="21"/>
        </w:rPr>
        <w:t>17.1.1 计量单位</w:t>
      </w:r>
    </w:p>
    <w:p>
      <w:pPr>
        <w:spacing w:line="400" w:lineRule="exact"/>
        <w:ind w:firstLine="480" w:firstLineChars="200"/>
        <w:rPr>
          <w:szCs w:val="21"/>
        </w:rPr>
      </w:pPr>
      <w:r>
        <w:rPr>
          <w:rFonts w:hint="eastAsia"/>
          <w:szCs w:val="21"/>
        </w:rPr>
        <w:t>计量采用国家法定的计量单位。</w:t>
      </w:r>
    </w:p>
    <w:p>
      <w:pPr>
        <w:spacing w:line="400" w:lineRule="exact"/>
        <w:ind w:firstLine="480" w:firstLineChars="200"/>
        <w:rPr>
          <w:szCs w:val="21"/>
        </w:rPr>
      </w:pPr>
      <w:r>
        <w:rPr>
          <w:rFonts w:hint="eastAsia"/>
          <w:szCs w:val="21"/>
        </w:rPr>
        <w:t>17.1.2 计量方法</w:t>
      </w:r>
    </w:p>
    <w:p>
      <w:pPr>
        <w:spacing w:line="400" w:lineRule="exact"/>
        <w:ind w:firstLine="480" w:firstLineChars="200"/>
        <w:rPr>
          <w:szCs w:val="21"/>
        </w:rPr>
      </w:pPr>
      <w:r>
        <w:rPr>
          <w:rFonts w:hint="eastAsia"/>
          <w:szCs w:val="21"/>
        </w:rPr>
        <w:t>工程量清单中的工程量计算规则应按有关国家标准、行业标准的规定，并在合同中约定执行。</w:t>
      </w:r>
    </w:p>
    <w:p>
      <w:pPr>
        <w:spacing w:line="400" w:lineRule="exact"/>
        <w:ind w:firstLine="480" w:firstLineChars="200"/>
        <w:rPr>
          <w:szCs w:val="21"/>
        </w:rPr>
      </w:pPr>
      <w:r>
        <w:rPr>
          <w:rFonts w:hint="eastAsia"/>
          <w:szCs w:val="21"/>
        </w:rPr>
        <w:t>17.1.3 计量周期</w:t>
      </w:r>
    </w:p>
    <w:p>
      <w:pPr>
        <w:spacing w:line="400" w:lineRule="exact"/>
        <w:ind w:firstLine="480" w:firstLineChars="200"/>
        <w:rPr>
          <w:szCs w:val="21"/>
        </w:rPr>
      </w:pPr>
      <w:r>
        <w:rPr>
          <w:rFonts w:hint="eastAsia"/>
          <w:szCs w:val="21"/>
        </w:rPr>
        <w:t>除专用合同条款另有约定外，单价子目已完成工程量按月计量，总价子目的计量周期按批准的支付分解报告确定。</w:t>
      </w:r>
    </w:p>
    <w:p>
      <w:pPr>
        <w:spacing w:line="400" w:lineRule="exact"/>
        <w:ind w:firstLine="480" w:firstLineChars="200"/>
        <w:rPr>
          <w:szCs w:val="21"/>
        </w:rPr>
      </w:pPr>
      <w:r>
        <w:rPr>
          <w:rFonts w:hint="eastAsia"/>
          <w:szCs w:val="21"/>
        </w:rPr>
        <w:t>17.1.4 单价子目的计量</w:t>
      </w:r>
    </w:p>
    <w:p>
      <w:pPr>
        <w:spacing w:line="400" w:lineRule="exact"/>
        <w:ind w:firstLine="480" w:firstLineChars="200"/>
        <w:rPr>
          <w:szCs w:val="21"/>
        </w:rPr>
      </w:pPr>
      <w:r>
        <w:rPr>
          <w:rFonts w:hint="eastAsia"/>
          <w:szCs w:val="21"/>
        </w:rPr>
        <w:t>（1）已标价工程量清单中的单价子目工程量为估算工程量。结算工程量是承包人实际完成的，并按合同约定的计量方法进行计量的工程量。</w:t>
      </w:r>
    </w:p>
    <w:p>
      <w:pPr>
        <w:spacing w:line="400" w:lineRule="exact"/>
        <w:ind w:firstLine="480" w:firstLineChars="200"/>
        <w:rPr>
          <w:szCs w:val="21"/>
        </w:rPr>
      </w:pPr>
      <w:r>
        <w:rPr>
          <w:rFonts w:hint="eastAsia"/>
          <w:szCs w:val="21"/>
        </w:rPr>
        <w:t>（2）承包人对已完成的工程进行计量，向监理人提交进度付款申请单、已完成工程量报表和有关计量资料。</w:t>
      </w:r>
    </w:p>
    <w:p>
      <w:pPr>
        <w:spacing w:line="400" w:lineRule="exact"/>
        <w:ind w:firstLine="480" w:firstLineChars="200"/>
        <w:rPr>
          <w:szCs w:val="21"/>
        </w:rPr>
      </w:pPr>
      <w:r>
        <w:rPr>
          <w:rFonts w:hint="eastAsia"/>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480" w:firstLineChars="200"/>
        <w:rPr>
          <w:szCs w:val="21"/>
        </w:rPr>
      </w:pPr>
      <w:r>
        <w:rPr>
          <w:rFonts w:hint="eastAsia"/>
          <w:szCs w:val="21"/>
        </w:rPr>
        <w:t>（4）监理人认为有必要时，可通知承包人共同进行联合测量、计量，承包人应遵照执行。</w:t>
      </w:r>
    </w:p>
    <w:p>
      <w:pPr>
        <w:spacing w:line="400" w:lineRule="exact"/>
        <w:ind w:firstLine="480" w:firstLineChars="200"/>
        <w:rPr>
          <w:szCs w:val="21"/>
        </w:rPr>
      </w:pPr>
      <w:r>
        <w:rPr>
          <w:rFonts w:hint="eastAsia"/>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480" w:firstLineChars="200"/>
        <w:rPr>
          <w:szCs w:val="21"/>
        </w:rPr>
      </w:pPr>
      <w:r>
        <w:rPr>
          <w:rFonts w:hint="eastAsia"/>
          <w:szCs w:val="21"/>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80" w:firstLineChars="200"/>
        <w:rPr>
          <w:szCs w:val="21"/>
        </w:rPr>
      </w:pPr>
      <w:r>
        <w:rPr>
          <w:rFonts w:hint="eastAsia"/>
          <w:szCs w:val="21"/>
        </w:rPr>
        <w:t>17.1.5 总价子目的计量</w:t>
      </w:r>
    </w:p>
    <w:p>
      <w:pPr>
        <w:spacing w:line="400" w:lineRule="exact"/>
        <w:ind w:firstLine="480" w:firstLineChars="200"/>
        <w:rPr>
          <w:szCs w:val="21"/>
        </w:rPr>
      </w:pPr>
      <w:r>
        <w:rPr>
          <w:rFonts w:hint="eastAsia"/>
          <w:szCs w:val="21"/>
        </w:rPr>
        <w:t>除专用合同条款另有约定外，总价子目的分解和计量按照下述约定进行。</w:t>
      </w:r>
    </w:p>
    <w:p>
      <w:pPr>
        <w:spacing w:line="400" w:lineRule="exact"/>
        <w:ind w:firstLine="480" w:firstLineChars="200"/>
        <w:rPr>
          <w:szCs w:val="21"/>
        </w:rPr>
      </w:pPr>
      <w:r>
        <w:rPr>
          <w:rFonts w:hint="eastAsia"/>
          <w:szCs w:val="21"/>
        </w:rPr>
        <w:t>（1）总价子目的计量和支付应以总价为基础，不因第16.1款中的因素而进行调整。承包人实际完成的工程量，是进行工程目标管理和控制进度支付的依据。</w:t>
      </w:r>
    </w:p>
    <w:p>
      <w:pPr>
        <w:spacing w:line="400" w:lineRule="exact"/>
        <w:ind w:firstLine="480" w:firstLineChars="200"/>
        <w:rPr>
          <w:szCs w:val="21"/>
        </w:rPr>
      </w:pPr>
      <w:r>
        <w:rPr>
          <w:rFonts w:hint="eastAsia"/>
          <w:szCs w:val="21"/>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480" w:firstLineChars="200"/>
        <w:rPr>
          <w:szCs w:val="21"/>
        </w:rPr>
      </w:pPr>
      <w:r>
        <w:rPr>
          <w:rFonts w:hint="eastAsia"/>
          <w:szCs w:val="21"/>
        </w:rPr>
        <w:t>（3）监理人对承包人提交的上述资料进行复核，以确定分阶段实际完成的工程量和工程形象目标。对其有异议的，可要求承包人按第8.2款约定进行共同复核和抽样复测。</w:t>
      </w:r>
    </w:p>
    <w:p>
      <w:pPr>
        <w:spacing w:line="400" w:lineRule="exact"/>
        <w:ind w:firstLine="480" w:firstLineChars="200"/>
        <w:rPr>
          <w:szCs w:val="21"/>
        </w:rPr>
      </w:pPr>
      <w:r>
        <w:rPr>
          <w:rFonts w:hint="eastAsia"/>
          <w:szCs w:val="21"/>
        </w:rPr>
        <w:t xml:space="preserve">（4）除按照第15条约定的变更外，总价子目的工程量是承包人用于结算的最终工程量。 </w:t>
      </w:r>
    </w:p>
    <w:p>
      <w:pPr>
        <w:spacing w:line="400" w:lineRule="exact"/>
        <w:ind w:firstLine="480" w:firstLineChars="200"/>
        <w:rPr>
          <w:szCs w:val="21"/>
        </w:rPr>
      </w:pPr>
      <w:r>
        <w:rPr>
          <w:rFonts w:hint="eastAsia"/>
          <w:szCs w:val="21"/>
        </w:rPr>
        <w:t>17.2 预付款</w:t>
      </w:r>
    </w:p>
    <w:p>
      <w:pPr>
        <w:spacing w:line="400" w:lineRule="exact"/>
        <w:ind w:firstLine="480" w:firstLineChars="200"/>
        <w:rPr>
          <w:szCs w:val="21"/>
        </w:rPr>
      </w:pPr>
      <w:r>
        <w:rPr>
          <w:rFonts w:hint="eastAsia"/>
          <w:szCs w:val="21"/>
        </w:rPr>
        <w:t>17.2.1 预付款</w:t>
      </w:r>
    </w:p>
    <w:p>
      <w:pPr>
        <w:spacing w:line="400" w:lineRule="exact"/>
        <w:ind w:firstLine="480" w:firstLineChars="200"/>
        <w:rPr>
          <w:szCs w:val="21"/>
        </w:rPr>
      </w:pPr>
      <w:r>
        <w:rPr>
          <w:rFonts w:hint="eastAsia"/>
          <w:szCs w:val="21"/>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80" w:firstLineChars="200"/>
        <w:rPr>
          <w:szCs w:val="21"/>
        </w:rPr>
      </w:pPr>
      <w:r>
        <w:rPr>
          <w:rFonts w:hint="eastAsia"/>
          <w:szCs w:val="21"/>
        </w:rPr>
        <w:t>17.2.2 预付款保函</w:t>
      </w:r>
    </w:p>
    <w:p>
      <w:pPr>
        <w:spacing w:line="400" w:lineRule="exact"/>
        <w:ind w:firstLine="480" w:firstLineChars="200"/>
        <w:rPr>
          <w:szCs w:val="21"/>
        </w:rPr>
      </w:pPr>
      <w:r>
        <w:rPr>
          <w:rFonts w:hint="eastAsia"/>
          <w:szCs w:val="21"/>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80" w:firstLineChars="200"/>
        <w:rPr>
          <w:szCs w:val="21"/>
        </w:rPr>
      </w:pPr>
      <w:r>
        <w:rPr>
          <w:rFonts w:hint="eastAsia"/>
          <w:szCs w:val="21"/>
        </w:rPr>
        <w:t>17.2.3 预付款的扣回与还清</w:t>
      </w:r>
    </w:p>
    <w:p>
      <w:pPr>
        <w:spacing w:line="400" w:lineRule="exact"/>
        <w:ind w:firstLine="480" w:firstLineChars="200"/>
        <w:rPr>
          <w:szCs w:val="21"/>
        </w:rPr>
      </w:pPr>
      <w:r>
        <w:rPr>
          <w:rFonts w:hint="eastAsia"/>
          <w:szCs w:val="21"/>
        </w:rPr>
        <w:t>预付款在进度付款中扣回，扣回办法在专用合同条款中约定。在颁发工程接收证书前，由于不可抗力或其他原因解除合同时，预付款尚未扣清的，尚未扣清的预付款余额应作为承包人的到期应付款。</w:t>
      </w:r>
    </w:p>
    <w:p>
      <w:pPr>
        <w:spacing w:line="400" w:lineRule="exact"/>
        <w:ind w:firstLine="480" w:firstLineChars="200"/>
        <w:rPr>
          <w:szCs w:val="21"/>
        </w:rPr>
      </w:pPr>
      <w:r>
        <w:rPr>
          <w:rFonts w:hint="eastAsia"/>
          <w:szCs w:val="21"/>
        </w:rPr>
        <w:t>17.3 工程进度付款</w:t>
      </w:r>
    </w:p>
    <w:p>
      <w:pPr>
        <w:spacing w:line="400" w:lineRule="exact"/>
        <w:ind w:firstLine="480" w:firstLineChars="200"/>
        <w:rPr>
          <w:szCs w:val="21"/>
        </w:rPr>
      </w:pPr>
      <w:r>
        <w:rPr>
          <w:rFonts w:hint="eastAsia"/>
          <w:szCs w:val="21"/>
        </w:rPr>
        <w:t>17.3.1 付款周期</w:t>
      </w:r>
    </w:p>
    <w:p>
      <w:pPr>
        <w:spacing w:line="400" w:lineRule="exact"/>
        <w:ind w:firstLine="480" w:firstLineChars="200"/>
        <w:rPr>
          <w:szCs w:val="21"/>
        </w:rPr>
      </w:pPr>
      <w:r>
        <w:rPr>
          <w:rFonts w:hint="eastAsia"/>
          <w:szCs w:val="21"/>
        </w:rPr>
        <w:t>付款周期同计量周期。</w:t>
      </w:r>
    </w:p>
    <w:p>
      <w:pPr>
        <w:spacing w:line="400" w:lineRule="exact"/>
        <w:ind w:firstLine="480" w:firstLineChars="200"/>
        <w:rPr>
          <w:szCs w:val="21"/>
        </w:rPr>
      </w:pPr>
      <w:r>
        <w:rPr>
          <w:rFonts w:hint="eastAsia"/>
          <w:szCs w:val="21"/>
        </w:rPr>
        <w:t>17.3.2 进度付款申请单</w:t>
      </w:r>
    </w:p>
    <w:p>
      <w:pPr>
        <w:spacing w:line="400" w:lineRule="exact"/>
        <w:ind w:firstLine="480" w:firstLineChars="200"/>
        <w:rPr>
          <w:szCs w:val="21"/>
        </w:rPr>
      </w:pPr>
      <w:r>
        <w:rPr>
          <w:rFonts w:hint="eastAsia"/>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80" w:firstLineChars="200"/>
        <w:rPr>
          <w:szCs w:val="21"/>
        </w:rPr>
      </w:pPr>
      <w:r>
        <w:rPr>
          <w:rFonts w:hint="eastAsia"/>
          <w:szCs w:val="21"/>
        </w:rPr>
        <w:t>（1）截至本次付款周期末已实施工程的价款；</w:t>
      </w:r>
    </w:p>
    <w:p>
      <w:pPr>
        <w:spacing w:line="400" w:lineRule="exact"/>
        <w:ind w:firstLine="480" w:firstLineChars="200"/>
        <w:rPr>
          <w:szCs w:val="21"/>
        </w:rPr>
      </w:pPr>
      <w:r>
        <w:rPr>
          <w:rFonts w:hint="eastAsia"/>
          <w:szCs w:val="21"/>
        </w:rPr>
        <w:t>（2）根据第15条应增加和扣减的变更金额；</w:t>
      </w:r>
    </w:p>
    <w:p>
      <w:pPr>
        <w:spacing w:line="400" w:lineRule="exact"/>
        <w:ind w:firstLine="480" w:firstLineChars="200"/>
        <w:rPr>
          <w:szCs w:val="21"/>
        </w:rPr>
      </w:pPr>
      <w:r>
        <w:rPr>
          <w:rFonts w:hint="eastAsia"/>
          <w:szCs w:val="21"/>
        </w:rPr>
        <w:t>（3）根据第23条应增加和扣减的索赔金额；</w:t>
      </w:r>
    </w:p>
    <w:p>
      <w:pPr>
        <w:spacing w:line="400" w:lineRule="exact"/>
        <w:ind w:firstLine="480" w:firstLineChars="200"/>
        <w:rPr>
          <w:szCs w:val="21"/>
        </w:rPr>
      </w:pPr>
      <w:r>
        <w:rPr>
          <w:rFonts w:hint="eastAsia"/>
          <w:szCs w:val="21"/>
        </w:rPr>
        <w:t>（4）根据第17.2款约定应支付的预付款和扣减的返还预付款；</w:t>
      </w:r>
    </w:p>
    <w:p>
      <w:pPr>
        <w:spacing w:line="400" w:lineRule="exact"/>
        <w:ind w:firstLine="480" w:firstLineChars="200"/>
        <w:rPr>
          <w:szCs w:val="21"/>
        </w:rPr>
      </w:pPr>
      <w:r>
        <w:rPr>
          <w:rFonts w:hint="eastAsia"/>
          <w:szCs w:val="21"/>
        </w:rPr>
        <w:t>（5）根据第17.4.1项约定应扣减的质量保证金；</w:t>
      </w:r>
    </w:p>
    <w:p>
      <w:pPr>
        <w:spacing w:line="400" w:lineRule="exact"/>
        <w:ind w:firstLine="480" w:firstLineChars="200"/>
        <w:rPr>
          <w:szCs w:val="21"/>
        </w:rPr>
      </w:pPr>
      <w:r>
        <w:rPr>
          <w:rFonts w:hint="eastAsia"/>
          <w:szCs w:val="21"/>
        </w:rPr>
        <w:t>（6）根据合同应增加和扣减的其他金额。</w:t>
      </w:r>
    </w:p>
    <w:p>
      <w:pPr>
        <w:spacing w:line="400" w:lineRule="exact"/>
        <w:ind w:firstLine="480" w:firstLineChars="200"/>
        <w:rPr>
          <w:szCs w:val="21"/>
        </w:rPr>
      </w:pPr>
      <w:r>
        <w:rPr>
          <w:rFonts w:hint="eastAsia"/>
          <w:szCs w:val="21"/>
        </w:rPr>
        <w:t>17.3.3 进度付款证书和支付时间</w:t>
      </w:r>
    </w:p>
    <w:p>
      <w:pPr>
        <w:spacing w:line="400" w:lineRule="exact"/>
        <w:ind w:firstLine="480" w:firstLineChars="200"/>
        <w:rPr>
          <w:szCs w:val="21"/>
        </w:rPr>
      </w:pPr>
      <w:r>
        <w:rPr>
          <w:rFonts w:hint="eastAsia"/>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480" w:firstLineChars="200"/>
        <w:rPr>
          <w:szCs w:val="21"/>
        </w:rPr>
      </w:pPr>
      <w:r>
        <w:rPr>
          <w:rFonts w:hint="eastAsia"/>
          <w:szCs w:val="21"/>
        </w:rPr>
        <w:t>（2）发包人应在监理人收到进度付款申请单后的28天内，将进度应付款支付给承包人。发包人不按期支付的，按专用合同条款的约定支付逾期付款违约金。</w:t>
      </w:r>
    </w:p>
    <w:p>
      <w:pPr>
        <w:spacing w:line="400" w:lineRule="exact"/>
        <w:ind w:firstLine="480" w:firstLineChars="200"/>
        <w:rPr>
          <w:szCs w:val="21"/>
        </w:rPr>
      </w:pPr>
      <w:r>
        <w:rPr>
          <w:rFonts w:hint="eastAsia"/>
          <w:szCs w:val="21"/>
        </w:rPr>
        <w:t>（3）监理人出具进度付款证书，不应视为监理人已同意、批准或接受了承包人完成的该部分工作。</w:t>
      </w:r>
    </w:p>
    <w:p>
      <w:pPr>
        <w:spacing w:line="400" w:lineRule="exact"/>
        <w:ind w:firstLine="480" w:firstLineChars="200"/>
        <w:rPr>
          <w:szCs w:val="21"/>
        </w:rPr>
      </w:pPr>
      <w:r>
        <w:rPr>
          <w:rFonts w:hint="eastAsia"/>
          <w:szCs w:val="21"/>
        </w:rPr>
        <w:t>（4）进度付款涉及政府投资资金的，按照国库集中支付等国家相关规定和专用合同条款的约定办理。</w:t>
      </w:r>
    </w:p>
    <w:p>
      <w:pPr>
        <w:spacing w:line="400" w:lineRule="exact"/>
        <w:ind w:firstLine="480" w:firstLineChars="200"/>
        <w:rPr>
          <w:szCs w:val="21"/>
        </w:rPr>
      </w:pPr>
      <w:r>
        <w:rPr>
          <w:rFonts w:hint="eastAsia"/>
          <w:szCs w:val="21"/>
        </w:rPr>
        <w:t>17.3.4 工程进度付款的修正</w:t>
      </w:r>
    </w:p>
    <w:p>
      <w:pPr>
        <w:spacing w:line="400" w:lineRule="exact"/>
        <w:ind w:firstLine="480" w:firstLineChars="200"/>
        <w:rPr>
          <w:szCs w:val="21"/>
        </w:rPr>
      </w:pPr>
      <w:r>
        <w:rPr>
          <w:rFonts w:hint="eastAsia"/>
          <w:szCs w:val="21"/>
        </w:rPr>
        <w:t>在对以往历次已签发的进度付款证书进行汇总和复核中发现错、漏或重复的，监理人有权予以修正，承包人也有权提出修正申请。经双方复核同意的修正，应在本次进度付款中支付或扣除。</w:t>
      </w:r>
    </w:p>
    <w:p>
      <w:pPr>
        <w:spacing w:line="400" w:lineRule="exact"/>
        <w:ind w:firstLine="480" w:firstLineChars="200"/>
        <w:rPr>
          <w:szCs w:val="21"/>
        </w:rPr>
      </w:pPr>
      <w:r>
        <w:rPr>
          <w:rFonts w:hint="eastAsia"/>
          <w:szCs w:val="21"/>
        </w:rPr>
        <w:t>17.4 质量保证金</w:t>
      </w:r>
    </w:p>
    <w:p>
      <w:pPr>
        <w:spacing w:line="400" w:lineRule="exact"/>
        <w:ind w:firstLine="480" w:firstLineChars="200"/>
        <w:rPr>
          <w:szCs w:val="21"/>
        </w:rPr>
      </w:pPr>
      <w:r>
        <w:rPr>
          <w:rFonts w:hint="eastAsia"/>
          <w:szCs w:val="21"/>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80" w:firstLineChars="200"/>
        <w:rPr>
          <w:szCs w:val="21"/>
        </w:rPr>
      </w:pPr>
      <w:r>
        <w:rPr>
          <w:rFonts w:hint="eastAsia"/>
          <w:szCs w:val="21"/>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80" w:firstLineChars="200"/>
        <w:rPr>
          <w:szCs w:val="21"/>
        </w:rPr>
      </w:pPr>
      <w:r>
        <w:rPr>
          <w:rFonts w:hint="eastAsia"/>
          <w:szCs w:val="21"/>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spacing w:line="400" w:lineRule="exact"/>
        <w:ind w:firstLine="480" w:firstLineChars="200"/>
        <w:rPr>
          <w:szCs w:val="21"/>
        </w:rPr>
      </w:pPr>
      <w:r>
        <w:rPr>
          <w:rFonts w:hint="eastAsia"/>
          <w:szCs w:val="21"/>
        </w:rPr>
        <w:t>17.5 竣工结算</w:t>
      </w:r>
    </w:p>
    <w:p>
      <w:pPr>
        <w:spacing w:line="400" w:lineRule="exact"/>
        <w:ind w:firstLine="480" w:firstLineChars="200"/>
        <w:rPr>
          <w:szCs w:val="21"/>
        </w:rPr>
      </w:pPr>
      <w:r>
        <w:rPr>
          <w:rFonts w:hint="eastAsia"/>
          <w:szCs w:val="21"/>
        </w:rPr>
        <w:t>17.5.1 竣工付款申请单</w:t>
      </w:r>
    </w:p>
    <w:p>
      <w:pPr>
        <w:spacing w:line="400" w:lineRule="exact"/>
        <w:ind w:firstLine="480" w:firstLineChars="200"/>
        <w:rPr>
          <w:szCs w:val="21"/>
        </w:rPr>
      </w:pPr>
      <w:r>
        <w:rPr>
          <w:rFonts w:hint="eastAsia"/>
          <w:szCs w:val="21"/>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480" w:firstLineChars="200"/>
        <w:rPr>
          <w:szCs w:val="21"/>
        </w:rPr>
      </w:pPr>
      <w:r>
        <w:rPr>
          <w:rFonts w:hint="eastAsia"/>
          <w:szCs w:val="21"/>
        </w:rPr>
        <w:t>（2）监理人对竣工付款申请单有异议的，有权要求承包人进行修正和提供补充资料。经监理人和承包人协商后，由承包人向监理人提交修正后的竣工付款申请单。</w:t>
      </w:r>
    </w:p>
    <w:p>
      <w:pPr>
        <w:spacing w:line="400" w:lineRule="exact"/>
        <w:ind w:firstLine="480" w:firstLineChars="200"/>
        <w:rPr>
          <w:szCs w:val="21"/>
        </w:rPr>
      </w:pPr>
      <w:r>
        <w:rPr>
          <w:rFonts w:hint="eastAsia"/>
          <w:szCs w:val="21"/>
        </w:rPr>
        <w:t>17.5.2 竣工付款证书及支付时间</w:t>
      </w:r>
    </w:p>
    <w:p>
      <w:pPr>
        <w:spacing w:line="400" w:lineRule="exact"/>
        <w:ind w:firstLine="480" w:firstLineChars="200"/>
        <w:rPr>
          <w:szCs w:val="21"/>
        </w:rPr>
      </w:pPr>
      <w:r>
        <w:rPr>
          <w:rFonts w:hint="eastAsia"/>
          <w:szCs w:val="21"/>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480" w:firstLineChars="200"/>
        <w:rPr>
          <w:szCs w:val="21"/>
        </w:rPr>
      </w:pPr>
      <w:r>
        <w:rPr>
          <w:rFonts w:hint="eastAsia"/>
          <w:szCs w:val="21"/>
        </w:rPr>
        <w:t>（2）发包人应在监理人出具竣工付款证书后的14天内，将应支付款支付给承包人。发包人不按期支付的，按第17.3.3（2）目的约定，将逾期付款违约金支付给承包人。</w:t>
      </w:r>
    </w:p>
    <w:p>
      <w:pPr>
        <w:spacing w:line="400" w:lineRule="exact"/>
        <w:ind w:firstLine="480" w:firstLineChars="200"/>
        <w:rPr>
          <w:szCs w:val="21"/>
        </w:rPr>
      </w:pPr>
      <w:r>
        <w:rPr>
          <w:rFonts w:hint="eastAsia"/>
          <w:szCs w:val="21"/>
        </w:rPr>
        <w:t>（3）承包人对发包人签认的竣工付款证书有异议的，发包人可出具竣工付款申请单中承包人已同意部分的临时付款证书。存在争议的部分，按第24条的约定办理。</w:t>
      </w:r>
    </w:p>
    <w:p>
      <w:pPr>
        <w:spacing w:line="400" w:lineRule="exact"/>
        <w:ind w:firstLine="480" w:firstLineChars="200"/>
        <w:rPr>
          <w:szCs w:val="21"/>
        </w:rPr>
      </w:pPr>
      <w:r>
        <w:rPr>
          <w:rFonts w:hint="eastAsia"/>
          <w:szCs w:val="21"/>
        </w:rPr>
        <w:t>（4）竣工付款涉及政府投资资金的，按第17.3.3（4）目的约定办理。</w:t>
      </w:r>
    </w:p>
    <w:p>
      <w:pPr>
        <w:spacing w:line="400" w:lineRule="exact"/>
        <w:ind w:firstLine="480" w:firstLineChars="200"/>
        <w:rPr>
          <w:szCs w:val="21"/>
        </w:rPr>
      </w:pPr>
      <w:r>
        <w:rPr>
          <w:rFonts w:hint="eastAsia"/>
          <w:szCs w:val="21"/>
        </w:rPr>
        <w:t>17.6 最终结清</w:t>
      </w:r>
    </w:p>
    <w:p>
      <w:pPr>
        <w:spacing w:line="400" w:lineRule="exact"/>
        <w:ind w:firstLine="480" w:firstLineChars="200"/>
        <w:rPr>
          <w:szCs w:val="21"/>
        </w:rPr>
      </w:pPr>
      <w:r>
        <w:rPr>
          <w:rFonts w:hint="eastAsia"/>
          <w:szCs w:val="21"/>
        </w:rPr>
        <w:t>17.6.1 最终结清申请单</w:t>
      </w:r>
    </w:p>
    <w:p>
      <w:pPr>
        <w:spacing w:line="400" w:lineRule="exact"/>
        <w:ind w:firstLine="480" w:firstLineChars="200"/>
        <w:rPr>
          <w:szCs w:val="21"/>
        </w:rPr>
      </w:pPr>
      <w:r>
        <w:rPr>
          <w:rFonts w:hint="eastAsia"/>
          <w:szCs w:val="21"/>
        </w:rPr>
        <w:t>（1）缺陷责任期终止证书签发后，承包人可按专用合同条款约定的份数和期限向监理人提交最终结清申请单，并提供相关证明材料。</w:t>
      </w:r>
    </w:p>
    <w:p>
      <w:pPr>
        <w:spacing w:line="400" w:lineRule="exact"/>
        <w:ind w:firstLine="480" w:firstLineChars="200"/>
        <w:rPr>
          <w:szCs w:val="21"/>
        </w:rPr>
      </w:pPr>
      <w:r>
        <w:rPr>
          <w:rFonts w:hint="eastAsia"/>
          <w:szCs w:val="21"/>
        </w:rPr>
        <w:t>（2）发包人对最终结清申请单内容有异议的，有权要求承包人进行修正和提供补充资料，由承包人向监理人提交修正后的最终结清申请单。</w:t>
      </w:r>
    </w:p>
    <w:p>
      <w:pPr>
        <w:spacing w:line="400" w:lineRule="exact"/>
        <w:ind w:firstLine="480" w:firstLineChars="200"/>
        <w:rPr>
          <w:szCs w:val="21"/>
        </w:rPr>
      </w:pPr>
      <w:r>
        <w:rPr>
          <w:rFonts w:hint="eastAsia"/>
          <w:szCs w:val="21"/>
        </w:rPr>
        <w:t>17.6.2 最终结清证书和支付时间</w:t>
      </w:r>
    </w:p>
    <w:p>
      <w:pPr>
        <w:spacing w:line="400" w:lineRule="exact"/>
        <w:ind w:firstLine="480" w:firstLineChars="200"/>
        <w:rPr>
          <w:szCs w:val="21"/>
        </w:rPr>
      </w:pPr>
      <w:r>
        <w:rPr>
          <w:rFonts w:hint="eastAsia"/>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480" w:firstLineChars="200"/>
        <w:rPr>
          <w:szCs w:val="21"/>
        </w:rPr>
      </w:pPr>
      <w:r>
        <w:rPr>
          <w:rFonts w:hint="eastAsia"/>
          <w:szCs w:val="21"/>
        </w:rPr>
        <w:t>（2）发包人应在监理人出具最终结清证书后的14天内，将应支付款支付给承包人。发包人不按期支付的，按第17.3.3（2）目的约定，将逾期付款违约金支付给承包人。</w:t>
      </w:r>
    </w:p>
    <w:p>
      <w:pPr>
        <w:spacing w:line="400" w:lineRule="exact"/>
        <w:ind w:firstLine="480" w:firstLineChars="200"/>
        <w:rPr>
          <w:szCs w:val="21"/>
        </w:rPr>
      </w:pPr>
      <w:r>
        <w:rPr>
          <w:rFonts w:hint="eastAsia"/>
          <w:szCs w:val="21"/>
        </w:rPr>
        <w:t>（3）承包人对发包人签认的最终结清证书有异议的，按第24条的约定办理。</w:t>
      </w:r>
    </w:p>
    <w:p>
      <w:pPr>
        <w:spacing w:line="400" w:lineRule="exact"/>
        <w:ind w:firstLine="480" w:firstLineChars="200"/>
        <w:rPr>
          <w:szCs w:val="21"/>
        </w:rPr>
      </w:pPr>
      <w:r>
        <w:rPr>
          <w:rFonts w:hint="eastAsia"/>
          <w:szCs w:val="21"/>
        </w:rPr>
        <w:t>（4）最终结清付款涉及政府投资资金的，按第17.3.3（4）目的约定办理。</w:t>
      </w:r>
    </w:p>
    <w:p>
      <w:pPr>
        <w:spacing w:line="400" w:lineRule="exact"/>
        <w:ind w:firstLine="480" w:firstLineChars="200"/>
        <w:rPr>
          <w:szCs w:val="21"/>
        </w:rPr>
      </w:pPr>
      <w:r>
        <w:rPr>
          <w:rFonts w:hint="eastAsia"/>
          <w:szCs w:val="21"/>
        </w:rPr>
        <w:t>18. 竣工验收</w:t>
      </w:r>
    </w:p>
    <w:p>
      <w:pPr>
        <w:spacing w:line="400" w:lineRule="exact"/>
        <w:ind w:firstLine="480" w:firstLineChars="200"/>
        <w:rPr>
          <w:szCs w:val="21"/>
        </w:rPr>
      </w:pPr>
      <w:r>
        <w:rPr>
          <w:rFonts w:hint="eastAsia"/>
          <w:szCs w:val="21"/>
        </w:rPr>
        <w:t>18.1 竣工验收的含义</w:t>
      </w:r>
    </w:p>
    <w:p>
      <w:pPr>
        <w:spacing w:line="400" w:lineRule="exact"/>
        <w:ind w:firstLine="480" w:firstLineChars="200"/>
        <w:rPr>
          <w:szCs w:val="21"/>
        </w:rPr>
      </w:pPr>
      <w:r>
        <w:rPr>
          <w:rFonts w:hint="eastAsia"/>
          <w:szCs w:val="21"/>
        </w:rPr>
        <w:t>18.1.1 竣工验收指承包人完成了全部合同工作后，发包人按合同要求进行的验收（竣工验收和行业验收）。</w:t>
      </w:r>
    </w:p>
    <w:p>
      <w:pPr>
        <w:spacing w:line="400" w:lineRule="exact"/>
        <w:ind w:firstLine="480" w:firstLineChars="200"/>
        <w:rPr>
          <w:szCs w:val="21"/>
        </w:rPr>
      </w:pPr>
      <w:r>
        <w:rPr>
          <w:rFonts w:hint="eastAsia"/>
          <w:szCs w:val="21"/>
        </w:rPr>
        <w:t>18.1.2 国家验收是政府有关部门根据法律、规范、规程和政策要求，针对发包人全面组织实施的整个工程正式交付投运前的验收。</w:t>
      </w:r>
    </w:p>
    <w:p>
      <w:pPr>
        <w:spacing w:line="400" w:lineRule="exact"/>
        <w:ind w:firstLine="480" w:firstLineChars="200"/>
        <w:rPr>
          <w:szCs w:val="21"/>
        </w:rPr>
      </w:pPr>
      <w:r>
        <w:rPr>
          <w:rFonts w:hint="eastAsia"/>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spacing w:line="400" w:lineRule="exact"/>
        <w:ind w:firstLine="480" w:firstLineChars="200"/>
        <w:rPr>
          <w:szCs w:val="21"/>
        </w:rPr>
      </w:pPr>
      <w:r>
        <w:rPr>
          <w:rFonts w:hint="eastAsia"/>
          <w:szCs w:val="21"/>
        </w:rPr>
        <w:t>18.2 竣工验收申请报告</w:t>
      </w:r>
    </w:p>
    <w:p>
      <w:pPr>
        <w:spacing w:line="400" w:lineRule="exact"/>
        <w:ind w:firstLine="480" w:firstLineChars="200"/>
        <w:rPr>
          <w:szCs w:val="21"/>
        </w:rPr>
      </w:pPr>
      <w:r>
        <w:rPr>
          <w:rFonts w:hint="eastAsia"/>
          <w:szCs w:val="21"/>
        </w:rPr>
        <w:t>当工程具备以下条件时，承包人即可向监理人报送竣工验收申请报告：</w:t>
      </w:r>
    </w:p>
    <w:p>
      <w:pPr>
        <w:spacing w:line="400" w:lineRule="exact"/>
        <w:ind w:firstLine="480" w:firstLineChars="200"/>
        <w:rPr>
          <w:szCs w:val="21"/>
        </w:rPr>
      </w:pPr>
      <w:r>
        <w:rPr>
          <w:rFonts w:hint="eastAsia"/>
          <w:szCs w:val="21"/>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480" w:firstLineChars="200"/>
        <w:rPr>
          <w:szCs w:val="21"/>
        </w:rPr>
      </w:pPr>
      <w:r>
        <w:rPr>
          <w:rFonts w:hint="eastAsia"/>
          <w:szCs w:val="21"/>
        </w:rPr>
        <w:t xml:space="preserve">（2）已按合同约定的内容和份数备齐了符合要求的竣工资料； </w:t>
      </w:r>
    </w:p>
    <w:p>
      <w:pPr>
        <w:spacing w:line="400" w:lineRule="exact"/>
        <w:ind w:firstLine="480" w:firstLineChars="200"/>
        <w:rPr>
          <w:szCs w:val="21"/>
        </w:rPr>
      </w:pPr>
      <w:r>
        <w:rPr>
          <w:rFonts w:hint="eastAsia"/>
          <w:szCs w:val="21"/>
        </w:rPr>
        <w:t>（3）已按监理人的要求编制了在缺陷责任期内完成的尾工（甩项）工程和缺陷修补工作清单以及相应施工计划；</w:t>
      </w:r>
    </w:p>
    <w:p>
      <w:pPr>
        <w:spacing w:line="400" w:lineRule="exact"/>
        <w:ind w:firstLine="480" w:firstLineChars="200"/>
        <w:rPr>
          <w:szCs w:val="21"/>
        </w:rPr>
      </w:pPr>
      <w:r>
        <w:rPr>
          <w:rFonts w:hint="eastAsia"/>
          <w:szCs w:val="21"/>
        </w:rPr>
        <w:t>（4）监理人要求在竣工验收前应完成的其他工作；</w:t>
      </w:r>
    </w:p>
    <w:p>
      <w:pPr>
        <w:spacing w:line="400" w:lineRule="exact"/>
        <w:ind w:firstLine="480" w:firstLineChars="200"/>
        <w:rPr>
          <w:szCs w:val="21"/>
        </w:rPr>
      </w:pPr>
      <w:r>
        <w:rPr>
          <w:rFonts w:hint="eastAsia"/>
          <w:szCs w:val="21"/>
        </w:rPr>
        <w:t>（5）监理人要求提交的竣工验收资料清单。</w:t>
      </w:r>
    </w:p>
    <w:p>
      <w:pPr>
        <w:spacing w:line="400" w:lineRule="exact"/>
        <w:ind w:firstLine="480" w:firstLineChars="200"/>
        <w:rPr>
          <w:szCs w:val="21"/>
        </w:rPr>
      </w:pPr>
      <w:r>
        <w:rPr>
          <w:rFonts w:hint="eastAsia"/>
          <w:szCs w:val="21"/>
        </w:rPr>
        <w:t>18.3 验收</w:t>
      </w:r>
    </w:p>
    <w:p>
      <w:pPr>
        <w:spacing w:line="400" w:lineRule="exact"/>
        <w:ind w:firstLine="480" w:firstLineChars="200"/>
        <w:rPr>
          <w:szCs w:val="21"/>
        </w:rPr>
      </w:pPr>
      <w:r>
        <w:rPr>
          <w:rFonts w:hint="eastAsia"/>
          <w:szCs w:val="21"/>
        </w:rPr>
        <w:t>监理人收到承包人按第18.2款约定提交的竣工验收申请报告后，应审查申请报告的各项内容，并按以下不同情况进行处理。</w:t>
      </w:r>
    </w:p>
    <w:p>
      <w:pPr>
        <w:spacing w:line="400" w:lineRule="exact"/>
        <w:ind w:firstLine="480" w:firstLineChars="200"/>
        <w:rPr>
          <w:szCs w:val="21"/>
        </w:rPr>
      </w:pPr>
      <w:r>
        <w:rPr>
          <w:rFonts w:hint="eastAsia"/>
          <w:szCs w:val="21"/>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80" w:firstLineChars="200"/>
        <w:rPr>
          <w:szCs w:val="21"/>
        </w:rPr>
      </w:pPr>
      <w:r>
        <w:rPr>
          <w:rFonts w:hint="eastAsia"/>
          <w:szCs w:val="21"/>
        </w:rPr>
        <w:t>18.3.2 监理人审查后认为已具备竣工验收条件的，应在收到竣工验收申请报告后的28天内提请发包人进行工程验收。</w:t>
      </w:r>
    </w:p>
    <w:p>
      <w:pPr>
        <w:spacing w:line="400" w:lineRule="exact"/>
        <w:ind w:firstLine="480" w:firstLineChars="200"/>
        <w:rPr>
          <w:szCs w:val="21"/>
        </w:rPr>
      </w:pPr>
      <w:r>
        <w:rPr>
          <w:rFonts w:hint="eastAsia"/>
          <w:szCs w:val="21"/>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80" w:firstLineChars="200"/>
        <w:rPr>
          <w:szCs w:val="21"/>
        </w:rPr>
      </w:pPr>
      <w:r>
        <w:rPr>
          <w:rFonts w:hint="eastAsia"/>
          <w:szCs w:val="21"/>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480" w:firstLineChars="200"/>
        <w:rPr>
          <w:szCs w:val="21"/>
        </w:rPr>
      </w:pPr>
      <w:r>
        <w:rPr>
          <w:rFonts w:hint="eastAsia"/>
          <w:szCs w:val="21"/>
        </w:rPr>
        <w:t>18.3.5 除专用合同条款另有约定外，经验收合格工程的实际竣工日期，以提交竣工验收申请报告的日期为准，并在工程接收证书中写明。</w:t>
      </w:r>
    </w:p>
    <w:p>
      <w:pPr>
        <w:spacing w:line="400" w:lineRule="exact"/>
        <w:ind w:firstLine="480" w:firstLineChars="200"/>
        <w:rPr>
          <w:szCs w:val="21"/>
        </w:rPr>
      </w:pPr>
      <w:r>
        <w:rPr>
          <w:rFonts w:hint="eastAsia"/>
          <w:szCs w:val="21"/>
        </w:rPr>
        <w:t>18.3.6 发包人在收到承包人竣工验收申请报告56天后未进行验收的，视为验收合格，实际竣工日期以提交竣工验收申请报告的日期为准，但发包人由于不可抗力不能进行验收的除外。</w:t>
      </w:r>
    </w:p>
    <w:p>
      <w:pPr>
        <w:spacing w:line="400" w:lineRule="exact"/>
        <w:ind w:firstLine="480" w:firstLineChars="200"/>
        <w:rPr>
          <w:szCs w:val="21"/>
        </w:rPr>
      </w:pPr>
      <w:r>
        <w:rPr>
          <w:rFonts w:hint="eastAsia"/>
          <w:szCs w:val="21"/>
        </w:rPr>
        <w:t>18.4 单位工程验收</w:t>
      </w:r>
    </w:p>
    <w:p>
      <w:pPr>
        <w:spacing w:line="400" w:lineRule="exact"/>
        <w:ind w:firstLine="480" w:firstLineChars="200"/>
        <w:rPr>
          <w:szCs w:val="21"/>
        </w:rPr>
      </w:pPr>
      <w:r>
        <w:rPr>
          <w:rFonts w:hint="eastAsia"/>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80" w:firstLineChars="200"/>
        <w:rPr>
          <w:szCs w:val="21"/>
        </w:rPr>
      </w:pPr>
      <w:r>
        <w:rPr>
          <w:rFonts w:hint="eastAsia"/>
          <w:szCs w:val="21"/>
        </w:rPr>
        <w:t>18.4.2 发包人在全部工程竣工前，使用已接收的单位工程导致承包人费用增加的，发包人应承担由此增加的费用和（或）工期延误，并支付承包人合理利润。</w:t>
      </w:r>
    </w:p>
    <w:p>
      <w:pPr>
        <w:spacing w:line="400" w:lineRule="exact"/>
        <w:ind w:firstLine="480" w:firstLineChars="200"/>
        <w:rPr>
          <w:szCs w:val="21"/>
        </w:rPr>
      </w:pPr>
      <w:r>
        <w:rPr>
          <w:rFonts w:hint="eastAsia"/>
          <w:szCs w:val="21"/>
        </w:rPr>
        <w:t>18.5 施工期运行</w:t>
      </w:r>
    </w:p>
    <w:p>
      <w:pPr>
        <w:spacing w:line="400" w:lineRule="exact"/>
        <w:ind w:firstLine="480" w:firstLineChars="200"/>
        <w:rPr>
          <w:szCs w:val="21"/>
        </w:rPr>
      </w:pPr>
      <w:r>
        <w:rPr>
          <w:rFonts w:hint="eastAsia"/>
          <w:szCs w:val="21"/>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80" w:firstLineChars="200"/>
        <w:rPr>
          <w:szCs w:val="21"/>
        </w:rPr>
      </w:pPr>
      <w:r>
        <w:rPr>
          <w:rFonts w:hint="eastAsia"/>
          <w:szCs w:val="21"/>
        </w:rPr>
        <w:t>18.5.2 在施工期运行中发现工程或工程设备损坏或存在缺陷的，由承包人按第19.2款约定进行修复。</w:t>
      </w:r>
    </w:p>
    <w:p>
      <w:pPr>
        <w:spacing w:line="400" w:lineRule="exact"/>
        <w:ind w:firstLine="480" w:firstLineChars="200"/>
        <w:rPr>
          <w:szCs w:val="21"/>
        </w:rPr>
      </w:pPr>
      <w:r>
        <w:rPr>
          <w:rFonts w:hint="eastAsia"/>
          <w:szCs w:val="21"/>
        </w:rPr>
        <w:t>18.6 试运行</w:t>
      </w:r>
    </w:p>
    <w:p>
      <w:pPr>
        <w:spacing w:line="400" w:lineRule="exact"/>
        <w:ind w:firstLine="480" w:firstLineChars="200"/>
        <w:rPr>
          <w:szCs w:val="21"/>
        </w:rPr>
      </w:pPr>
      <w:r>
        <w:rPr>
          <w:rFonts w:hint="eastAsia"/>
          <w:szCs w:val="21"/>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80" w:firstLineChars="200"/>
        <w:rPr>
          <w:szCs w:val="21"/>
        </w:rPr>
      </w:pPr>
      <w:r>
        <w:rPr>
          <w:rFonts w:hint="eastAsia"/>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pacing w:line="400" w:lineRule="exact"/>
        <w:ind w:firstLine="480" w:firstLineChars="200"/>
        <w:rPr>
          <w:szCs w:val="21"/>
        </w:rPr>
      </w:pPr>
      <w:r>
        <w:rPr>
          <w:rFonts w:hint="eastAsia"/>
          <w:szCs w:val="21"/>
        </w:rPr>
        <w:t>18.7 竣工清场</w:t>
      </w:r>
    </w:p>
    <w:p>
      <w:pPr>
        <w:spacing w:line="400" w:lineRule="exact"/>
        <w:ind w:firstLine="480" w:firstLineChars="200"/>
        <w:rPr>
          <w:szCs w:val="21"/>
        </w:rPr>
      </w:pPr>
      <w:r>
        <w:rPr>
          <w:rFonts w:hint="eastAsia"/>
          <w:szCs w:val="21"/>
        </w:rPr>
        <w:t>18.7.1 除合同另有约定外，工程接收证书颁发后，承包人应按以下要求对施工场地进行清理，直至监理人检验合格为止。竣工清场费用由承包人承担。</w:t>
      </w:r>
    </w:p>
    <w:p>
      <w:pPr>
        <w:spacing w:line="400" w:lineRule="exact"/>
        <w:ind w:firstLine="480" w:firstLineChars="200"/>
        <w:rPr>
          <w:szCs w:val="21"/>
        </w:rPr>
      </w:pPr>
      <w:r>
        <w:rPr>
          <w:rFonts w:hint="eastAsia"/>
          <w:szCs w:val="21"/>
        </w:rPr>
        <w:t>（1）施工场地内残留的垃圾已全部清除出场；</w:t>
      </w:r>
    </w:p>
    <w:p>
      <w:pPr>
        <w:spacing w:line="400" w:lineRule="exact"/>
        <w:ind w:firstLine="480" w:firstLineChars="200"/>
        <w:rPr>
          <w:szCs w:val="21"/>
        </w:rPr>
      </w:pPr>
      <w:r>
        <w:rPr>
          <w:rFonts w:hint="eastAsia"/>
          <w:szCs w:val="21"/>
        </w:rPr>
        <w:t>（2）临时工程已拆除，场地已按合同要求进行清理、平整或复原；</w:t>
      </w:r>
    </w:p>
    <w:p>
      <w:pPr>
        <w:spacing w:line="400" w:lineRule="exact"/>
        <w:ind w:firstLine="480" w:firstLineChars="200"/>
        <w:rPr>
          <w:szCs w:val="21"/>
        </w:rPr>
      </w:pPr>
      <w:r>
        <w:rPr>
          <w:rFonts w:hint="eastAsia"/>
          <w:szCs w:val="21"/>
        </w:rPr>
        <w:t>（3）按合同约定应撤离的承包人设备和剩余的材料，包括废弃的施工设备和材料，已按计划撤离施工场地；</w:t>
      </w:r>
    </w:p>
    <w:p>
      <w:pPr>
        <w:spacing w:line="400" w:lineRule="exact"/>
        <w:ind w:firstLine="480" w:firstLineChars="200"/>
        <w:rPr>
          <w:szCs w:val="21"/>
        </w:rPr>
      </w:pPr>
      <w:r>
        <w:rPr>
          <w:rFonts w:hint="eastAsia"/>
          <w:szCs w:val="21"/>
        </w:rPr>
        <w:t>（4）工程建筑物周边及其附近道路、河道的施工堆积物，已按监理人指示全部清理；</w:t>
      </w:r>
    </w:p>
    <w:p>
      <w:pPr>
        <w:spacing w:line="400" w:lineRule="exact"/>
        <w:ind w:firstLine="480" w:firstLineChars="200"/>
        <w:rPr>
          <w:szCs w:val="21"/>
        </w:rPr>
      </w:pPr>
      <w:r>
        <w:rPr>
          <w:rFonts w:hint="eastAsia"/>
          <w:szCs w:val="21"/>
        </w:rPr>
        <w:t>（5）监理人指示的其他场地清理工作已全部完成。</w:t>
      </w:r>
    </w:p>
    <w:p>
      <w:pPr>
        <w:spacing w:line="400" w:lineRule="exact"/>
        <w:ind w:firstLine="480" w:firstLineChars="200"/>
        <w:rPr>
          <w:szCs w:val="21"/>
        </w:rPr>
      </w:pPr>
      <w:r>
        <w:rPr>
          <w:rFonts w:hint="eastAsia"/>
          <w:szCs w:val="21"/>
        </w:rPr>
        <w:t>18.7.2 承包人未按监理人的要求恢复临时占地，或者场地清理未达到合同约定的，发包人有权委托其他人恢复或清理，所发生的金额从拟支付给承包人的款项中扣除。</w:t>
      </w:r>
    </w:p>
    <w:p>
      <w:pPr>
        <w:spacing w:line="400" w:lineRule="exact"/>
        <w:ind w:firstLine="480" w:firstLineChars="200"/>
        <w:rPr>
          <w:szCs w:val="21"/>
        </w:rPr>
      </w:pPr>
      <w:r>
        <w:rPr>
          <w:rFonts w:hint="eastAsia"/>
          <w:szCs w:val="21"/>
        </w:rPr>
        <w:t>18.8 施工队伍的撤离</w:t>
      </w:r>
    </w:p>
    <w:p>
      <w:pPr>
        <w:spacing w:line="400" w:lineRule="exact"/>
        <w:ind w:firstLine="480" w:firstLineChars="200"/>
        <w:rPr>
          <w:szCs w:val="21"/>
        </w:rPr>
      </w:pPr>
      <w:r>
        <w:rPr>
          <w:rFonts w:hint="eastAsia"/>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spacing w:line="400" w:lineRule="exact"/>
        <w:ind w:firstLine="480" w:firstLineChars="200"/>
        <w:rPr>
          <w:szCs w:val="21"/>
        </w:rPr>
      </w:pPr>
      <w:r>
        <w:rPr>
          <w:rFonts w:hint="eastAsia"/>
          <w:szCs w:val="21"/>
        </w:rPr>
        <w:t>19. 缺陷责任与保修责任</w:t>
      </w:r>
    </w:p>
    <w:p>
      <w:pPr>
        <w:spacing w:line="400" w:lineRule="exact"/>
        <w:ind w:firstLine="480" w:firstLineChars="200"/>
        <w:rPr>
          <w:szCs w:val="21"/>
        </w:rPr>
      </w:pPr>
      <w:r>
        <w:rPr>
          <w:rFonts w:hint="eastAsia"/>
          <w:szCs w:val="21"/>
        </w:rPr>
        <w:t>19.1 缺陷责任期的起算时间</w:t>
      </w:r>
    </w:p>
    <w:p>
      <w:pPr>
        <w:spacing w:line="400" w:lineRule="exact"/>
        <w:ind w:firstLine="480" w:firstLineChars="200"/>
        <w:rPr>
          <w:szCs w:val="21"/>
        </w:rPr>
      </w:pPr>
      <w:r>
        <w:rPr>
          <w:rFonts w:hint="eastAsia"/>
          <w:szCs w:val="21"/>
        </w:rPr>
        <w:t>缺陷责任期自实际竣工日期起计算。在全部工程竣工验收前，已经发包人提前验收的单位工程，其缺陷责任期的起算日期相应提前。</w:t>
      </w:r>
    </w:p>
    <w:p>
      <w:pPr>
        <w:spacing w:line="400" w:lineRule="exact"/>
        <w:ind w:firstLine="480" w:firstLineChars="200"/>
        <w:rPr>
          <w:szCs w:val="21"/>
        </w:rPr>
      </w:pPr>
      <w:r>
        <w:rPr>
          <w:rFonts w:hint="eastAsia"/>
          <w:szCs w:val="21"/>
        </w:rPr>
        <w:t>19.2 缺陷责任</w:t>
      </w:r>
    </w:p>
    <w:p>
      <w:pPr>
        <w:spacing w:line="400" w:lineRule="exact"/>
        <w:ind w:firstLine="480" w:firstLineChars="200"/>
        <w:rPr>
          <w:szCs w:val="21"/>
        </w:rPr>
      </w:pPr>
      <w:r>
        <w:rPr>
          <w:rFonts w:hint="eastAsia"/>
          <w:szCs w:val="21"/>
        </w:rPr>
        <w:t>19.2.1 承包人应在缺陷责任期内对已交付使用的工程承担缺陷责任。</w:t>
      </w:r>
    </w:p>
    <w:p>
      <w:pPr>
        <w:spacing w:line="400" w:lineRule="exact"/>
        <w:ind w:firstLine="480" w:firstLineChars="200"/>
        <w:rPr>
          <w:szCs w:val="21"/>
        </w:rPr>
      </w:pPr>
      <w:r>
        <w:rPr>
          <w:rFonts w:hint="eastAsia"/>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80" w:firstLineChars="200"/>
        <w:rPr>
          <w:szCs w:val="21"/>
        </w:rPr>
      </w:pPr>
      <w:r>
        <w:rPr>
          <w:rFonts w:hint="eastAsia"/>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80" w:firstLineChars="200"/>
        <w:rPr>
          <w:szCs w:val="21"/>
        </w:rPr>
      </w:pPr>
      <w:r>
        <w:rPr>
          <w:rFonts w:hint="eastAsia"/>
          <w:szCs w:val="21"/>
        </w:rPr>
        <w:t>19.2.4 承包人不能在合理时间内修复缺陷的，发包人可自行修复或委托其他人修复，所需费用和利润的承担，按第19.2.3项约定办理。</w:t>
      </w:r>
    </w:p>
    <w:p>
      <w:pPr>
        <w:spacing w:line="400" w:lineRule="exact"/>
        <w:ind w:firstLine="480" w:firstLineChars="200"/>
        <w:rPr>
          <w:szCs w:val="21"/>
        </w:rPr>
      </w:pPr>
      <w:r>
        <w:rPr>
          <w:rFonts w:hint="eastAsia"/>
          <w:szCs w:val="21"/>
        </w:rPr>
        <w:t>19.3 缺陷责任期的延长</w:t>
      </w:r>
    </w:p>
    <w:p>
      <w:pPr>
        <w:spacing w:line="400" w:lineRule="exact"/>
        <w:ind w:firstLine="480" w:firstLineChars="200"/>
        <w:rPr>
          <w:szCs w:val="21"/>
        </w:rPr>
      </w:pPr>
      <w:r>
        <w:rPr>
          <w:rFonts w:hint="eastAsia"/>
          <w:szCs w:val="21"/>
        </w:rPr>
        <w:t>由于承包人原因造成某项缺陷或损坏使某项工程或工程设备不能按原定目标使用而需要再次检查、检验和修复的，发包人有权要求承包人相应延长缺陷责任期，但缺陷责任期延长最长不超过2年。</w:t>
      </w:r>
    </w:p>
    <w:p>
      <w:pPr>
        <w:spacing w:line="400" w:lineRule="exact"/>
        <w:ind w:firstLine="480" w:firstLineChars="200"/>
        <w:rPr>
          <w:szCs w:val="21"/>
        </w:rPr>
      </w:pPr>
      <w:r>
        <w:rPr>
          <w:rFonts w:hint="eastAsia"/>
          <w:szCs w:val="21"/>
        </w:rPr>
        <w:t>19.4 进一步试验和试运行</w:t>
      </w:r>
    </w:p>
    <w:p>
      <w:pPr>
        <w:spacing w:line="400" w:lineRule="exact"/>
        <w:ind w:firstLine="480" w:firstLineChars="200"/>
        <w:rPr>
          <w:szCs w:val="21"/>
        </w:rPr>
      </w:pPr>
      <w:r>
        <w:rPr>
          <w:rFonts w:hint="eastAsia"/>
          <w:szCs w:val="21"/>
        </w:rPr>
        <w:t>任何一项缺陷或损坏修复后，经检查证明其影响了工程或工程设备的使用性能，承包人应重新进行合同约定的试验和试运行，试验和试运行的全部费用应由责任方承担。</w:t>
      </w:r>
    </w:p>
    <w:p>
      <w:pPr>
        <w:spacing w:line="400" w:lineRule="exact"/>
        <w:ind w:firstLine="480" w:firstLineChars="200"/>
        <w:rPr>
          <w:szCs w:val="21"/>
        </w:rPr>
      </w:pPr>
      <w:r>
        <w:rPr>
          <w:rFonts w:hint="eastAsia"/>
          <w:szCs w:val="21"/>
        </w:rPr>
        <w:t>19.5 承包人的进入权</w:t>
      </w:r>
    </w:p>
    <w:p>
      <w:pPr>
        <w:spacing w:line="400" w:lineRule="exact"/>
        <w:ind w:firstLine="480" w:firstLineChars="200"/>
        <w:rPr>
          <w:szCs w:val="21"/>
        </w:rPr>
      </w:pPr>
      <w:r>
        <w:rPr>
          <w:rFonts w:hint="eastAsia"/>
          <w:szCs w:val="21"/>
        </w:rPr>
        <w:t>缺陷责任期内承包人为缺陷修复工作需要，有权进入工程现场，但应遵守发包人的保安和保密规定。</w:t>
      </w:r>
    </w:p>
    <w:p>
      <w:pPr>
        <w:spacing w:line="400" w:lineRule="exact"/>
        <w:ind w:firstLine="480" w:firstLineChars="200"/>
        <w:rPr>
          <w:szCs w:val="21"/>
        </w:rPr>
      </w:pPr>
      <w:r>
        <w:rPr>
          <w:rFonts w:hint="eastAsia"/>
          <w:szCs w:val="21"/>
        </w:rPr>
        <w:t>19.6 缺陷责任期终止证书</w:t>
      </w:r>
    </w:p>
    <w:p>
      <w:pPr>
        <w:spacing w:line="400" w:lineRule="exact"/>
        <w:ind w:firstLine="480" w:firstLineChars="200"/>
        <w:rPr>
          <w:szCs w:val="21"/>
        </w:rPr>
      </w:pPr>
      <w:r>
        <w:rPr>
          <w:rFonts w:hint="eastAsia"/>
          <w:szCs w:val="21"/>
        </w:rPr>
        <w:t>在第1.1.4.5目约定的缺陷责任期，包括根据第19.3款延长的期限终止后14天内，由监理人向承包人出具经发包人签认的缺陷责任期终止证书，并退还剩余的质量保证金。</w:t>
      </w:r>
    </w:p>
    <w:p>
      <w:pPr>
        <w:spacing w:line="400" w:lineRule="exact"/>
        <w:ind w:firstLine="480" w:firstLineChars="200"/>
        <w:rPr>
          <w:szCs w:val="21"/>
        </w:rPr>
      </w:pPr>
      <w:r>
        <w:rPr>
          <w:rFonts w:hint="eastAsia"/>
          <w:szCs w:val="21"/>
        </w:rPr>
        <w:t>19.7 保修责任</w:t>
      </w:r>
    </w:p>
    <w:p>
      <w:pPr>
        <w:spacing w:line="400" w:lineRule="exact"/>
        <w:ind w:firstLine="480" w:firstLineChars="200"/>
        <w:rPr>
          <w:szCs w:val="21"/>
        </w:rPr>
      </w:pPr>
      <w:r>
        <w:rPr>
          <w:rFonts w:hint="eastAsia"/>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spacing w:line="400" w:lineRule="exact"/>
        <w:ind w:firstLine="480" w:firstLineChars="200"/>
        <w:rPr>
          <w:szCs w:val="21"/>
        </w:rPr>
      </w:pPr>
      <w:r>
        <w:rPr>
          <w:rFonts w:hint="eastAsia"/>
          <w:szCs w:val="21"/>
        </w:rPr>
        <w:t>20. 保险</w:t>
      </w:r>
    </w:p>
    <w:p>
      <w:pPr>
        <w:spacing w:line="400" w:lineRule="exact"/>
        <w:ind w:firstLine="480" w:firstLineChars="200"/>
        <w:rPr>
          <w:szCs w:val="21"/>
        </w:rPr>
      </w:pPr>
      <w:r>
        <w:rPr>
          <w:rFonts w:hint="eastAsia"/>
          <w:szCs w:val="21"/>
        </w:rPr>
        <w:t>20.1 工程保险</w:t>
      </w:r>
    </w:p>
    <w:p>
      <w:pPr>
        <w:spacing w:line="400" w:lineRule="exact"/>
        <w:ind w:firstLine="480" w:firstLineChars="200"/>
        <w:rPr>
          <w:szCs w:val="21"/>
        </w:rPr>
      </w:pPr>
      <w:r>
        <w:rPr>
          <w:rFonts w:hint="eastAsia"/>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400" w:lineRule="exact"/>
        <w:ind w:firstLine="480" w:firstLineChars="200"/>
        <w:rPr>
          <w:szCs w:val="21"/>
        </w:rPr>
      </w:pPr>
      <w:r>
        <w:rPr>
          <w:rFonts w:hint="eastAsia"/>
          <w:szCs w:val="21"/>
        </w:rPr>
        <w:t>20.2 人员工伤事故的保险</w:t>
      </w:r>
    </w:p>
    <w:p>
      <w:pPr>
        <w:spacing w:line="400" w:lineRule="exact"/>
        <w:ind w:firstLine="480" w:firstLineChars="200"/>
        <w:rPr>
          <w:szCs w:val="21"/>
        </w:rPr>
      </w:pPr>
      <w:r>
        <w:rPr>
          <w:rFonts w:hint="eastAsia"/>
          <w:szCs w:val="21"/>
        </w:rPr>
        <w:t>20.2.1 承包人员工伤事故的保险</w:t>
      </w:r>
    </w:p>
    <w:p>
      <w:pPr>
        <w:spacing w:line="400" w:lineRule="exact"/>
        <w:ind w:firstLine="480" w:firstLineChars="200"/>
        <w:rPr>
          <w:szCs w:val="21"/>
        </w:rPr>
      </w:pPr>
      <w:r>
        <w:rPr>
          <w:rFonts w:hint="eastAsia"/>
          <w:szCs w:val="21"/>
        </w:rPr>
        <w:t>承包人应依照有关法律规定参加工伤保险，为其履行合同所雇佣的全部人员，缴纳工伤保险费，并要求其分包人也进行此项保险。</w:t>
      </w:r>
    </w:p>
    <w:p>
      <w:pPr>
        <w:spacing w:line="400" w:lineRule="exact"/>
        <w:ind w:firstLine="480" w:firstLineChars="200"/>
        <w:rPr>
          <w:szCs w:val="21"/>
        </w:rPr>
      </w:pPr>
      <w:r>
        <w:rPr>
          <w:rFonts w:hint="eastAsia"/>
          <w:szCs w:val="21"/>
        </w:rPr>
        <w:t>20.2.2 发包人员工伤事故的保险</w:t>
      </w:r>
    </w:p>
    <w:p>
      <w:pPr>
        <w:spacing w:line="400" w:lineRule="exact"/>
        <w:ind w:firstLine="480" w:firstLineChars="200"/>
        <w:rPr>
          <w:szCs w:val="21"/>
        </w:rPr>
      </w:pPr>
      <w:r>
        <w:rPr>
          <w:rFonts w:hint="eastAsia"/>
          <w:szCs w:val="21"/>
        </w:rPr>
        <w:t>发包人应依照有关法律规定参加工伤保险，为其现场机构雇佣的全部人员，缴纳工伤保险费，并要求其监理人也进行此项保险。</w:t>
      </w:r>
    </w:p>
    <w:p>
      <w:pPr>
        <w:spacing w:line="400" w:lineRule="exact"/>
        <w:ind w:firstLine="480" w:firstLineChars="200"/>
        <w:rPr>
          <w:szCs w:val="21"/>
        </w:rPr>
      </w:pPr>
      <w:r>
        <w:rPr>
          <w:rFonts w:hint="eastAsia"/>
          <w:szCs w:val="21"/>
        </w:rPr>
        <w:t>20.3 人身意外伤害险</w:t>
      </w:r>
    </w:p>
    <w:p>
      <w:pPr>
        <w:spacing w:line="400" w:lineRule="exact"/>
        <w:ind w:firstLine="480" w:firstLineChars="200"/>
        <w:rPr>
          <w:szCs w:val="21"/>
        </w:rPr>
      </w:pPr>
      <w:r>
        <w:rPr>
          <w:rFonts w:hint="eastAsia"/>
          <w:szCs w:val="21"/>
        </w:rPr>
        <w:t>20.3.1 发包人应在整个施工期间为其现场机构雇用的全部人员，投保人身意外伤害险，缴纳保险费，并要求其监理人也进行此项保险。</w:t>
      </w:r>
    </w:p>
    <w:p>
      <w:pPr>
        <w:spacing w:line="400" w:lineRule="exact"/>
        <w:ind w:firstLine="480" w:firstLineChars="200"/>
        <w:rPr>
          <w:szCs w:val="21"/>
        </w:rPr>
      </w:pPr>
      <w:r>
        <w:rPr>
          <w:rFonts w:hint="eastAsia"/>
          <w:szCs w:val="21"/>
        </w:rPr>
        <w:t>20.3.2 承包人应在整个施工期间为其现场机构雇用的全部人员，投保人身意外伤害险，缴纳保险费，并要求其分包人也进行此项保险。</w:t>
      </w:r>
    </w:p>
    <w:p>
      <w:pPr>
        <w:spacing w:line="400" w:lineRule="exact"/>
        <w:ind w:firstLine="480" w:firstLineChars="200"/>
        <w:rPr>
          <w:szCs w:val="21"/>
        </w:rPr>
      </w:pPr>
      <w:r>
        <w:rPr>
          <w:rFonts w:hint="eastAsia"/>
          <w:szCs w:val="21"/>
        </w:rPr>
        <w:t>20.4 第三者责任险</w:t>
      </w:r>
    </w:p>
    <w:p>
      <w:pPr>
        <w:spacing w:line="400" w:lineRule="exact"/>
        <w:ind w:firstLine="480" w:firstLineChars="200"/>
        <w:rPr>
          <w:szCs w:val="21"/>
        </w:rPr>
      </w:pPr>
      <w:r>
        <w:rPr>
          <w:rFonts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00" w:lineRule="exact"/>
        <w:ind w:firstLine="480" w:firstLineChars="200"/>
        <w:rPr>
          <w:szCs w:val="21"/>
        </w:rPr>
      </w:pPr>
      <w:r>
        <w:rPr>
          <w:rFonts w:hint="eastAsia"/>
          <w:szCs w:val="21"/>
        </w:rPr>
        <w:t>20.4.2 在缺陷责任期终止证书颁发前，承包人应以承包人和发包人的共同名义，投保第20.4.1项约定的第三者责任险，其保险费率、保险金额等有关内容在专用合同条款中约定。</w:t>
      </w:r>
    </w:p>
    <w:p>
      <w:pPr>
        <w:spacing w:line="400" w:lineRule="exact"/>
        <w:ind w:firstLine="480" w:firstLineChars="200"/>
        <w:rPr>
          <w:szCs w:val="21"/>
        </w:rPr>
      </w:pPr>
      <w:r>
        <w:rPr>
          <w:rFonts w:hint="eastAsia"/>
          <w:szCs w:val="21"/>
        </w:rPr>
        <w:t>20.5 其他保险</w:t>
      </w:r>
    </w:p>
    <w:p>
      <w:pPr>
        <w:spacing w:line="400" w:lineRule="exact"/>
        <w:ind w:firstLine="480" w:firstLineChars="200"/>
        <w:rPr>
          <w:szCs w:val="21"/>
        </w:rPr>
      </w:pPr>
      <w:r>
        <w:rPr>
          <w:rFonts w:hint="eastAsia"/>
          <w:szCs w:val="21"/>
        </w:rPr>
        <w:t>除专用合同条款另有约定外，承包人应为其施工设备、进场的材料和工程设备等办理保险。</w:t>
      </w:r>
    </w:p>
    <w:p>
      <w:pPr>
        <w:spacing w:line="400" w:lineRule="exact"/>
        <w:ind w:firstLine="480" w:firstLineChars="200"/>
        <w:rPr>
          <w:szCs w:val="21"/>
        </w:rPr>
      </w:pPr>
      <w:r>
        <w:rPr>
          <w:rFonts w:hint="eastAsia"/>
          <w:szCs w:val="21"/>
        </w:rPr>
        <w:t>20.6 对各项保险的一般要求</w:t>
      </w:r>
    </w:p>
    <w:p>
      <w:pPr>
        <w:spacing w:line="400" w:lineRule="exact"/>
        <w:ind w:firstLine="480" w:firstLineChars="200"/>
        <w:rPr>
          <w:szCs w:val="21"/>
        </w:rPr>
      </w:pPr>
      <w:r>
        <w:rPr>
          <w:rFonts w:hint="eastAsia"/>
          <w:szCs w:val="21"/>
        </w:rPr>
        <w:t>20.6.1 保险凭证</w:t>
      </w:r>
    </w:p>
    <w:p>
      <w:pPr>
        <w:spacing w:line="400" w:lineRule="exact"/>
        <w:ind w:firstLine="480" w:firstLineChars="200"/>
        <w:rPr>
          <w:szCs w:val="21"/>
        </w:rPr>
      </w:pPr>
      <w:r>
        <w:rPr>
          <w:rFonts w:hint="eastAsia"/>
          <w:szCs w:val="21"/>
        </w:rPr>
        <w:t>承包人应在专用合同条款约定的期限内向发包人提交各项保险生效的证据和保险单副本，保险单必须与专用合同条款约定的条件保持一致。</w:t>
      </w:r>
    </w:p>
    <w:p>
      <w:pPr>
        <w:spacing w:line="400" w:lineRule="exact"/>
        <w:ind w:firstLine="480" w:firstLineChars="200"/>
        <w:rPr>
          <w:szCs w:val="21"/>
        </w:rPr>
      </w:pPr>
      <w:r>
        <w:rPr>
          <w:rFonts w:hint="eastAsia"/>
          <w:szCs w:val="21"/>
        </w:rPr>
        <w:t>20.6.2 保险合同条款的变动</w:t>
      </w:r>
    </w:p>
    <w:p>
      <w:pPr>
        <w:spacing w:line="400" w:lineRule="exact"/>
        <w:ind w:firstLine="480" w:firstLineChars="200"/>
        <w:rPr>
          <w:szCs w:val="21"/>
        </w:rPr>
      </w:pPr>
      <w:r>
        <w:rPr>
          <w:rFonts w:hint="eastAsia"/>
          <w:szCs w:val="21"/>
        </w:rPr>
        <w:t>承包人需要变动保险合同条款时，应事先征得发包人同意，并通知监理人。保险人作出变动的，承包人应在收到保险人通知后立即通知发包人和监理人。</w:t>
      </w:r>
    </w:p>
    <w:p>
      <w:pPr>
        <w:spacing w:line="400" w:lineRule="exact"/>
        <w:ind w:firstLine="480" w:firstLineChars="200"/>
        <w:rPr>
          <w:szCs w:val="21"/>
        </w:rPr>
      </w:pPr>
      <w:r>
        <w:rPr>
          <w:rFonts w:hint="eastAsia"/>
          <w:szCs w:val="21"/>
        </w:rPr>
        <w:t>20.6.3 持续保险</w:t>
      </w:r>
    </w:p>
    <w:p>
      <w:pPr>
        <w:spacing w:line="400" w:lineRule="exact"/>
        <w:ind w:firstLine="480" w:firstLineChars="200"/>
        <w:rPr>
          <w:szCs w:val="21"/>
        </w:rPr>
      </w:pPr>
      <w:r>
        <w:rPr>
          <w:rFonts w:hint="eastAsia"/>
          <w:szCs w:val="21"/>
        </w:rPr>
        <w:t>承包人应与保险人保持联系，使保险人能够随时了解工程实施中的变动，并确保按保险合同条款要求持续保险。</w:t>
      </w:r>
    </w:p>
    <w:p>
      <w:pPr>
        <w:spacing w:line="400" w:lineRule="exact"/>
        <w:ind w:firstLine="480" w:firstLineChars="200"/>
        <w:rPr>
          <w:szCs w:val="21"/>
        </w:rPr>
      </w:pPr>
      <w:r>
        <w:rPr>
          <w:rFonts w:hint="eastAsia"/>
          <w:szCs w:val="21"/>
        </w:rPr>
        <w:t>20.6.4 保险金不足的补偿</w:t>
      </w:r>
    </w:p>
    <w:p>
      <w:pPr>
        <w:spacing w:line="400" w:lineRule="exact"/>
        <w:ind w:firstLine="480" w:firstLineChars="200"/>
        <w:rPr>
          <w:szCs w:val="21"/>
        </w:rPr>
      </w:pPr>
      <w:r>
        <w:rPr>
          <w:rFonts w:hint="eastAsia"/>
          <w:szCs w:val="21"/>
        </w:rPr>
        <w:t>保险金不足以补偿损失的，应由承包人和（或）发包人按合同约定负责补偿。</w:t>
      </w:r>
    </w:p>
    <w:p>
      <w:pPr>
        <w:spacing w:line="400" w:lineRule="exact"/>
        <w:ind w:firstLine="480" w:firstLineChars="200"/>
        <w:rPr>
          <w:szCs w:val="21"/>
        </w:rPr>
      </w:pPr>
      <w:r>
        <w:rPr>
          <w:rFonts w:hint="eastAsia"/>
          <w:szCs w:val="21"/>
        </w:rPr>
        <w:t>20.6.5 未按约定投保的补救</w:t>
      </w:r>
    </w:p>
    <w:p>
      <w:pPr>
        <w:spacing w:line="400" w:lineRule="exact"/>
        <w:ind w:firstLine="480" w:firstLineChars="200"/>
        <w:rPr>
          <w:szCs w:val="21"/>
        </w:rPr>
      </w:pPr>
      <w:r>
        <w:rPr>
          <w:rFonts w:hint="eastAsia"/>
          <w:szCs w:val="21"/>
        </w:rPr>
        <w:t>（1）由于负有投保义务的一方当事人未按合同约定办理保险，或未能使保险持续有效的，另一方当事人可代为办理，所需费用由对方当事人承担。</w:t>
      </w:r>
    </w:p>
    <w:p>
      <w:pPr>
        <w:spacing w:line="400" w:lineRule="exact"/>
        <w:ind w:firstLine="480" w:firstLineChars="200"/>
        <w:rPr>
          <w:szCs w:val="21"/>
        </w:rPr>
      </w:pPr>
      <w:r>
        <w:rPr>
          <w:rFonts w:hint="eastAsia"/>
          <w:szCs w:val="21"/>
        </w:rPr>
        <w:t>（2）由于负有投保义务的一方当事人未按合同约定办理某项保险，导致受益人未能得到保险人的赔偿，原应从该项保险得到的保险金应由负有投保义务的一方当事人支付。</w:t>
      </w:r>
    </w:p>
    <w:p>
      <w:pPr>
        <w:spacing w:line="400" w:lineRule="exact"/>
        <w:ind w:firstLine="480" w:firstLineChars="200"/>
        <w:rPr>
          <w:szCs w:val="21"/>
        </w:rPr>
      </w:pPr>
      <w:r>
        <w:rPr>
          <w:rFonts w:hint="eastAsia"/>
          <w:szCs w:val="21"/>
        </w:rPr>
        <w:t>20.6.6 报告义务</w:t>
      </w:r>
    </w:p>
    <w:p>
      <w:pPr>
        <w:spacing w:line="400" w:lineRule="exact"/>
        <w:ind w:firstLine="480" w:firstLineChars="200"/>
        <w:rPr>
          <w:szCs w:val="21"/>
        </w:rPr>
      </w:pPr>
      <w:r>
        <w:rPr>
          <w:rFonts w:hint="eastAsia"/>
          <w:szCs w:val="21"/>
        </w:rPr>
        <w:t>当保险事故发生时，投保人应按照保险单规定的条件和期限及时向保险人报告。</w:t>
      </w:r>
    </w:p>
    <w:p>
      <w:pPr>
        <w:spacing w:line="400" w:lineRule="exact"/>
        <w:ind w:firstLine="480" w:firstLineChars="200"/>
        <w:rPr>
          <w:szCs w:val="21"/>
        </w:rPr>
      </w:pPr>
      <w:r>
        <w:rPr>
          <w:rFonts w:hint="eastAsia"/>
          <w:szCs w:val="21"/>
        </w:rPr>
        <w:t>21. 不可抗力</w:t>
      </w:r>
    </w:p>
    <w:p>
      <w:pPr>
        <w:spacing w:line="400" w:lineRule="exact"/>
        <w:ind w:firstLine="480" w:firstLineChars="200"/>
        <w:rPr>
          <w:szCs w:val="21"/>
        </w:rPr>
      </w:pPr>
      <w:r>
        <w:rPr>
          <w:rFonts w:hint="eastAsia"/>
          <w:szCs w:val="21"/>
        </w:rPr>
        <w:t>21.1 不可抗力的确认</w:t>
      </w:r>
    </w:p>
    <w:p>
      <w:pPr>
        <w:spacing w:line="400" w:lineRule="exact"/>
        <w:ind w:firstLine="480" w:firstLineChars="200"/>
        <w:rPr>
          <w:szCs w:val="21"/>
        </w:rPr>
      </w:pPr>
      <w:r>
        <w:rPr>
          <w:rFonts w:hint="eastAsia"/>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80" w:firstLineChars="200"/>
        <w:rPr>
          <w:szCs w:val="21"/>
        </w:rPr>
      </w:pPr>
      <w:r>
        <w:rPr>
          <w:rFonts w:hint="eastAsia"/>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spacing w:line="400" w:lineRule="exact"/>
        <w:ind w:firstLine="480" w:firstLineChars="200"/>
        <w:rPr>
          <w:szCs w:val="21"/>
        </w:rPr>
      </w:pPr>
      <w:r>
        <w:rPr>
          <w:rFonts w:hint="eastAsia"/>
          <w:szCs w:val="21"/>
        </w:rPr>
        <w:t>21.2 不可抗力的通知</w:t>
      </w:r>
    </w:p>
    <w:p>
      <w:pPr>
        <w:spacing w:line="400" w:lineRule="exact"/>
        <w:ind w:firstLine="480" w:firstLineChars="200"/>
        <w:rPr>
          <w:szCs w:val="21"/>
        </w:rPr>
      </w:pPr>
      <w:r>
        <w:rPr>
          <w:rFonts w:hint="eastAsia"/>
          <w:szCs w:val="21"/>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80" w:firstLineChars="200"/>
        <w:rPr>
          <w:szCs w:val="21"/>
        </w:rPr>
      </w:pPr>
      <w:r>
        <w:rPr>
          <w:rFonts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pPr>
        <w:spacing w:line="400" w:lineRule="exact"/>
        <w:ind w:firstLine="480" w:firstLineChars="200"/>
        <w:rPr>
          <w:szCs w:val="21"/>
        </w:rPr>
      </w:pPr>
      <w:r>
        <w:rPr>
          <w:rFonts w:hint="eastAsia"/>
          <w:szCs w:val="21"/>
        </w:rPr>
        <w:t>21.3 不可抗力后果及其处理</w:t>
      </w:r>
    </w:p>
    <w:p>
      <w:pPr>
        <w:spacing w:line="400" w:lineRule="exact"/>
        <w:ind w:firstLine="480" w:firstLineChars="200"/>
        <w:rPr>
          <w:szCs w:val="21"/>
        </w:rPr>
      </w:pPr>
      <w:r>
        <w:rPr>
          <w:rFonts w:hint="eastAsia"/>
          <w:szCs w:val="21"/>
        </w:rPr>
        <w:t>21.3.1 不可抗力造成损害的责任</w:t>
      </w:r>
    </w:p>
    <w:p>
      <w:pPr>
        <w:spacing w:line="400" w:lineRule="exact"/>
        <w:ind w:firstLine="480" w:firstLineChars="200"/>
        <w:rPr>
          <w:szCs w:val="21"/>
        </w:rPr>
      </w:pPr>
      <w:r>
        <w:rPr>
          <w:rFonts w:hint="eastAsia"/>
          <w:szCs w:val="21"/>
        </w:rPr>
        <w:t>除专用合同条款另有约定外，不可抗力导致的人员伤亡、财产损失、费用增加和（或）工期延误等后果，由合同双方按以下原则承担：</w:t>
      </w:r>
    </w:p>
    <w:p>
      <w:pPr>
        <w:spacing w:line="400" w:lineRule="exact"/>
        <w:ind w:firstLine="480" w:firstLineChars="200"/>
        <w:rPr>
          <w:szCs w:val="21"/>
        </w:rPr>
      </w:pPr>
      <w:r>
        <w:rPr>
          <w:rFonts w:hint="eastAsia"/>
          <w:szCs w:val="21"/>
        </w:rPr>
        <w:t>（1）永久工程，包括已运至施工场地的材料和工程设备的损害，以及因工程损害造成的第三者人员伤亡和财产损失由发包人承担；</w:t>
      </w:r>
    </w:p>
    <w:p>
      <w:pPr>
        <w:spacing w:line="400" w:lineRule="exact"/>
        <w:ind w:firstLine="480" w:firstLineChars="200"/>
        <w:rPr>
          <w:szCs w:val="21"/>
        </w:rPr>
      </w:pPr>
      <w:r>
        <w:rPr>
          <w:rFonts w:hint="eastAsia"/>
          <w:szCs w:val="21"/>
        </w:rPr>
        <w:t>（2）承包人设备的损坏由承包人承担；</w:t>
      </w:r>
    </w:p>
    <w:p>
      <w:pPr>
        <w:spacing w:line="400" w:lineRule="exact"/>
        <w:ind w:firstLine="480" w:firstLineChars="200"/>
        <w:rPr>
          <w:szCs w:val="21"/>
        </w:rPr>
      </w:pPr>
      <w:r>
        <w:rPr>
          <w:rFonts w:hint="eastAsia"/>
          <w:szCs w:val="21"/>
        </w:rPr>
        <w:t>（3）发包人和承包人各自承担其人员伤亡和其他财产损失及其相关费用；</w:t>
      </w:r>
    </w:p>
    <w:p>
      <w:pPr>
        <w:spacing w:line="400" w:lineRule="exact"/>
        <w:ind w:firstLine="480" w:firstLineChars="200"/>
        <w:rPr>
          <w:szCs w:val="21"/>
        </w:rPr>
      </w:pPr>
      <w:r>
        <w:rPr>
          <w:rFonts w:hint="eastAsia"/>
          <w:szCs w:val="21"/>
        </w:rPr>
        <w:t>（4）承包人的停工损失由承包人承担，但停工期间应监理人要求照管工程和清理、修复工程的金额由发包人承担；</w:t>
      </w:r>
    </w:p>
    <w:p>
      <w:pPr>
        <w:spacing w:line="400" w:lineRule="exact"/>
        <w:ind w:firstLine="480" w:firstLineChars="200"/>
        <w:rPr>
          <w:szCs w:val="21"/>
        </w:rPr>
      </w:pPr>
      <w:r>
        <w:rPr>
          <w:rFonts w:hint="eastAsia"/>
          <w:szCs w:val="21"/>
        </w:rPr>
        <w:t>（5）不能按期竣工的，应合理延长工期，承包人不需支付逾期竣工违约金。发包人要求赶工的，承包人应采取赶工措施，赶工费用由发包人承担。</w:t>
      </w:r>
    </w:p>
    <w:p>
      <w:pPr>
        <w:spacing w:line="400" w:lineRule="exact"/>
        <w:ind w:firstLine="480" w:firstLineChars="200"/>
        <w:rPr>
          <w:szCs w:val="21"/>
        </w:rPr>
      </w:pPr>
      <w:r>
        <w:rPr>
          <w:rFonts w:hint="eastAsia"/>
          <w:szCs w:val="21"/>
        </w:rPr>
        <w:t>21.3.2 延迟履行期间发生的不可抗力</w:t>
      </w:r>
    </w:p>
    <w:p>
      <w:pPr>
        <w:spacing w:line="400" w:lineRule="exact"/>
        <w:ind w:firstLine="480" w:firstLineChars="200"/>
        <w:rPr>
          <w:szCs w:val="21"/>
        </w:rPr>
      </w:pPr>
      <w:r>
        <w:rPr>
          <w:rFonts w:hint="eastAsia"/>
          <w:szCs w:val="21"/>
        </w:rPr>
        <w:t>合同一方当事人延迟履行，在延迟履行期间发生不可抗力的，不免除其责任。</w:t>
      </w:r>
    </w:p>
    <w:p>
      <w:pPr>
        <w:spacing w:line="400" w:lineRule="exact"/>
        <w:ind w:firstLine="480" w:firstLineChars="200"/>
        <w:rPr>
          <w:szCs w:val="21"/>
        </w:rPr>
      </w:pPr>
      <w:r>
        <w:rPr>
          <w:rFonts w:hint="eastAsia"/>
          <w:szCs w:val="21"/>
        </w:rPr>
        <w:t>21.3.3 避免和减少不可抗力损失</w:t>
      </w:r>
    </w:p>
    <w:p>
      <w:pPr>
        <w:spacing w:line="400" w:lineRule="exact"/>
        <w:ind w:firstLine="480" w:firstLineChars="200"/>
        <w:rPr>
          <w:szCs w:val="21"/>
        </w:rPr>
      </w:pPr>
      <w:r>
        <w:rPr>
          <w:rFonts w:hint="eastAsia"/>
          <w:szCs w:val="21"/>
        </w:rPr>
        <w:t>不可抗力发生后，发包人和承包人均应采取措施尽量避免和减少损失的扩大，任何一方没有采取有效措施导致损失扩大的，应对扩大的损失承担责任。</w:t>
      </w:r>
    </w:p>
    <w:p>
      <w:pPr>
        <w:spacing w:line="400" w:lineRule="exact"/>
        <w:ind w:firstLine="480" w:firstLineChars="200"/>
        <w:rPr>
          <w:szCs w:val="21"/>
        </w:rPr>
      </w:pPr>
      <w:r>
        <w:rPr>
          <w:rFonts w:hint="eastAsia"/>
          <w:szCs w:val="21"/>
        </w:rPr>
        <w:t>21.3.4 因不可抗力解除合同</w:t>
      </w:r>
    </w:p>
    <w:p>
      <w:pPr>
        <w:spacing w:line="400" w:lineRule="exact"/>
        <w:ind w:firstLine="480" w:firstLineChars="200"/>
        <w:rPr>
          <w:szCs w:val="21"/>
        </w:rPr>
      </w:pPr>
      <w:r>
        <w:rPr>
          <w:rFonts w:hint="eastAsia"/>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spacing w:line="400" w:lineRule="exact"/>
        <w:ind w:firstLine="480" w:firstLineChars="200"/>
        <w:rPr>
          <w:szCs w:val="21"/>
        </w:rPr>
      </w:pPr>
      <w:r>
        <w:rPr>
          <w:rFonts w:hint="eastAsia"/>
          <w:szCs w:val="21"/>
        </w:rPr>
        <w:t>22. 违约</w:t>
      </w:r>
    </w:p>
    <w:p>
      <w:pPr>
        <w:spacing w:line="400" w:lineRule="exact"/>
        <w:ind w:firstLine="480" w:firstLineChars="200"/>
        <w:rPr>
          <w:szCs w:val="21"/>
        </w:rPr>
      </w:pPr>
      <w:r>
        <w:rPr>
          <w:rFonts w:hint="eastAsia"/>
          <w:szCs w:val="21"/>
        </w:rPr>
        <w:t>22.1 承包人违约</w:t>
      </w:r>
    </w:p>
    <w:p>
      <w:pPr>
        <w:spacing w:line="400" w:lineRule="exact"/>
        <w:ind w:firstLine="480" w:firstLineChars="200"/>
        <w:rPr>
          <w:szCs w:val="21"/>
        </w:rPr>
      </w:pPr>
      <w:r>
        <w:rPr>
          <w:rFonts w:hint="eastAsia"/>
          <w:szCs w:val="21"/>
        </w:rPr>
        <w:t>22.1.1 承包人违约的情形</w:t>
      </w:r>
    </w:p>
    <w:p>
      <w:pPr>
        <w:spacing w:line="400" w:lineRule="exact"/>
        <w:ind w:firstLine="480" w:firstLineChars="200"/>
        <w:rPr>
          <w:szCs w:val="21"/>
        </w:rPr>
      </w:pPr>
      <w:r>
        <w:rPr>
          <w:rFonts w:hint="eastAsia"/>
          <w:szCs w:val="21"/>
        </w:rPr>
        <w:t>在履行合同过程中发生的下列情况属承包人违约：</w:t>
      </w:r>
    </w:p>
    <w:p>
      <w:pPr>
        <w:spacing w:line="400" w:lineRule="exact"/>
        <w:ind w:firstLine="480" w:firstLineChars="200"/>
        <w:rPr>
          <w:szCs w:val="21"/>
        </w:rPr>
      </w:pPr>
      <w:r>
        <w:rPr>
          <w:rFonts w:hint="eastAsia"/>
          <w:szCs w:val="21"/>
        </w:rPr>
        <w:t>（1）承包人违反第1.8款或第4.3款的约定，私自将合同的全部或部分权利转让给其他人，或私自将合同的全部或部分义务转移给其他人；</w:t>
      </w:r>
    </w:p>
    <w:p>
      <w:pPr>
        <w:spacing w:line="400" w:lineRule="exact"/>
        <w:ind w:firstLine="480" w:firstLineChars="200"/>
        <w:rPr>
          <w:szCs w:val="21"/>
        </w:rPr>
      </w:pPr>
      <w:r>
        <w:rPr>
          <w:rFonts w:hint="eastAsia"/>
          <w:szCs w:val="21"/>
        </w:rPr>
        <w:t>（2）承包人违反第5.3款或第6.4款的约定，未经监理人批准，私自将已按合同约定进入施工场地的施工设备、临时设施或材料撤离施工场地；</w:t>
      </w:r>
    </w:p>
    <w:p>
      <w:pPr>
        <w:spacing w:line="400" w:lineRule="exact"/>
        <w:ind w:firstLine="480" w:firstLineChars="200"/>
        <w:rPr>
          <w:szCs w:val="21"/>
        </w:rPr>
      </w:pPr>
      <w:r>
        <w:rPr>
          <w:rFonts w:hint="eastAsia"/>
          <w:szCs w:val="21"/>
        </w:rPr>
        <w:t>（3）承包人违反第5.4款的约定使用了不合格材料或工程设备，工程质量达不到标准要求，又拒绝清除不合格工程；</w:t>
      </w:r>
    </w:p>
    <w:p>
      <w:pPr>
        <w:spacing w:line="400" w:lineRule="exact"/>
        <w:ind w:firstLine="480" w:firstLineChars="200"/>
        <w:rPr>
          <w:szCs w:val="21"/>
        </w:rPr>
      </w:pPr>
      <w:r>
        <w:rPr>
          <w:rFonts w:hint="eastAsia"/>
          <w:szCs w:val="21"/>
        </w:rPr>
        <w:t>（4）承包人未能按合同进度计划及时完成合同约定的工作，已造成或预期造成工期延误；</w:t>
      </w:r>
    </w:p>
    <w:p>
      <w:pPr>
        <w:spacing w:line="400" w:lineRule="exact"/>
        <w:ind w:firstLine="480" w:firstLineChars="200"/>
        <w:rPr>
          <w:szCs w:val="21"/>
        </w:rPr>
      </w:pPr>
      <w:r>
        <w:rPr>
          <w:rFonts w:hint="eastAsia"/>
          <w:szCs w:val="21"/>
        </w:rPr>
        <w:t>（5）承包人在缺陷责任期内，未能对工程接收证书所列的缺陷清单的内容或缺陷责任期内发生的缺陷进行修复，而又拒绝按监理人指示再进行修补；</w:t>
      </w:r>
    </w:p>
    <w:p>
      <w:pPr>
        <w:spacing w:line="400" w:lineRule="exact"/>
        <w:ind w:firstLine="480" w:firstLineChars="200"/>
        <w:rPr>
          <w:szCs w:val="21"/>
        </w:rPr>
      </w:pPr>
      <w:r>
        <w:rPr>
          <w:rFonts w:hint="eastAsia"/>
          <w:szCs w:val="21"/>
        </w:rPr>
        <w:t>（6）承包人无法继续履行或明确表示不履行或实质上已停止履行合同；</w:t>
      </w:r>
    </w:p>
    <w:p>
      <w:pPr>
        <w:spacing w:line="400" w:lineRule="exact"/>
        <w:ind w:firstLine="480" w:firstLineChars="200"/>
        <w:rPr>
          <w:szCs w:val="21"/>
        </w:rPr>
      </w:pPr>
      <w:r>
        <w:rPr>
          <w:rFonts w:hint="eastAsia"/>
          <w:szCs w:val="21"/>
        </w:rPr>
        <w:t>（7）承包人不按合同约定履行义务的其他情况。</w:t>
      </w:r>
    </w:p>
    <w:p>
      <w:pPr>
        <w:spacing w:line="400" w:lineRule="exact"/>
        <w:ind w:firstLine="480" w:firstLineChars="200"/>
        <w:rPr>
          <w:szCs w:val="21"/>
        </w:rPr>
      </w:pPr>
      <w:r>
        <w:rPr>
          <w:rFonts w:hint="eastAsia"/>
          <w:szCs w:val="21"/>
        </w:rPr>
        <w:t>22.1.2 对承包人违约的处理</w:t>
      </w:r>
    </w:p>
    <w:p>
      <w:pPr>
        <w:spacing w:line="400" w:lineRule="exact"/>
        <w:ind w:firstLine="480" w:firstLineChars="200"/>
        <w:rPr>
          <w:szCs w:val="21"/>
        </w:rPr>
      </w:pPr>
      <w:r>
        <w:rPr>
          <w:rFonts w:hint="eastAsia"/>
          <w:szCs w:val="21"/>
        </w:rPr>
        <w:t>（1）承包人发生第22.1.1（6）目约定的违约情况时，发包人可通知承包人立即解除合同，并按有关法律处理。</w:t>
      </w:r>
    </w:p>
    <w:p>
      <w:pPr>
        <w:spacing w:line="400" w:lineRule="exact"/>
        <w:ind w:firstLine="480" w:firstLineChars="200"/>
        <w:rPr>
          <w:szCs w:val="21"/>
        </w:rPr>
      </w:pPr>
      <w:r>
        <w:rPr>
          <w:rFonts w:hint="eastAsia"/>
          <w:szCs w:val="21"/>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480" w:firstLineChars="200"/>
        <w:rPr>
          <w:szCs w:val="21"/>
        </w:rPr>
      </w:pPr>
      <w:r>
        <w:rPr>
          <w:rFonts w:hint="eastAsia"/>
          <w:szCs w:val="21"/>
        </w:rPr>
        <w:t>（3）经检查证明承包人已采取了有效措施纠正违约行为，具备复工条件的，可由监理人签发复工通知复工。</w:t>
      </w:r>
    </w:p>
    <w:p>
      <w:pPr>
        <w:spacing w:line="400" w:lineRule="exact"/>
        <w:ind w:firstLine="480" w:firstLineChars="200"/>
        <w:rPr>
          <w:szCs w:val="21"/>
        </w:rPr>
      </w:pPr>
      <w:r>
        <w:rPr>
          <w:rFonts w:hint="eastAsia"/>
          <w:szCs w:val="21"/>
        </w:rPr>
        <w:t>22.1.3 承包人违约解除合同</w:t>
      </w:r>
    </w:p>
    <w:p>
      <w:pPr>
        <w:spacing w:line="400" w:lineRule="exact"/>
        <w:ind w:firstLine="480" w:firstLineChars="200"/>
        <w:rPr>
          <w:szCs w:val="21"/>
        </w:rPr>
      </w:pPr>
      <w:r>
        <w:rPr>
          <w:rFonts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80" w:firstLineChars="200"/>
        <w:rPr>
          <w:szCs w:val="21"/>
        </w:rPr>
      </w:pPr>
      <w:r>
        <w:rPr>
          <w:rFonts w:hint="eastAsia"/>
          <w:szCs w:val="21"/>
        </w:rPr>
        <w:t>22.1.4 合同解除后的估价、付款和结清</w:t>
      </w:r>
    </w:p>
    <w:p>
      <w:pPr>
        <w:spacing w:line="400" w:lineRule="exact"/>
        <w:ind w:firstLine="480" w:firstLineChars="200"/>
        <w:rPr>
          <w:szCs w:val="21"/>
        </w:rPr>
      </w:pPr>
      <w:r>
        <w:rPr>
          <w:rFonts w:hint="eastAsia"/>
          <w:szCs w:val="21"/>
        </w:rPr>
        <w:t xml:space="preserve">（1）合同解除后，监理人按第3.5款商定或确定承包人实际完成工作的价值，以及承包人已提供的材料、施工设备、工程设备和临时工程等的价值。 </w:t>
      </w:r>
    </w:p>
    <w:p>
      <w:pPr>
        <w:spacing w:line="400" w:lineRule="exact"/>
        <w:ind w:firstLine="480" w:firstLineChars="200"/>
        <w:rPr>
          <w:szCs w:val="21"/>
        </w:rPr>
      </w:pPr>
      <w:r>
        <w:rPr>
          <w:rFonts w:hint="eastAsia"/>
          <w:szCs w:val="21"/>
        </w:rPr>
        <w:t xml:space="preserve">（2）合同解除后，发包人应暂停对承包人的一切付款，查清各项付款和已扣款金额，包括承包人应支付的违约金。 </w:t>
      </w:r>
    </w:p>
    <w:p>
      <w:pPr>
        <w:spacing w:line="400" w:lineRule="exact"/>
        <w:ind w:firstLine="480" w:firstLineChars="200"/>
        <w:rPr>
          <w:szCs w:val="21"/>
        </w:rPr>
      </w:pPr>
      <w:r>
        <w:rPr>
          <w:rFonts w:hint="eastAsia"/>
          <w:szCs w:val="21"/>
        </w:rPr>
        <w:t>（3）合同解除后，发包人应按第23.4款的约定向承包人索赔由于解除合同给发包人造成的损失。</w:t>
      </w:r>
    </w:p>
    <w:p>
      <w:pPr>
        <w:spacing w:line="400" w:lineRule="exact"/>
        <w:ind w:firstLine="480" w:firstLineChars="200"/>
        <w:rPr>
          <w:szCs w:val="21"/>
        </w:rPr>
      </w:pPr>
      <w:r>
        <w:rPr>
          <w:rFonts w:hint="eastAsia"/>
          <w:szCs w:val="21"/>
        </w:rPr>
        <w:t>（4）合同双方确认上述往来款项后，出具最终结清付款证书，结清全部合同款项。</w:t>
      </w:r>
    </w:p>
    <w:p>
      <w:pPr>
        <w:spacing w:line="400" w:lineRule="exact"/>
        <w:ind w:firstLine="480" w:firstLineChars="200"/>
        <w:rPr>
          <w:szCs w:val="21"/>
        </w:rPr>
      </w:pPr>
      <w:r>
        <w:rPr>
          <w:rFonts w:hint="eastAsia"/>
          <w:szCs w:val="21"/>
        </w:rPr>
        <w:t>（5）发包人和承包人未能就解除合同后的结清达成一致而形成争议的，按第24条的约定办理。</w:t>
      </w:r>
    </w:p>
    <w:p>
      <w:pPr>
        <w:spacing w:line="400" w:lineRule="exact"/>
        <w:ind w:firstLine="480" w:firstLineChars="200"/>
        <w:rPr>
          <w:szCs w:val="21"/>
        </w:rPr>
      </w:pPr>
      <w:r>
        <w:rPr>
          <w:rFonts w:hint="eastAsia"/>
          <w:szCs w:val="21"/>
        </w:rPr>
        <w:t>22.1.5 协议利益的转让</w:t>
      </w:r>
    </w:p>
    <w:p>
      <w:pPr>
        <w:spacing w:line="400" w:lineRule="exact"/>
        <w:ind w:firstLine="480" w:firstLineChars="200"/>
        <w:rPr>
          <w:szCs w:val="21"/>
        </w:rPr>
      </w:pPr>
      <w:r>
        <w:rPr>
          <w:rFonts w:hint="eastAsia"/>
          <w:szCs w:val="21"/>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80" w:firstLineChars="200"/>
        <w:rPr>
          <w:szCs w:val="21"/>
        </w:rPr>
      </w:pPr>
      <w:r>
        <w:rPr>
          <w:rFonts w:hint="eastAsia"/>
          <w:szCs w:val="21"/>
        </w:rPr>
        <w:t>22.1.6 紧急情况下无能力或不愿进行抢救</w:t>
      </w:r>
    </w:p>
    <w:p>
      <w:pPr>
        <w:spacing w:line="400" w:lineRule="exact"/>
        <w:ind w:firstLine="480" w:firstLineChars="200"/>
        <w:rPr>
          <w:szCs w:val="21"/>
        </w:rPr>
      </w:pPr>
      <w:r>
        <w:rPr>
          <w:rFonts w:hint="eastAsia"/>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400" w:lineRule="exact"/>
        <w:ind w:firstLine="480" w:firstLineChars="200"/>
        <w:rPr>
          <w:szCs w:val="21"/>
        </w:rPr>
      </w:pPr>
      <w:r>
        <w:rPr>
          <w:rFonts w:hint="eastAsia"/>
          <w:szCs w:val="21"/>
        </w:rPr>
        <w:t>22.2 发包人违约</w:t>
      </w:r>
    </w:p>
    <w:p>
      <w:pPr>
        <w:spacing w:line="400" w:lineRule="exact"/>
        <w:ind w:firstLine="480" w:firstLineChars="200"/>
        <w:rPr>
          <w:szCs w:val="21"/>
        </w:rPr>
      </w:pPr>
      <w:r>
        <w:rPr>
          <w:rFonts w:hint="eastAsia"/>
          <w:szCs w:val="21"/>
        </w:rPr>
        <w:t>22.2.1 发包人违约的情形</w:t>
      </w:r>
    </w:p>
    <w:p>
      <w:pPr>
        <w:spacing w:line="400" w:lineRule="exact"/>
        <w:ind w:firstLine="480" w:firstLineChars="200"/>
        <w:rPr>
          <w:szCs w:val="21"/>
        </w:rPr>
      </w:pPr>
      <w:r>
        <w:rPr>
          <w:rFonts w:hint="eastAsia"/>
          <w:szCs w:val="21"/>
        </w:rPr>
        <w:t>在履行合同过程中发生的下列情形，属发包人违约：</w:t>
      </w:r>
    </w:p>
    <w:p>
      <w:pPr>
        <w:spacing w:line="400" w:lineRule="exact"/>
        <w:ind w:firstLine="480" w:firstLineChars="200"/>
        <w:rPr>
          <w:szCs w:val="21"/>
        </w:rPr>
      </w:pPr>
      <w:r>
        <w:rPr>
          <w:rFonts w:hint="eastAsia"/>
          <w:szCs w:val="21"/>
        </w:rPr>
        <w:t>（1）发包人未能按合同约定支付预付款或合同价款，或拖延、拒绝批准付款申请和支付凭证，导致付款延误的；</w:t>
      </w:r>
    </w:p>
    <w:p>
      <w:pPr>
        <w:spacing w:line="400" w:lineRule="exact"/>
        <w:ind w:firstLine="480" w:firstLineChars="200"/>
        <w:rPr>
          <w:szCs w:val="21"/>
        </w:rPr>
      </w:pPr>
      <w:r>
        <w:rPr>
          <w:rFonts w:hint="eastAsia"/>
          <w:szCs w:val="21"/>
        </w:rPr>
        <w:t>（2）发包人原因造成停工的；</w:t>
      </w:r>
    </w:p>
    <w:p>
      <w:pPr>
        <w:spacing w:line="400" w:lineRule="exact"/>
        <w:ind w:firstLine="480" w:firstLineChars="200"/>
        <w:rPr>
          <w:szCs w:val="21"/>
        </w:rPr>
      </w:pPr>
      <w:r>
        <w:rPr>
          <w:rFonts w:hint="eastAsia"/>
          <w:szCs w:val="21"/>
        </w:rPr>
        <w:t>（3）监理人无正当理由没有在约定期限内发出复工指示，导致承包人无法复工的；</w:t>
      </w:r>
    </w:p>
    <w:p>
      <w:pPr>
        <w:spacing w:line="400" w:lineRule="exact"/>
        <w:ind w:firstLine="480" w:firstLineChars="200"/>
        <w:rPr>
          <w:szCs w:val="21"/>
        </w:rPr>
      </w:pPr>
      <w:r>
        <w:rPr>
          <w:rFonts w:hint="eastAsia"/>
          <w:szCs w:val="21"/>
        </w:rPr>
        <w:t>（4）发包人无法继续履行或明确表示不履行或实质上已停止履行合同的；</w:t>
      </w:r>
    </w:p>
    <w:p>
      <w:pPr>
        <w:spacing w:line="400" w:lineRule="exact"/>
        <w:ind w:firstLine="480" w:firstLineChars="200"/>
        <w:rPr>
          <w:szCs w:val="21"/>
        </w:rPr>
      </w:pPr>
      <w:r>
        <w:rPr>
          <w:rFonts w:hint="eastAsia"/>
          <w:szCs w:val="21"/>
        </w:rPr>
        <w:t>（5）发包人不履行合同约定其他义务的。</w:t>
      </w:r>
    </w:p>
    <w:p>
      <w:pPr>
        <w:spacing w:line="400" w:lineRule="exact"/>
        <w:ind w:firstLine="480" w:firstLineChars="200"/>
        <w:rPr>
          <w:szCs w:val="21"/>
        </w:rPr>
      </w:pPr>
      <w:r>
        <w:rPr>
          <w:rFonts w:hint="eastAsia"/>
          <w:szCs w:val="21"/>
        </w:rPr>
        <w:t>22.2.2 承包人有权暂停施工</w:t>
      </w:r>
    </w:p>
    <w:p>
      <w:pPr>
        <w:spacing w:line="400" w:lineRule="exact"/>
        <w:ind w:firstLine="480" w:firstLineChars="200"/>
        <w:rPr>
          <w:szCs w:val="21"/>
        </w:rPr>
      </w:pPr>
      <w:r>
        <w:rPr>
          <w:rFonts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80" w:firstLineChars="200"/>
        <w:rPr>
          <w:szCs w:val="21"/>
        </w:rPr>
      </w:pPr>
      <w:r>
        <w:rPr>
          <w:rFonts w:hint="eastAsia"/>
          <w:szCs w:val="21"/>
        </w:rPr>
        <w:t xml:space="preserve">22.2.3 发包人违约解除合同 </w:t>
      </w:r>
    </w:p>
    <w:p>
      <w:pPr>
        <w:spacing w:line="400" w:lineRule="exact"/>
        <w:ind w:firstLine="480" w:firstLineChars="200"/>
        <w:rPr>
          <w:szCs w:val="21"/>
        </w:rPr>
      </w:pPr>
      <w:r>
        <w:rPr>
          <w:rFonts w:hint="eastAsia"/>
          <w:szCs w:val="21"/>
        </w:rPr>
        <w:t xml:space="preserve">（1）发生第22.2.1（4）目的违约情况时，承包人可书面通知发包人解除合同。   </w:t>
      </w:r>
    </w:p>
    <w:p>
      <w:pPr>
        <w:spacing w:line="400" w:lineRule="exact"/>
        <w:ind w:firstLine="480" w:firstLineChars="200"/>
        <w:rPr>
          <w:szCs w:val="21"/>
        </w:rPr>
      </w:pPr>
      <w:r>
        <w:rPr>
          <w:rFonts w:hint="eastAsia"/>
          <w:szCs w:val="21"/>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80" w:firstLineChars="200"/>
        <w:rPr>
          <w:szCs w:val="21"/>
        </w:rPr>
      </w:pPr>
      <w:r>
        <w:rPr>
          <w:rFonts w:hint="eastAsia"/>
          <w:szCs w:val="21"/>
        </w:rPr>
        <w:t>22.2.4 解除合同后的付款</w:t>
      </w:r>
    </w:p>
    <w:p>
      <w:pPr>
        <w:spacing w:line="400" w:lineRule="exact"/>
        <w:ind w:firstLine="480" w:firstLineChars="200"/>
        <w:rPr>
          <w:szCs w:val="21"/>
        </w:rPr>
      </w:pPr>
      <w:r>
        <w:rPr>
          <w:rFonts w:hint="eastAsia"/>
          <w:szCs w:val="21"/>
        </w:rPr>
        <w:t>因发包人违约解除合同的，发包人应在解除合同后28天内向承包人支付下列金额，承包人应在此期限内及时向发包人提交要求支付下列金额的有关资料和凭证：</w:t>
      </w:r>
    </w:p>
    <w:p>
      <w:pPr>
        <w:spacing w:line="400" w:lineRule="exact"/>
        <w:ind w:firstLine="480" w:firstLineChars="200"/>
        <w:rPr>
          <w:szCs w:val="21"/>
        </w:rPr>
      </w:pPr>
      <w:r>
        <w:rPr>
          <w:rFonts w:hint="eastAsia"/>
          <w:szCs w:val="21"/>
        </w:rPr>
        <w:t>（1）合同解除日以前所完成工作的价款；</w:t>
      </w:r>
    </w:p>
    <w:p>
      <w:pPr>
        <w:spacing w:line="400" w:lineRule="exact"/>
        <w:ind w:firstLine="480" w:firstLineChars="200"/>
        <w:rPr>
          <w:szCs w:val="21"/>
        </w:rPr>
      </w:pPr>
      <w:r>
        <w:rPr>
          <w:rFonts w:hint="eastAsia"/>
          <w:szCs w:val="21"/>
        </w:rPr>
        <w:t>（2）承包人为该工程施工订购并已付款的材料、工程设备和其他物品的金额。发包人付还后，该材料、工程设备和其他物品归发包人所有；</w:t>
      </w:r>
    </w:p>
    <w:p>
      <w:pPr>
        <w:spacing w:line="400" w:lineRule="exact"/>
        <w:ind w:firstLine="480" w:firstLineChars="200"/>
        <w:rPr>
          <w:szCs w:val="21"/>
        </w:rPr>
      </w:pPr>
      <w:r>
        <w:rPr>
          <w:rFonts w:hint="eastAsia"/>
          <w:szCs w:val="21"/>
        </w:rPr>
        <w:t>（3）承包人为完成工程所发生的，而发包人未支付的金额；</w:t>
      </w:r>
    </w:p>
    <w:p>
      <w:pPr>
        <w:spacing w:line="400" w:lineRule="exact"/>
        <w:ind w:firstLine="480" w:firstLineChars="200"/>
        <w:rPr>
          <w:szCs w:val="21"/>
        </w:rPr>
      </w:pPr>
      <w:r>
        <w:rPr>
          <w:rFonts w:hint="eastAsia"/>
          <w:szCs w:val="21"/>
        </w:rPr>
        <w:t>（4）承包人撤离施工场地以及遣散承包人人员的金额；</w:t>
      </w:r>
    </w:p>
    <w:p>
      <w:pPr>
        <w:spacing w:line="400" w:lineRule="exact"/>
        <w:ind w:firstLine="480" w:firstLineChars="200"/>
        <w:rPr>
          <w:szCs w:val="21"/>
        </w:rPr>
      </w:pPr>
      <w:r>
        <w:rPr>
          <w:rFonts w:hint="eastAsia"/>
          <w:szCs w:val="21"/>
        </w:rPr>
        <w:t>（5）由于解除合同应赔偿的承包人损失；</w:t>
      </w:r>
    </w:p>
    <w:p>
      <w:pPr>
        <w:spacing w:line="400" w:lineRule="exact"/>
        <w:ind w:firstLine="480" w:firstLineChars="200"/>
        <w:rPr>
          <w:szCs w:val="21"/>
        </w:rPr>
      </w:pPr>
      <w:r>
        <w:rPr>
          <w:rFonts w:hint="eastAsia"/>
          <w:szCs w:val="21"/>
        </w:rPr>
        <w:t>（6）按合同约定在合同解除日前应支付给承包人的其他金额。</w:t>
      </w:r>
    </w:p>
    <w:p>
      <w:pPr>
        <w:spacing w:line="400" w:lineRule="exact"/>
        <w:ind w:firstLine="480" w:firstLineChars="200"/>
        <w:rPr>
          <w:szCs w:val="21"/>
        </w:rPr>
      </w:pPr>
      <w:r>
        <w:rPr>
          <w:rFonts w:hint="eastAsia"/>
          <w:szCs w:val="21"/>
        </w:rPr>
        <w:t>发包人应按本项约定支付上述金额并退还质量保证金和履约担保，但有权要求承包人支付应偿还给发包人的各项金额。</w:t>
      </w:r>
    </w:p>
    <w:p>
      <w:pPr>
        <w:spacing w:line="400" w:lineRule="exact"/>
        <w:ind w:firstLine="480" w:firstLineChars="200"/>
        <w:rPr>
          <w:szCs w:val="21"/>
        </w:rPr>
      </w:pPr>
      <w:r>
        <w:rPr>
          <w:rFonts w:hint="eastAsia"/>
          <w:szCs w:val="21"/>
        </w:rPr>
        <w:t>22.2.5 解除合同后的承包人撤离</w:t>
      </w:r>
    </w:p>
    <w:p>
      <w:pPr>
        <w:spacing w:line="400" w:lineRule="exact"/>
        <w:ind w:firstLine="480" w:firstLineChars="200"/>
        <w:rPr>
          <w:szCs w:val="21"/>
        </w:rPr>
      </w:pPr>
      <w:r>
        <w:rPr>
          <w:rFonts w:hint="eastAsia"/>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spacing w:line="400" w:lineRule="exact"/>
        <w:ind w:firstLine="480" w:firstLineChars="200"/>
        <w:rPr>
          <w:szCs w:val="21"/>
        </w:rPr>
      </w:pPr>
      <w:r>
        <w:rPr>
          <w:rFonts w:hint="eastAsia"/>
          <w:szCs w:val="21"/>
        </w:rPr>
        <w:t>22.3 第三人造成的违约</w:t>
      </w:r>
    </w:p>
    <w:p>
      <w:pPr>
        <w:spacing w:line="400" w:lineRule="exact"/>
        <w:ind w:firstLine="480" w:firstLineChars="200"/>
        <w:rPr>
          <w:szCs w:val="21"/>
        </w:rPr>
      </w:pPr>
      <w:r>
        <w:rPr>
          <w:rFonts w:hint="eastAsia"/>
          <w:szCs w:val="21"/>
        </w:rPr>
        <w:t>在履行合同过程中，一方当事人因第三人的原因造成违约的，应当向对方当事人承担违约责任。一方当事人和第三人之间的纠纷，依照法律规定或者按照约定解决。</w:t>
      </w:r>
    </w:p>
    <w:p>
      <w:pPr>
        <w:spacing w:line="400" w:lineRule="exact"/>
        <w:ind w:firstLine="480" w:firstLineChars="200"/>
        <w:rPr>
          <w:szCs w:val="21"/>
        </w:rPr>
      </w:pPr>
      <w:r>
        <w:rPr>
          <w:rFonts w:hint="eastAsia"/>
          <w:szCs w:val="21"/>
        </w:rPr>
        <w:t>23. 索赔</w:t>
      </w:r>
    </w:p>
    <w:p>
      <w:pPr>
        <w:spacing w:line="400" w:lineRule="exact"/>
        <w:ind w:firstLine="480" w:firstLineChars="200"/>
        <w:rPr>
          <w:szCs w:val="21"/>
        </w:rPr>
      </w:pPr>
      <w:r>
        <w:rPr>
          <w:rFonts w:hint="eastAsia"/>
          <w:szCs w:val="21"/>
        </w:rPr>
        <w:t>23.1 承包人索赔的提出</w:t>
      </w:r>
    </w:p>
    <w:p>
      <w:pPr>
        <w:spacing w:line="400" w:lineRule="exact"/>
        <w:ind w:firstLine="480" w:firstLineChars="200"/>
        <w:rPr>
          <w:szCs w:val="21"/>
        </w:rPr>
      </w:pPr>
      <w:r>
        <w:rPr>
          <w:rFonts w:hint="eastAsia"/>
          <w:szCs w:val="21"/>
        </w:rPr>
        <w:t>根据合同约定，承包人认为有权得到追加付款和（或）延长工期的，应按以下程序向发包人提出索赔：</w:t>
      </w:r>
    </w:p>
    <w:p>
      <w:pPr>
        <w:spacing w:line="400" w:lineRule="exact"/>
        <w:ind w:firstLine="480" w:firstLineChars="200"/>
        <w:rPr>
          <w:szCs w:val="21"/>
        </w:rPr>
      </w:pPr>
      <w:r>
        <w:rPr>
          <w:rFonts w:hint="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480" w:firstLineChars="200"/>
        <w:rPr>
          <w:szCs w:val="21"/>
        </w:rPr>
      </w:pPr>
      <w:r>
        <w:rPr>
          <w:rFonts w:hint="eastAsia"/>
          <w:szCs w:val="21"/>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480" w:firstLineChars="200"/>
        <w:rPr>
          <w:szCs w:val="21"/>
        </w:rPr>
      </w:pPr>
      <w:r>
        <w:rPr>
          <w:rFonts w:hint="eastAsia"/>
          <w:szCs w:val="21"/>
        </w:rPr>
        <w:t>（3）索赔事件具有连续影响的，承包人应按合理时间间隔继续递交延续索赔通知，说明连续影响的实际情况和记录，列出累计的追加付款金额和（或）工期延长天数；</w:t>
      </w:r>
    </w:p>
    <w:p>
      <w:pPr>
        <w:spacing w:line="400" w:lineRule="exact"/>
        <w:ind w:firstLine="480" w:firstLineChars="200"/>
        <w:rPr>
          <w:szCs w:val="21"/>
        </w:rPr>
      </w:pPr>
      <w:r>
        <w:rPr>
          <w:rFonts w:hint="eastAsia"/>
          <w:szCs w:val="21"/>
        </w:rPr>
        <w:t>（4）在索赔事件影响结束后的28天内，承包人应向监理人递交最终索赔通知书，说明最终要求索赔的追加付款金额和延长的工期，并附必要的记录和证明材料。</w:t>
      </w:r>
    </w:p>
    <w:p>
      <w:pPr>
        <w:spacing w:line="400" w:lineRule="exact"/>
        <w:ind w:firstLine="480" w:firstLineChars="200"/>
        <w:rPr>
          <w:szCs w:val="21"/>
        </w:rPr>
      </w:pPr>
      <w:r>
        <w:rPr>
          <w:rFonts w:hint="eastAsia"/>
          <w:szCs w:val="21"/>
        </w:rPr>
        <w:t>23.2 承包人索赔处理程序</w:t>
      </w:r>
    </w:p>
    <w:p>
      <w:pPr>
        <w:spacing w:line="400" w:lineRule="exact"/>
        <w:ind w:firstLine="480" w:firstLineChars="200"/>
        <w:rPr>
          <w:szCs w:val="21"/>
        </w:rPr>
      </w:pPr>
      <w:r>
        <w:rPr>
          <w:rFonts w:hint="eastAsia"/>
          <w:szCs w:val="21"/>
        </w:rPr>
        <w:t>（1）监理人收到承包人提交的索赔通知书后，应及时审查索赔通知书的内容、查验承包人的记录和证明材料，必要时监理人可要求承包人提交全部原始记录副本。</w:t>
      </w:r>
    </w:p>
    <w:p>
      <w:pPr>
        <w:spacing w:line="400" w:lineRule="exact"/>
        <w:ind w:firstLine="480" w:firstLineChars="200"/>
        <w:rPr>
          <w:szCs w:val="21"/>
        </w:rPr>
      </w:pPr>
      <w:r>
        <w:rPr>
          <w:rFonts w:hint="eastAsia"/>
          <w:szCs w:val="21"/>
        </w:rPr>
        <w:t>（2）监理人应按第3.5款商定或确定追加的付款和（或）延长的工期，并在收到上述索赔通知书或有关索赔的进一步证明材料后的42天内，将索赔处理结果答复承包人。</w:t>
      </w:r>
    </w:p>
    <w:p>
      <w:pPr>
        <w:spacing w:line="400" w:lineRule="exact"/>
        <w:ind w:firstLine="480" w:firstLineChars="200"/>
        <w:rPr>
          <w:szCs w:val="21"/>
        </w:rPr>
      </w:pPr>
      <w:r>
        <w:rPr>
          <w:rFonts w:hint="eastAsia"/>
          <w:szCs w:val="21"/>
        </w:rPr>
        <w:t>（3）承包人接受索赔处理结果的，发包人应在作出索赔处理结果答复后28天内完成赔付。承包人不接受索赔处理结果的，按第24条的约定办理。</w:t>
      </w:r>
    </w:p>
    <w:p>
      <w:pPr>
        <w:spacing w:line="400" w:lineRule="exact"/>
        <w:ind w:firstLine="480" w:firstLineChars="200"/>
        <w:rPr>
          <w:szCs w:val="21"/>
        </w:rPr>
      </w:pPr>
      <w:r>
        <w:rPr>
          <w:rFonts w:hint="eastAsia"/>
          <w:szCs w:val="21"/>
        </w:rPr>
        <w:t>23.3 承包人提出索赔的期限</w:t>
      </w:r>
    </w:p>
    <w:p>
      <w:pPr>
        <w:spacing w:line="400" w:lineRule="exact"/>
        <w:ind w:firstLine="480" w:firstLineChars="200"/>
        <w:rPr>
          <w:szCs w:val="21"/>
        </w:rPr>
      </w:pPr>
      <w:r>
        <w:rPr>
          <w:rFonts w:hint="eastAsia"/>
          <w:szCs w:val="21"/>
        </w:rPr>
        <w:t>23.3.1 承包人按第17.5款的约定接受了竣工付款证书后，应被认为已无权再提出在合同工程接收证书颁发前所发生的任何索赔。</w:t>
      </w:r>
    </w:p>
    <w:p>
      <w:pPr>
        <w:spacing w:line="400" w:lineRule="exact"/>
        <w:ind w:firstLine="480" w:firstLineChars="200"/>
        <w:rPr>
          <w:szCs w:val="21"/>
        </w:rPr>
      </w:pPr>
      <w:r>
        <w:rPr>
          <w:rFonts w:hint="eastAsia"/>
          <w:szCs w:val="21"/>
        </w:rPr>
        <w:t xml:space="preserve">23.3.2 承包人按第17.6款的约定提交的最终结清申请单中，只限于提出工程接收证书颁发后发生的索赔。提出索赔的期限自接受最终结清证书时终止。 </w:t>
      </w:r>
    </w:p>
    <w:p>
      <w:pPr>
        <w:spacing w:line="400" w:lineRule="exact"/>
        <w:ind w:firstLine="480" w:firstLineChars="200"/>
        <w:rPr>
          <w:szCs w:val="21"/>
        </w:rPr>
      </w:pPr>
      <w:r>
        <w:rPr>
          <w:rFonts w:hint="eastAsia"/>
          <w:szCs w:val="21"/>
        </w:rPr>
        <w:t>23.4 发包人的索赔</w:t>
      </w:r>
    </w:p>
    <w:p>
      <w:pPr>
        <w:spacing w:line="400" w:lineRule="exact"/>
        <w:ind w:firstLine="480" w:firstLineChars="200"/>
        <w:rPr>
          <w:szCs w:val="21"/>
        </w:rPr>
      </w:pPr>
      <w:r>
        <w:rPr>
          <w:rFonts w:hint="eastAsia"/>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480" w:firstLineChars="200"/>
        <w:rPr>
          <w:szCs w:val="21"/>
        </w:rPr>
      </w:pPr>
      <w:r>
        <w:rPr>
          <w:rFonts w:hint="eastAsia"/>
          <w:szCs w:val="21"/>
        </w:rPr>
        <w:t>23.4.2 监理人按第3.5款商定或确定发包人从承包人处得到赔付的金额和（或）缺陷责任期的延长期。承包人应付给发包人的金额可从拟支付给承包人的合同价款中扣除，或由承包人以其他方式支付给发包人。</w:t>
      </w:r>
    </w:p>
    <w:p>
      <w:pPr>
        <w:spacing w:line="400" w:lineRule="exact"/>
        <w:ind w:firstLine="480" w:firstLineChars="200"/>
        <w:rPr>
          <w:szCs w:val="21"/>
        </w:rPr>
      </w:pPr>
      <w:r>
        <w:rPr>
          <w:rFonts w:hint="eastAsia"/>
          <w:szCs w:val="21"/>
        </w:rPr>
        <w:t>24. 争议的解决</w:t>
      </w:r>
    </w:p>
    <w:p>
      <w:pPr>
        <w:spacing w:line="400" w:lineRule="exact"/>
        <w:ind w:firstLine="480" w:firstLineChars="200"/>
        <w:rPr>
          <w:szCs w:val="21"/>
        </w:rPr>
      </w:pPr>
      <w:r>
        <w:rPr>
          <w:rFonts w:hint="eastAsia"/>
          <w:szCs w:val="21"/>
        </w:rPr>
        <w:t>24.1 争议的解决方式</w:t>
      </w:r>
    </w:p>
    <w:p>
      <w:pPr>
        <w:spacing w:line="400" w:lineRule="exact"/>
        <w:ind w:firstLine="480" w:firstLineChars="200"/>
        <w:rPr>
          <w:szCs w:val="21"/>
        </w:rPr>
      </w:pPr>
      <w:r>
        <w:rPr>
          <w:rFonts w:hint="eastAsia"/>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80" w:firstLineChars="200"/>
        <w:rPr>
          <w:szCs w:val="21"/>
        </w:rPr>
      </w:pPr>
      <w:r>
        <w:rPr>
          <w:rFonts w:hint="eastAsia"/>
          <w:szCs w:val="21"/>
        </w:rPr>
        <w:t>（1）向约定的仲裁委员会申请仲裁；</w:t>
      </w:r>
    </w:p>
    <w:p>
      <w:pPr>
        <w:spacing w:line="400" w:lineRule="exact"/>
        <w:ind w:firstLine="480" w:firstLineChars="200"/>
        <w:rPr>
          <w:szCs w:val="21"/>
        </w:rPr>
      </w:pPr>
      <w:r>
        <w:rPr>
          <w:rFonts w:hint="eastAsia"/>
          <w:szCs w:val="21"/>
        </w:rPr>
        <w:t>（2）向有管辖权的人民法院提起诉讼。</w:t>
      </w:r>
    </w:p>
    <w:p>
      <w:pPr>
        <w:spacing w:line="400" w:lineRule="exact"/>
        <w:ind w:firstLine="480" w:firstLineChars="200"/>
        <w:rPr>
          <w:szCs w:val="21"/>
        </w:rPr>
      </w:pPr>
      <w:r>
        <w:rPr>
          <w:rFonts w:hint="eastAsia"/>
          <w:szCs w:val="21"/>
        </w:rPr>
        <w:t>24.2 友好解决</w:t>
      </w:r>
    </w:p>
    <w:p>
      <w:pPr>
        <w:spacing w:line="400" w:lineRule="exact"/>
        <w:ind w:firstLine="480" w:firstLineChars="200"/>
        <w:rPr>
          <w:szCs w:val="21"/>
        </w:rPr>
      </w:pPr>
      <w:r>
        <w:rPr>
          <w:rFonts w:hint="eastAsia"/>
          <w:szCs w:val="21"/>
        </w:rPr>
        <w:t>在提请争议评审、仲裁或者诉讼前，以及在争议评审、仲裁或诉讼过程中，发包人和承包人均可共同努力友好协商解决争议。</w:t>
      </w:r>
    </w:p>
    <w:p>
      <w:pPr>
        <w:spacing w:line="400" w:lineRule="exact"/>
        <w:ind w:firstLine="480" w:firstLineChars="200"/>
        <w:rPr>
          <w:szCs w:val="21"/>
        </w:rPr>
      </w:pPr>
      <w:r>
        <w:rPr>
          <w:rFonts w:hint="eastAsia"/>
          <w:szCs w:val="21"/>
        </w:rPr>
        <w:t>24.3 争议评审</w:t>
      </w:r>
    </w:p>
    <w:p>
      <w:pPr>
        <w:spacing w:line="400" w:lineRule="exact"/>
        <w:ind w:firstLine="480" w:firstLineChars="200"/>
        <w:rPr>
          <w:szCs w:val="21"/>
        </w:rPr>
      </w:pPr>
      <w:r>
        <w:rPr>
          <w:rFonts w:hint="eastAsia"/>
          <w:szCs w:val="21"/>
        </w:rPr>
        <w:t>24.3.1 采用争议评审的，发包人和承包人应在开工日后的28天内或在争议发生后，协商成立争议评审组。争议评审组由有合同管理和工程实践经验的专家组成。</w:t>
      </w:r>
    </w:p>
    <w:p>
      <w:pPr>
        <w:spacing w:line="400" w:lineRule="exact"/>
        <w:ind w:firstLine="480" w:firstLineChars="200"/>
        <w:rPr>
          <w:szCs w:val="21"/>
        </w:rPr>
      </w:pPr>
      <w:r>
        <w:rPr>
          <w:rFonts w:hint="eastAsia"/>
          <w:szCs w:val="21"/>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480" w:firstLineChars="200"/>
        <w:rPr>
          <w:szCs w:val="21"/>
        </w:rPr>
      </w:pPr>
      <w:r>
        <w:rPr>
          <w:rFonts w:hint="eastAsia"/>
          <w:szCs w:val="21"/>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480" w:firstLineChars="200"/>
        <w:rPr>
          <w:szCs w:val="21"/>
        </w:rPr>
      </w:pPr>
      <w:r>
        <w:rPr>
          <w:rFonts w:hint="eastAsia"/>
          <w:szCs w:val="21"/>
        </w:rPr>
        <w:t>24.3.4 除专用合同条款另有约定外，争议评审组在收到合同双方报告后的14天内，公告双方代表和有关人员举行调查会，向双方调查争议细节；必要时争议评审组可要求双方进一步提供补充材料。</w:t>
      </w:r>
    </w:p>
    <w:p>
      <w:pPr>
        <w:spacing w:line="400" w:lineRule="exact"/>
        <w:ind w:firstLine="480" w:firstLineChars="200"/>
        <w:rPr>
          <w:szCs w:val="21"/>
        </w:rPr>
      </w:pPr>
      <w:r>
        <w:rPr>
          <w:rFonts w:hint="eastAsia"/>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480" w:firstLineChars="200"/>
        <w:rPr>
          <w:szCs w:val="21"/>
        </w:rPr>
      </w:pPr>
      <w:r>
        <w:rPr>
          <w:rFonts w:hint="eastAsia"/>
          <w:szCs w:val="21"/>
        </w:rPr>
        <w:t>24.3.6 发包人和承包人接受评审意见的，由监理人根据评审意见拟定执行协议，经争议双方签字后作为合同的补充文件，并遵照执行。</w:t>
      </w:r>
    </w:p>
    <w:p>
      <w:pPr>
        <w:spacing w:line="400" w:lineRule="exact"/>
        <w:ind w:firstLine="480" w:firstLineChars="200"/>
        <w:rPr>
          <w:szCs w:val="21"/>
        </w:rPr>
      </w:pPr>
      <w:r>
        <w:rPr>
          <w:rFonts w:hint="eastAsia"/>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bookmarkEnd w:id="82"/>
    <w:bookmarkEnd w:id="83"/>
    <w:bookmarkEnd w:id="84"/>
    <w:bookmarkEnd w:id="85"/>
    <w:p>
      <w:pPr>
        <w:keepNext/>
        <w:keepLines/>
        <w:spacing w:before="120" w:after="120" w:line="400" w:lineRule="exact"/>
        <w:ind w:right="-17"/>
        <w:jc w:val="center"/>
        <w:rPr>
          <w:rFonts w:ascii="宋体" w:hAnsi="宋体" w:cs="宋体"/>
          <w:b/>
          <w:sz w:val="28"/>
          <w:szCs w:val="20"/>
        </w:rPr>
      </w:pPr>
      <w:r>
        <w:rPr>
          <w:rFonts w:hint="eastAsia" w:ascii="宋体" w:hAnsi="宋体" w:cs="宋体"/>
          <w:b/>
          <w:sz w:val="28"/>
          <w:szCs w:val="20"/>
        </w:rPr>
        <w:t>第三部分  专用合同条款</w:t>
      </w:r>
    </w:p>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 履约担保包括以下类别：工期担保为履约担保金的</w:t>
      </w:r>
      <w:r>
        <w:rPr>
          <w:rFonts w:ascii="宋体" w:hAnsi="宋体" w:cs="宋体"/>
          <w:sz w:val="22"/>
        </w:rPr>
        <w:t>30</w:t>
      </w:r>
      <w:r>
        <w:rPr>
          <w:rFonts w:hint="eastAsia" w:ascii="宋体" w:hAnsi="宋体" w:cs="宋体"/>
          <w:sz w:val="22"/>
        </w:rPr>
        <w:t>%，质量担保为履约担保金的35%，人员及设备到位率担保为履约担保金的</w:t>
      </w:r>
      <w:r>
        <w:rPr>
          <w:rFonts w:ascii="宋体" w:hAnsi="宋体" w:cs="宋体"/>
          <w:sz w:val="22"/>
        </w:rPr>
        <w:t>15</w:t>
      </w:r>
      <w:r>
        <w:rPr>
          <w:rFonts w:hint="eastAsia" w:ascii="宋体" w:hAnsi="宋体" w:cs="宋体"/>
          <w:sz w:val="22"/>
        </w:rPr>
        <w:t>%，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2010定额，按直接工程费＋综合费用（按投标口径，只计取综合费率、规费、农民工工伤保险和税金）计取；不能套用浙江省2010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ascii="宋体" w:hAnsi="宋体" w:cs="宋体"/>
          <w:sz w:val="22"/>
          <w:szCs w:val="22"/>
        </w:rPr>
      </w:pPr>
      <w:r>
        <w:rPr>
          <w:rFonts w:hint="eastAsia" w:ascii="宋体" w:hAnsi="宋体" w:cs="宋体"/>
          <w:sz w:val="22"/>
          <w:szCs w:val="22"/>
        </w:rPr>
        <w:t>合同价款中包括的风险范围：</w:t>
      </w:r>
      <w:r>
        <w:rPr>
          <w:rFonts w:ascii="宋体" w:hAnsi="宋体" w:cs="宋体"/>
          <w:sz w:val="22"/>
          <w:szCs w:val="22"/>
        </w:rPr>
        <w:t>a、发包范围内招标图纸包含的工程内容；b、合同执行期内，投标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16.3.2.1工程实施过程中，分部分项工程量清单项目工程量发生增减时，工程量按清单计价规则计算，其单价执行原投标综合单价，并按投标口径计取规费、</w:t>
      </w:r>
      <w:r>
        <w:rPr>
          <w:rFonts w:hint="eastAsia" w:ascii="宋体" w:hAnsi="宋体" w:cs="宋体"/>
          <w:sz w:val="22"/>
          <w:szCs w:val="22"/>
        </w:rPr>
        <w:t>危险作业意外伤害保险</w:t>
      </w:r>
      <w:r>
        <w:rPr>
          <w:rFonts w:ascii="宋体" w:hAnsi="宋体" w:cs="宋体"/>
          <w:sz w:val="22"/>
          <w:szCs w:val="22"/>
        </w:rPr>
        <w:t>和税金，不再计其他任何费用（16.3.2.2（7）约定的费用调整除外）。若合价金额占合同价2%及以上的分部分项清单项目，其工程量增减超过本项目工程量清单数量15%及以上时，工程量按清单规则计算，其综合单价按以下规定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宋体"/>
          <w:sz w:val="22"/>
          <w:szCs w:val="22"/>
        </w:rPr>
        <w:t>《浙建站定（201</w:t>
      </w:r>
      <w:r>
        <w:rPr>
          <w:rFonts w:ascii="宋体" w:hAnsi="宋体" w:cs="宋体"/>
          <w:sz w:val="22"/>
          <w:szCs w:val="22"/>
        </w:rPr>
        <w:t>6</w:t>
      </w:r>
      <w:r>
        <w:rPr>
          <w:rFonts w:hint="eastAsia" w:ascii="宋体" w:hAnsi="宋体" w:cs="宋体"/>
          <w:sz w:val="22"/>
          <w:szCs w:val="22"/>
        </w:rPr>
        <w:t>）</w:t>
      </w:r>
      <w:r>
        <w:rPr>
          <w:rFonts w:ascii="宋体" w:hAnsi="宋体" w:cs="宋体"/>
          <w:sz w:val="22"/>
          <w:szCs w:val="22"/>
        </w:rPr>
        <w:t>23</w:t>
      </w:r>
      <w:r>
        <w:rPr>
          <w:rFonts w:hint="eastAsia" w:ascii="宋体" w:hAnsi="宋体" w:cs="宋体"/>
          <w:sz w:val="22"/>
          <w:szCs w:val="22"/>
        </w:rPr>
        <w:t>号》、《浙建站定（201</w:t>
      </w:r>
      <w:r>
        <w:rPr>
          <w:rFonts w:ascii="宋体" w:hAnsi="宋体" w:cs="宋体"/>
          <w:sz w:val="22"/>
          <w:szCs w:val="22"/>
        </w:rPr>
        <w:t>6</w:t>
      </w:r>
      <w:r>
        <w:rPr>
          <w:rFonts w:hint="eastAsia" w:ascii="宋体" w:hAnsi="宋体" w:cs="宋体"/>
          <w:sz w:val="22"/>
          <w:szCs w:val="22"/>
        </w:rPr>
        <w:t>）</w:t>
      </w:r>
      <w:r>
        <w:rPr>
          <w:rFonts w:ascii="宋体" w:hAnsi="宋体" w:cs="宋体"/>
          <w:sz w:val="22"/>
          <w:szCs w:val="22"/>
        </w:rPr>
        <w:t>35</w:t>
      </w:r>
      <w:r>
        <w:rPr>
          <w:rFonts w:hint="eastAsia" w:ascii="宋体" w:hAnsi="宋体" w:cs="宋体"/>
          <w:sz w:val="22"/>
          <w:szCs w:val="22"/>
        </w:rPr>
        <w:t>号》、《建建发（201</w:t>
      </w:r>
      <w:r>
        <w:rPr>
          <w:rFonts w:ascii="宋体" w:hAnsi="宋体" w:cs="宋体"/>
          <w:sz w:val="22"/>
          <w:szCs w:val="22"/>
        </w:rPr>
        <w:t>6</w:t>
      </w:r>
      <w:r>
        <w:rPr>
          <w:rFonts w:hint="eastAsia" w:ascii="宋体" w:hAnsi="宋体" w:cs="宋体"/>
          <w:sz w:val="22"/>
          <w:szCs w:val="22"/>
        </w:rPr>
        <w:t>）</w:t>
      </w:r>
      <w:r>
        <w:rPr>
          <w:rFonts w:ascii="宋体" w:hAnsi="宋体" w:cs="宋体"/>
          <w:sz w:val="22"/>
          <w:szCs w:val="22"/>
        </w:rPr>
        <w:t>144</w:t>
      </w:r>
      <w:r>
        <w:rPr>
          <w:rFonts w:hint="eastAsia" w:ascii="宋体" w:hAnsi="宋体" w:cs="宋体"/>
          <w:sz w:val="22"/>
          <w:szCs w:val="22"/>
        </w:rPr>
        <w:t>号》及《杭建造价投资办[2016]23号》</w:t>
      </w:r>
    </w:p>
    <w:p>
      <w:pPr>
        <w:spacing w:line="360" w:lineRule="exact"/>
        <w:ind w:firstLine="440" w:firstLineChars="200"/>
        <w:rPr>
          <w:rFonts w:ascii="宋体" w:hAnsi="宋体" w:cs="宋体"/>
          <w:sz w:val="22"/>
          <w:szCs w:val="22"/>
        </w:rPr>
      </w:pPr>
      <w:r>
        <w:rPr>
          <w:rFonts w:hint="eastAsia" w:ascii="宋体" w:hAnsi="宋体" w:cs="宋体"/>
          <w:sz w:val="22"/>
          <w:szCs w:val="22"/>
        </w:rPr>
        <w:t>《浙江省建设工程施工取费定额（</w:t>
      </w:r>
      <w:r>
        <w:rPr>
          <w:rFonts w:ascii="宋体" w:hAnsi="宋体" w:cs="宋体"/>
          <w:sz w:val="22"/>
          <w:szCs w:val="22"/>
        </w:rPr>
        <w:t>2010版）》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《浙江省市政公用工程预算定额（</w:t>
      </w:r>
      <w:r>
        <w:rPr>
          <w:rFonts w:ascii="宋体" w:hAnsi="宋体" w:cs="宋体"/>
          <w:sz w:val="22"/>
          <w:szCs w:val="22"/>
        </w:rPr>
        <w:t>2010版）》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《浙江省建筑工程预算定额（</w:t>
      </w:r>
      <w:r>
        <w:rPr>
          <w:rFonts w:ascii="宋体" w:hAnsi="宋体" w:cs="宋体"/>
          <w:sz w:val="22"/>
          <w:szCs w:val="22"/>
        </w:rPr>
        <w:t>2010版）》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《浙江省安装工程预算定额（</w:t>
      </w:r>
      <w:r>
        <w:rPr>
          <w:rFonts w:ascii="宋体" w:hAnsi="宋体" w:cs="宋体"/>
          <w:sz w:val="22"/>
          <w:szCs w:val="22"/>
        </w:rPr>
        <w:t>2010版）》</w:t>
      </w:r>
    </w:p>
    <w:p>
      <w:pPr>
        <w:spacing w:line="360" w:lineRule="exact"/>
        <w:ind w:firstLine="440" w:firstLineChars="200"/>
        <w:rPr>
          <w:rFonts w:ascii="宋体" w:hAnsi="宋体" w:cs="宋体"/>
          <w:sz w:val="22"/>
          <w:szCs w:val="22"/>
        </w:rPr>
      </w:pPr>
      <w:r>
        <w:rPr>
          <w:rFonts w:hint="eastAsia" w:ascii="宋体" w:hAnsi="宋体" w:cs="宋体"/>
          <w:sz w:val="22"/>
          <w:szCs w:val="22"/>
        </w:rPr>
        <w:t>综合费率、规费、危险作业意外伤害保险和税金按投标口径计取，措施费用按合同</w:t>
      </w:r>
      <w:r>
        <w:rPr>
          <w:rFonts w:ascii="宋体" w:hAnsi="宋体" w:cs="宋体"/>
          <w:sz w:val="22"/>
          <w:szCs w:val="22"/>
        </w:rPr>
        <w:t>16.3.2.2（7）约定调整。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由承包人自行测算报价的技术措施费项目、施工组织措施费项目一次性包干，不予调整；发包人提供实物工程量的项目，经发包人及造价咨询单位审核后，按实调整。</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pStyle w:val="88"/>
        <w:spacing w:line="400" w:lineRule="exact"/>
        <w:ind w:firstLine="442" w:firstLineChars="200"/>
        <w:rPr>
          <w:rFonts w:hint="eastAsia" w:ascii="宋体" w:hAnsi="宋体" w:cs="宋体"/>
          <w:b/>
          <w:bCs/>
          <w:sz w:val="22"/>
        </w:rPr>
      </w:pPr>
      <w:r>
        <w:rPr>
          <w:rFonts w:hint="eastAsia" w:ascii="宋体" w:hAnsi="宋体" w:cs="宋体"/>
          <w:b/>
          <w:bCs/>
          <w:sz w:val="22"/>
        </w:rPr>
        <w:t>当经发包人核定后的实际完成工程量完成30%时，支付合同价款的30%；经发包人核定后的实际完成工程量为70%时，支付至合同价款的70%；工程竣工验收通过并完成工程结算，经发包人认可后30天内，发包人向承包人支付至结算价的95%，并无息退还承包人履约保证金。结算价的5%留作质量保证金，待缺陷责任期（24个月）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发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25.14施工及生活用水：由发包人提供用水接口，场内接管、安装水表由承包人自行解决，承包人施工前需向机场水电管理部门提出申请并通过。水费以水务集团水价4.4元/吨为基础单价，并在基础单价上加收【3</w:t>
      </w:r>
      <w:r>
        <w:rPr>
          <w:rFonts w:ascii="宋体" w:hAnsi="宋体" w:cs="宋体"/>
          <w:sz w:val="22"/>
          <w:lang w:val="zh-CN"/>
        </w:rPr>
        <w:t>0</w:t>
      </w:r>
      <w:r>
        <w:rPr>
          <w:rFonts w:hint="eastAsia" w:ascii="宋体" w:hAnsi="宋体" w:cs="宋体"/>
          <w:sz w:val="22"/>
          <w:lang w:val="zh-CN"/>
        </w:rPr>
        <w:t>%】的水费转供设施维护费（加收部分主要是损耗、运行维护、维修费等）。如自来水公司水价调整，水费单价也作相应的调整，收取的【3</w:t>
      </w:r>
      <w:r>
        <w:rPr>
          <w:rFonts w:ascii="宋体" w:hAnsi="宋体" w:cs="宋体"/>
          <w:sz w:val="22"/>
          <w:lang w:val="zh-CN"/>
        </w:rPr>
        <w:t>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25.15施工用电：由发包人提供用电接口，场内接管、安装电表由承包人自行解决，承包人施工前需向机场水电管理部门提出申请并通过。电费以供电局电价0.8149元/度为基础单价，并在基础单价上加收【2</w:t>
      </w:r>
      <w:r>
        <w:rPr>
          <w:rFonts w:ascii="宋体" w:hAnsi="宋体" w:cs="宋体"/>
          <w:sz w:val="22"/>
          <w:lang w:val="zh-CN"/>
        </w:rPr>
        <w:t>0</w:t>
      </w:r>
      <w:r>
        <w:rPr>
          <w:rFonts w:hint="eastAsia" w:ascii="宋体" w:hAnsi="宋体" w:cs="宋体"/>
          <w:sz w:val="22"/>
          <w:lang w:val="zh-CN"/>
        </w:rPr>
        <w:t>%】的电费转供设施维护费（加收部分主要是损耗、运行维护、维修费等）。如供电局电价调整，电费单价也作相应的调整，收取的【2</w:t>
      </w:r>
      <w:r>
        <w:rPr>
          <w:rFonts w:ascii="宋体" w:hAnsi="宋体" w:cs="宋体"/>
          <w:sz w:val="22"/>
          <w:lang w:val="zh-CN"/>
        </w:rPr>
        <w:t>0</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附件1：工程质量保修书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附件2：安全文明施工协议书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附件3：廉洁自律承诺书</w:t>
      </w:r>
    </w:p>
    <w:p>
      <w:pPr>
        <w:snapToGrid w:val="0"/>
        <w:spacing w:line="360" w:lineRule="exact"/>
        <w:ind w:firstLine="440" w:firstLineChars="200"/>
        <w:rPr>
          <w:rFonts w:hint="eastAsia" w:ascii="宋体" w:hAnsi="宋体" w:cs="宋体"/>
          <w:sz w:val="22"/>
        </w:rPr>
      </w:pPr>
      <w:r>
        <w:rPr>
          <w:rFonts w:hint="eastAsia" w:ascii="宋体" w:hAnsi="宋体" w:cs="宋体"/>
          <w:sz w:val="22"/>
        </w:rPr>
        <w:t>附件4：已标价工程量清单</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国际快件中心监控新增和围界报警系统改造工程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color w:val="FF0000"/>
          <w:sz w:val="22"/>
        </w:rPr>
      </w:pPr>
      <w:r>
        <w:rPr>
          <w:rFonts w:hint="eastAsia" w:ascii="宋体" w:hAnsi="宋体" w:cs="宋体"/>
          <w:color w:val="FF0000"/>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color w:val="FF0000"/>
          <w:sz w:val="22"/>
          <w:u w:val="single"/>
        </w:rPr>
        <w:t>国际快件中心监控新增和围界报警系统改造工程</w:t>
      </w:r>
      <w:r>
        <w:rPr>
          <w:rFonts w:hint="eastAsia" w:ascii="宋体" w:hAnsi="宋体" w:cs="宋体"/>
          <w:color w:val="FF0000"/>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w:t>
      </w:r>
      <w:r>
        <w:rPr>
          <w:rFonts w:hint="eastAsia" w:ascii="宋体" w:hAnsi="宋体" w:cs="宋体"/>
          <w:sz w:val="22"/>
          <w:u w:val="single"/>
        </w:rPr>
        <w:t>2</w:t>
      </w:r>
      <w:r>
        <w:rPr>
          <w:rFonts w:ascii="宋体" w:hAnsi="宋体" w:cs="宋体"/>
          <w:sz w:val="22"/>
          <w:u w:val="single"/>
        </w:rPr>
        <w:t>4</w:t>
      </w:r>
      <w:r>
        <w:rPr>
          <w:rFonts w:hint="eastAsia" w:ascii="宋体" w:hAnsi="宋体" w:cs="宋体"/>
          <w:sz w:val="22"/>
          <w:u w:val="single"/>
        </w:rPr>
        <w:t>个月</w:t>
      </w:r>
      <w:r>
        <w:rPr>
          <w:rFonts w:hint="eastAsia" w:ascii="宋体" w:hAnsi="宋体" w:cs="宋体"/>
          <w:sz w:val="22"/>
        </w:rPr>
        <w:t>。</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ind w:firstLine="440" w:firstLineChars="200"/>
        <w:rPr>
          <w:rFonts w:ascii="宋体" w:hAnsi="宋体" w:cs="宋体"/>
          <w:sz w:val="22"/>
        </w:rPr>
      </w:pPr>
      <w:r>
        <w:rPr>
          <w:rFonts w:hint="eastAsia" w:ascii="宋体" w:hAnsi="宋体" w:cs="宋体"/>
          <w:sz w:val="22"/>
        </w:rPr>
        <w:t xml:space="preserve">1．属于保修范围、内容的项目，承包人应当在接到保修通知后【 </w:t>
      </w:r>
      <w:r>
        <w:rPr>
          <w:rFonts w:ascii="宋体" w:hAnsi="宋体" w:cs="宋体"/>
          <w:sz w:val="22"/>
        </w:rPr>
        <w:t xml:space="preserve"> </w:t>
      </w:r>
      <w:r>
        <w:rPr>
          <w:rFonts w:hint="eastAsia" w:ascii="宋体" w:hAnsi="宋体" w:cs="宋体"/>
          <w:sz w:val="22"/>
        </w:rPr>
        <w:t>】小时内赶到现场（注明：具体到场时间根据投标文件内容填写），</w:t>
      </w:r>
      <w:r>
        <w:rPr>
          <w:rFonts w:hint="eastAsia" w:ascii="宋体" w:hAnsi="宋体"/>
          <w:sz w:val="22"/>
        </w:rPr>
        <w:t>持续维修直至故障排除设备完全恢复正常使用为止。在故障解决之后，承包人应将故障现象及原因、处理过程和方法、完成处理及恢复正常的时间和日期等以书面形式报告发包人。</w:t>
      </w:r>
      <w:r>
        <w:rPr>
          <w:rFonts w:hint="eastAsia" w:ascii="宋体" w:hAnsi="宋体" w:cs="宋体"/>
          <w:sz w:val="22"/>
        </w:rPr>
        <w:t>承包人不在约定期限内派人保修的，发包人可以自行委托他人修理。费用从质量保证金中扣除。修复部分的质保期自修复之日起重新开始计算。</w:t>
      </w:r>
    </w:p>
    <w:p>
      <w:pPr>
        <w:ind w:firstLine="440" w:firstLineChars="200"/>
        <w:rPr>
          <w:rFonts w:hint="eastAsia" w:ascii="宋体" w:hAnsi="宋体" w:cs="宋体"/>
          <w:sz w:val="22"/>
        </w:rPr>
      </w:pPr>
      <w:r>
        <w:rPr>
          <w:rFonts w:ascii="宋体" w:hAnsi="宋体" w:cs="宋体"/>
          <w:sz w:val="22"/>
        </w:rPr>
        <w:t>2.</w:t>
      </w:r>
      <w:r>
        <w:rPr>
          <w:rFonts w:hint="eastAsia" w:ascii="宋体" w:hAnsi="宋体" w:cs="宋体"/>
          <w:sz w:val="22"/>
        </w:rPr>
        <w:t>承包人必须每月进行一次例行的系统检查并出具系统检查报告。</w:t>
      </w:r>
    </w:p>
    <w:p>
      <w:pPr>
        <w:ind w:firstLine="440" w:firstLineChars="200"/>
        <w:rPr>
          <w:rFonts w:hint="eastAsia" w:ascii="宋体" w:hAnsi="宋体" w:cs="宋体"/>
          <w:sz w:val="22"/>
        </w:rPr>
      </w:pPr>
      <w:r>
        <w:rPr>
          <w:rFonts w:hint="eastAsia" w:ascii="宋体" w:hAnsi="宋体" w:cs="宋体"/>
          <w:sz w:val="22"/>
        </w:rPr>
        <w:t>3.承包人必须免费提供系统配置修改、软件缺陷修补。</w:t>
      </w:r>
    </w:p>
    <w:p>
      <w:pPr>
        <w:ind w:firstLine="440" w:firstLineChars="200"/>
        <w:rPr>
          <w:rFonts w:hint="eastAsia" w:ascii="宋体" w:hAnsi="宋体" w:cs="宋体"/>
          <w:sz w:val="22"/>
        </w:rPr>
      </w:pPr>
      <w:r>
        <w:rPr>
          <w:rFonts w:hint="eastAsia" w:ascii="宋体" w:hAnsi="宋体" w:cs="宋体"/>
          <w:sz w:val="22"/>
        </w:rPr>
        <w:t>4.承包人承担系统质保期内的维修和维护保养工作，并委派指定的技术人员进行维修工作和定期进行维护保养，委派人员名单必须报发包人审批，发包人认为不合格的，承包人应及时给予更换。</w:t>
      </w:r>
    </w:p>
    <w:p>
      <w:pPr>
        <w:ind w:firstLine="440" w:firstLineChars="200"/>
        <w:rPr>
          <w:rFonts w:ascii="宋体" w:hAnsi="宋体" w:cs="宋体"/>
          <w:sz w:val="22"/>
        </w:rPr>
      </w:pPr>
      <w:r>
        <w:rPr>
          <w:rFonts w:hint="eastAsia" w:ascii="宋体" w:hAnsi="宋体" w:cs="宋体"/>
          <w:sz w:val="22"/>
        </w:rPr>
        <w:t>5.系统设备无论什么原因发生任何故障或损坏，承包人应在24小时内提供替换设备，承包人必须负责维修，维修期限不得超过5天，一切费用由承包人承担。如果维修时限超过5天，承包人应向发包人支付赔偿金，赔偿金额按超期天数计算，每超过一天承包人按质保金的0.2%赔偿发包人的经济损失，如造成的损失超过发包人实际损失的，发包人有权向承包人追偿全部损失。</w:t>
      </w:r>
    </w:p>
    <w:p>
      <w:pPr>
        <w:spacing w:line="340" w:lineRule="exact"/>
        <w:ind w:firstLine="440" w:firstLineChars="200"/>
        <w:rPr>
          <w:rFonts w:ascii="宋体" w:hAnsi="宋体" w:cs="宋体"/>
          <w:sz w:val="22"/>
        </w:rPr>
      </w:pPr>
      <w:r>
        <w:rPr>
          <w:rFonts w:ascii="宋体" w:hAnsi="宋体" w:cs="宋体"/>
          <w:sz w:val="22"/>
        </w:rPr>
        <w:t>6</w:t>
      </w:r>
      <w:r>
        <w:rPr>
          <w:rFonts w:hint="eastAsia" w:ascii="宋体" w:hAnsi="宋体" w:cs="宋体"/>
          <w:sz w:val="22"/>
        </w:rPr>
        <w:t>.发生紧急事故需抢修的，承包人在接到事故通知后，应当立即到达事故现场进行持续抢修直至修复。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ascii="宋体" w:hAnsi="宋体" w:cs="宋体"/>
          <w:sz w:val="22"/>
        </w:rPr>
        <w:t>7</w:t>
      </w:r>
      <w:r>
        <w:rPr>
          <w:rFonts w:hint="eastAsia" w:ascii="宋体" w:hAnsi="宋体" w:cs="宋体"/>
          <w:sz w:val="22"/>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ascii="宋体" w:hAnsi="宋体" w:cs="宋体"/>
          <w:sz w:val="22"/>
        </w:rPr>
        <w:t>8</w:t>
      </w:r>
      <w:r>
        <w:rPr>
          <w:rFonts w:hint="eastAsia" w:ascii="宋体" w:hAnsi="宋体" w:cs="宋体"/>
          <w:sz w:val="22"/>
        </w:rPr>
        <w:t>.质量保修完成后，由发包人组织验收。验收不合格的，发包人有权自行委托第三方修理，全部费用由承包人承担，由发包人与第三方确认后直接从质保金中扣除。</w:t>
      </w:r>
    </w:p>
    <w:p>
      <w:pPr>
        <w:spacing w:line="340" w:lineRule="exact"/>
        <w:ind w:firstLine="440" w:firstLineChars="200"/>
        <w:rPr>
          <w:rFonts w:hint="eastAsia" w:ascii="宋体" w:hAnsi="宋体" w:cs="宋体"/>
          <w:sz w:val="22"/>
        </w:rPr>
      </w:pPr>
      <w:r>
        <w:rPr>
          <w:rFonts w:hint="eastAsia" w:ascii="宋体" w:hAnsi="宋体" w:cs="宋体"/>
          <w:sz w:val="22"/>
        </w:rPr>
        <w:t>9</w:t>
      </w:r>
      <w:r>
        <w:rPr>
          <w:rFonts w:ascii="宋体" w:hAnsi="宋体" w:cs="宋体"/>
          <w:sz w:val="22"/>
        </w:rPr>
        <w:t>.</w:t>
      </w:r>
      <w:r>
        <w:rPr>
          <w:rFonts w:hint="eastAsia" w:ascii="宋体" w:hAnsi="宋体" w:cs="宋体"/>
          <w:sz w:val="22"/>
        </w:rPr>
        <w:t>在质量保修期结束时，承包人提供包括但不限于：质保期的维护和维修记录。</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w:t>
      </w:r>
      <w:r>
        <w:rPr>
          <w:rFonts w:hint="eastAsia" w:ascii="宋体" w:hAnsi="宋体" w:cs="宋体"/>
          <w:b/>
          <w:sz w:val="22"/>
        </w:rPr>
        <w:t>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rPr>
          <w:rFonts w:ascii="宋体" w:hAnsi="宋体"/>
          <w:sz w:val="22"/>
        </w:rPr>
      </w:pPr>
      <w:r>
        <w:rPr>
          <w:rFonts w:hint="eastAsia" w:ascii="宋体" w:hAnsi="宋体"/>
          <w:sz w:val="22"/>
        </w:rPr>
        <w:t>发</w:t>
      </w:r>
      <w:r>
        <w:rPr>
          <w:rFonts w:ascii="宋体" w:hAnsi="宋体"/>
          <w:sz w:val="22"/>
        </w:rPr>
        <w:t xml:space="preserve">    </w:t>
      </w:r>
      <w:r>
        <w:rPr>
          <w:rFonts w:hint="eastAsia" w:ascii="宋体" w:hAnsi="宋体"/>
          <w:sz w:val="22"/>
        </w:rPr>
        <w:t>包</w:t>
      </w:r>
      <w:r>
        <w:rPr>
          <w:rFonts w:ascii="宋体" w:hAnsi="宋体"/>
          <w:sz w:val="22"/>
        </w:rPr>
        <w:t xml:space="preserve">    </w:t>
      </w:r>
      <w:r>
        <w:rPr>
          <w:rFonts w:hint="eastAsia" w:ascii="宋体" w:hAnsi="宋体"/>
          <w:sz w:val="22"/>
        </w:rPr>
        <w:t>人（盖章）：</w:t>
      </w:r>
      <w:r>
        <w:rPr>
          <w:rFonts w:ascii="宋体" w:hAnsi="宋体"/>
          <w:sz w:val="22"/>
        </w:rPr>
        <w:t xml:space="preserve">             </w:t>
      </w:r>
      <w:r>
        <w:rPr>
          <w:rFonts w:ascii="宋体" w:hAnsi="宋体"/>
          <w:sz w:val="22"/>
        </w:rPr>
        <w:tab/>
      </w:r>
      <w:r>
        <w:rPr>
          <w:rFonts w:hint="eastAsia" w:ascii="宋体" w:hAnsi="宋体"/>
          <w:sz w:val="22"/>
        </w:rPr>
        <w:t>承</w:t>
      </w:r>
      <w:r>
        <w:rPr>
          <w:rFonts w:ascii="宋体" w:hAnsi="宋体"/>
          <w:sz w:val="22"/>
        </w:rPr>
        <w:t xml:space="preserve">    </w:t>
      </w:r>
      <w:r>
        <w:rPr>
          <w:rFonts w:hint="eastAsia" w:ascii="宋体" w:hAnsi="宋体"/>
          <w:sz w:val="22"/>
        </w:rPr>
        <w:t>包</w:t>
      </w:r>
      <w:r>
        <w:rPr>
          <w:rFonts w:ascii="宋体" w:hAnsi="宋体"/>
          <w:sz w:val="22"/>
        </w:rPr>
        <w:t xml:space="preserve">    </w:t>
      </w:r>
      <w:r>
        <w:rPr>
          <w:rFonts w:hint="eastAsia" w:ascii="宋体" w:hAnsi="宋体"/>
          <w:sz w:val="22"/>
        </w:rPr>
        <w:t>人（盖章）：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rPr>
        <w:t>国际快件中心监控新增和围界报警系统改造工程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2" w:firstLineChars="200"/>
        <w:rPr>
          <w:rFonts w:ascii="宋体" w:hAnsi="宋体"/>
          <w:b/>
          <w:sz w:val="22"/>
          <w:szCs w:val="22"/>
        </w:rPr>
      </w:pPr>
      <w:r>
        <w:rPr>
          <w:rFonts w:ascii="宋体" w:hAnsi="宋体"/>
          <w:b/>
          <w:sz w:val="22"/>
          <w:szCs w:val="22"/>
        </w:rPr>
        <w:t>五、</w:t>
      </w:r>
      <w:r>
        <w:rPr>
          <w:rFonts w:hint="eastAsia" w:ascii="宋体" w:hAnsi="宋体"/>
          <w:b/>
          <w:sz w:val="22"/>
          <w:szCs w:val="22"/>
        </w:rPr>
        <w:t>本协议书附于《                 合同》后，双方盖章后生效。</w:t>
      </w:r>
    </w:p>
    <w:p>
      <w:pPr>
        <w:spacing w:line="360" w:lineRule="exact"/>
        <w:ind w:firstLine="442" w:firstLineChars="200"/>
        <w:rPr>
          <w:rFonts w:ascii="宋体" w:hAnsi="宋体"/>
          <w:b/>
          <w:sz w:val="22"/>
          <w:szCs w:val="22"/>
        </w:rPr>
      </w:pPr>
      <w:r>
        <w:rPr>
          <w:rFonts w:hint="eastAsia" w:ascii="宋体" w:hAnsi="宋体"/>
          <w:b/>
          <w:sz w:val="22"/>
          <w:szCs w:val="22"/>
        </w:rPr>
        <w:t>六</w:t>
      </w:r>
      <w:r>
        <w:rPr>
          <w:rFonts w:ascii="宋体" w:hAnsi="宋体"/>
          <w:b/>
          <w:sz w:val="22"/>
          <w:szCs w:val="22"/>
        </w:rPr>
        <w:t>、附则：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（三）本责任书由甲乙双方共同盖章后生效。</w:t>
      </w:r>
    </w:p>
    <w:p>
      <w:pPr>
        <w:adjustRightInd w:val="0"/>
        <w:snapToGrid w:val="0"/>
        <w:spacing w:line="360" w:lineRule="exact"/>
        <w:rPr>
          <w:rFonts w:hint="eastAsia" w:ascii="宋体" w:hAnsi="宋体"/>
          <w:sz w:val="22"/>
          <w:szCs w:val="22"/>
        </w:rPr>
      </w:pPr>
      <w:r>
        <w:rPr>
          <w:rFonts w:hint="eastAsia" w:ascii="宋体" w:hAnsi="宋体"/>
          <w:sz w:val="22"/>
          <w:szCs w:val="22"/>
        </w:rPr>
        <w:t>（四）附件：杭州萧山国际机场基建项目安全文明施工考核办法</w:t>
      </w:r>
    </w:p>
    <w:p>
      <w:pPr>
        <w:adjustRightInd w:val="0"/>
        <w:snapToGrid w:val="0"/>
        <w:spacing w:line="360" w:lineRule="exact"/>
        <w:rPr>
          <w:rFonts w:ascii="宋体" w:hAnsi="宋体"/>
          <w:sz w:val="22"/>
          <w:szCs w:val="22"/>
        </w:rPr>
      </w:pPr>
    </w:p>
    <w:p>
      <w:pPr>
        <w:adjustRightInd w:val="0"/>
        <w:snapToGrid w:val="0"/>
        <w:spacing w:line="360" w:lineRule="exact"/>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rPr>
          <w:rFonts w:ascii="宋体" w:hAnsi="宋体"/>
          <w:sz w:val="22"/>
        </w:rPr>
      </w:pPr>
    </w:p>
    <w:p>
      <w:pPr>
        <w:rPr>
          <w:rFonts w:ascii="宋体" w:hAnsi="宋体"/>
          <w:sz w:val="22"/>
        </w:rPr>
      </w:pPr>
      <w:r>
        <w:rPr>
          <w:rFonts w:ascii="宋体" w:hAnsi="宋体"/>
          <w:sz w:val="22"/>
        </w:rPr>
        <w:br w:type="page"/>
      </w:r>
      <w:r>
        <w:rPr>
          <w:rFonts w:hint="eastAsia" w:ascii="宋体" w:hAnsi="宋体"/>
          <w:sz w:val="22"/>
        </w:rPr>
        <w:t>附件</w:t>
      </w:r>
      <w:r>
        <w:rPr>
          <w:rFonts w:ascii="宋体" w:hAnsi="宋体"/>
          <w:sz w:val="22"/>
        </w:rPr>
        <w:t>3</w:t>
      </w:r>
      <w:r>
        <w:rPr>
          <w:rFonts w:hint="eastAsia" w:ascii="宋体" w:hAnsi="宋体"/>
          <w:sz w:val="22"/>
        </w:rPr>
        <w:t>：</w:t>
      </w:r>
    </w:p>
    <w:p>
      <w:pPr>
        <w:rPr>
          <w:rFonts w:ascii="宋体" w:hAnsi="宋体"/>
          <w:sz w:val="22"/>
        </w:rPr>
      </w:pPr>
    </w:p>
    <w:p>
      <w:pPr>
        <w:jc w:val="center"/>
        <w:rPr>
          <w:rFonts w:ascii="宋体" w:hAnsi="宋体"/>
          <w:b/>
          <w:sz w:val="22"/>
        </w:rPr>
      </w:pPr>
      <w:r>
        <w:rPr>
          <w:rFonts w:hint="eastAsia" w:ascii="宋体" w:hAnsi="宋体"/>
          <w:b/>
          <w:sz w:val="22"/>
        </w:rPr>
        <w:t>杭州萧山国际机场基建项目安全文明施工考核办法</w:t>
      </w:r>
    </w:p>
    <w:p>
      <w:pPr>
        <w:rPr>
          <w:rFonts w:ascii="宋体" w:hAnsi="宋体"/>
          <w:sz w:val="22"/>
        </w:rPr>
      </w:pPr>
    </w:p>
    <w:p>
      <w:pPr>
        <w:rPr>
          <w:rFonts w:ascii="宋体" w:hAnsi="宋体"/>
          <w:sz w:val="22"/>
        </w:rPr>
      </w:pPr>
      <w:r>
        <w:rPr>
          <w:rFonts w:hint="eastAsia" w:ascii="宋体" w:hAnsi="宋体"/>
          <w:sz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rPr>
          <w:rFonts w:ascii="宋体" w:hAnsi="宋体"/>
          <w:sz w:val="22"/>
        </w:rPr>
      </w:pPr>
      <w:r>
        <w:rPr>
          <w:rFonts w:hint="eastAsia" w:ascii="宋体" w:hAnsi="宋体"/>
          <w:sz w:val="22"/>
        </w:rPr>
        <w:t>一、考核原则</w:t>
      </w:r>
    </w:p>
    <w:p>
      <w:pPr>
        <w:rPr>
          <w:rFonts w:ascii="宋体" w:hAnsi="宋体"/>
          <w:sz w:val="22"/>
        </w:rPr>
      </w:pPr>
      <w:r>
        <w:rPr>
          <w:rFonts w:hint="eastAsia" w:ascii="宋体" w:hAnsi="宋体"/>
          <w:sz w:val="22"/>
        </w:rPr>
        <w:t>（一）预先通知原则。信导部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rPr>
          <w:rFonts w:ascii="宋体" w:hAnsi="宋体"/>
          <w:sz w:val="22"/>
        </w:rPr>
      </w:pPr>
      <w:r>
        <w:rPr>
          <w:rFonts w:hint="eastAsia" w:ascii="宋体" w:hAnsi="宋体"/>
          <w:sz w:val="22"/>
        </w:rPr>
        <w:t>（二）奖励与处罚相结合原则。通过考核与评比，在机场公司或信导部组织的各类检查评比中，获得好评的的施工项目部将按照相关规定予以奖励；对违反国家相关法律、法规和安全生产规范、规程、标准及《杭州萧山国际机场安全文明施工协议书》的，将严格按照本考核办法扣罚。</w:t>
      </w:r>
    </w:p>
    <w:p>
      <w:pPr>
        <w:rPr>
          <w:rFonts w:ascii="宋体" w:hAnsi="宋体"/>
          <w:sz w:val="22"/>
        </w:rPr>
      </w:pPr>
      <w:r>
        <w:rPr>
          <w:rFonts w:hint="eastAsia" w:ascii="宋体" w:hAnsi="宋体"/>
          <w:sz w:val="22"/>
        </w:rPr>
        <w:t>（三）考核与结算相结合原则。信导部各工程管理业务科室（包括临时成立的检查小组）对其查出的安全问题隐患，经通知仍未整改的，开具《安全文明施工工作联系单》（以下简称“联系单”，附后）督促跟踪整改，并做好备案记录，一并于项目竣工后结算。</w:t>
      </w:r>
    </w:p>
    <w:p>
      <w:pPr>
        <w:rPr>
          <w:rFonts w:ascii="宋体" w:hAnsi="宋体"/>
          <w:sz w:val="22"/>
        </w:rPr>
      </w:pPr>
      <w:r>
        <w:rPr>
          <w:rFonts w:hint="eastAsia" w:ascii="宋体" w:hAnsi="宋体"/>
          <w:sz w:val="22"/>
        </w:rPr>
        <w:t>（四）考核与经济利益直接挂钩原则。以《安全文明施工工作联系单》确认的奖惩数额为准。</w:t>
      </w:r>
    </w:p>
    <w:p>
      <w:pPr>
        <w:rPr>
          <w:rFonts w:ascii="宋体" w:hAnsi="宋体"/>
          <w:sz w:val="22"/>
        </w:rPr>
      </w:pPr>
      <w:r>
        <w:rPr>
          <w:rFonts w:hint="eastAsia" w:ascii="宋体" w:hAnsi="宋体"/>
          <w:sz w:val="22"/>
        </w:rPr>
        <w:t>二、适用范围</w:t>
      </w:r>
    </w:p>
    <w:p>
      <w:pPr>
        <w:rPr>
          <w:rFonts w:ascii="宋体" w:hAnsi="宋体"/>
          <w:sz w:val="22"/>
        </w:rPr>
      </w:pPr>
      <w:r>
        <w:rPr>
          <w:rFonts w:hint="eastAsia" w:ascii="宋体" w:hAnsi="宋体"/>
          <w:sz w:val="22"/>
        </w:rPr>
        <w:t>本考核办法适用于参与杭州萧山国际机场基本建设的各施工监理单位。与总包单位签订分包合同的分包单位纳入对总包单位的考核，不作为被考核主体。</w:t>
      </w:r>
    </w:p>
    <w:p>
      <w:pPr>
        <w:rPr>
          <w:rFonts w:ascii="宋体" w:hAnsi="宋体"/>
          <w:sz w:val="22"/>
        </w:rPr>
      </w:pPr>
      <w:r>
        <w:rPr>
          <w:rFonts w:hint="eastAsia" w:ascii="宋体" w:hAnsi="宋体"/>
          <w:sz w:val="22"/>
        </w:rPr>
        <w:t>三、考核程序</w:t>
      </w:r>
    </w:p>
    <w:p>
      <w:pPr>
        <w:rPr>
          <w:rFonts w:ascii="宋体" w:hAnsi="宋体"/>
          <w:sz w:val="22"/>
        </w:rPr>
      </w:pPr>
      <w:r>
        <w:rPr>
          <w:rFonts w:hint="eastAsia" w:ascii="宋体" w:hAnsi="宋体"/>
          <w:sz w:val="22"/>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rPr>
          <w:rFonts w:ascii="宋体" w:hAnsi="宋体"/>
          <w:sz w:val="22"/>
        </w:rPr>
      </w:pPr>
      <w:r>
        <w:rPr>
          <w:rFonts w:hint="eastAsia" w:ascii="宋体" w:hAnsi="宋体"/>
          <w:sz w:val="22"/>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rPr>
          <w:rFonts w:ascii="宋体" w:hAnsi="宋体"/>
          <w:sz w:val="22"/>
        </w:rPr>
      </w:pPr>
      <w:r>
        <w:rPr>
          <w:rFonts w:hint="eastAsia" w:ascii="宋体" w:hAnsi="宋体"/>
          <w:sz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报信导部一份。</w:t>
      </w:r>
    </w:p>
    <w:p>
      <w:pPr>
        <w:rPr>
          <w:rFonts w:ascii="宋体" w:hAnsi="宋体"/>
          <w:sz w:val="22"/>
        </w:rPr>
      </w:pPr>
      <w:r>
        <w:rPr>
          <w:rFonts w:hint="eastAsia" w:ascii="宋体" w:hAnsi="宋体"/>
          <w:sz w:val="22"/>
        </w:rPr>
        <w:t>（四）考核最终汇总兑现。各施工项目部工程结束后由信导部计算出累计处罚总数，从工程履约保证金中扣除，但不得超过工程履约保证金的</w:t>
      </w:r>
      <w:r>
        <w:rPr>
          <w:rFonts w:ascii="宋体" w:hAnsi="宋体"/>
          <w:sz w:val="22"/>
        </w:rPr>
        <w:t>20%</w:t>
      </w:r>
      <w:r>
        <w:rPr>
          <w:rFonts w:hint="eastAsia" w:ascii="宋体" w:hAnsi="宋体"/>
          <w:sz w:val="22"/>
        </w:rPr>
        <w:t>。</w:t>
      </w:r>
    </w:p>
    <w:p>
      <w:pPr>
        <w:rPr>
          <w:rFonts w:ascii="宋体" w:hAnsi="宋体"/>
          <w:sz w:val="22"/>
        </w:rPr>
      </w:pPr>
      <w:r>
        <w:rPr>
          <w:rFonts w:hint="eastAsia" w:ascii="宋体" w:hAnsi="宋体"/>
          <w:sz w:val="22"/>
        </w:rPr>
        <w:t>四、其它</w:t>
      </w:r>
    </w:p>
    <w:p>
      <w:pPr>
        <w:rPr>
          <w:rFonts w:ascii="宋体" w:hAnsi="宋体"/>
          <w:sz w:val="22"/>
        </w:rPr>
      </w:pPr>
      <w:r>
        <w:rPr>
          <w:rFonts w:hint="eastAsia" w:ascii="宋体" w:hAnsi="宋体"/>
          <w:sz w:val="22"/>
        </w:rPr>
        <w:t>（一）施工项目部突破《杭州萧山国际机场安全文明施工协议书》安全控制目标内容之一的，不属于本办法考核范围，由信导部依据有关规定直接进行处罚。</w:t>
      </w:r>
    </w:p>
    <w:p>
      <w:pPr>
        <w:rPr>
          <w:rFonts w:ascii="宋体" w:hAnsi="宋体"/>
          <w:sz w:val="22"/>
        </w:rPr>
      </w:pPr>
      <w:r>
        <w:rPr>
          <w:rFonts w:hint="eastAsia" w:ascii="宋体" w:hAnsi="宋体"/>
          <w:sz w:val="22"/>
        </w:rPr>
        <w:t>（二）《处罚标准》中所称的“协议”是指机场公司与施工项目部签订的《杭州萧山国际机场安全文明施工协议书》及各种协议文件；“建标”是指《建筑施工安全检查标准》（</w:t>
      </w:r>
      <w:r>
        <w:rPr>
          <w:rFonts w:ascii="宋体" w:hAnsi="宋体"/>
          <w:sz w:val="22"/>
        </w:rPr>
        <w:t>JGJ59-2011</w:t>
      </w:r>
      <w:r>
        <w:rPr>
          <w:rFonts w:hint="eastAsia" w:ascii="宋体" w:hAnsi="宋体"/>
          <w:sz w:val="22"/>
        </w:rPr>
        <w:t>）。</w:t>
      </w:r>
    </w:p>
    <w:p>
      <w:pPr>
        <w:rPr>
          <w:rFonts w:ascii="宋体" w:hAnsi="宋体"/>
          <w:sz w:val="22"/>
        </w:rPr>
      </w:pPr>
      <w:r>
        <w:rPr>
          <w:rFonts w:hint="eastAsia" w:ascii="宋体" w:hAnsi="宋体"/>
          <w:sz w:val="22"/>
        </w:rPr>
        <w:t>（三）施工项目部收到《安全文明施工工作联系单》后，在指定期限内仍未整改到位，加倍处罚直至整改到位为止。</w:t>
      </w:r>
    </w:p>
    <w:p>
      <w:pPr>
        <w:rPr>
          <w:rFonts w:ascii="宋体" w:hAnsi="宋体"/>
          <w:sz w:val="22"/>
        </w:rPr>
      </w:pPr>
      <w:r>
        <w:rPr>
          <w:rFonts w:hint="eastAsia" w:ascii="宋体" w:hAnsi="宋体"/>
          <w:sz w:val="22"/>
        </w:rPr>
        <w:t>（四）本考核办法未作规定，但已违反国家相关法律、法规和安全生产规范、规程、标准及《杭州萧山国际机场安全文明施工协议书》的行为，由信导部参照《处罚标准》相关规定进行处罚。</w:t>
      </w:r>
    </w:p>
    <w:p>
      <w:pPr>
        <w:rPr>
          <w:rFonts w:ascii="宋体" w:hAnsi="宋体"/>
          <w:sz w:val="22"/>
        </w:rPr>
      </w:pPr>
      <w:r>
        <w:rPr>
          <w:rFonts w:hint="eastAsia" w:ascii="宋体" w:hAnsi="宋体"/>
          <w:sz w:val="22"/>
        </w:rPr>
        <w:t>（五）本考核办法以实际发文为准。</w:t>
      </w:r>
    </w:p>
    <w:p>
      <w:pPr>
        <w:rPr>
          <w:rFonts w:ascii="宋体" w:hAnsi="宋体"/>
          <w:sz w:val="22"/>
        </w:rPr>
      </w:pPr>
    </w:p>
    <w:p>
      <w:pPr>
        <w:rPr>
          <w:rFonts w:ascii="宋体" w:hAnsi="宋体"/>
          <w:sz w:val="22"/>
        </w:rPr>
      </w:pPr>
      <w:r>
        <w:rPr>
          <w:rFonts w:ascii="宋体" w:hAnsi="宋体"/>
          <w:sz w:val="22"/>
        </w:rPr>
        <w:t xml:space="preserve">    </w:t>
      </w: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jc w:val="center"/>
        <w:rPr>
          <w:rFonts w:ascii="宋体" w:hAnsi="宋体"/>
          <w:b/>
          <w:sz w:val="22"/>
        </w:rPr>
      </w:pPr>
      <w:r>
        <w:rPr>
          <w:rFonts w:ascii="宋体" w:hAnsi="宋体"/>
          <w:sz w:val="22"/>
        </w:rPr>
        <w:br w:type="page"/>
      </w:r>
      <w:r>
        <w:rPr>
          <w:rFonts w:hint="eastAsia" w:ascii="宋体" w:hAnsi="宋体"/>
          <w:b/>
          <w:sz w:val="22"/>
        </w:rPr>
        <w:t>基建项目安全文明施工处罚标准</w:t>
      </w:r>
    </w:p>
    <w:p>
      <w:pPr>
        <w:rPr>
          <w:rFonts w:ascii="宋体" w:hAnsi="宋体"/>
          <w:sz w:val="22"/>
        </w:rPr>
      </w:pPr>
    </w:p>
    <w:tbl>
      <w:tblPr>
        <w:tblStyle w:val="57"/>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60"/>
        <w:gridCol w:w="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序列号</w:t>
            </w:r>
          </w:p>
        </w:tc>
        <w:tc>
          <w:tcPr>
            <w:tcW w:w="6660" w:type="dxa"/>
            <w:noWrap w:val="0"/>
            <w:vAlign w:val="center"/>
          </w:tcPr>
          <w:p>
            <w:pPr>
              <w:rPr>
                <w:rFonts w:ascii="宋体" w:hAns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720" w:type="dxa"/>
            <w:noWrap w:val="0"/>
            <w:vAlign w:val="center"/>
          </w:tcPr>
          <w:p>
            <w:pPr>
              <w:rPr>
                <w:rFonts w:ascii="宋体" w:hAnsi="宋体"/>
                <w:sz w:val="22"/>
              </w:rPr>
            </w:pPr>
            <w:r>
              <w:rPr>
                <w:rFonts w:hint="eastAsia" w:ascii="宋体" w:hAnsi="宋体"/>
                <w:sz w:val="22"/>
              </w:rPr>
              <w:t>依据</w:t>
            </w:r>
          </w:p>
        </w:tc>
        <w:tc>
          <w:tcPr>
            <w:tcW w:w="1440" w:type="dxa"/>
            <w:noWrap w:val="0"/>
            <w:vAlign w:val="center"/>
          </w:tcPr>
          <w:p>
            <w:pPr>
              <w:rPr>
                <w:rFonts w:ascii="宋体" w:hAnsi="宋体"/>
                <w:sz w:val="22"/>
              </w:rPr>
            </w:pPr>
            <w:r>
              <w:rPr>
                <w:rFonts w:hint="eastAsia" w:ascii="宋体" w:hAnsi="宋体"/>
                <w:sz w:val="22"/>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p>
        </w:tc>
        <w:tc>
          <w:tcPr>
            <w:tcW w:w="6660" w:type="dxa"/>
            <w:noWrap w:val="0"/>
            <w:vAlign w:val="center"/>
          </w:tcPr>
          <w:p>
            <w:pPr>
              <w:rPr>
                <w:rFonts w:ascii="宋体" w:hAnsi="宋体"/>
                <w:sz w:val="22"/>
              </w:rPr>
            </w:pPr>
            <w:r>
              <w:rPr>
                <w:rFonts w:hint="eastAsia" w:ascii="宋体" w:hAnsi="宋体"/>
                <w:sz w:val="22"/>
              </w:rPr>
              <w:t>隔离区施工</w:t>
            </w:r>
          </w:p>
        </w:tc>
        <w:tc>
          <w:tcPr>
            <w:tcW w:w="720" w:type="dxa"/>
            <w:noWrap w:val="0"/>
            <w:vAlign w:val="center"/>
          </w:tcPr>
          <w:p>
            <w:pPr>
              <w:rPr>
                <w:rFonts w:ascii="宋体" w:hAnsi="宋体"/>
                <w:sz w:val="22"/>
              </w:rPr>
            </w:pPr>
          </w:p>
        </w:tc>
        <w:tc>
          <w:tcPr>
            <w:tcW w:w="1440" w:type="dxa"/>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.1</w:t>
            </w:r>
          </w:p>
        </w:tc>
        <w:tc>
          <w:tcPr>
            <w:tcW w:w="6660" w:type="dxa"/>
            <w:noWrap w:val="0"/>
            <w:vAlign w:val="top"/>
          </w:tcPr>
          <w:p>
            <w:pPr>
              <w:rPr>
                <w:rFonts w:ascii="宋体" w:hAnsi="宋体"/>
                <w:sz w:val="22"/>
              </w:rPr>
            </w:pPr>
            <w:r>
              <w:rPr>
                <w:rFonts w:hint="eastAsia" w:ascii="宋体" w:hAnsi="宋体"/>
                <w:sz w:val="22"/>
              </w:rPr>
              <w:t>未按照杭州国际机场隔离区施工组织方案、安全保障措施进行施工作业影响机场正常运行或造成不安全事件的</w:t>
            </w:r>
          </w:p>
        </w:tc>
        <w:tc>
          <w:tcPr>
            <w:tcW w:w="720" w:type="dxa"/>
            <w:noWrap w:val="0"/>
            <w:vAlign w:val="center"/>
          </w:tcPr>
          <w:p>
            <w:pPr>
              <w:rPr>
                <w:rFonts w:ascii="宋体" w:hAnsi="宋体"/>
                <w:sz w:val="22"/>
              </w:rPr>
            </w:pPr>
            <w:r>
              <w:rPr>
                <w:rFonts w:hint="eastAsia" w:ascii="宋体" w:hAnsi="宋体"/>
                <w:sz w:val="22"/>
              </w:rPr>
              <w:t>方案</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.2</w:t>
            </w:r>
          </w:p>
        </w:tc>
        <w:tc>
          <w:tcPr>
            <w:tcW w:w="6660" w:type="dxa"/>
            <w:noWrap w:val="0"/>
            <w:vAlign w:val="top"/>
          </w:tcPr>
          <w:p>
            <w:pPr>
              <w:rPr>
                <w:rFonts w:ascii="宋体" w:hAnsi="宋体"/>
                <w:sz w:val="22"/>
              </w:rPr>
            </w:pPr>
            <w:r>
              <w:rPr>
                <w:rFonts w:hint="eastAsia" w:ascii="宋体" w:hAnsi="宋体"/>
                <w:sz w:val="22"/>
              </w:rPr>
              <w:t>无故不参加各类隔离区施工例会、专题会议的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.3</w:t>
            </w:r>
          </w:p>
        </w:tc>
        <w:tc>
          <w:tcPr>
            <w:tcW w:w="6660" w:type="dxa"/>
            <w:noWrap w:val="0"/>
            <w:vAlign w:val="top"/>
          </w:tcPr>
          <w:p>
            <w:pPr>
              <w:rPr>
                <w:rFonts w:ascii="宋体" w:hAnsi="宋体"/>
                <w:sz w:val="22"/>
              </w:rPr>
            </w:pPr>
            <w:r>
              <w:rPr>
                <w:rFonts w:hint="eastAsia" w:ascii="宋体" w:hAnsi="宋体"/>
                <w:sz w:val="22"/>
              </w:rPr>
              <w:t>未对施工人员进行空防安全和运行安全教育培训或教育培训无台帐记录的</w:t>
            </w:r>
          </w:p>
        </w:tc>
        <w:tc>
          <w:tcPr>
            <w:tcW w:w="720" w:type="dxa"/>
            <w:noWrap w:val="0"/>
            <w:vAlign w:val="center"/>
          </w:tcPr>
          <w:p>
            <w:pPr>
              <w:rPr>
                <w:rFonts w:ascii="宋体" w:hAnsi="宋体"/>
                <w:sz w:val="22"/>
              </w:rPr>
            </w:pPr>
            <w:r>
              <w:rPr>
                <w:rFonts w:hint="eastAsia" w:ascii="宋体" w:hAnsi="宋体"/>
                <w:sz w:val="22"/>
              </w:rPr>
              <w:t>方案</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.4</w:t>
            </w:r>
          </w:p>
        </w:tc>
        <w:tc>
          <w:tcPr>
            <w:tcW w:w="6660" w:type="dxa"/>
            <w:noWrap w:val="0"/>
            <w:vAlign w:val="top"/>
          </w:tcPr>
          <w:p>
            <w:pPr>
              <w:rPr>
                <w:rFonts w:ascii="宋体" w:hAnsi="宋体"/>
                <w:sz w:val="22"/>
              </w:rPr>
            </w:pPr>
            <w:r>
              <w:rPr>
                <w:rFonts w:hint="eastAsia" w:ascii="宋体" w:hAnsi="宋体"/>
                <w:sz w:val="22"/>
              </w:rPr>
              <w:t>施工进场前未对施工人员进行安全教育或交底的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.5</w:t>
            </w:r>
          </w:p>
        </w:tc>
        <w:tc>
          <w:tcPr>
            <w:tcW w:w="6660" w:type="dxa"/>
            <w:noWrap w:val="0"/>
            <w:vAlign w:val="top"/>
          </w:tcPr>
          <w:p>
            <w:pPr>
              <w:rPr>
                <w:rFonts w:ascii="宋体" w:hAnsi="宋体"/>
                <w:sz w:val="22"/>
              </w:rPr>
            </w:pPr>
            <w:r>
              <w:rPr>
                <w:rFonts w:hint="eastAsia" w:ascii="宋体" w:hAnsi="宋体"/>
                <w:sz w:val="22"/>
              </w:rPr>
              <w:t>管理人员擅离岗位、未实施全程监管或未有效履行安全管理职责的</w:t>
            </w:r>
          </w:p>
        </w:tc>
        <w:tc>
          <w:tcPr>
            <w:tcW w:w="720" w:type="dxa"/>
            <w:noWrap w:val="0"/>
            <w:vAlign w:val="center"/>
          </w:tcPr>
          <w:p>
            <w:pPr>
              <w:rPr>
                <w:rFonts w:ascii="宋体" w:hAnsi="宋体"/>
                <w:sz w:val="22"/>
              </w:rPr>
            </w:pPr>
            <w:r>
              <w:rPr>
                <w:rFonts w:hint="eastAsia" w:ascii="宋体" w:hAnsi="宋体"/>
                <w:sz w:val="22"/>
              </w:rPr>
              <w:t>方案</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.6</w:t>
            </w:r>
          </w:p>
        </w:tc>
        <w:tc>
          <w:tcPr>
            <w:tcW w:w="6660" w:type="dxa"/>
            <w:noWrap w:val="0"/>
            <w:vAlign w:val="top"/>
          </w:tcPr>
          <w:p>
            <w:pPr>
              <w:rPr>
                <w:rFonts w:ascii="宋体" w:hAnsi="宋体"/>
                <w:sz w:val="22"/>
              </w:rPr>
            </w:pPr>
            <w:r>
              <w:rPr>
                <w:rFonts w:hint="eastAsia" w:ascii="宋体" w:hAnsi="宋体"/>
                <w:sz w:val="22"/>
              </w:rPr>
              <w:t>现场不服从机场或信导部现场管理人员指挥、管理的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.7</w:t>
            </w:r>
          </w:p>
        </w:tc>
        <w:tc>
          <w:tcPr>
            <w:tcW w:w="6660" w:type="dxa"/>
            <w:noWrap w:val="0"/>
            <w:vAlign w:val="center"/>
          </w:tcPr>
          <w:p>
            <w:pPr>
              <w:rPr>
                <w:rFonts w:ascii="宋体" w:hAnsi="宋体"/>
                <w:sz w:val="22"/>
              </w:rPr>
            </w:pPr>
            <w:r>
              <w:rPr>
                <w:rFonts w:hint="eastAsia" w:ascii="宋体" w:hAnsi="宋体"/>
                <w:sz w:val="22"/>
              </w:rPr>
              <w:t>未按规定设置或撤除警戒围栏的</w:t>
            </w:r>
          </w:p>
        </w:tc>
        <w:tc>
          <w:tcPr>
            <w:tcW w:w="720" w:type="dxa"/>
            <w:noWrap w:val="0"/>
            <w:vAlign w:val="center"/>
          </w:tcPr>
          <w:p>
            <w:pPr>
              <w:rPr>
                <w:rFonts w:ascii="宋体" w:hAnsi="宋体"/>
                <w:sz w:val="22"/>
              </w:rPr>
            </w:pPr>
            <w:r>
              <w:rPr>
                <w:rFonts w:hint="eastAsia" w:ascii="宋体" w:hAnsi="宋体"/>
                <w:sz w:val="22"/>
              </w:rPr>
              <w:t>方案</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.8</w:t>
            </w:r>
          </w:p>
        </w:tc>
        <w:tc>
          <w:tcPr>
            <w:tcW w:w="6660" w:type="dxa"/>
            <w:noWrap w:val="0"/>
            <w:vAlign w:val="center"/>
          </w:tcPr>
          <w:p>
            <w:pPr>
              <w:rPr>
                <w:rFonts w:ascii="宋体" w:hAnsi="宋体"/>
                <w:sz w:val="22"/>
              </w:rPr>
            </w:pPr>
            <w:r>
              <w:rPr>
                <w:rFonts w:hint="eastAsia" w:ascii="宋体" w:hAnsi="宋体"/>
                <w:sz w:val="22"/>
              </w:rPr>
              <w:t>施工人员擅自侵入飞行活动区的</w:t>
            </w:r>
          </w:p>
        </w:tc>
        <w:tc>
          <w:tcPr>
            <w:tcW w:w="720" w:type="dxa"/>
            <w:noWrap w:val="0"/>
            <w:vAlign w:val="center"/>
          </w:tcPr>
          <w:p>
            <w:pPr>
              <w:rPr>
                <w:rFonts w:ascii="宋体" w:hAnsi="宋体"/>
                <w:sz w:val="22"/>
              </w:rPr>
            </w:pPr>
            <w:r>
              <w:rPr>
                <w:rFonts w:hint="eastAsia" w:ascii="宋体" w:hAnsi="宋体"/>
                <w:sz w:val="22"/>
              </w:rPr>
              <w:t>协议</w:t>
            </w:r>
          </w:p>
        </w:tc>
        <w:tc>
          <w:tcPr>
            <w:tcW w:w="1440" w:type="dxa"/>
            <w:noWrap w:val="0"/>
            <w:vAlign w:val="center"/>
          </w:tcPr>
          <w:p>
            <w:pPr>
              <w:rPr>
                <w:rFonts w:ascii="宋体" w:hAnsi="宋体"/>
                <w:sz w:val="22"/>
              </w:rPr>
            </w:pPr>
            <w:r>
              <w:rPr>
                <w:rFonts w:ascii="宋体" w:hAnsi="宋体"/>
                <w:sz w:val="22"/>
              </w:rPr>
              <w:t>20000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.9</w:t>
            </w:r>
          </w:p>
        </w:tc>
        <w:tc>
          <w:tcPr>
            <w:tcW w:w="6660" w:type="dxa"/>
            <w:noWrap w:val="0"/>
            <w:vAlign w:val="top"/>
          </w:tcPr>
          <w:p>
            <w:pPr>
              <w:rPr>
                <w:rFonts w:ascii="宋体" w:hAnsi="宋体"/>
                <w:sz w:val="22"/>
              </w:rPr>
            </w:pPr>
            <w:r>
              <w:rPr>
                <w:rFonts w:hint="eastAsia" w:ascii="宋体" w:hAnsi="宋体"/>
                <w:sz w:val="22"/>
              </w:rPr>
              <w:t>施工人员攀爬、翻越、跨越隔离围栏及其他安全防护设施或向控制区内传递物品等，尚未影响机场正常运行的</w:t>
            </w:r>
          </w:p>
        </w:tc>
        <w:tc>
          <w:tcPr>
            <w:tcW w:w="720" w:type="dxa"/>
            <w:noWrap w:val="0"/>
            <w:vAlign w:val="center"/>
          </w:tcPr>
          <w:p>
            <w:pPr>
              <w:rPr>
                <w:rFonts w:ascii="宋体" w:hAnsi="宋体"/>
                <w:sz w:val="22"/>
              </w:rPr>
            </w:pPr>
            <w:r>
              <w:rPr>
                <w:rFonts w:hint="eastAsia" w:ascii="宋体" w:hAnsi="宋体"/>
                <w:sz w:val="22"/>
              </w:rPr>
              <w:t>协议</w:t>
            </w:r>
          </w:p>
        </w:tc>
        <w:tc>
          <w:tcPr>
            <w:tcW w:w="1440" w:type="dxa"/>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.10</w:t>
            </w:r>
          </w:p>
        </w:tc>
        <w:tc>
          <w:tcPr>
            <w:tcW w:w="6660" w:type="dxa"/>
            <w:noWrap w:val="0"/>
            <w:vAlign w:val="center"/>
          </w:tcPr>
          <w:p>
            <w:pPr>
              <w:rPr>
                <w:rFonts w:ascii="宋体" w:hAnsi="宋体"/>
                <w:sz w:val="22"/>
              </w:rPr>
            </w:pPr>
            <w:r>
              <w:rPr>
                <w:rFonts w:hint="eastAsia" w:ascii="宋体" w:hAnsi="宋体"/>
                <w:sz w:val="22"/>
              </w:rPr>
              <w:t>施工人员擅自超越指定施工活动范围的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.11</w:t>
            </w:r>
          </w:p>
        </w:tc>
        <w:tc>
          <w:tcPr>
            <w:tcW w:w="6660" w:type="dxa"/>
            <w:noWrap w:val="0"/>
            <w:vAlign w:val="center"/>
          </w:tcPr>
          <w:p>
            <w:pPr>
              <w:rPr>
                <w:rFonts w:ascii="宋体" w:hAnsi="宋体"/>
                <w:sz w:val="22"/>
              </w:rPr>
            </w:pPr>
            <w:r>
              <w:rPr>
                <w:rFonts w:hint="eastAsia" w:ascii="宋体" w:hAnsi="宋体"/>
                <w:sz w:val="22"/>
              </w:rPr>
              <w:t>不按要求作业，挖破或挖断地下管线</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.12</w:t>
            </w:r>
          </w:p>
        </w:tc>
        <w:tc>
          <w:tcPr>
            <w:tcW w:w="6660" w:type="dxa"/>
            <w:noWrap w:val="0"/>
            <w:vAlign w:val="center"/>
          </w:tcPr>
          <w:p>
            <w:pPr>
              <w:rPr>
                <w:rFonts w:ascii="宋体" w:hAnsi="宋体"/>
                <w:sz w:val="22"/>
              </w:rPr>
            </w:pPr>
            <w:r>
              <w:rPr>
                <w:rFonts w:hint="eastAsia" w:ascii="宋体" w:hAnsi="宋体"/>
                <w:sz w:val="22"/>
              </w:rPr>
              <w:t>未做到工完场清，沿线道面、施工现场遗留工具、材料、垃圾未及时清理清扫的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hint="eastAsia" w:ascii="宋体" w:hAnsi="宋体"/>
                <w:sz w:val="22"/>
              </w:rPr>
              <w:t>１</w:t>
            </w:r>
            <w:r>
              <w:rPr>
                <w:rFonts w:ascii="宋体" w:hAnsi="宋体"/>
                <w:sz w:val="22"/>
              </w:rPr>
              <w:t>.13</w:t>
            </w:r>
          </w:p>
        </w:tc>
        <w:tc>
          <w:tcPr>
            <w:tcW w:w="6660" w:type="dxa"/>
            <w:noWrap w:val="0"/>
            <w:vAlign w:val="center"/>
          </w:tcPr>
          <w:p>
            <w:pPr>
              <w:rPr>
                <w:rFonts w:ascii="宋体" w:hAnsi="宋体"/>
                <w:sz w:val="22"/>
              </w:rPr>
            </w:pPr>
            <w:r>
              <w:rPr>
                <w:rFonts w:hint="eastAsia" w:ascii="宋体" w:hAnsi="宋体"/>
                <w:sz w:val="22"/>
              </w:rPr>
              <w:t>发生其它违反《民用机场运行安全管理规定》（</w:t>
            </w:r>
            <w:r>
              <w:rPr>
                <w:rFonts w:ascii="宋体" w:hAnsi="宋体"/>
                <w:sz w:val="22"/>
              </w:rPr>
              <w:t>191</w:t>
            </w:r>
            <w:r>
              <w:rPr>
                <w:rFonts w:hint="eastAsia" w:ascii="宋体" w:hAnsi="宋体"/>
                <w:sz w:val="22"/>
              </w:rPr>
              <w:t>号令）和杭州萧山国际机场安全运行管理规定行为的</w:t>
            </w:r>
          </w:p>
        </w:tc>
        <w:tc>
          <w:tcPr>
            <w:tcW w:w="720" w:type="dxa"/>
            <w:noWrap w:val="0"/>
            <w:vAlign w:val="center"/>
          </w:tcPr>
          <w:p>
            <w:pPr>
              <w:rPr>
                <w:rFonts w:ascii="宋体" w:hAnsi="宋体"/>
                <w:sz w:val="22"/>
              </w:rPr>
            </w:pPr>
            <w:r>
              <w:rPr>
                <w:rFonts w:hint="eastAsia" w:ascii="宋体" w:hAnsi="宋体"/>
                <w:sz w:val="22"/>
              </w:rPr>
              <w:t>方案</w:t>
            </w:r>
          </w:p>
        </w:tc>
        <w:tc>
          <w:tcPr>
            <w:tcW w:w="1440" w:type="dxa"/>
            <w:noWrap w:val="0"/>
            <w:vAlign w:val="center"/>
          </w:tcPr>
          <w:p>
            <w:pPr>
              <w:rPr>
                <w:rFonts w:ascii="宋体" w:hAnsi="宋体"/>
                <w:sz w:val="22"/>
              </w:rPr>
            </w:pPr>
            <w:r>
              <w:rPr>
                <w:rFonts w:hint="eastAsia" w:ascii="宋体" w:hAnsi="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w:t>
            </w:r>
          </w:p>
        </w:tc>
        <w:tc>
          <w:tcPr>
            <w:tcW w:w="6660" w:type="dxa"/>
            <w:noWrap w:val="0"/>
            <w:vAlign w:val="center"/>
          </w:tcPr>
          <w:p>
            <w:pPr>
              <w:rPr>
                <w:rFonts w:ascii="宋体" w:hAnsi="宋体"/>
                <w:sz w:val="22"/>
              </w:rPr>
            </w:pPr>
            <w:r>
              <w:rPr>
                <w:rFonts w:hint="eastAsia" w:ascii="宋体" w:hAnsi="宋体"/>
                <w:sz w:val="22"/>
              </w:rPr>
              <w:t>空防安全</w:t>
            </w:r>
          </w:p>
        </w:tc>
        <w:tc>
          <w:tcPr>
            <w:tcW w:w="720" w:type="dxa"/>
            <w:noWrap w:val="0"/>
            <w:vAlign w:val="center"/>
          </w:tcPr>
          <w:p>
            <w:pPr>
              <w:rPr>
                <w:rFonts w:ascii="宋体" w:hAnsi="宋体"/>
                <w:sz w:val="22"/>
              </w:rPr>
            </w:pPr>
          </w:p>
        </w:tc>
        <w:tc>
          <w:tcPr>
            <w:tcW w:w="1440" w:type="dxa"/>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w:t>
            </w:r>
          </w:p>
        </w:tc>
        <w:tc>
          <w:tcPr>
            <w:tcW w:w="6660" w:type="dxa"/>
            <w:noWrap w:val="0"/>
            <w:vAlign w:val="top"/>
          </w:tcPr>
          <w:p>
            <w:pPr>
              <w:rPr>
                <w:rFonts w:ascii="宋体" w:hAnsi="宋体"/>
                <w:sz w:val="22"/>
              </w:rPr>
            </w:pPr>
            <w:r>
              <w:rPr>
                <w:rFonts w:hint="eastAsia" w:ascii="宋体" w:hAnsi="宋体"/>
                <w:sz w:val="22"/>
              </w:rPr>
              <w:t>进入控制区的人员不服从机场管理人员的管理、检查的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2.2</w:t>
            </w:r>
          </w:p>
        </w:tc>
        <w:tc>
          <w:tcPr>
            <w:tcW w:w="6660" w:type="dxa"/>
            <w:noWrap w:val="0"/>
            <w:vAlign w:val="top"/>
          </w:tcPr>
          <w:p>
            <w:pPr>
              <w:rPr>
                <w:rFonts w:ascii="宋体" w:hAnsi="宋体"/>
                <w:sz w:val="22"/>
              </w:rPr>
            </w:pPr>
            <w:r>
              <w:rPr>
                <w:rFonts w:hint="eastAsia" w:ascii="宋体" w:hAnsi="宋体"/>
                <w:sz w:val="22"/>
              </w:rPr>
              <w:t>把关不严，提供虚假证明、证件或其它相关资料申办控制区人员通行证的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2.3</w:t>
            </w:r>
          </w:p>
        </w:tc>
        <w:tc>
          <w:tcPr>
            <w:tcW w:w="6660" w:type="dxa"/>
            <w:noWrap w:val="0"/>
            <w:vAlign w:val="top"/>
          </w:tcPr>
          <w:p>
            <w:pPr>
              <w:rPr>
                <w:rFonts w:ascii="宋体" w:hAnsi="宋体"/>
                <w:sz w:val="22"/>
              </w:rPr>
            </w:pPr>
            <w:r>
              <w:rPr>
                <w:rFonts w:hint="eastAsia" w:ascii="宋体" w:hAnsi="宋体"/>
                <w:sz w:val="22"/>
              </w:rPr>
              <w:t>提供虚假车辆、设备证件、检验记录和保险凭证申办《车辆通行证》的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2.4</w:t>
            </w:r>
          </w:p>
        </w:tc>
        <w:tc>
          <w:tcPr>
            <w:tcW w:w="6660" w:type="dxa"/>
            <w:noWrap w:val="0"/>
            <w:vAlign w:val="top"/>
          </w:tcPr>
          <w:p>
            <w:pPr>
              <w:rPr>
                <w:rFonts w:ascii="宋体" w:hAnsi="宋体"/>
                <w:sz w:val="22"/>
              </w:rPr>
            </w:pPr>
            <w:r>
              <w:rPr>
                <w:rFonts w:hint="eastAsia" w:ascii="宋体" w:hAnsi="宋体"/>
                <w:sz w:val="22"/>
              </w:rPr>
              <w:t>车辆证件、检验记录和保险凭证过期失效未补办后续手续，仍进入控制区施工作业的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2.5</w:t>
            </w:r>
          </w:p>
        </w:tc>
        <w:tc>
          <w:tcPr>
            <w:tcW w:w="6660" w:type="dxa"/>
            <w:noWrap w:val="0"/>
            <w:vAlign w:val="top"/>
          </w:tcPr>
          <w:p>
            <w:pPr>
              <w:rPr>
                <w:rFonts w:ascii="宋体" w:hAnsi="宋体"/>
                <w:sz w:val="22"/>
              </w:rPr>
            </w:pPr>
            <w:r>
              <w:rPr>
                <w:rFonts w:hint="eastAsia" w:ascii="宋体" w:hAnsi="宋体"/>
                <w:sz w:val="22"/>
              </w:rPr>
              <w:t>未建立控制区通行证统一保管制度，无控制区通行证管理台帐或台帐记录不全的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2.6</w:t>
            </w:r>
          </w:p>
        </w:tc>
        <w:tc>
          <w:tcPr>
            <w:tcW w:w="6660" w:type="dxa"/>
            <w:noWrap w:val="0"/>
            <w:vAlign w:val="top"/>
          </w:tcPr>
          <w:p>
            <w:pPr>
              <w:rPr>
                <w:rFonts w:ascii="宋体" w:hAnsi="宋体"/>
                <w:sz w:val="22"/>
              </w:rPr>
            </w:pPr>
            <w:r>
              <w:rPr>
                <w:rFonts w:hint="eastAsia" w:ascii="宋体" w:hAnsi="宋体"/>
                <w:sz w:val="22"/>
              </w:rPr>
              <w:t>发生无证施工人员进入控制区的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2.7</w:t>
            </w:r>
          </w:p>
        </w:tc>
        <w:tc>
          <w:tcPr>
            <w:tcW w:w="6660" w:type="dxa"/>
            <w:noWrap w:val="0"/>
            <w:vAlign w:val="top"/>
          </w:tcPr>
          <w:p>
            <w:pPr>
              <w:rPr>
                <w:rFonts w:ascii="宋体" w:hAnsi="宋体"/>
                <w:sz w:val="22"/>
              </w:rPr>
            </w:pPr>
            <w:r>
              <w:rPr>
                <w:rFonts w:hint="eastAsia" w:ascii="宋体" w:hAnsi="宋体"/>
                <w:sz w:val="22"/>
              </w:rPr>
              <w:t>发生施工人员转借、涂改、冒用他人通行证的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2.8</w:t>
            </w:r>
          </w:p>
        </w:tc>
        <w:tc>
          <w:tcPr>
            <w:tcW w:w="6660" w:type="dxa"/>
            <w:noWrap w:val="0"/>
            <w:vAlign w:val="top"/>
          </w:tcPr>
          <w:p>
            <w:pPr>
              <w:rPr>
                <w:rFonts w:ascii="宋体" w:hAnsi="宋体"/>
                <w:sz w:val="22"/>
              </w:rPr>
            </w:pPr>
            <w:r>
              <w:rPr>
                <w:rFonts w:hint="eastAsia" w:ascii="宋体" w:hAnsi="宋体"/>
                <w:sz w:val="22"/>
              </w:rPr>
              <w:t>人员、车辆通行证保管不善，造成丢失；或通行证遗失不及时上报的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2.9</w:t>
            </w:r>
          </w:p>
        </w:tc>
        <w:tc>
          <w:tcPr>
            <w:tcW w:w="6660" w:type="dxa"/>
            <w:noWrap w:val="0"/>
            <w:vAlign w:val="top"/>
          </w:tcPr>
          <w:p>
            <w:pPr>
              <w:rPr>
                <w:rFonts w:ascii="宋体" w:hAnsi="宋体"/>
                <w:sz w:val="22"/>
              </w:rPr>
            </w:pPr>
            <w:r>
              <w:rPr>
                <w:rFonts w:hint="eastAsia" w:ascii="宋体" w:hAnsi="宋体"/>
                <w:sz w:val="22"/>
              </w:rPr>
              <w:t>人员调离、辞退、开除，车辆重新调配，或通行证到期，证件未在规定时限内交回注销的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2.10</w:t>
            </w:r>
          </w:p>
        </w:tc>
        <w:tc>
          <w:tcPr>
            <w:tcW w:w="6660" w:type="dxa"/>
            <w:noWrap w:val="0"/>
            <w:vAlign w:val="top"/>
          </w:tcPr>
          <w:p>
            <w:pPr>
              <w:rPr>
                <w:rFonts w:ascii="宋体" w:hAnsi="宋体"/>
                <w:sz w:val="22"/>
              </w:rPr>
            </w:pPr>
            <w:r>
              <w:rPr>
                <w:rFonts w:hint="eastAsia" w:ascii="宋体" w:hAnsi="宋体"/>
                <w:sz w:val="22"/>
              </w:rPr>
              <w:t>施工队伍中有违法、犯罪人员，隐瞒不报的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2.11</w:t>
            </w:r>
          </w:p>
        </w:tc>
        <w:tc>
          <w:tcPr>
            <w:tcW w:w="6660" w:type="dxa"/>
            <w:noWrap w:val="0"/>
            <w:vAlign w:val="top"/>
          </w:tcPr>
          <w:p>
            <w:pPr>
              <w:rPr>
                <w:rFonts w:ascii="宋体" w:hAnsi="宋体"/>
                <w:sz w:val="22"/>
              </w:rPr>
            </w:pPr>
            <w:r>
              <w:rPr>
                <w:rFonts w:hint="eastAsia" w:ascii="宋体" w:hAnsi="宋体"/>
                <w:sz w:val="22"/>
              </w:rPr>
              <w:t>毗邻控制区施工，未安装沿场区监控探头或监控探头存有盲区（段），监控无专人值守或值守人员离岗脱岗的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2.12</w:t>
            </w:r>
          </w:p>
        </w:tc>
        <w:tc>
          <w:tcPr>
            <w:tcW w:w="6660" w:type="dxa"/>
            <w:noWrap w:val="0"/>
            <w:vAlign w:val="top"/>
          </w:tcPr>
          <w:p>
            <w:pPr>
              <w:rPr>
                <w:rFonts w:ascii="宋体" w:hAnsi="宋体"/>
                <w:sz w:val="22"/>
              </w:rPr>
            </w:pPr>
            <w:r>
              <w:rPr>
                <w:rFonts w:hint="eastAsia" w:ascii="宋体" w:hAnsi="宋体"/>
                <w:sz w:val="22"/>
              </w:rPr>
              <w:t>毗邻控制区施工，沿场区未设置专门看护的固定和巡逻保安岗位、保安人员擅离岗位或保安人员未履职管理的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2.13</w:t>
            </w:r>
          </w:p>
        </w:tc>
        <w:tc>
          <w:tcPr>
            <w:tcW w:w="6660" w:type="dxa"/>
            <w:noWrap w:val="0"/>
            <w:vAlign w:val="top"/>
          </w:tcPr>
          <w:p>
            <w:pPr>
              <w:rPr>
                <w:rFonts w:ascii="宋体" w:hAnsi="宋体"/>
                <w:sz w:val="22"/>
              </w:rPr>
            </w:pPr>
            <w:r>
              <w:rPr>
                <w:rFonts w:hint="eastAsia" w:ascii="宋体" w:hAnsi="宋体"/>
                <w:sz w:val="22"/>
              </w:rPr>
              <w:t>在机场区域内燃放烟花、爆竹，或施放气球、风筝等升空物体的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2.14</w:t>
            </w:r>
          </w:p>
        </w:tc>
        <w:tc>
          <w:tcPr>
            <w:tcW w:w="6660" w:type="dxa"/>
            <w:noWrap w:val="0"/>
            <w:vAlign w:val="top"/>
          </w:tcPr>
          <w:p>
            <w:pPr>
              <w:rPr>
                <w:rFonts w:ascii="宋体" w:hAnsi="宋体"/>
                <w:sz w:val="22"/>
              </w:rPr>
            </w:pPr>
            <w:r>
              <w:rPr>
                <w:rFonts w:hint="eastAsia" w:ascii="宋体" w:hAnsi="宋体"/>
                <w:sz w:val="22"/>
              </w:rPr>
              <w:t>在机场区域内饲养猫、狗、鸡、鸭等牲畜、动物的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2.15</w:t>
            </w:r>
          </w:p>
        </w:tc>
        <w:tc>
          <w:tcPr>
            <w:tcW w:w="6660" w:type="dxa"/>
            <w:noWrap w:val="0"/>
            <w:vAlign w:val="top"/>
          </w:tcPr>
          <w:p>
            <w:pPr>
              <w:rPr>
                <w:rFonts w:ascii="宋体" w:hAnsi="宋体"/>
                <w:sz w:val="22"/>
              </w:rPr>
            </w:pPr>
            <w:r>
              <w:rPr>
                <w:rFonts w:hint="eastAsia" w:ascii="宋体" w:hAnsi="宋体"/>
                <w:sz w:val="22"/>
              </w:rPr>
              <w:t>其它违反民用航空安全、法律、法规和机场空防安全管理规定的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w:t>
            </w:r>
          </w:p>
        </w:tc>
        <w:tc>
          <w:tcPr>
            <w:tcW w:w="6660" w:type="dxa"/>
            <w:noWrap w:val="0"/>
            <w:vAlign w:val="top"/>
          </w:tcPr>
          <w:p>
            <w:pPr>
              <w:rPr>
                <w:rFonts w:ascii="宋体" w:hAnsi="宋体"/>
                <w:sz w:val="22"/>
              </w:rPr>
            </w:pPr>
            <w:r>
              <w:rPr>
                <w:rFonts w:hint="eastAsia" w:ascii="宋体" w:hAnsi="宋体"/>
                <w:sz w:val="22"/>
              </w:rPr>
              <w:t>安全生产</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3.1</w:t>
            </w:r>
          </w:p>
        </w:tc>
        <w:tc>
          <w:tcPr>
            <w:tcW w:w="6660" w:type="dxa"/>
            <w:noWrap w:val="0"/>
            <w:vAlign w:val="top"/>
          </w:tcPr>
          <w:p>
            <w:pPr>
              <w:rPr>
                <w:rFonts w:ascii="宋体" w:hAnsi="宋体"/>
                <w:sz w:val="22"/>
              </w:rPr>
            </w:pPr>
            <w:r>
              <w:rPr>
                <w:rFonts w:hint="eastAsia" w:ascii="宋体" w:hAnsi="宋体"/>
                <w:sz w:val="22"/>
              </w:rPr>
              <w:t>安全生产管理体制</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3.1.1</w:t>
            </w:r>
          </w:p>
        </w:tc>
        <w:tc>
          <w:tcPr>
            <w:tcW w:w="6660" w:type="dxa"/>
            <w:noWrap w:val="0"/>
            <w:vAlign w:val="top"/>
          </w:tcPr>
          <w:p>
            <w:pPr>
              <w:rPr>
                <w:rFonts w:ascii="宋体" w:hAnsi="宋体"/>
                <w:sz w:val="22"/>
              </w:rPr>
            </w:pPr>
            <w:r>
              <w:rPr>
                <w:rFonts w:hint="eastAsia" w:ascii="宋体" w:hAnsi="宋体"/>
                <w:sz w:val="22"/>
              </w:rPr>
              <w:t>安全管理制度不健全，项目经理、项目技术负责人等各类管理人员（包括安全员、资料员、质控员）未按相关规定要求到位的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3.1.2</w:t>
            </w:r>
          </w:p>
        </w:tc>
        <w:tc>
          <w:tcPr>
            <w:tcW w:w="6660" w:type="dxa"/>
            <w:noWrap w:val="0"/>
            <w:vAlign w:val="top"/>
          </w:tcPr>
          <w:p>
            <w:pPr>
              <w:rPr>
                <w:rFonts w:ascii="宋体" w:hAnsi="宋体"/>
                <w:sz w:val="22"/>
              </w:rPr>
            </w:pPr>
            <w:r>
              <w:rPr>
                <w:rFonts w:hint="eastAsia" w:ascii="宋体" w:hAnsi="宋体"/>
                <w:sz w:val="22"/>
              </w:rPr>
              <w:t>安全制度执行不力，无考核机制或考核制度执行不严</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3.1.3</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安全责任制未建立</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3.1.4</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安全责任制不健全，未层层签订至班组或岗位的各级安全责任书</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3.1.5</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各级各部门未执行责任制的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3.1.6</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经济承包中无安全生产、文明施工目标管理或目标管理不落实</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3.1.7</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未制定各工种安全技术操作规程的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3.1.8</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专（兼）职安全员不按规定如数到位的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3.1.9</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单位内部安全网络未建立或不健全</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3.1.10</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拒绝或拖延加入基建安全网络</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3.1.11</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无故不参加信导部组织的各种安全会议、网络活动</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3.1.12</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不按规定开展各级、各类安全教育培训，未按规定设置民工学校</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3.1.13</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对施工人员无安全教育或安全教育无针对性</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3.1.14</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无日常安全检查、定期安全检查、专项安全检查记录或记录不全</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3.1.15</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无安全管理台账或安全管理台账缺失不全</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3.1.16</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对查出的隐患整改做不到定人、定时间、定措施进行整改落实的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3.1.17</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对隐患整改通知书所列项目未如期整改完成的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3.2</w:t>
            </w:r>
          </w:p>
        </w:tc>
        <w:tc>
          <w:tcPr>
            <w:tcW w:w="6660" w:type="dxa"/>
            <w:noWrap w:val="0"/>
            <w:vAlign w:val="top"/>
          </w:tcPr>
          <w:p>
            <w:pPr>
              <w:rPr>
                <w:rFonts w:ascii="宋体" w:hAnsi="宋体"/>
                <w:sz w:val="22"/>
              </w:rPr>
            </w:pPr>
            <w:r>
              <w:rPr>
                <w:rFonts w:hint="eastAsia" w:ascii="宋体" w:hAnsi="宋体"/>
                <w:sz w:val="22"/>
              </w:rPr>
              <w:t>施工组织</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3.2.1</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无施工组织设计或施工组织设计未经审批的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3.2.2</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施工组织设计中无安全措施或安全措施不全面、无针对性</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3.2.3</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专业性较强、危险性较大的项目，未单独编制专项安全施工组织设计、未制定专项施工方案或未经过专家论证的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3.2.4</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施工组织设计安全措施未落实或落实有漏项的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3.2.5</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不按规定进行安全技术交底，或交底不全、交底针对性不强</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w:t>
            </w:r>
          </w:p>
        </w:tc>
        <w:tc>
          <w:tcPr>
            <w:tcW w:w="6660" w:type="dxa"/>
            <w:noWrap w:val="0"/>
            <w:vAlign w:val="top"/>
          </w:tcPr>
          <w:p>
            <w:pPr>
              <w:rPr>
                <w:rFonts w:ascii="宋体" w:hAnsi="宋体"/>
                <w:sz w:val="22"/>
              </w:rPr>
            </w:pPr>
            <w:r>
              <w:rPr>
                <w:rFonts w:hint="eastAsia" w:ascii="宋体" w:hAnsi="宋体"/>
                <w:sz w:val="22"/>
              </w:rPr>
              <w:t>现场安全设施和措施</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3.3.1</w:t>
            </w:r>
          </w:p>
        </w:tc>
        <w:tc>
          <w:tcPr>
            <w:tcW w:w="6660" w:type="dxa"/>
            <w:noWrap w:val="0"/>
            <w:vAlign w:val="top"/>
          </w:tcPr>
          <w:p>
            <w:pPr>
              <w:rPr>
                <w:rFonts w:ascii="宋体" w:hAnsi="宋体"/>
                <w:sz w:val="22"/>
              </w:rPr>
            </w:pPr>
            <w:r>
              <w:rPr>
                <w:rFonts w:hint="eastAsia" w:ascii="宋体" w:hAnsi="宋体"/>
                <w:sz w:val="22"/>
              </w:rPr>
              <w:t>使用国家明令淘汰、禁止使用的危及施工安全的工艺、设备、材料的。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3.3.2</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地面开挖作业未对毗邻建筑物、构筑物和地下管线等采取专项防护措施的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3.3.3</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基坑支护无方案或不按方案实施的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3.3.4</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未按规定进行基坑支护变形监测和对毗邻建筑物、重要管线、道路进行沉降观测的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3.3.5</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支护设施产生局部变形未采取措施调整的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3.3.6</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基坑施工未设置有效排水措施，或深基础施工采用坑外降水，无防止临近建筑危险沉降措施的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3.3.7</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积土、料具堆放、机械设备施工距槽边距离小于设计规定，又无措施的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3.3.8</w:t>
            </w:r>
          </w:p>
        </w:tc>
        <w:tc>
          <w:tcPr>
            <w:tcW w:w="6660" w:type="dxa"/>
            <w:noWrap w:val="0"/>
            <w:vAlign w:val="top"/>
          </w:tcPr>
          <w:p>
            <w:pPr>
              <w:rPr>
                <w:rFonts w:ascii="宋体" w:hAnsi="宋体"/>
                <w:sz w:val="22"/>
              </w:rPr>
            </w:pPr>
            <w:r>
              <w:rPr>
                <w:rFonts w:hint="eastAsia" w:ascii="宋体" w:hAnsi="宋体"/>
                <w:sz w:val="22"/>
              </w:rPr>
              <w:t>基坑内作业人员无必要安全防护措施和充足照明的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3.3.9</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支模架施工未按施工专项方案实施的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3.3.10</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临边无防护措施，防护设施不规范或有空档、超过间隙的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3.3.11</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高处作业不按规定设置防坠网或防坠网规格、材质、覆盖面积不符合要求的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3.3.12</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各种洞（井）口、梯口、通道口无防护措施，防护措施不符合要求或不严密，未形成定型化、工具化的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3.3.13</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电梯井不封闭，电梯井内每隔两层</w:t>
            </w:r>
            <w:r>
              <w:rPr>
                <w:rFonts w:ascii="宋体" w:hAnsi="宋体"/>
                <w:sz w:val="22"/>
              </w:rPr>
              <w:t>(</w:t>
            </w:r>
            <w:r>
              <w:rPr>
                <w:rFonts w:hint="eastAsia" w:ascii="宋体" w:hAnsi="宋体"/>
                <w:sz w:val="22"/>
              </w:rPr>
              <w:t>不大于</w:t>
            </w:r>
            <w:r>
              <w:rPr>
                <w:rFonts w:ascii="宋体" w:hAnsi="宋体"/>
                <w:sz w:val="22"/>
              </w:rPr>
              <w:t>l0m)</w:t>
            </w:r>
            <w:r>
              <w:rPr>
                <w:rFonts w:hint="eastAsia" w:ascii="宋体" w:hAnsi="宋体"/>
                <w:sz w:val="22"/>
              </w:rPr>
              <w:t>少一道平网的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3.3.14</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通道口无防护棚，通道口防护不严或防护棚不牢固、材质不符合要求的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3.3.15</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脚手架、升降、吊装等设施设备的拆装队伍没有取得资格证书的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3.3.16</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脚手架、脚手板等不按要求搭设，空隙过大或材质不符合要求的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3.3.17</w:t>
            </w:r>
          </w:p>
        </w:tc>
        <w:tc>
          <w:tcPr>
            <w:tcW w:w="6660" w:type="dxa"/>
            <w:noWrap w:val="0"/>
            <w:vAlign w:val="top"/>
          </w:tcPr>
          <w:p>
            <w:pPr>
              <w:rPr>
                <w:rFonts w:ascii="宋体" w:hAnsi="宋体"/>
                <w:sz w:val="22"/>
              </w:rPr>
            </w:pPr>
            <w:r>
              <w:rPr>
                <w:rFonts w:hint="eastAsia" w:ascii="宋体" w:hAnsi="宋体"/>
                <w:sz w:val="22"/>
              </w:rPr>
              <w:t>安全密目网不牢固、不严密或材质、设置不符合要求的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3.3.18</w:t>
            </w:r>
          </w:p>
        </w:tc>
        <w:tc>
          <w:tcPr>
            <w:tcW w:w="6660" w:type="dxa"/>
            <w:noWrap w:val="0"/>
            <w:vAlign w:val="top"/>
          </w:tcPr>
          <w:p>
            <w:pPr>
              <w:rPr>
                <w:rFonts w:ascii="宋体" w:hAnsi="宋体"/>
                <w:sz w:val="22"/>
              </w:rPr>
            </w:pPr>
            <w:r>
              <w:rPr>
                <w:rFonts w:hint="eastAsia" w:ascii="宋体" w:hAnsi="宋体"/>
                <w:sz w:val="22"/>
              </w:rPr>
              <w:t>脚手架超载或荷载不均匀、堆放杂物或垃圾清理不及时的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3.3.19</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未设专用通道或通道设置不符合要求的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3.3.20</w:t>
            </w:r>
          </w:p>
        </w:tc>
        <w:tc>
          <w:tcPr>
            <w:tcW w:w="6660" w:type="dxa"/>
            <w:noWrap w:val="0"/>
            <w:vAlign w:val="top"/>
          </w:tcPr>
          <w:p>
            <w:pPr>
              <w:rPr>
                <w:rFonts w:ascii="宋体" w:hAnsi="宋体"/>
                <w:sz w:val="22"/>
              </w:rPr>
            </w:pPr>
            <w:r>
              <w:rPr>
                <w:rFonts w:hint="eastAsia" w:ascii="宋体" w:hAnsi="宋体"/>
                <w:sz w:val="22"/>
              </w:rPr>
              <w:t>脚手架拆卸时不实行区域隔离，无专人看护等保护性安全措施的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3.3.21</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移动脚手架安全措施不到位，存在安全隐患的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3.3.22</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卸料台搭设不符合设计要求或不按规范要求搭建的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3.3.23</w:t>
            </w:r>
          </w:p>
        </w:tc>
        <w:tc>
          <w:tcPr>
            <w:tcW w:w="6660" w:type="dxa"/>
            <w:noWrap w:val="0"/>
            <w:vAlign w:val="top"/>
          </w:tcPr>
          <w:p>
            <w:pPr>
              <w:rPr>
                <w:rFonts w:ascii="宋体" w:hAnsi="宋体"/>
                <w:sz w:val="22"/>
              </w:rPr>
            </w:pPr>
            <w:r>
              <w:rPr>
                <w:rFonts w:hint="eastAsia" w:ascii="宋体" w:hAnsi="宋体"/>
                <w:sz w:val="22"/>
              </w:rPr>
              <w:t>升降、吊装作业未设警戒区、无专业人员指挥、无专人警戒或管理的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3.3.24</w:t>
            </w:r>
          </w:p>
        </w:tc>
        <w:tc>
          <w:tcPr>
            <w:tcW w:w="6660" w:type="dxa"/>
            <w:noWrap w:val="0"/>
            <w:vAlign w:val="top"/>
          </w:tcPr>
          <w:p>
            <w:pPr>
              <w:rPr>
                <w:rFonts w:ascii="宋体" w:hAnsi="宋体"/>
                <w:sz w:val="22"/>
              </w:rPr>
            </w:pPr>
            <w:r>
              <w:rPr>
                <w:rFonts w:hint="eastAsia" w:ascii="宋体" w:hAnsi="宋体"/>
                <w:sz w:val="22"/>
              </w:rPr>
              <w:t>升降、吊装设备无围栏、防护门，无安全警示等安全设施的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3.3.25</w:t>
            </w:r>
          </w:p>
        </w:tc>
        <w:tc>
          <w:tcPr>
            <w:tcW w:w="6660" w:type="dxa"/>
            <w:noWrap w:val="0"/>
            <w:vAlign w:val="top"/>
          </w:tcPr>
          <w:p>
            <w:pPr>
              <w:rPr>
                <w:rFonts w:ascii="宋体" w:hAnsi="宋体"/>
                <w:sz w:val="22"/>
              </w:rPr>
            </w:pPr>
            <w:r>
              <w:rPr>
                <w:rFonts w:hint="eastAsia" w:ascii="宋体" w:hAnsi="宋体"/>
                <w:sz w:val="22"/>
              </w:rPr>
              <w:t>升降、吊装设备无防坠装置或防坠装置不符合设计、规范要求的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3.3.26</w:t>
            </w:r>
          </w:p>
        </w:tc>
        <w:tc>
          <w:tcPr>
            <w:tcW w:w="6660" w:type="dxa"/>
            <w:noWrap w:val="0"/>
            <w:vAlign w:val="top"/>
          </w:tcPr>
          <w:p>
            <w:pPr>
              <w:rPr>
                <w:rFonts w:ascii="宋体" w:hAnsi="宋体"/>
                <w:sz w:val="22"/>
              </w:rPr>
            </w:pPr>
            <w:r>
              <w:rPr>
                <w:rFonts w:hint="eastAsia" w:ascii="宋体" w:hAnsi="宋体"/>
                <w:sz w:val="22"/>
              </w:rPr>
              <w:t>升降、吊装设备钢丝绳绳径倍数不足、磨损、断丝超标，地锚埋没不符合设计要求</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3.3.27</w:t>
            </w:r>
          </w:p>
        </w:tc>
        <w:tc>
          <w:tcPr>
            <w:tcW w:w="6660" w:type="dxa"/>
            <w:noWrap w:val="0"/>
            <w:vAlign w:val="top"/>
          </w:tcPr>
          <w:p>
            <w:pPr>
              <w:rPr>
                <w:rFonts w:ascii="宋体" w:hAnsi="宋体"/>
                <w:sz w:val="22"/>
              </w:rPr>
            </w:pPr>
            <w:r>
              <w:rPr>
                <w:rFonts w:hint="eastAsia" w:ascii="宋体" w:hAnsi="宋体"/>
                <w:sz w:val="22"/>
              </w:rPr>
              <w:t>升降、吊装设备无专人日常维护，未按规定定期检验、检查或检查无记录，检验检查出的问题不及时整改的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3.3.28</w:t>
            </w:r>
          </w:p>
        </w:tc>
        <w:tc>
          <w:tcPr>
            <w:tcW w:w="6660" w:type="dxa"/>
            <w:noWrap w:val="0"/>
            <w:vAlign w:val="top"/>
          </w:tcPr>
          <w:p>
            <w:pPr>
              <w:rPr>
                <w:rFonts w:ascii="宋体" w:hAnsi="宋体"/>
                <w:sz w:val="22"/>
              </w:rPr>
            </w:pPr>
            <w:r>
              <w:rPr>
                <w:rFonts w:hint="eastAsia" w:ascii="宋体" w:hAnsi="宋体"/>
                <w:sz w:val="22"/>
              </w:rPr>
              <w:t>违章操作或违章使用升降、吊装设备，超重作业的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3.3.29</w:t>
            </w:r>
          </w:p>
        </w:tc>
        <w:tc>
          <w:tcPr>
            <w:tcW w:w="6660" w:type="dxa"/>
            <w:noWrap w:val="0"/>
            <w:vAlign w:val="top"/>
          </w:tcPr>
          <w:p>
            <w:pPr>
              <w:rPr>
                <w:rFonts w:ascii="宋体" w:hAnsi="宋体"/>
                <w:sz w:val="22"/>
              </w:rPr>
            </w:pPr>
            <w:r>
              <w:rPr>
                <w:rFonts w:hint="eastAsia" w:ascii="宋体" w:hAnsi="宋体"/>
                <w:sz w:val="22"/>
              </w:rPr>
              <w:t>移动式吊装装置不符合设计、方案和规范要求，存在安全隐患的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3.3.30</w:t>
            </w:r>
          </w:p>
        </w:tc>
        <w:tc>
          <w:tcPr>
            <w:tcW w:w="6660" w:type="dxa"/>
            <w:noWrap w:val="0"/>
            <w:vAlign w:val="top"/>
          </w:tcPr>
          <w:p>
            <w:pPr>
              <w:rPr>
                <w:rFonts w:ascii="宋体" w:hAnsi="宋体"/>
                <w:sz w:val="22"/>
              </w:rPr>
            </w:pPr>
            <w:r>
              <w:rPr>
                <w:rFonts w:hint="eastAsia" w:ascii="宋体" w:hAnsi="宋体"/>
                <w:sz w:val="22"/>
              </w:rPr>
              <w:t>钢丝绳、绳卡、地锚等不符合规范和安全要求</w:t>
            </w:r>
            <w:r>
              <w:rPr>
                <w:rFonts w:ascii="宋体" w:hAnsi="宋体"/>
                <w:sz w:val="22"/>
              </w:rPr>
              <w:t>,</w:t>
            </w:r>
            <w:r>
              <w:rPr>
                <w:rFonts w:hint="eastAsia" w:ascii="宋体" w:hAnsi="宋体"/>
                <w:sz w:val="22"/>
              </w:rPr>
              <w:t>或钢丝绳锈蚀、缺油、磨损超标的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3.3.31</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无防风、避雷装置和措施，或防风避雷装置措施不符合要求的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3.3.32</w:t>
            </w:r>
          </w:p>
        </w:tc>
        <w:tc>
          <w:tcPr>
            <w:tcW w:w="6660" w:type="dxa"/>
            <w:noWrap w:val="0"/>
            <w:vAlign w:val="top"/>
          </w:tcPr>
          <w:p>
            <w:pPr>
              <w:rPr>
                <w:rFonts w:ascii="宋体" w:hAnsi="宋体"/>
                <w:sz w:val="22"/>
              </w:rPr>
            </w:pPr>
            <w:r>
              <w:rPr>
                <w:rFonts w:hint="eastAsia" w:ascii="宋体" w:hAnsi="宋体"/>
                <w:sz w:val="22"/>
              </w:rPr>
              <w:t>各类用电设施、设备、施工机具未做保护接零、无漏电保护装置的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3.3.33</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机具、设备使用无安全防护装置或保险装置的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3.3.34</w:t>
            </w:r>
          </w:p>
        </w:tc>
        <w:tc>
          <w:tcPr>
            <w:tcW w:w="6660" w:type="dxa"/>
            <w:noWrap w:val="0"/>
            <w:vAlign w:val="top"/>
          </w:tcPr>
          <w:p>
            <w:pPr>
              <w:rPr>
                <w:rFonts w:ascii="宋体" w:hAnsi="宋体"/>
                <w:sz w:val="22"/>
              </w:rPr>
            </w:pPr>
            <w:r>
              <w:rPr>
                <w:rFonts w:hint="eastAsia" w:ascii="宋体" w:hAnsi="宋体"/>
                <w:sz w:val="22"/>
              </w:rPr>
              <w:t>使用Ⅰ类手持电动工具不按规定穿戴绝缘用品的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3.3.35</w:t>
            </w:r>
          </w:p>
        </w:tc>
        <w:tc>
          <w:tcPr>
            <w:tcW w:w="6660" w:type="dxa"/>
            <w:noWrap w:val="0"/>
            <w:vAlign w:val="top"/>
          </w:tcPr>
          <w:p>
            <w:pPr>
              <w:rPr>
                <w:rFonts w:ascii="宋体" w:hAnsi="宋体"/>
                <w:sz w:val="22"/>
              </w:rPr>
            </w:pPr>
            <w:r>
              <w:rPr>
                <w:rFonts w:hint="eastAsia" w:ascii="宋体" w:hAnsi="宋体"/>
                <w:sz w:val="22"/>
              </w:rPr>
              <w:t>施工机具无人操作时未切断电源的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3.3.36</w:t>
            </w:r>
          </w:p>
        </w:tc>
        <w:tc>
          <w:tcPr>
            <w:tcW w:w="6660" w:type="dxa"/>
            <w:noWrap w:val="0"/>
            <w:vAlign w:val="top"/>
          </w:tcPr>
          <w:p>
            <w:pPr>
              <w:rPr>
                <w:rFonts w:ascii="宋体" w:hAnsi="宋体"/>
                <w:sz w:val="22"/>
              </w:rPr>
            </w:pPr>
            <w:r>
              <w:rPr>
                <w:rFonts w:hint="eastAsia" w:ascii="宋体" w:hAnsi="宋体"/>
                <w:sz w:val="22"/>
              </w:rPr>
              <w:t>电焊机无防雨罩的，焊把线接头超过</w:t>
            </w:r>
            <w:r>
              <w:rPr>
                <w:rFonts w:ascii="宋体" w:hAnsi="宋体"/>
                <w:sz w:val="22"/>
              </w:rPr>
              <w:t>3</w:t>
            </w:r>
            <w:r>
              <w:rPr>
                <w:rFonts w:hint="eastAsia" w:ascii="宋体" w:hAnsi="宋体"/>
                <w:sz w:val="22"/>
              </w:rPr>
              <w:t>处或绝缘老化的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3.3.37</w:t>
            </w:r>
          </w:p>
        </w:tc>
        <w:tc>
          <w:tcPr>
            <w:tcW w:w="6660" w:type="dxa"/>
            <w:noWrap w:val="0"/>
            <w:vAlign w:val="top"/>
          </w:tcPr>
          <w:p>
            <w:pPr>
              <w:rPr>
                <w:rFonts w:ascii="宋体" w:hAnsi="宋体"/>
                <w:sz w:val="22"/>
              </w:rPr>
            </w:pPr>
            <w:r>
              <w:rPr>
                <w:rFonts w:hint="eastAsia" w:ascii="宋体" w:hAnsi="宋体"/>
                <w:sz w:val="22"/>
              </w:rPr>
              <w:t>各机械作业场所无防雨棚和作业台不安全的</w:t>
            </w:r>
          </w:p>
        </w:tc>
        <w:tc>
          <w:tcPr>
            <w:tcW w:w="720" w:type="dxa"/>
            <w:noWrap w:val="0"/>
            <w:vAlign w:val="center"/>
          </w:tcPr>
          <w:p>
            <w:pPr>
              <w:rPr>
                <w:rFonts w:ascii="宋体" w:hAnsi="宋体"/>
                <w:sz w:val="22"/>
              </w:rPr>
            </w:pPr>
            <w:r>
              <w:rPr>
                <w:rFonts w:hint="eastAsia" w:ascii="宋体" w:hAnsi="宋体"/>
                <w:sz w:val="22"/>
              </w:rPr>
              <w:t>建标</w:t>
            </w:r>
          </w:p>
        </w:tc>
        <w:tc>
          <w:tcPr>
            <w:tcW w:w="1440" w:type="dxa"/>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3.4</w:t>
            </w:r>
          </w:p>
        </w:tc>
        <w:tc>
          <w:tcPr>
            <w:tcW w:w="6660" w:type="dxa"/>
            <w:noWrap w:val="0"/>
            <w:vAlign w:val="top"/>
          </w:tcPr>
          <w:p>
            <w:pPr>
              <w:rPr>
                <w:rFonts w:ascii="宋体" w:hAnsi="宋体"/>
                <w:sz w:val="22"/>
              </w:rPr>
            </w:pPr>
            <w:r>
              <w:rPr>
                <w:rFonts w:hint="eastAsia" w:ascii="宋体" w:hAnsi="宋体"/>
                <w:sz w:val="22"/>
              </w:rPr>
              <w:t>现场安全管理</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3.4.1</w:t>
            </w:r>
          </w:p>
        </w:tc>
        <w:tc>
          <w:tcPr>
            <w:tcW w:w="6660" w:type="dxa"/>
            <w:noWrap w:val="0"/>
            <w:vAlign w:val="top"/>
          </w:tcPr>
          <w:p>
            <w:pPr>
              <w:rPr>
                <w:rFonts w:ascii="宋体" w:hAnsi="宋体"/>
                <w:sz w:val="22"/>
              </w:rPr>
            </w:pPr>
            <w:r>
              <w:rPr>
                <w:rFonts w:hint="eastAsia" w:ascii="宋体" w:hAnsi="宋体"/>
                <w:sz w:val="22"/>
              </w:rPr>
              <w:t>各类操作人员无证上岗的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3.4.2</w:t>
            </w:r>
          </w:p>
        </w:tc>
        <w:tc>
          <w:tcPr>
            <w:tcW w:w="6660" w:type="dxa"/>
            <w:noWrap w:val="0"/>
            <w:vAlign w:val="top"/>
          </w:tcPr>
          <w:p>
            <w:pPr>
              <w:rPr>
                <w:rFonts w:ascii="宋体" w:hAnsi="宋体"/>
                <w:sz w:val="22"/>
              </w:rPr>
            </w:pPr>
            <w:r>
              <w:rPr>
                <w:rFonts w:hint="eastAsia" w:ascii="宋体" w:hAnsi="宋体"/>
                <w:sz w:val="22"/>
              </w:rPr>
              <w:t>专业性较强、危险性较大施工作业，现场无专业人员、安全管理人员旁站看护的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3.4.3</w:t>
            </w:r>
          </w:p>
        </w:tc>
        <w:tc>
          <w:tcPr>
            <w:tcW w:w="6660" w:type="dxa"/>
            <w:noWrap w:val="0"/>
            <w:vAlign w:val="top"/>
          </w:tcPr>
          <w:p>
            <w:pPr>
              <w:rPr>
                <w:rFonts w:ascii="宋体" w:hAnsi="宋体"/>
                <w:sz w:val="22"/>
              </w:rPr>
            </w:pPr>
            <w:r>
              <w:rPr>
                <w:rFonts w:hint="eastAsia" w:ascii="宋体" w:hAnsi="宋体"/>
                <w:sz w:val="22"/>
              </w:rPr>
              <w:t>作业人员不服管理、违反规章制度和操作规程冒险作业的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3.4.4</w:t>
            </w:r>
          </w:p>
        </w:tc>
        <w:tc>
          <w:tcPr>
            <w:tcW w:w="6660" w:type="dxa"/>
            <w:noWrap w:val="0"/>
            <w:vAlign w:val="top"/>
          </w:tcPr>
          <w:p>
            <w:pPr>
              <w:rPr>
                <w:rFonts w:ascii="宋体" w:hAnsi="宋体"/>
                <w:sz w:val="22"/>
              </w:rPr>
            </w:pPr>
            <w:r>
              <w:rPr>
                <w:rFonts w:hint="eastAsia" w:ascii="宋体" w:hAnsi="宋体"/>
                <w:sz w:val="22"/>
              </w:rPr>
              <w:t>施工人员不戴安全帽、高处作业人员不系安全带或不按要求系安全带</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3.4.5</w:t>
            </w:r>
          </w:p>
        </w:tc>
        <w:tc>
          <w:tcPr>
            <w:tcW w:w="6660" w:type="dxa"/>
            <w:noWrap w:val="0"/>
            <w:vAlign w:val="top"/>
          </w:tcPr>
          <w:p>
            <w:pPr>
              <w:rPr>
                <w:rFonts w:ascii="宋体" w:hAnsi="宋体"/>
                <w:sz w:val="22"/>
              </w:rPr>
            </w:pPr>
            <w:r>
              <w:rPr>
                <w:rFonts w:hint="eastAsia" w:ascii="宋体" w:hAnsi="宋体"/>
                <w:sz w:val="22"/>
              </w:rPr>
              <w:t>现场未按规定采取设置安全网等保障措施的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3.4.6</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施工人员在施工现场抽烟的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3.5</w:t>
            </w:r>
          </w:p>
        </w:tc>
        <w:tc>
          <w:tcPr>
            <w:tcW w:w="6660" w:type="dxa"/>
            <w:noWrap w:val="0"/>
            <w:vAlign w:val="top"/>
          </w:tcPr>
          <w:p>
            <w:pPr>
              <w:rPr>
                <w:rFonts w:ascii="宋体" w:hAnsi="宋体"/>
                <w:sz w:val="22"/>
              </w:rPr>
            </w:pPr>
            <w:r>
              <w:rPr>
                <w:rFonts w:hint="eastAsia" w:ascii="宋体" w:hAnsi="宋体"/>
                <w:sz w:val="22"/>
              </w:rPr>
              <w:t>施工用电</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3.5.1</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外电小于安全距离无防护措施、防护措施不符合要求的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3.5.2</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未采用</w:t>
            </w:r>
            <w:r>
              <w:rPr>
                <w:rFonts w:ascii="宋体" w:hAnsi="宋体"/>
                <w:sz w:val="22"/>
              </w:rPr>
              <w:t>TN—S</w:t>
            </w:r>
            <w:r>
              <w:rPr>
                <w:rFonts w:hint="eastAsia" w:ascii="宋体" w:hAnsi="宋体"/>
                <w:sz w:val="22"/>
              </w:rPr>
              <w:t>接零保护系统的、三级漏电保护系统的；专用保护零线（</w:t>
            </w:r>
            <w:r>
              <w:rPr>
                <w:rFonts w:ascii="宋体" w:hAnsi="宋体"/>
                <w:sz w:val="22"/>
              </w:rPr>
              <w:t>PE</w:t>
            </w:r>
            <w:r>
              <w:rPr>
                <w:rFonts w:hint="eastAsia" w:ascii="宋体" w:hAnsi="宋体"/>
                <w:sz w:val="22"/>
              </w:rPr>
              <w:t>线）设置不符合要求的、或保护零线（</w:t>
            </w:r>
            <w:r>
              <w:rPr>
                <w:rFonts w:ascii="宋体" w:hAnsi="宋体"/>
                <w:sz w:val="22"/>
              </w:rPr>
              <w:t>PE</w:t>
            </w:r>
            <w:r>
              <w:rPr>
                <w:rFonts w:hint="eastAsia" w:ascii="宋体" w:hAnsi="宋体"/>
                <w:sz w:val="22"/>
              </w:rPr>
              <w:t>线）与工作零线（</w:t>
            </w:r>
            <w:r>
              <w:rPr>
                <w:rFonts w:ascii="宋体" w:hAnsi="宋体"/>
                <w:sz w:val="22"/>
              </w:rPr>
              <w:t>N</w:t>
            </w:r>
            <w:r>
              <w:rPr>
                <w:rFonts w:hint="eastAsia" w:ascii="宋体" w:hAnsi="宋体"/>
                <w:sz w:val="22"/>
              </w:rPr>
              <w:t>线）混接的；纯动力电未用四芯电缆的，动力带照明电未使用五芯电缆的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3.5.3</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开关箱</w:t>
            </w:r>
            <w:r>
              <w:rPr>
                <w:rFonts w:ascii="宋体" w:hAnsi="宋体"/>
                <w:sz w:val="22"/>
              </w:rPr>
              <w:t>(</w:t>
            </w:r>
            <w:r>
              <w:rPr>
                <w:rFonts w:hint="eastAsia" w:ascii="宋体" w:hAnsi="宋体"/>
                <w:sz w:val="22"/>
              </w:rPr>
              <w:t>末级</w:t>
            </w:r>
            <w:r>
              <w:rPr>
                <w:rFonts w:ascii="宋体" w:hAnsi="宋体"/>
                <w:sz w:val="22"/>
              </w:rPr>
              <w:t>)</w:t>
            </w:r>
            <w:r>
              <w:rPr>
                <w:rFonts w:hint="eastAsia" w:ascii="宋体" w:hAnsi="宋体"/>
                <w:sz w:val="22"/>
              </w:rPr>
              <w:t>无漏电保护或保护器失灵、漏电保护装置参数不匹配</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3.5.4</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违反“</w:t>
            </w:r>
            <w:r>
              <w:rPr>
                <w:rFonts w:ascii="宋体" w:hAnsi="宋体"/>
                <w:sz w:val="22"/>
              </w:rPr>
              <w:t>—</w:t>
            </w:r>
            <w:r>
              <w:rPr>
                <w:rFonts w:hint="eastAsia" w:ascii="宋体" w:hAnsi="宋体"/>
                <w:sz w:val="22"/>
              </w:rPr>
              <w:t>机、一闸、一漏、一箱”的配置原则</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3.5.5</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安装位置不当、周围杂物多不便操作、存在安全隐患</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3.5.6</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电箱下引出线混乱、配电箱内多路配电无标记的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3.5.7</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电箱无门、无锁、无防雨措施或无责任人的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3.5.8</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室内线路及灯具安全高度低于</w:t>
            </w:r>
            <w:r>
              <w:rPr>
                <w:rFonts w:ascii="宋体" w:hAnsi="宋体"/>
                <w:sz w:val="22"/>
              </w:rPr>
              <w:t>2.4m</w:t>
            </w:r>
            <w:r>
              <w:rPr>
                <w:rFonts w:hint="eastAsia" w:ascii="宋体" w:hAnsi="宋体"/>
                <w:sz w:val="22"/>
              </w:rPr>
              <w:t>未使用安全电压供电的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3.5.9</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潮湿作业环境中未使用</w:t>
            </w:r>
            <w:r>
              <w:rPr>
                <w:rFonts w:ascii="宋体" w:hAnsi="宋体"/>
                <w:sz w:val="22"/>
              </w:rPr>
              <w:t>36v</w:t>
            </w:r>
            <w:r>
              <w:rPr>
                <w:rFonts w:hint="eastAsia" w:ascii="宋体" w:hAnsi="宋体"/>
                <w:sz w:val="22"/>
              </w:rPr>
              <w:t>以下安全电压照明灯具的、手持照明灯未使用</w:t>
            </w:r>
            <w:r>
              <w:rPr>
                <w:rFonts w:ascii="宋体" w:hAnsi="宋体"/>
                <w:sz w:val="22"/>
              </w:rPr>
              <w:t>36v</w:t>
            </w:r>
            <w:r>
              <w:rPr>
                <w:rFonts w:hint="eastAsia" w:ascii="宋体" w:hAnsi="宋体"/>
                <w:sz w:val="22"/>
              </w:rPr>
              <w:t>及以下电源供电</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3.5.10</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电线老化、破皮、未按规范包扎的、电线私拉乱接、无过路保护的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3.5.11</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电杆、横担、架空线路不符合施工规范要求</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3.5.12</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无用电管理档案、无接地极阻值摇测记录、电工巡视维修记录或填写不真实的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消防安全与危险品管理</w:t>
            </w:r>
          </w:p>
        </w:tc>
        <w:tc>
          <w:tcPr>
            <w:tcW w:w="720" w:type="dxa"/>
            <w:tcBorders>
              <w:top w:val="single" w:color="auto" w:sz="2" w:space="0"/>
            </w:tcBorders>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4.1</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未制定消防安全管理规章制度或规章制度不健全的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4.2</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未制定各工种用火、用电、使用易燃材料等各项消防安全操作规程的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4.3</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未健全消防安全网络（配备专职或兼职消防员），并报备的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4.4</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无专（兼）职义务消防队，或消防队员未掌握基本消防知识和操作技能的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4.5</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未制定灭火和应急疏散预案并开展消防应急演练的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4.6</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未组织开展各类防火检查，并及时采取措施整改发现的隐患、问题的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4.7</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对重大消防安全隐患未能及时整改、处理的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4.8</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未建立消防安全管理台帐或台帐缺失的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4.9</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未组织开展消防安全知识教育培训，施工人员不了解本岗位防火措施、遇险报警、初期扑救及自救逃生的知识和技能的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4.10</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施工现场未设置必要足够安全疏散指示标志、防火禁烟标志机场火警电话的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4.11</w:t>
            </w:r>
          </w:p>
        </w:tc>
        <w:tc>
          <w:tcPr>
            <w:tcW w:w="6660" w:type="dxa"/>
            <w:noWrap w:val="0"/>
            <w:vAlign w:val="top"/>
          </w:tcPr>
          <w:p>
            <w:pPr>
              <w:rPr>
                <w:rFonts w:ascii="宋体" w:hAnsi="宋体"/>
                <w:sz w:val="22"/>
              </w:rPr>
            </w:pPr>
            <w:r>
              <w:rPr>
                <w:rFonts w:hint="eastAsia" w:ascii="宋体" w:hAnsi="宋体"/>
                <w:sz w:val="22"/>
              </w:rPr>
              <w:t>重点消防部位无人看护或巡视、无消防警示标志牌，值守巡视人员脱岗或不履行职责的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4.12</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易燃、易爆物品不按规定进行分类存放或管理不善、无人看护、管理的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4.13</w:t>
            </w:r>
          </w:p>
        </w:tc>
        <w:tc>
          <w:tcPr>
            <w:tcW w:w="6660" w:type="dxa"/>
            <w:noWrap w:val="0"/>
            <w:vAlign w:val="top"/>
          </w:tcPr>
          <w:p>
            <w:pPr>
              <w:rPr>
                <w:rFonts w:ascii="宋体" w:hAnsi="宋体"/>
                <w:sz w:val="22"/>
              </w:rPr>
            </w:pPr>
            <w:r>
              <w:rPr>
                <w:rFonts w:hint="eastAsia" w:ascii="宋体" w:hAnsi="宋体"/>
                <w:sz w:val="22"/>
              </w:rPr>
              <w:t>未设或侵占疏散通道、安全出口、消防通道，或通道出口不畅通、应急照明不符合规定的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4.14</w:t>
            </w:r>
          </w:p>
        </w:tc>
        <w:tc>
          <w:tcPr>
            <w:tcW w:w="6660" w:type="dxa"/>
            <w:noWrap w:val="0"/>
            <w:vAlign w:val="top"/>
          </w:tcPr>
          <w:p>
            <w:pPr>
              <w:rPr>
                <w:rFonts w:ascii="宋体" w:hAnsi="宋体"/>
                <w:sz w:val="22"/>
              </w:rPr>
            </w:pPr>
            <w:r>
              <w:rPr>
                <w:rFonts w:hint="eastAsia" w:ascii="宋体" w:hAnsi="宋体"/>
                <w:sz w:val="22"/>
              </w:rPr>
              <w:t>工地现场未设置消火水源（消火栓）或消火水源不齐全、不合理，不能满足消防要求的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4.15</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工地现场灭火器、灭火砂、水桶、铁锹等消防设施、器材配置不全、不足、失效，或被遮挡影响使用，或被挪作他用的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4.16</w:t>
            </w:r>
          </w:p>
        </w:tc>
        <w:tc>
          <w:tcPr>
            <w:tcW w:w="6660" w:type="dxa"/>
            <w:noWrap w:val="0"/>
            <w:vAlign w:val="top"/>
          </w:tcPr>
          <w:p>
            <w:pPr>
              <w:rPr>
                <w:rFonts w:ascii="宋体" w:hAnsi="宋体"/>
                <w:sz w:val="22"/>
              </w:rPr>
            </w:pPr>
            <w:r>
              <w:rPr>
                <w:rFonts w:hint="eastAsia" w:ascii="宋体" w:hAnsi="宋体"/>
                <w:sz w:val="22"/>
              </w:rPr>
              <w:t>灭火器材无专人维护、保养、检查和登记管理的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4.17</w:t>
            </w:r>
          </w:p>
        </w:tc>
        <w:tc>
          <w:tcPr>
            <w:tcW w:w="6660" w:type="dxa"/>
            <w:noWrap w:val="0"/>
            <w:vAlign w:val="top"/>
          </w:tcPr>
          <w:p>
            <w:pPr>
              <w:rPr>
                <w:rFonts w:ascii="宋体" w:hAnsi="宋体"/>
                <w:sz w:val="22"/>
              </w:rPr>
            </w:pPr>
            <w:r>
              <w:rPr>
                <w:rFonts w:hint="eastAsia" w:ascii="宋体" w:hAnsi="宋体"/>
                <w:sz w:val="22"/>
              </w:rPr>
              <w:t>违章关闭消防设施、切断电源或挪用消防灭火器材的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4.18</w:t>
            </w:r>
          </w:p>
        </w:tc>
        <w:tc>
          <w:tcPr>
            <w:tcW w:w="6660" w:type="dxa"/>
            <w:noWrap w:val="0"/>
            <w:vAlign w:val="top"/>
          </w:tcPr>
          <w:p>
            <w:pPr>
              <w:rPr>
                <w:rFonts w:ascii="宋体" w:hAnsi="宋体"/>
                <w:sz w:val="22"/>
              </w:rPr>
            </w:pPr>
            <w:r>
              <w:rPr>
                <w:rFonts w:hint="eastAsia" w:ascii="宋体" w:hAnsi="宋体"/>
                <w:sz w:val="22"/>
              </w:rPr>
              <w:t>动火作业未经机场公安消防管理部门审查批准的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4.19</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施工现场未及时清理地面可燃物，动火作业未清理地面可燃物的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4.20</w:t>
            </w:r>
          </w:p>
        </w:tc>
        <w:tc>
          <w:tcPr>
            <w:tcW w:w="6660" w:type="dxa"/>
            <w:noWrap w:val="0"/>
            <w:vAlign w:val="top"/>
          </w:tcPr>
          <w:p>
            <w:pPr>
              <w:rPr>
                <w:rFonts w:ascii="宋体" w:hAnsi="宋体"/>
                <w:sz w:val="22"/>
              </w:rPr>
            </w:pPr>
            <w:r>
              <w:rPr>
                <w:rFonts w:hint="eastAsia" w:ascii="宋体" w:hAnsi="宋体"/>
                <w:sz w:val="22"/>
              </w:rPr>
              <w:t>动火作业无接火盆、现场无看火人、灭火器材配备不足、过期、失效的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4.21</w:t>
            </w:r>
          </w:p>
        </w:tc>
        <w:tc>
          <w:tcPr>
            <w:tcW w:w="6660" w:type="dxa"/>
            <w:noWrap w:val="0"/>
            <w:vAlign w:val="top"/>
          </w:tcPr>
          <w:p>
            <w:pPr>
              <w:rPr>
                <w:rFonts w:ascii="宋体" w:hAnsi="宋体"/>
                <w:sz w:val="22"/>
              </w:rPr>
            </w:pPr>
            <w:r>
              <w:rPr>
                <w:rFonts w:hint="eastAsia" w:ascii="宋体" w:hAnsi="宋体"/>
                <w:sz w:val="22"/>
              </w:rPr>
              <w:t>动火作业火花隔层溅落未采取有效安全措施的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4.22</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气瓶无标准色标，无防震圈和防护帽的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4.23</w:t>
            </w:r>
          </w:p>
        </w:tc>
        <w:tc>
          <w:tcPr>
            <w:tcW w:w="6660" w:type="dxa"/>
            <w:noWrap w:val="0"/>
            <w:vAlign w:val="top"/>
          </w:tcPr>
          <w:p>
            <w:pPr>
              <w:rPr>
                <w:rFonts w:ascii="宋体" w:hAnsi="宋体"/>
                <w:sz w:val="22"/>
              </w:rPr>
            </w:pPr>
            <w:r>
              <w:rPr>
                <w:rFonts w:hint="eastAsia" w:ascii="宋体" w:hAnsi="宋体"/>
                <w:sz w:val="22"/>
              </w:rPr>
              <w:t>气瓶横放或气瓶间距小于</w:t>
            </w:r>
            <w:r>
              <w:rPr>
                <w:rFonts w:ascii="宋体" w:hAnsi="宋体"/>
                <w:sz w:val="22"/>
              </w:rPr>
              <w:t>5</w:t>
            </w:r>
            <w:r>
              <w:rPr>
                <w:rFonts w:hint="eastAsia" w:ascii="宋体" w:hAnsi="宋体"/>
                <w:sz w:val="22"/>
              </w:rPr>
              <w:t>米、距明火小于</w:t>
            </w:r>
            <w:r>
              <w:rPr>
                <w:rFonts w:ascii="宋体" w:hAnsi="宋体"/>
                <w:sz w:val="22"/>
              </w:rPr>
              <w:t>10</w:t>
            </w:r>
            <w:r>
              <w:rPr>
                <w:rFonts w:hint="eastAsia" w:ascii="宋体" w:hAnsi="宋体"/>
                <w:sz w:val="22"/>
              </w:rPr>
              <w:t>米又无隔离措施的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4.24</w:t>
            </w:r>
          </w:p>
        </w:tc>
        <w:tc>
          <w:tcPr>
            <w:tcW w:w="6660" w:type="dxa"/>
            <w:noWrap w:val="0"/>
            <w:vAlign w:val="top"/>
          </w:tcPr>
          <w:p>
            <w:pPr>
              <w:rPr>
                <w:rFonts w:ascii="宋体" w:hAnsi="宋体"/>
                <w:sz w:val="22"/>
              </w:rPr>
            </w:pPr>
            <w:r>
              <w:rPr>
                <w:rFonts w:hint="eastAsia" w:ascii="宋体" w:hAnsi="宋体"/>
                <w:sz w:val="22"/>
              </w:rPr>
              <w:t>乙炔瓶使用或存放时平放或不按规定存放的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4.25</w:t>
            </w:r>
          </w:p>
        </w:tc>
        <w:tc>
          <w:tcPr>
            <w:tcW w:w="6660" w:type="dxa"/>
            <w:noWrap w:val="0"/>
            <w:vAlign w:val="top"/>
          </w:tcPr>
          <w:p>
            <w:pPr>
              <w:rPr>
                <w:rFonts w:ascii="宋体" w:hAnsi="宋体"/>
                <w:sz w:val="22"/>
              </w:rPr>
            </w:pPr>
            <w:r>
              <w:rPr>
                <w:rFonts w:hint="eastAsia" w:ascii="宋体" w:hAnsi="宋体"/>
                <w:sz w:val="22"/>
              </w:rPr>
              <w:t>发生其它违反国家消防法律法规，消防安全管理规章制度现象的</w:t>
            </w:r>
          </w:p>
        </w:tc>
        <w:tc>
          <w:tcPr>
            <w:tcW w:w="720" w:type="dxa"/>
            <w:noWrap w:val="0"/>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文明施工</w:t>
            </w:r>
          </w:p>
        </w:tc>
        <w:tc>
          <w:tcPr>
            <w:tcW w:w="720" w:type="dxa"/>
            <w:tcBorders>
              <w:bottom w:val="single" w:color="auto" w:sz="2" w:space="0"/>
            </w:tcBorders>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施工工地未按照投标承诺实行标化管理的要求进行建设和管理的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5.2</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施工现场未建立生活设施、管理制度和日常检查、考核制度。</w:t>
            </w:r>
            <w:r>
              <w:rPr>
                <w:rFonts w:ascii="宋体" w:hAnsi="宋体"/>
                <w:sz w:val="22"/>
              </w:rPr>
              <w:t xml:space="preserve"> </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5.3</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建筑材料、构件、料具堆放零乱，堆放不齐，未标名品、种型的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5.4</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工地道路不做硬化处理，工地地面无绿化，道面任意占用、工地内道路不畅通的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5.5</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施工现场无排水设施或排水不全、不通畅的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5.6</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无防止泥浆、污水、废水外流或堵塞下水道和排水河道措施的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5.7</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工地地面（楼层面）存在积水、积雪现象的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5.8</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施工现场、周围的建筑和生活垃圾不及时清扫、清运和处理或现场焚烧垃圾、有毒有害物质的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5.9</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施工现场临时厕所设置不足或不符合卫生要求的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5.10</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施工人员随地大小便的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5.11</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未做到工完场地清的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5.12</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不按规定高度、材质及美观要求设置工地围挡、围墙的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5.13</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不按规定对工地现场实施封闭管理的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5.14</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无门卫和无门卫制度，或门卫制度执行不严格，存在人员、车辆无证任意进出的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5.15</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现场未按安全标志总平面图设置安全标志的，或安全标志、警示标志残缺不全的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noWrap w:val="0"/>
            <w:vAlign w:val="center"/>
          </w:tcPr>
          <w:p>
            <w:pPr>
              <w:rPr>
                <w:rFonts w:ascii="宋体" w:hAnsi="宋体"/>
                <w:sz w:val="22"/>
              </w:rPr>
            </w:pPr>
            <w:r>
              <w:rPr>
                <w:rFonts w:ascii="宋体" w:hAnsi="宋体"/>
                <w:sz w:val="22"/>
              </w:rPr>
              <w:t>5.16</w:t>
            </w:r>
          </w:p>
        </w:tc>
        <w:tc>
          <w:tcPr>
            <w:tcW w:w="6660" w:type="dxa"/>
            <w:tcBorders>
              <w:bottom w:val="single" w:color="auto" w:sz="2" w:space="0"/>
            </w:tcBorders>
            <w:noWrap w:val="0"/>
            <w:vAlign w:val="top"/>
          </w:tcPr>
          <w:p>
            <w:pPr>
              <w:rPr>
                <w:rFonts w:ascii="宋体" w:hAnsi="宋体"/>
                <w:sz w:val="22"/>
              </w:rPr>
            </w:pPr>
            <w:r>
              <w:rPr>
                <w:rFonts w:hint="eastAsia" w:ascii="宋体" w:hAnsi="宋体"/>
                <w:sz w:val="22"/>
              </w:rPr>
              <w:t>夜间施工照明设施不足、无现场管理员和安全员看护，存在安全隐患的</w:t>
            </w:r>
          </w:p>
        </w:tc>
        <w:tc>
          <w:tcPr>
            <w:tcW w:w="720" w:type="dxa"/>
            <w:tcBorders>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w:t>
            </w:r>
          </w:p>
        </w:tc>
        <w:tc>
          <w:tcPr>
            <w:tcW w:w="6660" w:type="dxa"/>
            <w:noWrap w:val="0"/>
            <w:vAlign w:val="top"/>
          </w:tcPr>
          <w:p>
            <w:pPr>
              <w:rPr>
                <w:rFonts w:ascii="宋体" w:hAnsi="宋体"/>
                <w:sz w:val="22"/>
              </w:rPr>
            </w:pPr>
            <w:r>
              <w:rPr>
                <w:rFonts w:hint="eastAsia" w:ascii="宋体" w:hAnsi="宋体"/>
                <w:sz w:val="22"/>
              </w:rPr>
              <w:t>临时宿舍管理</w:t>
            </w:r>
          </w:p>
        </w:tc>
        <w:tc>
          <w:tcPr>
            <w:tcW w:w="720" w:type="dxa"/>
            <w:noWrap w:val="0"/>
            <w:vAlign w:val="center"/>
          </w:tcPr>
          <w:p>
            <w:pPr>
              <w:rPr>
                <w:rFonts w:ascii="宋体" w:hAnsi="宋体"/>
                <w:sz w:val="22"/>
              </w:rPr>
            </w:pPr>
          </w:p>
        </w:tc>
        <w:tc>
          <w:tcPr>
            <w:tcW w:w="1440" w:type="dxa"/>
            <w:tcBorders>
              <w:top w:val="single" w:color="auto" w:sz="2" w:space="0"/>
              <w:bottom w:val="single" w:color="auto" w:sz="2" w:space="0"/>
            </w:tcBorders>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w:t>
            </w:r>
          </w:p>
        </w:tc>
        <w:tc>
          <w:tcPr>
            <w:tcW w:w="6660" w:type="dxa"/>
            <w:noWrap w:val="0"/>
            <w:vAlign w:val="top"/>
          </w:tcPr>
          <w:p>
            <w:pPr>
              <w:rPr>
                <w:rFonts w:ascii="宋体" w:hAnsi="宋体"/>
                <w:sz w:val="22"/>
              </w:rPr>
            </w:pPr>
            <w:r>
              <w:rPr>
                <w:rFonts w:hint="eastAsia" w:ascii="宋体" w:hAnsi="宋体"/>
                <w:sz w:val="22"/>
              </w:rPr>
              <w:t>宿舍区管理制度不健全，未落实日常管理责任人</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6.2</w:t>
            </w:r>
          </w:p>
        </w:tc>
        <w:tc>
          <w:tcPr>
            <w:tcW w:w="6660" w:type="dxa"/>
            <w:noWrap w:val="0"/>
            <w:vAlign w:val="top"/>
          </w:tcPr>
          <w:p>
            <w:pPr>
              <w:rPr>
                <w:rFonts w:ascii="宋体" w:hAnsi="宋体"/>
                <w:sz w:val="22"/>
              </w:rPr>
            </w:pPr>
            <w:r>
              <w:rPr>
                <w:rFonts w:hint="eastAsia" w:ascii="宋体" w:hAnsi="宋体"/>
                <w:sz w:val="22"/>
              </w:rPr>
              <w:t>宿舍区无专（兼）职治安、防火、卫生管理监督巡视员</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6.3</w:t>
            </w:r>
          </w:p>
        </w:tc>
        <w:tc>
          <w:tcPr>
            <w:tcW w:w="6660" w:type="dxa"/>
            <w:noWrap w:val="0"/>
            <w:vAlign w:val="top"/>
          </w:tcPr>
          <w:p>
            <w:pPr>
              <w:rPr>
                <w:rFonts w:ascii="宋体" w:hAnsi="宋体"/>
                <w:sz w:val="22"/>
              </w:rPr>
            </w:pPr>
            <w:r>
              <w:rPr>
                <w:rFonts w:hint="eastAsia" w:ascii="宋体" w:hAnsi="宋体"/>
                <w:sz w:val="22"/>
              </w:rPr>
              <w:t>宿舍区未实行封闭管理，留宿外来人员无登记制度、存在男女混居现象的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6.4</w:t>
            </w:r>
          </w:p>
        </w:tc>
        <w:tc>
          <w:tcPr>
            <w:tcW w:w="6660" w:type="dxa"/>
            <w:noWrap w:val="0"/>
            <w:vAlign w:val="top"/>
          </w:tcPr>
          <w:p>
            <w:pPr>
              <w:rPr>
                <w:rFonts w:ascii="宋体" w:hAnsi="宋体"/>
                <w:sz w:val="22"/>
              </w:rPr>
            </w:pPr>
            <w:r>
              <w:rPr>
                <w:rFonts w:hint="eastAsia" w:ascii="宋体" w:hAnsi="宋体"/>
                <w:sz w:val="22"/>
              </w:rPr>
              <w:t>在尚未竣工的建筑物内设置临设的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6.5</w:t>
            </w:r>
          </w:p>
        </w:tc>
        <w:tc>
          <w:tcPr>
            <w:tcW w:w="6660" w:type="dxa"/>
            <w:noWrap w:val="0"/>
            <w:vAlign w:val="top"/>
          </w:tcPr>
          <w:p>
            <w:pPr>
              <w:rPr>
                <w:rFonts w:ascii="宋体" w:hAnsi="宋体"/>
                <w:sz w:val="22"/>
              </w:rPr>
            </w:pPr>
            <w:r>
              <w:rPr>
                <w:rFonts w:hint="eastAsia" w:ascii="宋体" w:hAnsi="宋体"/>
                <w:sz w:val="22"/>
              </w:rPr>
              <w:t>临时宿舍、设施未经验收合格投入使用的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6.6</w:t>
            </w:r>
          </w:p>
        </w:tc>
        <w:tc>
          <w:tcPr>
            <w:tcW w:w="6660" w:type="dxa"/>
            <w:noWrap w:val="0"/>
            <w:vAlign w:val="top"/>
          </w:tcPr>
          <w:p>
            <w:pPr>
              <w:rPr>
                <w:rFonts w:ascii="宋体" w:hAnsi="宋体"/>
                <w:sz w:val="22"/>
              </w:rPr>
            </w:pPr>
            <w:r>
              <w:rPr>
                <w:rFonts w:hint="eastAsia" w:ascii="宋体" w:hAnsi="宋体"/>
                <w:sz w:val="22"/>
              </w:rPr>
              <w:t>临时宿舍、设施无抗大风（</w:t>
            </w:r>
            <w:r>
              <w:rPr>
                <w:rFonts w:ascii="宋体" w:hAnsi="宋体"/>
                <w:sz w:val="22"/>
              </w:rPr>
              <w:t>10</w:t>
            </w:r>
            <w:r>
              <w:rPr>
                <w:rFonts w:hint="eastAsia" w:ascii="宋体" w:hAnsi="宋体"/>
                <w:sz w:val="22"/>
              </w:rPr>
              <w:t>级以上）、防雷击措施的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6.7</w:t>
            </w:r>
          </w:p>
        </w:tc>
        <w:tc>
          <w:tcPr>
            <w:tcW w:w="6660" w:type="dxa"/>
            <w:noWrap w:val="0"/>
            <w:vAlign w:val="top"/>
          </w:tcPr>
          <w:p>
            <w:pPr>
              <w:rPr>
                <w:rFonts w:ascii="宋体" w:hAnsi="宋体"/>
                <w:sz w:val="22"/>
              </w:rPr>
            </w:pPr>
            <w:r>
              <w:rPr>
                <w:rFonts w:hint="eastAsia" w:ascii="宋体" w:hAnsi="宋体"/>
                <w:sz w:val="22"/>
              </w:rPr>
              <w:t>宿舍区消防器材配备不足或失效的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6.8</w:t>
            </w:r>
          </w:p>
        </w:tc>
        <w:tc>
          <w:tcPr>
            <w:tcW w:w="6660" w:type="dxa"/>
            <w:noWrap w:val="0"/>
            <w:vAlign w:val="top"/>
          </w:tcPr>
          <w:p>
            <w:pPr>
              <w:rPr>
                <w:rFonts w:ascii="宋体" w:hAnsi="宋体"/>
                <w:sz w:val="22"/>
              </w:rPr>
            </w:pPr>
            <w:r>
              <w:rPr>
                <w:rFonts w:hint="eastAsia" w:ascii="宋体" w:hAnsi="宋体"/>
                <w:sz w:val="22"/>
              </w:rPr>
              <w:t>宿舍内未设置独立的漏电、短路保护器和足够数量的安全插座，存在私拉乱接电线现象的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008" w:type="dxa"/>
            <w:noWrap w:val="0"/>
            <w:vAlign w:val="center"/>
          </w:tcPr>
          <w:p>
            <w:pPr>
              <w:rPr>
                <w:rFonts w:ascii="宋体" w:hAnsi="宋体"/>
                <w:sz w:val="22"/>
              </w:rPr>
            </w:pPr>
            <w:r>
              <w:rPr>
                <w:rFonts w:ascii="宋体" w:hAnsi="宋体"/>
                <w:sz w:val="22"/>
              </w:rPr>
              <w:t>6.9</w:t>
            </w:r>
          </w:p>
        </w:tc>
        <w:tc>
          <w:tcPr>
            <w:tcW w:w="6660" w:type="dxa"/>
            <w:noWrap w:val="0"/>
            <w:vAlign w:val="top"/>
          </w:tcPr>
          <w:p>
            <w:pPr>
              <w:rPr>
                <w:rFonts w:ascii="宋体" w:hAnsi="宋体"/>
                <w:sz w:val="22"/>
              </w:rPr>
            </w:pPr>
            <w:r>
              <w:rPr>
                <w:rFonts w:hint="eastAsia" w:ascii="宋体" w:hAnsi="宋体"/>
                <w:sz w:val="22"/>
              </w:rPr>
              <w:t>宿舍内（包括值班室）违规使用大功率电器的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6.10</w:t>
            </w:r>
          </w:p>
        </w:tc>
        <w:tc>
          <w:tcPr>
            <w:tcW w:w="6660" w:type="dxa"/>
            <w:noWrap w:val="0"/>
            <w:vAlign w:val="top"/>
          </w:tcPr>
          <w:p>
            <w:pPr>
              <w:rPr>
                <w:rFonts w:ascii="宋体" w:hAnsi="宋体"/>
                <w:sz w:val="22"/>
              </w:rPr>
            </w:pPr>
            <w:r>
              <w:rPr>
                <w:rFonts w:hint="eastAsia" w:ascii="宋体" w:hAnsi="宋体"/>
                <w:sz w:val="22"/>
              </w:rPr>
              <w:t>宿舍内混杂堆放工具、用具、易燃易爆或有毒物品的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6.11</w:t>
            </w:r>
          </w:p>
        </w:tc>
        <w:tc>
          <w:tcPr>
            <w:tcW w:w="6660" w:type="dxa"/>
            <w:noWrap w:val="0"/>
            <w:vAlign w:val="top"/>
          </w:tcPr>
          <w:p>
            <w:pPr>
              <w:rPr>
                <w:rFonts w:ascii="宋体" w:hAnsi="宋体"/>
                <w:sz w:val="22"/>
              </w:rPr>
            </w:pPr>
            <w:r>
              <w:rPr>
                <w:rFonts w:hint="eastAsia" w:ascii="宋体" w:hAnsi="宋体"/>
                <w:sz w:val="22"/>
              </w:rPr>
              <w:t>宿舍内垃圾无人清扫，生活用品放置零乱的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6.12</w:t>
            </w:r>
          </w:p>
        </w:tc>
        <w:tc>
          <w:tcPr>
            <w:tcW w:w="6660" w:type="dxa"/>
            <w:noWrap w:val="0"/>
            <w:vAlign w:val="top"/>
          </w:tcPr>
          <w:p>
            <w:pPr>
              <w:rPr>
                <w:rFonts w:ascii="宋体" w:hAnsi="宋体"/>
                <w:sz w:val="22"/>
              </w:rPr>
            </w:pPr>
            <w:r>
              <w:rPr>
                <w:rFonts w:hint="eastAsia" w:ascii="宋体" w:hAnsi="宋体"/>
                <w:sz w:val="22"/>
              </w:rPr>
              <w:t>无卫生防病宣传教育</w:t>
            </w:r>
            <w:r>
              <w:rPr>
                <w:rFonts w:ascii="宋体" w:hAnsi="宋体"/>
                <w:sz w:val="22"/>
              </w:rPr>
              <w:t>,</w:t>
            </w:r>
            <w:r>
              <w:rPr>
                <w:rFonts w:hint="eastAsia" w:ascii="宋体" w:hAnsi="宋体"/>
                <w:sz w:val="22"/>
              </w:rPr>
              <w:t>或无保健医药箱、急救器材、急救措施和经培训的急救人员的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6.13</w:t>
            </w:r>
          </w:p>
        </w:tc>
        <w:tc>
          <w:tcPr>
            <w:tcW w:w="6660" w:type="dxa"/>
            <w:noWrap w:val="0"/>
            <w:vAlign w:val="top"/>
          </w:tcPr>
          <w:p>
            <w:pPr>
              <w:rPr>
                <w:rFonts w:ascii="宋体" w:hAnsi="宋体"/>
                <w:sz w:val="22"/>
              </w:rPr>
            </w:pPr>
            <w:r>
              <w:rPr>
                <w:rFonts w:hint="eastAsia" w:ascii="宋体" w:hAnsi="宋体"/>
                <w:sz w:val="22"/>
              </w:rPr>
              <w:t>食堂卫生管理制度不全，管理不善，设施不全，卫生不符合要求，未按要求设置足够数量开水炉、电热水器或饮用水保温桶等基本生活设施的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6.14</w:t>
            </w:r>
          </w:p>
        </w:tc>
        <w:tc>
          <w:tcPr>
            <w:tcW w:w="6660" w:type="dxa"/>
            <w:noWrap w:val="0"/>
            <w:vAlign w:val="top"/>
          </w:tcPr>
          <w:p>
            <w:pPr>
              <w:rPr>
                <w:rFonts w:ascii="宋体" w:hAnsi="宋体"/>
                <w:sz w:val="22"/>
              </w:rPr>
            </w:pPr>
            <w:r>
              <w:rPr>
                <w:rFonts w:hint="eastAsia" w:ascii="宋体" w:hAnsi="宋体"/>
                <w:sz w:val="22"/>
              </w:rPr>
              <w:t>宿舍区未提供为作业人员晾晒衣物的场地和设施</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008" w:type="dxa"/>
            <w:tcBorders>
              <w:top w:val="single" w:color="auto" w:sz="2" w:space="0"/>
            </w:tcBorders>
            <w:noWrap w:val="0"/>
            <w:vAlign w:val="center"/>
          </w:tcPr>
          <w:p>
            <w:pPr>
              <w:rPr>
                <w:rFonts w:ascii="宋体" w:hAnsi="宋体"/>
                <w:sz w:val="22"/>
              </w:rPr>
            </w:pPr>
            <w:r>
              <w:rPr>
                <w:rFonts w:ascii="宋体" w:hAnsi="宋体"/>
                <w:sz w:val="22"/>
              </w:rPr>
              <w:t>6.15</w:t>
            </w:r>
          </w:p>
        </w:tc>
        <w:tc>
          <w:tcPr>
            <w:tcW w:w="6660" w:type="dxa"/>
            <w:tcBorders>
              <w:top w:val="single" w:color="auto" w:sz="2" w:space="0"/>
            </w:tcBorders>
            <w:noWrap w:val="0"/>
            <w:vAlign w:val="top"/>
          </w:tcPr>
          <w:p>
            <w:pPr>
              <w:rPr>
                <w:rFonts w:ascii="宋体" w:hAnsi="宋体"/>
                <w:sz w:val="22"/>
              </w:rPr>
            </w:pPr>
            <w:r>
              <w:rPr>
                <w:rFonts w:hint="eastAsia" w:ascii="宋体" w:hAnsi="宋体"/>
                <w:sz w:val="22"/>
              </w:rPr>
              <w:t>宿舍区未设置水冲式厕所和符合要求淋浴室的</w:t>
            </w:r>
          </w:p>
        </w:tc>
        <w:tc>
          <w:tcPr>
            <w:tcW w:w="720" w:type="dxa"/>
            <w:tcBorders>
              <w:top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6.16</w:t>
            </w:r>
          </w:p>
        </w:tc>
        <w:tc>
          <w:tcPr>
            <w:tcW w:w="6660" w:type="dxa"/>
            <w:tcBorders>
              <w:top w:val="single" w:color="auto" w:sz="2" w:space="0"/>
              <w:bottom w:val="single" w:color="auto" w:sz="2" w:space="0"/>
            </w:tcBorders>
            <w:noWrap w:val="0"/>
            <w:vAlign w:val="top"/>
          </w:tcPr>
          <w:p>
            <w:pPr>
              <w:rPr>
                <w:rFonts w:ascii="宋体" w:hAnsi="宋体"/>
                <w:sz w:val="22"/>
              </w:rPr>
            </w:pPr>
            <w:r>
              <w:rPr>
                <w:rFonts w:hint="eastAsia" w:ascii="宋体" w:hAnsi="宋体"/>
                <w:sz w:val="22"/>
              </w:rPr>
              <w:t>宿舍生活区未设置施工人员学习娱乐场所的</w:t>
            </w:r>
          </w:p>
        </w:tc>
        <w:tc>
          <w:tcPr>
            <w:tcW w:w="720" w:type="dxa"/>
            <w:tcBorders>
              <w:top w:val="single" w:color="auto" w:sz="2" w:space="0"/>
              <w:bottom w:val="single" w:color="auto" w:sz="2" w:space="0"/>
            </w:tcBorders>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6.17</w:t>
            </w:r>
          </w:p>
        </w:tc>
        <w:tc>
          <w:tcPr>
            <w:tcW w:w="6660" w:type="dxa"/>
            <w:noWrap w:val="0"/>
            <w:vAlign w:val="top"/>
          </w:tcPr>
          <w:p>
            <w:pPr>
              <w:rPr>
                <w:rFonts w:ascii="宋体" w:hAnsi="宋体"/>
                <w:sz w:val="22"/>
              </w:rPr>
            </w:pPr>
            <w:r>
              <w:rPr>
                <w:rFonts w:hint="eastAsia" w:ascii="宋体" w:hAnsi="宋体"/>
                <w:sz w:val="22"/>
              </w:rPr>
              <w:t>宿舍区墙壁屋顶不严密、门窗不齐全，或通风效果差的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6.18</w:t>
            </w:r>
          </w:p>
        </w:tc>
        <w:tc>
          <w:tcPr>
            <w:tcW w:w="6660" w:type="dxa"/>
            <w:noWrap w:val="0"/>
            <w:vAlign w:val="top"/>
          </w:tcPr>
          <w:p>
            <w:pPr>
              <w:rPr>
                <w:rFonts w:ascii="宋体" w:hAnsi="宋体"/>
                <w:sz w:val="22"/>
              </w:rPr>
            </w:pPr>
            <w:r>
              <w:rPr>
                <w:rFonts w:hint="eastAsia" w:ascii="宋体" w:hAnsi="宋体"/>
                <w:sz w:val="22"/>
              </w:rPr>
              <w:t>宿舍无保暖、防暑、防蚊虫叮咬措施的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center"/>
          </w:tcPr>
          <w:p>
            <w:pPr>
              <w:rPr>
                <w:rFonts w:ascii="宋体" w:hAnsi="宋体"/>
                <w:sz w:val="22"/>
              </w:rPr>
            </w:pPr>
            <w:r>
              <w:rPr>
                <w:rFonts w:ascii="宋体" w:hAnsi="宋体"/>
                <w:sz w:val="22"/>
              </w:rPr>
              <w:t>6.19</w:t>
            </w:r>
          </w:p>
        </w:tc>
        <w:tc>
          <w:tcPr>
            <w:tcW w:w="6660" w:type="dxa"/>
            <w:noWrap w:val="0"/>
            <w:vAlign w:val="top"/>
          </w:tcPr>
          <w:p>
            <w:pPr>
              <w:rPr>
                <w:rFonts w:ascii="宋体" w:hAnsi="宋体"/>
                <w:sz w:val="22"/>
              </w:rPr>
            </w:pPr>
            <w:r>
              <w:rPr>
                <w:rFonts w:hint="eastAsia" w:ascii="宋体" w:hAnsi="宋体"/>
                <w:sz w:val="22"/>
              </w:rPr>
              <w:t>宿舍生活区、大门口及周围毗邻区域垃圾未装容器，垃圾清扫、清运不及时、排水不畅，环境卫生不符合要求的</w:t>
            </w:r>
          </w:p>
        </w:tc>
        <w:tc>
          <w:tcPr>
            <w:tcW w:w="720" w:type="dxa"/>
            <w:noWrap w:val="0"/>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noWrap w:val="0"/>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项</w:t>
            </w:r>
          </w:p>
        </w:tc>
      </w:tr>
    </w:tbl>
    <w:p>
      <w:pPr>
        <w:rPr>
          <w:rFonts w:ascii="宋体" w:hAnsi="宋体"/>
          <w:sz w:val="22"/>
        </w:rPr>
      </w:pPr>
    </w:p>
    <w:p>
      <w:pPr>
        <w:rPr>
          <w:rFonts w:ascii="宋体" w:hAnsi="宋体"/>
          <w:sz w:val="22"/>
        </w:rPr>
      </w:pPr>
    </w:p>
    <w:p>
      <w:pPr>
        <w:rPr>
          <w:rFonts w:ascii="宋体" w:hAnsi="宋体"/>
          <w:sz w:val="22"/>
        </w:rPr>
      </w:pPr>
    </w:p>
    <w:p>
      <w:pPr>
        <w:jc w:val="center"/>
        <w:rPr>
          <w:rFonts w:ascii="宋体" w:hAnsi="宋体"/>
          <w:b/>
          <w:sz w:val="22"/>
        </w:rPr>
      </w:pPr>
      <w:r>
        <w:rPr>
          <w:rFonts w:ascii="宋体" w:hAnsi="宋体"/>
          <w:sz w:val="22"/>
        </w:rPr>
        <w:br w:type="page"/>
      </w:r>
      <w:r>
        <w:rPr>
          <w:rFonts w:hint="eastAsia" w:ascii="宋体" w:hAnsi="宋体"/>
          <w:b/>
          <w:sz w:val="22"/>
        </w:rPr>
        <w:t>安全隐患整改通知书</w:t>
      </w:r>
    </w:p>
    <w:p>
      <w:pPr>
        <w:rPr>
          <w:rFonts w:ascii="宋体" w:hAnsi="宋体"/>
          <w:sz w:val="22"/>
        </w:rPr>
      </w:pPr>
      <w:r>
        <w:rPr>
          <w:rFonts w:ascii="宋体" w:hAnsi="宋体"/>
          <w:sz w:val="22"/>
        </w:rPr>
        <w:t xml:space="preserve">                                            </w:t>
      </w:r>
      <w:r>
        <w:rPr>
          <w:rFonts w:hint="eastAsia" w:ascii="宋体" w:hAnsi="宋体"/>
          <w:sz w:val="22"/>
        </w:rPr>
        <w:t>基建（安）第</w:t>
      </w:r>
      <w:r>
        <w:rPr>
          <w:rFonts w:ascii="宋体" w:hAnsi="宋体"/>
          <w:sz w:val="22"/>
        </w:rPr>
        <w:t xml:space="preserve">   </w:t>
      </w:r>
      <w:r>
        <w:rPr>
          <w:rFonts w:hint="eastAsia" w:ascii="宋体" w:hAnsi="宋体"/>
          <w:sz w:val="22"/>
        </w:rPr>
        <w:t>号</w:t>
      </w:r>
    </w:p>
    <w:tbl>
      <w:tblPr>
        <w:tblStyle w:val="57"/>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noWrap w:val="0"/>
            <w:vAlign w:val="center"/>
          </w:tcPr>
          <w:p>
            <w:pPr>
              <w:rPr>
                <w:rFonts w:ascii="宋体" w:hAnsi="宋体"/>
                <w:sz w:val="22"/>
              </w:rPr>
            </w:pPr>
            <w:r>
              <w:rPr>
                <w:rFonts w:hint="eastAsia" w:ascii="宋体" w:hAnsi="宋体"/>
                <w:sz w:val="22"/>
              </w:rPr>
              <w:t>工程名称</w:t>
            </w:r>
          </w:p>
        </w:tc>
        <w:tc>
          <w:tcPr>
            <w:tcW w:w="2730" w:type="dxa"/>
            <w:noWrap w:val="0"/>
            <w:vAlign w:val="center"/>
          </w:tcPr>
          <w:p>
            <w:pPr>
              <w:rPr>
                <w:rFonts w:ascii="宋体" w:hAnsi="宋体"/>
                <w:sz w:val="22"/>
              </w:rPr>
            </w:pPr>
          </w:p>
        </w:tc>
        <w:tc>
          <w:tcPr>
            <w:tcW w:w="2250" w:type="dxa"/>
            <w:noWrap w:val="0"/>
            <w:vAlign w:val="center"/>
          </w:tcPr>
          <w:p>
            <w:pPr>
              <w:rPr>
                <w:rFonts w:ascii="宋体" w:hAnsi="宋体"/>
                <w:sz w:val="22"/>
              </w:rPr>
            </w:pPr>
            <w:r>
              <w:rPr>
                <w:rFonts w:hint="eastAsia" w:ascii="宋体" w:hAnsi="宋体"/>
                <w:sz w:val="22"/>
              </w:rPr>
              <w:t>责任施工项目部</w:t>
            </w:r>
          </w:p>
        </w:tc>
        <w:tc>
          <w:tcPr>
            <w:tcW w:w="2473"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noWrap w:val="0"/>
            <w:vAlign w:val="center"/>
          </w:tcPr>
          <w:p>
            <w:pPr>
              <w:rPr>
                <w:rFonts w:ascii="宋体" w:hAnsi="宋体"/>
                <w:sz w:val="22"/>
              </w:rPr>
            </w:pPr>
            <w:r>
              <w:rPr>
                <w:rFonts w:hint="eastAsia" w:ascii="宋体" w:hAnsi="宋体"/>
                <w:sz w:val="22"/>
              </w:rPr>
              <w:t>责任监理项目部</w:t>
            </w:r>
          </w:p>
        </w:tc>
        <w:tc>
          <w:tcPr>
            <w:tcW w:w="2730" w:type="dxa"/>
            <w:noWrap w:val="0"/>
            <w:vAlign w:val="center"/>
          </w:tcPr>
          <w:p>
            <w:pPr>
              <w:rPr>
                <w:rFonts w:ascii="宋体" w:hAnsi="宋体"/>
                <w:sz w:val="22"/>
              </w:rPr>
            </w:pPr>
          </w:p>
        </w:tc>
        <w:tc>
          <w:tcPr>
            <w:tcW w:w="2250" w:type="dxa"/>
            <w:noWrap w:val="0"/>
            <w:vAlign w:val="center"/>
          </w:tcPr>
          <w:p>
            <w:pPr>
              <w:rPr>
                <w:rFonts w:ascii="宋体" w:hAnsi="宋体"/>
                <w:sz w:val="22"/>
              </w:rPr>
            </w:pPr>
            <w:r>
              <w:rPr>
                <w:rFonts w:hint="eastAsia" w:ascii="宋体" w:hAnsi="宋体"/>
                <w:sz w:val="22"/>
              </w:rPr>
              <w:t>责任人（甲方）</w:t>
            </w:r>
          </w:p>
        </w:tc>
        <w:tc>
          <w:tcPr>
            <w:tcW w:w="2473"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noWrap w:val="0"/>
            <w:vAlign w:val="center"/>
          </w:tcPr>
          <w:p>
            <w:pPr>
              <w:rPr>
                <w:rFonts w:ascii="宋体" w:hAnsi="宋体"/>
                <w:sz w:val="22"/>
              </w:rPr>
            </w:pPr>
            <w:r>
              <w:rPr>
                <w:rFonts w:hint="eastAsia" w:ascii="宋体" w:hAnsi="宋体"/>
                <w:sz w:val="22"/>
              </w:rPr>
              <w:t>序号</w:t>
            </w:r>
          </w:p>
        </w:tc>
        <w:tc>
          <w:tcPr>
            <w:tcW w:w="4095" w:type="dxa"/>
            <w:gridSpan w:val="2"/>
            <w:noWrap w:val="0"/>
            <w:vAlign w:val="center"/>
          </w:tcPr>
          <w:p>
            <w:pPr>
              <w:rPr>
                <w:rFonts w:ascii="宋体" w:hAnsi="宋体"/>
                <w:sz w:val="22"/>
              </w:rPr>
            </w:pPr>
            <w:r>
              <w:rPr>
                <w:rFonts w:hint="eastAsia" w:ascii="宋体" w:hAnsi="宋体"/>
                <w:sz w:val="22"/>
              </w:rPr>
              <w:t>存在的安全隐患</w:t>
            </w:r>
          </w:p>
        </w:tc>
        <w:tc>
          <w:tcPr>
            <w:tcW w:w="3300" w:type="dxa"/>
            <w:gridSpan w:val="2"/>
            <w:noWrap w:val="0"/>
            <w:vAlign w:val="center"/>
          </w:tcPr>
          <w:p>
            <w:pPr>
              <w:rPr>
                <w:rFonts w:ascii="宋体" w:hAnsi="宋体"/>
                <w:sz w:val="22"/>
              </w:rPr>
            </w:pPr>
            <w:r>
              <w:rPr>
                <w:rFonts w:hint="eastAsia" w:ascii="宋体" w:hAnsi="宋体"/>
                <w:sz w:val="22"/>
              </w:rPr>
              <w:t>整改建议</w:t>
            </w:r>
          </w:p>
        </w:tc>
        <w:tc>
          <w:tcPr>
            <w:tcW w:w="1423" w:type="dxa"/>
            <w:noWrap w:val="0"/>
            <w:vAlign w:val="center"/>
          </w:tcPr>
          <w:p>
            <w:pPr>
              <w:rPr>
                <w:rFonts w:ascii="宋体" w:hAnsi="宋体"/>
                <w:sz w:val="22"/>
              </w:rPr>
            </w:pPr>
            <w:r>
              <w:rPr>
                <w:rFonts w:hint="eastAsia" w:ascii="宋体" w:hAnsi="宋体"/>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jc w:val="center"/>
        </w:trPr>
        <w:tc>
          <w:tcPr>
            <w:tcW w:w="841" w:type="dxa"/>
            <w:noWrap w:val="0"/>
            <w:vAlign w:val="top"/>
          </w:tcPr>
          <w:p>
            <w:pPr>
              <w:rPr>
                <w:rFonts w:ascii="宋体" w:hAnsi="宋体"/>
                <w:sz w:val="22"/>
              </w:rPr>
            </w:pPr>
          </w:p>
        </w:tc>
        <w:tc>
          <w:tcPr>
            <w:tcW w:w="4095" w:type="dxa"/>
            <w:gridSpan w:val="2"/>
            <w:noWrap w:val="0"/>
            <w:vAlign w:val="top"/>
          </w:tcPr>
          <w:p>
            <w:pPr>
              <w:rPr>
                <w:rFonts w:ascii="宋体" w:hAnsi="宋体"/>
                <w:sz w:val="22"/>
              </w:rPr>
            </w:pPr>
          </w:p>
        </w:tc>
        <w:tc>
          <w:tcPr>
            <w:tcW w:w="3300" w:type="dxa"/>
            <w:gridSpan w:val="2"/>
            <w:noWrap w:val="0"/>
            <w:vAlign w:val="top"/>
          </w:tcPr>
          <w:p>
            <w:pPr>
              <w:rPr>
                <w:rFonts w:ascii="宋体" w:hAnsi="宋体"/>
                <w:sz w:val="22"/>
              </w:rPr>
            </w:pPr>
          </w:p>
        </w:tc>
        <w:tc>
          <w:tcPr>
            <w:tcW w:w="1423" w:type="dxa"/>
            <w:noWrap w:val="0"/>
            <w:vAlign w:val="top"/>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841" w:type="dxa"/>
            <w:noWrap w:val="0"/>
            <w:vAlign w:val="top"/>
          </w:tcPr>
          <w:p>
            <w:pPr>
              <w:rPr>
                <w:rFonts w:ascii="宋体" w:hAnsi="宋体"/>
                <w:sz w:val="22"/>
              </w:rPr>
            </w:pPr>
          </w:p>
        </w:tc>
        <w:tc>
          <w:tcPr>
            <w:tcW w:w="4095" w:type="dxa"/>
            <w:gridSpan w:val="2"/>
            <w:noWrap w:val="0"/>
            <w:vAlign w:val="top"/>
          </w:tcPr>
          <w:p>
            <w:pPr>
              <w:rPr>
                <w:rFonts w:ascii="宋体" w:hAnsi="宋体"/>
                <w:sz w:val="22"/>
              </w:rPr>
            </w:pPr>
          </w:p>
        </w:tc>
        <w:tc>
          <w:tcPr>
            <w:tcW w:w="3300" w:type="dxa"/>
            <w:gridSpan w:val="2"/>
            <w:noWrap w:val="0"/>
            <w:vAlign w:val="top"/>
          </w:tcPr>
          <w:p>
            <w:pPr>
              <w:rPr>
                <w:rFonts w:ascii="宋体" w:hAnsi="宋体"/>
                <w:sz w:val="22"/>
              </w:rPr>
            </w:pPr>
          </w:p>
        </w:tc>
        <w:tc>
          <w:tcPr>
            <w:tcW w:w="1423" w:type="dxa"/>
            <w:noWrap w:val="0"/>
            <w:vAlign w:val="top"/>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841" w:type="dxa"/>
            <w:noWrap w:val="0"/>
            <w:vAlign w:val="top"/>
          </w:tcPr>
          <w:p>
            <w:pPr>
              <w:rPr>
                <w:rFonts w:ascii="宋体" w:hAnsi="宋体"/>
                <w:sz w:val="22"/>
              </w:rPr>
            </w:pPr>
          </w:p>
        </w:tc>
        <w:tc>
          <w:tcPr>
            <w:tcW w:w="4095" w:type="dxa"/>
            <w:gridSpan w:val="2"/>
            <w:noWrap w:val="0"/>
            <w:vAlign w:val="top"/>
          </w:tcPr>
          <w:p>
            <w:pPr>
              <w:rPr>
                <w:rFonts w:ascii="宋体" w:hAnsi="宋体"/>
                <w:sz w:val="22"/>
              </w:rPr>
            </w:pPr>
          </w:p>
        </w:tc>
        <w:tc>
          <w:tcPr>
            <w:tcW w:w="3300" w:type="dxa"/>
            <w:gridSpan w:val="2"/>
            <w:noWrap w:val="0"/>
            <w:vAlign w:val="top"/>
          </w:tcPr>
          <w:p>
            <w:pPr>
              <w:rPr>
                <w:rFonts w:ascii="宋体" w:hAnsi="宋体"/>
                <w:sz w:val="22"/>
              </w:rPr>
            </w:pPr>
          </w:p>
        </w:tc>
        <w:tc>
          <w:tcPr>
            <w:tcW w:w="1423" w:type="dxa"/>
            <w:noWrap w:val="0"/>
            <w:vAlign w:val="top"/>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jc w:val="center"/>
        </w:trPr>
        <w:tc>
          <w:tcPr>
            <w:tcW w:w="841" w:type="dxa"/>
            <w:noWrap w:val="0"/>
            <w:vAlign w:val="top"/>
          </w:tcPr>
          <w:p>
            <w:pPr>
              <w:rPr>
                <w:rFonts w:ascii="宋体" w:hAnsi="宋体"/>
                <w:sz w:val="22"/>
              </w:rPr>
            </w:pPr>
          </w:p>
        </w:tc>
        <w:tc>
          <w:tcPr>
            <w:tcW w:w="4095" w:type="dxa"/>
            <w:gridSpan w:val="2"/>
            <w:noWrap w:val="0"/>
            <w:vAlign w:val="top"/>
          </w:tcPr>
          <w:p>
            <w:pPr>
              <w:rPr>
                <w:rFonts w:ascii="宋体" w:hAnsi="宋体"/>
                <w:sz w:val="22"/>
              </w:rPr>
            </w:pPr>
          </w:p>
        </w:tc>
        <w:tc>
          <w:tcPr>
            <w:tcW w:w="3300" w:type="dxa"/>
            <w:gridSpan w:val="2"/>
            <w:noWrap w:val="0"/>
            <w:vAlign w:val="top"/>
          </w:tcPr>
          <w:p>
            <w:pPr>
              <w:rPr>
                <w:rFonts w:ascii="宋体" w:hAnsi="宋体"/>
                <w:sz w:val="22"/>
              </w:rPr>
            </w:pPr>
          </w:p>
        </w:tc>
        <w:tc>
          <w:tcPr>
            <w:tcW w:w="1423" w:type="dxa"/>
            <w:noWrap w:val="0"/>
            <w:vAlign w:val="top"/>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noWrap w:val="0"/>
            <w:vAlign w:val="top"/>
          </w:tcPr>
          <w:p>
            <w:pPr>
              <w:rPr>
                <w:rFonts w:ascii="宋体" w:hAnsi="宋体"/>
                <w:sz w:val="22"/>
              </w:rPr>
            </w:pPr>
            <w:r>
              <w:rPr>
                <w:rFonts w:hint="eastAsia" w:ascii="宋体" w:hAnsi="宋体"/>
                <w:sz w:val="22"/>
              </w:rPr>
              <w:t>责任单位项目部（签章）：</w:t>
            </w:r>
          </w:p>
        </w:tc>
        <w:tc>
          <w:tcPr>
            <w:tcW w:w="4723" w:type="dxa"/>
            <w:gridSpan w:val="3"/>
            <w:noWrap w:val="0"/>
            <w:vAlign w:val="top"/>
          </w:tcPr>
          <w:p>
            <w:pPr>
              <w:rPr>
                <w:rFonts w:ascii="宋体" w:hAnsi="宋体"/>
                <w:sz w:val="22"/>
              </w:rPr>
            </w:pPr>
            <w:r>
              <w:rPr>
                <w:rFonts w:hint="eastAsia" w:ascii="宋体" w:hAnsi="宋体"/>
                <w:sz w:val="22"/>
              </w:rPr>
              <w:t>检查人员（签字）：</w:t>
            </w:r>
          </w:p>
          <w:p>
            <w:pPr>
              <w:rPr>
                <w:rFonts w:ascii="宋体" w:hAnsi="宋体"/>
                <w:sz w:val="22"/>
              </w:rPr>
            </w:pPr>
          </w:p>
          <w:p>
            <w:pPr>
              <w:rPr>
                <w:rFonts w:ascii="宋体" w:hAnsi="宋体"/>
                <w:sz w:val="22"/>
              </w:rPr>
            </w:pPr>
            <w:r>
              <w:rPr>
                <w:rFonts w:hint="eastAsia" w:ascii="宋体" w:hAnsi="宋体"/>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noWrap w:val="0"/>
            <w:vAlign w:val="top"/>
          </w:tcPr>
          <w:p>
            <w:pPr>
              <w:rPr>
                <w:rFonts w:ascii="宋体" w:hAnsi="宋体"/>
                <w:sz w:val="22"/>
              </w:rPr>
            </w:pPr>
            <w:r>
              <w:rPr>
                <w:rFonts w:ascii="宋体" w:hAnsi="宋体"/>
                <w:sz w:val="22"/>
              </w:rPr>
              <w:t xml:space="preserve">                           </w:t>
            </w:r>
          </w:p>
          <w:p>
            <w:pPr>
              <w:rPr>
                <w:rFonts w:ascii="宋体" w:hAnsi="宋体"/>
                <w:sz w:val="22"/>
              </w:rPr>
            </w:pPr>
            <w:r>
              <w:rPr>
                <w:rFonts w:hint="eastAsia" w:ascii="宋体" w:hAnsi="宋体"/>
                <w:sz w:val="22"/>
              </w:rPr>
              <w:t>检查部门（签章）</w:t>
            </w:r>
          </w:p>
          <w:p>
            <w:pPr>
              <w:rPr>
                <w:rFonts w:ascii="宋体" w:hAnsi="宋体"/>
                <w:sz w:val="22"/>
              </w:rPr>
            </w:pPr>
            <w:r>
              <w:rPr>
                <w:rFonts w:ascii="宋体" w:hAnsi="宋体"/>
                <w:sz w:val="22"/>
              </w:rPr>
              <w:t xml:space="preserve">                                          </w:t>
            </w:r>
          </w:p>
          <w:p>
            <w:pPr>
              <w:rPr>
                <w:rFonts w:ascii="宋体" w:hAnsi="宋体"/>
                <w:sz w:val="22"/>
              </w:rPr>
            </w:pPr>
            <w:r>
              <w:rPr>
                <w:rFonts w:hint="eastAsia" w:ascii="宋体" w:hAnsi="宋体"/>
                <w:sz w:val="22"/>
              </w:rPr>
              <w:t>二○　　年　　月　　　日</w:t>
            </w:r>
          </w:p>
        </w:tc>
      </w:tr>
    </w:tbl>
    <w:p>
      <w:pPr>
        <w:rPr>
          <w:rFonts w:ascii="宋体" w:hAnsi="宋体"/>
          <w:sz w:val="22"/>
        </w:rPr>
      </w:pPr>
      <w:r>
        <w:rPr>
          <w:rFonts w:hint="eastAsia" w:ascii="宋体" w:hAnsi="宋体"/>
          <w:sz w:val="22"/>
        </w:rPr>
        <w:t>注：</w:t>
      </w:r>
      <w:r>
        <w:rPr>
          <w:rFonts w:ascii="宋体" w:hAnsi="宋体"/>
          <w:sz w:val="22"/>
        </w:rPr>
        <w:t>1</w:t>
      </w:r>
      <w:r>
        <w:rPr>
          <w:rFonts w:hint="eastAsia" w:ascii="宋体" w:hAnsi="宋体"/>
          <w:sz w:val="22"/>
        </w:rPr>
        <w:t>、施工项目部收到本通知单后，须在指定时限内完成整改，并递交《施工安全隐患整改回复单》；</w:t>
      </w:r>
      <w:r>
        <w:rPr>
          <w:rFonts w:ascii="宋体" w:hAnsi="宋体"/>
          <w:sz w:val="22"/>
        </w:rPr>
        <w:t>2</w:t>
      </w:r>
      <w:r>
        <w:rPr>
          <w:rFonts w:hint="eastAsia" w:ascii="宋体" w:hAnsi="宋体"/>
          <w:sz w:val="22"/>
        </w:rPr>
        <w:t>、本通知书一式三份，检查人员、责任施工项目部、责任监理项目部各持一份。</w:t>
      </w:r>
      <w:r>
        <w:rPr>
          <w:rFonts w:ascii="宋体" w:hAnsi="宋体"/>
          <w:sz w:val="22"/>
        </w:rPr>
        <w:t>3</w:t>
      </w:r>
      <w:r>
        <w:rPr>
          <w:rFonts w:hint="eastAsia" w:ascii="宋体" w:hAnsi="宋体"/>
          <w:sz w:val="22"/>
        </w:rPr>
        <w:t>、表格中的签章是指签字或盖章。</w:t>
      </w:r>
    </w:p>
    <w:p>
      <w:pPr>
        <w:jc w:val="center"/>
        <w:rPr>
          <w:rFonts w:ascii="宋体" w:hAnsi="宋体"/>
          <w:b/>
          <w:sz w:val="22"/>
        </w:rPr>
      </w:pPr>
      <w:r>
        <w:rPr>
          <w:rFonts w:ascii="宋体" w:hAnsi="宋体"/>
          <w:sz w:val="22"/>
        </w:rPr>
        <w:br w:type="page"/>
      </w:r>
      <w:r>
        <w:rPr>
          <w:rFonts w:hint="eastAsia" w:ascii="宋体" w:hAnsi="宋体"/>
          <w:b/>
          <w:sz w:val="22"/>
        </w:rPr>
        <w:t>安全文明施工工作联系单（处罚）</w:t>
      </w:r>
    </w:p>
    <w:p>
      <w:pPr>
        <w:rPr>
          <w:rFonts w:ascii="宋体" w:hAnsi="宋体"/>
          <w:sz w:val="22"/>
        </w:rPr>
      </w:pPr>
      <w:r>
        <w:rPr>
          <w:rFonts w:hint="eastAsia" w:ascii="宋体" w:hAnsi="宋体"/>
          <w:sz w:val="22"/>
        </w:rPr>
        <w:t>基建（安）第</w:t>
      </w:r>
      <w:r>
        <w:rPr>
          <w:rFonts w:ascii="宋体" w:hAnsi="宋体"/>
          <w:sz w:val="22"/>
        </w:rPr>
        <w:t xml:space="preserve">   </w:t>
      </w:r>
      <w:r>
        <w:rPr>
          <w:rFonts w:hint="eastAsia" w:ascii="宋体" w:hAnsi="宋体"/>
          <w:sz w:val="22"/>
        </w:rPr>
        <w:t>号</w:t>
      </w:r>
    </w:p>
    <w:tbl>
      <w:tblPr>
        <w:tblStyle w:val="57"/>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noWrap w:val="0"/>
            <w:vAlign w:val="center"/>
          </w:tcPr>
          <w:p>
            <w:pPr>
              <w:rPr>
                <w:rFonts w:ascii="宋体" w:hAnsi="宋体"/>
                <w:sz w:val="22"/>
              </w:rPr>
            </w:pPr>
            <w:r>
              <w:rPr>
                <w:rFonts w:hint="eastAsia" w:ascii="宋体" w:hAnsi="宋体"/>
                <w:sz w:val="22"/>
              </w:rPr>
              <w:t>责任单位项目部</w:t>
            </w:r>
          </w:p>
        </w:tc>
        <w:tc>
          <w:tcPr>
            <w:tcW w:w="7258" w:type="dxa"/>
            <w:gridSpan w:val="4"/>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noWrap w:val="0"/>
            <w:vAlign w:val="center"/>
          </w:tcPr>
          <w:p>
            <w:pPr>
              <w:rPr>
                <w:rFonts w:ascii="宋体" w:hAnsi="宋体"/>
                <w:sz w:val="22"/>
              </w:rPr>
            </w:pPr>
            <w:r>
              <w:rPr>
                <w:rFonts w:hint="eastAsia" w:ascii="宋体" w:hAnsi="宋体"/>
                <w:sz w:val="22"/>
              </w:rPr>
              <w:t>整改通知书编号</w:t>
            </w:r>
          </w:p>
        </w:tc>
        <w:tc>
          <w:tcPr>
            <w:tcW w:w="8353" w:type="dxa"/>
            <w:gridSpan w:val="6"/>
            <w:noWrap w:val="0"/>
            <w:vAlign w:val="center"/>
          </w:tcPr>
          <w:p>
            <w:pPr>
              <w:rPr>
                <w:rFonts w:ascii="宋体" w:hAnsi="宋体"/>
                <w:sz w:val="22"/>
              </w:rPr>
            </w:pPr>
            <w:r>
              <w:rPr>
                <w:rFonts w:hint="eastAsia" w:ascii="宋体" w:hAnsi="宋体"/>
                <w:sz w:val="22"/>
              </w:rPr>
              <w:t>处</w:t>
            </w:r>
            <w:r>
              <w:rPr>
                <w:rFonts w:ascii="宋体" w:hAnsi="宋体"/>
                <w:sz w:val="22"/>
              </w:rPr>
              <w:t xml:space="preserve">   </w:t>
            </w:r>
            <w:r>
              <w:rPr>
                <w:rFonts w:hint="eastAsia" w:ascii="宋体" w:hAnsi="宋体"/>
                <w:sz w:val="22"/>
              </w:rPr>
              <w:t>罚</w:t>
            </w:r>
            <w:r>
              <w:rPr>
                <w:rFonts w:ascii="宋体" w:hAnsi="宋体"/>
                <w:sz w:val="22"/>
              </w:rPr>
              <w:t xml:space="preserve">    </w:t>
            </w:r>
            <w:r>
              <w:rPr>
                <w:rFonts w:hint="eastAsia" w:ascii="宋体" w:hAnsi="宋体"/>
                <w:sz w:val="22"/>
              </w:rPr>
              <w:t>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noWrap w:val="0"/>
            <w:vAlign w:val="center"/>
          </w:tcPr>
          <w:p>
            <w:pPr>
              <w:rPr>
                <w:rFonts w:ascii="宋体" w:hAnsi="宋体"/>
                <w:sz w:val="22"/>
              </w:rPr>
            </w:pPr>
          </w:p>
        </w:tc>
        <w:tc>
          <w:tcPr>
            <w:tcW w:w="1967" w:type="dxa"/>
            <w:gridSpan w:val="4"/>
            <w:noWrap w:val="0"/>
            <w:vAlign w:val="center"/>
          </w:tcPr>
          <w:p>
            <w:pPr>
              <w:rPr>
                <w:rFonts w:ascii="宋体" w:hAnsi="宋体"/>
                <w:sz w:val="22"/>
              </w:rPr>
            </w:pPr>
            <w:r>
              <w:rPr>
                <w:rFonts w:hint="eastAsia" w:ascii="宋体" w:hAnsi="宋体"/>
                <w:sz w:val="22"/>
              </w:rPr>
              <w:t>处罚数额（元）</w:t>
            </w:r>
          </w:p>
        </w:tc>
        <w:tc>
          <w:tcPr>
            <w:tcW w:w="6386" w:type="dxa"/>
            <w:gridSpan w:val="2"/>
            <w:noWrap w:val="0"/>
            <w:vAlign w:val="center"/>
          </w:tcPr>
          <w:p>
            <w:pPr>
              <w:rPr>
                <w:rFonts w:ascii="宋体" w:hAnsi="宋体"/>
                <w:sz w:val="22"/>
              </w:rPr>
            </w:pPr>
            <w:r>
              <w:rPr>
                <w:rFonts w:hint="eastAsia" w:ascii="宋体" w:hAnsi="宋体"/>
                <w:sz w:val="22"/>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noWrap w:val="0"/>
            <w:vAlign w:val="center"/>
          </w:tcPr>
          <w:p>
            <w:pPr>
              <w:rPr>
                <w:rFonts w:ascii="宋体" w:hAnsi="宋体"/>
                <w:sz w:val="22"/>
              </w:rPr>
            </w:pPr>
          </w:p>
        </w:tc>
        <w:tc>
          <w:tcPr>
            <w:tcW w:w="1967" w:type="dxa"/>
            <w:gridSpan w:val="4"/>
            <w:noWrap w:val="0"/>
            <w:vAlign w:val="center"/>
          </w:tcPr>
          <w:p>
            <w:pPr>
              <w:rPr>
                <w:rFonts w:ascii="宋体" w:hAnsi="宋体"/>
                <w:sz w:val="22"/>
              </w:rPr>
            </w:pPr>
          </w:p>
        </w:tc>
        <w:tc>
          <w:tcPr>
            <w:tcW w:w="6386"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noWrap w:val="0"/>
            <w:vAlign w:val="center"/>
          </w:tcPr>
          <w:p>
            <w:pPr>
              <w:rPr>
                <w:rFonts w:ascii="宋体" w:hAnsi="宋体"/>
                <w:sz w:val="22"/>
              </w:rPr>
            </w:pPr>
          </w:p>
        </w:tc>
        <w:tc>
          <w:tcPr>
            <w:tcW w:w="1967" w:type="dxa"/>
            <w:gridSpan w:val="4"/>
            <w:noWrap w:val="0"/>
            <w:vAlign w:val="center"/>
          </w:tcPr>
          <w:p>
            <w:pPr>
              <w:rPr>
                <w:rFonts w:ascii="宋体" w:hAnsi="宋体"/>
                <w:sz w:val="22"/>
              </w:rPr>
            </w:pPr>
          </w:p>
        </w:tc>
        <w:tc>
          <w:tcPr>
            <w:tcW w:w="6386"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noWrap w:val="0"/>
            <w:vAlign w:val="center"/>
          </w:tcPr>
          <w:p>
            <w:pPr>
              <w:rPr>
                <w:rFonts w:ascii="宋体" w:hAnsi="宋体"/>
                <w:sz w:val="22"/>
              </w:rPr>
            </w:pPr>
          </w:p>
        </w:tc>
        <w:tc>
          <w:tcPr>
            <w:tcW w:w="1967" w:type="dxa"/>
            <w:gridSpan w:val="4"/>
            <w:noWrap w:val="0"/>
            <w:vAlign w:val="center"/>
          </w:tcPr>
          <w:p>
            <w:pPr>
              <w:rPr>
                <w:rFonts w:ascii="宋体" w:hAnsi="宋体"/>
                <w:sz w:val="22"/>
              </w:rPr>
            </w:pPr>
          </w:p>
        </w:tc>
        <w:tc>
          <w:tcPr>
            <w:tcW w:w="6386"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noWrap w:val="0"/>
            <w:vAlign w:val="center"/>
          </w:tcPr>
          <w:p>
            <w:pPr>
              <w:rPr>
                <w:rFonts w:ascii="宋体" w:hAnsi="宋体"/>
                <w:sz w:val="22"/>
              </w:rPr>
            </w:pPr>
          </w:p>
        </w:tc>
        <w:tc>
          <w:tcPr>
            <w:tcW w:w="1967" w:type="dxa"/>
            <w:gridSpan w:val="4"/>
            <w:noWrap w:val="0"/>
            <w:vAlign w:val="center"/>
          </w:tcPr>
          <w:p>
            <w:pPr>
              <w:rPr>
                <w:rFonts w:ascii="宋体" w:hAnsi="宋体"/>
                <w:sz w:val="22"/>
              </w:rPr>
            </w:pPr>
          </w:p>
        </w:tc>
        <w:tc>
          <w:tcPr>
            <w:tcW w:w="6386"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noWrap w:val="0"/>
            <w:vAlign w:val="center"/>
          </w:tcPr>
          <w:p>
            <w:pPr>
              <w:rPr>
                <w:rFonts w:ascii="宋体" w:hAnsi="宋体"/>
                <w:sz w:val="22"/>
              </w:rPr>
            </w:pPr>
          </w:p>
        </w:tc>
        <w:tc>
          <w:tcPr>
            <w:tcW w:w="1967" w:type="dxa"/>
            <w:gridSpan w:val="4"/>
            <w:noWrap w:val="0"/>
            <w:vAlign w:val="center"/>
          </w:tcPr>
          <w:p>
            <w:pPr>
              <w:rPr>
                <w:rFonts w:ascii="宋体" w:hAnsi="宋体"/>
                <w:sz w:val="22"/>
              </w:rPr>
            </w:pPr>
          </w:p>
        </w:tc>
        <w:tc>
          <w:tcPr>
            <w:tcW w:w="6386"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noWrap w:val="0"/>
            <w:vAlign w:val="center"/>
          </w:tcPr>
          <w:p>
            <w:pPr>
              <w:rPr>
                <w:rFonts w:ascii="宋体" w:hAnsi="宋体"/>
                <w:sz w:val="22"/>
              </w:rPr>
            </w:pPr>
          </w:p>
        </w:tc>
        <w:tc>
          <w:tcPr>
            <w:tcW w:w="1967" w:type="dxa"/>
            <w:gridSpan w:val="4"/>
            <w:noWrap w:val="0"/>
            <w:vAlign w:val="center"/>
          </w:tcPr>
          <w:p>
            <w:pPr>
              <w:rPr>
                <w:rFonts w:ascii="宋体" w:hAnsi="宋体"/>
                <w:sz w:val="22"/>
              </w:rPr>
            </w:pPr>
          </w:p>
        </w:tc>
        <w:tc>
          <w:tcPr>
            <w:tcW w:w="6386" w:type="dxa"/>
            <w:gridSpan w:val="2"/>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noWrap w:val="0"/>
            <w:vAlign w:val="center"/>
          </w:tcPr>
          <w:p>
            <w:pPr>
              <w:rPr>
                <w:rFonts w:ascii="宋体" w:hAnsi="宋体"/>
                <w:sz w:val="22"/>
              </w:rPr>
            </w:pPr>
            <w:r>
              <w:rPr>
                <w:rFonts w:hint="eastAsia" w:ascii="宋体" w:hAnsi="宋体"/>
                <w:sz w:val="22"/>
              </w:rPr>
              <w:t>处罚合计（元）</w:t>
            </w:r>
          </w:p>
        </w:tc>
        <w:tc>
          <w:tcPr>
            <w:tcW w:w="1440" w:type="dxa"/>
            <w:gridSpan w:val="3"/>
            <w:noWrap w:val="0"/>
            <w:vAlign w:val="center"/>
          </w:tcPr>
          <w:p>
            <w:pPr>
              <w:rPr>
                <w:rFonts w:ascii="宋体" w:hAnsi="宋体"/>
                <w:sz w:val="22"/>
              </w:rPr>
            </w:pPr>
          </w:p>
        </w:tc>
        <w:tc>
          <w:tcPr>
            <w:tcW w:w="3148" w:type="dxa"/>
            <w:noWrap w:val="0"/>
            <w:vAlign w:val="center"/>
          </w:tcPr>
          <w:p>
            <w:pPr>
              <w:rPr>
                <w:rFonts w:ascii="宋体" w:hAnsi="宋体"/>
                <w:sz w:val="22"/>
              </w:rPr>
            </w:pPr>
            <w:r>
              <w:rPr>
                <w:rFonts w:hint="eastAsia" w:ascii="宋体" w:hAnsi="宋体"/>
                <w:sz w:val="22"/>
              </w:rPr>
              <w:t>检查人员</w:t>
            </w:r>
          </w:p>
        </w:tc>
        <w:tc>
          <w:tcPr>
            <w:tcW w:w="3238" w:type="dxa"/>
            <w:noWrap w:val="0"/>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noWrap w:val="0"/>
            <w:vAlign w:val="top"/>
          </w:tcPr>
          <w:p>
            <w:pPr>
              <w:rPr>
                <w:rFonts w:ascii="宋体" w:hAnsi="宋体"/>
                <w:sz w:val="22"/>
              </w:rPr>
            </w:pPr>
            <w:r>
              <w:rPr>
                <w:rFonts w:hint="eastAsia" w:ascii="宋体" w:hAnsi="宋体"/>
                <w:sz w:val="22"/>
              </w:rPr>
              <w:t>责任施工项目部（签章）</w:t>
            </w:r>
          </w:p>
        </w:tc>
        <w:tc>
          <w:tcPr>
            <w:tcW w:w="3252" w:type="dxa"/>
            <w:gridSpan w:val="2"/>
            <w:noWrap w:val="0"/>
            <w:vAlign w:val="top"/>
          </w:tcPr>
          <w:p>
            <w:pPr>
              <w:rPr>
                <w:rFonts w:ascii="宋体" w:hAnsi="宋体"/>
                <w:sz w:val="22"/>
              </w:rPr>
            </w:pPr>
            <w:r>
              <w:rPr>
                <w:rFonts w:hint="eastAsia" w:ascii="宋体" w:hAnsi="宋体"/>
                <w:sz w:val="22"/>
              </w:rPr>
              <w:t>责任监理项目部（签章）</w:t>
            </w: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tc>
        <w:tc>
          <w:tcPr>
            <w:tcW w:w="3238" w:type="dxa"/>
            <w:noWrap w:val="0"/>
            <w:vAlign w:val="top"/>
          </w:tcPr>
          <w:p>
            <w:pPr>
              <w:rPr>
                <w:rFonts w:ascii="宋体" w:hAnsi="宋体"/>
                <w:sz w:val="22"/>
              </w:rPr>
            </w:pPr>
            <w:r>
              <w:rPr>
                <w:rFonts w:hint="eastAsia" w:ascii="宋体" w:hAnsi="宋体"/>
                <w:sz w:val="22"/>
              </w:rPr>
              <w:t>签发部门（签章）</w:t>
            </w:r>
          </w:p>
          <w:p>
            <w:pPr>
              <w:rPr>
                <w:rFonts w:ascii="宋体" w:hAnsi="宋体"/>
                <w:sz w:val="22"/>
              </w:rPr>
            </w:pPr>
          </w:p>
          <w:p>
            <w:pPr>
              <w:rPr>
                <w:rFonts w:ascii="宋体" w:hAnsi="宋体"/>
                <w:sz w:val="22"/>
              </w:rPr>
            </w:pPr>
          </w:p>
          <w:p>
            <w:pPr>
              <w:rPr>
                <w:rFonts w:ascii="宋体" w:hAnsi="宋体"/>
                <w:sz w:val="22"/>
              </w:rPr>
            </w:pPr>
            <w:r>
              <w:rPr>
                <w:rFonts w:hint="eastAsia" w:ascii="宋体" w:hAnsi="宋体"/>
                <w:sz w:val="22"/>
              </w:rPr>
              <w:t>二○</w:t>
            </w:r>
            <w:r>
              <w:rPr>
                <w:rFonts w:ascii="宋体" w:hAnsi="宋体"/>
                <w:sz w:val="22"/>
              </w:rPr>
              <w:t xml:space="preserve">   </w:t>
            </w:r>
            <w:r>
              <w:rPr>
                <w:rFonts w:hint="eastAsia" w:ascii="宋体" w:hAnsi="宋体"/>
                <w:sz w:val="22"/>
              </w:rPr>
              <w:t>年</w:t>
            </w:r>
            <w:r>
              <w:rPr>
                <w:rFonts w:ascii="宋体" w:hAnsi="宋体"/>
                <w:sz w:val="22"/>
              </w:rPr>
              <w:t xml:space="preserve">   </w:t>
            </w:r>
            <w:r>
              <w:rPr>
                <w:rFonts w:hint="eastAsia" w:ascii="宋体" w:hAnsi="宋体"/>
                <w:sz w:val="22"/>
              </w:rPr>
              <w:t>月</w:t>
            </w:r>
            <w:r>
              <w:rPr>
                <w:rFonts w:ascii="宋体" w:hAnsi="宋体"/>
                <w:sz w:val="22"/>
              </w:rPr>
              <w:t xml:space="preserve">    </w:t>
            </w:r>
            <w:r>
              <w:rPr>
                <w:rFonts w:hint="eastAsia" w:ascii="宋体" w:hAnsi="宋体"/>
                <w:sz w:val="22"/>
              </w:rPr>
              <w:t>日</w:t>
            </w:r>
          </w:p>
        </w:tc>
      </w:tr>
    </w:tbl>
    <w:p>
      <w:pPr>
        <w:rPr>
          <w:rFonts w:ascii="宋体" w:hAnsi="宋体"/>
          <w:sz w:val="22"/>
        </w:rPr>
      </w:pPr>
      <w:r>
        <w:rPr>
          <w:rFonts w:hint="eastAsia" w:ascii="宋体" w:hAnsi="宋体"/>
          <w:sz w:val="22"/>
        </w:rPr>
        <w:t>注：</w:t>
      </w:r>
      <w:r>
        <w:rPr>
          <w:rFonts w:ascii="宋体" w:hAnsi="宋体"/>
          <w:sz w:val="22"/>
        </w:rPr>
        <w:t>1</w:t>
      </w:r>
      <w:r>
        <w:rPr>
          <w:rFonts w:hint="eastAsia" w:ascii="宋体" w:hAnsi="宋体"/>
          <w:sz w:val="22"/>
        </w:rPr>
        <w:t>、本扣分通知单一式四份，信导部、签发人、责任施工项目部和责任监理项目部各持一份。</w:t>
      </w:r>
      <w:r>
        <w:rPr>
          <w:rFonts w:ascii="宋体" w:hAnsi="宋体"/>
          <w:sz w:val="22"/>
        </w:rPr>
        <w:t>2</w:t>
      </w:r>
      <w:r>
        <w:rPr>
          <w:rFonts w:hint="eastAsia" w:ascii="宋体" w:hAnsi="宋体"/>
          <w:sz w:val="22"/>
        </w:rPr>
        <w:t>、表格中的签章是指签字或盖章。</w:t>
      </w:r>
    </w:p>
    <w:p>
      <w:pPr>
        <w:adjustRightInd w:val="0"/>
        <w:snapToGrid w:val="0"/>
        <w:spacing w:line="360" w:lineRule="exact"/>
        <w:rPr>
          <w:rFonts w:ascii="宋体" w:hAnsi="宋体"/>
          <w:sz w:val="22"/>
          <w:szCs w:val="22"/>
        </w:rPr>
      </w:pPr>
    </w:p>
    <w:p>
      <w:pPr>
        <w:rPr>
          <w:rFonts w:ascii="宋体" w:hAnsi="宋体" w:cs="宋体"/>
          <w:bCs/>
          <w:sz w:val="22"/>
          <w:szCs w:val="22"/>
        </w:rPr>
      </w:pPr>
    </w:p>
    <w:p>
      <w:pPr>
        <w:pStyle w:val="83"/>
        <w:ind w:firstLine="0" w:firstLineChars="0"/>
        <w:rPr>
          <w:rFonts w:ascii="宋体" w:hAnsi="宋体"/>
          <w:color w:val="auto"/>
        </w:rPr>
      </w:pPr>
      <w:r>
        <w:rPr>
          <w:rFonts w:hint="eastAsia" w:ascii="宋体" w:hAnsi="宋体"/>
          <w:color w:val="auto"/>
        </w:rPr>
        <w:br w:type="page"/>
      </w:r>
      <w:r>
        <w:rPr>
          <w:rFonts w:hint="eastAsia" w:ascii="宋体" w:hAnsi="宋体"/>
          <w:color w:val="auto"/>
        </w:rPr>
        <w:t>附件3：</w:t>
      </w:r>
    </w:p>
    <w:p>
      <w:pPr>
        <w:pStyle w:val="83"/>
        <w:ind w:firstLine="0" w:firstLineChars="0"/>
        <w:jc w:val="center"/>
        <w:rPr>
          <w:rFonts w:ascii="宋体" w:hAnsi="宋体"/>
          <w:b/>
          <w:color w:val="auto"/>
          <w:sz w:val="36"/>
        </w:rPr>
      </w:pPr>
      <w:r>
        <w:rPr>
          <w:rFonts w:hint="eastAsia" w:ascii="宋体" w:hAnsi="宋体"/>
          <w:b/>
          <w:color w:val="auto"/>
          <w:sz w:val="36"/>
        </w:rPr>
        <w:t>廉洁自律承诺书</w:t>
      </w:r>
    </w:p>
    <w:p>
      <w:pPr>
        <w:pStyle w:val="83"/>
        <w:ind w:firstLine="0" w:firstLineChars="0"/>
        <w:rPr>
          <w:rFonts w:ascii="宋体" w:hAnsi="宋体"/>
          <w:color w:val="auto"/>
        </w:rPr>
      </w:pPr>
    </w:p>
    <w:p>
      <w:pPr>
        <w:rPr>
          <w:rFonts w:ascii="宋体" w:hAnsi="宋体"/>
          <w:sz w:val="22"/>
        </w:rPr>
      </w:pPr>
    </w:p>
    <w:p>
      <w:pPr>
        <w:spacing w:line="276" w:lineRule="auto"/>
        <w:jc w:val="left"/>
        <w:rPr>
          <w:rFonts w:ascii="宋体" w:hAnsi="宋体"/>
          <w:sz w:val="22"/>
        </w:rPr>
      </w:pPr>
      <w:r>
        <w:rPr>
          <w:rFonts w:hint="eastAsia" w:ascii="宋体" w:hAnsi="宋体"/>
          <w:sz w:val="22"/>
        </w:rPr>
        <w:t>杭州萧山国际机场有限公司：</w:t>
      </w:r>
    </w:p>
    <w:p>
      <w:pPr>
        <w:spacing w:line="276" w:lineRule="auto"/>
        <w:ind w:firstLine="440" w:firstLineChars="200"/>
        <w:jc w:val="left"/>
        <w:rPr>
          <w:rFonts w:ascii="宋体" w:hAnsi="宋体"/>
          <w:sz w:val="22"/>
        </w:rPr>
      </w:pPr>
      <w:r>
        <w:rPr>
          <w:rFonts w:hint="eastAsia" w:ascii="宋体" w:hAnsi="宋体"/>
          <w:sz w:val="22"/>
        </w:rPr>
        <w:t>我单位响应贵公司项目招标要求，参加项目投标。在投标过程中及中标后，我们将严格遵守国家法律法规和贵司招标文件要求，并郑重作出如下承诺和保证：</w:t>
      </w:r>
    </w:p>
    <w:p>
      <w:pPr>
        <w:spacing w:line="276" w:lineRule="auto"/>
        <w:ind w:firstLine="440" w:firstLineChars="200"/>
        <w:jc w:val="left"/>
        <w:rPr>
          <w:rFonts w:ascii="宋体" w:hAnsi="宋体"/>
          <w:sz w:val="22"/>
        </w:rPr>
      </w:pPr>
      <w:r>
        <w:rPr>
          <w:rFonts w:hint="eastAsia" w:ascii="宋体" w:hAnsi="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40" w:firstLineChars="200"/>
        <w:jc w:val="left"/>
        <w:rPr>
          <w:rFonts w:ascii="宋体" w:hAnsi="宋体"/>
          <w:sz w:val="22"/>
        </w:rPr>
      </w:pPr>
      <w:r>
        <w:rPr>
          <w:rFonts w:hint="eastAsia" w:ascii="宋体" w:hAnsi="宋体"/>
          <w:sz w:val="22"/>
        </w:rPr>
        <w:t>二、不以任何名义为贵公司有关人员或项目第三方人员报销应由贵公司或个人支付的费用；</w:t>
      </w:r>
    </w:p>
    <w:p>
      <w:pPr>
        <w:spacing w:line="276" w:lineRule="auto"/>
        <w:ind w:firstLine="440" w:firstLineChars="200"/>
        <w:jc w:val="left"/>
        <w:rPr>
          <w:rFonts w:ascii="宋体" w:hAnsi="宋体"/>
          <w:sz w:val="22"/>
        </w:rPr>
      </w:pPr>
      <w:r>
        <w:rPr>
          <w:rFonts w:hint="eastAsia" w:ascii="宋体" w:hAnsi="宋体"/>
          <w:sz w:val="22"/>
        </w:rPr>
        <w:t>三、不向贵公司有关人员或项目第三方人员提供宴请、旅游、和健身娱乐等活动；</w:t>
      </w:r>
    </w:p>
    <w:p>
      <w:pPr>
        <w:spacing w:line="276" w:lineRule="auto"/>
        <w:ind w:firstLine="440" w:firstLineChars="200"/>
        <w:jc w:val="left"/>
        <w:rPr>
          <w:rFonts w:ascii="宋体" w:hAnsi="宋体"/>
          <w:sz w:val="22"/>
        </w:rPr>
      </w:pPr>
      <w:r>
        <w:rPr>
          <w:rFonts w:hint="eastAsia" w:ascii="宋体" w:hAnsi="宋体"/>
          <w:sz w:val="22"/>
        </w:rPr>
        <w:t>四、不为贵公司有关人员或项目第三方人员出国（境）、旅游等提供方便；</w:t>
      </w:r>
    </w:p>
    <w:p>
      <w:pPr>
        <w:spacing w:line="276" w:lineRule="auto"/>
        <w:ind w:firstLine="440" w:firstLineChars="200"/>
        <w:jc w:val="left"/>
        <w:rPr>
          <w:rFonts w:ascii="宋体" w:hAnsi="宋体"/>
          <w:sz w:val="22"/>
        </w:rPr>
      </w:pPr>
      <w:r>
        <w:rPr>
          <w:rFonts w:hint="eastAsia" w:ascii="宋体" w:hAnsi="宋体"/>
          <w:sz w:val="22"/>
        </w:rPr>
        <w:t>五、不为贵公司有关人员或项目第三方人员个人装修住房、婚丧嫁娶、配偶子女工作安排等提供好处或便利条件；</w:t>
      </w:r>
    </w:p>
    <w:p>
      <w:pPr>
        <w:spacing w:line="276" w:lineRule="auto"/>
        <w:ind w:firstLine="440" w:firstLineChars="200"/>
        <w:jc w:val="left"/>
        <w:rPr>
          <w:rFonts w:ascii="宋体" w:hAnsi="宋体"/>
          <w:sz w:val="22"/>
        </w:rPr>
      </w:pPr>
      <w:r>
        <w:rPr>
          <w:rFonts w:hint="eastAsia" w:ascii="宋体" w:hAnsi="宋体"/>
          <w:sz w:val="22"/>
        </w:rPr>
        <w:t>六、严格遵守国家招标投标法、合同法等法律规定，诚实守信，合法经营，坚决杜绝各种违法违纪行为。</w:t>
      </w:r>
    </w:p>
    <w:p>
      <w:pPr>
        <w:spacing w:line="276" w:lineRule="auto"/>
        <w:ind w:firstLine="440" w:firstLineChars="200"/>
        <w:jc w:val="left"/>
        <w:rPr>
          <w:rFonts w:ascii="宋体" w:hAnsi="宋体"/>
          <w:sz w:val="22"/>
        </w:rPr>
      </w:pPr>
      <w:r>
        <w:rPr>
          <w:rFonts w:hint="eastAsia" w:ascii="宋体" w:hAnsi="宋体"/>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40" w:firstLineChars="200"/>
        <w:jc w:val="left"/>
        <w:rPr>
          <w:rFonts w:ascii="宋体" w:hAnsi="宋体"/>
          <w:sz w:val="22"/>
        </w:rPr>
      </w:pPr>
      <w:r>
        <w:rPr>
          <w:rFonts w:hint="eastAsia" w:ascii="宋体" w:hAnsi="宋体"/>
          <w:sz w:val="22"/>
        </w:rPr>
        <w:t>八、如违反上述廉洁自律承诺，贵公司有权：</w:t>
      </w:r>
    </w:p>
    <w:p>
      <w:pPr>
        <w:spacing w:line="276" w:lineRule="auto"/>
        <w:ind w:firstLine="440" w:firstLineChars="200"/>
        <w:jc w:val="left"/>
        <w:rPr>
          <w:rFonts w:ascii="宋体" w:hAnsi="宋体"/>
          <w:sz w:val="22"/>
        </w:rPr>
      </w:pPr>
      <w:r>
        <w:rPr>
          <w:rFonts w:hint="eastAsia" w:ascii="宋体" w:hAnsi="宋体"/>
          <w:sz w:val="22"/>
        </w:rPr>
        <w:t>（1）</w:t>
      </w:r>
      <w:r>
        <w:rPr>
          <w:rFonts w:hint="eastAsia" w:ascii="宋体" w:hAnsi="宋体"/>
          <w:sz w:val="22"/>
        </w:rPr>
        <w:tab/>
      </w:r>
      <w:r>
        <w:rPr>
          <w:rFonts w:hint="eastAsia" w:ascii="宋体" w:hAnsi="宋体"/>
          <w:sz w:val="22"/>
        </w:rPr>
        <w:t>立即取消我单位投标、中标或在建项目的实施资格；</w:t>
      </w:r>
    </w:p>
    <w:p>
      <w:pPr>
        <w:spacing w:line="276" w:lineRule="auto"/>
        <w:ind w:firstLine="440" w:firstLineChars="200"/>
        <w:jc w:val="left"/>
        <w:rPr>
          <w:rFonts w:ascii="宋体" w:hAnsi="宋体"/>
          <w:sz w:val="22"/>
        </w:rPr>
      </w:pPr>
      <w:r>
        <w:rPr>
          <w:rFonts w:hint="eastAsia" w:ascii="宋体" w:hAnsi="宋体"/>
          <w:sz w:val="22"/>
        </w:rPr>
        <w:t>（2）</w:t>
      </w:r>
      <w:r>
        <w:rPr>
          <w:rFonts w:hint="eastAsia" w:ascii="宋体" w:hAnsi="宋体"/>
          <w:sz w:val="22"/>
        </w:rPr>
        <w:tab/>
      </w:r>
      <w:r>
        <w:rPr>
          <w:rFonts w:hint="eastAsia" w:ascii="宋体" w:hAnsi="宋体"/>
          <w:sz w:val="22"/>
        </w:rPr>
        <w:t>扣除我方向贵公司缴纳的履约保证金的10%作为违反廉洁自律承诺的违约金。如该违约金不足以弥补贵公司损失的，我单位仍将承担实际损失赔偿责任。</w:t>
      </w:r>
    </w:p>
    <w:p>
      <w:pPr>
        <w:spacing w:line="276" w:lineRule="auto"/>
        <w:ind w:firstLine="440" w:firstLineChars="200"/>
        <w:jc w:val="left"/>
        <w:rPr>
          <w:rFonts w:ascii="宋体" w:hAnsi="宋体"/>
          <w:sz w:val="22"/>
        </w:rPr>
      </w:pPr>
      <w:r>
        <w:rPr>
          <w:rFonts w:hint="eastAsia" w:ascii="宋体" w:hAnsi="宋体"/>
          <w:sz w:val="22"/>
        </w:rPr>
        <w:t>（3）</w:t>
      </w:r>
      <w:r>
        <w:rPr>
          <w:rFonts w:hint="eastAsia" w:ascii="宋体" w:hAnsi="宋体"/>
          <w:sz w:val="22"/>
        </w:rPr>
        <w:tab/>
      </w:r>
      <w:r>
        <w:rPr>
          <w:rFonts w:hint="eastAsia" w:ascii="宋体" w:hAnsi="宋体"/>
          <w:sz w:val="22"/>
        </w:rPr>
        <w:t>拒绝我单位在一定时期内进入贵公司进行项目建设或其它经营活动；</w:t>
      </w:r>
    </w:p>
    <w:p>
      <w:pPr>
        <w:spacing w:line="276" w:lineRule="auto"/>
        <w:ind w:firstLine="440" w:firstLineChars="200"/>
        <w:jc w:val="left"/>
        <w:rPr>
          <w:rFonts w:ascii="宋体" w:hAnsi="宋体"/>
          <w:sz w:val="22"/>
        </w:rPr>
      </w:pPr>
      <w:r>
        <w:rPr>
          <w:rFonts w:hint="eastAsia" w:ascii="宋体" w:hAnsi="宋体"/>
          <w:sz w:val="22"/>
        </w:rPr>
        <w:t>（4）</w:t>
      </w:r>
      <w:r>
        <w:rPr>
          <w:rFonts w:hint="eastAsia" w:ascii="宋体" w:hAnsi="宋体"/>
          <w:sz w:val="22"/>
        </w:rPr>
        <w:tab/>
      </w:r>
      <w:r>
        <w:rPr>
          <w:rFonts w:hint="eastAsia" w:ascii="宋体" w:hAnsi="宋体"/>
          <w:sz w:val="22"/>
        </w:rPr>
        <w:t>由此引起的相应损失均由我单位承担。</w:t>
      </w:r>
    </w:p>
    <w:p>
      <w:pPr>
        <w:spacing w:line="276" w:lineRule="auto"/>
        <w:ind w:firstLine="440" w:firstLineChars="200"/>
        <w:jc w:val="left"/>
        <w:rPr>
          <w:rFonts w:ascii="宋体" w:hAnsi="宋体"/>
          <w:sz w:val="22"/>
        </w:rPr>
      </w:pPr>
    </w:p>
    <w:p>
      <w:pPr>
        <w:spacing w:line="276" w:lineRule="auto"/>
        <w:ind w:firstLine="440" w:firstLineChars="200"/>
        <w:jc w:val="left"/>
        <w:rPr>
          <w:rFonts w:ascii="宋体" w:hAnsi="宋体"/>
          <w:sz w:val="22"/>
        </w:rPr>
      </w:pPr>
      <w:r>
        <w:rPr>
          <w:rFonts w:hint="eastAsia" w:ascii="宋体" w:hAnsi="宋体"/>
          <w:sz w:val="22"/>
        </w:rPr>
        <w:t xml:space="preserve">承诺人单位名称（盖章）：            </w:t>
      </w:r>
    </w:p>
    <w:p>
      <w:pPr>
        <w:spacing w:line="276" w:lineRule="auto"/>
        <w:ind w:firstLine="440" w:firstLineChars="200"/>
        <w:jc w:val="left"/>
        <w:rPr>
          <w:rFonts w:ascii="宋体" w:hAnsi="宋体"/>
          <w:sz w:val="22"/>
        </w:rPr>
      </w:pPr>
      <w:r>
        <w:rPr>
          <w:rFonts w:hint="eastAsia" w:ascii="宋体" w:hAnsi="宋体"/>
          <w:sz w:val="22"/>
        </w:rPr>
        <w:t xml:space="preserve">法定代表人 ：                    </w:t>
      </w:r>
    </w:p>
    <w:p>
      <w:pPr>
        <w:spacing w:line="276" w:lineRule="auto"/>
        <w:ind w:firstLine="440" w:firstLineChars="200"/>
        <w:jc w:val="left"/>
        <w:rPr>
          <w:rFonts w:ascii="宋体" w:hAnsi="宋体"/>
          <w:sz w:val="22"/>
        </w:rPr>
      </w:pPr>
      <w:r>
        <w:rPr>
          <w:rFonts w:hint="eastAsia" w:ascii="宋体" w:hAnsi="宋体"/>
          <w:sz w:val="22"/>
        </w:rPr>
        <w:t xml:space="preserve">或                            </w:t>
      </w:r>
    </w:p>
    <w:p>
      <w:pPr>
        <w:spacing w:line="276" w:lineRule="auto"/>
        <w:ind w:firstLine="440" w:firstLineChars="200"/>
        <w:jc w:val="left"/>
        <w:rPr>
          <w:rFonts w:ascii="宋体" w:hAnsi="宋体"/>
          <w:sz w:val="22"/>
        </w:rPr>
      </w:pPr>
      <w:r>
        <w:rPr>
          <w:rFonts w:hint="eastAsia" w:ascii="宋体" w:hAnsi="宋体"/>
          <w:sz w:val="22"/>
        </w:rPr>
        <w:t xml:space="preserve">委托代理人：                   </w:t>
      </w:r>
    </w:p>
    <w:p>
      <w:pPr>
        <w:spacing w:line="276" w:lineRule="auto"/>
        <w:ind w:firstLine="440" w:firstLineChars="200"/>
        <w:jc w:val="left"/>
        <w:rPr>
          <w:rFonts w:ascii="宋体" w:hAnsi="宋体"/>
          <w:sz w:val="22"/>
        </w:rPr>
      </w:pPr>
    </w:p>
    <w:p>
      <w:pPr>
        <w:spacing w:line="276" w:lineRule="auto"/>
        <w:ind w:firstLine="440" w:firstLineChars="200"/>
        <w:jc w:val="left"/>
        <w:rPr>
          <w:rFonts w:ascii="宋体" w:hAnsi="宋体"/>
          <w:sz w:val="22"/>
        </w:rPr>
      </w:pPr>
      <w:r>
        <w:rPr>
          <w:rFonts w:hint="eastAsia" w:ascii="宋体" w:hAnsi="宋体"/>
          <w:sz w:val="22"/>
        </w:rPr>
        <w:t xml:space="preserve">          年     月     日</w:t>
      </w:r>
    </w:p>
    <w:p>
      <w:pPr>
        <w:widowControl/>
        <w:jc w:val="left"/>
        <w:rPr>
          <w:rFonts w:eastAsia="黑体"/>
          <w:b/>
          <w:bCs/>
          <w:kern w:val="0"/>
          <w:sz w:val="32"/>
          <w:szCs w:val="32"/>
        </w:rPr>
      </w:pPr>
      <w:r>
        <w:br w:type="page"/>
      </w:r>
    </w:p>
    <w:p>
      <w:pPr>
        <w:pStyle w:val="53"/>
        <w:rPr>
          <w:color w:val="000000"/>
        </w:rPr>
      </w:pPr>
      <w:bookmarkStart w:id="86" w:name="_Toc13826048"/>
      <w:r>
        <w:rPr>
          <w:rFonts w:hint="eastAsia"/>
          <w:color w:val="000000"/>
        </w:rPr>
        <w:t>第四章</w:t>
      </w:r>
      <w:r>
        <w:rPr>
          <w:color w:val="000000"/>
        </w:rPr>
        <w:t xml:space="preserve">  </w:t>
      </w:r>
      <w:r>
        <w:rPr>
          <w:rFonts w:hint="eastAsia"/>
          <w:color w:val="000000"/>
        </w:rPr>
        <w:t>参考工程量清单</w:t>
      </w:r>
      <w:bookmarkEnd w:id="86"/>
    </w:p>
    <w:p>
      <w:pPr>
        <w:widowControl/>
        <w:jc w:val="left"/>
        <w:rPr>
          <w:rFonts w:eastAsia="黑体"/>
          <w:b/>
          <w:bCs/>
          <w:kern w:val="0"/>
          <w:sz w:val="32"/>
          <w:szCs w:val="32"/>
        </w:rPr>
      </w:pPr>
      <w:r>
        <w:rPr>
          <w:rFonts w:hint="eastAsia"/>
        </w:rPr>
        <w:t>详细内容见《技术规格说明书》</w:t>
      </w:r>
      <w:r>
        <w:br w:type="page"/>
      </w:r>
    </w:p>
    <w:p>
      <w:pPr>
        <w:pStyle w:val="53"/>
        <w:rPr>
          <w:color w:val="000000"/>
        </w:rPr>
      </w:pPr>
      <w:bookmarkStart w:id="87" w:name="_Toc30631"/>
      <w:bookmarkStart w:id="88" w:name="_Toc13826049"/>
      <w:r>
        <w:rPr>
          <w:rFonts w:hint="eastAsia"/>
          <w:color w:val="000000"/>
        </w:rPr>
        <w:t>第五章</w:t>
      </w:r>
      <w:r>
        <w:rPr>
          <w:color w:val="000000"/>
        </w:rPr>
        <w:t xml:space="preserve">  </w:t>
      </w:r>
      <w:r>
        <w:rPr>
          <w:rFonts w:hint="eastAsia"/>
          <w:color w:val="000000"/>
        </w:rPr>
        <w:t>图纸</w:t>
      </w:r>
      <w:bookmarkEnd w:id="87"/>
      <w:bookmarkEnd w:id="88"/>
    </w:p>
    <w:p>
      <w:pPr>
        <w:pStyle w:val="53"/>
        <w:outlineLvl w:val="9"/>
        <w:rPr>
          <w:rFonts w:hint="eastAsia" w:ascii="宋体" w:eastAsia="宋体"/>
          <w:sz w:val="22"/>
          <w:szCs w:val="22"/>
        </w:rPr>
      </w:pPr>
      <w:r>
        <w:rPr>
          <w:rFonts w:ascii="宋体" w:eastAsia="宋体"/>
          <w:sz w:val="22"/>
          <w:szCs w:val="22"/>
        </w:rPr>
        <w:pict>
          <v:shape id="_x0000_i1025" o:spt="75" type="#_x0000_t75" style="height:282.55pt;width:459.85pt;" filled="f" stroked="f" coordsize="21600,21600">
            <v:path/>
            <v:fill on="f" focussize="0,0"/>
            <v:stroke on="f"/>
            <v:imagedata r:id="rId11" o:title="无标题"/>
            <o:lock v:ext="edit" aspectratio="t"/>
            <w10:wrap type="none"/>
            <w10:anchorlock/>
          </v:shape>
        </w:pict>
      </w:r>
    </w:p>
    <w:p>
      <w:pPr>
        <w:pStyle w:val="53"/>
        <w:outlineLvl w:val="9"/>
        <w:rPr>
          <w:rFonts w:hint="eastAsia" w:ascii="宋体" w:eastAsia="宋体"/>
          <w:sz w:val="22"/>
          <w:szCs w:val="22"/>
        </w:rPr>
      </w:pPr>
      <w:r>
        <w:rPr>
          <w:rFonts w:hint="eastAsia" w:ascii="宋体" w:eastAsia="宋体"/>
          <w:sz w:val="22"/>
          <w:szCs w:val="22"/>
        </w:rPr>
        <w:t>快件中心围界示意图</w:t>
      </w:r>
    </w:p>
    <w:p>
      <w:pPr>
        <w:pStyle w:val="53"/>
        <w:outlineLvl w:val="9"/>
        <w:rPr>
          <w:rFonts w:hint="eastAsia" w:ascii="宋体" w:eastAsia="宋体"/>
          <w:sz w:val="22"/>
          <w:szCs w:val="22"/>
        </w:rPr>
      </w:pPr>
      <w:r>
        <w:rPr>
          <w:rFonts w:ascii="宋体" w:eastAsia="宋体"/>
          <w:sz w:val="22"/>
          <w:szCs w:val="22"/>
        </w:rPr>
        <w:pict>
          <v:shape id="_x0000_i1026" o:spt="75" type="#_x0000_t75" style="height:262.75pt;width:456.4pt;" filled="f" stroked="f" coordsize="21600,21600">
            <v:path/>
            <v:fill on="f" focussize="0,0"/>
            <v:stroke on="f"/>
            <v:imagedata r:id="rId12" o:title="无标题1"/>
            <o:lock v:ext="edit" aspectratio="t"/>
            <w10:wrap type="none"/>
            <w10:anchorlock/>
          </v:shape>
        </w:pict>
      </w:r>
    </w:p>
    <w:p>
      <w:pPr>
        <w:pStyle w:val="53"/>
        <w:outlineLvl w:val="9"/>
        <w:rPr>
          <w:rFonts w:hint="eastAsia" w:ascii="宋体" w:eastAsia="宋体"/>
          <w:sz w:val="22"/>
          <w:szCs w:val="22"/>
        </w:rPr>
      </w:pPr>
      <w:r>
        <w:rPr>
          <w:rFonts w:hint="eastAsia" w:ascii="宋体" w:eastAsia="宋体"/>
          <w:sz w:val="22"/>
          <w:szCs w:val="22"/>
        </w:rPr>
        <w:t>快件中心库区部分监控安装示意图</w:t>
      </w:r>
    </w:p>
    <w:p>
      <w:pPr>
        <w:pStyle w:val="53"/>
        <w:outlineLvl w:val="9"/>
      </w:pPr>
      <w:r>
        <w:rPr>
          <w:rFonts w:hint="eastAsia" w:ascii="宋体" w:eastAsia="宋体"/>
          <w:sz w:val="22"/>
          <w:szCs w:val="22"/>
        </w:rPr>
        <w:t>详细图纸见附件2</w:t>
      </w:r>
      <w:r>
        <w:rPr>
          <w:rFonts w:ascii="宋体" w:eastAsia="宋体"/>
          <w:sz w:val="22"/>
          <w:szCs w:val="22"/>
        </w:rPr>
        <w:br w:type="page"/>
      </w:r>
      <w:bookmarkStart w:id="89" w:name="_Toc275274581"/>
      <w:r>
        <w:rPr>
          <w:rFonts w:hint="eastAsia"/>
        </w:rPr>
        <w:t>第六章</w:t>
      </w:r>
      <w:r>
        <w:t xml:space="preserve">  </w:t>
      </w:r>
      <w:r>
        <w:rPr>
          <w:rFonts w:hint="eastAsia"/>
        </w:rPr>
        <w:t>评标办法及标准</w:t>
      </w:r>
    </w:p>
    <w:p>
      <w:pPr>
        <w:pStyle w:val="31"/>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szCs w:val="22"/>
        </w:rPr>
        <w:t xml:space="preserve"> </w:t>
      </w:r>
      <w:r>
        <w:rPr>
          <w:rFonts w:hint="eastAsia" w:hAnsi="宋体" w:cs="Calibri"/>
          <w:bCs/>
          <w:sz w:val="22"/>
          <w:szCs w:val="22"/>
        </w:rPr>
        <w:t>第</w:t>
      </w:r>
      <w:r>
        <w:rPr>
          <w:rFonts w:hAnsi="宋体" w:cs="Calibri"/>
          <w:bCs/>
          <w:sz w:val="22"/>
          <w:szCs w:val="22"/>
        </w:rPr>
        <w:t>12</w:t>
      </w:r>
      <w:r>
        <w:rPr>
          <w:rFonts w:hint="eastAsia" w:hAnsi="宋体" w:cs="Calibri"/>
          <w:bCs/>
          <w:sz w:val="22"/>
          <w:szCs w:val="22"/>
        </w:rPr>
        <w:t>号令）等有关规定，制定本办法。</w:t>
      </w:r>
    </w:p>
    <w:p>
      <w:pPr>
        <w:pStyle w:val="31"/>
        <w:spacing w:line="360" w:lineRule="exact"/>
        <w:rPr>
          <w:rFonts w:hAnsi="宋体" w:cs="Calibri"/>
          <w:b/>
          <w:bCs/>
          <w:sz w:val="22"/>
          <w:szCs w:val="22"/>
        </w:rPr>
      </w:pPr>
      <w:r>
        <w:rPr>
          <w:rFonts w:hint="eastAsia"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，评标应遵循公平、公正、科学、择优的原则。</w:t>
      </w:r>
    </w:p>
    <w:p>
      <w:pPr>
        <w:pStyle w:val="31"/>
        <w:spacing w:line="360" w:lineRule="exact"/>
        <w:rPr>
          <w:rFonts w:hAnsi="宋体" w:cs="Calibri"/>
          <w:b/>
          <w:bCs/>
          <w:sz w:val="22"/>
          <w:szCs w:val="22"/>
        </w:rPr>
      </w:pPr>
      <w:r>
        <w:rPr>
          <w:rFonts w:hint="eastAsia" w:hAnsi="宋体" w:cs="Calibri"/>
          <w:b/>
          <w:bCs/>
          <w:sz w:val="22"/>
          <w:szCs w:val="22"/>
        </w:rPr>
        <w:t>二、评标组织</w:t>
      </w:r>
    </w:p>
    <w:p>
      <w:pPr>
        <w:pStyle w:val="3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int="eastAsia"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4" w:firstLineChars="202"/>
        <w:rPr>
          <w:rFonts w:ascii="宋体" w:cs="Calibri"/>
          <w:bCs/>
          <w:kern w:val="0"/>
          <w:sz w:val="22"/>
          <w:szCs w:val="22"/>
        </w:rPr>
      </w:pPr>
      <w:r>
        <w:rPr>
          <w:rFonts w:ascii="宋体" w:hAnsi="宋体" w:cs="Calibri"/>
          <w:bCs/>
          <w:kern w:val="0"/>
          <w:sz w:val="22"/>
          <w:szCs w:val="22"/>
        </w:rPr>
        <w:t>3.1.1</w:t>
      </w:r>
      <w:r>
        <w:rPr>
          <w:rFonts w:hint="eastAsia" w:ascii="宋体" w:hAnsi="宋体" w:cs="Calibri"/>
          <w:bCs/>
          <w:kern w:val="0"/>
          <w:sz w:val="22"/>
          <w:szCs w:val="22"/>
        </w:rPr>
        <w:t>评标委员会应依照招标文件的要求和规定首先对投标人的投标资格和投标文件进行符合性审查，</w:t>
      </w:r>
      <w:r>
        <w:rPr>
          <w:rFonts w:hint="eastAsia" w:ascii="宋体" w:hAnsi="宋体" w:cs="Calibri"/>
          <w:b/>
          <w:kern w:val="0"/>
          <w:sz w:val="22"/>
          <w:szCs w:val="22"/>
        </w:rPr>
        <w:t>审查过程中评标委员会可以要求投标人提交下列审查项所需的有关证明和证件的原件，以便核验。</w:t>
      </w:r>
      <w:r>
        <w:rPr>
          <w:rFonts w:hint="eastAsia" w:ascii="宋体" w:hAnsi="宋体" w:cs="Calibri"/>
          <w:bCs/>
          <w:kern w:val="0"/>
          <w:sz w:val="22"/>
          <w:szCs w:val="22"/>
        </w:rPr>
        <w:t>投标文件如存在以下情况之一的，经评标委员会三分之二以上的成员认定，符合性审查不予通过，</w:t>
      </w:r>
      <w:r>
        <w:rPr>
          <w:rFonts w:hint="eastAsia" w:ascii="宋体" w:hAnsi="宋体" w:cs="Calibri"/>
          <w:b/>
          <w:bCs/>
          <w:kern w:val="0"/>
          <w:sz w:val="22"/>
          <w:szCs w:val="22"/>
        </w:rPr>
        <w:t>作否决投标处理，</w:t>
      </w:r>
      <w:r>
        <w:rPr>
          <w:rFonts w:hint="eastAsia" w:ascii="宋体" w:hAnsi="宋体" w:cs="Calibri"/>
          <w:bCs/>
          <w:kern w:val="0"/>
          <w:sz w:val="22"/>
          <w:szCs w:val="22"/>
        </w:rPr>
        <w:t>不再进行详细评审：</w:t>
      </w:r>
    </w:p>
    <w:p>
      <w:pPr>
        <w:spacing w:line="360" w:lineRule="exact"/>
        <w:ind w:firstLine="470" w:firstLineChars="214"/>
        <w:rPr>
          <w:rFonts w:ascii="宋体" w:cs="Calibri"/>
          <w:sz w:val="22"/>
          <w:szCs w:val="22"/>
        </w:rPr>
      </w:pPr>
      <w:r>
        <w:rPr>
          <w:rFonts w:ascii="宋体" w:hAnsi="宋体" w:cs="Calibri"/>
          <w:sz w:val="22"/>
          <w:szCs w:val="22"/>
        </w:rPr>
        <w:t>1</w:t>
      </w:r>
      <w:r>
        <w:rPr>
          <w:rFonts w:hint="eastAsia" w:ascii="宋体" w:hAnsi="宋体" w:cs="Calibri"/>
          <w:sz w:val="22"/>
          <w:szCs w:val="22"/>
        </w:rPr>
        <w:t>、</w:t>
      </w:r>
      <w:r>
        <w:rPr>
          <w:rFonts w:hint="eastAsia"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cs="Calibri"/>
          <w:sz w:val="22"/>
          <w:szCs w:val="22"/>
        </w:rPr>
      </w:pPr>
      <w:r>
        <w:rPr>
          <w:rFonts w:ascii="宋体" w:hAnsi="宋体" w:cs="Calibri"/>
          <w:sz w:val="22"/>
          <w:szCs w:val="22"/>
        </w:rPr>
        <w:t>2</w:t>
      </w:r>
      <w:r>
        <w:rPr>
          <w:rFonts w:hint="eastAsia" w:ascii="宋体" w:hAnsi="宋体" w:cs="Calibri"/>
          <w:sz w:val="22"/>
          <w:szCs w:val="22"/>
        </w:rPr>
        <w:t>、投标文件未按招标文件的要求签署和盖章的（仅限于单位印章和法定代表人或其委托代理人签字或盖章）；</w:t>
      </w:r>
    </w:p>
    <w:p>
      <w:pPr>
        <w:spacing w:line="360" w:lineRule="exact"/>
        <w:ind w:firstLine="470" w:firstLineChars="214"/>
        <w:rPr>
          <w:rFonts w:ascii="宋体" w:cs="Calibri"/>
          <w:sz w:val="22"/>
          <w:szCs w:val="22"/>
        </w:rPr>
      </w:pPr>
      <w:r>
        <w:rPr>
          <w:rFonts w:ascii="宋体" w:hAnsi="宋体" w:cs="Calibri"/>
          <w:sz w:val="22"/>
          <w:szCs w:val="22"/>
        </w:rPr>
        <w:t>3</w:t>
      </w:r>
      <w:r>
        <w:rPr>
          <w:rFonts w:hint="eastAsia" w:ascii="宋体" w:hAnsi="宋体" w:cs="Calibri"/>
          <w:sz w:val="22"/>
          <w:szCs w:val="22"/>
        </w:rPr>
        <w:t>、投标文件未按规定的格式填写，内容不全或关键字迹模糊、无法辨认的；</w:t>
      </w:r>
    </w:p>
    <w:p>
      <w:pPr>
        <w:spacing w:line="360" w:lineRule="exact"/>
        <w:ind w:firstLine="470" w:firstLineChars="214"/>
        <w:rPr>
          <w:rFonts w:ascii="宋体" w:cs="Calibri"/>
          <w:sz w:val="22"/>
          <w:szCs w:val="22"/>
        </w:rPr>
      </w:pPr>
      <w:r>
        <w:rPr>
          <w:rFonts w:ascii="宋体" w:hAnsi="宋体" w:cs="Calibri"/>
          <w:sz w:val="22"/>
          <w:szCs w:val="22"/>
        </w:rPr>
        <w:t>4</w:t>
      </w:r>
      <w:r>
        <w:rPr>
          <w:rFonts w:hint="eastAsia" w:ascii="宋体" w:hAnsi="宋体" w:cs="Calibri"/>
          <w:sz w:val="22"/>
          <w:szCs w:val="22"/>
        </w:rPr>
        <w:t>、投标人递交两份或多份内容不同的投标文件，或在一份投标文件中对同一招标项目报有两个或多个报价，且未声明哪一个有效；</w:t>
      </w:r>
    </w:p>
    <w:p>
      <w:pPr>
        <w:spacing w:line="360" w:lineRule="exact"/>
        <w:ind w:firstLine="470" w:firstLineChars="214"/>
        <w:rPr>
          <w:rFonts w:ascii="宋体" w:cs="Calibri"/>
          <w:sz w:val="22"/>
          <w:szCs w:val="22"/>
        </w:rPr>
      </w:pPr>
      <w:r>
        <w:rPr>
          <w:rFonts w:ascii="宋体" w:hAnsi="宋体" w:cs="Calibri"/>
          <w:sz w:val="22"/>
          <w:szCs w:val="22"/>
        </w:rPr>
        <w:t>5</w:t>
      </w:r>
      <w:r>
        <w:rPr>
          <w:rFonts w:hint="eastAsia" w:ascii="宋体" w:hAnsi="宋体" w:cs="Calibri"/>
          <w:sz w:val="22"/>
          <w:szCs w:val="22"/>
        </w:rPr>
        <w:t>、供货期不满足招标文件要求的；</w:t>
      </w:r>
    </w:p>
    <w:p>
      <w:pPr>
        <w:spacing w:line="360" w:lineRule="exact"/>
        <w:ind w:firstLine="470" w:firstLineChars="214"/>
        <w:rPr>
          <w:rFonts w:ascii="宋体" w:cs="Calibri"/>
          <w:sz w:val="22"/>
          <w:szCs w:val="22"/>
        </w:rPr>
      </w:pPr>
      <w:r>
        <w:rPr>
          <w:rFonts w:ascii="宋体" w:hAnsi="宋体" w:cs="Calibri"/>
          <w:sz w:val="22"/>
          <w:szCs w:val="22"/>
        </w:rPr>
        <w:t>6</w:t>
      </w:r>
      <w:r>
        <w:rPr>
          <w:rFonts w:hint="eastAsia" w:ascii="宋体" w:hAnsi="宋体" w:cs="Calibri"/>
          <w:sz w:val="22"/>
          <w:szCs w:val="22"/>
        </w:rPr>
        <w:t>、不</w:t>
      </w:r>
      <w:r>
        <w:rPr>
          <w:rFonts w:hint="eastAsia" w:ascii="宋体" w:hAnsi="宋体" w:cs="Calibri"/>
          <w:kern w:val="0"/>
          <w:sz w:val="22"/>
          <w:szCs w:val="22"/>
        </w:rPr>
        <w:t>响应招标文件规定的实质性要求（包括具体条文前用</w:t>
      </w:r>
      <w:r>
        <w:rPr>
          <w:rFonts w:hint="eastAsia" w:ascii="宋体" w:cs="Calibri"/>
          <w:kern w:val="0"/>
          <w:sz w:val="22"/>
          <w:szCs w:val="22"/>
        </w:rPr>
        <w:t>“★”</w:t>
      </w:r>
      <w:r>
        <w:rPr>
          <w:rFonts w:hint="eastAsia" w:ascii="宋体" w:hAnsi="宋体" w:cs="Calibri"/>
          <w:kern w:val="0"/>
          <w:sz w:val="22"/>
          <w:szCs w:val="22"/>
        </w:rPr>
        <w:t>标示的）</w:t>
      </w:r>
    </w:p>
    <w:p>
      <w:pPr>
        <w:spacing w:line="360" w:lineRule="exact"/>
        <w:ind w:firstLine="470" w:firstLineChars="214"/>
        <w:rPr>
          <w:rFonts w:ascii="宋体" w:cs="Calibri"/>
          <w:sz w:val="22"/>
          <w:szCs w:val="22"/>
        </w:rPr>
      </w:pPr>
      <w:r>
        <w:rPr>
          <w:rFonts w:ascii="宋体" w:hAnsi="宋体" w:cs="Calibri"/>
          <w:sz w:val="22"/>
          <w:szCs w:val="22"/>
        </w:rPr>
        <w:t>7</w:t>
      </w:r>
      <w:r>
        <w:rPr>
          <w:rFonts w:hint="eastAsia" w:ascii="宋体" w:hAnsi="宋体" w:cs="Calibri"/>
          <w:sz w:val="22"/>
          <w:szCs w:val="22"/>
        </w:rPr>
        <w:t>、投标人不以自己的名义或未按招标文件的要求提供投标保证金或提供的保证金有缺陷而不能接受的；</w:t>
      </w:r>
    </w:p>
    <w:p>
      <w:pPr>
        <w:spacing w:line="360" w:lineRule="exact"/>
        <w:ind w:firstLine="470" w:firstLineChars="214"/>
        <w:rPr>
          <w:rFonts w:ascii="宋体" w:cs="Calibri"/>
          <w:sz w:val="22"/>
          <w:szCs w:val="22"/>
        </w:rPr>
      </w:pPr>
      <w:r>
        <w:rPr>
          <w:rFonts w:ascii="宋体" w:hAnsi="宋体" w:cs="Calibri"/>
          <w:sz w:val="22"/>
          <w:szCs w:val="22"/>
        </w:rPr>
        <w:t>8</w:t>
      </w:r>
      <w:r>
        <w:rPr>
          <w:rFonts w:hint="eastAsia" w:ascii="宋体" w:hAnsi="宋体" w:cs="Calibri"/>
          <w:sz w:val="22"/>
          <w:szCs w:val="22"/>
        </w:rPr>
        <w:t>、投标人以他人名义投标、或与他人串通投标、或以行贿手段谋取中标，或弄虚作假的；</w:t>
      </w:r>
    </w:p>
    <w:p>
      <w:pPr>
        <w:spacing w:line="360" w:lineRule="exact"/>
        <w:ind w:firstLine="470" w:firstLineChars="214"/>
        <w:rPr>
          <w:rFonts w:ascii="宋体" w:cs="Calibri"/>
          <w:sz w:val="22"/>
          <w:szCs w:val="22"/>
        </w:rPr>
      </w:pPr>
      <w:r>
        <w:rPr>
          <w:rFonts w:ascii="宋体" w:hAnsi="宋体" w:cs="Calibri"/>
          <w:sz w:val="22"/>
          <w:szCs w:val="22"/>
        </w:rPr>
        <w:t>9</w:t>
      </w:r>
      <w:r>
        <w:rPr>
          <w:rFonts w:hint="eastAsia" w:ascii="宋体" w:hAnsi="宋体" w:cs="Calibri"/>
          <w:sz w:val="22"/>
          <w:szCs w:val="22"/>
        </w:rPr>
        <w:t>、存在法律、法规、规章规定的其它无效投标情况的。</w:t>
      </w:r>
    </w:p>
    <w:p>
      <w:pPr>
        <w:widowControl/>
        <w:tabs>
          <w:tab w:val="left" w:pos="709"/>
        </w:tabs>
        <w:snapToGrid w:val="0"/>
        <w:spacing w:line="360" w:lineRule="exact"/>
        <w:ind w:firstLine="446" w:firstLineChars="202"/>
        <w:rPr>
          <w:rFonts w:ascii="宋体" w:cs="Calibri"/>
          <w:b/>
          <w:sz w:val="22"/>
          <w:szCs w:val="22"/>
        </w:rPr>
      </w:pPr>
      <w:r>
        <w:rPr>
          <w:rFonts w:ascii="宋体" w:hAnsi="宋体" w:cs="Calibri"/>
          <w:b/>
          <w:sz w:val="22"/>
          <w:szCs w:val="22"/>
        </w:rPr>
        <w:t xml:space="preserve">3.1.2 </w:t>
      </w:r>
      <w:r>
        <w:rPr>
          <w:rFonts w:hint="eastAsia" w:ascii="宋体" w:hAnsi="宋体" w:cs="Calibri"/>
          <w:b/>
          <w:sz w:val="22"/>
          <w:szCs w:val="22"/>
        </w:rPr>
        <w:t>报价算术性修正</w:t>
      </w:r>
    </w:p>
    <w:p>
      <w:pPr>
        <w:pStyle w:val="3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p>
    <w:p>
      <w:pPr>
        <w:pStyle w:val="3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sz w:val="22"/>
          <w:szCs w:val="22"/>
        </w:rPr>
      </w:pPr>
      <w:r>
        <w:rPr>
          <w:rFonts w:ascii="宋体" w:hAnsi="宋体" w:cs="Calibri"/>
          <w:b/>
          <w:sz w:val="22"/>
          <w:szCs w:val="22"/>
        </w:rPr>
        <w:t>3.3</w:t>
      </w:r>
      <w:r>
        <w:rPr>
          <w:rFonts w:hint="eastAsia" w:ascii="宋体" w:hAnsi="宋体"/>
          <w:b/>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w:t>
      </w:r>
      <w:r>
        <w:rPr>
          <w:rFonts w:hAnsi="宋体" w:cs="Calibri"/>
          <w:sz w:val="22"/>
          <w:szCs w:val="22"/>
        </w:rPr>
        <w:t>1</w:t>
      </w:r>
      <w:r>
        <w:rPr>
          <w:rFonts w:hint="eastAsia" w:hAnsi="宋体" w:cs="Calibri"/>
          <w:sz w:val="22"/>
          <w:szCs w:val="22"/>
        </w:rPr>
        <w:t>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w:t>
      </w:r>
      <w:r>
        <w:rPr>
          <w:rFonts w:hAnsi="宋体"/>
          <w:b/>
          <w:sz w:val="22"/>
          <w:szCs w:val="22"/>
        </w:rPr>
        <w:t>=</w:t>
      </w:r>
      <w:r>
        <w:rPr>
          <w:rFonts w:hint="eastAsia" w:hAnsi="宋体"/>
          <w:b/>
          <w:sz w:val="22"/>
          <w:szCs w:val="22"/>
        </w:rPr>
        <w:t>商务报价分</w:t>
      </w:r>
      <w:r>
        <w:rPr>
          <w:rFonts w:hAnsi="宋体"/>
          <w:b/>
          <w:sz w:val="22"/>
          <w:szCs w:val="22"/>
        </w:rPr>
        <w:t>+</w:t>
      </w:r>
      <w:r>
        <w:rPr>
          <w:rFonts w:hint="eastAsia" w:hAnsi="宋体"/>
          <w:b/>
          <w:sz w:val="22"/>
          <w:szCs w:val="22"/>
        </w:rPr>
        <w:t>技术分</w:t>
      </w:r>
    </w:p>
    <w:p>
      <w:pPr>
        <w:pStyle w:val="31"/>
        <w:adjustRightInd w:val="0"/>
        <w:snapToGrid w:val="0"/>
        <w:spacing w:line="360" w:lineRule="exact"/>
        <w:ind w:firstLine="440" w:firstLineChars="200"/>
        <w:rPr>
          <w:rFonts w:hAnsi="宋体" w:cs="Arial"/>
          <w:b/>
          <w:sz w:val="22"/>
          <w:szCs w:val="22"/>
        </w:rPr>
      </w:pPr>
      <w:r>
        <w:rPr>
          <w:rFonts w:hAnsi="宋体" w:cs="Calibri"/>
          <w:sz w:val="22"/>
          <w:szCs w:val="22"/>
        </w:rPr>
        <w:t>3.3.1</w:t>
      </w:r>
      <w:r>
        <w:rPr>
          <w:rFonts w:hint="eastAsia" w:hAnsi="宋体" w:cs="Calibri"/>
          <w:sz w:val="22"/>
          <w:szCs w:val="22"/>
        </w:rPr>
        <w:t>商务报价分6</w:t>
      </w:r>
      <w:r>
        <w:rPr>
          <w:rFonts w:hAnsi="宋体" w:cs="Calibri"/>
          <w:sz w:val="22"/>
          <w:szCs w:val="22"/>
        </w:rPr>
        <w:t>0</w:t>
      </w:r>
      <w:r>
        <w:rPr>
          <w:rFonts w:hint="eastAsia" w:hAnsi="宋体" w:cs="Calibri"/>
          <w:sz w:val="22"/>
          <w:szCs w:val="22"/>
        </w:rPr>
        <w:t>分</w:t>
      </w:r>
    </w:p>
    <w:p>
      <w:pPr>
        <w:adjustRightInd w:val="0"/>
        <w:snapToGrid w:val="0"/>
        <w:spacing w:line="440" w:lineRule="exact"/>
        <w:ind w:firstLine="48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）评分范围：通过符合性审查的所有投标文件进入评分范围。</w:t>
      </w:r>
    </w:p>
    <w:p>
      <w:pPr>
        <w:adjustRightInd w:val="0"/>
        <w:snapToGrid w:val="0"/>
        <w:spacing w:line="440" w:lineRule="exact"/>
        <w:ind w:firstLine="480" w:firstLineChars="200"/>
        <w:rPr>
          <w:rFonts w:hAnsi="宋体"/>
          <w:sz w:val="22"/>
        </w:rPr>
      </w:pPr>
      <w:r>
        <w:rPr>
          <w:rFonts w:hint="eastAsia" w:ascii="宋体" w:hAnsi="宋体"/>
          <w:szCs w:val="21"/>
        </w:rPr>
        <w:t>（</w:t>
      </w:r>
      <w:r>
        <w:rPr>
          <w:rFonts w:ascii="宋体" w:hAnsi="宋体"/>
          <w:szCs w:val="21"/>
        </w:rPr>
        <w:t>2</w:t>
      </w:r>
      <w:r>
        <w:rPr>
          <w:rFonts w:hint="eastAsia" w:ascii="宋体" w:hAnsi="宋体"/>
          <w:szCs w:val="21"/>
        </w:rPr>
        <w:t>）评标基准价：</w:t>
      </w:r>
    </w:p>
    <w:p>
      <w:pPr>
        <w:adjustRightInd w:val="0"/>
        <w:snapToGrid w:val="0"/>
        <w:spacing w:line="440" w:lineRule="exact"/>
        <w:ind w:firstLine="442" w:firstLineChars="200"/>
        <w:rPr>
          <w:rFonts w:hAnsi="宋体"/>
          <w:b/>
          <w:bCs/>
          <w:sz w:val="22"/>
        </w:rPr>
      </w:pPr>
      <w:r>
        <w:rPr>
          <w:rFonts w:hint="eastAsia" w:hAnsi="宋体"/>
          <w:b/>
          <w:bCs/>
          <w:sz w:val="22"/>
        </w:rPr>
        <w:t>报价评分应在投标报价响应招标文件要求的基础上，取所有有效投标报价的次低价作为评标基准价，如有效投标报价的数量小于4个，则评标基准价为所有有效投标报价的最低价。</w:t>
      </w:r>
    </w:p>
    <w:p>
      <w:pPr>
        <w:adjustRightInd w:val="0"/>
        <w:snapToGrid w:val="0"/>
        <w:spacing w:line="440" w:lineRule="exact"/>
        <w:ind w:firstLine="48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）根据投标文件的投标评标价与评标基准价对比，计算投标人的商务报价的得分值。即：</w:t>
      </w:r>
    </w:p>
    <w:p>
      <w:pPr>
        <w:adjustRightInd w:val="0"/>
        <w:snapToGrid w:val="0"/>
        <w:spacing w:line="440" w:lineRule="exact"/>
        <w:ind w:firstLine="480" w:firstLineChars="200"/>
        <w:rPr>
          <w:rFonts w:ascii="宋体"/>
          <w:szCs w:val="21"/>
        </w:rPr>
      </w:pPr>
      <w:r>
        <w:rPr>
          <w:rFonts w:ascii="宋体" w:hAnsi="宋体"/>
          <w:szCs w:val="21"/>
        </w:rPr>
        <w:t>a.</w:t>
      </w:r>
      <w:r>
        <w:rPr>
          <w:rFonts w:hint="eastAsia" w:ascii="宋体" w:hAnsi="宋体"/>
          <w:szCs w:val="21"/>
        </w:rPr>
        <w:t>投标评标价等于评标基准价时，得满分</w:t>
      </w:r>
      <w:r>
        <w:rPr>
          <w:rFonts w:hint="eastAsia" w:hAnsi="宋体"/>
          <w:szCs w:val="21"/>
        </w:rPr>
        <w:t>（</w:t>
      </w:r>
      <w:r>
        <w:rPr>
          <w:rFonts w:hAnsi="宋体"/>
          <w:szCs w:val="21"/>
        </w:rPr>
        <w:t>60</w:t>
      </w:r>
      <w:r>
        <w:rPr>
          <w:rFonts w:hint="eastAsia" w:hAnsi="宋体"/>
          <w:szCs w:val="21"/>
        </w:rPr>
        <w:t>分）</w:t>
      </w:r>
      <w:r>
        <w:rPr>
          <w:rFonts w:hint="eastAsia" w:ascii="宋体" w:hAnsi="宋体"/>
          <w:szCs w:val="21"/>
        </w:rPr>
        <w:t>；</w:t>
      </w:r>
    </w:p>
    <w:p>
      <w:pPr>
        <w:adjustRightInd w:val="0"/>
        <w:snapToGrid w:val="0"/>
        <w:spacing w:line="440" w:lineRule="exact"/>
        <w:ind w:firstLine="480" w:firstLineChars="200"/>
        <w:rPr>
          <w:rFonts w:ascii="宋体"/>
          <w:szCs w:val="21"/>
        </w:rPr>
      </w:pPr>
      <w:r>
        <w:rPr>
          <w:rFonts w:ascii="宋体" w:hAnsi="宋体"/>
          <w:szCs w:val="21"/>
        </w:rPr>
        <w:t>b.</w:t>
      </w:r>
      <w:r>
        <w:rPr>
          <w:rFonts w:hint="eastAsia" w:ascii="宋体" w:hAnsi="宋体"/>
          <w:szCs w:val="21"/>
        </w:rPr>
        <w:t>投标评标价每低于评标基准价</w:t>
      </w:r>
      <w:r>
        <w:rPr>
          <w:rFonts w:ascii="宋体" w:hAnsi="宋体"/>
          <w:szCs w:val="21"/>
        </w:rPr>
        <w:t>1</w:t>
      </w:r>
      <w:r>
        <w:rPr>
          <w:rFonts w:hint="eastAsia" w:ascii="宋体" w:hAnsi="宋体"/>
          <w:szCs w:val="21"/>
        </w:rPr>
        <w:t>个百分点，扣0.5分；</w:t>
      </w:r>
    </w:p>
    <w:p>
      <w:pPr>
        <w:adjustRightInd w:val="0"/>
        <w:snapToGrid w:val="0"/>
        <w:spacing w:line="440" w:lineRule="exact"/>
        <w:ind w:firstLine="480" w:firstLineChars="200"/>
        <w:rPr>
          <w:rFonts w:ascii="宋体"/>
          <w:szCs w:val="21"/>
        </w:rPr>
      </w:pPr>
      <w:r>
        <w:rPr>
          <w:rFonts w:ascii="宋体" w:hAnsi="宋体"/>
          <w:szCs w:val="21"/>
        </w:rPr>
        <w:t>c.</w:t>
      </w:r>
      <w:r>
        <w:rPr>
          <w:rFonts w:hint="eastAsia" w:ascii="宋体" w:hAnsi="宋体"/>
          <w:szCs w:val="21"/>
        </w:rPr>
        <w:t>投标评标价每高于评标基准价</w:t>
      </w:r>
      <w:r>
        <w:rPr>
          <w:rFonts w:ascii="宋体" w:hAnsi="宋体"/>
          <w:szCs w:val="21"/>
        </w:rPr>
        <w:t>1</w:t>
      </w:r>
      <w:r>
        <w:rPr>
          <w:rFonts w:hint="eastAsia" w:ascii="宋体" w:hAnsi="宋体"/>
          <w:szCs w:val="21"/>
        </w:rPr>
        <w:t>个百分点，扣1分。</w:t>
      </w:r>
    </w:p>
    <w:p>
      <w:pPr>
        <w:adjustRightInd w:val="0"/>
        <w:snapToGrid w:val="0"/>
        <w:spacing w:line="440" w:lineRule="exact"/>
        <w:ind w:firstLine="480" w:firstLineChars="200"/>
        <w:rPr>
          <w:rFonts w:ascii="宋体"/>
          <w:szCs w:val="21"/>
        </w:rPr>
      </w:pPr>
      <w:r>
        <w:rPr>
          <w:rFonts w:hint="eastAsia" w:ascii="宋体" w:hAnsi="宋体"/>
          <w:szCs w:val="21"/>
        </w:rPr>
        <w:t>以上报价得分</w:t>
      </w:r>
      <w:r>
        <w:rPr>
          <w:rFonts w:hint="eastAsia" w:hAnsi="宋体"/>
          <w:sz w:val="22"/>
        </w:rPr>
        <w:t>不足1个百分点按插值法计算，小数点后保留二位，四舍五入。</w:t>
      </w:r>
    </w:p>
    <w:p>
      <w:pPr>
        <w:spacing w:line="440" w:lineRule="exact"/>
        <w:ind w:firstLine="360" w:firstLineChars="150"/>
        <w:rPr>
          <w:rFonts w:ascii="宋体"/>
          <w:szCs w:val="21"/>
        </w:rPr>
      </w:pPr>
      <w:r>
        <w:rPr>
          <w:rFonts w:hint="eastAsia" w:ascii="宋体" w:hAnsi="宋体"/>
          <w:szCs w:val="21"/>
        </w:rPr>
        <w:t>投标文件的商务标评分不足</w:t>
      </w:r>
      <w:r>
        <w:rPr>
          <w:rFonts w:ascii="宋体" w:hAnsi="宋体"/>
          <w:szCs w:val="21"/>
        </w:rPr>
        <w:t>30</w:t>
      </w:r>
      <w:r>
        <w:rPr>
          <w:rFonts w:hint="eastAsia" w:ascii="宋体" w:hAnsi="宋体"/>
          <w:szCs w:val="21"/>
        </w:rPr>
        <w:t>分的，计为</w:t>
      </w:r>
      <w:r>
        <w:rPr>
          <w:rFonts w:ascii="宋体" w:hAnsi="宋体"/>
          <w:szCs w:val="21"/>
        </w:rPr>
        <w:t>30</w:t>
      </w:r>
      <w:r>
        <w:rPr>
          <w:rFonts w:hint="eastAsia" w:ascii="宋体" w:hAnsi="宋体"/>
          <w:szCs w:val="21"/>
        </w:rPr>
        <w:t>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2</w:t>
      </w:r>
      <w:r>
        <w:rPr>
          <w:rFonts w:hint="eastAsia" w:hAnsi="宋体" w:cs="Calibri"/>
          <w:sz w:val="22"/>
          <w:szCs w:val="22"/>
        </w:rPr>
        <w:t>、技术评分</w:t>
      </w:r>
      <w:r>
        <w:rPr>
          <w:rFonts w:hAnsi="宋体" w:cs="Calibri"/>
          <w:sz w:val="22"/>
          <w:szCs w:val="22"/>
        </w:rPr>
        <w:t xml:space="preserve">   </w:t>
      </w:r>
      <w:r>
        <w:rPr>
          <w:rFonts w:hint="eastAsia" w:hAnsi="宋体" w:cs="Calibri"/>
          <w:sz w:val="22"/>
          <w:szCs w:val="22"/>
        </w:rPr>
        <w:t>0</w:t>
      </w:r>
      <w:r>
        <w:rPr>
          <w:rFonts w:hAnsi="宋体" w:cs="Calibri"/>
          <w:sz w:val="22"/>
          <w:szCs w:val="22"/>
        </w:rPr>
        <w:t>-</w:t>
      </w:r>
      <w:r>
        <w:rPr>
          <w:rFonts w:hint="eastAsia" w:hAnsi="宋体" w:cs="Calibri"/>
          <w:sz w:val="22"/>
          <w:szCs w:val="22"/>
        </w:rPr>
        <w:t>4</w:t>
      </w:r>
      <w:r>
        <w:rPr>
          <w:rFonts w:hAnsi="宋体" w:cs="Calibri"/>
          <w:sz w:val="22"/>
          <w:szCs w:val="22"/>
        </w:rPr>
        <w:t>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int="eastAsia" w:hAnsi="宋体" w:cs="Calibri"/>
          <w:sz w:val="22"/>
          <w:szCs w:val="22"/>
        </w:rPr>
      </w:pPr>
      <w:r>
        <w:rPr>
          <w:rFonts w:hint="eastAsia" w:hAnsi="宋体" w:cs="Calibri"/>
          <w:sz w:val="22"/>
          <w:szCs w:val="22"/>
        </w:rPr>
        <w:t>技术评分分值设定标准</w:t>
      </w:r>
    </w:p>
    <w:tbl>
      <w:tblPr>
        <w:tblStyle w:val="57"/>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37"/>
        <w:gridCol w:w="462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1606" w:type="dxa"/>
            <w:noWrap w:val="0"/>
            <w:vAlign w:val="center"/>
          </w:tcPr>
          <w:p>
            <w:pPr>
              <w:jc w:val="center"/>
              <w:rPr>
                <w:rFonts w:ascii="宋体" w:hAnsi="宋体" w:cs="Calibri"/>
                <w:kern w:val="0"/>
                <w:sz w:val="22"/>
                <w:szCs w:val="22"/>
              </w:rPr>
            </w:pPr>
            <w:bookmarkStart w:id="90" w:name="EB562eafe08a1e40d28dbdcef1bed719f4"/>
            <w:r>
              <w:rPr>
                <w:rFonts w:hint="eastAsia" w:ascii="宋体" w:hAnsi="宋体" w:cs="Calibri"/>
                <w:kern w:val="0"/>
                <w:sz w:val="22"/>
                <w:szCs w:val="22"/>
              </w:rPr>
              <w:t>评分因素</w:t>
            </w:r>
          </w:p>
          <w:p>
            <w:pPr>
              <w:jc w:val="center"/>
              <w:rPr>
                <w:rFonts w:ascii="宋体" w:hAnsi="宋体" w:cs="Calibri"/>
                <w:kern w:val="0"/>
                <w:sz w:val="22"/>
                <w:szCs w:val="22"/>
              </w:rPr>
            </w:pPr>
            <w:r>
              <w:rPr>
                <w:rFonts w:hint="eastAsia" w:ascii="宋体" w:hAnsi="宋体" w:cs="Calibri"/>
                <w:kern w:val="0"/>
                <w:sz w:val="22"/>
                <w:szCs w:val="22"/>
              </w:rPr>
              <w:t>及分值权重</w:t>
            </w:r>
          </w:p>
        </w:tc>
        <w:tc>
          <w:tcPr>
            <w:tcW w:w="1937" w:type="dxa"/>
            <w:noWrap w:val="0"/>
            <w:vAlign w:val="center"/>
          </w:tcPr>
          <w:p>
            <w:pPr>
              <w:jc w:val="center"/>
              <w:rPr>
                <w:rFonts w:ascii="宋体" w:hAnsi="宋体" w:cs="Calibri"/>
                <w:kern w:val="0"/>
                <w:sz w:val="22"/>
                <w:szCs w:val="22"/>
              </w:rPr>
            </w:pPr>
            <w:r>
              <w:rPr>
                <w:rFonts w:hint="eastAsia" w:ascii="宋体" w:hAnsi="宋体" w:cs="Calibri"/>
                <w:kern w:val="0"/>
                <w:sz w:val="22"/>
                <w:szCs w:val="22"/>
              </w:rPr>
              <w:t>评审因素子项</w:t>
            </w:r>
          </w:p>
        </w:tc>
        <w:tc>
          <w:tcPr>
            <w:tcW w:w="4625" w:type="dxa"/>
            <w:noWrap w:val="0"/>
            <w:vAlign w:val="center"/>
          </w:tcPr>
          <w:p>
            <w:pPr>
              <w:jc w:val="center"/>
              <w:rPr>
                <w:rFonts w:ascii="宋体" w:hAnsi="宋体" w:cs="Calibri"/>
                <w:kern w:val="0"/>
                <w:sz w:val="22"/>
                <w:szCs w:val="22"/>
              </w:rPr>
            </w:pPr>
            <w:r>
              <w:rPr>
                <w:rFonts w:hint="eastAsia" w:ascii="宋体" w:hAnsi="宋体" w:cs="Calibri"/>
                <w:kern w:val="0"/>
                <w:sz w:val="22"/>
                <w:szCs w:val="22"/>
              </w:rPr>
              <w:t>评分标准</w:t>
            </w:r>
          </w:p>
        </w:tc>
        <w:tc>
          <w:tcPr>
            <w:tcW w:w="1708" w:type="dxa"/>
            <w:noWrap w:val="0"/>
            <w:vAlign w:val="center"/>
          </w:tcPr>
          <w:p>
            <w:pPr>
              <w:jc w:val="center"/>
              <w:rPr>
                <w:rFonts w:ascii="宋体" w:hAnsi="宋体" w:cs="Calibri"/>
                <w:kern w:val="0"/>
                <w:sz w:val="22"/>
                <w:szCs w:val="22"/>
              </w:rPr>
            </w:pPr>
            <w:r>
              <w:rPr>
                <w:rFonts w:hint="eastAsia" w:ascii="宋体" w:hAnsi="宋体" w:cs="Calibri"/>
                <w:kern w:val="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606" w:type="dxa"/>
            <w:vMerge w:val="restart"/>
            <w:noWrap w:val="0"/>
            <w:vAlign w:val="center"/>
          </w:tcPr>
          <w:p>
            <w:pPr>
              <w:jc w:val="center"/>
              <w:rPr>
                <w:rFonts w:ascii="宋体" w:hAnsi="宋体" w:cs="Calibri"/>
                <w:kern w:val="0"/>
                <w:sz w:val="22"/>
                <w:szCs w:val="22"/>
              </w:rPr>
            </w:pPr>
            <w:r>
              <w:rPr>
                <w:rFonts w:hint="eastAsia" w:ascii="宋体" w:hAnsi="宋体" w:cs="Calibri"/>
                <w:kern w:val="0"/>
                <w:sz w:val="22"/>
                <w:szCs w:val="22"/>
              </w:rPr>
              <w:t>技术及资信部分（</w:t>
            </w:r>
            <w:r>
              <w:rPr>
                <w:rFonts w:ascii="宋体" w:hAnsi="宋体" w:cs="Calibri"/>
                <w:kern w:val="0"/>
                <w:sz w:val="22"/>
                <w:szCs w:val="22"/>
              </w:rPr>
              <w:t>40</w:t>
            </w:r>
            <w:r>
              <w:rPr>
                <w:rFonts w:hint="eastAsia" w:ascii="宋体" w:hAnsi="宋体" w:cs="Calibri"/>
                <w:kern w:val="0"/>
                <w:sz w:val="22"/>
                <w:szCs w:val="22"/>
              </w:rPr>
              <w:t>分）</w:t>
            </w:r>
          </w:p>
        </w:tc>
        <w:tc>
          <w:tcPr>
            <w:tcW w:w="1937" w:type="dxa"/>
            <w:noWrap w:val="0"/>
            <w:vAlign w:val="center"/>
          </w:tcPr>
          <w:p>
            <w:pPr>
              <w:jc w:val="center"/>
              <w:rPr>
                <w:rFonts w:ascii="宋体" w:hAnsi="宋体" w:cs="Calibri"/>
                <w:kern w:val="0"/>
                <w:sz w:val="22"/>
                <w:szCs w:val="22"/>
                <w:highlight w:val="yellow"/>
              </w:rPr>
            </w:pPr>
            <w:r>
              <w:rPr>
                <w:rFonts w:hint="eastAsia" w:ascii="宋体" w:hAnsi="宋体" w:cs="Calibri"/>
                <w:kern w:val="0"/>
                <w:sz w:val="22"/>
                <w:szCs w:val="22"/>
                <w:lang w:val="zh-CN"/>
              </w:rPr>
              <w:t>设备技术指响应偏离情况</w:t>
            </w:r>
          </w:p>
        </w:tc>
        <w:tc>
          <w:tcPr>
            <w:tcW w:w="4625" w:type="dxa"/>
            <w:noWrap w:val="0"/>
            <w:vAlign w:val="center"/>
          </w:tcPr>
          <w:p>
            <w:pPr>
              <w:jc w:val="left"/>
              <w:rPr>
                <w:rFonts w:ascii="宋体" w:hAnsi="宋体" w:cs="Calibri"/>
                <w:kern w:val="0"/>
                <w:sz w:val="22"/>
                <w:szCs w:val="22"/>
                <w:highlight w:val="yellow"/>
              </w:rPr>
            </w:pPr>
            <w:r>
              <w:rPr>
                <w:rFonts w:hint="eastAsia" w:ascii="宋体" w:hAnsi="宋体" w:cs="Calibri"/>
                <w:kern w:val="0"/>
                <w:sz w:val="22"/>
                <w:szCs w:val="22"/>
                <w:lang w:val="zh-CN"/>
              </w:rPr>
              <w:t>对投标文件中设备技术的偏离情况进行评分。满分</w:t>
            </w:r>
            <w:r>
              <w:rPr>
                <w:rFonts w:ascii="宋体" w:hAnsi="宋体" w:cs="Calibri"/>
                <w:kern w:val="0"/>
                <w:sz w:val="22"/>
                <w:szCs w:val="22"/>
              </w:rPr>
              <w:t>3</w:t>
            </w:r>
            <w:r>
              <w:rPr>
                <w:rFonts w:hint="eastAsia" w:ascii="宋体" w:hAnsi="宋体" w:cs="Calibri"/>
                <w:kern w:val="0"/>
                <w:sz w:val="22"/>
                <w:szCs w:val="22"/>
                <w:lang w:val="zh-CN"/>
              </w:rPr>
              <w:t>分，每项负偏离扣</w:t>
            </w:r>
            <w:r>
              <w:rPr>
                <w:rFonts w:ascii="宋体" w:hAnsi="宋体" w:cs="Calibri"/>
                <w:kern w:val="0"/>
                <w:sz w:val="22"/>
                <w:szCs w:val="22"/>
                <w:lang w:val="zh-CN"/>
              </w:rPr>
              <w:t>0.5</w:t>
            </w:r>
            <w:r>
              <w:rPr>
                <w:rFonts w:hint="eastAsia" w:ascii="宋体" w:hAnsi="宋体" w:cs="Calibri"/>
                <w:kern w:val="0"/>
                <w:sz w:val="22"/>
                <w:szCs w:val="22"/>
                <w:lang w:val="zh-CN"/>
              </w:rPr>
              <w:t>分，扣完为止；</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0-3</w:t>
            </w:r>
            <w:r>
              <w:rPr>
                <w:rFonts w:hint="eastAsia" w:ascii="宋体" w:hAnsi="宋体" w:cs="Calibri"/>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5"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vMerge w:val="restart"/>
            <w:noWrap w:val="0"/>
            <w:vAlign w:val="center"/>
          </w:tcPr>
          <w:p>
            <w:pPr>
              <w:jc w:val="center"/>
              <w:rPr>
                <w:rFonts w:ascii="宋体" w:hAnsi="宋体" w:cs="Calibri"/>
                <w:kern w:val="0"/>
                <w:sz w:val="22"/>
                <w:szCs w:val="22"/>
                <w:highlight w:val="yellow"/>
              </w:rPr>
            </w:pPr>
            <w:r>
              <w:rPr>
                <w:rFonts w:hint="eastAsia" w:ascii="宋体" w:hAnsi="宋体" w:cs="Calibri"/>
                <w:kern w:val="0"/>
                <w:sz w:val="22"/>
                <w:szCs w:val="22"/>
              </w:rPr>
              <w:t>技术方案可行性</w:t>
            </w:r>
          </w:p>
        </w:tc>
        <w:tc>
          <w:tcPr>
            <w:tcW w:w="4625" w:type="dxa"/>
            <w:noWrap w:val="0"/>
            <w:vAlign w:val="center"/>
          </w:tcPr>
          <w:p>
            <w:pPr>
              <w:jc w:val="left"/>
              <w:rPr>
                <w:rFonts w:hint="eastAsia" w:ascii="宋体" w:hAnsi="宋体" w:cs="Calibri"/>
                <w:kern w:val="0"/>
                <w:sz w:val="22"/>
                <w:szCs w:val="22"/>
              </w:rPr>
            </w:pPr>
            <w:r>
              <w:rPr>
                <w:rFonts w:hint="eastAsia" w:ascii="宋体" w:hAnsi="宋体" w:cs="Calibri"/>
                <w:kern w:val="0"/>
                <w:sz w:val="22"/>
                <w:szCs w:val="22"/>
              </w:rPr>
              <w:t>工程关键部位（安防监控系统、海关运控室大屏显示系统、物流运控室大屏显示系统）的施工方案及保证措施是否具有针对性、科学合理。</w:t>
            </w:r>
          </w:p>
        </w:tc>
        <w:tc>
          <w:tcPr>
            <w:tcW w:w="1708" w:type="dxa"/>
            <w:noWrap w:val="0"/>
            <w:vAlign w:val="center"/>
          </w:tcPr>
          <w:p>
            <w:pPr>
              <w:jc w:val="center"/>
              <w:rPr>
                <w:rFonts w:ascii="宋体" w:hAnsi="宋体" w:cs="Calibri"/>
                <w:kern w:val="0"/>
                <w:sz w:val="22"/>
                <w:szCs w:val="22"/>
                <w:u w:val="single"/>
              </w:rPr>
            </w:pPr>
            <w:r>
              <w:rPr>
                <w:rFonts w:ascii="宋体" w:hAnsi="宋体" w:cs="Calibri"/>
                <w:kern w:val="0"/>
                <w:sz w:val="22"/>
                <w:szCs w:val="22"/>
              </w:rPr>
              <w:t>0-</w:t>
            </w:r>
            <w:r>
              <w:rPr>
                <w:rFonts w:hint="eastAsia" w:ascii="宋体" w:hAnsi="宋体" w:cs="Calibri"/>
                <w:kern w:val="0"/>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vMerge w:val="continue"/>
            <w:noWrap w:val="0"/>
            <w:vAlign w:val="center"/>
          </w:tcPr>
          <w:p>
            <w:pPr>
              <w:jc w:val="center"/>
              <w:rPr>
                <w:rFonts w:ascii="宋体" w:hAnsi="宋体" w:cs="Calibri"/>
                <w:kern w:val="0"/>
                <w:sz w:val="22"/>
                <w:szCs w:val="22"/>
              </w:rPr>
            </w:pPr>
          </w:p>
        </w:tc>
        <w:tc>
          <w:tcPr>
            <w:tcW w:w="4625" w:type="dxa"/>
            <w:noWrap w:val="0"/>
            <w:vAlign w:val="center"/>
          </w:tcPr>
          <w:p>
            <w:pPr>
              <w:jc w:val="left"/>
              <w:rPr>
                <w:rFonts w:ascii="宋体" w:hAnsi="宋体" w:cs="Calibri"/>
                <w:kern w:val="0"/>
                <w:sz w:val="22"/>
                <w:szCs w:val="22"/>
              </w:rPr>
            </w:pPr>
            <w:r>
              <w:rPr>
                <w:rFonts w:hint="eastAsia" w:ascii="宋体" w:hAnsi="宋体" w:cs="Calibri"/>
                <w:kern w:val="0"/>
                <w:sz w:val="22"/>
                <w:szCs w:val="22"/>
              </w:rPr>
              <w:t>对管线敷设方案的可行性、合理性、完整性进行评分，</w:t>
            </w:r>
            <w:r>
              <w:rPr>
                <w:rFonts w:ascii="宋体" w:hAnsi="宋体" w:cs="Calibri"/>
                <w:kern w:val="0"/>
                <w:sz w:val="22"/>
                <w:szCs w:val="22"/>
              </w:rPr>
              <w:t>0-3</w:t>
            </w:r>
            <w:r>
              <w:rPr>
                <w:rFonts w:hint="eastAsia" w:ascii="宋体" w:hAnsi="宋体" w:cs="Calibri"/>
                <w:kern w:val="0"/>
                <w:sz w:val="22"/>
                <w:szCs w:val="22"/>
              </w:rPr>
              <w:t>分；</w:t>
            </w:r>
          </w:p>
          <w:p>
            <w:pPr>
              <w:jc w:val="left"/>
              <w:rPr>
                <w:rFonts w:ascii="宋体" w:hAnsi="宋体" w:cs="Calibri"/>
                <w:kern w:val="0"/>
                <w:sz w:val="22"/>
                <w:szCs w:val="22"/>
              </w:rPr>
            </w:pPr>
            <w:r>
              <w:rPr>
                <w:rFonts w:hint="eastAsia" w:ascii="宋体" w:hAnsi="宋体" w:cs="Calibri"/>
                <w:kern w:val="0"/>
                <w:sz w:val="22"/>
                <w:szCs w:val="22"/>
              </w:rPr>
              <w:t>投标人提供清晰的管线敷设方案设计图得2分，否则不得分；</w:t>
            </w:r>
          </w:p>
          <w:p>
            <w:pPr>
              <w:jc w:val="left"/>
              <w:rPr>
                <w:rFonts w:ascii="宋体" w:hAnsi="宋体" w:cs="Calibri"/>
                <w:kern w:val="0"/>
                <w:sz w:val="22"/>
                <w:szCs w:val="22"/>
              </w:rPr>
            </w:pPr>
            <w:r>
              <w:rPr>
                <w:rFonts w:hint="eastAsia" w:ascii="宋体" w:hAnsi="宋体" w:cs="Calibri"/>
                <w:kern w:val="0"/>
                <w:sz w:val="22"/>
                <w:szCs w:val="22"/>
              </w:rPr>
              <w:t>本项最高得</w:t>
            </w:r>
            <w:r>
              <w:rPr>
                <w:rFonts w:ascii="宋体" w:hAnsi="宋体" w:cs="Calibri"/>
                <w:kern w:val="0"/>
                <w:sz w:val="22"/>
                <w:szCs w:val="22"/>
              </w:rPr>
              <w:t>5</w:t>
            </w:r>
            <w:r>
              <w:rPr>
                <w:rFonts w:hint="eastAsia" w:ascii="宋体" w:hAnsi="宋体" w:cs="Calibri"/>
                <w:kern w:val="0"/>
                <w:sz w:val="22"/>
                <w:szCs w:val="22"/>
              </w:rPr>
              <w:t>分。</w:t>
            </w:r>
          </w:p>
        </w:tc>
        <w:tc>
          <w:tcPr>
            <w:tcW w:w="1708" w:type="dxa"/>
            <w:noWrap w:val="0"/>
            <w:vAlign w:val="center"/>
          </w:tcPr>
          <w:p>
            <w:pPr>
              <w:jc w:val="center"/>
              <w:rPr>
                <w:rFonts w:ascii="宋体" w:hAnsi="宋体" w:cs="Calibri"/>
                <w:kern w:val="0"/>
                <w:sz w:val="22"/>
                <w:szCs w:val="22"/>
                <w:u w:val="single"/>
              </w:rPr>
            </w:pPr>
            <w:r>
              <w:rPr>
                <w:rFonts w:ascii="宋体" w:hAnsi="宋体" w:cs="Calibri"/>
                <w:kern w:val="0"/>
                <w:sz w:val="22"/>
                <w:szCs w:val="22"/>
              </w:rPr>
              <w:t>0-5</w:t>
            </w:r>
            <w:r>
              <w:rPr>
                <w:rFonts w:hint="eastAsia" w:ascii="宋体" w:hAnsi="宋体" w:cs="Calibri"/>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vMerge w:val="continue"/>
            <w:noWrap w:val="0"/>
            <w:vAlign w:val="center"/>
          </w:tcPr>
          <w:p>
            <w:pPr>
              <w:jc w:val="center"/>
              <w:rPr>
                <w:rFonts w:ascii="宋体" w:hAnsi="宋体" w:cs="Calibri"/>
                <w:kern w:val="0"/>
                <w:sz w:val="22"/>
                <w:szCs w:val="22"/>
              </w:rPr>
            </w:pPr>
          </w:p>
        </w:tc>
        <w:tc>
          <w:tcPr>
            <w:tcW w:w="4625" w:type="dxa"/>
            <w:noWrap w:val="0"/>
            <w:vAlign w:val="center"/>
          </w:tcPr>
          <w:p>
            <w:pPr>
              <w:jc w:val="left"/>
              <w:rPr>
                <w:rFonts w:ascii="宋体" w:hAnsi="宋体" w:cs="Calibri"/>
                <w:kern w:val="0"/>
                <w:sz w:val="22"/>
                <w:szCs w:val="22"/>
              </w:rPr>
            </w:pPr>
            <w:r>
              <w:rPr>
                <w:rFonts w:hint="eastAsia" w:ascii="宋体" w:hAnsi="宋体" w:cs="Calibri"/>
                <w:kern w:val="0"/>
                <w:sz w:val="22"/>
                <w:szCs w:val="22"/>
              </w:rPr>
              <w:t>对相关数据存储方案设计的可行性、合理性、完整性进行评分；</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0-5</w:t>
            </w:r>
            <w:r>
              <w:rPr>
                <w:rFonts w:hint="eastAsia" w:ascii="宋体" w:hAnsi="宋体" w:cs="Calibri"/>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vMerge w:val="continue"/>
            <w:noWrap w:val="0"/>
            <w:vAlign w:val="center"/>
          </w:tcPr>
          <w:p>
            <w:pPr>
              <w:jc w:val="center"/>
              <w:rPr>
                <w:rFonts w:ascii="宋体" w:hAnsi="宋体" w:cs="Calibri"/>
                <w:kern w:val="0"/>
                <w:sz w:val="22"/>
                <w:szCs w:val="22"/>
              </w:rPr>
            </w:pPr>
          </w:p>
        </w:tc>
        <w:tc>
          <w:tcPr>
            <w:tcW w:w="4625" w:type="dxa"/>
            <w:noWrap w:val="0"/>
            <w:vAlign w:val="center"/>
          </w:tcPr>
          <w:p>
            <w:pPr>
              <w:jc w:val="left"/>
              <w:rPr>
                <w:rFonts w:ascii="宋体" w:hAnsi="宋体" w:cs="Calibri"/>
                <w:kern w:val="0"/>
                <w:sz w:val="22"/>
                <w:szCs w:val="22"/>
              </w:rPr>
            </w:pPr>
            <w:r>
              <w:rPr>
                <w:rFonts w:hint="eastAsia" w:ascii="宋体" w:hAnsi="宋体" w:cs="Calibri"/>
                <w:kern w:val="0"/>
                <w:sz w:val="22"/>
                <w:szCs w:val="22"/>
              </w:rPr>
              <w:t>根据投标人提供的材料设备的参数、性能、品牌优越性等进行横向比较</w:t>
            </w:r>
            <w:r>
              <w:rPr>
                <w:rFonts w:ascii="宋体" w:hAnsi="宋体" w:cs="Calibri"/>
                <w:kern w:val="0"/>
                <w:sz w:val="22"/>
                <w:szCs w:val="22"/>
              </w:rPr>
              <w:t xml:space="preserve"> </w:t>
            </w:r>
            <w:r>
              <w:rPr>
                <w:rFonts w:hint="eastAsia" w:ascii="宋体" w:hAnsi="宋体" w:cs="Calibri"/>
                <w:kern w:val="0"/>
                <w:sz w:val="22"/>
                <w:szCs w:val="22"/>
              </w:rPr>
              <w:t>。</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0-5</w:t>
            </w:r>
            <w:r>
              <w:rPr>
                <w:rFonts w:hint="eastAsia" w:ascii="宋体" w:hAnsi="宋体" w:cs="Calibri"/>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vMerge w:val="continue"/>
            <w:noWrap w:val="0"/>
            <w:vAlign w:val="center"/>
          </w:tcPr>
          <w:p>
            <w:pPr>
              <w:jc w:val="center"/>
              <w:rPr>
                <w:rFonts w:ascii="宋体" w:hAnsi="宋体" w:cs="Calibri"/>
                <w:kern w:val="0"/>
                <w:sz w:val="22"/>
                <w:szCs w:val="22"/>
              </w:rPr>
            </w:pPr>
          </w:p>
        </w:tc>
        <w:tc>
          <w:tcPr>
            <w:tcW w:w="4625" w:type="dxa"/>
            <w:noWrap w:val="0"/>
            <w:vAlign w:val="center"/>
          </w:tcPr>
          <w:p>
            <w:pPr>
              <w:jc w:val="left"/>
              <w:rPr>
                <w:rFonts w:ascii="宋体" w:hAnsi="宋体" w:cs="Calibri"/>
                <w:kern w:val="0"/>
                <w:sz w:val="22"/>
                <w:szCs w:val="22"/>
              </w:rPr>
            </w:pPr>
            <w:r>
              <w:rPr>
                <w:rFonts w:hint="eastAsia" w:ascii="宋体" w:hAnsi="宋体" w:cs="Calibri"/>
                <w:kern w:val="0"/>
                <w:sz w:val="22"/>
                <w:szCs w:val="22"/>
              </w:rPr>
              <w:t>对投标方案中各硬件设备兼容性进行评分；</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w:t>
            </w:r>
            <w:r>
              <w:rPr>
                <w:rFonts w:hint="eastAsia" w:ascii="宋体" w:hAnsi="宋体" w:cs="Calibri"/>
                <w:kern w:val="0"/>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vMerge w:val="continue"/>
            <w:noWrap w:val="0"/>
            <w:vAlign w:val="center"/>
          </w:tcPr>
          <w:p>
            <w:pPr>
              <w:jc w:val="center"/>
              <w:rPr>
                <w:rFonts w:ascii="宋体" w:hAnsi="宋体" w:cs="Calibri"/>
                <w:kern w:val="0"/>
                <w:sz w:val="22"/>
                <w:szCs w:val="22"/>
              </w:rPr>
            </w:pPr>
          </w:p>
        </w:tc>
        <w:tc>
          <w:tcPr>
            <w:tcW w:w="4625" w:type="dxa"/>
            <w:noWrap w:val="0"/>
            <w:vAlign w:val="center"/>
          </w:tcPr>
          <w:p>
            <w:pPr>
              <w:jc w:val="left"/>
              <w:rPr>
                <w:rFonts w:ascii="宋体" w:hAnsi="宋体" w:cs="Calibri"/>
                <w:kern w:val="0"/>
                <w:sz w:val="22"/>
                <w:szCs w:val="22"/>
              </w:rPr>
            </w:pPr>
            <w:r>
              <w:rPr>
                <w:rFonts w:hint="eastAsia" w:ascii="宋体" w:hAnsi="宋体" w:cs="Calibri"/>
                <w:kern w:val="0"/>
                <w:sz w:val="22"/>
                <w:szCs w:val="22"/>
              </w:rPr>
              <w:t>对新增设备接入安防专网、海关专网的方案可行性、合理性、完整性进行评分；</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w:t>
            </w:r>
            <w:r>
              <w:rPr>
                <w:rFonts w:hint="eastAsia" w:ascii="宋体" w:hAnsi="宋体" w:cs="Calibri"/>
                <w:kern w:val="0"/>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noWrap w:val="0"/>
            <w:vAlign w:val="center"/>
          </w:tcPr>
          <w:p>
            <w:pPr>
              <w:snapToGrid w:val="0"/>
              <w:jc w:val="center"/>
              <w:rPr>
                <w:rFonts w:ascii="宋体" w:hAnsi="宋体" w:cs="宋体"/>
                <w:sz w:val="22"/>
                <w:szCs w:val="22"/>
              </w:rPr>
            </w:pPr>
            <w:r>
              <w:rPr>
                <w:rFonts w:hint="eastAsia" w:ascii="宋体" w:hAnsi="宋体" w:cs="宋体"/>
                <w:sz w:val="22"/>
                <w:szCs w:val="22"/>
              </w:rPr>
              <w:t>服务能力及故障响应</w:t>
            </w:r>
          </w:p>
        </w:tc>
        <w:tc>
          <w:tcPr>
            <w:tcW w:w="4625" w:type="dxa"/>
            <w:noWrap w:val="0"/>
            <w:vAlign w:val="center"/>
          </w:tcPr>
          <w:p>
            <w:pPr>
              <w:snapToGrid w:val="0"/>
              <w:jc w:val="left"/>
              <w:rPr>
                <w:rFonts w:ascii="宋体" w:hAnsi="宋体" w:cs="宋体"/>
                <w:sz w:val="22"/>
                <w:szCs w:val="22"/>
              </w:rPr>
            </w:pPr>
            <w:r>
              <w:rPr>
                <w:rFonts w:hint="eastAsia" w:ascii="宋体" w:hAnsi="宋体" w:cs="宋体"/>
                <w:sz w:val="22"/>
                <w:szCs w:val="22"/>
              </w:rPr>
              <w:t>具备</w:t>
            </w:r>
            <w:r>
              <w:rPr>
                <w:rFonts w:ascii="宋体" w:hAnsi="宋体" w:cs="宋体"/>
                <w:sz w:val="22"/>
                <w:szCs w:val="22"/>
              </w:rPr>
              <w:t>1</w:t>
            </w:r>
            <w:r>
              <w:rPr>
                <w:rFonts w:hint="eastAsia" w:ascii="宋体" w:hAnsi="宋体" w:cs="宋体"/>
                <w:sz w:val="22"/>
                <w:szCs w:val="22"/>
              </w:rPr>
              <w:t>小时内响应并到达现场的能力，得</w:t>
            </w:r>
            <w:r>
              <w:rPr>
                <w:rFonts w:ascii="宋体" w:hAnsi="宋体" w:cs="宋体"/>
                <w:sz w:val="22"/>
                <w:szCs w:val="22"/>
              </w:rPr>
              <w:t>4</w:t>
            </w:r>
            <w:r>
              <w:rPr>
                <w:rFonts w:hint="eastAsia" w:ascii="宋体" w:hAnsi="宋体" w:cs="宋体"/>
                <w:sz w:val="22"/>
                <w:szCs w:val="22"/>
              </w:rPr>
              <w:t>分；</w:t>
            </w:r>
          </w:p>
          <w:p>
            <w:pPr>
              <w:snapToGrid w:val="0"/>
              <w:jc w:val="left"/>
              <w:rPr>
                <w:rFonts w:ascii="宋体" w:hAnsi="宋体" w:cs="宋体"/>
                <w:sz w:val="22"/>
                <w:szCs w:val="22"/>
              </w:rPr>
            </w:pPr>
            <w:r>
              <w:rPr>
                <w:rFonts w:hint="eastAsia" w:ascii="宋体" w:hAnsi="宋体" w:cs="宋体"/>
                <w:sz w:val="22"/>
                <w:szCs w:val="22"/>
              </w:rPr>
              <w:t>具备</w:t>
            </w:r>
            <w:r>
              <w:rPr>
                <w:rFonts w:ascii="宋体" w:hAnsi="宋体" w:cs="宋体"/>
                <w:sz w:val="22"/>
                <w:szCs w:val="22"/>
              </w:rPr>
              <w:t>2</w:t>
            </w:r>
            <w:r>
              <w:rPr>
                <w:rFonts w:hint="eastAsia" w:ascii="宋体" w:hAnsi="宋体" w:cs="宋体"/>
                <w:sz w:val="22"/>
                <w:szCs w:val="22"/>
              </w:rPr>
              <w:t>小时内响应并到达现场的能力，得</w:t>
            </w:r>
            <w:r>
              <w:rPr>
                <w:rFonts w:ascii="宋体" w:hAnsi="宋体" w:cs="宋体"/>
                <w:sz w:val="22"/>
                <w:szCs w:val="22"/>
              </w:rPr>
              <w:t>2</w:t>
            </w:r>
            <w:r>
              <w:rPr>
                <w:rFonts w:hint="eastAsia" w:ascii="宋体" w:hAnsi="宋体" w:cs="宋体"/>
                <w:sz w:val="22"/>
                <w:szCs w:val="22"/>
              </w:rPr>
              <w:t>分；</w:t>
            </w:r>
          </w:p>
          <w:p>
            <w:pPr>
              <w:snapToGrid w:val="0"/>
              <w:jc w:val="left"/>
              <w:rPr>
                <w:rFonts w:ascii="宋体" w:hAnsi="宋体" w:cs="宋体"/>
                <w:sz w:val="22"/>
                <w:szCs w:val="22"/>
              </w:rPr>
            </w:pPr>
            <w:r>
              <w:rPr>
                <w:rFonts w:hint="eastAsia" w:ascii="宋体" w:hAnsi="宋体" w:cs="宋体"/>
                <w:sz w:val="22"/>
                <w:szCs w:val="22"/>
              </w:rPr>
              <w:t>超过</w:t>
            </w:r>
            <w:r>
              <w:rPr>
                <w:rFonts w:ascii="宋体" w:hAnsi="宋体" w:cs="宋体"/>
                <w:sz w:val="22"/>
                <w:szCs w:val="22"/>
              </w:rPr>
              <w:t>2</w:t>
            </w:r>
            <w:r>
              <w:rPr>
                <w:rFonts w:hint="eastAsia" w:ascii="宋体" w:hAnsi="宋体" w:cs="宋体"/>
                <w:sz w:val="22"/>
                <w:szCs w:val="22"/>
              </w:rPr>
              <w:t>小时不得分。</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0-4</w:t>
            </w:r>
            <w:r>
              <w:rPr>
                <w:rFonts w:hint="eastAsia" w:ascii="宋体" w:hAnsi="宋体" w:cs="Calibri"/>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noWrap w:val="0"/>
            <w:vAlign w:val="center"/>
          </w:tcPr>
          <w:p>
            <w:pPr>
              <w:jc w:val="center"/>
              <w:rPr>
                <w:rFonts w:ascii="宋体" w:hAnsi="宋体" w:cs="宋体"/>
                <w:kern w:val="0"/>
                <w:sz w:val="22"/>
                <w:szCs w:val="22"/>
              </w:rPr>
            </w:pPr>
            <w:r>
              <w:rPr>
                <w:rFonts w:hint="eastAsia" w:ascii="宋体" w:hAnsi="宋体"/>
                <w:snapToGrid w:val="0"/>
                <w:sz w:val="22"/>
                <w:szCs w:val="22"/>
              </w:rPr>
              <w:t>不停航施工组织方案</w:t>
            </w:r>
          </w:p>
        </w:tc>
        <w:tc>
          <w:tcPr>
            <w:tcW w:w="4625" w:type="dxa"/>
            <w:noWrap w:val="0"/>
            <w:vAlign w:val="center"/>
          </w:tcPr>
          <w:p>
            <w:pPr>
              <w:jc w:val="left"/>
              <w:rPr>
                <w:rFonts w:ascii="宋体" w:hAnsi="宋体" w:cs="Calibri"/>
                <w:kern w:val="0"/>
                <w:sz w:val="22"/>
                <w:szCs w:val="22"/>
              </w:rPr>
            </w:pPr>
            <w:r>
              <w:rPr>
                <w:rFonts w:hint="eastAsia" w:ascii="宋体" w:hAnsi="宋体" w:cs="Calibri"/>
                <w:kern w:val="0"/>
                <w:sz w:val="22"/>
                <w:szCs w:val="22"/>
              </w:rPr>
              <w:t>对不停航施工组织方案的可行性、合理性、完整性进行评分；</w:t>
            </w:r>
          </w:p>
        </w:tc>
        <w:tc>
          <w:tcPr>
            <w:tcW w:w="1708" w:type="dxa"/>
            <w:noWrap w:val="0"/>
            <w:vAlign w:val="center"/>
          </w:tcPr>
          <w:p>
            <w:pPr>
              <w:jc w:val="center"/>
              <w:rPr>
                <w:rFonts w:ascii="宋体" w:hAnsi="宋体" w:cs="Calibri"/>
                <w:kern w:val="0"/>
                <w:sz w:val="22"/>
                <w:szCs w:val="22"/>
              </w:rPr>
            </w:pPr>
            <w:r>
              <w:rPr>
                <w:rFonts w:ascii="宋体" w:hAnsi="宋体"/>
                <w:snapToGrid w:val="0"/>
                <w:sz w:val="22"/>
                <w:szCs w:val="22"/>
              </w:rPr>
              <w:t>0-2</w:t>
            </w:r>
            <w:r>
              <w:rPr>
                <w:rFonts w:hint="eastAsia" w:ascii="宋体" w:hAnsi="宋体"/>
                <w:snapToGrid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6" w:hRule="atLeast"/>
          <w:jc w:val="center"/>
        </w:trPr>
        <w:tc>
          <w:tcPr>
            <w:tcW w:w="1606" w:type="dxa"/>
            <w:vMerge w:val="continue"/>
            <w:noWrap w:val="0"/>
            <w:vAlign w:val="center"/>
          </w:tcPr>
          <w:p>
            <w:pPr>
              <w:jc w:val="center"/>
              <w:rPr>
                <w:rFonts w:ascii="宋体" w:hAnsi="宋体" w:cs="Calibri"/>
                <w:kern w:val="0"/>
                <w:sz w:val="22"/>
                <w:szCs w:val="22"/>
              </w:rPr>
            </w:pPr>
          </w:p>
        </w:tc>
        <w:tc>
          <w:tcPr>
            <w:tcW w:w="1937" w:type="dxa"/>
            <w:noWrap w:val="0"/>
            <w:vAlign w:val="center"/>
          </w:tcPr>
          <w:p>
            <w:pPr>
              <w:jc w:val="center"/>
              <w:rPr>
                <w:rFonts w:ascii="宋体" w:hAnsi="宋体" w:cs="宋体"/>
                <w:sz w:val="22"/>
                <w:szCs w:val="22"/>
                <w:lang w:val="zh-CN"/>
              </w:rPr>
            </w:pPr>
            <w:r>
              <w:rPr>
                <w:rFonts w:hint="eastAsia" w:ascii="宋体" w:hAnsi="宋体" w:cs="Calibri"/>
                <w:kern w:val="0"/>
                <w:sz w:val="22"/>
                <w:szCs w:val="22"/>
              </w:rPr>
              <w:t>投标单位业绩</w:t>
            </w:r>
          </w:p>
        </w:tc>
        <w:tc>
          <w:tcPr>
            <w:tcW w:w="4625" w:type="dxa"/>
            <w:noWrap w:val="0"/>
            <w:vAlign w:val="center"/>
          </w:tcPr>
          <w:p>
            <w:pPr>
              <w:jc w:val="left"/>
              <w:rPr>
                <w:rFonts w:ascii="宋体" w:hAnsi="宋体" w:cs="Calibri"/>
                <w:kern w:val="0"/>
                <w:sz w:val="22"/>
                <w:szCs w:val="22"/>
              </w:rPr>
            </w:pPr>
            <w:r>
              <w:rPr>
                <w:rFonts w:ascii="宋体" w:hAnsi="宋体" w:cs="Calibri"/>
                <w:kern w:val="0"/>
                <w:sz w:val="22"/>
                <w:szCs w:val="22"/>
              </w:rPr>
              <w:t>201</w:t>
            </w:r>
            <w:r>
              <w:rPr>
                <w:rFonts w:hint="eastAsia" w:ascii="宋体" w:hAnsi="宋体" w:cs="Calibri"/>
                <w:kern w:val="0"/>
                <w:sz w:val="22"/>
                <w:szCs w:val="22"/>
              </w:rPr>
              <w:t>6年</w:t>
            </w:r>
            <w:r>
              <w:rPr>
                <w:rFonts w:ascii="宋体" w:hAnsi="宋体" w:cs="Calibri"/>
                <w:kern w:val="0"/>
                <w:sz w:val="22"/>
                <w:szCs w:val="22"/>
              </w:rPr>
              <w:t>1</w:t>
            </w:r>
            <w:r>
              <w:rPr>
                <w:rFonts w:hint="eastAsia" w:ascii="宋体" w:hAnsi="宋体" w:cs="Calibri"/>
                <w:kern w:val="0"/>
                <w:sz w:val="22"/>
                <w:szCs w:val="22"/>
              </w:rPr>
              <w:t>月</w:t>
            </w:r>
            <w:r>
              <w:rPr>
                <w:rFonts w:ascii="宋体" w:hAnsi="宋体" w:cs="Calibri"/>
                <w:kern w:val="0"/>
                <w:sz w:val="22"/>
                <w:szCs w:val="22"/>
              </w:rPr>
              <w:t>1</w:t>
            </w:r>
            <w:r>
              <w:rPr>
                <w:rFonts w:hint="eastAsia" w:ascii="宋体" w:hAnsi="宋体" w:cs="Calibri"/>
                <w:kern w:val="0"/>
                <w:sz w:val="22"/>
                <w:szCs w:val="22"/>
              </w:rPr>
              <w:t>日至投标截止日【以竣（交）工验收报告上的时间为准，投标人提供合同复印件、及竣工验收报告复印件】安防项目实施业绩：</w:t>
            </w:r>
          </w:p>
          <w:p>
            <w:pPr>
              <w:snapToGrid w:val="0"/>
              <w:jc w:val="left"/>
              <w:rPr>
                <w:rFonts w:ascii="宋体" w:hAnsi="宋体" w:cs="宋体"/>
                <w:sz w:val="22"/>
                <w:szCs w:val="22"/>
              </w:rPr>
            </w:pPr>
            <w:r>
              <w:rPr>
                <w:rFonts w:hint="eastAsia" w:ascii="宋体" w:hAnsi="宋体" w:cs="宋体"/>
                <w:sz w:val="22"/>
                <w:szCs w:val="22"/>
              </w:rPr>
              <w:t>100万元（含）以上业绩：1项得</w:t>
            </w:r>
            <w:r>
              <w:rPr>
                <w:rFonts w:ascii="宋体" w:hAnsi="宋体" w:cs="宋体"/>
                <w:sz w:val="22"/>
                <w:szCs w:val="22"/>
              </w:rPr>
              <w:t>2</w:t>
            </w:r>
            <w:r>
              <w:rPr>
                <w:rFonts w:hint="eastAsia" w:ascii="宋体" w:hAnsi="宋体" w:cs="宋体"/>
                <w:sz w:val="22"/>
                <w:szCs w:val="22"/>
              </w:rPr>
              <w:t>分；</w:t>
            </w:r>
          </w:p>
          <w:p>
            <w:pPr>
              <w:snapToGrid w:val="0"/>
              <w:jc w:val="left"/>
              <w:rPr>
                <w:rFonts w:ascii="宋体" w:hAnsi="宋体" w:cs="宋体"/>
                <w:sz w:val="22"/>
                <w:szCs w:val="22"/>
              </w:rPr>
            </w:pPr>
            <w:r>
              <w:rPr>
                <w:rFonts w:hint="eastAsia" w:ascii="宋体" w:hAnsi="宋体" w:cs="宋体"/>
                <w:sz w:val="22"/>
                <w:szCs w:val="22"/>
              </w:rPr>
              <w:t>30万元（含）-</w:t>
            </w:r>
            <w:r>
              <w:rPr>
                <w:rFonts w:ascii="宋体" w:hAnsi="宋体" w:cs="宋体"/>
                <w:sz w:val="22"/>
                <w:szCs w:val="22"/>
              </w:rPr>
              <w:t>100</w:t>
            </w:r>
            <w:r>
              <w:rPr>
                <w:rFonts w:hint="eastAsia" w:ascii="宋体" w:hAnsi="宋体" w:cs="宋体"/>
                <w:sz w:val="22"/>
                <w:szCs w:val="22"/>
              </w:rPr>
              <w:t>万元业绩：1项得</w:t>
            </w:r>
            <w:r>
              <w:rPr>
                <w:rFonts w:ascii="宋体" w:hAnsi="宋体" w:cs="宋体"/>
                <w:sz w:val="22"/>
                <w:szCs w:val="22"/>
              </w:rPr>
              <w:t>1</w:t>
            </w:r>
            <w:r>
              <w:rPr>
                <w:rFonts w:hint="eastAsia" w:ascii="宋体" w:hAnsi="宋体" w:cs="宋体"/>
                <w:sz w:val="22"/>
                <w:szCs w:val="22"/>
              </w:rPr>
              <w:t>分。</w:t>
            </w:r>
          </w:p>
          <w:p>
            <w:pPr>
              <w:jc w:val="left"/>
              <w:rPr>
                <w:rFonts w:hint="eastAsia" w:ascii="宋体" w:hAnsi="宋体" w:cs="Calibri"/>
                <w:kern w:val="0"/>
                <w:sz w:val="22"/>
                <w:szCs w:val="22"/>
              </w:rPr>
            </w:pPr>
            <w:r>
              <w:rPr>
                <w:rFonts w:hint="eastAsia" w:ascii="宋体" w:hAnsi="宋体" w:cs="宋体"/>
                <w:sz w:val="22"/>
                <w:szCs w:val="22"/>
              </w:rPr>
              <w:t>同一业绩不重复计分，本项最高得分为</w:t>
            </w:r>
            <w:r>
              <w:rPr>
                <w:rFonts w:ascii="宋体" w:hAnsi="宋体" w:cs="宋体"/>
                <w:sz w:val="22"/>
                <w:szCs w:val="22"/>
              </w:rPr>
              <w:t>3</w:t>
            </w:r>
            <w:r>
              <w:rPr>
                <w:rFonts w:hint="eastAsia" w:ascii="宋体" w:hAnsi="宋体" w:cs="宋体"/>
                <w:sz w:val="22"/>
                <w:szCs w:val="22"/>
              </w:rPr>
              <w:t>分。</w:t>
            </w:r>
          </w:p>
        </w:tc>
        <w:tc>
          <w:tcPr>
            <w:tcW w:w="1708" w:type="dxa"/>
            <w:noWrap w:val="0"/>
            <w:vAlign w:val="center"/>
          </w:tcPr>
          <w:p>
            <w:pPr>
              <w:jc w:val="center"/>
              <w:rPr>
                <w:rFonts w:ascii="宋体" w:hAnsi="宋体" w:cs="Calibri"/>
                <w:kern w:val="0"/>
                <w:sz w:val="22"/>
                <w:szCs w:val="22"/>
              </w:rPr>
            </w:pPr>
            <w:r>
              <w:rPr>
                <w:rFonts w:ascii="宋体" w:hAnsi="宋体" w:cs="Calibri"/>
                <w:kern w:val="0"/>
                <w:sz w:val="22"/>
                <w:szCs w:val="22"/>
              </w:rPr>
              <w:t>0-</w:t>
            </w:r>
            <w:r>
              <w:rPr>
                <w:rFonts w:hint="eastAsia" w:ascii="宋体" w:hAnsi="宋体" w:cs="Calibri"/>
                <w:kern w:val="0"/>
                <w:sz w:val="22"/>
                <w:szCs w:val="22"/>
              </w:rPr>
              <w:t>3分</w:t>
            </w:r>
          </w:p>
        </w:tc>
      </w:tr>
      <w:bookmarkEnd w:id="90"/>
    </w:tbl>
    <w:p>
      <w:pPr>
        <w:pStyle w:val="31"/>
        <w:adjustRightInd w:val="0"/>
        <w:snapToGrid w:val="0"/>
        <w:spacing w:line="360" w:lineRule="exact"/>
        <w:ind w:firstLine="440" w:firstLineChars="200"/>
        <w:rPr>
          <w:rFonts w:hAnsi="宋体" w:cs="Calibri"/>
          <w:sz w:val="22"/>
          <w:szCs w:val="22"/>
        </w:rPr>
      </w:pP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w:t>
      </w:r>
      <w:r>
        <w:rPr>
          <w:rFonts w:hint="eastAsia"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w:t>
      </w:r>
      <w:r>
        <w:rPr>
          <w:rFonts w:hint="eastAsia" w:hAnsi="宋体" w:cs="Calibri"/>
          <w:sz w:val="22"/>
          <w:szCs w:val="22"/>
        </w:rPr>
        <w:t>当有效投标文件大于等于二名时，评标委员会推荐得分最高、次高的投标人为中标候选人（如果得分相同则按投标人报价从低到高顺序推荐为中标候选人，如果投标报价也相同，则抽签决定）。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3.4.2</w:t>
      </w:r>
      <w:r>
        <w:rPr>
          <w:rFonts w:hint="eastAsia" w:hAnsi="宋体" w:cs="Calibri"/>
          <w:sz w:val="22"/>
          <w:szCs w:val="22"/>
        </w:rPr>
        <w:t>当有效投标文件只有一名时，则由评标委员会确定是否推荐为中标候选人。</w:t>
      </w:r>
    </w:p>
    <w:p>
      <w:pPr>
        <w:pStyle w:val="31"/>
        <w:spacing w:line="360" w:lineRule="exact"/>
        <w:ind w:firstLine="442" w:firstLineChars="200"/>
        <w:rPr>
          <w:rFonts w:hAnsi="宋体" w:cs="Calibri"/>
          <w:b/>
          <w:sz w:val="22"/>
          <w:szCs w:val="22"/>
        </w:rPr>
      </w:pPr>
      <w:r>
        <w:rPr>
          <w:rFonts w:hAnsi="宋体" w:cs="Calibri"/>
          <w:b/>
          <w:sz w:val="22"/>
          <w:szCs w:val="22"/>
        </w:rPr>
        <w:t>3.5</w:t>
      </w:r>
      <w:r>
        <w:rPr>
          <w:rFonts w:hint="eastAsia"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int="eastAsia" w:hAnsi="宋体" w:cs="Calibri"/>
          <w:b/>
          <w:sz w:val="22"/>
          <w:szCs w:val="22"/>
        </w:rPr>
        <w:t>四、定标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 xml:space="preserve">4.4 </w:t>
      </w:r>
      <w:r>
        <w:rPr>
          <w:rFonts w:hint="eastAsia" w:hAnsi="宋体" w:cs="Calibri"/>
          <w:b/>
          <w:sz w:val="22"/>
          <w:szCs w:val="22"/>
        </w:rPr>
        <w:t>招标人对评标、定标结果不负责解释。</w:t>
      </w:r>
    </w:p>
    <w:p>
      <w:pPr>
        <w:widowControl/>
        <w:jc w:val="left"/>
        <w:rPr>
          <w:rFonts w:eastAsia="黑体"/>
          <w:b/>
          <w:bCs/>
          <w:kern w:val="0"/>
          <w:sz w:val="32"/>
          <w:szCs w:val="32"/>
        </w:rPr>
      </w:pPr>
      <w:r>
        <w:br w:type="page"/>
      </w:r>
    </w:p>
    <w:p>
      <w:pPr>
        <w:pStyle w:val="53"/>
      </w:pPr>
      <w:bookmarkStart w:id="91" w:name="_Toc13826050"/>
      <w:r>
        <w:rPr>
          <w:rFonts w:hint="eastAsia"/>
        </w:rPr>
        <w:t>第七章</w:t>
      </w:r>
      <w:r>
        <w:t xml:space="preserve">  </w:t>
      </w:r>
      <w:r>
        <w:rPr>
          <w:rFonts w:hint="eastAsia"/>
        </w:rPr>
        <w:t>投标文件格式</w:t>
      </w:r>
      <w:bookmarkEnd w:id="89"/>
      <w:bookmarkEnd w:id="91"/>
    </w:p>
    <w:p>
      <w:pPr>
        <w:spacing w:line="440" w:lineRule="exact"/>
        <w:jc w:val="center"/>
        <w:rPr>
          <w:rFonts w:ascii="宋体" w:hAnsi="宋体" w:cs="Calibri"/>
          <w:b/>
          <w:color w:val="000000"/>
          <w:sz w:val="28"/>
          <w:szCs w:val="28"/>
        </w:rPr>
      </w:pPr>
      <w:r>
        <w:rPr>
          <w:rFonts w:hint="eastAsia" w:ascii="宋体" w:hAnsi="宋体" w:cs="Calibri"/>
          <w:b/>
          <w:color w:val="000000"/>
          <w:sz w:val="28"/>
          <w:szCs w:val="28"/>
        </w:rPr>
        <w:t>目录</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color w:val="000000"/>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440" w:lineRule="exact"/>
        <w:rPr>
          <w:rFonts w:ascii="宋体" w:hAnsi="宋体" w:cs="Calibri"/>
          <w:color w:val="000000"/>
          <w:u w:val="single"/>
        </w:rPr>
      </w:pPr>
      <w:bookmarkStart w:id="92" w:name="_Toc171421958"/>
      <w:r>
        <w:rPr>
          <w:rFonts w:hint="eastAsia" w:ascii="宋体" w:hAnsi="宋体" w:cs="Calibri"/>
          <w:color w:val="000000"/>
        </w:rPr>
        <w:t>封面</w:t>
      </w:r>
      <w:bookmarkEnd w:id="92"/>
    </w:p>
    <w:p>
      <w:pPr>
        <w:autoSpaceDE w:val="0"/>
        <w:autoSpaceDN w:val="0"/>
        <w:adjustRightInd w:val="0"/>
        <w:jc w:val="center"/>
        <w:rPr>
          <w:rFonts w:ascii="宋体" w:hAnsi="宋体" w:cs="Calibri"/>
          <w:b/>
          <w:color w:val="000000"/>
          <w:spacing w:val="20"/>
          <w:kern w:val="0"/>
          <w:sz w:val="48"/>
          <w:szCs w:val="48"/>
        </w:rPr>
      </w:pPr>
    </w:p>
    <w:p>
      <w:pPr>
        <w:autoSpaceDE w:val="0"/>
        <w:autoSpaceDN w:val="0"/>
        <w:adjustRightInd w:val="0"/>
        <w:jc w:val="center"/>
        <w:rPr>
          <w:rFonts w:ascii="宋体" w:hAnsi="宋体" w:cs="Calibri"/>
          <w:b/>
          <w:color w:val="000000"/>
          <w:sz w:val="44"/>
          <w:szCs w:val="44"/>
        </w:rPr>
      </w:pPr>
      <w:r>
        <w:rPr>
          <w:rFonts w:hint="eastAsia" w:ascii="宋体" w:hAnsi="宋体" w:cs="Calibri"/>
          <w:b/>
          <w:color w:val="000000"/>
          <w:sz w:val="44"/>
          <w:szCs w:val="44"/>
        </w:rPr>
        <w:t>杭州萧山国际机场</w:t>
      </w:r>
      <w:r>
        <w:rPr>
          <w:rFonts w:ascii="宋体" w:hAnsi="宋体" w:cs="Calibri"/>
          <w:b/>
          <w:color w:val="000000"/>
          <w:sz w:val="44"/>
          <w:szCs w:val="44"/>
          <w:u w:val="single"/>
        </w:rPr>
        <w:t xml:space="preserve">           </w:t>
      </w:r>
      <w:r>
        <w:rPr>
          <w:rFonts w:hint="eastAsia" w:ascii="宋体" w:hAnsi="宋体" w:cs="Calibri"/>
          <w:b/>
          <w:color w:val="000000"/>
          <w:sz w:val="44"/>
          <w:szCs w:val="44"/>
        </w:rPr>
        <w:t>工程</w:t>
      </w:r>
    </w:p>
    <w:p>
      <w:pPr>
        <w:spacing w:line="440" w:lineRule="exact"/>
        <w:rPr>
          <w:rFonts w:ascii="宋体" w:hAnsi="宋体" w:cs="Calibri"/>
          <w:color w:val="000000"/>
          <w:sz w:val="36"/>
          <w:szCs w:val="36"/>
        </w:rPr>
      </w:pPr>
    </w:p>
    <w:p>
      <w:pPr>
        <w:spacing w:line="440" w:lineRule="exact"/>
        <w:ind w:firstLine="480" w:firstLineChars="200"/>
        <w:jc w:val="center"/>
        <w:rPr>
          <w:rFonts w:ascii="宋体" w:hAnsi="宋体" w:cs="Calibri"/>
          <w:color w:val="000000"/>
        </w:rPr>
      </w:pPr>
    </w:p>
    <w:p>
      <w:pPr>
        <w:spacing w:line="440" w:lineRule="exact"/>
        <w:rPr>
          <w:rFonts w:ascii="宋体" w:hAnsi="宋体" w:cs="Calibri"/>
          <w:color w:val="000000"/>
          <w:sz w:val="44"/>
          <w:szCs w:val="44"/>
        </w:rPr>
      </w:pPr>
    </w:p>
    <w:p>
      <w:pPr>
        <w:spacing w:before="480" w:beforeLines="200" w:after="480" w:afterLines="200" w:line="440" w:lineRule="exact"/>
        <w:jc w:val="center"/>
        <w:rPr>
          <w:rFonts w:ascii="宋体" w:hAnsi="宋体" w:cs="Calibri"/>
          <w:b/>
          <w:bCs/>
          <w:color w:val="000000"/>
          <w:sz w:val="84"/>
          <w:szCs w:val="84"/>
        </w:rPr>
      </w:pPr>
      <w:r>
        <w:rPr>
          <w:rFonts w:hint="eastAsia" w:ascii="宋体" w:hAnsi="宋体" w:cs="Calibri"/>
          <w:b/>
          <w:bCs/>
          <w:color w:val="000000"/>
          <w:sz w:val="84"/>
          <w:szCs w:val="84"/>
        </w:rPr>
        <w:t>投标文件</w:t>
      </w:r>
    </w:p>
    <w:p>
      <w:pPr>
        <w:spacing w:line="440" w:lineRule="exact"/>
        <w:ind w:firstLine="480" w:firstLineChars="200"/>
        <w:jc w:val="center"/>
        <w:rPr>
          <w:rFonts w:ascii="宋体" w:hAnsi="宋体" w:cs="Calibri"/>
          <w:color w:val="000000"/>
        </w:rPr>
      </w:pPr>
    </w:p>
    <w:p>
      <w:pPr>
        <w:spacing w:line="440" w:lineRule="exact"/>
        <w:ind w:firstLine="480" w:firstLineChars="200"/>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360" w:lineRule="auto"/>
        <w:ind w:firstLine="1400" w:firstLineChars="500"/>
        <w:rPr>
          <w:rFonts w:ascii="宋体" w:hAnsi="宋体" w:cs="Calibri"/>
          <w:color w:val="000000"/>
          <w:sz w:val="28"/>
          <w:szCs w:val="28"/>
          <w:u w:val="single"/>
        </w:rPr>
      </w:pPr>
      <w:r>
        <w:rPr>
          <w:rFonts w:hint="eastAsia" w:ascii="宋体" w:hAnsi="宋体" w:cs="Calibri"/>
          <w:color w:val="000000"/>
          <w:sz w:val="28"/>
          <w:szCs w:val="28"/>
        </w:rPr>
        <w:t>投标人：</w:t>
      </w:r>
      <w:r>
        <w:rPr>
          <w:rFonts w:hint="eastAsia" w:ascii="宋体" w:hAnsi="宋体" w:cs="Calibri"/>
          <w:color w:val="000000"/>
          <w:sz w:val="28"/>
          <w:szCs w:val="28"/>
          <w:u w:val="single"/>
        </w:rPr>
        <w:t>（盖单位章）</w:t>
      </w:r>
    </w:p>
    <w:p>
      <w:pPr>
        <w:spacing w:line="360" w:lineRule="auto"/>
        <w:ind w:firstLine="1400" w:firstLineChars="500"/>
        <w:rPr>
          <w:rFonts w:ascii="宋体" w:hAnsi="宋体" w:cs="Calibri"/>
          <w:color w:val="000000"/>
          <w:sz w:val="28"/>
          <w:szCs w:val="28"/>
        </w:rPr>
      </w:pPr>
      <w:r>
        <w:rPr>
          <w:rFonts w:hint="eastAsia" w:ascii="宋体" w:hAnsi="宋体" w:cs="Calibri"/>
          <w:color w:val="000000"/>
          <w:sz w:val="28"/>
          <w:szCs w:val="28"/>
        </w:rPr>
        <w:t>法定代表人或其委托代理人：</w:t>
      </w:r>
      <w:r>
        <w:rPr>
          <w:rFonts w:hint="eastAsia" w:ascii="宋体" w:hAnsi="宋体" w:cs="Calibri"/>
          <w:color w:val="000000"/>
          <w:sz w:val="28"/>
          <w:szCs w:val="28"/>
          <w:u w:val="single"/>
        </w:rPr>
        <w:t>（签字或盖章）</w:t>
      </w:r>
    </w:p>
    <w:p>
      <w:pPr>
        <w:spacing w:line="360" w:lineRule="auto"/>
        <w:ind w:firstLine="1400" w:firstLineChars="500"/>
        <w:rPr>
          <w:rFonts w:ascii="宋体" w:hAnsi="宋体" w:cs="Calibri"/>
          <w:color w:val="000000"/>
          <w:sz w:val="28"/>
          <w:szCs w:val="28"/>
        </w:rPr>
      </w:pPr>
      <w:r>
        <w:rPr>
          <w:rFonts w:hint="eastAsia" w:ascii="宋体" w:hAnsi="宋体" w:cs="Calibri"/>
          <w:color w:val="000000"/>
          <w:sz w:val="28"/>
          <w:szCs w:val="28"/>
        </w:rPr>
        <w:t>日期：年月日</w:t>
      </w:r>
    </w:p>
    <w:p>
      <w:pPr>
        <w:widowControl/>
        <w:jc w:val="left"/>
        <w:rPr>
          <w:rFonts w:hint="eastAsia" w:ascii="宋体" w:hAnsi="宋体" w:cs="宋体"/>
          <w:b/>
          <w:color w:val="000000"/>
          <w:szCs w:val="21"/>
        </w:rPr>
      </w:pPr>
    </w:p>
    <w:p>
      <w:pPr>
        <w:widowControl/>
        <w:jc w:val="left"/>
        <w:rPr>
          <w:rFonts w:hint="eastAsia" w:ascii="宋体" w:hAnsi="宋体" w:cs="宋体"/>
          <w:b/>
          <w:color w:val="000000"/>
          <w:szCs w:val="21"/>
        </w:rPr>
      </w:pPr>
    </w:p>
    <w:p>
      <w:pPr>
        <w:widowControl/>
        <w:jc w:val="left"/>
        <w:rPr>
          <w:rFonts w:hint="eastAsia" w:ascii="宋体" w:hAnsi="宋体" w:cs="宋体"/>
          <w:b/>
          <w:color w:val="000000"/>
          <w:szCs w:val="21"/>
        </w:rPr>
      </w:pPr>
    </w:p>
    <w:p>
      <w:pPr>
        <w:widowControl/>
        <w:jc w:val="left"/>
        <w:rPr>
          <w:rFonts w:hint="eastAsia" w:ascii="宋体" w:hAnsi="宋体" w:cs="宋体"/>
          <w:b/>
          <w:color w:val="000000"/>
          <w:szCs w:val="21"/>
        </w:rPr>
      </w:pPr>
      <w:r>
        <w:rPr>
          <w:rFonts w:ascii="宋体" w:hAnsi="宋体" w:cs="宋体"/>
          <w:b/>
          <w:color w:val="000000"/>
          <w:szCs w:val="21"/>
        </w:rPr>
        <w:br w:type="page"/>
      </w:r>
    </w:p>
    <w:p>
      <w:pPr>
        <w:widowControl/>
        <w:jc w:val="left"/>
        <w:rPr>
          <w:rFonts w:hint="eastAsia" w:ascii="宋体" w:hAnsi="宋体" w:cs="宋体"/>
          <w:b/>
          <w:color w:val="000000"/>
          <w:szCs w:val="21"/>
        </w:rPr>
      </w:pPr>
    </w:p>
    <w:p>
      <w:pPr>
        <w:widowControl/>
        <w:jc w:val="left"/>
        <w:rPr>
          <w:rFonts w:hint="eastAsia" w:ascii="宋体" w:hAnsi="宋体" w:cs="宋体"/>
          <w:b/>
          <w:color w:val="000000"/>
          <w:szCs w:val="21"/>
        </w:rPr>
      </w:pPr>
    </w:p>
    <w:p>
      <w:pPr>
        <w:spacing w:line="360" w:lineRule="auto"/>
        <w:jc w:val="center"/>
        <w:rPr>
          <w:rFonts w:ascii="宋体" w:hAnsi="宋体" w:cs="宋体"/>
          <w:b/>
          <w:color w:val="000000"/>
          <w:sz w:val="32"/>
          <w:szCs w:val="32"/>
        </w:rPr>
      </w:pPr>
      <w:r>
        <w:rPr>
          <w:rFonts w:hint="eastAsia" w:ascii="宋体" w:hAnsi="宋体" w:cs="宋体"/>
          <w:b/>
          <w:color w:val="000000"/>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投标人：（盖单位章）</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法定代表人或其委托代理人：（签字或盖章）</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地    址：</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邮政编码：</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电    话：</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传    真：</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开户银行：</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账    号：</w:t>
      </w:r>
    </w:p>
    <w:p>
      <w:pPr>
        <w:snapToGrid w:val="0"/>
        <w:spacing w:line="440" w:lineRule="exact"/>
        <w:ind w:firstLine="3300" w:firstLineChars="1500"/>
        <w:jc w:val="center"/>
        <w:rPr>
          <w:rFonts w:ascii="宋体" w:hAnsi="宋体" w:cs="Calibri"/>
          <w:color w:val="000000"/>
          <w:sz w:val="32"/>
          <w:szCs w:val="32"/>
        </w:rPr>
      </w:pPr>
      <w:r>
        <w:rPr>
          <w:rFonts w:ascii="等线" w:hAnsi="等线" w:cs="Calibri"/>
          <w:color w:val="000000"/>
          <w:sz w:val="22"/>
          <w:szCs w:val="22"/>
        </w:rPr>
        <w:t>日    期：    年     月     日</w:t>
      </w:r>
      <w:r>
        <w:rPr>
          <w:rFonts w:ascii="宋体" w:hAnsi="宋体" w:cs="Arial"/>
          <w:color w:val="000000"/>
          <w:sz w:val="22"/>
        </w:rPr>
        <w:br w:type="page"/>
      </w:r>
      <w:r>
        <w:rPr>
          <w:rFonts w:hint="eastAsia" w:ascii="宋体" w:hAnsi="宋体" w:cs="宋体"/>
          <w:b/>
          <w:color w:val="000000"/>
          <w:sz w:val="32"/>
          <w:szCs w:val="32"/>
        </w:rPr>
        <w:t>二、法定代表人身份证明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after="120" w:afterLines="50" w:line="440" w:lineRule="exact"/>
        <w:jc w:val="center"/>
        <w:rPr>
          <w:rFonts w:ascii="宋体" w:hAnsi="宋体" w:cs="Calibri"/>
          <w:b/>
          <w:color w:val="000000"/>
          <w:sz w:val="28"/>
          <w:szCs w:val="28"/>
        </w:rPr>
      </w:pPr>
      <w:r>
        <w:rPr>
          <w:rFonts w:cs="Calibri"/>
          <w:color w:val="000000"/>
          <w:szCs w:val="21"/>
        </w:rPr>
        <w:br w:type="page"/>
      </w:r>
      <w:r>
        <w:rPr>
          <w:rFonts w:hint="eastAsia" w:ascii="宋体" w:hAnsi="宋体" w:cs="Calibri"/>
          <w:b/>
          <w:color w:val="000000"/>
          <w:sz w:val="32"/>
          <w:szCs w:val="32"/>
        </w:rPr>
        <w:t>三、授权委托书</w:t>
      </w:r>
    </w:p>
    <w:p>
      <w:pPr>
        <w:spacing w:line="440" w:lineRule="exact"/>
        <w:ind w:firstLine="480" w:firstLineChars="200"/>
        <w:rPr>
          <w:rFonts w:ascii="宋体" w:hAnsi="宋体" w:cs="Calibri"/>
          <w:color w:val="000000"/>
          <w:szCs w:val="21"/>
        </w:rPr>
      </w:pPr>
    </w:p>
    <w:p>
      <w:pPr>
        <w:spacing w:line="440" w:lineRule="exact"/>
        <w:ind w:firstLine="440" w:firstLineChars="200"/>
        <w:rPr>
          <w:rFonts w:cs="Calibri"/>
          <w:color w:val="000000"/>
          <w:sz w:val="22"/>
          <w:szCs w:val="22"/>
        </w:rPr>
      </w:pPr>
      <w:bookmarkStart w:id="93" w:name="_Toc133214102"/>
      <w:bookmarkStart w:id="94" w:name="_Toc144265958"/>
      <w:bookmarkStart w:id="95" w:name="_Toc133470542"/>
      <w:bookmarkStart w:id="96" w:name="_Toc133214309"/>
      <w:bookmarkStart w:id="97" w:name="_Toc137373398"/>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color w:val="000000"/>
        </w:rPr>
      </w:pPr>
    </w:p>
    <w:p>
      <w:pPr>
        <w:pStyle w:val="31"/>
        <w:spacing w:after="120" w:afterLines="50" w:line="360" w:lineRule="auto"/>
        <w:jc w:val="left"/>
        <w:rPr>
          <w:rFonts w:hAnsi="宋体" w:cs="宋体"/>
          <w:b/>
          <w:color w:val="000000"/>
        </w:rPr>
      </w:pPr>
      <w:r>
        <w:rPr>
          <w:rFonts w:hAnsi="宋体" w:cs="宋体"/>
          <w:b/>
          <w:color w:val="000000"/>
        </w:rPr>
        <w:br w:type="page"/>
      </w:r>
    </w:p>
    <w:p>
      <w:pPr>
        <w:spacing w:line="440" w:lineRule="exact"/>
        <w:jc w:val="center"/>
        <w:rPr>
          <w:rFonts w:ascii="宋体" w:hAnsi="宋体" w:cs="Calibri"/>
          <w:color w:val="000000"/>
          <w:sz w:val="32"/>
          <w:szCs w:val="32"/>
        </w:rPr>
      </w:pPr>
      <w:r>
        <w:rPr>
          <w:rFonts w:hint="eastAsia" w:ascii="宋体" w:hAnsi="宋体" w:cs="Calibri"/>
          <w:color w:val="000000"/>
          <w:sz w:val="32"/>
          <w:szCs w:val="32"/>
        </w:rPr>
        <w:t>四、已标价工程量清单</w:t>
      </w:r>
    </w:p>
    <w:p>
      <w:pPr>
        <w:widowControl/>
        <w:tabs>
          <w:tab w:val="center" w:pos="4755"/>
          <w:tab w:val="right" w:pos="9070"/>
        </w:tabs>
        <w:adjustRightInd w:val="0"/>
        <w:snapToGrid w:val="0"/>
        <w:spacing w:line="440" w:lineRule="exact"/>
        <w:rPr>
          <w:rFonts w:ascii="宋体" w:hAnsi="宋体" w:cs="Arial"/>
          <w:color w:val="000000"/>
          <w:kern w:val="0"/>
          <w:szCs w:val="21"/>
        </w:rPr>
      </w:pPr>
    </w:p>
    <w:p>
      <w:pPr>
        <w:widowControl/>
        <w:tabs>
          <w:tab w:val="center" w:pos="4755"/>
          <w:tab w:val="right" w:pos="9070"/>
        </w:tabs>
        <w:adjustRightInd w:val="0"/>
        <w:snapToGrid w:val="0"/>
        <w:spacing w:line="440" w:lineRule="exact"/>
        <w:rPr>
          <w:rFonts w:ascii="宋体" w:hAnsi="宋体" w:cs="Arial"/>
          <w:color w:val="000000"/>
          <w:kern w:val="0"/>
          <w:szCs w:val="21"/>
        </w:rPr>
      </w:pPr>
      <w:r>
        <w:rPr>
          <w:rFonts w:hint="eastAsia" w:ascii="宋体" w:hAnsi="宋体" w:cs="Arial"/>
          <w:color w:val="000000"/>
          <w:kern w:val="0"/>
          <w:szCs w:val="21"/>
        </w:rPr>
        <w:t>须包含如下格式：</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w:t>
      </w:r>
      <w:r>
        <w:rPr>
          <w:rFonts w:hint="eastAsia" w:ascii="宋体" w:hAnsi="宋体" w:cs="Arial"/>
          <w:color w:val="000000"/>
          <w:kern w:val="0"/>
          <w:szCs w:val="21"/>
        </w:rPr>
        <w:t>）投标总价封面</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2</w:t>
      </w:r>
      <w:r>
        <w:rPr>
          <w:rFonts w:hint="eastAsia" w:ascii="宋体" w:hAnsi="宋体" w:cs="Arial"/>
          <w:color w:val="000000"/>
          <w:kern w:val="0"/>
          <w:szCs w:val="21"/>
        </w:rPr>
        <w:t>）工程总说明</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3</w:t>
      </w:r>
      <w:r>
        <w:rPr>
          <w:rFonts w:hint="eastAsia" w:ascii="宋体" w:hAnsi="宋体" w:cs="Arial"/>
          <w:color w:val="000000"/>
          <w:kern w:val="0"/>
          <w:szCs w:val="21"/>
        </w:rPr>
        <w:t>）工程项目投标报价汇总表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4</w:t>
      </w:r>
      <w:r>
        <w:rPr>
          <w:rFonts w:hint="eastAsia" w:ascii="宋体" w:hAnsi="宋体" w:cs="Arial"/>
          <w:color w:val="000000"/>
          <w:kern w:val="0"/>
          <w:szCs w:val="21"/>
        </w:rPr>
        <w:t>）单位（专业）工程投标报价计算表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5</w:t>
      </w:r>
      <w:r>
        <w:rPr>
          <w:rFonts w:hint="eastAsia" w:ascii="宋体" w:hAnsi="宋体" w:cs="Arial"/>
          <w:color w:val="000000"/>
          <w:kern w:val="0"/>
          <w:szCs w:val="21"/>
        </w:rPr>
        <w:t>）分部分项工程量清单与计价表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6</w:t>
      </w:r>
      <w:r>
        <w:rPr>
          <w:rFonts w:hint="eastAsia" w:ascii="宋体" w:hAnsi="宋体" w:cs="Arial"/>
          <w:color w:val="000000"/>
          <w:kern w:val="0"/>
          <w:szCs w:val="21"/>
        </w:rPr>
        <w:t>）工程量清单综合单价计算表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7</w:t>
      </w:r>
      <w:r>
        <w:rPr>
          <w:rFonts w:hint="eastAsia" w:ascii="宋体" w:hAnsi="宋体" w:cs="Arial"/>
          <w:color w:val="000000"/>
          <w:kern w:val="0"/>
          <w:szCs w:val="21"/>
        </w:rPr>
        <w:t>）工程量清单综合单价工料机分析表</w:t>
      </w:r>
      <w:r>
        <w:rPr>
          <w:rFonts w:hint="eastAsia" w:ascii="宋体" w:hAnsi="宋体" w:cs="宋体"/>
          <w:b/>
          <w:color w:val="000000"/>
          <w:kern w:val="0"/>
          <w:szCs w:val="21"/>
        </w:rPr>
        <w:t>（</w:t>
      </w:r>
      <w:r>
        <w:rPr>
          <w:rFonts w:hint="eastAsia" w:ascii="宋体" w:hAnsi="宋体" w:cs="宋体"/>
          <w:b/>
          <w:color w:val="000000"/>
          <w:kern w:val="0"/>
          <w:szCs w:val="21"/>
          <w:u w:val="single"/>
        </w:rPr>
        <w:t>投标时仅需提供电子版本，</w:t>
      </w:r>
      <w:r>
        <w:rPr>
          <w:rFonts w:hint="eastAsia" w:ascii="宋体" w:hAnsi="宋体" w:cs="Arial"/>
          <w:b/>
          <w:color w:val="000000"/>
          <w:kern w:val="0"/>
          <w:szCs w:val="21"/>
          <w:u w:val="single"/>
        </w:rPr>
        <w:t>投标人中标后，另提供的投标文件副本四份中需提供书面文档</w:t>
      </w:r>
      <w:r>
        <w:rPr>
          <w:rFonts w:hint="eastAsia" w:ascii="宋体" w:hAnsi="宋体" w:cs="宋体"/>
          <w:b/>
          <w:color w:val="000000"/>
          <w:kern w:val="0"/>
          <w:szCs w:val="21"/>
        </w:rPr>
        <w:t>）</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8</w:t>
      </w:r>
      <w:r>
        <w:rPr>
          <w:rFonts w:hint="eastAsia" w:ascii="宋体" w:hAnsi="宋体" w:cs="Arial"/>
          <w:color w:val="000000"/>
          <w:kern w:val="0"/>
          <w:szCs w:val="21"/>
        </w:rPr>
        <w:t>）施工技术措施项目清单与计价表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9</w:t>
      </w:r>
      <w:r>
        <w:rPr>
          <w:rFonts w:hint="eastAsia" w:ascii="宋体" w:hAnsi="宋体" w:cs="Arial"/>
          <w:color w:val="000000"/>
          <w:kern w:val="0"/>
          <w:szCs w:val="21"/>
        </w:rPr>
        <w:t>）措施项目清单综合单价计算表</w:t>
      </w:r>
    </w:p>
    <w:p>
      <w:pPr>
        <w:widowControl/>
        <w:tabs>
          <w:tab w:val="center" w:pos="4755"/>
          <w:tab w:val="right" w:pos="9070"/>
        </w:tabs>
        <w:adjustRightInd w:val="0"/>
        <w:snapToGrid w:val="0"/>
        <w:spacing w:line="440" w:lineRule="exact"/>
        <w:ind w:firstLine="480" w:firstLineChars="200"/>
        <w:rPr>
          <w:rFonts w:ascii="宋体" w:hAnsi="宋体" w:cs="宋体"/>
          <w:b/>
          <w:color w:val="000000"/>
          <w:kern w:val="0"/>
          <w:szCs w:val="21"/>
        </w:rPr>
      </w:pPr>
      <w:r>
        <w:rPr>
          <w:rFonts w:hint="eastAsia" w:ascii="宋体" w:hAnsi="宋体" w:cs="Arial"/>
          <w:color w:val="000000"/>
          <w:kern w:val="0"/>
          <w:szCs w:val="21"/>
        </w:rPr>
        <w:t>（</w:t>
      </w:r>
      <w:r>
        <w:rPr>
          <w:rFonts w:ascii="宋体" w:hAnsi="宋体" w:cs="Arial"/>
          <w:color w:val="000000"/>
          <w:kern w:val="0"/>
          <w:szCs w:val="21"/>
        </w:rPr>
        <w:t>10</w:t>
      </w:r>
      <w:r>
        <w:rPr>
          <w:rFonts w:hint="eastAsia" w:ascii="宋体" w:hAnsi="宋体" w:cs="Arial"/>
          <w:color w:val="000000"/>
          <w:kern w:val="0"/>
          <w:szCs w:val="21"/>
        </w:rPr>
        <w:t>）措施项目清单综合单价工料机分析表</w:t>
      </w:r>
      <w:r>
        <w:rPr>
          <w:rFonts w:hint="eastAsia" w:ascii="宋体" w:hAnsi="宋体" w:cs="宋体"/>
          <w:b/>
          <w:color w:val="000000"/>
          <w:kern w:val="0"/>
          <w:szCs w:val="21"/>
        </w:rPr>
        <w:t>（</w:t>
      </w:r>
      <w:r>
        <w:rPr>
          <w:rFonts w:hint="eastAsia" w:ascii="宋体" w:hAnsi="宋体" w:cs="宋体"/>
          <w:b/>
          <w:color w:val="000000"/>
          <w:kern w:val="0"/>
          <w:szCs w:val="21"/>
          <w:u w:val="single"/>
        </w:rPr>
        <w:t>投标时仅需提供电子版本，</w:t>
      </w:r>
      <w:r>
        <w:rPr>
          <w:rFonts w:hint="eastAsia" w:ascii="宋体" w:hAnsi="宋体" w:cs="Arial"/>
          <w:b/>
          <w:color w:val="000000"/>
          <w:kern w:val="0"/>
          <w:szCs w:val="21"/>
          <w:u w:val="single"/>
        </w:rPr>
        <w:t>投标人中标后，另提供的投标文件副本四份中需提供书面文档</w:t>
      </w:r>
      <w:r>
        <w:rPr>
          <w:rFonts w:hint="eastAsia" w:ascii="宋体" w:hAnsi="宋体" w:cs="宋体"/>
          <w:b/>
          <w:color w:val="000000"/>
          <w:kern w:val="0"/>
          <w:szCs w:val="21"/>
        </w:rPr>
        <w:t>）</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宋体"/>
          <w:bCs/>
          <w:color w:val="000000"/>
          <w:kern w:val="0"/>
          <w:szCs w:val="21"/>
        </w:rPr>
        <w:t>（</w:t>
      </w:r>
      <w:r>
        <w:rPr>
          <w:rFonts w:ascii="宋体" w:hAnsi="宋体" w:cs="宋体"/>
          <w:bCs/>
          <w:color w:val="000000"/>
          <w:kern w:val="0"/>
          <w:szCs w:val="21"/>
        </w:rPr>
        <w:t>11</w:t>
      </w:r>
      <w:r>
        <w:rPr>
          <w:rFonts w:hint="eastAsia" w:ascii="宋体" w:hAnsi="宋体" w:cs="宋体"/>
          <w:bCs/>
          <w:color w:val="000000"/>
          <w:kern w:val="0"/>
          <w:szCs w:val="21"/>
        </w:rPr>
        <w:t>）</w:t>
      </w:r>
      <w:r>
        <w:rPr>
          <w:rFonts w:hint="eastAsia" w:ascii="宋体" w:hAnsi="宋体" w:cs="Arial"/>
          <w:color w:val="000000"/>
          <w:kern w:val="0"/>
          <w:szCs w:val="21"/>
        </w:rPr>
        <w:t>施工组织措施项目清单与计价表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12</w:t>
      </w:r>
      <w:r>
        <w:rPr>
          <w:rFonts w:hint="eastAsia" w:ascii="宋体" w:hAnsi="宋体" w:cs="Arial"/>
          <w:color w:val="000000"/>
          <w:kern w:val="0"/>
          <w:szCs w:val="21"/>
        </w:rPr>
        <w:t>）其他项目清单与计价汇总表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13</w:t>
      </w:r>
      <w:r>
        <w:rPr>
          <w:rFonts w:hint="eastAsia" w:ascii="宋体" w:hAnsi="宋体" w:cs="Arial"/>
          <w:color w:val="000000"/>
          <w:kern w:val="0"/>
          <w:szCs w:val="21"/>
        </w:rPr>
        <w:t>）计日工报价表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14</w:t>
      </w:r>
      <w:r>
        <w:rPr>
          <w:rFonts w:hint="eastAsia" w:ascii="宋体" w:hAnsi="宋体" w:cs="Arial"/>
          <w:color w:val="000000"/>
          <w:kern w:val="0"/>
          <w:szCs w:val="21"/>
        </w:rPr>
        <w:t>）总承包服务费报价表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15</w:t>
      </w:r>
      <w:r>
        <w:rPr>
          <w:rFonts w:hint="eastAsia" w:ascii="宋体" w:hAnsi="宋体" w:cs="Arial"/>
          <w:color w:val="000000"/>
          <w:kern w:val="0"/>
          <w:szCs w:val="21"/>
        </w:rPr>
        <w:t>）主要工日价格表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16</w:t>
      </w:r>
      <w:r>
        <w:rPr>
          <w:rFonts w:hint="eastAsia" w:ascii="宋体" w:hAnsi="宋体" w:cs="Arial"/>
          <w:color w:val="000000"/>
          <w:kern w:val="0"/>
          <w:szCs w:val="21"/>
        </w:rPr>
        <w:t>）主要材料价格表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17</w:t>
      </w:r>
      <w:r>
        <w:rPr>
          <w:rFonts w:hint="eastAsia" w:ascii="宋体" w:hAnsi="宋体" w:cs="Arial"/>
          <w:color w:val="000000"/>
          <w:kern w:val="0"/>
          <w:szCs w:val="21"/>
        </w:rPr>
        <w:t>）主要机械台班价格表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18</w:t>
      </w:r>
      <w:r>
        <w:rPr>
          <w:rFonts w:hint="eastAsia" w:ascii="宋体" w:hAnsi="宋体" w:cs="Arial"/>
          <w:color w:val="000000"/>
          <w:kern w:val="0"/>
          <w:szCs w:val="21"/>
        </w:rPr>
        <w:t>）安全防护、文明施工措施项目费分析表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19</w:t>
      </w:r>
      <w:r>
        <w:rPr>
          <w:rFonts w:hint="eastAsia" w:ascii="宋体" w:hAnsi="宋体" w:cs="Arial"/>
          <w:color w:val="000000"/>
          <w:kern w:val="0"/>
          <w:szCs w:val="21"/>
        </w:rPr>
        <w:t>）主要材料品牌一览表</w:t>
      </w:r>
    </w:p>
    <w:p>
      <w:pPr>
        <w:pStyle w:val="31"/>
        <w:spacing w:after="120" w:afterLines="50" w:line="360" w:lineRule="auto"/>
        <w:jc w:val="center"/>
        <w:rPr>
          <w:rFonts w:hAnsi="宋体" w:cs="宋体"/>
          <w:color w:val="000000"/>
        </w:rPr>
      </w:pPr>
    </w:p>
    <w:bookmarkEnd w:id="93"/>
    <w:bookmarkEnd w:id="94"/>
    <w:bookmarkEnd w:id="95"/>
    <w:bookmarkEnd w:id="96"/>
    <w:bookmarkEnd w:id="97"/>
    <w:p>
      <w:pPr>
        <w:snapToGrid w:val="0"/>
        <w:spacing w:before="120" w:beforeLines="50" w:line="360" w:lineRule="exact"/>
        <w:ind w:left="1134"/>
        <w:rPr>
          <w:rFonts w:ascii="宋体" w:hAnsi="宋体" w:cs="宋体"/>
          <w:color w:val="000000"/>
          <w:sz w:val="22"/>
        </w:rPr>
      </w:pPr>
    </w:p>
    <w:p>
      <w:pPr>
        <w:spacing w:line="360" w:lineRule="auto"/>
        <w:jc w:val="center"/>
        <w:rPr>
          <w:rFonts w:ascii="宋体" w:hAnsi="宋体" w:cs="Calibri"/>
          <w:color w:val="000000"/>
          <w:sz w:val="32"/>
          <w:szCs w:val="32"/>
        </w:rPr>
      </w:pPr>
      <w:r>
        <w:rPr>
          <w:rFonts w:ascii="宋体" w:hAnsi="宋体" w:cs="宋体"/>
          <w:color w:val="000000"/>
          <w:sz w:val="22"/>
        </w:rPr>
        <w:br w:type="page"/>
      </w:r>
      <w:r>
        <w:rPr>
          <w:rFonts w:hint="eastAsia" w:ascii="宋体" w:hAnsi="宋体" w:cs="Calibri"/>
          <w:color w:val="000000"/>
          <w:sz w:val="32"/>
          <w:szCs w:val="32"/>
        </w:rPr>
        <w:t>五、施工组织设计</w:t>
      </w:r>
    </w:p>
    <w:p>
      <w:pPr>
        <w:spacing w:line="440" w:lineRule="exact"/>
        <w:jc w:val="center"/>
        <w:rPr>
          <w:rFonts w:ascii="宋体" w:hAnsi="宋体" w:cs="Calibri"/>
          <w:color w:val="000000"/>
          <w:sz w:val="32"/>
          <w:szCs w:val="32"/>
        </w:rPr>
      </w:pPr>
    </w:p>
    <w:p>
      <w:pPr>
        <w:tabs>
          <w:tab w:val="left" w:pos="720"/>
        </w:tabs>
        <w:spacing w:line="440" w:lineRule="exact"/>
        <w:ind w:firstLine="440" w:firstLineChars="200"/>
        <w:rPr>
          <w:rFonts w:ascii="宋体" w:hAnsi="宋体"/>
          <w:color w:val="000000"/>
          <w:sz w:val="22"/>
        </w:rPr>
      </w:pPr>
      <w:r>
        <w:rPr>
          <w:rFonts w:ascii="宋体" w:hAnsi="宋体"/>
          <w:color w:val="000000"/>
          <w:sz w:val="22"/>
        </w:rPr>
        <w:t xml:space="preserve">1. </w:t>
      </w:r>
      <w:r>
        <w:rPr>
          <w:rFonts w:ascii="宋体" w:hAnsi="宋体"/>
          <w:color w:val="000000"/>
          <w:sz w:val="22"/>
        </w:rPr>
        <w:tab/>
      </w:r>
      <w:r>
        <w:rPr>
          <w:rFonts w:hint="eastAsia" w:ascii="宋体" w:hAnsi="宋体"/>
          <w:color w:val="000000"/>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color w:val="000000"/>
          <w:sz w:val="22"/>
        </w:rPr>
      </w:pPr>
      <w:r>
        <w:rPr>
          <w:rFonts w:ascii="宋体" w:hAnsi="宋体"/>
          <w:color w:val="000000"/>
          <w:sz w:val="22"/>
        </w:rPr>
        <w:t xml:space="preserve">2. </w:t>
      </w:r>
      <w:r>
        <w:rPr>
          <w:rFonts w:ascii="宋体" w:hAnsi="宋体"/>
          <w:color w:val="000000"/>
          <w:sz w:val="22"/>
        </w:rPr>
        <w:tab/>
      </w:r>
      <w:r>
        <w:rPr>
          <w:rFonts w:hint="eastAsia" w:ascii="宋体" w:hAnsi="宋体"/>
          <w:color w:val="000000"/>
          <w:sz w:val="22"/>
        </w:rPr>
        <w:t>施工组织设计除采用文字表述外可附下列图表，图表及格式要求附后。</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附表一</w:t>
      </w:r>
      <w:r>
        <w:rPr>
          <w:rFonts w:ascii="宋体" w:hAnsi="宋体"/>
          <w:color w:val="000000"/>
          <w:sz w:val="22"/>
        </w:rPr>
        <w:t xml:space="preserve">  </w:t>
      </w:r>
      <w:r>
        <w:rPr>
          <w:rFonts w:hint="eastAsia" w:ascii="宋体" w:hAnsi="宋体"/>
          <w:color w:val="000000"/>
          <w:sz w:val="22"/>
        </w:rPr>
        <w:t>拟投入本标段的主要施工设备表</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附表二</w:t>
      </w:r>
      <w:r>
        <w:rPr>
          <w:rFonts w:ascii="宋体" w:hAnsi="宋体"/>
          <w:color w:val="000000"/>
          <w:sz w:val="22"/>
        </w:rPr>
        <w:t xml:space="preserve">  </w:t>
      </w:r>
      <w:r>
        <w:rPr>
          <w:rFonts w:hint="eastAsia" w:ascii="宋体" w:hAnsi="宋体"/>
          <w:color w:val="000000"/>
          <w:sz w:val="22"/>
        </w:rPr>
        <w:t>拟配备本标段的试验和检测仪器设备表</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附表三</w:t>
      </w:r>
      <w:r>
        <w:rPr>
          <w:rFonts w:ascii="宋体" w:hAnsi="宋体"/>
          <w:color w:val="000000"/>
          <w:sz w:val="22"/>
        </w:rPr>
        <w:t xml:space="preserve">  </w:t>
      </w:r>
      <w:r>
        <w:rPr>
          <w:rFonts w:hint="eastAsia" w:ascii="宋体" w:hAnsi="宋体"/>
          <w:color w:val="000000"/>
          <w:sz w:val="22"/>
        </w:rPr>
        <w:t>劳动力计划表</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附表四</w:t>
      </w:r>
      <w:r>
        <w:rPr>
          <w:rFonts w:ascii="宋体" w:hAnsi="宋体"/>
          <w:color w:val="000000"/>
          <w:sz w:val="22"/>
        </w:rPr>
        <w:t xml:space="preserve">  </w:t>
      </w:r>
      <w:r>
        <w:rPr>
          <w:rFonts w:hint="eastAsia" w:ascii="宋体" w:hAnsi="宋体"/>
          <w:color w:val="000000"/>
          <w:sz w:val="22"/>
        </w:rPr>
        <w:t>计划开、竣工日期和施工进度网络图</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附表五</w:t>
      </w:r>
      <w:r>
        <w:rPr>
          <w:rFonts w:ascii="宋体" w:hAnsi="宋体"/>
          <w:color w:val="000000"/>
          <w:sz w:val="22"/>
        </w:rPr>
        <w:t xml:space="preserve">  </w:t>
      </w:r>
      <w:r>
        <w:rPr>
          <w:rFonts w:hint="eastAsia" w:ascii="宋体" w:hAnsi="宋体"/>
          <w:color w:val="000000"/>
          <w:sz w:val="22"/>
        </w:rPr>
        <w:t>施工总平面图</w:t>
      </w:r>
    </w:p>
    <w:p>
      <w:pPr>
        <w:widowControl/>
        <w:jc w:val="left"/>
        <w:rPr>
          <w:rFonts w:ascii="宋体" w:hAnsi="宋体"/>
          <w:color w:val="000000"/>
          <w:szCs w:val="23"/>
        </w:rPr>
      </w:pPr>
      <w:r>
        <w:rPr>
          <w:rFonts w:ascii="宋体" w:hAnsi="宋体" w:cs="宋体"/>
          <w:b/>
          <w:color w:val="000000"/>
          <w:sz w:val="32"/>
          <w:szCs w:val="32"/>
        </w:rPr>
        <w:br w:type="page"/>
      </w:r>
      <w:bookmarkStart w:id="98" w:name="_Toc246392155"/>
      <w:bookmarkStart w:id="99" w:name="_Toc152045797"/>
      <w:bookmarkStart w:id="100" w:name="_Toc179632817"/>
      <w:bookmarkStart w:id="101" w:name="_Toc144974865"/>
      <w:bookmarkStart w:id="102" w:name="_Toc11710"/>
      <w:bookmarkStart w:id="103" w:name="_Toc152042586"/>
      <w:r>
        <w:rPr>
          <w:rFonts w:hint="eastAsia" w:ascii="宋体" w:hAnsi="宋体"/>
          <w:color w:val="000000"/>
        </w:rPr>
        <w:t>附表一：</w:t>
      </w:r>
      <w:r>
        <w:rPr>
          <w:rFonts w:hint="eastAsia" w:ascii="宋体" w:hAnsi="宋体"/>
          <w:color w:val="000000"/>
          <w:szCs w:val="23"/>
        </w:rPr>
        <w:t>拟投入本标段的主要施工设备表</w:t>
      </w:r>
      <w:bookmarkEnd w:id="98"/>
      <w:bookmarkEnd w:id="99"/>
      <w:bookmarkEnd w:id="100"/>
      <w:bookmarkEnd w:id="101"/>
      <w:bookmarkEnd w:id="102"/>
      <w:bookmarkEnd w:id="103"/>
    </w:p>
    <w:p>
      <w:pPr>
        <w:spacing w:line="440" w:lineRule="exact"/>
        <w:rPr>
          <w:rFonts w:ascii="宋体" w:hAnsi="宋体"/>
          <w:color w:val="000000"/>
          <w:sz w:val="20"/>
          <w:szCs w:val="20"/>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center"/>
          </w:tcPr>
          <w:p>
            <w:pPr>
              <w:spacing w:line="440" w:lineRule="exact"/>
              <w:rPr>
                <w:rFonts w:ascii="宋体" w:hAnsi="宋体"/>
                <w:color w:val="000000"/>
                <w:szCs w:val="21"/>
              </w:rPr>
            </w:pPr>
            <w:r>
              <w:rPr>
                <w:rFonts w:hint="eastAsia" w:ascii="宋体" w:hAnsi="宋体"/>
                <w:color w:val="000000"/>
                <w:szCs w:val="21"/>
              </w:rPr>
              <w:t>序号</w:t>
            </w:r>
          </w:p>
        </w:tc>
        <w:tc>
          <w:tcPr>
            <w:tcW w:w="1183" w:type="dxa"/>
            <w:noWrap w:val="0"/>
            <w:vAlign w:val="center"/>
          </w:tcPr>
          <w:p>
            <w:pPr>
              <w:spacing w:line="440" w:lineRule="exact"/>
              <w:jc w:val="center"/>
              <w:rPr>
                <w:rFonts w:ascii="宋体" w:hAnsi="宋体"/>
                <w:color w:val="000000"/>
                <w:szCs w:val="21"/>
              </w:rPr>
            </w:pPr>
            <w:r>
              <w:rPr>
                <w:rFonts w:hint="eastAsia" w:ascii="宋体" w:hAnsi="宋体"/>
                <w:color w:val="000000"/>
                <w:szCs w:val="21"/>
              </w:rPr>
              <w:t>设备名称</w:t>
            </w:r>
          </w:p>
        </w:tc>
        <w:tc>
          <w:tcPr>
            <w:tcW w:w="908"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型号</w:t>
            </w:r>
          </w:p>
          <w:p>
            <w:pPr>
              <w:spacing w:line="440" w:lineRule="exact"/>
              <w:jc w:val="center"/>
              <w:rPr>
                <w:rFonts w:ascii="宋体" w:hAnsi="宋体"/>
                <w:color w:val="000000"/>
                <w:szCs w:val="21"/>
              </w:rPr>
            </w:pPr>
            <w:r>
              <w:rPr>
                <w:rFonts w:hint="eastAsia" w:ascii="宋体" w:hAnsi="宋体"/>
                <w:color w:val="000000"/>
                <w:szCs w:val="21"/>
              </w:rPr>
              <w:t>规格</w:t>
            </w:r>
          </w:p>
        </w:tc>
        <w:tc>
          <w:tcPr>
            <w:tcW w:w="880" w:type="dxa"/>
            <w:noWrap w:val="0"/>
            <w:vAlign w:val="center"/>
          </w:tcPr>
          <w:p>
            <w:pPr>
              <w:spacing w:line="440" w:lineRule="exact"/>
              <w:jc w:val="center"/>
              <w:rPr>
                <w:rFonts w:ascii="宋体" w:hAnsi="宋体"/>
                <w:color w:val="000000"/>
                <w:szCs w:val="21"/>
              </w:rPr>
            </w:pPr>
            <w:r>
              <w:rPr>
                <w:rFonts w:hint="eastAsia" w:ascii="宋体" w:hAnsi="宋体"/>
                <w:color w:val="000000"/>
                <w:szCs w:val="21"/>
              </w:rPr>
              <w:t>数量</w:t>
            </w:r>
          </w:p>
        </w:tc>
        <w:tc>
          <w:tcPr>
            <w:tcW w:w="802"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国别</w:t>
            </w:r>
          </w:p>
          <w:p>
            <w:pPr>
              <w:spacing w:line="440" w:lineRule="exact"/>
              <w:jc w:val="center"/>
              <w:rPr>
                <w:rFonts w:ascii="宋体" w:hAnsi="宋体"/>
                <w:color w:val="000000"/>
                <w:szCs w:val="21"/>
              </w:rPr>
            </w:pPr>
            <w:r>
              <w:rPr>
                <w:rFonts w:hint="eastAsia" w:ascii="宋体" w:hAnsi="宋体"/>
                <w:color w:val="000000"/>
                <w:szCs w:val="21"/>
              </w:rPr>
              <w:t>产地</w:t>
            </w:r>
          </w:p>
        </w:tc>
        <w:tc>
          <w:tcPr>
            <w:tcW w:w="879"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制造</w:t>
            </w:r>
          </w:p>
          <w:p>
            <w:pPr>
              <w:spacing w:line="440" w:lineRule="exact"/>
              <w:jc w:val="center"/>
              <w:rPr>
                <w:rFonts w:ascii="宋体" w:hAnsi="宋体"/>
                <w:color w:val="000000"/>
                <w:szCs w:val="21"/>
              </w:rPr>
            </w:pPr>
            <w:r>
              <w:rPr>
                <w:rFonts w:hint="eastAsia" w:ascii="宋体" w:hAnsi="宋体"/>
                <w:color w:val="000000"/>
                <w:szCs w:val="21"/>
              </w:rPr>
              <w:t>年份</w:t>
            </w:r>
          </w:p>
        </w:tc>
        <w:tc>
          <w:tcPr>
            <w:tcW w:w="903" w:type="dxa"/>
            <w:noWrap w:val="0"/>
            <w:vAlign w:val="center"/>
          </w:tcPr>
          <w:p>
            <w:pPr>
              <w:spacing w:line="440" w:lineRule="exact"/>
              <w:jc w:val="center"/>
              <w:rPr>
                <w:rFonts w:ascii="宋体" w:hAnsi="宋体"/>
                <w:color w:val="000000"/>
                <w:szCs w:val="21"/>
              </w:rPr>
            </w:pPr>
            <w:r>
              <w:rPr>
                <w:rFonts w:hint="eastAsia" w:ascii="宋体" w:hAnsi="宋体"/>
                <w:color w:val="000000"/>
                <w:szCs w:val="21"/>
              </w:rPr>
              <w:t>额定功率（</w:t>
            </w:r>
            <w:r>
              <w:rPr>
                <w:rFonts w:ascii="宋体" w:hAnsi="宋体"/>
                <w:color w:val="000000"/>
                <w:szCs w:val="21"/>
              </w:rPr>
              <w:t>KW</w:t>
            </w:r>
            <w:r>
              <w:rPr>
                <w:rFonts w:hint="eastAsia" w:ascii="宋体" w:hAnsi="宋体"/>
                <w:color w:val="000000"/>
                <w:szCs w:val="21"/>
              </w:rPr>
              <w:t>）</w:t>
            </w:r>
          </w:p>
        </w:tc>
        <w:tc>
          <w:tcPr>
            <w:tcW w:w="1043" w:type="dxa"/>
            <w:noWrap w:val="0"/>
            <w:vAlign w:val="center"/>
          </w:tcPr>
          <w:p>
            <w:pPr>
              <w:spacing w:line="440" w:lineRule="exact"/>
              <w:jc w:val="center"/>
              <w:rPr>
                <w:rFonts w:ascii="宋体" w:hAnsi="宋体"/>
                <w:color w:val="000000"/>
                <w:szCs w:val="21"/>
              </w:rPr>
            </w:pPr>
            <w:r>
              <w:rPr>
                <w:rFonts w:hint="eastAsia" w:ascii="宋体" w:hAnsi="宋体"/>
                <w:color w:val="000000"/>
                <w:szCs w:val="21"/>
              </w:rPr>
              <w:t>生产</w:t>
            </w:r>
          </w:p>
          <w:p>
            <w:pPr>
              <w:spacing w:line="440" w:lineRule="exact"/>
              <w:jc w:val="center"/>
              <w:rPr>
                <w:rFonts w:ascii="宋体" w:hAnsi="宋体"/>
                <w:color w:val="000000"/>
                <w:szCs w:val="21"/>
              </w:rPr>
            </w:pPr>
            <w:r>
              <w:rPr>
                <w:rFonts w:hint="eastAsia" w:ascii="宋体" w:hAnsi="宋体"/>
                <w:color w:val="000000"/>
                <w:szCs w:val="21"/>
              </w:rPr>
              <w:t>能力</w:t>
            </w:r>
          </w:p>
        </w:tc>
        <w:tc>
          <w:tcPr>
            <w:tcW w:w="940" w:type="dxa"/>
            <w:noWrap w:val="0"/>
            <w:vAlign w:val="center"/>
          </w:tcPr>
          <w:p>
            <w:pPr>
              <w:spacing w:line="440" w:lineRule="exact"/>
              <w:jc w:val="center"/>
              <w:rPr>
                <w:rFonts w:ascii="宋体" w:hAnsi="宋体"/>
                <w:color w:val="000000"/>
                <w:szCs w:val="21"/>
              </w:rPr>
            </w:pPr>
            <w:r>
              <w:rPr>
                <w:rFonts w:hint="eastAsia" w:ascii="宋体" w:hAnsi="宋体"/>
                <w:color w:val="000000"/>
                <w:szCs w:val="21"/>
              </w:rPr>
              <w:t>用于施工部位</w:t>
            </w:r>
          </w:p>
        </w:tc>
        <w:tc>
          <w:tcPr>
            <w:tcW w:w="656"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center"/>
          </w:tcPr>
          <w:p>
            <w:pPr>
              <w:spacing w:line="440" w:lineRule="exact"/>
              <w:jc w:val="center"/>
              <w:rPr>
                <w:rFonts w:ascii="宋体" w:hAnsi="宋体"/>
                <w:color w:val="000000"/>
                <w:szCs w:val="21"/>
              </w:rPr>
            </w:pPr>
          </w:p>
        </w:tc>
        <w:tc>
          <w:tcPr>
            <w:tcW w:w="1183" w:type="dxa"/>
            <w:noWrap w:val="0"/>
            <w:vAlign w:val="center"/>
          </w:tcPr>
          <w:p>
            <w:pPr>
              <w:spacing w:line="440" w:lineRule="exact"/>
              <w:jc w:val="center"/>
              <w:rPr>
                <w:rFonts w:ascii="宋体" w:hAnsi="宋体"/>
                <w:color w:val="000000"/>
                <w:szCs w:val="21"/>
              </w:rPr>
            </w:pPr>
          </w:p>
        </w:tc>
        <w:tc>
          <w:tcPr>
            <w:tcW w:w="908" w:type="dxa"/>
            <w:noWrap w:val="0"/>
            <w:vAlign w:val="center"/>
          </w:tcPr>
          <w:p>
            <w:pPr>
              <w:spacing w:line="440" w:lineRule="exact"/>
              <w:jc w:val="center"/>
              <w:rPr>
                <w:rFonts w:ascii="宋体" w:hAnsi="宋体"/>
                <w:color w:val="000000"/>
                <w:szCs w:val="21"/>
              </w:rPr>
            </w:pPr>
          </w:p>
        </w:tc>
        <w:tc>
          <w:tcPr>
            <w:tcW w:w="880" w:type="dxa"/>
            <w:noWrap w:val="0"/>
            <w:vAlign w:val="center"/>
          </w:tcPr>
          <w:p>
            <w:pPr>
              <w:spacing w:line="440" w:lineRule="exact"/>
              <w:jc w:val="center"/>
              <w:rPr>
                <w:rFonts w:ascii="宋体" w:hAnsi="宋体"/>
                <w:color w:val="000000"/>
                <w:szCs w:val="21"/>
              </w:rPr>
            </w:pPr>
          </w:p>
        </w:tc>
        <w:tc>
          <w:tcPr>
            <w:tcW w:w="802" w:type="dxa"/>
            <w:noWrap w:val="0"/>
            <w:vAlign w:val="center"/>
          </w:tcPr>
          <w:p>
            <w:pPr>
              <w:spacing w:line="440" w:lineRule="exact"/>
              <w:jc w:val="center"/>
              <w:rPr>
                <w:rFonts w:ascii="宋体" w:hAnsi="宋体"/>
                <w:color w:val="000000"/>
                <w:szCs w:val="21"/>
              </w:rPr>
            </w:pPr>
          </w:p>
        </w:tc>
        <w:tc>
          <w:tcPr>
            <w:tcW w:w="879" w:type="dxa"/>
            <w:noWrap w:val="0"/>
            <w:vAlign w:val="center"/>
          </w:tcPr>
          <w:p>
            <w:pPr>
              <w:spacing w:line="440" w:lineRule="exact"/>
              <w:jc w:val="center"/>
              <w:rPr>
                <w:rFonts w:ascii="宋体" w:hAnsi="宋体"/>
                <w:color w:val="000000"/>
                <w:szCs w:val="21"/>
              </w:rPr>
            </w:pPr>
          </w:p>
        </w:tc>
        <w:tc>
          <w:tcPr>
            <w:tcW w:w="903" w:type="dxa"/>
            <w:noWrap w:val="0"/>
            <w:vAlign w:val="center"/>
          </w:tcPr>
          <w:p>
            <w:pPr>
              <w:spacing w:line="440" w:lineRule="exact"/>
              <w:jc w:val="center"/>
              <w:rPr>
                <w:rFonts w:ascii="宋体" w:hAnsi="宋体"/>
                <w:color w:val="000000"/>
                <w:szCs w:val="21"/>
              </w:rPr>
            </w:pPr>
          </w:p>
        </w:tc>
        <w:tc>
          <w:tcPr>
            <w:tcW w:w="1043" w:type="dxa"/>
            <w:noWrap w:val="0"/>
            <w:vAlign w:val="center"/>
          </w:tcPr>
          <w:p>
            <w:pPr>
              <w:spacing w:line="440" w:lineRule="exact"/>
              <w:jc w:val="center"/>
              <w:rPr>
                <w:rFonts w:ascii="宋体" w:hAnsi="宋体"/>
                <w:color w:val="000000"/>
                <w:szCs w:val="21"/>
              </w:rPr>
            </w:pPr>
          </w:p>
        </w:tc>
        <w:tc>
          <w:tcPr>
            <w:tcW w:w="940" w:type="dxa"/>
            <w:noWrap w:val="0"/>
            <w:vAlign w:val="center"/>
          </w:tcPr>
          <w:p>
            <w:pPr>
              <w:spacing w:line="440" w:lineRule="exact"/>
              <w:jc w:val="center"/>
              <w:rPr>
                <w:rFonts w:ascii="宋体" w:hAnsi="宋体"/>
                <w:color w:val="000000"/>
                <w:szCs w:val="21"/>
              </w:rPr>
            </w:pPr>
          </w:p>
        </w:tc>
        <w:tc>
          <w:tcPr>
            <w:tcW w:w="65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center"/>
          </w:tcPr>
          <w:p>
            <w:pPr>
              <w:spacing w:line="440" w:lineRule="exact"/>
              <w:jc w:val="center"/>
              <w:rPr>
                <w:rFonts w:ascii="宋体" w:hAnsi="宋体"/>
                <w:color w:val="000000"/>
                <w:szCs w:val="21"/>
              </w:rPr>
            </w:pPr>
          </w:p>
        </w:tc>
        <w:tc>
          <w:tcPr>
            <w:tcW w:w="1183" w:type="dxa"/>
            <w:noWrap w:val="0"/>
            <w:vAlign w:val="center"/>
          </w:tcPr>
          <w:p>
            <w:pPr>
              <w:spacing w:line="440" w:lineRule="exact"/>
              <w:jc w:val="center"/>
              <w:rPr>
                <w:rFonts w:ascii="宋体" w:hAnsi="宋体"/>
                <w:color w:val="000000"/>
                <w:szCs w:val="21"/>
              </w:rPr>
            </w:pPr>
          </w:p>
        </w:tc>
        <w:tc>
          <w:tcPr>
            <w:tcW w:w="908" w:type="dxa"/>
            <w:noWrap w:val="0"/>
            <w:vAlign w:val="center"/>
          </w:tcPr>
          <w:p>
            <w:pPr>
              <w:spacing w:line="440" w:lineRule="exact"/>
              <w:jc w:val="center"/>
              <w:rPr>
                <w:rFonts w:ascii="宋体" w:hAnsi="宋体"/>
                <w:color w:val="000000"/>
                <w:szCs w:val="21"/>
              </w:rPr>
            </w:pPr>
          </w:p>
        </w:tc>
        <w:tc>
          <w:tcPr>
            <w:tcW w:w="880" w:type="dxa"/>
            <w:noWrap w:val="0"/>
            <w:vAlign w:val="center"/>
          </w:tcPr>
          <w:p>
            <w:pPr>
              <w:spacing w:line="440" w:lineRule="exact"/>
              <w:jc w:val="center"/>
              <w:rPr>
                <w:rFonts w:ascii="宋体" w:hAnsi="宋体"/>
                <w:color w:val="000000"/>
                <w:szCs w:val="21"/>
              </w:rPr>
            </w:pPr>
          </w:p>
        </w:tc>
        <w:tc>
          <w:tcPr>
            <w:tcW w:w="802" w:type="dxa"/>
            <w:noWrap w:val="0"/>
            <w:vAlign w:val="center"/>
          </w:tcPr>
          <w:p>
            <w:pPr>
              <w:spacing w:line="440" w:lineRule="exact"/>
              <w:jc w:val="center"/>
              <w:rPr>
                <w:rFonts w:ascii="宋体" w:hAnsi="宋体"/>
                <w:color w:val="000000"/>
                <w:szCs w:val="21"/>
              </w:rPr>
            </w:pPr>
          </w:p>
        </w:tc>
        <w:tc>
          <w:tcPr>
            <w:tcW w:w="879" w:type="dxa"/>
            <w:noWrap w:val="0"/>
            <w:vAlign w:val="center"/>
          </w:tcPr>
          <w:p>
            <w:pPr>
              <w:spacing w:line="440" w:lineRule="exact"/>
              <w:jc w:val="center"/>
              <w:rPr>
                <w:rFonts w:ascii="宋体" w:hAnsi="宋体"/>
                <w:color w:val="000000"/>
                <w:szCs w:val="21"/>
              </w:rPr>
            </w:pPr>
          </w:p>
        </w:tc>
        <w:tc>
          <w:tcPr>
            <w:tcW w:w="903" w:type="dxa"/>
            <w:noWrap w:val="0"/>
            <w:vAlign w:val="center"/>
          </w:tcPr>
          <w:p>
            <w:pPr>
              <w:spacing w:line="440" w:lineRule="exact"/>
              <w:jc w:val="center"/>
              <w:rPr>
                <w:rFonts w:ascii="宋体" w:hAnsi="宋体"/>
                <w:color w:val="000000"/>
                <w:szCs w:val="21"/>
              </w:rPr>
            </w:pPr>
          </w:p>
        </w:tc>
        <w:tc>
          <w:tcPr>
            <w:tcW w:w="1043" w:type="dxa"/>
            <w:noWrap w:val="0"/>
            <w:vAlign w:val="center"/>
          </w:tcPr>
          <w:p>
            <w:pPr>
              <w:spacing w:line="440" w:lineRule="exact"/>
              <w:jc w:val="center"/>
              <w:rPr>
                <w:rFonts w:ascii="宋体" w:hAnsi="宋体"/>
                <w:color w:val="000000"/>
                <w:szCs w:val="21"/>
              </w:rPr>
            </w:pPr>
          </w:p>
        </w:tc>
        <w:tc>
          <w:tcPr>
            <w:tcW w:w="940" w:type="dxa"/>
            <w:noWrap w:val="0"/>
            <w:vAlign w:val="center"/>
          </w:tcPr>
          <w:p>
            <w:pPr>
              <w:spacing w:line="440" w:lineRule="exact"/>
              <w:jc w:val="center"/>
              <w:rPr>
                <w:rFonts w:ascii="宋体" w:hAnsi="宋体"/>
                <w:color w:val="000000"/>
                <w:szCs w:val="21"/>
              </w:rPr>
            </w:pPr>
          </w:p>
        </w:tc>
        <w:tc>
          <w:tcPr>
            <w:tcW w:w="65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spacing w:line="440" w:lineRule="exact"/>
              <w:jc w:val="center"/>
              <w:rPr>
                <w:rFonts w:ascii="宋体" w:hAnsi="宋体"/>
                <w:color w:val="000000"/>
                <w:szCs w:val="21"/>
              </w:rPr>
            </w:pPr>
          </w:p>
        </w:tc>
        <w:tc>
          <w:tcPr>
            <w:tcW w:w="1183" w:type="dxa"/>
            <w:noWrap w:val="0"/>
            <w:vAlign w:val="top"/>
          </w:tcPr>
          <w:p>
            <w:pPr>
              <w:spacing w:line="440" w:lineRule="exact"/>
              <w:jc w:val="center"/>
              <w:rPr>
                <w:rFonts w:ascii="宋体" w:hAnsi="宋体"/>
                <w:color w:val="000000"/>
                <w:szCs w:val="21"/>
              </w:rPr>
            </w:pPr>
          </w:p>
        </w:tc>
        <w:tc>
          <w:tcPr>
            <w:tcW w:w="908" w:type="dxa"/>
            <w:noWrap w:val="0"/>
            <w:vAlign w:val="top"/>
          </w:tcPr>
          <w:p>
            <w:pPr>
              <w:spacing w:line="440" w:lineRule="exact"/>
              <w:jc w:val="center"/>
              <w:rPr>
                <w:rFonts w:ascii="宋体" w:hAnsi="宋体"/>
                <w:color w:val="000000"/>
                <w:szCs w:val="21"/>
              </w:rPr>
            </w:pPr>
          </w:p>
        </w:tc>
        <w:tc>
          <w:tcPr>
            <w:tcW w:w="880" w:type="dxa"/>
            <w:noWrap w:val="0"/>
            <w:vAlign w:val="top"/>
          </w:tcPr>
          <w:p>
            <w:pPr>
              <w:spacing w:line="440" w:lineRule="exact"/>
              <w:jc w:val="center"/>
              <w:rPr>
                <w:rFonts w:ascii="宋体" w:hAnsi="宋体"/>
                <w:color w:val="000000"/>
                <w:szCs w:val="21"/>
              </w:rPr>
            </w:pPr>
          </w:p>
        </w:tc>
        <w:tc>
          <w:tcPr>
            <w:tcW w:w="802" w:type="dxa"/>
            <w:noWrap w:val="0"/>
            <w:vAlign w:val="top"/>
          </w:tcPr>
          <w:p>
            <w:pPr>
              <w:spacing w:line="440" w:lineRule="exact"/>
              <w:jc w:val="center"/>
              <w:rPr>
                <w:rFonts w:ascii="宋体" w:hAnsi="宋体"/>
                <w:color w:val="000000"/>
                <w:szCs w:val="21"/>
              </w:rPr>
            </w:pPr>
          </w:p>
        </w:tc>
        <w:tc>
          <w:tcPr>
            <w:tcW w:w="879" w:type="dxa"/>
            <w:noWrap w:val="0"/>
            <w:vAlign w:val="top"/>
          </w:tcPr>
          <w:p>
            <w:pPr>
              <w:spacing w:line="440" w:lineRule="exact"/>
              <w:jc w:val="center"/>
              <w:rPr>
                <w:rFonts w:ascii="宋体" w:hAnsi="宋体"/>
                <w:color w:val="000000"/>
                <w:szCs w:val="21"/>
              </w:rPr>
            </w:pPr>
          </w:p>
        </w:tc>
        <w:tc>
          <w:tcPr>
            <w:tcW w:w="903" w:type="dxa"/>
            <w:noWrap w:val="0"/>
            <w:vAlign w:val="top"/>
          </w:tcPr>
          <w:p>
            <w:pPr>
              <w:spacing w:line="440" w:lineRule="exact"/>
              <w:jc w:val="center"/>
              <w:rPr>
                <w:rFonts w:ascii="宋体" w:hAnsi="宋体"/>
                <w:color w:val="000000"/>
                <w:szCs w:val="21"/>
              </w:rPr>
            </w:pPr>
          </w:p>
        </w:tc>
        <w:tc>
          <w:tcPr>
            <w:tcW w:w="1043" w:type="dxa"/>
            <w:noWrap w:val="0"/>
            <w:vAlign w:val="top"/>
          </w:tcPr>
          <w:p>
            <w:pPr>
              <w:spacing w:line="440" w:lineRule="exact"/>
              <w:jc w:val="center"/>
              <w:rPr>
                <w:rFonts w:ascii="宋体" w:hAnsi="宋体"/>
                <w:color w:val="000000"/>
                <w:szCs w:val="21"/>
              </w:rPr>
            </w:pPr>
          </w:p>
        </w:tc>
        <w:tc>
          <w:tcPr>
            <w:tcW w:w="940" w:type="dxa"/>
            <w:noWrap w:val="0"/>
            <w:vAlign w:val="top"/>
          </w:tcPr>
          <w:p>
            <w:pPr>
              <w:spacing w:line="440" w:lineRule="exact"/>
              <w:jc w:val="center"/>
              <w:rPr>
                <w:rFonts w:ascii="宋体" w:hAnsi="宋体"/>
                <w:color w:val="000000"/>
                <w:szCs w:val="21"/>
              </w:rPr>
            </w:pPr>
          </w:p>
        </w:tc>
        <w:tc>
          <w:tcPr>
            <w:tcW w:w="656" w:type="dxa"/>
            <w:noWrap w:val="0"/>
            <w:vAlign w:val="top"/>
          </w:tcPr>
          <w:p>
            <w:pPr>
              <w:spacing w:line="440" w:lineRule="exact"/>
              <w:jc w:val="center"/>
              <w:rPr>
                <w:rFonts w:ascii="宋体" w:hAnsi="宋体"/>
                <w:color w:val="000000"/>
                <w:szCs w:val="21"/>
              </w:rPr>
            </w:pPr>
          </w:p>
        </w:tc>
      </w:tr>
    </w:tbl>
    <w:p>
      <w:pPr>
        <w:spacing w:line="440" w:lineRule="exact"/>
        <w:rPr>
          <w:rFonts w:ascii="宋体" w:hAnsi="宋体"/>
          <w:color w:val="000000"/>
          <w:sz w:val="20"/>
          <w:szCs w:val="20"/>
        </w:rPr>
      </w:pPr>
    </w:p>
    <w:p>
      <w:pPr>
        <w:spacing w:line="440" w:lineRule="exact"/>
        <w:rPr>
          <w:rFonts w:ascii="宋体" w:hAnsi="宋体"/>
          <w:color w:val="000000"/>
        </w:rPr>
      </w:pPr>
      <w:r>
        <w:rPr>
          <w:rFonts w:ascii="宋体" w:hAnsi="宋体"/>
          <w:color w:val="000000"/>
          <w:sz w:val="20"/>
          <w:szCs w:val="20"/>
        </w:rPr>
        <w:br w:type="page"/>
      </w:r>
      <w:bookmarkStart w:id="104" w:name="_Toc152042587"/>
      <w:bookmarkStart w:id="105" w:name="_Toc246392156"/>
      <w:bookmarkStart w:id="106" w:name="_Toc152045798"/>
      <w:bookmarkStart w:id="107" w:name="_Toc4957"/>
      <w:bookmarkStart w:id="108" w:name="_Toc179632818"/>
      <w:bookmarkStart w:id="109" w:name="_Toc144974866"/>
      <w:r>
        <w:rPr>
          <w:rFonts w:hint="eastAsia" w:ascii="宋体" w:hAnsi="宋体"/>
          <w:color w:val="000000"/>
        </w:rPr>
        <w:t>附表二：拟配备本标段的试验和检测仪器设备表</w:t>
      </w:r>
      <w:bookmarkEnd w:id="104"/>
      <w:bookmarkEnd w:id="105"/>
      <w:bookmarkEnd w:id="106"/>
      <w:bookmarkEnd w:id="107"/>
      <w:bookmarkEnd w:id="108"/>
      <w:bookmarkEnd w:id="109"/>
    </w:p>
    <w:p>
      <w:pPr>
        <w:spacing w:line="440" w:lineRule="exact"/>
        <w:rPr>
          <w:rFonts w:ascii="宋体" w:hAnsi="宋体"/>
          <w:color w:val="000000"/>
          <w:sz w:val="20"/>
          <w:szCs w:val="20"/>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center"/>
          </w:tcPr>
          <w:p>
            <w:pPr>
              <w:spacing w:line="440" w:lineRule="exact"/>
              <w:rPr>
                <w:rFonts w:ascii="宋体" w:hAnsi="宋体"/>
                <w:color w:val="000000"/>
                <w:szCs w:val="21"/>
              </w:rPr>
            </w:pPr>
            <w:r>
              <w:rPr>
                <w:rFonts w:hint="eastAsia" w:ascii="宋体" w:hAnsi="宋体"/>
                <w:color w:val="000000"/>
                <w:szCs w:val="21"/>
              </w:rPr>
              <w:t>序号</w:t>
            </w:r>
          </w:p>
        </w:tc>
        <w:tc>
          <w:tcPr>
            <w:tcW w:w="1307" w:type="dxa"/>
            <w:noWrap w:val="0"/>
            <w:vAlign w:val="center"/>
          </w:tcPr>
          <w:p>
            <w:pPr>
              <w:spacing w:line="440" w:lineRule="exact"/>
              <w:jc w:val="center"/>
              <w:rPr>
                <w:rFonts w:ascii="宋体" w:hAnsi="宋体"/>
                <w:color w:val="000000"/>
                <w:szCs w:val="21"/>
              </w:rPr>
            </w:pPr>
            <w:r>
              <w:rPr>
                <w:rFonts w:hint="eastAsia" w:ascii="宋体" w:hAnsi="宋体"/>
                <w:color w:val="000000"/>
                <w:szCs w:val="21"/>
              </w:rPr>
              <w:t>仪器设备名称</w:t>
            </w:r>
          </w:p>
        </w:tc>
        <w:tc>
          <w:tcPr>
            <w:tcW w:w="915"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型号</w:t>
            </w:r>
          </w:p>
          <w:p>
            <w:pPr>
              <w:spacing w:line="440" w:lineRule="exact"/>
              <w:jc w:val="center"/>
              <w:rPr>
                <w:rFonts w:ascii="宋体" w:hAnsi="宋体"/>
                <w:color w:val="000000"/>
                <w:szCs w:val="21"/>
              </w:rPr>
            </w:pPr>
            <w:r>
              <w:rPr>
                <w:rFonts w:hint="eastAsia" w:ascii="宋体" w:hAnsi="宋体"/>
                <w:color w:val="000000"/>
                <w:szCs w:val="21"/>
              </w:rPr>
              <w:t>规格</w:t>
            </w:r>
          </w:p>
        </w:tc>
        <w:tc>
          <w:tcPr>
            <w:tcW w:w="739" w:type="dxa"/>
            <w:noWrap w:val="0"/>
            <w:vAlign w:val="center"/>
          </w:tcPr>
          <w:p>
            <w:pPr>
              <w:spacing w:line="440" w:lineRule="exact"/>
              <w:jc w:val="center"/>
              <w:rPr>
                <w:rFonts w:ascii="宋体" w:hAnsi="宋体"/>
                <w:color w:val="000000"/>
                <w:szCs w:val="21"/>
              </w:rPr>
            </w:pPr>
            <w:r>
              <w:rPr>
                <w:rFonts w:hint="eastAsia" w:ascii="宋体" w:hAnsi="宋体"/>
                <w:color w:val="000000"/>
                <w:szCs w:val="21"/>
              </w:rPr>
              <w:t>数量</w:t>
            </w:r>
          </w:p>
        </w:tc>
        <w:tc>
          <w:tcPr>
            <w:tcW w:w="809"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国别</w:t>
            </w:r>
          </w:p>
          <w:p>
            <w:pPr>
              <w:spacing w:line="440" w:lineRule="exact"/>
              <w:jc w:val="center"/>
              <w:rPr>
                <w:rFonts w:ascii="宋体" w:hAnsi="宋体"/>
                <w:color w:val="000000"/>
                <w:szCs w:val="21"/>
              </w:rPr>
            </w:pPr>
            <w:r>
              <w:rPr>
                <w:rFonts w:hint="eastAsia" w:ascii="宋体" w:hAnsi="宋体"/>
                <w:color w:val="000000"/>
                <w:szCs w:val="21"/>
              </w:rPr>
              <w:t>产地</w:t>
            </w:r>
          </w:p>
        </w:tc>
        <w:tc>
          <w:tcPr>
            <w:tcW w:w="888"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制造</w:t>
            </w:r>
          </w:p>
          <w:p>
            <w:pPr>
              <w:spacing w:line="440" w:lineRule="exact"/>
              <w:jc w:val="center"/>
              <w:rPr>
                <w:rFonts w:ascii="宋体" w:hAnsi="宋体"/>
                <w:color w:val="000000"/>
                <w:szCs w:val="21"/>
              </w:rPr>
            </w:pPr>
            <w:r>
              <w:rPr>
                <w:rFonts w:hint="eastAsia" w:ascii="宋体" w:hAnsi="宋体"/>
                <w:color w:val="000000"/>
                <w:szCs w:val="21"/>
              </w:rPr>
              <w:t>年份</w:t>
            </w:r>
          </w:p>
        </w:tc>
        <w:tc>
          <w:tcPr>
            <w:tcW w:w="1458"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已使用台时数</w:t>
            </w:r>
          </w:p>
        </w:tc>
        <w:tc>
          <w:tcPr>
            <w:tcW w:w="1111" w:type="dxa"/>
            <w:noWrap w:val="0"/>
            <w:vAlign w:val="center"/>
          </w:tcPr>
          <w:p>
            <w:pPr>
              <w:spacing w:line="440" w:lineRule="exact"/>
              <w:jc w:val="center"/>
              <w:rPr>
                <w:rFonts w:ascii="宋体" w:hAnsi="宋体"/>
                <w:color w:val="000000"/>
                <w:szCs w:val="21"/>
              </w:rPr>
            </w:pPr>
            <w:r>
              <w:rPr>
                <w:rFonts w:hint="eastAsia" w:ascii="宋体" w:hAnsi="宋体"/>
                <w:color w:val="000000"/>
                <w:szCs w:val="21"/>
              </w:rPr>
              <w:t>用途</w:t>
            </w:r>
          </w:p>
        </w:tc>
        <w:tc>
          <w:tcPr>
            <w:tcW w:w="827"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center"/>
          </w:tcPr>
          <w:p>
            <w:pPr>
              <w:spacing w:line="440" w:lineRule="exact"/>
              <w:jc w:val="center"/>
              <w:rPr>
                <w:rFonts w:ascii="宋体" w:hAnsi="宋体"/>
                <w:color w:val="000000"/>
                <w:szCs w:val="21"/>
              </w:rPr>
            </w:pPr>
          </w:p>
        </w:tc>
        <w:tc>
          <w:tcPr>
            <w:tcW w:w="1307" w:type="dxa"/>
            <w:noWrap w:val="0"/>
            <w:vAlign w:val="center"/>
          </w:tcPr>
          <w:p>
            <w:pPr>
              <w:spacing w:line="440" w:lineRule="exact"/>
              <w:jc w:val="center"/>
              <w:rPr>
                <w:rFonts w:ascii="宋体" w:hAnsi="宋体"/>
                <w:color w:val="000000"/>
                <w:szCs w:val="21"/>
              </w:rPr>
            </w:pPr>
          </w:p>
        </w:tc>
        <w:tc>
          <w:tcPr>
            <w:tcW w:w="915" w:type="dxa"/>
            <w:noWrap w:val="0"/>
            <w:vAlign w:val="center"/>
          </w:tcPr>
          <w:p>
            <w:pPr>
              <w:spacing w:line="440" w:lineRule="exact"/>
              <w:jc w:val="center"/>
              <w:rPr>
                <w:rFonts w:ascii="宋体" w:hAnsi="宋体"/>
                <w:color w:val="000000"/>
                <w:szCs w:val="21"/>
              </w:rPr>
            </w:pPr>
          </w:p>
        </w:tc>
        <w:tc>
          <w:tcPr>
            <w:tcW w:w="739" w:type="dxa"/>
            <w:noWrap w:val="0"/>
            <w:vAlign w:val="center"/>
          </w:tcPr>
          <w:p>
            <w:pPr>
              <w:spacing w:line="440" w:lineRule="exact"/>
              <w:jc w:val="center"/>
              <w:rPr>
                <w:rFonts w:ascii="宋体" w:hAnsi="宋体"/>
                <w:color w:val="000000"/>
                <w:szCs w:val="21"/>
              </w:rPr>
            </w:pPr>
          </w:p>
        </w:tc>
        <w:tc>
          <w:tcPr>
            <w:tcW w:w="809" w:type="dxa"/>
            <w:noWrap w:val="0"/>
            <w:vAlign w:val="center"/>
          </w:tcPr>
          <w:p>
            <w:pPr>
              <w:spacing w:line="440" w:lineRule="exact"/>
              <w:jc w:val="center"/>
              <w:rPr>
                <w:rFonts w:ascii="宋体" w:hAnsi="宋体"/>
                <w:color w:val="000000"/>
                <w:szCs w:val="21"/>
              </w:rPr>
            </w:pPr>
          </w:p>
        </w:tc>
        <w:tc>
          <w:tcPr>
            <w:tcW w:w="888" w:type="dxa"/>
            <w:noWrap w:val="0"/>
            <w:vAlign w:val="center"/>
          </w:tcPr>
          <w:p>
            <w:pPr>
              <w:spacing w:line="440" w:lineRule="exact"/>
              <w:jc w:val="center"/>
              <w:rPr>
                <w:rFonts w:ascii="宋体" w:hAnsi="宋体"/>
                <w:color w:val="000000"/>
                <w:szCs w:val="21"/>
              </w:rPr>
            </w:pPr>
          </w:p>
        </w:tc>
        <w:tc>
          <w:tcPr>
            <w:tcW w:w="1458" w:type="dxa"/>
            <w:noWrap w:val="0"/>
            <w:vAlign w:val="center"/>
          </w:tcPr>
          <w:p>
            <w:pPr>
              <w:spacing w:line="440" w:lineRule="exact"/>
              <w:jc w:val="center"/>
              <w:rPr>
                <w:rFonts w:ascii="宋体" w:hAnsi="宋体"/>
                <w:color w:val="000000"/>
                <w:szCs w:val="21"/>
              </w:rPr>
            </w:pPr>
          </w:p>
        </w:tc>
        <w:tc>
          <w:tcPr>
            <w:tcW w:w="1111" w:type="dxa"/>
            <w:noWrap w:val="0"/>
            <w:vAlign w:val="center"/>
          </w:tcPr>
          <w:p>
            <w:pPr>
              <w:spacing w:line="440" w:lineRule="exact"/>
              <w:jc w:val="center"/>
              <w:rPr>
                <w:rFonts w:ascii="宋体" w:hAnsi="宋体"/>
                <w:color w:val="000000"/>
                <w:szCs w:val="21"/>
              </w:rPr>
            </w:pPr>
          </w:p>
        </w:tc>
        <w:tc>
          <w:tcPr>
            <w:tcW w:w="827"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center"/>
          </w:tcPr>
          <w:p>
            <w:pPr>
              <w:spacing w:line="440" w:lineRule="exact"/>
              <w:jc w:val="center"/>
              <w:rPr>
                <w:rFonts w:ascii="宋体" w:hAnsi="宋体"/>
                <w:color w:val="000000"/>
                <w:szCs w:val="21"/>
              </w:rPr>
            </w:pPr>
          </w:p>
        </w:tc>
        <w:tc>
          <w:tcPr>
            <w:tcW w:w="1307" w:type="dxa"/>
            <w:noWrap w:val="0"/>
            <w:vAlign w:val="center"/>
          </w:tcPr>
          <w:p>
            <w:pPr>
              <w:spacing w:line="440" w:lineRule="exact"/>
              <w:jc w:val="center"/>
              <w:rPr>
                <w:rFonts w:ascii="宋体" w:hAnsi="宋体"/>
                <w:color w:val="000000"/>
                <w:szCs w:val="21"/>
              </w:rPr>
            </w:pPr>
          </w:p>
        </w:tc>
        <w:tc>
          <w:tcPr>
            <w:tcW w:w="915" w:type="dxa"/>
            <w:noWrap w:val="0"/>
            <w:vAlign w:val="center"/>
          </w:tcPr>
          <w:p>
            <w:pPr>
              <w:spacing w:line="440" w:lineRule="exact"/>
              <w:jc w:val="center"/>
              <w:rPr>
                <w:rFonts w:ascii="宋体" w:hAnsi="宋体"/>
                <w:color w:val="000000"/>
                <w:szCs w:val="21"/>
              </w:rPr>
            </w:pPr>
          </w:p>
        </w:tc>
        <w:tc>
          <w:tcPr>
            <w:tcW w:w="739" w:type="dxa"/>
            <w:noWrap w:val="0"/>
            <w:vAlign w:val="center"/>
          </w:tcPr>
          <w:p>
            <w:pPr>
              <w:spacing w:line="440" w:lineRule="exact"/>
              <w:jc w:val="center"/>
              <w:rPr>
                <w:rFonts w:ascii="宋体" w:hAnsi="宋体"/>
                <w:color w:val="000000"/>
                <w:szCs w:val="21"/>
              </w:rPr>
            </w:pPr>
          </w:p>
        </w:tc>
        <w:tc>
          <w:tcPr>
            <w:tcW w:w="809" w:type="dxa"/>
            <w:noWrap w:val="0"/>
            <w:vAlign w:val="center"/>
          </w:tcPr>
          <w:p>
            <w:pPr>
              <w:spacing w:line="440" w:lineRule="exact"/>
              <w:jc w:val="center"/>
              <w:rPr>
                <w:rFonts w:ascii="宋体" w:hAnsi="宋体"/>
                <w:color w:val="000000"/>
                <w:szCs w:val="21"/>
              </w:rPr>
            </w:pPr>
          </w:p>
        </w:tc>
        <w:tc>
          <w:tcPr>
            <w:tcW w:w="888" w:type="dxa"/>
            <w:noWrap w:val="0"/>
            <w:vAlign w:val="center"/>
          </w:tcPr>
          <w:p>
            <w:pPr>
              <w:spacing w:line="440" w:lineRule="exact"/>
              <w:jc w:val="center"/>
              <w:rPr>
                <w:rFonts w:ascii="宋体" w:hAnsi="宋体"/>
                <w:color w:val="000000"/>
                <w:szCs w:val="21"/>
              </w:rPr>
            </w:pPr>
          </w:p>
        </w:tc>
        <w:tc>
          <w:tcPr>
            <w:tcW w:w="1458" w:type="dxa"/>
            <w:noWrap w:val="0"/>
            <w:vAlign w:val="center"/>
          </w:tcPr>
          <w:p>
            <w:pPr>
              <w:spacing w:line="440" w:lineRule="exact"/>
              <w:jc w:val="center"/>
              <w:rPr>
                <w:rFonts w:ascii="宋体" w:hAnsi="宋体"/>
                <w:color w:val="000000"/>
                <w:szCs w:val="21"/>
              </w:rPr>
            </w:pPr>
          </w:p>
        </w:tc>
        <w:tc>
          <w:tcPr>
            <w:tcW w:w="1111" w:type="dxa"/>
            <w:noWrap w:val="0"/>
            <w:vAlign w:val="center"/>
          </w:tcPr>
          <w:p>
            <w:pPr>
              <w:spacing w:line="440" w:lineRule="exact"/>
              <w:jc w:val="center"/>
              <w:rPr>
                <w:rFonts w:ascii="宋体" w:hAnsi="宋体"/>
                <w:color w:val="000000"/>
                <w:szCs w:val="21"/>
              </w:rPr>
            </w:pPr>
          </w:p>
        </w:tc>
        <w:tc>
          <w:tcPr>
            <w:tcW w:w="827"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noWrap w:val="0"/>
            <w:vAlign w:val="top"/>
          </w:tcPr>
          <w:p>
            <w:pPr>
              <w:spacing w:line="440" w:lineRule="exact"/>
              <w:jc w:val="center"/>
              <w:rPr>
                <w:rFonts w:ascii="宋体" w:hAnsi="宋体"/>
                <w:color w:val="000000"/>
                <w:szCs w:val="21"/>
              </w:rPr>
            </w:pPr>
          </w:p>
        </w:tc>
        <w:tc>
          <w:tcPr>
            <w:tcW w:w="1307" w:type="dxa"/>
            <w:noWrap w:val="0"/>
            <w:vAlign w:val="top"/>
          </w:tcPr>
          <w:p>
            <w:pPr>
              <w:spacing w:line="440" w:lineRule="exact"/>
              <w:jc w:val="center"/>
              <w:rPr>
                <w:rFonts w:ascii="宋体" w:hAnsi="宋体"/>
                <w:color w:val="000000"/>
                <w:szCs w:val="21"/>
              </w:rPr>
            </w:pPr>
          </w:p>
        </w:tc>
        <w:tc>
          <w:tcPr>
            <w:tcW w:w="915" w:type="dxa"/>
            <w:noWrap w:val="0"/>
            <w:vAlign w:val="top"/>
          </w:tcPr>
          <w:p>
            <w:pPr>
              <w:spacing w:line="440" w:lineRule="exact"/>
              <w:jc w:val="center"/>
              <w:rPr>
                <w:rFonts w:ascii="宋体" w:hAnsi="宋体"/>
                <w:color w:val="000000"/>
                <w:szCs w:val="21"/>
              </w:rPr>
            </w:pPr>
          </w:p>
        </w:tc>
        <w:tc>
          <w:tcPr>
            <w:tcW w:w="739" w:type="dxa"/>
            <w:noWrap w:val="0"/>
            <w:vAlign w:val="top"/>
          </w:tcPr>
          <w:p>
            <w:pPr>
              <w:spacing w:line="440" w:lineRule="exact"/>
              <w:jc w:val="center"/>
              <w:rPr>
                <w:rFonts w:ascii="宋体" w:hAnsi="宋体"/>
                <w:color w:val="000000"/>
                <w:szCs w:val="21"/>
              </w:rPr>
            </w:pPr>
          </w:p>
        </w:tc>
        <w:tc>
          <w:tcPr>
            <w:tcW w:w="809" w:type="dxa"/>
            <w:noWrap w:val="0"/>
            <w:vAlign w:val="top"/>
          </w:tcPr>
          <w:p>
            <w:pPr>
              <w:spacing w:line="440" w:lineRule="exact"/>
              <w:jc w:val="center"/>
              <w:rPr>
                <w:rFonts w:ascii="宋体" w:hAnsi="宋体"/>
                <w:color w:val="000000"/>
                <w:szCs w:val="21"/>
              </w:rPr>
            </w:pPr>
          </w:p>
        </w:tc>
        <w:tc>
          <w:tcPr>
            <w:tcW w:w="888" w:type="dxa"/>
            <w:noWrap w:val="0"/>
            <w:vAlign w:val="top"/>
          </w:tcPr>
          <w:p>
            <w:pPr>
              <w:spacing w:line="440" w:lineRule="exact"/>
              <w:jc w:val="center"/>
              <w:rPr>
                <w:rFonts w:ascii="宋体" w:hAnsi="宋体"/>
                <w:color w:val="000000"/>
                <w:szCs w:val="21"/>
              </w:rPr>
            </w:pPr>
          </w:p>
        </w:tc>
        <w:tc>
          <w:tcPr>
            <w:tcW w:w="1458" w:type="dxa"/>
            <w:noWrap w:val="0"/>
            <w:vAlign w:val="top"/>
          </w:tcPr>
          <w:p>
            <w:pPr>
              <w:spacing w:line="440" w:lineRule="exact"/>
              <w:jc w:val="center"/>
              <w:rPr>
                <w:rFonts w:ascii="宋体" w:hAnsi="宋体"/>
                <w:color w:val="000000"/>
                <w:szCs w:val="21"/>
              </w:rPr>
            </w:pPr>
          </w:p>
        </w:tc>
        <w:tc>
          <w:tcPr>
            <w:tcW w:w="1111" w:type="dxa"/>
            <w:noWrap w:val="0"/>
            <w:vAlign w:val="top"/>
          </w:tcPr>
          <w:p>
            <w:pPr>
              <w:spacing w:line="440" w:lineRule="exact"/>
              <w:jc w:val="center"/>
              <w:rPr>
                <w:rFonts w:ascii="宋体" w:hAnsi="宋体"/>
                <w:color w:val="000000"/>
                <w:szCs w:val="21"/>
              </w:rPr>
            </w:pPr>
          </w:p>
        </w:tc>
        <w:tc>
          <w:tcPr>
            <w:tcW w:w="827" w:type="dxa"/>
            <w:noWrap w:val="0"/>
            <w:vAlign w:val="top"/>
          </w:tcPr>
          <w:p>
            <w:pPr>
              <w:spacing w:line="440" w:lineRule="exact"/>
              <w:jc w:val="center"/>
              <w:rPr>
                <w:rFonts w:ascii="宋体" w:hAnsi="宋体"/>
                <w:color w:val="000000"/>
                <w:szCs w:val="21"/>
              </w:rPr>
            </w:pPr>
          </w:p>
        </w:tc>
      </w:tr>
    </w:tbl>
    <w:p>
      <w:pPr>
        <w:spacing w:line="440" w:lineRule="exact"/>
        <w:rPr>
          <w:rFonts w:ascii="宋体" w:hAnsi="宋体"/>
          <w:color w:val="000000"/>
        </w:rPr>
      </w:pPr>
      <w:r>
        <w:rPr>
          <w:rFonts w:ascii="宋体" w:hAnsi="宋体"/>
          <w:color w:val="000000"/>
          <w:sz w:val="20"/>
          <w:szCs w:val="20"/>
        </w:rPr>
        <w:br w:type="page"/>
      </w:r>
      <w:bookmarkStart w:id="110" w:name="_Toc144974867"/>
      <w:bookmarkStart w:id="111" w:name="_Toc152042588"/>
      <w:bookmarkStart w:id="112" w:name="_Toc246392157"/>
      <w:bookmarkStart w:id="113" w:name="_Toc152045799"/>
      <w:bookmarkStart w:id="114" w:name="_Toc8928"/>
      <w:bookmarkStart w:id="115" w:name="_Toc179632819"/>
      <w:r>
        <w:rPr>
          <w:rFonts w:hint="eastAsia" w:ascii="宋体" w:hAnsi="宋体"/>
          <w:color w:val="000000"/>
        </w:rPr>
        <w:t>附表三：劳动力计划表</w:t>
      </w:r>
      <w:bookmarkEnd w:id="110"/>
      <w:bookmarkEnd w:id="111"/>
      <w:bookmarkEnd w:id="112"/>
      <w:bookmarkEnd w:id="113"/>
      <w:bookmarkEnd w:id="114"/>
      <w:bookmarkEnd w:id="115"/>
    </w:p>
    <w:p>
      <w:pPr>
        <w:spacing w:line="440" w:lineRule="exact"/>
        <w:ind w:right="200"/>
        <w:jc w:val="right"/>
        <w:rPr>
          <w:rFonts w:ascii="宋体" w:hAnsi="宋体"/>
          <w:color w:val="000000"/>
          <w:szCs w:val="21"/>
        </w:rPr>
      </w:pPr>
      <w:r>
        <w:rPr>
          <w:rFonts w:hint="eastAsia" w:ascii="宋体" w:hAnsi="宋体"/>
          <w:color w:val="000000"/>
          <w:szCs w:val="21"/>
        </w:rPr>
        <w:t>单位：人</w:t>
      </w: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工种</w:t>
            </w:r>
          </w:p>
        </w:tc>
        <w:tc>
          <w:tcPr>
            <w:tcW w:w="7803" w:type="dxa"/>
            <w:gridSpan w:val="7"/>
            <w:noWrap w:val="0"/>
            <w:vAlign w:val="center"/>
          </w:tcPr>
          <w:p>
            <w:pPr>
              <w:spacing w:line="440" w:lineRule="exact"/>
              <w:jc w:val="center"/>
              <w:rPr>
                <w:rFonts w:ascii="宋体" w:hAnsi="宋体"/>
                <w:color w:val="000000"/>
                <w:szCs w:val="21"/>
              </w:rPr>
            </w:pPr>
            <w:r>
              <w:rPr>
                <w:rFonts w:hint="eastAsia" w:ascii="宋体" w:hAnsi="宋体"/>
                <w:color w:val="000000"/>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center"/>
          </w:tcPr>
          <w:p>
            <w:pPr>
              <w:spacing w:line="440" w:lineRule="exact"/>
              <w:jc w:val="center"/>
              <w:rPr>
                <w:rFonts w:ascii="宋体" w:hAnsi="宋体"/>
                <w:color w:val="000000"/>
                <w:szCs w:val="21"/>
              </w:rPr>
            </w:pPr>
          </w:p>
        </w:tc>
        <w:tc>
          <w:tcPr>
            <w:tcW w:w="1250" w:type="dxa"/>
            <w:noWrap w:val="0"/>
            <w:vAlign w:val="center"/>
          </w:tcPr>
          <w:p>
            <w:pPr>
              <w:spacing w:line="440" w:lineRule="exact"/>
              <w:jc w:val="center"/>
              <w:rPr>
                <w:rFonts w:ascii="宋体" w:hAnsi="宋体"/>
                <w:color w:val="000000"/>
                <w:szCs w:val="21"/>
              </w:rPr>
            </w:pPr>
          </w:p>
        </w:tc>
        <w:tc>
          <w:tcPr>
            <w:tcW w:w="995" w:type="dxa"/>
            <w:noWrap w:val="0"/>
            <w:vAlign w:val="center"/>
          </w:tcPr>
          <w:p>
            <w:pPr>
              <w:spacing w:line="440" w:lineRule="exact"/>
              <w:jc w:val="center"/>
              <w:rPr>
                <w:rFonts w:ascii="宋体" w:hAnsi="宋体"/>
                <w:color w:val="000000"/>
                <w:szCs w:val="21"/>
              </w:rPr>
            </w:pPr>
          </w:p>
        </w:tc>
        <w:tc>
          <w:tcPr>
            <w:tcW w:w="1034" w:type="dxa"/>
            <w:noWrap w:val="0"/>
            <w:vAlign w:val="center"/>
          </w:tcPr>
          <w:p>
            <w:pPr>
              <w:spacing w:line="440" w:lineRule="exact"/>
              <w:jc w:val="center"/>
              <w:rPr>
                <w:rFonts w:ascii="宋体" w:hAnsi="宋体"/>
                <w:color w:val="000000"/>
                <w:szCs w:val="21"/>
              </w:rPr>
            </w:pPr>
          </w:p>
        </w:tc>
        <w:tc>
          <w:tcPr>
            <w:tcW w:w="1092" w:type="dxa"/>
            <w:noWrap w:val="0"/>
            <w:vAlign w:val="center"/>
          </w:tcPr>
          <w:p>
            <w:pPr>
              <w:spacing w:line="440" w:lineRule="exact"/>
              <w:jc w:val="center"/>
              <w:rPr>
                <w:rFonts w:ascii="宋体" w:hAnsi="宋体"/>
                <w:color w:val="000000"/>
                <w:szCs w:val="21"/>
              </w:rPr>
            </w:pPr>
          </w:p>
        </w:tc>
        <w:tc>
          <w:tcPr>
            <w:tcW w:w="1140" w:type="dxa"/>
            <w:noWrap w:val="0"/>
            <w:vAlign w:val="center"/>
          </w:tcPr>
          <w:p>
            <w:pPr>
              <w:spacing w:line="440" w:lineRule="exact"/>
              <w:jc w:val="center"/>
              <w:rPr>
                <w:rFonts w:ascii="宋体" w:hAnsi="宋体"/>
                <w:color w:val="000000"/>
                <w:szCs w:val="21"/>
              </w:rPr>
            </w:pPr>
          </w:p>
        </w:tc>
        <w:tc>
          <w:tcPr>
            <w:tcW w:w="1188" w:type="dxa"/>
            <w:noWrap w:val="0"/>
            <w:vAlign w:val="center"/>
          </w:tcPr>
          <w:p>
            <w:pPr>
              <w:spacing w:line="440" w:lineRule="exact"/>
              <w:jc w:val="center"/>
              <w:rPr>
                <w:rFonts w:ascii="宋体" w:hAnsi="宋体"/>
                <w:color w:val="000000"/>
                <w:szCs w:val="21"/>
              </w:rPr>
            </w:pPr>
          </w:p>
        </w:tc>
        <w:tc>
          <w:tcPr>
            <w:tcW w:w="1104"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center"/>
          </w:tcPr>
          <w:p>
            <w:pPr>
              <w:spacing w:line="440" w:lineRule="exact"/>
              <w:jc w:val="center"/>
              <w:rPr>
                <w:rFonts w:ascii="宋体" w:hAnsi="宋体"/>
                <w:color w:val="000000"/>
                <w:szCs w:val="21"/>
              </w:rPr>
            </w:pPr>
          </w:p>
        </w:tc>
        <w:tc>
          <w:tcPr>
            <w:tcW w:w="1250" w:type="dxa"/>
            <w:noWrap w:val="0"/>
            <w:vAlign w:val="center"/>
          </w:tcPr>
          <w:p>
            <w:pPr>
              <w:spacing w:line="440" w:lineRule="exact"/>
              <w:jc w:val="center"/>
              <w:rPr>
                <w:rFonts w:ascii="宋体" w:hAnsi="宋体"/>
                <w:color w:val="000000"/>
                <w:szCs w:val="21"/>
              </w:rPr>
            </w:pPr>
          </w:p>
        </w:tc>
        <w:tc>
          <w:tcPr>
            <w:tcW w:w="995" w:type="dxa"/>
            <w:noWrap w:val="0"/>
            <w:vAlign w:val="center"/>
          </w:tcPr>
          <w:p>
            <w:pPr>
              <w:spacing w:line="440" w:lineRule="exact"/>
              <w:jc w:val="center"/>
              <w:rPr>
                <w:rFonts w:ascii="宋体" w:hAnsi="宋体"/>
                <w:color w:val="000000"/>
                <w:szCs w:val="21"/>
              </w:rPr>
            </w:pPr>
          </w:p>
        </w:tc>
        <w:tc>
          <w:tcPr>
            <w:tcW w:w="1034" w:type="dxa"/>
            <w:noWrap w:val="0"/>
            <w:vAlign w:val="center"/>
          </w:tcPr>
          <w:p>
            <w:pPr>
              <w:spacing w:line="440" w:lineRule="exact"/>
              <w:jc w:val="center"/>
              <w:rPr>
                <w:rFonts w:ascii="宋体" w:hAnsi="宋体"/>
                <w:color w:val="000000"/>
                <w:szCs w:val="21"/>
              </w:rPr>
            </w:pPr>
          </w:p>
        </w:tc>
        <w:tc>
          <w:tcPr>
            <w:tcW w:w="1092" w:type="dxa"/>
            <w:noWrap w:val="0"/>
            <w:vAlign w:val="center"/>
          </w:tcPr>
          <w:p>
            <w:pPr>
              <w:spacing w:line="440" w:lineRule="exact"/>
              <w:jc w:val="center"/>
              <w:rPr>
                <w:rFonts w:ascii="宋体" w:hAnsi="宋体"/>
                <w:color w:val="000000"/>
                <w:szCs w:val="21"/>
              </w:rPr>
            </w:pPr>
          </w:p>
        </w:tc>
        <w:tc>
          <w:tcPr>
            <w:tcW w:w="1140" w:type="dxa"/>
            <w:noWrap w:val="0"/>
            <w:vAlign w:val="center"/>
          </w:tcPr>
          <w:p>
            <w:pPr>
              <w:spacing w:line="440" w:lineRule="exact"/>
              <w:jc w:val="center"/>
              <w:rPr>
                <w:rFonts w:ascii="宋体" w:hAnsi="宋体"/>
                <w:color w:val="000000"/>
                <w:szCs w:val="21"/>
              </w:rPr>
            </w:pPr>
          </w:p>
        </w:tc>
        <w:tc>
          <w:tcPr>
            <w:tcW w:w="1188" w:type="dxa"/>
            <w:noWrap w:val="0"/>
            <w:vAlign w:val="center"/>
          </w:tcPr>
          <w:p>
            <w:pPr>
              <w:spacing w:line="440" w:lineRule="exact"/>
              <w:jc w:val="center"/>
              <w:rPr>
                <w:rFonts w:ascii="宋体" w:hAnsi="宋体"/>
                <w:color w:val="000000"/>
                <w:szCs w:val="21"/>
              </w:rPr>
            </w:pPr>
          </w:p>
        </w:tc>
        <w:tc>
          <w:tcPr>
            <w:tcW w:w="1104"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noWrap w:val="0"/>
            <w:vAlign w:val="top"/>
          </w:tcPr>
          <w:p>
            <w:pPr>
              <w:spacing w:line="440" w:lineRule="exact"/>
              <w:jc w:val="center"/>
              <w:rPr>
                <w:rFonts w:ascii="宋体" w:hAnsi="宋体"/>
                <w:color w:val="000000"/>
                <w:szCs w:val="21"/>
              </w:rPr>
            </w:pPr>
          </w:p>
        </w:tc>
        <w:tc>
          <w:tcPr>
            <w:tcW w:w="1250" w:type="dxa"/>
            <w:noWrap w:val="0"/>
            <w:vAlign w:val="top"/>
          </w:tcPr>
          <w:p>
            <w:pPr>
              <w:spacing w:line="440" w:lineRule="exact"/>
              <w:jc w:val="center"/>
              <w:rPr>
                <w:rFonts w:ascii="宋体" w:hAnsi="宋体"/>
                <w:color w:val="000000"/>
                <w:szCs w:val="21"/>
              </w:rPr>
            </w:pPr>
          </w:p>
        </w:tc>
        <w:tc>
          <w:tcPr>
            <w:tcW w:w="995" w:type="dxa"/>
            <w:noWrap w:val="0"/>
            <w:vAlign w:val="top"/>
          </w:tcPr>
          <w:p>
            <w:pPr>
              <w:spacing w:line="440" w:lineRule="exact"/>
              <w:jc w:val="center"/>
              <w:rPr>
                <w:rFonts w:ascii="宋体" w:hAnsi="宋体"/>
                <w:color w:val="000000"/>
                <w:szCs w:val="21"/>
              </w:rPr>
            </w:pPr>
          </w:p>
        </w:tc>
        <w:tc>
          <w:tcPr>
            <w:tcW w:w="1034" w:type="dxa"/>
            <w:noWrap w:val="0"/>
            <w:vAlign w:val="top"/>
          </w:tcPr>
          <w:p>
            <w:pPr>
              <w:spacing w:line="440" w:lineRule="exact"/>
              <w:jc w:val="center"/>
              <w:rPr>
                <w:rFonts w:ascii="宋体" w:hAnsi="宋体"/>
                <w:color w:val="000000"/>
                <w:szCs w:val="21"/>
              </w:rPr>
            </w:pPr>
          </w:p>
        </w:tc>
        <w:tc>
          <w:tcPr>
            <w:tcW w:w="1092" w:type="dxa"/>
            <w:noWrap w:val="0"/>
            <w:vAlign w:val="top"/>
          </w:tcPr>
          <w:p>
            <w:pPr>
              <w:spacing w:line="440" w:lineRule="exact"/>
              <w:jc w:val="center"/>
              <w:rPr>
                <w:rFonts w:ascii="宋体" w:hAnsi="宋体"/>
                <w:color w:val="000000"/>
                <w:szCs w:val="21"/>
              </w:rPr>
            </w:pPr>
          </w:p>
        </w:tc>
        <w:tc>
          <w:tcPr>
            <w:tcW w:w="1140" w:type="dxa"/>
            <w:noWrap w:val="0"/>
            <w:vAlign w:val="top"/>
          </w:tcPr>
          <w:p>
            <w:pPr>
              <w:spacing w:line="440" w:lineRule="exact"/>
              <w:jc w:val="center"/>
              <w:rPr>
                <w:rFonts w:ascii="宋体" w:hAnsi="宋体"/>
                <w:color w:val="000000"/>
                <w:szCs w:val="21"/>
              </w:rPr>
            </w:pPr>
          </w:p>
        </w:tc>
        <w:tc>
          <w:tcPr>
            <w:tcW w:w="1188" w:type="dxa"/>
            <w:noWrap w:val="0"/>
            <w:vAlign w:val="top"/>
          </w:tcPr>
          <w:p>
            <w:pPr>
              <w:spacing w:line="440" w:lineRule="exact"/>
              <w:jc w:val="center"/>
              <w:rPr>
                <w:rFonts w:ascii="宋体" w:hAnsi="宋体"/>
                <w:color w:val="000000"/>
                <w:szCs w:val="21"/>
              </w:rPr>
            </w:pPr>
          </w:p>
        </w:tc>
        <w:tc>
          <w:tcPr>
            <w:tcW w:w="1104" w:type="dxa"/>
            <w:noWrap w:val="0"/>
            <w:vAlign w:val="top"/>
          </w:tcPr>
          <w:p>
            <w:pPr>
              <w:spacing w:line="440" w:lineRule="exact"/>
              <w:jc w:val="center"/>
              <w:rPr>
                <w:rFonts w:ascii="宋体" w:hAnsi="宋体"/>
                <w:color w:val="000000"/>
                <w:szCs w:val="21"/>
              </w:rPr>
            </w:pPr>
          </w:p>
        </w:tc>
      </w:tr>
    </w:tbl>
    <w:p>
      <w:pPr>
        <w:spacing w:line="440" w:lineRule="exact"/>
        <w:rPr>
          <w:rFonts w:ascii="宋体" w:hAnsi="宋体"/>
          <w:color w:val="000000"/>
          <w:sz w:val="20"/>
          <w:szCs w:val="20"/>
        </w:rPr>
      </w:pPr>
    </w:p>
    <w:p>
      <w:pPr>
        <w:spacing w:line="440" w:lineRule="exact"/>
        <w:rPr>
          <w:rFonts w:ascii="宋体" w:hAnsi="宋体"/>
          <w:color w:val="000000"/>
          <w:sz w:val="20"/>
          <w:szCs w:val="20"/>
        </w:rPr>
      </w:pPr>
    </w:p>
    <w:p>
      <w:pPr>
        <w:topLinePunct/>
        <w:spacing w:line="440" w:lineRule="exact"/>
        <w:jc w:val="center"/>
        <w:rPr>
          <w:rFonts w:ascii="宋体" w:hAnsi="宋体"/>
          <w:color w:val="000000"/>
        </w:rPr>
      </w:pPr>
    </w:p>
    <w:p>
      <w:pPr>
        <w:spacing w:line="440" w:lineRule="exact"/>
        <w:rPr>
          <w:rFonts w:ascii="宋体" w:hAnsi="宋体"/>
          <w:color w:val="000000"/>
        </w:rPr>
      </w:pPr>
      <w:bookmarkStart w:id="116" w:name="_Toc246392158"/>
      <w:bookmarkStart w:id="117" w:name="_Toc152045800"/>
      <w:bookmarkStart w:id="118" w:name="_Toc179632820"/>
      <w:bookmarkStart w:id="119" w:name="_Toc3750"/>
      <w:bookmarkStart w:id="120" w:name="_Toc152042589"/>
      <w:bookmarkStart w:id="121" w:name="_Toc144974868"/>
      <w:r>
        <w:rPr>
          <w:rFonts w:hint="eastAsia" w:ascii="宋体" w:hAnsi="宋体"/>
          <w:color w:val="000000"/>
        </w:rPr>
        <w:t>附表四：计划开、竣工日期和施工进度网络图</w:t>
      </w:r>
      <w:bookmarkEnd w:id="116"/>
      <w:bookmarkEnd w:id="117"/>
      <w:bookmarkEnd w:id="118"/>
      <w:bookmarkEnd w:id="119"/>
      <w:bookmarkEnd w:id="120"/>
      <w:bookmarkEnd w:id="121"/>
    </w:p>
    <w:p>
      <w:pPr>
        <w:spacing w:line="440" w:lineRule="exact"/>
        <w:rPr>
          <w:rFonts w:ascii="宋体" w:hAnsi="宋体"/>
          <w:color w:val="000000"/>
          <w:sz w:val="22"/>
        </w:rPr>
      </w:pPr>
    </w:p>
    <w:p>
      <w:pPr>
        <w:spacing w:line="440" w:lineRule="exact"/>
        <w:rPr>
          <w:rFonts w:ascii="宋体" w:hAnsi="宋体"/>
          <w:color w:val="000000"/>
        </w:rPr>
      </w:pPr>
      <w:r>
        <w:rPr>
          <w:rFonts w:ascii="宋体" w:hAnsi="宋体"/>
          <w:color w:val="000000"/>
        </w:rPr>
        <w:t xml:space="preserve">1. </w:t>
      </w:r>
      <w:r>
        <w:rPr>
          <w:rFonts w:hint="eastAsia" w:ascii="宋体" w:hAnsi="宋体"/>
          <w:color w:val="000000"/>
        </w:rPr>
        <w:t>投标人应递交施工进度网络图或施工进度表，说明按招标文件要求的计划工期进行施工的各个关键日期。</w:t>
      </w:r>
    </w:p>
    <w:p>
      <w:pPr>
        <w:spacing w:line="440" w:lineRule="exact"/>
        <w:rPr>
          <w:rFonts w:ascii="宋体" w:hAnsi="宋体"/>
          <w:color w:val="000000"/>
        </w:rPr>
      </w:pPr>
      <w:r>
        <w:rPr>
          <w:rFonts w:ascii="宋体" w:hAnsi="宋体"/>
          <w:color w:val="000000"/>
        </w:rPr>
        <w:t xml:space="preserve">2. </w:t>
      </w:r>
      <w:r>
        <w:rPr>
          <w:rFonts w:hint="eastAsia" w:ascii="宋体" w:hAnsi="宋体"/>
          <w:color w:val="000000"/>
        </w:rPr>
        <w:t>施工进度表可采用网络图（或横道图）表示。</w:t>
      </w:r>
    </w:p>
    <w:p>
      <w:pPr>
        <w:spacing w:line="440" w:lineRule="exact"/>
        <w:rPr>
          <w:rFonts w:ascii="宋体" w:hAnsi="宋体"/>
          <w:color w:val="000000"/>
        </w:rPr>
      </w:pPr>
    </w:p>
    <w:p>
      <w:pPr>
        <w:spacing w:line="440" w:lineRule="exact"/>
        <w:rPr>
          <w:rFonts w:ascii="宋体" w:hAnsi="宋体"/>
          <w:color w:val="000000"/>
        </w:rPr>
      </w:pPr>
    </w:p>
    <w:p>
      <w:pPr>
        <w:spacing w:line="440" w:lineRule="exact"/>
        <w:rPr>
          <w:rFonts w:ascii="宋体" w:hAnsi="宋体"/>
          <w:color w:val="000000"/>
        </w:rPr>
      </w:pPr>
      <w:bookmarkStart w:id="122" w:name="_Toc152045801"/>
      <w:bookmarkStart w:id="123" w:name="_Toc179632821"/>
      <w:bookmarkStart w:id="124" w:name="_Toc152042590"/>
      <w:bookmarkStart w:id="125" w:name="_Toc144974869"/>
      <w:bookmarkStart w:id="126" w:name="_Toc246392159"/>
      <w:r>
        <w:rPr>
          <w:rFonts w:hint="eastAsia" w:ascii="宋体" w:hAnsi="宋体"/>
          <w:color w:val="000000"/>
        </w:rPr>
        <w:t>附表五：施工总平面图</w:t>
      </w:r>
      <w:bookmarkEnd w:id="122"/>
      <w:bookmarkEnd w:id="123"/>
      <w:bookmarkEnd w:id="124"/>
      <w:bookmarkEnd w:id="125"/>
      <w:bookmarkEnd w:id="126"/>
    </w:p>
    <w:p>
      <w:pPr>
        <w:spacing w:line="440" w:lineRule="exact"/>
        <w:rPr>
          <w:rFonts w:ascii="宋体" w:hAnsi="宋体"/>
          <w:color w:val="000000"/>
        </w:rPr>
      </w:pPr>
      <w:r>
        <w:rPr>
          <w:rFonts w:ascii="宋体" w:hAnsi="宋体"/>
          <w:color w:val="000000"/>
        </w:rPr>
        <w:tab/>
      </w:r>
    </w:p>
    <w:p>
      <w:pPr>
        <w:spacing w:line="440" w:lineRule="exact"/>
        <w:rPr>
          <w:rFonts w:ascii="宋体" w:hAnsi="宋体"/>
          <w:color w:val="000000"/>
        </w:rPr>
      </w:pPr>
      <w:r>
        <w:rPr>
          <w:rFonts w:hint="eastAsia" w:ascii="宋体" w:hAnsi="宋体"/>
          <w:color w:val="000000"/>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color w:val="000000"/>
          <w:sz w:val="32"/>
          <w:szCs w:val="32"/>
        </w:rPr>
      </w:pPr>
      <w:r>
        <w:rPr>
          <w:rFonts w:ascii="宋体" w:hAnsi="宋体" w:cs="宋体"/>
          <w:b/>
          <w:color w:val="000000"/>
          <w:sz w:val="32"/>
          <w:szCs w:val="32"/>
        </w:rPr>
        <w:br w:type="page"/>
      </w:r>
    </w:p>
    <w:p>
      <w:pPr>
        <w:spacing w:line="440" w:lineRule="exact"/>
        <w:jc w:val="center"/>
        <w:rPr>
          <w:rFonts w:ascii="宋体" w:hAnsi="宋体" w:cs="Calibri"/>
          <w:b/>
          <w:color w:val="000000"/>
          <w:sz w:val="32"/>
          <w:szCs w:val="32"/>
        </w:rPr>
      </w:pPr>
      <w:r>
        <w:rPr>
          <w:rFonts w:hint="eastAsia" w:ascii="宋体" w:hAnsi="宋体" w:cs="Calibri"/>
          <w:b/>
          <w:color w:val="000000"/>
          <w:sz w:val="32"/>
          <w:szCs w:val="32"/>
        </w:rPr>
        <w:t>六、项目管理机构</w:t>
      </w:r>
    </w:p>
    <w:p>
      <w:pPr>
        <w:pStyle w:val="94"/>
        <w:rPr>
          <w:rFonts w:ascii="宋体" w:hAnsi="宋体" w:eastAsia="宋体"/>
          <w:color w:val="000000"/>
          <w:szCs w:val="23"/>
        </w:rPr>
      </w:pPr>
      <w:bookmarkStart w:id="127" w:name="_Toc246392161"/>
      <w:bookmarkStart w:id="128" w:name="_Toc29304"/>
      <w:bookmarkStart w:id="129" w:name="_Toc152045804"/>
      <w:bookmarkStart w:id="130" w:name="_Toc144974872"/>
      <w:bookmarkStart w:id="131" w:name="_Toc152042593"/>
      <w:bookmarkStart w:id="132" w:name="_Toc179632824"/>
      <w:r>
        <w:rPr>
          <w:rFonts w:hint="eastAsia" w:ascii="宋体" w:hAnsi="宋体" w:eastAsia="宋体"/>
          <w:color w:val="000000"/>
          <w:szCs w:val="23"/>
        </w:rPr>
        <w:t>（一）项目管理机构组成表</w:t>
      </w:r>
      <w:bookmarkEnd w:id="127"/>
      <w:bookmarkEnd w:id="128"/>
      <w:bookmarkEnd w:id="129"/>
      <w:bookmarkEnd w:id="130"/>
      <w:bookmarkEnd w:id="131"/>
      <w:bookmarkEnd w:id="132"/>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noWrap w:val="0"/>
            <w:vAlign w:val="center"/>
          </w:tcPr>
          <w:p>
            <w:pPr>
              <w:spacing w:line="440" w:lineRule="exact"/>
              <w:jc w:val="center"/>
              <w:rPr>
                <w:rFonts w:ascii="宋体" w:hAnsi="宋体"/>
                <w:color w:val="000000"/>
                <w:szCs w:val="21"/>
              </w:rPr>
            </w:pPr>
            <w:r>
              <w:rPr>
                <w:rFonts w:hint="eastAsia" w:ascii="宋体" w:hAnsi="宋体"/>
                <w:color w:val="000000"/>
                <w:szCs w:val="21"/>
              </w:rPr>
              <w:t>职务</w:t>
            </w:r>
          </w:p>
        </w:tc>
        <w:tc>
          <w:tcPr>
            <w:tcW w:w="864" w:type="dxa"/>
            <w:vMerge w:val="restart"/>
            <w:noWrap w:val="0"/>
            <w:vAlign w:val="center"/>
          </w:tcPr>
          <w:p>
            <w:pPr>
              <w:spacing w:line="440" w:lineRule="exact"/>
              <w:jc w:val="center"/>
              <w:rPr>
                <w:rFonts w:ascii="宋体" w:hAnsi="宋体"/>
                <w:color w:val="000000"/>
                <w:szCs w:val="21"/>
              </w:rPr>
            </w:pPr>
            <w:r>
              <w:rPr>
                <w:rFonts w:hint="eastAsia" w:ascii="宋体" w:hAnsi="宋体"/>
                <w:color w:val="000000"/>
                <w:szCs w:val="21"/>
              </w:rPr>
              <w:t>姓名</w:t>
            </w:r>
          </w:p>
        </w:tc>
        <w:tc>
          <w:tcPr>
            <w:tcW w:w="862" w:type="dxa"/>
            <w:vMerge w:val="restart"/>
            <w:noWrap w:val="0"/>
            <w:vAlign w:val="center"/>
          </w:tcPr>
          <w:p>
            <w:pPr>
              <w:spacing w:line="440" w:lineRule="exact"/>
              <w:jc w:val="center"/>
              <w:rPr>
                <w:rFonts w:ascii="宋体" w:hAnsi="宋体"/>
                <w:color w:val="000000"/>
                <w:szCs w:val="21"/>
              </w:rPr>
            </w:pPr>
            <w:r>
              <w:rPr>
                <w:rFonts w:hint="eastAsia" w:ascii="宋体" w:hAnsi="宋体"/>
                <w:color w:val="000000"/>
                <w:szCs w:val="21"/>
              </w:rPr>
              <w:t>职称</w:t>
            </w:r>
          </w:p>
        </w:tc>
        <w:tc>
          <w:tcPr>
            <w:tcW w:w="5548" w:type="dxa"/>
            <w:gridSpan w:val="5"/>
            <w:noWrap w:val="0"/>
            <w:vAlign w:val="center"/>
          </w:tcPr>
          <w:p>
            <w:pPr>
              <w:spacing w:line="440" w:lineRule="exact"/>
              <w:jc w:val="center"/>
              <w:rPr>
                <w:rFonts w:ascii="宋体" w:hAnsi="宋体"/>
                <w:color w:val="000000"/>
                <w:szCs w:val="21"/>
              </w:rPr>
            </w:pPr>
            <w:r>
              <w:rPr>
                <w:rFonts w:hint="eastAsia" w:ascii="宋体" w:hAnsi="宋体"/>
                <w:color w:val="000000"/>
                <w:szCs w:val="21"/>
              </w:rPr>
              <w:t>执业或职业资格证明</w:t>
            </w:r>
          </w:p>
        </w:tc>
        <w:tc>
          <w:tcPr>
            <w:tcW w:w="806"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noWrap w:val="0"/>
            <w:vAlign w:val="center"/>
          </w:tcPr>
          <w:p>
            <w:pPr>
              <w:spacing w:line="440" w:lineRule="exact"/>
              <w:jc w:val="center"/>
              <w:rPr>
                <w:rFonts w:ascii="宋体" w:hAnsi="宋体"/>
                <w:color w:val="000000"/>
                <w:szCs w:val="21"/>
              </w:rPr>
            </w:pPr>
          </w:p>
        </w:tc>
        <w:tc>
          <w:tcPr>
            <w:tcW w:w="864" w:type="dxa"/>
            <w:vMerge w:val="continue"/>
            <w:noWrap w:val="0"/>
            <w:vAlign w:val="center"/>
          </w:tcPr>
          <w:p>
            <w:pPr>
              <w:spacing w:line="440" w:lineRule="exact"/>
              <w:jc w:val="center"/>
              <w:rPr>
                <w:rFonts w:ascii="宋体" w:hAnsi="宋体"/>
                <w:color w:val="000000"/>
                <w:szCs w:val="21"/>
              </w:rPr>
            </w:pPr>
          </w:p>
        </w:tc>
        <w:tc>
          <w:tcPr>
            <w:tcW w:w="862" w:type="dxa"/>
            <w:vMerge w:val="continue"/>
            <w:noWrap w:val="0"/>
            <w:vAlign w:val="center"/>
          </w:tcPr>
          <w:p>
            <w:pPr>
              <w:spacing w:line="440" w:lineRule="exact"/>
              <w:jc w:val="center"/>
              <w:rPr>
                <w:rFonts w:ascii="宋体" w:hAnsi="宋体"/>
                <w:color w:val="000000"/>
                <w:szCs w:val="21"/>
              </w:rPr>
            </w:pPr>
          </w:p>
        </w:tc>
        <w:tc>
          <w:tcPr>
            <w:tcW w:w="1296" w:type="dxa"/>
            <w:noWrap w:val="0"/>
            <w:vAlign w:val="center"/>
          </w:tcPr>
          <w:p>
            <w:pPr>
              <w:spacing w:line="440" w:lineRule="exact"/>
              <w:jc w:val="center"/>
              <w:rPr>
                <w:rFonts w:ascii="宋体" w:hAnsi="宋体"/>
                <w:color w:val="000000"/>
                <w:szCs w:val="21"/>
              </w:rPr>
            </w:pPr>
            <w:r>
              <w:rPr>
                <w:rFonts w:hint="eastAsia" w:ascii="宋体" w:hAnsi="宋体"/>
                <w:color w:val="000000"/>
                <w:szCs w:val="21"/>
              </w:rPr>
              <w:t>证书名称</w:t>
            </w:r>
          </w:p>
        </w:tc>
        <w:tc>
          <w:tcPr>
            <w:tcW w:w="863" w:type="dxa"/>
            <w:noWrap w:val="0"/>
            <w:vAlign w:val="center"/>
          </w:tcPr>
          <w:p>
            <w:pPr>
              <w:spacing w:line="440" w:lineRule="exact"/>
              <w:jc w:val="center"/>
              <w:rPr>
                <w:rFonts w:ascii="宋体" w:hAnsi="宋体"/>
                <w:color w:val="000000"/>
                <w:szCs w:val="21"/>
              </w:rPr>
            </w:pPr>
            <w:r>
              <w:rPr>
                <w:rFonts w:hint="eastAsia" w:ascii="宋体" w:hAnsi="宋体"/>
                <w:color w:val="000000"/>
                <w:szCs w:val="21"/>
              </w:rPr>
              <w:t>级别</w:t>
            </w:r>
          </w:p>
        </w:tc>
        <w:tc>
          <w:tcPr>
            <w:tcW w:w="865" w:type="dxa"/>
            <w:noWrap w:val="0"/>
            <w:vAlign w:val="center"/>
          </w:tcPr>
          <w:p>
            <w:pPr>
              <w:spacing w:line="440" w:lineRule="exact"/>
              <w:jc w:val="center"/>
              <w:rPr>
                <w:rFonts w:ascii="宋体" w:hAnsi="宋体"/>
                <w:color w:val="000000"/>
                <w:szCs w:val="21"/>
              </w:rPr>
            </w:pPr>
            <w:r>
              <w:rPr>
                <w:rFonts w:hint="eastAsia" w:ascii="宋体" w:hAnsi="宋体"/>
                <w:color w:val="000000"/>
                <w:szCs w:val="21"/>
              </w:rPr>
              <w:t>证号</w:t>
            </w:r>
          </w:p>
        </w:tc>
        <w:tc>
          <w:tcPr>
            <w:tcW w:w="863" w:type="dxa"/>
            <w:noWrap w:val="0"/>
            <w:vAlign w:val="center"/>
          </w:tcPr>
          <w:p>
            <w:pPr>
              <w:spacing w:line="440" w:lineRule="exact"/>
              <w:jc w:val="center"/>
              <w:rPr>
                <w:rFonts w:ascii="宋体" w:hAnsi="宋体"/>
                <w:color w:val="000000"/>
                <w:szCs w:val="21"/>
              </w:rPr>
            </w:pPr>
            <w:r>
              <w:rPr>
                <w:rFonts w:hint="eastAsia" w:ascii="宋体" w:hAnsi="宋体"/>
                <w:color w:val="000000"/>
                <w:szCs w:val="21"/>
              </w:rPr>
              <w:t>专业</w:t>
            </w:r>
          </w:p>
        </w:tc>
        <w:tc>
          <w:tcPr>
            <w:tcW w:w="1661" w:type="dxa"/>
            <w:noWrap w:val="0"/>
            <w:vAlign w:val="center"/>
          </w:tcPr>
          <w:p>
            <w:pPr>
              <w:spacing w:line="440" w:lineRule="exact"/>
              <w:jc w:val="center"/>
              <w:rPr>
                <w:rFonts w:ascii="宋体" w:hAnsi="宋体"/>
                <w:color w:val="000000"/>
                <w:szCs w:val="21"/>
              </w:rPr>
            </w:pPr>
            <w:r>
              <w:rPr>
                <w:rFonts w:hint="eastAsia" w:ascii="宋体" w:hAnsi="宋体"/>
                <w:color w:val="000000"/>
                <w:szCs w:val="21"/>
              </w:rPr>
              <w:t>养老保险</w:t>
            </w:r>
          </w:p>
        </w:tc>
        <w:tc>
          <w:tcPr>
            <w:tcW w:w="80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center"/>
          </w:tcPr>
          <w:p>
            <w:pPr>
              <w:spacing w:line="440" w:lineRule="exact"/>
              <w:jc w:val="center"/>
              <w:rPr>
                <w:rFonts w:ascii="宋体" w:hAnsi="宋体"/>
                <w:color w:val="000000"/>
                <w:szCs w:val="21"/>
              </w:rPr>
            </w:pPr>
          </w:p>
        </w:tc>
        <w:tc>
          <w:tcPr>
            <w:tcW w:w="864" w:type="dxa"/>
            <w:noWrap w:val="0"/>
            <w:vAlign w:val="center"/>
          </w:tcPr>
          <w:p>
            <w:pPr>
              <w:spacing w:line="440" w:lineRule="exact"/>
              <w:jc w:val="center"/>
              <w:rPr>
                <w:rFonts w:ascii="宋体" w:hAnsi="宋体"/>
                <w:color w:val="000000"/>
                <w:szCs w:val="21"/>
              </w:rPr>
            </w:pPr>
          </w:p>
        </w:tc>
        <w:tc>
          <w:tcPr>
            <w:tcW w:w="862" w:type="dxa"/>
            <w:noWrap w:val="0"/>
            <w:vAlign w:val="center"/>
          </w:tcPr>
          <w:p>
            <w:pPr>
              <w:spacing w:line="440" w:lineRule="exact"/>
              <w:jc w:val="center"/>
              <w:rPr>
                <w:rFonts w:ascii="宋体" w:hAnsi="宋体"/>
                <w:color w:val="000000"/>
                <w:szCs w:val="21"/>
              </w:rPr>
            </w:pPr>
          </w:p>
        </w:tc>
        <w:tc>
          <w:tcPr>
            <w:tcW w:w="1296" w:type="dxa"/>
            <w:noWrap w:val="0"/>
            <w:vAlign w:val="center"/>
          </w:tcPr>
          <w:p>
            <w:pPr>
              <w:spacing w:line="440" w:lineRule="exact"/>
              <w:jc w:val="center"/>
              <w:rPr>
                <w:rFonts w:ascii="宋体" w:hAnsi="宋体"/>
                <w:color w:val="000000"/>
                <w:szCs w:val="21"/>
              </w:rPr>
            </w:pPr>
          </w:p>
        </w:tc>
        <w:tc>
          <w:tcPr>
            <w:tcW w:w="863" w:type="dxa"/>
            <w:noWrap w:val="0"/>
            <w:vAlign w:val="center"/>
          </w:tcPr>
          <w:p>
            <w:pPr>
              <w:spacing w:line="440" w:lineRule="exact"/>
              <w:jc w:val="center"/>
              <w:rPr>
                <w:rFonts w:ascii="宋体" w:hAnsi="宋体"/>
                <w:color w:val="000000"/>
                <w:szCs w:val="21"/>
              </w:rPr>
            </w:pPr>
          </w:p>
        </w:tc>
        <w:tc>
          <w:tcPr>
            <w:tcW w:w="865" w:type="dxa"/>
            <w:noWrap w:val="0"/>
            <w:vAlign w:val="center"/>
          </w:tcPr>
          <w:p>
            <w:pPr>
              <w:spacing w:line="440" w:lineRule="exact"/>
              <w:jc w:val="center"/>
              <w:rPr>
                <w:rFonts w:ascii="宋体" w:hAnsi="宋体"/>
                <w:color w:val="000000"/>
                <w:szCs w:val="21"/>
              </w:rPr>
            </w:pPr>
          </w:p>
        </w:tc>
        <w:tc>
          <w:tcPr>
            <w:tcW w:w="863" w:type="dxa"/>
            <w:noWrap w:val="0"/>
            <w:vAlign w:val="center"/>
          </w:tcPr>
          <w:p>
            <w:pPr>
              <w:spacing w:line="440" w:lineRule="exact"/>
              <w:jc w:val="center"/>
              <w:rPr>
                <w:rFonts w:ascii="宋体" w:hAnsi="宋体"/>
                <w:color w:val="000000"/>
                <w:szCs w:val="21"/>
              </w:rPr>
            </w:pPr>
          </w:p>
        </w:tc>
        <w:tc>
          <w:tcPr>
            <w:tcW w:w="1661" w:type="dxa"/>
            <w:noWrap w:val="0"/>
            <w:vAlign w:val="center"/>
          </w:tcPr>
          <w:p>
            <w:pPr>
              <w:spacing w:line="440" w:lineRule="exact"/>
              <w:jc w:val="center"/>
              <w:rPr>
                <w:rFonts w:ascii="宋体" w:hAnsi="宋体"/>
                <w:color w:val="000000"/>
                <w:szCs w:val="21"/>
              </w:rPr>
            </w:pPr>
          </w:p>
        </w:tc>
        <w:tc>
          <w:tcPr>
            <w:tcW w:w="806"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noWrap w:val="0"/>
            <w:vAlign w:val="top"/>
          </w:tcPr>
          <w:p>
            <w:pPr>
              <w:spacing w:line="440" w:lineRule="exact"/>
              <w:jc w:val="center"/>
              <w:rPr>
                <w:rFonts w:ascii="宋体" w:hAnsi="宋体"/>
                <w:color w:val="000000"/>
                <w:szCs w:val="21"/>
              </w:rPr>
            </w:pPr>
          </w:p>
        </w:tc>
        <w:tc>
          <w:tcPr>
            <w:tcW w:w="864" w:type="dxa"/>
            <w:noWrap w:val="0"/>
            <w:vAlign w:val="top"/>
          </w:tcPr>
          <w:p>
            <w:pPr>
              <w:spacing w:line="440" w:lineRule="exact"/>
              <w:jc w:val="center"/>
              <w:rPr>
                <w:rFonts w:ascii="宋体" w:hAnsi="宋体"/>
                <w:color w:val="000000"/>
                <w:szCs w:val="21"/>
              </w:rPr>
            </w:pPr>
          </w:p>
        </w:tc>
        <w:tc>
          <w:tcPr>
            <w:tcW w:w="862" w:type="dxa"/>
            <w:noWrap w:val="0"/>
            <w:vAlign w:val="top"/>
          </w:tcPr>
          <w:p>
            <w:pPr>
              <w:spacing w:line="440" w:lineRule="exact"/>
              <w:jc w:val="center"/>
              <w:rPr>
                <w:rFonts w:ascii="宋体" w:hAnsi="宋体"/>
                <w:color w:val="000000"/>
                <w:szCs w:val="21"/>
              </w:rPr>
            </w:pPr>
          </w:p>
        </w:tc>
        <w:tc>
          <w:tcPr>
            <w:tcW w:w="1296"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863" w:type="dxa"/>
            <w:noWrap w:val="0"/>
            <w:vAlign w:val="top"/>
          </w:tcPr>
          <w:p>
            <w:pPr>
              <w:spacing w:line="440" w:lineRule="exact"/>
              <w:jc w:val="center"/>
              <w:rPr>
                <w:rFonts w:ascii="宋体" w:hAnsi="宋体"/>
                <w:color w:val="000000"/>
                <w:szCs w:val="21"/>
              </w:rPr>
            </w:pPr>
          </w:p>
        </w:tc>
        <w:tc>
          <w:tcPr>
            <w:tcW w:w="1661" w:type="dxa"/>
            <w:noWrap w:val="0"/>
            <w:vAlign w:val="top"/>
          </w:tcPr>
          <w:p>
            <w:pPr>
              <w:spacing w:line="440" w:lineRule="exact"/>
              <w:jc w:val="center"/>
              <w:rPr>
                <w:rFonts w:ascii="宋体" w:hAnsi="宋体"/>
                <w:color w:val="000000"/>
                <w:szCs w:val="21"/>
              </w:rPr>
            </w:pPr>
          </w:p>
        </w:tc>
        <w:tc>
          <w:tcPr>
            <w:tcW w:w="806" w:type="dxa"/>
            <w:noWrap w:val="0"/>
            <w:vAlign w:val="top"/>
          </w:tcPr>
          <w:p>
            <w:pPr>
              <w:spacing w:line="440" w:lineRule="exact"/>
              <w:jc w:val="center"/>
              <w:rPr>
                <w:rFonts w:ascii="宋体" w:hAnsi="宋体"/>
                <w:color w:val="000000"/>
                <w:szCs w:val="21"/>
              </w:rPr>
            </w:pPr>
          </w:p>
        </w:tc>
      </w:tr>
    </w:tbl>
    <w:p>
      <w:pPr>
        <w:topLinePunct/>
        <w:spacing w:line="440" w:lineRule="exact"/>
        <w:jc w:val="center"/>
        <w:rPr>
          <w:rFonts w:ascii="宋体" w:hAnsi="宋体"/>
          <w:color w:val="000000"/>
          <w:sz w:val="20"/>
        </w:rPr>
      </w:pPr>
      <w:r>
        <w:rPr>
          <w:rFonts w:ascii="宋体" w:hAnsi="宋体"/>
          <w:color w:val="000000"/>
          <w:sz w:val="20"/>
        </w:rPr>
        <w:br w:type="page"/>
      </w:r>
    </w:p>
    <w:p>
      <w:pPr>
        <w:pStyle w:val="94"/>
        <w:rPr>
          <w:rFonts w:ascii="宋体" w:hAnsi="宋体" w:eastAsia="宋体"/>
          <w:color w:val="000000"/>
          <w:szCs w:val="23"/>
        </w:rPr>
      </w:pPr>
      <w:bookmarkStart w:id="133" w:name="_Toc179632825"/>
      <w:bookmarkStart w:id="134" w:name="_Toc144974873"/>
      <w:bookmarkStart w:id="135" w:name="_Toc152045805"/>
      <w:bookmarkStart w:id="136" w:name="_Toc246392162"/>
      <w:bookmarkStart w:id="137" w:name="_Toc152042594"/>
      <w:bookmarkStart w:id="138" w:name="_Toc25718"/>
      <w:r>
        <w:rPr>
          <w:rFonts w:hint="eastAsia" w:ascii="宋体" w:hAnsi="宋体" w:eastAsia="宋体"/>
          <w:color w:val="000000"/>
          <w:szCs w:val="23"/>
        </w:rPr>
        <w:t>（二）主要人员简历表</w:t>
      </w:r>
      <w:bookmarkEnd w:id="133"/>
      <w:bookmarkEnd w:id="134"/>
      <w:bookmarkEnd w:id="135"/>
      <w:bookmarkEnd w:id="136"/>
      <w:bookmarkEnd w:id="137"/>
      <w:bookmarkEnd w:id="138"/>
    </w:p>
    <w:p>
      <w:pPr>
        <w:spacing w:line="400" w:lineRule="exact"/>
        <w:ind w:firstLine="480" w:firstLineChars="200"/>
        <w:rPr>
          <w:rFonts w:ascii="宋体" w:hAnsi="宋体"/>
          <w:color w:val="000000"/>
        </w:rPr>
      </w:pPr>
    </w:p>
    <w:p>
      <w:pPr>
        <w:spacing w:line="400" w:lineRule="exact"/>
        <w:ind w:firstLine="480" w:firstLineChars="200"/>
        <w:rPr>
          <w:rFonts w:ascii="宋体" w:hAnsi="宋体"/>
          <w:color w:val="000000"/>
        </w:rPr>
      </w:pPr>
      <w:r>
        <w:rPr>
          <w:rFonts w:hint="eastAsia" w:ascii="宋体" w:hAnsi="宋体"/>
          <w:color w:val="000000"/>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color w:val="000000"/>
          <w:sz w:val="23"/>
          <w:szCs w:val="23"/>
        </w:rPr>
      </w:pPr>
    </w:p>
    <w:tbl>
      <w:tblPr>
        <w:tblStyle w:val="57"/>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color w:val="000000"/>
                <w:sz w:val="22"/>
              </w:rPr>
            </w:pPr>
            <w:r>
              <w:rPr>
                <w:rFonts w:hint="eastAsia" w:ascii="宋体" w:hAnsi="宋体"/>
                <w:color w:val="000000"/>
                <w:sz w:val="22"/>
              </w:rPr>
              <w:t>姓</w:t>
            </w:r>
            <w:r>
              <w:rPr>
                <w:rFonts w:ascii="宋体" w:hAnsi="宋体"/>
                <w:color w:val="000000"/>
                <w:sz w:val="22"/>
              </w:rPr>
              <w:t xml:space="preserve">  </w:t>
            </w:r>
            <w:r>
              <w:rPr>
                <w:rFonts w:hint="eastAsia" w:ascii="宋体" w:hAnsi="宋体"/>
                <w:color w:val="000000"/>
                <w:sz w:val="22"/>
              </w:rPr>
              <w:t>名</w:t>
            </w:r>
          </w:p>
        </w:tc>
        <w:tc>
          <w:tcPr>
            <w:tcW w:w="1079" w:type="dxa"/>
            <w:gridSpan w:val="2"/>
            <w:noWrap w:val="0"/>
            <w:vAlign w:val="center"/>
          </w:tcPr>
          <w:p>
            <w:pPr>
              <w:spacing w:line="440" w:lineRule="exact"/>
              <w:rPr>
                <w:rFonts w:ascii="宋体" w:hAnsi="宋体"/>
                <w:color w:val="000000"/>
                <w:sz w:val="22"/>
              </w:rPr>
            </w:pPr>
          </w:p>
        </w:tc>
        <w:tc>
          <w:tcPr>
            <w:tcW w:w="927" w:type="dxa"/>
            <w:noWrap w:val="0"/>
            <w:vAlign w:val="center"/>
          </w:tcPr>
          <w:p>
            <w:pPr>
              <w:spacing w:line="440" w:lineRule="exact"/>
              <w:rPr>
                <w:rFonts w:ascii="宋体" w:hAnsi="宋体"/>
                <w:color w:val="000000"/>
                <w:sz w:val="22"/>
              </w:rPr>
            </w:pPr>
            <w:r>
              <w:rPr>
                <w:rFonts w:hint="eastAsia" w:ascii="宋体" w:hAnsi="宋体"/>
                <w:color w:val="000000"/>
                <w:sz w:val="22"/>
              </w:rPr>
              <w:t>年</w:t>
            </w:r>
            <w:r>
              <w:rPr>
                <w:rFonts w:ascii="宋体" w:hAnsi="宋体"/>
                <w:color w:val="000000"/>
                <w:sz w:val="22"/>
              </w:rPr>
              <w:t xml:space="preserve"> </w:t>
            </w:r>
            <w:r>
              <w:rPr>
                <w:rFonts w:hint="eastAsia" w:ascii="宋体" w:hAnsi="宋体"/>
                <w:color w:val="000000"/>
                <w:sz w:val="22"/>
              </w:rPr>
              <w:t>龄</w:t>
            </w:r>
          </w:p>
        </w:tc>
        <w:tc>
          <w:tcPr>
            <w:tcW w:w="1065" w:type="dxa"/>
            <w:noWrap w:val="0"/>
            <w:vAlign w:val="center"/>
          </w:tcPr>
          <w:p>
            <w:pPr>
              <w:spacing w:line="440" w:lineRule="exact"/>
              <w:rPr>
                <w:rFonts w:ascii="宋体" w:hAnsi="宋体"/>
                <w:color w:val="000000"/>
                <w:sz w:val="22"/>
              </w:rPr>
            </w:pPr>
          </w:p>
        </w:tc>
        <w:tc>
          <w:tcPr>
            <w:tcW w:w="1784" w:type="dxa"/>
            <w:gridSpan w:val="3"/>
            <w:noWrap w:val="0"/>
            <w:vAlign w:val="center"/>
          </w:tcPr>
          <w:p>
            <w:pPr>
              <w:spacing w:line="440" w:lineRule="exact"/>
              <w:rPr>
                <w:rFonts w:ascii="宋体" w:hAnsi="宋体"/>
                <w:color w:val="000000"/>
                <w:sz w:val="22"/>
              </w:rPr>
            </w:pPr>
            <w:r>
              <w:rPr>
                <w:rFonts w:hint="eastAsia" w:ascii="宋体" w:hAnsi="宋体"/>
                <w:color w:val="000000"/>
                <w:sz w:val="22"/>
              </w:rPr>
              <w:t>学历</w:t>
            </w:r>
          </w:p>
        </w:tc>
        <w:tc>
          <w:tcPr>
            <w:tcW w:w="2135" w:type="dxa"/>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color w:val="000000"/>
                <w:sz w:val="22"/>
              </w:rPr>
            </w:pPr>
            <w:r>
              <w:rPr>
                <w:rFonts w:hint="eastAsia" w:ascii="宋体" w:hAnsi="宋体"/>
                <w:color w:val="000000"/>
                <w:sz w:val="22"/>
              </w:rPr>
              <w:t>职</w:t>
            </w:r>
            <w:r>
              <w:rPr>
                <w:rFonts w:ascii="宋体" w:hAnsi="宋体"/>
                <w:color w:val="000000"/>
                <w:sz w:val="22"/>
              </w:rPr>
              <w:t xml:space="preserve">  </w:t>
            </w:r>
            <w:r>
              <w:rPr>
                <w:rFonts w:hint="eastAsia" w:ascii="宋体" w:hAnsi="宋体"/>
                <w:color w:val="000000"/>
                <w:sz w:val="22"/>
              </w:rPr>
              <w:t>称</w:t>
            </w:r>
          </w:p>
        </w:tc>
        <w:tc>
          <w:tcPr>
            <w:tcW w:w="1079" w:type="dxa"/>
            <w:gridSpan w:val="2"/>
            <w:noWrap w:val="0"/>
            <w:vAlign w:val="center"/>
          </w:tcPr>
          <w:p>
            <w:pPr>
              <w:spacing w:line="440" w:lineRule="exact"/>
              <w:rPr>
                <w:rFonts w:ascii="宋体" w:hAnsi="宋体"/>
                <w:color w:val="000000"/>
                <w:sz w:val="22"/>
              </w:rPr>
            </w:pPr>
          </w:p>
        </w:tc>
        <w:tc>
          <w:tcPr>
            <w:tcW w:w="927" w:type="dxa"/>
            <w:noWrap w:val="0"/>
            <w:vAlign w:val="center"/>
          </w:tcPr>
          <w:p>
            <w:pPr>
              <w:spacing w:line="440" w:lineRule="exact"/>
              <w:rPr>
                <w:rFonts w:ascii="宋体" w:hAnsi="宋体"/>
                <w:color w:val="000000"/>
                <w:sz w:val="22"/>
              </w:rPr>
            </w:pPr>
            <w:r>
              <w:rPr>
                <w:rFonts w:hint="eastAsia" w:ascii="宋体" w:hAnsi="宋体"/>
                <w:color w:val="000000"/>
                <w:sz w:val="22"/>
              </w:rPr>
              <w:t>职</w:t>
            </w:r>
            <w:r>
              <w:rPr>
                <w:rFonts w:ascii="宋体" w:hAnsi="宋体"/>
                <w:color w:val="000000"/>
                <w:sz w:val="22"/>
              </w:rPr>
              <w:t xml:space="preserve"> </w:t>
            </w:r>
            <w:r>
              <w:rPr>
                <w:rFonts w:hint="eastAsia" w:ascii="宋体" w:hAnsi="宋体"/>
                <w:color w:val="000000"/>
                <w:sz w:val="22"/>
              </w:rPr>
              <w:t>务</w:t>
            </w:r>
          </w:p>
        </w:tc>
        <w:tc>
          <w:tcPr>
            <w:tcW w:w="1065" w:type="dxa"/>
            <w:noWrap w:val="0"/>
            <w:vAlign w:val="center"/>
          </w:tcPr>
          <w:p>
            <w:pPr>
              <w:spacing w:line="440" w:lineRule="exact"/>
              <w:rPr>
                <w:rFonts w:ascii="宋体" w:hAnsi="宋体"/>
                <w:color w:val="000000"/>
                <w:sz w:val="22"/>
              </w:rPr>
            </w:pPr>
          </w:p>
        </w:tc>
        <w:tc>
          <w:tcPr>
            <w:tcW w:w="1784" w:type="dxa"/>
            <w:gridSpan w:val="3"/>
            <w:noWrap w:val="0"/>
            <w:vAlign w:val="center"/>
          </w:tcPr>
          <w:p>
            <w:pPr>
              <w:spacing w:line="440" w:lineRule="exact"/>
              <w:rPr>
                <w:rFonts w:ascii="宋体" w:hAnsi="宋体"/>
                <w:color w:val="000000"/>
                <w:sz w:val="22"/>
              </w:rPr>
            </w:pPr>
            <w:r>
              <w:rPr>
                <w:rFonts w:hint="eastAsia" w:ascii="宋体" w:hAnsi="宋体"/>
                <w:color w:val="000000"/>
                <w:sz w:val="22"/>
              </w:rPr>
              <w:t>拟在本合同任职</w:t>
            </w:r>
          </w:p>
        </w:tc>
        <w:tc>
          <w:tcPr>
            <w:tcW w:w="2135" w:type="dxa"/>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color w:val="000000"/>
                <w:sz w:val="22"/>
              </w:rPr>
            </w:pPr>
            <w:r>
              <w:rPr>
                <w:rFonts w:hint="eastAsia" w:ascii="宋体" w:hAnsi="宋体"/>
                <w:color w:val="000000"/>
                <w:sz w:val="22"/>
              </w:rPr>
              <w:t>毕业学校</w:t>
            </w:r>
          </w:p>
        </w:tc>
        <w:tc>
          <w:tcPr>
            <w:tcW w:w="6990" w:type="dxa"/>
            <w:gridSpan w:val="8"/>
            <w:noWrap w:val="0"/>
            <w:vAlign w:val="top"/>
          </w:tcPr>
          <w:p>
            <w:pPr>
              <w:spacing w:line="440" w:lineRule="exact"/>
              <w:rPr>
                <w:rFonts w:ascii="宋体" w:hAnsi="宋体"/>
                <w:color w:val="000000"/>
                <w:sz w:val="22"/>
              </w:rPr>
            </w:pPr>
            <w:r>
              <w:rPr>
                <w:rFonts w:ascii="宋体" w:hAnsi="宋体"/>
                <w:color w:val="000000"/>
                <w:sz w:val="22"/>
              </w:rPr>
              <w:t xml:space="preserve">      </w:t>
            </w:r>
            <w:r>
              <w:rPr>
                <w:rFonts w:hint="eastAsia" w:ascii="宋体" w:hAnsi="宋体"/>
                <w:color w:val="000000"/>
                <w:sz w:val="22"/>
              </w:rPr>
              <w:t>年毕业于</w:t>
            </w:r>
            <w:r>
              <w:rPr>
                <w:rFonts w:ascii="宋体" w:hAnsi="宋体"/>
                <w:color w:val="000000"/>
                <w:sz w:val="22"/>
              </w:rPr>
              <w:t xml:space="preserve">            </w:t>
            </w:r>
            <w:r>
              <w:rPr>
                <w:rFonts w:hint="eastAsia" w:ascii="宋体" w:hAnsi="宋体"/>
                <w:color w:val="000000"/>
                <w:sz w:val="22"/>
              </w:rPr>
              <w:t>学校</w:t>
            </w:r>
            <w:r>
              <w:rPr>
                <w:rFonts w:ascii="宋体" w:hAnsi="宋体"/>
                <w:color w:val="000000"/>
                <w:sz w:val="22"/>
              </w:rPr>
              <w:t xml:space="preserve">        </w:t>
            </w:r>
            <w:r>
              <w:rPr>
                <w:rFonts w:hint="eastAsia" w:ascii="宋体" w:hAnsi="宋体"/>
                <w:color w:val="000000"/>
                <w:sz w:val="2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noWrap w:val="0"/>
            <w:vAlign w:val="center"/>
          </w:tcPr>
          <w:p>
            <w:pPr>
              <w:spacing w:line="440" w:lineRule="exact"/>
              <w:rPr>
                <w:rFonts w:ascii="宋体" w:hAnsi="宋体"/>
                <w:color w:val="000000"/>
                <w:sz w:val="22"/>
              </w:rPr>
            </w:pPr>
            <w:r>
              <w:rPr>
                <w:rFonts w:hint="eastAsia" w:ascii="宋体" w:hAnsi="宋体"/>
                <w:color w:val="000000"/>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rPr>
                <w:rFonts w:ascii="宋体" w:hAnsi="宋体"/>
                <w:color w:val="000000"/>
                <w:sz w:val="22"/>
              </w:rPr>
            </w:pPr>
            <w:r>
              <w:rPr>
                <w:rFonts w:hint="eastAsia" w:ascii="宋体" w:hAnsi="宋体"/>
                <w:color w:val="000000"/>
                <w:sz w:val="22"/>
              </w:rPr>
              <w:t>时</w:t>
            </w:r>
            <w:r>
              <w:rPr>
                <w:rFonts w:ascii="宋体" w:hAnsi="宋体"/>
                <w:color w:val="000000"/>
                <w:sz w:val="22"/>
              </w:rPr>
              <w:t xml:space="preserve">  </w:t>
            </w:r>
            <w:r>
              <w:rPr>
                <w:rFonts w:hint="eastAsia" w:ascii="宋体" w:hAnsi="宋体"/>
                <w:color w:val="000000"/>
                <w:sz w:val="22"/>
              </w:rPr>
              <w:t>间</w:t>
            </w:r>
          </w:p>
        </w:tc>
        <w:tc>
          <w:tcPr>
            <w:tcW w:w="3074" w:type="dxa"/>
            <w:gridSpan w:val="4"/>
            <w:noWrap w:val="0"/>
            <w:vAlign w:val="center"/>
          </w:tcPr>
          <w:p>
            <w:pPr>
              <w:spacing w:line="440" w:lineRule="exact"/>
              <w:rPr>
                <w:rFonts w:ascii="宋体" w:hAnsi="宋体"/>
                <w:color w:val="000000"/>
                <w:sz w:val="22"/>
              </w:rPr>
            </w:pPr>
            <w:r>
              <w:rPr>
                <w:rFonts w:hint="eastAsia" w:ascii="宋体" w:hAnsi="宋体"/>
                <w:color w:val="000000"/>
                <w:sz w:val="22"/>
              </w:rPr>
              <w:t>参加过的类似项目</w:t>
            </w:r>
          </w:p>
        </w:tc>
        <w:tc>
          <w:tcPr>
            <w:tcW w:w="1261" w:type="dxa"/>
            <w:noWrap w:val="0"/>
            <w:vAlign w:val="center"/>
          </w:tcPr>
          <w:p>
            <w:pPr>
              <w:spacing w:line="440" w:lineRule="exact"/>
              <w:rPr>
                <w:rFonts w:ascii="宋体" w:hAnsi="宋体"/>
                <w:color w:val="000000"/>
                <w:sz w:val="22"/>
              </w:rPr>
            </w:pPr>
            <w:r>
              <w:rPr>
                <w:rFonts w:hint="eastAsia" w:ascii="宋体" w:hAnsi="宋体"/>
                <w:color w:val="000000"/>
                <w:sz w:val="22"/>
              </w:rPr>
              <w:t>担任职务</w:t>
            </w:r>
          </w:p>
        </w:tc>
        <w:tc>
          <w:tcPr>
            <w:tcW w:w="2296" w:type="dxa"/>
            <w:gridSpan w:val="2"/>
            <w:noWrap w:val="0"/>
            <w:vAlign w:val="center"/>
          </w:tcPr>
          <w:p>
            <w:pPr>
              <w:spacing w:line="440" w:lineRule="exact"/>
              <w:rPr>
                <w:rFonts w:ascii="宋体" w:hAnsi="宋体"/>
                <w:color w:val="000000"/>
                <w:sz w:val="22"/>
              </w:rPr>
            </w:pPr>
            <w:r>
              <w:rPr>
                <w:rFonts w:hint="eastAsia" w:ascii="宋体" w:hAnsi="宋体"/>
                <w:color w:val="000000"/>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ascii="宋体" w:hAnsi="宋体"/>
                <w:color w:val="000000"/>
                <w:sz w:val="22"/>
              </w:rPr>
            </w:pPr>
          </w:p>
        </w:tc>
        <w:tc>
          <w:tcPr>
            <w:tcW w:w="3074" w:type="dxa"/>
            <w:gridSpan w:val="4"/>
            <w:noWrap w:val="0"/>
            <w:vAlign w:val="top"/>
          </w:tcPr>
          <w:p>
            <w:pPr>
              <w:spacing w:line="440" w:lineRule="exact"/>
              <w:rPr>
                <w:rFonts w:ascii="宋体" w:hAnsi="宋体"/>
                <w:color w:val="000000"/>
                <w:sz w:val="22"/>
              </w:rPr>
            </w:pPr>
          </w:p>
        </w:tc>
        <w:tc>
          <w:tcPr>
            <w:tcW w:w="1261" w:type="dxa"/>
            <w:noWrap w:val="0"/>
            <w:vAlign w:val="top"/>
          </w:tcPr>
          <w:p>
            <w:pPr>
              <w:spacing w:line="440" w:lineRule="exact"/>
              <w:rPr>
                <w:rFonts w:ascii="宋体" w:hAnsi="宋体"/>
                <w:color w:val="000000"/>
                <w:sz w:val="22"/>
              </w:rPr>
            </w:pPr>
          </w:p>
        </w:tc>
        <w:tc>
          <w:tcPr>
            <w:tcW w:w="2296" w:type="dxa"/>
            <w:gridSpan w:val="2"/>
            <w:noWrap w:val="0"/>
            <w:vAlign w:val="top"/>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ascii="宋体" w:hAnsi="宋体"/>
                <w:color w:val="000000"/>
                <w:sz w:val="22"/>
              </w:rPr>
            </w:pPr>
          </w:p>
        </w:tc>
        <w:tc>
          <w:tcPr>
            <w:tcW w:w="3074" w:type="dxa"/>
            <w:gridSpan w:val="4"/>
            <w:noWrap w:val="0"/>
            <w:vAlign w:val="top"/>
          </w:tcPr>
          <w:p>
            <w:pPr>
              <w:spacing w:line="440" w:lineRule="exact"/>
              <w:rPr>
                <w:rFonts w:ascii="宋体" w:hAnsi="宋体"/>
                <w:color w:val="000000"/>
                <w:sz w:val="22"/>
              </w:rPr>
            </w:pPr>
          </w:p>
        </w:tc>
        <w:tc>
          <w:tcPr>
            <w:tcW w:w="1261" w:type="dxa"/>
            <w:noWrap w:val="0"/>
            <w:vAlign w:val="top"/>
          </w:tcPr>
          <w:p>
            <w:pPr>
              <w:spacing w:line="440" w:lineRule="exact"/>
              <w:rPr>
                <w:rFonts w:ascii="宋体" w:hAnsi="宋体"/>
                <w:color w:val="000000"/>
                <w:sz w:val="22"/>
              </w:rPr>
            </w:pPr>
          </w:p>
        </w:tc>
        <w:tc>
          <w:tcPr>
            <w:tcW w:w="2296" w:type="dxa"/>
            <w:gridSpan w:val="2"/>
            <w:noWrap w:val="0"/>
            <w:vAlign w:val="top"/>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ascii="宋体" w:hAnsi="宋体"/>
                <w:color w:val="000000"/>
                <w:sz w:val="22"/>
              </w:rPr>
            </w:pPr>
          </w:p>
        </w:tc>
        <w:tc>
          <w:tcPr>
            <w:tcW w:w="3074" w:type="dxa"/>
            <w:gridSpan w:val="4"/>
            <w:noWrap w:val="0"/>
            <w:vAlign w:val="top"/>
          </w:tcPr>
          <w:p>
            <w:pPr>
              <w:spacing w:line="440" w:lineRule="exact"/>
              <w:rPr>
                <w:rFonts w:ascii="宋体" w:hAnsi="宋体"/>
                <w:color w:val="000000"/>
                <w:sz w:val="22"/>
              </w:rPr>
            </w:pPr>
          </w:p>
        </w:tc>
        <w:tc>
          <w:tcPr>
            <w:tcW w:w="1261" w:type="dxa"/>
            <w:noWrap w:val="0"/>
            <w:vAlign w:val="top"/>
          </w:tcPr>
          <w:p>
            <w:pPr>
              <w:spacing w:line="440" w:lineRule="exact"/>
              <w:rPr>
                <w:rFonts w:ascii="宋体" w:hAnsi="宋体"/>
                <w:color w:val="000000"/>
                <w:sz w:val="22"/>
              </w:rPr>
            </w:pPr>
          </w:p>
        </w:tc>
        <w:tc>
          <w:tcPr>
            <w:tcW w:w="2296" w:type="dxa"/>
            <w:gridSpan w:val="2"/>
            <w:noWrap w:val="0"/>
            <w:vAlign w:val="top"/>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ascii="宋体" w:hAnsi="宋体"/>
                <w:color w:val="000000"/>
                <w:sz w:val="22"/>
              </w:rPr>
            </w:pPr>
          </w:p>
        </w:tc>
        <w:tc>
          <w:tcPr>
            <w:tcW w:w="3074" w:type="dxa"/>
            <w:gridSpan w:val="4"/>
            <w:noWrap w:val="0"/>
            <w:vAlign w:val="center"/>
          </w:tcPr>
          <w:p>
            <w:pPr>
              <w:spacing w:line="440" w:lineRule="exact"/>
              <w:rPr>
                <w:rFonts w:ascii="宋体" w:hAnsi="宋体"/>
                <w:color w:val="000000"/>
                <w:sz w:val="22"/>
              </w:rPr>
            </w:pPr>
          </w:p>
        </w:tc>
        <w:tc>
          <w:tcPr>
            <w:tcW w:w="1261" w:type="dxa"/>
            <w:noWrap w:val="0"/>
            <w:vAlign w:val="center"/>
          </w:tcPr>
          <w:p>
            <w:pPr>
              <w:spacing w:line="440" w:lineRule="exact"/>
              <w:rPr>
                <w:rFonts w:ascii="宋体" w:hAnsi="宋体"/>
                <w:color w:val="000000"/>
                <w:sz w:val="22"/>
              </w:rPr>
            </w:pPr>
          </w:p>
        </w:tc>
        <w:tc>
          <w:tcPr>
            <w:tcW w:w="2296" w:type="dxa"/>
            <w:gridSpan w:val="2"/>
            <w:noWrap w:val="0"/>
            <w:vAlign w:val="center"/>
          </w:tcPr>
          <w:p>
            <w:pPr>
              <w:spacing w:line="440" w:lineRule="exact"/>
              <w:rPr>
                <w:rFonts w:ascii="宋体" w:hAnsi="宋体"/>
                <w:color w:val="000000"/>
                <w:sz w:val="22"/>
              </w:rPr>
            </w:pPr>
          </w:p>
        </w:tc>
      </w:tr>
    </w:tbl>
    <w:p>
      <w:pPr>
        <w:spacing w:line="440" w:lineRule="exact"/>
        <w:jc w:val="center"/>
        <w:rPr>
          <w:rFonts w:ascii="宋体" w:hAnsi="宋体" w:cs="Calibri"/>
          <w:color w:val="000000"/>
          <w:sz w:val="32"/>
          <w:szCs w:val="32"/>
        </w:rPr>
      </w:pPr>
      <w:r>
        <w:rPr>
          <w:rFonts w:ascii="宋体" w:hAnsi="宋体"/>
          <w:color w:val="000000"/>
        </w:rPr>
        <w:br w:type="page"/>
      </w:r>
      <w:bookmarkStart w:id="139" w:name="_Toc245036711"/>
      <w:bookmarkStart w:id="140" w:name="_Toc7025"/>
      <w:r>
        <w:rPr>
          <w:rFonts w:hint="eastAsia" w:ascii="宋体" w:hAnsi="宋体" w:cs="Calibri"/>
          <w:color w:val="000000"/>
          <w:sz w:val="32"/>
          <w:szCs w:val="32"/>
        </w:rPr>
        <w:t>七、资格审查资料</w:t>
      </w:r>
      <w:bookmarkEnd w:id="139"/>
      <w:bookmarkEnd w:id="140"/>
    </w:p>
    <w:p>
      <w:pPr>
        <w:topLinePunct/>
        <w:spacing w:line="440" w:lineRule="exact"/>
        <w:jc w:val="center"/>
        <w:rPr>
          <w:rFonts w:ascii="宋体" w:hAnsi="宋体"/>
          <w:color w:val="000000"/>
          <w:sz w:val="27"/>
          <w:szCs w:val="27"/>
        </w:rPr>
      </w:pPr>
    </w:p>
    <w:p>
      <w:pPr>
        <w:pStyle w:val="94"/>
        <w:rPr>
          <w:rFonts w:ascii="宋体" w:hAnsi="宋体" w:eastAsia="宋体"/>
          <w:color w:val="000000"/>
          <w:szCs w:val="23"/>
        </w:rPr>
      </w:pPr>
      <w:bookmarkStart w:id="141" w:name="_Toc152042597"/>
      <w:bookmarkStart w:id="142" w:name="_Toc245036712"/>
      <w:bookmarkStart w:id="143" w:name="_Toc144974876"/>
      <w:bookmarkStart w:id="144" w:name="_Toc152045808"/>
      <w:bookmarkStart w:id="145" w:name="_Toc17487"/>
      <w:r>
        <w:rPr>
          <w:rFonts w:hint="eastAsia" w:ascii="宋体" w:hAnsi="宋体" w:eastAsia="宋体"/>
          <w:color w:val="000000"/>
          <w:szCs w:val="23"/>
        </w:rPr>
        <w:t>（一）投标人基本情况表</w:t>
      </w:r>
      <w:bookmarkEnd w:id="141"/>
      <w:bookmarkEnd w:id="142"/>
      <w:bookmarkEnd w:id="143"/>
      <w:bookmarkEnd w:id="144"/>
      <w:bookmarkEnd w:id="145"/>
    </w:p>
    <w:p>
      <w:pPr>
        <w:topLinePunct/>
        <w:spacing w:line="440" w:lineRule="exact"/>
        <w:jc w:val="center"/>
        <w:rPr>
          <w:rFonts w:ascii="宋体" w:hAnsi="宋体"/>
          <w:color w:val="000000"/>
          <w:sz w:val="23"/>
          <w:szCs w:val="23"/>
        </w:rPr>
      </w:pPr>
    </w:p>
    <w:tbl>
      <w:tblPr>
        <w:tblStyle w:val="5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投标人名称</w:t>
            </w:r>
          </w:p>
        </w:tc>
        <w:tc>
          <w:tcPr>
            <w:tcW w:w="6840"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邮政编码</w:t>
            </w:r>
          </w:p>
        </w:tc>
        <w:tc>
          <w:tcPr>
            <w:tcW w:w="2342"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电</w:t>
            </w:r>
            <w:r>
              <w:rPr>
                <w:rFonts w:ascii="宋体" w:hAnsi="宋体"/>
                <w:color w:val="000000"/>
                <w:sz w:val="22"/>
              </w:rPr>
              <w:t xml:space="preserve"> </w:t>
            </w:r>
            <w:r>
              <w:rPr>
                <w:rFonts w:hint="eastAsia" w:ascii="宋体" w:hAnsi="宋体"/>
                <w:color w:val="000000"/>
                <w:sz w:val="22"/>
              </w:rPr>
              <w:t>话</w:t>
            </w:r>
          </w:p>
        </w:tc>
        <w:tc>
          <w:tcPr>
            <w:tcW w:w="2342"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传</w:t>
            </w:r>
            <w:r>
              <w:rPr>
                <w:rFonts w:ascii="宋体" w:hAnsi="宋体"/>
                <w:color w:val="000000"/>
                <w:sz w:val="22"/>
              </w:rPr>
              <w:t xml:space="preserve">  </w:t>
            </w:r>
            <w:r>
              <w:rPr>
                <w:rFonts w:hint="eastAsia" w:ascii="宋体" w:hAnsi="宋体"/>
                <w:color w:val="000000"/>
                <w:sz w:val="22"/>
              </w:rPr>
              <w:t>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网</w:t>
            </w:r>
            <w:r>
              <w:rPr>
                <w:rFonts w:ascii="宋体" w:hAnsi="宋体"/>
                <w:color w:val="000000"/>
                <w:sz w:val="22"/>
              </w:rPr>
              <w:t xml:space="preserve"> </w:t>
            </w:r>
            <w:r>
              <w:rPr>
                <w:rFonts w:hint="eastAsia" w:ascii="宋体" w:hAnsi="宋体"/>
                <w:color w:val="000000"/>
                <w:sz w:val="22"/>
              </w:rPr>
              <w:t>址</w:t>
            </w:r>
          </w:p>
        </w:tc>
        <w:tc>
          <w:tcPr>
            <w:tcW w:w="2342" w:type="dxa"/>
            <w:gridSpan w:val="3"/>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组织结构</w:t>
            </w:r>
          </w:p>
        </w:tc>
        <w:tc>
          <w:tcPr>
            <w:tcW w:w="6840"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电话</w:t>
            </w:r>
          </w:p>
        </w:tc>
        <w:tc>
          <w:tcPr>
            <w:tcW w:w="992" w:type="dxa"/>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电话</w:t>
            </w:r>
          </w:p>
        </w:tc>
        <w:tc>
          <w:tcPr>
            <w:tcW w:w="992" w:type="dxa"/>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4991" w:type="dxa"/>
            <w:gridSpan w:val="7"/>
            <w:tcBorders>
              <w:top w:val="single" w:color="auto" w:sz="4" w:space="0"/>
              <w:left w:val="single" w:color="auto" w:sz="4" w:space="0"/>
              <w:bottom w:val="single" w:color="auto" w:sz="4" w:space="0"/>
            </w:tcBorders>
            <w:noWrap w:val="0"/>
            <w:vAlign w:val="center"/>
          </w:tcPr>
          <w:p>
            <w:pPr>
              <w:topLinePunct/>
              <w:spacing w:line="440" w:lineRule="exact"/>
              <w:ind w:firstLine="110" w:firstLineChars="50"/>
              <w:jc w:val="center"/>
              <w:rPr>
                <w:rFonts w:ascii="宋体" w:hAnsi="宋体"/>
                <w:color w:val="000000"/>
                <w:sz w:val="22"/>
              </w:rPr>
            </w:pPr>
            <w:r>
              <w:rPr>
                <w:rFonts w:hint="eastAsia" w:ascii="宋体" w:hAnsi="宋体"/>
                <w:color w:val="000000"/>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项目经理</w:t>
            </w:r>
          </w:p>
        </w:tc>
        <w:tc>
          <w:tcPr>
            <w:tcW w:w="1852"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高级职称人员</w:t>
            </w:r>
          </w:p>
        </w:tc>
        <w:tc>
          <w:tcPr>
            <w:tcW w:w="1852"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中级职称人员</w:t>
            </w:r>
          </w:p>
        </w:tc>
        <w:tc>
          <w:tcPr>
            <w:tcW w:w="1852"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初级职称人员</w:t>
            </w:r>
          </w:p>
        </w:tc>
        <w:tc>
          <w:tcPr>
            <w:tcW w:w="1852"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pStyle w:val="72"/>
              <w:ind w:left="-23" w:firstLine="440"/>
              <w:rPr>
                <w:rFonts w:ascii="宋体" w:hAnsi="宋体"/>
                <w:color w:val="000000"/>
                <w:sz w:val="22"/>
              </w:rPr>
            </w:pPr>
            <w:r>
              <w:rPr>
                <w:rFonts w:hint="eastAsia" w:ascii="宋体" w:hAnsi="宋体"/>
                <w:color w:val="000000"/>
                <w:sz w:val="22"/>
              </w:rPr>
              <w:t>技</w:t>
            </w:r>
            <w:r>
              <w:rPr>
                <w:rFonts w:ascii="宋体" w:hAnsi="宋体"/>
                <w:color w:val="000000"/>
                <w:sz w:val="22"/>
              </w:rPr>
              <w:t xml:space="preserve">  </w:t>
            </w:r>
            <w:r>
              <w:rPr>
                <w:rFonts w:hint="eastAsia" w:ascii="宋体" w:hAnsi="宋体"/>
                <w:color w:val="000000"/>
                <w:sz w:val="22"/>
              </w:rPr>
              <w:t>工</w:t>
            </w:r>
          </w:p>
        </w:tc>
        <w:tc>
          <w:tcPr>
            <w:tcW w:w="1852" w:type="dxa"/>
            <w:gridSpan w:val="2"/>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right w:val="single" w:color="auto" w:sz="4" w:space="0"/>
            </w:tcBorders>
            <w:noWrap w:val="0"/>
            <w:vAlign w:val="center"/>
          </w:tcPr>
          <w:p>
            <w:pPr>
              <w:topLinePunct/>
              <w:spacing w:line="440" w:lineRule="exact"/>
              <w:ind w:firstLine="220" w:firstLineChars="100"/>
              <w:jc w:val="center"/>
              <w:rPr>
                <w:rFonts w:ascii="宋体" w:hAnsi="宋体"/>
                <w:color w:val="000000"/>
                <w:sz w:val="22"/>
              </w:rPr>
            </w:pPr>
            <w:r>
              <w:rPr>
                <w:rFonts w:hint="eastAsia" w:ascii="宋体" w:hAnsi="宋体"/>
                <w:color w:val="000000"/>
                <w:sz w:val="22"/>
              </w:rPr>
              <w:t>经营范围</w:t>
            </w:r>
          </w:p>
        </w:tc>
        <w:tc>
          <w:tcPr>
            <w:tcW w:w="6840" w:type="dxa"/>
            <w:gridSpan w:val="9"/>
            <w:tcBorders>
              <w:top w:val="single" w:color="auto" w:sz="4" w:space="0"/>
              <w:left w:val="single" w:color="auto" w:sz="4" w:space="0"/>
            </w:tcBorders>
            <w:noWrap w:val="0"/>
            <w:vAlign w:val="center"/>
          </w:tcPr>
          <w:p>
            <w:pPr>
              <w:topLinePunct/>
              <w:spacing w:line="440" w:lineRule="exact"/>
              <w:jc w:val="center"/>
              <w:rPr>
                <w:rFonts w:ascii="宋体" w:hAnsi="宋体"/>
                <w:color w:val="000000"/>
                <w:sz w:val="22"/>
              </w:rPr>
            </w:pPr>
          </w:p>
          <w:p>
            <w:pPr>
              <w:topLinePunct/>
              <w:spacing w:line="440" w:lineRule="exact"/>
              <w:jc w:val="center"/>
              <w:rPr>
                <w:rFonts w:ascii="宋体" w:hAnsi="宋体"/>
                <w:color w:val="000000"/>
                <w:sz w:val="22"/>
              </w:rPr>
            </w:pPr>
          </w:p>
          <w:p>
            <w:pPr>
              <w:topLinePunct/>
              <w:spacing w:line="440" w:lineRule="exact"/>
              <w:jc w:val="center"/>
              <w:rPr>
                <w:rFonts w:ascii="宋体" w:hAnsi="宋体"/>
                <w:color w:val="000000"/>
                <w:sz w:val="22"/>
              </w:rPr>
            </w:pPr>
          </w:p>
          <w:p>
            <w:pPr>
              <w:topLinePunct/>
              <w:spacing w:line="440" w:lineRule="exact"/>
              <w:jc w:val="center"/>
              <w:rPr>
                <w:rFonts w:ascii="宋体" w:hAnsi="宋体"/>
                <w:color w:val="000000"/>
                <w:sz w:val="22"/>
              </w:rPr>
            </w:pPr>
          </w:p>
          <w:p>
            <w:pPr>
              <w:topLinePunct/>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noWrap w:val="0"/>
            <w:vAlign w:val="center"/>
          </w:tcPr>
          <w:p>
            <w:pPr>
              <w:topLinePunct/>
              <w:spacing w:line="440" w:lineRule="exact"/>
              <w:jc w:val="center"/>
              <w:rPr>
                <w:rFonts w:ascii="宋体" w:hAnsi="宋体"/>
                <w:color w:val="000000"/>
                <w:sz w:val="22"/>
              </w:rPr>
            </w:pPr>
            <w:r>
              <w:rPr>
                <w:rFonts w:hint="eastAsia" w:ascii="宋体" w:hAnsi="宋体"/>
                <w:color w:val="000000"/>
                <w:sz w:val="22"/>
              </w:rPr>
              <w:t>备注</w:t>
            </w:r>
          </w:p>
        </w:tc>
        <w:tc>
          <w:tcPr>
            <w:tcW w:w="6840" w:type="dxa"/>
            <w:gridSpan w:val="9"/>
            <w:tcBorders>
              <w:top w:val="single" w:color="auto" w:sz="4" w:space="0"/>
              <w:left w:val="single" w:color="auto" w:sz="4" w:space="0"/>
              <w:bottom w:val="single" w:color="auto" w:sz="4" w:space="0"/>
            </w:tcBorders>
            <w:noWrap w:val="0"/>
            <w:vAlign w:val="center"/>
          </w:tcPr>
          <w:p>
            <w:pPr>
              <w:topLinePunct/>
              <w:spacing w:line="440" w:lineRule="exact"/>
              <w:jc w:val="center"/>
              <w:rPr>
                <w:rFonts w:ascii="宋体" w:hAnsi="宋体"/>
                <w:color w:val="000000"/>
                <w:sz w:val="22"/>
              </w:rPr>
            </w:pPr>
          </w:p>
        </w:tc>
      </w:tr>
    </w:tbl>
    <w:p>
      <w:pPr>
        <w:spacing w:line="400" w:lineRule="exact"/>
        <w:ind w:firstLine="480" w:firstLineChars="200"/>
        <w:rPr>
          <w:rFonts w:ascii="宋体" w:hAnsi="宋体"/>
          <w:color w:val="000000"/>
        </w:rPr>
      </w:pPr>
      <w:r>
        <w:rPr>
          <w:rFonts w:hint="eastAsia" w:ascii="宋体" w:hAnsi="宋体"/>
          <w:color w:val="000000"/>
        </w:rPr>
        <w:t>附：</w:t>
      </w:r>
      <w:r>
        <w:rPr>
          <w:rFonts w:hint="eastAsia" w:ascii="宋体" w:hAnsi="宋体"/>
          <w:b/>
          <w:color w:val="000000"/>
        </w:rPr>
        <w:t>投标人有效的营业执照、资质证书、安全生产许可证及三类人员证书（和任命文件）、业绩证明材料等复印件。</w:t>
      </w:r>
    </w:p>
    <w:p>
      <w:pPr>
        <w:pStyle w:val="94"/>
        <w:rPr>
          <w:rFonts w:ascii="宋体" w:hAnsi="宋体" w:eastAsia="宋体"/>
          <w:b/>
          <w:color w:val="000000"/>
        </w:rPr>
      </w:pPr>
      <w:bookmarkStart w:id="146" w:name="_Toc152042598"/>
      <w:bookmarkStart w:id="147" w:name="_Toc144974877"/>
      <w:bookmarkStart w:id="148" w:name="_Toc245036713"/>
      <w:bookmarkStart w:id="149" w:name="_Toc16950"/>
      <w:bookmarkStart w:id="150" w:name="_Toc152045809"/>
      <w:r>
        <w:rPr>
          <w:rFonts w:ascii="宋体" w:hAnsi="宋体" w:eastAsia="宋体"/>
          <w:color w:val="000000"/>
        </w:rPr>
        <w:br w:type="page"/>
      </w:r>
      <w:r>
        <w:rPr>
          <w:rFonts w:hint="eastAsia" w:ascii="宋体" w:hAnsi="宋体" w:eastAsia="宋体"/>
          <w:b/>
          <w:color w:val="000000"/>
        </w:rPr>
        <w:t>（二）</w:t>
      </w:r>
      <w:r>
        <w:rPr>
          <w:rFonts w:ascii="宋体" w:hAnsi="宋体" w:eastAsia="宋体"/>
          <w:b/>
          <w:color w:val="000000"/>
        </w:rPr>
        <w:t>提供营业执照复印件并加盖公章；</w:t>
      </w:r>
    </w:p>
    <w:p>
      <w:pPr>
        <w:pStyle w:val="94"/>
        <w:rPr>
          <w:rFonts w:ascii="宋体" w:hAnsi="宋体" w:eastAsia="宋体"/>
          <w:b/>
          <w:color w:val="000000"/>
        </w:rPr>
      </w:pPr>
      <w:r>
        <w:rPr>
          <w:rFonts w:ascii="宋体" w:hAnsi="宋体" w:eastAsia="宋体"/>
          <w:color w:val="000000"/>
        </w:rPr>
        <w:br w:type="page"/>
      </w:r>
      <w:r>
        <w:rPr>
          <w:rFonts w:hint="eastAsia" w:ascii="宋体" w:hAnsi="宋体" w:eastAsia="宋体"/>
          <w:color w:val="000000"/>
        </w:rPr>
        <w:t>（三）</w:t>
      </w:r>
      <w:r>
        <w:rPr>
          <w:rFonts w:hint="eastAsia" w:ascii="宋体" w:hAnsi="宋体" w:eastAsia="宋体"/>
          <w:b/>
          <w:color w:val="000000"/>
        </w:rPr>
        <w:t>投标人具备电子与智能化工程专业承包二级及以上或民航空管工程及机场弱电系统工程专业承包二级及以上资质（需提供证明文件并加盖公章，原件备查）；</w:t>
      </w:r>
      <w:r>
        <w:rPr>
          <w:rFonts w:ascii="宋体" w:hAnsi="宋体" w:eastAsia="宋体"/>
          <w:color w:val="000000"/>
        </w:rPr>
        <w:br w:type="page"/>
      </w:r>
      <w:r>
        <w:rPr>
          <w:rFonts w:hint="eastAsia" w:ascii="宋体" w:hAnsi="宋体" w:eastAsia="宋体"/>
          <w:color w:val="000000"/>
        </w:rPr>
        <w:t>（四）</w:t>
      </w:r>
      <w:r>
        <w:rPr>
          <w:rFonts w:hint="eastAsia" w:ascii="宋体" w:hAnsi="宋体" w:eastAsia="宋体"/>
          <w:b/>
          <w:color w:val="000000"/>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pStyle w:val="94"/>
        <w:rPr>
          <w:rFonts w:ascii="宋体" w:hAnsi="宋体" w:eastAsia="宋体"/>
          <w:color w:val="000000"/>
          <w:szCs w:val="23"/>
        </w:rPr>
      </w:pPr>
      <w:r>
        <w:rPr>
          <w:rFonts w:ascii="宋体" w:hAnsi="宋体" w:eastAsia="宋体"/>
          <w:b/>
          <w:color w:val="000000"/>
        </w:rPr>
        <w:br w:type="page"/>
      </w:r>
      <w:r>
        <w:rPr>
          <w:rFonts w:hint="eastAsia" w:ascii="宋体" w:hAnsi="宋体" w:eastAsia="宋体"/>
          <w:b/>
          <w:color w:val="000000"/>
        </w:rPr>
        <w:t xml:space="preserve">（五）项目经理资格要求：具有 </w:t>
      </w:r>
      <w:r>
        <w:rPr>
          <w:rFonts w:hint="eastAsia" w:ascii="宋体" w:hAnsi="宋体" w:eastAsia="宋体"/>
          <w:b/>
          <w:color w:val="000000"/>
          <w:u w:val="single"/>
        </w:rPr>
        <w:t xml:space="preserve"> 机电   专业  贰级  级</w:t>
      </w:r>
      <w:r>
        <w:rPr>
          <w:rFonts w:hint="eastAsia" w:ascii="宋体" w:hAnsi="宋体" w:eastAsia="宋体"/>
          <w:b/>
          <w:color w:val="000000"/>
        </w:rPr>
        <w:t>及以上注册建造师执业证书。</w:t>
      </w:r>
      <w:r>
        <w:rPr>
          <w:rFonts w:ascii="宋体" w:hAnsi="宋体" w:eastAsia="宋体"/>
          <w:color w:val="000000"/>
        </w:rPr>
        <w:br w:type="page"/>
      </w:r>
      <w:r>
        <w:rPr>
          <w:rFonts w:hint="eastAsia" w:ascii="宋体" w:hAnsi="宋体" w:eastAsia="宋体"/>
          <w:color w:val="000000"/>
        </w:rPr>
        <w:t>（六）近年财务状况表</w:t>
      </w:r>
      <w:bookmarkEnd w:id="146"/>
      <w:bookmarkEnd w:id="147"/>
      <w:bookmarkEnd w:id="148"/>
      <w:bookmarkEnd w:id="149"/>
      <w:bookmarkEnd w:id="150"/>
    </w:p>
    <w:p>
      <w:pPr>
        <w:spacing w:line="440" w:lineRule="exact"/>
        <w:rPr>
          <w:rFonts w:ascii="宋体" w:hAnsi="宋体"/>
          <w:color w:val="000000"/>
          <w:sz w:val="23"/>
          <w:szCs w:val="23"/>
        </w:rPr>
      </w:pPr>
      <w:r>
        <w:rPr>
          <w:rFonts w:ascii="宋体" w:hAnsi="宋体"/>
          <w:color w:val="000000"/>
          <w:sz w:val="23"/>
          <w:szCs w:val="23"/>
        </w:rPr>
        <w:br w:type="page"/>
      </w:r>
    </w:p>
    <w:p>
      <w:pPr>
        <w:pStyle w:val="94"/>
        <w:rPr>
          <w:rFonts w:ascii="宋体" w:hAnsi="宋体" w:eastAsia="宋体"/>
          <w:color w:val="000000"/>
          <w:szCs w:val="23"/>
        </w:rPr>
      </w:pPr>
      <w:bookmarkStart w:id="151" w:name="_Toc152045810"/>
      <w:bookmarkStart w:id="152" w:name="_Toc31021"/>
      <w:bookmarkStart w:id="153" w:name="_Toc144974878"/>
      <w:bookmarkStart w:id="154" w:name="_Toc245036714"/>
      <w:bookmarkStart w:id="155" w:name="_Toc152042599"/>
      <w:r>
        <w:rPr>
          <w:rFonts w:hint="eastAsia" w:ascii="宋体" w:hAnsi="宋体" w:eastAsia="宋体"/>
          <w:color w:val="000000"/>
          <w:szCs w:val="23"/>
        </w:rPr>
        <w:t>（七）近三年完成的类似项目情况表</w:t>
      </w:r>
      <w:bookmarkEnd w:id="151"/>
      <w:bookmarkEnd w:id="152"/>
      <w:bookmarkEnd w:id="153"/>
      <w:bookmarkEnd w:id="154"/>
      <w:bookmarkEnd w:id="155"/>
    </w:p>
    <w:p>
      <w:pPr>
        <w:spacing w:line="440" w:lineRule="exact"/>
        <w:jc w:val="center"/>
        <w:rPr>
          <w:rFonts w:ascii="宋体" w:hAnsi="宋体"/>
          <w:color w:val="000000"/>
          <w:sz w:val="23"/>
          <w:szCs w:val="23"/>
        </w:rPr>
      </w:pPr>
    </w:p>
    <w:tbl>
      <w:tblPr>
        <w:tblStyle w:val="57"/>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项目名称</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bookmarkStart w:id="156" w:name="_Toc13233"/>
            <w:r>
              <w:rPr>
                <w:rFonts w:hint="eastAsia" w:ascii="宋体" w:hAnsi="宋体"/>
                <w:color w:val="000000"/>
                <w:szCs w:val="21"/>
              </w:rPr>
              <w:t>项目所在地</w:t>
            </w:r>
            <w:bookmarkEnd w:id="156"/>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发包人名称</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bookmarkStart w:id="157" w:name="_Toc20896"/>
            <w:r>
              <w:rPr>
                <w:rFonts w:hint="eastAsia" w:ascii="宋体" w:hAnsi="宋体"/>
                <w:color w:val="000000"/>
                <w:szCs w:val="21"/>
              </w:rPr>
              <w:t>发包人地址</w:t>
            </w:r>
            <w:bookmarkEnd w:id="157"/>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发包人电话</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合同价格</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开工日期</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竣工日期</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bookmarkStart w:id="158" w:name="_Toc3155"/>
            <w:r>
              <w:rPr>
                <w:rFonts w:hint="eastAsia" w:ascii="宋体" w:hAnsi="宋体"/>
                <w:color w:val="000000"/>
                <w:szCs w:val="21"/>
              </w:rPr>
              <w:t>承担的工作</w:t>
            </w:r>
            <w:bookmarkEnd w:id="158"/>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工程质量</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项目经理</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技术负责人</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总监理工程师及电话</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项目描述</w:t>
            </w:r>
          </w:p>
        </w:tc>
        <w:tc>
          <w:tcPr>
            <w:tcW w:w="5927" w:type="dxa"/>
            <w:noWrap w:val="0"/>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noWrap w:val="0"/>
            <w:vAlign w:val="center"/>
          </w:tcPr>
          <w:p>
            <w:pPr>
              <w:topLinePunct/>
              <w:spacing w:line="440" w:lineRule="exact"/>
              <w:rPr>
                <w:rFonts w:ascii="宋体" w:hAnsi="宋体"/>
                <w:color w:val="000000"/>
                <w:szCs w:val="21"/>
              </w:rPr>
            </w:pPr>
            <w:r>
              <w:rPr>
                <w:rFonts w:hint="eastAsia" w:ascii="宋体" w:hAnsi="宋体"/>
                <w:color w:val="000000"/>
                <w:szCs w:val="21"/>
              </w:rPr>
              <w:t>备注</w:t>
            </w:r>
          </w:p>
        </w:tc>
        <w:tc>
          <w:tcPr>
            <w:tcW w:w="5927" w:type="dxa"/>
            <w:noWrap w:val="0"/>
            <w:vAlign w:val="center"/>
          </w:tcPr>
          <w:p>
            <w:pPr>
              <w:topLinePunct/>
              <w:spacing w:line="440" w:lineRule="exact"/>
              <w:rPr>
                <w:rFonts w:ascii="宋体" w:hAnsi="宋体"/>
                <w:color w:val="000000"/>
                <w:szCs w:val="21"/>
              </w:rPr>
            </w:pPr>
          </w:p>
        </w:tc>
      </w:tr>
    </w:tbl>
    <w:p>
      <w:pPr>
        <w:pStyle w:val="94"/>
        <w:rPr>
          <w:rFonts w:ascii="宋体" w:hAnsi="宋体" w:eastAsia="宋体"/>
          <w:color w:val="000000"/>
          <w:szCs w:val="23"/>
        </w:rPr>
      </w:pPr>
      <w:bookmarkStart w:id="159" w:name="_Toc152042600"/>
      <w:bookmarkStart w:id="160" w:name="_Toc152045811"/>
      <w:bookmarkStart w:id="161" w:name="_Toc144974879"/>
      <w:bookmarkStart w:id="162" w:name="_Toc26600"/>
      <w:bookmarkStart w:id="163" w:name="_Toc245036715"/>
      <w:r>
        <w:rPr>
          <w:rFonts w:hint="eastAsia" w:ascii="宋体" w:hAnsi="宋体" w:eastAsia="宋体"/>
          <w:b/>
          <w:color w:val="000000"/>
          <w:szCs w:val="23"/>
        </w:rPr>
        <w:t>后附合同复印件、竣工报告复印件。</w:t>
      </w:r>
      <w:r>
        <w:rPr>
          <w:rFonts w:ascii="宋体" w:hAnsi="宋体" w:eastAsia="宋体"/>
          <w:color w:val="000000"/>
          <w:szCs w:val="23"/>
        </w:rPr>
        <w:br w:type="page"/>
      </w:r>
      <w:r>
        <w:rPr>
          <w:rFonts w:hint="eastAsia" w:ascii="宋体" w:hAnsi="宋体" w:eastAsia="宋体"/>
          <w:color w:val="000000"/>
          <w:szCs w:val="23"/>
        </w:rPr>
        <w:t>（八）正在施工的和新承接的项目情况表</w:t>
      </w:r>
      <w:bookmarkEnd w:id="159"/>
      <w:bookmarkEnd w:id="160"/>
      <w:bookmarkEnd w:id="161"/>
      <w:bookmarkEnd w:id="162"/>
      <w:bookmarkEnd w:id="163"/>
    </w:p>
    <w:p>
      <w:pPr>
        <w:keepNext/>
        <w:keepLines/>
        <w:topLinePunct/>
        <w:spacing w:before="240" w:beforeLines="100" w:line="280" w:lineRule="exact"/>
        <w:outlineLvl w:val="2"/>
        <w:rPr>
          <w:rFonts w:ascii="宋体" w:hAnsi="宋体"/>
          <w:b/>
          <w:bCs/>
          <w:color w:val="000000"/>
          <w:szCs w:val="21"/>
        </w:rPr>
      </w:pPr>
    </w:p>
    <w:tbl>
      <w:tblPr>
        <w:tblStyle w:val="57"/>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bookmarkStart w:id="164" w:name="_Toc5773"/>
            <w:bookmarkStart w:id="165" w:name="_Toc152045812"/>
            <w:bookmarkStart w:id="166" w:name="_Toc245036716"/>
            <w:bookmarkStart w:id="167" w:name="_Toc144974880"/>
            <w:bookmarkStart w:id="168" w:name="_Toc152042601"/>
            <w:r>
              <w:rPr>
                <w:rFonts w:hint="eastAsia" w:ascii="宋体" w:hAnsi="宋体"/>
                <w:color w:val="000000"/>
                <w:szCs w:val="21"/>
              </w:rPr>
              <w:t>项目名称</w:t>
            </w:r>
            <w:bookmarkEnd w:id="164"/>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项目所在地</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发包人名称</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发包人地址</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发包人电话</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签约合同价</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开工日期</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计划竣工日期</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承担的工作</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工程质量</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项目经理</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技术负责人</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总监理工程师及电话</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项目描述</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noWrap w:val="0"/>
            <w:vAlign w:val="center"/>
          </w:tcPr>
          <w:p>
            <w:pPr>
              <w:topLinePunct/>
              <w:spacing w:line="440" w:lineRule="exact"/>
              <w:rPr>
                <w:rFonts w:ascii="宋体" w:hAnsi="宋体"/>
                <w:color w:val="000000"/>
                <w:szCs w:val="21"/>
              </w:rPr>
            </w:pPr>
            <w:r>
              <w:rPr>
                <w:rFonts w:hint="eastAsia" w:ascii="宋体" w:hAnsi="宋体"/>
                <w:color w:val="000000"/>
                <w:szCs w:val="21"/>
              </w:rPr>
              <w:t>备注</w:t>
            </w:r>
          </w:p>
        </w:tc>
        <w:tc>
          <w:tcPr>
            <w:tcW w:w="6480" w:type="dxa"/>
            <w:noWrap w:val="0"/>
            <w:vAlign w:val="center"/>
          </w:tcPr>
          <w:p>
            <w:pPr>
              <w:keepNext/>
              <w:keepLines/>
              <w:topLinePunct/>
              <w:spacing w:before="240" w:beforeLines="100" w:line="280" w:lineRule="exact"/>
              <w:outlineLvl w:val="2"/>
              <w:rPr>
                <w:rFonts w:ascii="宋体" w:hAnsi="宋体"/>
                <w:b/>
                <w:bCs/>
                <w:color w:val="000000"/>
                <w:szCs w:val="21"/>
              </w:rPr>
            </w:pPr>
          </w:p>
        </w:tc>
      </w:tr>
      <w:bookmarkEnd w:id="165"/>
      <w:bookmarkEnd w:id="166"/>
      <w:bookmarkEnd w:id="167"/>
      <w:bookmarkEnd w:id="168"/>
    </w:tbl>
    <w:p>
      <w:pPr>
        <w:spacing w:line="440" w:lineRule="exact"/>
        <w:rPr>
          <w:rFonts w:ascii="宋体" w:hAnsi="宋体"/>
          <w:color w:val="000000"/>
          <w:sz w:val="20"/>
          <w:szCs w:val="20"/>
        </w:rPr>
      </w:pPr>
    </w:p>
    <w:p>
      <w:pPr>
        <w:spacing w:line="440" w:lineRule="exact"/>
        <w:jc w:val="center"/>
        <w:rPr>
          <w:rFonts w:ascii="宋体" w:hAnsi="宋体" w:cs="Calibri"/>
          <w:b/>
          <w:color w:val="000000"/>
          <w:sz w:val="32"/>
          <w:szCs w:val="32"/>
        </w:rPr>
      </w:pPr>
      <w:bookmarkStart w:id="169" w:name="_Toc144974881"/>
      <w:bookmarkStart w:id="170" w:name="_Toc152045813"/>
      <w:bookmarkStart w:id="171" w:name="_Toc152042602"/>
      <w:bookmarkStart w:id="172" w:name="_Toc675"/>
      <w:bookmarkStart w:id="173" w:name="_Toc245036717"/>
      <w:r>
        <w:rPr>
          <w:rFonts w:ascii="宋体" w:hAnsi="宋体"/>
          <w:color w:val="000000"/>
        </w:rPr>
        <w:br w:type="page"/>
      </w:r>
      <w:r>
        <w:rPr>
          <w:rFonts w:hint="eastAsia" w:ascii="宋体" w:hAnsi="宋体" w:cs="Calibri"/>
          <w:b/>
          <w:color w:val="000000"/>
          <w:sz w:val="32"/>
          <w:szCs w:val="32"/>
        </w:rPr>
        <w:t>八、</w:t>
      </w:r>
      <w:bookmarkEnd w:id="169"/>
      <w:bookmarkEnd w:id="170"/>
      <w:bookmarkEnd w:id="171"/>
      <w:bookmarkEnd w:id="172"/>
      <w:bookmarkEnd w:id="173"/>
      <w:bookmarkStart w:id="174" w:name="_Toc21221"/>
      <w:r>
        <w:rPr>
          <w:rFonts w:hint="eastAsia" w:ascii="宋体" w:hAnsi="宋体" w:cs="Calibri"/>
          <w:b/>
          <w:color w:val="000000"/>
          <w:sz w:val="32"/>
          <w:szCs w:val="32"/>
        </w:rPr>
        <w:t>投标人认为应该提供的其他材料</w:t>
      </w:r>
    </w:p>
    <w:bookmarkEnd w:id="174"/>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
      <w:pPr>
        <w:overflowPunct w:val="0"/>
        <w:autoSpaceDE w:val="0"/>
        <w:autoSpaceDN w:val="0"/>
        <w:spacing w:line="440" w:lineRule="exact"/>
        <w:rPr>
          <w:rFonts w:hint="eastAsia" w:ascii="宋体" w:cs="宋体"/>
          <w:b/>
          <w:sz w:val="32"/>
          <w:szCs w:val="32"/>
        </w:rPr>
      </w:pPr>
    </w:p>
    <w:p>
      <w:pPr>
        <w:overflowPunct w:val="0"/>
        <w:autoSpaceDE w:val="0"/>
        <w:autoSpaceDN w:val="0"/>
        <w:spacing w:line="440" w:lineRule="exact"/>
        <w:ind w:left="839" w:hanging="839"/>
        <w:jc w:val="center"/>
        <w:rPr>
          <w:rFonts w:hint="eastAsia" w:ascii="宋体" w:cs="宋体"/>
          <w:b/>
          <w:sz w:val="32"/>
          <w:szCs w:val="32"/>
        </w:rPr>
      </w:pPr>
    </w:p>
    <w:p>
      <w:pPr>
        <w:spacing w:line="300" w:lineRule="auto"/>
        <w:rPr>
          <w:rFonts w:ascii="宋体" w:cs="宋体"/>
          <w:b/>
          <w:color w:val="000000"/>
          <w:sz w:val="44"/>
          <w:szCs w:val="44"/>
        </w:rPr>
      </w:pPr>
      <w:r>
        <w:rPr>
          <w:rFonts w:hint="eastAsia" w:eastAsia="黑体"/>
          <w:b/>
          <w:bCs/>
          <w:color w:val="000000"/>
          <w:kern w:val="0"/>
          <w:sz w:val="32"/>
          <w:szCs w:val="32"/>
        </w:rPr>
        <w:t>附件</w:t>
      </w:r>
      <w:r>
        <w:rPr>
          <w:rFonts w:eastAsia="黑体"/>
          <w:b/>
          <w:bCs/>
          <w:color w:val="000000"/>
          <w:kern w:val="0"/>
          <w:sz w:val="32"/>
          <w:szCs w:val="32"/>
        </w:rPr>
        <w:t>1</w:t>
      </w:r>
    </w:p>
    <w:p>
      <w:pPr>
        <w:pStyle w:val="53"/>
      </w:pPr>
      <w:bookmarkStart w:id="175" w:name="_Toc32703"/>
      <w:bookmarkStart w:id="176" w:name="_Toc17509"/>
      <w:bookmarkStart w:id="177" w:name="_Toc13826051"/>
      <w:r>
        <w:rPr>
          <w:rFonts w:hint="eastAsia"/>
        </w:rPr>
        <w:t>技术规格书</w:t>
      </w:r>
      <w:bookmarkEnd w:id="175"/>
      <w:bookmarkEnd w:id="176"/>
      <w:bookmarkEnd w:id="177"/>
    </w:p>
    <w:p>
      <w:pPr>
        <w:pStyle w:val="2"/>
        <w:widowControl/>
        <w:ind w:right="2" w:rightChars="1"/>
        <w:jc w:val="both"/>
        <w:rPr>
          <w:color w:val="000000"/>
        </w:rPr>
      </w:pPr>
      <w:bookmarkStart w:id="178" w:name="_主要设备、软件、服务清单要求"/>
      <w:bookmarkEnd w:id="178"/>
      <w:bookmarkStart w:id="179" w:name="_Toc124561160"/>
      <w:bookmarkStart w:id="180" w:name="_Toc118207929"/>
      <w:bookmarkStart w:id="181" w:name="_Toc122958925"/>
      <w:bookmarkStart w:id="182" w:name="_Toc105213123"/>
      <w:bookmarkStart w:id="183" w:name="_Toc119378476"/>
      <w:bookmarkStart w:id="184" w:name="_Toc127347639"/>
      <w:bookmarkStart w:id="185" w:name="_Toc17021"/>
      <w:bookmarkStart w:id="186" w:name="_Toc386910844"/>
      <w:bookmarkStart w:id="187" w:name="_Toc123028527"/>
      <w:bookmarkStart w:id="188" w:name="_Toc119504303"/>
      <w:bookmarkStart w:id="189" w:name="_Toc119378288"/>
      <w:bookmarkStart w:id="190" w:name="_Toc119258084"/>
      <w:bookmarkStart w:id="191" w:name="_Toc392056798"/>
      <w:bookmarkStart w:id="192" w:name="_Toc118624721"/>
      <w:bookmarkStart w:id="193" w:name="_Toc4765"/>
      <w:bookmarkStart w:id="194" w:name="_Toc118101327"/>
      <w:bookmarkStart w:id="195" w:name="_Toc214177989"/>
      <w:bookmarkStart w:id="196" w:name="_Toc13826052"/>
      <w:bookmarkStart w:id="197" w:name="_1总则"/>
      <w:bookmarkStart w:id="198" w:name="_Toc122958933"/>
      <w:bookmarkStart w:id="199" w:name="_Toc127347647"/>
      <w:bookmarkStart w:id="200" w:name="_Toc119258098"/>
      <w:bookmarkStart w:id="201" w:name="_Toc123028535"/>
      <w:bookmarkStart w:id="202" w:name="_Toc124561168"/>
      <w:bookmarkStart w:id="203" w:name="_Toc214177997"/>
      <w:r>
        <w:rPr>
          <w:rFonts w:cs="黑体"/>
          <w:color w:val="000000"/>
        </w:rPr>
        <w:t>1</w:t>
      </w:r>
      <w:r>
        <w:rPr>
          <w:rFonts w:hint="eastAsia" w:cs="黑体"/>
          <w:color w:val="000000"/>
        </w:rPr>
        <w:t>总则</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bookmarkEnd w:id="197"/>
    <w:p>
      <w:pPr>
        <w:pStyle w:val="3"/>
        <w:keepNext w:val="0"/>
        <w:keepLines w:val="0"/>
        <w:tabs>
          <w:tab w:val="left" w:pos="576"/>
        </w:tabs>
        <w:spacing w:before="0" w:after="0"/>
        <w:ind w:left="576" w:hanging="576"/>
        <w:jc w:val="both"/>
        <w:rPr>
          <w:rFonts w:ascii="Times New Roman" w:hAnsi="Times New Roman"/>
          <w:color w:val="000000"/>
          <w:sz w:val="22"/>
          <w:szCs w:val="22"/>
        </w:rPr>
      </w:pPr>
      <w:bookmarkStart w:id="204" w:name="_Toc214177990"/>
      <w:bookmarkStart w:id="205" w:name="_Toc392056799"/>
      <w:bookmarkStart w:id="206" w:name="_Toc124561161"/>
      <w:bookmarkStart w:id="207" w:name="_Toc119378289"/>
      <w:bookmarkStart w:id="208" w:name="_Toc386910845"/>
      <w:bookmarkStart w:id="209" w:name="_Toc122958926"/>
      <w:bookmarkStart w:id="210" w:name="_Toc127347640"/>
      <w:bookmarkStart w:id="211" w:name="_Toc119504304"/>
      <w:bookmarkStart w:id="212" w:name="_Toc119258085"/>
      <w:bookmarkStart w:id="213" w:name="_Toc123028528"/>
      <w:bookmarkStart w:id="214" w:name="_Toc119378477"/>
      <w:r>
        <w:rPr>
          <w:rFonts w:ascii="Times New Roman" w:hAnsi="Times New Roman"/>
          <w:color w:val="000000"/>
          <w:sz w:val="22"/>
          <w:szCs w:val="22"/>
        </w:rPr>
        <w:t>1.1</w:t>
      </w:r>
      <w:r>
        <w:rPr>
          <w:rFonts w:hint="eastAsia" w:ascii="Times New Roman" w:hAnsi="Times New Roman" w:cs="宋体"/>
          <w:color w:val="000000"/>
          <w:sz w:val="22"/>
          <w:szCs w:val="22"/>
        </w:rPr>
        <w:t>概述</w:t>
      </w:r>
      <w:bookmarkEnd w:id="204"/>
      <w:bookmarkEnd w:id="205"/>
      <w:bookmarkEnd w:id="206"/>
      <w:bookmarkEnd w:id="207"/>
      <w:bookmarkEnd w:id="208"/>
      <w:bookmarkEnd w:id="209"/>
      <w:bookmarkEnd w:id="210"/>
      <w:bookmarkEnd w:id="211"/>
      <w:bookmarkEnd w:id="212"/>
      <w:bookmarkEnd w:id="213"/>
      <w:bookmarkEnd w:id="214"/>
    </w:p>
    <w:p>
      <w:pPr>
        <w:snapToGrid w:val="0"/>
        <w:spacing w:line="360" w:lineRule="auto"/>
        <w:ind w:right="2" w:rightChars="1" w:firstLine="440" w:firstLineChars="200"/>
        <w:rPr>
          <w:rFonts w:ascii="宋体" w:cs="宋体"/>
          <w:b/>
          <w:color w:val="000000"/>
          <w:sz w:val="22"/>
        </w:rPr>
      </w:pPr>
      <w:r>
        <w:rPr>
          <w:rFonts w:hint="eastAsia" w:ascii="宋体" w:hAnsi="宋体" w:cs="宋体"/>
          <w:color w:val="000000"/>
          <w:sz w:val="22"/>
        </w:rPr>
        <w:t>本技术规格书是招标文件的组成部分，内容包括</w:t>
      </w:r>
      <w:r>
        <w:rPr>
          <w:rFonts w:hint="eastAsia" w:ascii="宋体" w:hAnsi="宋体" w:cs="宋体"/>
          <w:color w:val="000000"/>
          <w:sz w:val="22"/>
          <w:u w:val="single"/>
        </w:rPr>
        <w:t>杭</w:t>
      </w:r>
      <w:r>
        <w:rPr>
          <w:rFonts w:hint="eastAsia" w:ascii="宋体" w:hAnsi="宋体" w:cs="宋体"/>
          <w:sz w:val="22"/>
          <w:u w:val="single"/>
        </w:rPr>
        <w:t>州萧山国际机场有限公司</w:t>
      </w:r>
      <w:r>
        <w:rPr>
          <w:rFonts w:hint="eastAsia" w:ascii="宋体" w:hAnsi="宋体" w:cs="Arial"/>
          <w:kern w:val="0"/>
          <w:sz w:val="22"/>
          <w:u w:val="single"/>
        </w:rPr>
        <w:t>国际快件中心监控新增和围界报警系统改造工程</w:t>
      </w:r>
      <w:r>
        <w:rPr>
          <w:rFonts w:hint="eastAsia" w:ascii="宋体" w:hAnsi="宋体" w:cs="宋体"/>
          <w:color w:val="000000"/>
          <w:sz w:val="22"/>
        </w:rPr>
        <w:t>的主要规格、要求、资料及有关文件。</w:t>
      </w:r>
    </w:p>
    <w:p>
      <w:pPr>
        <w:snapToGrid w:val="0"/>
        <w:spacing w:line="360" w:lineRule="auto"/>
        <w:ind w:right="2" w:rightChars="1" w:firstLine="440" w:firstLineChars="200"/>
        <w:rPr>
          <w:rFonts w:ascii="宋体" w:cs="宋体"/>
          <w:color w:val="000000"/>
          <w:sz w:val="22"/>
        </w:rPr>
      </w:pPr>
      <w:r>
        <w:rPr>
          <w:rFonts w:hint="eastAsia" w:ascii="宋体" w:hAnsi="宋体" w:cs="宋体"/>
          <w:color w:val="000000"/>
          <w:sz w:val="22"/>
        </w:rPr>
        <w:t>投标人必须按招标文件各章节条款的内容合理编制投标文件，并在投标文件中按本技术规格书要求按顺序逐项作出实质性应答，投标文件与本技术规格书内容的任何偏差都必须列入投标文件中的技术规格偏差表。否则，将承担不经任何澄清就被判定为未能满足招标文件要求而废标的风险。中标后中标方在合同谈判中的任何偏差都不得超越此偏差表中已被招标人确认的条款。</w:t>
      </w:r>
    </w:p>
    <w:p>
      <w:pPr>
        <w:snapToGrid w:val="0"/>
        <w:spacing w:line="360" w:lineRule="auto"/>
        <w:ind w:firstLine="440" w:firstLineChars="200"/>
        <w:rPr>
          <w:rFonts w:ascii="宋体" w:cs="宋体"/>
          <w:color w:val="000000"/>
          <w:sz w:val="22"/>
        </w:rPr>
      </w:pPr>
      <w:bookmarkStart w:id="215" w:name="_Toc283888180"/>
      <w:bookmarkStart w:id="216" w:name="_Toc283888221"/>
      <w:r>
        <w:rPr>
          <w:rFonts w:hint="eastAsia" w:ascii="宋体" w:hAnsi="宋体" w:cs="宋体"/>
          <w:color w:val="000000"/>
          <w:sz w:val="22"/>
        </w:rPr>
        <w:t>投标人提供的安防系统必须是全新的未曾使用过的设备。</w:t>
      </w:r>
      <w:bookmarkEnd w:id="215"/>
      <w:bookmarkEnd w:id="216"/>
    </w:p>
    <w:p>
      <w:pPr>
        <w:snapToGrid w:val="0"/>
        <w:spacing w:line="360" w:lineRule="auto"/>
        <w:ind w:right="2" w:rightChars="1" w:firstLine="440" w:firstLineChars="200"/>
        <w:rPr>
          <w:rFonts w:ascii="宋体" w:cs="宋体"/>
          <w:color w:val="000000"/>
          <w:sz w:val="22"/>
        </w:rPr>
      </w:pPr>
      <w:bookmarkStart w:id="217" w:name="_Toc283888222"/>
      <w:bookmarkStart w:id="218" w:name="_Toc283888181"/>
      <w:r>
        <w:rPr>
          <w:rFonts w:hint="eastAsia" w:ascii="宋体" w:hAnsi="宋体" w:cs="宋体"/>
          <w:color w:val="000000"/>
          <w:sz w:val="22"/>
        </w:rPr>
        <w:t>投标人应保证所供安防系统的先进性、可靠性和适用性。</w:t>
      </w:r>
      <w:bookmarkEnd w:id="217"/>
      <w:bookmarkEnd w:id="218"/>
    </w:p>
    <w:p>
      <w:pPr>
        <w:snapToGrid w:val="0"/>
        <w:spacing w:line="360" w:lineRule="auto"/>
        <w:ind w:right="2" w:rightChars="1" w:firstLine="440" w:firstLineChars="200"/>
        <w:rPr>
          <w:rFonts w:ascii="宋体" w:cs="宋体"/>
          <w:color w:val="000000"/>
          <w:sz w:val="22"/>
        </w:rPr>
      </w:pPr>
      <w:bookmarkStart w:id="219" w:name="_Toc283888182"/>
      <w:bookmarkStart w:id="220" w:name="_Toc283888223"/>
      <w:r>
        <w:rPr>
          <w:rFonts w:hint="eastAsia" w:ascii="宋体" w:hAnsi="宋体" w:cs="宋体"/>
          <w:color w:val="000000"/>
          <w:sz w:val="22"/>
        </w:rPr>
        <w:t>投标人应保证所供安防系统的完整性和成套性，能保证安防系统的正常运行和使用。</w:t>
      </w:r>
      <w:bookmarkEnd w:id="219"/>
      <w:bookmarkEnd w:id="220"/>
    </w:p>
    <w:p>
      <w:pPr>
        <w:snapToGrid w:val="0"/>
        <w:spacing w:line="360" w:lineRule="auto"/>
        <w:ind w:right="2" w:rightChars="1" w:firstLine="440" w:firstLineChars="200"/>
        <w:rPr>
          <w:rFonts w:ascii="宋体" w:cs="宋体"/>
          <w:color w:val="000000"/>
          <w:sz w:val="22"/>
        </w:rPr>
      </w:pPr>
      <w:r>
        <w:rPr>
          <w:rFonts w:hint="eastAsia" w:ascii="宋体" w:hAnsi="宋体" w:cs="宋体"/>
          <w:color w:val="000000"/>
          <w:sz w:val="22"/>
        </w:rPr>
        <w:t>投标人应根据招标文件所提出的设备技术规格和服务要求，综合考虑设备的适应性，选择具有最佳性能价格比的设备前来投标，以精良的设备、优良的服务和优惠的价格，充分显示竞争实力。</w:t>
      </w:r>
    </w:p>
    <w:p>
      <w:pPr>
        <w:snapToGrid w:val="0"/>
        <w:spacing w:line="360" w:lineRule="auto"/>
        <w:ind w:right="2" w:rightChars="1" w:firstLine="440" w:firstLineChars="200"/>
        <w:rPr>
          <w:rFonts w:ascii="宋体" w:cs="宋体"/>
          <w:color w:val="000000"/>
          <w:sz w:val="22"/>
        </w:rPr>
      </w:pPr>
      <w:r>
        <w:rPr>
          <w:rFonts w:hint="eastAsia" w:ascii="宋体" w:hAnsi="宋体" w:cs="宋体"/>
          <w:color w:val="000000"/>
          <w:sz w:val="22"/>
        </w:rPr>
        <w:t>投标人须充分考虑在如果中标并履行合同时安防系统升级安装所需的一切费用及进入现场施工安装的施工水电费、设备吊装费、墙洞修补费及隔离区内施工监管费等费用，上述费用均须全部包括在投标报价内否则由以上因素而引起的一切费用均视为已包括在投标总价。</w:t>
      </w:r>
    </w:p>
    <w:p>
      <w:pPr>
        <w:pStyle w:val="4"/>
        <w:keepNext w:val="0"/>
        <w:numPr>
          <w:ilvl w:val="0"/>
          <w:numId w:val="0"/>
        </w:numPr>
        <w:tabs>
          <w:tab w:val="left" w:pos="720"/>
        </w:tabs>
        <w:snapToGrid w:val="0"/>
        <w:spacing w:line="360" w:lineRule="auto"/>
        <w:ind w:right="2" w:rightChars="1"/>
        <w:rPr>
          <w:rFonts w:hAnsi="宋体" w:cs="黑体"/>
          <w:bCs/>
          <w:color w:val="000000"/>
          <w:sz w:val="22"/>
          <w:szCs w:val="22"/>
        </w:rPr>
      </w:pPr>
      <w:bookmarkStart w:id="221" w:name="_Toc119258088"/>
      <w:r>
        <w:rPr>
          <w:rFonts w:ascii="Times New Roman"/>
          <w:bCs/>
          <w:color w:val="000000"/>
          <w:sz w:val="22"/>
          <w:szCs w:val="22"/>
        </w:rPr>
        <w:t>1.1.1</w:t>
      </w:r>
      <w:r>
        <w:rPr>
          <w:rFonts w:hint="eastAsia" w:hAnsi="宋体" w:cs="黑体"/>
          <w:bCs/>
          <w:color w:val="000000"/>
          <w:sz w:val="22"/>
          <w:szCs w:val="22"/>
        </w:rPr>
        <w:t>工程项目概况</w:t>
      </w:r>
      <w:bookmarkEnd w:id="221"/>
    </w:p>
    <w:p>
      <w:pPr>
        <w:adjustRightInd w:val="0"/>
        <w:snapToGrid w:val="0"/>
        <w:spacing w:line="340" w:lineRule="exact"/>
        <w:ind w:firstLine="440" w:firstLineChars="200"/>
        <w:rPr>
          <w:rFonts w:hint="eastAsia" w:ascii="宋体" w:hAnsi="宋体" w:cs="Arial"/>
          <w:color w:val="000000"/>
          <w:kern w:val="0"/>
          <w:sz w:val="22"/>
        </w:rPr>
      </w:pPr>
      <w:bookmarkStart w:id="222" w:name="_Toc214177991"/>
      <w:bookmarkStart w:id="223" w:name="_Toc127347641"/>
      <w:bookmarkStart w:id="224" w:name="_Toc386910846"/>
      <w:bookmarkStart w:id="225" w:name="_Toc122958927"/>
      <w:bookmarkStart w:id="226" w:name="_Toc119258091"/>
      <w:bookmarkStart w:id="227" w:name="_Toc119378290"/>
      <w:bookmarkStart w:id="228" w:name="_Toc119378478"/>
      <w:bookmarkStart w:id="229" w:name="_Toc123028529"/>
      <w:bookmarkStart w:id="230" w:name="_Toc124561162"/>
      <w:bookmarkStart w:id="231" w:name="_Toc119504305"/>
      <w:bookmarkStart w:id="232" w:name="_Toc392056800"/>
      <w:bookmarkStart w:id="233" w:name="OLE_LINK6"/>
      <w:r>
        <w:rPr>
          <w:rFonts w:hint="eastAsia" w:ascii="宋体" w:hAnsi="宋体" w:cs="Arial"/>
          <w:color w:val="000000"/>
          <w:kern w:val="0"/>
          <w:sz w:val="22"/>
        </w:rPr>
        <w:t>响应海关、物流公司要求，在国际快件中心（原联邦快递）库区新增98个摄像机；在改建后的围界新增围界报警设备。</w:t>
      </w:r>
    </w:p>
    <w:p>
      <w:pPr>
        <w:pStyle w:val="3"/>
        <w:keepNext w:val="0"/>
        <w:keepLines w:val="0"/>
        <w:tabs>
          <w:tab w:val="left" w:pos="576"/>
        </w:tabs>
        <w:spacing w:before="0" w:after="0"/>
        <w:ind w:left="576" w:hanging="576"/>
        <w:jc w:val="both"/>
        <w:rPr>
          <w:rFonts w:ascii="Times New Roman" w:hAnsi="Times New Roman" w:cs="宋体"/>
          <w:color w:val="000000"/>
          <w:sz w:val="30"/>
          <w:szCs w:val="30"/>
        </w:rPr>
      </w:pPr>
      <w:r>
        <w:rPr>
          <w:rFonts w:ascii="Times New Roman" w:hAnsi="Times New Roman" w:cs="宋体"/>
          <w:color w:val="000000"/>
          <w:sz w:val="30"/>
          <w:szCs w:val="30"/>
        </w:rPr>
        <w:t>1.2</w:t>
      </w:r>
      <w:r>
        <w:rPr>
          <w:rFonts w:hint="eastAsia" w:ascii="Times New Roman" w:hAnsi="Times New Roman" w:cs="宋体"/>
          <w:color w:val="000000"/>
          <w:sz w:val="30"/>
          <w:szCs w:val="30"/>
        </w:rPr>
        <w:t>总体要求</w:t>
      </w:r>
      <w:bookmarkEnd w:id="222"/>
      <w:bookmarkEnd w:id="223"/>
      <w:bookmarkEnd w:id="224"/>
      <w:bookmarkEnd w:id="225"/>
      <w:bookmarkEnd w:id="226"/>
      <w:bookmarkEnd w:id="227"/>
      <w:bookmarkEnd w:id="228"/>
      <w:bookmarkEnd w:id="229"/>
      <w:bookmarkEnd w:id="230"/>
      <w:bookmarkEnd w:id="231"/>
      <w:bookmarkEnd w:id="232"/>
    </w:p>
    <w:bookmarkEnd w:id="233"/>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1.2.1</w:t>
      </w:r>
      <w:r>
        <w:rPr>
          <w:rFonts w:hint="eastAsia" w:hAnsi="宋体" w:cs="宋体"/>
          <w:b w:val="0"/>
          <w:bCs/>
          <w:color w:val="000000"/>
          <w:sz w:val="22"/>
          <w:szCs w:val="22"/>
        </w:rPr>
        <w:t>投标人须认真阅读本技术规格书，若投标人与招标人对条款的理解不一致或者技术规格书中描述的内容出现前后不一致，以招标人的解释为准。</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1.2.2</w:t>
      </w:r>
      <w:r>
        <w:rPr>
          <w:rFonts w:hint="eastAsia" w:hAnsi="宋体" w:cs="宋体"/>
          <w:b w:val="0"/>
          <w:bCs/>
          <w:color w:val="000000"/>
          <w:sz w:val="22"/>
          <w:szCs w:val="22"/>
        </w:rPr>
        <w:t>投标人必须根据</w:t>
      </w:r>
      <w:bookmarkStart w:id="234" w:name="OLE_LINK7"/>
      <w:r>
        <w:rPr>
          <w:rFonts w:hint="eastAsia" w:hAnsi="宋体" w:cs="宋体"/>
          <w:b w:val="0"/>
          <w:bCs/>
          <w:color w:val="000000"/>
          <w:sz w:val="22"/>
          <w:szCs w:val="22"/>
        </w:rPr>
        <w:t>本技术规格书的要求在投标时提供投标技术规格书，投标人必须清楚地描述自己对工程范围、业务需求、性能和功能需求的理解，并在投标文件中进行清楚的描述。该描述将作为投标人的承诺，一旦中标后将无条件执行。</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1.2.3</w:t>
      </w:r>
      <w:bookmarkStart w:id="235" w:name="OLE_LINK15"/>
      <w:r>
        <w:rPr>
          <w:rFonts w:hint="eastAsia" w:hAnsi="宋体" w:cs="宋体"/>
          <w:b w:val="0"/>
          <w:bCs/>
          <w:color w:val="000000"/>
          <w:sz w:val="22"/>
          <w:szCs w:val="22"/>
        </w:rPr>
        <w:t>本技术规格书仅指工程的主要要求，不应作为完整</w:t>
      </w:r>
      <w:bookmarkEnd w:id="234"/>
      <w:r>
        <w:rPr>
          <w:rFonts w:hint="eastAsia" w:hAnsi="宋体" w:cs="宋体"/>
          <w:b w:val="0"/>
          <w:bCs/>
          <w:color w:val="000000"/>
          <w:sz w:val="22"/>
          <w:szCs w:val="22"/>
        </w:rPr>
        <w:t>的详细的要求，投标人应提供完整的详细的系统设计、设备材料配置，并计入投标总价。如果满足本技术规格书所要求的系统功能和性能所需的软件、硬件、服务未列入投标总价，投标人必须在不变更投标总价的前提下予以补足。</w:t>
      </w:r>
    </w:p>
    <w:bookmarkEnd w:id="235"/>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1.2.4</w:t>
      </w:r>
      <w:r>
        <w:rPr>
          <w:rFonts w:hint="eastAsia" w:hAnsi="宋体" w:cs="宋体"/>
          <w:b w:val="0"/>
          <w:bCs/>
          <w:color w:val="000000"/>
          <w:sz w:val="22"/>
          <w:szCs w:val="22"/>
        </w:rPr>
        <w:t>为满足本技术规格书中要求的系统功能和性能，投标人应提供本技术规格书中未描述的所需的全部设备、附件、软件、工具和服务，费用包含在投标总价内。</w:t>
      </w:r>
    </w:p>
    <w:p>
      <w:pPr>
        <w:pStyle w:val="4"/>
        <w:keepNext w:val="0"/>
        <w:numPr>
          <w:ilvl w:val="0"/>
          <w:numId w:val="0"/>
        </w:numPr>
        <w:tabs>
          <w:tab w:val="left" w:pos="720"/>
        </w:tabs>
        <w:snapToGrid w:val="0"/>
        <w:spacing w:line="360" w:lineRule="auto"/>
        <w:ind w:left="-823" w:leftChars="-343" w:firstLine="753" w:firstLineChars="341"/>
        <w:rPr>
          <w:rFonts w:hAnsi="宋体"/>
          <w:b w:val="0"/>
          <w:bCs/>
          <w:color w:val="000000"/>
          <w:sz w:val="22"/>
          <w:szCs w:val="22"/>
        </w:rPr>
      </w:pPr>
      <w:bookmarkStart w:id="236" w:name="_Toc107240627"/>
      <w:r>
        <w:rPr>
          <w:rFonts w:hAnsi="宋体"/>
          <w:bCs/>
          <w:color w:val="000000"/>
          <w:sz w:val="22"/>
          <w:szCs w:val="22"/>
        </w:rPr>
        <w:t>1.2.5</w:t>
      </w:r>
      <w:r>
        <w:rPr>
          <w:rFonts w:hint="eastAsia" w:hAnsi="宋体" w:cs="宋体"/>
          <w:b w:val="0"/>
          <w:bCs/>
          <w:color w:val="000000"/>
          <w:sz w:val="22"/>
          <w:szCs w:val="22"/>
        </w:rPr>
        <w:t>招标人保留采纳投标人所提供的更为优秀可靠的系统设计方案的权利。</w:t>
      </w:r>
      <w:bookmarkEnd w:id="236"/>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1.2.6</w:t>
      </w:r>
      <w:r>
        <w:rPr>
          <w:rFonts w:hint="eastAsia" w:hAnsi="宋体" w:cs="宋体"/>
          <w:b w:val="0"/>
          <w:bCs/>
          <w:color w:val="000000"/>
          <w:sz w:val="22"/>
          <w:szCs w:val="22"/>
        </w:rPr>
        <w:t>投标人必须对所提供产品和系统的技术要求、质量总负责，包括协作和合作制造部分。如果工程涉及几个制造商，投标人在投标时须向招标人提供各制造商的工作范围和责任并提供制造商针对各自工作范围和职责的书面承诺。</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1.2.7</w:t>
      </w:r>
      <w:r>
        <w:rPr>
          <w:rFonts w:hint="eastAsia" w:hAnsi="宋体" w:cs="宋体"/>
          <w:b w:val="0"/>
          <w:bCs/>
          <w:color w:val="000000"/>
          <w:sz w:val="22"/>
          <w:szCs w:val="22"/>
        </w:rPr>
        <w:t>投标人应仔细研究本技术规格书，在满足规格书所有技术要求的前提下，结合土建结构和系统设备的特点，对本规格书提出的安防系统的设计和系统配置提出更详细的系统方案，并用文字和图纸做详细说明。</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1.2.8</w:t>
      </w:r>
      <w:r>
        <w:rPr>
          <w:rFonts w:hint="eastAsia" w:hAnsi="宋体" w:cs="宋体"/>
          <w:b w:val="0"/>
          <w:bCs/>
          <w:color w:val="000000"/>
          <w:sz w:val="22"/>
          <w:szCs w:val="22"/>
        </w:rPr>
        <w:t>本技术规范与设计图纸的规定和要求基本是一致的，应互相对照阅读和使用。如本技术规范与设计图纸的规定和要求出现不一致的情况，以本技术规范的规定和要求为准。如果本技术规范与设计图纸中有明显未提到的细节，或在涉及到本技术规范中任何条款的叙述中没有明显的规定，都应被认为指的是采用发包人可以接受的标准和规范。</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1.2.9</w:t>
      </w:r>
      <w:r>
        <w:rPr>
          <w:rFonts w:hint="eastAsia" w:hAnsi="宋体" w:cs="宋体"/>
          <w:b w:val="0"/>
          <w:bCs/>
          <w:color w:val="000000"/>
          <w:sz w:val="22"/>
          <w:szCs w:val="22"/>
        </w:rPr>
        <w:t>遵循竞争公平、技术客观、利益无关的原则，参与本工程相关的设计、监理、咨询、顾问、评测、测试等活动的公司实体不可参与本工程。</w:t>
      </w:r>
    </w:p>
    <w:p>
      <w:pPr>
        <w:pStyle w:val="4"/>
        <w:keepNext w:val="0"/>
        <w:numPr>
          <w:ilvl w:val="0"/>
          <w:numId w:val="0"/>
        </w:numPr>
        <w:tabs>
          <w:tab w:val="left" w:pos="720"/>
        </w:tabs>
        <w:snapToGrid w:val="0"/>
        <w:spacing w:line="360" w:lineRule="auto"/>
        <w:rPr>
          <w:rFonts w:hAnsi="宋体"/>
          <w:bCs/>
          <w:color w:val="000000"/>
          <w:sz w:val="22"/>
          <w:szCs w:val="22"/>
        </w:rPr>
      </w:pPr>
      <w:bookmarkStart w:id="237" w:name="_Toc107586417"/>
      <w:bookmarkStart w:id="238" w:name="_Toc113810169"/>
      <w:r>
        <w:rPr>
          <w:rFonts w:hAnsi="宋体"/>
          <w:bCs/>
          <w:color w:val="000000"/>
          <w:sz w:val="22"/>
          <w:szCs w:val="22"/>
        </w:rPr>
        <w:t>1.2.10</w:t>
      </w:r>
      <w:r>
        <w:rPr>
          <w:rFonts w:hint="eastAsia" w:hAnsi="宋体" w:cs="宋体"/>
          <w:bCs/>
          <w:color w:val="000000"/>
          <w:sz w:val="22"/>
          <w:szCs w:val="22"/>
        </w:rPr>
        <w:t>系统总体产品及服务质量保证要求</w:t>
      </w:r>
      <w:bookmarkEnd w:id="237"/>
      <w:bookmarkEnd w:id="238"/>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1.2.10.1</w:t>
      </w:r>
      <w:r>
        <w:rPr>
          <w:rFonts w:hint="eastAsia" w:ascii="宋体" w:hAnsi="宋体" w:eastAsia="宋体" w:cs="宋体"/>
          <w:b w:val="0"/>
          <w:color w:val="000000"/>
          <w:sz w:val="22"/>
          <w:szCs w:val="22"/>
        </w:rPr>
        <w:t>投标人承诺所提供的软件产品（含系统软件产品和应用软件产品）均为正版软件，允许发包人在本项目中使用。并且一次性提供企业版本终身使用许可，保证发包人免受第三方提出的侵犯其专利权、商标权、著作权或其它知识产权的起诉。</w:t>
      </w:r>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1.2.10.2</w:t>
      </w:r>
      <w:r>
        <w:rPr>
          <w:rFonts w:hint="eastAsia" w:ascii="宋体" w:hAnsi="宋体" w:eastAsia="宋体" w:cs="宋体"/>
          <w:b w:val="0"/>
          <w:color w:val="000000"/>
          <w:sz w:val="22"/>
          <w:szCs w:val="22"/>
        </w:rPr>
        <w:t>投标人所提供产品的质量、安装施工工艺、测试手段及方法都应符合最新颁布的标准和规范要求。</w:t>
      </w:r>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1.2.10.3</w:t>
      </w:r>
      <w:r>
        <w:rPr>
          <w:rFonts w:hint="eastAsia" w:ascii="宋体" w:hAnsi="宋体" w:eastAsia="宋体" w:cs="宋体"/>
          <w:b w:val="0"/>
          <w:color w:val="000000"/>
          <w:sz w:val="22"/>
          <w:szCs w:val="22"/>
        </w:rPr>
        <w:t>投标人所提供的产品必须是全新的、无破损的，为原厂包装，并符合本技术规格书规定的规格、质量。</w:t>
      </w:r>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1.2.10.4</w:t>
      </w:r>
      <w:r>
        <w:rPr>
          <w:rFonts w:hint="eastAsia" w:ascii="宋体" w:hAnsi="宋体" w:eastAsia="宋体" w:cs="宋体"/>
          <w:b w:val="0"/>
          <w:color w:val="000000"/>
          <w:sz w:val="22"/>
          <w:szCs w:val="22"/>
        </w:rPr>
        <w:t>投标技术文件中应提供投标硬件产品的检测证明或产品最新印刷样本。投标文件内容与样本、检测证明内容应保持一致。</w:t>
      </w:r>
    </w:p>
    <w:p>
      <w:pPr>
        <w:pStyle w:val="4"/>
        <w:keepNext w:val="0"/>
        <w:numPr>
          <w:ilvl w:val="0"/>
          <w:numId w:val="0"/>
        </w:numPr>
        <w:tabs>
          <w:tab w:val="left" w:pos="720"/>
        </w:tabs>
        <w:snapToGrid w:val="0"/>
        <w:spacing w:line="360" w:lineRule="auto"/>
        <w:ind w:left="-720"/>
        <w:rPr>
          <w:rFonts w:hAnsi="宋体"/>
          <w:bCs/>
          <w:color w:val="000000"/>
          <w:sz w:val="22"/>
          <w:szCs w:val="22"/>
        </w:rPr>
      </w:pPr>
      <w:bookmarkStart w:id="239" w:name="_Toc113810170"/>
      <w:bookmarkStart w:id="240" w:name="_Toc107586418"/>
      <w:r>
        <w:rPr>
          <w:rFonts w:hint="eastAsia" w:hAnsi="宋体"/>
          <w:bCs/>
          <w:color w:val="000000"/>
          <w:sz w:val="22"/>
          <w:szCs w:val="22"/>
        </w:rPr>
        <w:t xml:space="preserve">      </w:t>
      </w:r>
      <w:r>
        <w:rPr>
          <w:rFonts w:hAnsi="宋体"/>
          <w:bCs/>
          <w:color w:val="000000"/>
          <w:sz w:val="22"/>
          <w:szCs w:val="22"/>
        </w:rPr>
        <w:t>1.2.11</w:t>
      </w:r>
      <w:r>
        <w:rPr>
          <w:rFonts w:hint="eastAsia" w:hAnsi="宋体" w:cs="宋体"/>
          <w:bCs/>
          <w:color w:val="000000"/>
          <w:sz w:val="22"/>
          <w:szCs w:val="22"/>
        </w:rPr>
        <w:t>资料管理要求</w:t>
      </w:r>
      <w:bookmarkEnd w:id="239"/>
      <w:bookmarkEnd w:id="240"/>
    </w:p>
    <w:p>
      <w:pPr>
        <w:snapToGrid w:val="0"/>
        <w:spacing w:line="360" w:lineRule="auto"/>
        <w:ind w:firstLine="440" w:firstLineChars="200"/>
        <w:rPr>
          <w:rFonts w:ascii="宋体"/>
          <w:color w:val="000000"/>
          <w:sz w:val="22"/>
        </w:rPr>
      </w:pPr>
      <w:r>
        <w:rPr>
          <w:rFonts w:hint="eastAsia" w:ascii="宋体" w:hAnsi="宋体" w:cs="宋体"/>
          <w:color w:val="000000"/>
          <w:sz w:val="22"/>
        </w:rPr>
        <w:t>提供的资料（除随机资料外）要求以中文为准。</w:t>
      </w:r>
    </w:p>
    <w:p>
      <w:pPr>
        <w:pStyle w:val="4"/>
        <w:keepNext w:val="0"/>
        <w:numPr>
          <w:ilvl w:val="0"/>
          <w:numId w:val="0"/>
        </w:numPr>
        <w:tabs>
          <w:tab w:val="left" w:pos="720"/>
        </w:tabs>
        <w:snapToGrid w:val="0"/>
        <w:spacing w:line="360" w:lineRule="auto"/>
        <w:ind w:left="-720"/>
        <w:rPr>
          <w:rFonts w:hAnsi="宋体"/>
          <w:bCs/>
          <w:color w:val="000000"/>
          <w:sz w:val="22"/>
          <w:szCs w:val="22"/>
        </w:rPr>
      </w:pPr>
      <w:bookmarkStart w:id="241" w:name="_Toc51336888"/>
      <w:bookmarkStart w:id="242" w:name="_Toc81122749"/>
      <w:bookmarkStart w:id="243" w:name="_Toc81122222"/>
      <w:bookmarkStart w:id="244" w:name="_Toc81122692"/>
      <w:bookmarkStart w:id="245" w:name="_Toc81378259"/>
      <w:bookmarkStart w:id="246" w:name="_Toc81390750"/>
      <w:r>
        <w:rPr>
          <w:rFonts w:hint="eastAsia" w:hAnsi="宋体"/>
          <w:bCs/>
          <w:color w:val="000000"/>
          <w:sz w:val="22"/>
          <w:szCs w:val="22"/>
        </w:rPr>
        <w:t xml:space="preserve">      </w:t>
      </w:r>
      <w:r>
        <w:rPr>
          <w:rFonts w:hAnsi="宋体"/>
          <w:bCs/>
          <w:color w:val="000000"/>
          <w:sz w:val="22"/>
          <w:szCs w:val="22"/>
        </w:rPr>
        <w:t>1.2.12</w:t>
      </w:r>
      <w:r>
        <w:rPr>
          <w:rFonts w:hint="eastAsia" w:hAnsi="宋体" w:cs="宋体"/>
          <w:bCs/>
          <w:color w:val="000000"/>
          <w:sz w:val="22"/>
          <w:szCs w:val="22"/>
        </w:rPr>
        <w:t>工地勘察</w:t>
      </w:r>
      <w:bookmarkEnd w:id="241"/>
      <w:bookmarkEnd w:id="242"/>
      <w:bookmarkEnd w:id="243"/>
      <w:bookmarkEnd w:id="244"/>
      <w:bookmarkEnd w:id="245"/>
      <w:bookmarkEnd w:id="246"/>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1.2.12.1</w:t>
      </w:r>
      <w:r>
        <w:rPr>
          <w:rFonts w:hint="eastAsia" w:ascii="宋体" w:hAnsi="宋体" w:eastAsia="宋体" w:cs="宋体"/>
          <w:b w:val="0"/>
          <w:color w:val="000000"/>
          <w:sz w:val="22"/>
          <w:szCs w:val="22"/>
        </w:rPr>
        <w:t>投标人应对工程现场及其周围环境进行现场考察，以获取与投标准备、签署合同和进场施工有关的所有资料和信息。考察现场的费用由投标人承担。</w:t>
      </w:r>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 xml:space="preserve">1.2.12.2 </w:t>
      </w:r>
      <w:bookmarkStart w:id="247" w:name="OLE_LINK8"/>
      <w:r>
        <w:rPr>
          <w:rFonts w:hint="eastAsia" w:ascii="宋体" w:hAnsi="宋体" w:eastAsia="宋体" w:cs="宋体"/>
          <w:b w:val="0"/>
          <w:color w:val="000000"/>
          <w:sz w:val="22"/>
          <w:szCs w:val="22"/>
        </w:rPr>
        <w:t>经发包人允许和事先安排，投标人及其代表方能进入现场进行勘察。投标人及其代表不得让发包人为现场考察负任何责任。投标人及其代表必须承担其进入现场后，由于自身的行为所造成的人身伤害（不管是否致命）、财产损失或损坏的后果与责任。</w:t>
      </w:r>
    </w:p>
    <w:bookmarkEnd w:id="247"/>
    <w:p>
      <w:pPr>
        <w:pStyle w:val="5"/>
        <w:keepNext w:val="0"/>
        <w:keepLines w:val="0"/>
        <w:tabs>
          <w:tab w:val="left" w:pos="840"/>
          <w:tab w:val="left" w:pos="900"/>
          <w:tab w:val="left" w:pos="1584"/>
        </w:tabs>
        <w:snapToGrid w:val="0"/>
        <w:spacing w:before="0" w:after="0" w:line="360" w:lineRule="auto"/>
        <w:rPr>
          <w:rFonts w:hint="eastAsia" w:ascii="宋体" w:hAnsi="宋体" w:eastAsia="宋体" w:cs="宋体"/>
          <w:b w:val="0"/>
          <w:color w:val="000000"/>
          <w:sz w:val="22"/>
          <w:szCs w:val="22"/>
        </w:rPr>
      </w:pPr>
      <w:r>
        <w:rPr>
          <w:rFonts w:ascii="宋体" w:hAnsi="宋体" w:eastAsia="宋体" w:cs="宋体"/>
          <w:color w:val="000000"/>
          <w:sz w:val="22"/>
          <w:szCs w:val="22"/>
        </w:rPr>
        <w:t>1.2.12.3</w:t>
      </w:r>
      <w:r>
        <w:rPr>
          <w:rFonts w:ascii="宋体" w:hAnsi="宋体" w:eastAsia="宋体" w:cs="宋体"/>
          <w:b w:val="0"/>
          <w:color w:val="000000"/>
          <w:sz w:val="22"/>
          <w:szCs w:val="22"/>
        </w:rPr>
        <w:t xml:space="preserve"> </w:t>
      </w:r>
      <w:r>
        <w:rPr>
          <w:rFonts w:hint="eastAsia" w:ascii="宋体" w:hAnsi="宋体" w:eastAsia="宋体" w:cs="宋体"/>
          <w:b w:val="0"/>
          <w:color w:val="000000"/>
          <w:sz w:val="22"/>
          <w:szCs w:val="22"/>
        </w:rPr>
        <w:t>投标人的一切人员在进入工地时，须遵守发包人的所有规定和条例。</w:t>
      </w:r>
    </w:p>
    <w:p>
      <w:pPr>
        <w:pStyle w:val="3"/>
        <w:keepNext w:val="0"/>
        <w:keepLines w:val="0"/>
        <w:tabs>
          <w:tab w:val="left" w:pos="576"/>
        </w:tabs>
        <w:spacing w:before="0" w:after="0"/>
        <w:ind w:left="576" w:hanging="576"/>
        <w:jc w:val="both"/>
        <w:rPr>
          <w:rFonts w:ascii="Times New Roman" w:hAnsi="Times New Roman"/>
          <w:color w:val="000000"/>
          <w:sz w:val="30"/>
          <w:szCs w:val="30"/>
        </w:rPr>
      </w:pPr>
      <w:bookmarkStart w:id="248" w:name="_Toc214177993"/>
      <w:bookmarkStart w:id="249" w:name="_Toc124561164"/>
      <w:bookmarkStart w:id="250" w:name="_Toc392056802"/>
      <w:bookmarkStart w:id="251" w:name="_Toc122958929"/>
      <w:bookmarkStart w:id="252" w:name="_Toc386910848"/>
      <w:bookmarkStart w:id="253" w:name="_Toc119258094"/>
      <w:bookmarkStart w:id="254" w:name="_Toc127347643"/>
      <w:bookmarkStart w:id="255" w:name="_Toc123028531"/>
      <w:bookmarkStart w:id="256" w:name="_Toc119258096"/>
      <w:r>
        <w:rPr>
          <w:rFonts w:ascii="Times New Roman" w:hAnsi="Times New Roman"/>
          <w:color w:val="000000"/>
          <w:sz w:val="30"/>
          <w:szCs w:val="30"/>
        </w:rPr>
        <w:t>1.3</w:t>
      </w:r>
      <w:r>
        <w:rPr>
          <w:rFonts w:hint="eastAsia" w:ascii="Times New Roman" w:hAnsi="Times New Roman" w:cs="宋体"/>
          <w:color w:val="000000"/>
          <w:sz w:val="30"/>
          <w:szCs w:val="30"/>
        </w:rPr>
        <w:t>标准和规范</w:t>
      </w:r>
      <w:bookmarkEnd w:id="248"/>
      <w:bookmarkEnd w:id="249"/>
      <w:bookmarkEnd w:id="250"/>
      <w:bookmarkEnd w:id="251"/>
      <w:bookmarkEnd w:id="252"/>
      <w:bookmarkEnd w:id="253"/>
      <w:bookmarkEnd w:id="254"/>
      <w:bookmarkEnd w:id="255"/>
    </w:p>
    <w:p>
      <w:pPr>
        <w:pStyle w:val="5"/>
        <w:keepNext w:val="0"/>
        <w:keepLines w:val="0"/>
        <w:tabs>
          <w:tab w:val="left" w:pos="840"/>
          <w:tab w:val="left" w:pos="900"/>
          <w:tab w:val="left" w:pos="1584"/>
        </w:tabs>
        <w:snapToGrid w:val="0"/>
        <w:spacing w:before="0" w:after="0" w:line="360" w:lineRule="auto"/>
        <w:rPr>
          <w:rFonts w:ascii="Times New Roman" w:hAnsi="Times New Roman"/>
          <w:b w:val="0"/>
          <w:color w:val="000000"/>
          <w:sz w:val="22"/>
          <w:szCs w:val="22"/>
        </w:rPr>
      </w:pPr>
      <w:r>
        <w:rPr>
          <w:rFonts w:ascii="Times New Roman" w:hAnsi="Times New Roman"/>
          <w:color w:val="000000"/>
          <w:sz w:val="22"/>
          <w:szCs w:val="22"/>
        </w:rPr>
        <w:t>1.3.1</w:t>
      </w:r>
      <w:r>
        <w:rPr>
          <w:rFonts w:hint="eastAsia" w:ascii="Times New Roman" w:hAnsi="Times New Roman" w:eastAsia="宋体" w:cs="宋体"/>
          <w:b w:val="0"/>
          <w:color w:val="000000"/>
          <w:sz w:val="22"/>
          <w:szCs w:val="22"/>
        </w:rPr>
        <w:t>投标人所提供的设备及系统至少符合下列标准和规范这些标准应包括但不限于：</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民用建筑电气设计规范</w:t>
      </w:r>
      <w:r>
        <w:rPr>
          <w:b w:val="0"/>
          <w:bCs/>
          <w:color w:val="000000"/>
          <w:sz w:val="22"/>
          <w:szCs w:val="22"/>
        </w:rPr>
        <w:t xml:space="preserve"> JGJ/T16-92</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中国电气装置安装工程施工及验收规范</w:t>
      </w:r>
      <w:r>
        <w:rPr>
          <w:b w:val="0"/>
          <w:bCs/>
          <w:color w:val="000000"/>
          <w:sz w:val="22"/>
          <w:szCs w:val="22"/>
        </w:rPr>
        <w:t xml:space="preserve"> GBJ232-82</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国际民航组织理事会“国际标准和建议措施《附件</w:t>
      </w:r>
      <w:r>
        <w:rPr>
          <w:b w:val="0"/>
          <w:bCs/>
          <w:color w:val="000000"/>
          <w:sz w:val="22"/>
          <w:szCs w:val="22"/>
        </w:rPr>
        <w:t>14--</w:t>
      </w:r>
      <w:r>
        <w:rPr>
          <w:rFonts w:hint="eastAsia" w:ascii="Times New Roman" w:cs="宋体"/>
          <w:b w:val="0"/>
          <w:bCs/>
          <w:color w:val="000000"/>
          <w:sz w:val="22"/>
          <w:szCs w:val="22"/>
        </w:rPr>
        <w:t>机场》”；</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国际民航组织理事会“国际标准和建议措施、航空电信、国际民用航空公约”《附件</w:t>
      </w:r>
      <w:r>
        <w:rPr>
          <w:b w:val="0"/>
          <w:bCs/>
          <w:color w:val="000000"/>
          <w:sz w:val="22"/>
          <w:szCs w:val="22"/>
        </w:rPr>
        <w:t>10</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建筑与建筑群综合布线系统工程设计规范</w:t>
      </w:r>
      <w:r>
        <w:rPr>
          <w:b w:val="0"/>
          <w:bCs/>
          <w:color w:val="000000"/>
          <w:sz w:val="22"/>
          <w:szCs w:val="22"/>
        </w:rPr>
        <w:t xml:space="preserve"> CECS 72:97</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信息技术设备</w:t>
      </w:r>
      <w:r>
        <w:rPr>
          <w:b w:val="0"/>
          <w:bCs/>
          <w:color w:val="000000"/>
          <w:sz w:val="22"/>
          <w:szCs w:val="22"/>
        </w:rPr>
        <w:t>(</w:t>
      </w:r>
      <w:r>
        <w:rPr>
          <w:rFonts w:hint="eastAsia" w:ascii="Times New Roman" w:cs="宋体"/>
          <w:b w:val="0"/>
          <w:bCs/>
          <w:color w:val="000000"/>
          <w:sz w:val="22"/>
          <w:szCs w:val="22"/>
        </w:rPr>
        <w:t>包括电气事务设备</w:t>
      </w:r>
      <w:r>
        <w:rPr>
          <w:b w:val="0"/>
          <w:bCs/>
          <w:color w:val="000000"/>
          <w:sz w:val="22"/>
          <w:szCs w:val="22"/>
        </w:rPr>
        <w:t>)</w:t>
      </w:r>
      <w:r>
        <w:rPr>
          <w:rFonts w:hint="eastAsia" w:ascii="Times New Roman" w:cs="宋体"/>
          <w:b w:val="0"/>
          <w:bCs/>
          <w:color w:val="000000"/>
          <w:sz w:val="22"/>
          <w:szCs w:val="22"/>
        </w:rPr>
        <w:t>的安全</w:t>
      </w:r>
      <w:r>
        <w:rPr>
          <w:b w:val="0"/>
          <w:bCs/>
          <w:color w:val="000000"/>
          <w:sz w:val="22"/>
          <w:szCs w:val="22"/>
        </w:rPr>
        <w:t>GB4943-1995</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电子设备雷击保护导则</w:t>
      </w:r>
      <w:r>
        <w:rPr>
          <w:b w:val="0"/>
          <w:bCs/>
          <w:color w:val="000000"/>
          <w:sz w:val="22"/>
          <w:szCs w:val="22"/>
        </w:rPr>
        <w:t>GB7450-87</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智能建筑工程质量验收规范（</w:t>
      </w:r>
      <w:r>
        <w:rPr>
          <w:b w:val="0"/>
          <w:bCs/>
          <w:color w:val="000000"/>
          <w:sz w:val="22"/>
          <w:szCs w:val="22"/>
        </w:rPr>
        <w:t>GB 50339-2003</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建筑物电子信息系统防雷技术规范（</w:t>
      </w:r>
      <w:r>
        <w:rPr>
          <w:b w:val="0"/>
          <w:bCs/>
          <w:color w:val="000000"/>
          <w:sz w:val="22"/>
          <w:szCs w:val="22"/>
        </w:rPr>
        <w:t>GB 50343-2004</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建筑设计防火规范（</w:t>
      </w:r>
      <w:r>
        <w:rPr>
          <w:b w:val="0"/>
          <w:bCs/>
          <w:color w:val="000000"/>
          <w:sz w:val="22"/>
          <w:szCs w:val="22"/>
        </w:rPr>
        <w:t>GBJ 16-87</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电磁兼容标准综述电磁兼容基本术语和定义的应用与解释（</w:t>
      </w:r>
      <w:r>
        <w:rPr>
          <w:b w:val="0"/>
          <w:bCs/>
          <w:color w:val="000000"/>
          <w:sz w:val="22"/>
          <w:szCs w:val="22"/>
        </w:rPr>
        <w:t>GB/T 17624.1-1998</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取自电缆的材料燃烧时析出气体的试验方法（</w:t>
      </w:r>
      <w:r>
        <w:rPr>
          <w:b w:val="0"/>
          <w:bCs/>
          <w:color w:val="000000"/>
          <w:sz w:val="22"/>
          <w:szCs w:val="22"/>
        </w:rPr>
        <w:t>GB/T 17650-1998</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用户终端设备耐过电压和过电流能力要求和试验方法（</w:t>
      </w:r>
      <w:r>
        <w:rPr>
          <w:b w:val="0"/>
          <w:bCs/>
          <w:color w:val="000000"/>
          <w:sz w:val="22"/>
          <w:szCs w:val="22"/>
        </w:rPr>
        <w:t>YD/T870-906</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安全防范工程费用概预算编制办法（</w:t>
      </w:r>
      <w:r>
        <w:rPr>
          <w:b w:val="0"/>
          <w:bCs/>
          <w:color w:val="000000"/>
          <w:sz w:val="22"/>
          <w:szCs w:val="22"/>
        </w:rPr>
        <w:t>GT/T70-94</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安全防范系统通用图形符号（</w:t>
      </w:r>
      <w:r>
        <w:rPr>
          <w:b w:val="0"/>
          <w:bCs/>
          <w:color w:val="000000"/>
          <w:sz w:val="22"/>
          <w:szCs w:val="22"/>
        </w:rPr>
        <w:t>GT/T74-94</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安全防范工程程序与要求（</w:t>
      </w:r>
      <w:r>
        <w:rPr>
          <w:b w:val="0"/>
          <w:bCs/>
          <w:color w:val="000000"/>
          <w:sz w:val="22"/>
          <w:szCs w:val="22"/>
        </w:rPr>
        <w:t>GT/T75-94</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保安电视监控工程技术规范（</w:t>
      </w:r>
      <w:r>
        <w:rPr>
          <w:b w:val="0"/>
          <w:bCs/>
          <w:color w:val="000000"/>
          <w:sz w:val="22"/>
          <w:szCs w:val="22"/>
        </w:rPr>
        <w:t>GT/76-94</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入侵报警工程设计规范（</w:t>
      </w:r>
      <w:r>
        <w:rPr>
          <w:b w:val="0"/>
          <w:bCs/>
          <w:color w:val="000000"/>
          <w:sz w:val="22"/>
          <w:szCs w:val="22"/>
        </w:rPr>
        <w:t>GA/77-94</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用户终端设备耐过电压和过电流能要求和试验方法（</w:t>
      </w:r>
      <w:r>
        <w:rPr>
          <w:b w:val="0"/>
          <w:bCs/>
          <w:color w:val="000000"/>
          <w:sz w:val="22"/>
          <w:szCs w:val="22"/>
        </w:rPr>
        <w:t>YD/T870-906</w:t>
      </w:r>
      <w:r>
        <w:rPr>
          <w:rFonts w:hint="eastAsia" w:ascii="Times New Roman" w:cs="宋体"/>
          <w:b w:val="0"/>
          <w:bCs/>
          <w:color w:val="000000"/>
          <w:sz w:val="22"/>
          <w:szCs w:val="22"/>
        </w:rPr>
        <w:t>）；</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其他相关标准和图集；</w:t>
      </w:r>
    </w:p>
    <w:p>
      <w:pPr>
        <w:pStyle w:val="4"/>
        <w:keepNext w:val="0"/>
        <w:numPr>
          <w:ilvl w:val="0"/>
          <w:numId w:val="7"/>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现行的国家有关建筑消防标准和规范；</w:t>
      </w:r>
    </w:p>
    <w:p>
      <w:pPr>
        <w:pStyle w:val="4"/>
        <w:keepNext w:val="0"/>
        <w:numPr>
          <w:ilvl w:val="0"/>
          <w:numId w:val="0"/>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若上述条例和规范尚不能满足本工程的需要，或未能达到国际标准，投标人应采用一切方法令</w:t>
      </w:r>
    </w:p>
    <w:p>
      <w:pPr>
        <w:pStyle w:val="4"/>
        <w:keepNext w:val="0"/>
        <w:numPr>
          <w:ilvl w:val="0"/>
          <w:numId w:val="0"/>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所有材料及安装，符合所有最通用、最新的，适合于国际的标准、规范和运用的最新版本的要求并</w:t>
      </w:r>
    </w:p>
    <w:p>
      <w:pPr>
        <w:pStyle w:val="4"/>
        <w:keepNext w:val="0"/>
        <w:numPr>
          <w:ilvl w:val="0"/>
          <w:numId w:val="0"/>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提供书面文件得到业主认可。</w:t>
      </w:r>
    </w:p>
    <w:p>
      <w:pPr>
        <w:pStyle w:val="4"/>
        <w:keepNext w:val="0"/>
        <w:numPr>
          <w:ilvl w:val="0"/>
          <w:numId w:val="0"/>
        </w:numPr>
        <w:tabs>
          <w:tab w:val="left" w:pos="720"/>
        </w:tabs>
        <w:snapToGrid w:val="0"/>
        <w:spacing w:line="360" w:lineRule="auto"/>
        <w:ind w:right="2" w:rightChars="1"/>
        <w:rPr>
          <w:b w:val="0"/>
          <w:bCs/>
          <w:color w:val="000000"/>
          <w:sz w:val="22"/>
          <w:szCs w:val="22"/>
        </w:rPr>
      </w:pPr>
      <w:r>
        <w:rPr>
          <w:bCs/>
          <w:color w:val="000000"/>
          <w:sz w:val="22"/>
          <w:szCs w:val="22"/>
        </w:rPr>
        <w:t>1.3.2</w:t>
      </w:r>
      <w:r>
        <w:rPr>
          <w:rFonts w:hint="eastAsia" w:ascii="Times New Roman" w:cs="宋体"/>
          <w:bCs/>
          <w:color w:val="000000"/>
          <w:sz w:val="22"/>
          <w:szCs w:val="22"/>
        </w:rPr>
        <w:t>计量标准</w:t>
      </w:r>
    </w:p>
    <w:p>
      <w:pPr>
        <w:snapToGrid w:val="0"/>
        <w:spacing w:line="360" w:lineRule="auto"/>
        <w:ind w:firstLine="440" w:firstLineChars="200"/>
        <w:rPr>
          <w:rFonts w:hint="eastAsia" w:cs="宋体"/>
          <w:color w:val="000000"/>
          <w:sz w:val="22"/>
        </w:rPr>
      </w:pPr>
      <w:r>
        <w:rPr>
          <w:rFonts w:hint="eastAsia" w:cs="宋体"/>
          <w:color w:val="000000"/>
          <w:sz w:val="22"/>
        </w:rPr>
        <w:t>计量单位除本技术规格另有规定，应以中华人民共和国法定计量单位作为计量单位。不在法定计量单位范围内的，将使用国际计量单位和国家选定的其它计量单位。</w:t>
      </w:r>
    </w:p>
    <w:bookmarkEnd w:id="256"/>
    <w:p>
      <w:pPr>
        <w:pStyle w:val="3"/>
        <w:keepNext w:val="0"/>
        <w:keepLines w:val="0"/>
        <w:tabs>
          <w:tab w:val="left" w:pos="576"/>
        </w:tabs>
        <w:spacing w:before="0" w:after="0"/>
        <w:ind w:left="576" w:hanging="576"/>
        <w:jc w:val="both"/>
        <w:rPr>
          <w:rFonts w:hint="eastAsia" w:ascii="Times New Roman" w:hAnsi="Times New Roman" w:cs="宋体"/>
          <w:color w:val="000000"/>
          <w:sz w:val="30"/>
          <w:szCs w:val="30"/>
        </w:rPr>
      </w:pPr>
      <w:bookmarkStart w:id="257" w:name="_Toc127347646"/>
      <w:bookmarkStart w:id="258" w:name="_Toc120933823"/>
      <w:bookmarkStart w:id="259" w:name="_Toc123028534"/>
      <w:bookmarkStart w:id="260" w:name="_Toc122958932"/>
      <w:bookmarkStart w:id="261" w:name="_Toc124561167"/>
      <w:bookmarkStart w:id="262" w:name="_Toc214177996"/>
      <w:bookmarkStart w:id="263" w:name="_Toc392056805"/>
      <w:bookmarkStart w:id="264" w:name="_Toc386910851"/>
      <w:r>
        <w:rPr>
          <w:rFonts w:ascii="Times New Roman" w:hAnsi="Times New Roman"/>
          <w:color w:val="000000"/>
          <w:sz w:val="30"/>
          <w:szCs w:val="30"/>
        </w:rPr>
        <w:t>1.4</w:t>
      </w:r>
      <w:r>
        <w:rPr>
          <w:rFonts w:hint="eastAsia" w:ascii="Times New Roman" w:hAnsi="Times New Roman" w:cs="宋体"/>
          <w:color w:val="000000"/>
          <w:sz w:val="30"/>
          <w:szCs w:val="30"/>
        </w:rPr>
        <w:t>工程</w:t>
      </w:r>
      <w:bookmarkEnd w:id="257"/>
      <w:bookmarkEnd w:id="258"/>
      <w:bookmarkEnd w:id="259"/>
      <w:bookmarkEnd w:id="260"/>
      <w:bookmarkEnd w:id="261"/>
      <w:bookmarkEnd w:id="262"/>
      <w:bookmarkEnd w:id="263"/>
      <w:bookmarkEnd w:id="264"/>
      <w:r>
        <w:rPr>
          <w:rFonts w:hint="eastAsia" w:ascii="Times New Roman" w:hAnsi="Times New Roman" w:cs="宋体"/>
          <w:color w:val="000000"/>
          <w:sz w:val="30"/>
          <w:szCs w:val="30"/>
        </w:rPr>
        <w:t>施工内容</w:t>
      </w:r>
    </w:p>
    <w:p>
      <w:pPr>
        <w:snapToGrid w:val="0"/>
        <w:spacing w:line="360" w:lineRule="auto"/>
        <w:rPr>
          <w:rFonts w:hint="eastAsia" w:ascii="宋体" w:hAnsi="宋体" w:cs="宋体"/>
          <w:b/>
          <w:color w:val="000000"/>
          <w:sz w:val="22"/>
        </w:rPr>
      </w:pPr>
      <w:r>
        <w:rPr>
          <w:rFonts w:ascii="宋体" w:hAnsi="宋体" w:cs="宋体"/>
          <w:b/>
          <w:color w:val="000000"/>
          <w:sz w:val="22"/>
        </w:rPr>
        <w:t>1.4.</w:t>
      </w:r>
      <w:r>
        <w:rPr>
          <w:rFonts w:hint="eastAsia" w:ascii="宋体" w:hAnsi="宋体" w:cs="宋体"/>
          <w:b/>
          <w:color w:val="000000"/>
          <w:sz w:val="22"/>
        </w:rPr>
        <w:t>1 施工背景说明：</w:t>
      </w:r>
    </w:p>
    <w:p>
      <w:pPr>
        <w:snapToGrid w:val="0"/>
        <w:spacing w:line="360" w:lineRule="auto"/>
        <w:ind w:firstLine="440" w:firstLineChars="200"/>
        <w:rPr>
          <w:rFonts w:hint="eastAsia" w:ascii="宋体" w:hAnsi="宋体" w:cs="Arial"/>
          <w:kern w:val="0"/>
          <w:sz w:val="22"/>
        </w:rPr>
      </w:pPr>
      <w:bookmarkStart w:id="265" w:name="_Toc536443890"/>
      <w:r>
        <w:rPr>
          <w:rFonts w:hint="eastAsia" w:ascii="宋体" w:hAnsi="宋体" w:cs="Arial"/>
          <w:kern w:val="0"/>
          <w:sz w:val="22"/>
        </w:rPr>
        <w:t>联邦快递库区将被改建为国际快件中心。因原有安防设施设备不足，现需在库区内新增监控，在围界新增围界报警设备。</w:t>
      </w:r>
    </w:p>
    <w:p>
      <w:pPr>
        <w:snapToGrid w:val="0"/>
        <w:spacing w:line="360" w:lineRule="auto"/>
        <w:rPr>
          <w:rFonts w:hint="eastAsia" w:ascii="宋体" w:hAnsi="宋体" w:cs="宋体"/>
          <w:b/>
          <w:color w:val="000000"/>
          <w:sz w:val="22"/>
        </w:rPr>
      </w:pPr>
      <w:r>
        <w:rPr>
          <w:rFonts w:ascii="宋体" w:hAnsi="宋体" w:cs="宋体"/>
          <w:b/>
          <w:bCs/>
          <w:color w:val="000000"/>
          <w:sz w:val="22"/>
        </w:rPr>
        <w:t>1.4.</w:t>
      </w:r>
      <w:r>
        <w:rPr>
          <w:rFonts w:hint="eastAsia" w:ascii="宋体" w:hAnsi="宋体" w:cs="宋体"/>
          <w:b/>
          <w:bCs/>
          <w:color w:val="000000"/>
          <w:sz w:val="22"/>
        </w:rPr>
        <w:t>2</w:t>
      </w:r>
      <w:r>
        <w:rPr>
          <w:rFonts w:ascii="宋体" w:hAnsi="宋体" w:cs="宋体"/>
          <w:b/>
          <w:bCs/>
          <w:color w:val="000000"/>
          <w:sz w:val="22"/>
        </w:rPr>
        <w:t xml:space="preserve"> </w:t>
      </w:r>
      <w:r>
        <w:rPr>
          <w:rFonts w:hint="eastAsia" w:ascii="宋体" w:hAnsi="宋体" w:cs="宋体"/>
          <w:b/>
          <w:color w:val="000000"/>
          <w:sz w:val="22"/>
        </w:rPr>
        <w:t>施工方必须完成的工程内容如下：</w:t>
      </w:r>
    </w:p>
    <w:p>
      <w:pPr>
        <w:adjustRightInd w:val="0"/>
        <w:snapToGrid w:val="0"/>
        <w:spacing w:line="340" w:lineRule="exact"/>
        <w:ind w:firstLine="440" w:firstLineChars="200"/>
        <w:rPr>
          <w:rFonts w:hint="eastAsia" w:ascii="宋体" w:hAnsi="宋体" w:cs="Arial"/>
          <w:color w:val="000000"/>
          <w:kern w:val="0"/>
          <w:sz w:val="22"/>
        </w:rPr>
      </w:pPr>
      <w:r>
        <w:rPr>
          <w:rFonts w:hint="eastAsia" w:ascii="宋体" w:hAnsi="宋体" w:cs="Arial"/>
          <w:color w:val="000000"/>
          <w:kern w:val="0"/>
          <w:sz w:val="22"/>
        </w:rPr>
        <w:t>（1）国际快件中心库区监控：</w:t>
      </w:r>
    </w:p>
    <w:p>
      <w:pPr>
        <w:adjustRightInd w:val="0"/>
        <w:snapToGrid w:val="0"/>
        <w:spacing w:line="340" w:lineRule="exact"/>
        <w:ind w:firstLine="875" w:firstLineChars="398"/>
        <w:rPr>
          <w:rFonts w:hint="eastAsia" w:ascii="宋体" w:hAnsi="宋体" w:cs="Arial"/>
          <w:color w:val="000000"/>
          <w:kern w:val="0"/>
          <w:sz w:val="22"/>
        </w:rPr>
      </w:pPr>
      <w:r>
        <w:rPr>
          <w:rFonts w:hint="eastAsia" w:ascii="宋体" w:hAnsi="宋体" w:cs="Arial"/>
          <w:color w:val="000000"/>
          <w:kern w:val="0"/>
          <w:sz w:val="22"/>
        </w:rPr>
        <w:t>1、国际快件中心监控安装：</w:t>
      </w:r>
    </w:p>
    <w:p>
      <w:pPr>
        <w:adjustRightInd w:val="0"/>
        <w:snapToGrid w:val="0"/>
        <w:spacing w:line="340" w:lineRule="exact"/>
        <w:ind w:left="657" w:leftChars="273" w:hanging="2" w:hangingChars="1"/>
        <w:rPr>
          <w:rFonts w:ascii="宋体" w:hAnsi="宋体" w:cs="Arial"/>
          <w:color w:val="000000"/>
          <w:kern w:val="0"/>
          <w:sz w:val="22"/>
        </w:rPr>
      </w:pPr>
      <w:r>
        <w:rPr>
          <w:rFonts w:hint="eastAsia" w:ascii="宋体" w:hAnsi="宋体" w:cs="Arial"/>
          <w:color w:val="000000"/>
          <w:kern w:val="0"/>
          <w:sz w:val="22"/>
        </w:rPr>
        <w:t xml:space="preserve">  在国际快件中心新增监控摄像机98个。其中</w:t>
      </w:r>
      <w:r>
        <w:rPr>
          <w:rFonts w:hint="eastAsia" w:ascii="宋体" w:hAnsi="宋体" w:cs="Arial"/>
          <w:kern w:val="0"/>
          <w:sz w:val="22"/>
        </w:rPr>
        <w:t>海关专用摄像机</w:t>
      </w:r>
      <w:r>
        <w:rPr>
          <w:rFonts w:hint="eastAsia" w:ascii="宋体" w:hAnsi="宋体" w:cs="Arial"/>
          <w:color w:val="000000"/>
          <w:kern w:val="0"/>
          <w:sz w:val="22"/>
        </w:rPr>
        <w:t>50个，接入海关专网，录像存储90天；</w:t>
      </w:r>
      <w:r>
        <w:rPr>
          <w:rFonts w:hint="eastAsia" w:ascii="宋体" w:hAnsi="宋体" w:cs="Arial"/>
          <w:kern w:val="0"/>
          <w:sz w:val="22"/>
        </w:rPr>
        <w:t>机场专用摄像机48个</w:t>
      </w:r>
      <w:r>
        <w:rPr>
          <w:rFonts w:hint="eastAsia" w:ascii="宋体" w:hAnsi="宋体" w:cs="Arial"/>
          <w:color w:val="000000"/>
          <w:kern w:val="0"/>
          <w:sz w:val="22"/>
        </w:rPr>
        <w:t>，接入本场现有安防网，录像存储90天。</w:t>
      </w:r>
    </w:p>
    <w:p>
      <w:pPr>
        <w:adjustRightInd w:val="0"/>
        <w:snapToGrid w:val="0"/>
        <w:spacing w:line="340" w:lineRule="exact"/>
        <w:ind w:left="660" w:firstLine="220" w:firstLineChars="100"/>
        <w:rPr>
          <w:rFonts w:hint="eastAsia" w:ascii="宋体" w:hAnsi="宋体" w:cs="Arial"/>
          <w:color w:val="000000"/>
          <w:kern w:val="0"/>
          <w:sz w:val="22"/>
        </w:rPr>
      </w:pPr>
      <w:r>
        <w:rPr>
          <w:rFonts w:hint="eastAsia" w:ascii="宋体" w:hAnsi="宋体" w:cs="Arial"/>
          <w:color w:val="000000"/>
          <w:kern w:val="0"/>
          <w:sz w:val="22"/>
        </w:rPr>
        <w:t>2、信号传输光缆敷设：</w:t>
      </w:r>
    </w:p>
    <w:p>
      <w:pPr>
        <w:adjustRightInd w:val="0"/>
        <w:snapToGrid w:val="0"/>
        <w:spacing w:line="340" w:lineRule="exact"/>
        <w:ind w:left="660"/>
        <w:rPr>
          <w:rFonts w:hint="eastAsia" w:ascii="宋体" w:hAnsi="宋体" w:cs="Arial"/>
          <w:color w:val="000000"/>
          <w:kern w:val="0"/>
          <w:sz w:val="22"/>
        </w:rPr>
      </w:pPr>
      <w:r>
        <w:rPr>
          <w:rFonts w:hint="eastAsia" w:ascii="宋体" w:hAnsi="宋体" w:cs="Arial"/>
          <w:color w:val="000000"/>
          <w:kern w:val="0"/>
          <w:sz w:val="22"/>
        </w:rPr>
        <w:t xml:space="preserve">  从国际快件中心库区的弱电机房敷设一根48芯的光缆至货站B区进线间；</w:t>
      </w:r>
    </w:p>
    <w:p>
      <w:pPr>
        <w:adjustRightInd w:val="0"/>
        <w:snapToGrid w:val="0"/>
        <w:spacing w:line="340" w:lineRule="exact"/>
        <w:ind w:left="660"/>
        <w:rPr>
          <w:rFonts w:hint="eastAsia" w:ascii="宋体" w:hAnsi="宋体" w:cs="Arial"/>
          <w:color w:val="000000"/>
          <w:kern w:val="0"/>
          <w:sz w:val="22"/>
        </w:rPr>
      </w:pPr>
      <w:r>
        <w:rPr>
          <w:rFonts w:hint="eastAsia" w:ascii="宋体" w:hAnsi="宋体" w:cs="Arial"/>
          <w:color w:val="000000"/>
          <w:kern w:val="0"/>
          <w:sz w:val="22"/>
        </w:rPr>
        <w:t xml:space="preserve">  从货站A区进线间敷设一根24芯光缆至货站A区物流运控室；</w:t>
      </w:r>
    </w:p>
    <w:p>
      <w:pPr>
        <w:adjustRightInd w:val="0"/>
        <w:snapToGrid w:val="0"/>
        <w:spacing w:line="340" w:lineRule="exact"/>
        <w:ind w:left="660"/>
        <w:rPr>
          <w:rFonts w:hint="eastAsia" w:ascii="宋体" w:hAnsi="宋体" w:cs="Arial"/>
          <w:color w:val="000000"/>
          <w:kern w:val="0"/>
          <w:sz w:val="22"/>
        </w:rPr>
      </w:pPr>
      <w:r>
        <w:rPr>
          <w:rFonts w:hint="eastAsia" w:ascii="宋体" w:hAnsi="宋体" w:cs="Arial"/>
          <w:color w:val="000000"/>
          <w:kern w:val="0"/>
          <w:sz w:val="22"/>
        </w:rPr>
        <w:t xml:space="preserve">  从货站B区消控室敷设一根24芯光缆至海关中心机房（货站B区消控室楼上）。</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（2）新建物理围界加装报警系统：</w:t>
      </w:r>
    </w:p>
    <w:p>
      <w:pPr>
        <w:adjustRightInd w:val="0"/>
        <w:snapToGrid w:val="0"/>
        <w:spacing w:line="340" w:lineRule="exact"/>
        <w:ind w:left="655" w:leftChars="273" w:firstLine="440" w:firstLineChars="200"/>
        <w:rPr>
          <w:rFonts w:hint="eastAsia" w:ascii="宋体" w:hAnsi="宋体" w:cs="Arial"/>
          <w:color w:val="000000"/>
          <w:kern w:val="0"/>
          <w:sz w:val="22"/>
        </w:rPr>
      </w:pPr>
      <w:r>
        <w:rPr>
          <w:rFonts w:hint="eastAsia" w:ascii="宋体" w:hAnsi="宋体" w:cs="Arial"/>
          <w:color w:val="000000"/>
          <w:kern w:val="0"/>
          <w:sz w:val="22"/>
        </w:rPr>
        <w:t>国际快件库改造完成后会新增约350米物理围界，2号道口至五号安防箱之间的现有物理围界将失去隔离作用。现需将2号道口至五号安防箱之间物理围界现有的约250米的围界报警系统相关设备迁移至新增的物理围界上，同时新增部分围界报警系统设备，使新增的物理围界上覆盖报警系统。迁移与新增的围界报警设备接入现有一期飞行区围界报警系统。</w:t>
      </w:r>
    </w:p>
    <w:p>
      <w:pPr>
        <w:snapToGrid w:val="0"/>
        <w:spacing w:line="360" w:lineRule="auto"/>
        <w:rPr>
          <w:rFonts w:ascii="宋体" w:hAnsi="宋体" w:cs="宋体"/>
          <w:b/>
          <w:sz w:val="22"/>
        </w:rPr>
      </w:pPr>
      <w:r>
        <w:rPr>
          <w:rFonts w:ascii="Times New Roman" w:hAnsi="Times New Roman"/>
          <w:b/>
          <w:color w:val="000000"/>
          <w:kern w:val="0"/>
          <w:sz w:val="22"/>
          <w:szCs w:val="22"/>
        </w:rPr>
        <w:t>1.4.</w:t>
      </w:r>
      <w:r>
        <w:rPr>
          <w:rFonts w:hint="eastAsia" w:ascii="Times New Roman" w:hAnsi="Times New Roman"/>
          <w:b/>
          <w:color w:val="000000"/>
          <w:kern w:val="0"/>
          <w:sz w:val="22"/>
          <w:szCs w:val="22"/>
        </w:rPr>
        <w:t>3</w:t>
      </w:r>
      <w:r>
        <w:rPr>
          <w:rFonts w:hint="eastAsia" w:ascii="宋体" w:hAnsi="宋体" w:cs="宋体"/>
          <w:b/>
          <w:sz w:val="22"/>
        </w:rPr>
        <w:t>本工程涉及现有系统现状及要求：</w:t>
      </w:r>
    </w:p>
    <w:p>
      <w:pPr>
        <w:adjustRightInd w:val="0"/>
        <w:snapToGrid w:val="0"/>
        <w:spacing w:line="360" w:lineRule="exact"/>
        <w:ind w:firstLine="442" w:firstLineChars="200"/>
        <w:rPr>
          <w:rFonts w:hint="eastAsia" w:ascii="宋体" w:hAnsi="宋体" w:cs="Calibri"/>
          <w:b/>
          <w:kern w:val="0"/>
          <w:sz w:val="22"/>
        </w:rPr>
      </w:pPr>
      <w:r>
        <w:rPr>
          <w:rFonts w:hint="eastAsia" w:ascii="宋体" w:hAnsi="宋体" w:cs="Calibri"/>
          <w:b/>
          <w:kern w:val="0"/>
          <w:sz w:val="22"/>
        </w:rPr>
        <w:t xml:space="preserve">海关运控室现有监控使用大华监控平台，本项目海关涉及的监控设备接入此平台； </w:t>
      </w:r>
    </w:p>
    <w:p>
      <w:pPr>
        <w:adjustRightInd w:val="0"/>
        <w:snapToGrid w:val="0"/>
        <w:spacing w:line="360" w:lineRule="exact"/>
        <w:ind w:firstLine="442" w:firstLineChars="200"/>
        <w:rPr>
          <w:rFonts w:hint="eastAsia" w:ascii="宋体" w:hAnsi="宋体" w:cs="Calibri"/>
          <w:b/>
          <w:kern w:val="0"/>
          <w:sz w:val="22"/>
        </w:rPr>
      </w:pPr>
      <w:r>
        <w:rPr>
          <w:rFonts w:hint="eastAsia" w:ascii="宋体" w:hAnsi="宋体" w:cs="Calibri"/>
          <w:b/>
          <w:kern w:val="0"/>
          <w:sz w:val="22"/>
        </w:rPr>
        <w:t>杭州萧山国际机场现有监控系统基于海康威视</w:t>
      </w:r>
      <w:r>
        <w:rPr>
          <w:rFonts w:hint="eastAsia"/>
          <w:b/>
          <w:bCs/>
          <w:color w:val="000000"/>
          <w:sz w:val="22"/>
          <w:szCs w:val="22"/>
        </w:rPr>
        <w:t>ivms-</w:t>
      </w:r>
      <w:r>
        <w:rPr>
          <w:rFonts w:hint="eastAsia" w:ascii="宋体" w:hAnsi="宋体" w:cs="Calibri"/>
          <w:b/>
          <w:kern w:val="0"/>
          <w:sz w:val="22"/>
        </w:rPr>
        <w:t>8600监控平台，本项目机场涉及的监控设备接入此平台；</w:t>
      </w:r>
    </w:p>
    <w:p>
      <w:pPr>
        <w:adjustRightInd w:val="0"/>
        <w:snapToGrid w:val="0"/>
        <w:spacing w:line="360" w:lineRule="exact"/>
        <w:ind w:firstLine="442" w:firstLineChars="200"/>
        <w:rPr>
          <w:rFonts w:hint="eastAsia" w:ascii="宋体" w:hAnsi="宋体" w:cs="Calibri"/>
          <w:b/>
          <w:kern w:val="0"/>
          <w:sz w:val="22"/>
        </w:rPr>
      </w:pPr>
      <w:r>
        <w:rPr>
          <w:rFonts w:hint="eastAsia" w:ascii="宋体" w:hAnsi="宋体" w:cs="Calibri"/>
          <w:b/>
          <w:kern w:val="0"/>
          <w:sz w:val="22"/>
        </w:rPr>
        <w:t>一期飞行区围界报警系统现使用的主要报警探测设备为西南微波的震动电缆，新增围界报警探测设备接入在用一期飞行区围界报警系统，系统主要情况如下：</w:t>
      </w:r>
    </w:p>
    <w:p>
      <w:pPr>
        <w:snapToGrid w:val="0"/>
        <w:spacing w:line="360" w:lineRule="auto"/>
        <w:ind w:firstLine="442" w:firstLineChars="200"/>
        <w:rPr>
          <w:color w:val="000000"/>
          <w:szCs w:val="21"/>
        </w:rPr>
      </w:pPr>
      <w:r>
        <w:rPr>
          <w:rFonts w:hint="eastAsia"/>
          <w:b/>
          <w:color w:val="000000"/>
          <w:sz w:val="22"/>
          <w:szCs w:val="22"/>
        </w:rPr>
        <w:t>现有报警系统结构：</w:t>
      </w:r>
      <w:r>
        <w:rPr>
          <w:rFonts w:hint="eastAsia"/>
          <w:color w:val="000000"/>
          <w:szCs w:val="21"/>
        </w:rPr>
        <w:t>南跑道围界报警集成平台由美国西南微波开发，集成了监控、灯光、广播等子系统；</w:t>
      </w:r>
    </w:p>
    <w:p>
      <w:pPr>
        <w:snapToGrid w:val="0"/>
        <w:spacing w:line="360" w:lineRule="auto"/>
        <w:ind w:firstLine="442" w:firstLineChars="200"/>
        <w:rPr>
          <w:color w:val="000000"/>
          <w:sz w:val="22"/>
          <w:szCs w:val="22"/>
        </w:rPr>
      </w:pPr>
      <w:r>
        <w:rPr>
          <w:rFonts w:hint="eastAsia"/>
          <w:b/>
          <w:color w:val="000000"/>
          <w:sz w:val="22"/>
          <w:szCs w:val="22"/>
        </w:rPr>
        <w:t>前端报警设备：</w:t>
      </w:r>
      <w:r>
        <w:rPr>
          <w:rFonts w:hint="eastAsia"/>
          <w:color w:val="000000"/>
          <w:sz w:val="22"/>
          <w:szCs w:val="22"/>
        </w:rPr>
        <w:t>西南微波振动电缆（MC315-220），报警处理单元（PM），连接单元（LU），终止单元（TU），联网通讯模块（NIM），串口服务器；</w:t>
      </w:r>
    </w:p>
    <w:p>
      <w:pPr>
        <w:snapToGrid w:val="0"/>
        <w:spacing w:line="360" w:lineRule="auto"/>
        <w:ind w:firstLine="442" w:firstLineChars="200"/>
        <w:rPr>
          <w:color w:val="000000"/>
          <w:sz w:val="22"/>
          <w:szCs w:val="22"/>
        </w:rPr>
      </w:pPr>
      <w:r>
        <w:rPr>
          <w:rFonts w:hint="eastAsia"/>
          <w:b/>
          <w:color w:val="000000"/>
          <w:sz w:val="22"/>
          <w:szCs w:val="22"/>
        </w:rPr>
        <w:t>监控设备：</w:t>
      </w:r>
      <w:r>
        <w:rPr>
          <w:rFonts w:hint="eastAsia"/>
          <w:color w:val="000000"/>
          <w:sz w:val="22"/>
          <w:szCs w:val="22"/>
        </w:rPr>
        <w:t>前端使用高清数字摄像机，后台使用海康威视的网络硬盘存储设备；视屏监控联动平台使用海康威视ivms-8700网络监控平台；</w:t>
      </w:r>
    </w:p>
    <w:p>
      <w:pPr>
        <w:snapToGrid w:val="0"/>
        <w:spacing w:line="360" w:lineRule="auto"/>
        <w:ind w:firstLine="442" w:firstLineChars="200"/>
        <w:rPr>
          <w:rFonts w:hint="eastAsia"/>
          <w:color w:val="000000"/>
          <w:sz w:val="22"/>
        </w:rPr>
      </w:pPr>
      <w:r>
        <w:rPr>
          <w:rFonts w:hint="eastAsia"/>
          <w:b/>
          <w:color w:val="000000"/>
          <w:sz w:val="22"/>
          <w:szCs w:val="22"/>
        </w:rPr>
        <w:t>广播系统：</w:t>
      </w:r>
      <w:r>
        <w:rPr>
          <w:rFonts w:hint="eastAsia"/>
          <w:color w:val="000000"/>
          <w:szCs w:val="21"/>
        </w:rPr>
        <w:t>DSP网络功率放大器（MAG6812），连接室外号角扬声器，与报警系统产生联动；</w:t>
      </w:r>
    </w:p>
    <w:p>
      <w:pPr>
        <w:snapToGrid w:val="0"/>
        <w:spacing w:line="360" w:lineRule="auto"/>
        <w:ind w:firstLine="442" w:firstLineChars="200"/>
        <w:rPr>
          <w:rFonts w:hint="eastAsia"/>
          <w:color w:val="000000"/>
          <w:sz w:val="22"/>
        </w:rPr>
      </w:pPr>
      <w:r>
        <w:rPr>
          <w:rFonts w:hint="eastAsia"/>
          <w:b/>
          <w:color w:val="000000"/>
          <w:sz w:val="22"/>
        </w:rPr>
        <w:t>网络系统：</w:t>
      </w:r>
      <w:r>
        <w:rPr>
          <w:rFonts w:hint="eastAsia"/>
          <w:color w:val="000000"/>
          <w:sz w:val="22"/>
        </w:rPr>
        <w:t>目前网络内核心交换机品牌为：华三，要求接入层交换机与现有网络系统无缝兼容。</w:t>
      </w:r>
    </w:p>
    <w:p>
      <w:pPr>
        <w:pStyle w:val="4"/>
        <w:keepNext w:val="0"/>
        <w:numPr>
          <w:ilvl w:val="0"/>
          <w:numId w:val="0"/>
        </w:numPr>
        <w:tabs>
          <w:tab w:val="left" w:pos="720"/>
        </w:tabs>
        <w:snapToGrid w:val="0"/>
        <w:spacing w:line="360" w:lineRule="auto"/>
        <w:ind w:right="2" w:rightChars="1"/>
        <w:rPr>
          <w:rFonts w:cs="Arial"/>
          <w:sz w:val="22"/>
          <w:szCs w:val="22"/>
        </w:rPr>
      </w:pPr>
      <w:bookmarkStart w:id="266" w:name="_Toc392056806"/>
      <w:bookmarkStart w:id="267" w:name="_Toc386910852"/>
      <w:r>
        <w:rPr>
          <w:rFonts w:ascii="Times New Roman"/>
          <w:color w:val="000000"/>
          <w:sz w:val="30"/>
          <w:szCs w:val="30"/>
        </w:rPr>
        <w:t>1.5</w:t>
      </w:r>
      <w:r>
        <w:rPr>
          <w:rFonts w:hint="eastAsia" w:ascii="Times New Roman"/>
          <w:color w:val="000000"/>
          <w:sz w:val="30"/>
          <w:szCs w:val="30"/>
        </w:rPr>
        <w:t>参考工程量清单</w:t>
      </w:r>
      <w:bookmarkEnd w:id="198"/>
      <w:bookmarkEnd w:id="199"/>
      <w:bookmarkEnd w:id="200"/>
      <w:bookmarkEnd w:id="201"/>
      <w:bookmarkEnd w:id="202"/>
      <w:bookmarkEnd w:id="203"/>
      <w:bookmarkEnd w:id="265"/>
      <w:bookmarkEnd w:id="266"/>
      <w:bookmarkEnd w:id="267"/>
      <w:bookmarkStart w:id="268" w:name="_Toc386206737"/>
      <w:bookmarkStart w:id="269" w:name="_Toc119378346"/>
      <w:bookmarkStart w:id="270" w:name="_Toc127347687"/>
      <w:bookmarkStart w:id="271" w:name="_Toc119378534"/>
      <w:bookmarkStart w:id="272" w:name="_Toc214178028"/>
      <w:bookmarkStart w:id="273" w:name="_Toc123028574"/>
      <w:bookmarkStart w:id="274" w:name="_Toc113810222"/>
      <w:bookmarkStart w:id="275" w:name="_Toc107586469"/>
      <w:bookmarkStart w:id="276" w:name="_Toc124561208"/>
      <w:bookmarkStart w:id="277" w:name="_Toc119504362"/>
      <w:bookmarkStart w:id="278" w:name="_Toc122958973"/>
      <w:bookmarkStart w:id="279" w:name="_Toc119258201"/>
    </w:p>
    <w:tbl>
      <w:tblPr>
        <w:tblStyle w:val="57"/>
        <w:tblW w:w="9735" w:type="dxa"/>
        <w:tblInd w:w="0" w:type="dxa"/>
        <w:tblLayout w:type="fixed"/>
        <w:tblCellMar>
          <w:top w:w="0" w:type="dxa"/>
          <w:left w:w="0" w:type="dxa"/>
          <w:bottom w:w="0" w:type="dxa"/>
          <w:right w:w="0" w:type="dxa"/>
        </w:tblCellMar>
      </w:tblPr>
      <w:tblGrid>
        <w:gridCol w:w="1080"/>
        <w:gridCol w:w="4406"/>
        <w:gridCol w:w="1020"/>
        <w:gridCol w:w="1020"/>
        <w:gridCol w:w="2209"/>
      </w:tblGrid>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设备名称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备注</w:t>
            </w:r>
          </w:p>
        </w:tc>
      </w:tr>
      <w:tr>
        <w:tblPrEx>
          <w:tblLayout w:type="fixed"/>
          <w:tblCellMar>
            <w:top w:w="0" w:type="dxa"/>
            <w:left w:w="0" w:type="dxa"/>
            <w:bottom w:w="0" w:type="dxa"/>
            <w:right w:w="0" w:type="dxa"/>
          </w:tblCellMar>
        </w:tblPrEx>
        <w:trPr>
          <w:trHeight w:val="270" w:hRule="atLeast"/>
        </w:trPr>
        <w:tc>
          <w:tcPr>
            <w:tcW w:w="973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宋体"/>
                <w:color w:val="000000"/>
                <w:sz w:val="22"/>
                <w:szCs w:val="22"/>
              </w:rPr>
            </w:pPr>
            <w:r>
              <w:rPr>
                <w:rFonts w:hint="eastAsia" w:ascii="宋体" w:hAnsi="宋体" w:cs="宋体"/>
                <w:b/>
                <w:bCs/>
                <w:color w:val="000000"/>
                <w:kern w:val="0"/>
                <w:sz w:val="22"/>
                <w:szCs w:val="22"/>
                <w:lang w:bidi="ar"/>
              </w:rPr>
              <w:t>国际快件中心库区监控</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高清快球</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169"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高清枪型摄像机</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90</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r>
              <w:rPr>
                <w:rFonts w:hint="eastAsia" w:ascii="宋体" w:hAnsi="宋体" w:cs="宋体"/>
                <w:color w:val="000000"/>
                <w:sz w:val="22"/>
                <w:szCs w:val="22"/>
              </w:rPr>
              <w:t>其中海关专用摄像机42个，机场专用摄像机48个，摄像机含护罩</w:t>
            </w:r>
          </w:p>
        </w:tc>
      </w:tr>
      <w:tr>
        <w:tblPrEx>
          <w:tblLayout w:type="fixed"/>
          <w:tblCellMar>
            <w:top w:w="0" w:type="dxa"/>
            <w:left w:w="0" w:type="dxa"/>
            <w:bottom w:w="0" w:type="dxa"/>
            <w:right w:w="0" w:type="dxa"/>
          </w:tblCellMar>
        </w:tblPrEx>
        <w:trPr>
          <w:trHeight w:val="118" w:hRule="atLeast"/>
        </w:trPr>
        <w:tc>
          <w:tcPr>
            <w:tcW w:w="108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440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eastAsia="等线" w:cs="宋体"/>
                <w:color w:val="000000"/>
                <w:kern w:val="0"/>
                <w:sz w:val="22"/>
                <w:szCs w:val="22"/>
                <w:lang w:bidi="ar"/>
              </w:rPr>
            </w:pPr>
            <w:r>
              <w:rPr>
                <w:rFonts w:hint="eastAsia" w:ascii="宋体" w:hAnsi="宋体" w:cs="宋体"/>
                <w:color w:val="000000"/>
                <w:kern w:val="0"/>
                <w:sz w:val="22"/>
                <w:szCs w:val="22"/>
                <w:lang w:bidi="ar"/>
              </w:rPr>
              <w:t>高清枪机镜头</w:t>
            </w:r>
          </w:p>
        </w:tc>
        <w:tc>
          <w:tcPr>
            <w:tcW w:w="10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90</w:t>
            </w:r>
          </w:p>
        </w:tc>
        <w:tc>
          <w:tcPr>
            <w:tcW w:w="220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等线" w:cs="宋体"/>
                <w:color w:val="000000"/>
                <w:sz w:val="22"/>
                <w:szCs w:val="22"/>
              </w:rPr>
            </w:pPr>
            <w:r>
              <w:rPr>
                <w:rFonts w:hint="eastAsia" w:ascii="宋体" w:hAnsi="宋体" w:cs="宋体"/>
                <w:color w:val="000000"/>
                <w:sz w:val="22"/>
                <w:szCs w:val="22"/>
              </w:rPr>
              <w:t>镜头可变焦，海关判图室等8个室内枪机镜头调试为广角</w:t>
            </w:r>
          </w:p>
        </w:tc>
      </w:tr>
      <w:tr>
        <w:tblPrEx>
          <w:tblLayout w:type="fixed"/>
          <w:tblCellMar>
            <w:top w:w="0" w:type="dxa"/>
            <w:left w:w="0" w:type="dxa"/>
            <w:bottom w:w="0" w:type="dxa"/>
            <w:right w:w="0" w:type="dxa"/>
          </w:tblCellMar>
        </w:tblPrEx>
        <w:trPr>
          <w:trHeight w:val="90"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摄像机支架</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90</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r>
              <w:rPr>
                <w:rFonts w:hint="eastAsia" w:ascii="宋体" w:hAnsi="宋体" w:cs="宋体"/>
                <w:color w:val="000000"/>
                <w:sz w:val="22"/>
                <w:szCs w:val="22"/>
              </w:rPr>
              <w:t>其中21个普通壁装支架，69个吊装支架，吊杆长度大于等于3米</w:t>
            </w:r>
          </w:p>
        </w:tc>
      </w:tr>
      <w:tr>
        <w:tblPrEx>
          <w:tblLayout w:type="fixed"/>
          <w:tblCellMar>
            <w:top w:w="0" w:type="dxa"/>
            <w:left w:w="0" w:type="dxa"/>
            <w:bottom w:w="0" w:type="dxa"/>
            <w:right w:w="0" w:type="dxa"/>
          </w:tblCellMar>
        </w:tblPrEx>
        <w:trPr>
          <w:trHeight w:val="430"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ascii="宋体" w:hAnsi="宋体" w:cs="宋体"/>
                <w:color w:val="FF0000"/>
                <w:sz w:val="22"/>
                <w:szCs w:val="22"/>
              </w:rPr>
            </w:pPr>
            <w:r>
              <w:rPr>
                <w:rFonts w:hint="eastAsia" w:ascii="宋体" w:hAnsi="宋体" w:cs="宋体"/>
                <w:sz w:val="22"/>
                <w:szCs w:val="22"/>
              </w:rPr>
              <w:t>视频存储磁盘阵列</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含配套硬盘，实际裸容量大于288T，海关用</w:t>
            </w:r>
          </w:p>
        </w:tc>
      </w:tr>
      <w:tr>
        <w:tblPrEx>
          <w:tblLayout w:type="fixed"/>
          <w:tblCellMar>
            <w:top w:w="0" w:type="dxa"/>
            <w:left w:w="0" w:type="dxa"/>
            <w:bottom w:w="0" w:type="dxa"/>
            <w:right w:w="0" w:type="dxa"/>
          </w:tblCellMar>
        </w:tblPrEx>
        <w:trPr>
          <w:trHeight w:val="150"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磁盘阵列</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含配套硬盘，实际裸容量大于300T，机场用</w:t>
            </w:r>
          </w:p>
        </w:tc>
      </w:tr>
      <w:tr>
        <w:tblPrEx>
          <w:tblLayout w:type="fixed"/>
          <w:tblCellMar>
            <w:top w:w="0" w:type="dxa"/>
            <w:left w:w="0" w:type="dxa"/>
            <w:bottom w:w="0" w:type="dxa"/>
            <w:right w:w="0"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POE交换机</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sz w:val="22"/>
                <w:szCs w:val="22"/>
              </w:rPr>
              <w:t>其中海关用3台，机场用3台，单台交换机含2个以上光模块</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汇聚交换机</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r>
              <w:rPr>
                <w:rFonts w:hint="eastAsia" w:ascii="宋体" w:hAnsi="宋体" w:cs="宋体"/>
                <w:color w:val="000000"/>
                <w:sz w:val="22"/>
                <w:szCs w:val="22"/>
              </w:rPr>
              <w:t>含6个光模块</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图腾标准机柜</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r>
              <w:rPr>
                <w:rFonts w:hint="eastAsia" w:ascii="宋体" w:hAnsi="宋体" w:cs="宋体"/>
                <w:color w:val="000000"/>
                <w:sz w:val="22"/>
                <w:szCs w:val="22"/>
              </w:rPr>
              <w:t>海关用1个，机场用1个</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10</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sz w:val="22"/>
                <w:szCs w:val="22"/>
              </w:rPr>
            </w:pPr>
            <w:r>
              <w:rPr>
                <w:rFonts w:hint="eastAsia" w:ascii="宋体" w:hAnsi="宋体" w:cs="宋体"/>
                <w:sz w:val="22"/>
                <w:szCs w:val="22"/>
              </w:rPr>
              <w:t>24口企业级接入层交换机</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eastAsia="等线" w:cs="宋体"/>
                <w:color w:val="FF0000"/>
                <w:sz w:val="22"/>
                <w:szCs w:val="22"/>
              </w:rPr>
            </w:pPr>
            <w:r>
              <w:rPr>
                <w:rFonts w:hint="eastAsia" w:ascii="宋体" w:hAnsi="宋体" w:cs="宋体"/>
                <w:sz w:val="22"/>
                <w:szCs w:val="22"/>
              </w:rPr>
              <w:t>物流运控室使用</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网线</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6500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电源线</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13</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8芯室外光缆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14</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24芯室外光缆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48芯室外光缆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FF0000"/>
                <w:sz w:val="22"/>
                <w:szCs w:val="22"/>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16</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8口光纤熔接盒</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室外设备箱至机房，</w:t>
            </w:r>
            <w:r>
              <w:rPr>
                <w:rFonts w:hint="eastAsia" w:ascii="宋体" w:hAnsi="宋体" w:cs="宋体"/>
                <w:color w:val="000000"/>
                <w:sz w:val="22"/>
                <w:szCs w:val="22"/>
              </w:rPr>
              <w:t>配满耦合器</w:t>
            </w:r>
          </w:p>
        </w:tc>
      </w:tr>
      <w:tr>
        <w:tblPrEx>
          <w:tblLayout w:type="fixed"/>
          <w:tblCellMar>
            <w:top w:w="0" w:type="dxa"/>
            <w:left w:w="0" w:type="dxa"/>
            <w:bottom w:w="0" w:type="dxa"/>
            <w:right w:w="0" w:type="dxa"/>
          </w:tblCellMar>
        </w:tblPrEx>
        <w:trPr>
          <w:trHeight w:val="425"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24口光纤熔接盒</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tabs>
                <w:tab w:val="left" w:pos="510"/>
                <w:tab w:val="center" w:pos="1149"/>
              </w:tabs>
              <w:jc w:val="left"/>
              <w:textAlignment w:val="bottom"/>
              <w:rPr>
                <w:rFonts w:hint="eastAsia" w:ascii="宋体" w:hAnsi="宋体" w:cs="宋体"/>
                <w:color w:val="000000"/>
                <w:sz w:val="22"/>
                <w:szCs w:val="22"/>
              </w:rPr>
            </w:pPr>
            <w:r>
              <w:rPr>
                <w:rFonts w:hint="eastAsia" w:ascii="宋体" w:hAnsi="宋体" w:cs="宋体"/>
                <w:color w:val="000000"/>
                <w:sz w:val="22"/>
                <w:szCs w:val="22"/>
              </w:rPr>
              <w:tab/>
            </w:r>
            <w:r>
              <w:rPr>
                <w:rFonts w:hint="eastAsia" w:ascii="宋体" w:hAnsi="宋体" w:cs="宋体"/>
                <w:color w:val="000000"/>
                <w:sz w:val="22"/>
                <w:szCs w:val="22"/>
              </w:rPr>
              <w:t>配满耦合器</w:t>
            </w:r>
          </w:p>
        </w:tc>
      </w:tr>
      <w:tr>
        <w:tblPrEx>
          <w:tblLayout w:type="fixed"/>
          <w:tblCellMar>
            <w:top w:w="0" w:type="dxa"/>
            <w:left w:w="0" w:type="dxa"/>
            <w:bottom w:w="0" w:type="dxa"/>
            <w:right w:w="0" w:type="dxa"/>
          </w:tblCellMar>
        </w:tblPrEx>
        <w:trPr>
          <w:trHeight w:val="370"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18</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48口光纤熔接盒</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sz w:val="22"/>
                <w:szCs w:val="22"/>
              </w:rPr>
              <w:t>配满耦合器</w:t>
            </w:r>
          </w:p>
        </w:tc>
      </w:tr>
      <w:tr>
        <w:tblPrEx>
          <w:tblLayout w:type="fixed"/>
          <w:tblCellMar>
            <w:top w:w="0" w:type="dxa"/>
            <w:left w:w="0" w:type="dxa"/>
            <w:bottom w:w="0" w:type="dxa"/>
            <w:right w:w="0" w:type="dxa"/>
          </w:tblCellMar>
        </w:tblPrEx>
        <w:trPr>
          <w:trHeight w:val="195"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19</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KBG管</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2500</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摄像机至桥架</w:t>
            </w:r>
          </w:p>
        </w:tc>
      </w:tr>
      <w:tr>
        <w:tblPrEx>
          <w:tblLayout w:type="fixed"/>
          <w:tblCellMar>
            <w:top w:w="0" w:type="dxa"/>
            <w:left w:w="0" w:type="dxa"/>
            <w:bottom w:w="0" w:type="dxa"/>
            <w:right w:w="0" w:type="dxa"/>
          </w:tblCellMar>
        </w:tblPrEx>
        <w:trPr>
          <w:trHeight w:val="91"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20</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lang w:bidi="ar"/>
              </w:rPr>
              <w:t>φ50</w:t>
            </w:r>
            <w:r>
              <w:rPr>
                <w:rFonts w:hint="eastAsia" w:ascii="宋体" w:hAnsi="宋体" w:cs="宋体"/>
                <w:color w:val="000000"/>
                <w:kern w:val="0"/>
                <w:sz w:val="22"/>
                <w:szCs w:val="22"/>
                <w:lang w:bidi="ar"/>
              </w:rPr>
              <w:t>钢管</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200</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textAlignment w:val="bottom"/>
              <w:rPr>
                <w:rFonts w:ascii="宋体" w:hAnsi="宋体" w:eastAsia="等线" w:cs="宋体"/>
                <w:color w:val="000000"/>
                <w:kern w:val="0"/>
                <w:sz w:val="22"/>
                <w:szCs w:val="22"/>
                <w:lang w:bidi="ar"/>
              </w:rPr>
            </w:pPr>
            <w:r>
              <w:rPr>
                <w:rFonts w:hint="eastAsia" w:ascii="宋体" w:hAnsi="宋体" w:cs="宋体"/>
                <w:color w:val="000000"/>
                <w:kern w:val="0"/>
                <w:sz w:val="22"/>
                <w:szCs w:val="22"/>
                <w:lang w:bidi="ar"/>
              </w:rPr>
              <w:t>国际快件中心至货站B区消控室进通信井前的明管穿线</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sz w:val="22"/>
                <w:szCs w:val="22"/>
              </w:rPr>
            </w:pPr>
            <w:r>
              <w:rPr>
                <w:rFonts w:hint="eastAsia" w:ascii="宋体" w:hAnsi="宋体" w:cs="宋体"/>
                <w:kern w:val="0"/>
                <w:sz w:val="22"/>
                <w:szCs w:val="22"/>
                <w:lang w:bidi="ar"/>
              </w:rPr>
              <w:t>室外设备箱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r>
              <w:rPr>
                <w:rFonts w:hint="eastAsia" w:ascii="宋体" w:hAnsi="宋体" w:cs="宋体"/>
                <w:color w:val="000000"/>
                <w:sz w:val="22"/>
                <w:szCs w:val="22"/>
              </w:rPr>
              <w:t>壁装</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22</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其他辅材</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228"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23</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高清枪型摄像机</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备件</w:t>
            </w:r>
          </w:p>
        </w:tc>
      </w:tr>
      <w:tr>
        <w:tblPrEx>
          <w:tblLayout w:type="fixed"/>
          <w:tblCellMar>
            <w:top w:w="0" w:type="dxa"/>
            <w:left w:w="0" w:type="dxa"/>
            <w:bottom w:w="0" w:type="dxa"/>
            <w:right w:w="0" w:type="dxa"/>
          </w:tblCellMar>
        </w:tblPrEx>
        <w:trPr>
          <w:trHeight w:val="82" w:hRule="atLeast"/>
        </w:trPr>
        <w:tc>
          <w:tcPr>
            <w:tcW w:w="108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bottom"/>
          </w:tcPr>
          <w:p>
            <w:pPr>
              <w:jc w:val="center"/>
              <w:textAlignment w:val="bottom"/>
              <w:rPr>
                <w:rFonts w:ascii="宋体" w:hAnsi="宋体" w:eastAsia="等线" w:cs="宋体"/>
                <w:color w:val="000000"/>
                <w:kern w:val="0"/>
                <w:sz w:val="22"/>
                <w:szCs w:val="22"/>
                <w:lang w:bidi="ar"/>
              </w:rPr>
            </w:pPr>
            <w:r>
              <w:rPr>
                <w:rFonts w:hint="eastAsia" w:ascii="宋体" w:hAnsi="宋体" w:cs="宋体"/>
                <w:color w:val="000000"/>
                <w:kern w:val="0"/>
                <w:sz w:val="22"/>
                <w:szCs w:val="22"/>
                <w:lang w:bidi="ar"/>
              </w:rPr>
              <w:t>24</w:t>
            </w:r>
          </w:p>
        </w:tc>
        <w:tc>
          <w:tcPr>
            <w:tcW w:w="440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ascii="宋体" w:hAnsi="宋体" w:eastAsia="等线" w:cs="宋体"/>
                <w:color w:val="000000"/>
                <w:kern w:val="0"/>
                <w:sz w:val="22"/>
                <w:szCs w:val="22"/>
                <w:lang w:bidi="ar"/>
              </w:rPr>
            </w:pPr>
            <w:r>
              <w:rPr>
                <w:rFonts w:hint="eastAsia" w:ascii="宋体" w:hAnsi="宋体" w:cs="宋体"/>
                <w:color w:val="000000"/>
                <w:kern w:val="0"/>
                <w:sz w:val="22"/>
                <w:szCs w:val="22"/>
                <w:lang w:bidi="ar"/>
              </w:rPr>
              <w:t>POE交换机</w:t>
            </w:r>
          </w:p>
        </w:tc>
        <w:tc>
          <w:tcPr>
            <w:tcW w:w="10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0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eastAsia="等线" w:cs="宋体"/>
                <w:color w:val="000000"/>
                <w:kern w:val="0"/>
                <w:sz w:val="22"/>
                <w:szCs w:val="22"/>
                <w:lang w:bidi="ar"/>
              </w:rPr>
            </w:pPr>
            <w:r>
              <w:rPr>
                <w:rFonts w:hint="eastAsia" w:ascii="宋体" w:hAnsi="宋体" w:cs="宋体"/>
                <w:color w:val="000000"/>
                <w:kern w:val="0"/>
                <w:sz w:val="22"/>
                <w:szCs w:val="22"/>
                <w:lang w:bidi="ar"/>
              </w:rPr>
              <w:t>备件</w:t>
            </w:r>
          </w:p>
        </w:tc>
      </w:tr>
      <w:tr>
        <w:tblPrEx>
          <w:tblLayout w:type="fixed"/>
          <w:tblCellMar>
            <w:top w:w="0" w:type="dxa"/>
            <w:left w:w="0" w:type="dxa"/>
            <w:bottom w:w="0" w:type="dxa"/>
            <w:right w:w="0" w:type="dxa"/>
          </w:tblCellMar>
        </w:tblPrEx>
        <w:trPr>
          <w:trHeight w:val="135"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eastAsia="等线" w:cs="宋体"/>
                <w:color w:val="000000"/>
                <w:kern w:val="0"/>
                <w:sz w:val="22"/>
                <w:szCs w:val="22"/>
                <w:lang w:bidi="ar"/>
              </w:rPr>
            </w:pPr>
            <w:r>
              <w:rPr>
                <w:rFonts w:hint="eastAsia" w:ascii="宋体" w:hAnsi="宋体" w:cs="宋体"/>
                <w:color w:val="000000"/>
                <w:kern w:val="0"/>
                <w:sz w:val="22"/>
                <w:szCs w:val="22"/>
                <w:lang w:bidi="ar"/>
              </w:rPr>
              <w:t>25</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水泥地破面埋管</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50</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973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textAlignment w:val="bottom"/>
              <w:rPr>
                <w:rFonts w:hint="eastAsia" w:ascii="宋体" w:hAnsi="宋体" w:cs="宋体"/>
                <w:b/>
                <w:color w:val="000000"/>
                <w:kern w:val="0"/>
                <w:sz w:val="22"/>
                <w:szCs w:val="22"/>
                <w:lang w:bidi="ar"/>
              </w:rPr>
            </w:pPr>
            <w:r>
              <w:rPr>
                <w:rFonts w:hint="eastAsia" w:ascii="宋体" w:hAnsi="宋体" w:cs="Arial"/>
                <w:b/>
                <w:color w:val="000000"/>
                <w:kern w:val="0"/>
                <w:sz w:val="22"/>
              </w:rPr>
              <w:t>新建物理围界加装报警系统</w:t>
            </w:r>
          </w:p>
        </w:tc>
      </w:tr>
      <w:tr>
        <w:tblPrEx>
          <w:tblLayout w:type="fixed"/>
          <w:tblCellMar>
            <w:top w:w="0" w:type="dxa"/>
            <w:left w:w="0" w:type="dxa"/>
            <w:bottom w:w="0" w:type="dxa"/>
            <w:right w:w="0" w:type="dxa"/>
          </w:tblCellMar>
        </w:tblPrEx>
        <w:trPr>
          <w:trHeight w:val="270" w:hRule="atLeast"/>
        </w:trPr>
        <w:tc>
          <w:tcPr>
            <w:tcW w:w="973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迁移设备工程量</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室外球型摄像机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室外枪型摄像机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振动电缆</w:t>
            </w:r>
            <w:r>
              <w:rPr>
                <w:rFonts w:hint="eastAsia" w:ascii="宋体" w:hAnsi="宋体" w:cs="宋体"/>
                <w:color w:val="000000"/>
                <w:kern w:val="0"/>
                <w:sz w:val="22"/>
              </w:rPr>
              <w:t xml:space="preserve">MC115-220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eastAsia="等线"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ascii="宋体" w:hAnsi="宋体" w:eastAsia="等线" w:cs="宋体"/>
                <w:color w:val="000000"/>
                <w:kern w:val="0"/>
                <w:sz w:val="22"/>
                <w:szCs w:val="22"/>
                <w:lang w:bidi="ar"/>
              </w:rPr>
            </w:pPr>
            <w:r>
              <w:rPr>
                <w:rFonts w:hint="eastAsia" w:ascii="宋体" w:hAnsi="宋体" w:cs="宋体"/>
                <w:color w:val="000000"/>
                <w:kern w:val="0"/>
                <w:sz w:val="22"/>
                <w:szCs w:val="22"/>
                <w:lang w:bidi="ar"/>
              </w:rPr>
              <w:t>400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报警处理单元（PM）</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网络功率放大器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扬声器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声光报警器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162"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LED照明灯 </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113"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立杆</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根</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迁移后重新做基础</w:t>
            </w:r>
          </w:p>
        </w:tc>
      </w:tr>
      <w:tr>
        <w:tblPrEx>
          <w:tblLayout w:type="fixed"/>
          <w:tblCellMar>
            <w:top w:w="0" w:type="dxa"/>
            <w:left w:w="0" w:type="dxa"/>
            <w:bottom w:w="0" w:type="dxa"/>
            <w:right w:w="0" w:type="dxa"/>
          </w:tblCellMar>
        </w:tblPrEx>
        <w:trPr>
          <w:trHeight w:val="270" w:hRule="atLeast"/>
        </w:trPr>
        <w:tc>
          <w:tcPr>
            <w:tcW w:w="973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新增设备工程量</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室外枪型摄像机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直流电源避雷器(摄像机)</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立杆(含基础）</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工业环网交换机（8口）</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sz w:val="22"/>
                <w:szCs w:val="22"/>
              </w:rPr>
              <w:t>含实现功能所需光模块</w:t>
            </w:r>
          </w:p>
        </w:tc>
      </w:tr>
      <w:tr>
        <w:tblPrEx>
          <w:tblLayout w:type="fixed"/>
          <w:tblCellMar>
            <w:top w:w="0" w:type="dxa"/>
            <w:left w:w="0" w:type="dxa"/>
            <w:bottom w:w="0" w:type="dxa"/>
            <w:right w:w="0" w:type="dxa"/>
          </w:tblCellMar>
        </w:tblPrEx>
        <w:trPr>
          <w:trHeight w:val="272"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光收发器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2"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振动电缆</w:t>
            </w:r>
            <w:r>
              <w:rPr>
                <w:rFonts w:hint="eastAsia" w:ascii="宋体" w:hAnsi="宋体" w:cs="宋体"/>
                <w:color w:val="000000"/>
                <w:kern w:val="0"/>
                <w:sz w:val="22"/>
              </w:rPr>
              <w:t xml:space="preserve">MC115-220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200</w:t>
            </w:r>
          </w:p>
        </w:tc>
        <w:tc>
          <w:tcPr>
            <w:tcW w:w="220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eastAsia="等线" w:cs="宋体"/>
                <w:color w:val="000000"/>
                <w:kern w:val="0"/>
                <w:sz w:val="22"/>
                <w:szCs w:val="22"/>
                <w:lang w:bidi="ar"/>
              </w:rPr>
            </w:pPr>
            <w:r>
              <w:rPr>
                <w:rFonts w:hint="eastAsia" w:ascii="宋体" w:hAnsi="宋体" w:cs="宋体"/>
                <w:color w:val="000000"/>
                <w:kern w:val="0"/>
              </w:rPr>
              <w:t>须与本场</w:t>
            </w:r>
            <w:r>
              <w:rPr>
                <w:rFonts w:hint="eastAsia" w:ascii="宋体" w:hAnsi="宋体" w:cs="Arial"/>
                <w:color w:val="000000"/>
                <w:kern w:val="0"/>
                <w:sz w:val="22"/>
              </w:rPr>
              <w:t>一期飞行区</w:t>
            </w:r>
            <w:r>
              <w:rPr>
                <w:rFonts w:hint="eastAsia" w:ascii="宋体" w:hAnsi="宋体" w:cs="宋体"/>
                <w:color w:val="000000"/>
                <w:kern w:val="0"/>
              </w:rPr>
              <w:t>围界报警系统无缝兼容，含安装所需配件</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报警处理单元（PM，含防护箱）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vMerge w:val="continue"/>
            <w:tcBorders>
              <w:left w:val="single" w:color="000000"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连接单元（LU，含防护箱）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vMerge w:val="continue"/>
            <w:tcBorders>
              <w:left w:val="single" w:color="000000"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终止单元 （TU）</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vMerge w:val="continue"/>
            <w:tcBorders>
              <w:left w:val="single" w:color="000000"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10</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串口服务器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防雷模块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lang w:bidi="ar"/>
              </w:rPr>
              <w:t>辅助通信，422A</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电源模块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AC220-DC48V,5A</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13</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中间继电器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14</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光照度传感器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安防控制箱内</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安防控制箱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含基础、箱内设备</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16</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安防配电箱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17</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抱杆箱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18</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4芯光纤熔接盒</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sz w:val="22"/>
                <w:szCs w:val="22"/>
              </w:rPr>
              <w:t>配满耦合器</w:t>
            </w:r>
          </w:p>
        </w:tc>
      </w:tr>
      <w:tr>
        <w:tblPrEx>
          <w:tblLayout w:type="fixed"/>
          <w:tblCellMar>
            <w:top w:w="0" w:type="dxa"/>
            <w:left w:w="0" w:type="dxa"/>
            <w:bottom w:w="0" w:type="dxa"/>
            <w:right w:w="0" w:type="dxa"/>
          </w:tblCellMar>
        </w:tblPrEx>
        <w:trPr>
          <w:trHeight w:val="205"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19</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32芯光纤熔接盒</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个</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eastAsia="等线" w:cs="宋体"/>
                <w:kern w:val="0"/>
                <w:sz w:val="22"/>
                <w:szCs w:val="22"/>
                <w:lang w:bidi="ar"/>
              </w:rPr>
            </w:pPr>
            <w:r>
              <w:rPr>
                <w:rFonts w:hint="eastAsia" w:ascii="宋体" w:hAnsi="宋体" w:cs="宋体"/>
                <w:kern w:val="0"/>
                <w:sz w:val="22"/>
                <w:szCs w:val="22"/>
                <w:lang w:bidi="ar"/>
              </w:rPr>
              <w:t>4</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kern w:val="0"/>
                <w:sz w:val="22"/>
                <w:szCs w:val="22"/>
                <w:lang w:bidi="ar"/>
              </w:rPr>
            </w:pPr>
            <w:r>
              <w:rPr>
                <w:rFonts w:hint="eastAsia" w:ascii="宋体" w:hAnsi="宋体" w:cs="宋体"/>
                <w:color w:val="000000"/>
                <w:sz w:val="22"/>
                <w:szCs w:val="22"/>
              </w:rPr>
              <w:t>配满耦合器</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20</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4芯光缆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熔接8芯</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网线</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22</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电源线（VV3*2.5）</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750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摄像机</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23</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32芯光缆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ascii="宋体" w:hAnsi="宋体" w:eastAsia="等线" w:cs="宋体"/>
                <w:color w:val="000000"/>
                <w:kern w:val="0"/>
                <w:sz w:val="22"/>
                <w:szCs w:val="22"/>
                <w:lang w:bidi="ar"/>
              </w:rPr>
            </w:pPr>
            <w:r>
              <w:rPr>
                <w:rFonts w:hint="eastAsia" w:ascii="宋体" w:hAnsi="宋体" w:cs="宋体"/>
                <w:color w:val="000000"/>
                <w:kern w:val="0"/>
                <w:sz w:val="22"/>
                <w:szCs w:val="22"/>
                <w:lang w:bidi="ar"/>
              </w:rPr>
              <w:t>拉线至新装安防控制箱熔接16芯</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24</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PM报警控制线（</w:t>
            </w:r>
            <w:r>
              <w:rPr>
                <w:rFonts w:hint="eastAsia" w:ascii="宋体" w:hAnsi="宋体" w:cs="宋体"/>
                <w:color w:val="000000"/>
                <w:kern w:val="0"/>
              </w:rPr>
              <w:t>RVV4*1.5</w:t>
            </w:r>
            <w:r>
              <w:rPr>
                <w:rFonts w:hint="eastAsia" w:ascii="宋体" w:hAnsi="宋体" w:cs="宋体"/>
                <w:color w:val="000000"/>
                <w:kern w:val="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350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联动控制线（</w:t>
            </w:r>
            <w:r>
              <w:rPr>
                <w:rFonts w:hint="eastAsia" w:ascii="宋体" w:hAnsi="宋体" w:cs="宋体"/>
                <w:color w:val="000000"/>
                <w:kern w:val="0"/>
              </w:rPr>
              <w:t>RVV4*1.5</w:t>
            </w:r>
            <w:r>
              <w:rPr>
                <w:rFonts w:hint="eastAsia" w:ascii="宋体" w:hAnsi="宋体" w:cs="宋体"/>
                <w:color w:val="000000"/>
                <w:kern w:val="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26</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灯光供电线（</w:t>
            </w:r>
            <w:r>
              <w:rPr>
                <w:rFonts w:hint="eastAsia" w:ascii="宋体" w:hAnsi="宋体" w:cs="宋体"/>
                <w:color w:val="000000"/>
                <w:kern w:val="0"/>
              </w:rPr>
              <w:t>BVVB3*1.5</w:t>
            </w:r>
            <w:r>
              <w:rPr>
                <w:rFonts w:hint="eastAsia" w:ascii="宋体" w:hAnsi="宋体" w:cs="宋体"/>
                <w:color w:val="000000"/>
                <w:kern w:val="0"/>
                <w:sz w:val="22"/>
                <w:szCs w:val="22"/>
                <w:lang w:bidi="ar"/>
              </w:rPr>
              <w:t>）</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27</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室外铠装电力电缆（VV22-3*16+1*10）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350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28</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接线盒</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32</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线缆过穿线盒上灯光、声光报警器</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29</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FF0000"/>
                <w:kern w:val="0"/>
                <w:sz w:val="22"/>
                <w:szCs w:val="22"/>
                <w:lang w:bidi="ar"/>
              </w:rPr>
            </w:pPr>
            <w:r>
              <w:rPr>
                <w:rFonts w:hint="eastAsia" w:ascii="宋体" w:hAnsi="宋体" w:cs="宋体"/>
                <w:kern w:val="0"/>
                <w:sz w:val="22"/>
                <w:szCs w:val="22"/>
                <w:lang w:bidi="ar"/>
              </w:rPr>
              <w:t>室外过线箱</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ascii="宋体" w:hAnsi="宋体" w:eastAsia="等线" w:cs="宋体"/>
                <w:color w:val="000000"/>
                <w:kern w:val="0"/>
                <w:sz w:val="22"/>
                <w:szCs w:val="22"/>
                <w:lang w:bidi="ar"/>
              </w:rPr>
            </w:pPr>
            <w:r>
              <w:rPr>
                <w:rFonts w:hint="eastAsia" w:ascii="宋体" w:hAnsi="宋体" w:cs="宋体"/>
                <w:color w:val="000000"/>
                <w:kern w:val="0"/>
                <w:sz w:val="22"/>
                <w:szCs w:val="22"/>
                <w:lang w:bidi="ar"/>
              </w:rPr>
              <w:t>60*60*30</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30</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lang w:bidi="ar"/>
              </w:rPr>
              <w:t>φ32钢管</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1250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31</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lang w:bidi="ar"/>
              </w:rPr>
              <w:t>φ50钢管</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700</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105" w:hRule="atLeast"/>
        </w:trPr>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32</w:t>
            </w:r>
          </w:p>
        </w:tc>
        <w:tc>
          <w:tcPr>
            <w:tcW w:w="44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管沟挖填</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米</w:t>
            </w:r>
          </w:p>
        </w:tc>
        <w:tc>
          <w:tcPr>
            <w:tcW w:w="10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150</w:t>
            </w:r>
          </w:p>
        </w:tc>
        <w:tc>
          <w:tcPr>
            <w:tcW w:w="22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r>
        <w:tblPrEx>
          <w:tblLayout w:type="fixed"/>
          <w:tblCellMar>
            <w:top w:w="0" w:type="dxa"/>
            <w:left w:w="0" w:type="dxa"/>
            <w:bottom w:w="0" w:type="dxa"/>
            <w:right w:w="0" w:type="dxa"/>
          </w:tblCellMar>
        </w:tblPrEx>
        <w:trPr>
          <w:trHeight w:val="150" w:hRule="atLeast"/>
        </w:trPr>
        <w:tc>
          <w:tcPr>
            <w:tcW w:w="108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33</w:t>
            </w:r>
          </w:p>
        </w:tc>
        <w:tc>
          <w:tcPr>
            <w:tcW w:w="440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立杆及箱体接地</w:t>
            </w:r>
          </w:p>
        </w:tc>
        <w:tc>
          <w:tcPr>
            <w:tcW w:w="10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10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220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r>
              <w:rPr>
                <w:rFonts w:hint="eastAsia" w:ascii="宋体" w:hAnsi="宋体" w:cs="宋体"/>
                <w:kern w:val="0"/>
                <w:sz w:val="22"/>
                <w:szCs w:val="22"/>
                <w:lang w:bidi="ar"/>
              </w:rPr>
              <w:t>按规格制作接地极 接地极为50x50x5镀锌角钢，垂直打入地下，埋深不小于800mm， 含接地极及接地母线</w:t>
            </w:r>
          </w:p>
        </w:tc>
      </w:tr>
      <w:tr>
        <w:tblPrEx>
          <w:tblLayout w:type="fixed"/>
          <w:tblCellMar>
            <w:top w:w="0" w:type="dxa"/>
            <w:left w:w="0" w:type="dxa"/>
            <w:bottom w:w="0" w:type="dxa"/>
            <w:right w:w="0" w:type="dxa"/>
          </w:tblCellMar>
        </w:tblPrEx>
        <w:trPr>
          <w:trHeight w:val="140" w:hRule="atLeast"/>
        </w:trPr>
        <w:tc>
          <w:tcPr>
            <w:tcW w:w="10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34</w:t>
            </w:r>
          </w:p>
        </w:tc>
        <w:tc>
          <w:tcPr>
            <w:tcW w:w="440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物理围网接地</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套</w:t>
            </w:r>
          </w:p>
        </w:tc>
        <w:tc>
          <w:tcPr>
            <w:tcW w:w="10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bottom"/>
              <w:rPr>
                <w:rFonts w:hint="eastAsia" w:ascii="宋体" w:hAnsi="宋体" w:cs="宋体"/>
                <w:kern w:val="0"/>
                <w:sz w:val="22"/>
                <w:szCs w:val="22"/>
                <w:lang w:bidi="ar"/>
              </w:rPr>
            </w:pPr>
            <w:r>
              <w:rPr>
                <w:rFonts w:hint="eastAsia" w:ascii="宋体" w:hAnsi="宋体" w:cs="宋体"/>
                <w:kern w:val="0"/>
                <w:sz w:val="22"/>
                <w:szCs w:val="22"/>
                <w:lang w:bidi="ar"/>
              </w:rPr>
              <w:t>1</w:t>
            </w:r>
          </w:p>
        </w:tc>
        <w:tc>
          <w:tcPr>
            <w:tcW w:w="22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center"/>
              <w:textAlignment w:val="bottom"/>
              <w:rPr>
                <w:rFonts w:hint="eastAsia" w:ascii="宋体" w:hAnsi="宋体" w:cs="宋体"/>
                <w:color w:val="FF0000"/>
                <w:kern w:val="0"/>
                <w:sz w:val="22"/>
                <w:szCs w:val="22"/>
                <w:lang w:bidi="ar"/>
              </w:rPr>
            </w:pPr>
            <w:r>
              <w:rPr>
                <w:rFonts w:hint="eastAsia" w:ascii="宋体" w:hAnsi="宋体" w:cs="宋体"/>
                <w:kern w:val="0"/>
                <w:sz w:val="22"/>
                <w:szCs w:val="22"/>
                <w:lang w:bidi="ar"/>
              </w:rPr>
              <w:t>按规格制作接地极 接地极为50x50x5镀锌角钢，垂直打入地下，埋深不小于800mm， 含接地极及接地母线</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35</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辅材</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bottom"/>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2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widowControl/>
              <w:jc w:val="center"/>
              <w:textAlignment w:val="bottom"/>
              <w:rPr>
                <w:rFonts w:hint="eastAsia" w:ascii="宋体" w:hAnsi="宋体" w:cs="宋体"/>
                <w:color w:val="000000"/>
                <w:kern w:val="0"/>
                <w:sz w:val="22"/>
                <w:szCs w:val="22"/>
                <w:lang w:bidi="ar"/>
              </w:rPr>
            </w:pPr>
          </w:p>
        </w:tc>
      </w:tr>
    </w:tbl>
    <w:p>
      <w:pPr>
        <w:pStyle w:val="51"/>
        <w:snapToGrid w:val="0"/>
        <w:spacing w:before="0" w:beforeAutospacing="0" w:after="0" w:afterAutospacing="0" w:line="360" w:lineRule="auto"/>
        <w:jc w:val="both"/>
        <w:rPr>
          <w:rFonts w:ascii="宋体" w:cs="Arial"/>
          <w:sz w:val="22"/>
          <w:szCs w:val="22"/>
        </w:rPr>
      </w:pPr>
    </w:p>
    <w:p>
      <w:pPr>
        <w:pStyle w:val="51"/>
        <w:snapToGrid w:val="0"/>
        <w:spacing w:before="0" w:beforeAutospacing="0" w:after="0" w:afterAutospacing="0" w:line="360" w:lineRule="auto"/>
        <w:ind w:firstLine="440" w:firstLineChars="200"/>
        <w:jc w:val="both"/>
        <w:rPr>
          <w:rFonts w:ascii="宋体" w:cs="Arial"/>
          <w:color w:val="auto"/>
          <w:sz w:val="22"/>
          <w:szCs w:val="22"/>
        </w:rPr>
      </w:pPr>
      <w:r>
        <w:rPr>
          <w:rFonts w:hint="eastAsia" w:ascii="宋体" w:hAnsi="宋体" w:cs="Arial"/>
          <w:color w:val="auto"/>
          <w:sz w:val="22"/>
          <w:szCs w:val="22"/>
        </w:rPr>
        <w:t>以上所述招标范围的工程施工内容并非详细完整的工程内容，投标人必须仔细踏勘现场，准确掌握全部工程内容。投标人须充分考虑机场现有安防系统、一期飞行区报警系统及其专用网络所使用设备的品牌和型号，所采购的设备能接入现有的系统和平台，与现有系统兼容。若投标人认为所投的设备品牌型号接入现有的系统和平台需额外增加设备，该类设备由投标人负责提供。若有遗漏或缺项报价的风险由投标人承担，投标人认为有遗漏或缺项报价的请另附页列明。</w:t>
      </w:r>
    </w:p>
    <w:p>
      <w:pPr>
        <w:pStyle w:val="3"/>
        <w:keepNext w:val="0"/>
        <w:keepLines w:val="0"/>
        <w:tabs>
          <w:tab w:val="left" w:pos="576"/>
        </w:tabs>
        <w:spacing w:before="0"/>
        <w:jc w:val="both"/>
        <w:rPr>
          <w:rFonts w:ascii="Times New Roman" w:hAnsi="Times New Roman"/>
          <w:color w:val="000000"/>
          <w:sz w:val="30"/>
          <w:szCs w:val="30"/>
        </w:rPr>
      </w:pPr>
      <w:bookmarkStart w:id="280" w:name="_Toc119378303"/>
      <w:bookmarkStart w:id="281" w:name="_Toc119504318"/>
      <w:bookmarkStart w:id="282" w:name="_Toc214178004"/>
      <w:bookmarkStart w:id="283" w:name="_Toc127347657"/>
      <w:bookmarkStart w:id="284" w:name="_Toc392056813"/>
      <w:bookmarkStart w:id="285" w:name="_Toc123028544"/>
      <w:bookmarkStart w:id="286" w:name="_Toc119378491"/>
      <w:bookmarkStart w:id="287" w:name="_Toc124561178"/>
      <w:bookmarkStart w:id="288" w:name="_Toc122958942"/>
      <w:bookmarkStart w:id="289" w:name="_Toc119258136"/>
      <w:r>
        <w:rPr>
          <w:rFonts w:ascii="Times New Roman" w:hAnsi="Times New Roman"/>
          <w:color w:val="000000"/>
          <w:sz w:val="30"/>
          <w:szCs w:val="30"/>
        </w:rPr>
        <w:t xml:space="preserve">1.6 </w:t>
      </w:r>
      <w:r>
        <w:rPr>
          <w:rFonts w:hint="eastAsia" w:ascii="Times New Roman" w:hAnsi="Times New Roman" w:cs="宋体"/>
          <w:color w:val="000000"/>
          <w:sz w:val="30"/>
          <w:szCs w:val="30"/>
        </w:rPr>
        <w:t>详细技术要求</w:t>
      </w:r>
      <w:bookmarkEnd w:id="280"/>
      <w:bookmarkEnd w:id="281"/>
      <w:bookmarkEnd w:id="282"/>
      <w:bookmarkEnd w:id="283"/>
      <w:bookmarkEnd w:id="284"/>
      <w:bookmarkEnd w:id="285"/>
      <w:bookmarkEnd w:id="286"/>
      <w:bookmarkEnd w:id="287"/>
      <w:bookmarkEnd w:id="288"/>
      <w:bookmarkEnd w:id="289"/>
    </w:p>
    <w:p>
      <w:pPr>
        <w:pStyle w:val="5"/>
        <w:keepNext w:val="0"/>
        <w:keepLines w:val="0"/>
        <w:tabs>
          <w:tab w:val="left" w:pos="900"/>
          <w:tab w:val="left" w:pos="1584"/>
        </w:tabs>
        <w:snapToGrid w:val="0"/>
        <w:spacing w:before="0" w:after="0" w:line="360" w:lineRule="auto"/>
        <w:ind w:left="1584" w:right="2" w:rightChars="1" w:hanging="1584"/>
        <w:rPr>
          <w:rFonts w:ascii="宋体" w:hAnsi="宋体" w:eastAsia="宋体" w:cs="宋体"/>
          <w:color w:val="000000"/>
          <w:sz w:val="22"/>
          <w:szCs w:val="22"/>
        </w:rPr>
      </w:pPr>
      <w:bookmarkStart w:id="290" w:name="_Toc128984433"/>
      <w:r>
        <w:rPr>
          <w:rFonts w:ascii="Times New Roman" w:hAnsi="Times New Roman" w:eastAsia="宋体"/>
          <w:sz w:val="22"/>
          <w:szCs w:val="22"/>
        </w:rPr>
        <w:t xml:space="preserve">1.6.1 </w:t>
      </w:r>
      <w:r>
        <w:rPr>
          <w:rFonts w:hint="eastAsia" w:ascii="宋体" w:hAnsi="宋体" w:eastAsia="宋体" w:cs="宋体"/>
          <w:color w:val="000000"/>
          <w:sz w:val="22"/>
          <w:szCs w:val="22"/>
        </w:rPr>
        <w:t>总体性能指标</w:t>
      </w:r>
    </w:p>
    <w:bookmarkEnd w:id="290"/>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hint="eastAsia" w:ascii="宋体" w:hAnsi="宋体" w:cs="宋体"/>
          <w:color w:val="000000"/>
          <w:sz w:val="22"/>
          <w:lang w:val="zh-TW"/>
        </w:rPr>
      </w:pPr>
      <w:r>
        <w:rPr>
          <w:sz w:val="22"/>
          <w:szCs w:val="22"/>
        </w:rPr>
        <w:t>1.6.1.</w:t>
      </w:r>
      <w:r>
        <w:rPr>
          <w:rFonts w:hint="eastAsia"/>
          <w:sz w:val="22"/>
          <w:szCs w:val="22"/>
        </w:rPr>
        <w:t>1</w:t>
      </w:r>
      <w:r>
        <w:rPr>
          <w:rFonts w:hint="eastAsia" w:ascii="宋体" w:hAnsi="宋体"/>
          <w:bCs w:val="0"/>
          <w:color w:val="000000"/>
          <w:sz w:val="22"/>
          <w:szCs w:val="22"/>
        </w:rPr>
        <w:t>高清</w:t>
      </w:r>
      <w:r>
        <w:rPr>
          <w:rFonts w:hint="eastAsia" w:ascii="宋体" w:hAnsi="宋体" w:cs="宋体"/>
          <w:color w:val="000000"/>
          <w:sz w:val="22"/>
          <w:lang w:val="zh-TW"/>
        </w:rPr>
        <w:t>枪型摄像机</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16" w:firstLineChars="98"/>
        <w:rPr>
          <w:rFonts w:ascii="宋体"/>
          <w:bCs w:val="0"/>
          <w:color w:val="000000"/>
          <w:sz w:val="22"/>
          <w:szCs w:val="22"/>
        </w:rPr>
      </w:pPr>
      <w:r>
        <w:rPr>
          <w:rFonts w:hint="eastAsia" w:ascii="宋体" w:hAnsi="宋体"/>
          <w:bCs w:val="0"/>
          <w:color w:val="000000"/>
          <w:sz w:val="22"/>
          <w:szCs w:val="22"/>
        </w:rPr>
        <w:t>可接受的标准化产品品牌为：</w:t>
      </w:r>
      <w:r>
        <w:rPr>
          <w:rFonts w:hint="eastAsia" w:ascii="宋体" w:hAnsi="宋体"/>
          <w:sz w:val="22"/>
        </w:rPr>
        <w:t>海康、大华、宇视</w:t>
      </w:r>
      <w:r>
        <w:rPr>
          <w:rFonts w:hint="eastAsia" w:ascii="宋体" w:hAnsi="宋体"/>
          <w:bCs w:val="0"/>
          <w:color w:val="000000"/>
          <w:sz w:val="22"/>
          <w:szCs w:val="22"/>
        </w:rPr>
        <w:t>同等或以上档次品牌。</w:t>
      </w:r>
    </w:p>
    <w:tbl>
      <w:tblPr>
        <w:tblStyle w:val="57"/>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7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b/>
                <w:color w:val="000000"/>
              </w:rPr>
            </w:pPr>
            <w:r>
              <w:rPr>
                <w:rFonts w:hint="eastAsia"/>
                <w:b/>
                <w:color w:val="000000"/>
              </w:rPr>
              <w:t>序号</w:t>
            </w:r>
          </w:p>
        </w:tc>
        <w:tc>
          <w:tcPr>
            <w:tcW w:w="8064" w:type="dxa"/>
            <w:gridSpan w:val="2"/>
            <w:noWrap w:val="0"/>
            <w:vAlign w:val="center"/>
          </w:tcPr>
          <w:p>
            <w:pPr>
              <w:jc w:val="center"/>
              <w:rPr>
                <w:b/>
                <w:color w:val="000000"/>
              </w:rPr>
            </w:pPr>
            <w:r>
              <w:rPr>
                <w:rFonts w:hint="eastAsia"/>
                <w:b/>
                <w:color w:val="000000"/>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1</w:t>
            </w:r>
          </w:p>
        </w:tc>
        <w:tc>
          <w:tcPr>
            <w:tcW w:w="3276" w:type="dxa"/>
            <w:noWrap w:val="0"/>
            <w:vAlign w:val="center"/>
          </w:tcPr>
          <w:p>
            <w:pPr>
              <w:jc w:val="left"/>
              <w:rPr>
                <w:rFonts w:ascii="宋体"/>
                <w:color w:val="000000"/>
                <w:sz w:val="22"/>
              </w:rPr>
            </w:pPr>
            <w:r>
              <w:rPr>
                <w:rFonts w:hint="eastAsia" w:ascii="宋体"/>
                <w:color w:val="000000"/>
                <w:sz w:val="22"/>
              </w:rPr>
              <w:t>成像器件</w:t>
            </w:r>
          </w:p>
        </w:tc>
        <w:tc>
          <w:tcPr>
            <w:tcW w:w="4788" w:type="dxa"/>
            <w:noWrap w:val="0"/>
            <w:vAlign w:val="center"/>
          </w:tcPr>
          <w:p>
            <w:pPr>
              <w:widowControl/>
              <w:ind w:right="319" w:rightChars="133"/>
              <w:jc w:val="left"/>
              <w:rPr>
                <w:rFonts w:ascii="宋体"/>
                <w:color w:val="000000"/>
                <w:sz w:val="22"/>
              </w:rPr>
            </w:pPr>
            <w:r>
              <w:rPr>
                <w:rFonts w:hint="eastAsia" w:ascii="宋体" w:hAnsi="宋体"/>
                <w:bCs/>
                <w:sz w:val="22"/>
              </w:rPr>
              <w:t>≥</w:t>
            </w:r>
            <w:r>
              <w:rPr>
                <w:rFonts w:ascii="宋体" w:hAnsi="宋体"/>
                <w:bCs/>
                <w:sz w:val="22"/>
              </w:rPr>
              <w:t>1/</w:t>
            </w:r>
            <w:r>
              <w:rPr>
                <w:rFonts w:hint="eastAsia" w:ascii="宋体" w:hAnsi="宋体"/>
                <w:bCs/>
                <w:sz w:val="22"/>
              </w:rPr>
              <w:t>2英寸</w:t>
            </w:r>
            <w:r>
              <w:rPr>
                <w:rFonts w:ascii="宋体" w:hAnsi="宋体"/>
                <w:bCs/>
                <w:sz w:val="22"/>
              </w:rPr>
              <w:t>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2</w:t>
            </w:r>
          </w:p>
        </w:tc>
        <w:tc>
          <w:tcPr>
            <w:tcW w:w="3276" w:type="dxa"/>
            <w:noWrap w:val="0"/>
            <w:vAlign w:val="center"/>
          </w:tcPr>
          <w:p>
            <w:pPr>
              <w:jc w:val="left"/>
              <w:rPr>
                <w:rFonts w:ascii="宋体"/>
                <w:color w:val="000000"/>
                <w:sz w:val="22"/>
              </w:rPr>
            </w:pPr>
            <w:r>
              <w:rPr>
                <w:rFonts w:hint="eastAsia" w:ascii="宋体" w:hAnsi="宋体"/>
                <w:color w:val="000000"/>
                <w:sz w:val="22"/>
              </w:rPr>
              <w:t>有效像素</w:t>
            </w:r>
          </w:p>
        </w:tc>
        <w:tc>
          <w:tcPr>
            <w:tcW w:w="4788" w:type="dxa"/>
            <w:noWrap w:val="0"/>
            <w:vAlign w:val="center"/>
          </w:tcPr>
          <w:p>
            <w:pPr>
              <w:widowControl/>
              <w:ind w:right="319" w:rightChars="133"/>
              <w:jc w:val="left"/>
              <w:rPr>
                <w:rFonts w:ascii="宋体"/>
                <w:color w:val="000000"/>
                <w:sz w:val="22"/>
              </w:rPr>
            </w:pPr>
            <w:r>
              <w:rPr>
                <w:rFonts w:hint="eastAsia" w:ascii="宋体" w:hAnsi="宋体"/>
                <w:bCs/>
                <w:sz w:val="22"/>
              </w:rPr>
              <w:t>有效像素：≥</w:t>
            </w:r>
            <w:r>
              <w:rPr>
                <w:rFonts w:ascii="宋体" w:hAnsi="宋体"/>
                <w:bCs/>
                <w:sz w:val="22"/>
              </w:rPr>
              <w:t>200</w:t>
            </w:r>
            <w:r>
              <w:rPr>
                <w:rFonts w:hint="eastAsia" w:ascii="宋体" w:hAnsi="宋体"/>
                <w:bCs/>
                <w:sz w:val="22"/>
              </w:rPr>
              <w:t>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3</w:t>
            </w:r>
          </w:p>
        </w:tc>
        <w:tc>
          <w:tcPr>
            <w:tcW w:w="3276" w:type="dxa"/>
            <w:noWrap w:val="0"/>
            <w:vAlign w:val="center"/>
          </w:tcPr>
          <w:p>
            <w:pPr>
              <w:jc w:val="left"/>
              <w:rPr>
                <w:rFonts w:ascii="宋体"/>
                <w:color w:val="000000"/>
                <w:sz w:val="22"/>
              </w:rPr>
            </w:pPr>
            <w:r>
              <w:rPr>
                <w:rFonts w:hint="eastAsia" w:ascii="宋体" w:hAnsi="宋体"/>
                <w:color w:val="000000"/>
                <w:sz w:val="22"/>
              </w:rPr>
              <w:t>帧率</w:t>
            </w:r>
          </w:p>
        </w:tc>
        <w:tc>
          <w:tcPr>
            <w:tcW w:w="4788" w:type="dxa"/>
            <w:noWrap w:val="0"/>
            <w:vAlign w:val="center"/>
          </w:tcPr>
          <w:p>
            <w:pPr>
              <w:jc w:val="left"/>
              <w:rPr>
                <w:rFonts w:ascii="宋体"/>
                <w:color w:val="000000"/>
                <w:sz w:val="22"/>
              </w:rPr>
            </w:pPr>
            <w:r>
              <w:rPr>
                <w:rFonts w:hint="eastAsia" w:ascii="宋体" w:hAnsi="宋体"/>
                <w:bCs/>
                <w:sz w:val="22"/>
              </w:rPr>
              <w:t>支持60</w:t>
            </w:r>
            <w:r>
              <w:rPr>
                <w:rFonts w:ascii="宋体" w:hAnsi="宋体"/>
                <w:bCs/>
                <w:sz w:val="22"/>
              </w:rPr>
              <w:t>fps(1920</w:t>
            </w:r>
            <w:r>
              <w:rPr>
                <w:rFonts w:hint="eastAsia" w:ascii="宋体" w:hAnsi="宋体"/>
                <w:bCs/>
                <w:sz w:val="22"/>
              </w:rPr>
              <w:t>×</w:t>
            </w:r>
            <w:r>
              <w:rPr>
                <w:rFonts w:ascii="宋体" w:hAnsi="宋体"/>
                <w:bCs/>
                <w:sz w:val="22"/>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4</w:t>
            </w:r>
          </w:p>
        </w:tc>
        <w:tc>
          <w:tcPr>
            <w:tcW w:w="3276" w:type="dxa"/>
            <w:noWrap w:val="0"/>
            <w:vAlign w:val="center"/>
          </w:tcPr>
          <w:p>
            <w:pPr>
              <w:jc w:val="left"/>
              <w:rPr>
                <w:rFonts w:hint="eastAsia" w:ascii="宋体"/>
                <w:color w:val="000000"/>
                <w:sz w:val="22"/>
              </w:rPr>
            </w:pPr>
            <w:r>
              <w:rPr>
                <w:rFonts w:hint="eastAsia" w:ascii="宋体"/>
                <w:color w:val="000000"/>
                <w:sz w:val="22"/>
              </w:rPr>
              <w:t>最低照度</w:t>
            </w:r>
          </w:p>
        </w:tc>
        <w:tc>
          <w:tcPr>
            <w:tcW w:w="4788" w:type="dxa"/>
            <w:noWrap w:val="0"/>
            <w:vAlign w:val="center"/>
          </w:tcPr>
          <w:p>
            <w:pPr>
              <w:widowControl/>
              <w:ind w:right="319" w:rightChars="133"/>
              <w:jc w:val="left"/>
              <w:rPr>
                <w:rFonts w:hint="eastAsia" w:ascii="宋体" w:hAnsi="宋体"/>
                <w:bCs/>
                <w:sz w:val="22"/>
              </w:rPr>
            </w:pPr>
            <w:r>
              <w:rPr>
                <w:rFonts w:hint="eastAsia" w:ascii="宋体" w:hAnsi="宋体"/>
                <w:bCs/>
                <w:sz w:val="22"/>
              </w:rPr>
              <w:t>彩色:0.001 Lux @(F1.2,AGC ON)</w:t>
            </w:r>
          </w:p>
          <w:p>
            <w:pPr>
              <w:widowControl/>
              <w:ind w:right="319" w:rightChars="133"/>
              <w:jc w:val="left"/>
              <w:rPr>
                <w:rFonts w:ascii="宋体"/>
                <w:color w:val="000000"/>
                <w:sz w:val="22"/>
              </w:rPr>
            </w:pPr>
            <w:r>
              <w:rPr>
                <w:rFonts w:hint="eastAsia" w:ascii="宋体" w:hAnsi="宋体"/>
                <w:bCs/>
                <w:sz w:val="22"/>
              </w:rPr>
              <w:t>黑白:0.0001Lux @(F1.2,AGC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olor w:val="000000"/>
                <w:sz w:val="22"/>
              </w:rPr>
            </w:pPr>
            <w:r>
              <w:rPr>
                <w:rFonts w:ascii="宋体" w:hAnsi="宋体" w:cs="黑体"/>
                <w:color w:val="000000"/>
                <w:sz w:val="22"/>
              </w:rPr>
              <w:t>5</w:t>
            </w:r>
          </w:p>
        </w:tc>
        <w:tc>
          <w:tcPr>
            <w:tcW w:w="3276" w:type="dxa"/>
            <w:noWrap w:val="0"/>
            <w:vAlign w:val="center"/>
          </w:tcPr>
          <w:p>
            <w:pPr>
              <w:jc w:val="left"/>
              <w:rPr>
                <w:rFonts w:hint="eastAsia" w:ascii="宋体"/>
                <w:color w:val="000000"/>
                <w:sz w:val="22"/>
              </w:rPr>
            </w:pPr>
            <w:r>
              <w:rPr>
                <w:rFonts w:hint="eastAsia" w:ascii="宋体"/>
                <w:color w:val="000000"/>
                <w:sz w:val="22"/>
              </w:rPr>
              <w:t>视频压缩标准</w:t>
            </w:r>
          </w:p>
        </w:tc>
        <w:tc>
          <w:tcPr>
            <w:tcW w:w="4788" w:type="dxa"/>
            <w:noWrap w:val="0"/>
            <w:vAlign w:val="center"/>
          </w:tcPr>
          <w:p>
            <w:pPr>
              <w:jc w:val="left"/>
              <w:rPr>
                <w:rFonts w:hint="eastAsia" w:ascii="宋体" w:hAnsi="宋体"/>
                <w:color w:val="000000"/>
                <w:sz w:val="22"/>
              </w:rPr>
            </w:pPr>
            <w:r>
              <w:rPr>
                <w:rFonts w:hint="eastAsia" w:ascii="宋体" w:hAnsi="宋体"/>
                <w:bCs/>
                <w:sz w:val="22"/>
              </w:rPr>
              <w:t>H.265/H.264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7" w:type="dxa"/>
            <w:noWrap w:val="0"/>
            <w:vAlign w:val="center"/>
          </w:tcPr>
          <w:p>
            <w:pPr>
              <w:jc w:val="center"/>
              <w:rPr>
                <w:rFonts w:hint="eastAsia" w:ascii="宋体"/>
                <w:color w:val="000000"/>
                <w:sz w:val="22"/>
              </w:rPr>
            </w:pPr>
            <w:r>
              <w:rPr>
                <w:rFonts w:ascii="宋体" w:hAnsi="宋体" w:cs="黑体"/>
                <w:color w:val="000000"/>
                <w:sz w:val="22"/>
              </w:rPr>
              <w:t>6</w:t>
            </w:r>
          </w:p>
        </w:tc>
        <w:tc>
          <w:tcPr>
            <w:tcW w:w="3276" w:type="dxa"/>
            <w:noWrap w:val="0"/>
            <w:vAlign w:val="center"/>
          </w:tcPr>
          <w:p>
            <w:pPr>
              <w:jc w:val="left"/>
              <w:rPr>
                <w:rFonts w:hint="eastAsia" w:ascii="宋体"/>
                <w:color w:val="000000"/>
                <w:sz w:val="22"/>
              </w:rPr>
            </w:pPr>
            <w:r>
              <w:rPr>
                <w:rFonts w:hint="eastAsia" w:ascii="宋体" w:hAnsi="宋体"/>
                <w:color w:val="000000"/>
                <w:sz w:val="22"/>
              </w:rPr>
              <w:t>数字降噪</w:t>
            </w:r>
          </w:p>
        </w:tc>
        <w:tc>
          <w:tcPr>
            <w:tcW w:w="4788" w:type="dxa"/>
            <w:noWrap w:val="0"/>
            <w:vAlign w:val="center"/>
          </w:tcPr>
          <w:p>
            <w:pPr>
              <w:jc w:val="left"/>
              <w:rPr>
                <w:rFonts w:hint="eastAsia" w:ascii="宋体" w:eastAsia="等线"/>
                <w:color w:val="000000"/>
                <w:sz w:val="22"/>
              </w:rPr>
            </w:pPr>
            <w:r>
              <w:rPr>
                <w:rFonts w:hint="eastAsia" w:ascii="宋体" w:hAnsi="宋体"/>
                <w:bCs/>
                <w:sz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67" w:type="dxa"/>
            <w:noWrap w:val="0"/>
            <w:vAlign w:val="center"/>
          </w:tcPr>
          <w:p>
            <w:pPr>
              <w:jc w:val="center"/>
              <w:rPr>
                <w:rFonts w:ascii="宋体"/>
                <w:color w:val="000000"/>
                <w:sz w:val="22"/>
              </w:rPr>
            </w:pPr>
            <w:r>
              <w:rPr>
                <w:rFonts w:ascii="宋体" w:hAnsi="宋体" w:cs="黑体"/>
                <w:color w:val="000000"/>
                <w:sz w:val="22"/>
              </w:rPr>
              <w:t>7</w:t>
            </w:r>
          </w:p>
        </w:tc>
        <w:tc>
          <w:tcPr>
            <w:tcW w:w="3276" w:type="dxa"/>
            <w:noWrap w:val="0"/>
            <w:vAlign w:val="center"/>
          </w:tcPr>
          <w:p>
            <w:pPr>
              <w:jc w:val="left"/>
              <w:rPr>
                <w:rFonts w:hint="eastAsia" w:ascii="宋体" w:hAnsi="宋体"/>
                <w:color w:val="000000"/>
                <w:sz w:val="22"/>
              </w:rPr>
            </w:pPr>
            <w:r>
              <w:rPr>
                <w:rFonts w:hint="eastAsia" w:ascii="宋体" w:hAnsi="宋体"/>
                <w:color w:val="000000"/>
                <w:sz w:val="22"/>
              </w:rPr>
              <w:t>三码流功能</w:t>
            </w:r>
          </w:p>
        </w:tc>
        <w:tc>
          <w:tcPr>
            <w:tcW w:w="4788" w:type="dxa"/>
            <w:noWrap w:val="0"/>
            <w:vAlign w:val="center"/>
          </w:tcPr>
          <w:p>
            <w:pPr>
              <w:jc w:val="left"/>
              <w:rPr>
                <w:rFonts w:hint="eastAsia" w:ascii="宋体" w:hAnsi="宋体"/>
                <w:color w:val="000000"/>
                <w:sz w:val="22"/>
              </w:rPr>
            </w:pPr>
            <w:r>
              <w:rPr>
                <w:rFonts w:hint="eastAsia" w:ascii="宋体" w:hAnsi="宋体"/>
                <w:color w:val="000000"/>
                <w:sz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8</w:t>
            </w:r>
          </w:p>
        </w:tc>
        <w:tc>
          <w:tcPr>
            <w:tcW w:w="3276" w:type="dxa"/>
            <w:noWrap w:val="0"/>
            <w:vAlign w:val="center"/>
          </w:tcPr>
          <w:p>
            <w:pPr>
              <w:jc w:val="left"/>
              <w:rPr>
                <w:rFonts w:hint="eastAsia" w:ascii="宋体"/>
                <w:color w:val="000000"/>
                <w:sz w:val="22"/>
              </w:rPr>
            </w:pPr>
            <w:r>
              <w:rPr>
                <w:rFonts w:hint="eastAsia" w:ascii="宋体" w:hAnsi="宋体"/>
                <w:color w:val="000000"/>
                <w:sz w:val="22"/>
              </w:rPr>
              <w:t>背光补偿</w:t>
            </w:r>
          </w:p>
        </w:tc>
        <w:tc>
          <w:tcPr>
            <w:tcW w:w="4788" w:type="dxa"/>
            <w:noWrap w:val="0"/>
            <w:vAlign w:val="center"/>
          </w:tcPr>
          <w:p>
            <w:pPr>
              <w:jc w:val="left"/>
              <w:rPr>
                <w:rFonts w:hint="eastAsia" w:ascii="宋体"/>
                <w:color w:val="000000"/>
                <w:sz w:val="22"/>
              </w:rPr>
            </w:pPr>
            <w:r>
              <w:rPr>
                <w:rFonts w:hint="eastAsia" w:ascii="宋体" w:cs="宋体"/>
                <w:color w:val="000000"/>
                <w:szCs w:val="21"/>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color w:val="000000"/>
                <w:sz w:val="22"/>
              </w:rPr>
            </w:pPr>
            <w:r>
              <w:rPr>
                <w:rFonts w:ascii="宋体" w:hAnsi="宋体" w:cs="黑体"/>
                <w:color w:val="000000"/>
                <w:sz w:val="22"/>
              </w:rPr>
              <w:t>9</w:t>
            </w:r>
          </w:p>
        </w:tc>
        <w:tc>
          <w:tcPr>
            <w:tcW w:w="3276" w:type="dxa"/>
            <w:noWrap w:val="0"/>
            <w:vAlign w:val="center"/>
          </w:tcPr>
          <w:p>
            <w:pPr>
              <w:jc w:val="left"/>
              <w:rPr>
                <w:rFonts w:ascii="宋体"/>
                <w:color w:val="000000"/>
                <w:sz w:val="22"/>
              </w:rPr>
            </w:pPr>
            <w:r>
              <w:rPr>
                <w:rFonts w:hint="eastAsia" w:ascii="宋体" w:hAnsi="宋体"/>
                <w:color w:val="000000"/>
                <w:sz w:val="22"/>
              </w:rPr>
              <w:t>电源</w:t>
            </w:r>
          </w:p>
        </w:tc>
        <w:tc>
          <w:tcPr>
            <w:tcW w:w="4788" w:type="dxa"/>
            <w:noWrap w:val="0"/>
            <w:vAlign w:val="center"/>
          </w:tcPr>
          <w:p>
            <w:pPr>
              <w:jc w:val="left"/>
              <w:rPr>
                <w:rFonts w:ascii="宋体" w:hAnsi="宋体"/>
                <w:color w:val="000000"/>
                <w:sz w:val="22"/>
              </w:rPr>
            </w:pPr>
            <w:r>
              <w:rPr>
                <w:rFonts w:hint="eastAsia" w:ascii="宋体" w:hAnsi="宋体"/>
                <w:b/>
                <w:bCs/>
                <w:color w:val="000000"/>
                <w:sz w:val="22"/>
              </w:rPr>
              <w:t>支持PoE(802.3af)</w:t>
            </w:r>
            <w:r>
              <w:rPr>
                <w:rFonts w:hint="eastAsia" w:ascii="宋体" w:hAnsi="宋体"/>
                <w:color w:val="000000"/>
                <w:sz w:val="22"/>
              </w:rPr>
              <w:t>/</w:t>
            </w:r>
            <w:r>
              <w:rPr>
                <w:rFonts w:ascii="宋体" w:hAnsi="宋体"/>
                <w:color w:val="000000"/>
                <w:sz w:val="22"/>
              </w:rPr>
              <w:t xml:space="preserve">AC 24V/DC12V </w:t>
            </w:r>
          </w:p>
        </w:tc>
      </w:tr>
    </w:tbl>
    <w:p>
      <w:pPr>
        <w:pStyle w:val="6"/>
        <w:keepNext w:val="0"/>
        <w:keepLines w:val="0"/>
        <w:tabs>
          <w:tab w:val="left" w:pos="720"/>
          <w:tab w:val="left" w:pos="1080"/>
          <w:tab w:val="left" w:pos="1968"/>
        </w:tabs>
        <w:adjustRightInd w:val="0"/>
        <w:snapToGrid w:val="0"/>
        <w:spacing w:before="0" w:after="0" w:line="360" w:lineRule="auto"/>
        <w:ind w:right="2" w:rightChars="1"/>
        <w:rPr>
          <w:rFonts w:hint="eastAsia" w:ascii="宋体"/>
          <w:bCs w:val="0"/>
          <w:color w:val="000000"/>
          <w:sz w:val="22"/>
          <w:szCs w:val="22"/>
        </w:rPr>
      </w:pPr>
    </w:p>
    <w:p>
      <w:pPr>
        <w:pStyle w:val="6"/>
        <w:keepNext w:val="0"/>
        <w:keepLines w:val="0"/>
        <w:tabs>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sz w:val="22"/>
          <w:szCs w:val="22"/>
        </w:rPr>
      </w:pPr>
      <w:r>
        <w:rPr>
          <w:sz w:val="22"/>
          <w:szCs w:val="22"/>
        </w:rPr>
        <w:t>1.6.1.</w:t>
      </w:r>
      <w:r>
        <w:rPr>
          <w:rFonts w:hint="eastAsia"/>
          <w:sz w:val="22"/>
          <w:szCs w:val="22"/>
        </w:rPr>
        <w:t>2</w:t>
      </w:r>
      <w:r>
        <w:rPr>
          <w:rFonts w:hint="eastAsia" w:ascii="宋体" w:hAnsi="宋体"/>
          <w:bCs w:val="0"/>
          <w:sz w:val="22"/>
          <w:szCs w:val="22"/>
        </w:rPr>
        <w:t>高清枪机镜头</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37" w:firstLineChars="198"/>
        <w:rPr>
          <w:rFonts w:hint="eastAsia"/>
          <w:color w:val="FF0000"/>
        </w:rPr>
      </w:pPr>
      <w:r>
        <w:rPr>
          <w:rFonts w:hint="eastAsia" w:ascii="宋体" w:hAnsi="宋体"/>
          <w:bCs w:val="0"/>
          <w:color w:val="000000"/>
          <w:sz w:val="22"/>
          <w:szCs w:val="22"/>
        </w:rPr>
        <w:t>可接受的标准化产品品牌为：</w:t>
      </w:r>
      <w:r>
        <w:rPr>
          <w:rFonts w:hint="eastAsia" w:ascii="宋体" w:hAnsi="宋体"/>
          <w:sz w:val="22"/>
        </w:rPr>
        <w:t>海康、大华、宇视</w:t>
      </w:r>
      <w:r>
        <w:rPr>
          <w:rFonts w:hint="eastAsia" w:ascii="宋体" w:hAnsi="宋体"/>
          <w:bCs w:val="0"/>
          <w:color w:val="000000"/>
          <w:sz w:val="22"/>
          <w:szCs w:val="22"/>
        </w:rPr>
        <w:t>同等或以上档次品牌。</w:t>
      </w:r>
    </w:p>
    <w:tbl>
      <w:tblPr>
        <w:tblStyle w:val="57"/>
        <w:tblW w:w="8820"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7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4" w:type="dxa"/>
            <w:noWrap w:val="0"/>
            <w:vAlign w:val="top"/>
          </w:tcPr>
          <w:p>
            <w:pPr>
              <w:spacing w:line="400" w:lineRule="exact"/>
              <w:jc w:val="center"/>
              <w:rPr>
                <w:rFonts w:ascii="宋体"/>
                <w:b/>
                <w:sz w:val="22"/>
              </w:rPr>
            </w:pPr>
            <w:r>
              <w:rPr>
                <w:rFonts w:hint="eastAsia" w:ascii="宋体" w:hAnsi="宋体"/>
                <w:b/>
                <w:sz w:val="22"/>
              </w:rPr>
              <w:t>序号</w:t>
            </w:r>
          </w:p>
        </w:tc>
        <w:tc>
          <w:tcPr>
            <w:tcW w:w="7856" w:type="dxa"/>
            <w:noWrap w:val="0"/>
            <w:vAlign w:val="top"/>
          </w:tcPr>
          <w:p>
            <w:pPr>
              <w:spacing w:line="400" w:lineRule="exact"/>
              <w:jc w:val="center"/>
              <w:rPr>
                <w:rFonts w:ascii="宋体"/>
                <w:b/>
                <w:sz w:val="22"/>
              </w:rPr>
            </w:pPr>
            <w:r>
              <w:rPr>
                <w:rFonts w:hint="eastAsia" w:ascii="宋体" w:hAnsi="宋体"/>
                <w:b/>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64" w:type="dxa"/>
            <w:noWrap w:val="0"/>
            <w:vAlign w:val="center"/>
          </w:tcPr>
          <w:p>
            <w:pPr>
              <w:spacing w:line="400" w:lineRule="exact"/>
              <w:jc w:val="center"/>
              <w:rPr>
                <w:rFonts w:ascii="宋体" w:hAnsi="宋体"/>
                <w:sz w:val="22"/>
              </w:rPr>
            </w:pPr>
            <w:r>
              <w:rPr>
                <w:rFonts w:ascii="宋体" w:hAnsi="宋体"/>
                <w:sz w:val="22"/>
              </w:rPr>
              <w:t>1</w:t>
            </w:r>
          </w:p>
        </w:tc>
        <w:tc>
          <w:tcPr>
            <w:tcW w:w="7856" w:type="dxa"/>
            <w:noWrap w:val="0"/>
            <w:vAlign w:val="top"/>
          </w:tcPr>
          <w:p>
            <w:pPr>
              <w:spacing w:line="400" w:lineRule="exact"/>
              <w:rPr>
                <w:rFonts w:ascii="宋体"/>
                <w:sz w:val="22"/>
              </w:rPr>
            </w:pPr>
            <w:r>
              <w:rPr>
                <w:rFonts w:hint="eastAsia" w:ascii="宋体"/>
                <w:sz w:val="22"/>
              </w:rPr>
              <w:t>接口类型：CS接口或C接口加垫圈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4" w:type="dxa"/>
            <w:noWrap w:val="0"/>
            <w:vAlign w:val="center"/>
          </w:tcPr>
          <w:p>
            <w:pPr>
              <w:spacing w:line="400" w:lineRule="exact"/>
              <w:jc w:val="center"/>
              <w:rPr>
                <w:rFonts w:hint="eastAsia" w:ascii="宋体" w:hAnsi="宋体"/>
                <w:sz w:val="22"/>
              </w:rPr>
            </w:pPr>
            <w:r>
              <w:rPr>
                <w:rFonts w:hint="eastAsia" w:ascii="宋体" w:hAnsi="宋体"/>
                <w:sz w:val="22"/>
              </w:rPr>
              <w:t>2</w:t>
            </w:r>
          </w:p>
        </w:tc>
        <w:tc>
          <w:tcPr>
            <w:tcW w:w="7856" w:type="dxa"/>
            <w:noWrap w:val="0"/>
            <w:vAlign w:val="top"/>
          </w:tcPr>
          <w:p>
            <w:pPr>
              <w:spacing w:line="400" w:lineRule="exact"/>
              <w:rPr>
                <w:rFonts w:hint="eastAsia" w:ascii="宋体"/>
                <w:sz w:val="22"/>
              </w:rPr>
            </w:pPr>
            <w:r>
              <w:rPr>
                <w:rFonts w:hint="eastAsia" w:ascii="宋体"/>
                <w:sz w:val="22"/>
              </w:rPr>
              <w:t>像面尺寸：</w:t>
            </w:r>
            <w:r>
              <w:rPr>
                <w:rFonts w:hint="eastAsia" w:ascii="宋体" w:hAnsi="宋体"/>
                <w:bCs/>
                <w:sz w:val="22"/>
              </w:rPr>
              <w:t>≥</w:t>
            </w:r>
            <w:r>
              <w:rPr>
                <w:rFonts w:ascii="宋体" w:hAnsi="宋体"/>
                <w:bCs/>
                <w:sz w:val="22"/>
              </w:rPr>
              <w:t>1/</w:t>
            </w:r>
            <w:r>
              <w:rPr>
                <w:rFonts w:hint="eastAsia" w:ascii="宋体" w:hAnsi="宋体"/>
                <w:bCs/>
                <w:sz w:val="22"/>
              </w:rPr>
              <w:t>2英寸，与本项目高清枪型摄像机匹配使用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64" w:type="dxa"/>
            <w:noWrap w:val="0"/>
            <w:vAlign w:val="center"/>
          </w:tcPr>
          <w:p>
            <w:pPr>
              <w:spacing w:line="400" w:lineRule="exact"/>
              <w:jc w:val="center"/>
              <w:rPr>
                <w:rFonts w:hint="eastAsia" w:ascii="宋体" w:hAnsi="宋体" w:eastAsia="等线"/>
                <w:sz w:val="22"/>
              </w:rPr>
            </w:pPr>
            <w:r>
              <w:rPr>
                <w:rFonts w:hint="eastAsia" w:ascii="宋体" w:hAnsi="宋体"/>
                <w:sz w:val="22"/>
              </w:rPr>
              <w:t>3</w:t>
            </w:r>
          </w:p>
        </w:tc>
        <w:tc>
          <w:tcPr>
            <w:tcW w:w="7856" w:type="dxa"/>
            <w:noWrap w:val="0"/>
            <w:vAlign w:val="top"/>
          </w:tcPr>
          <w:p>
            <w:pPr>
              <w:spacing w:line="400" w:lineRule="exact"/>
              <w:rPr>
                <w:rFonts w:ascii="宋体" w:eastAsia="等线"/>
                <w:sz w:val="22"/>
              </w:rPr>
            </w:pPr>
            <w:r>
              <w:rPr>
                <w:rFonts w:hint="eastAsia" w:ascii="宋体"/>
                <w:sz w:val="22"/>
              </w:rPr>
              <w:t>最小焦距小于等于3.8MM，最大焦距大于等于12MM，可变焦</w:t>
            </w:r>
          </w:p>
        </w:tc>
      </w:tr>
    </w:tbl>
    <w:p>
      <w:pPr>
        <w:pStyle w:val="6"/>
        <w:keepNext w:val="0"/>
        <w:keepLines w:val="0"/>
        <w:tabs>
          <w:tab w:val="left" w:pos="720"/>
          <w:tab w:val="left" w:pos="1080"/>
          <w:tab w:val="left" w:pos="1968"/>
        </w:tabs>
        <w:adjustRightInd w:val="0"/>
        <w:snapToGrid w:val="0"/>
        <w:spacing w:before="0" w:after="0" w:line="360" w:lineRule="auto"/>
        <w:ind w:right="2" w:rightChars="1" w:firstLine="221" w:firstLineChars="100"/>
        <w:rPr>
          <w:rFonts w:ascii="宋体"/>
          <w:bCs w:val="0"/>
          <w:color w:val="000000"/>
          <w:sz w:val="22"/>
          <w:szCs w:val="22"/>
        </w:rPr>
      </w:pPr>
      <w:bookmarkStart w:id="291" w:name="_Toc430266653"/>
    </w:p>
    <w:bookmarkEnd w:id="291"/>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sz w:val="22"/>
          <w:szCs w:val="22"/>
        </w:rPr>
        <w:t>1.6.1.</w:t>
      </w:r>
      <w:r>
        <w:rPr>
          <w:rFonts w:hint="eastAsia"/>
          <w:sz w:val="22"/>
          <w:szCs w:val="22"/>
        </w:rPr>
        <w:t>3</w:t>
      </w:r>
      <w:r>
        <w:rPr>
          <w:rFonts w:hint="eastAsia" w:ascii="宋体" w:hAnsi="宋体"/>
          <w:bCs w:val="0"/>
          <w:color w:val="000000"/>
          <w:sz w:val="22"/>
          <w:szCs w:val="22"/>
        </w:rPr>
        <w:t xml:space="preserve"> 高清快球</w:t>
      </w:r>
    </w:p>
    <w:p>
      <w:pPr>
        <w:widowControl/>
        <w:ind w:left="250" w:leftChars="104" w:right="319" w:rightChars="133"/>
        <w:jc w:val="left"/>
        <w:rPr>
          <w:rFonts w:hint="eastAsia" w:ascii="宋体" w:hAnsi="宋体"/>
          <w:b/>
          <w:bCs/>
          <w:kern w:val="0"/>
          <w:sz w:val="22"/>
          <w:szCs w:val="28"/>
        </w:rPr>
      </w:pPr>
      <w:r>
        <w:rPr>
          <w:rFonts w:hint="eastAsia" w:ascii="宋体" w:hAnsi="宋体"/>
          <w:b/>
          <w:bCs/>
          <w:kern w:val="0"/>
          <w:sz w:val="22"/>
          <w:szCs w:val="28"/>
        </w:rPr>
        <w:t>可接受的标准化产品品牌为：海康、大华、宇视同等或以上档次品牌。</w:t>
      </w:r>
    </w:p>
    <w:tbl>
      <w:tblPr>
        <w:tblStyle w:val="57"/>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7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b/>
                <w:color w:val="000000"/>
              </w:rPr>
            </w:pPr>
            <w:r>
              <w:rPr>
                <w:rFonts w:hint="eastAsia"/>
                <w:b/>
                <w:color w:val="000000"/>
              </w:rPr>
              <w:t>序号</w:t>
            </w:r>
          </w:p>
        </w:tc>
        <w:tc>
          <w:tcPr>
            <w:tcW w:w="8064" w:type="dxa"/>
            <w:gridSpan w:val="2"/>
            <w:noWrap w:val="0"/>
            <w:vAlign w:val="center"/>
          </w:tcPr>
          <w:p>
            <w:pPr>
              <w:jc w:val="center"/>
              <w:rPr>
                <w:b/>
                <w:color w:val="000000"/>
              </w:rPr>
            </w:pPr>
            <w:r>
              <w:rPr>
                <w:rFonts w:hint="eastAsia"/>
                <w:b/>
                <w:color w:val="000000"/>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1</w:t>
            </w:r>
          </w:p>
        </w:tc>
        <w:tc>
          <w:tcPr>
            <w:tcW w:w="3276" w:type="dxa"/>
            <w:noWrap w:val="0"/>
            <w:vAlign w:val="center"/>
          </w:tcPr>
          <w:p>
            <w:pPr>
              <w:jc w:val="left"/>
              <w:rPr>
                <w:rFonts w:ascii="宋体"/>
                <w:color w:val="000000"/>
                <w:sz w:val="22"/>
              </w:rPr>
            </w:pPr>
            <w:r>
              <w:rPr>
                <w:rFonts w:hint="eastAsia" w:ascii="宋体"/>
                <w:color w:val="000000"/>
                <w:sz w:val="22"/>
              </w:rPr>
              <w:t>成像器件</w:t>
            </w:r>
          </w:p>
        </w:tc>
        <w:tc>
          <w:tcPr>
            <w:tcW w:w="4788" w:type="dxa"/>
            <w:noWrap w:val="0"/>
            <w:vAlign w:val="center"/>
          </w:tcPr>
          <w:p>
            <w:pPr>
              <w:widowControl/>
              <w:ind w:right="319" w:rightChars="133"/>
              <w:jc w:val="left"/>
              <w:rPr>
                <w:rFonts w:ascii="宋体"/>
                <w:color w:val="000000"/>
                <w:sz w:val="22"/>
              </w:rPr>
            </w:pPr>
            <w:r>
              <w:rPr>
                <w:rFonts w:hint="eastAsia" w:ascii="宋体" w:hAnsi="宋体"/>
                <w:bCs/>
                <w:sz w:val="22"/>
              </w:rPr>
              <w:t>≥</w:t>
            </w:r>
            <w:r>
              <w:rPr>
                <w:rFonts w:ascii="宋体" w:hAnsi="宋体"/>
                <w:bCs/>
                <w:sz w:val="22"/>
              </w:rPr>
              <w:t>1/</w:t>
            </w:r>
            <w:r>
              <w:rPr>
                <w:rFonts w:hint="eastAsia" w:ascii="宋体" w:hAnsi="宋体"/>
                <w:bCs/>
                <w:sz w:val="22"/>
              </w:rPr>
              <w:t>3英寸</w:t>
            </w:r>
            <w:r>
              <w:rPr>
                <w:rFonts w:ascii="宋体" w:hAnsi="宋体"/>
                <w:bCs/>
                <w:sz w:val="22"/>
              </w:rPr>
              <w:t>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2</w:t>
            </w:r>
          </w:p>
        </w:tc>
        <w:tc>
          <w:tcPr>
            <w:tcW w:w="3276" w:type="dxa"/>
            <w:noWrap w:val="0"/>
            <w:vAlign w:val="center"/>
          </w:tcPr>
          <w:p>
            <w:pPr>
              <w:jc w:val="left"/>
              <w:rPr>
                <w:rFonts w:hint="eastAsia" w:ascii="宋体"/>
                <w:color w:val="000000"/>
                <w:sz w:val="22"/>
              </w:rPr>
            </w:pPr>
            <w:r>
              <w:rPr>
                <w:rFonts w:hint="eastAsia" w:ascii="宋体"/>
                <w:color w:val="000000"/>
                <w:sz w:val="22"/>
              </w:rPr>
              <w:t>焦距</w:t>
            </w:r>
          </w:p>
        </w:tc>
        <w:tc>
          <w:tcPr>
            <w:tcW w:w="4788" w:type="dxa"/>
            <w:noWrap w:val="0"/>
            <w:vAlign w:val="center"/>
          </w:tcPr>
          <w:p>
            <w:pPr>
              <w:widowControl/>
              <w:ind w:right="319" w:rightChars="133"/>
              <w:jc w:val="left"/>
              <w:rPr>
                <w:rFonts w:ascii="宋体"/>
                <w:color w:val="000000"/>
                <w:sz w:val="22"/>
              </w:rPr>
            </w:pPr>
            <w:r>
              <w:rPr>
                <w:rFonts w:hint="eastAsia" w:ascii="宋体" w:hAnsi="宋体"/>
                <w:bCs/>
                <w:sz w:val="22"/>
              </w:rPr>
              <w:t>30倍光学变焦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3</w:t>
            </w:r>
          </w:p>
        </w:tc>
        <w:tc>
          <w:tcPr>
            <w:tcW w:w="3276" w:type="dxa"/>
            <w:noWrap w:val="0"/>
            <w:vAlign w:val="center"/>
          </w:tcPr>
          <w:p>
            <w:pPr>
              <w:jc w:val="left"/>
              <w:rPr>
                <w:rFonts w:ascii="宋体"/>
                <w:color w:val="000000"/>
                <w:sz w:val="22"/>
              </w:rPr>
            </w:pPr>
            <w:r>
              <w:rPr>
                <w:rFonts w:hint="eastAsia" w:ascii="宋体" w:hAnsi="宋体"/>
                <w:color w:val="000000"/>
                <w:sz w:val="22"/>
              </w:rPr>
              <w:t>帧率</w:t>
            </w:r>
          </w:p>
        </w:tc>
        <w:tc>
          <w:tcPr>
            <w:tcW w:w="4788" w:type="dxa"/>
            <w:noWrap w:val="0"/>
            <w:vAlign w:val="center"/>
          </w:tcPr>
          <w:p>
            <w:pPr>
              <w:jc w:val="left"/>
              <w:rPr>
                <w:rFonts w:ascii="宋体"/>
                <w:color w:val="000000"/>
                <w:sz w:val="22"/>
              </w:rPr>
            </w:pPr>
            <w:r>
              <w:rPr>
                <w:rFonts w:hint="eastAsia" w:ascii="宋体" w:hAnsi="宋体"/>
                <w:bCs/>
                <w:sz w:val="22"/>
              </w:rPr>
              <w:t>≥25</w:t>
            </w:r>
            <w:r>
              <w:rPr>
                <w:rFonts w:ascii="宋体" w:hAnsi="宋体"/>
                <w:bCs/>
                <w:sz w:val="22"/>
              </w:rPr>
              <w:t>fps(1920</w:t>
            </w:r>
            <w:r>
              <w:rPr>
                <w:rFonts w:hint="eastAsia" w:ascii="宋体" w:hAnsi="宋体"/>
                <w:bCs/>
                <w:sz w:val="22"/>
              </w:rPr>
              <w:t>×</w:t>
            </w:r>
            <w:r>
              <w:rPr>
                <w:rFonts w:ascii="宋体" w:hAnsi="宋体"/>
                <w:bCs/>
                <w:sz w:val="22"/>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4</w:t>
            </w:r>
          </w:p>
        </w:tc>
        <w:tc>
          <w:tcPr>
            <w:tcW w:w="3276" w:type="dxa"/>
            <w:noWrap w:val="0"/>
            <w:vAlign w:val="center"/>
          </w:tcPr>
          <w:p>
            <w:pPr>
              <w:jc w:val="left"/>
              <w:rPr>
                <w:rFonts w:hint="eastAsia" w:ascii="宋体"/>
                <w:color w:val="000000"/>
                <w:sz w:val="22"/>
              </w:rPr>
            </w:pPr>
            <w:r>
              <w:rPr>
                <w:rFonts w:hint="eastAsia" w:ascii="宋体"/>
                <w:color w:val="000000"/>
                <w:sz w:val="22"/>
              </w:rPr>
              <w:t>最低照度</w:t>
            </w:r>
          </w:p>
        </w:tc>
        <w:tc>
          <w:tcPr>
            <w:tcW w:w="4788" w:type="dxa"/>
            <w:noWrap w:val="0"/>
            <w:vAlign w:val="center"/>
          </w:tcPr>
          <w:p>
            <w:pPr>
              <w:widowControl/>
              <w:ind w:right="319" w:rightChars="133"/>
              <w:jc w:val="left"/>
              <w:rPr>
                <w:rFonts w:hint="eastAsia" w:ascii="宋体" w:hAnsi="宋体"/>
                <w:bCs/>
                <w:sz w:val="22"/>
              </w:rPr>
            </w:pPr>
            <w:r>
              <w:rPr>
                <w:rFonts w:hint="eastAsia" w:ascii="宋体" w:hAnsi="宋体"/>
                <w:bCs/>
                <w:sz w:val="22"/>
              </w:rPr>
              <w:t>彩色:0.05 Lux @(F1.6,AGC ON)</w:t>
            </w:r>
          </w:p>
          <w:p>
            <w:pPr>
              <w:widowControl/>
              <w:ind w:right="319" w:rightChars="133"/>
              <w:jc w:val="left"/>
              <w:rPr>
                <w:rFonts w:ascii="宋体"/>
                <w:color w:val="000000"/>
                <w:sz w:val="22"/>
              </w:rPr>
            </w:pPr>
            <w:r>
              <w:rPr>
                <w:rFonts w:hint="eastAsia" w:ascii="宋体" w:hAnsi="宋体"/>
                <w:bCs/>
                <w:sz w:val="22"/>
              </w:rPr>
              <w:t>黑白:0.01Lux @(F1.6,AGC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olor w:val="000000"/>
                <w:sz w:val="22"/>
              </w:rPr>
            </w:pPr>
            <w:r>
              <w:rPr>
                <w:rFonts w:ascii="宋体" w:hAnsi="宋体" w:cs="黑体"/>
                <w:color w:val="000000"/>
                <w:sz w:val="22"/>
              </w:rPr>
              <w:t>5</w:t>
            </w:r>
          </w:p>
        </w:tc>
        <w:tc>
          <w:tcPr>
            <w:tcW w:w="3276" w:type="dxa"/>
            <w:noWrap w:val="0"/>
            <w:vAlign w:val="center"/>
          </w:tcPr>
          <w:p>
            <w:pPr>
              <w:jc w:val="left"/>
              <w:rPr>
                <w:rFonts w:hint="eastAsia" w:ascii="宋体"/>
                <w:color w:val="000000"/>
                <w:sz w:val="22"/>
              </w:rPr>
            </w:pPr>
            <w:r>
              <w:rPr>
                <w:rFonts w:hint="eastAsia" w:ascii="宋体"/>
                <w:color w:val="000000"/>
                <w:sz w:val="22"/>
              </w:rPr>
              <w:t>视频压缩标准</w:t>
            </w:r>
          </w:p>
        </w:tc>
        <w:tc>
          <w:tcPr>
            <w:tcW w:w="4788" w:type="dxa"/>
            <w:noWrap w:val="0"/>
            <w:vAlign w:val="center"/>
          </w:tcPr>
          <w:p>
            <w:pPr>
              <w:jc w:val="left"/>
              <w:rPr>
                <w:rFonts w:hint="eastAsia" w:ascii="宋体" w:hAnsi="宋体"/>
                <w:color w:val="000000"/>
                <w:sz w:val="22"/>
              </w:rPr>
            </w:pPr>
            <w:r>
              <w:rPr>
                <w:rFonts w:hint="eastAsia" w:ascii="宋体" w:hAnsi="宋体"/>
                <w:bCs/>
                <w:sz w:val="22"/>
              </w:rPr>
              <w:t>H.265/H.264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7" w:type="dxa"/>
            <w:noWrap w:val="0"/>
            <w:vAlign w:val="center"/>
          </w:tcPr>
          <w:p>
            <w:pPr>
              <w:jc w:val="center"/>
              <w:rPr>
                <w:rFonts w:hint="eastAsia" w:ascii="宋体"/>
                <w:color w:val="000000"/>
                <w:sz w:val="22"/>
              </w:rPr>
            </w:pPr>
            <w:r>
              <w:rPr>
                <w:rFonts w:ascii="宋体" w:hAnsi="宋体" w:cs="黑体"/>
                <w:color w:val="000000"/>
                <w:sz w:val="22"/>
              </w:rPr>
              <w:t>6</w:t>
            </w:r>
          </w:p>
        </w:tc>
        <w:tc>
          <w:tcPr>
            <w:tcW w:w="3276" w:type="dxa"/>
            <w:noWrap w:val="0"/>
            <w:vAlign w:val="center"/>
          </w:tcPr>
          <w:p>
            <w:pPr>
              <w:jc w:val="left"/>
              <w:rPr>
                <w:rFonts w:hint="eastAsia" w:ascii="宋体"/>
                <w:color w:val="000000"/>
                <w:sz w:val="22"/>
              </w:rPr>
            </w:pPr>
            <w:r>
              <w:rPr>
                <w:rFonts w:hint="eastAsia" w:ascii="宋体" w:hAnsi="宋体"/>
                <w:color w:val="000000"/>
                <w:sz w:val="22"/>
              </w:rPr>
              <w:t>数字降噪</w:t>
            </w:r>
          </w:p>
        </w:tc>
        <w:tc>
          <w:tcPr>
            <w:tcW w:w="4788" w:type="dxa"/>
            <w:noWrap w:val="0"/>
            <w:vAlign w:val="center"/>
          </w:tcPr>
          <w:p>
            <w:pPr>
              <w:jc w:val="left"/>
              <w:rPr>
                <w:rFonts w:hint="eastAsia" w:ascii="宋体" w:eastAsia="等线"/>
                <w:color w:val="000000"/>
                <w:sz w:val="22"/>
              </w:rPr>
            </w:pPr>
            <w:r>
              <w:rPr>
                <w:rFonts w:hint="eastAsia" w:ascii="宋体" w:hAnsi="宋体"/>
                <w:bCs/>
                <w:sz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67" w:type="dxa"/>
            <w:noWrap w:val="0"/>
            <w:vAlign w:val="center"/>
          </w:tcPr>
          <w:p>
            <w:pPr>
              <w:jc w:val="center"/>
              <w:rPr>
                <w:rFonts w:ascii="宋体"/>
                <w:color w:val="000000"/>
                <w:sz w:val="22"/>
              </w:rPr>
            </w:pPr>
            <w:r>
              <w:rPr>
                <w:rFonts w:ascii="宋体" w:hAnsi="宋体" w:cs="黑体"/>
                <w:color w:val="000000"/>
                <w:sz w:val="22"/>
              </w:rPr>
              <w:t>7</w:t>
            </w:r>
          </w:p>
        </w:tc>
        <w:tc>
          <w:tcPr>
            <w:tcW w:w="3276" w:type="dxa"/>
            <w:noWrap w:val="0"/>
            <w:vAlign w:val="center"/>
          </w:tcPr>
          <w:p>
            <w:pPr>
              <w:jc w:val="left"/>
              <w:rPr>
                <w:rFonts w:hint="eastAsia" w:ascii="宋体" w:hAnsi="宋体"/>
                <w:color w:val="000000"/>
                <w:sz w:val="22"/>
              </w:rPr>
            </w:pPr>
            <w:r>
              <w:rPr>
                <w:rFonts w:hint="eastAsia" w:ascii="宋体" w:hAnsi="宋体"/>
                <w:color w:val="000000"/>
                <w:sz w:val="22"/>
              </w:rPr>
              <w:t>宽动态</w:t>
            </w:r>
          </w:p>
        </w:tc>
        <w:tc>
          <w:tcPr>
            <w:tcW w:w="4788" w:type="dxa"/>
            <w:noWrap w:val="0"/>
            <w:vAlign w:val="center"/>
          </w:tcPr>
          <w:p>
            <w:pPr>
              <w:jc w:val="left"/>
              <w:rPr>
                <w:rFonts w:hint="eastAsia" w:ascii="宋体" w:hAnsi="宋体"/>
                <w:color w:val="000000"/>
                <w:sz w:val="22"/>
              </w:rPr>
            </w:pPr>
            <w:r>
              <w:rPr>
                <w:rFonts w:hint="eastAsia" w:ascii="宋体" w:hAnsi="宋体"/>
                <w:color w:val="000000"/>
                <w:sz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color w:val="000000"/>
                <w:sz w:val="22"/>
              </w:rPr>
            </w:pPr>
            <w:r>
              <w:rPr>
                <w:rFonts w:ascii="宋体" w:hAnsi="宋体" w:cs="黑体"/>
                <w:color w:val="000000"/>
                <w:sz w:val="22"/>
              </w:rPr>
              <w:t>8</w:t>
            </w:r>
          </w:p>
        </w:tc>
        <w:tc>
          <w:tcPr>
            <w:tcW w:w="3276" w:type="dxa"/>
            <w:noWrap w:val="0"/>
            <w:vAlign w:val="center"/>
          </w:tcPr>
          <w:p>
            <w:pPr>
              <w:jc w:val="left"/>
              <w:rPr>
                <w:rFonts w:ascii="宋体"/>
                <w:color w:val="000000"/>
                <w:sz w:val="22"/>
              </w:rPr>
            </w:pPr>
            <w:r>
              <w:rPr>
                <w:rFonts w:hint="eastAsia" w:ascii="宋体" w:hAnsi="宋体"/>
                <w:color w:val="000000"/>
                <w:sz w:val="22"/>
              </w:rPr>
              <w:t>SMART图像增强</w:t>
            </w:r>
          </w:p>
        </w:tc>
        <w:tc>
          <w:tcPr>
            <w:tcW w:w="4788" w:type="dxa"/>
            <w:noWrap w:val="0"/>
            <w:vAlign w:val="center"/>
          </w:tcPr>
          <w:p>
            <w:pPr>
              <w:jc w:val="left"/>
              <w:rPr>
                <w:rFonts w:hint="eastAsia" w:ascii="宋体"/>
                <w:color w:val="000000"/>
                <w:sz w:val="22"/>
              </w:rPr>
            </w:pPr>
            <w:r>
              <w:rPr>
                <w:rFonts w:hint="eastAsia" w:ascii="宋体"/>
                <w:color w:val="000000"/>
                <w:sz w:val="22"/>
              </w:rPr>
              <w:t>透雾、强光抑制、电子防抖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color w:val="000000"/>
                <w:sz w:val="22"/>
              </w:rPr>
            </w:pPr>
            <w:r>
              <w:rPr>
                <w:rFonts w:ascii="宋体" w:hAnsi="宋体" w:cs="黑体"/>
                <w:color w:val="000000"/>
                <w:sz w:val="22"/>
              </w:rPr>
              <w:t>9</w:t>
            </w:r>
          </w:p>
        </w:tc>
        <w:tc>
          <w:tcPr>
            <w:tcW w:w="3276" w:type="dxa"/>
            <w:noWrap w:val="0"/>
            <w:vAlign w:val="center"/>
          </w:tcPr>
          <w:p>
            <w:pPr>
              <w:jc w:val="left"/>
              <w:rPr>
                <w:rFonts w:ascii="宋体"/>
                <w:color w:val="000000"/>
                <w:sz w:val="22"/>
              </w:rPr>
            </w:pPr>
            <w:r>
              <w:rPr>
                <w:rFonts w:hint="eastAsia" w:ascii="宋体" w:hAnsi="宋体"/>
                <w:color w:val="000000"/>
                <w:sz w:val="22"/>
              </w:rPr>
              <w:t>电源</w:t>
            </w:r>
          </w:p>
        </w:tc>
        <w:tc>
          <w:tcPr>
            <w:tcW w:w="4788" w:type="dxa"/>
            <w:noWrap w:val="0"/>
            <w:vAlign w:val="center"/>
          </w:tcPr>
          <w:p>
            <w:pPr>
              <w:jc w:val="left"/>
              <w:rPr>
                <w:rFonts w:ascii="宋体" w:hAnsi="宋体"/>
                <w:color w:val="000000"/>
                <w:sz w:val="22"/>
              </w:rPr>
            </w:pPr>
            <w:r>
              <w:rPr>
                <w:rFonts w:hint="eastAsia" w:ascii="宋体" w:hAnsi="宋体"/>
                <w:b/>
                <w:bCs/>
                <w:color w:val="000000"/>
                <w:sz w:val="22"/>
              </w:rPr>
              <w:t>支持PoE(802.3af)</w:t>
            </w:r>
            <w:r>
              <w:rPr>
                <w:rFonts w:hint="eastAsia" w:ascii="宋体" w:hAnsi="宋体"/>
                <w:color w:val="000000"/>
                <w:sz w:val="22"/>
              </w:rPr>
              <w:t>/</w:t>
            </w:r>
            <w:r>
              <w:rPr>
                <w:rFonts w:ascii="宋体" w:hAnsi="宋体"/>
                <w:color w:val="000000"/>
                <w:sz w:val="22"/>
              </w:rPr>
              <w:t xml:space="preserve">AC 24V/DC12V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s="黑体"/>
                <w:color w:val="000000"/>
                <w:sz w:val="22"/>
              </w:rPr>
            </w:pPr>
            <w:r>
              <w:rPr>
                <w:rFonts w:hint="eastAsia" w:ascii="宋体" w:hAnsi="宋体" w:cs="黑体"/>
                <w:color w:val="000000"/>
                <w:sz w:val="22"/>
              </w:rPr>
              <w:t>10</w:t>
            </w:r>
          </w:p>
        </w:tc>
        <w:tc>
          <w:tcPr>
            <w:tcW w:w="3276" w:type="dxa"/>
            <w:noWrap w:val="0"/>
            <w:vAlign w:val="center"/>
          </w:tcPr>
          <w:p>
            <w:pPr>
              <w:jc w:val="left"/>
              <w:rPr>
                <w:rFonts w:hint="eastAsia" w:ascii="宋体" w:hAnsi="宋体"/>
                <w:color w:val="000000"/>
                <w:sz w:val="22"/>
              </w:rPr>
            </w:pPr>
            <w:r>
              <w:rPr>
                <w:rFonts w:hint="eastAsia" w:ascii="宋体"/>
                <w:bCs/>
                <w:sz w:val="22"/>
              </w:rPr>
              <w:t>水平及垂直范围</w:t>
            </w:r>
          </w:p>
        </w:tc>
        <w:tc>
          <w:tcPr>
            <w:tcW w:w="4788" w:type="dxa"/>
            <w:noWrap w:val="0"/>
            <w:vAlign w:val="center"/>
          </w:tcPr>
          <w:p>
            <w:pPr>
              <w:jc w:val="left"/>
              <w:rPr>
                <w:rFonts w:hint="eastAsia" w:ascii="宋体"/>
                <w:bCs/>
                <w:sz w:val="22"/>
              </w:rPr>
            </w:pPr>
            <w:r>
              <w:rPr>
                <w:rFonts w:hint="eastAsia" w:ascii="宋体"/>
                <w:bCs/>
                <w:sz w:val="22"/>
              </w:rPr>
              <w:t>水平360度</w:t>
            </w:r>
          </w:p>
          <w:p>
            <w:pPr>
              <w:jc w:val="left"/>
              <w:rPr>
                <w:rFonts w:ascii="宋体" w:hAnsi="宋体" w:cs="宋体"/>
                <w:color w:val="000000"/>
                <w:sz w:val="22"/>
              </w:rPr>
            </w:pPr>
            <w:r>
              <w:rPr>
                <w:rFonts w:hint="eastAsia" w:ascii="宋体"/>
                <w:bCs/>
                <w:sz w:val="22"/>
              </w:rPr>
              <w:t>垂直-5度~90度（自动翻转）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s="黑体"/>
                <w:color w:val="000000"/>
                <w:sz w:val="22"/>
              </w:rPr>
            </w:pPr>
            <w:r>
              <w:rPr>
                <w:rFonts w:hint="eastAsia" w:ascii="宋体" w:hAnsi="宋体" w:cs="黑体"/>
                <w:color w:val="000000"/>
                <w:sz w:val="22"/>
              </w:rPr>
              <w:t>11</w:t>
            </w:r>
          </w:p>
        </w:tc>
        <w:tc>
          <w:tcPr>
            <w:tcW w:w="3276" w:type="dxa"/>
            <w:noWrap w:val="0"/>
            <w:vAlign w:val="center"/>
          </w:tcPr>
          <w:p>
            <w:pPr>
              <w:jc w:val="left"/>
              <w:rPr>
                <w:rFonts w:hint="eastAsia" w:ascii="宋体" w:hAnsi="宋体"/>
                <w:color w:val="000000"/>
                <w:sz w:val="22"/>
              </w:rPr>
            </w:pPr>
            <w:r>
              <w:rPr>
                <w:rFonts w:hint="eastAsia" w:ascii="宋体" w:hAnsi="宋体"/>
                <w:bCs/>
                <w:sz w:val="22"/>
              </w:rPr>
              <w:t>工作温度和湿度</w:t>
            </w:r>
          </w:p>
        </w:tc>
        <w:tc>
          <w:tcPr>
            <w:tcW w:w="4788" w:type="dxa"/>
            <w:noWrap w:val="0"/>
            <w:vAlign w:val="center"/>
          </w:tcPr>
          <w:p>
            <w:pPr>
              <w:jc w:val="left"/>
              <w:rPr>
                <w:rFonts w:hint="eastAsia" w:ascii="宋体" w:hAnsi="宋体"/>
                <w:sz w:val="22"/>
              </w:rPr>
            </w:pPr>
            <w:r>
              <w:rPr>
                <w:rFonts w:hint="eastAsia" w:ascii="宋体" w:hAnsi="宋体"/>
                <w:sz w:val="22"/>
              </w:rPr>
              <w:t>-30~65摄氏度；</w:t>
            </w:r>
          </w:p>
          <w:p>
            <w:pPr>
              <w:jc w:val="left"/>
              <w:rPr>
                <w:rFonts w:ascii="宋体" w:hAnsi="宋体"/>
                <w:sz w:val="22"/>
              </w:rPr>
            </w:pPr>
            <w:r>
              <w:rPr>
                <w:rFonts w:hint="eastAsia" w:ascii="宋体" w:hAnsi="宋体"/>
                <w:sz w:val="22"/>
              </w:rPr>
              <w:t>湿度小于90%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s="黑体"/>
                <w:color w:val="000000"/>
                <w:sz w:val="22"/>
              </w:rPr>
            </w:pPr>
            <w:r>
              <w:rPr>
                <w:rFonts w:hint="eastAsia" w:ascii="宋体" w:hAnsi="宋体" w:cs="黑体"/>
                <w:color w:val="000000"/>
                <w:sz w:val="22"/>
              </w:rPr>
              <w:t>12</w:t>
            </w:r>
          </w:p>
        </w:tc>
        <w:tc>
          <w:tcPr>
            <w:tcW w:w="3276" w:type="dxa"/>
            <w:noWrap w:val="0"/>
            <w:vAlign w:val="center"/>
          </w:tcPr>
          <w:p>
            <w:pPr>
              <w:jc w:val="left"/>
              <w:rPr>
                <w:rFonts w:hint="eastAsia" w:ascii="宋体" w:hAnsi="宋体"/>
                <w:color w:val="000000"/>
                <w:sz w:val="22"/>
              </w:rPr>
            </w:pPr>
            <w:r>
              <w:rPr>
                <w:rFonts w:hint="eastAsia" w:ascii="宋体" w:hAnsi="宋体"/>
                <w:bCs/>
                <w:sz w:val="22"/>
              </w:rPr>
              <w:t>防护等级</w:t>
            </w:r>
          </w:p>
        </w:tc>
        <w:tc>
          <w:tcPr>
            <w:tcW w:w="4788" w:type="dxa"/>
            <w:noWrap w:val="0"/>
            <w:vAlign w:val="center"/>
          </w:tcPr>
          <w:p>
            <w:pPr>
              <w:jc w:val="left"/>
              <w:rPr>
                <w:rFonts w:ascii="宋体" w:hAnsi="宋体"/>
                <w:color w:val="000000"/>
                <w:sz w:val="22"/>
              </w:rPr>
            </w:pPr>
            <w:r>
              <w:rPr>
                <w:rFonts w:hint="eastAsia" w:ascii="宋体" w:hAnsi="宋体"/>
                <w:bCs/>
                <w:sz w:val="22"/>
              </w:rPr>
              <w:t>IP66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s="黑体"/>
                <w:color w:val="000000"/>
                <w:sz w:val="22"/>
              </w:rPr>
            </w:pPr>
            <w:r>
              <w:rPr>
                <w:rFonts w:hint="eastAsia" w:ascii="宋体" w:hAnsi="宋体" w:cs="黑体"/>
                <w:color w:val="000000"/>
                <w:sz w:val="22"/>
              </w:rPr>
              <w:t>13</w:t>
            </w:r>
          </w:p>
        </w:tc>
        <w:tc>
          <w:tcPr>
            <w:tcW w:w="3276" w:type="dxa"/>
            <w:noWrap w:val="0"/>
            <w:vAlign w:val="center"/>
          </w:tcPr>
          <w:p>
            <w:pPr>
              <w:jc w:val="left"/>
              <w:rPr>
                <w:rFonts w:hint="eastAsia" w:ascii="宋体" w:hAnsi="宋体"/>
                <w:bCs/>
                <w:sz w:val="22"/>
              </w:rPr>
            </w:pPr>
            <w:r>
              <w:rPr>
                <w:rFonts w:hint="eastAsia" w:ascii="宋体" w:hAnsi="宋体"/>
                <w:bCs/>
                <w:sz w:val="22"/>
              </w:rPr>
              <w:t>三码流</w:t>
            </w:r>
          </w:p>
        </w:tc>
        <w:tc>
          <w:tcPr>
            <w:tcW w:w="4788" w:type="dxa"/>
            <w:noWrap w:val="0"/>
            <w:vAlign w:val="center"/>
          </w:tcPr>
          <w:p>
            <w:pPr>
              <w:jc w:val="left"/>
              <w:rPr>
                <w:rFonts w:hint="eastAsia" w:ascii="宋体" w:hAnsi="宋体"/>
                <w:bCs/>
                <w:sz w:val="22"/>
              </w:rPr>
            </w:pPr>
            <w:r>
              <w:rPr>
                <w:rFonts w:hint="eastAsia" w:ascii="宋体" w:hAnsi="宋体"/>
                <w:bCs/>
                <w:sz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hint="eastAsia" w:ascii="宋体" w:hAnsi="宋体" w:cs="黑体"/>
                <w:color w:val="000000"/>
                <w:sz w:val="22"/>
              </w:rPr>
            </w:pPr>
            <w:r>
              <w:rPr>
                <w:rFonts w:hint="eastAsia" w:ascii="宋体" w:hAnsi="宋体" w:cs="黑体"/>
                <w:color w:val="000000"/>
                <w:sz w:val="22"/>
              </w:rPr>
              <w:t>14</w:t>
            </w:r>
          </w:p>
        </w:tc>
        <w:tc>
          <w:tcPr>
            <w:tcW w:w="3276" w:type="dxa"/>
            <w:noWrap w:val="0"/>
            <w:vAlign w:val="center"/>
          </w:tcPr>
          <w:p>
            <w:pPr>
              <w:jc w:val="left"/>
              <w:rPr>
                <w:rFonts w:ascii="宋体" w:hAnsi="宋体"/>
                <w:bCs/>
                <w:sz w:val="22"/>
              </w:rPr>
            </w:pPr>
            <w:r>
              <w:rPr>
                <w:rFonts w:hint="eastAsia" w:ascii="宋体" w:hAnsi="宋体"/>
                <w:sz w:val="22"/>
              </w:rPr>
              <w:t>标准ONVIF协议</w:t>
            </w:r>
          </w:p>
        </w:tc>
        <w:tc>
          <w:tcPr>
            <w:tcW w:w="4788" w:type="dxa"/>
            <w:noWrap w:val="0"/>
            <w:vAlign w:val="center"/>
          </w:tcPr>
          <w:p>
            <w:pPr>
              <w:jc w:val="left"/>
              <w:rPr>
                <w:rFonts w:hint="eastAsia" w:ascii="宋体" w:hAnsi="宋体"/>
                <w:bCs/>
                <w:sz w:val="22"/>
              </w:rPr>
            </w:pPr>
            <w:r>
              <w:rPr>
                <w:rFonts w:hint="eastAsia" w:ascii="宋体" w:hAnsi="宋体"/>
                <w:sz w:val="22"/>
              </w:rPr>
              <w:t>支持</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sz w:val="22"/>
          <w:szCs w:val="22"/>
        </w:rPr>
      </w:pPr>
      <w:r>
        <w:rPr>
          <w:sz w:val="22"/>
          <w:szCs w:val="22"/>
        </w:rPr>
        <w:t>1.6.1.</w:t>
      </w:r>
      <w:r>
        <w:rPr>
          <w:rFonts w:hint="eastAsia"/>
          <w:sz w:val="22"/>
          <w:szCs w:val="22"/>
        </w:rPr>
        <w:t>4</w:t>
      </w:r>
      <w:r>
        <w:rPr>
          <w:rFonts w:hint="eastAsia" w:ascii="宋体" w:hAnsi="宋体"/>
          <w:bCs w:val="0"/>
          <w:sz w:val="22"/>
          <w:szCs w:val="22"/>
        </w:rPr>
        <w:t>磁盘阵列（海关用）</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hint="eastAsia" w:ascii="宋体" w:hAnsi="宋体"/>
          <w:sz w:val="22"/>
          <w:szCs w:val="22"/>
        </w:rPr>
      </w:pPr>
      <w:r>
        <w:rPr>
          <w:rFonts w:hint="eastAsia" w:ascii="宋体" w:hAnsi="宋体"/>
          <w:bCs w:val="0"/>
          <w:sz w:val="22"/>
          <w:szCs w:val="22"/>
        </w:rPr>
        <w:t xml:space="preserve"> </w:t>
      </w:r>
      <w:r>
        <w:rPr>
          <w:rFonts w:hint="eastAsia" w:ascii="宋体" w:hAnsi="宋体"/>
          <w:sz w:val="22"/>
          <w:szCs w:val="22"/>
        </w:rPr>
        <w:t xml:space="preserve"> </w:t>
      </w:r>
      <w:r>
        <w:rPr>
          <w:rFonts w:ascii="宋体" w:hAnsi="宋体"/>
          <w:bCs w:val="0"/>
          <w:sz w:val="22"/>
          <w:szCs w:val="22"/>
        </w:rPr>
        <w:t xml:space="preserve">  </w:t>
      </w:r>
      <w:r>
        <w:rPr>
          <w:rFonts w:hint="eastAsia" w:ascii="宋体" w:hAnsi="宋体"/>
          <w:bCs w:val="0"/>
          <w:sz w:val="22"/>
          <w:szCs w:val="22"/>
        </w:rPr>
        <w:t>可与海关在用的大华平台无缝兼容,为实现兼容所需的清单外设备由投标方提供</w:t>
      </w:r>
    </w:p>
    <w:tbl>
      <w:tblPr>
        <w:tblStyle w:val="57"/>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7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b/>
              </w:rPr>
            </w:pPr>
            <w:r>
              <w:rPr>
                <w:rFonts w:hint="eastAsia"/>
                <w:b/>
              </w:rPr>
              <w:t>序号</w:t>
            </w:r>
          </w:p>
        </w:tc>
        <w:tc>
          <w:tcPr>
            <w:tcW w:w="8064" w:type="dxa"/>
            <w:gridSpan w:val="2"/>
            <w:noWrap w:val="0"/>
            <w:vAlign w:val="center"/>
          </w:tcPr>
          <w:p>
            <w:pPr>
              <w:jc w:val="center"/>
              <w:rPr>
                <w:b/>
              </w:rPr>
            </w:pPr>
            <w:r>
              <w:rPr>
                <w:rFonts w:hint="eastAsia"/>
                <w:b/>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sz w:val="22"/>
              </w:rPr>
            </w:pPr>
            <w:r>
              <w:rPr>
                <w:rFonts w:ascii="宋体" w:hAnsi="宋体" w:cs="黑体"/>
                <w:sz w:val="22"/>
              </w:rPr>
              <w:t>1</w:t>
            </w:r>
          </w:p>
        </w:tc>
        <w:tc>
          <w:tcPr>
            <w:tcW w:w="3276" w:type="dxa"/>
            <w:noWrap w:val="0"/>
            <w:vAlign w:val="center"/>
          </w:tcPr>
          <w:p>
            <w:pPr>
              <w:rPr>
                <w:rFonts w:hint="eastAsia"/>
                <w:sz w:val="22"/>
                <w:szCs w:val="22"/>
              </w:rPr>
            </w:pPr>
            <w:r>
              <w:rPr>
                <w:rFonts w:hint="eastAsia"/>
                <w:sz w:val="22"/>
                <w:szCs w:val="22"/>
              </w:rPr>
              <w:t>描述</w:t>
            </w:r>
          </w:p>
        </w:tc>
        <w:tc>
          <w:tcPr>
            <w:tcW w:w="4788" w:type="dxa"/>
            <w:noWrap w:val="0"/>
            <w:vAlign w:val="center"/>
          </w:tcPr>
          <w:p>
            <w:pPr>
              <w:rPr>
                <w:rFonts w:ascii="宋体"/>
                <w:sz w:val="22"/>
              </w:rPr>
            </w:pPr>
            <w:r>
              <w:rPr>
                <w:rFonts w:hint="eastAsia"/>
                <w:sz w:val="22"/>
                <w:szCs w:val="22"/>
              </w:rPr>
              <w:t>专业存储设备；</w:t>
            </w:r>
            <w:r>
              <w:rPr>
                <w:rFonts w:ascii="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sz w:val="22"/>
              </w:rPr>
            </w:pPr>
            <w:r>
              <w:rPr>
                <w:rFonts w:ascii="宋体" w:hAnsi="宋体" w:cs="黑体"/>
                <w:sz w:val="22"/>
              </w:rPr>
              <w:t>2</w:t>
            </w:r>
          </w:p>
        </w:tc>
        <w:tc>
          <w:tcPr>
            <w:tcW w:w="3276" w:type="dxa"/>
            <w:noWrap w:val="0"/>
            <w:vAlign w:val="center"/>
          </w:tcPr>
          <w:p>
            <w:pPr>
              <w:rPr>
                <w:rFonts w:hint="eastAsia"/>
                <w:sz w:val="22"/>
                <w:szCs w:val="22"/>
              </w:rPr>
            </w:pPr>
            <w:r>
              <w:rPr>
                <w:rFonts w:hint="eastAsia"/>
                <w:sz w:val="22"/>
                <w:szCs w:val="22"/>
              </w:rPr>
              <w:t>电源冗余</w:t>
            </w:r>
          </w:p>
        </w:tc>
        <w:tc>
          <w:tcPr>
            <w:tcW w:w="4788" w:type="dxa"/>
            <w:noWrap w:val="0"/>
            <w:vAlign w:val="center"/>
          </w:tcPr>
          <w:p>
            <w:pPr>
              <w:rPr>
                <w:rFonts w:ascii="宋体"/>
                <w:sz w:val="22"/>
              </w:rPr>
            </w:pPr>
            <w:r>
              <w:rPr>
                <w:rFonts w:hint="eastAsia"/>
                <w:sz w:val="22"/>
                <w:szCs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noWrap w:val="0"/>
            <w:vAlign w:val="center"/>
          </w:tcPr>
          <w:p>
            <w:pPr>
              <w:jc w:val="center"/>
              <w:rPr>
                <w:rFonts w:ascii="宋体"/>
                <w:sz w:val="22"/>
              </w:rPr>
            </w:pPr>
            <w:r>
              <w:rPr>
                <w:rFonts w:ascii="宋体" w:hAnsi="宋体" w:cs="黑体"/>
                <w:sz w:val="22"/>
              </w:rPr>
              <w:t>3</w:t>
            </w:r>
          </w:p>
        </w:tc>
        <w:tc>
          <w:tcPr>
            <w:tcW w:w="3276" w:type="dxa"/>
            <w:noWrap w:val="0"/>
            <w:vAlign w:val="center"/>
          </w:tcPr>
          <w:p>
            <w:pPr>
              <w:jc w:val="left"/>
              <w:rPr>
                <w:rFonts w:hint="eastAsia" w:ascii="宋体"/>
                <w:sz w:val="22"/>
              </w:rPr>
            </w:pPr>
            <w:r>
              <w:rPr>
                <w:rFonts w:hint="eastAsia" w:ascii="宋体" w:hAnsi="宋体"/>
                <w:bCs/>
                <w:sz w:val="22"/>
              </w:rPr>
              <w:t>硬盘尺寸</w:t>
            </w:r>
          </w:p>
        </w:tc>
        <w:tc>
          <w:tcPr>
            <w:tcW w:w="4788" w:type="dxa"/>
            <w:noWrap w:val="0"/>
            <w:vAlign w:val="center"/>
          </w:tcPr>
          <w:p>
            <w:pPr>
              <w:rPr>
                <w:rFonts w:ascii="宋体"/>
                <w:sz w:val="22"/>
              </w:rPr>
            </w:pPr>
            <w:r>
              <w:rPr>
                <w:rFonts w:hint="eastAsia"/>
                <w:sz w:val="22"/>
                <w:szCs w:val="22"/>
              </w:rPr>
              <w:t>支持2.5、3.5英寸企业级硬盘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67" w:type="dxa"/>
            <w:noWrap w:val="0"/>
            <w:vAlign w:val="center"/>
          </w:tcPr>
          <w:p>
            <w:pPr>
              <w:jc w:val="center"/>
              <w:rPr>
                <w:rFonts w:hint="eastAsia" w:ascii="宋体" w:hAnsi="宋体" w:cs="黑体"/>
                <w:sz w:val="22"/>
              </w:rPr>
            </w:pPr>
            <w:r>
              <w:rPr>
                <w:rFonts w:hint="eastAsia" w:ascii="宋体" w:hAnsi="宋体" w:cs="黑体"/>
                <w:sz w:val="22"/>
              </w:rPr>
              <w:t>4</w:t>
            </w:r>
          </w:p>
        </w:tc>
        <w:tc>
          <w:tcPr>
            <w:tcW w:w="3276" w:type="dxa"/>
            <w:noWrap w:val="0"/>
            <w:vAlign w:val="center"/>
          </w:tcPr>
          <w:p>
            <w:pPr>
              <w:jc w:val="left"/>
              <w:rPr>
                <w:rFonts w:hint="eastAsia" w:ascii="宋体" w:hAnsi="宋体"/>
                <w:bCs/>
                <w:sz w:val="22"/>
              </w:rPr>
            </w:pPr>
            <w:r>
              <w:rPr>
                <w:rFonts w:hint="eastAsia" w:ascii="宋体" w:hAnsi="宋体"/>
                <w:bCs/>
                <w:sz w:val="22"/>
              </w:rPr>
              <w:t>硬盘</w:t>
            </w:r>
          </w:p>
        </w:tc>
        <w:tc>
          <w:tcPr>
            <w:tcW w:w="4788" w:type="dxa"/>
            <w:noWrap w:val="0"/>
            <w:vAlign w:val="center"/>
          </w:tcPr>
          <w:p>
            <w:pPr>
              <w:widowControl/>
              <w:ind w:right="319" w:rightChars="133"/>
              <w:jc w:val="left"/>
              <w:rPr>
                <w:rFonts w:ascii="宋体" w:hAnsi="宋体"/>
                <w:bCs/>
                <w:sz w:val="22"/>
              </w:rPr>
            </w:pPr>
            <w:r>
              <w:rPr>
                <w:rFonts w:hint="eastAsia" w:ascii="宋体"/>
                <w:bCs/>
                <w:sz w:val="22"/>
              </w:rPr>
              <w:t>使用企业级硬盘，单块硬盘裸容量</w:t>
            </w:r>
            <w:r>
              <w:rPr>
                <w:rFonts w:hint="eastAsia" w:ascii="宋体" w:hAnsi="宋体"/>
                <w:bCs/>
                <w:sz w:val="22"/>
              </w:rPr>
              <w:t>≥6T，实际硬盘块数≥48块，实际裸容量≥288T，完成RAID5配置后可用容量≥192T</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color w:val="FF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sz w:val="22"/>
          <w:szCs w:val="22"/>
        </w:rPr>
      </w:pPr>
      <w:r>
        <w:rPr>
          <w:sz w:val="22"/>
          <w:szCs w:val="22"/>
        </w:rPr>
        <w:t>1.6.1.</w:t>
      </w:r>
      <w:r>
        <w:rPr>
          <w:rFonts w:hint="eastAsia"/>
          <w:sz w:val="22"/>
          <w:szCs w:val="22"/>
        </w:rPr>
        <w:t>5 磁盘阵列（机场用）</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sz w:val="22"/>
          <w:szCs w:val="22"/>
        </w:rPr>
      </w:pPr>
      <w:r>
        <w:rPr>
          <w:sz w:val="22"/>
          <w:szCs w:val="22"/>
        </w:rPr>
        <w:t>可接受的标准化产品品牌为：华为、IBM、日立同等或以上档次品牌。</w:t>
      </w:r>
    </w:p>
    <w:tbl>
      <w:tblPr>
        <w:tblStyle w:val="57"/>
        <w:tblW w:w="8820"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7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b/>
                <w:sz w:val="22"/>
                <w:szCs w:val="22"/>
              </w:rPr>
            </w:pPr>
            <w:r>
              <w:rPr>
                <w:rFonts w:hint="eastAsia" w:ascii="宋体" w:hAnsi="宋体" w:cs="宋体"/>
                <w:b/>
                <w:sz w:val="22"/>
                <w:szCs w:val="22"/>
                <w:lang w:bidi="ar"/>
              </w:rPr>
              <w:t>序号</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b/>
                <w:sz w:val="22"/>
                <w:szCs w:val="22"/>
              </w:rPr>
            </w:pPr>
            <w:r>
              <w:rPr>
                <w:rFonts w:hint="eastAsia" w:ascii="宋体" w:hAnsi="宋体" w:cs="宋体"/>
                <w:b/>
                <w:sz w:val="22"/>
                <w:szCs w:val="22"/>
                <w:lang w:bidi="ar"/>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三年7*24小时原厂保修服务，提供原厂售后服务承诺函原件和授权书原件。设备生产商需在国内设有400技术服务热线。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2</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产品要求：国际知名品牌，非OEM产品拥有自主知识产权。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2"/>
                <w:szCs w:val="22"/>
                <w:lang w:bidi="ar"/>
              </w:rPr>
            </w:pPr>
            <w:r>
              <w:rPr>
                <w:rFonts w:hint="eastAsia" w:ascii="宋体" w:hAnsi="宋体" w:cs="宋体"/>
                <w:sz w:val="22"/>
                <w:szCs w:val="22"/>
                <w:lang w:bidi="ar"/>
              </w:rPr>
              <w:t>3</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lang w:bidi="ar"/>
              </w:rPr>
            </w:pPr>
            <w:r>
              <w:rPr>
                <w:rFonts w:hint="eastAsia" w:ascii="宋体" w:hAnsi="宋体" w:cs="宋体"/>
                <w:sz w:val="22"/>
                <w:szCs w:val="22"/>
                <w:lang w:bidi="ar"/>
              </w:rPr>
              <w:t>性能</w:t>
            </w:r>
            <w:r>
              <w:rPr>
                <w:rFonts w:ascii="宋体" w:hAnsi="宋体" w:cs="宋体"/>
                <w:sz w:val="22"/>
                <w:szCs w:val="22"/>
                <w:lang w:bidi="ar"/>
              </w:rPr>
              <w:t>要求：</w:t>
            </w:r>
            <w:r>
              <w:rPr>
                <w:rFonts w:hint="eastAsia" w:ascii="宋体" w:hAnsi="宋体" w:cs="宋体"/>
                <w:sz w:val="22"/>
                <w:szCs w:val="22"/>
                <w:lang w:bidi="ar"/>
              </w:rPr>
              <w:t>提供原厂或第三方的性能测试数据以及提供报告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ascii="宋体" w:hAnsi="宋体" w:cs="宋体"/>
                <w:sz w:val="22"/>
                <w:szCs w:val="22"/>
                <w:lang w:bidi="ar"/>
              </w:rPr>
              <w:t>4</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厂商资质：拥有自主知识产权；具有软硬件自主研发能力，保障后续产品的连续性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ascii="宋体" w:hAnsi="宋体" w:cs="宋体"/>
                <w:sz w:val="22"/>
                <w:szCs w:val="22"/>
                <w:lang w:bidi="ar"/>
              </w:rPr>
              <w:t>5</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体系架构：统一存储，同时支持IP SAN和FC SAN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ascii="宋体" w:hAnsi="宋体" w:cs="宋体"/>
                <w:sz w:val="22"/>
                <w:szCs w:val="22"/>
                <w:lang w:bidi="ar"/>
              </w:rPr>
              <w:t>6</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控制器：Active-Active双控制器架构，双控制器之间采用PCIE3.0接口卡互联，支持控制器在线热拔插。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cs="宋体"/>
                <w:sz w:val="22"/>
                <w:szCs w:val="22"/>
              </w:rPr>
            </w:pPr>
            <w:r>
              <w:rPr>
                <w:rFonts w:ascii="宋体" w:hAnsi="宋体" w:cs="宋体"/>
                <w:sz w:val="22"/>
                <w:szCs w:val="22"/>
                <w:lang w:bidi="ar"/>
              </w:rPr>
              <w:t>7</w:t>
            </w:r>
          </w:p>
        </w:tc>
        <w:tc>
          <w:tcPr>
            <w:tcW w:w="7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cs="宋体"/>
                <w:sz w:val="22"/>
                <w:szCs w:val="22"/>
              </w:rPr>
            </w:pPr>
            <w:r>
              <w:rPr>
                <w:rFonts w:hint="eastAsia" w:ascii="宋体" w:hAnsi="宋体" w:cs="宋体"/>
                <w:sz w:val="22"/>
                <w:szCs w:val="22"/>
                <w:lang w:bidi="ar"/>
              </w:rPr>
              <w:t>支持8Gbps FC、1Gbps iSCSI、10Gbps iSCSI、16Gbps FC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ascii="宋体" w:hAnsi="宋体" w:cs="宋体"/>
                <w:sz w:val="22"/>
                <w:szCs w:val="22"/>
                <w:lang w:bidi="ar"/>
              </w:rPr>
              <w:t>8</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前端主机通道接口:用于连接外部网络的接口数量 ≥</w:t>
            </w:r>
            <w:r>
              <w:rPr>
                <w:rFonts w:ascii="宋体" w:hAnsi="宋体" w:cs="宋体"/>
                <w:sz w:val="22"/>
                <w:szCs w:val="22"/>
                <w:lang w:bidi="ar"/>
              </w:rPr>
              <w:t>8</w:t>
            </w:r>
            <w:r>
              <w:rPr>
                <w:rFonts w:hint="eastAsia" w:ascii="宋体" w:hAnsi="宋体" w:cs="宋体"/>
                <w:sz w:val="22"/>
                <w:szCs w:val="22"/>
                <w:lang w:bidi="ar"/>
              </w:rPr>
              <w:t>*10GE+6*1GE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ascii="宋体" w:hAnsi="宋体" w:cs="宋体"/>
                <w:sz w:val="22"/>
                <w:szCs w:val="22"/>
                <w:lang w:bidi="ar"/>
              </w:rPr>
              <w:t>9</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后端磁盘通道：后端磁盘扩展通道支持SAS3.0协议，双控最大支持≥4*4*12Gbps SAS3.0磁盘通道.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10</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缓存容量：控制器缓存容量配置≥128GB（不含任何性能加速模块或NAS缓存、FlashCache、PAM卡，SSD Cache等）。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11</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b/>
                <w:color w:val="FF0000"/>
                <w:sz w:val="22"/>
                <w:szCs w:val="22"/>
              </w:rPr>
            </w:pPr>
            <w:r>
              <w:rPr>
                <w:rFonts w:hint="eastAsia" w:ascii="宋体" w:hAnsi="宋体" w:cs="宋体"/>
                <w:bCs/>
                <w:sz w:val="22"/>
                <w:szCs w:val="22"/>
                <w:lang w:bidi="ar"/>
              </w:rPr>
              <w:t>磁盘容量：</w:t>
            </w:r>
            <w:r>
              <w:rPr>
                <w:rFonts w:hint="eastAsia" w:ascii="宋体" w:hAnsi="宋体"/>
                <w:bCs/>
                <w:sz w:val="22"/>
              </w:rPr>
              <w:t>实际裸容量≥300T，完成RAID5配置后可用容量≥176T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12</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硬盘支持：支持6T、8T容量硬盘；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9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cs="宋体"/>
                <w:sz w:val="22"/>
                <w:szCs w:val="22"/>
              </w:rPr>
            </w:pPr>
            <w:r>
              <w:rPr>
                <w:rFonts w:hint="eastAsia" w:ascii="宋体" w:hAnsi="宋体" w:cs="宋体"/>
                <w:sz w:val="22"/>
                <w:szCs w:val="22"/>
                <w:lang w:bidi="ar"/>
              </w:rPr>
              <w:t>13</w:t>
            </w:r>
          </w:p>
        </w:tc>
        <w:tc>
          <w:tcPr>
            <w:tcW w:w="78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cs="宋体"/>
                <w:sz w:val="22"/>
                <w:szCs w:val="22"/>
              </w:rPr>
            </w:pPr>
            <w:r>
              <w:rPr>
                <w:rFonts w:hint="eastAsia" w:ascii="宋体" w:hAnsi="宋体" w:cs="宋体"/>
                <w:sz w:val="22"/>
                <w:szCs w:val="22"/>
                <w:lang w:bidi="ar"/>
              </w:rPr>
              <w:t>支持RAID 10、RAID 5、RAID6等可选配置；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14</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支持硬盘类型：支持SSD,SATA,SAS,NL-SAS中的3种类型及以上硬盘；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15</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2"/>
                <w:szCs w:val="22"/>
              </w:rPr>
            </w:pPr>
            <w:r>
              <w:rPr>
                <w:rFonts w:hint="eastAsia" w:ascii="宋体" w:hAnsi="宋体" w:cs="宋体"/>
                <w:sz w:val="22"/>
                <w:szCs w:val="22"/>
                <w:lang w:bidi="ar"/>
              </w:rPr>
              <w:t>最大支持磁盘插槽个数≥250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16</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软件功能：配置基于存储阵列的安全控制管理软件，实配自动精简许可、数据卷迁移许可。支持快照、镜像、复制等。配置路径冗余管理软件，以实现主机的多通道访问以及对应用透明的自动故障通道切换功能，确保用户在通道发生故障的情况下，仍可以连续访问信息；且未来增加主机数量。</w:t>
            </w:r>
          </w:p>
          <w:p>
            <w:pPr>
              <w:spacing w:line="400" w:lineRule="exact"/>
              <w:rPr>
                <w:rFonts w:hint="eastAsia" w:ascii="宋体" w:hAnsi="宋体" w:cs="宋体"/>
                <w:sz w:val="22"/>
                <w:szCs w:val="22"/>
              </w:rPr>
            </w:pPr>
            <w:r>
              <w:rPr>
                <w:rFonts w:hint="eastAsia" w:ascii="宋体" w:hAnsi="宋体" w:cs="宋体"/>
                <w:sz w:val="22"/>
                <w:szCs w:val="22"/>
                <w:lang w:bidi="ar"/>
              </w:rPr>
              <w:t>支持异构虚拟化技术：异构虚拟化兼容业界主流存储（如EMC、HP、HDS、IBM、Huawei、NetApp等多个厂家的阵列。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w:t>
            </w:r>
            <w:r>
              <w:rPr>
                <w:rFonts w:ascii="宋体" w:hAnsi="宋体" w:cs="宋体"/>
                <w:sz w:val="22"/>
                <w:szCs w:val="22"/>
                <w:lang w:bidi="ar"/>
              </w:rPr>
              <w:t>7</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冗余组件：配置冗余控制器、电源、风扇，缓存断电保护功能；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2"/>
                <w:szCs w:val="22"/>
              </w:rPr>
            </w:pPr>
            <w:r>
              <w:rPr>
                <w:rFonts w:ascii="宋体" w:hAnsi="宋体" w:cs="宋体"/>
                <w:sz w:val="22"/>
                <w:szCs w:val="22"/>
                <w:lang w:bidi="ar"/>
              </w:rPr>
              <w:t>1</w:t>
            </w:r>
            <w:r>
              <w:rPr>
                <w:rFonts w:hint="eastAsia" w:ascii="宋体" w:hAnsi="宋体" w:cs="宋体"/>
                <w:sz w:val="22"/>
                <w:szCs w:val="22"/>
                <w:lang w:bidi="ar"/>
              </w:rPr>
              <w:t>8</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管理软件要求：有功能全面、图形化的管理软件，包括：盘阵，卷管理软件。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2"/>
                <w:szCs w:val="22"/>
              </w:rPr>
            </w:pPr>
            <w:r>
              <w:rPr>
                <w:rFonts w:hint="eastAsia" w:ascii="宋体" w:hAnsi="宋体" w:cs="宋体"/>
                <w:sz w:val="22"/>
                <w:szCs w:val="22"/>
                <w:lang w:bidi="ar"/>
              </w:rPr>
              <w:t>19</w:t>
            </w:r>
          </w:p>
        </w:tc>
        <w:tc>
          <w:tcPr>
            <w:tcW w:w="785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sz w:val="22"/>
                <w:szCs w:val="22"/>
              </w:rPr>
            </w:pPr>
            <w:r>
              <w:rPr>
                <w:rFonts w:hint="eastAsia" w:ascii="宋体" w:hAnsi="宋体" w:cs="宋体"/>
                <w:sz w:val="22"/>
                <w:szCs w:val="22"/>
                <w:lang w:bidi="ar"/>
              </w:rPr>
              <w:t>跨平台支持：支持windows、Linux、Solaris、HP-UX、AIX、MAC OS等主流操作系统；</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ascii="宋体" w:hAnsi="宋体"/>
          <w:bCs w:val="0"/>
          <w:color w:val="000000"/>
          <w:sz w:val="22"/>
          <w:szCs w:val="22"/>
        </w:rPr>
      </w:pPr>
      <w:r>
        <w:rPr>
          <w:sz w:val="22"/>
          <w:szCs w:val="22"/>
        </w:rPr>
        <w:t>1.6.1.</w:t>
      </w:r>
      <w:r>
        <w:rPr>
          <w:rFonts w:hint="eastAsia"/>
          <w:sz w:val="22"/>
          <w:szCs w:val="22"/>
        </w:rPr>
        <w:t xml:space="preserve">6 </w:t>
      </w:r>
      <w:r>
        <w:rPr>
          <w:rFonts w:hint="eastAsia" w:ascii="宋体" w:hAnsi="宋体"/>
          <w:bCs w:val="0"/>
          <w:color w:val="000000"/>
          <w:sz w:val="22"/>
          <w:szCs w:val="22"/>
        </w:rPr>
        <w:t>POE交换机</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rFonts w:ascii="宋体" w:hAnsi="宋体"/>
          <w:bCs w:val="0"/>
          <w:color w:val="000000"/>
          <w:sz w:val="22"/>
          <w:szCs w:val="22"/>
        </w:rPr>
      </w:pPr>
      <w:r>
        <w:rPr>
          <w:rFonts w:hint="eastAsia" w:ascii="宋体" w:hAnsi="宋体"/>
          <w:bCs w:val="0"/>
          <w:color w:val="000000"/>
          <w:sz w:val="22"/>
          <w:szCs w:val="22"/>
        </w:rPr>
        <w:t>可接入当前安防网络网管系统；</w:t>
      </w:r>
      <w:r>
        <w:rPr>
          <w:rFonts w:ascii="宋体" w:hAnsi="宋体"/>
          <w:bCs w:val="0"/>
          <w:color w:val="000000"/>
          <w:sz w:val="22"/>
          <w:szCs w:val="22"/>
        </w:rPr>
        <w:t xml:space="preserve">  </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rFonts w:ascii="宋体" w:hAnsi="宋体"/>
          <w:b w:val="0"/>
          <w:sz w:val="22"/>
          <w:szCs w:val="22"/>
        </w:rPr>
      </w:pPr>
      <w:r>
        <w:rPr>
          <w:rFonts w:hint="eastAsia" w:ascii="宋体" w:hAnsi="宋体"/>
          <w:bCs w:val="0"/>
          <w:sz w:val="22"/>
          <w:szCs w:val="22"/>
        </w:rPr>
        <w:t>可接受的标准化产品品牌为：华三、思科同等或以上档次品牌。</w:t>
      </w:r>
    </w:p>
    <w:tbl>
      <w:tblPr>
        <w:tblStyle w:val="57"/>
        <w:tblW w:w="8788" w:type="dxa"/>
        <w:tblInd w:w="392" w:type="dxa"/>
        <w:tblLayout w:type="fixed"/>
        <w:tblCellMar>
          <w:top w:w="0" w:type="dxa"/>
          <w:left w:w="108" w:type="dxa"/>
          <w:bottom w:w="0" w:type="dxa"/>
          <w:right w:w="108" w:type="dxa"/>
        </w:tblCellMar>
      </w:tblPr>
      <w:tblGrid>
        <w:gridCol w:w="1656"/>
        <w:gridCol w:w="7132"/>
      </w:tblGrid>
      <w:tr>
        <w:tblPrEx>
          <w:tblLayout w:type="fixed"/>
          <w:tblCellMar>
            <w:top w:w="0" w:type="dxa"/>
            <w:left w:w="108" w:type="dxa"/>
            <w:bottom w:w="0" w:type="dxa"/>
            <w:right w:w="108" w:type="dxa"/>
          </w:tblCellMar>
        </w:tblPrEx>
        <w:trPr>
          <w:trHeight w:val="324" w:hRule="atLeast"/>
        </w:trPr>
        <w:tc>
          <w:tcPr>
            <w:tcW w:w="1656"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技术指标</w:t>
            </w:r>
          </w:p>
        </w:tc>
        <w:tc>
          <w:tcPr>
            <w:tcW w:w="7132"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详细技术参数</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交换容量</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b/>
                <w:bCs/>
                <w:color w:val="FF0000"/>
                <w:kern w:val="0"/>
              </w:rPr>
            </w:pPr>
            <w:r>
              <w:rPr>
                <w:rFonts w:hint="eastAsia" w:ascii="宋体" w:hAnsi="宋体" w:cs="宋体"/>
                <w:color w:val="000000"/>
                <w:kern w:val="0"/>
              </w:rPr>
              <w:t>交换容量≥336Gbps</w:t>
            </w:r>
          </w:p>
        </w:tc>
      </w:tr>
      <w:tr>
        <w:tblPrEx>
          <w:tblLayout w:type="fixed"/>
          <w:tblCellMar>
            <w:top w:w="0" w:type="dxa"/>
            <w:left w:w="108" w:type="dxa"/>
            <w:bottom w:w="0" w:type="dxa"/>
            <w:right w:w="108" w:type="dxa"/>
          </w:tblCellMar>
        </w:tblPrEx>
        <w:trPr>
          <w:trHeight w:val="636" w:hRule="atLeast"/>
        </w:trPr>
        <w:tc>
          <w:tcPr>
            <w:tcW w:w="1656" w:type="dxa"/>
            <w:tcBorders>
              <w:top w:val="nil"/>
              <w:left w:val="single" w:color="auto" w:sz="8" w:space="0"/>
              <w:bottom w:val="nil"/>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包转发率</w:t>
            </w:r>
          </w:p>
        </w:tc>
        <w:tc>
          <w:tcPr>
            <w:tcW w:w="7132" w:type="dxa"/>
            <w:tcBorders>
              <w:top w:val="nil"/>
              <w:left w:val="nil"/>
              <w:bottom w:val="single" w:color="000000" w:sz="8" w:space="0"/>
              <w:right w:val="single" w:color="auto" w:sz="8" w:space="0"/>
            </w:tcBorders>
            <w:noWrap w:val="0"/>
            <w:vAlign w:val="center"/>
          </w:tcPr>
          <w:p>
            <w:pPr>
              <w:widowControl/>
              <w:jc w:val="left"/>
              <w:rPr>
                <w:rFonts w:ascii="宋体" w:hAnsi="宋体" w:cs="宋体"/>
                <w:b/>
                <w:bCs/>
                <w:color w:val="FF0000"/>
                <w:kern w:val="0"/>
              </w:rPr>
            </w:pPr>
            <w:r>
              <w:rPr>
                <w:rFonts w:hint="eastAsia" w:ascii="宋体" w:hAnsi="宋体" w:cs="宋体"/>
                <w:color w:val="000000"/>
                <w:kern w:val="0"/>
              </w:rPr>
              <w:t xml:space="preserve">包转发率≥96Mpps </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性能指标</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MAC地址表≥16K</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路由表容量≥512</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nil"/>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接口类型</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端口形态：</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nil"/>
              <w:right w:val="single" w:color="auto" w:sz="8" w:space="0"/>
            </w:tcBorders>
            <w:noWrap w:val="0"/>
            <w:vAlign w:val="center"/>
          </w:tcPr>
          <w:p>
            <w:pPr>
              <w:widowControl/>
              <w:jc w:val="left"/>
              <w:rPr>
                <w:rFonts w:ascii="宋体" w:hAnsi="宋体" w:cs="宋体"/>
                <w:color w:val="00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b/>
                <w:bCs/>
                <w:color w:val="FF0000"/>
                <w:kern w:val="0"/>
              </w:rPr>
            </w:pPr>
            <w:r>
              <w:rPr>
                <w:rFonts w:hint="eastAsia" w:ascii="宋体" w:hAnsi="宋体" w:cs="宋体"/>
                <w:color w:val="000000"/>
                <w:kern w:val="0"/>
              </w:rPr>
              <w:t>24个GE端口（支持POE），4个千兆SFP口</w:t>
            </w:r>
          </w:p>
        </w:tc>
      </w:tr>
      <w:tr>
        <w:tblPrEx>
          <w:tblLayout w:type="fixed"/>
          <w:tblCellMar>
            <w:top w:w="0" w:type="dxa"/>
            <w:left w:w="108" w:type="dxa"/>
            <w:bottom w:w="0" w:type="dxa"/>
            <w:right w:w="108" w:type="dxa"/>
          </w:tblCellMar>
        </w:tblPrEx>
        <w:trPr>
          <w:trHeight w:val="312" w:hRule="atLeast"/>
        </w:trPr>
        <w:tc>
          <w:tcPr>
            <w:tcW w:w="1656" w:type="dxa"/>
            <w:vMerge w:val="restart"/>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r>
              <w:rPr>
                <w:rFonts w:hint="eastAsia" w:ascii="宋体" w:hAnsi="宋体" w:cs="宋体"/>
                <w:color w:val="000000"/>
                <w:kern w:val="0"/>
              </w:rPr>
              <w:t>ERPS</w:t>
            </w:r>
          </w:p>
        </w:tc>
        <w:tc>
          <w:tcPr>
            <w:tcW w:w="7132" w:type="dxa"/>
            <w:tcBorders>
              <w:top w:val="nil"/>
              <w:left w:val="nil"/>
              <w:bottom w:val="nil"/>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实现ERPS功能，</w:t>
            </w:r>
          </w:p>
        </w:tc>
      </w:tr>
      <w:tr>
        <w:tblPrEx>
          <w:tblLayout w:type="fixed"/>
          <w:tblCellMar>
            <w:top w:w="0" w:type="dxa"/>
            <w:left w:w="108" w:type="dxa"/>
            <w:bottom w:w="0" w:type="dxa"/>
            <w:right w:w="108" w:type="dxa"/>
          </w:tblCellMar>
        </w:tblPrEx>
        <w:trPr>
          <w:trHeight w:val="312" w:hRule="atLeast"/>
        </w:trPr>
        <w:tc>
          <w:tcPr>
            <w:tcW w:w="1656"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nil"/>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能够快速阻断环路，</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链路收敛时间≤50ms</w:t>
            </w:r>
          </w:p>
        </w:tc>
      </w:tr>
      <w:tr>
        <w:tblPrEx>
          <w:tblLayout w:type="fixed"/>
          <w:tblCellMar>
            <w:top w:w="0" w:type="dxa"/>
            <w:left w:w="108" w:type="dxa"/>
            <w:bottom w:w="0" w:type="dxa"/>
            <w:right w:w="108" w:type="dxa"/>
          </w:tblCellMar>
        </w:tblPrEx>
        <w:trPr>
          <w:trHeight w:val="312"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r>
              <w:rPr>
                <w:rFonts w:hint="eastAsia" w:ascii="宋体" w:hAnsi="宋体" w:cs="宋体"/>
                <w:color w:val="000000"/>
                <w:kern w:val="0"/>
              </w:rPr>
              <w:t>CPU防护</w:t>
            </w: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实现CPU保护功能，能限制非法报文对CPU的攻击，保护交换机在各种环境下稳定工作</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p>
        </w:tc>
      </w:tr>
      <w:tr>
        <w:tblPrEx>
          <w:tblLayout w:type="fixed"/>
          <w:tblCellMar>
            <w:top w:w="0" w:type="dxa"/>
            <w:left w:w="108" w:type="dxa"/>
            <w:bottom w:w="0" w:type="dxa"/>
            <w:right w:w="108" w:type="dxa"/>
          </w:tblCellMar>
        </w:tblPrEx>
        <w:trPr>
          <w:trHeight w:val="312"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堆叠</w:t>
            </w: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最大堆叠台数≥9台</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支持跨设备链路聚合，单一IP管理，分布式弹性路由</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支持通过标准以太端口进行堆叠</w:t>
            </w:r>
          </w:p>
        </w:tc>
      </w:tr>
      <w:tr>
        <w:tblPrEx>
          <w:tblLayout w:type="fixed"/>
          <w:tblCellMar>
            <w:top w:w="0" w:type="dxa"/>
            <w:left w:w="108" w:type="dxa"/>
            <w:bottom w:w="0" w:type="dxa"/>
            <w:right w:w="108" w:type="dxa"/>
          </w:tblCellMar>
        </w:tblPrEx>
        <w:trPr>
          <w:trHeight w:val="636"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支持完善的堆叠分裂检测机制，堆叠分裂后能自动完成MAC和IP地址的重配置，无需手动干预</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支持远程堆叠</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VLAN特性</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支持基于端口的VLAN，支持基于协议的VLAN；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支持基于MAC的VLAN；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最大VLAN数(不是VLAN ID)≥4094</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链路聚合</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支持最多8个端口聚合；支持最多128个聚合组（IRF2）；支持LACP</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镜像功能</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支持本地端口镜像和远程端口镜像RSPAN；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支持流镜像</w:t>
            </w: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同时支持N：M的端口镜像（M大于1）</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组播协议</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支持IGMP v1/v2/v3，MLD v1/v2</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支持IGMP Snooping v1/v2/v3，MLD Snooping v1/v2</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支持PIM Snooping</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支持MLD Proxy</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支持组播VLAN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支持PIM-DM，PIM-SM，PIM-SSM</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支持MSDP，MSDP for IPv6</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支持MBGP，MBGP for Ipv6</w:t>
            </w:r>
          </w:p>
        </w:tc>
      </w:tr>
      <w:tr>
        <w:tblPrEx>
          <w:tblLayout w:type="fixed"/>
          <w:tblCellMar>
            <w:top w:w="0" w:type="dxa"/>
            <w:left w:w="108" w:type="dxa"/>
            <w:bottom w:w="0" w:type="dxa"/>
            <w:right w:w="108" w:type="dxa"/>
          </w:tblCellMar>
        </w:tblPrEx>
        <w:trPr>
          <w:trHeight w:val="312"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路由协议</w:t>
            </w: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支持IPv4静态路由、RIP V1/V2、OSPF</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支持IPv6静态路由、RIPng</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可靠性</w:t>
            </w: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支持RRPP（快速环网保护协议），环网故障恢复时间不超过50ms；</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支持Smartlink，收敛时间≤50ms</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支持RSTP功能：收敛时间≤50ms</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支持MSTP功能：收敛时间≤50ms</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支持PVST功能：收敛时间≤50ms</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访问控制策略</w:t>
            </w: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支持基于第二层、第三层和第四层的ACL；</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整机提供ACl条目数不小于1K条；</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支持基于端口和VLAN的 ACL；</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支持IPv6 ACL；</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支持出方向ACL，以便于灵活实现数据包过滤；</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312"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支持802.1x认证，支持集中式MAC地址认证；</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rPr>
            </w:pPr>
          </w:p>
        </w:tc>
      </w:tr>
      <w:tr>
        <w:tblPrEx>
          <w:tblLayout w:type="fixed"/>
          <w:tblCellMar>
            <w:top w:w="0" w:type="dxa"/>
            <w:left w:w="108" w:type="dxa"/>
            <w:bottom w:w="0" w:type="dxa"/>
            <w:right w:w="108" w:type="dxa"/>
          </w:tblCellMar>
        </w:tblPrEx>
        <w:trPr>
          <w:trHeight w:val="636"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SDN/OPENFLOW</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支持OPENFLOW 1.3标准支持普通模式和Openflow 模式切换，需提供官网网站命令手册佐证支持多控制器（EQUAL模式、主备模式）</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rPr>
            </w:pPr>
            <w:r>
              <w:rPr>
                <w:rFonts w:hint="eastAsia" w:ascii="宋体" w:hAnsi="宋体" w:cs="宋体"/>
                <w:color w:val="000000"/>
                <w:kern w:val="0"/>
              </w:rPr>
              <w:t>支持多表流水线</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管理和维护</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支持SNMP V1/V2/V3、RMON、SSHV2</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支持OAM(802.1AG， 802.3AH)以太网运行、维护和管理标准</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绿色节能</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符合IEEE 802.3az（EEE）节能标准</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端口定时down功能（Schedule job）</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支持端口休眠，关闭没有应用的端口，节省能源</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提供ROHS节能认证</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color w:val="FF0000"/>
                <w:kern w:val="0"/>
              </w:rPr>
            </w:pPr>
            <w:r>
              <w:rPr>
                <w:rFonts w:hint="eastAsia" w:ascii="宋体" w:hAnsi="宋体" w:cs="宋体"/>
                <w:color w:val="000000"/>
                <w:kern w:val="0"/>
              </w:rPr>
              <w:t>资质认证</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要求提供信产部入网证和检验报告</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FF0000"/>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rPr>
            </w:pPr>
            <w:r>
              <w:rPr>
                <w:rFonts w:hint="eastAsia" w:ascii="宋体" w:hAnsi="宋体" w:cs="宋体"/>
                <w:color w:val="000000"/>
                <w:kern w:val="0"/>
              </w:rPr>
              <w:t>要求提供泰尔实验室第三方权威测试报告</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ascii="宋体" w:hAnsi="宋体"/>
          <w:bCs w:val="0"/>
          <w:color w:val="000000"/>
          <w:sz w:val="22"/>
          <w:szCs w:val="22"/>
        </w:rPr>
      </w:pPr>
      <w:r>
        <w:rPr>
          <w:sz w:val="22"/>
          <w:szCs w:val="22"/>
        </w:rPr>
        <w:t>1.6.1.</w:t>
      </w:r>
      <w:r>
        <w:rPr>
          <w:rFonts w:hint="eastAsia"/>
          <w:sz w:val="22"/>
          <w:szCs w:val="22"/>
        </w:rPr>
        <w:t xml:space="preserve">7 </w:t>
      </w:r>
      <w:r>
        <w:rPr>
          <w:rFonts w:hint="eastAsia" w:ascii="宋体" w:hAnsi="宋体"/>
          <w:bCs w:val="0"/>
          <w:color w:val="000000"/>
          <w:sz w:val="22"/>
          <w:szCs w:val="22"/>
        </w:rPr>
        <w:t>汇聚交换机</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rFonts w:ascii="宋体" w:hAnsi="宋体"/>
          <w:b w:val="0"/>
          <w:sz w:val="22"/>
          <w:szCs w:val="22"/>
        </w:rPr>
      </w:pPr>
      <w:r>
        <w:rPr>
          <w:rFonts w:hint="eastAsia" w:ascii="宋体" w:hAnsi="宋体"/>
          <w:bCs w:val="0"/>
          <w:sz w:val="22"/>
          <w:szCs w:val="22"/>
        </w:rPr>
        <w:t>可接受的标准化产品品牌为：华三、思科同等或以上档次品牌。</w:t>
      </w:r>
    </w:p>
    <w:tbl>
      <w:tblPr>
        <w:tblStyle w:val="57"/>
        <w:tblW w:w="8788" w:type="dxa"/>
        <w:tblInd w:w="392" w:type="dxa"/>
        <w:tblLayout w:type="fixed"/>
        <w:tblCellMar>
          <w:top w:w="0" w:type="dxa"/>
          <w:left w:w="108" w:type="dxa"/>
          <w:bottom w:w="0" w:type="dxa"/>
          <w:right w:w="108" w:type="dxa"/>
        </w:tblCellMar>
      </w:tblPr>
      <w:tblGrid>
        <w:gridCol w:w="1656"/>
        <w:gridCol w:w="7132"/>
      </w:tblGrid>
      <w:tr>
        <w:tblPrEx>
          <w:tblLayout w:type="fixed"/>
          <w:tblCellMar>
            <w:top w:w="0" w:type="dxa"/>
            <w:left w:w="108" w:type="dxa"/>
            <w:bottom w:w="0" w:type="dxa"/>
            <w:right w:w="108" w:type="dxa"/>
          </w:tblCellMar>
        </w:tblPrEx>
        <w:trPr>
          <w:trHeight w:val="324" w:hRule="atLeast"/>
        </w:trPr>
        <w:tc>
          <w:tcPr>
            <w:tcW w:w="1656"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技术指标</w:t>
            </w:r>
          </w:p>
        </w:tc>
        <w:tc>
          <w:tcPr>
            <w:tcW w:w="7132" w:type="dxa"/>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详细技术参数</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交换容量</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b/>
                <w:bCs/>
                <w:kern w:val="0"/>
              </w:rPr>
            </w:pPr>
            <w:r>
              <w:rPr>
                <w:rFonts w:hint="eastAsia" w:ascii="宋体" w:hAnsi="宋体" w:cs="宋体"/>
                <w:kern w:val="0"/>
              </w:rPr>
              <w:t>≥598Gbps</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转发性能</w:t>
            </w:r>
          </w:p>
        </w:tc>
        <w:tc>
          <w:tcPr>
            <w:tcW w:w="7132" w:type="dxa"/>
            <w:tcBorders>
              <w:top w:val="nil"/>
              <w:left w:val="nil"/>
              <w:bottom w:val="single" w:color="000000" w:sz="8" w:space="0"/>
              <w:right w:val="single" w:color="auto" w:sz="8" w:space="0"/>
            </w:tcBorders>
            <w:noWrap w:val="0"/>
            <w:vAlign w:val="center"/>
          </w:tcPr>
          <w:p>
            <w:pPr>
              <w:widowControl/>
              <w:jc w:val="left"/>
              <w:rPr>
                <w:rFonts w:ascii="宋体" w:hAnsi="宋体" w:cs="宋体"/>
                <w:b/>
                <w:bCs/>
                <w:kern w:val="0"/>
              </w:rPr>
            </w:pPr>
            <w:r>
              <w:rPr>
                <w:rFonts w:hint="eastAsia" w:ascii="宋体" w:hAnsi="宋体" w:cs="宋体"/>
                <w:kern w:val="0"/>
              </w:rPr>
              <w:t xml:space="preserve">≥216Mpps </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电源</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模块化双电源</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风扇</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模块化双风扇，前/后通风，风道可调</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性能指标</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MAC地址表≥64K</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路由表容量≥32K</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b/>
                <w:bCs/>
                <w:kern w:val="0"/>
              </w:rPr>
            </w:pPr>
            <w:r>
              <w:rPr>
                <w:rFonts w:hint="eastAsia" w:ascii="宋体" w:hAnsi="宋体" w:cs="宋体"/>
                <w:kern w:val="0"/>
              </w:rPr>
              <w:t>ARP≥32K</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000000"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接口类型</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bCs/>
                <w:kern w:val="0"/>
              </w:rPr>
            </w:pPr>
            <w:r>
              <w:rPr>
                <w:rFonts w:hint="eastAsia" w:ascii="宋体" w:hAnsi="宋体" w:cs="宋体"/>
                <w:kern w:val="0"/>
              </w:rPr>
              <w:t>端口形态</w:t>
            </w:r>
            <w:r>
              <w:rPr>
                <w:rFonts w:hint="eastAsia" w:ascii="宋体" w:hAnsi="宋体" w:cs="宋体"/>
                <w:bCs/>
                <w:kern w:val="0"/>
              </w:rPr>
              <w:t>：</w:t>
            </w:r>
            <w:r>
              <w:rPr>
                <w:rFonts w:ascii="宋体" w:hAnsi="宋体" w:cs="宋体"/>
                <w:bCs/>
                <w:kern w:val="0"/>
              </w:rPr>
              <w:t>24个SFP端口，8个10/100/1000Base-T（combo）端口</w:t>
            </w:r>
            <w:r>
              <w:rPr>
                <w:rFonts w:hint="eastAsia" w:ascii="宋体" w:hAnsi="宋体" w:cs="宋体"/>
                <w:bCs/>
                <w:kern w:val="0"/>
              </w:rPr>
              <w:t>,</w:t>
            </w:r>
            <w:r>
              <w:rPr>
                <w:rFonts w:ascii="宋体" w:hAnsi="宋体" w:cs="宋体"/>
                <w:bCs/>
                <w:kern w:val="0"/>
              </w:rPr>
              <w:t xml:space="preserve"> 4个万兆SFP+口</w:t>
            </w:r>
          </w:p>
        </w:tc>
      </w:tr>
      <w:tr>
        <w:tblPrEx>
          <w:tblLayout w:type="fixed"/>
          <w:tblCellMar>
            <w:top w:w="0" w:type="dxa"/>
            <w:left w:w="108" w:type="dxa"/>
            <w:bottom w:w="0" w:type="dxa"/>
            <w:right w:w="108" w:type="dxa"/>
          </w:tblCellMar>
        </w:tblPrEx>
        <w:trPr>
          <w:trHeight w:val="324" w:hRule="atLeast"/>
        </w:trPr>
        <w:tc>
          <w:tcPr>
            <w:tcW w:w="1656" w:type="dxa"/>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多业务</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b/>
                <w:bCs/>
                <w:kern w:val="0"/>
              </w:rPr>
            </w:pPr>
            <w:r>
              <w:rPr>
                <w:rFonts w:hint="eastAsia" w:ascii="宋体" w:hAnsi="宋体" w:cs="宋体"/>
                <w:kern w:val="0"/>
              </w:rPr>
              <w:t>支持多业务插卡</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堆叠</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最大堆叠台数≥9台</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最大堆叠带宽≥160G</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支持跨设备链路聚合，单一IP管理，分布式弹性路由</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支持通过标准以太端口进行堆叠</w:t>
            </w:r>
          </w:p>
        </w:tc>
      </w:tr>
      <w:tr>
        <w:tblPrEx>
          <w:tblLayout w:type="fixed"/>
          <w:tblCellMar>
            <w:top w:w="0" w:type="dxa"/>
            <w:left w:w="108" w:type="dxa"/>
            <w:bottom w:w="0" w:type="dxa"/>
            <w:right w:w="108" w:type="dxa"/>
          </w:tblCellMar>
        </w:tblPrEx>
        <w:trPr>
          <w:trHeight w:val="636"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支持完善的堆叠分裂检测机制，堆叠分裂后能自动完成MAC和IP地址的重配置，无需手动干预</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支持远程堆叠</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VLAN特性</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支持基于端口的VLAN，支持基于协议的VLAN；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支持基于MAC的VLAN；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最大VLAN数(不是VLAN ID)≥4094</w:t>
            </w:r>
          </w:p>
        </w:tc>
      </w:tr>
      <w:tr>
        <w:tblPrEx>
          <w:tblLayout w:type="fixed"/>
          <w:tblCellMar>
            <w:top w:w="0" w:type="dxa"/>
            <w:left w:w="108" w:type="dxa"/>
            <w:bottom w:w="0" w:type="dxa"/>
            <w:right w:w="108" w:type="dxa"/>
          </w:tblCellMar>
        </w:tblPrEx>
        <w:trPr>
          <w:trHeight w:val="636"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链路聚合</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支持最多8个GE口或4个10 GE端口聚合；支持最多128个聚合组；支持LACP</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镜像功能</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支持本地端口镜像和远程端口镜像RSPAN；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支持流镜像</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同时支持N：M的端口镜像（M大于1）</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组播协议</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支持IGMP v1/v2/v3，MLD v1/v2</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支持IGMP Snooping v1/v2/v3，MLD Snooping v1/v2</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支持PIM Snooping</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支持MLD Proxy</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支持组播VLAN</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支持PIM-DM，PIM-SM，PIM-SSM</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支持MSDP，MSDP for IPv6</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支持MBGP，MBGP for Ipv6</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路由协议</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支持IPv4静态路由、RIP V1/V2、OSPF、BGP</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支持IPv6静态路由、RIPng、OSPFv3、BGP4+</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支持IPv4和IPv6环境下的策略路由</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支持IPv6手动隧道、6to4隧道和ISATAP隧道</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可靠性</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支持VRRPv2/v3（虚拟路由冗余协议)；</w:t>
            </w:r>
          </w:p>
        </w:tc>
      </w:tr>
      <w:tr>
        <w:tblPrEx>
          <w:tblLayout w:type="fixed"/>
          <w:tblCellMar>
            <w:top w:w="0" w:type="dxa"/>
            <w:left w:w="108" w:type="dxa"/>
            <w:bottom w:w="0" w:type="dxa"/>
            <w:right w:w="108" w:type="dxa"/>
          </w:tblCellMar>
        </w:tblPrEx>
        <w:trPr>
          <w:trHeight w:val="636"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支持RRPP（快速环网保护协议），环网故障恢复时间不超过200ms；</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访问控制策略</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支持基于第二层、第三层和第四层的ACL；</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整机提供ACl条目数不小于4K条；</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支持基于端口和VLAN的 ACL；</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支持IPv6 ACL；</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支持出方向ACL，以便于灵活实现数据包过滤；</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支持802.1x认证，支持集中式MAC地址认证；</w:t>
            </w:r>
          </w:p>
        </w:tc>
      </w:tr>
      <w:tr>
        <w:tblPrEx>
          <w:tblLayout w:type="fixed"/>
          <w:tblCellMar>
            <w:top w:w="0" w:type="dxa"/>
            <w:left w:w="108" w:type="dxa"/>
            <w:bottom w:w="0" w:type="dxa"/>
            <w:right w:w="108" w:type="dxa"/>
          </w:tblCellMar>
        </w:tblPrEx>
        <w:trPr>
          <w:trHeight w:val="948"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Macsec</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支持802.1ae Macsec安全加密，实现MAC层安全加密，包括用户数据加密、数据帧完整性检查及数据源真实性校验。无需软件授权</w:t>
            </w:r>
          </w:p>
        </w:tc>
      </w:tr>
      <w:tr>
        <w:tblPrEx>
          <w:tblLayout w:type="fixed"/>
          <w:tblCellMar>
            <w:top w:w="0" w:type="dxa"/>
            <w:left w:w="108" w:type="dxa"/>
            <w:bottom w:w="0" w:type="dxa"/>
            <w:right w:w="108" w:type="dxa"/>
          </w:tblCellMar>
        </w:tblPrEx>
        <w:trPr>
          <w:trHeight w:val="636"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有线无线一体化</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内置软AC功能，交换平台实现有线无线一体化集成，配合MC-AC分层模式，消除无线带宽瓶颈</w:t>
            </w:r>
          </w:p>
        </w:tc>
      </w:tr>
      <w:tr>
        <w:tblPrEx>
          <w:tblLayout w:type="fixed"/>
          <w:tblCellMar>
            <w:top w:w="0" w:type="dxa"/>
            <w:left w:w="108" w:type="dxa"/>
            <w:bottom w:w="0" w:type="dxa"/>
            <w:right w:w="108" w:type="dxa"/>
          </w:tblCellMar>
        </w:tblPrEx>
        <w:trPr>
          <w:trHeight w:val="636" w:hRule="atLeast"/>
        </w:trPr>
        <w:tc>
          <w:tcPr>
            <w:tcW w:w="1656" w:type="dxa"/>
            <w:tcBorders>
              <w:top w:val="nil"/>
              <w:left w:val="single" w:color="auto" w:sz="8" w:space="0"/>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安全扩展</w:t>
            </w:r>
            <w:r>
              <w:rPr>
                <w:rFonts w:ascii="宋体" w:hAnsi="宋体" w:cs="宋体"/>
                <w:kern w:val="0"/>
              </w:rPr>
              <w:t>性</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w:t>
            </w:r>
            <w:r>
              <w:rPr>
                <w:rFonts w:ascii="宋体" w:hAnsi="宋体" w:cs="宋体"/>
                <w:kern w:val="0"/>
              </w:rPr>
              <w:t>扩展</w:t>
            </w:r>
            <w:r>
              <w:rPr>
                <w:rFonts w:hint="eastAsia" w:ascii="宋体" w:hAnsi="宋体" w:cs="宋体"/>
                <w:kern w:val="0"/>
              </w:rPr>
              <w:t>FW\防病毒板卡</w:t>
            </w:r>
            <w:r>
              <w:rPr>
                <w:rFonts w:ascii="宋体" w:hAnsi="宋体" w:cs="宋体"/>
                <w:kern w:val="0"/>
              </w:rPr>
              <w:t>，要求提供</w:t>
            </w:r>
            <w:r>
              <w:rPr>
                <w:rFonts w:hint="eastAsia" w:ascii="宋体" w:hAnsi="宋体" w:cs="宋体"/>
                <w:kern w:val="0"/>
              </w:rPr>
              <w:t>官网</w:t>
            </w:r>
            <w:r>
              <w:rPr>
                <w:rFonts w:ascii="宋体" w:hAnsi="宋体" w:cs="宋体"/>
                <w:kern w:val="0"/>
              </w:rPr>
              <w:t>截图并盖</w:t>
            </w:r>
            <w:r>
              <w:rPr>
                <w:rFonts w:hint="eastAsia" w:ascii="宋体" w:hAnsi="宋体" w:cs="宋体"/>
                <w:kern w:val="0"/>
              </w:rPr>
              <w:t>原厂</w:t>
            </w:r>
            <w:r>
              <w:rPr>
                <w:rFonts w:ascii="宋体" w:hAnsi="宋体" w:cs="宋体"/>
                <w:kern w:val="0"/>
              </w:rPr>
              <w:t>商</w:t>
            </w:r>
            <w:r>
              <w:rPr>
                <w:rFonts w:hint="eastAsia" w:ascii="宋体" w:hAnsi="宋体" w:cs="宋体"/>
                <w:kern w:val="0"/>
              </w:rPr>
              <w:t>公</w:t>
            </w:r>
            <w:r>
              <w:rPr>
                <w:rFonts w:ascii="宋体" w:hAnsi="宋体" w:cs="宋体"/>
                <w:kern w:val="0"/>
              </w:rPr>
              <w:t>章</w:t>
            </w:r>
          </w:p>
        </w:tc>
      </w:tr>
      <w:tr>
        <w:tblPrEx>
          <w:tblLayout w:type="fixed"/>
          <w:tblCellMar>
            <w:top w:w="0" w:type="dxa"/>
            <w:left w:w="108" w:type="dxa"/>
            <w:bottom w:w="0" w:type="dxa"/>
            <w:right w:w="108" w:type="dxa"/>
          </w:tblCellMar>
        </w:tblPrEx>
        <w:trPr>
          <w:trHeight w:val="948"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SDN/OPENFLOW</w:t>
            </w: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支持OPENFLOW 1.3标准支持普通模式和Openflow 模式切换，需提供官网网站命令手册佐证支持多控制器（EQUAL模式、主备模式）</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jc w:val="left"/>
              <w:rPr>
                <w:rFonts w:ascii="宋体" w:hAnsi="宋体" w:cs="宋体"/>
                <w:kern w:val="0"/>
              </w:rPr>
            </w:pPr>
            <w:r>
              <w:rPr>
                <w:rFonts w:hint="eastAsia" w:ascii="宋体" w:hAnsi="宋体" w:cs="宋体"/>
                <w:kern w:val="0"/>
              </w:rPr>
              <w:t>支持多表流水线</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管理和维护</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支持SNMP V1/V2/V3、RMON、SSHV2</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支持OAM(802.1AG， 802.3AH)以太网运行、维护和管理标准</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b/>
                <w:bCs/>
                <w:kern w:val="0"/>
              </w:rPr>
            </w:pPr>
            <w:r>
              <w:rPr>
                <w:rFonts w:hint="eastAsia" w:ascii="宋体" w:hAnsi="宋体" w:cs="宋体"/>
                <w:kern w:val="0"/>
              </w:rPr>
              <w:t>绿色节能</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符合IEEE 802.3az（EEE）节能标准</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端口定时down功能（Schedule job）</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支持端口休眠，关闭没有应用的端口，节省能源</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支持智能风扇调速</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rPr>
            </w:pP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提供ROHS节能认证</w:t>
            </w:r>
          </w:p>
        </w:tc>
      </w:tr>
      <w:tr>
        <w:tblPrEx>
          <w:tblLayout w:type="fixed"/>
          <w:tblCellMar>
            <w:top w:w="0" w:type="dxa"/>
            <w:left w:w="108" w:type="dxa"/>
            <w:bottom w:w="0" w:type="dxa"/>
            <w:right w:w="108" w:type="dxa"/>
          </w:tblCellMar>
        </w:tblPrEx>
        <w:trPr>
          <w:trHeight w:val="324" w:hRule="atLeast"/>
        </w:trPr>
        <w:tc>
          <w:tcPr>
            <w:tcW w:w="1656"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资质认证</w:t>
            </w:r>
          </w:p>
        </w:tc>
        <w:tc>
          <w:tcPr>
            <w:tcW w:w="7132" w:type="dxa"/>
            <w:tcBorders>
              <w:top w:val="nil"/>
              <w:left w:val="nil"/>
              <w:bottom w:val="single" w:color="auto" w:sz="8" w:space="0"/>
              <w:right w:val="single" w:color="auto" w:sz="8" w:space="0"/>
            </w:tcBorders>
            <w:noWrap w:val="0"/>
            <w:vAlign w:val="center"/>
          </w:tcPr>
          <w:p>
            <w:pPr>
              <w:widowControl/>
              <w:rPr>
                <w:rFonts w:ascii="宋体" w:hAnsi="宋体" w:cs="宋体"/>
                <w:kern w:val="0"/>
              </w:rPr>
            </w:pPr>
            <w:r>
              <w:rPr>
                <w:rFonts w:hint="eastAsia" w:ascii="宋体" w:hAnsi="宋体" w:cs="宋体"/>
                <w:kern w:val="0"/>
              </w:rPr>
              <w:t>要求提供信产部入网证和检验报告</w:t>
            </w:r>
          </w:p>
        </w:tc>
      </w:tr>
      <w:tr>
        <w:tblPrEx>
          <w:tblLayout w:type="fixed"/>
          <w:tblCellMar>
            <w:top w:w="0" w:type="dxa"/>
            <w:left w:w="108" w:type="dxa"/>
            <w:bottom w:w="0" w:type="dxa"/>
            <w:right w:w="108" w:type="dxa"/>
          </w:tblCellMar>
        </w:tblPrEx>
        <w:trPr>
          <w:trHeight w:val="324" w:hRule="atLeast"/>
        </w:trPr>
        <w:tc>
          <w:tcPr>
            <w:tcW w:w="1656" w:type="dxa"/>
            <w:vMerge w:val="continue"/>
            <w:tcBorders>
              <w:top w:val="nil"/>
              <w:left w:val="single" w:color="auto" w:sz="8" w:space="0"/>
              <w:bottom w:val="single" w:color="auto" w:sz="4" w:space="0"/>
              <w:right w:val="single" w:color="auto" w:sz="8" w:space="0"/>
            </w:tcBorders>
            <w:noWrap w:val="0"/>
            <w:vAlign w:val="center"/>
          </w:tcPr>
          <w:p>
            <w:pPr>
              <w:widowControl/>
              <w:rPr>
                <w:rFonts w:ascii="宋体" w:hAnsi="宋体" w:cs="宋体"/>
                <w:kern w:val="0"/>
              </w:rPr>
            </w:pPr>
          </w:p>
        </w:tc>
        <w:tc>
          <w:tcPr>
            <w:tcW w:w="7132" w:type="dxa"/>
            <w:tcBorders>
              <w:top w:val="nil"/>
              <w:left w:val="nil"/>
              <w:bottom w:val="single" w:color="auto" w:sz="4" w:space="0"/>
              <w:right w:val="single" w:color="auto" w:sz="8" w:space="0"/>
            </w:tcBorders>
            <w:noWrap w:val="0"/>
            <w:vAlign w:val="center"/>
          </w:tcPr>
          <w:p>
            <w:pPr>
              <w:widowControl/>
              <w:rPr>
                <w:rFonts w:ascii="宋体" w:hAnsi="宋体" w:cs="宋体"/>
                <w:kern w:val="0"/>
              </w:rPr>
            </w:pPr>
            <w:r>
              <w:rPr>
                <w:rFonts w:hint="eastAsia" w:ascii="宋体" w:hAnsi="宋体" w:cs="宋体"/>
                <w:kern w:val="0"/>
              </w:rPr>
              <w:t>要求提供泰尔实验室第三方权威测试报告</w:t>
            </w:r>
          </w:p>
        </w:tc>
      </w:tr>
    </w:tbl>
    <w:p>
      <w:pPr>
        <w:rPr>
          <w:rFonts w:hint="eastAsia"/>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sz w:val="22"/>
          <w:szCs w:val="22"/>
        </w:rPr>
      </w:pPr>
      <w:r>
        <w:rPr>
          <w:sz w:val="22"/>
          <w:szCs w:val="22"/>
        </w:rPr>
        <w:t>1.6.1.</w:t>
      </w:r>
      <w:r>
        <w:rPr>
          <w:rFonts w:hint="eastAsia"/>
          <w:sz w:val="22"/>
          <w:szCs w:val="22"/>
        </w:rPr>
        <w:t>8 室外枪型摄像机</w:t>
      </w:r>
    </w:p>
    <w:p>
      <w:pPr>
        <w:rPr>
          <w:rFonts w:hint="eastAsia"/>
        </w:rPr>
      </w:pPr>
      <w:bookmarkStart w:id="352" w:name="_GoBack"/>
      <w:bookmarkEnd w:id="352"/>
      <w:r>
        <w:rPr>
          <w:rFonts w:hint="eastAsia"/>
        </w:rPr>
        <w:t>同</w:t>
      </w:r>
      <w:r>
        <w:t>1.6.1.1</w:t>
      </w:r>
      <w:r>
        <w:rPr>
          <w:rFonts w:hint="eastAsia"/>
        </w:rPr>
        <w:t>高清枪型摄像机要求。</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sz w:val="22"/>
          <w:szCs w:val="22"/>
        </w:rPr>
      </w:pPr>
      <w:r>
        <w:rPr>
          <w:sz w:val="22"/>
          <w:szCs w:val="22"/>
        </w:rPr>
        <w:t>1.6.1.</w:t>
      </w:r>
      <w:r>
        <w:rPr>
          <w:rFonts w:hint="eastAsia"/>
          <w:sz w:val="22"/>
          <w:szCs w:val="22"/>
        </w:rPr>
        <w:t>9 工业环网交换机（8口）</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rFonts w:hint="eastAsia" w:ascii="宋体" w:hAnsi="宋体"/>
          <w:bCs w:val="0"/>
          <w:color w:val="000000"/>
          <w:sz w:val="22"/>
          <w:szCs w:val="22"/>
        </w:rPr>
      </w:pPr>
      <w:r>
        <w:rPr>
          <w:rFonts w:hint="eastAsia" w:ascii="宋体" w:hAnsi="宋体"/>
          <w:bCs w:val="0"/>
          <w:color w:val="000000"/>
          <w:sz w:val="22"/>
          <w:szCs w:val="22"/>
        </w:rPr>
        <w:t>可接入当前一期飞行区报警系统网络网管系统；</w:t>
      </w:r>
      <w:r>
        <w:rPr>
          <w:rFonts w:ascii="宋体" w:hAnsi="宋体"/>
          <w:bCs w:val="0"/>
          <w:color w:val="000000"/>
          <w:sz w:val="22"/>
          <w:szCs w:val="22"/>
        </w:rPr>
        <w:t xml:space="preserve">  </w:t>
      </w:r>
    </w:p>
    <w:p>
      <w:pPr>
        <w:spacing w:line="360" w:lineRule="auto"/>
        <w:ind w:firstLine="433" w:firstLineChars="196"/>
        <w:rPr>
          <w:rFonts w:hint="eastAsia" w:cs="黑体"/>
          <w:b/>
          <w:bCs/>
          <w:color w:val="000000"/>
          <w:sz w:val="22"/>
        </w:rPr>
      </w:pPr>
      <w:r>
        <w:rPr>
          <w:rFonts w:hint="eastAsia" w:cs="黑体"/>
          <w:b/>
          <w:color w:val="000000"/>
          <w:sz w:val="22"/>
        </w:rPr>
        <w:t>可接受标准化产品品牌为：</w:t>
      </w:r>
      <w:r>
        <w:rPr>
          <w:rFonts w:hint="eastAsia" w:cs="黑体"/>
          <w:b/>
          <w:bCs/>
          <w:color w:val="000000"/>
          <w:sz w:val="22"/>
        </w:rPr>
        <w:t>华三、思科</w:t>
      </w:r>
      <w:r>
        <w:rPr>
          <w:rFonts w:hint="eastAsia" w:ascii="宋体" w:hAnsi="宋体" w:cs="黑体"/>
          <w:b/>
          <w:bCs/>
          <w:color w:val="000000"/>
          <w:sz w:val="22"/>
        </w:rPr>
        <w:t>同</w:t>
      </w:r>
      <w:r>
        <w:rPr>
          <w:rFonts w:hint="eastAsia" w:ascii="宋体" w:hAnsi="宋体" w:cs="黑体"/>
          <w:b/>
          <w:color w:val="000000"/>
          <w:sz w:val="22"/>
        </w:rPr>
        <w:t>等或以上</w:t>
      </w:r>
      <w:r>
        <w:rPr>
          <w:rFonts w:hint="eastAsia" w:cs="黑体"/>
          <w:b/>
          <w:bCs/>
          <w:color w:val="000000"/>
          <w:sz w:val="22"/>
        </w:rPr>
        <w:t>档次品牌。</w:t>
      </w:r>
    </w:p>
    <w:tbl>
      <w:tblPr>
        <w:tblStyle w:val="57"/>
        <w:tblW w:w="86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223"/>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noWrap w:val="0"/>
            <w:vAlign w:val="center"/>
          </w:tcPr>
          <w:p>
            <w:pPr>
              <w:jc w:val="center"/>
              <w:rPr>
                <w:rFonts w:ascii="宋体"/>
                <w:b/>
                <w:color w:val="000000"/>
                <w:sz w:val="22"/>
              </w:rPr>
            </w:pPr>
            <w:r>
              <w:rPr>
                <w:rFonts w:hint="eastAsia" w:ascii="宋体" w:hAnsi="宋体"/>
                <w:b/>
                <w:color w:val="000000"/>
                <w:sz w:val="22"/>
              </w:rPr>
              <w:t>序号</w:t>
            </w:r>
          </w:p>
        </w:tc>
        <w:tc>
          <w:tcPr>
            <w:tcW w:w="7773" w:type="dxa"/>
            <w:gridSpan w:val="2"/>
            <w:noWrap w:val="0"/>
            <w:vAlign w:val="center"/>
          </w:tcPr>
          <w:p>
            <w:pPr>
              <w:jc w:val="center"/>
              <w:rPr>
                <w:rFonts w:ascii="宋体"/>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1</w:t>
            </w:r>
          </w:p>
        </w:tc>
        <w:tc>
          <w:tcPr>
            <w:tcW w:w="3223" w:type="dxa"/>
            <w:noWrap w:val="0"/>
            <w:vAlign w:val="center"/>
          </w:tcPr>
          <w:p>
            <w:pPr>
              <w:rPr>
                <w:rFonts w:ascii="宋体"/>
                <w:color w:val="000000"/>
                <w:sz w:val="22"/>
              </w:rPr>
            </w:pPr>
            <w:r>
              <w:rPr>
                <w:rFonts w:ascii="宋体" w:hAnsi="宋体"/>
                <w:color w:val="000000"/>
                <w:sz w:val="22"/>
              </w:rPr>
              <w:t>10/100Base-T</w:t>
            </w:r>
            <w:r>
              <w:rPr>
                <w:rFonts w:hint="eastAsia" w:ascii="宋体" w:hAnsi="宋体"/>
                <w:color w:val="000000"/>
                <w:sz w:val="22"/>
              </w:rPr>
              <w:t>电口</w:t>
            </w:r>
          </w:p>
        </w:tc>
        <w:tc>
          <w:tcPr>
            <w:tcW w:w="4550" w:type="dxa"/>
            <w:noWrap w:val="0"/>
            <w:vAlign w:val="center"/>
          </w:tcPr>
          <w:p>
            <w:pPr>
              <w:rPr>
                <w:rFonts w:ascii="宋体"/>
                <w:color w:val="000000"/>
                <w:sz w:val="22"/>
              </w:rPr>
            </w:pPr>
            <w:r>
              <w:rPr>
                <w:rFonts w:ascii="宋体" w:hAnsi="宋体"/>
                <w:color w:val="000000"/>
                <w:sz w:val="22"/>
              </w:rPr>
              <w:t>8</w:t>
            </w:r>
            <w:r>
              <w:rPr>
                <w:rFonts w:hint="eastAsia" w:ascii="宋体" w:hAnsi="宋体"/>
                <w:color w:val="00000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2</w:t>
            </w:r>
          </w:p>
        </w:tc>
        <w:tc>
          <w:tcPr>
            <w:tcW w:w="3223" w:type="dxa"/>
            <w:noWrap w:val="0"/>
            <w:vAlign w:val="center"/>
          </w:tcPr>
          <w:p>
            <w:pPr>
              <w:rPr>
                <w:rFonts w:ascii="宋体"/>
                <w:color w:val="000000"/>
                <w:sz w:val="22"/>
              </w:rPr>
            </w:pPr>
            <w:r>
              <w:rPr>
                <w:rFonts w:ascii="宋体" w:hAnsi="宋体"/>
                <w:color w:val="000000"/>
                <w:sz w:val="22"/>
              </w:rPr>
              <w:t>10/100/1000 Base-X SFP</w:t>
            </w:r>
            <w:r>
              <w:rPr>
                <w:rFonts w:hint="eastAsia" w:ascii="宋体" w:hAnsi="宋体"/>
                <w:color w:val="000000"/>
                <w:sz w:val="22"/>
              </w:rPr>
              <w:t>光口</w:t>
            </w:r>
          </w:p>
        </w:tc>
        <w:tc>
          <w:tcPr>
            <w:tcW w:w="4550" w:type="dxa"/>
            <w:noWrap w:val="0"/>
            <w:vAlign w:val="center"/>
          </w:tcPr>
          <w:p>
            <w:pPr>
              <w:rPr>
                <w:rFonts w:ascii="宋体"/>
                <w:color w:val="000000"/>
                <w:sz w:val="22"/>
              </w:rPr>
            </w:pPr>
            <w:r>
              <w:rPr>
                <w:rFonts w:ascii="宋体" w:hAnsi="宋体"/>
                <w:color w:val="000000"/>
                <w:sz w:val="22"/>
              </w:rPr>
              <w:t>2</w:t>
            </w:r>
            <w:r>
              <w:rPr>
                <w:rFonts w:hint="eastAsia" w:ascii="宋体" w:hAnsi="宋体"/>
                <w:color w:val="00000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3</w:t>
            </w:r>
          </w:p>
        </w:tc>
        <w:tc>
          <w:tcPr>
            <w:tcW w:w="3223" w:type="dxa"/>
            <w:noWrap w:val="0"/>
            <w:vAlign w:val="center"/>
          </w:tcPr>
          <w:p>
            <w:pPr>
              <w:rPr>
                <w:rFonts w:ascii="宋体"/>
                <w:color w:val="000000"/>
                <w:sz w:val="22"/>
              </w:rPr>
            </w:pPr>
            <w:r>
              <w:rPr>
                <w:rFonts w:ascii="宋体" w:hAnsi="宋体"/>
                <w:color w:val="000000"/>
                <w:sz w:val="22"/>
              </w:rPr>
              <w:t>10/100/1000 Base-T</w:t>
            </w:r>
            <w:r>
              <w:rPr>
                <w:rFonts w:hint="eastAsia" w:ascii="宋体" w:hAnsi="宋体"/>
                <w:color w:val="000000"/>
                <w:sz w:val="22"/>
              </w:rPr>
              <w:t>电口</w:t>
            </w:r>
          </w:p>
        </w:tc>
        <w:tc>
          <w:tcPr>
            <w:tcW w:w="4550" w:type="dxa"/>
            <w:noWrap w:val="0"/>
            <w:vAlign w:val="center"/>
          </w:tcPr>
          <w:p>
            <w:pPr>
              <w:rPr>
                <w:rFonts w:ascii="宋体"/>
                <w:color w:val="000000"/>
                <w:sz w:val="22"/>
              </w:rPr>
            </w:pPr>
            <w:r>
              <w:rPr>
                <w:rFonts w:ascii="宋体" w:hAnsi="宋体"/>
                <w:color w:val="000000"/>
                <w:kern w:val="0"/>
              </w:rPr>
              <w:t>2</w:t>
            </w:r>
            <w:r>
              <w:rPr>
                <w:rFonts w:hint="eastAsia" w:ascii="宋体" w:hAnsi="宋体"/>
                <w:color w:val="000000"/>
                <w:kern w:val="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4</w:t>
            </w:r>
          </w:p>
        </w:tc>
        <w:tc>
          <w:tcPr>
            <w:tcW w:w="3223" w:type="dxa"/>
            <w:noWrap w:val="0"/>
            <w:vAlign w:val="center"/>
          </w:tcPr>
          <w:p>
            <w:pPr>
              <w:rPr>
                <w:rFonts w:ascii="宋体"/>
                <w:color w:val="000000"/>
                <w:sz w:val="22"/>
              </w:rPr>
            </w:pPr>
            <w:r>
              <w:rPr>
                <w:rFonts w:hint="eastAsia" w:ascii="宋体" w:hAnsi="宋体"/>
                <w:color w:val="000000"/>
                <w:sz w:val="22"/>
              </w:rPr>
              <w:t>交换容量</w:t>
            </w:r>
          </w:p>
        </w:tc>
        <w:tc>
          <w:tcPr>
            <w:tcW w:w="4550" w:type="dxa"/>
            <w:noWrap w:val="0"/>
            <w:vAlign w:val="center"/>
          </w:tcPr>
          <w:p>
            <w:pPr>
              <w:rPr>
                <w:rFonts w:ascii="宋体"/>
                <w:color w:val="000000"/>
                <w:sz w:val="22"/>
              </w:rPr>
            </w:pPr>
            <w:r>
              <w:rPr>
                <w:rFonts w:hint="eastAsia" w:ascii="宋体" w:hAnsi="宋体"/>
                <w:color w:val="000000"/>
                <w:sz w:val="22"/>
              </w:rPr>
              <w:t>≥</w:t>
            </w:r>
            <w:r>
              <w:rPr>
                <w:rFonts w:ascii="宋体" w:hAnsi="宋体"/>
                <w:color w:val="000000"/>
                <w:sz w:val="22"/>
              </w:rPr>
              <w:t>128Gbps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5</w:t>
            </w:r>
          </w:p>
        </w:tc>
        <w:tc>
          <w:tcPr>
            <w:tcW w:w="3223" w:type="dxa"/>
            <w:noWrap w:val="0"/>
            <w:vAlign w:val="center"/>
          </w:tcPr>
          <w:p>
            <w:pPr>
              <w:rPr>
                <w:rFonts w:ascii="宋体"/>
                <w:color w:val="000000"/>
                <w:sz w:val="22"/>
              </w:rPr>
            </w:pPr>
            <w:r>
              <w:rPr>
                <w:rFonts w:hint="eastAsia" w:ascii="宋体" w:hAnsi="宋体"/>
                <w:color w:val="000000"/>
                <w:sz w:val="22"/>
              </w:rPr>
              <w:t>包转发率</w:t>
            </w:r>
          </w:p>
        </w:tc>
        <w:tc>
          <w:tcPr>
            <w:tcW w:w="4550" w:type="dxa"/>
            <w:noWrap w:val="0"/>
            <w:vAlign w:val="center"/>
          </w:tcPr>
          <w:p>
            <w:pPr>
              <w:rPr>
                <w:rFonts w:ascii="宋体"/>
                <w:color w:val="000000"/>
                <w:sz w:val="22"/>
              </w:rPr>
            </w:pPr>
            <w:r>
              <w:rPr>
                <w:rFonts w:hint="eastAsia" w:ascii="宋体" w:hAnsi="宋体"/>
                <w:color w:val="000000"/>
                <w:sz w:val="22"/>
              </w:rPr>
              <w:t>≥</w:t>
            </w:r>
            <w:r>
              <w:rPr>
                <w:rFonts w:ascii="宋体" w:hAnsi="宋体"/>
                <w:color w:val="000000"/>
                <w:sz w:val="22"/>
              </w:rPr>
              <w:t>7.2Mpps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6</w:t>
            </w:r>
          </w:p>
        </w:tc>
        <w:tc>
          <w:tcPr>
            <w:tcW w:w="3223" w:type="dxa"/>
            <w:noWrap w:val="0"/>
            <w:vAlign w:val="center"/>
          </w:tcPr>
          <w:p>
            <w:pPr>
              <w:rPr>
                <w:rFonts w:ascii="宋体"/>
                <w:color w:val="000000"/>
                <w:sz w:val="22"/>
              </w:rPr>
            </w:pPr>
            <w:r>
              <w:rPr>
                <w:rFonts w:hint="eastAsia" w:ascii="宋体" w:hAnsi="宋体"/>
                <w:color w:val="000000"/>
                <w:sz w:val="22"/>
              </w:rPr>
              <w:t>工作环境</w:t>
            </w:r>
          </w:p>
        </w:tc>
        <w:tc>
          <w:tcPr>
            <w:tcW w:w="4550" w:type="dxa"/>
            <w:noWrap w:val="0"/>
            <w:vAlign w:val="center"/>
          </w:tcPr>
          <w:p>
            <w:pPr>
              <w:rPr>
                <w:rFonts w:ascii="宋体"/>
                <w:color w:val="000000"/>
                <w:sz w:val="22"/>
              </w:rPr>
            </w:pPr>
            <w:r>
              <w:rPr>
                <w:rFonts w:hint="eastAsia" w:ascii="宋体" w:hAnsi="宋体"/>
                <w:color w:val="000000"/>
                <w:sz w:val="22"/>
              </w:rPr>
              <w:t>防护等级</w:t>
            </w:r>
            <w:r>
              <w:rPr>
                <w:rFonts w:ascii="宋体" w:hAnsi="宋体"/>
                <w:color w:val="000000"/>
                <w:sz w:val="22"/>
              </w:rPr>
              <w:t>IP40</w:t>
            </w:r>
          </w:p>
          <w:p>
            <w:pPr>
              <w:rPr>
                <w:rFonts w:ascii="宋体"/>
                <w:color w:val="000000"/>
                <w:sz w:val="22"/>
              </w:rPr>
            </w:pPr>
            <w:r>
              <w:rPr>
                <w:rFonts w:hint="eastAsia" w:ascii="宋体" w:hAnsi="宋体"/>
                <w:color w:val="000000"/>
                <w:sz w:val="22"/>
              </w:rPr>
              <w:t>端口防雷：</w:t>
            </w:r>
          </w:p>
          <w:p>
            <w:pPr>
              <w:rPr>
                <w:rFonts w:ascii="宋体"/>
                <w:color w:val="000000"/>
                <w:sz w:val="22"/>
              </w:rPr>
            </w:pPr>
            <w:r>
              <w:rPr>
                <w:rFonts w:hint="eastAsia" w:ascii="宋体" w:hAnsi="宋体"/>
                <w:color w:val="000000"/>
                <w:sz w:val="22"/>
              </w:rPr>
              <w:t>空气放电：≥±</w:t>
            </w:r>
            <w:r>
              <w:rPr>
                <w:rFonts w:ascii="宋体" w:hAnsi="宋体"/>
                <w:color w:val="000000"/>
                <w:sz w:val="22"/>
              </w:rPr>
              <w:t>8.0 kV</w:t>
            </w:r>
          </w:p>
          <w:p>
            <w:pPr>
              <w:rPr>
                <w:rFonts w:ascii="宋体"/>
                <w:color w:val="000000"/>
                <w:sz w:val="22"/>
              </w:rPr>
            </w:pPr>
            <w:r>
              <w:rPr>
                <w:rFonts w:hint="eastAsia" w:ascii="宋体" w:hAnsi="宋体"/>
                <w:color w:val="000000"/>
                <w:sz w:val="22"/>
              </w:rPr>
              <w:t>接触放电：≥±</w:t>
            </w:r>
            <w:r>
              <w:rPr>
                <w:rFonts w:ascii="宋体" w:hAnsi="宋体"/>
                <w:color w:val="000000"/>
                <w:sz w:val="22"/>
              </w:rPr>
              <w:t>6.0 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7</w:t>
            </w:r>
          </w:p>
        </w:tc>
        <w:tc>
          <w:tcPr>
            <w:tcW w:w="3223" w:type="dxa"/>
            <w:noWrap w:val="0"/>
            <w:vAlign w:val="center"/>
          </w:tcPr>
          <w:p>
            <w:pPr>
              <w:rPr>
                <w:rFonts w:ascii="宋体"/>
                <w:color w:val="000000"/>
                <w:sz w:val="22"/>
              </w:rPr>
            </w:pPr>
            <w:r>
              <w:rPr>
                <w:rFonts w:ascii="宋体" w:hAnsi="宋体"/>
                <w:color w:val="000000"/>
                <w:sz w:val="22"/>
              </w:rPr>
              <w:t>MAC</w:t>
            </w:r>
            <w:r>
              <w:rPr>
                <w:rFonts w:hint="eastAsia" w:ascii="宋体" w:hAnsi="宋体"/>
                <w:color w:val="000000"/>
                <w:sz w:val="22"/>
              </w:rPr>
              <w:t>地址表</w:t>
            </w:r>
          </w:p>
        </w:tc>
        <w:tc>
          <w:tcPr>
            <w:tcW w:w="4550" w:type="dxa"/>
            <w:noWrap w:val="0"/>
            <w:vAlign w:val="center"/>
          </w:tcPr>
          <w:p>
            <w:pPr>
              <w:rPr>
                <w:rFonts w:ascii="宋体"/>
                <w:color w:val="000000"/>
                <w:sz w:val="22"/>
              </w:rPr>
            </w:pPr>
            <w:r>
              <w:rPr>
                <w:rFonts w:hint="eastAsia" w:ascii="宋体" w:hAnsi="宋体"/>
                <w:color w:val="000000"/>
                <w:sz w:val="22"/>
              </w:rPr>
              <w:t>支持静态</w:t>
            </w:r>
            <w:r>
              <w:rPr>
                <w:rFonts w:ascii="宋体" w:hAnsi="宋体"/>
                <w:color w:val="000000"/>
                <w:sz w:val="22"/>
              </w:rPr>
              <w:t>MAC</w:t>
            </w:r>
            <w:r>
              <w:rPr>
                <w:rFonts w:hint="eastAsia" w:ascii="宋体" w:hAnsi="宋体"/>
                <w:color w:val="000000"/>
                <w:sz w:val="22"/>
              </w:rPr>
              <w:t>地址</w:t>
            </w:r>
          </w:p>
          <w:p>
            <w:pPr>
              <w:rPr>
                <w:rFonts w:ascii="宋体"/>
                <w:color w:val="000000"/>
                <w:sz w:val="22"/>
              </w:rPr>
            </w:pPr>
            <w:r>
              <w:rPr>
                <w:rFonts w:hint="eastAsia" w:ascii="宋体" w:hAnsi="宋体"/>
                <w:color w:val="000000"/>
                <w:sz w:val="22"/>
              </w:rPr>
              <w:t>支持黑洞</w:t>
            </w:r>
            <w:r>
              <w:rPr>
                <w:rFonts w:ascii="宋体" w:hAnsi="宋体"/>
                <w:color w:val="000000"/>
                <w:sz w:val="22"/>
              </w:rPr>
              <w:t>MAC</w:t>
            </w:r>
            <w:r>
              <w:rPr>
                <w:rFonts w:hint="eastAsia" w:ascii="宋体" w:hAnsi="宋体"/>
                <w:color w:val="000000"/>
                <w:sz w:val="22"/>
              </w:rPr>
              <w:t>地址</w:t>
            </w:r>
          </w:p>
          <w:p>
            <w:pPr>
              <w:rPr>
                <w:rFonts w:ascii="宋体"/>
                <w:color w:val="000000"/>
                <w:sz w:val="22"/>
              </w:rPr>
            </w:pPr>
            <w:r>
              <w:rPr>
                <w:rFonts w:hint="eastAsia" w:ascii="宋体" w:hAnsi="宋体"/>
                <w:color w:val="000000"/>
                <w:sz w:val="22"/>
              </w:rPr>
              <w:t>支持设置端口</w:t>
            </w:r>
            <w:r>
              <w:rPr>
                <w:rFonts w:ascii="宋体" w:hAnsi="宋体"/>
                <w:color w:val="000000"/>
                <w:sz w:val="22"/>
              </w:rPr>
              <w:t>MAC</w:t>
            </w:r>
            <w:r>
              <w:rPr>
                <w:rFonts w:hint="eastAsia" w:ascii="宋体" w:hAnsi="宋体"/>
                <w:color w:val="000000"/>
                <w:sz w:val="22"/>
              </w:rPr>
              <w:t>地址学习最大个数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8</w:t>
            </w:r>
          </w:p>
        </w:tc>
        <w:tc>
          <w:tcPr>
            <w:tcW w:w="3223" w:type="dxa"/>
            <w:noWrap w:val="0"/>
            <w:vAlign w:val="center"/>
          </w:tcPr>
          <w:p>
            <w:pPr>
              <w:rPr>
                <w:rFonts w:ascii="宋体"/>
                <w:color w:val="000000"/>
                <w:sz w:val="22"/>
              </w:rPr>
            </w:pPr>
            <w:r>
              <w:rPr>
                <w:rFonts w:ascii="宋体" w:hAnsi="宋体"/>
                <w:color w:val="000000"/>
                <w:sz w:val="22"/>
              </w:rPr>
              <w:t>VLAN</w:t>
            </w:r>
          </w:p>
        </w:tc>
        <w:tc>
          <w:tcPr>
            <w:tcW w:w="4550" w:type="dxa"/>
            <w:noWrap w:val="0"/>
            <w:vAlign w:val="center"/>
          </w:tcPr>
          <w:p>
            <w:pPr>
              <w:rPr>
                <w:rFonts w:ascii="宋体"/>
                <w:color w:val="000000"/>
                <w:sz w:val="22"/>
              </w:rPr>
            </w:pPr>
            <w:r>
              <w:rPr>
                <w:rFonts w:hint="eastAsia" w:ascii="宋体" w:hAnsi="宋体"/>
                <w:color w:val="000000"/>
                <w:sz w:val="22"/>
              </w:rPr>
              <w:t>支持基于端口的</w:t>
            </w:r>
            <w:r>
              <w:rPr>
                <w:rFonts w:ascii="宋体" w:hAnsi="宋体"/>
                <w:color w:val="000000"/>
                <w:sz w:val="22"/>
              </w:rPr>
              <w:t>VLAN</w:t>
            </w:r>
          </w:p>
          <w:p>
            <w:pPr>
              <w:rPr>
                <w:rFonts w:ascii="宋体"/>
                <w:color w:val="000000"/>
                <w:sz w:val="22"/>
              </w:rPr>
            </w:pPr>
            <w:r>
              <w:rPr>
                <w:rFonts w:hint="eastAsia" w:ascii="宋体" w:hAnsi="宋体"/>
                <w:color w:val="000000"/>
                <w:sz w:val="22"/>
              </w:rPr>
              <w:t>支持基于</w:t>
            </w:r>
            <w:r>
              <w:rPr>
                <w:rFonts w:ascii="宋体" w:hAnsi="宋体"/>
                <w:color w:val="000000"/>
                <w:sz w:val="22"/>
              </w:rPr>
              <w:t>MAC</w:t>
            </w:r>
            <w:r>
              <w:rPr>
                <w:rFonts w:hint="eastAsia" w:ascii="宋体" w:hAnsi="宋体"/>
                <w:color w:val="000000"/>
                <w:sz w:val="22"/>
              </w:rPr>
              <w:t>的</w:t>
            </w:r>
            <w:r>
              <w:rPr>
                <w:rFonts w:ascii="宋体" w:hAnsi="宋体"/>
                <w:color w:val="000000"/>
                <w:sz w:val="22"/>
              </w:rPr>
              <w:t>VLAN</w:t>
            </w:r>
          </w:p>
          <w:p>
            <w:pPr>
              <w:rPr>
                <w:rFonts w:ascii="宋体"/>
                <w:color w:val="000000"/>
                <w:sz w:val="22"/>
              </w:rPr>
            </w:pPr>
            <w:r>
              <w:rPr>
                <w:rFonts w:hint="eastAsia" w:ascii="宋体" w:hAnsi="宋体"/>
                <w:color w:val="000000"/>
                <w:sz w:val="22"/>
              </w:rPr>
              <w:t>支持基于协议的</w:t>
            </w:r>
            <w:r>
              <w:rPr>
                <w:rFonts w:ascii="宋体" w:hAnsi="宋体"/>
                <w:color w:val="000000"/>
                <w:sz w:val="22"/>
              </w:rPr>
              <w:t>VLAN</w:t>
            </w:r>
          </w:p>
          <w:p>
            <w:pPr>
              <w:rPr>
                <w:rFonts w:ascii="宋体"/>
                <w:color w:val="000000"/>
                <w:sz w:val="22"/>
              </w:rPr>
            </w:pPr>
            <w:r>
              <w:rPr>
                <w:rFonts w:hint="eastAsia" w:ascii="宋体" w:hAnsi="宋体"/>
                <w:color w:val="000000"/>
                <w:sz w:val="22"/>
              </w:rPr>
              <w:t>支持</w:t>
            </w:r>
            <w:r>
              <w:rPr>
                <w:rFonts w:ascii="宋体" w:hAnsi="宋体"/>
                <w:color w:val="000000"/>
                <w:sz w:val="22"/>
              </w:rPr>
              <w:t>Voice VLAN</w:t>
            </w:r>
          </w:p>
          <w:p>
            <w:pPr>
              <w:rPr>
                <w:rFonts w:ascii="宋体"/>
                <w:color w:val="000000"/>
                <w:sz w:val="22"/>
              </w:rPr>
            </w:pPr>
            <w:r>
              <w:rPr>
                <w:rFonts w:hint="eastAsia" w:ascii="宋体" w:hAnsi="宋体"/>
                <w:color w:val="000000"/>
                <w:sz w:val="22"/>
              </w:rPr>
              <w:t>支持</w:t>
            </w:r>
            <w:r>
              <w:rPr>
                <w:rFonts w:ascii="宋体" w:hAnsi="宋体"/>
                <w:color w:val="000000"/>
                <w:sz w:val="22"/>
              </w:rPr>
              <w:t>Guest VLAN</w:t>
            </w:r>
          </w:p>
          <w:p>
            <w:pPr>
              <w:rPr>
                <w:rFonts w:ascii="宋体"/>
                <w:color w:val="000000"/>
                <w:sz w:val="22"/>
              </w:rPr>
            </w:pPr>
            <w:r>
              <w:rPr>
                <w:rFonts w:hint="eastAsia" w:ascii="宋体" w:hAnsi="宋体"/>
                <w:color w:val="000000"/>
                <w:sz w:val="22"/>
              </w:rPr>
              <w:t>支持</w:t>
            </w:r>
            <w:r>
              <w:rPr>
                <w:rFonts w:ascii="宋体" w:hAnsi="宋体"/>
                <w:color w:val="000000"/>
                <w:sz w:val="22"/>
              </w:rPr>
              <w:t>QINQ</w:t>
            </w:r>
          </w:p>
          <w:p>
            <w:pPr>
              <w:rPr>
                <w:rFonts w:ascii="宋体"/>
                <w:color w:val="000000"/>
                <w:sz w:val="22"/>
              </w:rPr>
            </w:pPr>
            <w:r>
              <w:rPr>
                <w:rFonts w:hint="eastAsia" w:ascii="宋体" w:hAnsi="宋体"/>
                <w:color w:val="000000"/>
                <w:sz w:val="22"/>
              </w:rPr>
              <w:t>支持灵活</w:t>
            </w:r>
            <w:r>
              <w:rPr>
                <w:rFonts w:ascii="宋体" w:hAnsi="宋体"/>
                <w:color w:val="000000"/>
                <w:sz w:val="22"/>
              </w:rPr>
              <w:t>QINQ</w:t>
            </w:r>
          </w:p>
          <w:p>
            <w:pPr>
              <w:rPr>
                <w:rFonts w:ascii="宋体"/>
                <w:color w:val="000000"/>
                <w:sz w:val="22"/>
              </w:rPr>
            </w:pPr>
            <w:r>
              <w:rPr>
                <w:rFonts w:hint="eastAsia" w:ascii="宋体" w:hAnsi="宋体"/>
                <w:color w:val="000000"/>
                <w:sz w:val="22"/>
              </w:rPr>
              <w:t>支持</w:t>
            </w:r>
            <w:r>
              <w:rPr>
                <w:rFonts w:ascii="宋体" w:hAnsi="宋体"/>
                <w:color w:val="000000"/>
                <w:sz w:val="22"/>
              </w:rPr>
              <w:t>VLAN</w:t>
            </w:r>
            <w:r>
              <w:rPr>
                <w:rFonts w:hint="eastAsia" w:ascii="宋体" w:hAnsi="宋体"/>
                <w:color w:val="000000"/>
                <w:sz w:val="22"/>
              </w:rPr>
              <w:t>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9</w:t>
            </w:r>
          </w:p>
        </w:tc>
        <w:tc>
          <w:tcPr>
            <w:tcW w:w="3223" w:type="dxa"/>
            <w:noWrap w:val="0"/>
            <w:vAlign w:val="center"/>
          </w:tcPr>
          <w:p>
            <w:pPr>
              <w:rPr>
                <w:rFonts w:ascii="宋体"/>
                <w:color w:val="000000"/>
                <w:sz w:val="22"/>
              </w:rPr>
            </w:pPr>
            <w:r>
              <w:rPr>
                <w:rFonts w:hint="eastAsia" w:ascii="宋体" w:hAnsi="宋体"/>
                <w:color w:val="000000"/>
                <w:sz w:val="22"/>
              </w:rPr>
              <w:t>路由协议</w:t>
            </w:r>
          </w:p>
        </w:tc>
        <w:tc>
          <w:tcPr>
            <w:tcW w:w="4550" w:type="dxa"/>
            <w:noWrap w:val="0"/>
            <w:vAlign w:val="center"/>
          </w:tcPr>
          <w:p>
            <w:pPr>
              <w:rPr>
                <w:rFonts w:ascii="宋体"/>
                <w:color w:val="000000"/>
                <w:sz w:val="22"/>
              </w:rPr>
            </w:pPr>
            <w:r>
              <w:rPr>
                <w:rFonts w:hint="eastAsia" w:ascii="宋体" w:hAnsi="宋体"/>
                <w:color w:val="000000"/>
                <w:sz w:val="22"/>
              </w:rPr>
              <w:t>支持路由接口</w:t>
            </w:r>
          </w:p>
          <w:p>
            <w:pPr>
              <w:rPr>
                <w:rFonts w:ascii="宋体"/>
                <w:color w:val="000000"/>
                <w:sz w:val="22"/>
              </w:rPr>
            </w:pPr>
            <w:r>
              <w:rPr>
                <w:rFonts w:hint="eastAsia" w:ascii="宋体" w:hAnsi="宋体"/>
                <w:color w:val="000000"/>
                <w:sz w:val="22"/>
              </w:rPr>
              <w:t>支持</w:t>
            </w:r>
            <w:r>
              <w:rPr>
                <w:rFonts w:ascii="宋体" w:hAnsi="宋体"/>
                <w:color w:val="000000"/>
                <w:sz w:val="22"/>
              </w:rPr>
              <w:t>IPv4</w:t>
            </w:r>
            <w:r>
              <w:rPr>
                <w:rFonts w:hint="eastAsia" w:ascii="宋体" w:hAnsi="宋体"/>
                <w:color w:val="000000"/>
                <w:sz w:val="22"/>
              </w:rPr>
              <w:t>路由，</w:t>
            </w:r>
            <w:r>
              <w:rPr>
                <w:rFonts w:ascii="宋体" w:hAnsi="宋体"/>
                <w:color w:val="000000"/>
                <w:sz w:val="22"/>
              </w:rPr>
              <w:t>RIP</w:t>
            </w:r>
            <w:r>
              <w:rPr>
                <w:rFonts w:hint="eastAsia" w:ascii="宋体" w:hAnsi="宋体"/>
                <w:color w:val="000000"/>
                <w:sz w:val="22"/>
              </w:rPr>
              <w:t>等三层动态路由协议</w:t>
            </w:r>
            <w:r>
              <w:rPr>
                <w:rFonts w:ascii="宋体" w:hAnsi="宋体"/>
                <w:color w:val="000000"/>
                <w:sz w:val="22"/>
              </w:rPr>
              <w:t xml:space="preserve"> </w:t>
            </w:r>
          </w:p>
          <w:p>
            <w:pPr>
              <w:rPr>
                <w:rFonts w:ascii="宋体"/>
                <w:color w:val="000000"/>
                <w:sz w:val="22"/>
              </w:rPr>
            </w:pPr>
            <w:r>
              <w:rPr>
                <w:rFonts w:hint="eastAsia" w:ascii="宋体" w:hAnsi="宋体"/>
                <w:color w:val="000000"/>
                <w:sz w:val="22"/>
              </w:rPr>
              <w:t>支持</w:t>
            </w:r>
            <w:r>
              <w:rPr>
                <w:rFonts w:ascii="宋体" w:hAnsi="宋体"/>
                <w:color w:val="000000"/>
                <w:sz w:val="22"/>
              </w:rPr>
              <w:t>IPv6</w:t>
            </w:r>
            <w:r>
              <w:rPr>
                <w:rFonts w:hint="eastAsia" w:ascii="宋体" w:hAnsi="宋体"/>
                <w:color w:val="000000"/>
                <w:sz w:val="22"/>
              </w:rPr>
              <w:t>静态路由</w:t>
            </w:r>
          </w:p>
          <w:p>
            <w:pPr>
              <w:rPr>
                <w:rFonts w:ascii="宋体"/>
                <w:color w:val="000000"/>
                <w:sz w:val="22"/>
              </w:rPr>
            </w:pPr>
            <w:r>
              <w:rPr>
                <w:rFonts w:ascii="宋体" w:hAnsi="宋体"/>
                <w:color w:val="000000"/>
                <w:sz w:val="22"/>
              </w:rPr>
              <w:t>IPv6</w:t>
            </w:r>
            <w:r>
              <w:rPr>
                <w:rFonts w:hint="eastAsia" w:ascii="宋体" w:hAnsi="宋体"/>
                <w:color w:val="000000"/>
                <w:sz w:val="22"/>
              </w:rPr>
              <w:t>单播路由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00" w:type="dxa"/>
            <w:noWrap w:val="0"/>
            <w:vAlign w:val="center"/>
          </w:tcPr>
          <w:p>
            <w:pPr>
              <w:jc w:val="center"/>
              <w:rPr>
                <w:rFonts w:ascii="宋体"/>
                <w:color w:val="000000"/>
                <w:sz w:val="22"/>
              </w:rPr>
            </w:pPr>
            <w:r>
              <w:rPr>
                <w:rFonts w:ascii="宋体" w:hAnsi="宋体"/>
                <w:color w:val="000000"/>
                <w:sz w:val="22"/>
              </w:rPr>
              <w:t>10</w:t>
            </w:r>
          </w:p>
        </w:tc>
        <w:tc>
          <w:tcPr>
            <w:tcW w:w="3223" w:type="dxa"/>
            <w:noWrap w:val="0"/>
            <w:vAlign w:val="center"/>
          </w:tcPr>
          <w:p>
            <w:pPr>
              <w:rPr>
                <w:rFonts w:ascii="宋体"/>
                <w:color w:val="000000"/>
                <w:sz w:val="22"/>
              </w:rPr>
            </w:pPr>
            <w:r>
              <w:rPr>
                <w:rFonts w:hint="eastAsia" w:ascii="宋体" w:hAnsi="宋体"/>
                <w:color w:val="000000"/>
                <w:sz w:val="22"/>
              </w:rPr>
              <w:t>管理和维护</w:t>
            </w:r>
          </w:p>
        </w:tc>
        <w:tc>
          <w:tcPr>
            <w:tcW w:w="4550" w:type="dxa"/>
            <w:noWrap w:val="0"/>
            <w:vAlign w:val="center"/>
          </w:tcPr>
          <w:p>
            <w:pPr>
              <w:rPr>
                <w:rFonts w:ascii="宋体"/>
                <w:color w:val="000000"/>
                <w:sz w:val="22"/>
              </w:rPr>
            </w:pPr>
            <w:r>
              <w:rPr>
                <w:rFonts w:hint="eastAsia" w:ascii="宋体" w:hAnsi="宋体"/>
                <w:color w:val="000000"/>
                <w:sz w:val="22"/>
              </w:rPr>
              <w:t>支持命令行接口（</w:t>
            </w:r>
            <w:r>
              <w:rPr>
                <w:rFonts w:ascii="宋体" w:hAnsi="宋体"/>
                <w:color w:val="000000"/>
                <w:sz w:val="22"/>
              </w:rPr>
              <w:t>CLI</w:t>
            </w:r>
            <w:r>
              <w:rPr>
                <w:rFonts w:hint="eastAsia" w:ascii="宋体" w:hAnsi="宋体"/>
                <w:color w:val="000000"/>
                <w:sz w:val="22"/>
              </w:rPr>
              <w:t>）配置</w:t>
            </w:r>
          </w:p>
          <w:p>
            <w:pPr>
              <w:rPr>
                <w:rFonts w:ascii="宋体"/>
                <w:color w:val="000000"/>
                <w:sz w:val="22"/>
              </w:rPr>
            </w:pPr>
            <w:r>
              <w:rPr>
                <w:rFonts w:hint="eastAsia" w:ascii="宋体" w:hAnsi="宋体"/>
                <w:color w:val="000000"/>
                <w:sz w:val="22"/>
              </w:rPr>
              <w:t>支持</w:t>
            </w:r>
            <w:r>
              <w:rPr>
                <w:rFonts w:ascii="宋体" w:hAnsi="宋体"/>
                <w:color w:val="000000"/>
                <w:sz w:val="22"/>
              </w:rPr>
              <w:t>Telnet</w:t>
            </w:r>
            <w:r>
              <w:rPr>
                <w:rFonts w:hint="eastAsia" w:ascii="宋体" w:hAnsi="宋体"/>
                <w:color w:val="000000"/>
                <w:sz w:val="22"/>
              </w:rPr>
              <w:t>远程配置</w:t>
            </w:r>
          </w:p>
          <w:p>
            <w:pPr>
              <w:rPr>
                <w:rFonts w:ascii="宋体"/>
                <w:color w:val="000000"/>
                <w:sz w:val="22"/>
              </w:rPr>
            </w:pPr>
            <w:r>
              <w:rPr>
                <w:rFonts w:hint="eastAsia" w:ascii="宋体" w:hAnsi="宋体"/>
                <w:color w:val="000000"/>
                <w:sz w:val="22"/>
              </w:rPr>
              <w:t>支持通过</w:t>
            </w:r>
            <w:r>
              <w:rPr>
                <w:rFonts w:ascii="宋体" w:hAnsi="宋体"/>
                <w:color w:val="000000"/>
                <w:sz w:val="22"/>
              </w:rPr>
              <w:t>Console</w:t>
            </w:r>
            <w:r>
              <w:rPr>
                <w:rFonts w:hint="eastAsia" w:ascii="宋体" w:hAnsi="宋体"/>
                <w:color w:val="000000"/>
                <w:sz w:val="22"/>
              </w:rPr>
              <w:t>口配置</w:t>
            </w:r>
          </w:p>
          <w:p>
            <w:pPr>
              <w:rPr>
                <w:rFonts w:ascii="宋体"/>
                <w:color w:val="000000"/>
                <w:sz w:val="22"/>
              </w:rPr>
            </w:pPr>
            <w:r>
              <w:rPr>
                <w:rFonts w:hint="eastAsia" w:ascii="宋体" w:hAnsi="宋体"/>
                <w:color w:val="000000"/>
                <w:sz w:val="22"/>
              </w:rPr>
              <w:t>支持</w:t>
            </w:r>
            <w:r>
              <w:rPr>
                <w:rFonts w:ascii="宋体" w:hAnsi="宋体"/>
                <w:color w:val="000000"/>
                <w:sz w:val="22"/>
              </w:rPr>
              <w:t>TR069</w:t>
            </w:r>
          </w:p>
          <w:p>
            <w:pPr>
              <w:rPr>
                <w:rFonts w:ascii="宋体"/>
                <w:color w:val="000000"/>
                <w:sz w:val="22"/>
              </w:rPr>
            </w:pPr>
            <w:r>
              <w:rPr>
                <w:rFonts w:hint="eastAsia" w:ascii="宋体" w:hAnsi="宋体"/>
                <w:color w:val="000000"/>
                <w:sz w:val="22"/>
              </w:rPr>
              <w:t>支持</w:t>
            </w:r>
            <w:r>
              <w:rPr>
                <w:rFonts w:ascii="宋体" w:hAnsi="宋体"/>
                <w:color w:val="000000"/>
                <w:sz w:val="22"/>
              </w:rPr>
              <w:t>802.1AG</w:t>
            </w:r>
            <w:r>
              <w:rPr>
                <w:rFonts w:hint="eastAsia" w:ascii="宋体" w:hAnsi="宋体"/>
                <w:color w:val="000000"/>
                <w:sz w:val="22"/>
              </w:rPr>
              <w:t>及</w:t>
            </w:r>
            <w:r>
              <w:rPr>
                <w:rFonts w:ascii="宋体" w:hAnsi="宋体"/>
                <w:color w:val="000000"/>
                <w:sz w:val="22"/>
              </w:rPr>
              <w:t>802.3AH</w:t>
            </w:r>
          </w:p>
          <w:p>
            <w:pPr>
              <w:rPr>
                <w:rFonts w:ascii="宋体"/>
                <w:color w:val="000000"/>
                <w:sz w:val="22"/>
              </w:rPr>
            </w:pPr>
            <w:r>
              <w:rPr>
                <w:rFonts w:hint="eastAsia" w:ascii="宋体" w:hAnsi="宋体"/>
                <w:color w:val="000000"/>
                <w:sz w:val="22"/>
              </w:rPr>
              <w:t>支持</w:t>
            </w:r>
            <w:r>
              <w:rPr>
                <w:rFonts w:ascii="宋体" w:hAnsi="宋体"/>
                <w:color w:val="000000"/>
                <w:sz w:val="22"/>
              </w:rPr>
              <w:t>SNMP</w:t>
            </w:r>
            <w:r>
              <w:rPr>
                <w:rFonts w:hint="eastAsia" w:ascii="宋体" w:hAnsi="宋体"/>
                <w:color w:val="000000"/>
                <w:sz w:val="22"/>
              </w:rPr>
              <w:t>（</w:t>
            </w:r>
            <w:r>
              <w:rPr>
                <w:rFonts w:ascii="宋体" w:hAnsi="宋体"/>
                <w:color w:val="000000"/>
                <w:sz w:val="22"/>
              </w:rPr>
              <w:t>Simple Network Management Protocol</w:t>
            </w:r>
            <w:r>
              <w:rPr>
                <w:rFonts w:hint="eastAsia" w:ascii="宋体" w:hAnsi="宋体"/>
                <w:color w:val="000000"/>
                <w:sz w:val="22"/>
              </w:rPr>
              <w:t>）</w:t>
            </w:r>
          </w:p>
          <w:p>
            <w:pPr>
              <w:rPr>
                <w:rFonts w:ascii="宋体"/>
                <w:color w:val="000000"/>
                <w:sz w:val="22"/>
              </w:rPr>
            </w:pPr>
            <w:r>
              <w:rPr>
                <w:rFonts w:hint="eastAsia" w:ascii="宋体" w:hAnsi="宋体"/>
                <w:color w:val="000000"/>
                <w:sz w:val="22"/>
              </w:rPr>
              <w:t>支持</w:t>
            </w:r>
            <w:r>
              <w:rPr>
                <w:rFonts w:ascii="宋体" w:hAnsi="宋体"/>
                <w:color w:val="000000"/>
                <w:sz w:val="22"/>
              </w:rPr>
              <w:t>SNMP V3</w:t>
            </w:r>
          </w:p>
          <w:p>
            <w:pPr>
              <w:rPr>
                <w:rFonts w:ascii="宋体"/>
                <w:color w:val="000000"/>
                <w:sz w:val="22"/>
              </w:rPr>
            </w:pPr>
            <w:r>
              <w:rPr>
                <w:rFonts w:hint="eastAsia" w:ascii="宋体" w:hAnsi="宋体"/>
                <w:color w:val="000000"/>
                <w:sz w:val="22"/>
              </w:rPr>
              <w:t>支持系统日志</w:t>
            </w:r>
          </w:p>
          <w:p>
            <w:pPr>
              <w:rPr>
                <w:rFonts w:ascii="宋体"/>
                <w:color w:val="000000"/>
                <w:sz w:val="22"/>
              </w:rPr>
            </w:pPr>
            <w:r>
              <w:rPr>
                <w:rFonts w:hint="eastAsia" w:ascii="宋体" w:hAnsi="宋体"/>
                <w:color w:val="000000"/>
                <w:sz w:val="22"/>
              </w:rPr>
              <w:t>支持分级告警</w:t>
            </w:r>
          </w:p>
          <w:p>
            <w:pPr>
              <w:rPr>
                <w:rFonts w:ascii="宋体"/>
                <w:color w:val="000000"/>
                <w:sz w:val="22"/>
              </w:rPr>
            </w:pPr>
            <w:r>
              <w:rPr>
                <w:rFonts w:hint="eastAsia" w:ascii="宋体" w:hAnsi="宋体"/>
                <w:color w:val="000000"/>
                <w:sz w:val="22"/>
              </w:rPr>
              <w:t>支持</w:t>
            </w:r>
            <w:r>
              <w:rPr>
                <w:rFonts w:ascii="宋体" w:hAnsi="宋体"/>
                <w:color w:val="000000"/>
                <w:sz w:val="22"/>
              </w:rPr>
              <w:t>NTP</w:t>
            </w:r>
          </w:p>
          <w:p>
            <w:pPr>
              <w:rPr>
                <w:rFonts w:ascii="宋体"/>
                <w:color w:val="000000"/>
                <w:sz w:val="22"/>
              </w:rPr>
            </w:pPr>
            <w:r>
              <w:rPr>
                <w:rFonts w:hint="eastAsia" w:ascii="宋体" w:hAnsi="宋体"/>
                <w:color w:val="000000"/>
                <w:sz w:val="22"/>
              </w:rPr>
              <w:t>支持调试信息输出</w:t>
            </w:r>
          </w:p>
          <w:p>
            <w:pPr>
              <w:rPr>
                <w:rFonts w:ascii="宋体"/>
                <w:color w:val="000000"/>
                <w:sz w:val="22"/>
              </w:rPr>
            </w:pPr>
            <w:r>
              <w:rPr>
                <w:rFonts w:hint="eastAsia" w:ascii="宋体" w:hAnsi="宋体"/>
                <w:color w:val="000000"/>
                <w:sz w:val="22"/>
              </w:rPr>
              <w:t>支持</w:t>
            </w:r>
            <w:r>
              <w:rPr>
                <w:rFonts w:ascii="宋体" w:hAnsi="宋体"/>
                <w:color w:val="000000"/>
                <w:sz w:val="22"/>
              </w:rPr>
              <w:t>Ping</w:t>
            </w:r>
            <w:r>
              <w:rPr>
                <w:rFonts w:hint="eastAsia" w:ascii="宋体" w:hAnsi="宋体"/>
                <w:color w:val="000000"/>
                <w:sz w:val="22"/>
              </w:rPr>
              <w:t>、</w:t>
            </w:r>
            <w:r>
              <w:rPr>
                <w:rFonts w:ascii="宋体" w:hAnsi="宋体"/>
                <w:color w:val="000000"/>
                <w:sz w:val="22"/>
              </w:rPr>
              <w:t>Tracert</w:t>
            </w:r>
          </w:p>
          <w:p>
            <w:pPr>
              <w:rPr>
                <w:rFonts w:ascii="宋体"/>
                <w:color w:val="000000"/>
                <w:sz w:val="22"/>
              </w:rPr>
            </w:pPr>
            <w:r>
              <w:rPr>
                <w:rFonts w:hint="eastAsia" w:ascii="宋体" w:hAnsi="宋体"/>
                <w:color w:val="000000"/>
                <w:sz w:val="22"/>
              </w:rPr>
              <w:t>支持</w:t>
            </w:r>
            <w:r>
              <w:rPr>
                <w:rFonts w:ascii="宋体" w:hAnsi="宋体"/>
                <w:color w:val="000000"/>
                <w:sz w:val="22"/>
              </w:rPr>
              <w:t>Telnet</w:t>
            </w:r>
            <w:r>
              <w:rPr>
                <w:rFonts w:hint="eastAsia" w:ascii="宋体" w:hAnsi="宋体"/>
                <w:color w:val="000000"/>
                <w:sz w:val="22"/>
              </w:rPr>
              <w:t>远程维护</w:t>
            </w:r>
          </w:p>
        </w:tc>
      </w:tr>
    </w:tbl>
    <w:p/>
    <w:p>
      <w:pPr>
        <w:pStyle w:val="6"/>
        <w:keepNext w:val="0"/>
        <w:keepLines w:val="0"/>
        <w:tabs>
          <w:tab w:val="left" w:pos="720"/>
          <w:tab w:val="left" w:pos="1080"/>
          <w:tab w:val="left" w:pos="1968"/>
        </w:tabs>
        <w:adjustRightInd w:val="0"/>
        <w:snapToGrid w:val="0"/>
        <w:spacing w:before="0" w:after="0" w:line="360" w:lineRule="auto"/>
        <w:ind w:right="2" w:rightChars="1" w:firstLine="221" w:firstLineChars="100"/>
        <w:rPr>
          <w:rFonts w:ascii="宋体"/>
          <w:bCs w:val="0"/>
          <w:color w:val="000000"/>
          <w:sz w:val="22"/>
          <w:szCs w:val="22"/>
        </w:rPr>
      </w:pPr>
      <w:r>
        <w:rPr>
          <w:sz w:val="22"/>
          <w:szCs w:val="22"/>
        </w:rPr>
        <w:t>1.6.1.</w:t>
      </w:r>
      <w:r>
        <w:rPr>
          <w:rFonts w:hint="eastAsia"/>
          <w:sz w:val="22"/>
          <w:szCs w:val="22"/>
        </w:rPr>
        <w:t>10</w:t>
      </w:r>
      <w:r>
        <w:rPr>
          <w:rFonts w:hint="eastAsia" w:ascii="宋体" w:hAnsi="宋体"/>
          <w:bCs w:val="0"/>
          <w:color w:val="000000"/>
          <w:sz w:val="22"/>
          <w:szCs w:val="22"/>
        </w:rPr>
        <w:t>光收发器</w:t>
      </w:r>
    </w:p>
    <w:p>
      <w:pPr>
        <w:pStyle w:val="6"/>
        <w:keepNext w:val="0"/>
        <w:keepLines w:val="0"/>
        <w:tabs>
          <w:tab w:val="left" w:pos="720"/>
          <w:tab w:val="left" w:pos="1080"/>
          <w:tab w:val="left" w:pos="1968"/>
        </w:tabs>
        <w:adjustRightInd w:val="0"/>
        <w:snapToGrid w:val="0"/>
        <w:spacing w:before="0" w:after="0" w:line="360" w:lineRule="auto"/>
        <w:ind w:right="2" w:rightChars="1" w:firstLine="437" w:firstLineChars="198"/>
        <w:rPr>
          <w:rFonts w:ascii="宋体"/>
          <w:bCs w:val="0"/>
          <w:color w:val="000000"/>
          <w:sz w:val="22"/>
          <w:szCs w:val="22"/>
        </w:rPr>
      </w:pPr>
      <w:r>
        <w:rPr>
          <w:rFonts w:hint="eastAsia" w:ascii="宋体" w:hAnsi="宋体"/>
          <w:bCs w:val="0"/>
          <w:color w:val="000000"/>
          <w:sz w:val="22"/>
          <w:szCs w:val="22"/>
        </w:rPr>
        <w:t>可接受的标准化产品品牌为：雷贝、瑞斯康达、烽火等同档次品牌。</w:t>
      </w:r>
    </w:p>
    <w:tbl>
      <w:tblPr>
        <w:tblStyle w:val="57"/>
        <w:tblW w:w="842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top"/>
          </w:tcPr>
          <w:p>
            <w:pPr>
              <w:spacing w:line="400" w:lineRule="exact"/>
              <w:jc w:val="center"/>
              <w:rPr>
                <w:rFonts w:ascii="宋体"/>
                <w:b/>
                <w:color w:val="000000"/>
                <w:sz w:val="22"/>
              </w:rPr>
            </w:pPr>
            <w:r>
              <w:rPr>
                <w:rFonts w:hint="eastAsia" w:ascii="宋体" w:hAnsi="宋体"/>
                <w:b/>
                <w:color w:val="000000"/>
                <w:sz w:val="22"/>
              </w:rPr>
              <w:t>序号</w:t>
            </w:r>
          </w:p>
        </w:tc>
        <w:tc>
          <w:tcPr>
            <w:tcW w:w="7529" w:type="dxa"/>
            <w:noWrap w:val="0"/>
            <w:vAlign w:val="top"/>
          </w:tcPr>
          <w:p>
            <w:pPr>
              <w:spacing w:line="400" w:lineRule="exact"/>
              <w:jc w:val="center"/>
              <w:rPr>
                <w:rFonts w:ascii="宋体"/>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spacing w:line="400" w:lineRule="exact"/>
              <w:jc w:val="center"/>
              <w:rPr>
                <w:rFonts w:ascii="宋体" w:hAnsi="宋体"/>
                <w:color w:val="000000"/>
                <w:sz w:val="22"/>
              </w:rPr>
            </w:pPr>
            <w:r>
              <w:rPr>
                <w:rFonts w:ascii="宋体" w:hAnsi="宋体"/>
                <w:color w:val="000000"/>
                <w:sz w:val="22"/>
              </w:rPr>
              <w:t>1</w:t>
            </w:r>
          </w:p>
        </w:tc>
        <w:tc>
          <w:tcPr>
            <w:tcW w:w="7529" w:type="dxa"/>
            <w:noWrap w:val="0"/>
            <w:vAlign w:val="top"/>
          </w:tcPr>
          <w:p>
            <w:pPr>
              <w:spacing w:line="400" w:lineRule="exact"/>
              <w:rPr>
                <w:rFonts w:ascii="宋体"/>
                <w:color w:val="000000"/>
                <w:sz w:val="22"/>
              </w:rPr>
            </w:pPr>
            <w:r>
              <w:rPr>
                <w:rFonts w:hint="eastAsia" w:ascii="宋体" w:hAnsi="宋体"/>
                <w:color w:val="000000"/>
                <w:sz w:val="22"/>
              </w:rPr>
              <w:t>支持</w:t>
            </w:r>
            <w:r>
              <w:rPr>
                <w:rFonts w:ascii="宋体" w:hAnsi="宋体"/>
                <w:color w:val="000000"/>
                <w:sz w:val="22"/>
              </w:rPr>
              <w:t>IEEE802.3u</w:t>
            </w:r>
            <w:r>
              <w:rPr>
                <w:rFonts w:hint="eastAsia" w:ascii="宋体" w:hAnsi="宋体"/>
                <w:color w:val="000000"/>
                <w:sz w:val="22"/>
              </w:rPr>
              <w:t>及</w:t>
            </w:r>
            <w:r>
              <w:rPr>
                <w:rFonts w:ascii="宋体" w:hAnsi="宋体"/>
                <w:color w:val="000000"/>
                <w:sz w:val="22"/>
              </w:rPr>
              <w:t>IEEE802.3</w:t>
            </w:r>
            <w:r>
              <w:rPr>
                <w:rFonts w:hint="eastAsia" w:ascii="宋体" w:hAnsi="宋体"/>
                <w:color w:val="000000"/>
                <w:sz w:val="22"/>
              </w:rPr>
              <w:t>协议，</w:t>
            </w:r>
            <w:r>
              <w:rPr>
                <w:rFonts w:ascii="宋体" w:hAnsi="宋体"/>
                <w:color w:val="000000"/>
                <w:sz w:val="22"/>
              </w:rPr>
              <w:t>10Base-TX,100Base-TX</w:t>
            </w:r>
            <w:r>
              <w:rPr>
                <w:rFonts w:hint="eastAsia" w:ascii="宋体" w:hAnsi="宋体"/>
                <w:color w:val="000000"/>
                <w:sz w:val="22"/>
              </w:rPr>
              <w:t>及</w:t>
            </w:r>
            <w:r>
              <w:rPr>
                <w:rFonts w:ascii="宋体" w:hAnsi="宋体"/>
                <w:color w:val="000000"/>
                <w:sz w:val="22"/>
              </w:rPr>
              <w:t>100BaseFX</w:t>
            </w:r>
            <w:r>
              <w:rPr>
                <w:rFonts w:hint="eastAsia" w:ascii="宋体" w:hAnsi="宋体"/>
                <w:color w:val="000000"/>
                <w:sz w:val="22"/>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900" w:type="dxa"/>
            <w:noWrap w:val="0"/>
            <w:vAlign w:val="center"/>
          </w:tcPr>
          <w:p>
            <w:pPr>
              <w:spacing w:line="400" w:lineRule="exact"/>
              <w:jc w:val="center"/>
              <w:rPr>
                <w:rFonts w:ascii="宋体" w:hAnsi="宋体"/>
                <w:color w:val="000000"/>
                <w:sz w:val="22"/>
              </w:rPr>
            </w:pPr>
            <w:r>
              <w:rPr>
                <w:rFonts w:ascii="宋体" w:hAnsi="宋体"/>
                <w:color w:val="000000"/>
                <w:sz w:val="22"/>
              </w:rPr>
              <w:t>2</w:t>
            </w:r>
          </w:p>
        </w:tc>
        <w:tc>
          <w:tcPr>
            <w:tcW w:w="7529" w:type="dxa"/>
            <w:noWrap w:val="0"/>
            <w:vAlign w:val="top"/>
          </w:tcPr>
          <w:p>
            <w:pPr>
              <w:spacing w:line="400" w:lineRule="exact"/>
              <w:rPr>
                <w:rFonts w:ascii="宋体"/>
                <w:color w:val="000000"/>
                <w:sz w:val="22"/>
              </w:rPr>
            </w:pPr>
            <w:r>
              <w:rPr>
                <w:rFonts w:hint="eastAsia" w:ascii="宋体" w:hAnsi="宋体"/>
                <w:color w:val="000000"/>
                <w:sz w:val="22"/>
              </w:rPr>
              <w:t>收发器支持</w:t>
            </w:r>
            <w:r>
              <w:rPr>
                <w:rFonts w:ascii="宋体" w:hAnsi="宋体"/>
                <w:color w:val="000000"/>
                <w:sz w:val="22"/>
              </w:rPr>
              <w:t>10/100M</w:t>
            </w:r>
            <w:r>
              <w:rPr>
                <w:rFonts w:hint="eastAsia" w:ascii="宋体" w:hAnsi="宋体"/>
                <w:color w:val="000000"/>
                <w:sz w:val="22"/>
              </w:rPr>
              <w:t>全</w:t>
            </w:r>
            <w:r>
              <w:rPr>
                <w:rFonts w:ascii="宋体" w:hAnsi="宋体"/>
                <w:color w:val="000000"/>
                <w:sz w:val="22"/>
              </w:rPr>
              <w:t>/</w:t>
            </w:r>
            <w:r>
              <w:rPr>
                <w:rFonts w:hint="eastAsia" w:ascii="宋体" w:hAnsi="宋体"/>
                <w:color w:val="000000"/>
                <w:sz w:val="22"/>
              </w:rPr>
              <w:t>半双工自适应以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spacing w:line="400" w:lineRule="exact"/>
              <w:jc w:val="center"/>
              <w:rPr>
                <w:rFonts w:ascii="宋体" w:hAnsi="宋体"/>
                <w:color w:val="000000"/>
                <w:sz w:val="22"/>
              </w:rPr>
            </w:pPr>
            <w:r>
              <w:rPr>
                <w:rFonts w:ascii="宋体" w:hAnsi="宋体"/>
                <w:color w:val="000000"/>
                <w:sz w:val="22"/>
              </w:rPr>
              <w:t>3</w:t>
            </w:r>
          </w:p>
        </w:tc>
        <w:tc>
          <w:tcPr>
            <w:tcW w:w="7529" w:type="dxa"/>
            <w:noWrap w:val="0"/>
            <w:vAlign w:val="top"/>
          </w:tcPr>
          <w:p>
            <w:pPr>
              <w:spacing w:line="400" w:lineRule="exact"/>
              <w:rPr>
                <w:rFonts w:ascii="宋体"/>
                <w:color w:val="000000"/>
                <w:sz w:val="22"/>
              </w:rPr>
            </w:pPr>
            <w:r>
              <w:rPr>
                <w:rFonts w:hint="eastAsia" w:ascii="宋体" w:hAnsi="宋体"/>
                <w:color w:val="000000"/>
                <w:sz w:val="22"/>
              </w:rPr>
              <w:t>连接口：</w:t>
            </w:r>
            <w:r>
              <w:rPr>
                <w:rFonts w:ascii="宋体" w:hAnsi="宋体"/>
                <w:color w:val="000000"/>
                <w:sz w:val="22"/>
              </w:rPr>
              <w:t xml:space="preserve"> 10/100Base-TX:</w:t>
            </w:r>
            <w:r>
              <w:rPr>
                <w:rFonts w:hint="eastAsia" w:ascii="宋体" w:hAnsi="宋体"/>
                <w:color w:val="000000"/>
                <w:sz w:val="22"/>
              </w:rPr>
              <w:t>一个</w:t>
            </w:r>
            <w:r>
              <w:rPr>
                <w:rFonts w:ascii="宋体" w:hAnsi="宋体"/>
                <w:color w:val="000000"/>
                <w:sz w:val="22"/>
              </w:rPr>
              <w:t>UTP RJ45</w:t>
            </w:r>
            <w:r>
              <w:rPr>
                <w:rFonts w:hint="eastAsia" w:ascii="宋体" w:hAnsi="宋体"/>
                <w:color w:val="000000"/>
                <w:sz w:val="22"/>
              </w:rPr>
              <w:t>连接口；</w:t>
            </w:r>
            <w:r>
              <w:rPr>
                <w:rFonts w:ascii="宋体" w:hAnsi="宋体"/>
                <w:color w:val="000000"/>
                <w:sz w:val="22"/>
              </w:rPr>
              <w:t xml:space="preserve"> 10/100Base-FX</w:t>
            </w:r>
            <w:r>
              <w:rPr>
                <w:rFonts w:hint="eastAsia" w:ascii="宋体" w:hAnsi="宋体"/>
                <w:color w:val="000000"/>
                <w:sz w:val="22"/>
              </w:rPr>
              <w:t>：一个</w:t>
            </w:r>
            <w:r>
              <w:rPr>
                <w:rFonts w:ascii="宋体" w:hAnsi="宋体"/>
                <w:color w:val="000000"/>
                <w:sz w:val="22"/>
              </w:rPr>
              <w:t>ST</w:t>
            </w:r>
            <w:r>
              <w:rPr>
                <w:rFonts w:hint="eastAsia" w:ascii="宋体" w:hAnsi="宋体"/>
                <w:color w:val="000000"/>
                <w:sz w:val="22"/>
              </w:rPr>
              <w:t>、</w:t>
            </w:r>
            <w:r>
              <w:rPr>
                <w:rFonts w:ascii="宋体" w:hAnsi="宋体"/>
                <w:color w:val="000000"/>
                <w:sz w:val="22"/>
              </w:rPr>
              <w:t>SC</w:t>
            </w:r>
            <w:r>
              <w:rPr>
                <w:rFonts w:hint="eastAsia" w:ascii="宋体" w:hAnsi="宋体"/>
                <w:color w:val="000000"/>
                <w:sz w:val="22"/>
              </w:rPr>
              <w:t>、</w:t>
            </w:r>
            <w:r>
              <w:rPr>
                <w:rFonts w:ascii="宋体" w:hAnsi="宋体"/>
                <w:color w:val="000000"/>
                <w:sz w:val="22"/>
              </w:rPr>
              <w:t>FC</w:t>
            </w:r>
            <w:r>
              <w:rPr>
                <w:rFonts w:hint="eastAsia" w:ascii="宋体" w:hAnsi="宋体"/>
                <w:color w:val="000000"/>
                <w:sz w:val="22"/>
              </w:rPr>
              <w:t>连接口</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ascii="宋体" w:hAnsi="宋体"/>
          <w:bCs w:val="0"/>
          <w:color w:val="000000"/>
          <w:sz w:val="22"/>
          <w:szCs w:val="22"/>
        </w:rPr>
      </w:pPr>
      <w:r>
        <w:rPr>
          <w:sz w:val="22"/>
          <w:szCs w:val="22"/>
        </w:rPr>
        <w:t>1.6.1.</w:t>
      </w:r>
      <w:r>
        <w:rPr>
          <w:rFonts w:hint="eastAsia"/>
          <w:sz w:val="22"/>
          <w:szCs w:val="22"/>
        </w:rPr>
        <w:t xml:space="preserve">11 </w:t>
      </w:r>
      <w:r>
        <w:rPr>
          <w:rFonts w:hint="eastAsia" w:ascii="宋体" w:hAnsi="宋体"/>
          <w:bCs w:val="0"/>
          <w:color w:val="000000"/>
          <w:sz w:val="22"/>
          <w:szCs w:val="22"/>
        </w:rPr>
        <w:t>六类网线</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可接受的标准化产品品牌为：鸿雁、普天、</w:t>
      </w:r>
      <w:r>
        <w:rPr>
          <w:rFonts w:ascii="宋体" w:hAnsi="宋体"/>
          <w:bCs w:val="0"/>
          <w:color w:val="000000"/>
          <w:sz w:val="22"/>
          <w:szCs w:val="22"/>
        </w:rPr>
        <w:t>TCL</w:t>
      </w:r>
      <w:r>
        <w:rPr>
          <w:rFonts w:hint="eastAsia" w:ascii="宋体" w:hAnsi="宋体"/>
          <w:bCs w:val="0"/>
          <w:color w:val="000000"/>
          <w:sz w:val="22"/>
          <w:szCs w:val="22"/>
        </w:rPr>
        <w:t>同等或以上档次品牌。</w:t>
      </w:r>
    </w:p>
    <w:tbl>
      <w:tblPr>
        <w:tblStyle w:val="57"/>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6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b/>
                <w:color w:val="000000"/>
                <w:sz w:val="22"/>
              </w:rPr>
            </w:pPr>
            <w:r>
              <w:rPr>
                <w:rFonts w:hint="eastAsia" w:ascii="宋体" w:hAnsi="宋体" w:cs="黑体"/>
                <w:b/>
                <w:color w:val="000000"/>
                <w:sz w:val="22"/>
              </w:rPr>
              <w:t>序号</w:t>
            </w:r>
          </w:p>
        </w:tc>
        <w:tc>
          <w:tcPr>
            <w:tcW w:w="7812" w:type="dxa"/>
            <w:gridSpan w:val="2"/>
            <w:noWrap w:val="0"/>
            <w:vAlign w:val="center"/>
          </w:tcPr>
          <w:p>
            <w:pPr>
              <w:jc w:val="center"/>
              <w:rPr>
                <w:rFonts w:ascii="宋体" w:cs="黑体"/>
                <w:b/>
                <w:color w:val="000000"/>
                <w:sz w:val="22"/>
              </w:rPr>
            </w:pPr>
            <w:r>
              <w:rPr>
                <w:rFonts w:hint="eastAsia" w:ascii="宋体" w:hAnsi="宋体" w:cs="黑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1</w:t>
            </w:r>
          </w:p>
        </w:tc>
        <w:tc>
          <w:tcPr>
            <w:tcW w:w="1260" w:type="dxa"/>
            <w:noWrap w:val="0"/>
            <w:vAlign w:val="center"/>
          </w:tcPr>
          <w:p>
            <w:pPr>
              <w:rPr>
                <w:rFonts w:ascii="宋体" w:cs="黑体"/>
                <w:color w:val="000000"/>
                <w:sz w:val="22"/>
              </w:rPr>
            </w:pPr>
            <w:r>
              <w:rPr>
                <w:rFonts w:hint="eastAsia" w:ascii="宋体" w:hAnsi="宋体" w:cs="黑体"/>
                <w:color w:val="000000"/>
                <w:sz w:val="22"/>
              </w:rPr>
              <w:t>类型</w:t>
            </w:r>
          </w:p>
        </w:tc>
        <w:tc>
          <w:tcPr>
            <w:tcW w:w="6552" w:type="dxa"/>
            <w:noWrap w:val="0"/>
            <w:vAlign w:val="center"/>
          </w:tcPr>
          <w:p>
            <w:pPr>
              <w:rPr>
                <w:rFonts w:ascii="宋体" w:cs="黑体"/>
                <w:color w:val="000000"/>
                <w:sz w:val="22"/>
              </w:rPr>
            </w:pPr>
            <w:r>
              <w:rPr>
                <w:rFonts w:hint="eastAsia" w:ascii="宋体" w:hAnsi="宋体" w:cs="黑体"/>
                <w:color w:val="000000"/>
                <w:sz w:val="22"/>
              </w:rPr>
              <w:t>六类</w:t>
            </w:r>
            <w:r>
              <w:rPr>
                <w:rFonts w:ascii="宋体" w:hAnsi="宋体" w:cs="黑体"/>
                <w:color w:val="000000"/>
                <w:sz w:val="22"/>
              </w:rPr>
              <w:t>UTP</w:t>
            </w:r>
            <w:r>
              <w:rPr>
                <w:rFonts w:hint="eastAsia" w:ascii="宋体" w:hAnsi="宋体" w:cs="黑体"/>
                <w:color w:val="000000"/>
                <w:sz w:val="22"/>
              </w:rPr>
              <w:t>电缆，每线对具有隔离的骨架结构，以保证系统的传输性能，紧护套结构以保证施工前后的性能保持一致。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2</w:t>
            </w:r>
          </w:p>
        </w:tc>
        <w:tc>
          <w:tcPr>
            <w:tcW w:w="1260" w:type="dxa"/>
            <w:noWrap w:val="0"/>
            <w:vAlign w:val="center"/>
          </w:tcPr>
          <w:p>
            <w:pPr>
              <w:rPr>
                <w:rFonts w:ascii="宋体" w:cs="黑体"/>
                <w:color w:val="000000"/>
                <w:sz w:val="22"/>
              </w:rPr>
            </w:pPr>
            <w:r>
              <w:rPr>
                <w:rFonts w:hint="eastAsia" w:ascii="宋体" w:hAnsi="宋体" w:cs="黑体"/>
                <w:color w:val="000000"/>
                <w:sz w:val="22"/>
              </w:rPr>
              <w:t>芯线规格</w:t>
            </w:r>
          </w:p>
        </w:tc>
        <w:tc>
          <w:tcPr>
            <w:tcW w:w="6552" w:type="dxa"/>
            <w:noWrap w:val="0"/>
            <w:vAlign w:val="center"/>
          </w:tcPr>
          <w:p>
            <w:pPr>
              <w:rPr>
                <w:rFonts w:ascii="宋体" w:cs="黑体"/>
                <w:color w:val="000000"/>
                <w:sz w:val="22"/>
              </w:rPr>
            </w:pPr>
            <w:r>
              <w:rPr>
                <w:rFonts w:ascii="宋体" w:hAnsi="宋体" w:cs="黑体"/>
                <w:color w:val="000000"/>
                <w:sz w:val="22"/>
              </w:rPr>
              <w:t>23 AWG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3</w:t>
            </w:r>
          </w:p>
        </w:tc>
        <w:tc>
          <w:tcPr>
            <w:tcW w:w="1260" w:type="dxa"/>
            <w:noWrap w:val="0"/>
            <w:vAlign w:val="center"/>
          </w:tcPr>
          <w:p>
            <w:pPr>
              <w:rPr>
                <w:rFonts w:ascii="宋体" w:cs="黑体"/>
                <w:color w:val="000000"/>
                <w:sz w:val="22"/>
              </w:rPr>
            </w:pPr>
            <w:r>
              <w:rPr>
                <w:rFonts w:hint="eastAsia" w:ascii="宋体" w:hAnsi="宋体" w:cs="黑体"/>
                <w:color w:val="000000"/>
                <w:sz w:val="22"/>
              </w:rPr>
              <w:t>芯线对数</w:t>
            </w:r>
          </w:p>
        </w:tc>
        <w:tc>
          <w:tcPr>
            <w:tcW w:w="6552" w:type="dxa"/>
            <w:noWrap w:val="0"/>
            <w:vAlign w:val="center"/>
          </w:tcPr>
          <w:p>
            <w:pPr>
              <w:rPr>
                <w:rFonts w:ascii="宋体" w:cs="黑体"/>
                <w:color w:val="000000"/>
                <w:sz w:val="22"/>
              </w:rPr>
            </w:pPr>
            <w:r>
              <w:rPr>
                <w:rFonts w:ascii="宋体" w:hAnsi="宋体" w:cs="黑体"/>
                <w:color w:val="000000"/>
                <w:sz w:val="22"/>
              </w:rPr>
              <w:t>4</w:t>
            </w:r>
            <w:r>
              <w:rPr>
                <w:rFonts w:hint="eastAsia" w:ascii="宋体" w:hAnsi="宋体" w:cs="黑体"/>
                <w:color w:val="000000"/>
                <w:sz w:val="22"/>
              </w:rPr>
              <w:t>对，每芯带有彩色护套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4</w:t>
            </w:r>
          </w:p>
        </w:tc>
        <w:tc>
          <w:tcPr>
            <w:tcW w:w="1260" w:type="dxa"/>
            <w:noWrap w:val="0"/>
            <w:vAlign w:val="center"/>
          </w:tcPr>
          <w:p>
            <w:pPr>
              <w:rPr>
                <w:rFonts w:ascii="宋体" w:cs="黑体"/>
                <w:color w:val="000000"/>
                <w:sz w:val="22"/>
              </w:rPr>
            </w:pPr>
            <w:r>
              <w:rPr>
                <w:rFonts w:hint="eastAsia" w:ascii="宋体" w:hAnsi="宋体" w:cs="黑体"/>
                <w:color w:val="000000"/>
                <w:sz w:val="22"/>
              </w:rPr>
              <w:t>标准</w:t>
            </w:r>
          </w:p>
        </w:tc>
        <w:tc>
          <w:tcPr>
            <w:tcW w:w="6552" w:type="dxa"/>
            <w:noWrap w:val="0"/>
            <w:vAlign w:val="center"/>
          </w:tcPr>
          <w:p>
            <w:pPr>
              <w:rPr>
                <w:rFonts w:ascii="宋体" w:cs="黑体"/>
                <w:color w:val="000000"/>
                <w:sz w:val="22"/>
              </w:rPr>
            </w:pPr>
            <w:r>
              <w:rPr>
                <w:rFonts w:ascii="宋体" w:hAnsi="宋体" w:cs="黑体"/>
                <w:color w:val="000000"/>
                <w:sz w:val="22"/>
              </w:rPr>
              <w:t>ISO/IEC 11801:2002 Ed2.0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5</w:t>
            </w:r>
          </w:p>
        </w:tc>
        <w:tc>
          <w:tcPr>
            <w:tcW w:w="1260" w:type="dxa"/>
            <w:noWrap w:val="0"/>
            <w:vAlign w:val="center"/>
          </w:tcPr>
          <w:p>
            <w:pPr>
              <w:rPr>
                <w:rFonts w:ascii="宋体" w:cs="黑体"/>
                <w:color w:val="000000"/>
                <w:sz w:val="22"/>
              </w:rPr>
            </w:pPr>
            <w:r>
              <w:rPr>
                <w:rFonts w:hint="eastAsia" w:ascii="宋体" w:hAnsi="宋体" w:cs="黑体"/>
                <w:color w:val="000000"/>
                <w:sz w:val="22"/>
              </w:rPr>
              <w:t>带宽</w:t>
            </w:r>
          </w:p>
        </w:tc>
        <w:tc>
          <w:tcPr>
            <w:tcW w:w="6552" w:type="dxa"/>
            <w:noWrap w:val="0"/>
            <w:vAlign w:val="center"/>
          </w:tcPr>
          <w:p>
            <w:pPr>
              <w:rPr>
                <w:rFonts w:ascii="宋体" w:cs="黑体"/>
                <w:color w:val="000000"/>
                <w:sz w:val="22"/>
              </w:rPr>
            </w:pPr>
            <w:r>
              <w:rPr>
                <w:rFonts w:hint="eastAsia" w:ascii="宋体" w:cs="黑体"/>
                <w:color w:val="000000"/>
                <w:sz w:val="22"/>
              </w:rPr>
              <w:t>≥</w:t>
            </w:r>
            <w:r>
              <w:rPr>
                <w:rFonts w:ascii="宋体" w:hAnsi="宋体" w:cs="黑体"/>
                <w:color w:val="000000"/>
                <w:sz w:val="22"/>
              </w:rPr>
              <w:t>250MHz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6</w:t>
            </w:r>
          </w:p>
        </w:tc>
        <w:tc>
          <w:tcPr>
            <w:tcW w:w="1260" w:type="dxa"/>
            <w:noWrap w:val="0"/>
            <w:vAlign w:val="center"/>
          </w:tcPr>
          <w:p>
            <w:pPr>
              <w:rPr>
                <w:rFonts w:ascii="宋体" w:cs="黑体"/>
                <w:color w:val="000000"/>
                <w:sz w:val="22"/>
              </w:rPr>
            </w:pPr>
            <w:r>
              <w:rPr>
                <w:rFonts w:hint="eastAsia" w:ascii="宋体" w:hAnsi="宋体" w:cs="黑体"/>
                <w:color w:val="000000"/>
                <w:sz w:val="22"/>
              </w:rPr>
              <w:t>直流电阻</w:t>
            </w:r>
          </w:p>
        </w:tc>
        <w:tc>
          <w:tcPr>
            <w:tcW w:w="6552" w:type="dxa"/>
            <w:noWrap w:val="0"/>
            <w:vAlign w:val="center"/>
          </w:tcPr>
          <w:p>
            <w:pPr>
              <w:rPr>
                <w:rFonts w:ascii="宋体" w:cs="黑体"/>
                <w:color w:val="000000"/>
                <w:sz w:val="22"/>
              </w:rPr>
            </w:pPr>
            <w:r>
              <w:rPr>
                <w:rFonts w:ascii="宋体" w:hAnsi="宋体" w:cs="黑体"/>
                <w:color w:val="000000"/>
                <w:sz w:val="22"/>
              </w:rPr>
              <w:t>9.38</w:t>
            </w:r>
            <w:r>
              <w:rPr>
                <w:rFonts w:hint="eastAsia" w:ascii="宋体" w:hAnsi="Symbol" w:cs="黑体"/>
                <w:color w:val="000000"/>
                <w:sz w:val="22"/>
              </w:rPr>
              <w:sym w:font="Symbol" w:char="F05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7</w:t>
            </w:r>
          </w:p>
        </w:tc>
        <w:tc>
          <w:tcPr>
            <w:tcW w:w="1260" w:type="dxa"/>
            <w:noWrap w:val="0"/>
            <w:vAlign w:val="center"/>
          </w:tcPr>
          <w:p>
            <w:pPr>
              <w:rPr>
                <w:rFonts w:ascii="宋体" w:cs="黑体"/>
                <w:color w:val="000000"/>
                <w:sz w:val="22"/>
              </w:rPr>
            </w:pPr>
            <w:r>
              <w:rPr>
                <w:rFonts w:hint="eastAsia" w:ascii="宋体" w:hAnsi="宋体" w:cs="黑体"/>
                <w:color w:val="000000"/>
                <w:sz w:val="22"/>
              </w:rPr>
              <w:t>特性阻抗</w:t>
            </w:r>
          </w:p>
        </w:tc>
        <w:tc>
          <w:tcPr>
            <w:tcW w:w="6552" w:type="dxa"/>
            <w:noWrap w:val="0"/>
            <w:vAlign w:val="center"/>
          </w:tcPr>
          <w:p>
            <w:pPr>
              <w:rPr>
                <w:rFonts w:ascii="宋体" w:cs="黑体"/>
                <w:color w:val="000000"/>
                <w:sz w:val="22"/>
              </w:rPr>
            </w:pPr>
            <w:r>
              <w:rPr>
                <w:rFonts w:ascii="宋体" w:hAnsi="宋体" w:cs="黑体"/>
                <w:color w:val="000000"/>
                <w:sz w:val="22"/>
              </w:rPr>
              <w:t>100</w:t>
            </w:r>
            <w:r>
              <w:rPr>
                <w:rFonts w:hint="eastAsia" w:ascii="宋体" w:hAnsi="Symbol" w:cs="黑体"/>
                <w:color w:val="000000"/>
                <w:sz w:val="22"/>
              </w:rPr>
              <w:sym w:font="Symbol" w:char="F05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8</w:t>
            </w:r>
          </w:p>
        </w:tc>
        <w:tc>
          <w:tcPr>
            <w:tcW w:w="1260" w:type="dxa"/>
            <w:noWrap w:val="0"/>
            <w:vAlign w:val="center"/>
          </w:tcPr>
          <w:p>
            <w:pPr>
              <w:rPr>
                <w:rFonts w:ascii="宋体" w:cs="黑体"/>
                <w:color w:val="000000"/>
                <w:sz w:val="22"/>
              </w:rPr>
            </w:pPr>
            <w:r>
              <w:rPr>
                <w:rFonts w:hint="eastAsia" w:ascii="宋体" w:hAnsi="宋体" w:cs="黑体"/>
                <w:color w:val="000000"/>
                <w:sz w:val="22"/>
              </w:rPr>
              <w:t>护套</w:t>
            </w:r>
          </w:p>
        </w:tc>
        <w:tc>
          <w:tcPr>
            <w:tcW w:w="6552" w:type="dxa"/>
            <w:noWrap w:val="0"/>
            <w:vAlign w:val="center"/>
          </w:tcPr>
          <w:p>
            <w:pPr>
              <w:rPr>
                <w:rFonts w:ascii="宋体" w:cs="黑体"/>
                <w:color w:val="000000"/>
                <w:sz w:val="22"/>
              </w:rPr>
            </w:pPr>
            <w:r>
              <w:rPr>
                <w:rFonts w:hint="eastAsia" w:ascii="宋体" w:hAnsi="宋体" w:cs="黑体"/>
                <w:color w:val="000000"/>
                <w:sz w:val="22"/>
              </w:rPr>
              <w:t>低烟无卤阻燃护套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9</w:t>
            </w:r>
          </w:p>
        </w:tc>
        <w:tc>
          <w:tcPr>
            <w:tcW w:w="1260" w:type="dxa"/>
            <w:noWrap w:val="0"/>
            <w:vAlign w:val="center"/>
          </w:tcPr>
          <w:p>
            <w:pPr>
              <w:rPr>
                <w:rFonts w:ascii="宋体" w:cs="黑体"/>
                <w:color w:val="000000"/>
                <w:sz w:val="22"/>
              </w:rPr>
            </w:pPr>
            <w:r>
              <w:rPr>
                <w:rFonts w:hint="eastAsia" w:ascii="宋体" w:hAnsi="宋体" w:cs="黑体"/>
                <w:color w:val="000000"/>
                <w:sz w:val="22"/>
              </w:rPr>
              <w:t>认证</w:t>
            </w:r>
          </w:p>
        </w:tc>
        <w:tc>
          <w:tcPr>
            <w:tcW w:w="6552" w:type="dxa"/>
            <w:noWrap w:val="0"/>
            <w:vAlign w:val="center"/>
          </w:tcPr>
          <w:p>
            <w:pPr>
              <w:rPr>
                <w:rFonts w:ascii="宋体" w:cs="黑体"/>
                <w:color w:val="000000"/>
                <w:sz w:val="22"/>
              </w:rPr>
            </w:pPr>
            <w:r>
              <w:rPr>
                <w:rFonts w:ascii="宋体" w:hAnsi="宋体" w:cs="黑体"/>
                <w:color w:val="000000"/>
                <w:sz w:val="22"/>
              </w:rPr>
              <w:t>IEC60332-1</w:t>
            </w:r>
            <w:r>
              <w:rPr>
                <w:rFonts w:hint="eastAsia" w:ascii="宋体" w:hAnsi="宋体" w:cs="黑体"/>
                <w:color w:val="000000"/>
                <w:sz w:val="22"/>
              </w:rPr>
              <w:t>，</w:t>
            </w:r>
            <w:r>
              <w:rPr>
                <w:rFonts w:ascii="宋体" w:hAnsi="宋体" w:cs="黑体"/>
                <w:color w:val="000000"/>
                <w:sz w:val="22"/>
              </w:rPr>
              <w:t>IEC 61034</w:t>
            </w:r>
            <w:r>
              <w:rPr>
                <w:rFonts w:hint="eastAsia" w:ascii="宋体" w:hAnsi="宋体" w:cs="黑体"/>
                <w:color w:val="000000"/>
                <w:sz w:val="22"/>
              </w:rPr>
              <w:t>、</w:t>
            </w:r>
            <w:r>
              <w:rPr>
                <w:rFonts w:ascii="宋体" w:hAnsi="宋体" w:cs="黑体"/>
                <w:color w:val="000000"/>
                <w:sz w:val="22"/>
              </w:rPr>
              <w:t>IEC60754</w:t>
            </w:r>
            <w:r>
              <w:rPr>
                <w:rFonts w:hint="eastAsia" w:ascii="宋体" w:hAnsi="宋体" w:cs="黑体"/>
                <w:color w:val="000000"/>
                <w:sz w:val="22"/>
              </w:rPr>
              <w:t>性能要求</w:t>
            </w:r>
          </w:p>
        </w:tc>
      </w:tr>
    </w:tbl>
    <w:p>
      <w:pPr>
        <w:rPr>
          <w:rFonts w:ascii="宋体" w:cs="黑体"/>
          <w:color w:val="000000"/>
          <w:sz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sz w:val="22"/>
          <w:szCs w:val="22"/>
        </w:rPr>
        <w:t>1.6.1</w:t>
      </w:r>
      <w:r>
        <w:rPr>
          <w:rFonts w:hint="eastAsia"/>
          <w:sz w:val="22"/>
          <w:szCs w:val="22"/>
        </w:rPr>
        <w:t>.12</w:t>
      </w:r>
      <w:r>
        <w:rPr>
          <w:rFonts w:hint="eastAsia" w:ascii="宋体" w:hAnsi="宋体" w:cs="宋体"/>
          <w:color w:val="000000"/>
          <w:sz w:val="22"/>
          <w:szCs w:val="22"/>
          <w:lang w:bidi="ar"/>
        </w:rPr>
        <w:t>电源线（VV3*2.5）</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可接受的标准化产品品牌为：爱谱华顿、联嘉祥、天诚同等或以上档次品牌。</w:t>
      </w:r>
    </w:p>
    <w:tbl>
      <w:tblPr>
        <w:tblStyle w:val="57"/>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top"/>
          </w:tcPr>
          <w:p>
            <w:pPr>
              <w:jc w:val="center"/>
              <w:rPr>
                <w:rFonts w:ascii="宋体" w:cs="黑体"/>
                <w:b/>
                <w:color w:val="000000"/>
                <w:sz w:val="22"/>
              </w:rPr>
            </w:pPr>
            <w:r>
              <w:rPr>
                <w:rFonts w:hint="eastAsia" w:ascii="宋体" w:hAnsi="宋体" w:cs="黑体"/>
                <w:b/>
                <w:color w:val="000000"/>
                <w:sz w:val="22"/>
              </w:rPr>
              <w:t>序号</w:t>
            </w:r>
          </w:p>
        </w:tc>
        <w:tc>
          <w:tcPr>
            <w:tcW w:w="7812" w:type="dxa"/>
            <w:noWrap w:val="0"/>
            <w:vAlign w:val="top"/>
          </w:tcPr>
          <w:p>
            <w:pPr>
              <w:jc w:val="center"/>
              <w:rPr>
                <w:rFonts w:ascii="宋体" w:cs="黑体"/>
                <w:b/>
                <w:color w:val="000000"/>
                <w:sz w:val="22"/>
              </w:rPr>
            </w:pPr>
            <w:r>
              <w:rPr>
                <w:rFonts w:hint="eastAsia" w:ascii="宋体" w:hAnsi="宋体" w:cs="黑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1</w:t>
            </w:r>
          </w:p>
        </w:tc>
        <w:tc>
          <w:tcPr>
            <w:tcW w:w="7812" w:type="dxa"/>
            <w:noWrap w:val="0"/>
            <w:vAlign w:val="top"/>
          </w:tcPr>
          <w:p>
            <w:pPr>
              <w:rPr>
                <w:rFonts w:ascii="宋体" w:cs="黑体"/>
                <w:color w:val="000000"/>
                <w:sz w:val="22"/>
              </w:rPr>
            </w:pPr>
            <w:r>
              <w:rPr>
                <w:rFonts w:hint="eastAsia" w:ascii="宋体" w:hAnsi="宋体" w:cs="黑体"/>
                <w:color w:val="000000"/>
                <w:sz w:val="22"/>
              </w:rPr>
              <w:t>采用</w:t>
            </w:r>
            <w:r>
              <w:rPr>
                <w:rFonts w:ascii="宋体" w:hAnsi="宋体" w:cs="黑体"/>
                <w:color w:val="000000"/>
                <w:sz w:val="22"/>
              </w:rPr>
              <w:t>PVC</w:t>
            </w:r>
            <w:r>
              <w:rPr>
                <w:rFonts w:hint="eastAsia" w:ascii="宋体" w:hAnsi="宋体" w:cs="黑体"/>
                <w:color w:val="000000"/>
                <w:sz w:val="22"/>
              </w:rPr>
              <w:t>材料，低烟低卤，符合</w:t>
            </w:r>
            <w:r>
              <w:rPr>
                <w:rFonts w:ascii="宋体" w:hAnsi="宋体" w:cs="黑体"/>
                <w:color w:val="000000"/>
                <w:sz w:val="22"/>
              </w:rPr>
              <w:t>UL 1666</w:t>
            </w:r>
            <w:r>
              <w:rPr>
                <w:rFonts w:hint="eastAsia" w:ascii="宋体" w:hAnsi="宋体" w:cs="黑体"/>
                <w:color w:val="000000"/>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2</w:t>
            </w:r>
          </w:p>
        </w:tc>
        <w:tc>
          <w:tcPr>
            <w:tcW w:w="7812" w:type="dxa"/>
            <w:noWrap w:val="0"/>
            <w:vAlign w:val="top"/>
          </w:tcPr>
          <w:p>
            <w:pPr>
              <w:rPr>
                <w:rFonts w:ascii="宋体" w:cs="黑体"/>
                <w:color w:val="000000"/>
                <w:sz w:val="22"/>
              </w:rPr>
            </w:pPr>
            <w:r>
              <w:rPr>
                <w:rFonts w:hint="eastAsia" w:ascii="宋体" w:hAnsi="宋体" w:cs="黑体"/>
                <w:color w:val="000000"/>
                <w:sz w:val="22"/>
              </w:rPr>
              <w:t>护套：</w:t>
            </w:r>
            <w:r>
              <w:rPr>
                <w:rFonts w:ascii="宋体" w:hAnsi="宋体" w:cs="黑体"/>
                <w:color w:val="000000"/>
                <w:sz w:val="22"/>
              </w:rPr>
              <w:t>PVC</w:t>
            </w:r>
            <w:r>
              <w:rPr>
                <w:rFonts w:hint="eastAsia" w:ascii="宋体" w:hAnsi="宋体" w:cs="黑体"/>
                <w:color w:val="000000"/>
                <w:sz w:val="22"/>
              </w:rPr>
              <w:t>，低烟低卤，符合</w:t>
            </w:r>
            <w:r>
              <w:rPr>
                <w:rFonts w:ascii="宋体" w:hAnsi="宋体" w:cs="黑体"/>
                <w:color w:val="000000"/>
                <w:sz w:val="22"/>
              </w:rPr>
              <w:t>UL 1666</w:t>
            </w:r>
            <w:r>
              <w:rPr>
                <w:rFonts w:hint="eastAsia" w:ascii="宋体" w:hAnsi="宋体" w:cs="黑体"/>
                <w:color w:val="000000"/>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3</w:t>
            </w:r>
          </w:p>
        </w:tc>
        <w:tc>
          <w:tcPr>
            <w:tcW w:w="7812" w:type="dxa"/>
            <w:noWrap w:val="0"/>
            <w:vAlign w:val="top"/>
          </w:tcPr>
          <w:p>
            <w:pPr>
              <w:rPr>
                <w:rFonts w:ascii="宋体" w:cs="黑体"/>
                <w:color w:val="000000"/>
                <w:sz w:val="22"/>
              </w:rPr>
            </w:pPr>
            <w:r>
              <w:rPr>
                <w:rFonts w:hint="eastAsia" w:ascii="宋体" w:hAnsi="宋体" w:cs="黑体"/>
                <w:color w:val="000000"/>
                <w:sz w:val="22"/>
              </w:rPr>
              <w:t>最大工作电压：≥</w:t>
            </w:r>
            <w:r>
              <w:rPr>
                <w:rFonts w:ascii="宋体" w:hAnsi="宋体" w:cs="黑体"/>
                <w:color w:val="000000"/>
                <w:sz w:val="22"/>
              </w:rPr>
              <w:t>300V</w:t>
            </w:r>
            <w:r>
              <w:rPr>
                <w:rFonts w:hint="eastAsia" w:ascii="宋体" w:hAnsi="宋体" w:cs="黑体"/>
                <w:color w:val="000000"/>
                <w:sz w:val="22"/>
              </w:rPr>
              <w:t>（</w:t>
            </w:r>
            <w:r>
              <w:rPr>
                <w:rFonts w:ascii="宋体" w:hAnsi="宋体" w:cs="黑体"/>
                <w:color w:val="000000"/>
                <w:sz w:val="22"/>
              </w:rPr>
              <w:t>25</w:t>
            </w:r>
            <w:r>
              <w:rPr>
                <w:rFonts w:hint="eastAsia" w:ascii="宋体" w:hAnsi="宋体" w:cs="黑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4</w:t>
            </w:r>
          </w:p>
        </w:tc>
        <w:tc>
          <w:tcPr>
            <w:tcW w:w="7812" w:type="dxa"/>
            <w:noWrap w:val="0"/>
            <w:vAlign w:val="top"/>
          </w:tcPr>
          <w:p>
            <w:pPr>
              <w:rPr>
                <w:rFonts w:ascii="宋体" w:cs="黑体"/>
                <w:color w:val="000000"/>
                <w:sz w:val="22"/>
              </w:rPr>
            </w:pPr>
            <w:r>
              <w:rPr>
                <w:rFonts w:hint="eastAsia" w:ascii="宋体" w:hAnsi="宋体" w:cs="黑体"/>
                <w:color w:val="000000"/>
                <w:sz w:val="22"/>
              </w:rPr>
              <w:t>最小弯曲率：≤电缆外径的</w:t>
            </w:r>
            <w:r>
              <w:rPr>
                <w:rFonts w:ascii="宋体" w:hAnsi="宋体" w:cs="黑体"/>
                <w:color w:val="000000"/>
                <w:sz w:val="22"/>
              </w:rPr>
              <w:t>6</w:t>
            </w:r>
            <w:r>
              <w:rPr>
                <w:rFonts w:hint="eastAsia" w:ascii="宋体" w:hAnsi="宋体" w:cs="黑体"/>
                <w:color w:val="000000"/>
                <w:sz w:val="22"/>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cs="黑体"/>
                <w:color w:val="000000"/>
                <w:sz w:val="22"/>
              </w:rPr>
            </w:pPr>
            <w:r>
              <w:rPr>
                <w:rFonts w:ascii="宋体" w:hAnsi="宋体" w:cs="黑体"/>
                <w:color w:val="000000"/>
                <w:sz w:val="22"/>
              </w:rPr>
              <w:t>5</w:t>
            </w:r>
          </w:p>
        </w:tc>
        <w:tc>
          <w:tcPr>
            <w:tcW w:w="7812" w:type="dxa"/>
            <w:noWrap w:val="0"/>
            <w:vAlign w:val="top"/>
          </w:tcPr>
          <w:p>
            <w:pPr>
              <w:rPr>
                <w:rFonts w:ascii="宋体" w:cs="黑体"/>
                <w:color w:val="000000"/>
                <w:sz w:val="22"/>
              </w:rPr>
            </w:pPr>
            <w:r>
              <w:rPr>
                <w:rFonts w:hint="eastAsia" w:ascii="宋体" w:hAnsi="宋体" w:cs="黑体"/>
                <w:color w:val="000000"/>
                <w:sz w:val="22"/>
              </w:rPr>
              <w:t>线缆耐压</w:t>
            </w:r>
            <w:r>
              <w:rPr>
                <w:rFonts w:ascii="宋体" w:hAnsi="宋体" w:cs="黑体"/>
                <w:color w:val="000000"/>
                <w:sz w:val="22"/>
              </w:rPr>
              <w:t>300V</w:t>
            </w:r>
          </w:p>
        </w:tc>
      </w:tr>
    </w:tbl>
    <w:p>
      <w:pPr>
        <w:spacing w:line="360" w:lineRule="auto"/>
        <w:ind w:firstLine="480" w:firstLineChars="200"/>
        <w:rPr>
          <w:rFonts w:ascii="宋体" w:hAnsi="宋体" w:cs="宋体"/>
          <w:color w:val="000000"/>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rFonts w:hint="eastAsia"/>
          <w:sz w:val="22"/>
          <w:szCs w:val="22"/>
        </w:rPr>
        <w:t>1.6.1.13</w:t>
      </w:r>
      <w:r>
        <w:rPr>
          <w:rFonts w:hint="eastAsia" w:ascii="宋体" w:hAnsi="宋体"/>
          <w:bCs w:val="0"/>
          <w:color w:val="000000"/>
          <w:sz w:val="22"/>
          <w:szCs w:val="22"/>
        </w:rPr>
        <w:t xml:space="preserve"> KBG管</w:t>
      </w:r>
    </w:p>
    <w:tbl>
      <w:tblPr>
        <w:tblStyle w:val="57"/>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noWrap w:val="0"/>
            <w:vAlign w:val="top"/>
          </w:tcPr>
          <w:p>
            <w:pPr>
              <w:jc w:val="center"/>
              <w:rPr>
                <w:rFonts w:ascii="宋体"/>
                <w:b/>
                <w:color w:val="000000"/>
                <w:sz w:val="22"/>
              </w:rPr>
            </w:pPr>
            <w:r>
              <w:rPr>
                <w:rFonts w:hint="eastAsia" w:ascii="宋体" w:hAnsi="宋体"/>
                <w:b/>
                <w:color w:val="000000"/>
                <w:sz w:val="22"/>
              </w:rPr>
              <w:t>序号</w:t>
            </w:r>
          </w:p>
        </w:tc>
        <w:tc>
          <w:tcPr>
            <w:tcW w:w="7812" w:type="dxa"/>
            <w:noWrap w:val="0"/>
            <w:vAlign w:val="top"/>
          </w:tcPr>
          <w:p>
            <w:pPr>
              <w:jc w:val="center"/>
              <w:rPr>
                <w:rFonts w:ascii="宋体"/>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rPr>
                <w:rFonts w:hint="eastAsia" w:ascii="宋体" w:hAnsi="宋体" w:cs="黑体"/>
                <w:color w:val="000000"/>
                <w:sz w:val="22"/>
              </w:rPr>
            </w:pPr>
            <w:r>
              <w:rPr>
                <w:rFonts w:hint="eastAsia" w:ascii="宋体" w:hAnsi="宋体" w:cs="黑体"/>
                <w:color w:val="000000"/>
                <w:sz w:val="22"/>
              </w:rPr>
              <w:t>1</w:t>
            </w:r>
          </w:p>
        </w:tc>
        <w:tc>
          <w:tcPr>
            <w:tcW w:w="7812" w:type="dxa"/>
            <w:noWrap w:val="0"/>
            <w:vAlign w:val="top"/>
          </w:tcPr>
          <w:p>
            <w:pPr>
              <w:rPr>
                <w:rFonts w:hint="eastAsia" w:ascii="宋体" w:hAnsi="宋体" w:cs="黑体"/>
                <w:color w:val="000000"/>
                <w:sz w:val="22"/>
              </w:rPr>
            </w:pPr>
            <w:r>
              <w:rPr>
                <w:rFonts w:hint="eastAsia" w:ascii="宋体" w:hAnsi="宋体" w:cs="黑体"/>
                <w:color w:val="000000"/>
                <w:sz w:val="22"/>
              </w:rPr>
              <w:t>Φ25热镀锌KBG管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rPr>
                <w:rFonts w:hint="eastAsia" w:ascii="宋体" w:hAnsi="宋体" w:cs="黑体"/>
                <w:color w:val="000000"/>
                <w:sz w:val="22"/>
              </w:rPr>
            </w:pPr>
            <w:r>
              <w:rPr>
                <w:rFonts w:hint="eastAsia" w:ascii="宋体" w:hAnsi="宋体" w:cs="黑体"/>
                <w:color w:val="000000"/>
                <w:sz w:val="22"/>
              </w:rPr>
              <w:t>2</w:t>
            </w:r>
          </w:p>
        </w:tc>
        <w:tc>
          <w:tcPr>
            <w:tcW w:w="7812" w:type="dxa"/>
            <w:noWrap w:val="0"/>
            <w:vAlign w:val="top"/>
          </w:tcPr>
          <w:p>
            <w:pPr>
              <w:rPr>
                <w:rFonts w:hint="eastAsia" w:ascii="宋体" w:hAnsi="宋体" w:cs="黑体"/>
                <w:color w:val="000000"/>
                <w:sz w:val="22"/>
              </w:rPr>
            </w:pPr>
            <w:r>
              <w:rPr>
                <w:rFonts w:hint="eastAsia" w:ascii="宋体" w:hAnsi="宋体" w:cs="黑体"/>
                <w:color w:val="000000"/>
                <w:sz w:val="22"/>
              </w:rPr>
              <w:t>壁厚≥1.2MM，管壁均匀、一致、不应有折扁、裂缝、砂眼、塌陷等现象。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rPr>
                <w:rFonts w:hint="eastAsia" w:ascii="宋体" w:hAnsi="宋体" w:cs="黑体"/>
                <w:color w:val="000000"/>
                <w:sz w:val="22"/>
              </w:rPr>
            </w:pPr>
            <w:r>
              <w:rPr>
                <w:rFonts w:hint="eastAsia" w:ascii="宋体" w:hAnsi="宋体" w:cs="黑体"/>
                <w:color w:val="000000"/>
                <w:sz w:val="22"/>
              </w:rPr>
              <w:t>3</w:t>
            </w:r>
          </w:p>
        </w:tc>
        <w:tc>
          <w:tcPr>
            <w:tcW w:w="7812" w:type="dxa"/>
            <w:noWrap w:val="0"/>
            <w:vAlign w:val="top"/>
          </w:tcPr>
          <w:p>
            <w:pPr>
              <w:rPr>
                <w:rFonts w:hint="eastAsia" w:ascii="宋体" w:hAnsi="宋体" w:cs="黑体"/>
                <w:color w:val="000000"/>
                <w:sz w:val="22"/>
              </w:rPr>
            </w:pPr>
            <w:r>
              <w:rPr>
                <w:rFonts w:hint="eastAsia" w:ascii="宋体" w:hAnsi="宋体" w:cs="黑体"/>
                <w:color w:val="000000"/>
                <w:sz w:val="22"/>
              </w:rPr>
              <w:t>内外表面应光滑，不应有折叠、裂缝、搭焊、缺焊、毛刺的现象。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900" w:type="dxa"/>
            <w:noWrap w:val="0"/>
            <w:vAlign w:val="center"/>
          </w:tcPr>
          <w:p>
            <w:pPr>
              <w:rPr>
                <w:rFonts w:hint="eastAsia" w:ascii="宋体" w:hAnsi="宋体" w:cs="黑体"/>
                <w:color w:val="000000"/>
                <w:sz w:val="22"/>
              </w:rPr>
            </w:pPr>
            <w:r>
              <w:rPr>
                <w:rFonts w:hint="eastAsia" w:ascii="宋体" w:hAnsi="宋体" w:cs="黑体"/>
                <w:color w:val="000000"/>
                <w:sz w:val="22"/>
              </w:rPr>
              <w:t>4</w:t>
            </w:r>
          </w:p>
        </w:tc>
        <w:tc>
          <w:tcPr>
            <w:tcW w:w="7812" w:type="dxa"/>
            <w:noWrap w:val="0"/>
            <w:vAlign w:val="top"/>
          </w:tcPr>
          <w:p>
            <w:pPr>
              <w:rPr>
                <w:rFonts w:hint="eastAsia" w:ascii="宋体" w:hAnsi="宋体" w:cs="黑体"/>
                <w:color w:val="000000"/>
                <w:sz w:val="22"/>
              </w:rPr>
            </w:pPr>
            <w:r>
              <w:rPr>
                <w:rFonts w:hint="eastAsia" w:ascii="宋体" w:hAnsi="宋体" w:cs="黑体"/>
                <w:color w:val="000000"/>
                <w:sz w:val="22"/>
              </w:rPr>
              <w:t>管箍的大小应符合国家规范要求，丝扣清晰、均匀、不乱扣，镀锌层均匀，无剥落、无劈裂，两端光滑无毛刺。</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rFonts w:hint="eastAsia"/>
          <w:sz w:val="22"/>
          <w:szCs w:val="22"/>
        </w:rPr>
        <w:t>1.6.1.14</w:t>
      </w:r>
      <w:r>
        <w:rPr>
          <w:rFonts w:hint="eastAsia" w:ascii="宋体" w:hAnsi="宋体"/>
          <w:bCs w:val="0"/>
          <w:color w:val="000000"/>
          <w:sz w:val="22"/>
          <w:szCs w:val="22"/>
        </w:rPr>
        <w:t xml:space="preserve"> 钢管</w:t>
      </w:r>
    </w:p>
    <w:tbl>
      <w:tblPr>
        <w:tblStyle w:val="57"/>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top"/>
          </w:tcPr>
          <w:p>
            <w:pPr>
              <w:jc w:val="center"/>
              <w:rPr>
                <w:rFonts w:ascii="宋体"/>
                <w:b/>
                <w:color w:val="000000"/>
                <w:sz w:val="22"/>
              </w:rPr>
            </w:pPr>
            <w:r>
              <w:rPr>
                <w:rFonts w:hint="eastAsia" w:ascii="宋体" w:hAnsi="宋体"/>
                <w:b/>
                <w:color w:val="000000"/>
                <w:sz w:val="22"/>
              </w:rPr>
              <w:t>序号</w:t>
            </w:r>
          </w:p>
        </w:tc>
        <w:tc>
          <w:tcPr>
            <w:tcW w:w="7812" w:type="dxa"/>
            <w:noWrap w:val="0"/>
            <w:vAlign w:val="top"/>
          </w:tcPr>
          <w:p>
            <w:pPr>
              <w:jc w:val="center"/>
              <w:rPr>
                <w:rFonts w:ascii="宋体"/>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1</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热镀锌焊接钢管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2</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符合GB3092 GB/T3091-2008等中国国家标准。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3</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钢管长度的偏差应在允许的范围内，即全长允许偏差在20mm以内。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4</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钢管的弯曲度应在允许范围内，即每米不大于3mm。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5</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钢管的壁厚应均匀、一致、不应有折扁、裂缝、砂眼、塌陷等现象。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6</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内外表面应光滑，不应有折叠、裂缝、搭焊、缺焊、毛刺的现象。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hint="eastAsia" w:ascii="宋体" w:hAnsi="宋体"/>
                <w:color w:val="000000"/>
                <w:sz w:val="22"/>
              </w:rPr>
            </w:pPr>
            <w:r>
              <w:rPr>
                <w:rFonts w:hint="eastAsia" w:ascii="宋体" w:hAnsi="宋体"/>
                <w:color w:val="000000"/>
                <w:sz w:val="22"/>
              </w:rPr>
              <w:t>7</w:t>
            </w:r>
          </w:p>
        </w:tc>
        <w:tc>
          <w:tcPr>
            <w:tcW w:w="7812" w:type="dxa"/>
            <w:noWrap w:val="0"/>
            <w:vAlign w:val="top"/>
          </w:tcPr>
          <w:p>
            <w:pPr>
              <w:pStyle w:val="97"/>
              <w:tabs>
                <w:tab w:val="left" w:pos="210"/>
                <w:tab w:val="left" w:pos="84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镀锌层应均匀一致、完好无损，不得有剥落、气泡的现象，表面处理采用热镀锌，镀层厚度 ≥ 60µm。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hint="eastAsia" w:ascii="宋体" w:hAnsi="宋体"/>
                <w:color w:val="000000"/>
                <w:sz w:val="22"/>
              </w:rPr>
            </w:pPr>
            <w:r>
              <w:rPr>
                <w:rFonts w:hint="eastAsia" w:ascii="宋体" w:hAnsi="宋体"/>
                <w:color w:val="000000"/>
                <w:sz w:val="22"/>
              </w:rPr>
              <w:t>8</w:t>
            </w:r>
          </w:p>
        </w:tc>
        <w:tc>
          <w:tcPr>
            <w:tcW w:w="7812" w:type="dxa"/>
            <w:noWrap w:val="0"/>
            <w:vAlign w:val="top"/>
          </w:tcPr>
          <w:p>
            <w:pPr>
              <w:pStyle w:val="97"/>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管箍的大小应符合国家规范要求，丝扣清晰、均匀、不乱扣，镀锌层均匀，无剥落、无劈裂，两端光滑无毛刺。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hint="eastAsia" w:ascii="宋体" w:hAnsi="宋体"/>
                <w:color w:val="000000"/>
                <w:sz w:val="22"/>
              </w:rPr>
            </w:pPr>
            <w:r>
              <w:rPr>
                <w:rFonts w:hint="eastAsia" w:ascii="宋体" w:hAnsi="宋体"/>
                <w:color w:val="000000"/>
                <w:sz w:val="22"/>
              </w:rPr>
              <w:t>9</w:t>
            </w:r>
          </w:p>
        </w:tc>
        <w:tc>
          <w:tcPr>
            <w:tcW w:w="7812" w:type="dxa"/>
            <w:noWrap w:val="0"/>
            <w:vAlign w:val="top"/>
          </w:tcPr>
          <w:p>
            <w:pPr>
              <w:pStyle w:val="97"/>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锁紧螺母尺寸符合国家标准要求，外层完好无损，丝扣清晰，不乱扣，镀锌层均匀。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hint="eastAsia" w:ascii="宋体" w:hAnsi="宋体"/>
                <w:color w:val="000000"/>
                <w:sz w:val="22"/>
              </w:rPr>
            </w:pPr>
            <w:r>
              <w:rPr>
                <w:rFonts w:hint="eastAsia" w:ascii="宋体" w:hAnsi="宋体"/>
                <w:color w:val="000000"/>
                <w:sz w:val="22"/>
              </w:rPr>
              <w:t>10</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钢管壁厚不小于1.8mm。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00" w:type="dxa"/>
            <w:noWrap w:val="0"/>
            <w:vAlign w:val="center"/>
          </w:tcPr>
          <w:p>
            <w:pPr>
              <w:jc w:val="center"/>
              <w:rPr>
                <w:rFonts w:hint="eastAsia" w:ascii="宋体" w:hAnsi="宋体"/>
                <w:color w:val="000000"/>
                <w:sz w:val="22"/>
              </w:rPr>
            </w:pPr>
            <w:r>
              <w:rPr>
                <w:rFonts w:hint="eastAsia" w:ascii="宋体" w:hAnsi="宋体"/>
                <w:color w:val="000000"/>
                <w:sz w:val="22"/>
              </w:rPr>
              <w:t>11</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color w:val="000000"/>
              </w:rPr>
            </w:pPr>
            <w:r>
              <w:rPr>
                <w:rFonts w:hint="eastAsia" w:ascii="宋体" w:hAnsi="宋体" w:cs="宋体"/>
                <w:color w:val="000000"/>
              </w:rPr>
              <w:t>焊接处应进行防锈处理。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 w:hRule="atLeast"/>
        </w:trPr>
        <w:tc>
          <w:tcPr>
            <w:tcW w:w="900" w:type="dxa"/>
            <w:noWrap w:val="0"/>
            <w:vAlign w:val="center"/>
          </w:tcPr>
          <w:p>
            <w:pPr>
              <w:jc w:val="center"/>
              <w:rPr>
                <w:rFonts w:hint="eastAsia" w:ascii="宋体" w:hAnsi="宋体"/>
                <w:b/>
                <w:color w:val="000000"/>
                <w:sz w:val="22"/>
              </w:rPr>
            </w:pPr>
            <w:r>
              <w:rPr>
                <w:rFonts w:hint="eastAsia" w:ascii="宋体" w:hAnsi="宋体"/>
                <w:b/>
                <w:color w:val="000000"/>
                <w:sz w:val="22"/>
              </w:rPr>
              <w:t>12</w:t>
            </w:r>
          </w:p>
        </w:tc>
        <w:tc>
          <w:tcPr>
            <w:tcW w:w="7812" w:type="dxa"/>
            <w:noWrap w:val="0"/>
            <w:vAlign w:val="top"/>
          </w:tcPr>
          <w:p>
            <w:pPr>
              <w:pStyle w:val="97"/>
              <w:tabs>
                <w:tab w:val="left" w:pos="420"/>
              </w:tabs>
              <w:adjustRightInd w:val="0"/>
              <w:spacing w:line="360" w:lineRule="auto"/>
              <w:ind w:firstLine="0" w:firstLineChars="0"/>
              <w:jc w:val="left"/>
              <w:textAlignment w:val="baseline"/>
              <w:rPr>
                <w:rFonts w:hint="eastAsia" w:ascii="宋体" w:hAnsi="宋体" w:cs="宋体"/>
                <w:b/>
                <w:color w:val="000000"/>
              </w:rPr>
            </w:pPr>
            <w:r>
              <w:rPr>
                <w:rFonts w:hint="eastAsia" w:ascii="宋体" w:hAnsi="宋体" w:cs="宋体"/>
                <w:b/>
                <w:color w:val="000000"/>
              </w:rPr>
              <w:t>上述要求适用于本项目内所有口径钢管。</w:t>
            </w:r>
          </w:p>
        </w:tc>
      </w:tr>
    </w:tbl>
    <w:p>
      <w:pPr>
        <w:rPr>
          <w:rFonts w:hint="eastAsia"/>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sz w:val="22"/>
          <w:szCs w:val="22"/>
        </w:rPr>
        <w:t>1.6.1</w:t>
      </w:r>
      <w:r>
        <w:rPr>
          <w:rFonts w:hint="eastAsia"/>
          <w:sz w:val="22"/>
          <w:szCs w:val="22"/>
        </w:rPr>
        <w:t>.15 联动</w:t>
      </w:r>
      <w:r>
        <w:rPr>
          <w:rFonts w:hint="eastAsia" w:ascii="宋体" w:hAnsi="宋体" w:cs="宋体"/>
          <w:color w:val="000000"/>
          <w:sz w:val="22"/>
          <w:szCs w:val="22"/>
          <w:lang w:bidi="ar"/>
        </w:rPr>
        <w:t>控制线（RVV4*1.5）、报警控制线（RVV4*1.5）</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可接受的标准化产品品牌为：爱谱华顿、联嘉祥、天诚同等或以上档次品牌。</w:t>
      </w:r>
    </w:p>
    <w:tbl>
      <w:tblPr>
        <w:tblStyle w:val="57"/>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top"/>
          </w:tcPr>
          <w:p>
            <w:pPr>
              <w:jc w:val="center"/>
              <w:rPr>
                <w:rFonts w:ascii="宋体" w:hAnsi="Cambria"/>
                <w:b/>
                <w:color w:val="000000"/>
                <w:sz w:val="22"/>
              </w:rPr>
            </w:pPr>
            <w:r>
              <w:rPr>
                <w:rFonts w:hint="eastAsia" w:ascii="宋体" w:hAnsi="宋体"/>
                <w:b/>
                <w:color w:val="000000"/>
                <w:sz w:val="22"/>
              </w:rPr>
              <w:t>序号</w:t>
            </w:r>
          </w:p>
        </w:tc>
        <w:tc>
          <w:tcPr>
            <w:tcW w:w="7812" w:type="dxa"/>
            <w:noWrap w:val="0"/>
            <w:vAlign w:val="top"/>
          </w:tcPr>
          <w:p>
            <w:pPr>
              <w:jc w:val="center"/>
              <w:rPr>
                <w:rFonts w:ascii="宋体" w:hAnsi="Cambria"/>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1</w:t>
            </w:r>
          </w:p>
        </w:tc>
        <w:tc>
          <w:tcPr>
            <w:tcW w:w="7812" w:type="dxa"/>
            <w:noWrap w:val="0"/>
            <w:vAlign w:val="top"/>
          </w:tcPr>
          <w:p>
            <w:pPr>
              <w:tabs>
                <w:tab w:val="left" w:pos="840"/>
                <w:tab w:val="left" w:pos="1276"/>
              </w:tabs>
              <w:adjustRightInd w:val="0"/>
              <w:spacing w:line="360" w:lineRule="auto"/>
              <w:ind w:left="420"/>
              <w:textAlignment w:val="baseline"/>
              <w:rPr>
                <w:rFonts w:hint="eastAsia" w:ascii="宋体" w:hAnsi="宋体" w:eastAsia="等线"/>
                <w:color w:val="000000"/>
                <w:sz w:val="22"/>
                <w:szCs w:val="22"/>
              </w:rPr>
            </w:pPr>
            <w:r>
              <w:rPr>
                <w:rFonts w:hint="eastAsia"/>
                <w:color w:val="000000"/>
                <w:sz w:val="21"/>
              </w:rPr>
              <w:t>导体总数：4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2</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标称截面积：1.5mm2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3</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导体材料：裸铜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4</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绝缘材料：聚氯乙烯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5</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屏蔽方式：镀锡铜编织屏蔽，编织屏蔽密度≥80%）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6</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绝缘厚度：≥0. 6毫米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7</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最大直流电阻：≤20欧姆/千米（20C°）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hint="eastAsia" w:ascii="宋体" w:hAnsi="宋体"/>
                <w:color w:val="000000"/>
                <w:sz w:val="22"/>
              </w:rPr>
            </w:pPr>
            <w:r>
              <w:rPr>
                <w:rFonts w:hint="eastAsia" w:ascii="宋体" w:hAnsi="宋体"/>
                <w:color w:val="000000"/>
                <w:sz w:val="22"/>
              </w:rPr>
              <w:t>8</w:t>
            </w:r>
          </w:p>
        </w:tc>
        <w:tc>
          <w:tcPr>
            <w:tcW w:w="7812" w:type="dxa"/>
            <w:noWrap w:val="0"/>
            <w:vAlign w:val="top"/>
          </w:tcPr>
          <w:p>
            <w:pPr>
              <w:tabs>
                <w:tab w:val="left" w:pos="840"/>
                <w:tab w:val="left" w:pos="1276"/>
              </w:tabs>
              <w:adjustRightInd w:val="0"/>
              <w:spacing w:line="360" w:lineRule="auto"/>
              <w:ind w:left="420"/>
              <w:textAlignment w:val="baseline"/>
              <w:rPr>
                <w:rFonts w:hint="eastAsia"/>
                <w:color w:val="000000"/>
                <w:sz w:val="21"/>
              </w:rPr>
            </w:pPr>
            <w:r>
              <w:rPr>
                <w:rFonts w:hint="eastAsia"/>
                <w:color w:val="000000"/>
                <w:sz w:val="21"/>
              </w:rPr>
              <w:t>额定电压：≥300V</w:t>
            </w:r>
          </w:p>
        </w:tc>
      </w:tr>
    </w:tbl>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sz w:val="22"/>
          <w:szCs w:val="22"/>
        </w:rPr>
        <w:t>1.6.1</w:t>
      </w:r>
      <w:r>
        <w:rPr>
          <w:rFonts w:hint="eastAsia"/>
          <w:sz w:val="22"/>
          <w:szCs w:val="22"/>
        </w:rPr>
        <w:t>.16 灯光供电线（BVVB3*1.5）</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可接受的标准化产品品牌为：爱谱华顿、联嘉祥、天诚同等或以上档次品牌。</w:t>
      </w:r>
    </w:p>
    <w:tbl>
      <w:tblPr>
        <w:tblStyle w:val="57"/>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top"/>
          </w:tcPr>
          <w:p>
            <w:pPr>
              <w:jc w:val="center"/>
              <w:rPr>
                <w:rFonts w:ascii="宋体" w:hAnsi="Cambria"/>
                <w:b/>
                <w:color w:val="000000"/>
                <w:sz w:val="22"/>
              </w:rPr>
            </w:pPr>
            <w:r>
              <w:rPr>
                <w:rFonts w:hint="eastAsia" w:ascii="宋体" w:hAnsi="宋体"/>
                <w:b/>
                <w:color w:val="000000"/>
                <w:sz w:val="22"/>
              </w:rPr>
              <w:t>序号</w:t>
            </w:r>
          </w:p>
        </w:tc>
        <w:tc>
          <w:tcPr>
            <w:tcW w:w="7812" w:type="dxa"/>
            <w:noWrap w:val="0"/>
            <w:vAlign w:val="top"/>
          </w:tcPr>
          <w:p>
            <w:pPr>
              <w:jc w:val="center"/>
              <w:rPr>
                <w:rFonts w:ascii="宋体" w:hAnsi="Cambria"/>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1</w:t>
            </w:r>
          </w:p>
        </w:tc>
        <w:tc>
          <w:tcPr>
            <w:tcW w:w="7812" w:type="dxa"/>
            <w:noWrap w:val="0"/>
            <w:vAlign w:val="top"/>
          </w:tcPr>
          <w:p>
            <w:pPr>
              <w:adjustRightInd w:val="0"/>
              <w:spacing w:line="360" w:lineRule="auto"/>
              <w:ind w:left="420"/>
              <w:textAlignment w:val="baseline"/>
              <w:rPr>
                <w:rFonts w:hint="eastAsia" w:ascii="宋体" w:hAnsi="宋体" w:cs="宋体"/>
                <w:color w:val="000000"/>
                <w:sz w:val="21"/>
              </w:rPr>
            </w:pPr>
            <w:r>
              <w:rPr>
                <w:rFonts w:hint="eastAsia" w:ascii="宋体" w:hAnsi="宋体" w:cs="宋体"/>
                <w:color w:val="000000"/>
                <w:sz w:val="21"/>
              </w:rPr>
              <w:t>绝缘层：采用PVC材料，低烟低卤，符合UL 1666要求。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2</w:t>
            </w:r>
          </w:p>
        </w:tc>
        <w:tc>
          <w:tcPr>
            <w:tcW w:w="7812" w:type="dxa"/>
            <w:noWrap w:val="0"/>
            <w:vAlign w:val="top"/>
          </w:tcPr>
          <w:p>
            <w:pPr>
              <w:adjustRightInd w:val="0"/>
              <w:spacing w:line="360" w:lineRule="auto"/>
              <w:ind w:left="420"/>
              <w:textAlignment w:val="baseline"/>
              <w:rPr>
                <w:rFonts w:hint="eastAsia" w:ascii="宋体" w:hAnsi="宋体" w:cs="宋体"/>
                <w:color w:val="000000"/>
                <w:sz w:val="21"/>
              </w:rPr>
            </w:pPr>
            <w:r>
              <w:rPr>
                <w:rFonts w:hint="eastAsia" w:ascii="宋体" w:hAnsi="宋体" w:cs="宋体"/>
                <w:color w:val="000000"/>
                <w:sz w:val="21"/>
              </w:rPr>
              <w:t>护套：PVC，符合UL 1666要求。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3</w:t>
            </w:r>
          </w:p>
        </w:tc>
        <w:tc>
          <w:tcPr>
            <w:tcW w:w="7812" w:type="dxa"/>
            <w:noWrap w:val="0"/>
            <w:vAlign w:val="top"/>
          </w:tcPr>
          <w:p>
            <w:pPr>
              <w:adjustRightInd w:val="0"/>
              <w:spacing w:line="360" w:lineRule="auto"/>
              <w:ind w:left="420"/>
              <w:textAlignment w:val="baseline"/>
              <w:rPr>
                <w:rFonts w:hint="eastAsia" w:ascii="宋体" w:hAnsi="宋体" w:cs="宋体"/>
                <w:color w:val="000000"/>
                <w:sz w:val="21"/>
              </w:rPr>
            </w:pPr>
            <w:r>
              <w:rPr>
                <w:rFonts w:hint="eastAsia" w:ascii="宋体" w:hAnsi="宋体" w:cs="宋体"/>
                <w:color w:val="000000"/>
                <w:sz w:val="21"/>
              </w:rPr>
              <w:t>最大工作电压：≥300V（25℃）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4</w:t>
            </w:r>
          </w:p>
        </w:tc>
        <w:tc>
          <w:tcPr>
            <w:tcW w:w="7812" w:type="dxa"/>
            <w:noWrap w:val="0"/>
            <w:vAlign w:val="top"/>
          </w:tcPr>
          <w:p>
            <w:pPr>
              <w:adjustRightInd w:val="0"/>
              <w:spacing w:line="360" w:lineRule="auto"/>
              <w:ind w:left="420"/>
              <w:textAlignment w:val="baseline"/>
              <w:rPr>
                <w:rFonts w:hint="eastAsia" w:ascii="宋体" w:hAnsi="宋体" w:cs="宋体"/>
                <w:color w:val="000000"/>
                <w:sz w:val="21"/>
              </w:rPr>
            </w:pPr>
            <w:r>
              <w:rPr>
                <w:rFonts w:hint="eastAsia" w:ascii="宋体" w:hAnsi="宋体" w:cs="宋体"/>
                <w:color w:val="000000"/>
                <w:sz w:val="21"/>
              </w:rPr>
              <w:t>最小弯曲率：≤电缆外径的6倍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noWrap w:val="0"/>
            <w:vAlign w:val="center"/>
          </w:tcPr>
          <w:p>
            <w:pPr>
              <w:jc w:val="center"/>
              <w:rPr>
                <w:rFonts w:ascii="宋体" w:hAnsi="宋体"/>
                <w:color w:val="000000"/>
                <w:sz w:val="22"/>
              </w:rPr>
            </w:pPr>
            <w:r>
              <w:rPr>
                <w:rFonts w:ascii="宋体" w:hAnsi="宋体"/>
                <w:color w:val="000000"/>
                <w:sz w:val="22"/>
              </w:rPr>
              <w:t>5</w:t>
            </w:r>
          </w:p>
        </w:tc>
        <w:tc>
          <w:tcPr>
            <w:tcW w:w="7812" w:type="dxa"/>
            <w:noWrap w:val="0"/>
            <w:vAlign w:val="top"/>
          </w:tcPr>
          <w:p>
            <w:pPr>
              <w:adjustRightInd w:val="0"/>
              <w:spacing w:line="360" w:lineRule="auto"/>
              <w:ind w:left="420"/>
              <w:textAlignment w:val="baseline"/>
              <w:rPr>
                <w:rFonts w:hint="eastAsia" w:ascii="宋体" w:hAnsi="宋体" w:cs="宋体"/>
                <w:color w:val="000000"/>
                <w:sz w:val="21"/>
              </w:rPr>
            </w:pPr>
            <w:r>
              <w:rPr>
                <w:rFonts w:hint="eastAsia" w:ascii="宋体" w:hAnsi="宋体" w:cs="宋体"/>
                <w:color w:val="000000"/>
                <w:sz w:val="21"/>
              </w:rPr>
              <w:t>线缆耐压300V。</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sz w:val="22"/>
          <w:szCs w:val="22"/>
        </w:rPr>
        <w:t>1.6.1</w:t>
      </w:r>
      <w:r>
        <w:rPr>
          <w:rFonts w:hint="eastAsia"/>
          <w:sz w:val="22"/>
          <w:szCs w:val="22"/>
        </w:rPr>
        <w:t>.17</w:t>
      </w:r>
      <w:r>
        <w:rPr>
          <w:rFonts w:hint="eastAsia" w:ascii="宋体" w:hAnsi="宋体"/>
          <w:bCs w:val="0"/>
          <w:color w:val="000000"/>
          <w:sz w:val="22"/>
          <w:szCs w:val="22"/>
        </w:rPr>
        <w:t>光缆</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w:t>
      </w:r>
      <w:r>
        <w:rPr>
          <w:rFonts w:hint="eastAsia" w:ascii="Calibri" w:hAnsi="Calibri"/>
          <w:color w:val="000000"/>
          <w:kern w:val="2"/>
          <w:sz w:val="22"/>
          <w:szCs w:val="22"/>
          <w:lang w:bidi="ar"/>
        </w:rPr>
        <w:t>劳兰、富通、长飞同等或以上档次品牌。</w:t>
      </w:r>
    </w:p>
    <w:tbl>
      <w:tblPr>
        <w:tblStyle w:val="57"/>
        <w:tblW w:w="8731"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cs="宋体"/>
                <w:b/>
                <w:sz w:val="22"/>
                <w:szCs w:val="22"/>
              </w:rPr>
            </w:pPr>
            <w:r>
              <w:rPr>
                <w:rFonts w:hint="eastAsia" w:ascii="宋体" w:hAnsi="宋体" w:cs="宋体"/>
                <w:b/>
                <w:sz w:val="22"/>
                <w:szCs w:val="22"/>
                <w:lang w:bidi="ar"/>
              </w:rPr>
              <w:t>序号</w:t>
            </w:r>
          </w:p>
        </w:tc>
        <w:tc>
          <w:tcPr>
            <w:tcW w:w="781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cs="宋体"/>
                <w:b/>
                <w:sz w:val="22"/>
                <w:szCs w:val="22"/>
              </w:rPr>
            </w:pPr>
            <w:r>
              <w:rPr>
                <w:rFonts w:hint="eastAsia" w:ascii="宋体" w:hAnsi="宋体" w:cs="宋体"/>
                <w:b/>
                <w:sz w:val="22"/>
                <w:szCs w:val="22"/>
                <w:lang w:bidi="ar"/>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1</w:t>
            </w:r>
          </w:p>
        </w:tc>
        <w:tc>
          <w:tcPr>
            <w:tcW w:w="78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cs="宋体"/>
                <w:sz w:val="22"/>
                <w:szCs w:val="22"/>
              </w:rPr>
            </w:pPr>
            <w:r>
              <w:rPr>
                <w:rFonts w:hint="eastAsia" w:ascii="宋体" w:hAnsi="宋体" w:cs="宋体"/>
                <w:sz w:val="22"/>
                <w:szCs w:val="22"/>
                <w:lang w:bidi="ar"/>
              </w:rPr>
              <w:t>光缆护套采用低烟无卤阻燃材料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2</w:t>
            </w:r>
          </w:p>
        </w:tc>
        <w:tc>
          <w:tcPr>
            <w:tcW w:w="78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cs="宋体"/>
                <w:sz w:val="22"/>
                <w:szCs w:val="22"/>
              </w:rPr>
            </w:pPr>
            <w:r>
              <w:rPr>
                <w:rFonts w:hint="eastAsia" w:ascii="宋体" w:hAnsi="宋体" w:cs="宋体"/>
                <w:sz w:val="22"/>
                <w:szCs w:val="22"/>
                <w:lang w:bidi="ar"/>
              </w:rPr>
              <w:t>符合GB/T 7424.3-2003。光纤传输损耗小、色散低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3</w:t>
            </w:r>
          </w:p>
        </w:tc>
        <w:tc>
          <w:tcPr>
            <w:tcW w:w="78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cs="宋体"/>
                <w:sz w:val="22"/>
                <w:szCs w:val="22"/>
              </w:rPr>
            </w:pPr>
            <w:r>
              <w:rPr>
                <w:rFonts w:hint="eastAsia" w:ascii="宋体" w:hAnsi="宋体" w:cs="宋体"/>
                <w:sz w:val="22"/>
                <w:szCs w:val="22"/>
                <w:lang w:bidi="ar"/>
              </w:rPr>
              <w:t>光缆具有优良的机械性能和环境性能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4</w:t>
            </w:r>
          </w:p>
        </w:tc>
        <w:tc>
          <w:tcPr>
            <w:tcW w:w="78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cs="宋体"/>
                <w:sz w:val="22"/>
                <w:szCs w:val="22"/>
              </w:rPr>
            </w:pPr>
            <w:r>
              <w:rPr>
                <w:rFonts w:hint="eastAsia" w:ascii="宋体" w:hAnsi="宋体" w:cs="宋体"/>
                <w:sz w:val="22"/>
                <w:szCs w:val="22"/>
                <w:lang w:bidi="ar"/>
              </w:rPr>
              <w:t>光缆结构紧凑，钢带与松套管之间热熔胶粘为一体，确保光缆防潮、阻水效果，保证光缆敷设后，松套管无回缩，重量轻，敷设方便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cs="宋体"/>
                <w:sz w:val="22"/>
                <w:szCs w:val="22"/>
              </w:rPr>
            </w:pPr>
            <w:r>
              <w:rPr>
                <w:rFonts w:hint="eastAsia" w:ascii="宋体" w:hAnsi="宋体" w:cs="宋体"/>
                <w:sz w:val="22"/>
                <w:szCs w:val="22"/>
                <w:lang w:bidi="ar"/>
              </w:rPr>
              <w:t>5</w:t>
            </w:r>
          </w:p>
        </w:tc>
        <w:tc>
          <w:tcPr>
            <w:tcW w:w="78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cs="宋体"/>
                <w:sz w:val="22"/>
                <w:szCs w:val="22"/>
              </w:rPr>
            </w:pPr>
            <w:r>
              <w:rPr>
                <w:rFonts w:hint="eastAsia" w:ascii="宋体" w:hAnsi="宋体" w:cs="宋体"/>
                <w:sz w:val="22"/>
                <w:szCs w:val="22"/>
                <w:lang w:bidi="ar"/>
              </w:rPr>
              <w:t>光缆柔韧性和抗弯曲能力优良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22"/>
                <w:szCs w:val="22"/>
                <w:lang w:bidi="ar"/>
              </w:rPr>
            </w:pPr>
            <w:r>
              <w:rPr>
                <w:rFonts w:hint="eastAsia" w:ascii="宋体" w:hAnsi="宋体" w:cs="宋体"/>
                <w:b/>
                <w:sz w:val="22"/>
                <w:szCs w:val="22"/>
                <w:lang w:bidi="ar"/>
              </w:rPr>
              <w:t>6</w:t>
            </w:r>
          </w:p>
        </w:tc>
        <w:tc>
          <w:tcPr>
            <w:tcW w:w="78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sz w:val="22"/>
                <w:szCs w:val="22"/>
                <w:lang w:bidi="ar"/>
              </w:rPr>
            </w:pPr>
            <w:r>
              <w:rPr>
                <w:rFonts w:hint="eastAsia" w:ascii="宋体" w:hAnsi="宋体" w:cs="宋体"/>
                <w:b/>
                <w:sz w:val="22"/>
                <w:szCs w:val="22"/>
                <w:lang w:bidi="ar"/>
              </w:rPr>
              <w:t>上述要求适用于本项目内所有不同芯数的光缆</w:t>
            </w:r>
          </w:p>
        </w:tc>
      </w:tr>
    </w:tbl>
    <w:p>
      <w:pPr>
        <w:rPr>
          <w:rFonts w:hint="eastAsia"/>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sz w:val="22"/>
          <w:szCs w:val="22"/>
        </w:rPr>
      </w:pPr>
      <w:r>
        <w:rPr>
          <w:sz w:val="22"/>
          <w:szCs w:val="22"/>
        </w:rPr>
        <w:t>1.6.1</w:t>
      </w:r>
      <w:r>
        <w:rPr>
          <w:rFonts w:hint="eastAsia"/>
          <w:sz w:val="22"/>
          <w:szCs w:val="22"/>
        </w:rPr>
        <w:t>.18室外铠装电力电缆（</w:t>
      </w:r>
      <w:r>
        <w:rPr>
          <w:sz w:val="22"/>
          <w:szCs w:val="22"/>
        </w:rPr>
        <w:t>铜芯聚氯乙烯绝缘钢带铠装聚氯乙烯护套电力电缆</w:t>
      </w:r>
      <w:r>
        <w:rPr>
          <w:rFonts w:hint="eastAsia"/>
          <w:sz w:val="22"/>
          <w:szCs w:val="22"/>
        </w:rPr>
        <w:t>）</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sz w:val="22"/>
          <w:szCs w:val="22"/>
        </w:rPr>
      </w:pPr>
      <w:r>
        <w:rPr>
          <w:rFonts w:hint="eastAsia"/>
          <w:sz w:val="22"/>
          <w:szCs w:val="22"/>
        </w:rPr>
        <w:t>可接受的品牌为万马、远东、上上等同档次品牌。要求为国标产品。</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ascii="宋体" w:hAnsi="宋体"/>
          <w:bCs w:val="0"/>
          <w:color w:val="000000"/>
          <w:sz w:val="22"/>
          <w:szCs w:val="22"/>
        </w:rPr>
      </w:pPr>
      <w:r>
        <w:rPr>
          <w:sz w:val="22"/>
          <w:szCs w:val="22"/>
        </w:rPr>
        <w:t>1.6.1</w:t>
      </w:r>
      <w:r>
        <w:rPr>
          <w:rFonts w:hint="eastAsia"/>
          <w:sz w:val="22"/>
          <w:szCs w:val="22"/>
        </w:rPr>
        <w:t xml:space="preserve">.19 </w:t>
      </w:r>
      <w:r>
        <w:rPr>
          <w:rFonts w:hint="eastAsia" w:ascii="宋体" w:hAnsi="宋体"/>
          <w:bCs w:val="0"/>
          <w:color w:val="000000"/>
          <w:sz w:val="22"/>
          <w:szCs w:val="22"/>
        </w:rPr>
        <w:t>24口企业级接入层交换机</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rFonts w:hint="eastAsia" w:ascii="宋体" w:hAnsi="宋体"/>
          <w:bCs w:val="0"/>
          <w:color w:val="FF0000"/>
          <w:sz w:val="22"/>
          <w:szCs w:val="22"/>
        </w:rPr>
      </w:pPr>
      <w:r>
        <w:rPr>
          <w:rFonts w:hint="eastAsia" w:ascii="宋体" w:hAnsi="宋体"/>
          <w:bCs w:val="0"/>
          <w:color w:val="000000"/>
          <w:sz w:val="22"/>
          <w:szCs w:val="22"/>
        </w:rPr>
        <w:t>可接入当前安防网络网管系统；</w:t>
      </w:r>
      <w:r>
        <w:rPr>
          <w:rFonts w:ascii="宋体" w:hAnsi="宋体"/>
          <w:bCs w:val="0"/>
          <w:color w:val="000000"/>
          <w:sz w:val="22"/>
          <w:szCs w:val="22"/>
        </w:rPr>
        <w:t xml:space="preserve">  </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pPr>
      <w:r>
        <w:rPr>
          <w:rFonts w:hint="eastAsia" w:ascii="宋体" w:hAnsi="宋体"/>
          <w:bCs w:val="0"/>
          <w:sz w:val="22"/>
          <w:szCs w:val="22"/>
        </w:rPr>
        <w:t>可接受的标准化产品品牌为：</w:t>
      </w:r>
      <w:r>
        <w:rPr>
          <w:rFonts w:hint="eastAsia" w:ascii="Calibri" w:hAnsi="Calibri"/>
          <w:kern w:val="2"/>
          <w:sz w:val="22"/>
          <w:szCs w:val="22"/>
          <w:lang w:bidi="ar"/>
        </w:rPr>
        <w:t>华三、思科同等或以上档次品牌。</w:t>
      </w:r>
    </w:p>
    <w:tbl>
      <w:tblPr>
        <w:tblStyle w:val="57"/>
        <w:tblW w:w="87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252"/>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6" w:type="dxa"/>
            <w:noWrap w:val="0"/>
            <w:vAlign w:val="center"/>
          </w:tcPr>
          <w:p>
            <w:pPr>
              <w:jc w:val="center"/>
              <w:rPr>
                <w:rFonts w:ascii="宋体"/>
                <w:b/>
                <w:sz w:val="22"/>
              </w:rPr>
            </w:pPr>
            <w:r>
              <w:rPr>
                <w:rFonts w:hint="eastAsia" w:ascii="宋体" w:hAnsi="宋体"/>
                <w:b/>
                <w:sz w:val="22"/>
              </w:rPr>
              <w:t>序号</w:t>
            </w:r>
          </w:p>
        </w:tc>
        <w:tc>
          <w:tcPr>
            <w:tcW w:w="7812" w:type="dxa"/>
            <w:gridSpan w:val="2"/>
            <w:noWrap w:val="0"/>
            <w:vAlign w:val="center"/>
          </w:tcPr>
          <w:p>
            <w:pPr>
              <w:jc w:val="center"/>
              <w:rPr>
                <w:rFonts w:ascii="宋体"/>
                <w:b/>
                <w:sz w:val="22"/>
              </w:rPr>
            </w:pPr>
            <w:r>
              <w:rPr>
                <w:rFonts w:hint="eastAsia" w:ascii="宋体" w:hAnsi="宋体"/>
                <w:b/>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1</w:t>
            </w:r>
          </w:p>
        </w:tc>
        <w:tc>
          <w:tcPr>
            <w:tcW w:w="1252" w:type="dxa"/>
            <w:noWrap w:val="0"/>
            <w:vAlign w:val="center"/>
          </w:tcPr>
          <w:p>
            <w:pPr>
              <w:rPr>
                <w:rFonts w:ascii="宋体"/>
                <w:sz w:val="22"/>
              </w:rPr>
            </w:pPr>
            <w:r>
              <w:rPr>
                <w:rFonts w:hint="eastAsia" w:ascii="宋体" w:hAnsi="宋体"/>
                <w:sz w:val="22"/>
              </w:rPr>
              <w:t>端口参数</w:t>
            </w:r>
          </w:p>
        </w:tc>
        <w:tc>
          <w:tcPr>
            <w:tcW w:w="6560" w:type="dxa"/>
            <w:noWrap w:val="0"/>
            <w:vAlign w:val="center"/>
          </w:tcPr>
          <w:p>
            <w:pPr>
              <w:rPr>
                <w:rFonts w:ascii="宋体"/>
                <w:sz w:val="22"/>
              </w:rPr>
            </w:pPr>
            <w:r>
              <w:rPr>
                <w:rFonts w:hint="eastAsia" w:ascii="宋体" w:hAnsi="宋体"/>
                <w:bCs/>
                <w:sz w:val="22"/>
              </w:rPr>
              <w:t>≥</w:t>
            </w:r>
            <w:r>
              <w:rPr>
                <w:rFonts w:ascii="宋体" w:hAnsi="宋体"/>
                <w:sz w:val="22"/>
              </w:rPr>
              <w:t>2</w:t>
            </w:r>
            <w:r>
              <w:rPr>
                <w:rFonts w:ascii="宋体"/>
                <w:sz w:val="22"/>
              </w:rPr>
              <w:t>0</w:t>
            </w:r>
            <w:r>
              <w:rPr>
                <w:rFonts w:hint="eastAsia" w:ascii="宋体" w:hAnsi="宋体"/>
                <w:sz w:val="22"/>
              </w:rPr>
              <w:t>个</w:t>
            </w:r>
            <w:r>
              <w:rPr>
                <w:rFonts w:ascii="宋体" w:hAnsi="宋体"/>
                <w:sz w:val="22"/>
              </w:rPr>
              <w:t>10/100 Base-TX</w:t>
            </w:r>
            <w:r>
              <w:rPr>
                <w:rFonts w:hint="eastAsia" w:ascii="宋体" w:hAnsi="宋体"/>
                <w:sz w:val="22"/>
              </w:rPr>
              <w:t>以太网端口</w:t>
            </w:r>
            <w:r>
              <w:rPr>
                <w:rFonts w:hint="eastAsia" w:ascii="宋体" w:hAnsi="宋体"/>
                <w:bCs/>
                <w:sz w:val="22"/>
              </w:rPr>
              <w:t>≥</w:t>
            </w:r>
            <w:r>
              <w:rPr>
                <w:rFonts w:ascii="宋体" w:hAnsi="宋体"/>
                <w:sz w:val="22"/>
              </w:rPr>
              <w:t>4</w:t>
            </w:r>
            <w:r>
              <w:rPr>
                <w:rFonts w:hint="eastAsia" w:ascii="宋体" w:hAnsi="宋体"/>
                <w:sz w:val="22"/>
              </w:rPr>
              <w:t>个</w:t>
            </w:r>
            <w:r>
              <w:rPr>
                <w:rFonts w:ascii="宋体" w:hAnsi="宋体"/>
                <w:sz w:val="22"/>
              </w:rPr>
              <w:t>10/100/1000 Base-T</w:t>
            </w:r>
            <w:r>
              <w:rPr>
                <w:rFonts w:hint="eastAsia" w:ascii="宋体" w:hAnsi="宋体"/>
                <w:sz w:val="22"/>
              </w:rPr>
              <w:t>以太网端口</w:t>
            </w:r>
          </w:p>
          <w:p>
            <w:pPr>
              <w:rPr>
                <w:rFonts w:ascii="宋体"/>
                <w:sz w:val="22"/>
              </w:rPr>
            </w:pPr>
            <w:r>
              <w:rPr>
                <w:rFonts w:hint="eastAsia" w:ascii="宋体" w:hAnsi="宋体"/>
                <w:bCs/>
                <w:sz w:val="22"/>
              </w:rPr>
              <w:t>≥</w:t>
            </w:r>
            <w:r>
              <w:rPr>
                <w:rFonts w:ascii="宋体" w:hAnsi="宋体"/>
                <w:sz w:val="22"/>
              </w:rPr>
              <w:t>4</w:t>
            </w:r>
            <w:r>
              <w:rPr>
                <w:rFonts w:hint="eastAsia" w:ascii="宋体" w:hAnsi="宋体"/>
                <w:sz w:val="22"/>
              </w:rPr>
              <w:t>个</w:t>
            </w:r>
            <w:r>
              <w:rPr>
                <w:rFonts w:ascii="宋体" w:hAnsi="宋体"/>
                <w:sz w:val="22"/>
              </w:rPr>
              <w:t>100/1000 Base-X SFP</w:t>
            </w:r>
            <w:r>
              <w:rPr>
                <w:rFonts w:hint="eastAsia" w:ascii="宋体" w:hAnsi="宋体"/>
                <w:sz w:val="22"/>
              </w:rPr>
              <w:t>端口（含千兆光模块）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76" w:type="dxa"/>
            <w:noWrap w:val="0"/>
            <w:vAlign w:val="center"/>
          </w:tcPr>
          <w:p>
            <w:pPr>
              <w:jc w:val="center"/>
              <w:rPr>
                <w:rFonts w:ascii="宋体"/>
                <w:sz w:val="22"/>
              </w:rPr>
            </w:pPr>
            <w:r>
              <w:rPr>
                <w:rFonts w:ascii="宋体" w:hAnsi="宋体"/>
                <w:sz w:val="22"/>
              </w:rPr>
              <w:t>2</w:t>
            </w:r>
          </w:p>
        </w:tc>
        <w:tc>
          <w:tcPr>
            <w:tcW w:w="1252" w:type="dxa"/>
            <w:noWrap w:val="0"/>
            <w:vAlign w:val="center"/>
          </w:tcPr>
          <w:p>
            <w:pPr>
              <w:rPr>
                <w:rFonts w:ascii="宋体"/>
                <w:sz w:val="22"/>
              </w:rPr>
            </w:pPr>
            <w:r>
              <w:rPr>
                <w:rFonts w:hint="eastAsia" w:ascii="宋体" w:hAnsi="宋体"/>
                <w:sz w:val="22"/>
              </w:rPr>
              <w:t>控制端口</w:t>
            </w:r>
          </w:p>
        </w:tc>
        <w:tc>
          <w:tcPr>
            <w:tcW w:w="6560" w:type="dxa"/>
            <w:noWrap w:val="0"/>
            <w:vAlign w:val="center"/>
          </w:tcPr>
          <w:p>
            <w:pPr>
              <w:rPr>
                <w:rFonts w:ascii="宋体"/>
                <w:sz w:val="22"/>
              </w:rPr>
            </w:pPr>
            <w:r>
              <w:rPr>
                <w:rFonts w:ascii="宋体" w:hAnsi="宋体"/>
                <w:sz w:val="22"/>
              </w:rPr>
              <w:t>1</w:t>
            </w:r>
            <w:r>
              <w:rPr>
                <w:rFonts w:hint="eastAsia" w:ascii="宋体" w:hAnsi="宋体"/>
                <w:sz w:val="22"/>
              </w:rPr>
              <w:t>个</w:t>
            </w:r>
            <w:r>
              <w:rPr>
                <w:rFonts w:ascii="宋体" w:hAnsi="宋体"/>
                <w:sz w:val="22"/>
              </w:rPr>
              <w:t>Console</w:t>
            </w:r>
            <w:r>
              <w:rPr>
                <w:rFonts w:hint="eastAsia" w:ascii="宋体" w:hAnsi="宋体"/>
                <w:sz w:val="22"/>
              </w:rPr>
              <w:t>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3</w:t>
            </w:r>
          </w:p>
        </w:tc>
        <w:tc>
          <w:tcPr>
            <w:tcW w:w="1252" w:type="dxa"/>
            <w:noWrap w:val="0"/>
            <w:vAlign w:val="center"/>
          </w:tcPr>
          <w:p>
            <w:pPr>
              <w:rPr>
                <w:rFonts w:ascii="宋体"/>
                <w:sz w:val="22"/>
              </w:rPr>
            </w:pPr>
            <w:r>
              <w:rPr>
                <w:rFonts w:hint="eastAsia" w:ascii="宋体" w:hAnsi="宋体"/>
                <w:sz w:val="22"/>
              </w:rPr>
              <w:t>传输模式</w:t>
            </w:r>
          </w:p>
        </w:tc>
        <w:tc>
          <w:tcPr>
            <w:tcW w:w="6560" w:type="dxa"/>
            <w:noWrap w:val="0"/>
            <w:vAlign w:val="center"/>
          </w:tcPr>
          <w:p>
            <w:pPr>
              <w:rPr>
                <w:rFonts w:ascii="宋体"/>
                <w:sz w:val="22"/>
              </w:rPr>
            </w:pPr>
            <w:r>
              <w:rPr>
                <w:rFonts w:hint="eastAsia" w:ascii="宋体" w:hAnsi="宋体"/>
                <w:sz w:val="22"/>
              </w:rPr>
              <w:t>支持全双工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4</w:t>
            </w:r>
          </w:p>
        </w:tc>
        <w:tc>
          <w:tcPr>
            <w:tcW w:w="1252" w:type="dxa"/>
            <w:noWrap w:val="0"/>
            <w:vAlign w:val="center"/>
          </w:tcPr>
          <w:p>
            <w:pPr>
              <w:rPr>
                <w:rFonts w:ascii="宋体"/>
                <w:sz w:val="22"/>
              </w:rPr>
            </w:pPr>
            <w:r>
              <w:rPr>
                <w:rFonts w:hint="eastAsia" w:ascii="宋体" w:hAnsi="宋体"/>
                <w:sz w:val="22"/>
              </w:rPr>
              <w:t>传输速率</w:t>
            </w:r>
          </w:p>
        </w:tc>
        <w:tc>
          <w:tcPr>
            <w:tcW w:w="6560" w:type="dxa"/>
            <w:noWrap w:val="0"/>
            <w:vAlign w:val="center"/>
          </w:tcPr>
          <w:p>
            <w:pPr>
              <w:rPr>
                <w:rFonts w:ascii="宋体"/>
                <w:sz w:val="22"/>
              </w:rPr>
            </w:pPr>
            <w:r>
              <w:rPr>
                <w:rFonts w:ascii="宋体" w:hAnsi="宋体"/>
                <w:sz w:val="22"/>
              </w:rPr>
              <w:t>10/100/1000Mbps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5</w:t>
            </w:r>
          </w:p>
        </w:tc>
        <w:tc>
          <w:tcPr>
            <w:tcW w:w="1252" w:type="dxa"/>
            <w:noWrap w:val="0"/>
            <w:vAlign w:val="center"/>
          </w:tcPr>
          <w:p>
            <w:pPr>
              <w:rPr>
                <w:rFonts w:ascii="宋体"/>
                <w:sz w:val="22"/>
              </w:rPr>
            </w:pPr>
            <w:r>
              <w:rPr>
                <w:rFonts w:hint="eastAsia" w:ascii="宋体" w:hAnsi="宋体"/>
                <w:sz w:val="22"/>
              </w:rPr>
              <w:t>交换方式</w:t>
            </w:r>
          </w:p>
        </w:tc>
        <w:tc>
          <w:tcPr>
            <w:tcW w:w="6560" w:type="dxa"/>
            <w:noWrap w:val="0"/>
            <w:vAlign w:val="center"/>
          </w:tcPr>
          <w:p>
            <w:pPr>
              <w:rPr>
                <w:rFonts w:ascii="宋体"/>
                <w:sz w:val="22"/>
              </w:rPr>
            </w:pPr>
            <w:r>
              <w:rPr>
                <w:rFonts w:hint="eastAsia" w:ascii="宋体" w:hAnsi="宋体"/>
                <w:sz w:val="22"/>
              </w:rPr>
              <w:t>存储</w:t>
            </w:r>
            <w:r>
              <w:rPr>
                <w:rFonts w:ascii="宋体"/>
                <w:sz w:val="22"/>
              </w:rPr>
              <w:t>-</w:t>
            </w:r>
            <w:r>
              <w:rPr>
                <w:rFonts w:hint="eastAsia" w:ascii="宋体" w:hAnsi="宋体"/>
                <w:sz w:val="22"/>
              </w:rPr>
              <w:t>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6</w:t>
            </w:r>
          </w:p>
        </w:tc>
        <w:tc>
          <w:tcPr>
            <w:tcW w:w="1252" w:type="dxa"/>
            <w:noWrap w:val="0"/>
            <w:vAlign w:val="center"/>
          </w:tcPr>
          <w:p>
            <w:pPr>
              <w:rPr>
                <w:rFonts w:ascii="宋体"/>
                <w:sz w:val="22"/>
              </w:rPr>
            </w:pPr>
            <w:r>
              <w:rPr>
                <w:rFonts w:ascii="宋体" w:hAnsi="宋体"/>
                <w:sz w:val="22"/>
              </w:rPr>
              <w:t>MAC</w:t>
            </w:r>
            <w:r>
              <w:rPr>
                <w:rFonts w:hint="eastAsia" w:ascii="宋体" w:hAnsi="宋体"/>
                <w:sz w:val="22"/>
              </w:rPr>
              <w:t>地址表</w:t>
            </w:r>
          </w:p>
        </w:tc>
        <w:tc>
          <w:tcPr>
            <w:tcW w:w="6560" w:type="dxa"/>
            <w:noWrap w:val="0"/>
            <w:vAlign w:val="center"/>
          </w:tcPr>
          <w:p>
            <w:pPr>
              <w:rPr>
                <w:rFonts w:ascii="宋体"/>
                <w:sz w:val="22"/>
              </w:rPr>
            </w:pPr>
            <w:r>
              <w:rPr>
                <w:rFonts w:hint="eastAsia" w:ascii="宋体" w:hAnsi="宋体"/>
                <w:bCs/>
                <w:sz w:val="22"/>
              </w:rPr>
              <w:t>≥</w:t>
            </w:r>
            <w:r>
              <w:rPr>
                <w:rFonts w:ascii="宋体" w:hAnsi="宋体"/>
                <w:sz w:val="22"/>
              </w:rPr>
              <w:t>8K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7</w:t>
            </w:r>
          </w:p>
        </w:tc>
        <w:tc>
          <w:tcPr>
            <w:tcW w:w="1252" w:type="dxa"/>
            <w:noWrap w:val="0"/>
            <w:vAlign w:val="center"/>
          </w:tcPr>
          <w:p>
            <w:pPr>
              <w:rPr>
                <w:rFonts w:ascii="宋体"/>
                <w:sz w:val="22"/>
              </w:rPr>
            </w:pPr>
            <w:r>
              <w:rPr>
                <w:rFonts w:ascii="宋体" w:hAnsi="宋体"/>
                <w:sz w:val="22"/>
              </w:rPr>
              <w:t>VLAN</w:t>
            </w:r>
          </w:p>
        </w:tc>
        <w:tc>
          <w:tcPr>
            <w:tcW w:w="6560" w:type="dxa"/>
            <w:noWrap w:val="0"/>
            <w:vAlign w:val="center"/>
          </w:tcPr>
          <w:p>
            <w:pPr>
              <w:rPr>
                <w:rFonts w:ascii="宋体"/>
                <w:sz w:val="22"/>
              </w:rPr>
            </w:pPr>
            <w:r>
              <w:rPr>
                <w:rFonts w:hint="eastAsia" w:ascii="宋体" w:hAnsi="宋体"/>
                <w:sz w:val="22"/>
              </w:rPr>
              <w:t>支持基于端口的</w:t>
            </w:r>
            <w:r>
              <w:rPr>
                <w:rFonts w:ascii="宋体" w:hAnsi="宋体"/>
                <w:sz w:val="22"/>
              </w:rPr>
              <w:t>VLAN</w:t>
            </w:r>
            <w:r>
              <w:rPr>
                <w:rFonts w:hint="eastAsia" w:ascii="宋体" w:hAnsi="宋体"/>
                <w:sz w:val="22"/>
              </w:rPr>
              <w:t>（</w:t>
            </w:r>
            <w:r>
              <w:rPr>
                <w:rFonts w:ascii="宋体" w:hAnsi="宋体"/>
                <w:sz w:val="22"/>
              </w:rPr>
              <w:t>4K</w:t>
            </w:r>
            <w:r>
              <w:rPr>
                <w:rFonts w:hint="eastAsia" w:ascii="宋体" w:hAnsi="宋体"/>
                <w:sz w:val="22"/>
              </w:rPr>
              <w:t>个）</w:t>
            </w:r>
          </w:p>
          <w:p>
            <w:pPr>
              <w:rPr>
                <w:rFonts w:ascii="宋体"/>
                <w:sz w:val="22"/>
              </w:rPr>
            </w:pPr>
            <w:r>
              <w:rPr>
                <w:rFonts w:hint="eastAsia" w:ascii="宋体" w:hAnsi="宋体"/>
                <w:sz w:val="22"/>
              </w:rPr>
              <w:t>支持基于协议的</w:t>
            </w:r>
            <w:r>
              <w:rPr>
                <w:rFonts w:ascii="宋体" w:hAnsi="宋体"/>
                <w:sz w:val="22"/>
              </w:rPr>
              <w:t>VLAN</w:t>
            </w:r>
          </w:p>
          <w:p>
            <w:pPr>
              <w:rPr>
                <w:rFonts w:ascii="宋体"/>
                <w:sz w:val="22"/>
              </w:rPr>
            </w:pPr>
            <w:r>
              <w:rPr>
                <w:rFonts w:hint="eastAsia" w:ascii="宋体" w:hAnsi="宋体"/>
                <w:sz w:val="22"/>
              </w:rPr>
              <w:t>支持</w:t>
            </w:r>
            <w:r>
              <w:rPr>
                <w:rFonts w:ascii="宋体" w:hAnsi="宋体"/>
                <w:sz w:val="22"/>
              </w:rPr>
              <w:t>Voice VLAN</w:t>
            </w:r>
          </w:p>
          <w:p>
            <w:pPr>
              <w:rPr>
                <w:rFonts w:ascii="宋体"/>
                <w:sz w:val="22"/>
              </w:rPr>
            </w:pPr>
            <w:r>
              <w:rPr>
                <w:rFonts w:hint="eastAsia" w:ascii="宋体" w:hAnsi="宋体"/>
                <w:sz w:val="22"/>
              </w:rPr>
              <w:t>支持</w:t>
            </w:r>
            <w:r>
              <w:rPr>
                <w:rFonts w:ascii="宋体" w:hAnsi="宋体"/>
                <w:sz w:val="22"/>
              </w:rPr>
              <w:t>GVRP</w:t>
            </w:r>
          </w:p>
          <w:p>
            <w:pPr>
              <w:rPr>
                <w:rFonts w:ascii="宋体"/>
                <w:sz w:val="22"/>
              </w:rPr>
            </w:pPr>
            <w:r>
              <w:rPr>
                <w:rFonts w:hint="eastAsia" w:ascii="宋体" w:hAnsi="宋体"/>
                <w:sz w:val="22"/>
              </w:rPr>
              <w:t>支持</w:t>
            </w:r>
            <w:r>
              <w:rPr>
                <w:rFonts w:ascii="宋体" w:hAnsi="宋体"/>
                <w:sz w:val="22"/>
              </w:rPr>
              <w:t>VLAN VPN</w:t>
            </w:r>
            <w:r>
              <w:rPr>
                <w:rFonts w:hint="eastAsia" w:ascii="宋体" w:hAnsi="宋体"/>
                <w:sz w:val="22"/>
              </w:rPr>
              <w:t>（</w:t>
            </w:r>
            <w:r>
              <w:rPr>
                <w:rFonts w:ascii="宋体" w:hAnsi="宋体"/>
                <w:sz w:val="22"/>
              </w:rPr>
              <w:t>QinQ</w:t>
            </w:r>
            <w:r>
              <w:rPr>
                <w:rFonts w:hint="eastAsia" w:ascii="宋体" w:hAnsi="宋体"/>
                <w:sz w:val="22"/>
              </w:rPr>
              <w:t>），灵活</w:t>
            </w:r>
            <w:r>
              <w:rPr>
                <w:rFonts w:ascii="宋体" w:hAnsi="宋体"/>
                <w:sz w:val="22"/>
              </w:rPr>
              <w:t>QinQ</w:t>
            </w:r>
          </w:p>
          <w:p>
            <w:pPr>
              <w:rPr>
                <w:rFonts w:ascii="宋体"/>
                <w:sz w:val="22"/>
              </w:rPr>
            </w:pPr>
            <w:r>
              <w:rPr>
                <w:rFonts w:hint="eastAsia" w:ascii="宋体" w:hAnsi="宋体"/>
                <w:sz w:val="22"/>
              </w:rPr>
              <w:t>支持基于端口和全局的</w:t>
            </w:r>
            <w:r>
              <w:rPr>
                <w:rFonts w:ascii="宋体" w:hAnsi="宋体"/>
                <w:sz w:val="22"/>
              </w:rPr>
              <w:t>VLAN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2" w:hRule="atLeast"/>
        </w:trPr>
        <w:tc>
          <w:tcPr>
            <w:tcW w:w="976" w:type="dxa"/>
            <w:noWrap w:val="0"/>
            <w:vAlign w:val="center"/>
          </w:tcPr>
          <w:p>
            <w:pPr>
              <w:jc w:val="center"/>
              <w:rPr>
                <w:rFonts w:ascii="宋体"/>
                <w:sz w:val="22"/>
              </w:rPr>
            </w:pPr>
            <w:r>
              <w:rPr>
                <w:rFonts w:ascii="宋体" w:hAnsi="宋体"/>
                <w:sz w:val="22"/>
              </w:rPr>
              <w:t>8</w:t>
            </w:r>
          </w:p>
        </w:tc>
        <w:tc>
          <w:tcPr>
            <w:tcW w:w="1252" w:type="dxa"/>
            <w:noWrap w:val="0"/>
            <w:vAlign w:val="center"/>
          </w:tcPr>
          <w:p>
            <w:pPr>
              <w:rPr>
                <w:rFonts w:ascii="宋体"/>
                <w:sz w:val="22"/>
              </w:rPr>
            </w:pPr>
            <w:r>
              <w:rPr>
                <w:rFonts w:ascii="宋体" w:hAnsi="宋体"/>
                <w:sz w:val="22"/>
              </w:rPr>
              <w:t>QOS</w:t>
            </w:r>
          </w:p>
        </w:tc>
        <w:tc>
          <w:tcPr>
            <w:tcW w:w="6560" w:type="dxa"/>
            <w:noWrap w:val="0"/>
            <w:vAlign w:val="center"/>
          </w:tcPr>
          <w:p>
            <w:pPr>
              <w:rPr>
                <w:rFonts w:ascii="宋体"/>
                <w:sz w:val="22"/>
              </w:rPr>
            </w:pPr>
            <w:r>
              <w:rPr>
                <w:rFonts w:hint="eastAsia" w:ascii="宋体" w:hAnsi="宋体"/>
                <w:sz w:val="22"/>
              </w:rPr>
              <w:t>每个端口支持</w:t>
            </w:r>
            <w:r>
              <w:rPr>
                <w:rFonts w:ascii="宋体" w:hAnsi="宋体"/>
                <w:sz w:val="22"/>
              </w:rPr>
              <w:t>4</w:t>
            </w:r>
            <w:r>
              <w:rPr>
                <w:rFonts w:hint="eastAsia" w:ascii="宋体" w:hAnsi="宋体"/>
                <w:sz w:val="22"/>
              </w:rPr>
              <w:t>个输出队列</w:t>
            </w:r>
          </w:p>
          <w:p>
            <w:pPr>
              <w:rPr>
                <w:rFonts w:ascii="宋体"/>
                <w:sz w:val="22"/>
              </w:rPr>
            </w:pPr>
            <w:r>
              <w:rPr>
                <w:rFonts w:hint="eastAsia" w:ascii="宋体" w:hAnsi="宋体"/>
                <w:sz w:val="22"/>
              </w:rPr>
              <w:t>支持</w:t>
            </w:r>
            <w:r>
              <w:rPr>
                <w:rFonts w:ascii="宋体" w:hAnsi="宋体"/>
                <w:sz w:val="22"/>
              </w:rPr>
              <w:t>802.1p/DSCP</w:t>
            </w:r>
            <w:r>
              <w:rPr>
                <w:rFonts w:hint="eastAsia" w:ascii="宋体" w:hAnsi="宋体"/>
                <w:sz w:val="22"/>
              </w:rPr>
              <w:t>优先级</w:t>
            </w:r>
          </w:p>
          <w:p>
            <w:pPr>
              <w:rPr>
                <w:rFonts w:ascii="宋体"/>
                <w:sz w:val="22"/>
              </w:rPr>
            </w:pPr>
            <w:r>
              <w:rPr>
                <w:rFonts w:hint="eastAsia" w:ascii="宋体" w:hAnsi="宋体"/>
                <w:sz w:val="22"/>
              </w:rPr>
              <w:t>支持端口队列调度（</w:t>
            </w:r>
            <w:r>
              <w:rPr>
                <w:rFonts w:ascii="宋体" w:hAnsi="宋体"/>
                <w:sz w:val="22"/>
              </w:rPr>
              <w:t>SP</w:t>
            </w:r>
            <w:r>
              <w:rPr>
                <w:rFonts w:hint="eastAsia" w:ascii="宋体" w:hAnsi="宋体"/>
                <w:sz w:val="22"/>
              </w:rPr>
              <w:t>、</w:t>
            </w:r>
            <w:r>
              <w:rPr>
                <w:rFonts w:ascii="宋体" w:hAnsi="宋体"/>
                <w:sz w:val="22"/>
              </w:rPr>
              <w:t>WRR</w:t>
            </w:r>
            <w:r>
              <w:rPr>
                <w:rFonts w:hint="eastAsia" w:ascii="宋体" w:hAnsi="宋体"/>
                <w:sz w:val="22"/>
              </w:rPr>
              <w:t>、</w:t>
            </w:r>
            <w:r>
              <w:rPr>
                <w:rFonts w:ascii="宋体" w:hAnsi="宋体"/>
                <w:sz w:val="22"/>
              </w:rPr>
              <w:t>SP+WRR</w:t>
            </w:r>
            <w:r>
              <w:rPr>
                <w:rFonts w:hint="eastAsia" w:ascii="宋体" w:hAnsi="宋体"/>
                <w:sz w:val="22"/>
              </w:rPr>
              <w:t>）</w:t>
            </w:r>
          </w:p>
          <w:p>
            <w:pPr>
              <w:rPr>
                <w:rFonts w:ascii="宋体"/>
                <w:sz w:val="22"/>
              </w:rPr>
            </w:pPr>
            <w:r>
              <w:rPr>
                <w:rFonts w:hint="eastAsia" w:ascii="宋体" w:hAnsi="宋体"/>
                <w:sz w:val="22"/>
              </w:rPr>
              <w:t>支持基于流的包过滤</w:t>
            </w:r>
          </w:p>
          <w:p>
            <w:pPr>
              <w:rPr>
                <w:rFonts w:ascii="宋体"/>
                <w:sz w:val="22"/>
              </w:rPr>
            </w:pPr>
            <w:r>
              <w:rPr>
                <w:rFonts w:hint="eastAsia" w:ascii="宋体" w:hAnsi="宋体"/>
                <w:sz w:val="22"/>
              </w:rPr>
              <w:t>支持基于流的流量统计</w:t>
            </w:r>
          </w:p>
          <w:p>
            <w:pPr>
              <w:rPr>
                <w:rFonts w:ascii="宋体"/>
                <w:sz w:val="22"/>
              </w:rPr>
            </w:pPr>
            <w:r>
              <w:rPr>
                <w:rFonts w:hint="eastAsia" w:ascii="宋体" w:hAnsi="宋体"/>
                <w:sz w:val="22"/>
              </w:rPr>
              <w:t>支持基于流的重定向</w:t>
            </w:r>
          </w:p>
          <w:p>
            <w:pPr>
              <w:rPr>
                <w:rFonts w:ascii="宋体"/>
                <w:sz w:val="22"/>
              </w:rPr>
            </w:pPr>
            <w:r>
              <w:rPr>
                <w:rFonts w:hint="eastAsia" w:ascii="宋体" w:hAnsi="宋体"/>
                <w:sz w:val="22"/>
              </w:rPr>
              <w:t>支持基于流的优先级标记</w:t>
            </w:r>
          </w:p>
          <w:p>
            <w:pPr>
              <w:rPr>
                <w:rFonts w:ascii="宋体"/>
                <w:sz w:val="22"/>
              </w:rPr>
            </w:pPr>
            <w:r>
              <w:rPr>
                <w:rFonts w:hint="eastAsia" w:ascii="宋体" w:hAnsi="宋体"/>
                <w:sz w:val="22"/>
              </w:rPr>
              <w:t>支持基于流的限速</w:t>
            </w:r>
          </w:p>
          <w:p>
            <w:pPr>
              <w:rPr>
                <w:rFonts w:ascii="宋体"/>
                <w:sz w:val="22"/>
              </w:rPr>
            </w:pPr>
            <w:r>
              <w:rPr>
                <w:rFonts w:hint="eastAsia" w:ascii="宋体" w:hAnsi="宋体"/>
                <w:sz w:val="22"/>
              </w:rPr>
              <w:t>支持流量整形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76" w:type="dxa"/>
            <w:noWrap w:val="0"/>
            <w:vAlign w:val="center"/>
          </w:tcPr>
          <w:p>
            <w:pPr>
              <w:jc w:val="center"/>
              <w:rPr>
                <w:rFonts w:ascii="宋体"/>
                <w:sz w:val="22"/>
              </w:rPr>
            </w:pPr>
            <w:r>
              <w:rPr>
                <w:rFonts w:ascii="宋体" w:hAnsi="宋体"/>
                <w:sz w:val="22"/>
              </w:rPr>
              <w:t>9</w:t>
            </w:r>
          </w:p>
        </w:tc>
        <w:tc>
          <w:tcPr>
            <w:tcW w:w="1252" w:type="dxa"/>
            <w:noWrap w:val="0"/>
            <w:vAlign w:val="center"/>
          </w:tcPr>
          <w:p>
            <w:pPr>
              <w:rPr>
                <w:rFonts w:ascii="宋体"/>
                <w:sz w:val="22"/>
              </w:rPr>
            </w:pPr>
            <w:r>
              <w:rPr>
                <w:rFonts w:hint="eastAsia" w:ascii="宋体" w:hAnsi="宋体"/>
                <w:sz w:val="22"/>
              </w:rPr>
              <w:t>安全管理</w:t>
            </w:r>
          </w:p>
        </w:tc>
        <w:tc>
          <w:tcPr>
            <w:tcW w:w="6560" w:type="dxa"/>
            <w:noWrap w:val="0"/>
            <w:vAlign w:val="center"/>
          </w:tcPr>
          <w:p>
            <w:pPr>
              <w:rPr>
                <w:rFonts w:ascii="宋体"/>
                <w:sz w:val="22"/>
              </w:rPr>
            </w:pPr>
            <w:r>
              <w:rPr>
                <w:rFonts w:hint="eastAsia" w:ascii="宋体" w:hAnsi="宋体"/>
                <w:sz w:val="22"/>
              </w:rPr>
              <w:t>用户分级管理和口令保护</w:t>
            </w:r>
          </w:p>
          <w:p>
            <w:pPr>
              <w:rPr>
                <w:rFonts w:ascii="宋体"/>
                <w:sz w:val="22"/>
              </w:rPr>
            </w:pPr>
            <w:r>
              <w:rPr>
                <w:rFonts w:hint="eastAsia" w:ascii="宋体" w:hAnsi="宋体"/>
                <w:sz w:val="22"/>
              </w:rPr>
              <w:t>支持</w:t>
            </w:r>
            <w:r>
              <w:rPr>
                <w:rFonts w:ascii="宋体" w:hAnsi="宋体"/>
                <w:sz w:val="22"/>
              </w:rPr>
              <w:t>Guest VLAN</w:t>
            </w:r>
          </w:p>
          <w:p>
            <w:pPr>
              <w:rPr>
                <w:rFonts w:ascii="宋体"/>
                <w:sz w:val="22"/>
              </w:rPr>
            </w:pPr>
            <w:r>
              <w:rPr>
                <w:rFonts w:hint="eastAsia" w:ascii="宋体" w:hAnsi="宋体"/>
                <w:sz w:val="22"/>
              </w:rPr>
              <w:t>支持</w:t>
            </w:r>
            <w:r>
              <w:rPr>
                <w:rFonts w:ascii="宋体" w:hAnsi="宋体"/>
                <w:sz w:val="22"/>
              </w:rPr>
              <w:t>IEEE 802.1X</w:t>
            </w:r>
            <w:r>
              <w:rPr>
                <w:rFonts w:hint="eastAsia" w:ascii="宋体" w:hAnsi="宋体"/>
                <w:sz w:val="22"/>
              </w:rPr>
              <w:t>认证</w:t>
            </w:r>
            <w:r>
              <w:rPr>
                <w:rFonts w:ascii="宋体" w:hAnsi="宋体"/>
                <w:sz w:val="22"/>
              </w:rPr>
              <w:t>/</w:t>
            </w:r>
            <w:r>
              <w:rPr>
                <w:rFonts w:hint="eastAsia" w:ascii="宋体" w:hAnsi="宋体"/>
                <w:sz w:val="22"/>
              </w:rPr>
              <w:t>集中</w:t>
            </w:r>
            <w:r>
              <w:rPr>
                <w:rFonts w:ascii="宋体" w:hAnsi="宋体"/>
                <w:sz w:val="22"/>
              </w:rPr>
              <w:t>MAC</w:t>
            </w:r>
            <w:r>
              <w:rPr>
                <w:rFonts w:hint="eastAsia" w:ascii="宋体" w:hAnsi="宋体"/>
                <w:sz w:val="22"/>
              </w:rPr>
              <w:t>地址认证</w:t>
            </w:r>
          </w:p>
          <w:p>
            <w:pPr>
              <w:rPr>
                <w:rFonts w:ascii="宋体"/>
                <w:sz w:val="22"/>
              </w:rPr>
            </w:pPr>
            <w:r>
              <w:rPr>
                <w:rFonts w:hint="eastAsia" w:ascii="宋体" w:hAnsi="宋体"/>
                <w:sz w:val="22"/>
              </w:rPr>
              <w:t>支持</w:t>
            </w:r>
            <w:r>
              <w:rPr>
                <w:rFonts w:ascii="宋体" w:hAnsi="宋体"/>
                <w:sz w:val="22"/>
              </w:rPr>
              <w:t>AAA&amp;RADIUS&amp;HWTACACS</w:t>
            </w:r>
            <w:r>
              <w:rPr>
                <w:rFonts w:hint="eastAsia" w:ascii="宋体" w:hAnsi="宋体"/>
                <w:sz w:val="22"/>
              </w:rPr>
              <w:t>认证</w:t>
            </w:r>
          </w:p>
          <w:p>
            <w:pPr>
              <w:rPr>
                <w:rFonts w:ascii="宋体"/>
                <w:sz w:val="22"/>
              </w:rPr>
            </w:pPr>
            <w:r>
              <w:rPr>
                <w:rFonts w:hint="eastAsia" w:ascii="宋体" w:hAnsi="宋体"/>
                <w:sz w:val="22"/>
              </w:rPr>
              <w:t>支持</w:t>
            </w:r>
            <w:r>
              <w:rPr>
                <w:rFonts w:ascii="宋体" w:hAnsi="宋体"/>
                <w:sz w:val="22"/>
              </w:rPr>
              <w:t>MAC</w:t>
            </w:r>
            <w:r>
              <w:rPr>
                <w:rFonts w:hint="eastAsia" w:ascii="宋体" w:hAnsi="宋体"/>
                <w:sz w:val="22"/>
              </w:rPr>
              <w:t>地址学习数目限制</w:t>
            </w:r>
          </w:p>
          <w:p>
            <w:pPr>
              <w:rPr>
                <w:rFonts w:ascii="宋体"/>
                <w:sz w:val="22"/>
              </w:rPr>
            </w:pPr>
            <w:r>
              <w:rPr>
                <w:rFonts w:hint="eastAsia" w:ascii="宋体" w:hAnsi="宋体"/>
                <w:sz w:val="22"/>
              </w:rPr>
              <w:t>支持</w:t>
            </w:r>
            <w:r>
              <w:rPr>
                <w:rFonts w:ascii="宋体" w:hAnsi="宋体"/>
                <w:sz w:val="22"/>
              </w:rPr>
              <w:t>MAC</w:t>
            </w:r>
            <w:r>
              <w:rPr>
                <w:rFonts w:hint="eastAsia" w:ascii="宋体" w:hAnsi="宋体"/>
                <w:sz w:val="22"/>
              </w:rPr>
              <w:t>地址黑洞</w:t>
            </w:r>
          </w:p>
          <w:p>
            <w:pPr>
              <w:rPr>
                <w:rFonts w:ascii="宋体"/>
                <w:sz w:val="22"/>
              </w:rPr>
            </w:pPr>
            <w:r>
              <w:rPr>
                <w:rFonts w:hint="eastAsia" w:ascii="宋体" w:hAnsi="宋体"/>
                <w:sz w:val="22"/>
              </w:rPr>
              <w:t>支持</w:t>
            </w:r>
            <w:r>
              <w:rPr>
                <w:rFonts w:ascii="宋体" w:hAnsi="宋体"/>
                <w:sz w:val="22"/>
              </w:rPr>
              <w:t>SSH 2.0</w:t>
            </w:r>
          </w:p>
          <w:p>
            <w:pPr>
              <w:rPr>
                <w:rFonts w:ascii="宋体"/>
                <w:sz w:val="22"/>
              </w:rPr>
            </w:pPr>
            <w:r>
              <w:rPr>
                <w:rFonts w:hint="eastAsia" w:ascii="宋体" w:hAnsi="宋体"/>
                <w:sz w:val="22"/>
              </w:rPr>
              <w:t>支持</w:t>
            </w:r>
            <w:r>
              <w:rPr>
                <w:rFonts w:ascii="宋体" w:hAnsi="宋体"/>
                <w:sz w:val="22"/>
              </w:rPr>
              <w:t>IP</w:t>
            </w:r>
            <w:r>
              <w:rPr>
                <w:rFonts w:hint="eastAsia" w:ascii="宋体" w:hAnsi="宋体"/>
                <w:sz w:val="22"/>
              </w:rPr>
              <w:t>源地址保护</w:t>
            </w:r>
          </w:p>
          <w:p>
            <w:pPr>
              <w:rPr>
                <w:rFonts w:ascii="宋体"/>
                <w:sz w:val="22"/>
              </w:rPr>
            </w:pPr>
            <w:r>
              <w:rPr>
                <w:rFonts w:hint="eastAsia" w:ascii="宋体" w:hAnsi="宋体"/>
                <w:sz w:val="22"/>
              </w:rPr>
              <w:t>支持</w:t>
            </w:r>
            <w:r>
              <w:rPr>
                <w:rFonts w:ascii="宋体" w:hAnsi="宋体"/>
                <w:sz w:val="22"/>
              </w:rPr>
              <w:t>ARP</w:t>
            </w:r>
            <w:r>
              <w:rPr>
                <w:rFonts w:hint="eastAsia" w:ascii="宋体" w:hAnsi="宋体"/>
                <w:sz w:val="22"/>
              </w:rPr>
              <w:t>入侵检测功能</w:t>
            </w:r>
          </w:p>
          <w:p>
            <w:pPr>
              <w:rPr>
                <w:rFonts w:ascii="宋体"/>
                <w:sz w:val="22"/>
              </w:rPr>
            </w:pPr>
            <w:r>
              <w:rPr>
                <w:rFonts w:hint="eastAsia" w:ascii="宋体" w:hAnsi="宋体"/>
                <w:sz w:val="22"/>
              </w:rPr>
              <w:t>支持</w:t>
            </w:r>
            <w:r>
              <w:rPr>
                <w:rFonts w:ascii="宋体" w:hAnsi="宋体"/>
                <w:sz w:val="22"/>
              </w:rPr>
              <w:t>ARP</w:t>
            </w:r>
            <w:r>
              <w:rPr>
                <w:rFonts w:hint="eastAsia" w:ascii="宋体" w:hAnsi="宋体"/>
                <w:sz w:val="22"/>
              </w:rPr>
              <w:t>报文限速功能</w:t>
            </w:r>
          </w:p>
          <w:p>
            <w:pPr>
              <w:rPr>
                <w:rFonts w:ascii="宋体"/>
                <w:sz w:val="22"/>
              </w:rPr>
            </w:pPr>
            <w:r>
              <w:rPr>
                <w:rFonts w:hint="eastAsia" w:ascii="宋体" w:hAnsi="宋体"/>
                <w:sz w:val="22"/>
              </w:rPr>
              <w:t>支持端口隔离</w:t>
            </w:r>
          </w:p>
          <w:p>
            <w:pPr>
              <w:rPr>
                <w:rFonts w:ascii="宋体"/>
                <w:sz w:val="22"/>
              </w:rPr>
            </w:pPr>
            <w:r>
              <w:rPr>
                <w:rFonts w:hint="eastAsia" w:ascii="宋体" w:hAnsi="宋体"/>
                <w:sz w:val="22"/>
              </w:rPr>
              <w:t>支持</w:t>
            </w:r>
            <w:r>
              <w:rPr>
                <w:rFonts w:ascii="宋体" w:hAnsi="宋体"/>
                <w:sz w:val="22"/>
              </w:rPr>
              <w:t>IP</w:t>
            </w:r>
            <w:r>
              <w:rPr>
                <w:rFonts w:hint="eastAsia" w:ascii="宋体" w:hAnsi="宋体"/>
                <w:sz w:val="22"/>
              </w:rPr>
              <w:t>＋端口的绑定</w:t>
            </w:r>
          </w:p>
          <w:p>
            <w:pPr>
              <w:rPr>
                <w:rFonts w:ascii="宋体"/>
                <w:sz w:val="22"/>
              </w:rPr>
            </w:pPr>
            <w:r>
              <w:rPr>
                <w:rFonts w:hint="eastAsia" w:ascii="宋体" w:hAnsi="宋体"/>
                <w:sz w:val="22"/>
              </w:rPr>
              <w:t>支持</w:t>
            </w:r>
            <w:r>
              <w:rPr>
                <w:rFonts w:ascii="宋体" w:hAnsi="宋体"/>
                <w:sz w:val="22"/>
              </w:rPr>
              <w:t>IP+MAC</w:t>
            </w:r>
            <w:r>
              <w:rPr>
                <w:rFonts w:hint="eastAsia" w:ascii="宋体" w:hAnsi="宋体"/>
                <w:sz w:val="22"/>
              </w:rPr>
              <w:t>的绑定</w:t>
            </w:r>
          </w:p>
          <w:p>
            <w:pPr>
              <w:rPr>
                <w:rFonts w:ascii="宋体"/>
                <w:sz w:val="22"/>
              </w:rPr>
            </w:pPr>
            <w:r>
              <w:rPr>
                <w:rFonts w:hint="eastAsia" w:ascii="宋体" w:hAnsi="宋体"/>
                <w:sz w:val="22"/>
              </w:rPr>
              <w:t>支持端口＋</w:t>
            </w:r>
            <w:r>
              <w:rPr>
                <w:rFonts w:ascii="宋体" w:hAnsi="宋体"/>
                <w:sz w:val="22"/>
              </w:rPr>
              <w:t>MAC</w:t>
            </w:r>
            <w:r>
              <w:rPr>
                <w:rFonts w:hint="eastAsia" w:ascii="宋体" w:hAnsi="宋体"/>
                <w:sz w:val="22"/>
              </w:rPr>
              <w:t>的绑定</w:t>
            </w:r>
          </w:p>
          <w:p>
            <w:pPr>
              <w:rPr>
                <w:rFonts w:ascii="宋体"/>
                <w:sz w:val="22"/>
              </w:rPr>
            </w:pPr>
            <w:r>
              <w:rPr>
                <w:rFonts w:hint="eastAsia" w:ascii="宋体" w:hAnsi="宋体"/>
                <w:sz w:val="22"/>
              </w:rPr>
              <w:t>支持</w:t>
            </w:r>
            <w:r>
              <w:rPr>
                <w:rFonts w:ascii="宋体" w:hAnsi="宋体"/>
                <w:sz w:val="22"/>
              </w:rPr>
              <w:t>IP+MAC+</w:t>
            </w:r>
            <w:r>
              <w:rPr>
                <w:rFonts w:hint="eastAsia" w:ascii="宋体" w:hAnsi="宋体"/>
                <w:sz w:val="22"/>
              </w:rPr>
              <w:t>端口的绑定</w:t>
            </w:r>
          </w:p>
        </w:tc>
      </w:tr>
      <w:bookmarkEnd w:id="268"/>
      <w:bookmarkEnd w:id="269"/>
      <w:bookmarkEnd w:id="270"/>
      <w:bookmarkEnd w:id="271"/>
      <w:bookmarkEnd w:id="272"/>
      <w:bookmarkEnd w:id="273"/>
      <w:bookmarkEnd w:id="274"/>
      <w:bookmarkEnd w:id="275"/>
      <w:bookmarkEnd w:id="276"/>
      <w:bookmarkEnd w:id="277"/>
      <w:bookmarkEnd w:id="278"/>
      <w:bookmarkEnd w:id="279"/>
    </w:tbl>
    <w:p>
      <w:pPr>
        <w:pStyle w:val="5"/>
        <w:keepNext w:val="0"/>
        <w:keepLines w:val="0"/>
        <w:tabs>
          <w:tab w:val="left" w:pos="900"/>
          <w:tab w:val="left" w:pos="1584"/>
        </w:tabs>
        <w:snapToGrid w:val="0"/>
        <w:spacing w:before="0" w:after="0" w:line="360" w:lineRule="auto"/>
        <w:ind w:right="2" w:rightChars="1"/>
        <w:rPr>
          <w:rFonts w:ascii="Times New Roman" w:hAnsi="Times New Roman" w:eastAsia="宋体"/>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sz w:val="22"/>
          <w:szCs w:val="22"/>
        </w:rPr>
      </w:pPr>
      <w:r>
        <w:rPr>
          <w:sz w:val="22"/>
          <w:szCs w:val="22"/>
        </w:rPr>
        <w:t>1.6.1.</w:t>
      </w:r>
      <w:r>
        <w:rPr>
          <w:rFonts w:hint="eastAsia"/>
          <w:sz w:val="22"/>
          <w:szCs w:val="22"/>
        </w:rPr>
        <w:t>20 安防控制箱、配电箱</w:t>
      </w:r>
    </w:p>
    <w:tbl>
      <w:tblPr>
        <w:tblStyle w:val="57"/>
        <w:tblW w:w="8805"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noWrap w:val="0"/>
            <w:vAlign w:val="center"/>
          </w:tcPr>
          <w:p>
            <w:pPr>
              <w:jc w:val="center"/>
              <w:rPr>
                <w:rFonts w:ascii="宋体" w:hAnsi="宋体" w:cs="黑体"/>
                <w:b/>
                <w:color w:val="000000"/>
                <w:sz w:val="22"/>
              </w:rPr>
            </w:pPr>
            <w:r>
              <w:rPr>
                <w:rFonts w:hint="eastAsia" w:ascii="宋体" w:hAnsi="宋体" w:cs="黑体"/>
                <w:b/>
                <w:color w:val="000000"/>
                <w:sz w:val="22"/>
              </w:rPr>
              <w:t>序号</w:t>
            </w:r>
          </w:p>
        </w:tc>
        <w:tc>
          <w:tcPr>
            <w:tcW w:w="7811" w:type="dxa"/>
            <w:noWrap w:val="0"/>
            <w:vAlign w:val="center"/>
          </w:tcPr>
          <w:p>
            <w:pPr>
              <w:jc w:val="center"/>
              <w:rPr>
                <w:rFonts w:ascii="宋体" w:hAnsi="宋体" w:cs="黑体"/>
                <w:b/>
                <w:color w:val="000000"/>
                <w:sz w:val="22"/>
              </w:rPr>
            </w:pPr>
            <w:r>
              <w:rPr>
                <w:rFonts w:hint="eastAsia" w:ascii="宋体" w:hAnsi="宋体" w:cs="黑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1</w:t>
            </w:r>
          </w:p>
        </w:tc>
        <w:tc>
          <w:tcPr>
            <w:tcW w:w="7811" w:type="dxa"/>
            <w:noWrap w:val="0"/>
            <w:vAlign w:val="center"/>
          </w:tcPr>
          <w:p>
            <w:pPr>
              <w:pStyle w:val="73"/>
              <w:widowControl/>
              <w:adjustRightInd w:val="0"/>
              <w:spacing w:line="360" w:lineRule="auto"/>
              <w:ind w:firstLine="0" w:firstLineChars="0"/>
              <w:jc w:val="left"/>
              <w:textAlignment w:val="baseline"/>
              <w:rPr>
                <w:rFonts w:ascii="宋体" w:hAnsi="宋体"/>
                <w:color w:val="000000"/>
                <w:sz w:val="22"/>
              </w:rPr>
            </w:pPr>
            <w:r>
              <w:rPr>
                <w:rFonts w:hint="eastAsia" w:ascii="宋体" w:cs="宋体"/>
                <w:szCs w:val="21"/>
              </w:rPr>
              <w:t>室外控制箱是用于为围界各前端设备提供信号接入、转换并发送至安防网络汇聚点的设备，同时也能为围界各前端设备供电。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2</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室外控制箱具备全天候防雨雪能力，有散热装置。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3</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需在控制箱内集成的设备应优先选用工业级设备，并优先考虑具有标准</w:t>
            </w:r>
            <w:r>
              <w:rPr>
                <w:rFonts w:ascii="宋体" w:cs="宋体"/>
                <w:szCs w:val="21"/>
              </w:rPr>
              <w:t xml:space="preserve">DIN </w:t>
            </w:r>
            <w:r>
              <w:rPr>
                <w:rFonts w:hint="eastAsia" w:ascii="宋体" w:cs="宋体"/>
                <w:szCs w:val="21"/>
              </w:rPr>
              <w:t>导轨安装的型号。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4</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箱体：双层不锈钢，不锈钢板厚度≥1</w:t>
            </w:r>
            <w:r>
              <w:rPr>
                <w:rFonts w:ascii="宋体" w:cs="宋体"/>
                <w:szCs w:val="21"/>
              </w:rPr>
              <w:t>.0mm</w:t>
            </w:r>
            <w:r>
              <w:rPr>
                <w:rFonts w:hint="eastAsia" w:ascii="宋体" w:cs="宋体"/>
                <w:szCs w:val="21"/>
              </w:rPr>
              <w:t>，要求为亚光涂层，能够防腐蚀、防盐雾水侵蚀、防阳晒辐射等。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5</w:t>
            </w:r>
          </w:p>
        </w:tc>
        <w:tc>
          <w:tcPr>
            <w:tcW w:w="7811" w:type="dxa"/>
            <w:noWrap w:val="0"/>
            <w:vAlign w:val="center"/>
          </w:tcPr>
          <w:p>
            <w:pPr>
              <w:pStyle w:val="73"/>
              <w:widowControl/>
              <w:adjustRightInd w:val="0"/>
              <w:spacing w:line="360" w:lineRule="auto"/>
              <w:ind w:firstLine="0" w:firstLineChars="0"/>
              <w:jc w:val="left"/>
              <w:textAlignment w:val="baseline"/>
              <w:rPr>
                <w:rFonts w:ascii="宋体" w:cs="宋体"/>
                <w:szCs w:val="21"/>
              </w:rPr>
            </w:pPr>
            <w:r>
              <w:rPr>
                <w:rFonts w:hint="eastAsia" w:ascii="宋体" w:cs="宋体"/>
                <w:szCs w:val="21"/>
              </w:rPr>
              <w:t>控制箱尺寸：宽≥600</w:t>
            </w:r>
            <w:r>
              <w:rPr>
                <w:rFonts w:ascii="宋体" w:cs="宋体"/>
                <w:szCs w:val="21"/>
              </w:rPr>
              <w:t>mm</w:t>
            </w:r>
            <w:r>
              <w:rPr>
                <w:rFonts w:hint="eastAsia" w:ascii="宋体" w:cs="宋体"/>
                <w:szCs w:val="21"/>
              </w:rPr>
              <w:t>，高≥1200</w:t>
            </w:r>
            <w:r>
              <w:rPr>
                <w:rFonts w:ascii="宋体" w:cs="宋体"/>
                <w:szCs w:val="21"/>
              </w:rPr>
              <w:t>mm</w:t>
            </w:r>
            <w:r>
              <w:rPr>
                <w:rFonts w:hint="eastAsia" w:ascii="宋体" w:cs="宋体"/>
                <w:szCs w:val="21"/>
              </w:rPr>
              <w:t>，深≥400</w:t>
            </w:r>
            <w:r>
              <w:rPr>
                <w:rFonts w:ascii="宋体" w:cs="宋体"/>
                <w:szCs w:val="21"/>
              </w:rPr>
              <w:t>mm</w:t>
            </w:r>
            <w:r>
              <w:rPr>
                <w:rFonts w:hint="eastAsia" w:ascii="宋体" w:cs="宋体"/>
                <w:szCs w:val="21"/>
              </w:rPr>
              <w:t>（以能够容纳未来编解码器或者交换机、光纤尾熔接盒、光端机、报警信号防区控制器、照明灯驱动装置、广播驱动装置、电源漏电保护开关、电源避雷器、室外用电源继电器、电源插座及其他所需的器材设备并为上述设备的线缆布放预留空间为准），具有良好的散热通风效果。</w:t>
            </w:r>
          </w:p>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配电箱尺寸：宽≥600</w:t>
            </w:r>
            <w:r>
              <w:rPr>
                <w:rFonts w:ascii="宋体" w:cs="宋体"/>
                <w:szCs w:val="21"/>
              </w:rPr>
              <w:t>mm</w:t>
            </w:r>
            <w:r>
              <w:rPr>
                <w:rFonts w:hint="eastAsia" w:ascii="宋体" w:cs="宋体"/>
                <w:szCs w:val="21"/>
              </w:rPr>
              <w:t>，高≥600</w:t>
            </w:r>
            <w:r>
              <w:rPr>
                <w:rFonts w:ascii="宋体" w:cs="宋体"/>
                <w:szCs w:val="21"/>
              </w:rPr>
              <w:t>mm</w:t>
            </w:r>
            <w:r>
              <w:rPr>
                <w:rFonts w:hint="eastAsia" w:ascii="宋体" w:cs="宋体"/>
                <w:szCs w:val="21"/>
              </w:rPr>
              <w:t>，深≥400</w:t>
            </w:r>
            <w:r>
              <w:rPr>
                <w:rFonts w:ascii="宋体" w:cs="宋体"/>
                <w:szCs w:val="21"/>
              </w:rPr>
              <w:t>mm</w:t>
            </w:r>
            <w:r>
              <w:rPr>
                <w:rFonts w:hint="eastAsia" w:ascii="宋体" w:cs="宋体"/>
                <w:szCs w:val="21"/>
              </w:rPr>
              <w:t>（以能容纳所需安装的设备为准）具有良好的散热通风效果。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6</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eastAsia="等线"/>
                <w:color w:val="000000"/>
                <w:sz w:val="22"/>
                <w:szCs w:val="22"/>
              </w:rPr>
            </w:pPr>
            <w:r>
              <w:rPr>
                <w:rFonts w:hint="eastAsia" w:ascii="宋体" w:cs="宋体"/>
                <w:szCs w:val="21"/>
              </w:rPr>
              <w:t>门：</w:t>
            </w:r>
            <w:r>
              <w:rPr>
                <w:rFonts w:hint="eastAsia" w:ascii="宋体" w:cs="宋体"/>
                <w:szCs w:val="21"/>
              </w:rPr>
              <w:tab/>
            </w:r>
            <w:r>
              <w:rPr>
                <w:rFonts w:hint="eastAsia" w:ascii="宋体" w:cs="宋体"/>
                <w:szCs w:val="21"/>
              </w:rPr>
              <w:t>≥1</w:t>
            </w:r>
            <w:r>
              <w:rPr>
                <w:rFonts w:ascii="宋体" w:cs="宋体"/>
                <w:szCs w:val="21"/>
              </w:rPr>
              <w:t>.0mm</w:t>
            </w:r>
            <w:r>
              <w:rPr>
                <w:rFonts w:hint="eastAsia" w:ascii="宋体" w:cs="宋体"/>
                <w:szCs w:val="21"/>
              </w:rPr>
              <w:t>厚的不锈钢板，粉末涂层与箱体相同，可打开角度≥130</w:t>
            </w:r>
            <w:r>
              <w:rPr>
                <w:rFonts w:asci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hint="eastAsia" w:ascii="宋体" w:hAnsi="宋体" w:cs="黑体"/>
                <w:color w:val="000000"/>
                <w:sz w:val="22"/>
              </w:rPr>
            </w:pPr>
            <w:r>
              <w:rPr>
                <w:rFonts w:hint="eastAsia" w:ascii="宋体" w:hAnsi="宋体" w:cs="黑体"/>
                <w:color w:val="000000"/>
                <w:sz w:val="22"/>
              </w:rPr>
              <w:t>7</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防雨顶盖：</w:t>
            </w:r>
            <w:r>
              <w:rPr>
                <w:rFonts w:hint="eastAsia" w:ascii="宋体" w:cs="宋体"/>
                <w:szCs w:val="21"/>
              </w:rPr>
              <w:tab/>
            </w:r>
            <w:r>
              <w:rPr>
                <w:rFonts w:hint="eastAsia" w:ascii="宋体" w:cs="宋体"/>
                <w:szCs w:val="21"/>
              </w:rPr>
              <w:t>≥</w:t>
            </w:r>
            <w:r>
              <w:rPr>
                <w:rFonts w:ascii="宋体" w:cs="宋体"/>
                <w:szCs w:val="21"/>
              </w:rPr>
              <w:t>1.5mm</w:t>
            </w:r>
            <w:r>
              <w:rPr>
                <w:rFonts w:hint="eastAsia" w:ascii="宋体" w:cs="宋体"/>
                <w:szCs w:val="21"/>
              </w:rPr>
              <w:t>铝锌板，亚光涂层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hint="eastAsia" w:ascii="宋体" w:hAnsi="宋体" w:cs="黑体"/>
                <w:color w:val="000000"/>
                <w:sz w:val="22"/>
              </w:rPr>
            </w:pPr>
            <w:r>
              <w:rPr>
                <w:rFonts w:hint="eastAsia" w:ascii="宋体" w:hAnsi="宋体" w:cs="黑体"/>
                <w:color w:val="000000"/>
                <w:sz w:val="22"/>
              </w:rPr>
              <w:t>8</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内装配板/架：≥2</w:t>
            </w:r>
            <w:r>
              <w:rPr>
                <w:rFonts w:ascii="宋体" w:cs="宋体"/>
                <w:szCs w:val="21"/>
              </w:rPr>
              <w:t>.0mm</w:t>
            </w:r>
            <w:r>
              <w:rPr>
                <w:rFonts w:hint="eastAsia" w:ascii="宋体" w:cs="宋体"/>
                <w:szCs w:val="21"/>
              </w:rPr>
              <w:t>镀锌钢板成形，不喷涂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hint="eastAsia" w:ascii="宋体" w:hAnsi="宋体" w:cs="黑体"/>
                <w:color w:val="000000"/>
                <w:sz w:val="22"/>
              </w:rPr>
            </w:pPr>
            <w:r>
              <w:rPr>
                <w:rFonts w:hint="eastAsia" w:ascii="宋体" w:hAnsi="宋体" w:cs="黑体"/>
                <w:color w:val="000000"/>
                <w:sz w:val="22"/>
              </w:rPr>
              <w:t>9</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防护要求：符合IEC5</w:t>
            </w:r>
            <w:r>
              <w:rPr>
                <w:rFonts w:ascii="宋体" w:cs="宋体"/>
                <w:szCs w:val="21"/>
              </w:rPr>
              <w:t>29</w:t>
            </w:r>
            <w:r>
              <w:rPr>
                <w:rFonts w:hint="eastAsia" w:ascii="宋体" w:cs="宋体"/>
                <w:szCs w:val="21"/>
              </w:rPr>
              <w:t>标准</w:t>
            </w:r>
            <w:r>
              <w:rPr>
                <w:rFonts w:ascii="宋体" w:cs="宋体"/>
                <w:szCs w:val="21"/>
              </w:rPr>
              <w:t>IP</w:t>
            </w:r>
            <w:r>
              <w:rPr>
                <w:rFonts w:hint="eastAsia" w:ascii="宋体" w:cs="宋体"/>
                <w:szCs w:val="21"/>
              </w:rPr>
              <w:t>6</w:t>
            </w:r>
            <w:r>
              <w:rPr>
                <w:rFonts w:asci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ascii="宋体" w:hAnsi="宋体" w:cs="黑体"/>
                <w:color w:val="000000"/>
                <w:sz w:val="22"/>
              </w:rPr>
            </w:pPr>
            <w:r>
              <w:rPr>
                <w:rFonts w:hint="eastAsia" w:ascii="宋体" w:hAnsi="宋体" w:cs="黑体"/>
                <w:color w:val="000000"/>
                <w:sz w:val="22"/>
              </w:rPr>
              <w:t>10</w:t>
            </w:r>
          </w:p>
        </w:tc>
        <w:tc>
          <w:tcPr>
            <w:tcW w:w="7811" w:type="dxa"/>
            <w:noWrap w:val="0"/>
            <w:vAlign w:val="center"/>
          </w:tcPr>
          <w:p>
            <w:pPr>
              <w:pStyle w:val="73"/>
              <w:widowControl/>
              <w:adjustRightInd w:val="0"/>
              <w:spacing w:line="360" w:lineRule="auto"/>
              <w:ind w:firstLine="0" w:firstLineChars="0"/>
              <w:jc w:val="left"/>
              <w:textAlignment w:val="baseline"/>
              <w:rPr>
                <w:rFonts w:hint="eastAsia" w:ascii="宋体" w:hAnsi="宋体"/>
                <w:color w:val="000000"/>
                <w:sz w:val="22"/>
                <w:szCs w:val="22"/>
              </w:rPr>
            </w:pPr>
            <w:r>
              <w:rPr>
                <w:rFonts w:hint="eastAsia" w:ascii="宋体" w:cs="宋体"/>
                <w:szCs w:val="21"/>
              </w:rPr>
              <w:t>防雷要求：供电部分配备单相电源防避雷器，终端配备电源、信号、视频进行有效的雷电保护的浪涌保护器，在雷雨季节防止雷电对设备损坏。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ascii="宋体" w:hAnsi="宋体" w:cs="黑体"/>
                <w:color w:val="000000"/>
                <w:sz w:val="22"/>
              </w:rPr>
            </w:pPr>
            <w:r>
              <w:rPr>
                <w:rFonts w:hint="eastAsia" w:ascii="宋体" w:hAnsi="宋体" w:cs="黑体"/>
                <w:color w:val="000000"/>
                <w:sz w:val="22"/>
              </w:rPr>
              <w:t>11</w:t>
            </w:r>
          </w:p>
        </w:tc>
        <w:tc>
          <w:tcPr>
            <w:tcW w:w="7811" w:type="dxa"/>
            <w:noWrap w:val="0"/>
            <w:vAlign w:val="center"/>
          </w:tcPr>
          <w:p>
            <w:pPr>
              <w:pStyle w:val="95"/>
              <w:widowControl/>
              <w:adjustRightInd w:val="0"/>
              <w:spacing w:line="360" w:lineRule="auto"/>
              <w:ind w:firstLine="0" w:firstLineChars="0"/>
              <w:jc w:val="center"/>
              <w:textAlignment w:val="baseline"/>
              <w:rPr>
                <w:rFonts w:hint="eastAsia" w:ascii="宋体" w:hAnsi="宋体"/>
                <w:color w:val="000000"/>
                <w:sz w:val="22"/>
                <w:szCs w:val="22"/>
              </w:rPr>
            </w:pPr>
            <w:r>
              <w:rPr>
                <w:rFonts w:hint="eastAsia" w:ascii="宋体" w:hAnsi="等线" w:cs="宋体"/>
                <w:sz w:val="24"/>
              </w:rPr>
              <w:t>具有良好地线接线端子，接地小于4欧姆。可拆卸的设备安装板，线缆固定架，进线/出线口和通风口。</w:t>
            </w:r>
          </w:p>
        </w:tc>
      </w:tr>
    </w:tbl>
    <w:p/>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rFonts w:hint="eastAsia"/>
          <w:sz w:val="22"/>
          <w:szCs w:val="22"/>
        </w:rPr>
      </w:pPr>
      <w:r>
        <w:rPr>
          <w:sz w:val="22"/>
          <w:szCs w:val="22"/>
        </w:rPr>
        <w:t>1.6.1.</w:t>
      </w:r>
      <w:r>
        <w:rPr>
          <w:rFonts w:hint="eastAsia"/>
          <w:sz w:val="22"/>
          <w:szCs w:val="22"/>
        </w:rPr>
        <w:t>21 抱杆箱</w:t>
      </w:r>
    </w:p>
    <w:tbl>
      <w:tblPr>
        <w:tblStyle w:val="57"/>
        <w:tblW w:w="8805"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260"/>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4" w:type="dxa"/>
            <w:noWrap w:val="0"/>
            <w:vAlign w:val="center"/>
          </w:tcPr>
          <w:p>
            <w:pPr>
              <w:jc w:val="center"/>
              <w:rPr>
                <w:rFonts w:ascii="宋体" w:hAnsi="宋体" w:cs="黑体"/>
                <w:b/>
                <w:color w:val="000000"/>
                <w:sz w:val="22"/>
              </w:rPr>
            </w:pPr>
            <w:r>
              <w:rPr>
                <w:rFonts w:hint="eastAsia" w:ascii="宋体" w:hAnsi="宋体" w:cs="黑体"/>
                <w:b/>
                <w:color w:val="000000"/>
                <w:sz w:val="22"/>
              </w:rPr>
              <w:t>序号</w:t>
            </w:r>
          </w:p>
        </w:tc>
        <w:tc>
          <w:tcPr>
            <w:tcW w:w="7811" w:type="dxa"/>
            <w:gridSpan w:val="2"/>
            <w:noWrap w:val="0"/>
            <w:vAlign w:val="center"/>
          </w:tcPr>
          <w:p>
            <w:pPr>
              <w:jc w:val="center"/>
              <w:rPr>
                <w:rFonts w:ascii="宋体" w:hAnsi="宋体" w:cs="黑体"/>
                <w:b/>
                <w:color w:val="000000"/>
                <w:sz w:val="22"/>
              </w:rPr>
            </w:pPr>
            <w:r>
              <w:rPr>
                <w:rFonts w:hint="eastAsia" w:ascii="宋体" w:hAnsi="宋体" w:cs="黑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1</w:t>
            </w:r>
          </w:p>
        </w:tc>
        <w:tc>
          <w:tcPr>
            <w:tcW w:w="1260" w:type="dxa"/>
            <w:noWrap w:val="0"/>
            <w:vAlign w:val="center"/>
          </w:tcPr>
          <w:p>
            <w:pPr>
              <w:pStyle w:val="95"/>
              <w:widowControl/>
              <w:adjustRightInd w:val="0"/>
              <w:spacing w:line="360" w:lineRule="auto"/>
              <w:ind w:firstLine="0" w:firstLineChars="0"/>
              <w:jc w:val="center"/>
              <w:textAlignment w:val="baseline"/>
              <w:rPr>
                <w:rFonts w:ascii="宋体" w:hAnsi="宋体"/>
                <w:color w:val="000000"/>
                <w:sz w:val="22"/>
              </w:rPr>
            </w:pPr>
            <w:r>
              <w:rPr>
                <w:rFonts w:hint="eastAsia" w:ascii="宋体" w:hAnsi="宋体"/>
                <w:color w:val="000000"/>
                <w:sz w:val="22"/>
                <w:szCs w:val="22"/>
              </w:rPr>
              <w:t>材质</w:t>
            </w:r>
          </w:p>
        </w:tc>
        <w:tc>
          <w:tcPr>
            <w:tcW w:w="6551" w:type="dxa"/>
            <w:noWrap w:val="0"/>
            <w:vAlign w:val="center"/>
          </w:tcPr>
          <w:p>
            <w:pPr>
              <w:pStyle w:val="95"/>
              <w:widowControl/>
              <w:adjustRightInd w:val="0"/>
              <w:spacing w:line="360" w:lineRule="auto"/>
              <w:ind w:firstLine="0" w:firstLineChars="0"/>
              <w:textAlignment w:val="baseline"/>
              <w:rPr>
                <w:rFonts w:ascii="宋体" w:hAnsi="宋体"/>
                <w:color w:val="000000"/>
                <w:sz w:val="22"/>
              </w:rPr>
            </w:pPr>
            <w:r>
              <w:rPr>
                <w:rFonts w:hint="eastAsia" w:ascii="宋体" w:hAnsi="宋体"/>
                <w:color w:val="000000"/>
                <w:sz w:val="22"/>
                <w:szCs w:val="22"/>
              </w:rPr>
              <w:t>双层不锈钢，不锈钢板厚度≥</w:t>
            </w:r>
            <w:r>
              <w:rPr>
                <w:rFonts w:ascii="宋体" w:hAnsi="宋体"/>
                <w:color w:val="000000"/>
                <w:sz w:val="22"/>
                <w:szCs w:val="22"/>
              </w:rPr>
              <w:t>1.0mm</w:t>
            </w:r>
            <w:r>
              <w:rPr>
                <w:rFonts w:hint="eastAsia" w:ascii="宋体" w:hAnsi="宋体"/>
                <w:color w:val="000000"/>
                <w:sz w:val="22"/>
                <w:szCs w:val="22"/>
              </w:rPr>
              <w:t>，要求为亚光涂层，能够防腐蚀、防盐雾水侵蚀、防阳晒辐射等。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2</w:t>
            </w:r>
          </w:p>
        </w:tc>
        <w:tc>
          <w:tcPr>
            <w:tcW w:w="1260" w:type="dxa"/>
            <w:noWrap w:val="0"/>
            <w:vAlign w:val="center"/>
          </w:tcPr>
          <w:p>
            <w:pPr>
              <w:pStyle w:val="95"/>
              <w:widowControl/>
              <w:adjustRightInd w:val="0"/>
              <w:spacing w:line="360" w:lineRule="auto"/>
              <w:ind w:firstLine="0" w:firstLineChars="0"/>
              <w:jc w:val="center"/>
              <w:textAlignment w:val="baseline"/>
              <w:rPr>
                <w:rFonts w:ascii="宋体" w:hAnsi="宋体"/>
                <w:color w:val="000000"/>
                <w:sz w:val="22"/>
              </w:rPr>
            </w:pPr>
            <w:r>
              <w:rPr>
                <w:rFonts w:hint="eastAsia" w:ascii="宋体" w:hAnsi="宋体"/>
                <w:color w:val="000000"/>
                <w:sz w:val="22"/>
                <w:szCs w:val="22"/>
              </w:rPr>
              <w:t>尺寸</w:t>
            </w:r>
          </w:p>
        </w:tc>
        <w:tc>
          <w:tcPr>
            <w:tcW w:w="6551" w:type="dxa"/>
            <w:noWrap w:val="0"/>
            <w:vAlign w:val="center"/>
          </w:tcPr>
          <w:p>
            <w:pPr>
              <w:pStyle w:val="95"/>
              <w:widowControl/>
              <w:adjustRightInd w:val="0"/>
              <w:spacing w:line="360" w:lineRule="auto"/>
              <w:ind w:firstLine="0" w:firstLineChars="0"/>
              <w:textAlignment w:val="baseline"/>
              <w:rPr>
                <w:rFonts w:ascii="宋体" w:hAnsi="宋体"/>
                <w:color w:val="000000"/>
                <w:sz w:val="22"/>
              </w:rPr>
            </w:pPr>
            <w:r>
              <w:rPr>
                <w:rFonts w:hint="eastAsia" w:ascii="宋体" w:hAnsi="宋体"/>
                <w:color w:val="000000"/>
                <w:sz w:val="22"/>
                <w:szCs w:val="22"/>
              </w:rPr>
              <w:t>宽≥</w:t>
            </w:r>
            <w:r>
              <w:rPr>
                <w:rFonts w:ascii="宋体" w:hAnsi="宋体"/>
                <w:color w:val="000000"/>
                <w:sz w:val="22"/>
                <w:szCs w:val="22"/>
              </w:rPr>
              <w:t>300mm</w:t>
            </w:r>
            <w:r>
              <w:rPr>
                <w:rFonts w:hint="eastAsia" w:ascii="宋体" w:hAnsi="宋体"/>
                <w:color w:val="000000"/>
                <w:sz w:val="22"/>
                <w:szCs w:val="22"/>
              </w:rPr>
              <w:t>，高≥</w:t>
            </w:r>
            <w:r>
              <w:rPr>
                <w:rFonts w:ascii="宋体" w:hAnsi="宋体"/>
                <w:color w:val="000000"/>
                <w:sz w:val="22"/>
                <w:szCs w:val="22"/>
              </w:rPr>
              <w:t>400mm</w:t>
            </w:r>
            <w:r>
              <w:rPr>
                <w:rFonts w:hint="eastAsia" w:ascii="宋体" w:hAnsi="宋体"/>
                <w:color w:val="000000"/>
                <w:sz w:val="22"/>
                <w:szCs w:val="22"/>
              </w:rPr>
              <w:t>，深≥</w:t>
            </w:r>
            <w:r>
              <w:rPr>
                <w:rFonts w:ascii="宋体" w:hAnsi="宋体"/>
                <w:color w:val="000000"/>
                <w:sz w:val="22"/>
                <w:szCs w:val="22"/>
              </w:rPr>
              <w:t>200mm</w:t>
            </w:r>
            <w:r>
              <w:rPr>
                <w:rFonts w:hint="eastAsia" w:ascii="宋体" w:hAnsi="宋体"/>
                <w:color w:val="000000"/>
                <w:sz w:val="22"/>
                <w:szCs w:val="22"/>
              </w:rPr>
              <w:t>（以能够容纳光收发器、光纤尾纤盒、电源漏电保护开关、避雷器、开关电源、电源插座及其他所需的器材设备并为上述设备的线缆布放预留空间为准），具有良好的散热通风效果。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3</w:t>
            </w:r>
          </w:p>
        </w:tc>
        <w:tc>
          <w:tcPr>
            <w:tcW w:w="1260" w:type="dxa"/>
            <w:noWrap w:val="0"/>
            <w:vAlign w:val="center"/>
          </w:tcPr>
          <w:p>
            <w:pPr>
              <w:pStyle w:val="95"/>
              <w:widowControl/>
              <w:adjustRightInd w:val="0"/>
              <w:spacing w:line="360" w:lineRule="auto"/>
              <w:ind w:firstLine="0" w:firstLineChars="0"/>
              <w:jc w:val="center"/>
              <w:textAlignment w:val="baseline"/>
              <w:rPr>
                <w:rFonts w:ascii="宋体" w:hAnsi="宋体"/>
                <w:color w:val="000000"/>
                <w:sz w:val="22"/>
              </w:rPr>
            </w:pPr>
            <w:r>
              <w:rPr>
                <w:rFonts w:hint="eastAsia" w:ascii="宋体" w:hAnsi="宋体"/>
                <w:color w:val="000000"/>
                <w:sz w:val="22"/>
                <w:szCs w:val="22"/>
              </w:rPr>
              <w:t>防护能力</w:t>
            </w:r>
          </w:p>
        </w:tc>
        <w:tc>
          <w:tcPr>
            <w:tcW w:w="6551" w:type="dxa"/>
            <w:noWrap w:val="0"/>
            <w:vAlign w:val="center"/>
          </w:tcPr>
          <w:p>
            <w:pPr>
              <w:pStyle w:val="95"/>
              <w:widowControl/>
              <w:adjustRightInd w:val="0"/>
              <w:spacing w:line="360" w:lineRule="auto"/>
              <w:ind w:firstLine="0" w:firstLineChars="0"/>
              <w:textAlignment w:val="baseline"/>
              <w:rPr>
                <w:rFonts w:ascii="宋体" w:hAnsi="宋体"/>
                <w:color w:val="000000"/>
                <w:sz w:val="22"/>
              </w:rPr>
            </w:pPr>
            <w:r>
              <w:rPr>
                <w:rFonts w:hint="eastAsia" w:ascii="宋体" w:hAnsi="宋体"/>
                <w:color w:val="000000"/>
                <w:sz w:val="22"/>
                <w:szCs w:val="22"/>
              </w:rPr>
              <w:t>室外控制箱具备全天候防雨雪能力，有散热装置。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4</w:t>
            </w:r>
          </w:p>
        </w:tc>
        <w:tc>
          <w:tcPr>
            <w:tcW w:w="1260" w:type="dxa"/>
            <w:noWrap w:val="0"/>
            <w:vAlign w:val="center"/>
          </w:tcPr>
          <w:p>
            <w:pPr>
              <w:pStyle w:val="95"/>
              <w:widowControl/>
              <w:adjustRightInd w:val="0"/>
              <w:spacing w:line="360" w:lineRule="auto"/>
              <w:ind w:firstLine="0" w:firstLineChars="0"/>
              <w:jc w:val="center"/>
              <w:textAlignment w:val="baseline"/>
              <w:rPr>
                <w:rFonts w:ascii="宋体" w:hAnsi="宋体"/>
                <w:color w:val="000000"/>
                <w:sz w:val="22"/>
              </w:rPr>
            </w:pPr>
            <w:r>
              <w:rPr>
                <w:rFonts w:hint="eastAsia" w:ascii="宋体" w:hAnsi="宋体"/>
                <w:color w:val="000000"/>
                <w:sz w:val="22"/>
                <w:szCs w:val="22"/>
              </w:rPr>
              <w:t>防护要求</w:t>
            </w:r>
          </w:p>
        </w:tc>
        <w:tc>
          <w:tcPr>
            <w:tcW w:w="6551" w:type="dxa"/>
            <w:noWrap w:val="0"/>
            <w:vAlign w:val="center"/>
          </w:tcPr>
          <w:p>
            <w:pPr>
              <w:pStyle w:val="95"/>
              <w:widowControl/>
              <w:adjustRightInd w:val="0"/>
              <w:spacing w:line="360" w:lineRule="auto"/>
              <w:ind w:firstLine="0" w:firstLineChars="0"/>
              <w:textAlignment w:val="baseline"/>
              <w:rPr>
                <w:rFonts w:ascii="宋体" w:hAnsi="宋体"/>
                <w:color w:val="000000"/>
                <w:sz w:val="22"/>
              </w:rPr>
            </w:pPr>
            <w:r>
              <w:rPr>
                <w:rFonts w:hint="eastAsia" w:ascii="宋体" w:hAnsi="宋体"/>
                <w:color w:val="000000"/>
                <w:sz w:val="22"/>
                <w:szCs w:val="22"/>
              </w:rPr>
              <w:t>符合</w:t>
            </w:r>
            <w:r>
              <w:rPr>
                <w:rFonts w:ascii="宋体" w:hAnsi="宋体"/>
                <w:color w:val="000000"/>
                <w:sz w:val="22"/>
                <w:szCs w:val="22"/>
              </w:rPr>
              <w:t>IEC529</w:t>
            </w:r>
            <w:r>
              <w:rPr>
                <w:rFonts w:hint="eastAsia" w:ascii="宋体" w:hAnsi="宋体"/>
                <w:color w:val="000000"/>
                <w:sz w:val="22"/>
                <w:szCs w:val="22"/>
              </w:rPr>
              <w:t>标准</w:t>
            </w:r>
            <w:r>
              <w:rPr>
                <w:rFonts w:ascii="宋体" w:hAnsi="宋体"/>
                <w:color w:val="000000"/>
                <w:sz w:val="22"/>
                <w:szCs w:val="22"/>
              </w:rPr>
              <w:t>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5</w:t>
            </w:r>
          </w:p>
        </w:tc>
        <w:tc>
          <w:tcPr>
            <w:tcW w:w="1260" w:type="dxa"/>
            <w:noWrap w:val="0"/>
            <w:vAlign w:val="center"/>
          </w:tcPr>
          <w:p>
            <w:pPr>
              <w:jc w:val="center"/>
              <w:rPr>
                <w:rFonts w:ascii="宋体" w:hAnsi="宋体"/>
                <w:color w:val="000000"/>
                <w:sz w:val="22"/>
              </w:rPr>
            </w:pPr>
            <w:r>
              <w:rPr>
                <w:rFonts w:hint="eastAsia" w:ascii="宋体" w:hAnsi="宋体"/>
                <w:color w:val="000000"/>
                <w:sz w:val="22"/>
              </w:rPr>
              <w:t>防雷要求</w:t>
            </w:r>
          </w:p>
        </w:tc>
        <w:tc>
          <w:tcPr>
            <w:tcW w:w="6551" w:type="dxa"/>
            <w:noWrap w:val="0"/>
            <w:vAlign w:val="center"/>
          </w:tcPr>
          <w:p>
            <w:pPr>
              <w:pStyle w:val="95"/>
              <w:widowControl/>
              <w:adjustRightInd w:val="0"/>
              <w:spacing w:line="360" w:lineRule="auto"/>
              <w:ind w:firstLine="0" w:firstLineChars="0"/>
              <w:textAlignment w:val="baseline"/>
              <w:rPr>
                <w:rFonts w:ascii="宋体" w:hAnsi="宋体"/>
                <w:color w:val="000000"/>
                <w:sz w:val="22"/>
              </w:rPr>
            </w:pPr>
            <w:r>
              <w:rPr>
                <w:rFonts w:hint="eastAsia" w:ascii="宋体" w:hAnsi="宋体"/>
                <w:color w:val="000000"/>
                <w:sz w:val="22"/>
                <w:szCs w:val="22"/>
              </w:rPr>
              <w:t>供电部分配备单相电源防避雷器，终端配备电源、信号、视频进行有效的雷电保护的浪涌保护器，在雷雨季节防止雷电对设备损坏。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94" w:type="dxa"/>
            <w:noWrap w:val="0"/>
            <w:vAlign w:val="center"/>
          </w:tcPr>
          <w:p>
            <w:pPr>
              <w:jc w:val="center"/>
              <w:rPr>
                <w:rFonts w:ascii="宋体" w:hAnsi="宋体" w:cs="黑体"/>
                <w:color w:val="000000"/>
                <w:sz w:val="22"/>
              </w:rPr>
            </w:pPr>
            <w:r>
              <w:rPr>
                <w:rFonts w:ascii="宋体" w:hAnsi="宋体" w:cs="黑体"/>
                <w:color w:val="000000"/>
                <w:sz w:val="22"/>
              </w:rPr>
              <w:t>6</w:t>
            </w:r>
          </w:p>
        </w:tc>
        <w:tc>
          <w:tcPr>
            <w:tcW w:w="1260" w:type="dxa"/>
            <w:noWrap w:val="0"/>
            <w:vAlign w:val="center"/>
          </w:tcPr>
          <w:p>
            <w:pPr>
              <w:jc w:val="center"/>
              <w:rPr>
                <w:rFonts w:ascii="宋体" w:hAnsi="宋体" w:cs="黑体"/>
                <w:color w:val="000000"/>
                <w:sz w:val="22"/>
              </w:rPr>
            </w:pPr>
            <w:r>
              <w:rPr>
                <w:rFonts w:hint="eastAsia" w:ascii="宋体" w:hAnsi="宋体" w:cs="黑体"/>
                <w:color w:val="000000"/>
                <w:sz w:val="22"/>
              </w:rPr>
              <w:t>其他</w:t>
            </w:r>
          </w:p>
        </w:tc>
        <w:tc>
          <w:tcPr>
            <w:tcW w:w="6551" w:type="dxa"/>
            <w:noWrap w:val="0"/>
            <w:vAlign w:val="center"/>
          </w:tcPr>
          <w:p>
            <w:pPr>
              <w:pStyle w:val="95"/>
              <w:widowControl/>
              <w:adjustRightInd w:val="0"/>
              <w:spacing w:line="360" w:lineRule="auto"/>
              <w:ind w:firstLine="0" w:firstLineChars="0"/>
              <w:textAlignment w:val="baseline"/>
              <w:rPr>
                <w:rFonts w:ascii="宋体" w:hAnsi="宋体"/>
                <w:color w:val="000000"/>
                <w:sz w:val="22"/>
              </w:rPr>
            </w:pPr>
            <w:r>
              <w:rPr>
                <w:rFonts w:hint="eastAsia" w:ascii="宋体" w:hAnsi="宋体"/>
                <w:color w:val="000000"/>
                <w:sz w:val="22"/>
                <w:szCs w:val="22"/>
              </w:rPr>
              <w:t>具有良好地线接线端子，接地小于</w:t>
            </w:r>
            <w:r>
              <w:rPr>
                <w:rFonts w:ascii="宋体" w:hAnsi="宋体"/>
                <w:color w:val="000000"/>
                <w:sz w:val="22"/>
                <w:szCs w:val="22"/>
              </w:rPr>
              <w:t>4</w:t>
            </w:r>
            <w:r>
              <w:rPr>
                <w:rFonts w:hint="eastAsia" w:ascii="宋体" w:hAnsi="宋体"/>
                <w:color w:val="000000"/>
                <w:sz w:val="22"/>
                <w:szCs w:val="22"/>
              </w:rPr>
              <w:t>欧姆。可拆卸的设备安装板，线缆固定架，进线</w:t>
            </w:r>
            <w:r>
              <w:rPr>
                <w:rFonts w:ascii="宋体" w:hAnsi="宋体"/>
                <w:color w:val="000000"/>
                <w:sz w:val="22"/>
                <w:szCs w:val="22"/>
              </w:rPr>
              <w:t>/</w:t>
            </w:r>
            <w:r>
              <w:rPr>
                <w:rFonts w:hint="eastAsia" w:ascii="宋体" w:hAnsi="宋体"/>
                <w:color w:val="000000"/>
                <w:sz w:val="22"/>
                <w:szCs w:val="22"/>
              </w:rPr>
              <w:t>出线口和通风口。</w:t>
            </w:r>
          </w:p>
        </w:tc>
      </w:tr>
    </w:tbl>
    <w:p/>
    <w:p/>
    <w:p>
      <w:pPr>
        <w:pStyle w:val="5"/>
        <w:keepNext w:val="0"/>
        <w:keepLines w:val="0"/>
        <w:tabs>
          <w:tab w:val="left" w:pos="900"/>
          <w:tab w:val="left" w:pos="1584"/>
        </w:tabs>
        <w:snapToGrid w:val="0"/>
        <w:spacing w:before="0" w:after="0" w:line="360" w:lineRule="auto"/>
        <w:ind w:left="1584" w:right="2" w:rightChars="1" w:hanging="1584"/>
        <w:rPr>
          <w:rFonts w:ascii="宋体" w:hAnsi="宋体" w:eastAsia="宋体" w:cs="宋体"/>
          <w:color w:val="000000"/>
          <w:sz w:val="22"/>
          <w:szCs w:val="22"/>
        </w:rPr>
      </w:pPr>
      <w:r>
        <w:rPr>
          <w:rFonts w:ascii="Times New Roman" w:hAnsi="Times New Roman" w:eastAsia="等线"/>
          <w:sz w:val="22"/>
          <w:szCs w:val="22"/>
        </w:rPr>
        <w:t>1.6.2</w:t>
      </w:r>
      <w:r>
        <w:rPr>
          <w:rFonts w:hint="eastAsia" w:ascii="宋体" w:hAnsi="宋体" w:eastAsia="宋体" w:cs="宋体"/>
          <w:color w:val="000000"/>
          <w:sz w:val="22"/>
          <w:szCs w:val="22"/>
        </w:rPr>
        <w:t>工作制度和施工要求、</w:t>
      </w:r>
    </w:p>
    <w:p>
      <w:pPr>
        <w:spacing w:line="360" w:lineRule="auto"/>
        <w:ind w:firstLine="454"/>
        <w:rPr>
          <w:rFonts w:ascii="宋体" w:hAnsi="宋体" w:cs="宋体"/>
          <w:color w:val="000000"/>
          <w:sz w:val="22"/>
        </w:rPr>
      </w:pPr>
      <w:r>
        <w:rPr>
          <w:rFonts w:hint="eastAsia" w:ascii="宋体" w:hAnsi="宋体" w:cs="宋体"/>
          <w:color w:val="000000"/>
          <w:sz w:val="22"/>
        </w:rPr>
        <w:t>杭州萧山国际机场工作制度为</w:t>
      </w:r>
      <w:r>
        <w:rPr>
          <w:rFonts w:ascii="宋体" w:hAnsi="宋体" w:cs="宋体"/>
          <w:color w:val="000000"/>
          <w:sz w:val="22"/>
        </w:rPr>
        <w:t>365</w:t>
      </w:r>
      <w:r>
        <w:rPr>
          <w:rFonts w:hint="eastAsia" w:ascii="宋体" w:hAnsi="宋体" w:cs="宋体"/>
          <w:color w:val="000000"/>
          <w:sz w:val="22"/>
        </w:rPr>
        <w:t>天∕</w:t>
      </w:r>
      <w:r>
        <w:rPr>
          <w:rFonts w:ascii="宋体" w:hAnsi="宋体" w:cs="宋体"/>
          <w:color w:val="000000"/>
          <w:sz w:val="22"/>
        </w:rPr>
        <w:t>24</w:t>
      </w:r>
      <w:r>
        <w:rPr>
          <w:rFonts w:hint="eastAsia" w:ascii="宋体" w:hAnsi="宋体" w:cs="宋体"/>
          <w:color w:val="000000"/>
          <w:sz w:val="22"/>
        </w:rPr>
        <w:t>小时。航站楼、机坪的施工时间为每天凌晨</w:t>
      </w:r>
      <w:r>
        <w:rPr>
          <w:rFonts w:ascii="宋体" w:hAnsi="宋体" w:cs="宋体"/>
          <w:color w:val="000000"/>
          <w:sz w:val="22"/>
        </w:rPr>
        <w:t>2</w:t>
      </w:r>
      <w:r>
        <w:rPr>
          <w:rFonts w:hint="eastAsia" w:ascii="宋体" w:hAnsi="宋体" w:cs="宋体"/>
          <w:color w:val="000000"/>
          <w:sz w:val="22"/>
        </w:rPr>
        <w:t>点至</w:t>
      </w:r>
      <w:r>
        <w:rPr>
          <w:rFonts w:ascii="宋体" w:hAnsi="宋体" w:cs="宋体"/>
          <w:color w:val="000000"/>
          <w:sz w:val="22"/>
        </w:rPr>
        <w:t>6</w:t>
      </w:r>
      <w:r>
        <w:rPr>
          <w:rFonts w:hint="eastAsia" w:ascii="宋体" w:hAnsi="宋体" w:cs="宋体"/>
          <w:color w:val="000000"/>
          <w:sz w:val="22"/>
        </w:rPr>
        <w:t>点。</w:t>
      </w:r>
    </w:p>
    <w:p>
      <w:pPr>
        <w:spacing w:line="360" w:lineRule="auto"/>
        <w:ind w:firstLine="440" w:firstLineChars="200"/>
        <w:rPr>
          <w:rFonts w:ascii="宋体" w:hAnsi="宋体" w:cs="宋体"/>
          <w:color w:val="000000"/>
          <w:sz w:val="22"/>
        </w:rPr>
      </w:pPr>
      <w:r>
        <w:rPr>
          <w:rFonts w:hint="eastAsia" w:ascii="宋体" w:hAnsi="宋体" w:cs="宋体"/>
          <w:color w:val="000000"/>
          <w:sz w:val="22"/>
        </w:rPr>
        <w:t>由于本工程施工地点航站楼隔离区内、机坪属于机场隔离区，涉及空防安全，施工必须严格遵守民航局及杭州萧山国际机场不停航施工管理规定，所采用的任务设备、仪器和施工工艺不得对机场安全运行造成影响。所以，投标人应充分重视施工中的工程管理和施工组织，并充分考虑由此给施工带来的困难。</w:t>
      </w:r>
    </w:p>
    <w:p>
      <w:pPr>
        <w:spacing w:line="360" w:lineRule="auto"/>
        <w:ind w:firstLine="440" w:firstLineChars="200"/>
        <w:rPr>
          <w:rFonts w:ascii="宋体" w:hAnsi="宋体" w:cs="宋体"/>
          <w:color w:val="000000"/>
          <w:sz w:val="22"/>
        </w:rPr>
      </w:pPr>
      <w:r>
        <w:rPr>
          <w:rFonts w:hint="eastAsia" w:ascii="宋体" w:hAnsi="宋体" w:cs="宋体"/>
          <w:color w:val="000000"/>
          <w:sz w:val="22"/>
        </w:rPr>
        <w:t>施工道路：所有人员必须按招标人指定的进出场路口进出，并不得违反。</w:t>
      </w:r>
    </w:p>
    <w:p>
      <w:pPr>
        <w:spacing w:line="360" w:lineRule="auto"/>
        <w:ind w:firstLine="440" w:firstLineChars="200"/>
        <w:rPr>
          <w:rFonts w:ascii="宋体" w:hAnsi="宋体" w:cs="宋体"/>
          <w:color w:val="000000"/>
          <w:sz w:val="22"/>
        </w:rPr>
      </w:pPr>
      <w:r>
        <w:rPr>
          <w:rFonts w:hint="eastAsia" w:ascii="宋体" w:hAnsi="宋体" w:cs="宋体"/>
          <w:color w:val="000000"/>
          <w:sz w:val="22"/>
        </w:rPr>
        <w:t>施工临时设施：报价人根据现场情况及招标文件要求，综合考虑施工生产临时设施</w:t>
      </w:r>
      <w:r>
        <w:rPr>
          <w:rFonts w:ascii="宋体" w:hAnsi="宋体" w:cs="宋体"/>
          <w:color w:val="000000"/>
          <w:sz w:val="22"/>
        </w:rPr>
        <w:t>(</w:t>
      </w:r>
      <w:r>
        <w:rPr>
          <w:rFonts w:hint="eastAsia" w:ascii="宋体" w:hAnsi="宋体" w:cs="宋体"/>
          <w:color w:val="000000"/>
          <w:sz w:val="22"/>
        </w:rPr>
        <w:t>包括仓库、料场</w:t>
      </w:r>
      <w:r>
        <w:rPr>
          <w:rFonts w:ascii="宋体" w:hAnsi="宋体" w:cs="宋体"/>
          <w:color w:val="000000"/>
          <w:sz w:val="22"/>
        </w:rPr>
        <w:t>)</w:t>
      </w:r>
      <w:r>
        <w:rPr>
          <w:rFonts w:hint="eastAsia" w:ascii="宋体" w:hAnsi="宋体" w:cs="宋体"/>
          <w:color w:val="000000"/>
          <w:sz w:val="22"/>
        </w:rPr>
        <w:t>。所有的施工生产临时设施的方案需经招标人批准后方可实施。</w:t>
      </w:r>
    </w:p>
    <w:p>
      <w:pPr>
        <w:spacing w:line="360" w:lineRule="auto"/>
        <w:rPr>
          <w:rFonts w:ascii="宋体" w:hAnsi="宋体" w:cs="宋体"/>
          <w:b/>
          <w:color w:val="000000"/>
          <w:kern w:val="0"/>
          <w:sz w:val="22"/>
        </w:rPr>
      </w:pPr>
      <w:r>
        <w:rPr>
          <w:rFonts w:ascii="Times New Roman" w:hAnsi="Times New Roman"/>
          <w:b/>
          <w:bCs/>
          <w:kern w:val="0"/>
          <w:sz w:val="22"/>
          <w:szCs w:val="22"/>
        </w:rPr>
        <w:t>1.6.2.1</w:t>
      </w:r>
      <w:r>
        <w:rPr>
          <w:rFonts w:hint="eastAsia" w:ascii="宋体" w:hAnsi="宋体" w:cs="宋体"/>
          <w:b/>
          <w:color w:val="000000"/>
          <w:kern w:val="0"/>
          <w:sz w:val="22"/>
        </w:rPr>
        <w:t>线缆敷设</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所有弱电管路、线槽（或桥架）及弱电终端设备施工、安装均应按相应弱电规范要求与强电保持足够的间距。</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平面图中由弱电井引出的管路、线槽均按弱电井详图对应系统位置整齐连接到位。</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施工中遇管线过长</w:t>
      </w:r>
      <w:r>
        <w:rPr>
          <w:rFonts w:ascii="宋体" w:hAnsi="宋体"/>
          <w:b w:val="0"/>
          <w:bCs w:val="0"/>
          <w:color w:val="000000"/>
          <w:sz w:val="22"/>
          <w:szCs w:val="22"/>
        </w:rPr>
        <w:t>,</w:t>
      </w:r>
      <w:r>
        <w:rPr>
          <w:rFonts w:hint="eastAsia" w:ascii="宋体" w:hAnsi="宋体"/>
          <w:b w:val="0"/>
          <w:bCs w:val="0"/>
          <w:color w:val="000000"/>
          <w:sz w:val="22"/>
          <w:szCs w:val="22"/>
        </w:rPr>
        <w:t>须加中间过路盒</w:t>
      </w:r>
      <w:r>
        <w:rPr>
          <w:rFonts w:ascii="宋体" w:hAnsi="宋体"/>
          <w:b w:val="0"/>
          <w:bCs w:val="0"/>
          <w:color w:val="000000"/>
          <w:sz w:val="22"/>
          <w:szCs w:val="22"/>
        </w:rPr>
        <w:t>,</w:t>
      </w:r>
      <w:r>
        <w:rPr>
          <w:rFonts w:hint="eastAsia" w:ascii="宋体" w:hAnsi="宋体"/>
          <w:b w:val="0"/>
          <w:bCs w:val="0"/>
          <w:color w:val="000000"/>
          <w:sz w:val="22"/>
          <w:szCs w:val="22"/>
        </w:rPr>
        <w:t>图中未注明处须按施工规范施工。</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所有穿越防火分区的管、槽施工完毕后需做防火封堵处理。</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所有弱电管路、线槽在相应设备未到位时，仅埋（敷）管路。</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电线暗配管保护层应沿最近的路线敷设并减少弯曲。与建筑物、构筑物表面的距离不应小于</w:t>
      </w:r>
      <w:r>
        <w:rPr>
          <w:rFonts w:ascii="宋体" w:hAnsi="宋体"/>
          <w:b w:val="0"/>
          <w:bCs w:val="0"/>
          <w:color w:val="000000"/>
          <w:sz w:val="22"/>
          <w:szCs w:val="22"/>
        </w:rPr>
        <w:t>150mm</w:t>
      </w:r>
      <w:r>
        <w:rPr>
          <w:rFonts w:hint="eastAsia" w:ascii="宋体" w:hAnsi="宋体"/>
          <w:b w:val="0"/>
          <w:bCs w:val="0"/>
          <w:color w:val="000000"/>
          <w:sz w:val="22"/>
          <w:szCs w:val="22"/>
        </w:rPr>
        <w:t>。</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弯曲处，不应有折皱、凹陷和裂缝，且弯扁程度不应大于管外径的</w:t>
      </w:r>
      <w:r>
        <w:rPr>
          <w:rFonts w:ascii="宋体" w:hAnsi="宋体"/>
          <w:b w:val="0"/>
          <w:bCs w:val="0"/>
          <w:color w:val="000000"/>
          <w:sz w:val="22"/>
          <w:szCs w:val="22"/>
        </w:rPr>
        <w:t>10%</w:t>
      </w:r>
      <w:r>
        <w:rPr>
          <w:rFonts w:hint="eastAsia" w:ascii="宋体" w:hAnsi="宋体"/>
          <w:b w:val="0"/>
          <w:bCs w:val="0"/>
          <w:color w:val="000000"/>
          <w:sz w:val="22"/>
          <w:szCs w:val="22"/>
        </w:rPr>
        <w:t>。</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暗配管的弯曲半径应符合下列规定：弯曲半径不应小于管外径的</w:t>
      </w:r>
      <w:r>
        <w:rPr>
          <w:rFonts w:ascii="宋体" w:hAnsi="宋体"/>
          <w:b w:val="0"/>
          <w:bCs w:val="0"/>
          <w:color w:val="000000"/>
          <w:sz w:val="22"/>
          <w:szCs w:val="22"/>
        </w:rPr>
        <w:t>6</w:t>
      </w:r>
      <w:r>
        <w:rPr>
          <w:rFonts w:hint="eastAsia" w:ascii="宋体" w:hAnsi="宋体"/>
          <w:b w:val="0"/>
          <w:bCs w:val="0"/>
          <w:color w:val="000000"/>
          <w:sz w:val="22"/>
          <w:szCs w:val="22"/>
        </w:rPr>
        <w:t>倍，当埋设砼内时，其弯曲半径不应小于管外径的</w:t>
      </w:r>
      <w:r>
        <w:rPr>
          <w:rFonts w:ascii="宋体" w:hAnsi="宋体"/>
          <w:b w:val="0"/>
          <w:bCs w:val="0"/>
          <w:color w:val="000000"/>
          <w:sz w:val="22"/>
          <w:szCs w:val="22"/>
        </w:rPr>
        <w:t>10</w:t>
      </w:r>
      <w:r>
        <w:rPr>
          <w:rFonts w:hint="eastAsia" w:ascii="宋体" w:hAnsi="宋体"/>
          <w:b w:val="0"/>
          <w:bCs w:val="0"/>
          <w:color w:val="000000"/>
          <w:sz w:val="22"/>
          <w:szCs w:val="22"/>
        </w:rPr>
        <w:t>倍。</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当暗配管遇以下情况之一时，中间应增设接线盒，且接线盒的位置应便于穿线</w:t>
      </w:r>
      <w:r>
        <w:rPr>
          <w:rFonts w:ascii="宋体" w:hAnsi="宋体"/>
          <w:b w:val="0"/>
          <w:bCs w:val="0"/>
          <w:color w:val="000000"/>
          <w:sz w:val="22"/>
          <w:szCs w:val="22"/>
        </w:rPr>
        <w:t>:</w:t>
      </w:r>
      <w:r>
        <w:rPr>
          <w:rFonts w:hint="eastAsia" w:ascii="宋体" w:hAnsi="宋体"/>
          <w:b w:val="0"/>
          <w:bCs w:val="0"/>
          <w:color w:val="000000"/>
          <w:sz w:val="22"/>
          <w:szCs w:val="22"/>
        </w:rPr>
        <w:t>管长度每超过</w:t>
      </w:r>
      <w:r>
        <w:rPr>
          <w:rFonts w:ascii="宋体" w:hAnsi="宋体"/>
          <w:b w:val="0"/>
          <w:bCs w:val="0"/>
          <w:color w:val="000000"/>
          <w:sz w:val="22"/>
          <w:szCs w:val="22"/>
        </w:rPr>
        <w:t>30m</w:t>
      </w:r>
      <w:r>
        <w:rPr>
          <w:rFonts w:hint="eastAsia" w:ascii="宋体" w:hAnsi="宋体"/>
          <w:b w:val="0"/>
          <w:bCs w:val="0"/>
          <w:color w:val="000000"/>
          <w:sz w:val="22"/>
          <w:szCs w:val="22"/>
        </w:rPr>
        <w:t>，</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无弯曲；管长度每超过</w:t>
      </w:r>
      <w:r>
        <w:rPr>
          <w:rFonts w:ascii="宋体" w:hAnsi="宋体"/>
          <w:b w:val="0"/>
          <w:bCs w:val="0"/>
          <w:color w:val="000000"/>
          <w:sz w:val="22"/>
          <w:szCs w:val="22"/>
        </w:rPr>
        <w:t>20m</w:t>
      </w:r>
      <w:r>
        <w:rPr>
          <w:rFonts w:hint="eastAsia" w:ascii="宋体" w:hAnsi="宋体"/>
          <w:b w:val="0"/>
          <w:bCs w:val="0"/>
          <w:color w:val="000000"/>
          <w:sz w:val="22"/>
          <w:szCs w:val="22"/>
        </w:rPr>
        <w:t>，有一个弯曲；管长度每超过</w:t>
      </w:r>
      <w:r>
        <w:rPr>
          <w:rFonts w:ascii="宋体" w:hAnsi="宋体"/>
          <w:b w:val="0"/>
          <w:bCs w:val="0"/>
          <w:color w:val="000000"/>
          <w:sz w:val="22"/>
          <w:szCs w:val="22"/>
        </w:rPr>
        <w:t>15m</w:t>
      </w:r>
      <w:r>
        <w:rPr>
          <w:rFonts w:hint="eastAsia" w:ascii="宋体" w:hAnsi="宋体"/>
          <w:b w:val="0"/>
          <w:bCs w:val="0"/>
          <w:color w:val="000000"/>
          <w:sz w:val="22"/>
          <w:szCs w:val="22"/>
        </w:rPr>
        <w:t>，有二个弯曲；管长度每超过</w:t>
      </w:r>
      <w:r>
        <w:rPr>
          <w:rFonts w:ascii="宋体" w:hAnsi="宋体"/>
          <w:b w:val="0"/>
          <w:bCs w:val="0"/>
          <w:color w:val="000000"/>
          <w:sz w:val="22"/>
          <w:szCs w:val="22"/>
        </w:rPr>
        <w:t>8m</w:t>
      </w:r>
      <w:r>
        <w:rPr>
          <w:rFonts w:hint="eastAsia" w:ascii="宋体" w:hAnsi="宋体"/>
          <w:b w:val="0"/>
          <w:bCs w:val="0"/>
          <w:color w:val="000000"/>
          <w:sz w:val="22"/>
          <w:szCs w:val="22"/>
        </w:rPr>
        <w:t>，有三个弯曲。</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管口应平整，光滑；接口应牢固密封。</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敷设多条线缆的位置应用扎线带绑扎，并做出标识。扎线带应保持相应间距，线缆扎线带的绑扎不能太紧以免影响线缆的使用。所有线缆必须单独标签，线缆的两端及中途可为人接触的地方须加上标签，标签应清晰、耐用。</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机柜、控制台内的线缆应排列整齐，并绑扎在机柜内的布线槽内，同时做出标识。线缆的敷设不得影响机柜门的开启或关闭、设备的更换</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线缆的排列应避免交叉。线缆布放时长度应有冗余。在前端设备安装位置、设备间的铜缆的预留长度一般为</w:t>
      </w:r>
      <w:r>
        <w:rPr>
          <w:rFonts w:ascii="宋体" w:hAnsi="宋体"/>
          <w:b w:val="0"/>
          <w:bCs w:val="0"/>
          <w:color w:val="000000"/>
          <w:sz w:val="22"/>
          <w:szCs w:val="22"/>
        </w:rPr>
        <w:t>1m</w:t>
      </w:r>
      <w:r>
        <w:rPr>
          <w:rFonts w:hint="eastAsia" w:ascii="宋体" w:hAnsi="宋体"/>
          <w:b w:val="0"/>
          <w:bCs w:val="0"/>
          <w:color w:val="000000"/>
          <w:sz w:val="22"/>
          <w:szCs w:val="22"/>
        </w:rPr>
        <w:t>～</w:t>
      </w:r>
      <w:r>
        <w:rPr>
          <w:rFonts w:ascii="宋体" w:hAnsi="宋体"/>
          <w:b w:val="0"/>
          <w:bCs w:val="0"/>
          <w:color w:val="000000"/>
          <w:sz w:val="22"/>
          <w:szCs w:val="22"/>
        </w:rPr>
        <w:t>2m</w:t>
      </w:r>
      <w:r>
        <w:rPr>
          <w:rFonts w:hint="eastAsia" w:ascii="宋体" w:hAnsi="宋体"/>
          <w:b w:val="0"/>
          <w:bCs w:val="0"/>
          <w:color w:val="000000"/>
          <w:sz w:val="22"/>
          <w:szCs w:val="22"/>
        </w:rPr>
        <w:t>，光缆在设备端预留长度至少为</w:t>
      </w:r>
      <w:r>
        <w:rPr>
          <w:rFonts w:ascii="宋体" w:hAnsi="宋体"/>
          <w:b w:val="0"/>
          <w:bCs w:val="0"/>
          <w:color w:val="000000"/>
          <w:sz w:val="22"/>
          <w:szCs w:val="22"/>
        </w:rPr>
        <w:t>5m</w:t>
      </w:r>
      <w:r>
        <w:rPr>
          <w:rFonts w:hint="eastAsia" w:ascii="宋体" w:hAnsi="宋体"/>
          <w:b w:val="0"/>
          <w:bCs w:val="0"/>
          <w:color w:val="000000"/>
          <w:sz w:val="22"/>
          <w:szCs w:val="22"/>
        </w:rPr>
        <w:t>。有特殊要求的应按设计要求预留长度。</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除非已进入设备机柜，所有线缆必须放置于线槽、线管内，不得外露。线管的接续必须按照工艺标准视现场情况使用压接接头和过线盒。</w:t>
      </w:r>
    </w:p>
    <w:p>
      <w:pPr>
        <w:pStyle w:val="6"/>
        <w:keepNext w:val="0"/>
        <w:keepLines w:val="0"/>
        <w:numPr>
          <w:ilvl w:val="0"/>
          <w:numId w:val="8"/>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所有管路应做接地处理。</w:t>
      </w:r>
      <w:bookmarkStart w:id="292" w:name="_Toc119504328"/>
      <w:bookmarkStart w:id="293" w:name="_Toc124561192"/>
      <w:bookmarkStart w:id="294" w:name="_Toc118771464"/>
      <w:bookmarkStart w:id="295" w:name="_Toc107586453"/>
      <w:bookmarkStart w:id="296" w:name="_Toc119378314"/>
      <w:bookmarkStart w:id="297" w:name="_Toc127347671"/>
      <w:bookmarkStart w:id="298" w:name="_Toc392056822"/>
      <w:bookmarkStart w:id="299" w:name="_Toc123028558"/>
      <w:bookmarkStart w:id="300" w:name="_Toc118214040"/>
      <w:bookmarkStart w:id="301" w:name="_Toc122958957"/>
      <w:bookmarkStart w:id="302" w:name="_Toc119378502"/>
      <w:bookmarkStart w:id="303" w:name="_Toc119258153"/>
      <w:bookmarkStart w:id="304" w:name="_Toc214178012"/>
    </w:p>
    <w:p>
      <w:pPr>
        <w:spacing w:line="360" w:lineRule="auto"/>
        <w:rPr>
          <w:rFonts w:ascii="宋体" w:hAnsi="宋体"/>
          <w:b/>
          <w:color w:val="000000"/>
          <w:sz w:val="22"/>
        </w:rPr>
      </w:pPr>
      <w:bookmarkStart w:id="305" w:name="_Toc430266657"/>
      <w:bookmarkStart w:id="306" w:name="OLE_LINK12"/>
      <w:r>
        <w:rPr>
          <w:rFonts w:ascii="Times New Roman" w:hAnsi="Times New Roman"/>
          <w:b/>
          <w:bCs/>
          <w:kern w:val="0"/>
          <w:sz w:val="22"/>
          <w:szCs w:val="22"/>
        </w:rPr>
        <w:t>1.6.3</w:t>
      </w:r>
      <w:r>
        <w:rPr>
          <w:rFonts w:hint="eastAsia" w:ascii="宋体" w:hAnsi="宋体"/>
          <w:b/>
          <w:color w:val="000000"/>
          <w:sz w:val="22"/>
        </w:rPr>
        <w:t>不停航施工方案</w:t>
      </w:r>
      <w:bookmarkEnd w:id="305"/>
    </w:p>
    <w:bookmarkEnd w:id="306"/>
    <w:p>
      <w:pPr>
        <w:spacing w:line="360" w:lineRule="auto"/>
        <w:ind w:firstLine="440" w:firstLineChars="200"/>
        <w:rPr>
          <w:rFonts w:ascii="宋体" w:hAnsi="宋体"/>
          <w:b/>
          <w:color w:val="000000"/>
          <w:sz w:val="22"/>
        </w:rPr>
      </w:pPr>
      <w:r>
        <w:rPr>
          <w:rFonts w:hint="eastAsia" w:ascii="宋体" w:hAnsi="宋体"/>
          <w:color w:val="000000"/>
          <w:sz w:val="22"/>
        </w:rPr>
        <w:t>航站楼内及机坪上施工是在机场不关闭且航班计划不变的情况下实施的，为确保飞行安全和航班正常，</w:t>
      </w:r>
      <w:r>
        <w:rPr>
          <w:rFonts w:hint="eastAsia" w:ascii="宋体" w:hAnsi="宋体"/>
          <w:b/>
          <w:color w:val="000000"/>
          <w:sz w:val="22"/>
        </w:rPr>
        <w:t>投标人应按照民航局第</w:t>
      </w:r>
      <w:r>
        <w:rPr>
          <w:rFonts w:ascii="宋体" w:hAnsi="宋体"/>
          <w:b/>
          <w:color w:val="000000"/>
          <w:sz w:val="22"/>
        </w:rPr>
        <w:t>191</w:t>
      </w:r>
      <w:r>
        <w:rPr>
          <w:rFonts w:hint="eastAsia" w:ascii="宋体" w:hAnsi="宋体"/>
          <w:b/>
          <w:color w:val="000000"/>
          <w:sz w:val="22"/>
        </w:rPr>
        <w:t>令颁布实施的《民用机场运行安全管理规定》（</w:t>
      </w:r>
      <w:r>
        <w:rPr>
          <w:rFonts w:ascii="宋体" w:hAnsi="宋体"/>
          <w:b/>
          <w:color w:val="000000"/>
          <w:sz w:val="22"/>
        </w:rPr>
        <w:t>CCAR</w:t>
      </w:r>
      <w:r>
        <w:rPr>
          <w:rFonts w:hint="eastAsia" w:ascii="宋体" w:hAnsi="宋体"/>
          <w:b/>
          <w:color w:val="000000"/>
          <w:sz w:val="22"/>
        </w:rPr>
        <w:t>－</w:t>
      </w:r>
      <w:r>
        <w:rPr>
          <w:rFonts w:ascii="宋体" w:hAnsi="宋体"/>
          <w:b/>
          <w:color w:val="000000"/>
          <w:sz w:val="22"/>
        </w:rPr>
        <w:t>140</w:t>
      </w:r>
      <w:r>
        <w:rPr>
          <w:rFonts w:hint="eastAsia" w:ascii="宋体" w:hAnsi="宋体"/>
          <w:b/>
          <w:color w:val="000000"/>
          <w:sz w:val="22"/>
        </w:rPr>
        <w:t>）的要求，制定本次施工的不停航施工方案。</w:t>
      </w:r>
    </w:p>
    <w:p>
      <w:pPr>
        <w:pStyle w:val="3"/>
        <w:keepNext w:val="0"/>
        <w:keepLines w:val="0"/>
        <w:tabs>
          <w:tab w:val="left" w:pos="576"/>
        </w:tabs>
        <w:spacing w:before="0" w:after="0"/>
        <w:ind w:left="576" w:hanging="576"/>
        <w:jc w:val="both"/>
        <w:rPr>
          <w:rFonts w:ascii="宋体" w:hAnsi="宋体"/>
          <w:color w:val="000000"/>
          <w:sz w:val="30"/>
          <w:szCs w:val="30"/>
        </w:rPr>
      </w:pPr>
      <w:r>
        <w:rPr>
          <w:rFonts w:ascii="Times New Roman" w:hAnsi="Times New Roman"/>
          <w:sz w:val="22"/>
          <w:szCs w:val="22"/>
        </w:rPr>
        <w:t>1.7</w:t>
      </w:r>
      <w:r>
        <w:rPr>
          <w:rFonts w:hint="eastAsia" w:ascii="宋体" w:hAnsi="宋体" w:cs="宋体"/>
          <w:color w:val="000000"/>
          <w:sz w:val="30"/>
          <w:szCs w:val="30"/>
        </w:rPr>
        <w:t>合同签订后的工作任务及要求</w:t>
      </w:r>
      <w:bookmarkEnd w:id="292"/>
      <w:bookmarkEnd w:id="293"/>
      <w:bookmarkEnd w:id="294"/>
      <w:bookmarkEnd w:id="295"/>
      <w:bookmarkEnd w:id="296"/>
      <w:bookmarkEnd w:id="297"/>
      <w:bookmarkEnd w:id="298"/>
      <w:bookmarkEnd w:id="299"/>
      <w:bookmarkEnd w:id="300"/>
      <w:bookmarkEnd w:id="301"/>
      <w:bookmarkEnd w:id="302"/>
      <w:bookmarkEnd w:id="303"/>
      <w:bookmarkEnd w:id="304"/>
    </w:p>
    <w:p>
      <w:pPr>
        <w:pStyle w:val="4"/>
        <w:keepNext w:val="0"/>
        <w:numPr>
          <w:ilvl w:val="0"/>
          <w:numId w:val="0"/>
        </w:numPr>
        <w:tabs>
          <w:tab w:val="left" w:pos="720"/>
        </w:tabs>
        <w:snapToGrid w:val="0"/>
        <w:spacing w:line="360" w:lineRule="auto"/>
        <w:ind w:right="2" w:rightChars="1"/>
        <w:rPr>
          <w:rFonts w:hAnsi="宋体"/>
          <w:bCs/>
          <w:color w:val="000000"/>
          <w:sz w:val="22"/>
          <w:szCs w:val="22"/>
        </w:rPr>
      </w:pPr>
      <w:r>
        <w:rPr>
          <w:rFonts w:ascii="Times New Roman"/>
          <w:bCs/>
          <w:sz w:val="22"/>
          <w:szCs w:val="22"/>
        </w:rPr>
        <w:t>1.7.1</w:t>
      </w:r>
      <w:r>
        <w:rPr>
          <w:rFonts w:hint="eastAsia" w:hAnsi="宋体" w:cs="宋体"/>
          <w:bCs/>
          <w:color w:val="000000"/>
          <w:sz w:val="22"/>
          <w:szCs w:val="22"/>
        </w:rPr>
        <w:t>资料管理要求</w:t>
      </w:r>
    </w:p>
    <w:p>
      <w:pPr>
        <w:pStyle w:val="5"/>
        <w:keepNext w:val="0"/>
        <w:keepLines w:val="0"/>
        <w:tabs>
          <w:tab w:val="left" w:pos="840"/>
          <w:tab w:val="left" w:pos="900"/>
          <w:tab w:val="left" w:pos="1584"/>
        </w:tabs>
        <w:snapToGrid w:val="0"/>
        <w:spacing w:before="0" w:after="0" w:line="360" w:lineRule="auto"/>
        <w:ind w:left="840" w:right="2" w:rightChars="1" w:hanging="840"/>
        <w:rPr>
          <w:rFonts w:ascii="宋体" w:hAnsi="宋体" w:eastAsia="宋体" w:cs="宋体"/>
          <w:b w:val="0"/>
          <w:color w:val="000000"/>
          <w:sz w:val="22"/>
          <w:szCs w:val="22"/>
        </w:rPr>
      </w:pPr>
      <w:r>
        <w:rPr>
          <w:rFonts w:ascii="Times New Roman" w:hAnsi="Times New Roman" w:eastAsia="等线"/>
          <w:sz w:val="22"/>
          <w:szCs w:val="22"/>
        </w:rPr>
        <w:t>1.7.1.1</w:t>
      </w:r>
      <w:r>
        <w:rPr>
          <w:rFonts w:hint="eastAsia" w:ascii="宋体" w:hAnsi="宋体" w:eastAsia="宋体" w:cs="宋体"/>
          <w:b w:val="0"/>
          <w:color w:val="000000"/>
          <w:kern w:val="2"/>
          <w:sz w:val="22"/>
          <w:szCs w:val="22"/>
        </w:rPr>
        <w:t>提供的资料以中文为准，资料提交包括但不限于资料提交汇总表的内容。</w:t>
      </w:r>
    </w:p>
    <w:p>
      <w:pPr>
        <w:pStyle w:val="5"/>
        <w:keepNext w:val="0"/>
        <w:keepLines w:val="0"/>
        <w:tabs>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1.7.1.2</w:t>
      </w:r>
      <w:r>
        <w:rPr>
          <w:rFonts w:hint="eastAsia" w:ascii="宋体" w:hAnsi="宋体" w:eastAsia="宋体" w:cs="宋体"/>
          <w:b w:val="0"/>
          <w:color w:val="000000"/>
          <w:kern w:val="2"/>
          <w:sz w:val="22"/>
          <w:szCs w:val="22"/>
        </w:rPr>
        <w:t>项目资料管理必须包括需求整理及确认、深化设计、开发、试验室测试、现场安装调试、现场测试、验收、技术培训等、文档、竣工资料等的编制、提交、存档等。</w:t>
      </w:r>
      <w:r>
        <w:rPr>
          <w:rFonts w:ascii="宋体" w:hAnsi="宋体" w:eastAsia="宋体" w:cs="宋体"/>
          <w:b w:val="0"/>
          <w:color w:val="000000"/>
          <w:kern w:val="2"/>
          <w:sz w:val="22"/>
          <w:szCs w:val="22"/>
        </w:rPr>
        <w:t xml:space="preserve"> </w:t>
      </w:r>
    </w:p>
    <w:p>
      <w:pPr>
        <w:pStyle w:val="3"/>
        <w:keepNext w:val="0"/>
        <w:keepLines w:val="0"/>
        <w:tabs>
          <w:tab w:val="left" w:pos="576"/>
        </w:tabs>
        <w:snapToGrid w:val="0"/>
        <w:spacing w:before="0" w:after="0"/>
        <w:ind w:left="576" w:right="2" w:rightChars="1" w:hanging="576"/>
        <w:jc w:val="both"/>
        <w:rPr>
          <w:rFonts w:ascii="宋体" w:hAnsi="宋体"/>
          <w:color w:val="000000"/>
          <w:sz w:val="22"/>
          <w:szCs w:val="22"/>
        </w:rPr>
      </w:pPr>
      <w:bookmarkStart w:id="307" w:name="_Toc124561198"/>
      <w:bookmarkStart w:id="308" w:name="_Toc127347677"/>
      <w:bookmarkStart w:id="309" w:name="_Toc392056827"/>
      <w:bookmarkStart w:id="310" w:name="_Toc121826436"/>
      <w:bookmarkStart w:id="311" w:name="_Toc123028564"/>
      <w:bookmarkStart w:id="312" w:name="_Toc214178018"/>
      <w:bookmarkStart w:id="313" w:name="_Toc122958963"/>
      <w:r>
        <w:rPr>
          <w:rFonts w:ascii="Times New Roman" w:hAnsi="Times New Roman"/>
          <w:sz w:val="22"/>
          <w:szCs w:val="22"/>
        </w:rPr>
        <w:t>1.7.4</w:t>
      </w:r>
      <w:r>
        <w:rPr>
          <w:rFonts w:hint="eastAsia" w:ascii="宋体" w:hAnsi="宋体" w:cs="宋体"/>
          <w:color w:val="000000"/>
          <w:sz w:val="22"/>
          <w:szCs w:val="22"/>
        </w:rPr>
        <w:t>设备及产品运输包装、到货开箱及仓储</w:t>
      </w:r>
      <w:bookmarkEnd w:id="307"/>
      <w:bookmarkEnd w:id="308"/>
      <w:bookmarkEnd w:id="309"/>
      <w:bookmarkEnd w:id="310"/>
      <w:bookmarkEnd w:id="311"/>
      <w:bookmarkEnd w:id="312"/>
      <w:bookmarkEnd w:id="313"/>
    </w:p>
    <w:p>
      <w:pPr>
        <w:pStyle w:val="4"/>
        <w:keepNext w:val="0"/>
        <w:numPr>
          <w:ilvl w:val="0"/>
          <w:numId w:val="0"/>
        </w:numPr>
        <w:tabs>
          <w:tab w:val="left" w:pos="720"/>
        </w:tabs>
        <w:snapToGrid w:val="0"/>
        <w:spacing w:line="360" w:lineRule="auto"/>
        <w:ind w:right="2" w:rightChars="1"/>
        <w:rPr>
          <w:rFonts w:hAnsi="宋体" w:cs="宋体"/>
          <w:b w:val="0"/>
          <w:color w:val="000000"/>
          <w:kern w:val="2"/>
          <w:sz w:val="22"/>
          <w:szCs w:val="22"/>
        </w:rPr>
      </w:pPr>
      <w:r>
        <w:rPr>
          <w:rFonts w:ascii="Times New Roman"/>
          <w:bCs/>
          <w:sz w:val="22"/>
          <w:szCs w:val="22"/>
        </w:rPr>
        <w:t>1.7.4.1</w:t>
      </w:r>
      <w:r>
        <w:rPr>
          <w:rFonts w:hint="eastAsia" w:hAnsi="宋体" w:cs="宋体"/>
          <w:b w:val="0"/>
          <w:color w:val="000000"/>
          <w:kern w:val="2"/>
          <w:sz w:val="22"/>
          <w:szCs w:val="22"/>
        </w:rPr>
        <w:t>投标人所提供的产品须为原厂包装，并予以保护以防由于多次搬运、天气及其它原因而造成损坏。</w:t>
      </w:r>
    </w:p>
    <w:p>
      <w:pPr>
        <w:pStyle w:val="4"/>
        <w:keepNext w:val="0"/>
        <w:numPr>
          <w:ilvl w:val="0"/>
          <w:numId w:val="0"/>
        </w:numPr>
        <w:tabs>
          <w:tab w:val="left" w:pos="720"/>
        </w:tabs>
        <w:snapToGrid w:val="0"/>
        <w:spacing w:line="360" w:lineRule="auto"/>
        <w:rPr>
          <w:rFonts w:hAnsi="宋体" w:cs="宋体"/>
          <w:b w:val="0"/>
          <w:color w:val="000000"/>
          <w:kern w:val="2"/>
          <w:sz w:val="22"/>
          <w:szCs w:val="22"/>
        </w:rPr>
      </w:pPr>
      <w:r>
        <w:rPr>
          <w:rFonts w:ascii="Times New Roman"/>
          <w:bCs/>
          <w:sz w:val="22"/>
          <w:szCs w:val="22"/>
        </w:rPr>
        <w:t>1.7.4.2</w:t>
      </w:r>
      <w:r>
        <w:rPr>
          <w:rFonts w:hint="eastAsia" w:hAnsi="宋体" w:cs="宋体"/>
          <w:b w:val="0"/>
          <w:color w:val="000000"/>
          <w:kern w:val="2"/>
          <w:sz w:val="22"/>
          <w:szCs w:val="22"/>
        </w:rPr>
        <w:t>所有货物必须放在发包人确认或指定的仓储区域，所有因此产生的仓储、运输、保险等费用由投标人承担。</w:t>
      </w:r>
    </w:p>
    <w:p>
      <w:pPr>
        <w:pStyle w:val="4"/>
        <w:keepNext w:val="0"/>
        <w:numPr>
          <w:ilvl w:val="0"/>
          <w:numId w:val="0"/>
        </w:numPr>
        <w:tabs>
          <w:tab w:val="left" w:pos="720"/>
        </w:tabs>
        <w:snapToGrid w:val="0"/>
        <w:spacing w:line="360" w:lineRule="auto"/>
        <w:rPr>
          <w:rFonts w:hAnsi="宋体"/>
          <w:b w:val="0"/>
          <w:color w:val="000000"/>
          <w:sz w:val="22"/>
          <w:szCs w:val="22"/>
        </w:rPr>
      </w:pPr>
      <w:r>
        <w:rPr>
          <w:rFonts w:ascii="Times New Roman"/>
          <w:bCs/>
          <w:sz w:val="22"/>
          <w:szCs w:val="22"/>
        </w:rPr>
        <w:t>1.7.4.3</w:t>
      </w:r>
      <w:r>
        <w:rPr>
          <w:rFonts w:hint="eastAsia" w:hAnsi="宋体" w:cs="宋体"/>
          <w:b w:val="0"/>
          <w:color w:val="000000"/>
          <w:sz w:val="22"/>
          <w:szCs w:val="22"/>
        </w:rPr>
        <w:t>设备到达发包人指定现场后，投标人应根据发包人的要求，派员参加到货签收，并作好签收记录。</w:t>
      </w:r>
    </w:p>
    <w:p>
      <w:pPr>
        <w:pStyle w:val="4"/>
        <w:keepNext w:val="0"/>
        <w:numPr>
          <w:ilvl w:val="0"/>
          <w:numId w:val="0"/>
        </w:numPr>
        <w:tabs>
          <w:tab w:val="left" w:pos="720"/>
        </w:tabs>
        <w:snapToGrid w:val="0"/>
        <w:spacing w:line="360" w:lineRule="auto"/>
        <w:rPr>
          <w:rFonts w:hAnsi="宋体"/>
          <w:b w:val="0"/>
          <w:color w:val="000000"/>
          <w:sz w:val="22"/>
          <w:szCs w:val="22"/>
        </w:rPr>
      </w:pPr>
      <w:r>
        <w:rPr>
          <w:rFonts w:ascii="Times New Roman"/>
          <w:bCs/>
          <w:sz w:val="22"/>
          <w:szCs w:val="22"/>
        </w:rPr>
        <w:t>1.7.4.4</w:t>
      </w:r>
      <w:r>
        <w:rPr>
          <w:rFonts w:hint="eastAsia" w:hAnsi="宋体" w:cs="宋体"/>
          <w:b w:val="0"/>
          <w:bCs/>
          <w:color w:val="000000"/>
          <w:sz w:val="22"/>
          <w:szCs w:val="22"/>
        </w:rPr>
        <w:t>投标人</w:t>
      </w:r>
      <w:r>
        <w:rPr>
          <w:rFonts w:hint="eastAsia" w:hAnsi="宋体" w:cs="宋体"/>
          <w:b w:val="0"/>
          <w:color w:val="000000"/>
          <w:sz w:val="22"/>
          <w:szCs w:val="22"/>
        </w:rPr>
        <w:t>应根据</w:t>
      </w:r>
      <w:r>
        <w:rPr>
          <w:rFonts w:hint="eastAsia" w:hAnsi="宋体" w:cs="宋体"/>
          <w:b w:val="0"/>
          <w:bCs/>
          <w:color w:val="000000"/>
          <w:sz w:val="22"/>
          <w:szCs w:val="22"/>
        </w:rPr>
        <w:t>工程</w:t>
      </w:r>
      <w:r>
        <w:rPr>
          <w:rFonts w:hint="eastAsia" w:hAnsi="宋体" w:cs="宋体"/>
          <w:b w:val="0"/>
          <w:color w:val="000000"/>
          <w:sz w:val="22"/>
          <w:szCs w:val="22"/>
        </w:rPr>
        <w:t>进度分批到货。在</w:t>
      </w:r>
      <w:r>
        <w:rPr>
          <w:rFonts w:hint="eastAsia" w:hAnsi="宋体" w:cs="宋体"/>
          <w:b w:val="0"/>
          <w:bCs/>
          <w:color w:val="000000"/>
          <w:sz w:val="22"/>
          <w:szCs w:val="22"/>
        </w:rPr>
        <w:t>硬件设备</w:t>
      </w:r>
      <w:r>
        <w:rPr>
          <w:rFonts w:hint="eastAsia" w:hAnsi="宋体" w:cs="宋体"/>
          <w:b w:val="0"/>
          <w:color w:val="000000"/>
          <w:sz w:val="22"/>
          <w:szCs w:val="22"/>
        </w:rPr>
        <w:t>软硬件购买前，</w:t>
      </w:r>
      <w:r>
        <w:rPr>
          <w:rFonts w:hint="eastAsia" w:hAnsi="宋体" w:cs="宋体"/>
          <w:b w:val="0"/>
          <w:bCs/>
          <w:color w:val="000000"/>
          <w:sz w:val="22"/>
          <w:szCs w:val="22"/>
        </w:rPr>
        <w:t>投标人</w:t>
      </w:r>
      <w:r>
        <w:rPr>
          <w:rFonts w:hint="eastAsia" w:hAnsi="宋体" w:cs="宋体"/>
          <w:b w:val="0"/>
          <w:color w:val="000000"/>
          <w:sz w:val="22"/>
          <w:szCs w:val="22"/>
        </w:rPr>
        <w:t>须以书面的形式向发包人提供</w:t>
      </w:r>
      <w:r>
        <w:rPr>
          <w:rFonts w:hint="eastAsia" w:hAnsi="宋体" w:cs="宋体"/>
          <w:b w:val="0"/>
          <w:bCs/>
          <w:color w:val="000000"/>
          <w:sz w:val="22"/>
          <w:szCs w:val="22"/>
        </w:rPr>
        <w:t>硬件设备</w:t>
      </w:r>
      <w:r>
        <w:rPr>
          <w:rFonts w:hint="eastAsia" w:hAnsi="宋体" w:cs="宋体"/>
          <w:b w:val="0"/>
          <w:color w:val="000000"/>
          <w:sz w:val="22"/>
          <w:szCs w:val="22"/>
        </w:rPr>
        <w:t>的详细配置和版本的清单，并报发包人备案。</w:t>
      </w:r>
    </w:p>
    <w:p>
      <w:pPr>
        <w:pStyle w:val="3"/>
        <w:keepNext w:val="0"/>
        <w:keepLines w:val="0"/>
        <w:tabs>
          <w:tab w:val="left" w:pos="576"/>
        </w:tabs>
        <w:snapToGrid w:val="0"/>
        <w:spacing w:before="0" w:after="0"/>
        <w:ind w:left="576" w:right="2" w:rightChars="1" w:hanging="576"/>
        <w:jc w:val="both"/>
        <w:rPr>
          <w:rFonts w:ascii="宋体" w:hAnsi="宋体"/>
          <w:color w:val="000000"/>
          <w:sz w:val="22"/>
          <w:szCs w:val="22"/>
        </w:rPr>
      </w:pPr>
      <w:bookmarkStart w:id="314" w:name="_Toc214178020"/>
      <w:bookmarkStart w:id="315" w:name="_Toc121826438"/>
      <w:bookmarkStart w:id="316" w:name="_Toc392056829"/>
      <w:bookmarkStart w:id="317" w:name="_Toc127347679"/>
      <w:bookmarkStart w:id="318" w:name="_Toc122958965"/>
      <w:bookmarkStart w:id="319" w:name="_Toc118214048"/>
      <w:bookmarkStart w:id="320" w:name="_Toc124561200"/>
      <w:bookmarkStart w:id="321" w:name="_Toc107586461"/>
      <w:bookmarkStart w:id="322" w:name="_Toc123028566"/>
      <w:bookmarkStart w:id="323" w:name="_Toc119684696"/>
      <w:r>
        <w:rPr>
          <w:rFonts w:ascii="Times New Roman" w:hAnsi="Times New Roman"/>
          <w:sz w:val="22"/>
          <w:szCs w:val="22"/>
        </w:rPr>
        <w:t>1.7.4</w:t>
      </w:r>
      <w:r>
        <w:rPr>
          <w:rFonts w:hint="eastAsia" w:ascii="宋体" w:hAnsi="宋体" w:cs="宋体"/>
          <w:color w:val="000000"/>
          <w:sz w:val="22"/>
          <w:szCs w:val="22"/>
        </w:rPr>
        <w:t>安装调试</w:t>
      </w:r>
      <w:bookmarkEnd w:id="314"/>
      <w:bookmarkEnd w:id="315"/>
      <w:bookmarkEnd w:id="316"/>
      <w:bookmarkEnd w:id="317"/>
      <w:bookmarkEnd w:id="318"/>
      <w:bookmarkEnd w:id="319"/>
      <w:bookmarkEnd w:id="320"/>
      <w:bookmarkEnd w:id="321"/>
      <w:bookmarkEnd w:id="322"/>
      <w:bookmarkEnd w:id="323"/>
    </w:p>
    <w:p>
      <w:pPr>
        <w:pStyle w:val="4"/>
        <w:keepNext w:val="0"/>
        <w:numPr>
          <w:ilvl w:val="0"/>
          <w:numId w:val="0"/>
        </w:numPr>
        <w:tabs>
          <w:tab w:val="left" w:pos="720"/>
        </w:tabs>
        <w:snapToGrid w:val="0"/>
        <w:spacing w:line="360" w:lineRule="auto"/>
        <w:ind w:right="2" w:rightChars="1"/>
        <w:rPr>
          <w:rFonts w:hAnsi="宋体"/>
          <w:bCs/>
          <w:color w:val="000000"/>
          <w:sz w:val="22"/>
          <w:szCs w:val="22"/>
        </w:rPr>
      </w:pPr>
      <w:r>
        <w:rPr>
          <w:rFonts w:ascii="Times New Roman"/>
          <w:bCs/>
          <w:sz w:val="22"/>
          <w:szCs w:val="22"/>
        </w:rPr>
        <w:t>1.7.4.1</w:t>
      </w:r>
      <w:r>
        <w:rPr>
          <w:rFonts w:hint="eastAsia" w:hAnsi="宋体" w:cs="宋体"/>
          <w:bCs/>
          <w:color w:val="000000"/>
          <w:sz w:val="22"/>
          <w:szCs w:val="22"/>
        </w:rPr>
        <w:t>安装</w:t>
      </w:r>
    </w:p>
    <w:p>
      <w:pPr>
        <w:pStyle w:val="5"/>
        <w:keepNext w:val="0"/>
        <w:keepLines w:val="0"/>
        <w:tabs>
          <w:tab w:val="left" w:pos="720"/>
          <w:tab w:val="left" w:pos="84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1.7.4.1.1</w:t>
      </w:r>
      <w:r>
        <w:rPr>
          <w:rFonts w:hint="eastAsia" w:ascii="宋体" w:hAnsi="宋体" w:eastAsia="宋体" w:cs="宋体"/>
          <w:b w:val="0"/>
          <w:color w:val="000000"/>
          <w:kern w:val="2"/>
          <w:sz w:val="22"/>
          <w:szCs w:val="22"/>
        </w:rPr>
        <w:t>投标人应负责整个系统设备的安装及负责向质量监督部门办理报监，并负责系统的调试及运行。</w:t>
      </w:r>
    </w:p>
    <w:p>
      <w:pPr>
        <w:pStyle w:val="5"/>
        <w:keepNext w:val="0"/>
        <w:keepLines w:val="0"/>
        <w:tabs>
          <w:tab w:val="left" w:pos="720"/>
          <w:tab w:val="left" w:pos="840"/>
          <w:tab w:val="left" w:pos="1584"/>
        </w:tabs>
        <w:snapToGrid w:val="0"/>
        <w:spacing w:before="0" w:after="0" w:line="360" w:lineRule="auto"/>
        <w:ind w:left="840" w:right="2" w:rightChars="1" w:hanging="840"/>
        <w:rPr>
          <w:rFonts w:ascii="宋体" w:hAnsi="宋体" w:eastAsia="宋体" w:cs="宋体"/>
          <w:b w:val="0"/>
          <w:color w:val="000000"/>
          <w:kern w:val="2"/>
          <w:sz w:val="22"/>
          <w:szCs w:val="22"/>
        </w:rPr>
      </w:pPr>
      <w:r>
        <w:rPr>
          <w:rFonts w:ascii="Times New Roman" w:hAnsi="Times New Roman" w:eastAsia="等线"/>
          <w:sz w:val="22"/>
          <w:szCs w:val="22"/>
        </w:rPr>
        <w:t>1.7.4.1.2</w:t>
      </w:r>
      <w:r>
        <w:rPr>
          <w:rFonts w:ascii="宋体" w:hAnsi="宋体" w:eastAsia="宋体" w:cs="宋体"/>
          <w:color w:val="000000"/>
          <w:sz w:val="22"/>
          <w:szCs w:val="22"/>
        </w:rPr>
        <w:t xml:space="preserve"> </w:t>
      </w:r>
      <w:r>
        <w:rPr>
          <w:rFonts w:hint="eastAsia" w:ascii="宋体" w:hAnsi="宋体" w:eastAsia="宋体" w:cs="宋体"/>
          <w:b w:val="0"/>
          <w:color w:val="000000"/>
          <w:kern w:val="2"/>
          <w:sz w:val="22"/>
          <w:szCs w:val="22"/>
        </w:rPr>
        <w:t>投标人须派遣足够人数的、合格的工程师、技术人员和技术工人进行本项目工程的施工。</w:t>
      </w:r>
    </w:p>
    <w:p>
      <w:pPr>
        <w:pStyle w:val="5"/>
        <w:keepNext w:val="0"/>
        <w:keepLines w:val="0"/>
        <w:tabs>
          <w:tab w:val="left" w:pos="720"/>
          <w:tab w:val="left" w:pos="840"/>
          <w:tab w:val="left" w:pos="900"/>
          <w:tab w:val="left" w:pos="1584"/>
        </w:tabs>
        <w:snapToGrid w:val="0"/>
        <w:spacing w:before="0" w:after="0" w:line="360" w:lineRule="auto"/>
        <w:ind w:left="840" w:right="2" w:rightChars="1" w:hanging="840"/>
        <w:rPr>
          <w:rFonts w:ascii="宋体" w:hAnsi="宋体" w:eastAsia="宋体" w:cs="宋体"/>
          <w:b w:val="0"/>
          <w:color w:val="000000"/>
          <w:kern w:val="2"/>
          <w:sz w:val="22"/>
          <w:szCs w:val="22"/>
        </w:rPr>
      </w:pPr>
      <w:r>
        <w:rPr>
          <w:rFonts w:ascii="Times New Roman" w:hAnsi="Times New Roman" w:eastAsia="等线"/>
          <w:sz w:val="22"/>
          <w:szCs w:val="22"/>
        </w:rPr>
        <w:t xml:space="preserve">1.7.4.1.3 </w:t>
      </w:r>
      <w:r>
        <w:rPr>
          <w:rFonts w:hint="eastAsia" w:ascii="宋体" w:hAnsi="宋体" w:eastAsia="宋体" w:cs="宋体"/>
          <w:b w:val="0"/>
          <w:color w:val="000000"/>
          <w:kern w:val="2"/>
          <w:sz w:val="22"/>
          <w:szCs w:val="22"/>
        </w:rPr>
        <w:t>工程施工和设备安装单位所有进驻现场的施工人员必须是具有相关资格的正式员工。</w:t>
      </w:r>
    </w:p>
    <w:p>
      <w:pPr>
        <w:pStyle w:val="5"/>
        <w:keepNext w:val="0"/>
        <w:keepLines w:val="0"/>
        <w:tabs>
          <w:tab w:val="left" w:pos="720"/>
          <w:tab w:val="left" w:pos="840"/>
          <w:tab w:val="left" w:pos="900"/>
          <w:tab w:val="left" w:pos="1584"/>
        </w:tabs>
        <w:snapToGrid w:val="0"/>
        <w:spacing w:before="0" w:after="0" w:line="360" w:lineRule="auto"/>
        <w:ind w:right="2" w:rightChars="1"/>
        <w:rPr>
          <w:rFonts w:ascii="宋体" w:hAnsi="宋体" w:eastAsia="宋体" w:cs="宋体"/>
          <w:b w:val="0"/>
          <w:color w:val="000000"/>
          <w:kern w:val="2"/>
          <w:sz w:val="22"/>
          <w:szCs w:val="22"/>
        </w:rPr>
      </w:pPr>
      <w:r>
        <w:rPr>
          <w:rFonts w:ascii="Times New Roman" w:hAnsi="Times New Roman" w:eastAsia="等线"/>
          <w:sz w:val="22"/>
          <w:szCs w:val="22"/>
        </w:rPr>
        <w:t>1.7.4.1.4</w:t>
      </w:r>
      <w:r>
        <w:rPr>
          <w:rFonts w:ascii="宋体" w:hAnsi="宋体" w:eastAsia="宋体" w:cs="宋体"/>
          <w:color w:val="000000"/>
          <w:sz w:val="22"/>
          <w:szCs w:val="22"/>
        </w:rPr>
        <w:t xml:space="preserve"> </w:t>
      </w:r>
      <w:r>
        <w:rPr>
          <w:rFonts w:hint="eastAsia" w:ascii="宋体" w:hAnsi="宋体" w:eastAsia="宋体" w:cs="宋体"/>
          <w:b w:val="0"/>
          <w:color w:val="000000"/>
          <w:kern w:val="2"/>
          <w:sz w:val="22"/>
          <w:szCs w:val="22"/>
        </w:rPr>
        <w:t>在工程施工和设备安装、调试、验收等过程中，投标人应做好提供设备的现场保护以及提供相应保护措施。投标人不得损坏土建结构和已装修完毕的墙面、地面、吊顶和其他已安装的设备和系统，由此引起的修补费用由投标人承担。</w:t>
      </w:r>
    </w:p>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1.7.4.1.5 </w:t>
      </w:r>
      <w:bookmarkStart w:id="324" w:name="OLE_LINK13"/>
      <w:r>
        <w:rPr>
          <w:rFonts w:hint="eastAsia" w:ascii="宋体" w:hAnsi="宋体" w:eastAsia="宋体" w:cs="宋体"/>
          <w:b w:val="0"/>
          <w:color w:val="000000"/>
          <w:kern w:val="2"/>
          <w:sz w:val="22"/>
          <w:szCs w:val="22"/>
        </w:rPr>
        <w:t>工程所产生的临时费用及所需设备的产品现场保护、工作设施、工作照明、防护、安装脚手、围栏、警告标志和守护人员等由投标人负责。</w:t>
      </w:r>
    </w:p>
    <w:bookmarkEnd w:id="324"/>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1.7.4.1.6</w:t>
      </w:r>
      <w:r>
        <w:rPr>
          <w:rFonts w:hint="eastAsia" w:ascii="宋体" w:hAnsi="宋体" w:eastAsia="宋体" w:cs="宋体"/>
          <w:b w:val="0"/>
          <w:color w:val="000000"/>
          <w:kern w:val="2"/>
          <w:sz w:val="22"/>
          <w:szCs w:val="22"/>
        </w:rPr>
        <w:t>投标人在进驻现场前</w:t>
      </w:r>
      <w:r>
        <w:rPr>
          <w:rFonts w:ascii="宋体" w:hAnsi="宋体" w:eastAsia="宋体" w:cs="宋体"/>
          <w:b w:val="0"/>
          <w:color w:val="000000"/>
          <w:kern w:val="2"/>
          <w:sz w:val="22"/>
          <w:szCs w:val="22"/>
        </w:rPr>
        <w:t>2</w:t>
      </w:r>
      <w:r>
        <w:rPr>
          <w:rFonts w:hint="eastAsia" w:ascii="宋体" w:hAnsi="宋体" w:eastAsia="宋体" w:cs="宋体"/>
          <w:b w:val="0"/>
          <w:color w:val="000000"/>
          <w:kern w:val="2"/>
          <w:sz w:val="22"/>
          <w:szCs w:val="22"/>
        </w:rPr>
        <w:t>周，应与发包人签订安全施工责任保证书，并提交施工组织方案、进场施工申请报告等资料，并在工程实施中，必须无条件地接受总承包商和工程监理的管理与检查，并执行监理单位的指令，确保工程质量和安装进度能满足总的质量要求和进度要求。</w:t>
      </w:r>
    </w:p>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1.7.4.1.7</w:t>
      </w:r>
      <w:r>
        <w:rPr>
          <w:rFonts w:hint="eastAsia" w:ascii="宋体" w:hAnsi="宋体" w:eastAsia="宋体" w:cs="宋体"/>
          <w:b w:val="0"/>
          <w:color w:val="000000"/>
          <w:kern w:val="2"/>
          <w:sz w:val="22"/>
          <w:szCs w:val="22"/>
        </w:rPr>
        <w:t>有关现场工作设施的敷设须经总承包单位或安装主承包单位的同意后，在指定的地点和范围内敷设。所需的临电、临水须按总承包商的要求敷设，施工现场所用的临电、临水按总承包商的管理要求执行，以上相关费用由投标人支付。</w:t>
      </w:r>
    </w:p>
    <w:p>
      <w:pPr>
        <w:pStyle w:val="4"/>
        <w:keepNext w:val="0"/>
        <w:numPr>
          <w:ilvl w:val="0"/>
          <w:numId w:val="0"/>
        </w:numPr>
        <w:tabs>
          <w:tab w:val="left" w:pos="720"/>
        </w:tabs>
        <w:snapToGrid w:val="0"/>
        <w:spacing w:line="360" w:lineRule="auto"/>
        <w:ind w:right="2" w:rightChars="1"/>
        <w:rPr>
          <w:rFonts w:hAnsi="宋体"/>
          <w:bCs/>
          <w:color w:val="000000"/>
          <w:sz w:val="22"/>
          <w:szCs w:val="22"/>
        </w:rPr>
      </w:pPr>
      <w:r>
        <w:rPr>
          <w:rFonts w:ascii="Times New Roman"/>
          <w:bCs/>
          <w:sz w:val="22"/>
          <w:szCs w:val="22"/>
        </w:rPr>
        <w:t>1.7.4.2</w:t>
      </w:r>
      <w:r>
        <w:rPr>
          <w:rFonts w:hint="eastAsia" w:hAnsi="宋体" w:cs="宋体"/>
          <w:bCs/>
          <w:color w:val="000000"/>
          <w:sz w:val="22"/>
          <w:szCs w:val="22"/>
        </w:rPr>
        <w:t>调试</w:t>
      </w:r>
    </w:p>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宋体" w:hAnsi="宋体" w:eastAsia="宋体" w:cs="宋体"/>
          <w:color w:val="000000"/>
          <w:sz w:val="22"/>
          <w:szCs w:val="22"/>
        </w:rPr>
        <w:t>1</w:t>
      </w:r>
      <w:r>
        <w:rPr>
          <w:rFonts w:ascii="Times New Roman" w:hAnsi="Times New Roman" w:eastAsia="等线"/>
          <w:sz w:val="22"/>
          <w:szCs w:val="22"/>
        </w:rPr>
        <w:t>.7.4.2.1</w:t>
      </w:r>
      <w:r>
        <w:rPr>
          <w:rFonts w:hint="eastAsia" w:ascii="宋体" w:hAnsi="宋体" w:eastAsia="宋体" w:cs="宋体"/>
          <w:b w:val="0"/>
          <w:color w:val="000000"/>
          <w:kern w:val="2"/>
          <w:sz w:val="22"/>
          <w:szCs w:val="22"/>
        </w:rPr>
        <w:t>投标人应在现场对设备进行调试、现场测试，以检验其设计制作、操作性能和功能等方面的情况，并应提供所有调试和设备运行所需的工具、材料、仪器及劳务。</w:t>
      </w:r>
    </w:p>
    <w:p>
      <w:pPr>
        <w:pStyle w:val="5"/>
        <w:keepNext w:val="0"/>
        <w:keepLines w:val="0"/>
        <w:tabs>
          <w:tab w:val="left" w:pos="720"/>
          <w:tab w:val="left" w:pos="900"/>
          <w:tab w:val="left" w:pos="1584"/>
        </w:tabs>
        <w:snapToGrid w:val="0"/>
        <w:spacing w:before="0" w:after="0" w:line="360" w:lineRule="auto"/>
        <w:ind w:left="1584" w:right="2" w:rightChars="1" w:hanging="1584"/>
        <w:rPr>
          <w:rFonts w:ascii="宋体" w:hAnsi="宋体" w:eastAsia="宋体" w:cs="宋体"/>
          <w:b w:val="0"/>
          <w:color w:val="000000"/>
          <w:kern w:val="2"/>
          <w:sz w:val="22"/>
          <w:szCs w:val="22"/>
        </w:rPr>
      </w:pPr>
      <w:r>
        <w:rPr>
          <w:rFonts w:ascii="Times New Roman" w:hAnsi="Times New Roman" w:eastAsia="等线"/>
          <w:sz w:val="22"/>
          <w:szCs w:val="22"/>
        </w:rPr>
        <w:t xml:space="preserve">1.7.4.2.2 </w:t>
      </w:r>
      <w:r>
        <w:rPr>
          <w:rFonts w:hint="eastAsia" w:ascii="宋体" w:hAnsi="宋体" w:eastAsia="宋体" w:cs="宋体"/>
          <w:b w:val="0"/>
          <w:color w:val="000000"/>
          <w:kern w:val="2"/>
          <w:sz w:val="22"/>
          <w:szCs w:val="22"/>
        </w:rPr>
        <w:t>调试前，相关部门的建议和要求均应作为调试及验收要求的补充。</w:t>
      </w:r>
    </w:p>
    <w:p>
      <w:pPr>
        <w:pStyle w:val="3"/>
        <w:keepNext w:val="0"/>
        <w:keepLines w:val="0"/>
        <w:tabs>
          <w:tab w:val="left" w:pos="576"/>
        </w:tabs>
        <w:snapToGrid w:val="0"/>
        <w:spacing w:before="0" w:after="0"/>
        <w:ind w:left="576" w:right="2" w:rightChars="1" w:hanging="576"/>
        <w:jc w:val="both"/>
        <w:rPr>
          <w:rFonts w:ascii="宋体" w:hAnsi="宋体"/>
          <w:color w:val="000000"/>
          <w:sz w:val="22"/>
          <w:szCs w:val="22"/>
        </w:rPr>
      </w:pPr>
      <w:bookmarkStart w:id="325" w:name="_Toc127347683"/>
      <w:bookmarkStart w:id="326" w:name="_Toc124561204"/>
      <w:bookmarkStart w:id="327" w:name="_Toc122958969"/>
      <w:bookmarkStart w:id="328" w:name="_Toc123028570"/>
      <w:bookmarkStart w:id="329" w:name="_Toc214178024"/>
      <w:bookmarkStart w:id="330" w:name="_Toc392056833"/>
      <w:r>
        <w:rPr>
          <w:rFonts w:ascii="Times New Roman" w:hAnsi="Times New Roman"/>
          <w:sz w:val="22"/>
          <w:szCs w:val="22"/>
        </w:rPr>
        <w:t>1.7.5</w:t>
      </w:r>
      <w:r>
        <w:rPr>
          <w:rFonts w:hint="eastAsia" w:ascii="宋体" w:hAnsi="宋体" w:cs="宋体"/>
          <w:color w:val="000000"/>
          <w:sz w:val="22"/>
          <w:szCs w:val="22"/>
        </w:rPr>
        <w:t>最终验收</w:t>
      </w:r>
      <w:bookmarkEnd w:id="325"/>
      <w:bookmarkEnd w:id="326"/>
      <w:bookmarkEnd w:id="327"/>
      <w:bookmarkEnd w:id="328"/>
      <w:bookmarkEnd w:id="329"/>
      <w:bookmarkEnd w:id="330"/>
    </w:p>
    <w:p>
      <w:pPr>
        <w:pStyle w:val="4"/>
        <w:keepNext w:val="0"/>
        <w:numPr>
          <w:ilvl w:val="0"/>
          <w:numId w:val="0"/>
        </w:numPr>
        <w:tabs>
          <w:tab w:val="left" w:pos="720"/>
        </w:tabs>
        <w:snapToGrid w:val="0"/>
        <w:spacing w:line="360" w:lineRule="auto"/>
        <w:ind w:right="2" w:rightChars="1"/>
        <w:rPr>
          <w:rFonts w:hAnsi="宋体"/>
          <w:color w:val="000000"/>
          <w:sz w:val="22"/>
          <w:szCs w:val="22"/>
        </w:rPr>
      </w:pPr>
      <w:r>
        <w:rPr>
          <w:rFonts w:ascii="Times New Roman"/>
          <w:bCs/>
          <w:sz w:val="22"/>
          <w:szCs w:val="22"/>
        </w:rPr>
        <w:t>1.7.5.1</w:t>
      </w:r>
      <w:r>
        <w:rPr>
          <w:rFonts w:hint="eastAsia" w:hAnsi="宋体" w:cs="宋体"/>
          <w:color w:val="000000"/>
          <w:sz w:val="22"/>
          <w:szCs w:val="22"/>
        </w:rPr>
        <w:t>系统验收合格必须满足以下所有条件：</w:t>
      </w:r>
    </w:p>
    <w:p>
      <w:pPr>
        <w:pStyle w:val="5"/>
        <w:keepNext w:val="0"/>
        <w:keepLines w:val="0"/>
        <w:tabs>
          <w:tab w:val="left" w:pos="960"/>
          <w:tab w:val="left" w:pos="1584"/>
        </w:tabs>
        <w:snapToGrid w:val="0"/>
        <w:spacing w:before="0" w:after="0" w:line="360" w:lineRule="auto"/>
        <w:ind w:left="960" w:right="2" w:rightChars="1" w:hanging="960"/>
        <w:jc w:val="left"/>
        <w:rPr>
          <w:rFonts w:ascii="宋体" w:hAnsi="宋体" w:eastAsia="宋体" w:cs="黑体"/>
          <w:b w:val="0"/>
          <w:color w:val="000000"/>
          <w:sz w:val="22"/>
          <w:szCs w:val="22"/>
        </w:rPr>
      </w:pPr>
      <w:r>
        <w:rPr>
          <w:rFonts w:ascii="Times New Roman" w:hAnsi="Times New Roman" w:eastAsia="等线"/>
          <w:sz w:val="22"/>
          <w:szCs w:val="22"/>
        </w:rPr>
        <w:t>1.7.5.1.1</w:t>
      </w:r>
      <w:r>
        <w:rPr>
          <w:rFonts w:hint="eastAsia" w:ascii="宋体" w:hAnsi="宋体" w:eastAsia="宋体" w:cs="宋体"/>
          <w:b w:val="0"/>
          <w:bCs w:val="0"/>
          <w:color w:val="000000"/>
          <w:kern w:val="2"/>
          <w:sz w:val="22"/>
          <w:szCs w:val="22"/>
        </w:rPr>
        <w:t>现场测试时出现的问题已被解决至发包人满意，对其它工程项目的影响已消除。</w:t>
      </w:r>
    </w:p>
    <w:p>
      <w:pPr>
        <w:pStyle w:val="5"/>
        <w:keepNext w:val="0"/>
        <w:keepLines w:val="0"/>
        <w:tabs>
          <w:tab w:val="left" w:pos="960"/>
          <w:tab w:val="left" w:pos="1584"/>
        </w:tabs>
        <w:snapToGrid w:val="0"/>
        <w:spacing w:before="0" w:after="0" w:line="360" w:lineRule="auto"/>
        <w:ind w:left="960" w:right="2" w:rightChars="1" w:hanging="960"/>
        <w:rPr>
          <w:rFonts w:ascii="宋体" w:hAnsi="宋体" w:eastAsia="宋体"/>
          <w:b w:val="0"/>
          <w:color w:val="000000"/>
          <w:sz w:val="22"/>
          <w:szCs w:val="22"/>
        </w:rPr>
      </w:pPr>
      <w:r>
        <w:rPr>
          <w:rFonts w:ascii="Times New Roman" w:hAnsi="Times New Roman" w:eastAsia="等线"/>
          <w:sz w:val="22"/>
          <w:szCs w:val="22"/>
        </w:rPr>
        <w:t>1.7.5.1.2</w:t>
      </w:r>
      <w:r>
        <w:rPr>
          <w:rFonts w:hint="eastAsia" w:ascii="宋体" w:hAnsi="宋体" w:eastAsia="宋体" w:cs="宋体"/>
          <w:b w:val="0"/>
          <w:color w:val="000000"/>
          <w:sz w:val="22"/>
          <w:szCs w:val="22"/>
        </w:rPr>
        <w:t>已按本技术规范和政府有关管理部门的规定提供了全部货物和资料。</w:t>
      </w:r>
    </w:p>
    <w:p>
      <w:pPr>
        <w:pStyle w:val="5"/>
        <w:keepNext w:val="0"/>
        <w:keepLines w:val="0"/>
        <w:tabs>
          <w:tab w:val="left" w:pos="960"/>
          <w:tab w:val="left" w:pos="1584"/>
        </w:tabs>
        <w:snapToGrid w:val="0"/>
        <w:spacing w:before="0" w:after="0" w:line="360" w:lineRule="auto"/>
        <w:ind w:left="960" w:right="2" w:rightChars="1" w:hanging="960"/>
        <w:rPr>
          <w:rFonts w:ascii="宋体" w:hAnsi="宋体" w:eastAsia="宋体"/>
          <w:b w:val="0"/>
          <w:color w:val="000000"/>
          <w:sz w:val="22"/>
          <w:szCs w:val="22"/>
        </w:rPr>
      </w:pPr>
      <w:r>
        <w:rPr>
          <w:rFonts w:ascii="Times New Roman" w:hAnsi="Times New Roman" w:eastAsia="等线"/>
          <w:sz w:val="22"/>
          <w:szCs w:val="22"/>
        </w:rPr>
        <w:t>1.7.5.1.3</w:t>
      </w:r>
      <w:r>
        <w:rPr>
          <w:rFonts w:hint="eastAsia" w:ascii="宋体" w:hAnsi="宋体" w:eastAsia="宋体" w:cs="宋体"/>
          <w:b w:val="0"/>
          <w:color w:val="000000"/>
          <w:sz w:val="22"/>
          <w:szCs w:val="22"/>
        </w:rPr>
        <w:t>按照</w:t>
      </w:r>
      <w:r>
        <w:rPr>
          <w:rFonts w:ascii="宋体" w:hAnsi="宋体" w:eastAsia="宋体"/>
          <w:b w:val="0"/>
          <w:color w:val="000000"/>
          <w:sz w:val="22"/>
          <w:szCs w:val="22"/>
        </w:rPr>
        <w:t>HXIA</w:t>
      </w:r>
      <w:r>
        <w:rPr>
          <w:rFonts w:hint="eastAsia" w:ascii="宋体" w:hAnsi="宋体" w:eastAsia="宋体" w:cs="宋体"/>
          <w:b w:val="0"/>
          <w:color w:val="000000"/>
          <w:sz w:val="22"/>
          <w:szCs w:val="22"/>
        </w:rPr>
        <w:t>工程档案管理要求进行竣工资料归档。</w:t>
      </w:r>
    </w:p>
    <w:p>
      <w:pPr>
        <w:pStyle w:val="4"/>
        <w:keepNext w:val="0"/>
        <w:numPr>
          <w:ilvl w:val="0"/>
          <w:numId w:val="0"/>
        </w:numPr>
        <w:tabs>
          <w:tab w:val="left" w:pos="720"/>
        </w:tabs>
        <w:snapToGrid w:val="0"/>
        <w:spacing w:line="360" w:lineRule="auto"/>
        <w:rPr>
          <w:rFonts w:hAnsi="宋体" w:cs="宋体"/>
          <w:b w:val="0"/>
          <w:color w:val="000000"/>
          <w:kern w:val="2"/>
          <w:sz w:val="22"/>
          <w:szCs w:val="22"/>
        </w:rPr>
      </w:pPr>
      <w:r>
        <w:rPr>
          <w:rFonts w:ascii="Times New Roman"/>
          <w:bCs/>
          <w:sz w:val="22"/>
          <w:szCs w:val="22"/>
        </w:rPr>
        <w:t>1.7.5.1.4</w:t>
      </w:r>
      <w:r>
        <w:rPr>
          <w:rFonts w:hint="eastAsia" w:hAnsi="宋体" w:cs="宋体"/>
          <w:b w:val="0"/>
          <w:color w:val="000000"/>
          <w:kern w:val="2"/>
          <w:sz w:val="22"/>
          <w:szCs w:val="22"/>
        </w:rPr>
        <w:t>投标人负责全部设备设施及系统的保护和清洁工作至项目验收合格为止。若因进行工程实施过程中污损工程的设备、设施结构或其它设备仪器等，投标人须负责修理或者给予赔偿。</w:t>
      </w:r>
    </w:p>
    <w:p>
      <w:pPr>
        <w:pStyle w:val="4"/>
        <w:keepNext w:val="0"/>
        <w:numPr>
          <w:ilvl w:val="0"/>
          <w:numId w:val="0"/>
        </w:numPr>
        <w:tabs>
          <w:tab w:val="left" w:pos="720"/>
        </w:tabs>
        <w:snapToGrid w:val="0"/>
        <w:spacing w:line="360" w:lineRule="auto"/>
        <w:ind w:right="2" w:rightChars="1"/>
        <w:rPr>
          <w:rFonts w:hAnsi="宋体"/>
          <w:b w:val="0"/>
          <w:color w:val="000000"/>
          <w:sz w:val="22"/>
          <w:szCs w:val="22"/>
        </w:rPr>
      </w:pPr>
      <w:r>
        <w:rPr>
          <w:rFonts w:ascii="Times New Roman"/>
          <w:bCs/>
          <w:sz w:val="22"/>
          <w:szCs w:val="22"/>
        </w:rPr>
        <w:t>1.7.5.1.5</w:t>
      </w:r>
      <w:r>
        <w:rPr>
          <w:rFonts w:hint="eastAsia" w:hAnsi="宋体" w:cs="宋体"/>
          <w:b w:val="0"/>
          <w:color w:val="000000"/>
          <w:sz w:val="22"/>
          <w:szCs w:val="22"/>
        </w:rPr>
        <w:t>工程最终验收合格后，发包人给投标人颁发工程接收证书，同时进入为期</w:t>
      </w:r>
      <w:r>
        <w:rPr>
          <w:rFonts w:hAnsi="宋体"/>
          <w:b w:val="0"/>
          <w:color w:val="000000"/>
          <w:sz w:val="22"/>
          <w:szCs w:val="22"/>
        </w:rPr>
        <w:t>2</w:t>
      </w:r>
      <w:r>
        <w:rPr>
          <w:rFonts w:hint="eastAsia" w:hAnsi="宋体" w:cs="宋体"/>
          <w:b w:val="0"/>
          <w:color w:val="000000"/>
          <w:sz w:val="22"/>
          <w:szCs w:val="22"/>
        </w:rPr>
        <w:t>年的质保期。</w:t>
      </w:r>
    </w:p>
    <w:p>
      <w:pPr>
        <w:pStyle w:val="3"/>
        <w:keepNext w:val="0"/>
        <w:keepLines w:val="0"/>
        <w:tabs>
          <w:tab w:val="left" w:pos="576"/>
        </w:tabs>
        <w:snapToGrid w:val="0"/>
        <w:spacing w:before="0" w:after="0"/>
        <w:ind w:left="576" w:right="2" w:rightChars="1" w:hanging="576"/>
        <w:jc w:val="both"/>
        <w:rPr>
          <w:rFonts w:ascii="宋体" w:hAnsi="宋体"/>
          <w:color w:val="000000"/>
          <w:sz w:val="22"/>
          <w:szCs w:val="22"/>
        </w:rPr>
      </w:pPr>
      <w:bookmarkStart w:id="331" w:name="_Toc214178025"/>
      <w:bookmarkStart w:id="332" w:name="_Toc123028571"/>
      <w:bookmarkStart w:id="333" w:name="_Toc127347684"/>
      <w:bookmarkStart w:id="334" w:name="_Toc119258174"/>
      <w:bookmarkStart w:id="335" w:name="_Toc124561205"/>
      <w:bookmarkStart w:id="336" w:name="_Toc119378516"/>
      <w:bookmarkStart w:id="337" w:name="_Toc110162598"/>
      <w:bookmarkStart w:id="338" w:name="_Toc122958970"/>
      <w:bookmarkStart w:id="339" w:name="_Toc119504343"/>
      <w:bookmarkStart w:id="340" w:name="_Toc119378328"/>
      <w:bookmarkStart w:id="341" w:name="_Toc113810220"/>
      <w:bookmarkStart w:id="342" w:name="_Toc392056834"/>
      <w:r>
        <w:rPr>
          <w:rFonts w:ascii="Times New Roman" w:hAnsi="Times New Roman"/>
          <w:sz w:val="22"/>
          <w:szCs w:val="22"/>
        </w:rPr>
        <w:t>1.7.6</w:t>
      </w:r>
      <w:r>
        <w:rPr>
          <w:rFonts w:hint="eastAsia" w:ascii="宋体" w:hAnsi="宋体" w:cs="宋体"/>
          <w:color w:val="000000"/>
          <w:sz w:val="22"/>
          <w:szCs w:val="22"/>
        </w:rPr>
        <w:t>系统质保期</w:t>
      </w:r>
      <w:bookmarkEnd w:id="331"/>
      <w:bookmarkEnd w:id="332"/>
      <w:bookmarkEnd w:id="333"/>
      <w:bookmarkEnd w:id="334"/>
      <w:bookmarkEnd w:id="335"/>
      <w:bookmarkEnd w:id="336"/>
      <w:bookmarkEnd w:id="337"/>
      <w:bookmarkEnd w:id="338"/>
      <w:bookmarkEnd w:id="339"/>
      <w:bookmarkEnd w:id="340"/>
      <w:bookmarkEnd w:id="341"/>
      <w:bookmarkEnd w:id="342"/>
    </w:p>
    <w:p>
      <w:pPr>
        <w:pStyle w:val="4"/>
        <w:keepNext w:val="0"/>
        <w:numPr>
          <w:ilvl w:val="0"/>
          <w:numId w:val="0"/>
        </w:numPr>
        <w:tabs>
          <w:tab w:val="left" w:pos="720"/>
        </w:tabs>
        <w:snapToGrid w:val="0"/>
        <w:spacing w:line="360" w:lineRule="auto"/>
        <w:ind w:right="2" w:rightChars="1"/>
        <w:rPr>
          <w:rFonts w:hAnsi="宋体" w:cs="黑体"/>
          <w:bCs/>
          <w:color w:val="000000"/>
          <w:sz w:val="22"/>
          <w:szCs w:val="22"/>
        </w:rPr>
      </w:pPr>
      <w:r>
        <w:rPr>
          <w:rFonts w:ascii="Times New Roman"/>
          <w:bCs/>
          <w:sz w:val="22"/>
          <w:szCs w:val="22"/>
        </w:rPr>
        <w:t>1.7.6.1</w:t>
      </w:r>
      <w:r>
        <w:rPr>
          <w:rFonts w:hint="eastAsia" w:hAnsi="宋体" w:cs="黑体"/>
          <w:bCs/>
          <w:color w:val="000000"/>
          <w:sz w:val="22"/>
          <w:szCs w:val="22"/>
        </w:rPr>
        <w:t>系统质保期内</w:t>
      </w:r>
    </w:p>
    <w:p>
      <w:pPr>
        <w:pStyle w:val="5"/>
        <w:keepNext w:val="0"/>
        <w:keepLines w:val="0"/>
        <w:tabs>
          <w:tab w:val="left" w:pos="900"/>
          <w:tab w:val="left" w:pos="960"/>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1.7.6.1.1</w:t>
      </w:r>
      <w:r>
        <w:rPr>
          <w:rFonts w:hint="eastAsia" w:ascii="宋体" w:hAnsi="宋体" w:eastAsia="宋体" w:cs="宋体"/>
          <w:b w:val="0"/>
          <w:color w:val="000000"/>
          <w:kern w:val="2"/>
          <w:sz w:val="22"/>
          <w:szCs w:val="22"/>
        </w:rPr>
        <w:t>投标人必须为合同内所供应系统和服务提供</w:t>
      </w:r>
      <w:r>
        <w:rPr>
          <w:rFonts w:ascii="宋体" w:hAnsi="宋体" w:eastAsia="宋体" w:cs="宋体"/>
          <w:b w:val="0"/>
          <w:color w:val="000000"/>
          <w:kern w:val="2"/>
          <w:sz w:val="22"/>
          <w:szCs w:val="22"/>
        </w:rPr>
        <w:t>24</w:t>
      </w:r>
      <w:r>
        <w:rPr>
          <w:rFonts w:hint="eastAsia" w:ascii="宋体" w:hAnsi="宋体" w:eastAsia="宋体" w:cs="宋体"/>
          <w:b w:val="0"/>
          <w:color w:val="000000"/>
          <w:kern w:val="2"/>
          <w:sz w:val="22"/>
          <w:szCs w:val="22"/>
        </w:rPr>
        <w:t>个月的质保期服务（若第三方产品免费保修期明确大于</w:t>
      </w:r>
      <w:r>
        <w:rPr>
          <w:rFonts w:ascii="宋体" w:hAnsi="宋体" w:eastAsia="宋体" w:cs="宋体"/>
          <w:b w:val="0"/>
          <w:color w:val="000000"/>
          <w:kern w:val="2"/>
          <w:sz w:val="22"/>
          <w:szCs w:val="22"/>
        </w:rPr>
        <w:t>24</w:t>
      </w:r>
      <w:r>
        <w:rPr>
          <w:rFonts w:hint="eastAsia" w:ascii="宋体" w:hAnsi="宋体" w:eastAsia="宋体" w:cs="宋体"/>
          <w:b w:val="0"/>
          <w:color w:val="000000"/>
          <w:kern w:val="2"/>
          <w:sz w:val="22"/>
          <w:szCs w:val="22"/>
        </w:rPr>
        <w:t>个月的则按原厂商的承诺执行），计算日期从最终系统验收之日计算。</w:t>
      </w:r>
    </w:p>
    <w:p>
      <w:pPr>
        <w:pStyle w:val="5"/>
        <w:keepNext w:val="0"/>
        <w:keepLines w:val="0"/>
        <w:tabs>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1.7.6.1.2 </w:t>
      </w:r>
      <w:r>
        <w:rPr>
          <w:rFonts w:hint="eastAsia" w:ascii="宋体" w:hAnsi="宋体" w:eastAsia="宋体" w:cs="宋体"/>
          <w:b w:val="0"/>
          <w:color w:val="000000"/>
          <w:kern w:val="2"/>
          <w:sz w:val="22"/>
          <w:szCs w:val="22"/>
        </w:rPr>
        <w:t>投标人必须保证机场运行时间内及时响应发包人的请求，在接到报修后</w:t>
      </w:r>
      <w:r>
        <w:rPr>
          <w:rFonts w:ascii="宋体" w:hAnsi="宋体" w:eastAsia="宋体" w:cs="宋体"/>
          <w:b w:val="0"/>
          <w:color w:val="000000"/>
          <w:kern w:val="2"/>
          <w:sz w:val="22"/>
          <w:szCs w:val="22"/>
        </w:rPr>
        <w:t>2</w:t>
      </w:r>
      <w:r>
        <w:rPr>
          <w:rFonts w:hint="eastAsia" w:ascii="宋体" w:hAnsi="宋体" w:eastAsia="宋体" w:cs="宋体"/>
          <w:b w:val="0"/>
          <w:color w:val="000000"/>
          <w:kern w:val="2"/>
          <w:sz w:val="22"/>
          <w:szCs w:val="22"/>
        </w:rPr>
        <w:t>小时内，技术服务人员必须赶到现场服务并连续进行，直至故障排除设备完全恢复正常使用为止。在故障解决之后，投标人应将故障现象及原因、处理过程和方法、完成处理及恢复正常的时间和日期等以书面形式报告发包人。</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cs="宋体"/>
          <w:b w:val="0"/>
          <w:color w:val="000000"/>
          <w:kern w:val="2"/>
          <w:sz w:val="22"/>
          <w:szCs w:val="22"/>
        </w:rPr>
      </w:pPr>
      <w:r>
        <w:rPr>
          <w:rFonts w:ascii="Times New Roman" w:hAnsi="Times New Roman" w:eastAsia="等线"/>
          <w:sz w:val="22"/>
          <w:szCs w:val="22"/>
        </w:rPr>
        <w:t xml:space="preserve">1.7.6.1.3 </w:t>
      </w:r>
      <w:r>
        <w:rPr>
          <w:rFonts w:hint="eastAsia" w:ascii="宋体" w:hAnsi="宋体" w:eastAsia="宋体" w:cs="宋体"/>
          <w:b w:val="0"/>
          <w:color w:val="000000"/>
          <w:kern w:val="2"/>
          <w:sz w:val="22"/>
          <w:szCs w:val="22"/>
        </w:rPr>
        <w:t>质保期内投标人必须免费提供系统配置修改、配置升级服务、软件缺陷修补。</w:t>
      </w:r>
    </w:p>
    <w:p>
      <w:pPr>
        <w:pStyle w:val="5"/>
        <w:keepNext w:val="0"/>
        <w:keepLines w:val="0"/>
        <w:tabs>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1.7.6.1.5 </w:t>
      </w:r>
      <w:r>
        <w:rPr>
          <w:rFonts w:hint="eastAsia" w:ascii="宋体" w:hAnsi="宋体" w:eastAsia="宋体" w:cs="宋体"/>
          <w:b w:val="0"/>
          <w:color w:val="000000"/>
          <w:kern w:val="2"/>
          <w:sz w:val="22"/>
          <w:szCs w:val="22"/>
        </w:rPr>
        <w:t>投标人承担系统质保期内的维修和维护保养工作，并委派指定的技术人员进行维修工作和定期进行维护保养，委派人员名单必须报发包人审批，发包人认为不合格的，投标人应及时给予更换。</w:t>
      </w:r>
    </w:p>
    <w:p>
      <w:pPr>
        <w:pStyle w:val="5"/>
        <w:keepNext w:val="0"/>
        <w:keepLines w:val="0"/>
        <w:tabs>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1.7.6.1.6 </w:t>
      </w:r>
      <w:r>
        <w:rPr>
          <w:rFonts w:hint="eastAsia" w:ascii="宋体" w:hAnsi="宋体" w:eastAsia="宋体" w:cs="宋体"/>
          <w:b w:val="0"/>
          <w:color w:val="000000"/>
          <w:kern w:val="2"/>
          <w:sz w:val="22"/>
          <w:szCs w:val="22"/>
        </w:rPr>
        <w:t>系统设备无论什么原因发生任何故障或损坏，投标人应及时提供替换设备，以保证每年不低于</w:t>
      </w:r>
      <w:r>
        <w:rPr>
          <w:rFonts w:ascii="宋体" w:hAnsi="宋体" w:eastAsia="宋体" w:cs="宋体"/>
          <w:b w:val="0"/>
          <w:color w:val="000000"/>
          <w:kern w:val="2"/>
          <w:sz w:val="22"/>
          <w:szCs w:val="22"/>
        </w:rPr>
        <w:t>99.9%</w:t>
      </w:r>
      <w:r>
        <w:rPr>
          <w:rFonts w:hint="eastAsia" w:ascii="宋体" w:hAnsi="宋体" w:eastAsia="宋体" w:cs="宋体"/>
          <w:b w:val="0"/>
          <w:color w:val="000000"/>
          <w:kern w:val="2"/>
          <w:sz w:val="22"/>
          <w:szCs w:val="22"/>
        </w:rPr>
        <w:t>的设备可使用率，投标人必须负责维修，维修期限不得超过</w:t>
      </w:r>
      <w:r>
        <w:rPr>
          <w:rFonts w:ascii="宋体" w:hAnsi="宋体" w:eastAsia="宋体" w:cs="宋体"/>
          <w:b w:val="0"/>
          <w:color w:val="000000"/>
          <w:kern w:val="2"/>
          <w:sz w:val="22"/>
          <w:szCs w:val="22"/>
        </w:rPr>
        <w:t>5</w:t>
      </w:r>
      <w:r>
        <w:rPr>
          <w:rFonts w:hint="eastAsia" w:ascii="宋体" w:hAnsi="宋体" w:eastAsia="宋体" w:cs="宋体"/>
          <w:b w:val="0"/>
          <w:color w:val="000000"/>
          <w:kern w:val="2"/>
          <w:sz w:val="22"/>
          <w:szCs w:val="22"/>
        </w:rPr>
        <w:t>天，一切费用由投标人承担。</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cs="宋体"/>
          <w:b w:val="0"/>
          <w:color w:val="000000"/>
          <w:kern w:val="2"/>
          <w:sz w:val="22"/>
          <w:szCs w:val="22"/>
        </w:rPr>
      </w:pPr>
      <w:r>
        <w:rPr>
          <w:rFonts w:ascii="Times New Roman" w:hAnsi="Times New Roman" w:eastAsia="等线"/>
          <w:sz w:val="22"/>
          <w:szCs w:val="22"/>
        </w:rPr>
        <w:t>1.7.6.1.7</w:t>
      </w:r>
      <w:r>
        <w:rPr>
          <w:rFonts w:ascii="宋体" w:hAnsi="宋体" w:eastAsia="宋体" w:cs="宋体"/>
          <w:color w:val="000000"/>
          <w:sz w:val="22"/>
          <w:szCs w:val="22"/>
        </w:rPr>
        <w:t xml:space="preserve"> </w:t>
      </w:r>
      <w:r>
        <w:rPr>
          <w:rFonts w:hint="eastAsia" w:ascii="宋体" w:hAnsi="宋体" w:eastAsia="宋体" w:cs="宋体"/>
          <w:b w:val="0"/>
          <w:color w:val="000000"/>
          <w:kern w:val="2"/>
          <w:sz w:val="22"/>
          <w:szCs w:val="22"/>
        </w:rPr>
        <w:t>如质保期内的缺陷未能解决，质保期应相应延长，具体延长时间由双方协定。</w:t>
      </w:r>
    </w:p>
    <w:p>
      <w:pPr>
        <w:pStyle w:val="5"/>
        <w:keepNext w:val="0"/>
        <w:keepLines w:val="0"/>
        <w:tabs>
          <w:tab w:val="left" w:pos="900"/>
          <w:tab w:val="left" w:pos="1080"/>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1.7.6.1.8 </w:t>
      </w:r>
      <w:r>
        <w:rPr>
          <w:rFonts w:hint="eastAsia" w:ascii="宋体" w:hAnsi="宋体" w:eastAsia="宋体" w:cs="宋体"/>
          <w:b w:val="0"/>
          <w:color w:val="000000"/>
          <w:kern w:val="2"/>
          <w:sz w:val="22"/>
          <w:szCs w:val="22"/>
        </w:rPr>
        <w:t>在系统质保期结束前，由专业工程师和发包人代表对整套系统进行一次全面检查，任何缺陷由投标人负责修理。在修理之后，投标人将成因、补救措施、完成修理及恢复正常的时间和日期等报告给发包人。</w:t>
      </w:r>
    </w:p>
    <w:p>
      <w:pPr>
        <w:pStyle w:val="4"/>
        <w:keepNext w:val="0"/>
        <w:numPr>
          <w:ilvl w:val="0"/>
          <w:numId w:val="0"/>
        </w:numPr>
        <w:tabs>
          <w:tab w:val="left" w:pos="720"/>
        </w:tabs>
        <w:snapToGrid w:val="0"/>
        <w:spacing w:line="360" w:lineRule="auto"/>
        <w:ind w:right="2" w:rightChars="1"/>
        <w:rPr>
          <w:rFonts w:hAnsi="宋体"/>
          <w:b w:val="0"/>
          <w:bCs/>
          <w:color w:val="000000"/>
          <w:sz w:val="22"/>
          <w:szCs w:val="22"/>
        </w:rPr>
      </w:pPr>
      <w:bookmarkStart w:id="343" w:name="_Toc119684723"/>
      <w:bookmarkStart w:id="344" w:name="_Toc107586446"/>
      <w:bookmarkStart w:id="345" w:name="_Toc118214033"/>
      <w:bookmarkStart w:id="346" w:name="_Toc119684722"/>
      <w:bookmarkStart w:id="347" w:name="_Toc118214032"/>
      <w:r>
        <w:rPr>
          <w:rFonts w:ascii="Times New Roman"/>
          <w:bCs/>
          <w:sz w:val="22"/>
          <w:szCs w:val="22"/>
        </w:rPr>
        <w:t>1.7.8</w:t>
      </w:r>
      <w:r>
        <w:rPr>
          <w:rFonts w:hint="eastAsia" w:hAnsi="宋体" w:cs="宋体"/>
          <w:bCs/>
          <w:color w:val="000000"/>
          <w:sz w:val="22"/>
          <w:szCs w:val="22"/>
        </w:rPr>
        <w:t>质量管理</w:t>
      </w:r>
      <w:bookmarkEnd w:id="343"/>
      <w:bookmarkEnd w:id="344"/>
      <w:bookmarkEnd w:id="345"/>
    </w:p>
    <w:p>
      <w:pPr>
        <w:pStyle w:val="5"/>
        <w:keepNext w:val="0"/>
        <w:keepLines w:val="0"/>
        <w:tabs>
          <w:tab w:val="left" w:pos="900"/>
          <w:tab w:val="left" w:pos="1584"/>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1.7.8.1</w:t>
      </w:r>
      <w:r>
        <w:rPr>
          <w:rFonts w:hint="eastAsia" w:ascii="宋体" w:hAnsi="宋体" w:eastAsia="宋体" w:cs="宋体"/>
          <w:b w:val="0"/>
          <w:color w:val="000000"/>
          <w:sz w:val="22"/>
          <w:szCs w:val="22"/>
        </w:rPr>
        <w:t>在设计、供应、开发、安装、调试、测试、验收直至质保期结束的各阶段，投标人应负责所有交付内容和产品的质量。</w:t>
      </w:r>
    </w:p>
    <w:p>
      <w:pPr>
        <w:pStyle w:val="5"/>
        <w:keepNext w:val="0"/>
        <w:keepLines w:val="0"/>
        <w:tabs>
          <w:tab w:val="left" w:pos="900"/>
          <w:tab w:val="left" w:pos="1584"/>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1.7.8.2</w:t>
      </w:r>
      <w:r>
        <w:rPr>
          <w:rFonts w:hint="eastAsia" w:ascii="宋体" w:hAnsi="宋体" w:eastAsia="宋体" w:cs="宋体"/>
          <w:b w:val="0"/>
          <w:color w:val="000000"/>
          <w:sz w:val="22"/>
          <w:szCs w:val="22"/>
        </w:rPr>
        <w:t>工程的质量标准必须符合中华人民共和国国家标准。若合同中约定的任何工程质量标准低于国家标准，则按国家标准执行；若合同中约定的任何工程质量标准高于国家标准，则按合同中约定的标准执行。</w:t>
      </w:r>
    </w:p>
    <w:p>
      <w:pPr>
        <w:pStyle w:val="5"/>
        <w:keepNext w:val="0"/>
        <w:keepLines w:val="0"/>
        <w:tabs>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olor w:val="000000"/>
          <w:sz w:val="22"/>
          <w:szCs w:val="22"/>
        </w:rPr>
        <w:t>1.7.8.3</w:t>
      </w:r>
      <w:r>
        <w:rPr>
          <w:rFonts w:hint="eastAsia" w:ascii="宋体" w:hAnsi="宋体" w:eastAsia="宋体" w:cs="宋体"/>
          <w:b w:val="0"/>
          <w:color w:val="000000"/>
          <w:sz w:val="22"/>
          <w:szCs w:val="22"/>
        </w:rPr>
        <w:t>投标人应按照</w:t>
      </w:r>
      <w:r>
        <w:rPr>
          <w:rFonts w:ascii="宋体" w:hAnsi="宋体" w:eastAsia="宋体"/>
          <w:b w:val="0"/>
          <w:color w:val="000000"/>
          <w:sz w:val="22"/>
          <w:szCs w:val="22"/>
        </w:rPr>
        <w:t>ISO9000</w:t>
      </w:r>
      <w:r>
        <w:rPr>
          <w:rFonts w:hint="eastAsia" w:ascii="宋体" w:hAnsi="宋体" w:eastAsia="宋体" w:cs="宋体"/>
          <w:b w:val="0"/>
          <w:color w:val="000000"/>
          <w:sz w:val="22"/>
          <w:szCs w:val="22"/>
        </w:rPr>
        <w:t>系列质量管理体系的实施、竣工和修补缺陷的规范，建立适当和可行的质量保证体系，并保证工程的实施、竣工和修补缺陷的全部过程符合该质量保证体系的要求。</w:t>
      </w:r>
    </w:p>
    <w:p>
      <w:pPr>
        <w:pStyle w:val="5"/>
        <w:keepNext w:val="0"/>
        <w:keepLines w:val="0"/>
        <w:tabs>
          <w:tab w:val="left" w:pos="900"/>
          <w:tab w:val="left" w:pos="1584"/>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1.7.8.4</w:t>
      </w:r>
      <w:r>
        <w:rPr>
          <w:rFonts w:hint="eastAsia" w:ascii="宋体" w:hAnsi="宋体" w:eastAsia="宋体" w:cs="宋体"/>
          <w:b w:val="0"/>
          <w:color w:val="000000"/>
          <w:sz w:val="22"/>
          <w:szCs w:val="22"/>
        </w:rPr>
        <w:t>投标人应任命一名发包人认可的质量管理代表，负责全面质量保证措施的实施，监督并控制工程的全过程满足质量体系的要求。质量管理代表在工程实施期内始终位于现场，及时就工程质量相关事宜向发包人报告。</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b w:val="0"/>
          <w:color w:val="000000"/>
          <w:sz w:val="22"/>
          <w:szCs w:val="22"/>
        </w:rPr>
      </w:pPr>
      <w:r>
        <w:rPr>
          <w:rFonts w:ascii="Times New Roman" w:hAnsi="Times New Roman" w:eastAsia="等线"/>
          <w:sz w:val="22"/>
          <w:szCs w:val="22"/>
        </w:rPr>
        <w:t>1.7.8.5</w:t>
      </w:r>
      <w:r>
        <w:rPr>
          <w:rFonts w:hint="eastAsia" w:ascii="宋体" w:hAnsi="宋体" w:eastAsia="宋体" w:cs="宋体"/>
          <w:b w:val="0"/>
          <w:color w:val="000000"/>
          <w:sz w:val="22"/>
          <w:szCs w:val="22"/>
        </w:rPr>
        <w:t>质量体系中应包含对软硬件测试和检验的方法和手段，并在工程中予以使用。</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b w:val="0"/>
          <w:color w:val="000000"/>
          <w:sz w:val="22"/>
          <w:szCs w:val="22"/>
        </w:rPr>
      </w:pPr>
      <w:r>
        <w:rPr>
          <w:rFonts w:ascii="Times New Roman" w:hAnsi="Times New Roman" w:eastAsia="等线"/>
          <w:sz w:val="22"/>
          <w:szCs w:val="22"/>
        </w:rPr>
        <w:t>1.7.8.6</w:t>
      </w:r>
      <w:r>
        <w:rPr>
          <w:rFonts w:hint="eastAsia" w:ascii="宋体" w:hAnsi="宋体" w:eastAsia="宋体" w:cs="宋体"/>
          <w:b w:val="0"/>
          <w:color w:val="000000"/>
          <w:sz w:val="22"/>
          <w:szCs w:val="22"/>
        </w:rPr>
        <w:t>质量体系还应包括但不限于以下内容：</w:t>
      </w:r>
    </w:p>
    <w:p>
      <w:pPr>
        <w:numPr>
          <w:ilvl w:val="0"/>
          <w:numId w:val="9"/>
        </w:numPr>
        <w:snapToGrid w:val="0"/>
        <w:spacing w:line="360" w:lineRule="auto"/>
        <w:ind w:right="2" w:rightChars="1"/>
        <w:rPr>
          <w:rFonts w:ascii="宋体" w:hAnsi="宋体"/>
          <w:color w:val="000000"/>
          <w:sz w:val="22"/>
        </w:rPr>
      </w:pPr>
      <w:r>
        <w:rPr>
          <w:rFonts w:hint="eastAsia" w:ascii="宋体" w:hAnsi="宋体" w:cs="宋体"/>
          <w:color w:val="000000"/>
          <w:sz w:val="22"/>
        </w:rPr>
        <w:t>施工、生产、安装及测试活动精确完整的测量记录。</w:t>
      </w:r>
    </w:p>
    <w:p>
      <w:pPr>
        <w:numPr>
          <w:ilvl w:val="0"/>
          <w:numId w:val="9"/>
        </w:numPr>
        <w:snapToGrid w:val="0"/>
        <w:spacing w:line="360" w:lineRule="auto"/>
        <w:ind w:right="2" w:rightChars="1"/>
        <w:rPr>
          <w:rFonts w:ascii="宋体" w:hAnsi="宋体"/>
          <w:color w:val="000000"/>
          <w:sz w:val="22"/>
        </w:rPr>
      </w:pPr>
      <w:r>
        <w:rPr>
          <w:rFonts w:hint="eastAsia" w:ascii="宋体" w:hAnsi="宋体" w:cs="宋体"/>
          <w:color w:val="000000"/>
          <w:sz w:val="22"/>
        </w:rPr>
        <w:t>设备及其安装位置的直接关系。</w:t>
      </w:r>
    </w:p>
    <w:p>
      <w:pPr>
        <w:numPr>
          <w:ilvl w:val="0"/>
          <w:numId w:val="9"/>
        </w:numPr>
        <w:snapToGrid w:val="0"/>
        <w:spacing w:line="360" w:lineRule="auto"/>
        <w:ind w:right="2" w:rightChars="1"/>
        <w:rPr>
          <w:rFonts w:ascii="宋体" w:hAnsi="宋体"/>
          <w:color w:val="000000"/>
          <w:sz w:val="22"/>
        </w:rPr>
      </w:pPr>
      <w:r>
        <w:rPr>
          <w:rFonts w:hint="eastAsia" w:ascii="宋体" w:hAnsi="宋体" w:cs="宋体"/>
          <w:color w:val="000000"/>
          <w:sz w:val="22"/>
        </w:rPr>
        <w:t>跟踪</w:t>
      </w:r>
      <w:r>
        <w:rPr>
          <w:rFonts w:hint="eastAsia" w:ascii="宋体" w:hAnsi="宋体" w:cs="宋体"/>
          <w:bCs/>
          <w:color w:val="000000"/>
          <w:sz w:val="22"/>
        </w:rPr>
        <w:t>工程</w:t>
      </w:r>
      <w:r>
        <w:rPr>
          <w:rFonts w:hint="eastAsia" w:ascii="宋体" w:hAnsi="宋体" w:cs="宋体"/>
          <w:color w:val="000000"/>
          <w:sz w:val="22"/>
        </w:rPr>
        <w:t>进度，维护</w:t>
      </w:r>
      <w:r>
        <w:rPr>
          <w:rFonts w:hint="eastAsia" w:ascii="宋体" w:hAnsi="宋体" w:cs="宋体"/>
          <w:bCs/>
          <w:color w:val="000000"/>
          <w:sz w:val="22"/>
        </w:rPr>
        <w:t>工程</w:t>
      </w:r>
      <w:r>
        <w:rPr>
          <w:rFonts w:hint="eastAsia" w:ascii="宋体" w:hAnsi="宋体" w:cs="宋体"/>
          <w:color w:val="000000"/>
          <w:sz w:val="22"/>
        </w:rPr>
        <w:t>全过程中的质量检测记录文档。</w:t>
      </w:r>
    </w:p>
    <w:p>
      <w:pPr>
        <w:numPr>
          <w:ilvl w:val="0"/>
          <w:numId w:val="9"/>
        </w:numPr>
        <w:snapToGrid w:val="0"/>
        <w:spacing w:line="360" w:lineRule="auto"/>
        <w:ind w:right="2" w:rightChars="1"/>
        <w:rPr>
          <w:rFonts w:ascii="宋体" w:hAnsi="宋体"/>
          <w:color w:val="000000"/>
          <w:sz w:val="22"/>
        </w:rPr>
      </w:pPr>
      <w:r>
        <w:rPr>
          <w:rFonts w:hint="eastAsia" w:ascii="宋体" w:hAnsi="宋体" w:cs="宋体"/>
          <w:bCs/>
          <w:color w:val="000000"/>
          <w:sz w:val="22"/>
        </w:rPr>
        <w:t>工程</w:t>
      </w:r>
      <w:r>
        <w:rPr>
          <w:rFonts w:hint="eastAsia" w:ascii="宋体" w:hAnsi="宋体" w:cs="宋体"/>
          <w:color w:val="000000"/>
          <w:sz w:val="22"/>
        </w:rPr>
        <w:t>的关键节点进度表。</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1.7.8.7</w:t>
      </w:r>
      <w:r>
        <w:rPr>
          <w:rFonts w:hint="eastAsia" w:ascii="宋体" w:hAnsi="宋体" w:eastAsia="宋体" w:cs="宋体"/>
          <w:b w:val="0"/>
          <w:color w:val="000000"/>
          <w:sz w:val="22"/>
          <w:szCs w:val="22"/>
        </w:rPr>
        <w:t>投标人应按照质量体系的要求提供、填写、整理并保存任何必要的过程记录。发包人可随时查阅这些过程记录。</w:t>
      </w:r>
    </w:p>
    <w:bookmarkEnd w:id="346"/>
    <w:bookmarkEnd w:id="347"/>
    <w:p>
      <w:pPr>
        <w:pStyle w:val="4"/>
        <w:keepNext w:val="0"/>
        <w:numPr>
          <w:ilvl w:val="0"/>
          <w:numId w:val="0"/>
        </w:numPr>
        <w:tabs>
          <w:tab w:val="left" w:pos="720"/>
        </w:tabs>
        <w:snapToGrid w:val="0"/>
        <w:spacing w:line="360" w:lineRule="auto"/>
        <w:ind w:right="2" w:rightChars="1"/>
        <w:rPr>
          <w:rFonts w:hAnsi="宋体"/>
          <w:bCs/>
          <w:color w:val="000000"/>
          <w:sz w:val="22"/>
          <w:szCs w:val="22"/>
        </w:rPr>
      </w:pPr>
      <w:bookmarkStart w:id="348" w:name="_Toc118214035"/>
      <w:bookmarkStart w:id="349" w:name="_Toc119684725"/>
      <w:r>
        <w:rPr>
          <w:rFonts w:ascii="Times New Roman"/>
          <w:bCs/>
          <w:sz w:val="22"/>
          <w:szCs w:val="22"/>
        </w:rPr>
        <w:t>1.7.9</w:t>
      </w:r>
      <w:r>
        <w:rPr>
          <w:rFonts w:hint="eastAsia" w:hAnsi="宋体" w:cs="宋体"/>
          <w:bCs/>
          <w:color w:val="000000"/>
          <w:sz w:val="22"/>
          <w:szCs w:val="22"/>
        </w:rPr>
        <w:t>变更管理</w:t>
      </w:r>
      <w:bookmarkEnd w:id="348"/>
      <w:bookmarkEnd w:id="349"/>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1.7.9.1</w:t>
      </w:r>
      <w:r>
        <w:rPr>
          <w:rFonts w:hint="eastAsia" w:ascii="宋体" w:hAnsi="宋体" w:eastAsia="宋体" w:cs="宋体"/>
          <w:b w:val="0"/>
          <w:color w:val="000000"/>
          <w:sz w:val="22"/>
          <w:szCs w:val="22"/>
        </w:rPr>
        <w:t>在发生变更的情况下，投标人不应提出任何合同价格之外的费用要求，如果投标人提出合同价格之外的费用要求，发包人有权拒绝且不需说明理由。</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1.7.9.2</w:t>
      </w:r>
      <w:r>
        <w:rPr>
          <w:rFonts w:hint="eastAsia" w:ascii="宋体" w:hAnsi="宋体" w:eastAsia="宋体" w:cs="宋体"/>
          <w:b w:val="0"/>
          <w:color w:val="000000"/>
          <w:sz w:val="22"/>
          <w:szCs w:val="22"/>
        </w:rPr>
        <w:t>投标人应及时把所有的变更体现在有关的文档，记录变更的原因、内容、影响、处理过程、处理结果、日期等，并向发包人书面备案。</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1.7.9.3</w:t>
      </w:r>
      <w:r>
        <w:rPr>
          <w:rFonts w:hint="eastAsia" w:ascii="宋体" w:hAnsi="宋体" w:eastAsia="宋体" w:cs="宋体"/>
          <w:b w:val="0"/>
          <w:color w:val="000000"/>
          <w:sz w:val="22"/>
          <w:szCs w:val="22"/>
        </w:rPr>
        <w:t>所有设备的安装位置、信息点位置等，由于建筑结构、土建装修、使用需求或其它因素造成的变更，由发包人发出变更指示，投标人应遵照执行。</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1.7.9.4</w:t>
      </w:r>
      <w:r>
        <w:rPr>
          <w:rFonts w:hint="eastAsia" w:ascii="宋体" w:hAnsi="宋体" w:eastAsia="宋体" w:cs="宋体"/>
          <w:b w:val="0"/>
          <w:color w:val="000000"/>
          <w:sz w:val="22"/>
          <w:szCs w:val="22"/>
        </w:rPr>
        <w:t>发包人可根据业务需求，要求投标人增加合同所包括的设备或材料数量，投标人必须在发包人规定的期限内以不高于合同所列单价提供设备，并完成增加设备的采购、运输、到货、集成、安装、调试、测试工作，投标人不应要求设备或材料采购费用以外的任何费用。</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1.7.9.5</w:t>
      </w:r>
      <w:r>
        <w:rPr>
          <w:rFonts w:hint="eastAsia" w:ascii="宋体" w:hAnsi="宋体" w:eastAsia="宋体" w:cs="宋体"/>
          <w:b w:val="0"/>
          <w:color w:val="000000"/>
          <w:sz w:val="22"/>
          <w:szCs w:val="22"/>
        </w:rPr>
        <w:t>发包人可根据业务需求，更改设备或材料规格颜色、改变应用系统的部分功能要求，投标人必须在发包人规定的期限内完成更改和相关的集成、安装、调试、测试工作，投标人不应要求增加任何费用。</w:t>
      </w:r>
    </w:p>
    <w:p>
      <w:pPr>
        <w:pStyle w:val="5"/>
        <w:keepNext w:val="0"/>
        <w:keepLines w:val="0"/>
        <w:tabs>
          <w:tab w:val="left" w:pos="900"/>
          <w:tab w:val="left" w:pos="960"/>
        </w:tabs>
        <w:snapToGrid w:val="0"/>
        <w:spacing w:before="0" w:after="0" w:line="360" w:lineRule="auto"/>
        <w:ind w:left="960" w:right="2" w:rightChars="1" w:hanging="960"/>
        <w:rPr>
          <w:rFonts w:ascii="宋体" w:hAnsi="宋体" w:eastAsia="宋体"/>
          <w:b w:val="0"/>
          <w:color w:val="000000"/>
          <w:sz w:val="22"/>
          <w:szCs w:val="22"/>
        </w:rPr>
      </w:pPr>
      <w:r>
        <w:rPr>
          <w:rFonts w:ascii="Times New Roman" w:hAnsi="Times New Roman" w:eastAsia="等线"/>
          <w:sz w:val="22"/>
          <w:szCs w:val="22"/>
        </w:rPr>
        <w:t>1.7.9.6</w:t>
      </w:r>
      <w:r>
        <w:rPr>
          <w:rFonts w:hint="eastAsia" w:ascii="宋体" w:hAnsi="宋体" w:eastAsia="宋体" w:cs="宋体"/>
          <w:b w:val="0"/>
          <w:color w:val="000000"/>
          <w:sz w:val="22"/>
          <w:szCs w:val="22"/>
        </w:rPr>
        <w:t>没有发包人的书面指示，投标人不得作任何变更。</w:t>
      </w:r>
    </w:p>
    <w:p>
      <w:pPr>
        <w:pStyle w:val="4"/>
        <w:keepNext w:val="0"/>
        <w:numPr>
          <w:ilvl w:val="0"/>
          <w:numId w:val="0"/>
        </w:numPr>
        <w:tabs>
          <w:tab w:val="left" w:pos="720"/>
        </w:tabs>
        <w:snapToGrid w:val="0"/>
        <w:spacing w:line="360" w:lineRule="auto"/>
        <w:ind w:right="2" w:rightChars="1"/>
        <w:rPr>
          <w:rFonts w:hAnsi="宋体"/>
          <w:b w:val="0"/>
          <w:bCs/>
          <w:color w:val="000000"/>
          <w:sz w:val="22"/>
          <w:szCs w:val="22"/>
        </w:rPr>
      </w:pPr>
      <w:r>
        <w:rPr>
          <w:rFonts w:ascii="Times New Roman"/>
          <w:bCs/>
          <w:sz w:val="22"/>
          <w:szCs w:val="22"/>
        </w:rPr>
        <w:t>1.7.10</w:t>
      </w:r>
      <w:r>
        <w:rPr>
          <w:rFonts w:hint="eastAsia" w:hAnsi="宋体" w:cs="宋体"/>
          <w:bCs/>
          <w:color w:val="000000"/>
          <w:sz w:val="22"/>
          <w:szCs w:val="22"/>
        </w:rPr>
        <w:t>施工、安装与测试</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1.7.10.1</w:t>
      </w:r>
      <w:r>
        <w:rPr>
          <w:rFonts w:hint="eastAsia" w:ascii="宋体" w:hAnsi="宋体" w:eastAsia="宋体" w:cs="宋体"/>
          <w:b w:val="0"/>
          <w:color w:val="000000"/>
          <w:sz w:val="22"/>
          <w:szCs w:val="22"/>
        </w:rPr>
        <w:t>投标人按质量体系要求，管理和控制工程的所有施工、安装、与测试，管理和控制包括但不限于：详细的操作规程、人力资源、所需设备、工作环境。质量体系应为施工、安装与测试的每一步骤提供单独的指导程序。</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1.7.10.2</w:t>
      </w:r>
      <w:r>
        <w:rPr>
          <w:rFonts w:hint="eastAsia" w:ascii="宋体" w:hAnsi="宋体" w:eastAsia="宋体" w:cs="宋体"/>
          <w:b w:val="0"/>
          <w:color w:val="000000"/>
          <w:sz w:val="22"/>
          <w:szCs w:val="22"/>
        </w:rPr>
        <w:t>施工与安装前应对施工及工作条件进行预估，办理相关手续。在施工与安装过程中，保持与发包人、设计方的协调和沟通，接受发包人、工程监督人员的监督和检查。每日记录现场活动、人员及设备使用情况。</w:t>
      </w:r>
    </w:p>
    <w:p>
      <w:pPr>
        <w:pStyle w:val="4"/>
        <w:keepNext w:val="0"/>
        <w:numPr>
          <w:ilvl w:val="0"/>
          <w:numId w:val="0"/>
        </w:numPr>
        <w:tabs>
          <w:tab w:val="left" w:pos="720"/>
          <w:tab w:val="left" w:pos="960"/>
        </w:tabs>
        <w:snapToGrid w:val="0"/>
        <w:spacing w:line="360" w:lineRule="auto"/>
        <w:ind w:right="2" w:rightChars="1"/>
        <w:rPr>
          <w:rFonts w:hAnsi="宋体"/>
          <w:b w:val="0"/>
          <w:bCs/>
          <w:color w:val="000000"/>
          <w:sz w:val="22"/>
          <w:szCs w:val="22"/>
        </w:rPr>
      </w:pPr>
      <w:bookmarkStart w:id="350" w:name="_Toc119684729"/>
      <w:bookmarkStart w:id="351" w:name="_Toc118214039"/>
      <w:r>
        <w:rPr>
          <w:rFonts w:ascii="Times New Roman"/>
          <w:bCs/>
          <w:sz w:val="22"/>
          <w:szCs w:val="22"/>
        </w:rPr>
        <w:t>1.7.11</w:t>
      </w:r>
      <w:r>
        <w:rPr>
          <w:rFonts w:hint="eastAsia" w:hAnsi="宋体" w:cs="宋体"/>
          <w:bCs/>
          <w:color w:val="000000"/>
          <w:sz w:val="22"/>
          <w:szCs w:val="22"/>
        </w:rPr>
        <w:t>日常管理</w:t>
      </w:r>
      <w:bookmarkEnd w:id="350"/>
      <w:bookmarkEnd w:id="351"/>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1.7.11.1</w:t>
      </w:r>
      <w:r>
        <w:rPr>
          <w:rFonts w:hint="eastAsia" w:ascii="宋体" w:hAnsi="宋体" w:eastAsia="宋体" w:cs="宋体"/>
          <w:b w:val="0"/>
          <w:color w:val="000000"/>
          <w:sz w:val="22"/>
          <w:szCs w:val="22"/>
        </w:rPr>
        <w:t>投标人就安全、消防、卫生、用电等方面制定相应的管理规章制度，报发包人并严格执行，做到安全施工、文明管理。</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1.7.11.2</w:t>
      </w:r>
      <w:r>
        <w:rPr>
          <w:rFonts w:hint="eastAsia" w:ascii="宋体" w:hAnsi="宋体" w:eastAsia="宋体" w:cs="宋体"/>
          <w:b w:val="0"/>
          <w:color w:val="000000"/>
          <w:sz w:val="22"/>
          <w:szCs w:val="22"/>
        </w:rPr>
        <w:t>在工程施工期间，投标人保持现场不出现不必要的障碍物，存放并处置好设备和材料，清运废料、垃圾。</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1.7.11.3</w:t>
      </w:r>
      <w:r>
        <w:rPr>
          <w:rFonts w:hint="eastAsia" w:ascii="宋体" w:hAnsi="宋体" w:eastAsia="宋体" w:cs="宋体"/>
          <w:b w:val="0"/>
          <w:color w:val="000000"/>
          <w:sz w:val="22"/>
          <w:szCs w:val="22"/>
        </w:rPr>
        <w:t>在工程结束正式移交给发包人之前，投标人从其施工现场清运全部施工设备、材料、垃圾，保持现场清洁整齐。投标人可以在现场保留为完成系统质保期内的各项义务所需要的材料、设备，直至系统质保期结束，但须服从发包人安排，并承担可能发生的费用。</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1.7.11.4</w:t>
      </w:r>
      <w:r>
        <w:rPr>
          <w:rFonts w:hint="eastAsia" w:ascii="宋体" w:hAnsi="宋体" w:eastAsia="宋体" w:cs="宋体"/>
          <w:b w:val="0"/>
          <w:color w:val="000000"/>
          <w:sz w:val="22"/>
          <w:szCs w:val="22"/>
        </w:rPr>
        <w:t>除合同中另有约定，从工程开工日期起直到整个工程的竣工止，承包商应对整个工程、施工过程的中间成果、工程材料、待安装及已经安装的工程设备（服务器、工作站、外设等）等的保护负完全责任。</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1.7.11.5</w:t>
      </w:r>
      <w:r>
        <w:rPr>
          <w:rFonts w:hint="eastAsia" w:ascii="宋体" w:hAnsi="宋体" w:eastAsia="宋体" w:cs="宋体"/>
          <w:b w:val="0"/>
          <w:color w:val="000000"/>
          <w:sz w:val="22"/>
          <w:szCs w:val="22"/>
        </w:rPr>
        <w:t>工程期间，投标人的中间成果、设备、材料损坏或丢失，不论何种原因，投标人必须免费修理或补足。</w:t>
      </w:r>
    </w:p>
    <w:p>
      <w:pPr>
        <w:pStyle w:val="4"/>
        <w:keepNext w:val="0"/>
        <w:numPr>
          <w:ilvl w:val="0"/>
          <w:numId w:val="0"/>
        </w:numPr>
        <w:tabs>
          <w:tab w:val="left" w:pos="720"/>
          <w:tab w:val="left" w:pos="960"/>
        </w:tabs>
        <w:snapToGrid w:val="0"/>
        <w:spacing w:line="360" w:lineRule="auto"/>
        <w:ind w:right="2" w:rightChars="1"/>
        <w:rPr>
          <w:rFonts w:hAnsi="宋体"/>
          <w:color w:val="000000"/>
          <w:sz w:val="22"/>
          <w:szCs w:val="22"/>
        </w:rPr>
      </w:pPr>
      <w:r>
        <w:rPr>
          <w:rFonts w:ascii="Times New Roman"/>
          <w:bCs/>
          <w:sz w:val="22"/>
          <w:szCs w:val="22"/>
        </w:rPr>
        <w:t>1.7.12</w:t>
      </w:r>
      <w:r>
        <w:rPr>
          <w:rFonts w:hint="eastAsia" w:hAnsi="宋体" w:cs="宋体"/>
          <w:color w:val="000000"/>
          <w:sz w:val="22"/>
          <w:szCs w:val="22"/>
        </w:rPr>
        <w:t>招标人对工程主要材料（设备）的要求</w:t>
      </w:r>
    </w:p>
    <w:p>
      <w:pPr>
        <w:spacing w:line="360" w:lineRule="auto"/>
        <w:ind w:firstLine="440" w:firstLineChars="200"/>
        <w:rPr>
          <w:rFonts w:ascii="宋体" w:hAnsi="宋体"/>
          <w:color w:val="000000"/>
          <w:sz w:val="22"/>
        </w:rPr>
      </w:pPr>
      <w:r>
        <w:rPr>
          <w:rFonts w:hint="eastAsia" w:ascii="宋体" w:hAnsi="宋体" w:cs="宋体"/>
          <w:color w:val="000000"/>
          <w:sz w:val="22"/>
        </w:rPr>
        <w:t>本工程部分材料设备，招标人推荐以下生产厂或品牌，投标人自选其一或自选“同档次及以上”生产厂或品牌，竞争报价，并在填报的主要材料（设备）品牌要求选择一览表中明确注明所选材料（设备）生产厂或品牌等；如选择“同档次及以上”生产厂或品牌的，应自行考虑是否能被评标委员会所接受的风险。</w:t>
      </w:r>
    </w:p>
    <w:p>
      <w:pPr>
        <w:spacing w:line="360" w:lineRule="auto"/>
        <w:ind w:firstLine="440" w:firstLineChars="200"/>
        <w:rPr>
          <w:rFonts w:ascii="宋体" w:hAnsi="宋体"/>
          <w:color w:val="000000"/>
          <w:sz w:val="22"/>
        </w:rPr>
      </w:pPr>
      <w:r>
        <w:rPr>
          <w:rFonts w:hint="eastAsia" w:ascii="宋体" w:hAnsi="宋体" w:cs="宋体"/>
          <w:color w:val="000000"/>
          <w:sz w:val="22"/>
        </w:rPr>
        <w:t>其中，承包人在施工时须按投标的品牌及厂家采购，采购前一个月内向发包人提供样品，并经发包人认可封样后方可采购；如遇投标人自身的原因而更换的，须经发包人同意方可更换，而更换的品牌及厂家须在招标时发包人推荐品牌中除“同档次及以上”外的范围内选定，材料（设备）价格不超过投标价。在施工过程中，材料（设备）色泽必须事先经发包人确认，无论材料色泽如何变化，价格均不予调整，请投标人在报价时考虑此因素。</w:t>
      </w:r>
    </w:p>
    <w:p>
      <w:pPr>
        <w:rPr>
          <w:color w:val="000000"/>
        </w:rPr>
      </w:pPr>
    </w:p>
    <w:p>
      <w:pPr>
        <w:overflowPunct w:val="0"/>
        <w:autoSpaceDE w:val="0"/>
        <w:autoSpaceDN w:val="0"/>
        <w:spacing w:line="440" w:lineRule="exact"/>
        <w:ind w:left="839" w:hanging="839"/>
        <w:jc w:val="center"/>
        <w:rPr>
          <w:rFonts w:hint="eastAsia" w:ascii="宋体" w:cs="宋体"/>
          <w:b/>
          <w:sz w:val="32"/>
          <w:szCs w:val="32"/>
        </w:rPr>
      </w:pPr>
    </w:p>
    <w:p/>
    <w:sectPr>
      <w:footerReference r:id="rId9" w:type="first"/>
      <w:headerReference r:id="rId7" w:type="default"/>
      <w:footerReference r:id="rId8" w:type="default"/>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Futura Bk">
    <w:altName w:val="微软雅黑"/>
    <w:panose1 w:val="00000000000000000000"/>
    <w:charset w:val="00"/>
    <w:family w:val="swiss"/>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Heiti SC Light">
    <w:altName w:val="Arial Unicode MS"/>
    <w:panose1 w:val="00000000000000000000"/>
    <w:charset w:val="5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fldChar w:fldCharType="begin"/>
    </w:r>
    <w:r>
      <w:instrText xml:space="preserve">PAGE   \* MERGEFORMAT</w:instrText>
    </w:r>
    <w:r>
      <w:fldChar w:fldCharType="separate"/>
    </w:r>
    <w:r>
      <w:rPr>
        <w:lang w:val="zh-CN"/>
      </w:rPr>
      <w:t>1</w:t>
    </w:r>
    <w:r>
      <w:fldChar w:fldCharType="end"/>
    </w:r>
  </w:p>
  <w:p>
    <w:pPr>
      <w:pStyle w:val="3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0"/>
      </w:rPr>
    </w:pPr>
    <w:r>
      <w:fldChar w:fldCharType="begin"/>
    </w:r>
    <w:r>
      <w:rPr>
        <w:rStyle w:val="60"/>
      </w:rPr>
      <w:instrText xml:space="preserve">PAGE  </w:instrText>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fldChar w:fldCharType="begin"/>
    </w:r>
    <w:r>
      <w:instrText xml:space="preserve">PAGE   \* MERGEFORMAT</w:instrText>
    </w:r>
    <w:r>
      <w:fldChar w:fldCharType="separate"/>
    </w:r>
    <w:r>
      <w:rPr>
        <w:lang w:val="zh-CN"/>
      </w:rPr>
      <w:t>128</w:t>
    </w:r>
    <w:r>
      <w:fldChar w:fldCharType="end"/>
    </w:r>
  </w:p>
  <w:p>
    <w:pPr>
      <w:pStyle w:val="37"/>
      <w:ind w:right="360"/>
      <w:rPr>
        <w:rFonts w:ascii="宋体"/>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0"/>
      </w:rPr>
    </w:pPr>
    <w:r>
      <w:fldChar w:fldCharType="begin"/>
    </w:r>
    <w:r>
      <w:rPr>
        <w:rStyle w:val="60"/>
      </w:rPr>
      <w:instrText xml:space="preserve">PAGE  </w:instrText>
    </w:r>
    <w:r>
      <w:fldChar w:fldCharType="separate"/>
    </w:r>
    <w:r>
      <w:rPr>
        <w:rStyle w:val="60"/>
      </w:rPr>
      <w:t>40</w:t>
    </w:r>
    <w: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hint="eastAsia" w:ascii="宋体" w:hAnsi="宋体"/>
        <w:color w:val="000000"/>
        <w:szCs w:val="18"/>
      </w:rPr>
    </w:pPr>
    <w:r>
      <w:rPr>
        <w:rFonts w:hint="eastAsia" w:ascii="宋体" w:hAnsi="宋体"/>
        <w:color w:val="000000"/>
        <w:szCs w:val="18"/>
      </w:rPr>
      <w:t>杭州萧山国际机场国际快件中心监控新增和围界报警系统改造工程施工招标文件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rPr>
        <w: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1">
    <w:nsid w:val="004509D0"/>
    <w:multiLevelType w:val="multilevel"/>
    <w:tmpl w:val="004509D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243251F"/>
    <w:multiLevelType w:val="singleLevel"/>
    <w:tmpl w:val="3243251F"/>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3">
    <w:nsid w:val="3B8E46FB"/>
    <w:multiLevelType w:val="singleLevel"/>
    <w:tmpl w:val="3B8E46FB"/>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cs="Times New Roman"/>
      </w:rPr>
    </w:lvl>
    <w:lvl w:ilvl="1" w:tentative="0">
      <w:start w:val="1"/>
      <w:numFmt w:val="decimalEnclosedCircle"/>
      <w:lvlText w:val="%2"/>
      <w:lvlJc w:val="left"/>
      <w:pPr>
        <w:tabs>
          <w:tab w:val="left" w:pos="1335"/>
        </w:tabs>
        <w:ind w:left="1335" w:hanging="360"/>
      </w:pPr>
      <w:rPr>
        <w:rFonts w:hint="eastAsia" w:hAnsi="宋体" w:cs="Times New Roman"/>
      </w:rPr>
    </w:lvl>
    <w:lvl w:ilvl="2" w:tentative="0">
      <w:start w:val="1"/>
      <w:numFmt w:val="lowerRoman"/>
      <w:lvlText w:val="%3."/>
      <w:lvlJc w:val="right"/>
      <w:pPr>
        <w:tabs>
          <w:tab w:val="left" w:pos="420"/>
        </w:tabs>
        <w:ind w:left="420" w:hanging="420"/>
      </w:pPr>
      <w:rPr>
        <w:rFonts w:cs="Times New Roman"/>
      </w:rPr>
    </w:lvl>
    <w:lvl w:ilvl="3" w:tentative="0">
      <w:start w:val="1"/>
      <w:numFmt w:val="decimal"/>
      <w:lvlText w:val="%4."/>
      <w:lvlJc w:val="left"/>
      <w:pPr>
        <w:tabs>
          <w:tab w:val="left" w:pos="2235"/>
        </w:tabs>
        <w:ind w:left="2235" w:hanging="420"/>
      </w:pPr>
      <w:rPr>
        <w:rFonts w:cs="Times New Roman"/>
      </w:rPr>
    </w:lvl>
    <w:lvl w:ilvl="4" w:tentative="0">
      <w:start w:val="1"/>
      <w:numFmt w:val="lowerLetter"/>
      <w:lvlText w:val="%5)"/>
      <w:lvlJc w:val="left"/>
      <w:pPr>
        <w:tabs>
          <w:tab w:val="left" w:pos="2655"/>
        </w:tabs>
        <w:ind w:left="2655" w:hanging="420"/>
      </w:pPr>
      <w:rPr>
        <w:rFonts w:cs="Times New Roman"/>
      </w:rPr>
    </w:lvl>
    <w:lvl w:ilvl="5" w:tentative="0">
      <w:start w:val="1"/>
      <w:numFmt w:val="lowerRoman"/>
      <w:lvlText w:val="%6."/>
      <w:lvlJc w:val="right"/>
      <w:pPr>
        <w:tabs>
          <w:tab w:val="left" w:pos="3075"/>
        </w:tabs>
        <w:ind w:left="3075" w:hanging="420"/>
      </w:pPr>
      <w:rPr>
        <w:rFonts w:cs="Times New Roman"/>
      </w:rPr>
    </w:lvl>
    <w:lvl w:ilvl="6" w:tentative="0">
      <w:start w:val="1"/>
      <w:numFmt w:val="decimal"/>
      <w:lvlText w:val="%7."/>
      <w:lvlJc w:val="left"/>
      <w:pPr>
        <w:tabs>
          <w:tab w:val="left" w:pos="3495"/>
        </w:tabs>
        <w:ind w:left="3495" w:hanging="420"/>
      </w:pPr>
      <w:rPr>
        <w:rFonts w:cs="Times New Roman"/>
      </w:rPr>
    </w:lvl>
    <w:lvl w:ilvl="7" w:tentative="0">
      <w:start w:val="1"/>
      <w:numFmt w:val="lowerLetter"/>
      <w:lvlText w:val="%8)"/>
      <w:lvlJc w:val="left"/>
      <w:pPr>
        <w:tabs>
          <w:tab w:val="left" w:pos="3915"/>
        </w:tabs>
        <w:ind w:left="3915" w:hanging="420"/>
      </w:pPr>
      <w:rPr>
        <w:rFonts w:cs="Times New Roman"/>
      </w:rPr>
    </w:lvl>
    <w:lvl w:ilvl="8" w:tentative="0">
      <w:start w:val="1"/>
      <w:numFmt w:val="lowerRoman"/>
      <w:lvlText w:val="%9."/>
      <w:lvlJc w:val="right"/>
      <w:pPr>
        <w:tabs>
          <w:tab w:val="left" w:pos="4335"/>
        </w:tabs>
        <w:ind w:left="4335" w:hanging="420"/>
      </w:pPr>
      <w:rPr>
        <w:rFonts w:cs="Times New Roman"/>
      </w:rPr>
    </w:lvl>
  </w:abstractNum>
  <w:abstractNum w:abstractNumId="5">
    <w:nsid w:val="580EB212"/>
    <w:multiLevelType w:val="singleLevel"/>
    <w:tmpl w:val="580EB212"/>
    <w:lvl w:ilvl="0" w:tentative="0">
      <w:start w:val="1"/>
      <w:numFmt w:val="lowerLetter"/>
      <w:suff w:val="space"/>
      <w:lvlText w:val="%1、"/>
      <w:lvlJc w:val="left"/>
      <w:rPr>
        <w:rFonts w:cs="Times New Roman"/>
      </w:rPr>
    </w:lvl>
  </w:abstractNum>
  <w:abstractNum w:abstractNumId="6">
    <w:nsid w:val="580ED017"/>
    <w:multiLevelType w:val="multilevel"/>
    <w:tmpl w:val="580ED01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580ED022"/>
    <w:multiLevelType w:val="multilevel"/>
    <w:tmpl w:val="580ED022"/>
    <w:lvl w:ilvl="0" w:tentative="0">
      <w:start w:val="1"/>
      <w:numFmt w:val="decimal"/>
      <w:lvlText w:val="%1)"/>
      <w:lvlJc w:val="left"/>
      <w:pPr>
        <w:tabs>
          <w:tab w:val="left" w:pos="1140"/>
        </w:tabs>
        <w:ind w:left="1140" w:hanging="420"/>
      </w:pPr>
      <w:rPr>
        <w:rFonts w:cs="Times New Roman"/>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87"/>
      <w:lvlText w:val=""/>
      <w:lvlJc w:val="left"/>
      <w:pPr>
        <w:tabs>
          <w:tab w:val="left" w:pos="3780"/>
        </w:tabs>
        <w:ind w:left="3780" w:hanging="420"/>
      </w:pPr>
      <w:rPr>
        <w:rFonts w:hint="default" w:ascii="Wingdings" w:hAnsi="Wingdings"/>
      </w:rPr>
    </w:lvl>
  </w:abstractNum>
  <w:num w:numId="1">
    <w:abstractNumId w:val="4"/>
  </w:num>
  <w:num w:numId="2">
    <w:abstractNumId w:val="2"/>
  </w:num>
  <w:num w:numId="3">
    <w:abstractNumId w:val="3"/>
  </w:num>
  <w:num w:numId="4">
    <w:abstractNumId w:val="8"/>
  </w:num>
  <w:num w:numId="5">
    <w:abstractNumId w:val="5"/>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DC"/>
    <w:rsid w:val="00012EF4"/>
    <w:rsid w:val="00015A87"/>
    <w:rsid w:val="000330F4"/>
    <w:rsid w:val="000364CD"/>
    <w:rsid w:val="000548D5"/>
    <w:rsid w:val="00063CB4"/>
    <w:rsid w:val="00067938"/>
    <w:rsid w:val="00072BE7"/>
    <w:rsid w:val="00081DF4"/>
    <w:rsid w:val="00085498"/>
    <w:rsid w:val="0008603D"/>
    <w:rsid w:val="0009401C"/>
    <w:rsid w:val="000B3E64"/>
    <w:rsid w:val="000D4743"/>
    <w:rsid w:val="00114431"/>
    <w:rsid w:val="00126304"/>
    <w:rsid w:val="00144ECC"/>
    <w:rsid w:val="00157747"/>
    <w:rsid w:val="00157C2A"/>
    <w:rsid w:val="00194417"/>
    <w:rsid w:val="001A025F"/>
    <w:rsid w:val="001A2C8A"/>
    <w:rsid w:val="001B4EBF"/>
    <w:rsid w:val="001B74D1"/>
    <w:rsid w:val="001B7B85"/>
    <w:rsid w:val="001D16EF"/>
    <w:rsid w:val="001D4A33"/>
    <w:rsid w:val="001F5F11"/>
    <w:rsid w:val="00207A02"/>
    <w:rsid w:val="00207FDB"/>
    <w:rsid w:val="00215680"/>
    <w:rsid w:val="00220CDB"/>
    <w:rsid w:val="00226B62"/>
    <w:rsid w:val="00231DE4"/>
    <w:rsid w:val="00237E7F"/>
    <w:rsid w:val="00257A8C"/>
    <w:rsid w:val="00266189"/>
    <w:rsid w:val="00271DA4"/>
    <w:rsid w:val="00274CF1"/>
    <w:rsid w:val="00282592"/>
    <w:rsid w:val="00290CF4"/>
    <w:rsid w:val="002B50D5"/>
    <w:rsid w:val="002E0D8A"/>
    <w:rsid w:val="002E0DE9"/>
    <w:rsid w:val="003165CB"/>
    <w:rsid w:val="00380ED4"/>
    <w:rsid w:val="003B6ABA"/>
    <w:rsid w:val="003B6DFB"/>
    <w:rsid w:val="003D510B"/>
    <w:rsid w:val="003D616C"/>
    <w:rsid w:val="003E3DF1"/>
    <w:rsid w:val="003E5B43"/>
    <w:rsid w:val="003E7B2F"/>
    <w:rsid w:val="003F2458"/>
    <w:rsid w:val="00404420"/>
    <w:rsid w:val="00410084"/>
    <w:rsid w:val="004102EC"/>
    <w:rsid w:val="004136E2"/>
    <w:rsid w:val="00417B57"/>
    <w:rsid w:val="0044307B"/>
    <w:rsid w:val="0048293C"/>
    <w:rsid w:val="00486E29"/>
    <w:rsid w:val="004A1BC0"/>
    <w:rsid w:val="004F5249"/>
    <w:rsid w:val="004F5A06"/>
    <w:rsid w:val="004F6A52"/>
    <w:rsid w:val="004F7D2D"/>
    <w:rsid w:val="00500CE1"/>
    <w:rsid w:val="005015A9"/>
    <w:rsid w:val="005041A0"/>
    <w:rsid w:val="00510544"/>
    <w:rsid w:val="005239A5"/>
    <w:rsid w:val="0053131D"/>
    <w:rsid w:val="00543292"/>
    <w:rsid w:val="00555923"/>
    <w:rsid w:val="00555CD9"/>
    <w:rsid w:val="0056129D"/>
    <w:rsid w:val="00567390"/>
    <w:rsid w:val="0057015B"/>
    <w:rsid w:val="00571194"/>
    <w:rsid w:val="005A38DC"/>
    <w:rsid w:val="005B69D6"/>
    <w:rsid w:val="005D418E"/>
    <w:rsid w:val="005E2650"/>
    <w:rsid w:val="006100AB"/>
    <w:rsid w:val="00624B94"/>
    <w:rsid w:val="00634C26"/>
    <w:rsid w:val="0065520E"/>
    <w:rsid w:val="00660078"/>
    <w:rsid w:val="006656BA"/>
    <w:rsid w:val="006736B8"/>
    <w:rsid w:val="0067531E"/>
    <w:rsid w:val="006826D7"/>
    <w:rsid w:val="006A3487"/>
    <w:rsid w:val="006B279C"/>
    <w:rsid w:val="006B68F9"/>
    <w:rsid w:val="006C0B49"/>
    <w:rsid w:val="006C0F5C"/>
    <w:rsid w:val="006C740B"/>
    <w:rsid w:val="006D092B"/>
    <w:rsid w:val="006D62FE"/>
    <w:rsid w:val="006E6131"/>
    <w:rsid w:val="00700BF0"/>
    <w:rsid w:val="00712EA8"/>
    <w:rsid w:val="00713B85"/>
    <w:rsid w:val="00726DA1"/>
    <w:rsid w:val="00736ACF"/>
    <w:rsid w:val="00773E60"/>
    <w:rsid w:val="0078535A"/>
    <w:rsid w:val="007868AE"/>
    <w:rsid w:val="00797D73"/>
    <w:rsid w:val="007C6AC6"/>
    <w:rsid w:val="007D003C"/>
    <w:rsid w:val="007D367C"/>
    <w:rsid w:val="007E3F72"/>
    <w:rsid w:val="007F33AA"/>
    <w:rsid w:val="007F3A5C"/>
    <w:rsid w:val="007F56C7"/>
    <w:rsid w:val="008142AD"/>
    <w:rsid w:val="008147AA"/>
    <w:rsid w:val="008321D1"/>
    <w:rsid w:val="00842F65"/>
    <w:rsid w:val="008A26D8"/>
    <w:rsid w:val="008B6302"/>
    <w:rsid w:val="008C2CD2"/>
    <w:rsid w:val="008D4F05"/>
    <w:rsid w:val="008F53F0"/>
    <w:rsid w:val="008F5FC4"/>
    <w:rsid w:val="009113D5"/>
    <w:rsid w:val="00925B09"/>
    <w:rsid w:val="00947D56"/>
    <w:rsid w:val="009A6DDA"/>
    <w:rsid w:val="009B7EAA"/>
    <w:rsid w:val="009C573D"/>
    <w:rsid w:val="009D71B4"/>
    <w:rsid w:val="009E08AF"/>
    <w:rsid w:val="009F1B1D"/>
    <w:rsid w:val="009F4CD7"/>
    <w:rsid w:val="00A12357"/>
    <w:rsid w:val="00A17E59"/>
    <w:rsid w:val="00A21C8B"/>
    <w:rsid w:val="00A3482D"/>
    <w:rsid w:val="00A47D97"/>
    <w:rsid w:val="00A501EB"/>
    <w:rsid w:val="00A513FA"/>
    <w:rsid w:val="00A51605"/>
    <w:rsid w:val="00A54FF7"/>
    <w:rsid w:val="00A55543"/>
    <w:rsid w:val="00A6141A"/>
    <w:rsid w:val="00A7715C"/>
    <w:rsid w:val="00A82892"/>
    <w:rsid w:val="00A92208"/>
    <w:rsid w:val="00A925E0"/>
    <w:rsid w:val="00AA1747"/>
    <w:rsid w:val="00AB494A"/>
    <w:rsid w:val="00AB5877"/>
    <w:rsid w:val="00B12BC1"/>
    <w:rsid w:val="00B22D34"/>
    <w:rsid w:val="00B377F5"/>
    <w:rsid w:val="00B5515F"/>
    <w:rsid w:val="00B64CA4"/>
    <w:rsid w:val="00B7093C"/>
    <w:rsid w:val="00B8146C"/>
    <w:rsid w:val="00B92C8B"/>
    <w:rsid w:val="00BA1525"/>
    <w:rsid w:val="00BA5708"/>
    <w:rsid w:val="00BB2D18"/>
    <w:rsid w:val="00C311D7"/>
    <w:rsid w:val="00C65258"/>
    <w:rsid w:val="00C70CC3"/>
    <w:rsid w:val="00C918BD"/>
    <w:rsid w:val="00C93015"/>
    <w:rsid w:val="00C940A6"/>
    <w:rsid w:val="00CA2C47"/>
    <w:rsid w:val="00CA3509"/>
    <w:rsid w:val="00CA4BF1"/>
    <w:rsid w:val="00CB7845"/>
    <w:rsid w:val="00CC519A"/>
    <w:rsid w:val="00CE4702"/>
    <w:rsid w:val="00CF67B3"/>
    <w:rsid w:val="00D12CA3"/>
    <w:rsid w:val="00D26F9D"/>
    <w:rsid w:val="00D328B7"/>
    <w:rsid w:val="00D334B7"/>
    <w:rsid w:val="00D70415"/>
    <w:rsid w:val="00D83E91"/>
    <w:rsid w:val="00D947BF"/>
    <w:rsid w:val="00DA3E4B"/>
    <w:rsid w:val="00DC5524"/>
    <w:rsid w:val="00DD007E"/>
    <w:rsid w:val="00DD273D"/>
    <w:rsid w:val="00DF4BD8"/>
    <w:rsid w:val="00DF517C"/>
    <w:rsid w:val="00E14CF8"/>
    <w:rsid w:val="00E22250"/>
    <w:rsid w:val="00E35AA8"/>
    <w:rsid w:val="00E37FBF"/>
    <w:rsid w:val="00E41219"/>
    <w:rsid w:val="00E5018D"/>
    <w:rsid w:val="00E55042"/>
    <w:rsid w:val="00E74A00"/>
    <w:rsid w:val="00EA5BC9"/>
    <w:rsid w:val="00EB3514"/>
    <w:rsid w:val="00ED0393"/>
    <w:rsid w:val="00ED2EF5"/>
    <w:rsid w:val="00F12E55"/>
    <w:rsid w:val="00F228A6"/>
    <w:rsid w:val="00F83D27"/>
    <w:rsid w:val="00F8442C"/>
    <w:rsid w:val="00F96051"/>
    <w:rsid w:val="00FA447F"/>
    <w:rsid w:val="00FB4CB9"/>
    <w:rsid w:val="00FB63E8"/>
    <w:rsid w:val="060779D4"/>
    <w:rsid w:val="077B323F"/>
    <w:rsid w:val="0B0913A6"/>
    <w:rsid w:val="0C650ABF"/>
    <w:rsid w:val="0DB27965"/>
    <w:rsid w:val="16700954"/>
    <w:rsid w:val="18F14D6D"/>
    <w:rsid w:val="1A706C9F"/>
    <w:rsid w:val="1E8A2C0E"/>
    <w:rsid w:val="2278704C"/>
    <w:rsid w:val="22FA12C3"/>
    <w:rsid w:val="258A16CF"/>
    <w:rsid w:val="2FEF20B3"/>
    <w:rsid w:val="30774AAF"/>
    <w:rsid w:val="325241B2"/>
    <w:rsid w:val="34935E41"/>
    <w:rsid w:val="35A74CE4"/>
    <w:rsid w:val="376F1768"/>
    <w:rsid w:val="383073CB"/>
    <w:rsid w:val="389E1305"/>
    <w:rsid w:val="40C021BF"/>
    <w:rsid w:val="40E51914"/>
    <w:rsid w:val="41763F4F"/>
    <w:rsid w:val="432603AF"/>
    <w:rsid w:val="43ED79EC"/>
    <w:rsid w:val="45E93DE5"/>
    <w:rsid w:val="48B800EF"/>
    <w:rsid w:val="4FD96B84"/>
    <w:rsid w:val="50137AE3"/>
    <w:rsid w:val="530337F6"/>
    <w:rsid w:val="57BD04DE"/>
    <w:rsid w:val="587A06BB"/>
    <w:rsid w:val="58B801E8"/>
    <w:rsid w:val="599E3CAB"/>
    <w:rsid w:val="65B63A11"/>
    <w:rsid w:val="65F619BC"/>
    <w:rsid w:val="66942AE8"/>
    <w:rsid w:val="696A1EF1"/>
    <w:rsid w:val="6A957EE3"/>
    <w:rsid w:val="7B1322B8"/>
    <w:rsid w:val="7D797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link w:val="150"/>
    <w:qFormat/>
    <w:uiPriority w:val="0"/>
    <w:pPr>
      <w:keepNext/>
      <w:keepLines/>
      <w:spacing w:before="340" w:after="330" w:line="360" w:lineRule="auto"/>
      <w:jc w:val="center"/>
      <w:outlineLvl w:val="0"/>
    </w:pPr>
    <w:rPr>
      <w:rFonts w:ascii="Times New Roman" w:hAnsi="Times New Roman"/>
      <w:b/>
      <w:bCs/>
      <w:kern w:val="44"/>
      <w:sz w:val="30"/>
      <w:szCs w:val="44"/>
    </w:rPr>
  </w:style>
  <w:style w:type="paragraph" w:styleId="3">
    <w:name w:val="heading 2"/>
    <w:basedOn w:val="1"/>
    <w:next w:val="1"/>
    <w:link w:val="183"/>
    <w:qFormat/>
    <w:uiPriority w:val="0"/>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112"/>
    <w:qFormat/>
    <w:uiPriority w:val="0"/>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126"/>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175"/>
    <w:qFormat/>
    <w:uiPriority w:val="0"/>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182"/>
    <w:qFormat/>
    <w:uiPriority w:val="0"/>
    <w:pPr>
      <w:keepNext/>
      <w:keepLines/>
      <w:spacing w:before="240" w:after="64" w:line="320" w:lineRule="auto"/>
      <w:outlineLvl w:val="5"/>
    </w:pPr>
    <w:rPr>
      <w:rFonts w:ascii="Arial" w:hAnsi="Arial" w:eastAsia="黑体"/>
      <w:b/>
      <w:bCs/>
      <w:kern w:val="0"/>
    </w:rPr>
  </w:style>
  <w:style w:type="paragraph" w:styleId="8">
    <w:name w:val="heading 7"/>
    <w:basedOn w:val="1"/>
    <w:next w:val="1"/>
    <w:link w:val="148"/>
    <w:qFormat/>
    <w:uiPriority w:val="0"/>
    <w:pPr>
      <w:keepNext/>
      <w:keepLines/>
      <w:tabs>
        <w:tab w:val="left" w:pos="1296"/>
      </w:tabs>
      <w:spacing w:before="240" w:after="64" w:line="320" w:lineRule="auto"/>
      <w:ind w:left="1296" w:hanging="1296"/>
      <w:outlineLvl w:val="6"/>
    </w:pPr>
    <w:rPr>
      <w:rFonts w:ascii="Times New Roman" w:hAnsi="Times New Roman"/>
      <w:b/>
      <w:bCs/>
      <w:kern w:val="0"/>
    </w:rPr>
  </w:style>
  <w:style w:type="paragraph" w:styleId="9">
    <w:name w:val="heading 8"/>
    <w:basedOn w:val="1"/>
    <w:next w:val="1"/>
    <w:link w:val="151"/>
    <w:qFormat/>
    <w:uiPriority w:val="0"/>
    <w:pPr>
      <w:keepNext/>
      <w:keepLines/>
      <w:tabs>
        <w:tab w:val="left" w:pos="1440"/>
      </w:tabs>
      <w:spacing w:before="240" w:after="64" w:line="320" w:lineRule="auto"/>
      <w:ind w:left="1440" w:hanging="1440"/>
      <w:outlineLvl w:val="7"/>
    </w:pPr>
    <w:rPr>
      <w:rFonts w:ascii="Arial" w:hAnsi="Arial" w:eastAsia="黑体"/>
      <w:kern w:val="0"/>
    </w:rPr>
  </w:style>
  <w:style w:type="paragraph" w:styleId="10">
    <w:name w:val="heading 9"/>
    <w:basedOn w:val="1"/>
    <w:next w:val="1"/>
    <w:link w:val="153"/>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8">
    <w:name w:val="Default Paragraph Font"/>
    <w:semiHidden/>
    <w:qFormat/>
    <w:uiPriority w:val="0"/>
  </w:style>
  <w:style w:type="table" w:default="1" w:styleId="57">
    <w:name w:val="Normal Table"/>
    <w:semiHidden/>
    <w:qFormat/>
    <w:uiPriority w:val="0"/>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sz w:val="21"/>
    </w:rPr>
  </w:style>
  <w:style w:type="paragraph" w:styleId="12">
    <w:name w:val="toc 7"/>
    <w:basedOn w:val="1"/>
    <w:next w:val="1"/>
    <w:qFormat/>
    <w:uiPriority w:val="0"/>
    <w:pPr>
      <w:ind w:left="1260"/>
      <w:jc w:val="left"/>
    </w:pPr>
    <w:rPr>
      <w:rFonts w:ascii="Times New Roman" w:hAnsi="Times New Roman"/>
      <w:sz w:val="20"/>
      <w:szCs w:val="20"/>
    </w:rPr>
  </w:style>
  <w:style w:type="paragraph" w:styleId="13">
    <w:name w:val="table of authorities"/>
    <w:basedOn w:val="1"/>
    <w:next w:val="1"/>
    <w:qFormat/>
    <w:uiPriority w:val="0"/>
    <w:pPr>
      <w:ind w:left="420" w:leftChars="200"/>
    </w:pPr>
    <w:rPr>
      <w:rFonts w:ascii="Times New Roman" w:hAnsi="Times New Roman"/>
      <w:sz w:val="21"/>
    </w:rPr>
  </w:style>
  <w:style w:type="paragraph" w:styleId="14">
    <w:name w:val="Note Heading"/>
    <w:basedOn w:val="1"/>
    <w:next w:val="1"/>
    <w:link w:val="144"/>
    <w:uiPriority w:val="0"/>
    <w:pPr>
      <w:spacing w:line="240" w:lineRule="exact"/>
    </w:pPr>
    <w:rPr>
      <w:rFonts w:ascii="Calibri" w:hAnsi="Calibri"/>
      <w:kern w:val="15"/>
      <w:szCs w:val="20"/>
    </w:rPr>
  </w:style>
  <w:style w:type="paragraph" w:styleId="15">
    <w:name w:val="Normal Indent"/>
    <w:basedOn w:val="1"/>
    <w:link w:val="172"/>
    <w:uiPriority w:val="0"/>
    <w:pPr>
      <w:ind w:firstLine="420"/>
    </w:pPr>
    <w:rPr>
      <w:rFonts w:ascii="Times New Roman" w:hAnsi="Times New Roman"/>
      <w:sz w:val="21"/>
      <w:szCs w:val="20"/>
    </w:rPr>
  </w:style>
  <w:style w:type="paragraph" w:styleId="16">
    <w:name w:val="caption"/>
    <w:basedOn w:val="1"/>
    <w:next w:val="1"/>
    <w:qFormat/>
    <w:uiPriority w:val="0"/>
    <w:rPr>
      <w:rFonts w:ascii="Arial" w:hAnsi="Arial" w:eastAsia="黑体" w:cs="Arial"/>
      <w:sz w:val="20"/>
      <w:szCs w:val="20"/>
    </w:rPr>
  </w:style>
  <w:style w:type="paragraph" w:styleId="17">
    <w:name w:val="index 5"/>
    <w:basedOn w:val="1"/>
    <w:next w:val="1"/>
    <w:qFormat/>
    <w:uiPriority w:val="0"/>
    <w:pPr>
      <w:ind w:left="800" w:leftChars="800"/>
    </w:pPr>
    <w:rPr>
      <w:rFonts w:ascii="Times New Roman" w:hAnsi="Times New Roman"/>
      <w:sz w:val="21"/>
    </w:rPr>
  </w:style>
  <w:style w:type="paragraph" w:styleId="18">
    <w:name w:val="List Bullet"/>
    <w:basedOn w:val="1"/>
    <w:qFormat/>
    <w:uiPriority w:val="0"/>
    <w:pPr>
      <w:numPr>
        <w:ilvl w:val="0"/>
        <w:numId w:val="2"/>
      </w:numPr>
    </w:pPr>
  </w:style>
  <w:style w:type="paragraph" w:styleId="19">
    <w:name w:val="Document Map"/>
    <w:basedOn w:val="1"/>
    <w:link w:val="122"/>
    <w:qFormat/>
    <w:uiPriority w:val="0"/>
    <w:pPr>
      <w:shd w:val="clear" w:color="auto" w:fill="000080"/>
    </w:pPr>
    <w:rPr>
      <w:rFonts w:ascii="Times New Roman" w:hAnsi="Times New Roman"/>
      <w:kern w:val="0"/>
      <w:sz w:val="20"/>
      <w:szCs w:val="20"/>
    </w:rPr>
  </w:style>
  <w:style w:type="paragraph" w:styleId="20">
    <w:name w:val="annotation text"/>
    <w:basedOn w:val="1"/>
    <w:link w:val="137"/>
    <w:semiHidden/>
    <w:uiPriority w:val="0"/>
    <w:pPr>
      <w:jc w:val="left"/>
    </w:pPr>
  </w:style>
  <w:style w:type="paragraph" w:styleId="21">
    <w:name w:val="Salutation"/>
    <w:basedOn w:val="1"/>
    <w:next w:val="1"/>
    <w:link w:val="178"/>
    <w:qFormat/>
    <w:uiPriority w:val="0"/>
    <w:rPr>
      <w:rFonts w:ascii="Times New Roman" w:hAnsi="Times New Roman"/>
      <w:kern w:val="0"/>
      <w:sz w:val="20"/>
      <w:szCs w:val="20"/>
    </w:rPr>
  </w:style>
  <w:style w:type="paragraph" w:styleId="22">
    <w:name w:val="Body Text 3"/>
    <w:basedOn w:val="1"/>
    <w:link w:val="176"/>
    <w:uiPriority w:val="0"/>
    <w:pPr>
      <w:adjustRightInd w:val="0"/>
      <w:spacing w:after="120" w:line="360" w:lineRule="atLeast"/>
      <w:textAlignment w:val="baseline"/>
    </w:pPr>
    <w:rPr>
      <w:rFonts w:ascii="Times New Roman" w:hAnsi="Times New Roman"/>
      <w:kern w:val="0"/>
      <w:sz w:val="16"/>
      <w:szCs w:val="16"/>
    </w:rPr>
  </w:style>
  <w:style w:type="paragraph" w:styleId="23">
    <w:name w:val="Body Text"/>
    <w:basedOn w:val="1"/>
    <w:link w:val="134"/>
    <w:uiPriority w:val="0"/>
    <w:pPr>
      <w:spacing w:after="120"/>
    </w:pPr>
  </w:style>
  <w:style w:type="paragraph" w:styleId="24">
    <w:name w:val="Body Text Indent"/>
    <w:basedOn w:val="1"/>
    <w:link w:val="100"/>
    <w:uiPriority w:val="0"/>
    <w:pPr>
      <w:ind w:firstLine="560" w:firstLineChars="200"/>
    </w:pPr>
    <w:rPr>
      <w:rFonts w:ascii="宋体" w:hAnsi="宋体"/>
      <w:kern w:val="0"/>
      <w:sz w:val="28"/>
      <w:szCs w:val="28"/>
    </w:rPr>
  </w:style>
  <w:style w:type="paragraph" w:styleId="25">
    <w:name w:val="List 2"/>
    <w:basedOn w:val="1"/>
    <w:qFormat/>
    <w:uiPriority w:val="0"/>
    <w:pPr>
      <w:ind w:left="100" w:leftChars="200" w:hanging="200" w:hangingChars="200"/>
    </w:pPr>
    <w:rPr>
      <w:rFonts w:ascii="Times New Roman" w:hAnsi="Times New Roman"/>
      <w:sz w:val="21"/>
    </w:rPr>
  </w:style>
  <w:style w:type="paragraph" w:styleId="26">
    <w:name w:val="List Continue"/>
    <w:basedOn w:val="1"/>
    <w:qFormat/>
    <w:uiPriority w:val="0"/>
    <w:pPr>
      <w:spacing w:after="120"/>
      <w:ind w:left="420" w:leftChars="200"/>
    </w:pPr>
    <w:rPr>
      <w:rFonts w:ascii="Times New Roman" w:hAnsi="Times New Roman"/>
      <w:sz w:val="21"/>
    </w:rPr>
  </w:style>
  <w:style w:type="paragraph" w:styleId="27">
    <w:name w:val="Block Text"/>
    <w:basedOn w:val="1"/>
    <w:uiPriority w:val="0"/>
    <w:pPr>
      <w:spacing w:before="120" w:after="120" w:line="360" w:lineRule="auto"/>
      <w:ind w:left="525" w:right="202"/>
    </w:pPr>
    <w:rPr>
      <w:rFonts w:ascii="宋体" w:hAnsi="宋体"/>
      <w:spacing w:val="-4"/>
    </w:rPr>
  </w:style>
  <w:style w:type="paragraph" w:styleId="28">
    <w:name w:val="List Bullet 2"/>
    <w:basedOn w:val="1"/>
    <w:uiPriority w:val="0"/>
    <w:pPr>
      <w:numPr>
        <w:ilvl w:val="0"/>
        <w:numId w:val="3"/>
      </w:numPr>
    </w:pPr>
  </w:style>
  <w:style w:type="paragraph" w:styleId="29">
    <w:name w:val="toc 5"/>
    <w:basedOn w:val="1"/>
    <w:next w:val="1"/>
    <w:uiPriority w:val="0"/>
    <w:pPr>
      <w:ind w:left="840"/>
      <w:jc w:val="left"/>
    </w:pPr>
    <w:rPr>
      <w:rFonts w:ascii="Times New Roman" w:hAnsi="Times New Roman"/>
      <w:sz w:val="20"/>
      <w:szCs w:val="20"/>
    </w:rPr>
  </w:style>
  <w:style w:type="paragraph" w:styleId="30">
    <w:name w:val="toc 3"/>
    <w:basedOn w:val="1"/>
    <w:next w:val="1"/>
    <w:uiPriority w:val="0"/>
    <w:pPr>
      <w:tabs>
        <w:tab w:val="left" w:pos="1050"/>
        <w:tab w:val="right" w:leader="dot" w:pos="8636"/>
      </w:tabs>
      <w:spacing w:line="360" w:lineRule="auto"/>
      <w:jc w:val="left"/>
    </w:pPr>
    <w:rPr>
      <w:rFonts w:ascii="楷体_GB2312" w:hAnsi="黑体" w:eastAsia="楷体_GB2312"/>
      <w:sz w:val="28"/>
      <w:szCs w:val="20"/>
    </w:rPr>
  </w:style>
  <w:style w:type="paragraph" w:styleId="31">
    <w:name w:val="Plain Text"/>
    <w:basedOn w:val="1"/>
    <w:link w:val="101"/>
    <w:uiPriority w:val="0"/>
    <w:rPr>
      <w:rFonts w:ascii="宋体" w:hAnsi="Courier New"/>
      <w:kern w:val="0"/>
      <w:sz w:val="20"/>
      <w:szCs w:val="21"/>
    </w:rPr>
  </w:style>
  <w:style w:type="paragraph" w:styleId="32">
    <w:name w:val="toc 8"/>
    <w:basedOn w:val="1"/>
    <w:next w:val="1"/>
    <w:qFormat/>
    <w:uiPriority w:val="0"/>
    <w:pPr>
      <w:ind w:left="1470"/>
      <w:jc w:val="left"/>
    </w:pPr>
    <w:rPr>
      <w:rFonts w:ascii="Times New Roman" w:hAnsi="Times New Roman"/>
      <w:sz w:val="20"/>
      <w:szCs w:val="20"/>
    </w:rPr>
  </w:style>
  <w:style w:type="paragraph" w:styleId="33">
    <w:name w:val="Date"/>
    <w:basedOn w:val="1"/>
    <w:next w:val="1"/>
    <w:link w:val="123"/>
    <w:uiPriority w:val="0"/>
    <w:pPr>
      <w:ind w:left="100" w:leftChars="2500"/>
    </w:pPr>
    <w:rPr>
      <w:rFonts w:ascii="Times New Roman" w:hAnsi="Times New Roman"/>
      <w:kern w:val="0"/>
      <w:sz w:val="20"/>
      <w:szCs w:val="20"/>
    </w:rPr>
  </w:style>
  <w:style w:type="paragraph" w:styleId="34">
    <w:name w:val="Body Text Indent 2"/>
    <w:basedOn w:val="1"/>
    <w:link w:val="164"/>
    <w:uiPriority w:val="0"/>
    <w:pPr>
      <w:spacing w:after="120" w:line="480" w:lineRule="auto"/>
      <w:ind w:left="420" w:leftChars="200"/>
    </w:pPr>
    <w:rPr>
      <w:rFonts w:ascii="Times New Roman" w:hAnsi="Times New Roman"/>
      <w:kern w:val="0"/>
      <w:sz w:val="20"/>
      <w:szCs w:val="20"/>
    </w:rPr>
  </w:style>
  <w:style w:type="paragraph" w:styleId="35">
    <w:name w:val="endnote text"/>
    <w:basedOn w:val="1"/>
    <w:link w:val="166"/>
    <w:uiPriority w:val="0"/>
    <w:pPr>
      <w:snapToGrid w:val="0"/>
      <w:jc w:val="left"/>
    </w:pPr>
    <w:rPr>
      <w:rFonts w:ascii="Times New Roman" w:hAnsi="Times New Roman"/>
      <w:kern w:val="0"/>
      <w:sz w:val="20"/>
      <w:szCs w:val="20"/>
    </w:rPr>
  </w:style>
  <w:style w:type="paragraph" w:styleId="36">
    <w:name w:val="Balloon Text"/>
    <w:basedOn w:val="1"/>
    <w:link w:val="174"/>
    <w:semiHidden/>
    <w:uiPriority w:val="0"/>
    <w:rPr>
      <w:rFonts w:ascii="Times New Roman" w:hAnsi="Times New Roman"/>
      <w:kern w:val="0"/>
      <w:sz w:val="18"/>
      <w:szCs w:val="18"/>
    </w:rPr>
  </w:style>
  <w:style w:type="paragraph" w:styleId="37">
    <w:name w:val="footer"/>
    <w:basedOn w:val="1"/>
    <w:link w:val="145"/>
    <w:uiPriority w:val="0"/>
    <w:pPr>
      <w:tabs>
        <w:tab w:val="center" w:pos="4153"/>
        <w:tab w:val="right" w:pos="8306"/>
      </w:tabs>
      <w:snapToGrid w:val="0"/>
      <w:jc w:val="left"/>
    </w:pPr>
    <w:rPr>
      <w:rFonts w:ascii="Times New Roman" w:hAnsi="Times New Roman"/>
      <w:kern w:val="0"/>
      <w:sz w:val="18"/>
      <w:szCs w:val="20"/>
    </w:rPr>
  </w:style>
  <w:style w:type="paragraph" w:styleId="38">
    <w:name w:val="header"/>
    <w:basedOn w:val="1"/>
    <w:link w:val="146"/>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kern w:val="0"/>
      <w:sz w:val="18"/>
      <w:szCs w:val="20"/>
    </w:rPr>
  </w:style>
  <w:style w:type="paragraph" w:styleId="39">
    <w:name w:val="toc 1"/>
    <w:basedOn w:val="1"/>
    <w:next w:val="1"/>
    <w:uiPriority w:val="0"/>
    <w:pPr>
      <w:adjustRightInd w:val="0"/>
      <w:snapToGrid w:val="0"/>
    </w:pPr>
    <w:rPr>
      <w:rFonts w:ascii="Times New Roman" w:hAnsi="Times New Roman" w:eastAsia="仿宋"/>
      <w:sz w:val="21"/>
    </w:rPr>
  </w:style>
  <w:style w:type="paragraph" w:styleId="40">
    <w:name w:val="toc 4"/>
    <w:basedOn w:val="1"/>
    <w:next w:val="1"/>
    <w:qFormat/>
    <w:uiPriority w:val="0"/>
    <w:pPr>
      <w:ind w:left="630"/>
      <w:jc w:val="left"/>
    </w:pPr>
    <w:rPr>
      <w:rFonts w:ascii="楷体_GB2312" w:hAnsi="Times New Roman" w:eastAsia="楷体_GB2312"/>
      <w:sz w:val="28"/>
      <w:szCs w:val="20"/>
    </w:rPr>
  </w:style>
  <w:style w:type="paragraph" w:styleId="41">
    <w:name w:val="List"/>
    <w:basedOn w:val="1"/>
    <w:qFormat/>
    <w:uiPriority w:val="0"/>
    <w:pPr>
      <w:ind w:left="200" w:hanging="200" w:hangingChars="200"/>
    </w:pPr>
    <w:rPr>
      <w:rFonts w:ascii="Times New Roman" w:hAnsi="Times New Roman"/>
      <w:sz w:val="21"/>
    </w:rPr>
  </w:style>
  <w:style w:type="paragraph" w:styleId="42">
    <w:name w:val="footnote text"/>
    <w:basedOn w:val="1"/>
    <w:link w:val="132"/>
    <w:qFormat/>
    <w:uiPriority w:val="0"/>
    <w:pPr>
      <w:snapToGrid w:val="0"/>
      <w:jc w:val="left"/>
    </w:pPr>
    <w:rPr>
      <w:rFonts w:ascii="Times New Roman" w:hAnsi="Times New Roman"/>
      <w:kern w:val="0"/>
      <w:sz w:val="20"/>
      <w:szCs w:val="20"/>
    </w:rPr>
  </w:style>
  <w:style w:type="paragraph" w:styleId="43">
    <w:name w:val="toc 6"/>
    <w:basedOn w:val="1"/>
    <w:next w:val="1"/>
    <w:qFormat/>
    <w:uiPriority w:val="0"/>
    <w:pPr>
      <w:ind w:left="1050"/>
      <w:jc w:val="left"/>
    </w:pPr>
    <w:rPr>
      <w:rFonts w:ascii="Times New Roman" w:hAnsi="Times New Roman"/>
      <w:sz w:val="20"/>
      <w:szCs w:val="20"/>
    </w:rPr>
  </w:style>
  <w:style w:type="paragraph" w:styleId="44">
    <w:name w:val="Body Text Indent 3"/>
    <w:basedOn w:val="1"/>
    <w:link w:val="155"/>
    <w:qFormat/>
    <w:uiPriority w:val="0"/>
    <w:pPr>
      <w:spacing w:after="120"/>
      <w:ind w:left="420" w:leftChars="200"/>
    </w:pPr>
    <w:rPr>
      <w:rFonts w:ascii="Times New Roman" w:hAnsi="Times New Roman"/>
      <w:kern w:val="0"/>
      <w:sz w:val="16"/>
      <w:szCs w:val="16"/>
    </w:rPr>
  </w:style>
  <w:style w:type="paragraph" w:styleId="45">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szCs w:val="28"/>
    </w:rPr>
  </w:style>
  <w:style w:type="paragraph" w:styleId="46">
    <w:name w:val="toc 9"/>
    <w:basedOn w:val="1"/>
    <w:next w:val="1"/>
    <w:qFormat/>
    <w:uiPriority w:val="0"/>
    <w:pPr>
      <w:ind w:left="1680"/>
      <w:jc w:val="left"/>
    </w:pPr>
    <w:rPr>
      <w:rFonts w:ascii="Times New Roman" w:hAnsi="Times New Roman"/>
      <w:sz w:val="20"/>
      <w:szCs w:val="20"/>
    </w:rPr>
  </w:style>
  <w:style w:type="paragraph" w:styleId="47">
    <w:name w:val="Body Text 2"/>
    <w:basedOn w:val="1"/>
    <w:link w:val="160"/>
    <w:qFormat/>
    <w:uiPriority w:val="0"/>
    <w:pPr>
      <w:spacing w:after="120" w:line="480" w:lineRule="auto"/>
    </w:pPr>
    <w:rPr>
      <w:rFonts w:ascii="Times New Roman" w:hAnsi="Times New Roman"/>
      <w:kern w:val="0"/>
      <w:sz w:val="20"/>
      <w:szCs w:val="20"/>
    </w:rPr>
  </w:style>
  <w:style w:type="paragraph" w:styleId="48">
    <w:name w:val="List 4"/>
    <w:basedOn w:val="1"/>
    <w:qFormat/>
    <w:uiPriority w:val="0"/>
    <w:pPr>
      <w:ind w:left="100" w:leftChars="600" w:hanging="200" w:hangingChars="200"/>
    </w:pPr>
    <w:rPr>
      <w:rFonts w:ascii="Times New Roman" w:hAnsi="Times New Roman"/>
      <w:sz w:val="21"/>
    </w:rPr>
  </w:style>
  <w:style w:type="paragraph" w:styleId="49">
    <w:name w:val="List Continue 2"/>
    <w:basedOn w:val="1"/>
    <w:qFormat/>
    <w:uiPriority w:val="0"/>
    <w:pPr>
      <w:spacing w:after="120"/>
      <w:ind w:left="840" w:leftChars="400"/>
    </w:pPr>
    <w:rPr>
      <w:rFonts w:ascii="Times New Roman" w:hAnsi="Times New Roman"/>
      <w:sz w:val="21"/>
    </w:rPr>
  </w:style>
  <w:style w:type="paragraph" w:styleId="50">
    <w:name w:val="HTML Preformatted"/>
    <w:basedOn w:val="1"/>
    <w:link w:val="1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Cs w:val="20"/>
    </w:rPr>
  </w:style>
  <w:style w:type="paragraph" w:styleId="51">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2">
    <w:name w:val="index 1"/>
    <w:basedOn w:val="1"/>
    <w:next w:val="1"/>
    <w:uiPriority w:val="0"/>
    <w:pPr>
      <w:adjustRightInd w:val="0"/>
      <w:snapToGrid w:val="0"/>
      <w:jc w:val="center"/>
    </w:pPr>
    <w:rPr>
      <w:rFonts w:ascii="Times New Roman" w:hAnsi="Times New Roman"/>
      <w:sz w:val="21"/>
      <w:szCs w:val="20"/>
    </w:rPr>
  </w:style>
  <w:style w:type="paragraph" w:styleId="53">
    <w:name w:val="Title"/>
    <w:basedOn w:val="1"/>
    <w:next w:val="1"/>
    <w:link w:val="131"/>
    <w:qFormat/>
    <w:uiPriority w:val="0"/>
    <w:pPr>
      <w:spacing w:before="60" w:after="60"/>
      <w:jc w:val="center"/>
      <w:outlineLvl w:val="0"/>
    </w:pPr>
    <w:rPr>
      <w:rFonts w:eastAsia="黑体"/>
      <w:b/>
      <w:bCs/>
      <w:kern w:val="0"/>
      <w:sz w:val="32"/>
      <w:szCs w:val="32"/>
    </w:rPr>
  </w:style>
  <w:style w:type="paragraph" w:styleId="54">
    <w:name w:val="annotation subject"/>
    <w:basedOn w:val="20"/>
    <w:next w:val="20"/>
    <w:link w:val="179"/>
    <w:semiHidden/>
    <w:uiPriority w:val="0"/>
    <w:rPr>
      <w:rFonts w:ascii="Times New Roman" w:hAnsi="Times New Roman"/>
      <w:b/>
      <w:bCs/>
      <w:kern w:val="0"/>
      <w:sz w:val="20"/>
      <w:szCs w:val="20"/>
    </w:rPr>
  </w:style>
  <w:style w:type="paragraph" w:styleId="55">
    <w:name w:val="Body Text First Indent"/>
    <w:basedOn w:val="23"/>
    <w:link w:val="125"/>
    <w:uiPriority w:val="0"/>
    <w:pPr>
      <w:ind w:firstLine="420" w:firstLineChars="100"/>
    </w:pPr>
    <w:rPr>
      <w:rFonts w:ascii="Times New Roman" w:hAnsi="Times New Roman"/>
      <w:kern w:val="0"/>
      <w:sz w:val="20"/>
    </w:rPr>
  </w:style>
  <w:style w:type="paragraph" w:styleId="56">
    <w:name w:val="Body Text First Indent 2"/>
    <w:basedOn w:val="24"/>
    <w:link w:val="129"/>
    <w:uiPriority w:val="0"/>
    <w:pPr>
      <w:spacing w:after="120"/>
      <w:ind w:left="420" w:leftChars="200" w:firstLine="420"/>
    </w:pPr>
    <w:rPr>
      <w:szCs w:val="20"/>
    </w:rPr>
  </w:style>
  <w:style w:type="character" w:styleId="59">
    <w:name w:val="Strong"/>
    <w:qFormat/>
    <w:uiPriority w:val="0"/>
    <w:rPr>
      <w:rFonts w:ascii="Calibri" w:hAnsi="Calibri" w:eastAsia="宋体" w:cs="Times New Roman"/>
      <w:b/>
    </w:rPr>
  </w:style>
  <w:style w:type="character" w:styleId="60">
    <w:name w:val="page number"/>
    <w:uiPriority w:val="0"/>
    <w:rPr>
      <w:rFonts w:ascii="Calibri" w:hAnsi="Calibri" w:eastAsia="宋体" w:cs="Times New Roman"/>
    </w:rPr>
  </w:style>
  <w:style w:type="character" w:styleId="61">
    <w:name w:val="FollowedHyperlink"/>
    <w:qFormat/>
    <w:uiPriority w:val="0"/>
    <w:rPr>
      <w:rFonts w:ascii="Calibri" w:hAnsi="Calibri" w:eastAsia="宋体" w:cs="Times New Roman"/>
      <w:color w:val="800080"/>
      <w:u w:val="single"/>
    </w:rPr>
  </w:style>
  <w:style w:type="character" w:styleId="62">
    <w:name w:val="Hyperlink"/>
    <w:uiPriority w:val="0"/>
    <w:rPr>
      <w:rFonts w:ascii="Calibri" w:hAnsi="Calibri" w:eastAsia="宋体" w:cs="Times New Roman"/>
      <w:color w:val="0000FF"/>
      <w:u w:val="single"/>
    </w:rPr>
  </w:style>
  <w:style w:type="character" w:styleId="63">
    <w:name w:val="annotation reference"/>
    <w:semiHidden/>
    <w:uiPriority w:val="0"/>
    <w:rPr>
      <w:rFonts w:ascii="Calibri" w:hAnsi="Calibri" w:eastAsia="宋体" w:cs="Times New Roman"/>
      <w:sz w:val="21"/>
    </w:rPr>
  </w:style>
  <w:style w:type="paragraph" w:customStyle="1" w:styleId="64">
    <w:name w:val="_Style 10"/>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65">
    <w:name w:val="样式 样式1 + 首行缩进:  2 字符"/>
    <w:basedOn w:val="1"/>
    <w:qFormat/>
    <w:uiPriority w:val="0"/>
    <w:pPr>
      <w:spacing w:line="360" w:lineRule="exact"/>
      <w:ind w:firstLine="420" w:firstLineChars="200"/>
    </w:pPr>
    <w:rPr>
      <w:rFonts w:ascii="Arial" w:hAnsi="Arial"/>
      <w:sz w:val="21"/>
      <w:szCs w:val="20"/>
    </w:rPr>
  </w:style>
  <w:style w:type="paragraph" w:customStyle="1" w:styleId="66">
    <w:name w:val="列出段落1"/>
    <w:basedOn w:val="1"/>
    <w:uiPriority w:val="0"/>
    <w:pPr>
      <w:ind w:firstLine="420" w:firstLineChars="200"/>
    </w:pPr>
    <w:rPr>
      <w:rFonts w:ascii="Calibri" w:hAnsi="Calibri"/>
      <w:sz w:val="21"/>
      <w:szCs w:val="22"/>
    </w:rPr>
  </w:style>
  <w:style w:type="paragraph" w:customStyle="1" w:styleId="67">
    <w:name w:val="样式5"/>
    <w:basedOn w:val="4"/>
    <w:link w:val="152"/>
    <w:uiPriority w:val="0"/>
    <w:pPr>
      <w:keepLines/>
      <w:numPr>
        <w:ilvl w:val="0"/>
        <w:numId w:val="0"/>
      </w:numPr>
      <w:tabs>
        <w:tab w:val="clear" w:pos="1275"/>
      </w:tabs>
      <w:spacing w:before="260" w:after="260" w:line="400" w:lineRule="exact"/>
      <w:ind w:firstLine="420" w:firstLineChars="200"/>
    </w:pPr>
    <w:rPr>
      <w:rFonts w:ascii="黑体" w:eastAsia="黑体"/>
      <w:b w:val="0"/>
      <w:sz w:val="21"/>
    </w:rPr>
  </w:style>
  <w:style w:type="paragraph" w:customStyle="1" w:styleId="68">
    <w:name w:val="Legal 5"/>
    <w:basedOn w:val="69"/>
    <w:next w:val="69"/>
    <w:uiPriority w:val="0"/>
    <w:pPr>
      <w:spacing w:after="120"/>
    </w:pPr>
    <w:rPr>
      <w:rFonts w:cs="Times New Roman"/>
      <w:color w:val="auto"/>
    </w:rPr>
  </w:style>
  <w:style w:type="paragraph" w:customStyle="1" w:styleId="69">
    <w:name w:val="Default"/>
    <w:link w:val="159"/>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0">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72">
    <w:name w:val="样式"/>
    <w:basedOn w:val="1"/>
    <w:next w:val="73"/>
    <w:uiPriority w:val="0"/>
    <w:pPr>
      <w:ind w:firstLine="420" w:firstLineChars="200"/>
    </w:pPr>
    <w:rPr>
      <w:rFonts w:ascii="Calibri" w:hAnsi="Calibri"/>
      <w:sz w:val="21"/>
      <w:szCs w:val="22"/>
    </w:rPr>
  </w:style>
  <w:style w:type="paragraph" w:customStyle="1" w:styleId="73">
    <w:name w:val="List Paragraph"/>
    <w:basedOn w:val="1"/>
    <w:uiPriority w:val="0"/>
    <w:pPr>
      <w:ind w:firstLine="420" w:firstLineChars="200"/>
    </w:pPr>
  </w:style>
  <w:style w:type="paragraph" w:customStyle="1" w:styleId="74">
    <w:name w:val="p0"/>
    <w:basedOn w:val="1"/>
    <w:uiPriority w:val="0"/>
    <w:pPr>
      <w:widowControl/>
    </w:pPr>
    <w:rPr>
      <w:rFonts w:ascii="Times New Roman" w:hAnsi="Times New Roman"/>
      <w:kern w:val="0"/>
      <w:sz w:val="21"/>
      <w:szCs w:val="21"/>
    </w:rPr>
  </w:style>
  <w:style w:type="paragraph" w:customStyle="1" w:styleId="75">
    <w:name w:val="样式1"/>
    <w:basedOn w:val="5"/>
    <w:uiPriority w:val="0"/>
    <w:pPr>
      <w:numPr>
        <w:ilvl w:val="3"/>
        <w:numId w:val="0"/>
      </w:numPr>
      <w:tabs>
        <w:tab w:val="left" w:pos="864"/>
      </w:tabs>
      <w:spacing w:before="120" w:after="120" w:line="360" w:lineRule="auto"/>
      <w:ind w:left="864" w:hanging="864"/>
    </w:pPr>
    <w:rPr>
      <w:b w:val="0"/>
      <w:bCs w:val="0"/>
    </w:rPr>
  </w:style>
  <w:style w:type="paragraph" w:customStyle="1" w:styleId="76">
    <w:name w:val="Char"/>
    <w:basedOn w:val="1"/>
    <w:qFormat/>
    <w:uiPriority w:val="0"/>
    <w:rPr>
      <w:rFonts w:ascii="仿宋_GB2312" w:hAnsi="Times New Roman" w:eastAsia="仿宋_GB2312"/>
      <w:b/>
      <w:sz w:val="32"/>
      <w:szCs w:val="32"/>
    </w:rPr>
  </w:style>
  <w:style w:type="paragraph" w:customStyle="1" w:styleId="77">
    <w:name w:val="表内文字"/>
    <w:basedOn w:val="1"/>
    <w:uiPriority w:val="0"/>
    <w:pPr>
      <w:widowControl/>
      <w:ind w:firstLine="120" w:firstLineChars="50"/>
    </w:pPr>
    <w:rPr>
      <w:rFonts w:ascii="宋体" w:hAnsi="宋体"/>
      <w:szCs w:val="20"/>
    </w:rPr>
  </w:style>
  <w:style w:type="paragraph" w:customStyle="1" w:styleId="78">
    <w:name w:val="legal 2"/>
    <w:basedOn w:val="69"/>
    <w:next w:val="69"/>
    <w:uiPriority w:val="0"/>
    <w:pPr>
      <w:spacing w:after="120"/>
    </w:pPr>
    <w:rPr>
      <w:rFonts w:cs="Times New Roman"/>
      <w:color w:val="auto"/>
    </w:rPr>
  </w:style>
  <w:style w:type="paragraph" w:customStyle="1" w:styleId="79">
    <w:name w:val="Legal 4"/>
    <w:basedOn w:val="69"/>
    <w:next w:val="69"/>
    <w:uiPriority w:val="0"/>
    <w:pPr>
      <w:spacing w:after="120"/>
    </w:pPr>
    <w:rPr>
      <w:rFonts w:cs="Times New Roman"/>
      <w:color w:val="auto"/>
    </w:rPr>
  </w:style>
  <w:style w:type="paragraph" w:customStyle="1" w:styleId="80">
    <w:name w:val="p16"/>
    <w:basedOn w:val="1"/>
    <w:uiPriority w:val="0"/>
    <w:pPr>
      <w:widowControl/>
      <w:spacing w:line="360" w:lineRule="auto"/>
      <w:ind w:left="-2" w:firstLine="2"/>
      <w:jc w:val="left"/>
    </w:pPr>
    <w:rPr>
      <w:rFonts w:ascii="宋体" w:hAnsi="宋体" w:cs="宋体"/>
      <w:kern w:val="0"/>
      <w:sz w:val="30"/>
      <w:szCs w:val="30"/>
    </w:rPr>
  </w:style>
  <w:style w:type="paragraph" w:customStyle="1" w:styleId="81">
    <w:name w:val="表格非标题文字"/>
    <w:link w:val="119"/>
    <w:uiPriority w:val="0"/>
    <w:pPr>
      <w:snapToGrid w:val="0"/>
      <w:spacing w:before="80" w:after="40"/>
    </w:pPr>
    <w:rPr>
      <w:rFonts w:ascii="Futura Bk" w:hAnsi="Futura Bk" w:eastAsia="Times New Roman" w:cs="Times New Roman"/>
      <w:kern w:val="2"/>
      <w:sz w:val="18"/>
      <w:szCs w:val="21"/>
      <w:lang w:val="en-US" w:eastAsia="zh-CN" w:bidi="ar-SA"/>
    </w:rPr>
  </w:style>
  <w:style w:type="paragraph" w:customStyle="1" w:styleId="82">
    <w:name w:val="TOC Heading"/>
    <w:basedOn w:val="2"/>
    <w:next w:val="1"/>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样式 正文文本"/>
    <w:basedOn w:val="1"/>
    <w:link w:val="158"/>
    <w:uiPriority w:val="0"/>
    <w:pPr>
      <w:adjustRightInd w:val="0"/>
      <w:snapToGrid w:val="0"/>
      <w:spacing w:line="400" w:lineRule="exact"/>
      <w:ind w:firstLine="200" w:firstLineChars="200"/>
    </w:pPr>
    <w:rPr>
      <w:rFonts w:ascii="Arial" w:hAnsi="Arial"/>
      <w:color w:val="000000"/>
      <w:sz w:val="21"/>
      <w:szCs w:val="20"/>
    </w:rPr>
  </w:style>
  <w:style w:type="paragraph" w:customStyle="1" w:styleId="84">
    <w:name w:val="Char Char Char1 Char Char Char Char"/>
    <w:basedOn w:val="1"/>
    <w:uiPriority w:val="0"/>
    <w:rPr>
      <w:rFonts w:ascii="Times New Roman" w:hAnsi="Times New Roman"/>
      <w:sz w:val="21"/>
    </w:rPr>
  </w:style>
  <w:style w:type="paragraph" w:customStyle="1" w:styleId="85">
    <w:name w:val="样式 样式1 + Arial"/>
    <w:basedOn w:val="1"/>
    <w:link w:val="116"/>
    <w:uiPriority w:val="0"/>
    <w:pPr>
      <w:widowControl/>
      <w:tabs>
        <w:tab w:val="left" w:pos="1245"/>
      </w:tabs>
      <w:adjustRightInd w:val="0"/>
      <w:snapToGrid w:val="0"/>
      <w:spacing w:line="400" w:lineRule="exact"/>
      <w:ind w:left="1245" w:hanging="720"/>
    </w:pPr>
    <w:rPr>
      <w:rFonts w:ascii="Arial" w:hAnsi="Arial" w:eastAsia="Times New Roman"/>
      <w:kern w:val="0"/>
      <w:sz w:val="32"/>
      <w:szCs w:val="20"/>
    </w:rPr>
  </w:style>
  <w:style w:type="paragraph" w:customStyle="1" w:styleId="86">
    <w:name w:val="图表标题"/>
    <w:basedOn w:val="1"/>
    <w:next w:val="23"/>
    <w:uiPriority w:val="0"/>
    <w:rPr>
      <w:rFonts w:ascii="Times New Roman" w:hAnsi="Times New Roman"/>
      <w:sz w:val="30"/>
      <w:szCs w:val="20"/>
    </w:rPr>
  </w:style>
  <w:style w:type="paragraph" w:customStyle="1" w:styleId="87">
    <w:name w:val="列表延续"/>
    <w:basedOn w:val="1"/>
    <w:uiPriority w:val="0"/>
    <w:pPr>
      <w:numPr>
        <w:ilvl w:val="8"/>
        <w:numId w:val="4"/>
      </w:numPr>
      <w:adjustRightInd w:val="0"/>
      <w:spacing w:line="360" w:lineRule="auto"/>
      <w:textAlignment w:val="baseline"/>
    </w:pPr>
    <w:rPr>
      <w:rFonts w:ascii="Times New Roman" w:hAnsi="Tms Rmn" w:eastAsia="楷体_GB2312"/>
      <w:kern w:val="28"/>
      <w:sz w:val="28"/>
      <w:szCs w:val="20"/>
    </w:rPr>
  </w:style>
  <w:style w:type="paragraph" w:customStyle="1" w:styleId="8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Char Char Char Char Char Char"/>
    <w:basedOn w:val="1"/>
    <w:uiPriority w:val="0"/>
    <w:rPr>
      <w:rFonts w:ascii="Times New Roman" w:hAnsi="Times New Roman"/>
      <w:sz w:val="21"/>
    </w:rPr>
  </w:style>
  <w:style w:type="paragraph" w:customStyle="1" w:styleId="90">
    <w:name w:val="正文文字3"/>
    <w:basedOn w:val="23"/>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91">
    <w:name w:val="无间隔1"/>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Char Char Char"/>
    <w:basedOn w:val="1"/>
    <w:uiPriority w:val="0"/>
    <w:pPr>
      <w:ind w:firstLine="360" w:firstLineChars="150"/>
    </w:pPr>
    <w:rPr>
      <w:rFonts w:ascii="Tahoma" w:hAnsi="Tahoma"/>
      <w:szCs w:val="20"/>
    </w:rPr>
  </w:style>
  <w:style w:type="paragraph" w:customStyle="1" w:styleId="93">
    <w:name w:val="Char4 Char Char Char"/>
    <w:basedOn w:val="19"/>
    <w:uiPriority w:val="0"/>
    <w:rPr>
      <w:rFonts w:ascii="Tahoma" w:hAnsi="Tahoma"/>
      <w:sz w:val="24"/>
    </w:rPr>
  </w:style>
  <w:style w:type="paragraph" w:customStyle="1" w:styleId="94">
    <w:name w:val="样式 标题 3 + (中文) 黑体 小四 非加粗 段前: 7.8 磅 段后: 0 磅 行距: 固定值 20 磅"/>
    <w:basedOn w:val="4"/>
    <w:uiPriority w:val="0"/>
    <w:pPr>
      <w:keepLines/>
      <w:numPr>
        <w:ilvl w:val="0"/>
        <w:numId w:val="0"/>
      </w:numPr>
      <w:spacing w:line="400" w:lineRule="exact"/>
    </w:pPr>
    <w:rPr>
      <w:rFonts w:ascii="Times New Roman" w:eastAsia="黑体" w:cs="宋体"/>
      <w:b w:val="0"/>
      <w:kern w:val="2"/>
      <w:sz w:val="24"/>
    </w:rPr>
  </w:style>
  <w:style w:type="paragraph" w:customStyle="1" w:styleId="95">
    <w:name w:val="List Paragraph1"/>
    <w:basedOn w:val="1"/>
    <w:uiPriority w:val="0"/>
    <w:pPr>
      <w:ind w:firstLine="420" w:firstLineChars="200"/>
    </w:pPr>
    <w:rPr>
      <w:rFonts w:ascii="Times New Roman" w:hAnsi="Times New Roman"/>
      <w:sz w:val="21"/>
      <w:szCs w:val="21"/>
    </w:rPr>
  </w:style>
  <w:style w:type="paragraph" w:customStyle="1" w:styleId="96">
    <w:name w:val="Legal 3"/>
    <w:basedOn w:val="69"/>
    <w:next w:val="69"/>
    <w:uiPriority w:val="0"/>
    <w:pPr>
      <w:spacing w:after="120"/>
    </w:pPr>
    <w:rPr>
      <w:rFonts w:cs="Times New Roman"/>
      <w:color w:val="auto"/>
    </w:rPr>
  </w:style>
  <w:style w:type="paragraph" w:customStyle="1" w:styleId="97">
    <w:name w:val="列出段落3"/>
    <w:basedOn w:val="1"/>
    <w:uiPriority w:val="0"/>
    <w:pPr>
      <w:ind w:firstLine="420" w:firstLineChars="200"/>
    </w:pPr>
    <w:rPr>
      <w:rFonts w:ascii="Times New Roman" w:hAnsi="Times New Roman"/>
      <w:sz w:val="21"/>
    </w:rPr>
  </w:style>
  <w:style w:type="paragraph" w:customStyle="1" w:styleId="98">
    <w:name w:val="1"/>
    <w:basedOn w:val="1"/>
    <w:qFormat/>
    <w:uiPriority w:val="0"/>
    <w:rPr>
      <w:rFonts w:ascii="仿宋_GB2312" w:hAnsi="Times New Roman" w:eastAsia="仿宋_GB2312"/>
      <w:b/>
      <w:sz w:val="32"/>
      <w:szCs w:val="32"/>
    </w:rPr>
  </w:style>
  <w:style w:type="paragraph" w:customStyle="1" w:styleId="99">
    <w:name w:val="Char Char Char Char"/>
    <w:basedOn w:val="1"/>
    <w:qFormat/>
    <w:uiPriority w:val="0"/>
    <w:rPr>
      <w:rFonts w:ascii="Times New Roman" w:hAnsi="Times New Roman"/>
      <w:sz w:val="21"/>
    </w:rPr>
  </w:style>
  <w:style w:type="character" w:customStyle="1" w:styleId="100">
    <w:name w:val="正文文本缩进 字符"/>
    <w:link w:val="24"/>
    <w:uiPriority w:val="0"/>
    <w:rPr>
      <w:rFonts w:ascii="宋体" w:hAnsi="宋体" w:eastAsia="宋体" w:cs="Times New Roman"/>
      <w:kern w:val="0"/>
      <w:sz w:val="28"/>
    </w:rPr>
  </w:style>
  <w:style w:type="character" w:customStyle="1" w:styleId="101">
    <w:name w:val="纯文本 字符"/>
    <w:link w:val="31"/>
    <w:qFormat/>
    <w:uiPriority w:val="0"/>
    <w:rPr>
      <w:rFonts w:ascii="宋体" w:hAnsi="Courier New" w:eastAsia="宋体" w:cs="Times New Roman"/>
      <w:kern w:val="0"/>
      <w:sz w:val="21"/>
    </w:rPr>
  </w:style>
  <w:style w:type="character" w:customStyle="1" w:styleId="102">
    <w:name w:val="Char Char2"/>
    <w:qFormat/>
    <w:uiPriority w:val="0"/>
    <w:rPr>
      <w:rFonts w:ascii="Calibri" w:hAnsi="Calibri" w:eastAsia="宋体" w:cs="Times New Roman"/>
      <w:kern w:val="2"/>
      <w:sz w:val="18"/>
      <w:lang w:val="en-US" w:eastAsia="zh-CN"/>
    </w:rPr>
  </w:style>
  <w:style w:type="character" w:customStyle="1" w:styleId="103">
    <w:name w:val="批注框文本字符1"/>
    <w:semiHidden/>
    <w:qFormat/>
    <w:uiPriority w:val="0"/>
    <w:rPr>
      <w:rFonts w:ascii="Heiti SC Light" w:hAnsi="Calibri" w:eastAsia="Times New Roman" w:cs="Times New Roman"/>
      <w:sz w:val="18"/>
      <w:szCs w:val="18"/>
    </w:rPr>
  </w:style>
  <w:style w:type="character" w:customStyle="1" w:styleId="104">
    <w:name w:val="注释标题 字符1"/>
    <w:semiHidden/>
    <w:qFormat/>
    <w:uiPriority w:val="99"/>
    <w:rPr>
      <w:rFonts w:ascii="Calibri" w:hAnsi="Calibri" w:eastAsia="宋体" w:cs="Times New Roman"/>
    </w:rPr>
  </w:style>
  <w:style w:type="character" w:customStyle="1" w:styleId="105">
    <w:name w:val="font61"/>
    <w:qFormat/>
    <w:uiPriority w:val="0"/>
    <w:rPr>
      <w:rFonts w:ascii="Times New Roman" w:hAnsi="Times New Roman" w:eastAsia="宋体" w:cs="Times New Roman"/>
      <w:color w:val="000000"/>
      <w:sz w:val="24"/>
      <w:u w:val="none"/>
    </w:rPr>
  </w:style>
  <w:style w:type="character" w:customStyle="1" w:styleId="106">
    <w:name w:val="HTML 预设格式 字符1"/>
    <w:semiHidden/>
    <w:qFormat/>
    <w:uiPriority w:val="99"/>
    <w:rPr>
      <w:rFonts w:ascii="Courier New" w:hAnsi="Courier New" w:eastAsia="宋体" w:cs="Courier New"/>
      <w:sz w:val="20"/>
      <w:szCs w:val="20"/>
    </w:rPr>
  </w:style>
  <w:style w:type="character" w:customStyle="1" w:styleId="107">
    <w:name w:val="页眉 字符1"/>
    <w:semiHidden/>
    <w:uiPriority w:val="99"/>
    <w:rPr>
      <w:rFonts w:ascii="Calibri" w:hAnsi="Calibri" w:eastAsia="宋体" w:cs="Times New Roman"/>
      <w:sz w:val="18"/>
      <w:szCs w:val="18"/>
    </w:rPr>
  </w:style>
  <w:style w:type="character" w:customStyle="1" w:styleId="108">
    <w:name w:val="脚注文本 字符1"/>
    <w:semiHidden/>
    <w:uiPriority w:val="99"/>
    <w:rPr>
      <w:rFonts w:ascii="Calibri" w:hAnsi="Calibri" w:eastAsia="宋体" w:cs="Times New Roman"/>
      <w:sz w:val="18"/>
      <w:szCs w:val="18"/>
    </w:rPr>
  </w:style>
  <w:style w:type="character" w:customStyle="1" w:styleId="109">
    <w:name w:val="font11"/>
    <w:qFormat/>
    <w:uiPriority w:val="0"/>
    <w:rPr>
      <w:rFonts w:ascii="Times New Roman" w:hAnsi="Times New Roman" w:eastAsia="宋体" w:cs="Times New Roman"/>
      <w:color w:val="000000"/>
      <w:sz w:val="21"/>
      <w:u w:val="none"/>
    </w:rPr>
  </w:style>
  <w:style w:type="character" w:customStyle="1" w:styleId="110">
    <w:name w:val="日期 字符1"/>
    <w:semiHidden/>
    <w:qFormat/>
    <w:uiPriority w:val="99"/>
    <w:rPr>
      <w:rFonts w:ascii="Calibri" w:hAnsi="Calibri" w:eastAsia="宋体" w:cs="Times New Roman"/>
    </w:rPr>
  </w:style>
  <w:style w:type="character" w:customStyle="1" w:styleId="111">
    <w:name w:val="注释文本字符"/>
    <w:semiHidden/>
    <w:qFormat/>
    <w:uiPriority w:val="0"/>
    <w:rPr>
      <w:rFonts w:ascii="Times New Roman" w:hAnsi="Times New Roman" w:eastAsia="宋体" w:cs="Times New Roman"/>
      <w:kern w:val="0"/>
      <w:sz w:val="24"/>
    </w:rPr>
  </w:style>
  <w:style w:type="character" w:customStyle="1" w:styleId="112">
    <w:name w:val="标题 3 字符"/>
    <w:link w:val="4"/>
    <w:uiPriority w:val="0"/>
    <w:rPr>
      <w:rFonts w:ascii="宋体" w:hAnsi="Calibri" w:eastAsia="宋体" w:cs="Times New Roman"/>
      <w:b/>
      <w:sz w:val="28"/>
      <w:lang w:val="en-US" w:eastAsia="zh-CN" w:bidi="ar-SA"/>
    </w:rPr>
  </w:style>
  <w:style w:type="character" w:customStyle="1" w:styleId="113">
    <w:name w:val="正文文本 字符1"/>
    <w:semiHidden/>
    <w:qFormat/>
    <w:uiPriority w:val="99"/>
    <w:rPr>
      <w:rFonts w:ascii="Calibri" w:hAnsi="Calibri" w:eastAsia="宋体" w:cs="Times New Roman"/>
    </w:rPr>
  </w:style>
  <w:style w:type="character" w:customStyle="1" w:styleId="114">
    <w:name w:val="正文文本缩进 3字符1"/>
    <w:semiHidden/>
    <w:uiPriority w:val="0"/>
    <w:rPr>
      <w:rFonts w:ascii="Calibri" w:hAnsi="Calibri" w:eastAsia="宋体" w:cs="Times New Roman"/>
      <w:sz w:val="16"/>
      <w:szCs w:val="16"/>
    </w:rPr>
  </w:style>
  <w:style w:type="character" w:customStyle="1" w:styleId="115">
    <w:name w:val="批注文字 字符1"/>
    <w:semiHidden/>
    <w:qFormat/>
    <w:uiPriority w:val="99"/>
    <w:rPr>
      <w:rFonts w:ascii="Calibri" w:hAnsi="Calibri" w:eastAsia="宋体" w:cs="Times New Roman"/>
    </w:rPr>
  </w:style>
  <w:style w:type="character" w:customStyle="1" w:styleId="116">
    <w:name w:val="样式 样式1 + Arial Char"/>
    <w:link w:val="85"/>
    <w:qFormat/>
    <w:uiPriority w:val="0"/>
    <w:rPr>
      <w:rFonts w:ascii="Arial" w:hAnsi="Arial" w:eastAsia="宋体" w:cs="Times New Roman"/>
      <w:sz w:val="32"/>
      <w:lang w:bidi="ar-SA"/>
    </w:rPr>
  </w:style>
  <w:style w:type="character" w:customStyle="1" w:styleId="117">
    <w:name w:val="正文文本缩进 2字符1"/>
    <w:semiHidden/>
    <w:qFormat/>
    <w:uiPriority w:val="0"/>
    <w:rPr>
      <w:rFonts w:ascii="Calibri" w:hAnsi="Calibri" w:eastAsia="宋体" w:cs="Times New Roman"/>
    </w:rPr>
  </w:style>
  <w:style w:type="character" w:customStyle="1" w:styleId="118">
    <w:name w:val="font41"/>
    <w:qFormat/>
    <w:uiPriority w:val="0"/>
    <w:rPr>
      <w:rFonts w:ascii="宋体" w:hAnsi="宋体" w:eastAsia="宋体" w:cs="Times New Roman"/>
      <w:b/>
      <w:color w:val="000000"/>
      <w:sz w:val="24"/>
      <w:u w:val="none"/>
    </w:rPr>
  </w:style>
  <w:style w:type="character" w:customStyle="1" w:styleId="119">
    <w:name w:val="表格非标题文字 Char"/>
    <w:link w:val="81"/>
    <w:qFormat/>
    <w:uiPriority w:val="0"/>
    <w:rPr>
      <w:rFonts w:ascii="Futura Bk" w:hAnsi="Futura Bk" w:eastAsia="宋体" w:cs="Times New Roman"/>
      <w:kern w:val="2"/>
      <w:sz w:val="18"/>
      <w:szCs w:val="21"/>
      <w:lang w:val="en-US" w:eastAsia="zh-CN" w:bidi="ar-SA"/>
    </w:rPr>
  </w:style>
  <w:style w:type="character" w:customStyle="1" w:styleId="120">
    <w:name w:val="正文首行缩进 2字符1"/>
    <w:basedOn w:val="121"/>
    <w:semiHidden/>
    <w:qFormat/>
    <w:uiPriority w:val="0"/>
  </w:style>
  <w:style w:type="character" w:customStyle="1" w:styleId="121">
    <w:name w:val="正文文本缩进字符1"/>
    <w:semiHidden/>
    <w:uiPriority w:val="0"/>
    <w:rPr>
      <w:rFonts w:ascii="Calibri" w:hAnsi="Calibri" w:eastAsia="宋体" w:cs="Times New Roman"/>
    </w:rPr>
  </w:style>
  <w:style w:type="character" w:customStyle="1" w:styleId="122">
    <w:name w:val="文档结构图 字符"/>
    <w:link w:val="19"/>
    <w:qFormat/>
    <w:uiPriority w:val="0"/>
    <w:rPr>
      <w:rFonts w:ascii="Times New Roman" w:hAnsi="Times New Roman" w:eastAsia="宋体" w:cs="Times New Roman"/>
      <w:kern w:val="0"/>
      <w:sz w:val="20"/>
      <w:shd w:val="clear" w:color="auto" w:fill="000080"/>
    </w:rPr>
  </w:style>
  <w:style w:type="character" w:customStyle="1" w:styleId="123">
    <w:name w:val="日期 字符"/>
    <w:link w:val="33"/>
    <w:qFormat/>
    <w:uiPriority w:val="0"/>
    <w:rPr>
      <w:rFonts w:ascii="Times New Roman" w:hAnsi="Times New Roman" w:eastAsia="宋体" w:cs="Times New Roman"/>
      <w:kern w:val="0"/>
      <w:sz w:val="20"/>
    </w:rPr>
  </w:style>
  <w:style w:type="character" w:customStyle="1" w:styleId="124">
    <w:name w:val="Char Char3"/>
    <w:qFormat/>
    <w:uiPriority w:val="0"/>
    <w:rPr>
      <w:rFonts w:ascii="Calibri" w:hAnsi="Calibri" w:eastAsia="宋体" w:cs="Times New Roman"/>
      <w:kern w:val="2"/>
      <w:sz w:val="18"/>
      <w:lang w:val="en-US" w:eastAsia="zh-CN"/>
    </w:rPr>
  </w:style>
  <w:style w:type="character" w:customStyle="1" w:styleId="125">
    <w:name w:val="正文首行缩进 字符"/>
    <w:link w:val="55"/>
    <w:qFormat/>
    <w:uiPriority w:val="0"/>
    <w:rPr>
      <w:rFonts w:ascii="Times New Roman" w:hAnsi="Times New Roman" w:eastAsia="宋体" w:cs="Times New Roman"/>
      <w:kern w:val="0"/>
      <w:sz w:val="24"/>
      <w:szCs w:val="24"/>
    </w:rPr>
  </w:style>
  <w:style w:type="character" w:customStyle="1" w:styleId="126">
    <w:name w:val="标题 4 字符"/>
    <w:link w:val="5"/>
    <w:qFormat/>
    <w:uiPriority w:val="0"/>
    <w:rPr>
      <w:rFonts w:ascii="Arial" w:hAnsi="Arial" w:eastAsia="黑体" w:cs="Times New Roman"/>
      <w:b/>
      <w:bCs/>
      <w:kern w:val="0"/>
      <w:sz w:val="28"/>
      <w:szCs w:val="28"/>
    </w:rPr>
  </w:style>
  <w:style w:type="character" w:customStyle="1" w:styleId="127">
    <w:name w:val="纯文本 字符1"/>
    <w:semiHidden/>
    <w:qFormat/>
    <w:uiPriority w:val="99"/>
    <w:rPr>
      <w:rFonts w:ascii="等线" w:hAnsi="Courier New" w:eastAsia="宋体" w:cs="Courier New"/>
    </w:rPr>
  </w:style>
  <w:style w:type="character" w:customStyle="1" w:styleId="128">
    <w:name w:val="正文文本缩进 字符1"/>
    <w:semiHidden/>
    <w:uiPriority w:val="99"/>
    <w:rPr>
      <w:rFonts w:ascii="Calibri" w:hAnsi="Calibri" w:eastAsia="宋体" w:cs="Times New Roman"/>
    </w:rPr>
  </w:style>
  <w:style w:type="character" w:customStyle="1" w:styleId="129">
    <w:name w:val="正文首行缩进 2 字符"/>
    <w:link w:val="56"/>
    <w:qFormat/>
    <w:uiPriority w:val="0"/>
    <w:rPr>
      <w:rFonts w:ascii="宋体" w:hAnsi="宋体" w:eastAsia="宋体" w:cs="Times New Roman"/>
      <w:kern w:val="0"/>
      <w:sz w:val="28"/>
    </w:rPr>
  </w:style>
  <w:style w:type="character" w:customStyle="1" w:styleId="130">
    <w:name w:val="纯文本字符1"/>
    <w:semiHidden/>
    <w:qFormat/>
    <w:uiPriority w:val="0"/>
    <w:rPr>
      <w:rFonts w:ascii="宋体" w:hAnsi="Courier" w:eastAsia="宋体" w:cs="Times New Roman"/>
    </w:rPr>
  </w:style>
  <w:style w:type="character" w:customStyle="1" w:styleId="131">
    <w:name w:val="标题 字符"/>
    <w:link w:val="53"/>
    <w:qFormat/>
    <w:uiPriority w:val="0"/>
    <w:rPr>
      <w:rFonts w:ascii="Cambria" w:hAnsi="Cambria" w:eastAsia="黑体" w:cs="Times New Roman"/>
      <w:b/>
      <w:kern w:val="0"/>
      <w:sz w:val="32"/>
    </w:rPr>
  </w:style>
  <w:style w:type="character" w:customStyle="1" w:styleId="132">
    <w:name w:val="脚注文本 字符"/>
    <w:link w:val="42"/>
    <w:qFormat/>
    <w:uiPriority w:val="0"/>
    <w:rPr>
      <w:rFonts w:ascii="Calibri" w:hAnsi="Calibri" w:eastAsia="宋体" w:cs="Times New Roman"/>
      <w:lang w:bidi="ar-SA"/>
    </w:rPr>
  </w:style>
  <w:style w:type="character" w:customStyle="1" w:styleId="133">
    <w:name w:val="正文首行缩进字符1"/>
    <w:basedOn w:val="134"/>
    <w:semiHidden/>
    <w:uiPriority w:val="0"/>
  </w:style>
  <w:style w:type="character" w:customStyle="1" w:styleId="134">
    <w:name w:val="正文文本 字符"/>
    <w:link w:val="23"/>
    <w:qFormat/>
    <w:uiPriority w:val="0"/>
    <w:rPr>
      <w:rFonts w:ascii="Calibri" w:hAnsi="Calibri" w:eastAsia="宋体" w:cs="Times New Roman"/>
    </w:rPr>
  </w:style>
  <w:style w:type="character" w:customStyle="1" w:styleId="135">
    <w:name w:val="font01"/>
    <w:uiPriority w:val="0"/>
    <w:rPr>
      <w:rFonts w:ascii="宋体" w:hAnsi="宋体" w:eastAsia="宋体" w:cs="Times New Roman"/>
      <w:color w:val="000000"/>
      <w:sz w:val="21"/>
      <w:u w:val="none"/>
    </w:rPr>
  </w:style>
  <w:style w:type="character" w:customStyle="1" w:styleId="136">
    <w:name w:val=" Char Char2"/>
    <w:qFormat/>
    <w:uiPriority w:val="0"/>
    <w:rPr>
      <w:rFonts w:ascii="Cambria" w:hAnsi="Cambria" w:eastAsia="黑体" w:cs="Times New Roman"/>
      <w:b/>
      <w:kern w:val="0"/>
      <w:sz w:val="32"/>
    </w:rPr>
  </w:style>
  <w:style w:type="character" w:customStyle="1" w:styleId="137">
    <w:name w:val="批注文字 字符"/>
    <w:link w:val="20"/>
    <w:semiHidden/>
    <w:qFormat/>
    <w:uiPriority w:val="0"/>
    <w:rPr>
      <w:rFonts w:ascii="Calibri" w:hAnsi="Calibri" w:eastAsia="宋体" w:cs="Times New Roman"/>
    </w:rPr>
  </w:style>
  <w:style w:type="character" w:customStyle="1" w:styleId="138">
    <w:name w:val="zbggmain style9"/>
    <w:qFormat/>
    <w:uiPriority w:val="0"/>
    <w:rPr>
      <w:rFonts w:ascii="Calibri" w:hAnsi="Calibri" w:eastAsia="宋体" w:cs="Times New Roman"/>
    </w:rPr>
  </w:style>
  <w:style w:type="character" w:customStyle="1" w:styleId="139">
    <w:name w:val="批注框文本 字符1"/>
    <w:semiHidden/>
    <w:qFormat/>
    <w:uiPriority w:val="99"/>
    <w:rPr>
      <w:rFonts w:ascii="Calibri" w:hAnsi="Calibri" w:eastAsia="宋体" w:cs="Times New Roman"/>
      <w:sz w:val="18"/>
      <w:szCs w:val="18"/>
    </w:rPr>
  </w:style>
  <w:style w:type="character" w:customStyle="1" w:styleId="140">
    <w:name w:val="正文文本 3 字符1"/>
    <w:semiHidden/>
    <w:qFormat/>
    <w:uiPriority w:val="99"/>
    <w:rPr>
      <w:rFonts w:ascii="Calibri" w:hAnsi="Calibri" w:eastAsia="宋体" w:cs="Times New Roman"/>
      <w:sz w:val="16"/>
      <w:szCs w:val="16"/>
    </w:rPr>
  </w:style>
  <w:style w:type="character" w:customStyle="1" w:styleId="141">
    <w:name w:val="批注主题 字符1"/>
    <w:semiHidden/>
    <w:qFormat/>
    <w:uiPriority w:val="99"/>
    <w:rPr>
      <w:rFonts w:ascii="Calibri" w:hAnsi="Calibri" w:eastAsia="宋体" w:cs="Times New Roman"/>
      <w:b/>
      <w:bCs/>
    </w:rPr>
  </w:style>
  <w:style w:type="character" w:customStyle="1" w:styleId="142">
    <w:name w:val="Char Char"/>
    <w:uiPriority w:val="0"/>
    <w:rPr>
      <w:rFonts w:ascii="宋体" w:hAnsi="Courier New" w:eastAsia="宋体" w:cs="Times New Roman"/>
      <w:kern w:val="2"/>
      <w:sz w:val="21"/>
      <w:lang w:val="en-US" w:eastAsia="zh-CN"/>
    </w:rPr>
  </w:style>
  <w:style w:type="character" w:customStyle="1" w:styleId="143">
    <w:name w:val="文档结构图 字符1"/>
    <w:semiHidden/>
    <w:uiPriority w:val="0"/>
    <w:rPr>
      <w:rFonts w:ascii="Heiti SC Light" w:hAnsi="Calibri" w:eastAsia="Times New Roman" w:cs="Times New Roman"/>
    </w:rPr>
  </w:style>
  <w:style w:type="character" w:customStyle="1" w:styleId="144">
    <w:name w:val="注释标题 字符"/>
    <w:link w:val="14"/>
    <w:qFormat/>
    <w:uiPriority w:val="0"/>
    <w:rPr>
      <w:rFonts w:ascii="Calibri" w:hAnsi="Calibri" w:eastAsia="宋体" w:cs="Times New Roman"/>
      <w:kern w:val="15"/>
      <w:sz w:val="24"/>
      <w:lang w:bidi="ar-SA"/>
    </w:rPr>
  </w:style>
  <w:style w:type="character" w:customStyle="1" w:styleId="145">
    <w:name w:val="页脚 字符"/>
    <w:link w:val="37"/>
    <w:qFormat/>
    <w:uiPriority w:val="0"/>
    <w:rPr>
      <w:rFonts w:ascii="Times New Roman" w:hAnsi="Times New Roman" w:eastAsia="宋体" w:cs="Times New Roman"/>
      <w:kern w:val="0"/>
      <w:sz w:val="20"/>
    </w:rPr>
  </w:style>
  <w:style w:type="character" w:customStyle="1" w:styleId="146">
    <w:name w:val="页眉 字符"/>
    <w:link w:val="38"/>
    <w:qFormat/>
    <w:uiPriority w:val="0"/>
    <w:rPr>
      <w:rFonts w:ascii="Times New Roman" w:hAnsi="Times New Roman" w:eastAsia="宋体" w:cs="Times New Roman"/>
      <w:kern w:val="0"/>
      <w:sz w:val="20"/>
    </w:rPr>
  </w:style>
  <w:style w:type="character" w:customStyle="1" w:styleId="147">
    <w:name w:val="标题 字符1"/>
    <w:qFormat/>
    <w:uiPriority w:val="10"/>
    <w:rPr>
      <w:rFonts w:ascii="等线 Light" w:hAnsi="等线 Light" w:eastAsia="等线 Light" w:cs="Times New Roman"/>
      <w:b/>
      <w:bCs/>
      <w:sz w:val="32"/>
      <w:szCs w:val="32"/>
    </w:rPr>
  </w:style>
  <w:style w:type="character" w:customStyle="1" w:styleId="148">
    <w:name w:val="标题 7 字符"/>
    <w:link w:val="8"/>
    <w:qFormat/>
    <w:uiPriority w:val="0"/>
    <w:rPr>
      <w:rFonts w:ascii="Times New Roman" w:hAnsi="Times New Roman" w:eastAsia="宋体" w:cs="Times New Roman"/>
      <w:b/>
      <w:bCs/>
      <w:kern w:val="0"/>
    </w:rPr>
  </w:style>
  <w:style w:type="character" w:customStyle="1" w:styleId="149">
    <w:name w:val="HTML 预设格式 字符"/>
    <w:link w:val="50"/>
    <w:uiPriority w:val="0"/>
    <w:rPr>
      <w:rFonts w:ascii="宋体" w:hAnsi="宋体" w:eastAsia="宋体" w:cs="Times New Roman"/>
      <w:sz w:val="24"/>
      <w:lang w:bidi="ar-SA"/>
    </w:rPr>
  </w:style>
  <w:style w:type="character" w:customStyle="1" w:styleId="150">
    <w:name w:val="标题 1 字符"/>
    <w:link w:val="2"/>
    <w:qFormat/>
    <w:uiPriority w:val="0"/>
    <w:rPr>
      <w:rFonts w:ascii="Times New Roman" w:hAnsi="Times New Roman" w:eastAsia="宋体" w:cs="Times New Roman"/>
      <w:b/>
      <w:bCs/>
      <w:kern w:val="44"/>
      <w:sz w:val="44"/>
      <w:szCs w:val="44"/>
    </w:rPr>
  </w:style>
  <w:style w:type="character" w:customStyle="1" w:styleId="151">
    <w:name w:val="标题 8 字符"/>
    <w:link w:val="9"/>
    <w:qFormat/>
    <w:uiPriority w:val="0"/>
    <w:rPr>
      <w:rFonts w:ascii="Arial" w:hAnsi="Arial" w:eastAsia="黑体" w:cs="Times New Roman"/>
      <w:kern w:val="0"/>
    </w:rPr>
  </w:style>
  <w:style w:type="character" w:customStyle="1" w:styleId="152">
    <w:name w:val="样式5 Char"/>
    <w:link w:val="67"/>
    <w:qFormat/>
    <w:uiPriority w:val="0"/>
    <w:rPr>
      <w:rFonts w:ascii="黑体" w:hAnsi="Calibri" w:eastAsia="黑体" w:cs="Times New Roman"/>
      <w:sz w:val="21"/>
      <w:lang w:bidi="ar-SA"/>
    </w:rPr>
  </w:style>
  <w:style w:type="character" w:customStyle="1" w:styleId="153">
    <w:name w:val="标题 9 字符"/>
    <w:link w:val="10"/>
    <w:qFormat/>
    <w:uiPriority w:val="0"/>
    <w:rPr>
      <w:rFonts w:ascii="Arial" w:hAnsi="Arial" w:eastAsia="黑体" w:cs="Times New Roman"/>
      <w:kern w:val="0"/>
      <w:sz w:val="21"/>
      <w:szCs w:val="21"/>
    </w:rPr>
  </w:style>
  <w:style w:type="character" w:customStyle="1" w:styleId="154">
    <w:name w:val="页眉字符1"/>
    <w:semiHidden/>
    <w:qFormat/>
    <w:uiPriority w:val="0"/>
    <w:rPr>
      <w:rFonts w:ascii="Calibri" w:hAnsi="Calibri" w:eastAsia="宋体" w:cs="Times New Roman"/>
      <w:sz w:val="18"/>
      <w:szCs w:val="18"/>
    </w:rPr>
  </w:style>
  <w:style w:type="character" w:customStyle="1" w:styleId="155">
    <w:name w:val="正文文本缩进 3 字符"/>
    <w:link w:val="44"/>
    <w:qFormat/>
    <w:uiPriority w:val="0"/>
    <w:rPr>
      <w:rFonts w:ascii="Times New Roman" w:hAnsi="Times New Roman" w:eastAsia="宋体" w:cs="Times New Roman"/>
      <w:kern w:val="0"/>
      <w:sz w:val="16"/>
    </w:rPr>
  </w:style>
  <w:style w:type="character" w:customStyle="1" w:styleId="156">
    <w:name w:val="文档结构图 字符2"/>
    <w:semiHidden/>
    <w:uiPriority w:val="99"/>
    <w:rPr>
      <w:rFonts w:ascii="Microsoft YaHei UI" w:hAnsi="Calibri" w:eastAsia="Microsoft YaHei UI" w:cs="Times New Roman"/>
      <w:sz w:val="18"/>
      <w:szCs w:val="18"/>
    </w:rPr>
  </w:style>
  <w:style w:type="character" w:customStyle="1" w:styleId="157">
    <w:name w:val="font21"/>
    <w:qFormat/>
    <w:uiPriority w:val="0"/>
    <w:rPr>
      <w:rFonts w:ascii="Times New Roman" w:hAnsi="Times New Roman" w:eastAsia="宋体" w:cs="Times New Roman"/>
      <w:color w:val="000000"/>
      <w:sz w:val="24"/>
      <w:u w:val="none"/>
      <w:vertAlign w:val="superscript"/>
    </w:rPr>
  </w:style>
  <w:style w:type="character" w:customStyle="1" w:styleId="158">
    <w:name w:val="样式 正文文本 Char"/>
    <w:link w:val="83"/>
    <w:qFormat/>
    <w:uiPriority w:val="0"/>
    <w:rPr>
      <w:rFonts w:ascii="Arial" w:hAnsi="Arial" w:eastAsia="宋体" w:cs="Times New Roman"/>
      <w:color w:val="000000"/>
      <w:kern w:val="2"/>
      <w:sz w:val="21"/>
      <w:lang w:val="en-US" w:eastAsia="zh-CN" w:bidi="ar-SA"/>
    </w:rPr>
  </w:style>
  <w:style w:type="character" w:customStyle="1" w:styleId="159">
    <w:name w:val="Default Char"/>
    <w:link w:val="69"/>
    <w:qFormat/>
    <w:uiPriority w:val="0"/>
    <w:rPr>
      <w:rFonts w:ascii="宋体" w:hAnsi="Calibri" w:eastAsia="宋体" w:cs="宋体"/>
      <w:color w:val="000000"/>
      <w:sz w:val="24"/>
      <w:szCs w:val="24"/>
      <w:lang w:val="en-US" w:eastAsia="zh-CN" w:bidi="ar-SA"/>
    </w:rPr>
  </w:style>
  <w:style w:type="character" w:customStyle="1" w:styleId="160">
    <w:name w:val="正文文本 2 字符"/>
    <w:link w:val="47"/>
    <w:qFormat/>
    <w:uiPriority w:val="0"/>
    <w:rPr>
      <w:rFonts w:ascii="Times New Roman" w:hAnsi="Times New Roman" w:eastAsia="宋体" w:cs="Times New Roman"/>
      <w:kern w:val="0"/>
      <w:sz w:val="20"/>
    </w:rPr>
  </w:style>
  <w:style w:type="character" w:customStyle="1" w:styleId="161">
    <w:name w:val="font71"/>
    <w:qFormat/>
    <w:uiPriority w:val="0"/>
    <w:rPr>
      <w:rFonts w:ascii="宋体" w:hAnsi="宋体" w:eastAsia="宋体" w:cs="Times New Roman"/>
      <w:color w:val="000000"/>
      <w:sz w:val="24"/>
      <w:u w:val="none"/>
    </w:rPr>
  </w:style>
  <w:style w:type="character" w:customStyle="1" w:styleId="162">
    <w:name w:val="正文文本 2字符1"/>
    <w:semiHidden/>
    <w:qFormat/>
    <w:uiPriority w:val="0"/>
    <w:rPr>
      <w:rFonts w:ascii="Calibri" w:hAnsi="Calibri" w:eastAsia="宋体" w:cs="Times New Roman"/>
    </w:rPr>
  </w:style>
  <w:style w:type="character" w:customStyle="1" w:styleId="163">
    <w:name w:val="正文文本字符"/>
    <w:qFormat/>
    <w:uiPriority w:val="0"/>
    <w:rPr>
      <w:rFonts w:ascii="Times New Roman" w:hAnsi="Times New Roman" w:eastAsia="宋体" w:cs="Times New Roman"/>
      <w:kern w:val="0"/>
      <w:sz w:val="24"/>
    </w:rPr>
  </w:style>
  <w:style w:type="character" w:customStyle="1" w:styleId="164">
    <w:name w:val="正文文本缩进 2 字符"/>
    <w:link w:val="34"/>
    <w:qFormat/>
    <w:uiPriority w:val="0"/>
    <w:rPr>
      <w:rFonts w:ascii="Times New Roman" w:hAnsi="Times New Roman" w:eastAsia="宋体" w:cs="Times New Roman"/>
      <w:kern w:val="0"/>
      <w:sz w:val="20"/>
    </w:rPr>
  </w:style>
  <w:style w:type="character" w:customStyle="1" w:styleId="165">
    <w:name w:val="页脚字符1"/>
    <w:semiHidden/>
    <w:qFormat/>
    <w:uiPriority w:val="0"/>
    <w:rPr>
      <w:rFonts w:ascii="Calibri" w:hAnsi="Calibri" w:eastAsia="宋体" w:cs="Times New Roman"/>
      <w:sz w:val="18"/>
      <w:szCs w:val="18"/>
    </w:rPr>
  </w:style>
  <w:style w:type="character" w:customStyle="1" w:styleId="166">
    <w:name w:val="尾注文本 字符"/>
    <w:link w:val="35"/>
    <w:qFormat/>
    <w:uiPriority w:val="0"/>
    <w:rPr>
      <w:rFonts w:ascii="Calibri" w:hAnsi="Calibri" w:eastAsia="宋体" w:cs="Times New Roman"/>
      <w:lang w:bidi="ar-SA"/>
    </w:rPr>
  </w:style>
  <w:style w:type="character" w:customStyle="1" w:styleId="167">
    <w:name w:val="标题 5 字符1"/>
    <w:link w:val="6"/>
    <w:qFormat/>
    <w:uiPriority w:val="0"/>
    <w:rPr>
      <w:rFonts w:ascii="Calibri" w:hAnsi="Calibri" w:eastAsia="宋体" w:cs="Times New Roman"/>
      <w:b/>
      <w:kern w:val="2"/>
      <w:sz w:val="28"/>
      <w:szCs w:val="28"/>
    </w:rPr>
  </w:style>
  <w:style w:type="character" w:customStyle="1" w:styleId="168">
    <w:name w:val="标题字符1"/>
    <w:qFormat/>
    <w:uiPriority w:val="0"/>
    <w:rPr>
      <w:rFonts w:ascii="Calibri" w:hAnsi="Calibri" w:eastAsia="宋体" w:cs="Times New Roman"/>
      <w:b/>
      <w:bCs/>
      <w:sz w:val="32"/>
      <w:szCs w:val="32"/>
    </w:rPr>
  </w:style>
  <w:style w:type="character" w:customStyle="1" w:styleId="169">
    <w:name w:val="正文文本 3字符1"/>
    <w:semiHidden/>
    <w:qFormat/>
    <w:uiPriority w:val="0"/>
    <w:rPr>
      <w:rFonts w:ascii="Calibri" w:hAnsi="Calibri" w:eastAsia="宋体" w:cs="Times New Roman"/>
      <w:sz w:val="16"/>
      <w:szCs w:val="16"/>
    </w:rPr>
  </w:style>
  <w:style w:type="character" w:customStyle="1" w:styleId="170">
    <w:name w:val="Heading 5 Char"/>
    <w:link w:val="6"/>
    <w:qFormat/>
    <w:uiPriority w:val="0"/>
    <w:rPr>
      <w:rFonts w:ascii="Times New Roman" w:hAnsi="Times New Roman" w:eastAsia="宋体" w:cs="Times New Roman"/>
      <w:b/>
      <w:bCs/>
      <w:kern w:val="0"/>
      <w:sz w:val="28"/>
      <w:szCs w:val="28"/>
    </w:rPr>
  </w:style>
  <w:style w:type="character" w:customStyle="1" w:styleId="171">
    <w:name w:val="font51"/>
    <w:qFormat/>
    <w:uiPriority w:val="0"/>
    <w:rPr>
      <w:rFonts w:ascii="Times New Roman" w:hAnsi="Times New Roman" w:eastAsia="宋体" w:cs="Times New Roman"/>
      <w:b/>
      <w:color w:val="000000"/>
      <w:sz w:val="24"/>
      <w:u w:val="none"/>
    </w:rPr>
  </w:style>
  <w:style w:type="character" w:customStyle="1" w:styleId="172">
    <w:name w:val="正文缩进 字符"/>
    <w:link w:val="15"/>
    <w:qFormat/>
    <w:uiPriority w:val="0"/>
    <w:rPr>
      <w:rFonts w:ascii="Calibri" w:hAnsi="Calibri" w:eastAsia="宋体" w:cs="Times New Roman"/>
      <w:kern w:val="2"/>
      <w:sz w:val="21"/>
      <w:lang w:val="en-US" w:eastAsia="zh-CN" w:bidi="ar-SA"/>
    </w:rPr>
  </w:style>
  <w:style w:type="character" w:customStyle="1" w:styleId="173">
    <w:name w:val="px1233"/>
    <w:qFormat/>
    <w:uiPriority w:val="0"/>
    <w:rPr>
      <w:rFonts w:ascii="Calibri" w:hAnsi="Calibri" w:eastAsia="宋体" w:cs="Times New Roman"/>
    </w:rPr>
  </w:style>
  <w:style w:type="character" w:customStyle="1" w:styleId="174">
    <w:name w:val="批注框文本 字符"/>
    <w:link w:val="36"/>
    <w:semiHidden/>
    <w:qFormat/>
    <w:uiPriority w:val="0"/>
    <w:rPr>
      <w:rFonts w:ascii="Times New Roman" w:hAnsi="Times New Roman" w:eastAsia="宋体" w:cs="Times New Roman"/>
      <w:kern w:val="0"/>
      <w:sz w:val="18"/>
    </w:rPr>
  </w:style>
  <w:style w:type="character" w:customStyle="1" w:styleId="175">
    <w:name w:val="标题 5 字符"/>
    <w:link w:val="6"/>
    <w:qFormat/>
    <w:uiPriority w:val="0"/>
    <w:rPr>
      <w:rFonts w:hint="eastAsia" w:ascii="宋体" w:hAnsi="宋体" w:eastAsia="宋体" w:cs="宋体"/>
      <w:b/>
      <w:sz w:val="24"/>
      <w:lang w:val="zh-CN"/>
    </w:rPr>
  </w:style>
  <w:style w:type="character" w:customStyle="1" w:styleId="176">
    <w:name w:val="正文文本 3 字符"/>
    <w:link w:val="22"/>
    <w:qFormat/>
    <w:uiPriority w:val="0"/>
    <w:rPr>
      <w:rFonts w:ascii="Times New Roman" w:hAnsi="Times New Roman" w:eastAsia="宋体" w:cs="Times New Roman"/>
      <w:kern w:val="0"/>
      <w:sz w:val="16"/>
    </w:rPr>
  </w:style>
  <w:style w:type="character" w:customStyle="1" w:styleId="177">
    <w:name w:val="批注主题字符1"/>
    <w:semiHidden/>
    <w:qFormat/>
    <w:uiPriority w:val="0"/>
    <w:rPr>
      <w:rFonts w:ascii="Calibri" w:hAnsi="Calibri" w:eastAsia="宋体" w:cs="Times New Roman"/>
      <w:b/>
      <w:bCs/>
    </w:rPr>
  </w:style>
  <w:style w:type="character" w:customStyle="1" w:styleId="178">
    <w:name w:val="称呼 字符"/>
    <w:link w:val="21"/>
    <w:qFormat/>
    <w:uiPriority w:val="0"/>
    <w:rPr>
      <w:rFonts w:ascii="Calibri" w:hAnsi="Calibri" w:eastAsia="宋体" w:cs="Times New Roman"/>
      <w:lang w:bidi="ar-SA"/>
    </w:rPr>
  </w:style>
  <w:style w:type="character" w:customStyle="1" w:styleId="179">
    <w:name w:val="批注主题 字符"/>
    <w:link w:val="54"/>
    <w:semiHidden/>
    <w:qFormat/>
    <w:uiPriority w:val="0"/>
    <w:rPr>
      <w:rFonts w:ascii="Times New Roman" w:hAnsi="Times New Roman" w:eastAsia="宋体" w:cs="Times New Roman"/>
      <w:b/>
      <w:kern w:val="0"/>
      <w:sz w:val="20"/>
    </w:rPr>
  </w:style>
  <w:style w:type="character" w:customStyle="1" w:styleId="180">
    <w:name w:val="正文首行缩进 2 字符1"/>
    <w:semiHidden/>
    <w:qFormat/>
    <w:uiPriority w:val="99"/>
    <w:rPr>
      <w:rFonts w:ascii="Calibri" w:hAnsi="Calibri" w:eastAsia="宋体" w:cs="Times New Roman"/>
    </w:rPr>
  </w:style>
  <w:style w:type="character" w:customStyle="1" w:styleId="181">
    <w:name w:val="日期字符1"/>
    <w:semiHidden/>
    <w:qFormat/>
    <w:uiPriority w:val="0"/>
    <w:rPr>
      <w:rFonts w:ascii="Calibri" w:hAnsi="Calibri" w:eastAsia="宋体" w:cs="Times New Roman"/>
    </w:rPr>
  </w:style>
  <w:style w:type="character" w:customStyle="1" w:styleId="182">
    <w:name w:val="标题 6 字符"/>
    <w:link w:val="7"/>
    <w:qFormat/>
    <w:uiPriority w:val="0"/>
    <w:rPr>
      <w:rFonts w:ascii="Arial" w:hAnsi="Arial" w:eastAsia="黑体" w:cs="Times New Roman"/>
      <w:b/>
      <w:bCs/>
      <w:kern w:val="0"/>
    </w:rPr>
  </w:style>
  <w:style w:type="character" w:customStyle="1" w:styleId="183">
    <w:name w:val="标题 2 字符"/>
    <w:link w:val="3"/>
    <w:qFormat/>
    <w:uiPriority w:val="0"/>
    <w:rPr>
      <w:rFonts w:ascii="Arial" w:hAnsi="Arial" w:eastAsia="宋体" w:cs="Times New Roman"/>
      <w:b/>
      <w:bCs/>
      <w:kern w:val="0"/>
      <w:sz w:val="32"/>
      <w:szCs w:val="32"/>
    </w:rPr>
  </w:style>
  <w:style w:type="character" w:customStyle="1" w:styleId="184">
    <w:name w:val="正文文本 2 字符1"/>
    <w:semiHidden/>
    <w:qFormat/>
    <w:uiPriority w:val="99"/>
    <w:rPr>
      <w:rFonts w:ascii="Calibri" w:hAnsi="Calibri" w:eastAsia="宋体" w:cs="Times New Roman"/>
    </w:rPr>
  </w:style>
  <w:style w:type="character" w:customStyle="1" w:styleId="185">
    <w:name w:val="称呼 字符1"/>
    <w:semiHidden/>
    <w:qFormat/>
    <w:uiPriority w:val="99"/>
    <w:rPr>
      <w:rFonts w:ascii="Calibri" w:hAnsi="Calibri" w:eastAsia="宋体" w:cs="Times New Roman"/>
    </w:rPr>
  </w:style>
  <w:style w:type="character" w:customStyle="1" w:styleId="186">
    <w:name w:val="页脚 字符1"/>
    <w:semiHidden/>
    <w:qFormat/>
    <w:uiPriority w:val="99"/>
    <w:rPr>
      <w:rFonts w:ascii="Calibri" w:hAnsi="Calibri" w:eastAsia="宋体" w:cs="Times New Roman"/>
      <w:sz w:val="18"/>
      <w:szCs w:val="18"/>
    </w:rPr>
  </w:style>
  <w:style w:type="character" w:customStyle="1" w:styleId="187">
    <w:name w:val="正文文本缩进 2 字符1"/>
    <w:semiHidden/>
    <w:qFormat/>
    <w:uiPriority w:val="99"/>
    <w:rPr>
      <w:rFonts w:ascii="Calibri" w:hAnsi="Calibri" w:eastAsia="宋体" w:cs="Times New Roman"/>
    </w:rPr>
  </w:style>
  <w:style w:type="character" w:customStyle="1" w:styleId="188">
    <w:name w:val="尾注文本 字符1"/>
    <w:semiHidden/>
    <w:qFormat/>
    <w:uiPriority w:val="99"/>
    <w:rPr>
      <w:rFonts w:ascii="Calibri" w:hAnsi="Calibri" w:eastAsia="宋体" w:cs="Times New Roman"/>
    </w:rPr>
  </w:style>
  <w:style w:type="character" w:customStyle="1" w:styleId="189">
    <w:name w:val="正文文本缩进 3 字符1"/>
    <w:semiHidden/>
    <w:qFormat/>
    <w:uiPriority w:val="99"/>
    <w:rPr>
      <w:rFonts w:ascii="Calibri" w:hAnsi="Calibri" w:eastAsia="宋体" w:cs="Times New Roman"/>
      <w:sz w:val="16"/>
      <w:szCs w:val="16"/>
    </w:rPr>
  </w:style>
  <w:style w:type="character" w:customStyle="1" w:styleId="190">
    <w:name w:val="正文首行缩进 字符1"/>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2019-08-14T02:02:33Z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