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 xml:space="preserve">      航显系统 LCD大屏  </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2</w:t>
      </w:r>
      <w:r>
        <w:rPr>
          <w:rFonts w:ascii="Calibri" w:hAnsi="Calibri" w:eastAsia="黑体" w:cs="Calibri"/>
          <w:sz w:val="32"/>
          <w:szCs w:val="32"/>
        </w:rPr>
        <w:t>019</w:t>
      </w:r>
      <w:r>
        <w:rPr>
          <w:rFonts w:hint="eastAsia" w:ascii="Calibri" w:hAnsi="Calibri" w:eastAsia="黑体" w:cs="Calibri"/>
          <w:sz w:val="32"/>
          <w:szCs w:val="32"/>
        </w:rPr>
        <w:t>年</w:t>
      </w:r>
      <w:r>
        <w:rPr>
          <w:rFonts w:hint="eastAsia" w:ascii="Calibri" w:hAnsi="Calibri" w:eastAsia="黑体" w:cs="Calibri"/>
          <w:sz w:val="32"/>
          <w:szCs w:val="32"/>
          <w:u w:val="single"/>
          <w:lang w:val="en-US" w:eastAsia="zh-CN"/>
        </w:rPr>
        <w:t>8</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tabs>
          <w:tab w:val="left" w:pos="6030"/>
        </w:tabs>
        <w:spacing w:line="560" w:lineRule="exact"/>
        <w:jc w:val="left"/>
        <w:rPr>
          <w:b/>
        </w:rPr>
      </w:pPr>
      <w:r>
        <w:rPr>
          <w:b/>
        </w:rPr>
        <w:tab/>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2</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13</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19</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25</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29</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321925451"/>
    </w:p>
    <w:p>
      <w:pPr>
        <w:pStyle w:val="48"/>
      </w:pPr>
    </w:p>
    <w:p>
      <w:pPr>
        <w:pStyle w:val="48"/>
      </w:pPr>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172" w:name="_GoBack"/>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b/>
          <w:szCs w:val="21"/>
          <w:u w:val="single"/>
        </w:rPr>
        <w:t>航显系统 LCD大屏</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2"/>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b/>
                <w:szCs w:val="21"/>
                <w:u w:val="single"/>
              </w:rPr>
              <w:t>航显系统 LCD大屏</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1套</w:t>
            </w:r>
          </w:p>
        </w:tc>
        <w:tc>
          <w:tcPr>
            <w:tcW w:w="2078" w:type="dxa"/>
            <w:vAlign w:val="center"/>
          </w:tcPr>
          <w:p>
            <w:pPr>
              <w:pStyle w:val="19"/>
              <w:snapToGrid w:val="0"/>
              <w:jc w:val="center"/>
              <w:rPr>
                <w:rFonts w:asciiTheme="minorEastAsia" w:hAnsiTheme="minorEastAsia"/>
                <w:sz w:val="22"/>
                <w:szCs w:val="22"/>
              </w:rPr>
            </w:pPr>
            <w:r>
              <w:rPr>
                <w:rFonts w:hint="eastAsia" w:asciiTheme="minorEastAsia" w:hAnsiTheme="minorEastAsia"/>
                <w:sz w:val="22"/>
                <w:szCs w:val="22"/>
              </w:rPr>
              <w:t>详见第三章</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1</w:t>
            </w:r>
            <w:r>
              <w:rPr>
                <w:rFonts w:asciiTheme="minorEastAsia" w:hAnsiTheme="minorEastAsia"/>
                <w:sz w:val="22"/>
                <w:szCs w:val="22"/>
                <w:u w:val="single"/>
              </w:rPr>
              <w:t>50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snapToGrid w:val="0"/>
        <w:spacing w:line="34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 xml:space="preserve">   </w:t>
      </w:r>
      <w:r>
        <w:rPr>
          <w:rFonts w:hint="eastAsia" w:cs="Arial" w:asciiTheme="minorEastAsia" w:hAnsiTheme="minorEastAsia"/>
          <w:kern w:val="0"/>
          <w:sz w:val="22"/>
          <w:szCs w:val="22"/>
        </w:rPr>
        <w:t>（1）具有独立法人资格的制造商或代理商，持有有效营业执照，</w:t>
      </w:r>
      <w:r>
        <w:rPr>
          <w:rStyle w:val="82"/>
          <w:rFonts w:hint="eastAsia" w:cs="宋体" w:asciiTheme="minorEastAsia" w:hAnsiTheme="minorEastAsia"/>
          <w:sz w:val="22"/>
          <w:szCs w:val="22"/>
        </w:rPr>
        <w:t>注册资金不少于人民币</w:t>
      </w:r>
      <w:r>
        <w:rPr>
          <w:rStyle w:val="82"/>
          <w:rFonts w:cs="宋体" w:asciiTheme="minorEastAsia" w:hAnsiTheme="minorEastAsia"/>
          <w:sz w:val="22"/>
          <w:szCs w:val="22"/>
          <w:u w:val="single"/>
        </w:rPr>
        <w:t>500</w:t>
      </w:r>
      <w:r>
        <w:rPr>
          <w:rStyle w:val="82"/>
          <w:rFonts w:hint="eastAsia" w:cs="宋体" w:asciiTheme="minorEastAsia" w:hAnsiTheme="minorEastAsia"/>
          <w:sz w:val="22"/>
          <w:szCs w:val="22"/>
        </w:rPr>
        <w:t>万元或等值外币</w:t>
      </w:r>
      <w:r>
        <w:rPr>
          <w:rFonts w:hint="eastAsia" w:cs="Arial" w:asciiTheme="minorEastAsia" w:hAnsiTheme="minorEastAsia"/>
          <w:kern w:val="0"/>
          <w:sz w:val="22"/>
          <w:szCs w:val="22"/>
        </w:rPr>
        <w:t xml:space="preserve"> (</w:t>
      </w:r>
      <w:r>
        <w:rPr>
          <w:rStyle w:val="82"/>
          <w:rFonts w:hint="eastAsia" w:cs="宋体" w:asciiTheme="minorEastAsia" w:hAnsiTheme="minorEastAsia"/>
          <w:sz w:val="22"/>
          <w:szCs w:val="22"/>
        </w:rPr>
        <w:t>按投标截止日中国人民银行公布的汇率中间价换算，须</w:t>
      </w:r>
      <w:r>
        <w:rPr>
          <w:rFonts w:hint="eastAsia" w:cs="Arial" w:asciiTheme="minorEastAsia" w:hAnsiTheme="minorEastAsia"/>
          <w:kern w:val="0"/>
          <w:sz w:val="22"/>
          <w:szCs w:val="22"/>
        </w:rPr>
        <w:t xml:space="preserve">提供营业执照复印件并加盖公章，原件备查)；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hint="eastAsia" w:cs="Arial" w:asciiTheme="minorEastAsia" w:hAnsiTheme="minorEastAsia"/>
          <w:kern w:val="0"/>
          <w:sz w:val="22"/>
          <w:szCs w:val="22"/>
          <w:u w:val="single"/>
        </w:rPr>
        <w:t>投标人提供的FSC-LCD模块制造商需在国内具有FSC-LCD大屏销售业绩，且至少有1个大屏金额在500万元人民币以上（不含）。（需提供合同复印件并加盖投标人公章作为证明材料，原件备查）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（6）</w:t>
      </w:r>
      <w:r>
        <w:rPr>
          <w:rFonts w:hint="eastAsia" w:cs="Arial" w:asciiTheme="minorEastAsia" w:hAnsiTheme="minorEastAsia"/>
          <w:kern w:val="0"/>
          <w:sz w:val="22"/>
          <w:szCs w:val="22"/>
          <w:u w:val="single"/>
        </w:rPr>
        <w:t>投标人若为代理商的，代理商需具有招标设备制造商的授权书。</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（7）</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时00分（北京时间）前送至杭州萧山国际机场翔越路综合服务楼园区招标中心，逾期无效；若采用投递方式的，请于2019年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3</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 xml:space="preserve">投标联系人：贾工      </w:t>
      </w:r>
      <w:r>
        <w:rPr>
          <w:rFonts w:asciiTheme="minorEastAsia" w:hAnsiTheme="minorEastAsia"/>
          <w:sz w:val="22"/>
          <w:szCs w:val="22"/>
        </w:rPr>
        <w:t xml:space="preserve"> </w:t>
      </w:r>
      <w:r>
        <w:rPr>
          <w:rFonts w:hint="eastAsia" w:asciiTheme="minorEastAsia" w:hAnsiTheme="minorEastAsia"/>
          <w:sz w:val="22"/>
          <w:szCs w:val="22"/>
        </w:rPr>
        <w:t xml:space="preserve"> 联系电话： 0571-</w:t>
      </w:r>
      <w:r>
        <w:rPr>
          <w:rFonts w:asciiTheme="minorEastAsia" w:hAnsiTheme="minorEastAsia"/>
          <w:sz w:val="22"/>
          <w:szCs w:val="22"/>
        </w:rPr>
        <w:t>83837612</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 xml:space="preserve">招标监督人：阮工         联系电话： </w:t>
      </w:r>
      <w:r>
        <w:rPr>
          <w:rFonts w:asciiTheme="minorEastAsia" w:hAnsiTheme="minorEastAsia"/>
          <w:bCs/>
          <w:sz w:val="22"/>
          <w:szCs w:val="22"/>
        </w:rPr>
        <w:t>0571-86662133</w:t>
      </w:r>
    </w:p>
    <w:bookmarkEnd w:id="172"/>
    <w:p>
      <w:pPr>
        <w:pStyle w:val="48"/>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b/>
                <w:szCs w:val="21"/>
                <w:u w:val="single"/>
              </w:rPr>
              <w:t>航显系统 LCD大屏</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150</w:t>
            </w:r>
            <w:r>
              <w:rPr>
                <w:rFonts w:hint="eastAsia"/>
                <w:sz w:val="22"/>
              </w:rPr>
              <w:t>日历天</w:t>
            </w:r>
            <w:r>
              <w:rPr>
                <w:rFonts w:hint="eastAsia" w:ascii="宋体" w:hAnsi="宋体" w:cs="Calibri"/>
                <w:kern w:val="0"/>
                <w:sz w:val="22"/>
              </w:rPr>
              <w:t>内（含安装）。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u w:val="single"/>
              </w:rPr>
            </w:pPr>
            <w:r>
              <w:rPr>
                <w:rFonts w:ascii="宋体" w:hAnsi="宋体" w:cs="Calibri"/>
                <w:kern w:val="0"/>
                <w:sz w:val="22"/>
              </w:rPr>
              <w:fldChar w:fldCharType="begin"/>
            </w:r>
            <w:r>
              <w:rPr>
                <w:rFonts w:hint="eastAsia" w:ascii="宋体" w:hAnsi="宋体" w:cs="Calibri"/>
                <w:kern w:val="0"/>
                <w:sz w:val="22"/>
              </w:rPr>
              <w:instrText xml:space="preserve">eq \o\ac(□,</w:instrText>
            </w:r>
            <w:r>
              <w:rPr>
                <w:rFonts w:hint="eastAsia" w:ascii="宋体" w:hAnsi="宋体" w:cs="Calibri"/>
                <w:kern w:val="0"/>
                <w:position w:val="1"/>
                <w:sz w:val="15"/>
              </w:rPr>
              <w:instrText xml:space="preserve">√</w:instrText>
            </w:r>
            <w:r>
              <w:rPr>
                <w:rFonts w:hint="eastAsia" w:ascii="宋体" w:hAnsi="宋体" w:cs="Calibri"/>
                <w:kern w:val="0"/>
                <w:sz w:val="22"/>
              </w:rPr>
              <w:instrText xml:space="preserve">)</w:instrText>
            </w:r>
            <w:r>
              <w:rPr>
                <w:rFonts w:ascii="宋体" w:hAnsi="宋体" w:cs="Calibri"/>
                <w:kern w:val="0"/>
                <w:sz w:val="22"/>
              </w:rPr>
              <w:fldChar w:fldCharType="end"/>
            </w:r>
            <w:r>
              <w:rPr>
                <w:rFonts w:ascii="宋体" w:hAnsi="宋体" w:cs="Calibri"/>
                <w:kern w:val="0"/>
                <w:sz w:val="22"/>
              </w:rPr>
              <w:t>组织，踏勘时间：</w:t>
            </w:r>
            <w:r>
              <w:rPr>
                <w:rFonts w:hint="eastAsia" w:ascii="宋体" w:hAnsi="宋体" w:cs="Calibri"/>
                <w:kern w:val="0"/>
                <w:sz w:val="22"/>
                <w:u w:val="single"/>
              </w:rPr>
              <w:t>2</w:t>
            </w:r>
            <w:r>
              <w:rPr>
                <w:rFonts w:ascii="宋体" w:hAnsi="宋体" w:cs="Calibri"/>
                <w:kern w:val="0"/>
                <w:sz w:val="22"/>
                <w:u w:val="single"/>
              </w:rPr>
              <w:t>01</w:t>
            </w:r>
            <w:r>
              <w:rPr>
                <w:rFonts w:hint="eastAsia" w:ascii="宋体" w:hAnsi="宋体" w:cs="Calibri"/>
                <w:kern w:val="0"/>
                <w:sz w:val="22"/>
                <w:u w:val="single"/>
              </w:rPr>
              <w:t>9年</w:t>
            </w:r>
            <w:r>
              <w:rPr>
                <w:rFonts w:hint="eastAsia" w:ascii="宋体" w:hAnsi="宋体" w:cs="Calibri"/>
                <w:kern w:val="0"/>
                <w:sz w:val="22"/>
                <w:u w:val="single"/>
                <w:lang w:val="en-US" w:eastAsia="zh-CN"/>
              </w:rPr>
              <w:t>8</w:t>
            </w:r>
            <w:r>
              <w:rPr>
                <w:rFonts w:hint="eastAsia" w:ascii="宋体" w:hAnsi="宋体" w:cs="Calibri"/>
                <w:kern w:val="0"/>
                <w:sz w:val="22"/>
                <w:u w:val="single"/>
              </w:rPr>
              <w:t>月</w:t>
            </w:r>
            <w:r>
              <w:rPr>
                <w:rFonts w:hint="eastAsia" w:ascii="宋体" w:hAnsi="宋体" w:cs="Calibri"/>
                <w:kern w:val="0"/>
                <w:sz w:val="22"/>
                <w:u w:val="single"/>
                <w:lang w:val="en-US" w:eastAsia="zh-CN"/>
              </w:rPr>
              <w:t>27</w:t>
            </w:r>
            <w:r>
              <w:rPr>
                <w:rFonts w:hint="eastAsia" w:ascii="宋体" w:hAnsi="宋体" w:cs="Calibri"/>
                <w:kern w:val="0"/>
                <w:sz w:val="22"/>
                <w:u w:val="single"/>
              </w:rPr>
              <w:t>日上午9：00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b/>
                <w:kern w:val="0"/>
                <w:sz w:val="22"/>
              </w:rPr>
              <w:t>杭州萧山国际机场翔越路综合服务楼园区招标中心。</w:t>
            </w:r>
            <w:r>
              <w:rPr>
                <w:rFonts w:hint="eastAsia" w:ascii="宋体" w:hAnsi="宋体" w:cs="Calibri"/>
                <w:kern w:val="0"/>
                <w:sz w:val="22"/>
              </w:rPr>
              <w:t>提供身份证原件，由招标人带领踏勘。踏勘期间请遵守机场公司的管理规定。</w:t>
            </w:r>
          </w:p>
          <w:p>
            <w:pPr>
              <w:autoSpaceDE w:val="0"/>
              <w:autoSpaceDN w:val="0"/>
              <w:adjustRightInd w:val="0"/>
              <w:snapToGrid w:val="0"/>
              <w:rPr>
                <w:rFonts w:cs="Calibri" w:asciiTheme="minorEastAsia" w:hAnsiTheme="minorEastAsia"/>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8</w:t>
            </w:r>
            <w:r>
              <w:rPr>
                <w:rFonts w:cs="Calibri" w:asciiTheme="minorEastAsia" w:hAnsiTheme="minorEastAsia"/>
                <w:kern w:val="0"/>
                <w:sz w:val="22"/>
              </w:rPr>
              <w:t>月</w:t>
            </w:r>
            <w:r>
              <w:rPr>
                <w:rFonts w:hint="eastAsia" w:cs="Calibri" w:asciiTheme="minorEastAsia" w:hAnsiTheme="minorEastAsia"/>
                <w:kern w:val="0"/>
                <w:sz w:val="22"/>
                <w:lang w:val="en-US" w:eastAsia="zh-CN"/>
              </w:rPr>
              <w:t>27</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以书面加盖公章的形式通过E-mail或传真提交给招标人（投标联系人:贾工，电话0571-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3</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投标保证金的形式：支票、银行汇票或电汇</w:t>
            </w:r>
            <w:r>
              <w:rPr>
                <w:rFonts w:hint="eastAsia" w:ascii="宋体" w:hAnsi="宋体"/>
                <w:b/>
                <w:color w:val="000000" w:themeColor="text1"/>
                <w:sz w:val="22"/>
                <w14:textFill>
                  <w14:solidFill>
                    <w14:schemeClr w14:val="tx1"/>
                  </w14:solidFill>
                </w14:textFill>
              </w:rPr>
              <w:t>，必须在投标截止时间前通过投标人的基本账户以银行转账方式缴纳。</w:t>
            </w:r>
          </w:p>
          <w:p>
            <w:pPr>
              <w:snapToGrid w:val="0"/>
              <w:rPr>
                <w:rFonts w:ascii="宋体" w:hAnsi="宋体"/>
                <w:color w:val="FF0000"/>
                <w:sz w:val="22"/>
                <w:u w:val="single"/>
              </w:rPr>
            </w:pPr>
            <w:r>
              <w:rPr>
                <w:rFonts w:hint="eastAsia" w:ascii="宋体" w:hAnsi="宋体"/>
                <w:color w:val="000000" w:themeColor="text1"/>
                <w:sz w:val="22"/>
                <w14:textFill>
                  <w14:solidFill>
                    <w14:schemeClr w14:val="tx1"/>
                  </w14:solidFill>
                </w14:textFill>
              </w:rPr>
              <w:t>投标保证金的金额：</w:t>
            </w:r>
            <w:r>
              <w:rPr>
                <w:rFonts w:hint="eastAsia" w:ascii="宋体" w:hAnsi="宋体"/>
                <w:b/>
                <w:color w:val="FF0000"/>
                <w:sz w:val="22"/>
                <w:u w:val="single"/>
              </w:rPr>
              <w:t>人民币贰万元整</w:t>
            </w:r>
          </w:p>
          <w:p>
            <w:pPr>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投标保证金应在投标截止时间前汇入以下帐户：</w:t>
            </w:r>
          </w:p>
          <w:p>
            <w:pPr>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开户名：杭州萧山国际机场有限公司</w:t>
            </w:r>
          </w:p>
          <w:p>
            <w:pPr>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 xml:space="preserve">开户银行：工行杭州市空港城支行 </w:t>
            </w:r>
          </w:p>
          <w:p>
            <w:pPr>
              <w:snapToGrid w:val="0"/>
              <w:rPr>
                <w:rFonts w:ascii="宋体" w:hAnsi="宋体"/>
                <w:color w:val="000000" w:themeColor="text1"/>
                <w:sz w:val="22"/>
                <w:lang w:val="zh-CN"/>
                <w14:textFill>
                  <w14:solidFill>
                    <w14:schemeClr w14:val="tx1"/>
                  </w14:solidFill>
                </w14:textFill>
              </w:rPr>
            </w:pPr>
            <w:r>
              <w:rPr>
                <w:rFonts w:hint="eastAsia" w:ascii="宋体" w:hAnsi="宋体"/>
                <w:color w:val="000000" w:themeColor="text1"/>
                <w:sz w:val="22"/>
                <w14:textFill>
                  <w14:solidFill>
                    <w14:schemeClr w14:val="tx1"/>
                  </w14:solidFill>
                </w14:textFill>
              </w:rPr>
              <w:t>帐号：</w:t>
            </w:r>
            <w:r>
              <w:rPr>
                <w:rFonts w:hint="eastAsia" w:ascii="宋体" w:hAnsi="宋体"/>
                <w:color w:val="000000" w:themeColor="text1"/>
                <w:sz w:val="22"/>
                <w:lang w:val="zh-CN"/>
                <w14:textFill>
                  <w14:solidFill>
                    <w14:schemeClr w14:val="tx1"/>
                  </w14:solidFill>
                </w14:textFill>
              </w:rPr>
              <w:t>1202050209904601740</w:t>
            </w:r>
          </w:p>
          <w:p>
            <w:pPr>
              <w:snapToGrid w:val="0"/>
              <w:rPr>
                <w:rFonts w:ascii="宋体" w:hAnsi="宋体"/>
                <w:color w:val="000000" w:themeColor="text1"/>
                <w:sz w:val="22"/>
                <w14:textFill>
                  <w14:solidFill>
                    <w14:schemeClr w14:val="tx1"/>
                  </w14:solidFill>
                </w14:textFill>
              </w:rPr>
            </w:pPr>
            <w:r>
              <w:rPr>
                <w:rFonts w:hint="eastAsia" w:ascii="宋体" w:hAnsi="宋体"/>
                <w:b/>
                <w:color w:val="000000" w:themeColor="text1"/>
                <w:sz w:val="22"/>
                <w:highlight w:val="yellow"/>
                <w14:textFill>
                  <w14:solidFill>
                    <w14:schemeClr w14:val="tx1"/>
                  </w14:solidFill>
                </w14:textFill>
              </w:rPr>
              <w:t>投标人提交投标保证金时需注明“＊＊项目投标保证金”，基本账户开户许可证和银行回单复印件等信息随投标函单独封装，随投标文件一同递交。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杭州萧山国际机场LCD大屏采购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9</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3</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eastAsia="zh-CN"/>
              </w:rPr>
              <w:t>下午</w:t>
            </w:r>
            <w:r>
              <w:rPr>
                <w:rFonts w:hint="eastAsia" w:cs="Calibri" w:asciiTheme="minorEastAsia" w:hAnsiTheme="minorEastAsia"/>
                <w:kern w:val="0"/>
                <w:sz w:val="22"/>
                <w:u w:val="single"/>
                <w:lang w:val="en-US" w:eastAsia="zh-CN"/>
              </w:rPr>
              <w:t>14</w:t>
            </w:r>
            <w:r>
              <w:rPr>
                <w:rFonts w:hint="eastAsia" w:cs="Calibri" w:asciiTheme="minorEastAsia" w:hAnsiTheme="minorEastAsia"/>
                <w:kern w:val="0"/>
                <w:sz w:val="22"/>
                <w:u w:val="single"/>
              </w:rPr>
              <w:t>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b/>
                <w:sz w:val="22"/>
              </w:rPr>
              <w:t>银行转账或银行履约保函</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b/>
                <w:color w:val="FF0000"/>
                <w:sz w:val="22"/>
              </w:rPr>
              <w:t>合同总价的</w:t>
            </w:r>
            <w:r>
              <w:rPr>
                <w:rFonts w:ascii="宋体" w:hAnsi="宋体"/>
                <w:b/>
                <w:color w:val="FF0000"/>
                <w:sz w:val="22"/>
              </w:rPr>
              <w:t>10</w:t>
            </w:r>
            <w:r>
              <w:rPr>
                <w:rFonts w:hint="eastAsia" w:ascii="宋体" w:hAnsi="宋体"/>
                <w:b/>
                <w:color w:val="FF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u w:val="single"/>
        </w:rPr>
      </w:pPr>
      <w:r>
        <w:rPr>
          <w:rFonts w:hint="eastAsia" w:ascii="宋体" w:hAnsi="宋体" w:cs="Calibri"/>
          <w:sz w:val="22"/>
          <w:u w:val="single"/>
        </w:rPr>
        <w:t>（2）</w:t>
      </w:r>
      <w:r>
        <w:rPr>
          <w:rFonts w:hint="eastAsia" w:ascii="宋体" w:hAnsi="宋体" w:cs="宋体"/>
          <w:sz w:val="22"/>
          <w:u w:val="single"/>
        </w:rPr>
        <w:t>制造商资格声明</w:t>
      </w:r>
      <w:r>
        <w:rPr>
          <w:rFonts w:hint="eastAsia" w:ascii="宋体" w:hAnsi="宋体" w:cs="Arial"/>
          <w:kern w:val="0"/>
          <w:sz w:val="22"/>
          <w:u w:val="single"/>
        </w:rPr>
        <w:t>。</w:t>
      </w:r>
    </w:p>
    <w:p>
      <w:pPr>
        <w:adjustRightInd w:val="0"/>
        <w:snapToGrid w:val="0"/>
        <w:spacing w:line="360" w:lineRule="exact"/>
        <w:ind w:firstLine="440"/>
        <w:rPr>
          <w:rFonts w:ascii="宋体" w:hAnsi="宋体" w:cs="Arial"/>
          <w:kern w:val="0"/>
          <w:sz w:val="22"/>
          <w:u w:val="single"/>
        </w:rPr>
      </w:pPr>
      <w:r>
        <w:rPr>
          <w:rFonts w:hint="eastAsia" w:ascii="宋体" w:hAnsi="宋体" w:cs="Arial"/>
          <w:kern w:val="0"/>
          <w:sz w:val="22"/>
          <w:u w:val="single"/>
        </w:rPr>
        <w:t>（3）</w:t>
      </w:r>
      <w:r>
        <w:rPr>
          <w:rFonts w:ascii="宋体" w:hAnsi="宋体" w:cs="Calibri"/>
          <w:color w:val="000000"/>
          <w:sz w:val="22"/>
          <w:szCs w:val="22"/>
          <w:u w:val="single"/>
        </w:rPr>
        <w:t>设备制造商的授权书</w:t>
      </w:r>
      <w:r>
        <w:rPr>
          <w:rFonts w:hint="eastAsia" w:ascii="宋体" w:hAnsi="宋体" w:cs="Calibri"/>
          <w:color w:val="000000"/>
          <w:sz w:val="22"/>
          <w:szCs w:val="22"/>
          <w:u w:val="single"/>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22012324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8"/>
        <w:rPr>
          <w:sz w:val="24"/>
        </w:rPr>
      </w:pPr>
      <w:r>
        <w:rPr>
          <w:sz w:val="24"/>
        </w:rPr>
        <w:br w:type="page"/>
      </w:r>
      <w:bookmarkStart w:id="72" w:name="_Toc321925453"/>
    </w:p>
    <w:p>
      <w:pPr>
        <w:pStyle w:val="48"/>
      </w:pPr>
      <w:r>
        <w:t>第</w:t>
      </w:r>
      <w:r>
        <w:rPr>
          <w:rFonts w:hint="eastAsia"/>
        </w:rPr>
        <w:t>三</w:t>
      </w:r>
      <w:r>
        <w:t>章  货物需求一览表及技术规格</w:t>
      </w:r>
      <w:bookmarkEnd w:id="72"/>
    </w:p>
    <w:p>
      <w:pPr>
        <w:adjustRightInd w:val="0"/>
        <w:snapToGrid w:val="0"/>
        <w:spacing w:line="360" w:lineRule="auto"/>
        <w:rPr>
          <w:b/>
          <w:sz w:val="22"/>
        </w:rPr>
      </w:pPr>
      <w:r>
        <w:rPr>
          <w:b/>
          <w:sz w:val="22"/>
        </w:rPr>
        <w:t>一、</w:t>
      </w:r>
      <w:bookmarkStart w:id="73" w:name="_Toc244355486"/>
      <w:r>
        <w:rPr>
          <w:rFonts w:hint="eastAsia"/>
          <w:b/>
          <w:sz w:val="22"/>
        </w:rPr>
        <w:t>采购内容</w:t>
      </w:r>
      <w:r>
        <w:rPr>
          <w:rFonts w:hint="eastAsia" w:ascii="宋体" w:hAnsi="宋体"/>
          <w:b/>
          <w:sz w:val="22"/>
        </w:rPr>
        <w:t>、</w:t>
      </w:r>
      <w:r>
        <w:rPr>
          <w:rFonts w:hint="eastAsia"/>
          <w:b/>
          <w:sz w:val="22"/>
        </w:rPr>
        <w:t>标准与要求</w:t>
      </w:r>
    </w:p>
    <w:p>
      <w:pPr>
        <w:widowControl/>
        <w:spacing w:line="420" w:lineRule="exact"/>
        <w:jc w:val="left"/>
        <w:rPr>
          <w:rFonts w:ascii="宋体" w:hAnsi="宋体" w:cs="Calibri"/>
          <w:sz w:val="22"/>
        </w:rPr>
      </w:pPr>
      <w:r>
        <w:rPr>
          <w:rFonts w:ascii="宋体" w:hAnsi="宋体" w:cs="Calibri"/>
          <w:sz w:val="22"/>
        </w:rPr>
        <w:t>1.1</w:t>
      </w:r>
      <w:r>
        <w:rPr>
          <w:rFonts w:hint="eastAsia" w:ascii="宋体" w:hAnsi="宋体" w:cs="Calibri"/>
          <w:sz w:val="22"/>
        </w:rPr>
        <w:t xml:space="preserve"> </w:t>
      </w:r>
      <w:r>
        <w:rPr>
          <w:rFonts w:ascii="宋体" w:hAnsi="宋体" w:cs="Calibri"/>
          <w:sz w:val="22"/>
        </w:rPr>
        <w:t>概述</w:t>
      </w:r>
      <w:bookmarkEnd w:id="73"/>
    </w:p>
    <w:p>
      <w:pPr>
        <w:spacing w:line="420" w:lineRule="exact"/>
        <w:ind w:firstLine="482"/>
        <w:rPr>
          <w:rFonts w:ascii="宋体" w:hAnsi="宋体" w:cs="Calibri"/>
          <w:sz w:val="22"/>
        </w:rPr>
      </w:pPr>
      <w:bookmarkStart w:id="74" w:name="_Toc107586406"/>
      <w:bookmarkStart w:id="75" w:name="_Toc118213993"/>
      <w:r>
        <w:rPr>
          <w:rFonts w:ascii="宋体" w:hAnsi="宋体" w:cs="Calibri"/>
          <w:sz w:val="22"/>
        </w:rPr>
        <w:t>投标人必须按招标文件各章节条款的内容合理编制投标书，并在投标书中按</w:t>
      </w:r>
      <w:r>
        <w:rPr>
          <w:rFonts w:hint="eastAsia" w:ascii="宋体" w:hAnsi="宋体" w:cs="Calibri"/>
          <w:sz w:val="22"/>
        </w:rPr>
        <w:t>本章</w:t>
      </w:r>
      <w:r>
        <w:rPr>
          <w:rFonts w:ascii="宋体" w:hAnsi="宋体" w:cs="Calibri"/>
          <w:sz w:val="22"/>
        </w:rPr>
        <w:t>要求按顺序逐项作出实质性应答，投标方案与</w:t>
      </w:r>
      <w:r>
        <w:rPr>
          <w:rFonts w:hint="eastAsia" w:ascii="宋体" w:hAnsi="宋体" w:cs="Calibri"/>
          <w:sz w:val="22"/>
        </w:rPr>
        <w:t>本章</w:t>
      </w:r>
      <w:r>
        <w:rPr>
          <w:rFonts w:ascii="宋体" w:hAnsi="宋体" w:cs="Calibri"/>
          <w:sz w:val="22"/>
        </w:rPr>
        <w:t>内容的任何偏差都必须列入投标文件中的技术规格偏差表。否则，将承担不经任何澄清就被判定为未能满足招标文件要求而废标的风险。中标后中标</w:t>
      </w:r>
      <w:r>
        <w:rPr>
          <w:rFonts w:hint="eastAsia" w:ascii="宋体" w:hAnsi="宋体" w:cs="Calibri"/>
          <w:sz w:val="22"/>
        </w:rPr>
        <w:t>人</w:t>
      </w:r>
      <w:r>
        <w:rPr>
          <w:rFonts w:ascii="宋体" w:hAnsi="宋体" w:cs="Calibri"/>
          <w:sz w:val="22"/>
        </w:rPr>
        <w:t>在合同谈判中的任何偏差都不得超越此偏差表中已被招标人确认的条款。</w:t>
      </w:r>
    </w:p>
    <w:bookmarkEnd w:id="74"/>
    <w:bookmarkEnd w:id="75"/>
    <w:p>
      <w:pPr>
        <w:widowControl/>
        <w:spacing w:line="420" w:lineRule="exact"/>
        <w:jc w:val="left"/>
        <w:rPr>
          <w:rFonts w:ascii="宋体" w:hAnsi="宋体" w:cs="Calibri"/>
          <w:sz w:val="22"/>
        </w:rPr>
      </w:pPr>
      <w:r>
        <w:rPr>
          <w:rFonts w:hint="eastAsia" w:ascii="宋体" w:hAnsi="宋体" w:cs="Calibri"/>
          <w:sz w:val="22"/>
        </w:rPr>
        <w:t>1.2 采购内容、数量及主要要求</w:t>
      </w:r>
    </w:p>
    <w:p>
      <w:pPr>
        <w:tabs>
          <w:tab w:val="left" w:pos="8280"/>
        </w:tabs>
        <w:snapToGrid w:val="0"/>
        <w:spacing w:line="420" w:lineRule="exact"/>
        <w:ind w:firstLine="440" w:firstLineChars="200"/>
        <w:rPr>
          <w:rFonts w:ascii="宋体" w:hAnsi="宋体" w:cs="Calibri"/>
          <w:kern w:val="0"/>
          <w:sz w:val="22"/>
        </w:rPr>
      </w:pPr>
      <w:bookmarkStart w:id="76" w:name="_Toc102198613"/>
      <w:bookmarkStart w:id="77" w:name="_Toc101234953"/>
      <w:bookmarkStart w:id="78" w:name="_Toc101930206"/>
      <w:bookmarkStart w:id="79" w:name="_Toc102199366"/>
      <w:bookmarkStart w:id="80" w:name="_Toc102303529"/>
      <w:bookmarkStart w:id="81" w:name="_Toc116375133"/>
      <w:bookmarkStart w:id="82" w:name="_Toc116529713"/>
      <w:bookmarkStart w:id="83" w:name="_Toc101930097"/>
      <w:bookmarkStart w:id="84" w:name="_Toc128298195"/>
      <w:bookmarkStart w:id="85" w:name="_Toc118004442"/>
      <w:bookmarkStart w:id="86" w:name="_Toc117929529"/>
      <w:bookmarkStart w:id="87" w:name="_Toc116788681"/>
      <w:bookmarkStart w:id="88" w:name="_Toc117568101"/>
      <w:bookmarkStart w:id="89" w:name="_Toc128470646"/>
      <w:bookmarkStart w:id="90" w:name="_Toc118514154"/>
      <w:bookmarkStart w:id="91" w:name="_Toc116529926"/>
      <w:bookmarkStart w:id="92" w:name="_Toc117568283"/>
      <w:bookmarkStart w:id="93" w:name="_Toc116788488"/>
      <w:bookmarkStart w:id="94" w:name="_Toc116787075"/>
      <w:r>
        <w:rPr>
          <w:rFonts w:hint="eastAsia" w:ascii="宋体" w:hAnsi="宋体" w:cs="Calibri"/>
          <w:sz w:val="22"/>
        </w:rPr>
        <w:t>LCD 显示大屏是航显系统前端</w:t>
      </w:r>
      <w:r>
        <w:rPr>
          <w:rFonts w:hint="eastAsia" w:ascii="宋体" w:hAnsi="宋体" w:cs="Calibri"/>
          <w:kern w:val="0"/>
          <w:sz w:val="22"/>
        </w:rPr>
        <w:t>显示的重要设备之一，是代表机场形象的重要名片，其可靠性、稳定性、美观性是本场服务的关键。</w:t>
      </w:r>
      <w:r>
        <w:rPr>
          <w:rFonts w:hint="eastAsia" w:ascii="宋体" w:cs="Arial"/>
          <w:sz w:val="22"/>
        </w:rPr>
        <w:t>本次招标主要是对杭州萧山国际机场</w:t>
      </w:r>
      <w:r>
        <w:rPr>
          <w:rFonts w:hint="eastAsia"/>
          <w:szCs w:val="21"/>
        </w:rPr>
        <w:t>T1航站楼内的航显大屏更新，</w:t>
      </w:r>
      <w:r>
        <w:rPr>
          <w:rFonts w:hint="eastAsia" w:ascii="宋体" w:hAnsi="宋体" w:cs="Calibri"/>
          <w:kern w:val="0"/>
          <w:sz w:val="22"/>
        </w:rPr>
        <w:t>要求</w:t>
      </w:r>
      <w:r>
        <w:rPr>
          <w:rFonts w:ascii="宋体" w:hAnsi="宋体" w:cs="Calibri"/>
          <w:kern w:val="0"/>
          <w:sz w:val="22"/>
        </w:rPr>
        <w:t>在</w:t>
      </w:r>
      <w:r>
        <w:rPr>
          <w:rFonts w:hint="eastAsia" w:ascii="宋体" w:hAnsi="宋体" w:cs="Calibri"/>
          <w:kern w:val="0"/>
          <w:sz w:val="22"/>
        </w:rPr>
        <w:t>出发层七号门对面建</w:t>
      </w:r>
      <w:r>
        <w:rPr>
          <w:rFonts w:ascii="宋体" w:hAnsi="宋体" w:cs="Calibri"/>
          <w:kern w:val="0"/>
          <w:sz w:val="22"/>
        </w:rPr>
        <w:t>设一</w:t>
      </w:r>
      <w:r>
        <w:rPr>
          <w:rFonts w:hint="eastAsia" w:ascii="宋体" w:hAnsi="宋体" w:cs="Calibri"/>
          <w:kern w:val="0"/>
          <w:sz w:val="22"/>
        </w:rPr>
        <w:t>块</w:t>
      </w:r>
      <w:r>
        <w:rPr>
          <w:rFonts w:ascii="宋体" w:hAnsi="宋体" w:cs="Calibri"/>
          <w:kern w:val="0"/>
          <w:sz w:val="22"/>
        </w:rPr>
        <w:t>结构先进和技术领先的</w:t>
      </w:r>
      <w:r>
        <w:rPr>
          <w:rFonts w:hint="eastAsia" w:ascii="宋体" w:hAnsi="宋体" w:cs="Calibri"/>
          <w:kern w:val="0"/>
          <w:sz w:val="22"/>
        </w:rPr>
        <w:t>LCD</w:t>
      </w:r>
      <w:r>
        <w:rPr>
          <w:rFonts w:ascii="宋体" w:hAnsi="宋体" w:cs="Calibri"/>
          <w:kern w:val="0"/>
          <w:sz w:val="22"/>
        </w:rPr>
        <w:t>大屏，</w:t>
      </w:r>
      <w:r>
        <w:rPr>
          <w:rFonts w:hint="eastAsia" w:ascii="宋体" w:hAnsi="宋体" w:cs="Calibri"/>
          <w:kern w:val="0"/>
          <w:sz w:val="22"/>
        </w:rPr>
        <w:t>新屏</w:t>
      </w:r>
      <w:r>
        <w:rPr>
          <w:rFonts w:hAnsi="宋体"/>
          <w:sz w:val="22"/>
        </w:rPr>
        <w:t>主要负责航班</w:t>
      </w:r>
      <w:r>
        <w:rPr>
          <w:rFonts w:hint="eastAsia" w:hAnsi="宋体"/>
          <w:sz w:val="22"/>
        </w:rPr>
        <w:t>信息的实时动态显示及信息的发布，</w:t>
      </w:r>
      <w:r>
        <w:rPr>
          <w:rFonts w:hint="eastAsia" w:ascii="宋体" w:hAnsi="宋体" w:cs="Calibri"/>
          <w:kern w:val="0"/>
          <w:sz w:val="22"/>
        </w:rPr>
        <w:t>且必须满足24小时不间断运行。</w:t>
      </w:r>
      <w:r>
        <w:rPr>
          <w:rFonts w:hint="eastAsia" w:hAnsi="宋体"/>
          <w:sz w:val="22"/>
        </w:rPr>
        <w:t>新屏</w:t>
      </w:r>
      <w:r>
        <w:rPr>
          <w:rFonts w:hint="eastAsia" w:ascii="宋体" w:hAnsi="宋体" w:cs="Calibri"/>
          <w:kern w:val="0"/>
          <w:sz w:val="22"/>
        </w:rPr>
        <w:t>要求显示风格及外观结构与T3航站楼LCD大屏（以下简称T3大屏）统一。旧屏拆卸后，放置在招标人指定地点（机场内）。</w:t>
      </w:r>
    </w:p>
    <w:p>
      <w:pPr>
        <w:tabs>
          <w:tab w:val="left" w:pos="8280"/>
        </w:tabs>
        <w:snapToGrid w:val="0"/>
        <w:spacing w:line="420" w:lineRule="exact"/>
        <w:ind w:firstLine="440" w:firstLineChars="200"/>
        <w:rPr>
          <w:rFonts w:ascii="宋体" w:hAnsi="宋体" w:cs="Calibri"/>
          <w:kern w:val="0"/>
          <w:sz w:val="22"/>
        </w:rPr>
      </w:pPr>
      <w:r>
        <w:rPr>
          <w:rFonts w:hint="eastAsia" w:ascii="宋体" w:hAnsi="宋体" w:cs="Calibri"/>
          <w:kern w:val="0"/>
          <w:sz w:val="22"/>
        </w:rPr>
        <w:t>本项目具体要求见下表一。</w: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Pr>
        <w:adjustRightInd w:val="0"/>
        <w:snapToGrid w:val="0"/>
        <w:spacing w:line="420" w:lineRule="exact"/>
        <w:ind w:firstLine="361" w:firstLineChars="150"/>
        <w:jc w:val="left"/>
        <w:outlineLvl w:val="0"/>
        <w:rPr>
          <w:rFonts w:ascii="宋体" w:hAnsi="宋体"/>
          <w:b/>
          <w:szCs w:val="21"/>
        </w:rPr>
      </w:pPr>
      <w:r>
        <w:rPr>
          <w:rFonts w:hint="eastAsia" w:ascii="宋体" w:hAnsi="宋体"/>
          <w:b/>
          <w:szCs w:val="21"/>
        </w:rPr>
        <w:t>表一：采购清单及要求：</w:t>
      </w:r>
    </w:p>
    <w:p>
      <w:pPr>
        <w:pStyle w:val="5"/>
        <w:keepNext w:val="0"/>
        <w:keepLines w:val="0"/>
        <w:tabs>
          <w:tab w:val="left" w:pos="900"/>
        </w:tabs>
        <w:snapToGrid w:val="0"/>
        <w:spacing w:before="0" w:after="0" w:line="420" w:lineRule="exact"/>
        <w:ind w:firstLine="442" w:firstLineChars="200"/>
        <w:jc w:val="left"/>
        <w:textAlignment w:val="baseline"/>
        <w:rPr>
          <w:rFonts w:ascii="Times New Roman"/>
          <w:sz w:val="22"/>
          <w:szCs w:val="22"/>
          <w:u w:val="single"/>
        </w:rPr>
      </w:pPr>
      <w:r>
        <w:rPr>
          <w:rFonts w:ascii="Times New Roman"/>
          <w:sz w:val="22"/>
          <w:szCs w:val="22"/>
          <w:u w:val="single"/>
        </w:rPr>
        <w:t>本清单内除特别指明</w:t>
      </w:r>
      <w:r>
        <w:rPr>
          <w:rFonts w:ascii="Times New Roman" w:hAnsi="Times New Roman"/>
          <w:sz w:val="22"/>
          <w:szCs w:val="22"/>
          <w:u w:val="single"/>
        </w:rPr>
        <w:t>“</w:t>
      </w:r>
      <w:r>
        <w:rPr>
          <w:rFonts w:ascii="Times New Roman"/>
          <w:sz w:val="22"/>
          <w:szCs w:val="22"/>
          <w:u w:val="single"/>
        </w:rPr>
        <w:t>不计入投标总价或不在本招标范围</w:t>
      </w:r>
      <w:r>
        <w:rPr>
          <w:rFonts w:ascii="Times New Roman" w:hAnsi="Times New Roman"/>
          <w:sz w:val="22"/>
          <w:szCs w:val="22"/>
          <w:u w:val="single"/>
        </w:rPr>
        <w:t>”</w:t>
      </w:r>
      <w:r>
        <w:rPr>
          <w:rFonts w:ascii="Times New Roman"/>
          <w:sz w:val="22"/>
          <w:szCs w:val="22"/>
          <w:u w:val="single"/>
        </w:rPr>
        <w:t>的设备、软件和服务，其他均计入投标总价。本清单内设备指标要求为最低配置，投标人须满足本</w:t>
      </w:r>
      <w:r>
        <w:rPr>
          <w:rFonts w:hint="eastAsia" w:ascii="Times New Roman"/>
          <w:sz w:val="22"/>
          <w:szCs w:val="22"/>
          <w:u w:val="single"/>
        </w:rPr>
        <w:t>章</w:t>
      </w:r>
      <w:r>
        <w:rPr>
          <w:rFonts w:ascii="Times New Roman"/>
          <w:sz w:val="22"/>
          <w:szCs w:val="22"/>
          <w:u w:val="single"/>
        </w:rPr>
        <w:t>要求，特别是在满足性能要求的基础上，选用设备具体型号。</w:t>
      </w:r>
    </w:p>
    <w:p/>
    <w:tbl>
      <w:tblPr>
        <w:tblStyle w:val="52"/>
        <w:tblW w:w="9322" w:type="dxa"/>
        <w:tblInd w:w="0" w:type="dxa"/>
        <w:tblLayout w:type="fixed"/>
        <w:tblCellMar>
          <w:top w:w="0" w:type="dxa"/>
          <w:left w:w="108" w:type="dxa"/>
          <w:bottom w:w="0" w:type="dxa"/>
          <w:right w:w="108" w:type="dxa"/>
        </w:tblCellMar>
      </w:tblPr>
      <w:tblGrid>
        <w:gridCol w:w="534"/>
        <w:gridCol w:w="1417"/>
        <w:gridCol w:w="5812"/>
        <w:gridCol w:w="709"/>
        <w:gridCol w:w="850"/>
      </w:tblGrid>
      <w:tr>
        <w:tblPrEx>
          <w:tblLayout w:type="fixed"/>
          <w:tblCellMar>
            <w:top w:w="0" w:type="dxa"/>
            <w:left w:w="108" w:type="dxa"/>
            <w:bottom w:w="0" w:type="dxa"/>
            <w:right w:w="108" w:type="dxa"/>
          </w:tblCellMar>
        </w:tblPrEx>
        <w:trPr>
          <w:trHeight w:val="20" w:hRule="atLeast"/>
          <w:tblHeader/>
        </w:trPr>
        <w:tc>
          <w:tcPr>
            <w:tcW w:w="53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bookmarkStart w:id="95" w:name="RANGE!B1:F25"/>
            <w:r>
              <w:rPr>
                <w:rFonts w:hint="eastAsia" w:ascii="宋体" w:hAnsi="宋体" w:cs="宋体"/>
                <w:bCs/>
                <w:kern w:val="0"/>
                <w:szCs w:val="21"/>
              </w:rPr>
              <w:t>序号</w:t>
            </w:r>
            <w:bookmarkEnd w:id="95"/>
          </w:p>
        </w:tc>
        <w:tc>
          <w:tcPr>
            <w:tcW w:w="1417"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r>
              <w:rPr>
                <w:rFonts w:hint="eastAsia" w:ascii="宋体" w:hAnsi="宋体" w:cs="宋体"/>
                <w:bCs/>
                <w:kern w:val="0"/>
                <w:szCs w:val="21"/>
              </w:rPr>
              <w:t>设备名称</w:t>
            </w:r>
          </w:p>
        </w:tc>
        <w:tc>
          <w:tcPr>
            <w:tcW w:w="5812"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r>
              <w:rPr>
                <w:rFonts w:hint="eastAsia" w:ascii="宋体" w:hAnsi="宋体" w:cs="宋体"/>
                <w:bCs/>
                <w:kern w:val="0"/>
                <w:szCs w:val="21"/>
              </w:rPr>
              <w:t>主要配置及要求</w:t>
            </w:r>
          </w:p>
        </w:tc>
        <w:tc>
          <w:tcPr>
            <w:tcW w:w="709"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r>
              <w:rPr>
                <w:rFonts w:hint="eastAsia" w:ascii="宋体" w:hAnsi="宋体" w:cs="宋体"/>
                <w:bCs/>
                <w:kern w:val="0"/>
                <w:szCs w:val="21"/>
              </w:rPr>
              <w:t>数量</w:t>
            </w:r>
          </w:p>
        </w:tc>
        <w:tc>
          <w:tcPr>
            <w:tcW w:w="850" w:type="dxa"/>
            <w:tcBorders>
              <w:top w:val="single" w:color="auto" w:sz="4" w:space="0"/>
              <w:left w:val="nil"/>
              <w:bottom w:val="single" w:color="auto" w:sz="4" w:space="0"/>
              <w:right w:val="single" w:color="auto" w:sz="4" w:space="0"/>
            </w:tcBorders>
            <w:shd w:val="clear" w:color="auto" w:fill="D9D9D9"/>
            <w:vAlign w:val="center"/>
          </w:tcPr>
          <w:p>
            <w:pPr>
              <w:widowControl/>
              <w:jc w:val="left"/>
              <w:rPr>
                <w:rFonts w:ascii="宋体" w:hAnsi="宋体" w:cs="宋体"/>
                <w:bCs/>
                <w:kern w:val="0"/>
                <w:szCs w:val="21"/>
              </w:rPr>
            </w:pPr>
            <w:r>
              <w:rPr>
                <w:rFonts w:hint="eastAsia" w:ascii="宋体" w:hAnsi="宋体" w:cs="宋体"/>
                <w:bCs/>
                <w:kern w:val="0"/>
                <w:szCs w:val="21"/>
              </w:rPr>
              <w:t>单位</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sz w:val="21"/>
                <w:szCs w:val="21"/>
              </w:rPr>
            </w:pPr>
            <w:r>
              <w:rPr>
                <w:rFonts w:hint="eastAsia"/>
                <w:sz w:val="21"/>
                <w:szCs w:val="21"/>
              </w:rPr>
              <w:t>LCD大屏硬件</w:t>
            </w:r>
          </w:p>
          <w:p>
            <w:pPr>
              <w:widowControl/>
              <w:jc w:val="center"/>
              <w:rPr>
                <w:rFonts w:ascii="宋体" w:hAnsi="宋体" w:cs="宋体"/>
                <w:bCs/>
                <w:kern w:val="0"/>
                <w:szCs w:val="21"/>
              </w:rPr>
            </w:pPr>
            <w:r>
              <w:rPr>
                <w:rFonts w:hint="eastAsia"/>
                <w:sz w:val="21"/>
                <w:szCs w:val="21"/>
              </w:rPr>
              <w:t>（20行30列*3块）</w:t>
            </w:r>
          </w:p>
        </w:tc>
        <w:tc>
          <w:tcPr>
            <w:tcW w:w="5812" w:type="dxa"/>
            <w:tcBorders>
              <w:top w:val="nil"/>
              <w:left w:val="nil"/>
              <w:bottom w:val="single" w:color="auto" w:sz="4" w:space="0"/>
              <w:right w:val="single" w:color="auto" w:sz="4" w:space="0"/>
            </w:tcBorders>
            <w:shd w:val="clear" w:color="000000" w:fill="FFFFFF"/>
            <w:vAlign w:val="center"/>
          </w:tcPr>
          <w:p>
            <w:pPr>
              <w:numPr>
                <w:ilvl w:val="0"/>
                <w:numId w:val="5"/>
              </w:numPr>
              <w:rPr>
                <w:sz w:val="21"/>
                <w:szCs w:val="21"/>
              </w:rPr>
            </w:pPr>
            <w:r>
              <w:rPr>
                <w:rFonts w:hint="eastAsia"/>
                <w:sz w:val="21"/>
                <w:szCs w:val="21"/>
              </w:rPr>
              <w:t>新屏体面积大小与T3大屏屏体面积相当，目前T3航站楼的屏体面积约为39m</w:t>
            </w:r>
            <w:r>
              <w:rPr>
                <w:rFonts w:hint="eastAsia"/>
                <w:sz w:val="21"/>
                <w:szCs w:val="21"/>
                <w:vertAlign w:val="superscript"/>
              </w:rPr>
              <w:t>2</w:t>
            </w:r>
            <w:r>
              <w:rPr>
                <w:rFonts w:hint="eastAsia"/>
                <w:sz w:val="21"/>
                <w:szCs w:val="21"/>
              </w:rPr>
              <w:t>，新屏体的面积偏离值</w:t>
            </w:r>
            <w:r>
              <w:rPr>
                <w:rFonts w:hint="eastAsia" w:ascii="宋体" w:hAnsi="宋体"/>
                <w:sz w:val="21"/>
                <w:szCs w:val="21"/>
              </w:rPr>
              <w:t>≤</w:t>
            </w:r>
            <w:r>
              <w:rPr>
                <w:rFonts w:hint="eastAsia"/>
                <w:sz w:val="21"/>
                <w:szCs w:val="21"/>
              </w:rPr>
              <w:t>10%；</w:t>
            </w:r>
          </w:p>
          <w:p>
            <w:pPr>
              <w:numPr>
                <w:ilvl w:val="0"/>
                <w:numId w:val="5"/>
              </w:numPr>
              <w:rPr>
                <w:sz w:val="21"/>
                <w:szCs w:val="21"/>
              </w:rPr>
            </w:pPr>
            <w:r>
              <w:rPr>
                <w:rFonts w:hint="eastAsia"/>
                <w:sz w:val="21"/>
                <w:szCs w:val="21"/>
              </w:rPr>
              <w:t>新屏的外观、显示方式及框体结构需与T3大屏保持一致;</w:t>
            </w:r>
          </w:p>
          <w:p>
            <w:pPr>
              <w:numPr>
                <w:ilvl w:val="0"/>
                <w:numId w:val="5"/>
              </w:numPr>
              <w:rPr>
                <w:rFonts w:ascii="宋体" w:hAnsi="宋体"/>
                <w:sz w:val="21"/>
                <w:szCs w:val="21"/>
              </w:rPr>
            </w:pPr>
            <w:r>
              <w:rPr>
                <w:rFonts w:hint="eastAsia"/>
                <w:sz w:val="21"/>
                <w:szCs w:val="21"/>
              </w:rPr>
              <w:t>LCD模块大屏应根据现场实际情况，选用结实美观的构建进行支撑和安放，各部件与现场环</w:t>
            </w:r>
            <w:r>
              <w:rPr>
                <w:rFonts w:hint="eastAsia" w:ascii="宋体" w:hAnsi="宋体"/>
                <w:sz w:val="21"/>
                <w:szCs w:val="21"/>
              </w:rPr>
              <w:t>境协调一致；</w:t>
            </w:r>
          </w:p>
          <w:p>
            <w:pPr>
              <w:numPr>
                <w:ilvl w:val="0"/>
                <w:numId w:val="5"/>
              </w:numPr>
              <w:rPr>
                <w:sz w:val="21"/>
                <w:szCs w:val="21"/>
              </w:rPr>
            </w:pPr>
            <w:r>
              <w:rPr>
                <w:rFonts w:hint="eastAsia"/>
                <w:sz w:val="21"/>
                <w:szCs w:val="21"/>
              </w:rPr>
              <w:t>LCD模块具体参数详见表二。</w:t>
            </w:r>
          </w:p>
          <w:p>
            <w:pPr>
              <w:numPr>
                <w:ilvl w:val="0"/>
                <w:numId w:val="5"/>
              </w:numPr>
              <w:rPr>
                <w:rFonts w:ascii="宋体" w:hAnsi="宋体" w:cs="宋体"/>
                <w:bCs/>
                <w:kern w:val="0"/>
                <w:szCs w:val="21"/>
              </w:rPr>
            </w:pPr>
            <w:r>
              <w:rPr>
                <w:rFonts w:hint="eastAsia"/>
                <w:sz w:val="21"/>
                <w:szCs w:val="21"/>
              </w:rPr>
              <w:t>大屏安装所需电源模块、控制模块、连线等安装所需配件。</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套</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Cs w:val="21"/>
              </w:rPr>
            </w:pPr>
            <w:r>
              <w:rPr>
                <w:rFonts w:hint="eastAsia"/>
                <w:sz w:val="21"/>
                <w:szCs w:val="21"/>
              </w:rPr>
              <w:t>LCD大屏安装附件</w:t>
            </w:r>
          </w:p>
        </w:tc>
        <w:tc>
          <w:tcPr>
            <w:tcW w:w="5812" w:type="dxa"/>
            <w:tcBorders>
              <w:top w:val="nil"/>
              <w:left w:val="nil"/>
              <w:bottom w:val="single" w:color="auto" w:sz="4" w:space="0"/>
              <w:right w:val="single" w:color="auto" w:sz="4" w:space="0"/>
            </w:tcBorders>
            <w:shd w:val="clear" w:color="000000" w:fill="FFFFFF"/>
            <w:vAlign w:val="center"/>
          </w:tcPr>
          <w:p>
            <w:pPr>
              <w:pStyle w:val="140"/>
              <w:numPr>
                <w:ilvl w:val="0"/>
                <w:numId w:val="6"/>
              </w:numPr>
              <w:ind w:firstLineChars="0"/>
            </w:pPr>
            <w:r>
              <w:rPr>
                <w:rFonts w:hint="eastAsia"/>
              </w:rPr>
              <w:t xml:space="preserve">大屏屏体结构和钢结构定制; </w:t>
            </w:r>
          </w:p>
          <w:p>
            <w:pPr>
              <w:numPr>
                <w:ilvl w:val="0"/>
                <w:numId w:val="6"/>
              </w:numPr>
            </w:pPr>
            <w:r>
              <w:rPr>
                <w:rFonts w:hint="eastAsia" w:ascii="Calibri" w:hAnsi="Calibri" w:eastAsia="宋体" w:cs="Times New Roman"/>
                <w:sz w:val="21"/>
                <w:szCs w:val="22"/>
              </w:rPr>
              <w:t>8英寸时钟(与本场现有时钟系统兼容，显示风格与T3大屏相同)；</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套</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1417"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bCs/>
                <w:kern w:val="0"/>
                <w:szCs w:val="21"/>
              </w:rPr>
            </w:pPr>
            <w:r>
              <w:rPr>
                <w:rFonts w:hint="eastAsia" w:ascii="宋体" w:hAnsi="宋体" w:cs="宋体"/>
                <w:bCs/>
                <w:kern w:val="0"/>
                <w:szCs w:val="21"/>
              </w:rPr>
              <w:t>航显接口软件</w:t>
            </w:r>
          </w:p>
        </w:tc>
        <w:tc>
          <w:tcPr>
            <w:tcW w:w="5812" w:type="dxa"/>
            <w:tcBorders>
              <w:top w:val="nil"/>
              <w:left w:val="nil"/>
              <w:bottom w:val="single" w:color="auto" w:sz="4" w:space="0"/>
              <w:right w:val="single" w:color="auto" w:sz="4" w:space="0"/>
            </w:tcBorders>
            <w:shd w:val="clear" w:color="000000" w:fill="FFFFFF"/>
            <w:vAlign w:val="center"/>
          </w:tcPr>
          <w:p>
            <w:pPr>
              <w:rPr>
                <w:sz w:val="21"/>
                <w:szCs w:val="21"/>
              </w:rPr>
            </w:pPr>
            <w:r>
              <w:rPr>
                <w:rFonts w:hint="eastAsia"/>
                <w:sz w:val="21"/>
                <w:szCs w:val="21"/>
              </w:rPr>
              <w:t>★1.提供设备的驱动控制协议、各种相关接口规范和DEMO驱动源代码；新屏必须加入现有航显系统设备管理，直接由系统模块进行设备的管理与信息的显示驱动控制；</w:t>
            </w:r>
          </w:p>
          <w:p>
            <w:pPr>
              <w:rPr>
                <w:rFonts w:hAnsi="宋体"/>
                <w:sz w:val="21"/>
                <w:szCs w:val="21"/>
              </w:rPr>
            </w:pPr>
            <w:r>
              <w:rPr>
                <w:rFonts w:ascii="宋体" w:hAnsi="宋体" w:cs="Calibri"/>
                <w:kern w:val="0"/>
                <w:sz w:val="22"/>
                <w:szCs w:val="22"/>
              </w:rPr>
              <w:t>★</w:t>
            </w:r>
            <w:r>
              <w:rPr>
                <w:rFonts w:hint="eastAsia"/>
                <w:sz w:val="21"/>
                <w:szCs w:val="21"/>
              </w:rPr>
              <w:t>2.航班信息显示方式及可选显示模式与T3大屏相同；</w:t>
            </w:r>
            <w:r>
              <w:rPr>
                <w:rFonts w:hAnsi="宋体"/>
                <w:sz w:val="21"/>
                <w:szCs w:val="21"/>
              </w:rPr>
              <w:t xml:space="preserve"> </w:t>
            </w:r>
          </w:p>
          <w:p>
            <w:pPr>
              <w:rPr>
                <w:rFonts w:hAnsi="宋体"/>
                <w:sz w:val="22"/>
              </w:rPr>
            </w:pPr>
            <w:r>
              <w:rPr>
                <w:rFonts w:ascii="宋体" w:hAnsi="宋体" w:cs="Calibri"/>
                <w:kern w:val="0"/>
                <w:sz w:val="22"/>
                <w:szCs w:val="22"/>
              </w:rPr>
              <w:t>★</w:t>
            </w:r>
            <w:r>
              <w:rPr>
                <w:rFonts w:hint="eastAsia" w:hAnsi="宋体"/>
                <w:sz w:val="21"/>
                <w:szCs w:val="21"/>
              </w:rPr>
              <w:t>3.</w:t>
            </w:r>
            <w:r>
              <w:rPr>
                <w:rFonts w:hint="eastAsia"/>
                <w:sz w:val="21"/>
                <w:szCs w:val="21"/>
              </w:rPr>
              <w:t>现有航显厂家不变更的情况下，接口软件在设备全生命周期内免费维保。</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套</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u w:color="000000"/>
              </w:rPr>
            </w:pPr>
            <w:r>
              <w:rPr>
                <w:rFonts w:hint="eastAsia"/>
                <w:sz w:val="21"/>
                <w:szCs w:val="21"/>
              </w:rPr>
              <w:t>强弱电布线</w:t>
            </w:r>
          </w:p>
        </w:tc>
        <w:tc>
          <w:tcPr>
            <w:tcW w:w="5812" w:type="dxa"/>
            <w:tcBorders>
              <w:top w:val="nil"/>
              <w:left w:val="nil"/>
              <w:bottom w:val="single" w:color="auto" w:sz="4" w:space="0"/>
              <w:right w:val="single" w:color="auto" w:sz="4" w:space="0"/>
            </w:tcBorders>
            <w:shd w:val="clear" w:color="000000" w:fill="FFFFFF"/>
            <w:vAlign w:val="center"/>
          </w:tcPr>
          <w:p>
            <w:pPr>
              <w:pStyle w:val="140"/>
              <w:widowControl/>
              <w:ind w:firstLine="0" w:firstLineChars="0"/>
              <w:jc w:val="left"/>
              <w:rPr>
                <w:rFonts w:ascii="宋体" w:hAnsi="宋体" w:cs="宋体"/>
                <w:kern w:val="0"/>
                <w:szCs w:val="21"/>
              </w:rPr>
            </w:pPr>
            <w:r>
              <w:rPr>
                <w:rFonts w:hint="eastAsia"/>
              </w:rPr>
              <w:t>包含电源线、网线、线管及相关辅材等。电缆敷设不低于5*25铜芯电缆标准且必须接入航站楼UPS（具体数量满足本项目建设要求）。</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套</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Cs w:val="21"/>
              </w:rPr>
            </w:pPr>
            <w:r>
              <w:rPr>
                <w:rFonts w:hint="eastAsia"/>
                <w:sz w:val="21"/>
                <w:szCs w:val="21"/>
              </w:rPr>
              <w:t>项目实施、安装、调试</w:t>
            </w:r>
          </w:p>
        </w:tc>
        <w:tc>
          <w:tcPr>
            <w:tcW w:w="5812" w:type="dxa"/>
            <w:tcBorders>
              <w:top w:val="nil"/>
              <w:left w:val="nil"/>
              <w:bottom w:val="single" w:color="auto" w:sz="4" w:space="0"/>
              <w:right w:val="single" w:color="auto" w:sz="4" w:space="0"/>
            </w:tcBorders>
            <w:shd w:val="clear" w:color="000000" w:fill="FFFFFF"/>
            <w:vAlign w:val="center"/>
          </w:tcPr>
          <w:p>
            <w:pPr>
              <w:pStyle w:val="140"/>
              <w:widowControl/>
              <w:ind w:firstLine="0" w:firstLineChars="0"/>
              <w:jc w:val="left"/>
              <w:rPr>
                <w:rFonts w:ascii="宋体" w:hAnsi="宋体" w:cs="宋体"/>
                <w:bCs/>
                <w:kern w:val="0"/>
                <w:sz w:val="22"/>
              </w:rPr>
            </w:pPr>
            <w:r>
              <w:rPr>
                <w:rFonts w:hint="eastAsia" w:ascii="宋体" w:hAnsi="宋体" w:cs="宋体"/>
                <w:bCs/>
                <w:kern w:val="0"/>
                <w:sz w:val="22"/>
              </w:rPr>
              <w:t>1.新屏安装位置为出发层7号门正对面的两根柱子中间（柱间距约为12m）。</w:t>
            </w:r>
          </w:p>
          <w:p>
            <w:pPr>
              <w:pStyle w:val="140"/>
              <w:widowControl/>
              <w:ind w:firstLine="0" w:firstLineChars="0"/>
              <w:jc w:val="left"/>
              <w:rPr>
                <w:rFonts w:ascii="宋体" w:hAnsi="宋体" w:cs="宋体"/>
                <w:bCs/>
                <w:kern w:val="0"/>
                <w:sz w:val="22"/>
              </w:rPr>
            </w:pPr>
            <w:r>
              <w:rPr>
                <w:rFonts w:hint="eastAsia"/>
              </w:rPr>
              <w:t>2.要求不停航施工。</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项</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u w:color="000000"/>
              </w:rPr>
            </w:pPr>
            <w:r>
              <w:rPr>
                <w:rFonts w:hint="eastAsia"/>
                <w:sz w:val="21"/>
                <w:szCs w:val="21"/>
              </w:rPr>
              <w:t>原LED显示大屏拆除</w:t>
            </w:r>
          </w:p>
        </w:tc>
        <w:tc>
          <w:tcPr>
            <w:tcW w:w="5812" w:type="dxa"/>
            <w:tcBorders>
              <w:top w:val="nil"/>
              <w:left w:val="nil"/>
              <w:bottom w:val="single" w:color="auto" w:sz="4" w:space="0"/>
              <w:right w:val="single" w:color="auto" w:sz="4" w:space="0"/>
            </w:tcBorders>
            <w:shd w:val="clear" w:color="000000" w:fill="FFFFFF"/>
            <w:vAlign w:val="center"/>
          </w:tcPr>
          <w:p>
            <w:pPr>
              <w:pStyle w:val="140"/>
              <w:widowControl/>
              <w:ind w:firstLine="0" w:firstLineChars="0"/>
              <w:jc w:val="left"/>
              <w:rPr>
                <w:rFonts w:ascii="宋体" w:hAnsi="宋体" w:cs="宋体"/>
                <w:kern w:val="0"/>
                <w:szCs w:val="21"/>
              </w:rPr>
            </w:pPr>
            <w:r>
              <w:rPr>
                <w:rFonts w:hint="eastAsia"/>
              </w:rPr>
              <w:t>拆除C岛、E岛附近两块LED大屏,清理现场，并将拆卸下来的两块LED大屏放置在招标人指定场地（杭州萧山国际机场内）。</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项</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u w:color="000000"/>
              </w:rPr>
            </w:pPr>
            <w:r>
              <w:rPr>
                <w:rFonts w:hint="eastAsia"/>
                <w:sz w:val="21"/>
                <w:szCs w:val="21"/>
              </w:rPr>
              <w:t>LCD大屏现场培训</w:t>
            </w:r>
          </w:p>
        </w:tc>
        <w:tc>
          <w:tcPr>
            <w:tcW w:w="5812" w:type="dxa"/>
            <w:tcBorders>
              <w:top w:val="nil"/>
              <w:left w:val="nil"/>
              <w:bottom w:val="single" w:color="auto" w:sz="4" w:space="0"/>
              <w:right w:val="single" w:color="auto" w:sz="4" w:space="0"/>
            </w:tcBorders>
            <w:shd w:val="clear" w:color="000000" w:fill="FFFFFF"/>
            <w:vAlign w:val="center"/>
          </w:tcPr>
          <w:p>
            <w:pPr>
              <w:pStyle w:val="140"/>
              <w:widowControl/>
              <w:ind w:firstLine="0" w:firstLineChars="0"/>
              <w:jc w:val="left"/>
            </w:pPr>
            <w:r>
              <w:rPr>
                <w:rFonts w:hint="eastAsia"/>
              </w:rPr>
              <w:t>现场</w:t>
            </w:r>
            <w:r>
              <w:t>对</w:t>
            </w:r>
            <w:r>
              <w:rPr>
                <w:rFonts w:hint="eastAsia"/>
              </w:rPr>
              <w:t>招标人</w:t>
            </w:r>
            <w:r>
              <w:t>技术人员的维护操作培训</w:t>
            </w:r>
            <w:r>
              <w:rPr>
                <w:rFonts w:hint="eastAsia"/>
              </w:rPr>
              <w:t>。</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项</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u w:color="000000"/>
              </w:rPr>
            </w:pPr>
            <w:r>
              <w:rPr>
                <w:rFonts w:hint="eastAsia"/>
                <w:sz w:val="21"/>
                <w:szCs w:val="21"/>
              </w:rPr>
              <w:t>LCD大屏质保</w:t>
            </w:r>
          </w:p>
        </w:tc>
        <w:tc>
          <w:tcPr>
            <w:tcW w:w="5812" w:type="dxa"/>
            <w:tcBorders>
              <w:top w:val="nil"/>
              <w:left w:val="nil"/>
              <w:bottom w:val="single" w:color="auto" w:sz="4" w:space="0"/>
              <w:right w:val="single" w:color="auto" w:sz="4" w:space="0"/>
            </w:tcBorders>
            <w:shd w:val="clear" w:color="000000" w:fill="FFFFFF"/>
            <w:vAlign w:val="center"/>
          </w:tcPr>
          <w:p>
            <w:pPr>
              <w:pStyle w:val="140"/>
              <w:widowControl/>
              <w:ind w:firstLine="0" w:firstLineChars="0"/>
              <w:jc w:val="left"/>
              <w:rPr>
                <w:rFonts w:ascii="宋体" w:hAnsi="宋体" w:cs="宋体"/>
                <w:kern w:val="0"/>
                <w:szCs w:val="21"/>
              </w:rPr>
            </w:pPr>
            <w:r>
              <w:rPr>
                <w:rFonts w:hint="eastAsia" w:ascii="宋体" w:hAnsi="宋体" w:cs="宋体"/>
                <w:kern w:val="0"/>
                <w:szCs w:val="21"/>
              </w:rPr>
              <w:t>质保至少8年（含），包含耗材</w:t>
            </w:r>
            <w:r>
              <w:rPr>
                <w:rFonts w:hint="eastAsia" w:ascii="宋体" w:hAnsi="宋体" w:cs="宋体"/>
                <w:kern w:val="0"/>
                <w:szCs w:val="21"/>
                <w:u w:color="000000"/>
              </w:rPr>
              <w:t>、备件及人工等所有费用。</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项</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w:t>
            </w:r>
          </w:p>
        </w:tc>
        <w:tc>
          <w:tcPr>
            <w:tcW w:w="1417" w:type="dxa"/>
            <w:tcBorders>
              <w:top w:val="nil"/>
              <w:left w:val="nil"/>
              <w:bottom w:val="single" w:color="auto" w:sz="4" w:space="0"/>
              <w:right w:val="single" w:color="auto" w:sz="4" w:space="0"/>
            </w:tcBorders>
            <w:shd w:val="clear" w:color="000000" w:fill="FFFFFF"/>
            <w:vAlign w:val="center"/>
          </w:tcPr>
          <w:p>
            <w:pPr>
              <w:jc w:val="center"/>
              <w:rPr>
                <w:rFonts w:ascii="仿宋_GB2312" w:hAnsi="宋体" w:eastAsia="仿宋_GB2312" w:cs="宋体"/>
                <w:color w:val="000000"/>
                <w:kern w:val="0"/>
                <w:u w:color="000000"/>
              </w:rPr>
            </w:pPr>
            <w:r>
              <w:rPr>
                <w:rFonts w:hint="eastAsia" w:ascii="仿宋_GB2312" w:hAnsi="宋体" w:eastAsia="仿宋_GB2312" w:cs="宋体"/>
                <w:color w:val="000000"/>
                <w:kern w:val="0"/>
                <w:u w:color="000000"/>
              </w:rPr>
              <w:t>备品备件</w:t>
            </w:r>
          </w:p>
        </w:tc>
        <w:tc>
          <w:tcPr>
            <w:tcW w:w="5812" w:type="dxa"/>
            <w:tcBorders>
              <w:top w:val="nil"/>
              <w:left w:val="nil"/>
              <w:bottom w:val="single" w:color="auto" w:sz="4" w:space="0"/>
              <w:right w:val="single" w:color="auto" w:sz="4" w:space="0"/>
            </w:tcBorders>
            <w:shd w:val="clear" w:color="000000" w:fill="FFFFFF"/>
            <w:vAlign w:val="center"/>
          </w:tcPr>
          <w:p>
            <w:pPr>
              <w:pStyle w:val="140"/>
              <w:widowControl/>
              <w:ind w:firstLine="0" w:firstLineChars="0"/>
              <w:jc w:val="left"/>
              <w:rPr>
                <w:rFonts w:ascii="宋体" w:hAnsi="宋体" w:cs="宋体"/>
                <w:kern w:val="0"/>
                <w:szCs w:val="21"/>
              </w:rPr>
            </w:pPr>
            <w:r>
              <w:rPr>
                <w:rFonts w:hint="eastAsia" w:ascii="宋体" w:hAnsi="宋体" w:cs="宋体"/>
                <w:kern w:val="0"/>
                <w:szCs w:val="21"/>
              </w:rPr>
              <w:t>LCD彩色模块10个，控制模块1个、电源模块5个。</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c>
          <w:tcPr>
            <w:tcW w:w="85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kern w:val="0"/>
                <w:szCs w:val="21"/>
              </w:rPr>
              <w:t>套</w:t>
            </w:r>
          </w:p>
        </w:tc>
      </w:tr>
    </w:tbl>
    <w:p>
      <w:pPr>
        <w:adjustRightInd w:val="0"/>
        <w:snapToGrid w:val="0"/>
        <w:spacing w:line="360" w:lineRule="exact"/>
        <w:ind w:firstLine="440"/>
        <w:rPr>
          <w:rFonts w:ascii="宋体" w:hAnsi="宋体" w:cs="Calibri"/>
          <w:b/>
          <w:sz w:val="22"/>
        </w:rPr>
      </w:pPr>
    </w:p>
    <w:p>
      <w:pPr>
        <w:adjustRightInd w:val="0"/>
        <w:snapToGrid w:val="0"/>
        <w:spacing w:line="360" w:lineRule="exact"/>
        <w:ind w:firstLine="440"/>
        <w:rPr>
          <w:rFonts w:ascii="宋体" w:hAnsi="宋体" w:cs="Calibri"/>
          <w:b/>
          <w:sz w:val="22"/>
        </w:rPr>
      </w:pPr>
      <w:r>
        <w:rPr>
          <w:rFonts w:hint="eastAsia" w:ascii="宋体" w:hAnsi="宋体" w:cs="Calibri"/>
          <w:b/>
          <w:sz w:val="22"/>
        </w:rPr>
        <w:t>表二：LCD模块技术参数</w:t>
      </w:r>
    </w:p>
    <w:p>
      <w:pPr>
        <w:adjustRightInd w:val="0"/>
        <w:snapToGrid w:val="0"/>
        <w:spacing w:line="360" w:lineRule="exact"/>
        <w:ind w:firstLine="440"/>
        <w:rPr>
          <w:rFonts w:ascii="宋体" w:hAnsi="宋体" w:cs="Calibri"/>
          <w:b/>
          <w:sz w:val="22"/>
        </w:rPr>
      </w:pPr>
    </w:p>
    <w:tbl>
      <w:tblPr>
        <w:tblStyle w:val="52"/>
        <w:tblW w:w="9322" w:type="dxa"/>
        <w:tblInd w:w="0" w:type="dxa"/>
        <w:tblLayout w:type="fixed"/>
        <w:tblCellMar>
          <w:top w:w="0" w:type="dxa"/>
          <w:left w:w="108" w:type="dxa"/>
          <w:bottom w:w="0" w:type="dxa"/>
          <w:right w:w="108" w:type="dxa"/>
        </w:tblCellMar>
      </w:tblPr>
      <w:tblGrid>
        <w:gridCol w:w="534"/>
        <w:gridCol w:w="1417"/>
        <w:gridCol w:w="5812"/>
        <w:gridCol w:w="709"/>
        <w:gridCol w:w="850"/>
      </w:tblGrid>
      <w:tr>
        <w:tblPrEx>
          <w:tblLayout w:type="fixed"/>
          <w:tblCellMar>
            <w:top w:w="0" w:type="dxa"/>
            <w:left w:w="108" w:type="dxa"/>
            <w:bottom w:w="0" w:type="dxa"/>
            <w:right w:w="108" w:type="dxa"/>
          </w:tblCellMar>
        </w:tblPrEx>
        <w:trPr>
          <w:trHeight w:val="20" w:hRule="atLeast"/>
          <w:tblHeader/>
        </w:trPr>
        <w:tc>
          <w:tcPr>
            <w:tcW w:w="53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17"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r>
              <w:rPr>
                <w:rFonts w:hint="eastAsia" w:ascii="宋体" w:hAnsi="宋体" w:cs="宋体"/>
                <w:bCs/>
                <w:kern w:val="0"/>
                <w:szCs w:val="21"/>
              </w:rPr>
              <w:t>设备名称</w:t>
            </w:r>
          </w:p>
        </w:tc>
        <w:tc>
          <w:tcPr>
            <w:tcW w:w="5812"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r>
              <w:rPr>
                <w:rFonts w:hint="eastAsia" w:ascii="宋体" w:hAnsi="宋体" w:cs="宋体"/>
                <w:bCs/>
                <w:kern w:val="0"/>
                <w:szCs w:val="21"/>
              </w:rPr>
              <w:t>主要配置及要求</w:t>
            </w:r>
          </w:p>
        </w:tc>
        <w:tc>
          <w:tcPr>
            <w:tcW w:w="709" w:type="dxa"/>
            <w:tcBorders>
              <w:top w:val="single" w:color="auto" w:sz="4" w:space="0"/>
              <w:left w:val="nil"/>
              <w:bottom w:val="single" w:color="auto" w:sz="4" w:space="0"/>
              <w:right w:val="single" w:color="auto" w:sz="4" w:space="0"/>
            </w:tcBorders>
            <w:shd w:val="clear" w:color="auto" w:fill="D9D9D9"/>
            <w:vAlign w:val="center"/>
          </w:tcPr>
          <w:p>
            <w:pPr>
              <w:widowControl/>
              <w:jc w:val="center"/>
              <w:rPr>
                <w:rFonts w:ascii="宋体" w:hAnsi="宋体" w:cs="宋体"/>
                <w:bCs/>
                <w:kern w:val="0"/>
                <w:szCs w:val="21"/>
              </w:rPr>
            </w:pPr>
            <w:r>
              <w:rPr>
                <w:rFonts w:hint="eastAsia" w:ascii="宋体" w:hAnsi="宋体" w:cs="宋体"/>
                <w:bCs/>
                <w:kern w:val="0"/>
                <w:szCs w:val="21"/>
              </w:rPr>
              <w:t>数量</w:t>
            </w:r>
          </w:p>
        </w:tc>
        <w:tc>
          <w:tcPr>
            <w:tcW w:w="850" w:type="dxa"/>
            <w:tcBorders>
              <w:top w:val="single" w:color="auto" w:sz="4" w:space="0"/>
              <w:left w:val="nil"/>
              <w:bottom w:val="single" w:color="auto" w:sz="4" w:space="0"/>
              <w:right w:val="single" w:color="auto" w:sz="4" w:space="0"/>
            </w:tcBorders>
            <w:shd w:val="clear" w:color="auto" w:fill="D9D9D9"/>
            <w:vAlign w:val="center"/>
          </w:tcPr>
          <w:p>
            <w:pPr>
              <w:widowControl/>
              <w:jc w:val="left"/>
              <w:rPr>
                <w:rFonts w:ascii="宋体" w:hAnsi="宋体" w:cs="宋体"/>
                <w:bCs/>
                <w:kern w:val="0"/>
                <w:szCs w:val="21"/>
              </w:rPr>
            </w:pPr>
            <w:r>
              <w:rPr>
                <w:rFonts w:hint="eastAsia" w:ascii="宋体" w:hAnsi="宋体" w:cs="宋体"/>
                <w:bCs/>
                <w:kern w:val="0"/>
                <w:szCs w:val="21"/>
              </w:rPr>
              <w:t>单位</w:t>
            </w:r>
          </w:p>
        </w:tc>
      </w:tr>
      <w:tr>
        <w:tblPrEx>
          <w:tblLayout w:type="fixed"/>
          <w:tblCellMar>
            <w:top w:w="0" w:type="dxa"/>
            <w:left w:w="108" w:type="dxa"/>
            <w:bottom w:w="0" w:type="dxa"/>
            <w:right w:w="108" w:type="dxa"/>
          </w:tblCellMar>
        </w:tblPrEx>
        <w:trPr>
          <w:trHeight w:val="20"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kern w:val="0"/>
                <w:szCs w:val="21"/>
              </w:rPr>
            </w:pPr>
            <w:r>
              <w:rPr>
                <w:rFonts w:hint="eastAsia" w:ascii="宋体" w:hAnsi="宋体" w:cs="宋体"/>
                <w:bCs/>
                <w:kern w:val="0"/>
                <w:szCs w:val="21"/>
              </w:rPr>
              <w:t>LCD显示模块</w:t>
            </w:r>
          </w:p>
        </w:tc>
        <w:tc>
          <w:tcPr>
            <w:tcW w:w="5812" w:type="dxa"/>
            <w:tcBorders>
              <w:top w:val="nil"/>
              <w:left w:val="nil"/>
              <w:bottom w:val="single" w:color="auto" w:sz="4" w:space="0"/>
              <w:right w:val="single" w:color="auto" w:sz="4" w:space="0"/>
            </w:tcBorders>
            <w:shd w:val="clear" w:color="000000" w:fill="FFFFFF"/>
            <w:vAlign w:val="center"/>
          </w:tcPr>
          <w:p>
            <w:pPr>
              <w:rPr>
                <w:rFonts w:ascii="宋体" w:hAnsi="宋体"/>
              </w:rPr>
            </w:pPr>
            <w:r>
              <w:rPr>
                <w:rFonts w:hint="eastAsia"/>
                <w:sz w:val="21"/>
                <w:szCs w:val="21"/>
              </w:rPr>
              <w:t>★</w:t>
            </w:r>
            <w:r>
              <w:rPr>
                <w:rFonts w:hint="eastAsia" w:ascii="宋体" w:hAnsi="宋体"/>
              </w:rPr>
              <w:t>1.</w:t>
            </w:r>
            <w:r>
              <w:rPr>
                <w:rFonts w:hint="eastAsia" w:ascii="宋体" w:hAnsi="宋体"/>
              </w:rPr>
              <w:tab/>
            </w:r>
            <w:r>
              <w:rPr>
                <w:rFonts w:hint="eastAsia" w:ascii="宋体" w:hAnsi="宋体"/>
              </w:rPr>
              <w:t>LCD模块屏应采用FSC-LCD模块（一个模块至少可同时显示红绿蓝黄青紫白黑8种颜色，要求提供投标样品进行彩色航徽显示的演示），模块显示区域高在100mm以上、宽在90mm以上，24 *24点阵显示；</w:t>
            </w:r>
          </w:p>
          <w:p>
            <w:pPr>
              <w:rPr>
                <w:rFonts w:ascii="宋体" w:hAnsi="宋体"/>
              </w:rPr>
            </w:pPr>
            <w:r>
              <w:rPr>
                <w:rFonts w:hint="eastAsia" w:ascii="宋体" w:hAnsi="宋体"/>
              </w:rPr>
              <w:t>2.</w:t>
            </w:r>
            <w:r>
              <w:rPr>
                <w:rFonts w:hint="eastAsia" w:ascii="宋体" w:hAnsi="宋体"/>
              </w:rPr>
              <w:tab/>
            </w:r>
            <w:r>
              <w:rPr>
                <w:rFonts w:hint="eastAsia" w:ascii="宋体" w:hAnsi="宋体"/>
              </w:rPr>
              <w:t>LCD模块使用正显/负显工艺面板，侧面显示不发白，显示字符更清晰；</w:t>
            </w:r>
          </w:p>
          <w:p>
            <w:pPr>
              <w:rPr>
                <w:rFonts w:ascii="宋体" w:hAnsi="宋体"/>
              </w:rPr>
            </w:pPr>
            <w:r>
              <w:rPr>
                <w:rFonts w:hint="eastAsia"/>
                <w:sz w:val="21"/>
                <w:szCs w:val="21"/>
              </w:rPr>
              <w:t>★</w:t>
            </w:r>
            <w:r>
              <w:rPr>
                <w:rFonts w:hint="eastAsia" w:ascii="宋体" w:hAnsi="宋体"/>
              </w:rPr>
              <w:t>3.</w:t>
            </w:r>
            <w:r>
              <w:rPr>
                <w:rFonts w:hint="eastAsia" w:ascii="宋体" w:hAnsi="宋体"/>
              </w:rPr>
              <w:tab/>
            </w:r>
            <w:r>
              <w:rPr>
                <w:rFonts w:hint="eastAsia" w:ascii="宋体" w:hAnsi="宋体"/>
              </w:rPr>
              <w:t>LCD模块屏的亮度要求为1000cd/m2以上，并且在周围环境亮度在10lux～20,000lux之间变化时，背灯的亮度应能32级调整，以达到最佳视觉的显示亮度。彩色LCD模块背灯的材料为LED发光管，功耗≤4W；</w:t>
            </w:r>
          </w:p>
          <w:p>
            <w:pPr>
              <w:rPr>
                <w:rFonts w:ascii="宋体" w:hAnsi="宋体"/>
              </w:rPr>
            </w:pPr>
            <w:r>
              <w:rPr>
                <w:rFonts w:hint="eastAsia"/>
                <w:sz w:val="21"/>
                <w:szCs w:val="21"/>
              </w:rPr>
              <w:t>★</w:t>
            </w:r>
            <w:r>
              <w:rPr>
                <w:rFonts w:hint="eastAsia" w:ascii="宋体" w:hAnsi="宋体"/>
              </w:rPr>
              <w:t>4.</w:t>
            </w:r>
            <w:r>
              <w:rPr>
                <w:rFonts w:hint="eastAsia" w:ascii="宋体" w:hAnsi="宋体"/>
              </w:rPr>
              <w:tab/>
            </w:r>
            <w:r>
              <w:rPr>
                <w:rFonts w:hint="eastAsia" w:ascii="宋体" w:hAnsi="宋体"/>
              </w:rPr>
              <w:t>LCD模块大屏模块具有85%以上的开口率，确保屏体背光的高利用率，达到同样亮度下的节能降耗；</w:t>
            </w:r>
          </w:p>
          <w:p>
            <w:pPr>
              <w:rPr>
                <w:rFonts w:ascii="宋体" w:hAnsi="宋体"/>
              </w:rPr>
            </w:pPr>
            <w:r>
              <w:rPr>
                <w:rFonts w:hint="eastAsia"/>
                <w:sz w:val="21"/>
                <w:szCs w:val="21"/>
              </w:rPr>
              <w:t>★</w:t>
            </w:r>
            <w:r>
              <w:rPr>
                <w:rFonts w:hint="eastAsia" w:ascii="宋体" w:hAnsi="宋体"/>
              </w:rPr>
              <w:t>5.</w:t>
            </w:r>
            <w:r>
              <w:rPr>
                <w:rFonts w:hint="eastAsia" w:ascii="宋体" w:hAnsi="宋体"/>
              </w:rPr>
              <w:tab/>
            </w:r>
            <w:r>
              <w:rPr>
                <w:rFonts w:hint="eastAsia" w:ascii="宋体" w:hAnsi="宋体"/>
              </w:rPr>
              <w:t>在垂直于LCD的平面上，对比度至少为1000:1，LCD模块大屏可视视角上下左右≥80°；</w:t>
            </w:r>
          </w:p>
          <w:p>
            <w:pPr>
              <w:rPr>
                <w:rFonts w:ascii="宋体" w:hAnsi="宋体"/>
              </w:rPr>
            </w:pPr>
            <w:r>
              <w:rPr>
                <w:rFonts w:hint="eastAsia" w:ascii="宋体" w:hAnsi="宋体"/>
              </w:rPr>
              <w:t>6.</w:t>
            </w:r>
            <w:r>
              <w:rPr>
                <w:rFonts w:hint="eastAsia" w:ascii="宋体" w:hAnsi="宋体"/>
              </w:rPr>
              <w:tab/>
            </w:r>
            <w:r>
              <w:rPr>
                <w:rFonts w:hint="eastAsia" w:ascii="宋体" w:hAnsi="宋体"/>
              </w:rPr>
              <w:t>彩色LCD模块大屏字符显示具有高速移动性：3个字符/秒以上，任何高速显示不会出现拖尾现象，LCD显示屏响应速度应不超过3.0ms（25℃时的典型值）；LCD模块大屏多行之间须采用信号同步技术，使整个大屏无闪烁感，人眼感觉柔和、舒适；具有防反光涂层等防反射措施；</w:t>
            </w:r>
          </w:p>
          <w:p>
            <w:pPr>
              <w:rPr>
                <w:rFonts w:ascii="宋体" w:hAnsi="宋体"/>
              </w:rPr>
            </w:pPr>
            <w:r>
              <w:rPr>
                <w:rFonts w:hint="eastAsia" w:ascii="宋体" w:hAnsi="宋体"/>
              </w:rPr>
              <w:t>7.</w:t>
            </w:r>
            <w:r>
              <w:rPr>
                <w:rFonts w:hint="eastAsia" w:ascii="宋体" w:hAnsi="宋体"/>
              </w:rPr>
              <w:tab/>
            </w:r>
            <w:r>
              <w:rPr>
                <w:rFonts w:hint="eastAsia" w:ascii="宋体" w:hAnsi="宋体"/>
              </w:rPr>
              <w:t xml:space="preserve">LCD模块大屏在显示字符单元之间，无亮度、对比度、颜色上的差异，显示模块的纯色底不能因角度和光照的微小变动而有明显的改变；  </w:t>
            </w:r>
          </w:p>
          <w:p>
            <w:pPr>
              <w:rPr>
                <w:rFonts w:ascii="宋体" w:hAnsi="宋体"/>
              </w:rPr>
            </w:pPr>
            <w:r>
              <w:rPr>
                <w:rFonts w:hint="eastAsia" w:ascii="宋体" w:hAnsi="宋体"/>
              </w:rPr>
              <w:t>8.</w:t>
            </w:r>
            <w:r>
              <w:rPr>
                <w:rFonts w:hint="eastAsia" w:ascii="宋体" w:hAnsi="宋体"/>
              </w:rPr>
              <w:tab/>
            </w:r>
            <w:r>
              <w:rPr>
                <w:rFonts w:hint="eastAsia" w:ascii="宋体" w:hAnsi="宋体"/>
              </w:rPr>
              <w:t>LCD模块大屏应支持多种汉字和英文字体显示。中英文同时显示和中英文轮流显示；LCD模块大屏的显示内容可上下翻转、滑动和水平滑动，滑动时显示内容保持平稳、清晰；</w:t>
            </w:r>
          </w:p>
          <w:p>
            <w:pPr>
              <w:rPr>
                <w:rFonts w:ascii="宋体" w:hAnsi="宋体"/>
              </w:rPr>
            </w:pPr>
            <w:r>
              <w:rPr>
                <w:rFonts w:hint="eastAsia" w:ascii="宋体" w:hAnsi="宋体"/>
              </w:rPr>
              <w:t>9.</w:t>
            </w:r>
            <w:r>
              <w:rPr>
                <w:rFonts w:hint="eastAsia" w:ascii="宋体" w:hAnsi="宋体"/>
              </w:rPr>
              <w:tab/>
            </w:r>
            <w:r>
              <w:rPr>
                <w:rFonts w:hint="eastAsia" w:ascii="宋体" w:hAnsi="宋体"/>
              </w:rPr>
              <w:t>LCD模块大屏控制系统须设有存储设备，用于存放大量的图标和文字信息，支持在线装载航空公司图徽，在供电电源关闭后应仍能保持储存的信息；</w:t>
            </w:r>
          </w:p>
          <w:p>
            <w:pPr>
              <w:rPr>
                <w:rFonts w:ascii="宋体" w:hAnsi="宋体"/>
              </w:rPr>
            </w:pPr>
            <w:r>
              <w:rPr>
                <w:rFonts w:hint="eastAsia" w:ascii="宋体" w:hAnsi="宋体"/>
              </w:rPr>
              <w:t>10.</w:t>
            </w:r>
            <w:r>
              <w:rPr>
                <w:rFonts w:hint="eastAsia" w:ascii="宋体" w:hAnsi="宋体"/>
              </w:rPr>
              <w:tab/>
            </w:r>
            <w:r>
              <w:rPr>
                <w:rFonts w:hint="eastAsia" w:ascii="宋体" w:hAnsi="宋体"/>
              </w:rPr>
              <w:t xml:space="preserve"> LCD模块大屏必须应能在温度0 ~ 50℃、湿度：0~ 90%（非结露状态）、有污染的、含尘的空气的环境下正常运行，能够忍受阳光辐射，并且保证显示单元的寿命≥100,000小时，背灯的寿命≥50,000小时, 整个LCD大屏MTBF≥15,000小时；</w:t>
            </w:r>
          </w:p>
          <w:p>
            <w:pPr>
              <w:rPr>
                <w:rFonts w:ascii="宋体" w:hAnsi="宋体"/>
              </w:rPr>
            </w:pPr>
            <w:r>
              <w:rPr>
                <w:rFonts w:hint="eastAsia" w:ascii="宋体" w:hAnsi="宋体"/>
              </w:rPr>
              <w:t>11.</w:t>
            </w:r>
            <w:r>
              <w:rPr>
                <w:rFonts w:hint="eastAsia" w:ascii="宋体" w:hAnsi="宋体"/>
              </w:rPr>
              <w:tab/>
            </w:r>
            <w:r>
              <w:rPr>
                <w:rFonts w:hint="eastAsia" w:ascii="宋体" w:hAnsi="宋体"/>
              </w:rPr>
              <w:t xml:space="preserve">LCD模块大屏内部结构应便于安装维修；LCD模块大屏应根据现场实际情况，选用结实美观的构建进行支撑和安放，各部件与现场环境协调一致；大屏外壳前表面和两侧不出现螺丝、铆钉之类起固定连接作用的连接件。LCD外壳应可根据具体的安装情况和招标方的要求选择喷塑铁、铝合金等稳固美观的材料； </w:t>
            </w:r>
          </w:p>
          <w:p>
            <w:pPr>
              <w:rPr>
                <w:rFonts w:ascii="宋体" w:hAnsi="宋体"/>
              </w:rPr>
            </w:pPr>
            <w:r>
              <w:rPr>
                <w:rFonts w:hint="eastAsia"/>
                <w:sz w:val="21"/>
                <w:szCs w:val="21"/>
              </w:rPr>
              <w:t>★</w:t>
            </w:r>
            <w:r>
              <w:rPr>
                <w:rFonts w:ascii="宋体" w:hAnsi="宋体"/>
              </w:rPr>
              <w:t>12.</w:t>
            </w:r>
            <w:r>
              <w:rPr>
                <w:rFonts w:hint="eastAsia" w:ascii="宋体" w:hAnsi="宋体"/>
              </w:rPr>
              <w:t xml:space="preserve"> LCD模块大屏具有硬件状态反馈功能，可以提供智能在线监测，及时发现显示异常并反馈给上位系统，请提供控制协议；LCD模块大屏具有自检程序，同时能方便的进行单机/多机调试。</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约1800</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个</w:t>
            </w:r>
          </w:p>
        </w:tc>
      </w:tr>
    </w:tbl>
    <w:p>
      <w:pPr>
        <w:adjustRightInd w:val="0"/>
        <w:snapToGrid w:val="0"/>
        <w:spacing w:line="360" w:lineRule="exact"/>
        <w:ind w:firstLine="440"/>
        <w:rPr>
          <w:rFonts w:ascii="宋体" w:hAnsi="宋体" w:cs="Calibri"/>
          <w:b/>
          <w:sz w:val="22"/>
        </w:rPr>
      </w:pPr>
    </w:p>
    <w:p>
      <w:pPr>
        <w:spacing w:line="420" w:lineRule="exact"/>
      </w:pPr>
      <w:r>
        <w:rPr>
          <w:rFonts w:hint="eastAsia"/>
        </w:rPr>
        <w:t>说明：</w:t>
      </w:r>
    </w:p>
    <w:p>
      <w:pPr>
        <w:widowControl/>
        <w:spacing w:line="420" w:lineRule="exact"/>
        <w:ind w:firstLine="440" w:firstLineChars="200"/>
        <w:jc w:val="left"/>
        <w:rPr>
          <w:rFonts w:ascii="宋体" w:hAnsi="宋体" w:cs="Calibri"/>
          <w:kern w:val="0"/>
          <w:sz w:val="22"/>
        </w:rPr>
      </w:pPr>
      <w:r>
        <w:rPr>
          <w:rFonts w:hint="eastAsia" w:ascii="宋体" w:hAnsi="宋体" w:cs="Calibri"/>
          <w:kern w:val="0"/>
          <w:sz w:val="22"/>
        </w:rPr>
        <w:t>1.报价时，投标人必须对表一及表二中参数及相关条款作一一实质性响应，并详细列出响应的具体内容。报价投标人必须响应并承诺项目本招标文件中所附合同主要条款。</w:t>
      </w:r>
    </w:p>
    <w:p>
      <w:pPr>
        <w:widowControl/>
        <w:spacing w:line="420" w:lineRule="exact"/>
        <w:ind w:firstLine="440" w:firstLineChars="200"/>
        <w:jc w:val="left"/>
        <w:rPr>
          <w:rFonts w:ascii="宋体" w:hAnsi="宋体" w:cs="Arial"/>
          <w:kern w:val="0"/>
          <w:sz w:val="22"/>
        </w:rPr>
      </w:pPr>
      <w:r>
        <w:rPr>
          <w:rFonts w:hint="eastAsia" w:ascii="宋体" w:hAnsi="宋体" w:cs="Calibri"/>
          <w:kern w:val="0"/>
          <w:sz w:val="22"/>
        </w:rPr>
        <w:t>2.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w:t>
      </w:r>
      <w:r>
        <w:rPr>
          <w:rFonts w:hint="eastAsia" w:ascii="宋体" w:hAnsi="宋体" w:cs="Calibri"/>
          <w:kern w:val="0"/>
        </w:rPr>
        <w:t>　</w:t>
      </w:r>
    </w:p>
    <w:p>
      <w:pPr>
        <w:widowControl/>
        <w:spacing w:line="420" w:lineRule="exact"/>
        <w:jc w:val="left"/>
        <w:rPr>
          <w:rFonts w:ascii="宋体" w:hAnsi="宋体" w:cs="Arial"/>
          <w:b/>
          <w:kern w:val="0"/>
          <w:sz w:val="22"/>
        </w:rPr>
      </w:pPr>
      <w:r>
        <w:rPr>
          <w:rFonts w:hint="eastAsia" w:ascii="宋体" w:hAnsi="宋体" w:cs="Arial"/>
          <w:b/>
          <w:kern w:val="0"/>
          <w:sz w:val="22"/>
        </w:rPr>
        <w:t>二、技术标准</w:t>
      </w:r>
    </w:p>
    <w:p>
      <w:pPr>
        <w:spacing w:line="420" w:lineRule="exact"/>
        <w:ind w:firstLine="221" w:firstLineChars="100"/>
        <w:rPr>
          <w:b/>
          <w:sz w:val="22"/>
        </w:rPr>
      </w:pPr>
      <w:bookmarkStart w:id="96" w:name="_Toc101234990"/>
      <w:bookmarkStart w:id="97" w:name="_Toc101081878"/>
      <w:bookmarkStart w:id="98" w:name="_Toc101930138"/>
      <w:bookmarkStart w:id="99" w:name="_Toc101930247"/>
      <w:bookmarkStart w:id="100" w:name="_Toc102198654"/>
      <w:bookmarkStart w:id="101" w:name="_Toc102199407"/>
      <w:bookmarkStart w:id="102" w:name="_Toc102303570"/>
      <w:bookmarkStart w:id="103" w:name="_Toc116529750"/>
      <w:bookmarkStart w:id="104" w:name="_Toc116375173"/>
      <w:bookmarkStart w:id="105" w:name="_Toc116529965"/>
      <w:bookmarkStart w:id="106" w:name="_Toc116787113"/>
      <w:bookmarkStart w:id="107" w:name="_Toc116788719"/>
      <w:bookmarkStart w:id="108" w:name="_Toc116788526"/>
      <w:bookmarkStart w:id="109" w:name="_Toc117568148"/>
      <w:bookmarkStart w:id="110" w:name="_Toc117568328"/>
      <w:bookmarkStart w:id="111" w:name="_Toc118514199"/>
      <w:bookmarkStart w:id="112" w:name="_Toc128470690"/>
      <w:bookmarkStart w:id="113" w:name="_Toc231524238"/>
      <w:bookmarkStart w:id="114" w:name="_Toc231525930"/>
      <w:bookmarkStart w:id="115" w:name="_Toc235935832"/>
      <w:bookmarkStart w:id="116" w:name="_Toc238303094"/>
      <w:bookmarkStart w:id="117" w:name="_Toc245984379"/>
      <w:r>
        <w:rPr>
          <w:b/>
          <w:sz w:val="22"/>
        </w:rPr>
        <w:t>2.1标准与规范</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snapToGrid w:val="0"/>
        <w:spacing w:line="420" w:lineRule="exact"/>
        <w:ind w:firstLine="440" w:firstLineChars="200"/>
        <w:rPr>
          <w:sz w:val="22"/>
        </w:rPr>
      </w:pPr>
      <w:r>
        <w:rPr>
          <w:rFonts w:hAnsi="宋体"/>
          <w:sz w:val="22"/>
        </w:rPr>
        <w:t>除特别声明，投标人使用的标准和规范必须是最新的国际和国家标准。</w:t>
      </w:r>
    </w:p>
    <w:p>
      <w:pPr>
        <w:pStyle w:val="142"/>
        <w:snapToGrid w:val="0"/>
        <w:spacing w:line="420" w:lineRule="exact"/>
        <w:ind w:hanging="1920"/>
        <w:rPr>
          <w:color w:val="auto"/>
          <w:sz w:val="22"/>
          <w:szCs w:val="22"/>
        </w:rPr>
      </w:pPr>
      <w:r>
        <w:rPr>
          <w:rFonts w:hAnsi="宋体"/>
          <w:color w:val="auto"/>
          <w:sz w:val="22"/>
          <w:szCs w:val="22"/>
        </w:rPr>
        <w:t>。</w:t>
      </w:r>
      <w:r>
        <w:rPr>
          <w:color w:val="auto"/>
          <w:sz w:val="22"/>
          <w:szCs w:val="22"/>
        </w:rPr>
        <w:t xml:space="preserve">   </w:t>
      </w:r>
      <w:r>
        <w:rPr>
          <w:rFonts w:hint="eastAsia"/>
          <w:color w:val="auto"/>
          <w:sz w:val="22"/>
          <w:szCs w:val="22"/>
        </w:rPr>
        <w:t xml:space="preserve">                 </w:t>
      </w:r>
      <w:r>
        <w:rPr>
          <w:rFonts w:hAnsi="宋体"/>
          <w:color w:val="auto"/>
          <w:sz w:val="22"/>
          <w:szCs w:val="22"/>
        </w:rPr>
        <w:t>本项目建设应遵循的标准和规范包括：</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民用建筑电气设计规范</w:t>
      </w:r>
      <w:r>
        <w:rPr>
          <w:color w:val="auto"/>
          <w:sz w:val="22"/>
          <w:szCs w:val="22"/>
        </w:rPr>
        <w:t>JGJ/T16-92</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电气装置安装工程施工及验收规范</w:t>
      </w:r>
      <w:r>
        <w:rPr>
          <w:color w:val="auto"/>
          <w:sz w:val="22"/>
          <w:szCs w:val="22"/>
        </w:rPr>
        <w:t>GBJ232-82</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电气装置安装工程电气设备交接实验标准</w:t>
      </w:r>
      <w:r>
        <w:rPr>
          <w:color w:val="auto"/>
          <w:sz w:val="22"/>
          <w:szCs w:val="22"/>
        </w:rPr>
        <w:t>GB50150-91</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国际民航公约附件</w:t>
      </w:r>
      <w:r>
        <w:rPr>
          <w:color w:val="auto"/>
          <w:sz w:val="22"/>
          <w:szCs w:val="22"/>
        </w:rPr>
        <w:t>14</w:t>
      </w:r>
      <w:r>
        <w:rPr>
          <w:rFonts w:hAnsi="宋体"/>
          <w:color w:val="auto"/>
          <w:sz w:val="22"/>
          <w:szCs w:val="22"/>
        </w:rPr>
        <w:t>《机场》的标准和建议措施</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中华人民共和国民用航空行业标准</w:t>
      </w:r>
      <w:r>
        <w:rPr>
          <w:color w:val="auto"/>
          <w:sz w:val="22"/>
          <w:szCs w:val="22"/>
        </w:rPr>
        <w:t>—</w:t>
      </w:r>
      <w:r>
        <w:rPr>
          <w:rFonts w:hAnsi="宋体"/>
          <w:color w:val="auto"/>
          <w:sz w:val="22"/>
          <w:szCs w:val="22"/>
        </w:rPr>
        <w:t>民用航空运输机场安全保卫设施建设标准</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电气指标标准</w:t>
      </w:r>
      <w:r>
        <w:rPr>
          <w:color w:val="auto"/>
          <w:sz w:val="22"/>
          <w:szCs w:val="22"/>
        </w:rPr>
        <w:t>ELA-422ELA-485</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中华人民共和国公共安全行业标准</w:t>
      </w:r>
      <w:r>
        <w:rPr>
          <w:color w:val="auto"/>
          <w:sz w:val="22"/>
          <w:szCs w:val="22"/>
        </w:rPr>
        <w:t>GA/T75-94</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商用建筑物布线标准</w:t>
      </w:r>
      <w:r>
        <w:rPr>
          <w:color w:val="auto"/>
          <w:sz w:val="22"/>
          <w:szCs w:val="22"/>
        </w:rPr>
        <w:t>EIA/TIA568B</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国际标准</w:t>
      </w:r>
      <w:r>
        <w:rPr>
          <w:color w:val="auto"/>
          <w:sz w:val="22"/>
          <w:szCs w:val="22"/>
        </w:rPr>
        <w:t>ISO/IEC11801</w:t>
      </w:r>
      <w:r>
        <w:rPr>
          <w:rFonts w:hAnsi="宋体"/>
          <w:color w:val="auto"/>
          <w:sz w:val="22"/>
          <w:szCs w:val="22"/>
        </w:rPr>
        <w:t>：</w:t>
      </w:r>
      <w:r>
        <w:rPr>
          <w:color w:val="auto"/>
          <w:sz w:val="22"/>
          <w:szCs w:val="22"/>
        </w:rPr>
        <w:t>2002</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国际标准</w:t>
      </w:r>
      <w:r>
        <w:rPr>
          <w:color w:val="auto"/>
          <w:sz w:val="22"/>
          <w:szCs w:val="22"/>
        </w:rPr>
        <w:t>ISO 14165-114</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民用建筑线缆标准</w:t>
      </w:r>
      <w:r>
        <w:rPr>
          <w:color w:val="auto"/>
          <w:sz w:val="22"/>
          <w:szCs w:val="22"/>
        </w:rPr>
        <w:t>EIA/TIA586</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民用建筑通信管理标准</w:t>
      </w:r>
      <w:r>
        <w:rPr>
          <w:color w:val="auto"/>
          <w:sz w:val="22"/>
          <w:szCs w:val="22"/>
        </w:rPr>
        <w:t>EIA/TIA606</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民用建筑通信接地标准</w:t>
      </w:r>
      <w:r>
        <w:rPr>
          <w:color w:val="auto"/>
          <w:sz w:val="22"/>
          <w:szCs w:val="22"/>
        </w:rPr>
        <w:t>EIA/TIA607</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color w:val="auto"/>
          <w:sz w:val="22"/>
          <w:szCs w:val="22"/>
        </w:rPr>
        <w:t xml:space="preserve">GB/T 50314—2000 </w:t>
      </w:r>
      <w:r>
        <w:rPr>
          <w:rFonts w:hAnsi="宋体"/>
          <w:color w:val="auto"/>
          <w:sz w:val="22"/>
          <w:szCs w:val="22"/>
        </w:rPr>
        <w:t>智能建筑设计标准</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color w:val="auto"/>
          <w:sz w:val="22"/>
          <w:szCs w:val="22"/>
        </w:rPr>
        <w:t xml:space="preserve">GB50339—2003  </w:t>
      </w:r>
      <w:r>
        <w:rPr>
          <w:rFonts w:hAnsi="宋体"/>
          <w:color w:val="auto"/>
          <w:sz w:val="22"/>
          <w:szCs w:val="22"/>
        </w:rPr>
        <w:t>智能建筑工程质量验收规范</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color w:val="auto"/>
          <w:sz w:val="22"/>
          <w:szCs w:val="22"/>
        </w:rPr>
        <w:t xml:space="preserve">GB 50343—2004  </w:t>
      </w:r>
      <w:r>
        <w:rPr>
          <w:rFonts w:hAnsi="宋体"/>
          <w:color w:val="auto"/>
          <w:sz w:val="22"/>
          <w:szCs w:val="22"/>
        </w:rPr>
        <w:t>建筑物信息系统防雷技术规范</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电磁学规范：</w:t>
      </w:r>
      <w:r>
        <w:rPr>
          <w:color w:val="auto"/>
          <w:sz w:val="22"/>
          <w:szCs w:val="22"/>
        </w:rPr>
        <w:t xml:space="preserve">FCC Class B </w:t>
      </w:r>
      <w:r>
        <w:rPr>
          <w:rFonts w:hAnsi="宋体"/>
          <w:color w:val="auto"/>
          <w:sz w:val="22"/>
          <w:szCs w:val="22"/>
        </w:rPr>
        <w:t>或</w:t>
      </w:r>
      <w:r>
        <w:rPr>
          <w:color w:val="auto"/>
          <w:sz w:val="22"/>
          <w:szCs w:val="22"/>
        </w:rPr>
        <w:t xml:space="preserve"> CISPR 22 Class B   </w:t>
      </w:r>
    </w:p>
    <w:p>
      <w:pPr>
        <w:pStyle w:val="142"/>
        <w:numPr>
          <w:ilvl w:val="0"/>
          <w:numId w:val="7"/>
        </w:numPr>
        <w:tabs>
          <w:tab w:val="left" w:pos="-1800"/>
          <w:tab w:val="clear" w:pos="840"/>
        </w:tabs>
        <w:snapToGrid w:val="0"/>
        <w:spacing w:before="96" w:beforeLines="40" w:line="420" w:lineRule="exact"/>
        <w:ind w:left="720"/>
        <w:jc w:val="left"/>
        <w:rPr>
          <w:color w:val="auto"/>
          <w:sz w:val="22"/>
          <w:szCs w:val="22"/>
        </w:rPr>
      </w:pPr>
      <w:r>
        <w:rPr>
          <w:rFonts w:hAnsi="宋体"/>
          <w:color w:val="auto"/>
          <w:sz w:val="22"/>
          <w:szCs w:val="22"/>
        </w:rPr>
        <w:t>安全规范：</w:t>
      </w:r>
      <w:r>
        <w:rPr>
          <w:color w:val="auto"/>
          <w:sz w:val="22"/>
          <w:szCs w:val="22"/>
        </w:rPr>
        <w:t>UL Listed</w:t>
      </w:r>
      <w:r>
        <w:rPr>
          <w:rFonts w:hAnsi="宋体"/>
          <w:color w:val="auto"/>
          <w:sz w:val="22"/>
          <w:szCs w:val="22"/>
        </w:rPr>
        <w:t>（美国）</w:t>
      </w:r>
      <w:r>
        <w:rPr>
          <w:color w:val="auto"/>
          <w:sz w:val="22"/>
          <w:szCs w:val="22"/>
        </w:rPr>
        <w:t xml:space="preserve"> </w:t>
      </w:r>
      <w:r>
        <w:rPr>
          <w:rFonts w:hAnsi="宋体"/>
          <w:color w:val="auto"/>
          <w:sz w:val="22"/>
          <w:szCs w:val="22"/>
        </w:rPr>
        <w:t>或</w:t>
      </w:r>
      <w:r>
        <w:rPr>
          <w:color w:val="auto"/>
          <w:sz w:val="22"/>
          <w:szCs w:val="22"/>
        </w:rPr>
        <w:t xml:space="preserve"> EN 60950 </w:t>
      </w:r>
      <w:r>
        <w:rPr>
          <w:rFonts w:hAnsi="宋体"/>
          <w:color w:val="auto"/>
          <w:sz w:val="22"/>
          <w:szCs w:val="22"/>
        </w:rPr>
        <w:t>（国际）</w:t>
      </w:r>
    </w:p>
    <w:p>
      <w:pPr>
        <w:spacing w:line="420" w:lineRule="exact"/>
        <w:rPr>
          <w:b/>
          <w:sz w:val="22"/>
        </w:rPr>
      </w:pPr>
      <w:bookmarkStart w:id="118" w:name="_Toc117568329"/>
      <w:bookmarkStart w:id="119" w:name="_Toc118514200"/>
      <w:bookmarkStart w:id="120" w:name="_Toc128470691"/>
      <w:bookmarkStart w:id="121" w:name="_Toc231524239"/>
      <w:bookmarkStart w:id="122" w:name="_Toc101081879"/>
      <w:bookmarkStart w:id="123" w:name="_Toc101234991"/>
      <w:bookmarkStart w:id="124" w:name="_Toc101930139"/>
      <w:bookmarkStart w:id="125" w:name="_Toc101930248"/>
      <w:bookmarkStart w:id="126" w:name="_Toc102198655"/>
      <w:bookmarkStart w:id="127" w:name="_Toc102199408"/>
      <w:bookmarkStart w:id="128" w:name="_Toc102303571"/>
      <w:bookmarkStart w:id="129" w:name="_Toc116375174"/>
      <w:bookmarkStart w:id="130" w:name="_Toc116529751"/>
      <w:bookmarkStart w:id="131" w:name="_Toc231525931"/>
      <w:bookmarkStart w:id="132" w:name="_Toc235935833"/>
      <w:bookmarkStart w:id="133" w:name="_Toc238303095"/>
      <w:bookmarkStart w:id="134" w:name="_Toc116787114"/>
      <w:bookmarkStart w:id="135" w:name="_Toc116529966"/>
      <w:bookmarkStart w:id="136" w:name="_Toc116788527"/>
      <w:bookmarkStart w:id="137" w:name="_Toc116788720"/>
      <w:bookmarkStart w:id="138" w:name="_Toc117568149"/>
      <w:bookmarkStart w:id="139" w:name="_Toc245984380"/>
      <w:r>
        <w:rPr>
          <w:rFonts w:hint="eastAsia"/>
          <w:b/>
          <w:sz w:val="22"/>
        </w:rPr>
        <w:t>2.2</w:t>
      </w:r>
      <w:r>
        <w:rPr>
          <w:b/>
          <w:sz w:val="22"/>
        </w:rPr>
        <w:t>计量单位</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b/>
          <w:sz w:val="22"/>
        </w:rPr>
        <w:t xml:space="preserve"> </w:t>
      </w:r>
    </w:p>
    <w:p>
      <w:pPr>
        <w:snapToGrid w:val="0"/>
        <w:spacing w:line="420" w:lineRule="exact"/>
        <w:ind w:firstLine="440" w:firstLineChars="200"/>
        <w:rPr>
          <w:b/>
          <w:sz w:val="22"/>
        </w:rPr>
      </w:pPr>
      <w:r>
        <w:rPr>
          <w:rFonts w:hAnsi="宋体"/>
          <w:sz w:val="22"/>
        </w:rPr>
        <w:t>除本技术规范另有规定，以中华人民共和国法定计量单位作为计量单位，不在法定计量单位范围内的，将使用国际计量单位和国家选定的其它计量单位。</w:t>
      </w:r>
      <w:bookmarkStart w:id="140" w:name="_Toc235935834"/>
      <w:bookmarkStart w:id="141" w:name="_Toc238303096"/>
      <w:bookmarkStart w:id="142" w:name="_Toc245984381"/>
      <w:bookmarkStart w:id="143" w:name="_Toc231525932"/>
      <w:bookmarkStart w:id="144" w:name="_Toc231524240"/>
      <w:bookmarkStart w:id="145" w:name="_Toc224714092"/>
    </w:p>
    <w:p>
      <w:pPr>
        <w:numPr>
          <w:ilvl w:val="1"/>
          <w:numId w:val="6"/>
        </w:numPr>
        <w:spacing w:line="420" w:lineRule="exact"/>
        <w:ind w:hanging="495"/>
        <w:rPr>
          <w:rFonts w:ascii="Times New Roman" w:hAnsi="宋体"/>
          <w:b/>
          <w:kern w:val="0"/>
          <w:sz w:val="22"/>
        </w:rPr>
      </w:pPr>
      <w:r>
        <w:rPr>
          <w:rFonts w:ascii="Times New Roman" w:hAnsi="宋体"/>
          <w:b/>
          <w:kern w:val="0"/>
          <w:sz w:val="22"/>
        </w:rPr>
        <w:t>接地要求</w:t>
      </w:r>
      <w:bookmarkEnd w:id="140"/>
      <w:bookmarkEnd w:id="141"/>
      <w:bookmarkEnd w:id="142"/>
      <w:bookmarkEnd w:id="143"/>
      <w:bookmarkEnd w:id="144"/>
      <w:bookmarkEnd w:id="145"/>
      <w:bookmarkStart w:id="146" w:name="_Toc231524241"/>
    </w:p>
    <w:p>
      <w:pPr>
        <w:spacing w:line="420" w:lineRule="exact"/>
        <w:ind w:left="495"/>
        <w:rPr>
          <w:rFonts w:hAnsi="宋体"/>
          <w:sz w:val="22"/>
        </w:rPr>
      </w:pPr>
      <w:r>
        <w:rPr>
          <w:rFonts w:hint="eastAsia" w:ascii="Times New Roman" w:hAnsi="宋体"/>
          <w:b/>
          <w:kern w:val="0"/>
          <w:sz w:val="22"/>
        </w:rPr>
        <w:t>2.3.1</w:t>
      </w:r>
      <w:r>
        <w:rPr>
          <w:rFonts w:hAnsi="宋体"/>
          <w:sz w:val="22"/>
        </w:rPr>
        <w:t>投标人须保证所提供的设备能可靠接地。</w:t>
      </w:r>
      <w:bookmarkEnd w:id="146"/>
      <w:bookmarkStart w:id="147" w:name="_Toc231524242"/>
    </w:p>
    <w:p>
      <w:pPr>
        <w:spacing w:line="420" w:lineRule="exact"/>
        <w:ind w:left="495"/>
        <w:rPr>
          <w:rFonts w:hAnsi="宋体"/>
          <w:sz w:val="22"/>
        </w:rPr>
      </w:pPr>
      <w:r>
        <w:rPr>
          <w:rFonts w:hint="eastAsia" w:ascii="Times New Roman" w:hAnsi="宋体"/>
          <w:b/>
          <w:kern w:val="0"/>
          <w:sz w:val="22"/>
        </w:rPr>
        <w:t>2.3.2</w:t>
      </w:r>
      <w:r>
        <w:rPr>
          <w:rFonts w:hAnsi="宋体"/>
          <w:sz w:val="22"/>
        </w:rPr>
        <w:t>所有设备接地要求符合TIA/EIA-607标准。</w:t>
      </w:r>
      <w:bookmarkEnd w:id="147"/>
      <w:bookmarkStart w:id="148" w:name="_Toc231524243"/>
    </w:p>
    <w:p>
      <w:pPr>
        <w:spacing w:line="420" w:lineRule="exact"/>
        <w:ind w:left="495"/>
        <w:rPr>
          <w:rFonts w:ascii="Times New Roman" w:hAnsi="宋体"/>
          <w:kern w:val="0"/>
          <w:sz w:val="22"/>
        </w:rPr>
      </w:pPr>
      <w:r>
        <w:rPr>
          <w:rFonts w:hint="eastAsia" w:ascii="Times New Roman" w:hAnsi="宋体"/>
          <w:b/>
          <w:kern w:val="0"/>
          <w:sz w:val="22"/>
        </w:rPr>
        <w:t>2.3.3</w:t>
      </w:r>
      <w:r>
        <w:rPr>
          <w:rFonts w:hAnsi="宋体"/>
          <w:sz w:val="22"/>
        </w:rPr>
        <w:t>接地电阻不得大于1Ω。</w:t>
      </w:r>
      <w:bookmarkEnd w:id="148"/>
    </w:p>
    <w:p>
      <w:pPr>
        <w:spacing w:line="420" w:lineRule="exact"/>
        <w:rPr>
          <w:b/>
          <w:sz w:val="22"/>
        </w:rPr>
      </w:pPr>
      <w:bookmarkStart w:id="149" w:name="_Toc235935835"/>
      <w:bookmarkStart w:id="150" w:name="_Toc238303097"/>
      <w:bookmarkStart w:id="151" w:name="_Toc231524244"/>
      <w:bookmarkStart w:id="152" w:name="_Toc224714093"/>
      <w:bookmarkStart w:id="153" w:name="_Toc231525933"/>
      <w:bookmarkStart w:id="154" w:name="_Toc245984382"/>
      <w:r>
        <w:rPr>
          <w:sz w:val="22"/>
        </w:rPr>
        <w:t>2.4</w:t>
      </w:r>
      <w:r>
        <w:rPr>
          <w:b/>
          <w:sz w:val="22"/>
        </w:rPr>
        <w:t>现场条件</w:t>
      </w:r>
      <w:bookmarkEnd w:id="149"/>
      <w:bookmarkEnd w:id="150"/>
      <w:bookmarkEnd w:id="151"/>
      <w:bookmarkEnd w:id="152"/>
      <w:bookmarkEnd w:id="153"/>
      <w:bookmarkEnd w:id="154"/>
    </w:p>
    <w:p>
      <w:pPr>
        <w:pStyle w:val="141"/>
        <w:spacing w:line="420" w:lineRule="exact"/>
        <w:ind w:firstLine="440"/>
        <w:rPr>
          <w:rFonts w:ascii="Times New Roman" w:hAnsi="宋体"/>
          <w:sz w:val="22"/>
          <w:szCs w:val="22"/>
        </w:rPr>
      </w:pPr>
      <w:r>
        <w:rPr>
          <w:rFonts w:ascii="Times New Roman" w:hAnsi="宋体"/>
          <w:sz w:val="22"/>
          <w:szCs w:val="22"/>
        </w:rPr>
        <w:t>投标人所提供的设备设施及建议的设备设施必须能够在以下现场条件中正常运行。</w:t>
      </w:r>
      <w:bookmarkStart w:id="155" w:name="_Toc231524245"/>
    </w:p>
    <w:p>
      <w:pPr>
        <w:pStyle w:val="141"/>
        <w:spacing w:line="420" w:lineRule="exact"/>
        <w:ind w:firstLine="440"/>
        <w:rPr>
          <w:rFonts w:ascii="Times New Roman" w:hAnsi="Times New Roman"/>
          <w:sz w:val="22"/>
          <w:szCs w:val="22"/>
        </w:rPr>
      </w:pPr>
      <w:r>
        <w:rPr>
          <w:rFonts w:hint="eastAsia" w:ascii="Times New Roman" w:hAnsi="宋体"/>
          <w:sz w:val="22"/>
          <w:szCs w:val="22"/>
        </w:rPr>
        <w:t>2.4.1</w:t>
      </w:r>
      <w:r>
        <w:rPr>
          <w:rFonts w:hAnsi="宋体"/>
          <w:b/>
          <w:sz w:val="22"/>
          <w:szCs w:val="22"/>
        </w:rPr>
        <w:t>地理位置、气候条件</w:t>
      </w:r>
      <w:bookmarkEnd w:id="155"/>
    </w:p>
    <w:p>
      <w:pPr>
        <w:pStyle w:val="141"/>
        <w:numPr>
          <w:ilvl w:val="0"/>
          <w:numId w:val="8"/>
        </w:numPr>
        <w:spacing w:line="420" w:lineRule="exact"/>
        <w:ind w:left="0" w:firstLine="440"/>
        <w:rPr>
          <w:rFonts w:ascii="Times New Roman" w:hAnsi="Times New Roman"/>
          <w:sz w:val="22"/>
          <w:szCs w:val="22"/>
        </w:rPr>
      </w:pPr>
      <w:r>
        <w:rPr>
          <w:rFonts w:hint="eastAsia" w:ascii="Times New Roman" w:hAnsi="Times New Roman"/>
          <w:sz w:val="22"/>
          <w:szCs w:val="22"/>
        </w:rPr>
        <w:t>杭州萧山国际机场</w:t>
      </w:r>
      <w:r>
        <w:rPr>
          <w:rFonts w:ascii="Times New Roman" w:hAnsi="宋体"/>
          <w:sz w:val="22"/>
          <w:szCs w:val="22"/>
        </w:rPr>
        <w:t>地处亚热带，为海洋型气候，温和湿润，海拔高度</w:t>
      </w:r>
      <w:r>
        <w:rPr>
          <w:rFonts w:ascii="Times New Roman" w:hAnsi="Times New Roman"/>
          <w:sz w:val="22"/>
          <w:szCs w:val="22"/>
        </w:rPr>
        <w:t>≤200m</w:t>
      </w:r>
    </w:p>
    <w:p>
      <w:pPr>
        <w:pStyle w:val="141"/>
        <w:numPr>
          <w:ilvl w:val="0"/>
          <w:numId w:val="8"/>
        </w:numPr>
        <w:spacing w:line="420" w:lineRule="exact"/>
        <w:ind w:left="0" w:firstLine="440"/>
        <w:rPr>
          <w:rFonts w:ascii="Times New Roman" w:hAnsi="Times New Roman"/>
          <w:sz w:val="22"/>
          <w:szCs w:val="22"/>
        </w:rPr>
      </w:pPr>
      <w:r>
        <w:rPr>
          <w:rFonts w:ascii="Times New Roman" w:hAnsi="宋体"/>
          <w:sz w:val="22"/>
          <w:szCs w:val="22"/>
        </w:rPr>
        <w:t>腐蚀性：近海</w:t>
      </w:r>
      <w:r>
        <w:rPr>
          <w:rFonts w:ascii="Times New Roman" w:hAnsi="Times New Roman"/>
          <w:sz w:val="22"/>
          <w:szCs w:val="22"/>
        </w:rPr>
        <w:t>20000</w:t>
      </w:r>
      <w:r>
        <w:rPr>
          <w:rFonts w:ascii="Times New Roman" w:hAnsi="宋体"/>
          <w:sz w:val="22"/>
          <w:szCs w:val="22"/>
        </w:rPr>
        <w:t>米，有轻度盐雾</w:t>
      </w:r>
    </w:p>
    <w:p>
      <w:pPr>
        <w:pStyle w:val="141"/>
        <w:numPr>
          <w:ilvl w:val="0"/>
          <w:numId w:val="8"/>
        </w:numPr>
        <w:spacing w:line="420" w:lineRule="exact"/>
        <w:ind w:left="0" w:firstLine="440"/>
        <w:rPr>
          <w:rFonts w:ascii="Times New Roman" w:hAnsi="Times New Roman"/>
          <w:sz w:val="22"/>
          <w:szCs w:val="22"/>
        </w:rPr>
      </w:pPr>
      <w:r>
        <w:rPr>
          <w:rFonts w:ascii="Times New Roman" w:hAnsi="宋体"/>
          <w:sz w:val="22"/>
          <w:szCs w:val="22"/>
        </w:rPr>
        <w:t>室内温度：</w:t>
      </w:r>
      <w:r>
        <w:rPr>
          <w:rFonts w:ascii="Times New Roman" w:hAnsi="Times New Roman"/>
          <w:sz w:val="22"/>
          <w:szCs w:val="22"/>
        </w:rPr>
        <w:t>0</w:t>
      </w:r>
      <w:r>
        <w:rPr>
          <w:rFonts w:ascii="宋体" w:hAnsi="宋体"/>
          <w:sz w:val="22"/>
          <w:szCs w:val="22"/>
        </w:rPr>
        <w:t>℃</w:t>
      </w:r>
      <w:r>
        <w:rPr>
          <w:rFonts w:ascii="Times New Roman" w:hAnsi="宋体"/>
          <w:sz w:val="22"/>
          <w:szCs w:val="22"/>
        </w:rPr>
        <w:t>～</w:t>
      </w:r>
      <w:r>
        <w:rPr>
          <w:rFonts w:ascii="Times New Roman" w:hAnsi="Times New Roman"/>
          <w:sz w:val="22"/>
          <w:szCs w:val="22"/>
        </w:rPr>
        <w:t>40</w:t>
      </w:r>
      <w:r>
        <w:rPr>
          <w:rFonts w:ascii="宋体" w:hAnsi="宋体"/>
          <w:sz w:val="22"/>
          <w:szCs w:val="22"/>
        </w:rPr>
        <w:t>℃</w:t>
      </w:r>
      <w:r>
        <w:rPr>
          <w:rFonts w:ascii="Times New Roman" w:hAnsi="宋体"/>
          <w:sz w:val="22"/>
          <w:szCs w:val="22"/>
        </w:rPr>
        <w:t>。</w:t>
      </w:r>
    </w:p>
    <w:p>
      <w:pPr>
        <w:pStyle w:val="141"/>
        <w:numPr>
          <w:ilvl w:val="0"/>
          <w:numId w:val="8"/>
        </w:numPr>
        <w:tabs>
          <w:tab w:val="left" w:pos="1440"/>
        </w:tabs>
        <w:spacing w:line="420" w:lineRule="exact"/>
        <w:ind w:left="0" w:firstLine="440"/>
        <w:rPr>
          <w:rFonts w:ascii="Times New Roman" w:hAnsi="Times New Roman"/>
          <w:sz w:val="22"/>
          <w:szCs w:val="22"/>
        </w:rPr>
      </w:pPr>
      <w:r>
        <w:rPr>
          <w:rFonts w:ascii="Times New Roman" w:hAnsi="宋体"/>
          <w:sz w:val="22"/>
          <w:szCs w:val="22"/>
        </w:rPr>
        <w:t>室内最大相对湿度：日平均不大于</w:t>
      </w:r>
      <w:r>
        <w:rPr>
          <w:rFonts w:ascii="Times New Roman" w:hAnsi="Times New Roman"/>
          <w:sz w:val="22"/>
          <w:szCs w:val="22"/>
        </w:rPr>
        <w:t>95</w:t>
      </w:r>
      <w:r>
        <w:rPr>
          <w:rFonts w:ascii="Times New Roman" w:hAnsi="宋体"/>
          <w:sz w:val="22"/>
          <w:szCs w:val="22"/>
        </w:rPr>
        <w:t>％（</w:t>
      </w:r>
      <w:r>
        <w:rPr>
          <w:rFonts w:ascii="Times New Roman" w:hAnsi="Times New Roman"/>
          <w:sz w:val="22"/>
          <w:szCs w:val="22"/>
        </w:rPr>
        <w:t>25</w:t>
      </w:r>
      <w:r>
        <w:rPr>
          <w:rFonts w:ascii="宋体" w:hAnsi="宋体"/>
          <w:sz w:val="22"/>
          <w:szCs w:val="22"/>
        </w:rPr>
        <w:t>℃</w:t>
      </w:r>
      <w:r>
        <w:rPr>
          <w:rFonts w:ascii="Times New Roman" w:hAnsi="宋体"/>
          <w:sz w:val="22"/>
          <w:szCs w:val="22"/>
        </w:rPr>
        <w:t>时），月平均不大于</w:t>
      </w:r>
      <w:r>
        <w:rPr>
          <w:rFonts w:ascii="Times New Roman" w:hAnsi="Times New Roman"/>
          <w:sz w:val="22"/>
          <w:szCs w:val="22"/>
        </w:rPr>
        <w:t>90</w:t>
      </w:r>
      <w:r>
        <w:rPr>
          <w:rFonts w:ascii="Times New Roman" w:hAnsi="宋体"/>
          <w:sz w:val="22"/>
          <w:szCs w:val="22"/>
        </w:rPr>
        <w:t>％（</w:t>
      </w:r>
      <w:r>
        <w:rPr>
          <w:rFonts w:ascii="Times New Roman" w:hAnsi="Times New Roman"/>
          <w:sz w:val="22"/>
          <w:szCs w:val="22"/>
        </w:rPr>
        <w:t>25</w:t>
      </w:r>
      <w:r>
        <w:rPr>
          <w:rFonts w:ascii="宋体" w:hAnsi="宋体"/>
          <w:sz w:val="22"/>
          <w:szCs w:val="22"/>
        </w:rPr>
        <w:t>℃</w:t>
      </w:r>
      <w:r>
        <w:rPr>
          <w:rFonts w:ascii="Times New Roman" w:hAnsi="宋体"/>
          <w:sz w:val="22"/>
          <w:szCs w:val="22"/>
        </w:rPr>
        <w:t>时）。</w:t>
      </w:r>
      <w:bookmarkStart w:id="156" w:name="_Toc231524246"/>
    </w:p>
    <w:p>
      <w:pPr>
        <w:pStyle w:val="141"/>
        <w:tabs>
          <w:tab w:val="left" w:pos="900"/>
          <w:tab w:val="left" w:pos="1440"/>
        </w:tabs>
        <w:spacing w:line="420" w:lineRule="exact"/>
        <w:ind w:firstLine="0" w:firstLineChars="0"/>
        <w:rPr>
          <w:rFonts w:ascii="Times New Roman" w:hAnsi="Times New Roman"/>
          <w:sz w:val="22"/>
          <w:szCs w:val="22"/>
        </w:rPr>
      </w:pPr>
      <w:r>
        <w:rPr>
          <w:rFonts w:hint="eastAsia" w:ascii="Times New Roman" w:hAnsi="宋体"/>
          <w:sz w:val="22"/>
          <w:szCs w:val="22"/>
        </w:rPr>
        <w:t>2.5</w:t>
      </w:r>
      <w:r>
        <w:rPr>
          <w:rFonts w:hAnsi="宋体"/>
          <w:b/>
          <w:sz w:val="22"/>
          <w:szCs w:val="22"/>
        </w:rPr>
        <w:t>电力供应</w:t>
      </w:r>
      <w:bookmarkEnd w:id="156"/>
    </w:p>
    <w:p>
      <w:pPr>
        <w:pStyle w:val="141"/>
        <w:spacing w:line="420" w:lineRule="exact"/>
        <w:ind w:firstLine="440"/>
        <w:rPr>
          <w:rFonts w:ascii="Times New Roman" w:hAnsi="Times New Roman"/>
          <w:sz w:val="22"/>
          <w:szCs w:val="22"/>
        </w:rPr>
      </w:pPr>
      <w:r>
        <w:rPr>
          <w:rFonts w:ascii="Times New Roman" w:hAnsi="宋体"/>
          <w:sz w:val="22"/>
          <w:szCs w:val="22"/>
        </w:rPr>
        <w:t>额定电压：</w:t>
      </w:r>
      <w:r>
        <w:rPr>
          <w:rFonts w:ascii="Times New Roman" w:hAnsi="Times New Roman"/>
          <w:sz w:val="22"/>
          <w:szCs w:val="22"/>
        </w:rPr>
        <w:t xml:space="preserve">  AC 380V</w:t>
      </w:r>
      <w:r>
        <w:rPr>
          <w:rFonts w:ascii="Times New Roman" w:hAnsi="宋体"/>
          <w:sz w:val="22"/>
          <w:szCs w:val="22"/>
        </w:rPr>
        <w:t>或</w:t>
      </w:r>
      <w:r>
        <w:rPr>
          <w:rFonts w:ascii="Times New Roman" w:hAnsi="Times New Roman"/>
          <w:sz w:val="22"/>
          <w:szCs w:val="22"/>
        </w:rPr>
        <w:t>220V  TN-S</w:t>
      </w:r>
      <w:r>
        <w:rPr>
          <w:rFonts w:ascii="Times New Roman" w:hAnsi="宋体"/>
          <w:sz w:val="22"/>
          <w:szCs w:val="22"/>
        </w:rPr>
        <w:t>系统</w:t>
      </w:r>
      <w:r>
        <w:rPr>
          <w:rFonts w:ascii="Times New Roman" w:hAnsi="Times New Roman"/>
          <w:sz w:val="22"/>
          <w:szCs w:val="22"/>
        </w:rPr>
        <w:t xml:space="preserve">  </w:t>
      </w:r>
    </w:p>
    <w:p>
      <w:pPr>
        <w:pStyle w:val="141"/>
        <w:spacing w:line="420" w:lineRule="exact"/>
        <w:ind w:firstLine="440"/>
        <w:rPr>
          <w:rFonts w:ascii="Times New Roman" w:hAnsi="Times New Roman"/>
          <w:sz w:val="22"/>
          <w:szCs w:val="22"/>
        </w:rPr>
      </w:pPr>
      <w:r>
        <w:rPr>
          <w:rFonts w:ascii="Times New Roman" w:hAnsi="宋体"/>
          <w:sz w:val="22"/>
          <w:szCs w:val="22"/>
        </w:rPr>
        <w:t>额定频率：</w:t>
      </w:r>
      <w:r>
        <w:rPr>
          <w:rFonts w:ascii="Times New Roman" w:hAnsi="Times New Roman"/>
          <w:sz w:val="22"/>
          <w:szCs w:val="22"/>
        </w:rPr>
        <w:tab/>
      </w:r>
      <w:r>
        <w:rPr>
          <w:rFonts w:ascii="Times New Roman" w:hAnsi="Times New Roman"/>
          <w:sz w:val="22"/>
          <w:szCs w:val="22"/>
        </w:rPr>
        <w:t>50HZ  ±2%</w:t>
      </w:r>
    </w:p>
    <w:p>
      <w:pPr>
        <w:pStyle w:val="141"/>
        <w:spacing w:line="420" w:lineRule="exact"/>
        <w:ind w:firstLine="440"/>
        <w:rPr>
          <w:rFonts w:ascii="Times New Roman" w:hAnsi="Times New Roman"/>
          <w:sz w:val="22"/>
          <w:szCs w:val="22"/>
        </w:rPr>
      </w:pPr>
      <w:r>
        <w:rPr>
          <w:rFonts w:ascii="Times New Roman" w:hAnsi="宋体"/>
          <w:sz w:val="22"/>
          <w:szCs w:val="22"/>
        </w:rPr>
        <w:t>电压波动：</w:t>
      </w:r>
      <w:r>
        <w:rPr>
          <w:rFonts w:ascii="Times New Roman" w:hAnsi="Times New Roman"/>
          <w:sz w:val="22"/>
          <w:szCs w:val="22"/>
        </w:rPr>
        <w:tab/>
      </w:r>
      <w:r>
        <w:rPr>
          <w:rFonts w:ascii="Times New Roman" w:hAnsi="Times New Roman"/>
          <w:sz w:val="22"/>
          <w:szCs w:val="22"/>
        </w:rPr>
        <w:t>±10%</w:t>
      </w:r>
    </w:p>
    <w:p>
      <w:pPr>
        <w:pStyle w:val="141"/>
        <w:spacing w:line="420" w:lineRule="exact"/>
        <w:ind w:firstLine="440"/>
        <w:rPr>
          <w:rFonts w:ascii="Times New Roman" w:hAnsi="Times New Roman"/>
          <w:sz w:val="22"/>
          <w:szCs w:val="22"/>
        </w:rPr>
      </w:pPr>
      <w:r>
        <w:rPr>
          <w:rFonts w:ascii="Times New Roman" w:hAnsi="宋体"/>
          <w:sz w:val="22"/>
          <w:szCs w:val="22"/>
        </w:rPr>
        <w:t>接地电阻：</w:t>
      </w:r>
      <w:r>
        <w:rPr>
          <w:rFonts w:ascii="Times New Roman" w:hAnsi="Times New Roman"/>
          <w:sz w:val="22"/>
          <w:szCs w:val="22"/>
        </w:rPr>
        <w:tab/>
      </w:r>
      <w:r>
        <w:rPr>
          <w:rFonts w:ascii="Times New Roman" w:hAnsi="Times New Roman"/>
          <w:sz w:val="22"/>
          <w:szCs w:val="22"/>
        </w:rPr>
        <w:t>≤1Ω</w:t>
      </w:r>
    </w:p>
    <w:p>
      <w:pPr>
        <w:spacing w:line="420" w:lineRule="exact"/>
        <w:ind w:firstLine="440" w:firstLineChars="200"/>
        <w:rPr>
          <w:sz w:val="22"/>
        </w:rPr>
      </w:pPr>
      <w:r>
        <w:rPr>
          <w:rFonts w:hAnsi="宋体"/>
          <w:sz w:val="22"/>
        </w:rPr>
        <w:t>零地电压：</w:t>
      </w:r>
      <w:r>
        <w:rPr>
          <w:sz w:val="22"/>
        </w:rPr>
        <w:t xml:space="preserve"> ≤1V</w:t>
      </w:r>
      <w:bookmarkStart w:id="157" w:name="_Toc231524248"/>
    </w:p>
    <w:p>
      <w:pPr>
        <w:spacing w:line="420" w:lineRule="exact"/>
        <w:rPr>
          <w:sz w:val="22"/>
        </w:rPr>
      </w:pPr>
      <w:r>
        <w:rPr>
          <w:rFonts w:hint="eastAsia"/>
          <w:sz w:val="22"/>
        </w:rPr>
        <w:t>2.6</w:t>
      </w:r>
      <w:r>
        <w:rPr>
          <w:rFonts w:hAnsi="宋体"/>
          <w:b/>
          <w:sz w:val="22"/>
        </w:rPr>
        <w:t>冷却、通风要求</w:t>
      </w:r>
      <w:bookmarkEnd w:id="157"/>
    </w:p>
    <w:p>
      <w:pPr>
        <w:pStyle w:val="141"/>
        <w:spacing w:line="420" w:lineRule="exact"/>
        <w:ind w:firstLine="440"/>
        <w:rPr>
          <w:rFonts w:ascii="Times New Roman" w:hAnsi="Times New Roman"/>
          <w:sz w:val="22"/>
          <w:szCs w:val="22"/>
        </w:rPr>
      </w:pPr>
      <w:r>
        <w:rPr>
          <w:rFonts w:ascii="Times New Roman" w:hAnsi="宋体"/>
          <w:sz w:val="22"/>
          <w:szCs w:val="22"/>
        </w:rPr>
        <w:t>投标人应说明设备的散热方式，设备的冷却优选自然通风散热方式。</w:t>
      </w:r>
    </w:p>
    <w:p>
      <w:pPr>
        <w:widowControl/>
        <w:spacing w:line="420" w:lineRule="exact"/>
        <w:jc w:val="left"/>
        <w:rPr>
          <w:rFonts w:ascii="宋体" w:hAnsi="宋体" w:cs="Arial"/>
          <w:b/>
          <w:kern w:val="0"/>
          <w:sz w:val="22"/>
        </w:rPr>
      </w:pPr>
      <w:r>
        <w:rPr>
          <w:rFonts w:hint="eastAsia" w:ascii="宋体" w:hAnsi="宋体" w:cs="Arial"/>
          <w:b/>
          <w:kern w:val="0"/>
          <w:sz w:val="22"/>
        </w:rPr>
        <w:t>三、安装及调试</w:t>
      </w:r>
    </w:p>
    <w:p>
      <w:pPr>
        <w:widowControl/>
        <w:spacing w:line="420" w:lineRule="exact"/>
        <w:ind w:firstLine="555"/>
        <w:jc w:val="left"/>
        <w:rPr>
          <w:rFonts w:ascii="宋体" w:hAnsi="宋体" w:cs="Arial"/>
          <w:kern w:val="0"/>
          <w:sz w:val="22"/>
        </w:rPr>
      </w:pPr>
      <w:r>
        <w:rPr>
          <w:rFonts w:hint="eastAsia" w:ascii="宋体" w:hAnsi="宋体" w:cs="Arial"/>
          <w:kern w:val="0"/>
          <w:sz w:val="22"/>
        </w:rPr>
        <w:t>3.1. 中标人按招标文件规定的货物性能、技术要求、质量标准、数量要求等全部条件向招标人提供未经使用的全新产品，提供货物安装调试服务。安装调试不合格的，中标人应负责更换设备，直至安装调试合格。</w:t>
      </w:r>
    </w:p>
    <w:p>
      <w:pPr>
        <w:widowControl/>
        <w:spacing w:line="420" w:lineRule="exact"/>
        <w:ind w:firstLine="555"/>
        <w:jc w:val="left"/>
        <w:rPr>
          <w:rFonts w:ascii="宋体" w:hAnsi="宋体" w:cs="Arial"/>
          <w:kern w:val="0"/>
          <w:sz w:val="22"/>
        </w:rPr>
      </w:pPr>
      <w:r>
        <w:rPr>
          <w:rFonts w:hint="eastAsia" w:ascii="宋体" w:hAnsi="宋体" w:cs="Arial"/>
          <w:kern w:val="0"/>
          <w:sz w:val="22"/>
        </w:rPr>
        <w:t>3.2.产品到达采购单位时，中标人必须依照招标文件货物需求和报价响应的承诺，将产品、系统安装并调试至正常运行的最佳状态，并向招标人提供相关的应用培训，否则采购人有权拒绝收货验货。</w:t>
      </w:r>
    </w:p>
    <w:p>
      <w:pPr>
        <w:widowControl/>
        <w:spacing w:line="420" w:lineRule="exact"/>
        <w:jc w:val="left"/>
        <w:rPr>
          <w:rFonts w:ascii="宋体" w:hAnsi="宋体" w:cs="Arial"/>
          <w:b/>
          <w:kern w:val="0"/>
          <w:sz w:val="22"/>
        </w:rPr>
      </w:pPr>
      <w:r>
        <w:rPr>
          <w:rFonts w:hint="eastAsia" w:ascii="宋体" w:hAnsi="宋体" w:cs="Arial"/>
          <w:b/>
          <w:kern w:val="0"/>
          <w:sz w:val="22"/>
        </w:rPr>
        <w:t>四、知识产权</w:t>
      </w:r>
    </w:p>
    <w:p>
      <w:pPr>
        <w:pStyle w:val="32"/>
        <w:spacing w:after="0" w:line="420" w:lineRule="exact"/>
        <w:ind w:left="0" w:leftChars="0" w:firstLine="440" w:firstLineChars="200"/>
        <w:jc w:val="left"/>
        <w:rPr>
          <w:rFonts w:ascii="宋体" w:hAnsi="宋体" w:cs="Arial"/>
          <w:sz w:val="22"/>
          <w:szCs w:val="22"/>
        </w:rPr>
      </w:pPr>
      <w:r>
        <w:rPr>
          <w:rFonts w:hint="eastAsia" w:ascii="宋体" w:hAnsi="宋体" w:cs="Arial"/>
          <w:sz w:val="22"/>
          <w:szCs w:val="22"/>
        </w:rPr>
        <w:t>保证所提供的货物或其任何一部分均不会侵犯任何第三方的知识产权。本项目涉及软件产品的，必须采购和使用正版软件。</w:t>
      </w:r>
    </w:p>
    <w:p>
      <w:pPr>
        <w:widowControl/>
        <w:spacing w:line="420" w:lineRule="exact"/>
        <w:rPr>
          <w:rFonts w:ascii="宋体" w:hAnsi="宋体" w:cs="Arial"/>
          <w:b/>
          <w:kern w:val="0"/>
          <w:sz w:val="22"/>
        </w:rPr>
      </w:pPr>
      <w:r>
        <w:rPr>
          <w:rFonts w:hint="eastAsia" w:ascii="宋体" w:hAnsi="宋体" w:cs="Arial"/>
          <w:b/>
          <w:kern w:val="0"/>
          <w:sz w:val="22"/>
        </w:rPr>
        <w:t>五、技术支持及维保服务承诺</w:t>
      </w:r>
    </w:p>
    <w:p>
      <w:pPr>
        <w:widowControl/>
        <w:spacing w:line="420" w:lineRule="exact"/>
        <w:ind w:firstLine="555"/>
        <w:jc w:val="left"/>
        <w:rPr>
          <w:rFonts w:ascii="宋体" w:hAnsi="宋体" w:cs="Arial"/>
          <w:kern w:val="0"/>
          <w:sz w:val="22"/>
        </w:rPr>
      </w:pPr>
      <w:r>
        <w:rPr>
          <w:rFonts w:hint="eastAsia" w:ascii="宋体" w:hAnsi="宋体" w:cs="Arial"/>
          <w:kern w:val="0"/>
          <w:sz w:val="22"/>
        </w:rPr>
        <w:t>5.1</w:t>
      </w:r>
      <w:r>
        <w:rPr>
          <w:rFonts w:ascii="宋体" w:hAnsi="宋体" w:cs="Arial"/>
          <w:kern w:val="0"/>
          <w:sz w:val="22"/>
        </w:rPr>
        <w:t>投标人(包含厂商)的技术支持贯穿于从设备采购生产、设备发货、安装调试、测试验收到设备质保期维护的整个过程。包括向业主提供发货前的验收资料、产品资料以及在安装调试前将工程设计资料和调试测试资料单独发往安装现场、提供完工后的测试报告、竣工资料等，并积极接受业主方提出的与本合同工程有关的技术咨询。</w:t>
      </w:r>
    </w:p>
    <w:p>
      <w:pPr>
        <w:widowControl/>
        <w:spacing w:line="420" w:lineRule="exact"/>
        <w:ind w:firstLine="555"/>
        <w:jc w:val="left"/>
        <w:rPr>
          <w:rFonts w:ascii="宋体" w:hAnsi="宋体" w:cs="Arial"/>
          <w:kern w:val="0"/>
          <w:sz w:val="22"/>
        </w:rPr>
      </w:pPr>
      <w:r>
        <w:rPr>
          <w:rFonts w:hint="eastAsia" w:ascii="宋体" w:hAnsi="宋体" w:cs="Arial"/>
          <w:kern w:val="0"/>
          <w:sz w:val="22"/>
        </w:rPr>
        <w:t>5.2</w:t>
      </w:r>
      <w:r>
        <w:rPr>
          <w:rFonts w:ascii="宋体" w:hAnsi="宋体" w:cs="Arial"/>
          <w:kern w:val="0"/>
          <w:sz w:val="22"/>
        </w:rPr>
        <w:t>要求原厂商须提供原厂工程师现场的安装调试服务。提供完整，规范，可验证的系统安装配置报告。</w:t>
      </w:r>
    </w:p>
    <w:p>
      <w:pPr>
        <w:widowControl/>
        <w:spacing w:line="420" w:lineRule="exact"/>
        <w:ind w:firstLine="555"/>
        <w:jc w:val="left"/>
        <w:rPr>
          <w:rFonts w:ascii="宋体" w:hAnsi="宋体" w:cs="Arial"/>
          <w:kern w:val="0"/>
          <w:sz w:val="22"/>
        </w:rPr>
      </w:pPr>
      <w:r>
        <w:rPr>
          <w:rFonts w:hint="eastAsia" w:ascii="宋体" w:hAnsi="宋体" w:cs="Arial"/>
          <w:kern w:val="0"/>
          <w:sz w:val="22"/>
        </w:rPr>
        <w:t>5.</w:t>
      </w:r>
      <w:r>
        <w:rPr>
          <w:rFonts w:hint="eastAsia" w:ascii="宋体" w:hAnsi="宋体" w:cs="Arial"/>
          <w:kern w:val="0"/>
          <w:sz w:val="22"/>
          <w:u w:val="single"/>
        </w:rPr>
        <w:t>3</w:t>
      </w:r>
      <w:r>
        <w:rPr>
          <w:rFonts w:ascii="宋体" w:hAnsi="宋体" w:cs="Arial"/>
          <w:kern w:val="0"/>
          <w:sz w:val="22"/>
          <w:u w:val="single"/>
        </w:rPr>
        <w:t>投标人设有技术服务和维修中心，设有</w:t>
      </w:r>
      <w:r>
        <w:rPr>
          <w:rFonts w:ascii="宋体" w:hAnsi="宋体" w:cs="Arial"/>
          <w:b/>
          <w:kern w:val="0"/>
          <w:sz w:val="22"/>
          <w:u w:val="single"/>
        </w:rPr>
        <w:t>7*24小时</w:t>
      </w:r>
      <w:r>
        <w:rPr>
          <w:rFonts w:ascii="宋体" w:hAnsi="宋体" w:cs="Arial"/>
          <w:kern w:val="0"/>
          <w:sz w:val="22"/>
          <w:u w:val="single"/>
        </w:rPr>
        <w:t>值班热线，必要时工程师</w:t>
      </w:r>
      <w:r>
        <w:rPr>
          <w:rFonts w:ascii="宋体" w:hAnsi="宋体" w:cs="Arial"/>
          <w:b/>
          <w:kern w:val="0"/>
          <w:sz w:val="22"/>
          <w:u w:val="single"/>
        </w:rPr>
        <w:t>&lt;4小时</w:t>
      </w:r>
      <w:r>
        <w:rPr>
          <w:rFonts w:ascii="宋体" w:hAnsi="宋体" w:cs="Arial"/>
          <w:kern w:val="0"/>
          <w:sz w:val="22"/>
          <w:u w:val="single"/>
        </w:rPr>
        <w:t>赶到现场</w:t>
      </w:r>
      <w:r>
        <w:rPr>
          <w:rFonts w:hint="eastAsia" w:ascii="宋体" w:hAnsi="宋体" w:cs="Arial"/>
          <w:kern w:val="0"/>
          <w:sz w:val="22"/>
          <w:u w:val="single"/>
        </w:rPr>
        <w:t>，同时投标人针对本项目需要准备</w:t>
      </w:r>
      <w:r>
        <w:rPr>
          <w:rFonts w:ascii="宋体" w:hAnsi="宋体" w:cs="Arial"/>
          <w:kern w:val="0"/>
          <w:sz w:val="22"/>
          <w:u w:val="single"/>
        </w:rPr>
        <w:t>充足的备品备件，并有完善的用户档案，通过先进的计算机网络管理，随时查询用户及产品使用情况，能及时准确解决所提供设备的故障。</w:t>
      </w:r>
    </w:p>
    <w:p>
      <w:pPr>
        <w:widowControl/>
        <w:spacing w:line="420" w:lineRule="exact"/>
        <w:ind w:firstLine="555"/>
        <w:jc w:val="left"/>
        <w:rPr>
          <w:rFonts w:ascii="宋体" w:hAnsi="宋体" w:cs="Arial"/>
          <w:kern w:val="0"/>
          <w:sz w:val="22"/>
        </w:rPr>
      </w:pPr>
      <w:r>
        <w:rPr>
          <w:rFonts w:hint="eastAsia" w:ascii="宋体" w:hAnsi="宋体" w:cs="Arial"/>
          <w:kern w:val="0"/>
          <w:sz w:val="22"/>
        </w:rPr>
        <w:t xml:space="preserve">5.4 </w:t>
      </w:r>
      <w:r>
        <w:rPr>
          <w:rFonts w:ascii="宋体" w:hAnsi="宋体" w:cs="Arial"/>
          <w:kern w:val="0"/>
          <w:sz w:val="22"/>
          <w:u w:val="single"/>
        </w:rPr>
        <w:t>投标人应提供全部设备</w:t>
      </w:r>
      <w:r>
        <w:rPr>
          <w:rFonts w:hint="eastAsia" w:ascii="宋体" w:hAnsi="宋体" w:cs="Arial"/>
          <w:b/>
          <w:kern w:val="0"/>
          <w:sz w:val="22"/>
          <w:u w:val="single"/>
        </w:rPr>
        <w:t>8</w:t>
      </w:r>
      <w:r>
        <w:rPr>
          <w:rFonts w:ascii="宋体" w:hAnsi="宋体" w:cs="Arial"/>
          <w:b/>
          <w:kern w:val="0"/>
          <w:sz w:val="22"/>
          <w:u w:val="single"/>
        </w:rPr>
        <w:t>年</w:t>
      </w:r>
      <w:r>
        <w:rPr>
          <w:rFonts w:hint="eastAsia" w:ascii="宋体" w:hAnsi="宋体" w:cs="Arial"/>
          <w:b/>
          <w:kern w:val="0"/>
          <w:sz w:val="22"/>
          <w:u w:val="single"/>
        </w:rPr>
        <w:t>及以上</w:t>
      </w:r>
      <w:r>
        <w:rPr>
          <w:rFonts w:ascii="宋体" w:hAnsi="宋体" w:cs="Arial"/>
          <w:kern w:val="0"/>
          <w:sz w:val="22"/>
          <w:u w:val="single"/>
        </w:rPr>
        <w:t>的质保期</w:t>
      </w:r>
      <w:r>
        <w:rPr>
          <w:rFonts w:hint="eastAsia" w:ascii="宋体" w:hAnsi="宋体" w:cs="Arial"/>
          <w:kern w:val="0"/>
          <w:sz w:val="22"/>
          <w:u w:val="single"/>
        </w:rPr>
        <w:t>，提供主要设备生产厂家原厂维保（需提供证明，投标时提供）</w:t>
      </w:r>
      <w:r>
        <w:rPr>
          <w:rFonts w:hint="eastAsia" w:ascii="宋体" w:hAnsi="宋体" w:cs="Arial"/>
          <w:kern w:val="0"/>
          <w:sz w:val="22"/>
        </w:rPr>
        <w:t>。</w:t>
      </w:r>
      <w:r>
        <w:rPr>
          <w:rFonts w:ascii="宋体" w:hAnsi="宋体" w:cs="Arial"/>
          <w:kern w:val="0"/>
          <w:sz w:val="22"/>
        </w:rPr>
        <w:t>由于设备在系统设计、设备制造等技术和质量问题而产生故障影响正常运转，以及用户无法处理的主要问题，投标人(包含厂商)接到用户报修请求后，应即时做出响应，如通过电话指导方式无法解决的问题，应派遣售后服务人员</w:t>
      </w:r>
      <w:r>
        <w:rPr>
          <w:rFonts w:hint="eastAsia" w:ascii="宋体" w:hAnsi="宋体" w:cs="Arial"/>
          <w:kern w:val="0"/>
          <w:sz w:val="22"/>
        </w:rPr>
        <w:t>2</w:t>
      </w:r>
      <w:r>
        <w:rPr>
          <w:rFonts w:ascii="宋体" w:hAnsi="宋体" w:cs="Arial"/>
          <w:kern w:val="0"/>
          <w:sz w:val="22"/>
        </w:rPr>
        <w:t>小时内赶到现场，且故障排除时间不超过24个小时。</w:t>
      </w:r>
      <w:r>
        <w:rPr>
          <w:rFonts w:hint="eastAsia" w:ascii="宋体" w:hAnsi="宋体" w:cs="Arial"/>
          <w:kern w:val="0"/>
          <w:sz w:val="22"/>
        </w:rPr>
        <w:t>质保期结束的【3】天前，投标方负责对设备进行一次全面的检修和精细化维护，并由招标人验收认可。</w:t>
      </w:r>
    </w:p>
    <w:p>
      <w:pPr>
        <w:widowControl/>
        <w:spacing w:line="420" w:lineRule="exact"/>
        <w:ind w:firstLine="555"/>
        <w:jc w:val="left"/>
        <w:rPr>
          <w:rFonts w:ascii="宋体" w:hAnsi="宋体" w:cs="Arial"/>
          <w:kern w:val="0"/>
          <w:sz w:val="22"/>
        </w:rPr>
      </w:pPr>
      <w:r>
        <w:rPr>
          <w:rFonts w:hint="eastAsia" w:ascii="宋体" w:hAnsi="宋体" w:cs="Arial"/>
          <w:kern w:val="0"/>
          <w:sz w:val="22"/>
        </w:rPr>
        <w:t>5.5质保期内每季度进行一次现场巡检，内容包括设备性能调整、部件实用情况检查等。每年对产品进行两次全屏组设备精细化维护，内容包括设备除尘、更换损坏风扇（若有）等内容。投标人在进行维护保养的同时，可根据用户的使用情况，对系统优化，包括但不限于程序、参数、光源亮度等。质保期内由于非招标人原因发生的故障或损坏，投标方免费提供维修和备件（包括易耗品，如果有）直至设备性能、状态等达到正常标准，可以正常安全使用为止。</w:t>
      </w:r>
    </w:p>
    <w:p>
      <w:pPr>
        <w:widowControl/>
        <w:spacing w:line="420" w:lineRule="exact"/>
        <w:ind w:firstLine="440" w:firstLineChars="200"/>
        <w:jc w:val="left"/>
        <w:rPr>
          <w:rFonts w:ascii="宋体" w:hAnsi="宋体" w:cs="Arial"/>
          <w:kern w:val="0"/>
          <w:sz w:val="22"/>
        </w:rPr>
      </w:pPr>
      <w:r>
        <w:rPr>
          <w:rFonts w:hint="eastAsia" w:ascii="宋体" w:hAnsi="宋体" w:cs="Arial"/>
          <w:kern w:val="0"/>
          <w:sz w:val="22"/>
          <w:u w:val="single"/>
        </w:rPr>
        <w:t>5.6</w:t>
      </w:r>
      <w:r>
        <w:rPr>
          <w:rFonts w:ascii="宋体" w:hAnsi="宋体" w:cs="Arial"/>
          <w:kern w:val="0"/>
          <w:sz w:val="22"/>
          <w:u w:val="single"/>
        </w:rPr>
        <w:t>在交工最终验收</w:t>
      </w:r>
      <w:r>
        <w:rPr>
          <w:rFonts w:hint="eastAsia" w:ascii="宋体" w:hAnsi="宋体" w:cs="Arial"/>
          <w:kern w:val="0"/>
          <w:sz w:val="22"/>
          <w:u w:val="single"/>
        </w:rPr>
        <w:t>（甲方签署《终验报告》之日起）</w:t>
      </w:r>
      <w:r>
        <w:rPr>
          <w:rFonts w:ascii="宋体" w:hAnsi="宋体" w:cs="Arial"/>
          <w:kern w:val="0"/>
          <w:sz w:val="22"/>
          <w:u w:val="single"/>
        </w:rPr>
        <w:t>后</w:t>
      </w:r>
      <w:r>
        <w:rPr>
          <w:rFonts w:hint="eastAsia" w:ascii="宋体" w:hAnsi="宋体" w:cs="Arial"/>
          <w:kern w:val="0"/>
          <w:sz w:val="22"/>
          <w:u w:val="single"/>
        </w:rPr>
        <w:t>8</w:t>
      </w:r>
      <w:r>
        <w:rPr>
          <w:rFonts w:ascii="宋体" w:hAnsi="宋体" w:cs="Arial"/>
          <w:kern w:val="0"/>
          <w:sz w:val="22"/>
          <w:u w:val="single"/>
        </w:rPr>
        <w:t>年</w:t>
      </w:r>
      <w:r>
        <w:rPr>
          <w:rFonts w:hint="eastAsia" w:ascii="宋体" w:hAnsi="宋体" w:cs="Arial"/>
          <w:kern w:val="0"/>
          <w:sz w:val="22"/>
          <w:u w:val="single"/>
        </w:rPr>
        <w:t>及以上</w:t>
      </w:r>
      <w:r>
        <w:rPr>
          <w:rFonts w:ascii="宋体" w:hAnsi="宋体" w:cs="Arial"/>
          <w:kern w:val="0"/>
          <w:sz w:val="22"/>
          <w:u w:val="single"/>
        </w:rPr>
        <w:t>为</w:t>
      </w:r>
      <w:r>
        <w:rPr>
          <w:rFonts w:hint="eastAsia" w:ascii="宋体" w:hAnsi="宋体" w:cs="Arial"/>
          <w:kern w:val="0"/>
          <w:sz w:val="22"/>
          <w:u w:val="single"/>
        </w:rPr>
        <w:t>质保期</w:t>
      </w:r>
      <w:r>
        <w:rPr>
          <w:rFonts w:ascii="宋体" w:hAnsi="宋体" w:cs="Arial"/>
          <w:kern w:val="0"/>
          <w:sz w:val="22"/>
          <w:u w:val="single"/>
        </w:rPr>
        <w:t>。</w:t>
      </w:r>
      <w:r>
        <w:rPr>
          <w:rFonts w:ascii="宋体" w:hAnsi="宋体" w:cs="Arial"/>
          <w:kern w:val="0"/>
          <w:sz w:val="22"/>
        </w:rPr>
        <w:t>消耗品的质保期按使用时间计算，大屏在系统安装和调试期间，投标人(包含厂商)有义务地对业主方技术人员进行现场指导培训。质保期内，投标人(包含厂商)将免费提供定期的设备巡检、维护、清洁服务，并编入用户回访记录，记录用户使用和运行的情况，建立完善的用户档案，通过计算机网络管理，可及时准确了解用户系统运行情况。</w:t>
      </w:r>
    </w:p>
    <w:p>
      <w:pPr>
        <w:spacing w:line="420" w:lineRule="exact"/>
        <w:ind w:firstLine="440" w:firstLineChars="200"/>
        <w:rPr>
          <w:sz w:val="22"/>
        </w:rPr>
      </w:pPr>
      <w:r>
        <w:rPr>
          <w:rFonts w:hint="eastAsia"/>
          <w:sz w:val="22"/>
        </w:rPr>
        <w:t>5.7 在投标文件中详细列出质保后招标人如有需要续保，每年质保费用，以及后续维保中涉及到的耗材费用。</w:t>
      </w:r>
    </w:p>
    <w:p>
      <w:pPr>
        <w:spacing w:line="420" w:lineRule="exact"/>
        <w:ind w:firstLine="440" w:firstLineChars="200"/>
        <w:rPr>
          <w:sz w:val="22"/>
        </w:rPr>
      </w:pPr>
      <w:r>
        <w:rPr>
          <w:rFonts w:hint="eastAsia"/>
          <w:sz w:val="22"/>
        </w:rPr>
        <w:t>5.8</w:t>
      </w:r>
      <w:r>
        <w:rPr>
          <w:sz w:val="22"/>
        </w:rPr>
        <w:t>系统全部设备的各种部件均保证齐备充足供应。</w:t>
      </w:r>
    </w:p>
    <w:p>
      <w:pPr>
        <w:spacing w:line="420" w:lineRule="exact"/>
        <w:ind w:firstLine="440" w:firstLineChars="200"/>
        <w:rPr>
          <w:sz w:val="22"/>
        </w:rPr>
      </w:pPr>
      <w:r>
        <w:rPr>
          <w:rFonts w:hint="eastAsia"/>
          <w:sz w:val="22"/>
        </w:rPr>
        <w:t>5.9</w:t>
      </w:r>
      <w:r>
        <w:rPr>
          <w:sz w:val="22"/>
        </w:rPr>
        <w:t>终身向用户免费提供系统控制软件的升级版本。</w:t>
      </w:r>
    </w:p>
    <w:p>
      <w:pPr>
        <w:spacing w:line="420" w:lineRule="exact"/>
        <w:ind w:firstLine="440" w:firstLineChars="200"/>
        <w:rPr>
          <w:sz w:val="22"/>
        </w:rPr>
      </w:pPr>
      <w:r>
        <w:rPr>
          <w:rFonts w:hint="eastAsia"/>
          <w:sz w:val="22"/>
        </w:rPr>
        <w:t>5.10</w:t>
      </w:r>
      <w:r>
        <w:rPr>
          <w:sz w:val="22"/>
        </w:rPr>
        <w:t>对用户在系统硬件设备上提出的扩容和升级更新要求，投标人(包含厂商)派技术人员到现场指导，同时保证在技术、商务、人力等各方面全力提供充分的配合和支持，力求满足业主方的需求。</w:t>
      </w:r>
    </w:p>
    <w:p>
      <w:pPr>
        <w:spacing w:line="420" w:lineRule="exact"/>
        <w:ind w:firstLine="440" w:firstLineChars="200"/>
        <w:rPr>
          <w:rFonts w:hAnsi="宋体"/>
          <w:sz w:val="22"/>
        </w:rPr>
      </w:pPr>
      <w:r>
        <w:rPr>
          <w:rFonts w:hint="eastAsia"/>
          <w:sz w:val="22"/>
        </w:rPr>
        <w:t>5.11</w:t>
      </w:r>
      <w:r>
        <w:rPr>
          <w:sz w:val="22"/>
        </w:rPr>
        <w:t>需提供现场培训。</w:t>
      </w:r>
      <w:r>
        <w:rPr>
          <w:rFonts w:hAnsi="宋体"/>
          <w:sz w:val="22"/>
        </w:rPr>
        <w:t>包括用户操作培训和技术维护培训。</w:t>
      </w:r>
    </w:p>
    <w:p>
      <w:pPr>
        <w:widowControl/>
        <w:jc w:val="left"/>
        <w:rPr>
          <w:rFonts w:ascii="Cambria" w:hAnsi="Cambria" w:eastAsia="黑体" w:cs="Times New Roman"/>
          <w:b/>
          <w:bCs/>
          <w:kern w:val="0"/>
          <w:sz w:val="32"/>
          <w:szCs w:val="32"/>
        </w:rPr>
      </w:pPr>
      <w:r>
        <w:rPr>
          <w:rFonts w:hAnsi="宋体"/>
          <w:sz w:val="22"/>
        </w:rPr>
        <w:br w:type="page"/>
      </w:r>
    </w:p>
    <w:p>
      <w:pPr>
        <w:pStyle w:val="48"/>
      </w:pPr>
      <w:bookmarkStart w:id="158" w:name="_Toc321925454"/>
      <w:r>
        <w:rPr>
          <w:rFonts w:hint="eastAsia"/>
        </w:rPr>
        <w:t xml:space="preserve">第四章  </w:t>
      </w:r>
      <w:r>
        <w:t>合同条款</w:t>
      </w:r>
      <w:bookmarkEnd w:id="158"/>
    </w:p>
    <w:p>
      <w:pPr>
        <w:adjustRightInd w:val="0"/>
        <w:snapToGrid w:val="0"/>
        <w:spacing w:line="360" w:lineRule="exact"/>
        <w:ind w:firstLine="452"/>
        <w:jc w:val="left"/>
        <w:rPr>
          <w:rFonts w:ascii="宋体" w:hAnsi="宋体"/>
          <w:b/>
          <w:sz w:val="22"/>
        </w:rPr>
      </w:pPr>
    </w:p>
    <w:p>
      <w:pPr>
        <w:spacing w:line="276" w:lineRule="auto"/>
        <w:ind w:firstLine="442" w:firstLineChars="200"/>
        <w:jc w:val="center"/>
        <w:rPr>
          <w:rFonts w:ascii="宋体" w:hAnsi="宋体" w:eastAsia="宋体"/>
          <w:b/>
          <w:sz w:val="22"/>
          <w:szCs w:val="22"/>
        </w:rPr>
      </w:pPr>
      <w:r>
        <w:rPr>
          <w:rFonts w:hint="eastAsia" w:ascii="宋体" w:hAnsi="宋体" w:eastAsia="宋体"/>
          <w:b/>
          <w:sz w:val="22"/>
          <w:szCs w:val="22"/>
        </w:rPr>
        <w:t xml:space="preserve"> 杭州萧山国际机场【】采购合同</w:t>
      </w:r>
    </w:p>
    <w:p>
      <w:pPr>
        <w:spacing w:line="276" w:lineRule="auto"/>
        <w:ind w:firstLine="442" w:firstLineChars="200"/>
        <w:jc w:val="center"/>
        <w:rPr>
          <w:rFonts w:ascii="宋体" w:hAnsi="宋体" w:eastAsia="宋体"/>
          <w:b/>
          <w:sz w:val="22"/>
          <w:szCs w:val="22"/>
        </w:rPr>
      </w:pPr>
    </w:p>
    <w:p>
      <w:pPr>
        <w:spacing w:line="276" w:lineRule="auto"/>
        <w:ind w:firstLine="442" w:firstLineChars="200"/>
        <w:jc w:val="center"/>
        <w:rPr>
          <w:rFonts w:ascii="宋体" w:hAnsi="宋体" w:eastAsia="宋体"/>
          <w:b/>
          <w:sz w:val="22"/>
          <w:szCs w:val="22"/>
        </w:rPr>
      </w:pPr>
    </w:p>
    <w:p>
      <w:pPr>
        <w:adjustRightInd w:val="0"/>
        <w:snapToGrid w:val="0"/>
        <w:spacing w:line="276" w:lineRule="auto"/>
        <w:ind w:firstLine="452"/>
        <w:rPr>
          <w:rFonts w:ascii="宋体" w:hAnsi="宋体" w:eastAsia="宋体"/>
          <w:b/>
          <w:sz w:val="22"/>
          <w:szCs w:val="22"/>
        </w:rPr>
      </w:pPr>
      <w:r>
        <w:rPr>
          <w:rFonts w:hint="eastAsia" w:ascii="宋体" w:hAnsi="宋体" w:eastAsia="宋体"/>
          <w:b/>
          <w:sz w:val="22"/>
          <w:szCs w:val="22"/>
        </w:rPr>
        <w:t>甲方：杭州萧山国际机场有限公司</w:t>
      </w:r>
    </w:p>
    <w:p>
      <w:pPr>
        <w:adjustRightInd w:val="0"/>
        <w:snapToGrid w:val="0"/>
        <w:spacing w:line="276" w:lineRule="auto"/>
        <w:ind w:firstLine="452"/>
        <w:rPr>
          <w:rFonts w:ascii="宋体" w:hAnsi="宋体" w:eastAsia="宋体"/>
          <w:b/>
          <w:sz w:val="22"/>
          <w:szCs w:val="22"/>
        </w:rPr>
      </w:pPr>
      <w:r>
        <w:rPr>
          <w:rFonts w:hint="eastAsia" w:ascii="宋体" w:hAnsi="宋体" w:eastAsia="宋体"/>
          <w:b/>
          <w:sz w:val="22"/>
          <w:szCs w:val="22"/>
        </w:rPr>
        <w:t>住所地：杭州萧山国际机场内</w:t>
      </w:r>
    </w:p>
    <w:p>
      <w:pPr>
        <w:adjustRightInd w:val="0"/>
        <w:snapToGrid w:val="0"/>
        <w:spacing w:line="276" w:lineRule="auto"/>
        <w:rPr>
          <w:rFonts w:ascii="宋体" w:hAnsi="宋体" w:eastAsia="宋体"/>
          <w:b/>
          <w:sz w:val="22"/>
          <w:szCs w:val="22"/>
        </w:rPr>
      </w:pPr>
    </w:p>
    <w:p>
      <w:pPr>
        <w:adjustRightInd w:val="0"/>
        <w:snapToGrid w:val="0"/>
        <w:spacing w:line="276" w:lineRule="auto"/>
        <w:ind w:firstLine="452"/>
        <w:rPr>
          <w:rFonts w:ascii="宋体" w:hAnsi="宋体" w:eastAsia="宋体"/>
          <w:b/>
          <w:sz w:val="22"/>
          <w:szCs w:val="22"/>
        </w:rPr>
      </w:pPr>
      <w:r>
        <w:rPr>
          <w:rFonts w:hint="eastAsia" w:ascii="宋体" w:hAnsi="宋体" w:eastAsia="宋体"/>
          <w:b/>
          <w:sz w:val="22"/>
          <w:szCs w:val="22"/>
        </w:rPr>
        <w:t>乙方:</w:t>
      </w:r>
    </w:p>
    <w:p>
      <w:pPr>
        <w:adjustRightInd w:val="0"/>
        <w:snapToGrid w:val="0"/>
        <w:spacing w:line="276" w:lineRule="auto"/>
        <w:ind w:firstLine="452"/>
        <w:rPr>
          <w:rFonts w:ascii="宋体" w:hAnsi="宋体" w:eastAsia="宋体"/>
          <w:sz w:val="22"/>
          <w:szCs w:val="22"/>
        </w:rPr>
      </w:pPr>
      <w:r>
        <w:rPr>
          <w:rFonts w:hint="eastAsia" w:ascii="宋体" w:hAnsi="宋体" w:eastAsia="宋体"/>
          <w:b/>
          <w:sz w:val="22"/>
          <w:szCs w:val="22"/>
        </w:rPr>
        <w:t>住所地:</w:t>
      </w:r>
    </w:p>
    <w:p>
      <w:pPr>
        <w:adjustRightInd w:val="0"/>
        <w:snapToGrid w:val="0"/>
        <w:spacing w:line="276" w:lineRule="auto"/>
        <w:ind w:firstLine="450"/>
        <w:rPr>
          <w:rFonts w:ascii="宋体" w:hAnsi="宋体" w:eastAsia="宋体"/>
          <w:sz w:val="22"/>
          <w:szCs w:val="22"/>
        </w:rPr>
      </w:pP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eastAsia="宋体"/>
          <w:b/>
          <w:bCs/>
          <w:sz w:val="22"/>
          <w:szCs w:val="22"/>
        </w:rPr>
      </w:pPr>
      <w:r>
        <w:rPr>
          <w:rFonts w:hint="eastAsia" w:ascii="宋体" w:hAnsi="宋体" w:eastAsia="宋体"/>
          <w:b/>
          <w:bCs/>
          <w:sz w:val="22"/>
          <w:szCs w:val="22"/>
        </w:rPr>
        <w:t>一、产品规格型号及参数</w:t>
      </w:r>
    </w:p>
    <w:tbl>
      <w:tblPr>
        <w:tblStyle w:val="5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76"/>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序 号</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设备名称</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规格型号</w:t>
            </w: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品 牌</w:t>
            </w: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产地</w:t>
            </w: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单位</w:t>
            </w: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数量</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单价 (元，不含税)</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合价（元，不含税）</w:t>
            </w: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增值税税率</w:t>
            </w: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单价（元，含税）</w:t>
            </w: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合价 (元，含税)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1</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2</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Times New Roman"/>
                <w:b/>
                <w:bCs/>
                <w:sz w:val="21"/>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3</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Times New Roman"/>
                <w:b/>
                <w:bCs/>
                <w:sz w:val="21"/>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4</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Times New Roman"/>
                <w:b/>
                <w:bCs/>
                <w:sz w:val="21"/>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Times New Roman"/>
                <w:b/>
                <w:bCs/>
                <w:sz w:val="21"/>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税金（元）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b/>
                <w:bCs/>
                <w:sz w:val="20"/>
              </w:rPr>
            </w:pPr>
            <w:r>
              <w:rPr>
                <w:rFonts w:hint="eastAsia" w:ascii="宋体" w:hAnsi="宋体" w:cs="宋体"/>
                <w:b/>
                <w:bCs/>
                <w:sz w:val="20"/>
              </w:rPr>
              <w:t>价税合计（元）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sz w:val="20"/>
              </w:rPr>
            </w:pPr>
            <w:r>
              <w:rPr>
                <w:rFonts w:hint="eastAsia" w:ascii="宋体" w:hAnsi="宋体" w:cs="宋体"/>
                <w:b/>
                <w:bCs/>
                <w:sz w:val="20"/>
              </w:rPr>
              <w:t>人民币大写     元，¥   .00</w:t>
            </w:r>
          </w:p>
        </w:tc>
      </w:tr>
    </w:tbl>
    <w:p>
      <w:pPr>
        <w:adjustRightInd w:val="0"/>
        <w:snapToGrid w:val="0"/>
        <w:spacing w:line="276" w:lineRule="auto"/>
        <w:ind w:firstLine="602"/>
        <w:rPr>
          <w:rFonts w:ascii="宋体" w:hAnsi="宋体" w:eastAsia="宋体"/>
          <w:b/>
          <w:sz w:val="22"/>
          <w:szCs w:val="22"/>
        </w:rPr>
      </w:pPr>
      <w:r>
        <w:rPr>
          <w:rFonts w:hint="eastAsia" w:ascii="宋体" w:hAnsi="宋体" w:eastAsia="宋体"/>
          <w:b/>
          <w:sz w:val="22"/>
          <w:szCs w:val="22"/>
        </w:rPr>
        <w:t>备注：1、</w:t>
      </w:r>
    </w:p>
    <w:p>
      <w:pPr>
        <w:adjustRightInd w:val="0"/>
        <w:snapToGrid w:val="0"/>
        <w:spacing w:line="276" w:lineRule="auto"/>
        <w:ind w:firstLine="602"/>
        <w:rPr>
          <w:rFonts w:ascii="宋体" w:hAnsi="宋体" w:eastAsia="宋体"/>
          <w:b/>
          <w:sz w:val="22"/>
          <w:szCs w:val="22"/>
        </w:rPr>
      </w:pPr>
      <w:r>
        <w:rPr>
          <w:rFonts w:hint="eastAsia" w:ascii="宋体" w:hAnsi="宋体" w:eastAsia="宋体"/>
          <w:b/>
          <w:sz w:val="22"/>
          <w:szCs w:val="22"/>
        </w:rPr>
        <w:t xml:space="preserve">      2、</w:t>
      </w:r>
    </w:p>
    <w:p>
      <w:pPr>
        <w:adjustRightInd w:val="0"/>
        <w:snapToGrid w:val="0"/>
        <w:spacing w:line="276" w:lineRule="auto"/>
        <w:ind w:firstLine="602"/>
        <w:rPr>
          <w:rFonts w:ascii="宋体" w:hAnsi="宋体" w:eastAsia="宋体"/>
          <w:b/>
          <w:sz w:val="22"/>
          <w:szCs w:val="22"/>
        </w:rPr>
      </w:pPr>
      <w:r>
        <w:rPr>
          <w:rFonts w:hint="eastAsia" w:ascii="宋体" w:hAnsi="宋体" w:eastAsia="宋体"/>
          <w:b/>
          <w:sz w:val="22"/>
          <w:szCs w:val="22"/>
        </w:rPr>
        <w:t>二、合同金额</w:t>
      </w:r>
    </w:p>
    <w:p>
      <w:pPr>
        <w:spacing w:line="276" w:lineRule="auto"/>
        <w:ind w:firstLine="422" w:firstLineChars="192"/>
        <w:rPr>
          <w:rFonts w:ascii="宋体" w:hAnsi="宋体" w:eastAsia="宋体"/>
          <w:sz w:val="22"/>
          <w:szCs w:val="22"/>
        </w:rPr>
      </w:pPr>
      <w:r>
        <w:rPr>
          <w:rFonts w:hint="eastAsia" w:ascii="宋体" w:hAnsi="宋体" w:eastAsia="宋体"/>
          <w:sz w:val="22"/>
          <w:szCs w:val="22"/>
          <w:u w:val="single"/>
        </w:rPr>
        <w:t>本合同金额为固定总价合同，合同金额为（大写）：人民币    ，（小写）</w:t>
      </w:r>
      <w:r>
        <w:rPr>
          <w:rFonts w:hint="eastAsia" w:ascii="宋体" w:hAnsi="宋体" w:eastAsia="宋体" w:cs="Arial"/>
          <w:sz w:val="22"/>
          <w:szCs w:val="22"/>
          <w:u w:val="single"/>
        </w:rPr>
        <w:t xml:space="preserve">¥       </w:t>
      </w:r>
      <w:r>
        <w:rPr>
          <w:rFonts w:hint="eastAsia" w:ascii="宋体" w:hAnsi="宋体" w:eastAsia="宋体"/>
          <w:sz w:val="22"/>
          <w:szCs w:val="22"/>
          <w:u w:val="single"/>
        </w:rPr>
        <w:t>。</w:t>
      </w:r>
      <w:r>
        <w:rPr>
          <w:rFonts w:hint="eastAsia" w:ascii="宋体" w:hAnsi="宋体" w:eastAsia="宋体"/>
          <w:sz w:val="22"/>
          <w:szCs w:val="22"/>
        </w:rPr>
        <w:t>本合同价为杭州萧山国际机场内交货价，含产品价格、运输费、包装费、保险费、质保、税费等所有费用。甲方不再承担其他任何费用。</w:t>
      </w:r>
    </w:p>
    <w:p>
      <w:pPr>
        <w:adjustRightInd w:val="0"/>
        <w:snapToGrid w:val="0"/>
        <w:spacing w:line="276" w:lineRule="auto"/>
        <w:ind w:firstLine="602"/>
        <w:rPr>
          <w:rFonts w:ascii="宋体" w:hAnsi="宋体" w:eastAsia="宋体"/>
          <w:b/>
          <w:sz w:val="22"/>
          <w:szCs w:val="22"/>
          <w:u w:val="single"/>
        </w:rPr>
      </w:pPr>
      <w:r>
        <w:rPr>
          <w:rFonts w:hint="eastAsia" w:ascii="宋体" w:hAnsi="宋体" w:eastAsia="宋体"/>
          <w:b/>
          <w:sz w:val="22"/>
          <w:szCs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ascii="宋体" w:hAnsi="宋体" w:eastAsia="宋体"/>
          <w:b/>
          <w:sz w:val="22"/>
          <w:szCs w:val="22"/>
        </w:rPr>
      </w:pPr>
      <w:r>
        <w:rPr>
          <w:rFonts w:hint="eastAsia" w:ascii="宋体" w:hAnsi="宋体" w:eastAsia="宋体"/>
          <w:b/>
          <w:sz w:val="22"/>
          <w:szCs w:val="22"/>
        </w:rPr>
        <w:t>三、技术资料</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1.乙方应在交付合同产品时同时向甲方提供使用产品的有关技术资料。</w:t>
      </w:r>
    </w:p>
    <w:p>
      <w:pPr>
        <w:adjustRightInd w:val="0"/>
        <w:snapToGrid w:val="0"/>
        <w:spacing w:line="276" w:lineRule="auto"/>
        <w:ind w:firstLine="442" w:firstLineChars="200"/>
        <w:rPr>
          <w:rFonts w:ascii="宋体" w:hAnsi="宋体" w:eastAsia="宋体"/>
          <w:sz w:val="22"/>
          <w:szCs w:val="22"/>
        </w:rPr>
      </w:pPr>
      <w:r>
        <w:rPr>
          <w:rFonts w:hint="eastAsia" w:ascii="宋体" w:hAnsi="宋体" w:eastAsia="宋体"/>
          <w:b/>
          <w:sz w:val="22"/>
          <w:szCs w:val="22"/>
        </w:rPr>
        <w:t>2.</w:t>
      </w:r>
      <w:r>
        <w:rPr>
          <w:rFonts w:hint="eastAsia" w:ascii="宋体" w:hAnsi="宋体" w:eastAsia="宋体"/>
          <w:sz w:val="22"/>
          <w:szCs w:val="22"/>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eastAsia="宋体"/>
          <w:b/>
          <w:sz w:val="22"/>
          <w:szCs w:val="22"/>
        </w:rPr>
      </w:pPr>
      <w:r>
        <w:rPr>
          <w:rFonts w:hint="eastAsia" w:ascii="宋体" w:hAnsi="宋体" w:eastAsia="宋体"/>
          <w:b/>
          <w:sz w:val="22"/>
          <w:szCs w:val="22"/>
        </w:rPr>
        <w:t>四、知识产权</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eastAsia="宋体"/>
          <w:b/>
          <w:sz w:val="22"/>
          <w:szCs w:val="22"/>
        </w:rPr>
      </w:pPr>
      <w:r>
        <w:rPr>
          <w:rFonts w:hint="eastAsia" w:ascii="宋体" w:hAnsi="宋体" w:eastAsia="宋体"/>
          <w:b/>
          <w:sz w:val="22"/>
          <w:szCs w:val="22"/>
        </w:rPr>
        <w:t>五、产权担保</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outlineLvl w:val="0"/>
        <w:rPr>
          <w:rFonts w:ascii="宋体" w:hAnsi="宋体" w:eastAsia="宋体"/>
          <w:b/>
          <w:sz w:val="22"/>
          <w:szCs w:val="22"/>
        </w:rPr>
      </w:pPr>
      <w:r>
        <w:rPr>
          <w:rFonts w:hint="eastAsia" w:ascii="宋体" w:hAnsi="宋体" w:eastAsia="宋体"/>
          <w:b/>
          <w:sz w:val="22"/>
          <w:szCs w:val="22"/>
        </w:rPr>
        <w:t>六、转包或分包</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2.如有未经甲方书面同意的转让和分包行为，甲方有权解除合同，并有权要求乙方承担合同总金额【5%】的违约金。</w:t>
      </w:r>
    </w:p>
    <w:p>
      <w:pPr>
        <w:adjustRightInd w:val="0"/>
        <w:snapToGrid w:val="0"/>
        <w:spacing w:line="276" w:lineRule="auto"/>
        <w:ind w:firstLine="602"/>
        <w:outlineLvl w:val="0"/>
        <w:rPr>
          <w:rFonts w:ascii="宋体" w:hAnsi="宋体" w:eastAsia="宋体"/>
          <w:b/>
          <w:sz w:val="22"/>
          <w:szCs w:val="22"/>
        </w:rPr>
      </w:pPr>
      <w:r>
        <w:rPr>
          <w:rFonts w:hint="eastAsia" w:ascii="宋体" w:hAnsi="宋体" w:eastAsia="宋体"/>
          <w:b/>
          <w:sz w:val="22"/>
          <w:szCs w:val="22"/>
        </w:rPr>
        <w:t>七、产品包装、发运及运输</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1. 乙方应在产品发运前对其按满足运输距离、防潮、防震、防锈和防破损装卸等要求进行包装，以保证产品安全运达甲方指定地点。</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3. 乙方在产品发运手续办理完毕后【24】小时内必须书面通知甲方，以便甲方准备接货。</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4. 产品在本合同规定的交货地点交付甲方前发生的一切风险包括产品运输风险均由乙方负责。</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602"/>
        <w:outlineLvl w:val="0"/>
        <w:rPr>
          <w:rFonts w:ascii="宋体" w:hAnsi="宋体" w:eastAsia="宋体"/>
          <w:b/>
          <w:sz w:val="22"/>
          <w:szCs w:val="22"/>
        </w:rPr>
      </w:pPr>
      <w:r>
        <w:rPr>
          <w:rFonts w:hint="eastAsia" w:ascii="宋体" w:hAnsi="宋体" w:eastAsia="宋体"/>
          <w:b/>
          <w:sz w:val="22"/>
          <w:szCs w:val="22"/>
        </w:rPr>
        <w:t>八、交货期、交货方式及交货地点</w:t>
      </w:r>
    </w:p>
    <w:p>
      <w:pPr>
        <w:adjustRightInd w:val="0"/>
        <w:snapToGrid w:val="0"/>
        <w:ind w:firstLine="440" w:firstLineChars="200"/>
        <w:jc w:val="left"/>
        <w:rPr>
          <w:rFonts w:ascii="宋体" w:hAnsi="宋体"/>
          <w:sz w:val="22"/>
        </w:rPr>
      </w:pPr>
      <w:r>
        <w:rPr>
          <w:rFonts w:hint="eastAsia" w:ascii="宋体" w:hAnsi="宋体"/>
          <w:sz w:val="22"/>
        </w:rPr>
        <w:t>1.交货期：</w:t>
      </w:r>
      <w:r>
        <w:rPr>
          <w:rFonts w:hint="eastAsia" w:ascii="宋体" w:hAnsi="宋体"/>
          <w:szCs w:val="21"/>
        </w:rPr>
        <w:t>合同生效之日起【</w:t>
      </w:r>
      <w:r>
        <w:rPr>
          <w:rFonts w:ascii="宋体" w:hAnsi="宋体"/>
          <w:szCs w:val="21"/>
        </w:rPr>
        <w:t>150</w:t>
      </w:r>
      <w:r>
        <w:rPr>
          <w:rFonts w:hint="eastAsia" w:ascii="宋体" w:hAnsi="宋体"/>
          <w:szCs w:val="21"/>
        </w:rPr>
        <w:t>】天（含安装调试）</w:t>
      </w:r>
    </w:p>
    <w:p>
      <w:pPr>
        <w:adjustRightInd w:val="0"/>
        <w:snapToGrid w:val="0"/>
        <w:ind w:firstLine="440" w:firstLineChars="200"/>
        <w:jc w:val="left"/>
        <w:rPr>
          <w:rFonts w:ascii="宋体" w:hAnsi="宋体"/>
          <w:sz w:val="22"/>
        </w:rPr>
      </w:pPr>
      <w:r>
        <w:rPr>
          <w:rFonts w:ascii="宋体" w:hAnsi="宋体"/>
          <w:sz w:val="22"/>
        </w:rPr>
        <w:t>2.</w:t>
      </w:r>
      <w:r>
        <w:rPr>
          <w:rFonts w:hint="eastAsia" w:ascii="宋体" w:hAnsi="宋体"/>
          <w:sz w:val="22"/>
        </w:rPr>
        <w:t>交货地点：杭州萧山国际机场内</w:t>
      </w:r>
    </w:p>
    <w:p>
      <w:pPr>
        <w:adjustRightInd w:val="0"/>
        <w:snapToGrid w:val="0"/>
        <w:ind w:firstLine="440" w:firstLineChars="200"/>
        <w:jc w:val="left"/>
        <w:rPr>
          <w:rFonts w:ascii="宋体" w:hAnsi="宋体"/>
          <w:sz w:val="22"/>
        </w:rPr>
      </w:pPr>
      <w:r>
        <w:rPr>
          <w:rFonts w:ascii="宋体" w:hAnsi="宋体"/>
          <w:sz w:val="22"/>
        </w:rPr>
        <w:t>3.</w:t>
      </w:r>
      <w:r>
        <w:rPr>
          <w:rFonts w:hint="eastAsia" w:ascii="宋体" w:hAnsi="宋体"/>
          <w:sz w:val="22"/>
        </w:rPr>
        <w:t>交货方式：乙方送货上门。</w:t>
      </w:r>
    </w:p>
    <w:p>
      <w:pPr>
        <w:adjustRightInd w:val="0"/>
        <w:snapToGrid w:val="0"/>
        <w:spacing w:line="276" w:lineRule="auto"/>
        <w:ind w:firstLine="602"/>
        <w:outlineLvl w:val="0"/>
        <w:rPr>
          <w:rFonts w:ascii="宋体" w:hAnsi="宋体" w:eastAsia="宋体"/>
          <w:b/>
          <w:sz w:val="22"/>
          <w:szCs w:val="22"/>
        </w:rPr>
      </w:pPr>
      <w:r>
        <w:rPr>
          <w:rFonts w:hint="eastAsia" w:ascii="宋体" w:hAnsi="宋体" w:eastAsia="宋体"/>
          <w:b/>
          <w:sz w:val="22"/>
          <w:szCs w:val="22"/>
        </w:rPr>
        <w:t>九、安装与验收</w:t>
      </w:r>
    </w:p>
    <w:p>
      <w:pPr>
        <w:pStyle w:val="143"/>
        <w:adjustRightInd w:val="0"/>
        <w:snapToGrid w:val="0"/>
        <w:spacing w:line="276" w:lineRule="auto"/>
        <w:ind w:firstLine="442" w:firstLineChars="200"/>
        <w:rPr>
          <w:rFonts w:ascii="宋体" w:hAnsi="宋体"/>
          <w:sz w:val="22"/>
        </w:rPr>
      </w:pPr>
      <w:r>
        <w:rPr>
          <w:rFonts w:hint="eastAsia" w:ascii="宋体" w:hAnsi="宋体"/>
          <w:b/>
          <w:sz w:val="22"/>
        </w:rPr>
        <w:t>1.</w:t>
      </w:r>
      <w:r>
        <w:rPr>
          <w:rFonts w:hint="eastAsia" w:ascii="宋体" w:hAnsi="宋体"/>
          <w:sz w:val="22"/>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rPr>
        <w:t>七</w:t>
      </w:r>
      <w:r>
        <w:rPr>
          <w:rFonts w:hint="eastAsia" w:ascii="宋体" w:hAnsi="宋体"/>
          <w:sz w:val="22"/>
        </w:rPr>
        <w:t>】日内以书面或电话形式向乙方提出异议。乙方在甲方初步验收完毕后，负责在【</w:t>
      </w:r>
      <w:r>
        <w:rPr>
          <w:rFonts w:hint="eastAsia"/>
        </w:rPr>
        <w:t>四十</w:t>
      </w:r>
      <w:r>
        <w:rPr>
          <w:rFonts w:hint="eastAsia" w:ascii="宋体" w:hAnsi="宋体"/>
          <w:sz w:val="22"/>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七】日内以书面方式向乙方提出相关异议。</w:t>
      </w:r>
    </w:p>
    <w:p>
      <w:pPr>
        <w:pStyle w:val="143"/>
        <w:adjustRightInd w:val="0"/>
        <w:snapToGrid w:val="0"/>
        <w:spacing w:line="276" w:lineRule="auto"/>
        <w:ind w:firstLine="442" w:firstLineChars="200"/>
        <w:rPr>
          <w:rFonts w:ascii="宋体" w:hAnsi="宋体"/>
          <w:sz w:val="22"/>
        </w:rPr>
      </w:pPr>
      <w:r>
        <w:rPr>
          <w:rFonts w:hint="eastAsia" w:ascii="宋体" w:hAnsi="宋体"/>
          <w:b/>
          <w:sz w:val="22"/>
        </w:rPr>
        <w:t>2.</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pStyle w:val="143"/>
        <w:adjustRightInd w:val="0"/>
        <w:snapToGrid w:val="0"/>
        <w:spacing w:line="276" w:lineRule="auto"/>
        <w:ind w:firstLine="442" w:firstLineChars="200"/>
        <w:rPr>
          <w:rFonts w:ascii="宋体" w:hAnsi="宋体"/>
          <w:sz w:val="22"/>
        </w:rPr>
      </w:pPr>
      <w:r>
        <w:rPr>
          <w:rFonts w:hint="eastAsia" w:ascii="宋体" w:hAnsi="宋体"/>
          <w:b/>
          <w:sz w:val="22"/>
        </w:rPr>
        <w:t>3.</w:t>
      </w:r>
      <w:r>
        <w:rPr>
          <w:rFonts w:hint="eastAsia" w:ascii="宋体" w:hAnsi="宋体"/>
          <w:sz w:val="22"/>
        </w:rPr>
        <w:t>乙方应当在收到甲方前述第1款异议之日起【</w:t>
      </w:r>
      <w:r>
        <w:rPr>
          <w:rFonts w:hint="eastAsia"/>
        </w:rPr>
        <w:t>三</w:t>
      </w:r>
      <w:r>
        <w:rPr>
          <w:rFonts w:hint="eastAsia" w:ascii="宋体" w:hAnsi="宋体"/>
          <w:sz w:val="22"/>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43"/>
        <w:adjustRightInd w:val="0"/>
        <w:snapToGrid w:val="0"/>
        <w:spacing w:line="276" w:lineRule="auto"/>
        <w:ind w:firstLine="440" w:firstLineChars="200"/>
        <w:rPr>
          <w:rFonts w:ascii="宋体" w:hAnsi="宋体"/>
          <w:sz w:val="22"/>
        </w:rPr>
      </w:pPr>
      <w:bookmarkStart w:id="159" w:name="_Toc478453297"/>
      <w:r>
        <w:rPr>
          <w:rFonts w:ascii="宋体" w:hAnsi="宋体"/>
          <w:sz w:val="22"/>
        </w:rPr>
        <w:t>4</w:t>
      </w:r>
      <w:r>
        <w:rPr>
          <w:rFonts w:hint="eastAsia" w:ascii="宋体" w:hAnsi="宋体"/>
          <w:sz w:val="22"/>
        </w:rPr>
        <w:t>.具体的安装要求：要求在出发层七号门对面建设一块结构先进和技术领先的LCD大屏，新屏主要负责航班信息的实时动态显示及信息的发布，且必须满足24小时不间断运行。新屏要求显示风格及外观结构与T3航站楼LCD大屏（以下简称T3大屏）统一。旧屏拆卸后，乙方清理现场，并按照甲方要求，将拆卸下来的旧屏放置在甲方指定地点（机场内）。</w:t>
      </w:r>
    </w:p>
    <w:p>
      <w:pPr>
        <w:snapToGrid w:val="0"/>
        <w:spacing w:line="276" w:lineRule="auto"/>
        <w:ind w:firstLine="440" w:firstLineChars="200"/>
        <w:jc w:val="left"/>
        <w:rPr>
          <w:rFonts w:ascii="宋体" w:hAnsi="宋体" w:cs="仿宋_GB2312"/>
          <w:kern w:val="0"/>
          <w:sz w:val="22"/>
        </w:rPr>
      </w:pPr>
      <w:r>
        <w:rPr>
          <w:rFonts w:ascii="宋体" w:hAnsi="宋体" w:cs="仿宋_GB2312"/>
          <w:kern w:val="0"/>
          <w:sz w:val="22"/>
        </w:rPr>
        <w:t>5</w:t>
      </w:r>
      <w:r>
        <w:rPr>
          <w:rFonts w:hint="eastAsia" w:ascii="宋体" w:hAnsi="宋体" w:cs="仿宋_GB2312"/>
          <w:kern w:val="0"/>
          <w:sz w:val="22"/>
        </w:rPr>
        <w:t>.初验标准：乙方已完成所有软硬件设备安装和调试工作，所提供的软硬件设备满足本合同及招标文件的所有要求，提交合同货物文件、现场安装报告并根据软硬件设备可能出现的问题拟订应急处理计划（方案），并在软硬件设备启用前进行营运测试和评估，测试合格后提交甲方进行初验,满足甲方功能要求的，甲方签署《初验报告》视为初验通过，乙方提交系统上线试运行。</w:t>
      </w:r>
    </w:p>
    <w:p>
      <w:pPr>
        <w:snapToGrid w:val="0"/>
        <w:spacing w:line="276" w:lineRule="auto"/>
        <w:ind w:firstLine="440" w:firstLineChars="200"/>
        <w:jc w:val="left"/>
        <w:rPr>
          <w:rFonts w:ascii="宋体" w:hAnsi="宋体" w:cs="仿宋_GB2312"/>
          <w:kern w:val="0"/>
          <w:sz w:val="22"/>
        </w:rPr>
      </w:pPr>
      <w:r>
        <w:rPr>
          <w:rFonts w:ascii="宋体" w:hAnsi="宋体" w:cs="仿宋_GB2312"/>
          <w:kern w:val="0"/>
          <w:sz w:val="22"/>
        </w:rPr>
        <w:t>6</w:t>
      </w:r>
      <w:r>
        <w:rPr>
          <w:rFonts w:hint="eastAsia" w:ascii="宋体" w:hAnsi="宋体" w:cs="仿宋_GB2312"/>
          <w:kern w:val="0"/>
          <w:sz w:val="22"/>
        </w:rPr>
        <w:t>.试运行：初验合格后，进入为期【30】日的试运行。若试运行期间设备（软硬件）运行不稳定或存在功能缺陷，且试运行期间问题没有解决，则试运行结束日期顺延，直到解决所有问题。</w:t>
      </w:r>
    </w:p>
    <w:p>
      <w:pPr>
        <w:snapToGrid w:val="0"/>
        <w:spacing w:line="276" w:lineRule="auto"/>
        <w:ind w:firstLine="440" w:firstLineChars="200"/>
        <w:jc w:val="left"/>
        <w:rPr>
          <w:rFonts w:ascii="宋体" w:hAnsi="宋体" w:cs="仿宋_GB2312"/>
          <w:kern w:val="0"/>
          <w:sz w:val="22"/>
        </w:rPr>
      </w:pPr>
      <w:r>
        <w:rPr>
          <w:rFonts w:ascii="宋体" w:hAnsi="宋体" w:cs="仿宋_GB2312"/>
          <w:kern w:val="0"/>
          <w:sz w:val="22"/>
        </w:rPr>
        <w:t>7</w:t>
      </w:r>
      <w:r>
        <w:rPr>
          <w:rFonts w:hint="eastAsia" w:ascii="宋体" w:hAnsi="宋体" w:cs="仿宋_GB2312"/>
          <w:kern w:val="0"/>
          <w:sz w:val="22"/>
        </w:rPr>
        <w:t>.终验：试运行期结束，乙方提交《试运行记录报告》和设备维护文档，设备性能、功能满足合同及招标文件的要求，且试运行期间的问题得到解决，提供合同规定的全部货物和资料后，乙方提交甲方进行项目终验，甲方签署《终验报告》视为终验合格。</w:t>
      </w:r>
    </w:p>
    <w:p>
      <w:pPr>
        <w:adjustRightInd w:val="0"/>
        <w:snapToGrid w:val="0"/>
        <w:ind w:firstLine="602"/>
        <w:jc w:val="left"/>
        <w:rPr>
          <w:rFonts w:ascii="宋体" w:hAnsi="宋体"/>
          <w:b/>
          <w:sz w:val="22"/>
        </w:rPr>
      </w:pPr>
      <w:r>
        <w:rPr>
          <w:rFonts w:hint="eastAsia" w:ascii="宋体" w:hAnsi="宋体"/>
          <w:b/>
          <w:sz w:val="22"/>
        </w:rPr>
        <w:t>十、货款支付</w:t>
      </w:r>
      <w:bookmarkEnd w:id="159"/>
    </w:p>
    <w:p>
      <w:pPr>
        <w:adjustRightInd w:val="0"/>
        <w:snapToGrid w:val="0"/>
        <w:ind w:firstLine="480" w:firstLineChars="200"/>
        <w:jc w:val="left"/>
        <w:rPr>
          <w:rFonts w:ascii="宋体" w:hAnsi="宋体" w:eastAsia="宋体" w:cs="Times New Roman"/>
          <w:color w:val="FF0000"/>
          <w:sz w:val="22"/>
          <w:szCs w:val="22"/>
        </w:rPr>
      </w:pPr>
      <w:r>
        <w:rPr>
          <w:rFonts w:hint="eastAsia" w:ascii="宋体" w:hAnsi="宋体"/>
          <w:color w:val="FF0000"/>
          <w:szCs w:val="21"/>
        </w:rPr>
        <w:t>1</w:t>
      </w:r>
      <w:r>
        <w:rPr>
          <w:rFonts w:hint="eastAsia" w:ascii="宋体" w:hAnsi="宋体" w:eastAsia="宋体" w:cs="Times New Roman"/>
          <w:color w:val="FF0000"/>
          <w:sz w:val="22"/>
          <w:szCs w:val="22"/>
        </w:rPr>
        <w:t>.预付款：合同签订后，乙方提交《项目进度计划》并经甲方书面确认后30日内，甲方凭乙方出具的增值税专用发票(发票含税金额为合同总金额的20%)，支付乙方合同总价的20%作为预付款。</w:t>
      </w:r>
    </w:p>
    <w:p>
      <w:pPr>
        <w:adjustRightInd w:val="0"/>
        <w:snapToGrid w:val="0"/>
        <w:ind w:firstLine="440" w:firstLineChars="200"/>
        <w:jc w:val="left"/>
        <w:rPr>
          <w:rFonts w:ascii="宋体" w:hAnsi="宋体" w:eastAsia="宋体" w:cs="Times New Roman"/>
          <w:color w:val="FF0000"/>
          <w:sz w:val="22"/>
          <w:szCs w:val="22"/>
        </w:rPr>
      </w:pPr>
      <w:r>
        <w:rPr>
          <w:rFonts w:hint="eastAsia" w:ascii="宋体" w:hAnsi="宋体" w:eastAsia="宋体" w:cs="Times New Roman"/>
          <w:color w:val="FF0000"/>
          <w:sz w:val="22"/>
          <w:szCs w:val="22"/>
        </w:rPr>
        <w:t>2.终验款：航显系统LCD大屏经甲方终验合格且甲方签署《项目终验报告》后30日内，甲方凭乙方出具的增值税专用发票(发票含税金额为合同总金额的</w:t>
      </w:r>
      <w:r>
        <w:rPr>
          <w:rFonts w:ascii="宋体" w:hAnsi="宋体" w:eastAsia="宋体" w:cs="Times New Roman"/>
          <w:color w:val="FF0000"/>
          <w:sz w:val="22"/>
          <w:szCs w:val="22"/>
        </w:rPr>
        <w:t>80</w:t>
      </w:r>
      <w:r>
        <w:rPr>
          <w:rFonts w:hint="eastAsia" w:ascii="宋体" w:hAnsi="宋体" w:eastAsia="宋体" w:cs="Times New Roman"/>
          <w:color w:val="FF0000"/>
          <w:sz w:val="22"/>
          <w:szCs w:val="22"/>
        </w:rPr>
        <w:t>%)支付乙方合同总金额的</w:t>
      </w:r>
      <w:r>
        <w:rPr>
          <w:rFonts w:ascii="宋体" w:hAnsi="宋体" w:eastAsia="宋体" w:cs="Times New Roman"/>
          <w:color w:val="FF0000"/>
          <w:sz w:val="22"/>
          <w:szCs w:val="22"/>
        </w:rPr>
        <w:t>60</w:t>
      </w:r>
      <w:r>
        <w:rPr>
          <w:rFonts w:hint="eastAsia" w:ascii="宋体" w:hAnsi="宋体" w:eastAsia="宋体" w:cs="Times New Roman"/>
          <w:color w:val="FF0000"/>
          <w:sz w:val="22"/>
          <w:szCs w:val="22"/>
        </w:rPr>
        <w:t xml:space="preserve"> %（累计甲方支付乙方合同总金额的</w:t>
      </w:r>
      <w:r>
        <w:rPr>
          <w:rFonts w:ascii="宋体" w:hAnsi="宋体" w:eastAsia="宋体" w:cs="Times New Roman"/>
          <w:color w:val="FF0000"/>
          <w:sz w:val="22"/>
          <w:szCs w:val="22"/>
        </w:rPr>
        <w:t>80</w:t>
      </w:r>
      <w:r>
        <w:rPr>
          <w:rFonts w:hint="eastAsia" w:ascii="宋体" w:hAnsi="宋体" w:eastAsia="宋体" w:cs="Times New Roman"/>
          <w:color w:val="FF0000"/>
          <w:sz w:val="22"/>
          <w:szCs w:val="22"/>
        </w:rPr>
        <w:t>%，累计乙方开具100%全额发票）；</w:t>
      </w:r>
      <w:r>
        <w:rPr>
          <w:rFonts w:ascii="宋体" w:hAnsi="宋体" w:eastAsia="宋体" w:cs="Times New Roman"/>
          <w:color w:val="FF0000"/>
          <w:sz w:val="22"/>
          <w:szCs w:val="22"/>
        </w:rPr>
        <w:t xml:space="preserve"> </w:t>
      </w:r>
    </w:p>
    <w:p>
      <w:pPr>
        <w:adjustRightInd w:val="0"/>
        <w:snapToGrid w:val="0"/>
        <w:ind w:firstLine="440" w:firstLineChars="200"/>
        <w:jc w:val="left"/>
        <w:rPr>
          <w:rFonts w:ascii="宋体" w:hAnsi="宋体" w:eastAsia="宋体" w:cs="Times New Roman"/>
          <w:color w:val="FF0000"/>
          <w:sz w:val="22"/>
          <w:szCs w:val="22"/>
        </w:rPr>
      </w:pPr>
      <w:r>
        <w:rPr>
          <w:rFonts w:hint="eastAsia" w:ascii="宋体" w:hAnsi="宋体" w:eastAsia="宋体" w:cs="Times New Roman"/>
          <w:color w:val="FF0000"/>
          <w:sz w:val="22"/>
          <w:szCs w:val="22"/>
        </w:rPr>
        <w:t>3.合同总价的20%作为质保金，结合质保服务考核表考核结果（详见附件1.质保服务考核表），自终验合格之日起，每满一年后的3</w:t>
      </w:r>
      <w:r>
        <w:rPr>
          <w:rFonts w:ascii="宋体" w:hAnsi="宋体" w:eastAsia="宋体" w:cs="Times New Roman"/>
          <w:color w:val="FF0000"/>
          <w:sz w:val="22"/>
          <w:szCs w:val="22"/>
        </w:rPr>
        <w:t>0</w:t>
      </w:r>
      <w:r>
        <w:rPr>
          <w:rFonts w:hint="eastAsia" w:ascii="宋体" w:hAnsi="宋体" w:eastAsia="宋体" w:cs="Times New Roman"/>
          <w:color w:val="FF0000"/>
          <w:sz w:val="22"/>
          <w:szCs w:val="22"/>
        </w:rPr>
        <w:t>日内支付合同总价的2%，在第8年满后3</w:t>
      </w:r>
      <w:r>
        <w:rPr>
          <w:rFonts w:ascii="宋体" w:hAnsi="宋体" w:eastAsia="宋体" w:cs="Times New Roman"/>
          <w:color w:val="FF0000"/>
          <w:sz w:val="22"/>
          <w:szCs w:val="22"/>
        </w:rPr>
        <w:t>0</w:t>
      </w:r>
      <w:r>
        <w:rPr>
          <w:rFonts w:hint="eastAsia" w:ascii="宋体" w:hAnsi="宋体" w:eastAsia="宋体" w:cs="Times New Roman"/>
          <w:color w:val="FF0000"/>
          <w:sz w:val="22"/>
          <w:szCs w:val="22"/>
        </w:rPr>
        <w:t>日内支付合同总价的6%，累计支付合同总价的1</w:t>
      </w:r>
      <w:r>
        <w:rPr>
          <w:rFonts w:ascii="宋体" w:hAnsi="宋体" w:eastAsia="宋体" w:cs="Times New Roman"/>
          <w:color w:val="FF0000"/>
          <w:sz w:val="22"/>
          <w:szCs w:val="22"/>
        </w:rPr>
        <w:t>00</w:t>
      </w:r>
      <w:r>
        <w:rPr>
          <w:rFonts w:hint="eastAsia" w:ascii="宋体" w:hAnsi="宋体" w:eastAsia="宋体" w:cs="Times New Roman"/>
          <w:color w:val="FF0000"/>
          <w:sz w:val="22"/>
          <w:szCs w:val="22"/>
        </w:rPr>
        <w:t>%。在每次付款前，乙方出具相应金额的收据作为质保金支付申请。</w:t>
      </w:r>
    </w:p>
    <w:p>
      <w:pPr>
        <w:pStyle w:val="143"/>
        <w:adjustRightInd w:val="0"/>
        <w:snapToGrid w:val="0"/>
        <w:spacing w:line="276" w:lineRule="auto"/>
        <w:ind w:firstLine="440" w:firstLineChars="200"/>
        <w:rPr>
          <w:rFonts w:ascii="宋体" w:hAnsi="宋体"/>
          <w:sz w:val="22"/>
        </w:rPr>
      </w:pPr>
    </w:p>
    <w:p>
      <w:pPr>
        <w:pStyle w:val="46"/>
        <w:spacing w:before="150" w:after="150" w:line="276" w:lineRule="auto"/>
        <w:ind w:firstLine="442" w:firstLineChars="200"/>
        <w:rPr>
          <w:rFonts w:ascii="宋体" w:hAnsi="宋体" w:eastAsia="宋体"/>
          <w:b/>
          <w:color w:val="444444"/>
          <w:sz w:val="22"/>
          <w:szCs w:val="22"/>
          <w:lang w:val="zh-CN"/>
        </w:rPr>
      </w:pPr>
      <w:r>
        <w:rPr>
          <w:rFonts w:hint="eastAsia" w:ascii="宋体" w:hAnsi="宋体" w:eastAsia="宋体"/>
          <w:b/>
          <w:color w:val="444444"/>
          <w:sz w:val="22"/>
          <w:szCs w:val="22"/>
        </w:rPr>
        <w:t>十一、</w:t>
      </w:r>
      <w:r>
        <w:rPr>
          <w:rFonts w:hint="eastAsia" w:ascii="宋体" w:hAnsi="宋体" w:eastAsia="宋体"/>
          <w:b/>
          <w:color w:val="444444"/>
          <w:sz w:val="22"/>
          <w:szCs w:val="22"/>
          <w:lang w:val="zh-CN"/>
        </w:rPr>
        <w:t>履约保证金</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1．乙方应在收到甲方中标通知书后【十】日内，向甲方支付合同总价的【</w:t>
      </w:r>
      <w:r>
        <w:rPr>
          <w:rFonts w:ascii="宋体" w:hAnsi="宋体" w:eastAsia="宋体"/>
          <w:sz w:val="22"/>
          <w:szCs w:val="22"/>
        </w:rPr>
        <w:t>5</w:t>
      </w:r>
      <w:r>
        <w:rPr>
          <w:rFonts w:hint="eastAsia" w:ascii="宋体" w:hAnsi="宋体" w:eastAsia="宋体"/>
          <w:sz w:val="22"/>
          <w:szCs w:val="22"/>
        </w:rPr>
        <w:t>%】作为履约保证金或</w:t>
      </w:r>
      <w:r>
        <w:rPr>
          <w:rFonts w:hint="eastAsia" w:ascii="宋体" w:hAnsi="宋体" w:eastAsia="宋体"/>
          <w:sz w:val="22"/>
        </w:rPr>
        <w:t>以不可撤销的银行履约保函（仅限中国工商银行、中国农业银行、中国银行、中国建设银行）的形式提供合同总价的【</w:t>
      </w:r>
      <w:r>
        <w:rPr>
          <w:rFonts w:ascii="宋体" w:hAnsi="宋体" w:eastAsia="宋体"/>
          <w:sz w:val="22"/>
        </w:rPr>
        <w:t>10</w:t>
      </w:r>
      <w:r>
        <w:rPr>
          <w:rFonts w:hint="eastAsia" w:ascii="宋体" w:hAnsi="宋体" w:eastAsia="宋体"/>
          <w:sz w:val="22"/>
        </w:rPr>
        <w:t>%】作为履约保证金</w:t>
      </w:r>
      <w:r>
        <w:rPr>
          <w:rFonts w:hint="eastAsia" w:ascii="宋体" w:hAnsi="宋体" w:eastAsia="宋体"/>
          <w:color w:val="FF0000"/>
          <w:sz w:val="22"/>
          <w:szCs w:val="22"/>
        </w:rPr>
        <w:t>。</w:t>
      </w:r>
      <w:r>
        <w:rPr>
          <w:rFonts w:hint="eastAsia" w:ascii="宋体" w:hAnsi="宋体" w:eastAsia="宋体"/>
          <w:sz w:val="22"/>
          <w:szCs w:val="22"/>
        </w:rPr>
        <w:t>如果逾期未缴纳，甲方有权解除本合同，并要求乙方承担由此给甲方造成的损失。</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2．在合同履行期间，如果乙方存在违约情形，甲方有权优先从履约保证金中扣除相应款项，并书面通知乙方。乙方自收到书面通知之日起【三】日内补足履约保证金。如果乙方不及时补足履约保证金，视为乙方违约，甲方有权解除合同，并要求乙方承担相应的违约责任。</w:t>
      </w:r>
      <w:r>
        <w:rPr>
          <w:rFonts w:hint="eastAsia" w:ascii="宋体" w:hAnsi="宋体" w:eastAsia="宋体"/>
          <w:sz w:val="22"/>
          <w:szCs w:val="22"/>
          <w:u w:val="single"/>
        </w:rPr>
        <w:t>待终验合格后，乙方不存在任何违约情形，且经甲方书面认可在后【十】日内</w:t>
      </w:r>
      <w:r>
        <w:rPr>
          <w:rFonts w:hint="eastAsia" w:ascii="宋体" w:hAnsi="宋体" w:eastAsia="宋体"/>
          <w:sz w:val="22"/>
          <w:szCs w:val="22"/>
        </w:rPr>
        <w:t>，甲方无息返还履约保证金。</w:t>
      </w:r>
    </w:p>
    <w:p>
      <w:pPr>
        <w:adjustRightInd w:val="0"/>
        <w:snapToGrid w:val="0"/>
        <w:spacing w:line="276" w:lineRule="auto"/>
        <w:ind w:firstLine="440" w:firstLineChars="200"/>
        <w:rPr>
          <w:rFonts w:ascii="宋体" w:hAnsi="宋体" w:eastAsia="宋体"/>
          <w:sz w:val="22"/>
          <w:szCs w:val="22"/>
        </w:rPr>
      </w:pPr>
    </w:p>
    <w:p>
      <w:pPr>
        <w:adjustRightInd w:val="0"/>
        <w:snapToGrid w:val="0"/>
        <w:spacing w:line="276" w:lineRule="auto"/>
        <w:ind w:firstLine="602"/>
        <w:outlineLvl w:val="0"/>
        <w:rPr>
          <w:rFonts w:ascii="宋体" w:hAnsi="宋体" w:eastAsia="宋体"/>
          <w:b/>
          <w:sz w:val="22"/>
          <w:szCs w:val="22"/>
        </w:rPr>
      </w:pPr>
      <w:r>
        <w:rPr>
          <w:rFonts w:hint="eastAsia" w:ascii="宋体" w:hAnsi="宋体" w:eastAsia="宋体"/>
          <w:b/>
          <w:sz w:val="22"/>
          <w:szCs w:val="22"/>
        </w:rPr>
        <w:t>十二、质保期及服务内容</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1、乙方保证其所供应的产品符合相关产品质量标准，不存在任何质量瑕疵或因质量瑕疵而导致的安全隐患，且为未经使用的全新产品。</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2、乙方应为产品提供【8 】年（注：具体根据投标人应答质保年限填写）的免费质保期(含工时费和零部件费)，时间自甲方最终签署安装验收合格报告之日起计算。乙方提供【7*24】小时售后服务，在接到报修通知后，维修人员应在【4】小时内赶到杭州萧山国际机场，并连续进行维修，直到产品恢复正常。修复部分的质保期自修复之日起重新开始计算。</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3、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4、质保期内每季度进行一次现场巡检，内容包括设备性能调整、部件实用情况检查等。每年对产品进行两次全屏组设备精细化维护，内容包括设备除尘、更换损坏风扇（若有）等内容。投标人在进行维护保养的同时，可根据用户的使用情况，对系统优化，包括但不限于程序、参数、光源亮度等。质保期内由于非招标人原因发生的故障或损坏，投标方免费提供维修和备件（包括易耗品，如果有）直至设备性能、状态等达到正常标准，可以正常安全使用为止。</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5、</w:t>
      </w:r>
      <w:r>
        <w:rPr>
          <w:rFonts w:ascii="宋体" w:hAnsi="宋体" w:eastAsia="宋体"/>
          <w:sz w:val="22"/>
          <w:szCs w:val="22"/>
        </w:rPr>
        <w:t>在最终验收</w:t>
      </w:r>
      <w:r>
        <w:rPr>
          <w:rFonts w:hint="eastAsia" w:ascii="宋体" w:hAnsi="宋体" w:eastAsia="宋体"/>
          <w:sz w:val="22"/>
          <w:szCs w:val="22"/>
        </w:rPr>
        <w:t>（甲方签署《终验报告》之日起）</w:t>
      </w:r>
      <w:r>
        <w:rPr>
          <w:rFonts w:ascii="宋体" w:hAnsi="宋体" w:eastAsia="宋体"/>
          <w:sz w:val="22"/>
          <w:szCs w:val="22"/>
        </w:rPr>
        <w:t>后</w:t>
      </w:r>
      <w:r>
        <w:rPr>
          <w:rFonts w:hint="eastAsia" w:ascii="宋体" w:hAnsi="宋体" w:eastAsia="宋体"/>
          <w:sz w:val="22"/>
          <w:szCs w:val="22"/>
        </w:rPr>
        <w:t xml:space="preserve">【 </w:t>
      </w:r>
      <w:r>
        <w:rPr>
          <w:rFonts w:ascii="宋体" w:hAnsi="宋体" w:eastAsia="宋体"/>
          <w:sz w:val="22"/>
          <w:szCs w:val="22"/>
        </w:rPr>
        <w:t xml:space="preserve"> </w:t>
      </w:r>
      <w:r>
        <w:rPr>
          <w:rFonts w:hint="eastAsia" w:ascii="宋体" w:hAnsi="宋体" w:eastAsia="宋体"/>
          <w:sz w:val="22"/>
          <w:szCs w:val="22"/>
        </w:rPr>
        <w:t>】</w:t>
      </w:r>
      <w:r>
        <w:rPr>
          <w:rFonts w:ascii="宋体" w:hAnsi="宋体" w:eastAsia="宋体"/>
          <w:sz w:val="22"/>
          <w:szCs w:val="22"/>
        </w:rPr>
        <w:t>年内为</w:t>
      </w:r>
      <w:r>
        <w:rPr>
          <w:rFonts w:hint="eastAsia" w:ascii="宋体" w:hAnsi="宋体" w:eastAsia="宋体"/>
          <w:sz w:val="22"/>
          <w:szCs w:val="22"/>
        </w:rPr>
        <w:t>质保期</w:t>
      </w:r>
      <w:r>
        <w:rPr>
          <w:rFonts w:ascii="宋体" w:hAnsi="宋体" w:eastAsia="宋体"/>
          <w:sz w:val="22"/>
          <w:szCs w:val="22"/>
        </w:rPr>
        <w:t>。消耗品的质保期按使用时间计算，大屏在系统安装和调试期间，投标人(包含厂商)有义务地对业主方技术人员进行现场指导培训。质保期内，投标人(包含厂商)将免费提供定期的设备巡检、维护、清洁服务，并编入用户回访记录，记录用户使用和运行的情况，建立完善的用户档案，通过计算机网络管理，可及时准确了解用户系统运行情况。</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6、质保期结束的【三】天前，乙方负责对产品进行一次全面的检修和维护，并由甲方验收认可。甲方验收认可并不免除乙方对于验收认可后发生的但尚在质保期限内的产品故障或损坏的维修、退换货义务。</w:t>
      </w:r>
    </w:p>
    <w:p>
      <w:pPr>
        <w:spacing w:line="320" w:lineRule="exact"/>
        <w:ind w:firstLine="440" w:firstLineChars="200"/>
        <w:rPr>
          <w:rFonts w:ascii="宋体" w:hAnsi="宋体" w:eastAsia="宋体"/>
          <w:sz w:val="22"/>
          <w:szCs w:val="22"/>
        </w:rPr>
      </w:pPr>
      <w:r>
        <w:rPr>
          <w:rFonts w:hint="eastAsia" w:ascii="宋体" w:hAnsi="宋体" w:eastAsia="宋体"/>
          <w:sz w:val="22"/>
          <w:szCs w:val="22"/>
        </w:rPr>
        <w:t>7、</w:t>
      </w:r>
      <w:r>
        <w:rPr>
          <w:rFonts w:hint="eastAsia" w:ascii="宋体" w:hAnsi="宋体" w:eastAsia="宋体"/>
          <w:sz w:val="22"/>
          <w:szCs w:val="22"/>
          <w:u w:val="single"/>
        </w:rPr>
        <w:t xml:space="preserve">8年质保后甲方如有需要续保，每年质保费用为【 </w:t>
      </w:r>
      <w:r>
        <w:rPr>
          <w:rFonts w:ascii="宋体" w:hAnsi="宋体" w:eastAsia="宋体"/>
          <w:sz w:val="22"/>
          <w:szCs w:val="22"/>
          <w:u w:val="single"/>
        </w:rPr>
        <w:t xml:space="preserve">  </w:t>
      </w:r>
      <w:r>
        <w:rPr>
          <w:rFonts w:hint="eastAsia" w:ascii="宋体" w:hAnsi="宋体" w:eastAsia="宋体"/>
          <w:sz w:val="22"/>
          <w:szCs w:val="22"/>
          <w:u w:val="single"/>
        </w:rPr>
        <w:t xml:space="preserve">】元，其中耗材费用为【 </w:t>
      </w:r>
      <w:r>
        <w:rPr>
          <w:rFonts w:ascii="宋体" w:hAnsi="宋体" w:eastAsia="宋体"/>
          <w:sz w:val="22"/>
          <w:szCs w:val="22"/>
          <w:u w:val="single"/>
        </w:rPr>
        <w:t xml:space="preserve"> </w:t>
      </w:r>
      <w:r>
        <w:rPr>
          <w:rFonts w:hint="eastAsia" w:ascii="宋体" w:hAnsi="宋体" w:eastAsia="宋体"/>
          <w:sz w:val="22"/>
          <w:szCs w:val="22"/>
          <w:u w:val="single"/>
        </w:rPr>
        <w:t>】元。</w:t>
      </w:r>
    </w:p>
    <w:p>
      <w:pPr>
        <w:spacing w:line="320" w:lineRule="exact"/>
        <w:ind w:firstLine="440" w:firstLineChars="200"/>
        <w:rPr>
          <w:rFonts w:ascii="宋体" w:hAnsi="宋体" w:eastAsia="宋体"/>
          <w:sz w:val="22"/>
          <w:szCs w:val="22"/>
        </w:rPr>
      </w:pPr>
      <w:r>
        <w:rPr>
          <w:rFonts w:hint="eastAsia" w:ascii="宋体" w:hAnsi="宋体" w:eastAsia="宋体"/>
          <w:sz w:val="22"/>
          <w:szCs w:val="22"/>
        </w:rPr>
        <w:t>8、</w:t>
      </w:r>
      <w:r>
        <w:rPr>
          <w:rFonts w:ascii="宋体" w:hAnsi="宋体" w:eastAsia="宋体"/>
          <w:sz w:val="22"/>
          <w:szCs w:val="22"/>
        </w:rPr>
        <w:t>系统全部设备的各种部件均保证齐备充足供应。</w:t>
      </w:r>
    </w:p>
    <w:p>
      <w:pPr>
        <w:spacing w:line="320" w:lineRule="exact"/>
        <w:ind w:firstLine="440" w:firstLineChars="200"/>
        <w:rPr>
          <w:rFonts w:ascii="宋体" w:hAnsi="宋体" w:eastAsia="宋体"/>
          <w:sz w:val="22"/>
          <w:szCs w:val="22"/>
        </w:rPr>
      </w:pPr>
      <w:r>
        <w:rPr>
          <w:rFonts w:hint="eastAsia" w:ascii="宋体" w:hAnsi="宋体" w:eastAsia="宋体"/>
          <w:sz w:val="22"/>
          <w:szCs w:val="22"/>
        </w:rPr>
        <w:t>9、</w:t>
      </w:r>
      <w:r>
        <w:rPr>
          <w:rFonts w:ascii="宋体" w:hAnsi="宋体" w:eastAsia="宋体"/>
          <w:sz w:val="22"/>
          <w:szCs w:val="22"/>
        </w:rPr>
        <w:t>终身向用户免费提供系统控制软件的升级版本。</w:t>
      </w:r>
    </w:p>
    <w:p>
      <w:pPr>
        <w:spacing w:line="320" w:lineRule="exact"/>
        <w:ind w:firstLine="330" w:firstLineChars="150"/>
        <w:rPr>
          <w:rFonts w:ascii="宋体" w:hAnsi="宋体" w:eastAsia="宋体"/>
          <w:sz w:val="22"/>
          <w:szCs w:val="22"/>
        </w:rPr>
      </w:pPr>
      <w:r>
        <w:rPr>
          <w:rFonts w:hint="eastAsia" w:ascii="宋体" w:hAnsi="宋体" w:eastAsia="宋体"/>
          <w:sz w:val="22"/>
          <w:szCs w:val="22"/>
        </w:rPr>
        <w:t>10、</w:t>
      </w:r>
      <w:r>
        <w:rPr>
          <w:rFonts w:ascii="宋体" w:hAnsi="宋体" w:eastAsia="宋体"/>
          <w:sz w:val="22"/>
          <w:szCs w:val="22"/>
        </w:rPr>
        <w:t>对用户在系统硬件设备上提出的扩容和升级更新要求，</w:t>
      </w:r>
      <w:r>
        <w:rPr>
          <w:rFonts w:hint="eastAsia" w:ascii="宋体" w:hAnsi="宋体" w:eastAsia="宋体"/>
          <w:sz w:val="22"/>
          <w:szCs w:val="22"/>
        </w:rPr>
        <w:t>乙方</w:t>
      </w:r>
      <w:r>
        <w:rPr>
          <w:rFonts w:ascii="宋体" w:hAnsi="宋体" w:eastAsia="宋体"/>
          <w:sz w:val="22"/>
          <w:szCs w:val="22"/>
        </w:rPr>
        <w:t>(包含厂商)派技术人员到现场指导，同时保证在技术、商务、人力等各方面全力提供充分的配合和支持，力求满足业</w:t>
      </w:r>
      <w:r>
        <w:rPr>
          <w:rFonts w:hint="eastAsia" w:ascii="宋体" w:hAnsi="宋体" w:eastAsia="宋体"/>
          <w:sz w:val="22"/>
          <w:szCs w:val="22"/>
        </w:rPr>
        <w:t>甲方</w:t>
      </w:r>
      <w:r>
        <w:rPr>
          <w:rFonts w:ascii="宋体" w:hAnsi="宋体" w:eastAsia="宋体"/>
          <w:sz w:val="22"/>
          <w:szCs w:val="22"/>
        </w:rPr>
        <w:t>的需求。</w:t>
      </w:r>
    </w:p>
    <w:p>
      <w:pPr>
        <w:spacing w:line="320" w:lineRule="exact"/>
        <w:ind w:firstLine="330" w:firstLineChars="150"/>
        <w:rPr>
          <w:rFonts w:ascii="宋体" w:hAnsi="宋体" w:eastAsia="宋体"/>
          <w:sz w:val="22"/>
          <w:szCs w:val="22"/>
        </w:rPr>
      </w:pPr>
      <w:r>
        <w:rPr>
          <w:rFonts w:hint="eastAsia" w:ascii="宋体" w:hAnsi="宋体" w:eastAsia="宋体"/>
          <w:sz w:val="22"/>
          <w:szCs w:val="22"/>
        </w:rPr>
        <w:t>11、</w:t>
      </w:r>
      <w:r>
        <w:rPr>
          <w:rFonts w:ascii="宋体" w:hAnsi="宋体" w:eastAsia="宋体"/>
          <w:sz w:val="22"/>
          <w:szCs w:val="22"/>
        </w:rPr>
        <w:t>需提供现场培训。包括用户操作培训和技术维护培训。</w:t>
      </w:r>
    </w:p>
    <w:p>
      <w:pPr>
        <w:adjustRightInd w:val="0"/>
        <w:snapToGrid w:val="0"/>
        <w:spacing w:line="276" w:lineRule="auto"/>
        <w:ind w:firstLine="330" w:firstLineChars="150"/>
        <w:rPr>
          <w:rFonts w:ascii="宋体" w:hAnsi="宋体" w:eastAsia="宋体"/>
          <w:sz w:val="22"/>
          <w:szCs w:val="22"/>
        </w:rPr>
      </w:pPr>
      <w:r>
        <w:rPr>
          <w:rFonts w:hint="eastAsia" w:ascii="宋体" w:hAnsi="宋体" w:eastAsia="宋体"/>
          <w:sz w:val="22"/>
          <w:szCs w:val="22"/>
        </w:rPr>
        <w:t>12、若乙方提供的产品属于伪劣产品或者假冒产品或者欺诈甲方，使得甲方遭受损失，乙方应向甲方承担违约责任，同时，甲方可依法寻求其他法律救济。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602"/>
        <w:outlineLvl w:val="0"/>
        <w:rPr>
          <w:rFonts w:ascii="宋体" w:hAnsi="宋体" w:eastAsia="宋体"/>
          <w:b/>
          <w:sz w:val="22"/>
          <w:szCs w:val="22"/>
        </w:rPr>
      </w:pPr>
      <w:r>
        <w:rPr>
          <w:rFonts w:hint="eastAsia" w:ascii="宋体" w:hAnsi="宋体" w:eastAsia="宋体"/>
          <w:b/>
          <w:sz w:val="22"/>
          <w:szCs w:val="22"/>
        </w:rPr>
        <w:t>十三、违约责任</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1. 甲方无故逾期支付货款的,甲方应按逾期付款总额每日【0.05】%向乙方支付违约金。</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2. 乙方逾期交付产品和本合同规定的文件资料的，或者未按甲方时间要求完成安装调试并通过甲方终验收的，乙方应按合同总额每日【0.</w:t>
      </w:r>
      <w:r>
        <w:rPr>
          <w:rFonts w:ascii="宋体" w:hAnsi="宋体" w:eastAsia="宋体"/>
          <w:sz w:val="22"/>
          <w:szCs w:val="22"/>
        </w:rPr>
        <w:t>05</w:t>
      </w:r>
      <w:r>
        <w:rPr>
          <w:rFonts w:hint="eastAsia" w:ascii="宋体" w:hAnsi="宋体" w:eastAsia="宋体"/>
          <w:sz w:val="22"/>
          <w:szCs w:val="22"/>
        </w:rPr>
        <w:t xml:space="preserve">】%向甲方支付违约金，由甲方从货款中扣除。逾期超过约定日期【十】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7．对于本合同项下乙方应支付的赔偿款或违约金，甲方有权从应付乙方的货款及履约保证金中直接扣除，不足的部分，继续向乙方追偿。</w:t>
      </w:r>
    </w:p>
    <w:p>
      <w:pPr>
        <w:adjustRightInd w:val="0"/>
        <w:snapToGrid w:val="0"/>
        <w:spacing w:line="276" w:lineRule="auto"/>
        <w:ind w:firstLine="602"/>
        <w:outlineLvl w:val="0"/>
        <w:rPr>
          <w:rFonts w:ascii="宋体" w:hAnsi="宋体" w:eastAsia="宋体"/>
          <w:b/>
          <w:sz w:val="22"/>
          <w:szCs w:val="22"/>
        </w:rPr>
      </w:pPr>
      <w:r>
        <w:rPr>
          <w:rFonts w:hint="eastAsia" w:ascii="宋体" w:hAnsi="宋体" w:eastAsia="宋体"/>
          <w:b/>
          <w:sz w:val="22"/>
          <w:szCs w:val="22"/>
        </w:rPr>
        <w:t>十四、不可抗力事件处理</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1. 在合同有效期内，任何一方因不可抗力事件导致不能履行合同，则合同履行期可延长，其延长期与不可抗力影响期相同。</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2. 不可抗力事件发生后，遭遇不可抗力的一方应立即通知对方，并寄送有关官方权威机构出具的证明。</w:t>
      </w:r>
    </w:p>
    <w:p>
      <w:pPr>
        <w:spacing w:line="276" w:lineRule="auto"/>
        <w:ind w:firstLine="418" w:firstLineChars="190"/>
        <w:rPr>
          <w:rFonts w:ascii="宋体" w:hAnsi="宋体" w:eastAsia="宋体"/>
          <w:sz w:val="22"/>
          <w:szCs w:val="22"/>
        </w:rPr>
      </w:pPr>
      <w:r>
        <w:rPr>
          <w:rFonts w:hint="eastAsia" w:ascii="宋体" w:hAnsi="宋体" w:eastAsia="宋体"/>
          <w:sz w:val="22"/>
          <w:szCs w:val="22"/>
        </w:rPr>
        <w:t xml:space="preserve">3. 不可抗力事件延续【 </w:t>
      </w:r>
      <w:r>
        <w:rPr>
          <w:rFonts w:ascii="宋体" w:hAnsi="宋体" w:eastAsia="宋体"/>
          <w:sz w:val="22"/>
          <w:szCs w:val="22"/>
        </w:rPr>
        <w:t>140</w:t>
      </w:r>
      <w:r>
        <w:rPr>
          <w:rFonts w:hint="eastAsia" w:ascii="宋体" w:hAnsi="宋体" w:eastAsia="宋体"/>
          <w:sz w:val="22"/>
          <w:szCs w:val="22"/>
        </w:rPr>
        <w:t>】天以上，双方应通过友好协商，确定是否继续履行合同；协商无法达成一致的，本合同自动终止，双方互不承担赔偿或违约责任。</w:t>
      </w:r>
    </w:p>
    <w:p>
      <w:pPr>
        <w:spacing w:line="276" w:lineRule="auto"/>
        <w:ind w:firstLine="420" w:firstLineChars="190"/>
        <w:rPr>
          <w:rFonts w:ascii="宋体" w:hAnsi="宋体" w:eastAsia="宋体"/>
          <w:sz w:val="22"/>
          <w:szCs w:val="22"/>
        </w:rPr>
      </w:pPr>
      <w:r>
        <w:rPr>
          <w:rFonts w:hint="eastAsia" w:ascii="宋体" w:hAnsi="宋体" w:eastAsia="宋体"/>
          <w:b/>
          <w:sz w:val="22"/>
          <w:szCs w:val="22"/>
        </w:rPr>
        <w:t>十五、争议解决</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双方在执行合同中所发生的一切争议，应通过协商解决。如协商不成，由甲方所在地的人民法院管辖审理。</w:t>
      </w:r>
    </w:p>
    <w:p>
      <w:pPr>
        <w:adjustRightInd w:val="0"/>
        <w:snapToGrid w:val="0"/>
        <w:spacing w:line="276" w:lineRule="auto"/>
        <w:ind w:firstLine="442" w:firstLineChars="200"/>
        <w:rPr>
          <w:rFonts w:ascii="宋体" w:hAnsi="宋体" w:eastAsia="宋体"/>
          <w:b/>
          <w:sz w:val="22"/>
          <w:szCs w:val="22"/>
        </w:rPr>
      </w:pPr>
      <w:r>
        <w:rPr>
          <w:rFonts w:hint="eastAsia" w:ascii="宋体" w:hAnsi="宋体" w:eastAsia="宋体"/>
          <w:b/>
          <w:sz w:val="22"/>
          <w:szCs w:val="22"/>
        </w:rPr>
        <w:t>十六、合同组成文件包含下列内容，且解释顺序如下：</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1.本合同协议书</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2.中标通知书</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3.投标书及其附件</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4.招标文件</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5.标准、规范及有关技术文件</w:t>
      </w:r>
    </w:p>
    <w:p>
      <w:pPr>
        <w:adjustRightInd w:val="0"/>
        <w:snapToGrid w:val="0"/>
        <w:spacing w:line="276" w:lineRule="auto"/>
        <w:ind w:firstLine="602"/>
        <w:outlineLvl w:val="0"/>
        <w:rPr>
          <w:rFonts w:ascii="宋体" w:hAnsi="宋体" w:eastAsia="宋体"/>
          <w:b/>
          <w:sz w:val="22"/>
          <w:szCs w:val="22"/>
        </w:rPr>
      </w:pPr>
      <w:r>
        <w:rPr>
          <w:rFonts w:hint="eastAsia" w:ascii="宋体" w:hAnsi="宋体" w:eastAsia="宋体"/>
          <w:b/>
          <w:sz w:val="22"/>
          <w:szCs w:val="22"/>
        </w:rPr>
        <w:t>十七、合同生效及其它</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1. 合同经双方法定代表人或授权代表签字（包含签章）并加盖单位公章或者合同章之日起生效。</w:t>
      </w:r>
    </w:p>
    <w:p>
      <w:pPr>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2.本合同未尽事宜，双方可签订补充协议予以执行；未达成补充协议的，遵照《合同法》及有关法律法规执行。</w:t>
      </w:r>
    </w:p>
    <w:p>
      <w:pPr>
        <w:tabs>
          <w:tab w:val="right" w:pos="8306"/>
        </w:tabs>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3.本合同一式陆份，甲执四份，乙方持二份，具有同等法律效力。</w:t>
      </w:r>
    </w:p>
    <w:p>
      <w:pPr>
        <w:tabs>
          <w:tab w:val="right" w:pos="8306"/>
        </w:tabs>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4</w:t>
      </w:r>
      <w:r>
        <w:rPr>
          <w:rFonts w:ascii="宋体" w:hAnsi="宋体" w:eastAsia="宋体"/>
          <w:sz w:val="22"/>
          <w:szCs w:val="22"/>
        </w:rPr>
        <w:t>.</w:t>
      </w:r>
      <w:r>
        <w:rPr>
          <w:rFonts w:hint="eastAsia" w:ascii="宋体" w:hAnsi="宋体" w:eastAsia="宋体"/>
          <w:sz w:val="22"/>
          <w:szCs w:val="22"/>
        </w:rPr>
        <w:t>附件：（1）设备参数及详细配置表；（2）质保服务考核表；（3）廉洁自律承诺书；（</w:t>
      </w:r>
      <w:r>
        <w:rPr>
          <w:rFonts w:ascii="宋体" w:hAnsi="宋体" w:eastAsia="宋体"/>
          <w:sz w:val="22"/>
          <w:szCs w:val="22"/>
        </w:rPr>
        <w:t>4</w:t>
      </w:r>
      <w:r>
        <w:rPr>
          <w:rFonts w:hint="eastAsia" w:ascii="宋体" w:hAnsi="宋体" w:eastAsia="宋体"/>
          <w:sz w:val="22"/>
          <w:szCs w:val="22"/>
        </w:rPr>
        <w:t>）保密承诺书</w:t>
      </w:r>
    </w:p>
    <w:p>
      <w:pPr>
        <w:tabs>
          <w:tab w:val="right" w:pos="8306"/>
        </w:tabs>
        <w:adjustRightInd w:val="0"/>
        <w:snapToGrid w:val="0"/>
        <w:spacing w:line="276" w:lineRule="auto"/>
        <w:rPr>
          <w:rFonts w:ascii="宋体" w:hAnsi="宋体" w:eastAsia="宋体"/>
          <w:sz w:val="22"/>
          <w:szCs w:val="22"/>
        </w:rPr>
      </w:pPr>
    </w:p>
    <w:p>
      <w:pPr>
        <w:tabs>
          <w:tab w:val="right" w:pos="8306"/>
        </w:tabs>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（以下为签署页）</w:t>
      </w:r>
    </w:p>
    <w:p>
      <w:pPr>
        <w:tabs>
          <w:tab w:val="right" w:pos="8306"/>
        </w:tabs>
        <w:adjustRightInd w:val="0"/>
        <w:snapToGrid w:val="0"/>
        <w:spacing w:line="276" w:lineRule="auto"/>
        <w:rPr>
          <w:rFonts w:ascii="宋体" w:hAnsi="宋体" w:eastAsia="宋体"/>
          <w:sz w:val="22"/>
          <w:szCs w:val="22"/>
        </w:rPr>
      </w:pPr>
    </w:p>
    <w:p>
      <w:pPr>
        <w:tabs>
          <w:tab w:val="right" w:pos="8306"/>
        </w:tabs>
        <w:adjustRightInd w:val="0"/>
        <w:snapToGrid w:val="0"/>
        <w:spacing w:line="276" w:lineRule="auto"/>
        <w:ind w:firstLine="440" w:firstLineChars="200"/>
        <w:rPr>
          <w:rFonts w:ascii="宋体" w:hAnsi="宋体" w:eastAsia="宋体"/>
          <w:sz w:val="22"/>
          <w:szCs w:val="22"/>
        </w:rPr>
      </w:pPr>
      <w:r>
        <w:rPr>
          <w:rFonts w:hint="eastAsia" w:ascii="宋体" w:hAnsi="宋体" w:eastAsia="宋体"/>
          <w:sz w:val="22"/>
          <w:szCs w:val="22"/>
        </w:rPr>
        <w:tab/>
      </w:r>
    </w:p>
    <w:p>
      <w:pPr>
        <w:adjustRightInd w:val="0"/>
        <w:snapToGrid w:val="0"/>
        <w:spacing w:line="276" w:lineRule="auto"/>
        <w:ind w:left="3520" w:hanging="3520" w:hangingChars="1600"/>
        <w:rPr>
          <w:rFonts w:ascii="宋体" w:hAnsi="宋体" w:eastAsia="宋体"/>
          <w:sz w:val="22"/>
          <w:szCs w:val="22"/>
        </w:rPr>
      </w:pPr>
      <w:r>
        <w:rPr>
          <w:rFonts w:hint="eastAsia" w:ascii="宋体" w:hAnsi="宋体" w:eastAsia="宋体"/>
          <w:sz w:val="22"/>
          <w:szCs w:val="22"/>
        </w:rPr>
        <w:t>甲方：杭州萧山国际机场有限公司  乙方：</w:t>
      </w:r>
    </w:p>
    <w:p>
      <w:pPr>
        <w:adjustRightInd w:val="0"/>
        <w:snapToGrid w:val="0"/>
        <w:spacing w:line="276" w:lineRule="auto"/>
        <w:ind w:left="6750" w:hanging="6750"/>
        <w:rPr>
          <w:rFonts w:ascii="宋体" w:hAnsi="宋体" w:eastAsia="宋体"/>
          <w:sz w:val="22"/>
          <w:szCs w:val="22"/>
        </w:rPr>
      </w:pPr>
      <w:r>
        <w:rPr>
          <w:rFonts w:hint="eastAsia" w:ascii="宋体" w:hAnsi="宋体" w:eastAsia="宋体"/>
          <w:sz w:val="22"/>
          <w:szCs w:val="22"/>
        </w:rPr>
        <w:t>地址：杭州萧山国际机场内        地址：</w:t>
      </w:r>
    </w:p>
    <w:p>
      <w:pPr>
        <w:adjustRightInd w:val="0"/>
        <w:snapToGrid w:val="0"/>
        <w:spacing w:line="276" w:lineRule="auto"/>
        <w:ind w:left="6750" w:hanging="6750"/>
        <w:rPr>
          <w:rFonts w:ascii="宋体" w:hAnsi="宋体" w:eastAsia="宋体"/>
          <w:sz w:val="22"/>
          <w:szCs w:val="22"/>
        </w:rPr>
      </w:pPr>
    </w:p>
    <w:p>
      <w:pPr>
        <w:adjustRightInd w:val="0"/>
        <w:snapToGrid w:val="0"/>
        <w:spacing w:line="276" w:lineRule="auto"/>
        <w:rPr>
          <w:rFonts w:ascii="宋体" w:hAnsi="宋体" w:eastAsia="宋体"/>
          <w:sz w:val="22"/>
          <w:szCs w:val="22"/>
        </w:rPr>
      </w:pPr>
      <w:r>
        <w:rPr>
          <w:rFonts w:hint="eastAsia" w:ascii="宋体" w:hAnsi="宋体" w:eastAsia="宋体"/>
          <w:sz w:val="22"/>
          <w:szCs w:val="22"/>
        </w:rPr>
        <w:t>法定代表人：                     法定代表人：</w:t>
      </w:r>
    </w:p>
    <w:p>
      <w:pPr>
        <w:adjustRightInd w:val="0"/>
        <w:snapToGrid w:val="0"/>
        <w:spacing w:line="276" w:lineRule="auto"/>
        <w:rPr>
          <w:rFonts w:ascii="宋体" w:hAnsi="宋体" w:eastAsia="宋体"/>
          <w:sz w:val="22"/>
          <w:szCs w:val="22"/>
        </w:rPr>
      </w:pPr>
      <w:r>
        <w:rPr>
          <w:rFonts w:hint="eastAsia" w:ascii="宋体" w:hAnsi="宋体" w:eastAsia="宋体"/>
          <w:sz w:val="22"/>
          <w:szCs w:val="22"/>
        </w:rPr>
        <w:t>或                               或</w:t>
      </w:r>
    </w:p>
    <w:p>
      <w:pPr>
        <w:adjustRightInd w:val="0"/>
        <w:snapToGrid w:val="0"/>
        <w:spacing w:line="276" w:lineRule="auto"/>
        <w:rPr>
          <w:rFonts w:ascii="宋体" w:hAnsi="宋体" w:eastAsia="宋体"/>
          <w:sz w:val="22"/>
          <w:szCs w:val="22"/>
        </w:rPr>
      </w:pPr>
      <w:r>
        <w:rPr>
          <w:rFonts w:hint="eastAsia" w:ascii="宋体" w:hAnsi="宋体" w:eastAsia="宋体"/>
          <w:sz w:val="22"/>
          <w:szCs w:val="22"/>
        </w:rPr>
        <w:t>授权代表：                       授权代表：</w:t>
      </w:r>
    </w:p>
    <w:p>
      <w:pPr>
        <w:adjustRightInd w:val="0"/>
        <w:snapToGrid w:val="0"/>
        <w:spacing w:line="276" w:lineRule="auto"/>
        <w:rPr>
          <w:rFonts w:ascii="宋体" w:hAnsi="宋体" w:eastAsia="宋体"/>
          <w:b/>
          <w:sz w:val="22"/>
          <w:szCs w:val="22"/>
        </w:rPr>
      </w:pPr>
      <w:r>
        <w:rPr>
          <w:rFonts w:hint="eastAsia" w:ascii="宋体" w:hAnsi="宋体" w:eastAsia="宋体"/>
          <w:sz w:val="22"/>
          <w:szCs w:val="22"/>
        </w:rPr>
        <w:t xml:space="preserve">签字日期：                       签字日期： </w:t>
      </w:r>
    </w:p>
    <w:p>
      <w:pPr>
        <w:adjustRightInd w:val="0"/>
        <w:snapToGrid w:val="0"/>
        <w:spacing w:line="276" w:lineRule="auto"/>
        <w:ind w:firstLine="440" w:firstLineChars="200"/>
        <w:rPr>
          <w:rFonts w:ascii="宋体" w:hAnsi="宋体" w:eastAsia="宋体"/>
          <w:b/>
          <w:sz w:val="22"/>
          <w:szCs w:val="22"/>
        </w:rPr>
      </w:pPr>
      <w:r>
        <w:rPr>
          <w:rFonts w:hint="eastAsia" w:ascii="宋体" w:hAnsi="宋体" w:eastAsia="宋体"/>
          <w:sz w:val="22"/>
          <w:szCs w:val="22"/>
        </w:rPr>
        <w:t>年  月  日                      年  月  日</w:t>
      </w:r>
    </w:p>
    <w:p>
      <w:pPr>
        <w:spacing w:line="276" w:lineRule="auto"/>
        <w:ind w:firstLine="440" w:firstLineChars="200"/>
        <w:rPr>
          <w:rFonts w:ascii="宋体" w:hAnsi="宋体" w:eastAsia="宋体"/>
          <w:sz w:val="22"/>
          <w:szCs w:val="22"/>
        </w:rPr>
      </w:pPr>
    </w:p>
    <w:p>
      <w:pPr>
        <w:spacing w:line="276" w:lineRule="auto"/>
        <w:rPr>
          <w:rFonts w:ascii="宋体" w:hAnsi="宋体" w:eastAsia="宋体"/>
          <w:sz w:val="22"/>
          <w:szCs w:val="22"/>
        </w:rPr>
      </w:pPr>
    </w:p>
    <w:p>
      <w:pPr>
        <w:spacing w:line="276" w:lineRule="auto"/>
        <w:rPr>
          <w:rFonts w:ascii="宋体" w:hAnsi="宋体" w:eastAsia="宋体"/>
          <w:sz w:val="22"/>
          <w:szCs w:val="22"/>
        </w:rPr>
      </w:pPr>
    </w:p>
    <w:p>
      <w:pPr>
        <w:spacing w:line="276" w:lineRule="auto"/>
        <w:rPr>
          <w:rFonts w:ascii="宋体" w:hAnsi="宋体" w:eastAsia="宋体"/>
          <w:sz w:val="22"/>
          <w:szCs w:val="22"/>
        </w:rPr>
      </w:pPr>
    </w:p>
    <w:p>
      <w:pPr>
        <w:spacing w:line="276" w:lineRule="auto"/>
        <w:rPr>
          <w:rFonts w:ascii="宋体" w:hAnsi="宋体" w:eastAsia="宋体"/>
          <w:sz w:val="22"/>
          <w:szCs w:val="22"/>
        </w:rPr>
      </w:pPr>
    </w:p>
    <w:p>
      <w:pPr>
        <w:widowControl/>
        <w:jc w:val="left"/>
        <w:rPr>
          <w:rFonts w:ascii="宋体" w:hAnsi="宋体" w:eastAsia="宋体" w:cs="Times New Roman"/>
          <w:bCs/>
          <w:kern w:val="0"/>
          <w:sz w:val="22"/>
          <w:szCs w:val="22"/>
        </w:rPr>
      </w:pPr>
      <w:r>
        <w:rPr>
          <w:rFonts w:hint="eastAsia" w:ascii="宋体" w:hAnsi="宋体" w:eastAsia="宋体" w:cs="Times New Roman"/>
          <w:bCs/>
          <w:kern w:val="0"/>
          <w:sz w:val="22"/>
          <w:szCs w:val="22"/>
        </w:rPr>
        <w:t>附件1：设备参数及详细配置表（略）</w:t>
      </w:r>
    </w:p>
    <w:p>
      <w:pPr>
        <w:widowControl/>
        <w:jc w:val="left"/>
        <w:rPr>
          <w:rFonts w:ascii="宋体" w:hAnsi="宋体" w:eastAsia="宋体" w:cs="Times New Roman"/>
          <w:bCs/>
          <w:kern w:val="0"/>
          <w:sz w:val="22"/>
          <w:szCs w:val="22"/>
        </w:rPr>
      </w:pPr>
    </w:p>
    <w:p>
      <w:pPr>
        <w:rPr>
          <w:rFonts w:ascii="宋体" w:hAnsi="宋体" w:cs="宋体"/>
          <w:kern w:val="0"/>
          <w:szCs w:val="21"/>
        </w:rPr>
      </w:pPr>
      <w:r>
        <w:rPr>
          <w:rFonts w:hint="eastAsia" w:ascii="宋体" w:hAnsi="宋体" w:cs="宋体"/>
          <w:kern w:val="0"/>
          <w:szCs w:val="21"/>
        </w:rPr>
        <w:t>附件</w:t>
      </w:r>
      <w:r>
        <w:rPr>
          <w:rFonts w:ascii="宋体" w:hAnsi="宋体" w:cs="宋体"/>
          <w:kern w:val="0"/>
          <w:szCs w:val="21"/>
        </w:rPr>
        <w:t>2</w:t>
      </w:r>
      <w:r>
        <w:rPr>
          <w:rFonts w:hint="eastAsia" w:ascii="宋体" w:hAnsi="宋体" w:cs="宋体"/>
          <w:kern w:val="0"/>
          <w:szCs w:val="21"/>
        </w:rPr>
        <w:t>：</w:t>
      </w:r>
    </w:p>
    <w:p>
      <w:pPr>
        <w:rPr>
          <w:rFonts w:ascii="宋体" w:hAnsi="宋体" w:cs="宋体"/>
          <w:kern w:val="0"/>
          <w:szCs w:val="21"/>
        </w:rPr>
      </w:pPr>
    </w:p>
    <w:tbl>
      <w:tblPr>
        <w:tblStyle w:val="52"/>
        <w:tblW w:w="10463" w:type="dxa"/>
        <w:tblInd w:w="-432" w:type="dxa"/>
        <w:tblLayout w:type="fixed"/>
        <w:tblCellMar>
          <w:top w:w="0" w:type="dxa"/>
          <w:left w:w="108" w:type="dxa"/>
          <w:bottom w:w="0" w:type="dxa"/>
          <w:right w:w="108" w:type="dxa"/>
        </w:tblCellMar>
      </w:tblPr>
      <w:tblGrid>
        <w:gridCol w:w="462"/>
        <w:gridCol w:w="2326"/>
        <w:gridCol w:w="2579"/>
        <w:gridCol w:w="1127"/>
        <w:gridCol w:w="2835"/>
        <w:gridCol w:w="1134"/>
      </w:tblGrid>
      <w:tr>
        <w:tblPrEx>
          <w:tblLayout w:type="fixed"/>
          <w:tblCellMar>
            <w:top w:w="0" w:type="dxa"/>
            <w:left w:w="108" w:type="dxa"/>
            <w:bottom w:w="0" w:type="dxa"/>
            <w:right w:w="108" w:type="dxa"/>
          </w:tblCellMar>
        </w:tblPrEx>
        <w:trPr>
          <w:trHeight w:val="445" w:hRule="atLeast"/>
        </w:trPr>
        <w:tc>
          <w:tcPr>
            <w:tcW w:w="10463" w:type="dxa"/>
            <w:gridSpan w:val="6"/>
            <w:vAlign w:val="center"/>
          </w:tcPr>
          <w:p>
            <w:pPr>
              <w:widowControl/>
              <w:jc w:val="center"/>
              <w:rPr>
                <w:rFonts w:ascii="方正小标宋简体" w:hAnsi="宋体" w:eastAsia="方正小标宋简体" w:cs="宋体"/>
                <w:bCs/>
                <w:kern w:val="0"/>
                <w:sz w:val="36"/>
                <w:szCs w:val="36"/>
              </w:rPr>
            </w:pPr>
            <w:r>
              <w:rPr>
                <w:rFonts w:hint="eastAsia" w:ascii="方正小标宋简体" w:hAnsi="宋体" w:eastAsia="方正小标宋简体"/>
                <w:sz w:val="36"/>
                <w:szCs w:val="36"/>
              </w:rPr>
              <w:t>质保</w:t>
            </w:r>
            <w:r>
              <w:rPr>
                <w:rFonts w:hint="eastAsia" w:ascii="方正小标宋简体" w:hAnsi="宋体" w:eastAsia="方正小标宋简体" w:cs="宋体"/>
                <w:bCs/>
                <w:kern w:val="0"/>
                <w:sz w:val="36"/>
                <w:szCs w:val="36"/>
              </w:rPr>
              <w:t>服务考核表　</w:t>
            </w:r>
          </w:p>
          <w:p>
            <w:pPr>
              <w:widowControl/>
              <w:jc w:val="center"/>
              <w:rPr>
                <w:rFonts w:ascii="方正小标宋简体" w:hAnsi="宋体" w:eastAsia="方正小标宋简体" w:cs="宋体"/>
                <w:bCs/>
                <w:kern w:val="0"/>
                <w:sz w:val="36"/>
                <w:szCs w:val="36"/>
              </w:rPr>
            </w:pPr>
          </w:p>
        </w:tc>
      </w:tr>
      <w:tr>
        <w:tblPrEx>
          <w:tblLayout w:type="fixed"/>
          <w:tblCellMar>
            <w:top w:w="0" w:type="dxa"/>
            <w:left w:w="108" w:type="dxa"/>
            <w:bottom w:w="0" w:type="dxa"/>
            <w:right w:w="108" w:type="dxa"/>
          </w:tblCellMar>
        </w:tblPrEx>
        <w:trPr>
          <w:trHeight w:val="458"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KPI指标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目标值</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分值</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外包单位加扣分办法</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半年得分</w:t>
            </w:r>
          </w:p>
        </w:tc>
      </w:tr>
      <w:tr>
        <w:tblPrEx>
          <w:tblLayout w:type="fixed"/>
          <w:tblCellMar>
            <w:top w:w="0" w:type="dxa"/>
            <w:left w:w="108" w:type="dxa"/>
            <w:bottom w:w="0" w:type="dxa"/>
            <w:right w:w="108" w:type="dxa"/>
          </w:tblCellMar>
        </w:tblPrEx>
        <w:trPr>
          <w:trHeight w:val="70"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1</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服务规范</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维保人员的服务行为规范要求是否达标</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20分</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每次违规扣1分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2" w:hRule="atLeast"/>
        </w:trPr>
        <w:tc>
          <w:tcPr>
            <w:tcW w:w="4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232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故障处理及时率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≥98%</w:t>
            </w:r>
          </w:p>
        </w:tc>
        <w:tc>
          <w:tcPr>
            <w:tcW w:w="11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40分</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无正当理由，没有在合同规定的时间内到达处理问题的，一次扣10分</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84" w:hRule="atLeast"/>
        </w:trPr>
        <w:tc>
          <w:tcPr>
            <w:tcW w:w="4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故障响应和解决时间见合同</w:t>
            </w:r>
          </w:p>
        </w:tc>
        <w:tc>
          <w:tcPr>
            <w:tcW w:w="1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895"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不发生因屏体故障原因导致航班延误</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0架次/年</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20分</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发生一次扣10分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1706"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维修质量、维护等表格记录等情况</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达标</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20分</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不定期抽查方式：检查中没有达到规定要求的或未登记的,每次、每项扣1分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732" w:hRule="atLeast"/>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886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合计得分</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bl>
    <w:p>
      <w:pPr>
        <w:rPr>
          <w:rFonts w:ascii="宋体" w:hAnsi="宋体" w:cs="宋体"/>
          <w:kern w:val="0"/>
          <w:szCs w:val="21"/>
        </w:rPr>
      </w:pPr>
    </w:p>
    <w:p>
      <w:pPr>
        <w:spacing w:line="360" w:lineRule="auto"/>
        <w:rPr>
          <w:rFonts w:ascii="宋体" w:hAnsi="宋体" w:cs="宋体"/>
          <w:kern w:val="0"/>
          <w:szCs w:val="21"/>
        </w:rPr>
      </w:pPr>
      <w:r>
        <w:rPr>
          <w:rFonts w:hint="eastAsia" w:ascii="宋体" w:hAnsi="宋体" w:cs="宋体"/>
          <w:kern w:val="0"/>
          <w:szCs w:val="21"/>
        </w:rPr>
        <w:t>说明：</w:t>
      </w:r>
    </w:p>
    <w:p>
      <w:pPr>
        <w:pStyle w:val="29"/>
        <w:spacing w:line="276" w:lineRule="auto"/>
        <w:ind w:firstLine="420"/>
        <w:rPr>
          <w:rFonts w:hAnsi="宋体" w:cs="Calibri"/>
          <w:bCs/>
          <w:sz w:val="22"/>
          <w:szCs w:val="22"/>
        </w:rPr>
      </w:pPr>
      <w:r>
        <w:rPr>
          <w:rFonts w:hint="eastAsia" w:hAnsi="宋体" w:cs="Calibri"/>
          <w:bCs/>
          <w:sz w:val="22"/>
          <w:szCs w:val="22"/>
        </w:rPr>
        <w:t>1、按半年内实行累计积分，在半年考核完成后全部恢复到初始值，积分初始值统一设定为100分。</w:t>
      </w:r>
    </w:p>
    <w:p>
      <w:pPr>
        <w:pStyle w:val="29"/>
        <w:spacing w:line="276" w:lineRule="auto"/>
        <w:ind w:firstLine="420"/>
        <w:rPr>
          <w:rFonts w:hAnsi="宋体" w:cs="Calibri"/>
          <w:bCs/>
          <w:sz w:val="22"/>
          <w:szCs w:val="22"/>
        </w:rPr>
      </w:pPr>
      <w:r>
        <w:rPr>
          <w:rFonts w:hint="eastAsia" w:hAnsi="宋体" w:cs="Calibri"/>
          <w:bCs/>
          <w:sz w:val="22"/>
          <w:szCs w:val="22"/>
        </w:rPr>
        <w:t>2、考核积分与质保挂钩:（1）一年内两次考核分数均≥90分为基本满意，不予扣罚；（2）一年内两次考核有一次或两次得分：90分&gt;考核得分≥80分，投标人应按当年应付款的2.5%向招标人支付违约金；（3）一年内两次考核有一次或两次得分：80分&gt;考核积分≥70分，乙方应按当年应付款的5%向招标人支付违约金；4)考核积分&lt;70分，投标人应按当年应付款的10%向招标人支付违约金，且招标人有权终止合同，不支付剩余款项。</w:t>
      </w:r>
      <w:bookmarkStart w:id="160" w:name="_Toc90452722"/>
      <w:bookmarkStart w:id="161" w:name="_Toc206217401"/>
    </w:p>
    <w:p>
      <w:pPr>
        <w:widowControl/>
        <w:jc w:val="left"/>
        <w:rPr>
          <w:rFonts w:ascii="宋体" w:hAnsi="宋体" w:cs="宋体"/>
          <w:kern w:val="0"/>
          <w:szCs w:val="21"/>
        </w:rPr>
      </w:pPr>
      <w:r>
        <w:rPr>
          <w:rFonts w:ascii="宋体" w:hAnsi="宋体" w:cs="宋体"/>
          <w:kern w:val="0"/>
          <w:szCs w:val="21"/>
        </w:rPr>
        <w:br w:type="page"/>
      </w:r>
    </w:p>
    <w:p>
      <w:pPr>
        <w:pStyle w:val="29"/>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3</w:t>
      </w:r>
      <w:r>
        <w:rPr>
          <w:rFonts w:hint="eastAsia" w:hAnsi="宋体" w:cs="Calibri"/>
          <w:bCs/>
          <w:sz w:val="22"/>
          <w:szCs w:val="22"/>
        </w:rPr>
        <w:t>:廉洁自律承诺书</w:t>
      </w:r>
    </w:p>
    <w:p>
      <w:pPr>
        <w:pStyle w:val="29"/>
        <w:spacing w:line="276" w:lineRule="auto"/>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29"/>
        <w:spacing w:line="276" w:lineRule="auto"/>
        <w:ind w:firstLine="420"/>
        <w:rPr>
          <w:rFonts w:hAnsi="宋体" w:cs="Calibri"/>
          <w:bCs/>
          <w:sz w:val="22"/>
          <w:szCs w:val="22"/>
        </w:rPr>
      </w:pPr>
    </w:p>
    <w:p>
      <w:pPr>
        <w:pStyle w:val="29"/>
        <w:spacing w:line="276" w:lineRule="auto"/>
        <w:ind w:firstLine="220" w:firstLineChars="100"/>
        <w:rPr>
          <w:rFonts w:hAnsi="宋体" w:cs="Calibri"/>
          <w:bCs/>
          <w:sz w:val="22"/>
          <w:szCs w:val="22"/>
        </w:rPr>
      </w:pPr>
      <w:r>
        <w:rPr>
          <w:rFonts w:hint="eastAsia" w:hAnsi="宋体" w:cs="Calibri"/>
          <w:bCs/>
          <w:sz w:val="22"/>
          <w:szCs w:val="22"/>
        </w:rPr>
        <w:t>附件</w:t>
      </w:r>
      <w:r>
        <w:rPr>
          <w:rFonts w:hAnsi="宋体" w:cs="Calibri"/>
          <w:bCs/>
          <w:sz w:val="22"/>
          <w:szCs w:val="22"/>
        </w:rPr>
        <w:t>4</w:t>
      </w:r>
      <w:r>
        <w:rPr>
          <w:rFonts w:hint="eastAsia" w:hAnsi="宋体" w:cs="Calibri"/>
          <w:bCs/>
          <w:sz w:val="22"/>
          <w:szCs w:val="22"/>
        </w:rPr>
        <w:t>：保密承诺书</w:t>
      </w:r>
    </w:p>
    <w:p>
      <w:pPr>
        <w:tabs>
          <w:tab w:val="left" w:pos="540"/>
        </w:tabs>
        <w:topLinePunct/>
        <w:spacing w:line="276" w:lineRule="auto"/>
        <w:ind w:firstLine="723"/>
        <w:jc w:val="center"/>
        <w:rPr>
          <w:rFonts w:ascii="宋体" w:hAnsi="宋体" w:cs="宋体"/>
          <w:b/>
          <w:sz w:val="22"/>
          <w:szCs w:val="22"/>
        </w:rPr>
      </w:pPr>
      <w:r>
        <w:rPr>
          <w:rFonts w:hint="eastAsia" w:ascii="宋体" w:hAnsi="宋体" w:cs="宋体"/>
          <w:b/>
          <w:sz w:val="22"/>
        </w:rPr>
        <w:t>保密承诺书</w:t>
      </w:r>
    </w:p>
    <w:p>
      <w:pPr>
        <w:pStyle w:val="29"/>
        <w:spacing w:line="276" w:lineRule="auto"/>
        <w:ind w:firstLine="420"/>
        <w:rPr>
          <w:rFonts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29"/>
        <w:spacing w:line="276" w:lineRule="auto"/>
        <w:ind w:firstLine="420"/>
        <w:rPr>
          <w:rFonts w:hAnsi="宋体" w:cs="Calibri"/>
          <w:bCs/>
          <w:sz w:val="22"/>
          <w:szCs w:val="22"/>
        </w:rPr>
      </w:pPr>
      <w:r>
        <w:rPr>
          <w:rFonts w:hint="eastAsia" w:hAnsi="宋体" w:cs="Calibri"/>
          <w:bCs/>
          <w:sz w:val="22"/>
          <w:szCs w:val="22"/>
        </w:rPr>
        <w:t>1.商业秘密</w:t>
      </w:r>
    </w:p>
    <w:p>
      <w:pPr>
        <w:pStyle w:val="29"/>
        <w:spacing w:line="276" w:lineRule="auto"/>
        <w:ind w:firstLine="420"/>
        <w:rPr>
          <w:rFonts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29"/>
        <w:spacing w:line="276" w:lineRule="auto"/>
        <w:ind w:firstLine="420"/>
        <w:rPr>
          <w:rFonts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29"/>
        <w:spacing w:line="276" w:lineRule="auto"/>
        <w:ind w:firstLine="420"/>
        <w:rPr>
          <w:rFonts w:hAnsi="宋体" w:cs="Calibri"/>
          <w:bCs/>
          <w:sz w:val="22"/>
          <w:szCs w:val="22"/>
        </w:rPr>
      </w:pPr>
      <w:r>
        <w:rPr>
          <w:rFonts w:hint="eastAsia" w:hAnsi="宋体" w:cs="Calibri"/>
          <w:bCs/>
          <w:sz w:val="22"/>
          <w:szCs w:val="22"/>
        </w:rPr>
        <w:t>（2）管理信息（管理方法、管理制度、员工管理、合同管理、纠纷管理等）；</w:t>
      </w:r>
    </w:p>
    <w:p>
      <w:pPr>
        <w:pStyle w:val="29"/>
        <w:spacing w:line="276" w:lineRule="auto"/>
        <w:ind w:firstLine="420"/>
        <w:rPr>
          <w:rFonts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29"/>
        <w:spacing w:line="276" w:lineRule="auto"/>
        <w:ind w:firstLine="420"/>
        <w:rPr>
          <w:rFonts w:hAnsi="宋体" w:cs="Calibri"/>
          <w:bCs/>
          <w:sz w:val="22"/>
          <w:szCs w:val="22"/>
        </w:rPr>
      </w:pPr>
      <w:r>
        <w:rPr>
          <w:rFonts w:hint="eastAsia" w:hAnsi="宋体" w:cs="Calibri"/>
          <w:bCs/>
          <w:sz w:val="22"/>
          <w:szCs w:val="22"/>
        </w:rPr>
        <w:t>（4）财务信息（财务收支、固定资产、流动资金、成本核算等）；</w:t>
      </w:r>
    </w:p>
    <w:p>
      <w:pPr>
        <w:pStyle w:val="29"/>
        <w:spacing w:line="276" w:lineRule="auto"/>
        <w:ind w:firstLine="420"/>
        <w:rPr>
          <w:rFonts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29"/>
        <w:spacing w:line="276" w:lineRule="auto"/>
        <w:ind w:firstLine="420"/>
        <w:rPr>
          <w:rFonts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29"/>
        <w:spacing w:line="276" w:lineRule="auto"/>
        <w:ind w:firstLine="420"/>
        <w:rPr>
          <w:rFonts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29"/>
        <w:spacing w:line="276" w:lineRule="auto"/>
        <w:ind w:firstLine="420"/>
        <w:rPr>
          <w:rFonts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29"/>
        <w:spacing w:line="276" w:lineRule="auto"/>
        <w:ind w:firstLine="420"/>
        <w:rPr>
          <w:rFonts w:hAnsi="宋体" w:cs="Calibri"/>
          <w:bCs/>
          <w:sz w:val="22"/>
          <w:szCs w:val="22"/>
        </w:rPr>
      </w:pPr>
      <w:r>
        <w:rPr>
          <w:rFonts w:hint="eastAsia" w:hAnsi="宋体" w:cs="Calibri"/>
          <w:bCs/>
          <w:sz w:val="22"/>
          <w:szCs w:val="22"/>
        </w:rPr>
        <w:t>1.4、以下资料不属于本承诺所指的商业秘密：</w:t>
      </w:r>
    </w:p>
    <w:p>
      <w:pPr>
        <w:pStyle w:val="29"/>
        <w:spacing w:line="276" w:lineRule="auto"/>
        <w:ind w:firstLine="420"/>
        <w:rPr>
          <w:rFonts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29"/>
        <w:spacing w:line="276" w:lineRule="auto"/>
        <w:ind w:firstLine="420"/>
        <w:rPr>
          <w:rFonts w:hAnsi="宋体" w:cs="Calibri"/>
          <w:bCs/>
          <w:sz w:val="22"/>
          <w:szCs w:val="22"/>
        </w:rPr>
      </w:pPr>
      <w:r>
        <w:rPr>
          <w:rFonts w:hint="eastAsia" w:hAnsi="宋体" w:cs="Calibri"/>
          <w:bCs/>
          <w:sz w:val="22"/>
          <w:szCs w:val="22"/>
        </w:rPr>
        <w:t>（2）已经公开或已成为常识性的资料，且该等公开并非因违反本承诺所致。</w:t>
      </w:r>
    </w:p>
    <w:p>
      <w:pPr>
        <w:pStyle w:val="29"/>
        <w:spacing w:line="276" w:lineRule="auto"/>
        <w:ind w:firstLine="420"/>
        <w:rPr>
          <w:rFonts w:hAnsi="宋体" w:cs="Calibri"/>
          <w:bCs/>
          <w:sz w:val="22"/>
          <w:szCs w:val="22"/>
        </w:rPr>
      </w:pPr>
    </w:p>
    <w:p>
      <w:pPr>
        <w:pStyle w:val="29"/>
        <w:spacing w:line="276" w:lineRule="auto"/>
        <w:ind w:firstLine="420"/>
        <w:rPr>
          <w:rFonts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29"/>
        <w:spacing w:line="276" w:lineRule="auto"/>
        <w:ind w:firstLine="420"/>
        <w:rPr>
          <w:rFonts w:hAnsi="宋体" w:cs="Calibri"/>
          <w:bCs/>
          <w:sz w:val="22"/>
          <w:szCs w:val="22"/>
        </w:rPr>
      </w:pPr>
    </w:p>
    <w:p>
      <w:pPr>
        <w:pStyle w:val="29"/>
        <w:spacing w:line="276" w:lineRule="auto"/>
        <w:ind w:firstLine="420"/>
        <w:rPr>
          <w:rFonts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29"/>
        <w:spacing w:line="276" w:lineRule="auto"/>
        <w:ind w:firstLine="420"/>
        <w:rPr>
          <w:rFonts w:hAnsi="宋体" w:cs="Calibri"/>
          <w:bCs/>
          <w:sz w:val="22"/>
          <w:szCs w:val="22"/>
        </w:rPr>
      </w:pPr>
    </w:p>
    <w:p>
      <w:pPr>
        <w:pStyle w:val="29"/>
        <w:spacing w:line="276" w:lineRule="auto"/>
        <w:ind w:firstLine="420"/>
        <w:rPr>
          <w:rFonts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29"/>
        <w:spacing w:line="276" w:lineRule="auto"/>
        <w:ind w:firstLine="420"/>
        <w:rPr>
          <w:rFonts w:hAnsi="宋体" w:cs="Calibri"/>
          <w:bCs/>
          <w:sz w:val="22"/>
          <w:szCs w:val="22"/>
        </w:rPr>
      </w:pPr>
      <w:r>
        <w:rPr>
          <w:rFonts w:hint="eastAsia" w:hAnsi="宋体" w:cs="Calibri"/>
          <w:bCs/>
          <w:sz w:val="22"/>
          <w:szCs w:val="22"/>
        </w:rPr>
        <w:t>（1）披露、使用或者允许他人以不正当手段获取的商业秘密；</w:t>
      </w:r>
    </w:p>
    <w:p>
      <w:pPr>
        <w:pStyle w:val="29"/>
        <w:spacing w:line="276" w:lineRule="auto"/>
        <w:ind w:firstLine="420"/>
        <w:rPr>
          <w:rFonts w:hAnsi="宋体" w:cs="Calibri"/>
          <w:bCs/>
          <w:sz w:val="22"/>
          <w:szCs w:val="22"/>
        </w:rPr>
      </w:pPr>
      <w:r>
        <w:rPr>
          <w:rFonts w:hint="eastAsia" w:hAnsi="宋体" w:cs="Calibri"/>
          <w:bCs/>
          <w:sz w:val="22"/>
          <w:szCs w:val="22"/>
        </w:rPr>
        <w:t>（2）为机场公司以外的第三人窃取、刺探、收买、非法提供商业秘密。</w:t>
      </w:r>
    </w:p>
    <w:p>
      <w:pPr>
        <w:pStyle w:val="29"/>
        <w:spacing w:line="276" w:lineRule="auto"/>
        <w:ind w:firstLine="420"/>
        <w:rPr>
          <w:rFonts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29"/>
        <w:spacing w:line="276" w:lineRule="auto"/>
        <w:ind w:firstLine="420"/>
        <w:rPr>
          <w:rFonts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29"/>
        <w:spacing w:line="276" w:lineRule="auto"/>
        <w:ind w:firstLine="420"/>
        <w:rPr>
          <w:rFonts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29"/>
        <w:spacing w:line="276" w:lineRule="auto"/>
        <w:ind w:firstLine="420"/>
        <w:rPr>
          <w:rFonts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29"/>
        <w:spacing w:line="276" w:lineRule="auto"/>
        <w:ind w:firstLine="420"/>
        <w:rPr>
          <w:rFonts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29"/>
        <w:spacing w:line="276" w:lineRule="auto"/>
        <w:ind w:firstLine="420"/>
        <w:rPr>
          <w:rFonts w:hAnsi="宋体" w:cs="Calibri"/>
          <w:bCs/>
          <w:sz w:val="22"/>
          <w:szCs w:val="22"/>
        </w:rPr>
      </w:pPr>
    </w:p>
    <w:p>
      <w:pPr>
        <w:pStyle w:val="29"/>
        <w:spacing w:line="276" w:lineRule="auto"/>
        <w:ind w:firstLine="420"/>
        <w:rPr>
          <w:rFonts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29"/>
        <w:spacing w:line="276" w:lineRule="auto"/>
        <w:ind w:firstLine="420"/>
        <w:rPr>
          <w:rFonts w:hAnsi="宋体" w:cs="Calibri"/>
          <w:bCs/>
          <w:sz w:val="22"/>
          <w:szCs w:val="22"/>
        </w:rPr>
      </w:pPr>
    </w:p>
    <w:p>
      <w:pPr>
        <w:pStyle w:val="29"/>
        <w:spacing w:line="276" w:lineRule="auto"/>
        <w:ind w:firstLine="420"/>
        <w:rPr>
          <w:rFonts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29"/>
        <w:spacing w:line="276" w:lineRule="auto"/>
        <w:ind w:firstLine="420"/>
        <w:rPr>
          <w:rFonts w:hAnsi="宋体" w:cs="Calibri"/>
          <w:bCs/>
          <w:sz w:val="22"/>
          <w:szCs w:val="22"/>
        </w:rPr>
      </w:pPr>
    </w:p>
    <w:p>
      <w:pPr>
        <w:pStyle w:val="29"/>
        <w:spacing w:line="276" w:lineRule="auto"/>
        <w:ind w:firstLine="420"/>
        <w:rPr>
          <w:rFonts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29"/>
        <w:spacing w:line="276" w:lineRule="auto"/>
        <w:ind w:firstLine="420"/>
        <w:rPr>
          <w:rFonts w:hAnsi="宋体" w:cs="Calibri"/>
          <w:bCs/>
          <w:sz w:val="22"/>
          <w:szCs w:val="22"/>
        </w:rPr>
      </w:pPr>
    </w:p>
    <w:p>
      <w:pPr>
        <w:pStyle w:val="29"/>
        <w:spacing w:line="276" w:lineRule="auto"/>
        <w:ind w:firstLine="420"/>
        <w:rPr>
          <w:rFonts w:hAnsi="宋体" w:cs="Calibri"/>
          <w:bCs/>
          <w:sz w:val="22"/>
          <w:szCs w:val="22"/>
        </w:rPr>
      </w:pPr>
      <w:r>
        <w:rPr>
          <w:rFonts w:hint="eastAsia" w:hAnsi="宋体" w:cs="Calibri"/>
          <w:bCs/>
          <w:sz w:val="22"/>
          <w:szCs w:val="22"/>
        </w:rPr>
        <w:t>8、违约责任</w:t>
      </w:r>
    </w:p>
    <w:p>
      <w:pPr>
        <w:pStyle w:val="29"/>
        <w:spacing w:line="276" w:lineRule="auto"/>
        <w:ind w:firstLine="420"/>
        <w:rPr>
          <w:rFonts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29"/>
        <w:spacing w:line="276" w:lineRule="auto"/>
        <w:ind w:firstLine="420"/>
        <w:rPr>
          <w:rFonts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29"/>
        <w:spacing w:line="276" w:lineRule="auto"/>
        <w:ind w:firstLine="420"/>
        <w:rPr>
          <w:rFonts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29"/>
        <w:spacing w:line="276" w:lineRule="auto"/>
        <w:ind w:firstLine="3960" w:firstLineChars="1800"/>
        <w:rPr>
          <w:rFonts w:hAnsi="宋体" w:cs="Calibri"/>
          <w:bCs/>
          <w:sz w:val="22"/>
          <w:szCs w:val="22"/>
        </w:rPr>
      </w:pPr>
      <w:r>
        <w:rPr>
          <w:rFonts w:hint="eastAsia" w:hAnsi="宋体" w:cs="Calibri"/>
          <w:bCs/>
          <w:sz w:val="22"/>
          <w:szCs w:val="22"/>
        </w:rPr>
        <w:t>供应商(盖章):</w:t>
      </w:r>
    </w:p>
    <w:p>
      <w:pPr>
        <w:pStyle w:val="29"/>
        <w:spacing w:line="276" w:lineRule="auto"/>
        <w:ind w:firstLine="3960" w:firstLineChars="1800"/>
        <w:rPr>
          <w:rFonts w:hAnsi="宋体" w:cs="Calibri"/>
          <w:bCs/>
          <w:sz w:val="22"/>
          <w:szCs w:val="22"/>
        </w:rPr>
      </w:pPr>
      <w:r>
        <w:rPr>
          <w:rFonts w:hint="eastAsia" w:hAnsi="宋体" w:cs="Calibri"/>
          <w:bCs/>
          <w:sz w:val="22"/>
          <w:szCs w:val="22"/>
        </w:rPr>
        <w:t>法定代表人或授权代表：</w:t>
      </w:r>
    </w:p>
    <w:p>
      <w:pPr>
        <w:pStyle w:val="29"/>
        <w:spacing w:line="276" w:lineRule="auto"/>
        <w:ind w:firstLine="3960" w:firstLineChars="1800"/>
        <w:rPr>
          <w:rFonts w:hAnsi="宋体" w:cs="Calibri"/>
          <w:bCs/>
          <w:sz w:val="22"/>
          <w:szCs w:val="22"/>
        </w:rPr>
      </w:pPr>
      <w:r>
        <w:rPr>
          <w:rFonts w:hint="eastAsia" w:hAnsi="宋体" w:cs="Calibri"/>
          <w:bCs/>
          <w:sz w:val="22"/>
          <w:szCs w:val="22"/>
        </w:rPr>
        <w:t>电话/传真：</w:t>
      </w:r>
    </w:p>
    <w:p>
      <w:pPr>
        <w:pStyle w:val="29"/>
        <w:spacing w:line="276" w:lineRule="auto"/>
        <w:ind w:firstLine="3960" w:firstLineChars="1800"/>
        <w:rPr>
          <w:rFonts w:hAnsi="宋体" w:cs="Calibri"/>
          <w:bCs/>
          <w:sz w:val="22"/>
          <w:szCs w:val="22"/>
        </w:rPr>
      </w:pPr>
      <w:r>
        <w:rPr>
          <w:rFonts w:hint="eastAsia" w:hAnsi="宋体" w:cs="Calibri"/>
          <w:bCs/>
          <w:sz w:val="22"/>
          <w:szCs w:val="22"/>
        </w:rPr>
        <w:t>地址：</w:t>
      </w:r>
    </w:p>
    <w:p>
      <w:pPr>
        <w:spacing w:line="276" w:lineRule="auto"/>
        <w:ind w:firstLine="3960" w:firstLineChars="1800"/>
        <w:rPr>
          <w:rFonts w:ascii="宋体" w:hAnsi="宋体"/>
          <w:sz w:val="22"/>
        </w:rPr>
      </w:pPr>
      <w:r>
        <w:rPr>
          <w:rFonts w:hint="eastAsia" w:hAnsi="宋体" w:cs="Calibri"/>
          <w:bCs/>
          <w:sz w:val="22"/>
        </w:rPr>
        <w:t>日期：</w:t>
      </w:r>
      <w:r>
        <w:rPr>
          <w:rFonts w:hint="eastAsia" w:ascii="宋体" w:hAnsi="宋体"/>
          <w:sz w:val="22"/>
        </w:rPr>
        <w:t xml:space="preserve">     年  </w:t>
      </w:r>
      <w:r>
        <w:rPr>
          <w:rFonts w:hAnsi="宋体" w:cs="Calibri"/>
          <w:bCs/>
          <w:sz w:val="22"/>
        </w:rPr>
        <w:t xml:space="preserve"> </w:t>
      </w:r>
      <w:r>
        <w:rPr>
          <w:rFonts w:hint="eastAsia" w:ascii="宋体" w:hAnsi="宋体"/>
          <w:sz w:val="22"/>
        </w:rPr>
        <w:t xml:space="preserve">月  </w:t>
      </w:r>
      <w:r>
        <w:rPr>
          <w:rFonts w:hAnsi="宋体" w:cs="Calibri"/>
          <w:bCs/>
          <w:sz w:val="22"/>
        </w:rPr>
        <w:t xml:space="preserve"> </w:t>
      </w:r>
      <w:r>
        <w:rPr>
          <w:rFonts w:hint="eastAsia" w:ascii="宋体" w:hAnsi="宋体"/>
          <w:sz w:val="22"/>
        </w:rPr>
        <w:t>日</w:t>
      </w:r>
    </w:p>
    <w:p>
      <w:pPr>
        <w:widowControl/>
        <w:jc w:val="left"/>
        <w:rPr>
          <w:rFonts w:cs="仿宋_GB2312" w:asciiTheme="minorEastAsia" w:hAnsiTheme="minorEastAsia"/>
          <w:szCs w:val="21"/>
        </w:rPr>
      </w:pPr>
      <w:r>
        <w:rPr>
          <w:rFonts w:ascii="宋体" w:hAnsi="宋体"/>
          <w:sz w:val="22"/>
        </w:rPr>
        <w:br w:type="page"/>
      </w:r>
      <w:r>
        <w:rPr>
          <w:rFonts w:hint="eastAsia" w:cs="仿宋_GB2312" w:asciiTheme="minorEastAsia" w:hAnsiTheme="minorEastAsia"/>
          <w:szCs w:val="21"/>
        </w:rPr>
        <w:t>附件</w:t>
      </w:r>
      <w:r>
        <w:rPr>
          <w:rFonts w:cs="仿宋_GB2312" w:asciiTheme="minorEastAsia" w:hAnsiTheme="minorEastAsia"/>
          <w:szCs w:val="21"/>
        </w:rPr>
        <w:t>5</w:t>
      </w:r>
      <w:r>
        <w:rPr>
          <w:rFonts w:hint="eastAsia" w:cs="仿宋_GB2312" w:asciiTheme="minorEastAsia" w:hAnsiTheme="minorEastAsia"/>
          <w:szCs w:val="21"/>
        </w:rPr>
        <w:t>：</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360" w:lineRule="exact"/>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360" w:lineRule="exact"/>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360" w:lineRule="exact"/>
        <w:ind w:firstLine="440" w:firstLineChars="200"/>
        <w:rPr>
          <w:rFonts w:ascii="宋体" w:hAnsi="宋体"/>
          <w:sz w:val="22"/>
        </w:rPr>
      </w:pPr>
      <w:r>
        <w:rPr>
          <w:rFonts w:ascii="宋体" w:hAnsi="宋体"/>
          <w:sz w:val="22"/>
        </w:rPr>
        <w:t>1、无死亡事故和重大伤害事故(含道路交通事故)。</w:t>
      </w:r>
    </w:p>
    <w:p>
      <w:pPr>
        <w:spacing w:line="360" w:lineRule="exact"/>
        <w:ind w:firstLine="440" w:firstLineChars="200"/>
        <w:rPr>
          <w:rFonts w:ascii="宋体" w:hAnsi="宋体"/>
          <w:sz w:val="22"/>
        </w:rPr>
      </w:pPr>
      <w:r>
        <w:rPr>
          <w:rFonts w:ascii="宋体" w:hAnsi="宋体"/>
          <w:sz w:val="22"/>
        </w:rPr>
        <w:t>2、无重大责任事故。</w:t>
      </w:r>
    </w:p>
    <w:p>
      <w:pPr>
        <w:spacing w:line="360" w:lineRule="exact"/>
        <w:ind w:firstLine="440" w:firstLineChars="200"/>
        <w:rPr>
          <w:rFonts w:ascii="宋体" w:hAnsi="宋体"/>
          <w:sz w:val="22"/>
        </w:rPr>
      </w:pPr>
      <w:r>
        <w:rPr>
          <w:rFonts w:ascii="宋体" w:hAnsi="宋体"/>
          <w:sz w:val="22"/>
        </w:rPr>
        <w:t>3、无空防安全事故。</w:t>
      </w:r>
    </w:p>
    <w:p>
      <w:pPr>
        <w:spacing w:line="360" w:lineRule="exact"/>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360" w:lineRule="exact"/>
        <w:ind w:firstLine="440" w:firstLineChars="200"/>
        <w:rPr>
          <w:rFonts w:ascii="宋体" w:hAnsi="宋体"/>
          <w:sz w:val="22"/>
        </w:rPr>
      </w:pPr>
      <w:r>
        <w:rPr>
          <w:rFonts w:ascii="宋体" w:hAnsi="宋体"/>
          <w:sz w:val="22"/>
        </w:rPr>
        <w:t>上述情况的认定按国家和行业的有关规定和标准执行。</w:t>
      </w:r>
    </w:p>
    <w:p>
      <w:pPr>
        <w:spacing w:line="360" w:lineRule="exact"/>
        <w:ind w:firstLine="442" w:firstLineChars="200"/>
        <w:rPr>
          <w:rFonts w:ascii="宋体" w:hAnsi="宋体"/>
          <w:b/>
          <w:sz w:val="22"/>
        </w:rPr>
      </w:pPr>
      <w:r>
        <w:rPr>
          <w:rFonts w:ascii="宋体" w:hAnsi="宋体"/>
          <w:b/>
          <w:sz w:val="22"/>
        </w:rPr>
        <w:t>二、甲方的协助责任和权利</w:t>
      </w:r>
    </w:p>
    <w:p>
      <w:pPr>
        <w:spacing w:line="360" w:lineRule="exact"/>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360" w:lineRule="exact"/>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360" w:lineRule="exact"/>
        <w:ind w:firstLine="440" w:firstLineChars="200"/>
        <w:rPr>
          <w:rFonts w:ascii="宋体" w:hAnsi="宋体"/>
          <w:sz w:val="22"/>
        </w:rPr>
      </w:pPr>
      <w:r>
        <w:rPr>
          <w:rFonts w:ascii="宋体" w:hAnsi="宋体"/>
          <w:sz w:val="22"/>
        </w:rPr>
        <w:t>11、甲方有权对乙方各项安全工作进行监督、检查。</w:t>
      </w:r>
    </w:p>
    <w:p>
      <w:pPr>
        <w:spacing w:line="360" w:lineRule="exact"/>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rPr>
      </w:pPr>
      <w:r>
        <w:rPr>
          <w:rFonts w:ascii="宋体" w:hAnsi="宋体"/>
          <w:b/>
          <w:sz w:val="22"/>
        </w:rPr>
        <w:t>三、乙方的安全责任和权利</w:t>
      </w:r>
    </w:p>
    <w:p>
      <w:pPr>
        <w:spacing w:line="360" w:lineRule="exact"/>
        <w:ind w:firstLine="440" w:firstLineChars="200"/>
        <w:rPr>
          <w:rFonts w:ascii="宋体" w:hAnsi="宋体"/>
          <w:sz w:val="22"/>
        </w:rPr>
      </w:pPr>
      <w:r>
        <w:rPr>
          <w:rFonts w:ascii="宋体" w:hAnsi="宋体"/>
          <w:sz w:val="22"/>
        </w:rPr>
        <w:t>（一）乙方应从事的施工安全管理</w:t>
      </w:r>
    </w:p>
    <w:p>
      <w:pPr>
        <w:spacing w:line="360" w:lineRule="exact"/>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rPr>
      </w:pPr>
      <w:r>
        <w:rPr>
          <w:rFonts w:ascii="宋体" w:hAnsi="宋体"/>
          <w:sz w:val="22"/>
        </w:rPr>
        <w:t>（二）乙方应从事的空防安全管理</w:t>
      </w:r>
    </w:p>
    <w:p>
      <w:pPr>
        <w:spacing w:line="360" w:lineRule="exact"/>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rPr>
      </w:pPr>
      <w:r>
        <w:rPr>
          <w:rFonts w:ascii="宋体" w:hAnsi="宋体"/>
          <w:sz w:val="22"/>
        </w:rPr>
        <w:t>（三）乙方应从事的不停航施工项目安全管理</w:t>
      </w:r>
    </w:p>
    <w:p>
      <w:pPr>
        <w:spacing w:line="360" w:lineRule="exact"/>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rPr>
      </w:pPr>
      <w:r>
        <w:rPr>
          <w:rFonts w:ascii="宋体" w:hAnsi="宋体"/>
          <w:sz w:val="22"/>
        </w:rPr>
        <w:t xml:space="preserve">（四）乙方的文明施工责任 </w:t>
      </w:r>
    </w:p>
    <w:p>
      <w:pPr>
        <w:spacing w:line="360" w:lineRule="exact"/>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rPr>
      </w:pPr>
      <w:r>
        <w:rPr>
          <w:rFonts w:ascii="宋体" w:hAnsi="宋体"/>
          <w:sz w:val="22"/>
        </w:rPr>
        <w:t>（五）乙方应从事的社会治安综合治理</w:t>
      </w:r>
    </w:p>
    <w:p>
      <w:pPr>
        <w:spacing w:line="360" w:lineRule="exact"/>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360" w:lineRule="exact"/>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rPr>
      </w:pPr>
      <w:r>
        <w:rPr>
          <w:rFonts w:ascii="宋体" w:hAnsi="宋体"/>
          <w:sz w:val="22"/>
        </w:rPr>
        <w:t>（六）乙方应从事的消防安全管理</w:t>
      </w:r>
    </w:p>
    <w:p>
      <w:pPr>
        <w:spacing w:line="360" w:lineRule="exact"/>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rPr>
      </w:pPr>
      <w:r>
        <w:rPr>
          <w:rFonts w:ascii="宋体" w:hAnsi="宋体"/>
          <w:sz w:val="22"/>
        </w:rPr>
        <w:t>（七）乙方应从事的交通安全管理</w:t>
      </w:r>
    </w:p>
    <w:p>
      <w:pPr>
        <w:spacing w:line="360" w:lineRule="exact"/>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rPr>
      </w:pPr>
      <w:r>
        <w:rPr>
          <w:rFonts w:ascii="宋体" w:hAnsi="宋体"/>
          <w:b/>
          <w:sz w:val="22"/>
        </w:rPr>
        <w:t>四、违约责任</w:t>
      </w:r>
    </w:p>
    <w:p>
      <w:pPr>
        <w:spacing w:line="360" w:lineRule="exact"/>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360" w:lineRule="exact"/>
        <w:rPr>
          <w:rFonts w:ascii="宋体" w:hAnsi="宋体"/>
          <w:b/>
          <w:bCs/>
          <w:sz w:val="22"/>
        </w:rPr>
      </w:pPr>
      <w:r>
        <w:rPr>
          <w:rFonts w:ascii="宋体" w:hAnsi="宋体"/>
          <w:b/>
          <w:bCs/>
          <w:sz w:val="22"/>
        </w:rPr>
        <w:t>五、附则：</w:t>
      </w:r>
    </w:p>
    <w:p>
      <w:pPr>
        <w:adjustRightInd w:val="0"/>
        <w:snapToGrid w:val="0"/>
        <w:spacing w:line="360" w:lineRule="exact"/>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rPr>
      </w:pPr>
      <w:r>
        <w:rPr>
          <w:rFonts w:ascii="宋体" w:hAnsi="宋体"/>
          <w:sz w:val="22"/>
        </w:rPr>
        <w:t>（二）本责任书解释权归甲方。</w:t>
      </w:r>
    </w:p>
    <w:p>
      <w:pPr>
        <w:adjustRightInd w:val="0"/>
        <w:snapToGrid w:val="0"/>
        <w:spacing w:line="360" w:lineRule="exact"/>
        <w:rPr>
          <w:rFonts w:ascii="宋体" w:hAnsi="宋体"/>
          <w:sz w:val="22"/>
        </w:rPr>
      </w:pPr>
    </w:p>
    <w:p>
      <w:pPr>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widowControl/>
        <w:jc w:val="left"/>
        <w:rPr>
          <w:rFonts w:ascii="宋体" w:hAnsi="宋体"/>
          <w:b/>
          <w:sz w:val="22"/>
        </w:rPr>
      </w:pPr>
      <w:r>
        <w:rPr>
          <w:rFonts w:ascii="宋体" w:hAnsi="宋体"/>
          <w:b/>
          <w:sz w:val="22"/>
        </w:rPr>
        <w:br w:type="page"/>
      </w:r>
    </w:p>
    <w:p>
      <w:pPr>
        <w:jc w:val="center"/>
        <w:rPr>
          <w:b/>
          <w:sz w:val="36"/>
          <w:szCs w:val="36"/>
        </w:rPr>
      </w:pPr>
      <w:r>
        <w:rPr>
          <w:rFonts w:hint="eastAsia"/>
          <w:b/>
          <w:sz w:val="36"/>
          <w:szCs w:val="36"/>
        </w:rPr>
        <w:t>杭州萧山国际机场基建项目安全文明施工考核办法</w:t>
      </w:r>
    </w:p>
    <w:p>
      <w:pPr>
        <w:rPr>
          <w:rFonts w:asciiTheme="minorEastAsia" w:hAnsiTheme="minorEastAsia"/>
          <w:sz w:val="22"/>
          <w:szCs w:val="22"/>
        </w:rPr>
      </w:pP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一、考核原则</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一）预先通知原则。信导部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二）奖励与处罚相结合原则。通过考核与评比，在机场公司或信导部组织的各类检查评比中，获得好评的的施工项目部将按照相关规定予以奖励；对违反国家相关法律、法规和安全生产规范、规程、标准及《杭州萧山国际机场安全文明施工协议书》的，将严格按照本考核办法扣罚。</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三）考核与结算相结合原则。信导部各工程管理业务科室（包括临时成立的检查小组）对其查出的安全问题隐患，经通知仍未整改的，开具《安全文明施工工作联系单》（以下简称“联系单”，附后）督促跟踪整改，并做好备案记录，一并于项目竣工后结算。</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（四）考核与经济利益直接挂钩原则。以《安全文明施工工作联系单》确认的奖惩数额为准。</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二、适用范围</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本考核办法适用于参与杭州萧山国际机场基本建设的各施工监理单位。与总包单位签订分包合同的分包单位纳入对总包单位的考核，不作为被考核主体。</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三、考核程序</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报信导部一份。</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（四）考核最终汇总兑现。各施工项目部工程结束后由信导部计算出累计处罚总数，从工程履约保证金中扣除，但不得超过工程履约保证金的</w:t>
      </w:r>
      <w:r>
        <w:rPr>
          <w:rFonts w:asciiTheme="minorEastAsia" w:hAnsiTheme="minorEastAsia"/>
          <w:sz w:val="22"/>
          <w:szCs w:val="22"/>
        </w:rPr>
        <w:t>20%</w:t>
      </w:r>
      <w:r>
        <w:rPr>
          <w:rFonts w:hint="eastAsia" w:asciiTheme="minorEastAsia" w:hAnsiTheme="minorEastAsia"/>
          <w:sz w:val="22"/>
          <w:szCs w:val="22"/>
        </w:rPr>
        <w:t>。</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四、其它</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（一）施工项目部突破《杭州萧山国际机场安全文明施工协议书》安全控制目标内容之一的，不属于本办法考核范围，由信导部依据有关规定直接进行处罚。</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（二）《处罚标准》中所称的“协议”是指机场公司与施工项目部签订的《杭州萧山国际机场安全文明施工协议书》及各种协议文件；“建标”是指《建筑施工安全检查标准》（</w:t>
      </w:r>
      <w:r>
        <w:rPr>
          <w:rFonts w:asciiTheme="minorEastAsia" w:hAnsiTheme="minorEastAsia"/>
          <w:sz w:val="22"/>
          <w:szCs w:val="22"/>
        </w:rPr>
        <w:t>JGJ59-2011</w:t>
      </w:r>
      <w:r>
        <w:rPr>
          <w:rFonts w:hint="eastAsia" w:asciiTheme="minorEastAsia" w:hAnsiTheme="minorEastAsia"/>
          <w:sz w:val="22"/>
          <w:szCs w:val="22"/>
        </w:rPr>
        <w:t>）。</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（三）施工项目部收到《安全文明施工工作联系单》后，在指定期限内仍未整改到位，加倍处罚直至整改到位为止。</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（四）本考核办法未作规定，但已违反国家相关法律、法规和安全生产规范、规程、标准及《杭州萧山国际机场安全文明施工协议书》的行为，由信导部参照《处罚标准》相关规定进行处罚。</w:t>
      </w:r>
    </w:p>
    <w:p>
      <w:pPr>
        <w:spacing w:line="276" w:lineRule="auto"/>
        <w:ind w:firstLine="440" w:firstLineChars="200"/>
        <w:rPr>
          <w:rFonts w:asciiTheme="minorEastAsia" w:hAnsiTheme="minorEastAsia"/>
          <w:sz w:val="22"/>
          <w:szCs w:val="22"/>
        </w:rPr>
      </w:pPr>
      <w:r>
        <w:rPr>
          <w:rFonts w:hint="eastAsia" w:asciiTheme="minorEastAsia" w:hAnsiTheme="minorEastAsia"/>
          <w:sz w:val="22"/>
          <w:szCs w:val="22"/>
        </w:rPr>
        <w:t>（五）本考核办法以实际发文为准。</w:t>
      </w:r>
    </w:p>
    <w:p/>
    <w:p>
      <w:r>
        <w:t xml:space="preserve">    </w:t>
      </w:r>
    </w:p>
    <w:p>
      <w:pPr>
        <w:jc w:val="center"/>
      </w:pPr>
      <w:r>
        <w:rPr>
          <w:rFonts w:hint="eastAsia"/>
        </w:rPr>
        <w:t>安全文明施工处罚标准</w:t>
      </w:r>
    </w:p>
    <w:p/>
    <w:tbl>
      <w:tblPr>
        <w:tblStyle w:val="52"/>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60"/>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序列号</w:t>
            </w:r>
          </w:p>
        </w:tc>
        <w:tc>
          <w:tcPr>
            <w:tcW w:w="6660" w:type="dxa"/>
            <w:vAlign w:val="center"/>
          </w:tcPr>
          <w:p>
            <w:r>
              <w:rPr>
                <w:rFonts w:hint="eastAsia"/>
              </w:rPr>
              <w:t>内</w:t>
            </w:r>
            <w:r>
              <w:t xml:space="preserve">       </w:t>
            </w:r>
            <w:r>
              <w:rPr>
                <w:rFonts w:hint="eastAsia"/>
              </w:rPr>
              <w:t>容</w:t>
            </w:r>
          </w:p>
        </w:tc>
        <w:tc>
          <w:tcPr>
            <w:tcW w:w="720" w:type="dxa"/>
            <w:vAlign w:val="center"/>
          </w:tcPr>
          <w:p>
            <w:r>
              <w:rPr>
                <w:rFonts w:hint="eastAsia"/>
              </w:rPr>
              <w:t>依据</w:t>
            </w:r>
          </w:p>
        </w:tc>
        <w:tc>
          <w:tcPr>
            <w:tcW w:w="1440" w:type="dxa"/>
            <w:vAlign w:val="center"/>
          </w:tcPr>
          <w:p>
            <w:r>
              <w:rPr>
                <w:rFonts w:hint="eastAsia"/>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p>
        </w:tc>
        <w:tc>
          <w:tcPr>
            <w:tcW w:w="6660" w:type="dxa"/>
            <w:vAlign w:val="center"/>
          </w:tcPr>
          <w:p>
            <w:r>
              <w:rPr>
                <w:rFonts w:hint="eastAsia"/>
              </w:rPr>
              <w:t>隔离区施工</w:t>
            </w:r>
          </w:p>
        </w:tc>
        <w:tc>
          <w:tcPr>
            <w:tcW w:w="720" w:type="dxa"/>
            <w:vAlign w:val="center"/>
          </w:tcPr>
          <w:p/>
        </w:tc>
        <w:tc>
          <w:tcPr>
            <w:tcW w:w="14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w:t>
            </w:r>
          </w:p>
        </w:tc>
        <w:tc>
          <w:tcPr>
            <w:tcW w:w="6660" w:type="dxa"/>
          </w:tcPr>
          <w:p>
            <w:r>
              <w:rPr>
                <w:rFonts w:hint="eastAsia"/>
              </w:rPr>
              <w:t>未按照杭州国际机场隔离区施工组织方案、安全保障措施进行施工作业影响机场正常运行或造成不安全事件的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20000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.2</w:t>
            </w:r>
          </w:p>
        </w:tc>
        <w:tc>
          <w:tcPr>
            <w:tcW w:w="6660" w:type="dxa"/>
          </w:tcPr>
          <w:p>
            <w:r>
              <w:rPr>
                <w:rFonts w:hint="eastAsia"/>
              </w:rPr>
              <w:t>无故不参加各类隔离区施工例会、专题会议的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.3</w:t>
            </w:r>
          </w:p>
        </w:tc>
        <w:tc>
          <w:tcPr>
            <w:tcW w:w="6660" w:type="dxa"/>
          </w:tcPr>
          <w:p>
            <w:r>
              <w:rPr>
                <w:rFonts w:hint="eastAsia"/>
              </w:rPr>
              <w:t>未对施工人员进行空防安全和运行安全教育培训或教育培训无台帐记录的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.4</w:t>
            </w:r>
          </w:p>
        </w:tc>
        <w:tc>
          <w:tcPr>
            <w:tcW w:w="6660" w:type="dxa"/>
          </w:tcPr>
          <w:p>
            <w:r>
              <w:rPr>
                <w:rFonts w:hint="eastAsia"/>
              </w:rPr>
              <w:t>施工进场前未对施工人员进行安全教育或交底的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.5</w:t>
            </w:r>
          </w:p>
        </w:tc>
        <w:tc>
          <w:tcPr>
            <w:tcW w:w="6660" w:type="dxa"/>
          </w:tcPr>
          <w:p>
            <w:r>
              <w:rPr>
                <w:rFonts w:hint="eastAsia"/>
              </w:rPr>
              <w:t>管理人员擅离岗位、未实施全程监管或未有效履行安全管理职责的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.6</w:t>
            </w:r>
          </w:p>
        </w:tc>
        <w:tc>
          <w:tcPr>
            <w:tcW w:w="6660" w:type="dxa"/>
          </w:tcPr>
          <w:p>
            <w:r>
              <w:rPr>
                <w:rFonts w:hint="eastAsia"/>
              </w:rPr>
              <w:t>现场不服从机场或信导部现场管理人员指挥、管理的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.7</w:t>
            </w:r>
          </w:p>
        </w:tc>
        <w:tc>
          <w:tcPr>
            <w:tcW w:w="6660" w:type="dxa"/>
            <w:vAlign w:val="center"/>
          </w:tcPr>
          <w:p>
            <w:r>
              <w:rPr>
                <w:rFonts w:hint="eastAsia"/>
              </w:rPr>
              <w:t>未按规定设置或撤除警戒围栏的</w:t>
            </w:r>
          </w:p>
        </w:tc>
        <w:tc>
          <w:tcPr>
            <w:tcW w:w="720" w:type="dxa"/>
            <w:vAlign w:val="center"/>
          </w:tcPr>
          <w:p>
            <w:r>
              <w:rPr>
                <w:rFonts w:hint="eastAsia"/>
              </w:rPr>
              <w:t>方案</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.8</w:t>
            </w:r>
          </w:p>
        </w:tc>
        <w:tc>
          <w:tcPr>
            <w:tcW w:w="6660" w:type="dxa"/>
            <w:vAlign w:val="center"/>
          </w:tcPr>
          <w:p>
            <w:r>
              <w:rPr>
                <w:rFonts w:hint="eastAsia"/>
              </w:rPr>
              <w:t>施工人员擅自侵入飞行活动区的</w:t>
            </w:r>
          </w:p>
        </w:tc>
        <w:tc>
          <w:tcPr>
            <w:tcW w:w="720" w:type="dxa"/>
            <w:vAlign w:val="center"/>
          </w:tcPr>
          <w:p>
            <w:r>
              <w:rPr>
                <w:rFonts w:hint="eastAsia"/>
              </w:rPr>
              <w:t>协议</w:t>
            </w:r>
          </w:p>
        </w:tc>
        <w:tc>
          <w:tcPr>
            <w:tcW w:w="1440" w:type="dxa"/>
            <w:vAlign w:val="center"/>
          </w:tcPr>
          <w:p>
            <w:r>
              <w:t>20000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.9</w:t>
            </w:r>
          </w:p>
        </w:tc>
        <w:tc>
          <w:tcPr>
            <w:tcW w:w="6660" w:type="dxa"/>
          </w:tcPr>
          <w:p>
            <w:r>
              <w:rPr>
                <w:rFonts w:hint="eastAsia"/>
              </w:rPr>
              <w:t>施工人员攀爬、翻越、跨越隔离围栏及其他安全防护设施或向控制区内传递物品等，尚未影响机场正常运行的</w:t>
            </w:r>
          </w:p>
        </w:tc>
        <w:tc>
          <w:tcPr>
            <w:tcW w:w="720" w:type="dxa"/>
            <w:vAlign w:val="center"/>
          </w:tcPr>
          <w:p>
            <w:r>
              <w:rPr>
                <w:rFonts w:hint="eastAsia"/>
              </w:rPr>
              <w:t>协议</w:t>
            </w:r>
          </w:p>
        </w:tc>
        <w:tc>
          <w:tcPr>
            <w:tcW w:w="1440" w:type="dxa"/>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.10</w:t>
            </w:r>
          </w:p>
        </w:tc>
        <w:tc>
          <w:tcPr>
            <w:tcW w:w="6660" w:type="dxa"/>
            <w:vAlign w:val="center"/>
          </w:tcPr>
          <w:p>
            <w:r>
              <w:rPr>
                <w:rFonts w:hint="eastAsia"/>
              </w:rPr>
              <w:t>施工人员擅自超越指定施工活动范围的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.11</w:t>
            </w:r>
          </w:p>
        </w:tc>
        <w:tc>
          <w:tcPr>
            <w:tcW w:w="6660" w:type="dxa"/>
            <w:vAlign w:val="center"/>
          </w:tcPr>
          <w:p>
            <w:r>
              <w:rPr>
                <w:rFonts w:hint="eastAsia"/>
              </w:rPr>
              <w:t>不按要求作业，挖破或挖断地下管线</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.12</w:t>
            </w:r>
          </w:p>
        </w:tc>
        <w:tc>
          <w:tcPr>
            <w:tcW w:w="6660" w:type="dxa"/>
            <w:vAlign w:val="center"/>
          </w:tcPr>
          <w:p>
            <w:r>
              <w:rPr>
                <w:rFonts w:hint="eastAsia"/>
              </w:rPr>
              <w:t>未做到工完场清，沿线道面、施工现场遗留工具、材料、垃圾未及时清理清扫的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rPr>
                <w:rFonts w:hint="eastAsia"/>
              </w:rPr>
              <w:t>１</w:t>
            </w:r>
            <w:r>
              <w:t>.13</w:t>
            </w:r>
          </w:p>
        </w:tc>
        <w:tc>
          <w:tcPr>
            <w:tcW w:w="6660" w:type="dxa"/>
            <w:vAlign w:val="center"/>
          </w:tcPr>
          <w:p>
            <w:r>
              <w:rPr>
                <w:rFonts w:hint="eastAsia"/>
              </w:rPr>
              <w:t>发生其它违反《民用机场运行安全管理规定》（</w:t>
            </w:r>
            <w:r>
              <w:t>191</w:t>
            </w:r>
            <w:r>
              <w:rPr>
                <w:rFonts w:hint="eastAsia"/>
              </w:rPr>
              <w:t>号令）和杭州萧山国际机场安全运行管理规定行为的</w:t>
            </w:r>
          </w:p>
        </w:tc>
        <w:tc>
          <w:tcPr>
            <w:tcW w:w="720" w:type="dxa"/>
            <w:vAlign w:val="center"/>
          </w:tcPr>
          <w:p>
            <w:r>
              <w:rPr>
                <w:rFonts w:hint="eastAsia"/>
              </w:rPr>
              <w:t>方案</w:t>
            </w:r>
          </w:p>
        </w:tc>
        <w:tc>
          <w:tcPr>
            <w:tcW w:w="1440" w:type="dxa"/>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w:t>
            </w:r>
          </w:p>
        </w:tc>
        <w:tc>
          <w:tcPr>
            <w:tcW w:w="6660" w:type="dxa"/>
            <w:vAlign w:val="center"/>
          </w:tcPr>
          <w:p>
            <w:r>
              <w:rPr>
                <w:rFonts w:hint="eastAsia"/>
              </w:rPr>
              <w:t>空防安全</w:t>
            </w:r>
          </w:p>
        </w:tc>
        <w:tc>
          <w:tcPr>
            <w:tcW w:w="720" w:type="dxa"/>
            <w:vAlign w:val="center"/>
          </w:tcPr>
          <w:p/>
        </w:tc>
        <w:tc>
          <w:tcPr>
            <w:tcW w:w="144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w:t>
            </w:r>
          </w:p>
        </w:tc>
        <w:tc>
          <w:tcPr>
            <w:tcW w:w="6660" w:type="dxa"/>
          </w:tcPr>
          <w:p>
            <w:r>
              <w:rPr>
                <w:rFonts w:hint="eastAsia"/>
              </w:rPr>
              <w:t>进入控制区的人员不服从机场管理人员的管理、检查的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2.2</w:t>
            </w:r>
          </w:p>
        </w:tc>
        <w:tc>
          <w:tcPr>
            <w:tcW w:w="6660" w:type="dxa"/>
          </w:tcPr>
          <w:p>
            <w:r>
              <w:rPr>
                <w:rFonts w:hint="eastAsia"/>
              </w:rPr>
              <w:t>把关不严，提供虚假证明、证件或其它相关资料申办控制区人员通行证的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2.3</w:t>
            </w:r>
          </w:p>
        </w:tc>
        <w:tc>
          <w:tcPr>
            <w:tcW w:w="6660" w:type="dxa"/>
          </w:tcPr>
          <w:p>
            <w:r>
              <w:rPr>
                <w:rFonts w:hint="eastAsia"/>
              </w:rPr>
              <w:t>提供虚假车辆、设备证件、检验记录和保险凭证申办《车辆通行证》的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2.4</w:t>
            </w:r>
          </w:p>
        </w:tc>
        <w:tc>
          <w:tcPr>
            <w:tcW w:w="6660" w:type="dxa"/>
          </w:tcPr>
          <w:p>
            <w:r>
              <w:rPr>
                <w:rFonts w:hint="eastAsia"/>
              </w:rPr>
              <w:t>车辆证件、检验记录和保险凭证过期失效未补办后续手续，仍进入控制区施工作业的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2.5</w:t>
            </w:r>
          </w:p>
        </w:tc>
        <w:tc>
          <w:tcPr>
            <w:tcW w:w="6660" w:type="dxa"/>
          </w:tcPr>
          <w:p>
            <w:r>
              <w:rPr>
                <w:rFonts w:hint="eastAsia"/>
              </w:rPr>
              <w:t>未建立控制区通行证统一保管制度，无控制区通行证管理台帐或台帐记录不全的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2.6</w:t>
            </w:r>
          </w:p>
        </w:tc>
        <w:tc>
          <w:tcPr>
            <w:tcW w:w="6660" w:type="dxa"/>
          </w:tcPr>
          <w:p>
            <w:r>
              <w:rPr>
                <w:rFonts w:hint="eastAsia"/>
              </w:rPr>
              <w:t>发生无证施工人员进入控制区的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2.7</w:t>
            </w:r>
          </w:p>
        </w:tc>
        <w:tc>
          <w:tcPr>
            <w:tcW w:w="6660" w:type="dxa"/>
          </w:tcPr>
          <w:p>
            <w:r>
              <w:rPr>
                <w:rFonts w:hint="eastAsia"/>
              </w:rPr>
              <w:t>发生施工人员转借、涂改、冒用他人通行证的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2.8</w:t>
            </w:r>
          </w:p>
        </w:tc>
        <w:tc>
          <w:tcPr>
            <w:tcW w:w="6660" w:type="dxa"/>
          </w:tcPr>
          <w:p>
            <w:r>
              <w:rPr>
                <w:rFonts w:hint="eastAsia"/>
              </w:rPr>
              <w:t>人员、车辆通行证保管不善，造成丢失；或通行证遗失不及时上报的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2.9</w:t>
            </w:r>
          </w:p>
        </w:tc>
        <w:tc>
          <w:tcPr>
            <w:tcW w:w="6660" w:type="dxa"/>
          </w:tcPr>
          <w:p>
            <w:r>
              <w:rPr>
                <w:rFonts w:hint="eastAsia"/>
              </w:rPr>
              <w:t>人员调离、辞退、开除，车辆重新调配，或通行证到期，证件未在规定时限内交回注销的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2.10</w:t>
            </w:r>
          </w:p>
        </w:tc>
        <w:tc>
          <w:tcPr>
            <w:tcW w:w="6660" w:type="dxa"/>
          </w:tcPr>
          <w:p>
            <w:r>
              <w:rPr>
                <w:rFonts w:hint="eastAsia"/>
              </w:rPr>
              <w:t>施工队伍中有违法、犯罪人员，隐瞒不报的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2.11</w:t>
            </w:r>
          </w:p>
        </w:tc>
        <w:tc>
          <w:tcPr>
            <w:tcW w:w="6660" w:type="dxa"/>
          </w:tcPr>
          <w:p>
            <w:r>
              <w:rPr>
                <w:rFonts w:hint="eastAsia"/>
              </w:rPr>
              <w:t>毗邻控制区施工，未安装沿场区监控探头或监控探头存有盲区（段），监控无专人值守或值守人员离岗脱岗的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2.12</w:t>
            </w:r>
          </w:p>
        </w:tc>
        <w:tc>
          <w:tcPr>
            <w:tcW w:w="6660" w:type="dxa"/>
          </w:tcPr>
          <w:p>
            <w:r>
              <w:rPr>
                <w:rFonts w:hint="eastAsia"/>
              </w:rPr>
              <w:t>毗邻控制区施工，沿场区未设置专门看护的固定和巡逻保安岗位、保安人员擅离岗位或保安人员未履职管理的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2.13</w:t>
            </w:r>
          </w:p>
        </w:tc>
        <w:tc>
          <w:tcPr>
            <w:tcW w:w="6660" w:type="dxa"/>
          </w:tcPr>
          <w:p>
            <w:r>
              <w:rPr>
                <w:rFonts w:hint="eastAsia"/>
              </w:rPr>
              <w:t>在机场区域内燃放烟花、爆竹，或施放气球、风筝等升空物体的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2.14</w:t>
            </w:r>
          </w:p>
        </w:tc>
        <w:tc>
          <w:tcPr>
            <w:tcW w:w="6660" w:type="dxa"/>
          </w:tcPr>
          <w:p>
            <w:r>
              <w:rPr>
                <w:rFonts w:hint="eastAsia"/>
              </w:rPr>
              <w:t>在机场区域内饲养猫、狗、鸡、鸭等牲畜、动物的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2.15</w:t>
            </w:r>
          </w:p>
        </w:tc>
        <w:tc>
          <w:tcPr>
            <w:tcW w:w="6660" w:type="dxa"/>
          </w:tcPr>
          <w:p>
            <w:r>
              <w:rPr>
                <w:rFonts w:hint="eastAsia"/>
              </w:rPr>
              <w:t>其它违反民用航空安全、法律、法规和机场空防安全管理规定的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w:t>
            </w:r>
          </w:p>
        </w:tc>
        <w:tc>
          <w:tcPr>
            <w:tcW w:w="6660" w:type="dxa"/>
          </w:tcPr>
          <w:p>
            <w:r>
              <w:rPr>
                <w:rFonts w:hint="eastAsia"/>
              </w:rPr>
              <w:t>安全生产</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3.1</w:t>
            </w:r>
          </w:p>
        </w:tc>
        <w:tc>
          <w:tcPr>
            <w:tcW w:w="6660" w:type="dxa"/>
          </w:tcPr>
          <w:p>
            <w:r>
              <w:rPr>
                <w:rFonts w:hint="eastAsia"/>
              </w:rPr>
              <w:t>安全生产管理体制</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3.1.1</w:t>
            </w:r>
          </w:p>
        </w:tc>
        <w:tc>
          <w:tcPr>
            <w:tcW w:w="6660" w:type="dxa"/>
          </w:tcPr>
          <w:p>
            <w:r>
              <w:rPr>
                <w:rFonts w:hint="eastAsia"/>
              </w:rPr>
              <w:t>安全管理制度不健全，项目经理、项目技术负责人等各类管理人员（包括安全员、资料员、质控员）未按相关规定要求到位的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3.1.2</w:t>
            </w:r>
          </w:p>
        </w:tc>
        <w:tc>
          <w:tcPr>
            <w:tcW w:w="6660" w:type="dxa"/>
          </w:tcPr>
          <w:p>
            <w:r>
              <w:rPr>
                <w:rFonts w:hint="eastAsia"/>
              </w:rPr>
              <w:t>安全制度执行不力，无考核机制或考核制度执行不严</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3.1.3</w:t>
            </w:r>
          </w:p>
        </w:tc>
        <w:tc>
          <w:tcPr>
            <w:tcW w:w="6660" w:type="dxa"/>
            <w:tcBorders>
              <w:bottom w:val="single" w:color="auto" w:sz="2" w:space="0"/>
            </w:tcBorders>
          </w:tcPr>
          <w:p>
            <w:r>
              <w:rPr>
                <w:rFonts w:hint="eastAsia"/>
              </w:rPr>
              <w:t>安全责任制未建立</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3.1.4</w:t>
            </w:r>
          </w:p>
        </w:tc>
        <w:tc>
          <w:tcPr>
            <w:tcW w:w="6660" w:type="dxa"/>
            <w:tcBorders>
              <w:bottom w:val="single" w:color="auto" w:sz="2" w:space="0"/>
            </w:tcBorders>
          </w:tcPr>
          <w:p>
            <w:r>
              <w:rPr>
                <w:rFonts w:hint="eastAsia"/>
              </w:rPr>
              <w:t>安全责任制不健全，未层层签订至班组或岗位的各级安全责任书</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vAlign w:val="center"/>
          </w:tcPr>
          <w:p>
            <w:r>
              <w:t>3.1.5</w:t>
            </w:r>
          </w:p>
        </w:tc>
        <w:tc>
          <w:tcPr>
            <w:tcW w:w="6660" w:type="dxa"/>
            <w:tcBorders>
              <w:top w:val="single" w:color="auto" w:sz="2" w:space="0"/>
              <w:bottom w:val="single" w:color="auto" w:sz="2" w:space="0"/>
            </w:tcBorders>
          </w:tcPr>
          <w:p>
            <w:r>
              <w:rPr>
                <w:rFonts w:hint="eastAsia"/>
              </w:rPr>
              <w:t>各级各部门未执行责任制的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3.1.6</w:t>
            </w:r>
          </w:p>
        </w:tc>
        <w:tc>
          <w:tcPr>
            <w:tcW w:w="6660" w:type="dxa"/>
            <w:tcBorders>
              <w:bottom w:val="single" w:color="auto" w:sz="2" w:space="0"/>
            </w:tcBorders>
          </w:tcPr>
          <w:p>
            <w:r>
              <w:rPr>
                <w:rFonts w:hint="eastAsia"/>
              </w:rPr>
              <w:t>经济承包中无安全生产、文明施工目标管理或目标管理不落实</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08" w:type="dxa"/>
            <w:tcBorders>
              <w:top w:val="single" w:color="auto" w:sz="2" w:space="0"/>
              <w:bottom w:val="single" w:color="auto" w:sz="2" w:space="0"/>
            </w:tcBorders>
            <w:vAlign w:val="center"/>
          </w:tcPr>
          <w:p>
            <w:r>
              <w:t>3.1.7</w:t>
            </w:r>
          </w:p>
        </w:tc>
        <w:tc>
          <w:tcPr>
            <w:tcW w:w="6660" w:type="dxa"/>
            <w:tcBorders>
              <w:top w:val="single" w:color="auto" w:sz="2" w:space="0"/>
              <w:bottom w:val="single" w:color="auto" w:sz="2" w:space="0"/>
            </w:tcBorders>
          </w:tcPr>
          <w:p>
            <w:r>
              <w:rPr>
                <w:rFonts w:hint="eastAsia"/>
              </w:rPr>
              <w:t>未制定各工种安全技术操作规程的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08" w:type="dxa"/>
            <w:tcBorders>
              <w:top w:val="single" w:color="auto" w:sz="2" w:space="0"/>
              <w:bottom w:val="single" w:color="auto" w:sz="2" w:space="0"/>
            </w:tcBorders>
            <w:vAlign w:val="center"/>
          </w:tcPr>
          <w:p>
            <w:r>
              <w:t>3.1.8</w:t>
            </w:r>
          </w:p>
        </w:tc>
        <w:tc>
          <w:tcPr>
            <w:tcW w:w="6660" w:type="dxa"/>
            <w:tcBorders>
              <w:top w:val="single" w:color="auto" w:sz="2" w:space="0"/>
              <w:bottom w:val="single" w:color="auto" w:sz="2" w:space="0"/>
            </w:tcBorders>
          </w:tcPr>
          <w:p>
            <w:r>
              <w:rPr>
                <w:rFonts w:hint="eastAsia"/>
              </w:rPr>
              <w:t>专（兼）职安全员不按规定如数到位的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3.1.9</w:t>
            </w:r>
          </w:p>
        </w:tc>
        <w:tc>
          <w:tcPr>
            <w:tcW w:w="6660" w:type="dxa"/>
            <w:tcBorders>
              <w:bottom w:val="single" w:color="auto" w:sz="2" w:space="0"/>
            </w:tcBorders>
          </w:tcPr>
          <w:p>
            <w:r>
              <w:rPr>
                <w:rFonts w:hint="eastAsia"/>
              </w:rPr>
              <w:t>单位内部安全网络未建立或不健全</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3.1.10</w:t>
            </w:r>
          </w:p>
        </w:tc>
        <w:tc>
          <w:tcPr>
            <w:tcW w:w="6660" w:type="dxa"/>
            <w:tcBorders>
              <w:bottom w:val="single" w:color="auto" w:sz="2" w:space="0"/>
            </w:tcBorders>
          </w:tcPr>
          <w:p>
            <w:r>
              <w:rPr>
                <w:rFonts w:hint="eastAsia"/>
              </w:rPr>
              <w:t>拒绝或拖延加入基建安全网络</w:t>
            </w:r>
          </w:p>
        </w:tc>
        <w:tc>
          <w:tcPr>
            <w:tcW w:w="720" w:type="dxa"/>
            <w:tcBorders>
              <w:bottom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3.1.11</w:t>
            </w:r>
          </w:p>
        </w:tc>
        <w:tc>
          <w:tcPr>
            <w:tcW w:w="6660" w:type="dxa"/>
            <w:tcBorders>
              <w:bottom w:val="single" w:color="auto" w:sz="2" w:space="0"/>
            </w:tcBorders>
          </w:tcPr>
          <w:p>
            <w:r>
              <w:rPr>
                <w:rFonts w:hint="eastAsia"/>
              </w:rPr>
              <w:t>无故不参加信导部组织的各种安全会议、网络活动</w:t>
            </w:r>
          </w:p>
        </w:tc>
        <w:tc>
          <w:tcPr>
            <w:tcW w:w="720" w:type="dxa"/>
            <w:tcBorders>
              <w:bottom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3.1.12</w:t>
            </w:r>
          </w:p>
        </w:tc>
        <w:tc>
          <w:tcPr>
            <w:tcW w:w="6660" w:type="dxa"/>
            <w:tcBorders>
              <w:bottom w:val="single" w:color="auto" w:sz="2" w:space="0"/>
            </w:tcBorders>
          </w:tcPr>
          <w:p>
            <w:r>
              <w:rPr>
                <w:rFonts w:hint="eastAsia"/>
              </w:rPr>
              <w:t>不按规定开展各级、各类安全教育培训，未按规定设置民工学校</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3.1.13</w:t>
            </w:r>
          </w:p>
        </w:tc>
        <w:tc>
          <w:tcPr>
            <w:tcW w:w="6660" w:type="dxa"/>
            <w:tcBorders>
              <w:bottom w:val="single" w:color="auto" w:sz="2" w:space="0"/>
            </w:tcBorders>
          </w:tcPr>
          <w:p>
            <w:r>
              <w:rPr>
                <w:rFonts w:hint="eastAsia"/>
              </w:rPr>
              <w:t>对施工人员无安全教育或安全教育无针对性</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3.1.14</w:t>
            </w:r>
          </w:p>
        </w:tc>
        <w:tc>
          <w:tcPr>
            <w:tcW w:w="6660" w:type="dxa"/>
            <w:tcBorders>
              <w:bottom w:val="single" w:color="auto" w:sz="2" w:space="0"/>
            </w:tcBorders>
          </w:tcPr>
          <w:p>
            <w:r>
              <w:rPr>
                <w:rFonts w:hint="eastAsia"/>
              </w:rPr>
              <w:t>无日常安全检查、定期安全检查、专项安全检查记录或记录不全</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008" w:type="dxa"/>
            <w:tcBorders>
              <w:bottom w:val="single" w:color="auto" w:sz="2" w:space="0"/>
            </w:tcBorders>
            <w:vAlign w:val="center"/>
          </w:tcPr>
          <w:p>
            <w:r>
              <w:t>3.1.15</w:t>
            </w:r>
          </w:p>
        </w:tc>
        <w:tc>
          <w:tcPr>
            <w:tcW w:w="6660" w:type="dxa"/>
            <w:tcBorders>
              <w:bottom w:val="single" w:color="auto" w:sz="2" w:space="0"/>
            </w:tcBorders>
          </w:tcPr>
          <w:p>
            <w:r>
              <w:rPr>
                <w:rFonts w:hint="eastAsia"/>
              </w:rPr>
              <w:t>无安全管理台账或安全管理台账缺失不全</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r>
              <w:t>3.1.16</w:t>
            </w:r>
          </w:p>
        </w:tc>
        <w:tc>
          <w:tcPr>
            <w:tcW w:w="6660" w:type="dxa"/>
            <w:tcBorders>
              <w:bottom w:val="single" w:color="auto" w:sz="2" w:space="0"/>
            </w:tcBorders>
          </w:tcPr>
          <w:p>
            <w:r>
              <w:rPr>
                <w:rFonts w:hint="eastAsia"/>
              </w:rPr>
              <w:t>对查出的隐患整改做不到定人、定时间、定措施进行整改落实的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008" w:type="dxa"/>
            <w:tcBorders>
              <w:top w:val="single" w:color="auto" w:sz="2" w:space="0"/>
            </w:tcBorders>
            <w:vAlign w:val="center"/>
          </w:tcPr>
          <w:p>
            <w:r>
              <w:t>3.1.17</w:t>
            </w:r>
          </w:p>
        </w:tc>
        <w:tc>
          <w:tcPr>
            <w:tcW w:w="6660" w:type="dxa"/>
            <w:tcBorders>
              <w:top w:val="single" w:color="auto" w:sz="2" w:space="0"/>
            </w:tcBorders>
          </w:tcPr>
          <w:p>
            <w:r>
              <w:rPr>
                <w:rFonts w:hint="eastAsia"/>
              </w:rPr>
              <w:t>对隐患整改通知书所列项目未如期整改完成的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3.2</w:t>
            </w:r>
          </w:p>
        </w:tc>
        <w:tc>
          <w:tcPr>
            <w:tcW w:w="6660" w:type="dxa"/>
          </w:tcPr>
          <w:p>
            <w:r>
              <w:rPr>
                <w:rFonts w:hint="eastAsia"/>
              </w:rPr>
              <w:t>施工组织</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r>
              <w:t>3.2.1</w:t>
            </w:r>
          </w:p>
        </w:tc>
        <w:tc>
          <w:tcPr>
            <w:tcW w:w="6660" w:type="dxa"/>
            <w:tcBorders>
              <w:bottom w:val="single" w:color="auto" w:sz="2" w:space="0"/>
            </w:tcBorders>
          </w:tcPr>
          <w:p>
            <w:r>
              <w:rPr>
                <w:rFonts w:hint="eastAsia"/>
              </w:rPr>
              <w:t>无施工组织设计或施工组织设计未经审批的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r>
              <w:t>3.2.2</w:t>
            </w:r>
          </w:p>
        </w:tc>
        <w:tc>
          <w:tcPr>
            <w:tcW w:w="6660" w:type="dxa"/>
            <w:tcBorders>
              <w:top w:val="single" w:color="auto" w:sz="2" w:space="0"/>
              <w:bottom w:val="single" w:color="auto" w:sz="2" w:space="0"/>
            </w:tcBorders>
          </w:tcPr>
          <w:p>
            <w:r>
              <w:rPr>
                <w:rFonts w:hint="eastAsia"/>
              </w:rPr>
              <w:t>施工组织设计中无安全措施或安全措施不全面、无针对性</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r>
              <w:t>3.2.3</w:t>
            </w:r>
          </w:p>
        </w:tc>
        <w:tc>
          <w:tcPr>
            <w:tcW w:w="6660" w:type="dxa"/>
            <w:tcBorders>
              <w:top w:val="single" w:color="auto" w:sz="2" w:space="0"/>
              <w:bottom w:val="single" w:color="auto" w:sz="2" w:space="0"/>
            </w:tcBorders>
          </w:tcPr>
          <w:p>
            <w:r>
              <w:rPr>
                <w:rFonts w:hint="eastAsia"/>
              </w:rPr>
              <w:t>专业性较强、危险性较大的项目，未单独编制专项安全施工组织设计、未制定专项施工方案或未经过专家论证的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r>
              <w:t>3.2.4</w:t>
            </w:r>
          </w:p>
        </w:tc>
        <w:tc>
          <w:tcPr>
            <w:tcW w:w="6660" w:type="dxa"/>
            <w:tcBorders>
              <w:top w:val="single" w:color="auto" w:sz="2" w:space="0"/>
              <w:bottom w:val="single" w:color="auto" w:sz="2" w:space="0"/>
            </w:tcBorders>
          </w:tcPr>
          <w:p>
            <w:r>
              <w:rPr>
                <w:rFonts w:hint="eastAsia"/>
              </w:rPr>
              <w:t>施工组织设计安全措施未落实或落实有漏项的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008" w:type="dxa"/>
            <w:tcBorders>
              <w:top w:val="single" w:color="auto" w:sz="2" w:space="0"/>
            </w:tcBorders>
            <w:vAlign w:val="center"/>
          </w:tcPr>
          <w:p>
            <w:r>
              <w:t>3.2.5</w:t>
            </w:r>
          </w:p>
        </w:tc>
        <w:tc>
          <w:tcPr>
            <w:tcW w:w="6660" w:type="dxa"/>
            <w:tcBorders>
              <w:top w:val="single" w:color="auto" w:sz="2" w:space="0"/>
            </w:tcBorders>
          </w:tcPr>
          <w:p>
            <w:r>
              <w:rPr>
                <w:rFonts w:hint="eastAsia"/>
              </w:rPr>
              <w:t>不按规定进行安全技术交底，或交底不全、交底针对性不强</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w:t>
            </w:r>
          </w:p>
        </w:tc>
        <w:tc>
          <w:tcPr>
            <w:tcW w:w="6660" w:type="dxa"/>
          </w:tcPr>
          <w:p>
            <w:r>
              <w:rPr>
                <w:rFonts w:hint="eastAsia"/>
              </w:rPr>
              <w:t>现场安全设施和措施</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3.3.1</w:t>
            </w:r>
          </w:p>
        </w:tc>
        <w:tc>
          <w:tcPr>
            <w:tcW w:w="6660" w:type="dxa"/>
          </w:tcPr>
          <w:p>
            <w:r>
              <w:rPr>
                <w:rFonts w:hint="eastAsia"/>
              </w:rPr>
              <w:t>使用国家明令淘汰、禁止使用的危及施工安全的工艺、设备、材料的。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bottom w:val="single" w:color="auto" w:sz="2" w:space="0"/>
            </w:tcBorders>
            <w:vAlign w:val="center"/>
          </w:tcPr>
          <w:p>
            <w:r>
              <w:t>3.3.2</w:t>
            </w:r>
          </w:p>
        </w:tc>
        <w:tc>
          <w:tcPr>
            <w:tcW w:w="6660" w:type="dxa"/>
            <w:tcBorders>
              <w:bottom w:val="single" w:color="auto" w:sz="2" w:space="0"/>
            </w:tcBorders>
          </w:tcPr>
          <w:p>
            <w:r>
              <w:rPr>
                <w:rFonts w:hint="eastAsia"/>
              </w:rPr>
              <w:t>地面开挖作业未对毗邻建筑物、构筑物和地下管线等采取专项防护措施的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008" w:type="dxa"/>
            <w:tcBorders>
              <w:top w:val="single" w:color="auto" w:sz="2" w:space="0"/>
              <w:bottom w:val="single" w:color="auto" w:sz="2" w:space="0"/>
            </w:tcBorders>
            <w:vAlign w:val="center"/>
          </w:tcPr>
          <w:p>
            <w:r>
              <w:t>3.3.3</w:t>
            </w:r>
          </w:p>
        </w:tc>
        <w:tc>
          <w:tcPr>
            <w:tcW w:w="6660" w:type="dxa"/>
            <w:tcBorders>
              <w:top w:val="single" w:color="auto" w:sz="2" w:space="0"/>
              <w:bottom w:val="single" w:color="auto" w:sz="2" w:space="0"/>
            </w:tcBorders>
          </w:tcPr>
          <w:p>
            <w:r>
              <w:rPr>
                <w:rFonts w:hint="eastAsia"/>
              </w:rPr>
              <w:t>基坑支护无方案或不按方案实施的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3.3.4</w:t>
            </w:r>
          </w:p>
        </w:tc>
        <w:tc>
          <w:tcPr>
            <w:tcW w:w="6660" w:type="dxa"/>
            <w:tcBorders>
              <w:top w:val="single" w:color="auto" w:sz="2" w:space="0"/>
            </w:tcBorders>
          </w:tcPr>
          <w:p>
            <w:r>
              <w:rPr>
                <w:rFonts w:hint="eastAsia"/>
              </w:rPr>
              <w:t>未按规定进行基坑支护变形监测和对毗邻建筑物、重要管线、道路进行沉降观测的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008" w:type="dxa"/>
            <w:tcBorders>
              <w:bottom w:val="single" w:color="auto" w:sz="2" w:space="0"/>
            </w:tcBorders>
            <w:vAlign w:val="center"/>
          </w:tcPr>
          <w:p>
            <w:r>
              <w:t>3.3.5</w:t>
            </w:r>
          </w:p>
        </w:tc>
        <w:tc>
          <w:tcPr>
            <w:tcW w:w="6660" w:type="dxa"/>
            <w:tcBorders>
              <w:bottom w:val="single" w:color="auto" w:sz="2" w:space="0"/>
            </w:tcBorders>
          </w:tcPr>
          <w:p>
            <w:r>
              <w:rPr>
                <w:rFonts w:hint="eastAsia"/>
              </w:rPr>
              <w:t>支护设施产生局部变形未采取措施调整的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008" w:type="dxa"/>
            <w:tcBorders>
              <w:top w:val="single" w:color="auto" w:sz="2" w:space="0"/>
            </w:tcBorders>
            <w:vAlign w:val="center"/>
          </w:tcPr>
          <w:p>
            <w:r>
              <w:t>3.3.6</w:t>
            </w:r>
          </w:p>
        </w:tc>
        <w:tc>
          <w:tcPr>
            <w:tcW w:w="6660" w:type="dxa"/>
            <w:tcBorders>
              <w:top w:val="single" w:color="auto" w:sz="2" w:space="0"/>
            </w:tcBorders>
          </w:tcPr>
          <w:p>
            <w:r>
              <w:rPr>
                <w:rFonts w:hint="eastAsia"/>
              </w:rPr>
              <w:t>基坑施工未设置有效排水措施，或深基础施工采用坑外降水，无防止临近建筑危险沉降措施的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3.3.7</w:t>
            </w:r>
          </w:p>
        </w:tc>
        <w:tc>
          <w:tcPr>
            <w:tcW w:w="6660" w:type="dxa"/>
            <w:tcBorders>
              <w:top w:val="single" w:color="auto" w:sz="2" w:space="0"/>
            </w:tcBorders>
          </w:tcPr>
          <w:p>
            <w:r>
              <w:rPr>
                <w:rFonts w:hint="eastAsia"/>
              </w:rPr>
              <w:t>积土、料具堆放、机械设备施工距槽边距离小于设计规定，又无措施的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3.3.8</w:t>
            </w:r>
          </w:p>
        </w:tc>
        <w:tc>
          <w:tcPr>
            <w:tcW w:w="6660" w:type="dxa"/>
          </w:tcPr>
          <w:p>
            <w:r>
              <w:rPr>
                <w:rFonts w:hint="eastAsia"/>
              </w:rPr>
              <w:t>基坑内作业人员无必要安全防护措施和充足照明的</w:t>
            </w:r>
          </w:p>
        </w:tc>
        <w:tc>
          <w:tcPr>
            <w:tcW w:w="720" w:type="dxa"/>
            <w:vAlign w:val="center"/>
          </w:tcPr>
          <w:p>
            <w:r>
              <w:rPr>
                <w:rFonts w:hint="eastAsia"/>
              </w:rPr>
              <w:t>建标</w:t>
            </w:r>
          </w:p>
        </w:tc>
        <w:tc>
          <w:tcPr>
            <w:tcW w:w="1440" w:type="dxa"/>
            <w:vAlign w:val="center"/>
          </w:tcPr>
          <w:p>
            <w:r>
              <w:t>200</w:t>
            </w:r>
            <w:r>
              <w:rPr>
                <w:rFonts w:hint="eastAsia"/>
              </w:rPr>
              <w:t>元</w:t>
            </w:r>
            <w:r>
              <w:t>/</w:t>
            </w:r>
            <w:r>
              <w:rPr>
                <w:rFonts w:hint="eastAsia"/>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bottom w:val="single" w:color="auto" w:sz="2" w:space="0"/>
            </w:tcBorders>
            <w:vAlign w:val="center"/>
          </w:tcPr>
          <w:p>
            <w:r>
              <w:t>3.3.9</w:t>
            </w:r>
          </w:p>
        </w:tc>
        <w:tc>
          <w:tcPr>
            <w:tcW w:w="6660" w:type="dxa"/>
            <w:tcBorders>
              <w:bottom w:val="single" w:color="auto" w:sz="2" w:space="0"/>
            </w:tcBorders>
          </w:tcPr>
          <w:p>
            <w:r>
              <w:rPr>
                <w:rFonts w:hint="eastAsia"/>
              </w:rPr>
              <w:t>支模架施工未按施工专项方案实施的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tcBorders>
            <w:vAlign w:val="center"/>
          </w:tcPr>
          <w:p>
            <w:r>
              <w:t>3.3.10</w:t>
            </w:r>
          </w:p>
        </w:tc>
        <w:tc>
          <w:tcPr>
            <w:tcW w:w="6660" w:type="dxa"/>
            <w:tcBorders>
              <w:top w:val="single" w:color="auto" w:sz="2" w:space="0"/>
            </w:tcBorders>
          </w:tcPr>
          <w:p>
            <w:r>
              <w:rPr>
                <w:rFonts w:hint="eastAsia"/>
              </w:rPr>
              <w:t>临边无防护措施，防护设施不规范或有空档、超过间隙的</w:t>
            </w:r>
          </w:p>
        </w:tc>
        <w:tc>
          <w:tcPr>
            <w:tcW w:w="720" w:type="dxa"/>
            <w:tcBorders>
              <w:top w:val="single" w:color="auto" w:sz="2" w:space="0"/>
            </w:tcBorders>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r>
              <w:t>3.3.11</w:t>
            </w:r>
          </w:p>
        </w:tc>
        <w:tc>
          <w:tcPr>
            <w:tcW w:w="6660" w:type="dxa"/>
            <w:tcBorders>
              <w:bottom w:val="single" w:color="auto" w:sz="2" w:space="0"/>
            </w:tcBorders>
          </w:tcPr>
          <w:p>
            <w:r>
              <w:rPr>
                <w:rFonts w:hint="eastAsia"/>
              </w:rPr>
              <w:t>高处作业不按规定设置防坠网或防坠网规格、材质、覆盖面积不符合要求的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r>
              <w:t>3.3.12</w:t>
            </w:r>
          </w:p>
        </w:tc>
        <w:tc>
          <w:tcPr>
            <w:tcW w:w="6660" w:type="dxa"/>
            <w:tcBorders>
              <w:bottom w:val="single" w:color="auto" w:sz="2" w:space="0"/>
            </w:tcBorders>
          </w:tcPr>
          <w:p>
            <w:r>
              <w:rPr>
                <w:rFonts w:hint="eastAsia"/>
              </w:rPr>
              <w:t>各种洞（井）口、梯口、通道口无防护措施，防护措施不符合要求或不严密，未形成定型化、工具化的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r>
              <w:t>3.3.13</w:t>
            </w:r>
          </w:p>
        </w:tc>
        <w:tc>
          <w:tcPr>
            <w:tcW w:w="6660" w:type="dxa"/>
            <w:tcBorders>
              <w:bottom w:val="single" w:color="auto" w:sz="2" w:space="0"/>
            </w:tcBorders>
          </w:tcPr>
          <w:p>
            <w:r>
              <w:rPr>
                <w:rFonts w:hint="eastAsia"/>
              </w:rPr>
              <w:t>电梯井不封闭，电梯井内每隔两层</w:t>
            </w:r>
            <w:r>
              <w:t>(</w:t>
            </w:r>
            <w:r>
              <w:rPr>
                <w:rFonts w:hint="eastAsia"/>
              </w:rPr>
              <w:t>不大于</w:t>
            </w:r>
            <w:r>
              <w:t>l0m)</w:t>
            </w:r>
            <w:r>
              <w:rPr>
                <w:rFonts w:hint="eastAsia"/>
              </w:rPr>
              <w:t>少一道平网的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008" w:type="dxa"/>
            <w:tcBorders>
              <w:bottom w:val="single" w:color="auto" w:sz="2" w:space="0"/>
            </w:tcBorders>
            <w:vAlign w:val="center"/>
          </w:tcPr>
          <w:p>
            <w:r>
              <w:t>3.3.14</w:t>
            </w:r>
          </w:p>
        </w:tc>
        <w:tc>
          <w:tcPr>
            <w:tcW w:w="6660" w:type="dxa"/>
            <w:tcBorders>
              <w:bottom w:val="single" w:color="auto" w:sz="2" w:space="0"/>
            </w:tcBorders>
          </w:tcPr>
          <w:p>
            <w:r>
              <w:rPr>
                <w:rFonts w:hint="eastAsia"/>
              </w:rPr>
              <w:t>通道口无防护棚，通道口防护不严或防护棚不牢固、材质不符合要求的</w:t>
            </w:r>
          </w:p>
        </w:tc>
        <w:tc>
          <w:tcPr>
            <w:tcW w:w="720" w:type="dxa"/>
            <w:tcBorders>
              <w:bottom w:val="single" w:color="auto" w:sz="2" w:space="0"/>
            </w:tcBorders>
            <w:vAlign w:val="center"/>
          </w:tcPr>
          <w:p>
            <w:r>
              <w:rPr>
                <w:rFonts w:hint="eastAsia"/>
              </w:rPr>
              <w:t>建标</w:t>
            </w:r>
          </w:p>
        </w:tc>
        <w:tc>
          <w:tcPr>
            <w:tcW w:w="1440" w:type="dxa"/>
            <w:tcBorders>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vAlign w:val="center"/>
          </w:tcPr>
          <w:p>
            <w:r>
              <w:t>3.3.15</w:t>
            </w:r>
          </w:p>
        </w:tc>
        <w:tc>
          <w:tcPr>
            <w:tcW w:w="6660" w:type="dxa"/>
            <w:tcBorders>
              <w:top w:val="single" w:color="auto" w:sz="2" w:space="0"/>
            </w:tcBorders>
          </w:tcPr>
          <w:p>
            <w:r>
              <w:rPr>
                <w:rFonts w:hint="eastAsia"/>
              </w:rPr>
              <w:t>脚手架、升降、吊装等设施设备的拆装队伍没有取得资格证书的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top w:val="single" w:color="auto" w:sz="2" w:space="0"/>
            </w:tcBorders>
            <w:vAlign w:val="center"/>
          </w:tcPr>
          <w:p>
            <w:r>
              <w:t>3.3.16</w:t>
            </w:r>
          </w:p>
        </w:tc>
        <w:tc>
          <w:tcPr>
            <w:tcW w:w="6660" w:type="dxa"/>
            <w:tcBorders>
              <w:top w:val="single" w:color="auto" w:sz="2" w:space="0"/>
            </w:tcBorders>
          </w:tcPr>
          <w:p>
            <w:r>
              <w:rPr>
                <w:rFonts w:hint="eastAsia"/>
              </w:rPr>
              <w:t>脚手架、脚手板等不按要求搭设，空隙过大或材质不符合要求的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3.3.17</w:t>
            </w:r>
          </w:p>
        </w:tc>
        <w:tc>
          <w:tcPr>
            <w:tcW w:w="6660" w:type="dxa"/>
          </w:tcPr>
          <w:p>
            <w:r>
              <w:rPr>
                <w:rFonts w:hint="eastAsia"/>
              </w:rPr>
              <w:t>安全密目网不牢固、不严密或材质、设置不符合要求的</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3.3.18</w:t>
            </w:r>
          </w:p>
        </w:tc>
        <w:tc>
          <w:tcPr>
            <w:tcW w:w="6660" w:type="dxa"/>
          </w:tcPr>
          <w:p>
            <w:r>
              <w:rPr>
                <w:rFonts w:hint="eastAsia"/>
              </w:rPr>
              <w:t>脚手架超载或荷载不均匀、堆放杂物或垃圾清理不及时的</w:t>
            </w:r>
          </w:p>
        </w:tc>
        <w:tc>
          <w:tcPr>
            <w:tcW w:w="720" w:type="dxa"/>
            <w:vAlign w:val="center"/>
          </w:tcPr>
          <w:p>
            <w:r>
              <w:rPr>
                <w:rFonts w:hint="eastAsia"/>
              </w:rPr>
              <w:t>建标</w:t>
            </w:r>
          </w:p>
        </w:tc>
        <w:tc>
          <w:tcPr>
            <w:tcW w:w="1440" w:type="dxa"/>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r>
              <w:t>3.3.19</w:t>
            </w:r>
          </w:p>
        </w:tc>
        <w:tc>
          <w:tcPr>
            <w:tcW w:w="6660" w:type="dxa"/>
            <w:tcBorders>
              <w:top w:val="single" w:color="auto" w:sz="2" w:space="0"/>
              <w:bottom w:val="single" w:color="auto" w:sz="2" w:space="0"/>
            </w:tcBorders>
          </w:tcPr>
          <w:p>
            <w:r>
              <w:rPr>
                <w:rFonts w:hint="eastAsia"/>
              </w:rPr>
              <w:t>未设专用通道或通道设置不符合要求的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3.3.20</w:t>
            </w:r>
          </w:p>
        </w:tc>
        <w:tc>
          <w:tcPr>
            <w:tcW w:w="6660" w:type="dxa"/>
          </w:tcPr>
          <w:p>
            <w:r>
              <w:rPr>
                <w:rFonts w:hint="eastAsia"/>
              </w:rPr>
              <w:t>脚手架拆卸时不实行区域隔离，无专人看护等保护性安全措施的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008" w:type="dxa"/>
            <w:tcBorders>
              <w:top w:val="single" w:color="auto" w:sz="2" w:space="0"/>
              <w:bottom w:val="single" w:color="auto" w:sz="2" w:space="0"/>
            </w:tcBorders>
            <w:vAlign w:val="center"/>
          </w:tcPr>
          <w:p>
            <w:r>
              <w:t>3.3.21</w:t>
            </w:r>
          </w:p>
        </w:tc>
        <w:tc>
          <w:tcPr>
            <w:tcW w:w="6660" w:type="dxa"/>
            <w:tcBorders>
              <w:top w:val="single" w:color="auto" w:sz="2" w:space="0"/>
              <w:bottom w:val="single" w:color="auto" w:sz="2" w:space="0"/>
            </w:tcBorders>
          </w:tcPr>
          <w:p>
            <w:r>
              <w:rPr>
                <w:rFonts w:hint="eastAsia"/>
              </w:rPr>
              <w:t>移动脚手架安全措施不到位，存在安全隐患的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3.3.22</w:t>
            </w:r>
          </w:p>
        </w:tc>
        <w:tc>
          <w:tcPr>
            <w:tcW w:w="6660" w:type="dxa"/>
            <w:tcBorders>
              <w:top w:val="single" w:color="auto" w:sz="2" w:space="0"/>
            </w:tcBorders>
          </w:tcPr>
          <w:p>
            <w:r>
              <w:rPr>
                <w:rFonts w:hint="eastAsia"/>
              </w:rPr>
              <w:t>卸料台搭设不符合设计要求或不按规范要求搭建的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3.3.23</w:t>
            </w:r>
          </w:p>
        </w:tc>
        <w:tc>
          <w:tcPr>
            <w:tcW w:w="6660" w:type="dxa"/>
          </w:tcPr>
          <w:p>
            <w:r>
              <w:rPr>
                <w:rFonts w:hint="eastAsia"/>
              </w:rPr>
              <w:t>升降、吊装作业未设警戒区、无专业人员指挥、无专人警戒或管理的</w:t>
            </w:r>
          </w:p>
        </w:tc>
        <w:tc>
          <w:tcPr>
            <w:tcW w:w="720" w:type="dxa"/>
            <w:vAlign w:val="center"/>
          </w:tcPr>
          <w:p>
            <w:r>
              <w:rPr>
                <w:rFonts w:hint="eastAsia"/>
              </w:rPr>
              <w:t>建标</w:t>
            </w:r>
          </w:p>
        </w:tc>
        <w:tc>
          <w:tcPr>
            <w:tcW w:w="1440" w:type="dxa"/>
            <w:tcBorders>
              <w:top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3.3.24</w:t>
            </w:r>
          </w:p>
        </w:tc>
        <w:tc>
          <w:tcPr>
            <w:tcW w:w="6660" w:type="dxa"/>
          </w:tcPr>
          <w:p>
            <w:r>
              <w:rPr>
                <w:rFonts w:hint="eastAsia"/>
              </w:rPr>
              <w:t>升降、吊装设备无围栏、防护门，无安全警示等安全设施的</w:t>
            </w:r>
          </w:p>
        </w:tc>
        <w:tc>
          <w:tcPr>
            <w:tcW w:w="720" w:type="dxa"/>
            <w:vAlign w:val="center"/>
          </w:tcPr>
          <w:p>
            <w:r>
              <w:rPr>
                <w:rFonts w:hint="eastAsia"/>
              </w:rPr>
              <w:t>建标</w:t>
            </w:r>
          </w:p>
        </w:tc>
        <w:tc>
          <w:tcPr>
            <w:tcW w:w="1440" w:type="dxa"/>
            <w:tcBorders>
              <w:top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3.3.25</w:t>
            </w:r>
          </w:p>
        </w:tc>
        <w:tc>
          <w:tcPr>
            <w:tcW w:w="6660" w:type="dxa"/>
          </w:tcPr>
          <w:p>
            <w:r>
              <w:rPr>
                <w:rFonts w:hint="eastAsia"/>
              </w:rPr>
              <w:t>升降、吊装设备无防坠装置或防坠装置不符合设计、规范要求的</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3.3.26</w:t>
            </w:r>
          </w:p>
        </w:tc>
        <w:tc>
          <w:tcPr>
            <w:tcW w:w="6660" w:type="dxa"/>
          </w:tcPr>
          <w:p>
            <w:r>
              <w:rPr>
                <w:rFonts w:hint="eastAsia"/>
              </w:rPr>
              <w:t>升降、吊装设备钢丝绳绳径倍数不足、磨损、断丝超标，地锚埋没不符合设计要求</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3.3.27</w:t>
            </w:r>
          </w:p>
        </w:tc>
        <w:tc>
          <w:tcPr>
            <w:tcW w:w="6660" w:type="dxa"/>
          </w:tcPr>
          <w:p>
            <w:r>
              <w:rPr>
                <w:rFonts w:hint="eastAsia"/>
              </w:rPr>
              <w:t>升降、吊装设备无专人日常维护，未按规定定期检验、检查或检查无记录，检验检查出的问题不及时整改的</w:t>
            </w:r>
          </w:p>
        </w:tc>
        <w:tc>
          <w:tcPr>
            <w:tcW w:w="720" w:type="dxa"/>
            <w:vAlign w:val="center"/>
          </w:tcPr>
          <w:p>
            <w:r>
              <w:rPr>
                <w:rFonts w:hint="eastAsia"/>
              </w:rPr>
              <w:t>建标</w:t>
            </w:r>
          </w:p>
        </w:tc>
        <w:tc>
          <w:tcPr>
            <w:tcW w:w="1440" w:type="dxa"/>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3.3.28</w:t>
            </w:r>
          </w:p>
        </w:tc>
        <w:tc>
          <w:tcPr>
            <w:tcW w:w="6660" w:type="dxa"/>
          </w:tcPr>
          <w:p>
            <w:r>
              <w:rPr>
                <w:rFonts w:hint="eastAsia"/>
              </w:rPr>
              <w:t>违章操作或违章使用升降、吊装设备，超重作业的</w:t>
            </w:r>
          </w:p>
        </w:tc>
        <w:tc>
          <w:tcPr>
            <w:tcW w:w="720" w:type="dxa"/>
            <w:vAlign w:val="center"/>
          </w:tcPr>
          <w:p>
            <w:r>
              <w:rPr>
                <w:rFonts w:hint="eastAsia"/>
              </w:rPr>
              <w:t>建标</w:t>
            </w:r>
          </w:p>
        </w:tc>
        <w:tc>
          <w:tcPr>
            <w:tcW w:w="1440" w:type="dxa"/>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3.3.29</w:t>
            </w:r>
          </w:p>
        </w:tc>
        <w:tc>
          <w:tcPr>
            <w:tcW w:w="6660" w:type="dxa"/>
          </w:tcPr>
          <w:p>
            <w:r>
              <w:rPr>
                <w:rFonts w:hint="eastAsia"/>
              </w:rPr>
              <w:t>移动式吊装装置不符合设计、方案和规范要求，存在安全隐患的</w:t>
            </w:r>
          </w:p>
        </w:tc>
        <w:tc>
          <w:tcPr>
            <w:tcW w:w="720" w:type="dxa"/>
            <w:vAlign w:val="center"/>
          </w:tcPr>
          <w:p>
            <w:r>
              <w:rPr>
                <w:rFonts w:hint="eastAsia"/>
              </w:rPr>
              <w:t>建标</w:t>
            </w:r>
          </w:p>
        </w:tc>
        <w:tc>
          <w:tcPr>
            <w:tcW w:w="1440" w:type="dxa"/>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3.3.30</w:t>
            </w:r>
          </w:p>
        </w:tc>
        <w:tc>
          <w:tcPr>
            <w:tcW w:w="6660" w:type="dxa"/>
          </w:tcPr>
          <w:p>
            <w:r>
              <w:rPr>
                <w:rFonts w:hint="eastAsia"/>
              </w:rPr>
              <w:t>钢丝绳、绳卡、地锚等不符合规范和安全要求</w:t>
            </w:r>
            <w:r>
              <w:t>,</w:t>
            </w:r>
            <w:r>
              <w:rPr>
                <w:rFonts w:hint="eastAsia"/>
              </w:rPr>
              <w:t>或钢丝绳锈蚀、缺油、磨损超标的</w:t>
            </w:r>
          </w:p>
        </w:tc>
        <w:tc>
          <w:tcPr>
            <w:tcW w:w="720" w:type="dxa"/>
            <w:vAlign w:val="center"/>
          </w:tcPr>
          <w:p>
            <w:r>
              <w:rPr>
                <w:rFonts w:hint="eastAsia"/>
              </w:rPr>
              <w:t>建标</w:t>
            </w:r>
          </w:p>
        </w:tc>
        <w:tc>
          <w:tcPr>
            <w:tcW w:w="1440" w:type="dxa"/>
            <w:tcBorders>
              <w:top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vAlign w:val="center"/>
          </w:tcPr>
          <w:p>
            <w:r>
              <w:t>3.3.31</w:t>
            </w:r>
          </w:p>
        </w:tc>
        <w:tc>
          <w:tcPr>
            <w:tcW w:w="6660" w:type="dxa"/>
            <w:tcBorders>
              <w:top w:val="single" w:color="auto" w:sz="2" w:space="0"/>
              <w:bottom w:val="single" w:color="auto" w:sz="2" w:space="0"/>
            </w:tcBorders>
          </w:tcPr>
          <w:p>
            <w:r>
              <w:rPr>
                <w:rFonts w:hint="eastAsia"/>
              </w:rPr>
              <w:t>无防风、避雷装置和措施，或防风避雷装置措施不符合要求的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3.3.32</w:t>
            </w:r>
          </w:p>
        </w:tc>
        <w:tc>
          <w:tcPr>
            <w:tcW w:w="6660" w:type="dxa"/>
          </w:tcPr>
          <w:p>
            <w:r>
              <w:rPr>
                <w:rFonts w:hint="eastAsia"/>
              </w:rPr>
              <w:t>各类用电设施、设备、施工机具未做保护接零、无漏电保护装置的</w:t>
            </w:r>
          </w:p>
        </w:tc>
        <w:tc>
          <w:tcPr>
            <w:tcW w:w="720" w:type="dxa"/>
            <w:vAlign w:val="center"/>
          </w:tcPr>
          <w:p>
            <w:r>
              <w:rPr>
                <w:rFonts w:hint="eastAsia"/>
              </w:rPr>
              <w:t>建标</w:t>
            </w:r>
          </w:p>
        </w:tc>
        <w:tc>
          <w:tcPr>
            <w:tcW w:w="1440" w:type="dxa"/>
            <w:tcBorders>
              <w:top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08" w:type="dxa"/>
            <w:tcBorders>
              <w:top w:val="single" w:color="auto" w:sz="2" w:space="0"/>
              <w:bottom w:val="single" w:color="auto" w:sz="2" w:space="0"/>
            </w:tcBorders>
            <w:vAlign w:val="center"/>
          </w:tcPr>
          <w:p>
            <w:r>
              <w:t>3.3.33</w:t>
            </w:r>
          </w:p>
        </w:tc>
        <w:tc>
          <w:tcPr>
            <w:tcW w:w="6660" w:type="dxa"/>
            <w:tcBorders>
              <w:top w:val="single" w:color="auto" w:sz="2" w:space="0"/>
              <w:bottom w:val="single" w:color="auto" w:sz="2" w:space="0"/>
            </w:tcBorders>
          </w:tcPr>
          <w:p>
            <w:r>
              <w:rPr>
                <w:rFonts w:hint="eastAsia"/>
              </w:rPr>
              <w:t>机具、设备使用无安全防护装置或保险装置的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3.3.34</w:t>
            </w:r>
          </w:p>
        </w:tc>
        <w:tc>
          <w:tcPr>
            <w:tcW w:w="6660" w:type="dxa"/>
          </w:tcPr>
          <w:p>
            <w:r>
              <w:rPr>
                <w:rFonts w:hint="eastAsia"/>
              </w:rPr>
              <w:t>使用Ⅰ类手持电动工具不按规定穿戴绝缘用品的</w:t>
            </w:r>
          </w:p>
        </w:tc>
        <w:tc>
          <w:tcPr>
            <w:tcW w:w="720" w:type="dxa"/>
            <w:vAlign w:val="center"/>
          </w:tcPr>
          <w:p>
            <w:r>
              <w:rPr>
                <w:rFonts w:hint="eastAsia"/>
              </w:rPr>
              <w:t>建标</w:t>
            </w:r>
          </w:p>
        </w:tc>
        <w:tc>
          <w:tcPr>
            <w:tcW w:w="1440" w:type="dxa"/>
            <w:vAlign w:val="center"/>
          </w:tcPr>
          <w:p>
            <w:r>
              <w:t>200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3.3.35</w:t>
            </w:r>
          </w:p>
        </w:tc>
        <w:tc>
          <w:tcPr>
            <w:tcW w:w="6660" w:type="dxa"/>
          </w:tcPr>
          <w:p>
            <w:r>
              <w:rPr>
                <w:rFonts w:hint="eastAsia"/>
              </w:rPr>
              <w:t>施工机具无人操作时未切断电源的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3.3.36</w:t>
            </w:r>
          </w:p>
        </w:tc>
        <w:tc>
          <w:tcPr>
            <w:tcW w:w="6660" w:type="dxa"/>
          </w:tcPr>
          <w:p>
            <w:r>
              <w:rPr>
                <w:rFonts w:hint="eastAsia"/>
              </w:rPr>
              <w:t>电焊机无防雨罩的，焊把线接头超过</w:t>
            </w:r>
            <w:r>
              <w:t>3</w:t>
            </w:r>
            <w:r>
              <w:rPr>
                <w:rFonts w:hint="eastAsia"/>
              </w:rPr>
              <w:t>处或绝缘老化的</w:t>
            </w:r>
          </w:p>
        </w:tc>
        <w:tc>
          <w:tcPr>
            <w:tcW w:w="720" w:type="dxa"/>
            <w:vAlign w:val="center"/>
          </w:tcPr>
          <w:p>
            <w:r>
              <w:rPr>
                <w:rFonts w:hint="eastAsia"/>
              </w:rPr>
              <w:t>建标</w:t>
            </w:r>
          </w:p>
        </w:tc>
        <w:tc>
          <w:tcPr>
            <w:tcW w:w="1440" w:type="dxa"/>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3.3.37</w:t>
            </w:r>
          </w:p>
        </w:tc>
        <w:tc>
          <w:tcPr>
            <w:tcW w:w="6660" w:type="dxa"/>
          </w:tcPr>
          <w:p>
            <w:r>
              <w:rPr>
                <w:rFonts w:hint="eastAsia"/>
              </w:rPr>
              <w:t>各机械作业场所无防雨棚和作业台不安全的</w:t>
            </w:r>
          </w:p>
        </w:tc>
        <w:tc>
          <w:tcPr>
            <w:tcW w:w="720" w:type="dxa"/>
            <w:vAlign w:val="center"/>
          </w:tcPr>
          <w:p>
            <w:r>
              <w:rPr>
                <w:rFonts w:hint="eastAsia"/>
              </w:rPr>
              <w:t>建标</w:t>
            </w:r>
          </w:p>
        </w:tc>
        <w:tc>
          <w:tcPr>
            <w:tcW w:w="1440" w:type="dxa"/>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w:t>
            </w:r>
          </w:p>
        </w:tc>
        <w:tc>
          <w:tcPr>
            <w:tcW w:w="6660" w:type="dxa"/>
          </w:tcPr>
          <w:p>
            <w:r>
              <w:rPr>
                <w:rFonts w:hint="eastAsia"/>
              </w:rPr>
              <w:t>现场安全管理</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3.4.1</w:t>
            </w:r>
          </w:p>
        </w:tc>
        <w:tc>
          <w:tcPr>
            <w:tcW w:w="6660" w:type="dxa"/>
          </w:tcPr>
          <w:p>
            <w:r>
              <w:rPr>
                <w:rFonts w:hint="eastAsia"/>
              </w:rPr>
              <w:t>各类操作人员无证上岗的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3.4.2</w:t>
            </w:r>
          </w:p>
        </w:tc>
        <w:tc>
          <w:tcPr>
            <w:tcW w:w="6660" w:type="dxa"/>
          </w:tcPr>
          <w:p>
            <w:r>
              <w:rPr>
                <w:rFonts w:hint="eastAsia"/>
              </w:rPr>
              <w:t>专业性较强、危险性较大施工作业，现场无专业人员、安全管理人员旁站看护的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3.4.3</w:t>
            </w:r>
          </w:p>
        </w:tc>
        <w:tc>
          <w:tcPr>
            <w:tcW w:w="6660" w:type="dxa"/>
          </w:tcPr>
          <w:p>
            <w:r>
              <w:rPr>
                <w:rFonts w:hint="eastAsia"/>
              </w:rPr>
              <w:t>作业人员不服管理、违反规章制度和操作规程冒险作业的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3.4.4</w:t>
            </w:r>
          </w:p>
        </w:tc>
        <w:tc>
          <w:tcPr>
            <w:tcW w:w="6660" w:type="dxa"/>
          </w:tcPr>
          <w:p>
            <w:r>
              <w:rPr>
                <w:rFonts w:hint="eastAsia"/>
              </w:rPr>
              <w:t>施工人员不戴安全帽、高处作业人员不系安全带或不按要求系安全带</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3.4.5</w:t>
            </w:r>
          </w:p>
        </w:tc>
        <w:tc>
          <w:tcPr>
            <w:tcW w:w="6660" w:type="dxa"/>
          </w:tcPr>
          <w:p>
            <w:r>
              <w:rPr>
                <w:rFonts w:hint="eastAsia"/>
              </w:rPr>
              <w:t>现场未按规定采取设置安全网等保障措施的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3.4.6</w:t>
            </w:r>
          </w:p>
        </w:tc>
        <w:tc>
          <w:tcPr>
            <w:tcW w:w="6660" w:type="dxa"/>
            <w:tcBorders>
              <w:top w:val="single" w:color="auto" w:sz="2" w:space="0"/>
            </w:tcBorders>
          </w:tcPr>
          <w:p>
            <w:r>
              <w:rPr>
                <w:rFonts w:hint="eastAsia"/>
              </w:rPr>
              <w:t>施工人员在施工现场抽烟的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3.5</w:t>
            </w:r>
          </w:p>
        </w:tc>
        <w:tc>
          <w:tcPr>
            <w:tcW w:w="6660" w:type="dxa"/>
          </w:tcPr>
          <w:p>
            <w:r>
              <w:rPr>
                <w:rFonts w:hint="eastAsia"/>
              </w:rPr>
              <w:t>施工用电</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008" w:type="dxa"/>
            <w:tcBorders>
              <w:bottom w:val="single" w:color="auto" w:sz="2" w:space="0"/>
            </w:tcBorders>
            <w:vAlign w:val="center"/>
          </w:tcPr>
          <w:p>
            <w:r>
              <w:t>3.5.1</w:t>
            </w:r>
          </w:p>
        </w:tc>
        <w:tc>
          <w:tcPr>
            <w:tcW w:w="6660" w:type="dxa"/>
            <w:tcBorders>
              <w:bottom w:val="single" w:color="auto" w:sz="2" w:space="0"/>
            </w:tcBorders>
          </w:tcPr>
          <w:p>
            <w:r>
              <w:rPr>
                <w:rFonts w:hint="eastAsia"/>
              </w:rPr>
              <w:t>外电小于安全距离无防护措施、防护措施不符合要求的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008" w:type="dxa"/>
            <w:tcBorders>
              <w:top w:val="single" w:color="auto" w:sz="2" w:space="0"/>
            </w:tcBorders>
            <w:vAlign w:val="center"/>
          </w:tcPr>
          <w:p>
            <w:r>
              <w:t>3.5.2</w:t>
            </w:r>
          </w:p>
        </w:tc>
        <w:tc>
          <w:tcPr>
            <w:tcW w:w="6660" w:type="dxa"/>
            <w:tcBorders>
              <w:top w:val="single" w:color="auto" w:sz="2" w:space="0"/>
            </w:tcBorders>
          </w:tcPr>
          <w:p>
            <w:r>
              <w:rPr>
                <w:rFonts w:hint="eastAsia"/>
              </w:rPr>
              <w:t>未采用</w:t>
            </w:r>
            <w:r>
              <w:t>TN—S</w:t>
            </w:r>
            <w:r>
              <w:rPr>
                <w:rFonts w:hint="eastAsia"/>
              </w:rPr>
              <w:t>接零保护系统的、三级漏电保护系统的；专用保护零线（</w:t>
            </w:r>
            <w:r>
              <w:t>PE</w:t>
            </w:r>
            <w:r>
              <w:rPr>
                <w:rFonts w:hint="eastAsia"/>
              </w:rPr>
              <w:t>线）设置不符合要求的、或保护零线（</w:t>
            </w:r>
            <w:r>
              <w:t>PE</w:t>
            </w:r>
            <w:r>
              <w:rPr>
                <w:rFonts w:hint="eastAsia"/>
              </w:rPr>
              <w:t>线）与工作零线（</w:t>
            </w:r>
            <w:r>
              <w:t>N</w:t>
            </w:r>
            <w:r>
              <w:rPr>
                <w:rFonts w:hint="eastAsia"/>
              </w:rPr>
              <w:t>线）混接的；纯动力电未用四芯电缆的，动力带照明电未使用五芯电缆的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r>
              <w:t>3.5.3</w:t>
            </w:r>
          </w:p>
        </w:tc>
        <w:tc>
          <w:tcPr>
            <w:tcW w:w="6660" w:type="dxa"/>
            <w:tcBorders>
              <w:bottom w:val="single" w:color="auto" w:sz="2" w:space="0"/>
            </w:tcBorders>
          </w:tcPr>
          <w:p>
            <w:r>
              <w:rPr>
                <w:rFonts w:hint="eastAsia"/>
              </w:rPr>
              <w:t>开关箱</w:t>
            </w:r>
            <w:r>
              <w:t>(</w:t>
            </w:r>
            <w:r>
              <w:rPr>
                <w:rFonts w:hint="eastAsia"/>
              </w:rPr>
              <w:t>末级</w:t>
            </w:r>
            <w:r>
              <w:t>)</w:t>
            </w:r>
            <w:r>
              <w:rPr>
                <w:rFonts w:hint="eastAsia"/>
              </w:rPr>
              <w:t>无漏电保护或保护器失灵、漏电保护装置参数不匹配</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r>
              <w:t>3.5.4</w:t>
            </w:r>
          </w:p>
        </w:tc>
        <w:tc>
          <w:tcPr>
            <w:tcW w:w="6660" w:type="dxa"/>
            <w:tcBorders>
              <w:top w:val="single" w:color="auto" w:sz="2" w:space="0"/>
              <w:bottom w:val="single" w:color="auto" w:sz="2" w:space="0"/>
            </w:tcBorders>
          </w:tcPr>
          <w:p>
            <w:r>
              <w:rPr>
                <w:rFonts w:hint="eastAsia"/>
              </w:rPr>
              <w:t>违反“</w:t>
            </w:r>
            <w:r>
              <w:t>—</w:t>
            </w:r>
            <w:r>
              <w:rPr>
                <w:rFonts w:hint="eastAsia"/>
              </w:rPr>
              <w:t>机、一闸、一漏、一箱”的配置原则</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r>
              <w:t>3.5.5</w:t>
            </w:r>
          </w:p>
        </w:tc>
        <w:tc>
          <w:tcPr>
            <w:tcW w:w="6660" w:type="dxa"/>
            <w:tcBorders>
              <w:top w:val="single" w:color="auto" w:sz="2" w:space="0"/>
              <w:bottom w:val="single" w:color="auto" w:sz="2" w:space="0"/>
            </w:tcBorders>
          </w:tcPr>
          <w:p>
            <w:r>
              <w:rPr>
                <w:rFonts w:hint="eastAsia"/>
              </w:rPr>
              <w:t>安装位置不当、周围杂物多不便操作、存在安全隐患</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vAlign w:val="center"/>
          </w:tcPr>
          <w:p>
            <w:r>
              <w:t>3.5.6</w:t>
            </w:r>
          </w:p>
        </w:tc>
        <w:tc>
          <w:tcPr>
            <w:tcW w:w="6660" w:type="dxa"/>
            <w:tcBorders>
              <w:top w:val="single" w:color="auto" w:sz="2" w:space="0"/>
              <w:bottom w:val="single" w:color="auto" w:sz="2" w:space="0"/>
            </w:tcBorders>
          </w:tcPr>
          <w:p>
            <w:r>
              <w:rPr>
                <w:rFonts w:hint="eastAsia"/>
              </w:rPr>
              <w:t>电箱下引出线混乱、配电箱内多路配电无标记的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r>
              <w:t>3.5.7</w:t>
            </w:r>
          </w:p>
        </w:tc>
        <w:tc>
          <w:tcPr>
            <w:tcW w:w="6660" w:type="dxa"/>
            <w:tcBorders>
              <w:bottom w:val="single" w:color="auto" w:sz="2" w:space="0"/>
            </w:tcBorders>
          </w:tcPr>
          <w:p>
            <w:r>
              <w:rPr>
                <w:rFonts w:hint="eastAsia"/>
              </w:rPr>
              <w:t>电箱无门、无锁、无防雨措施或无责任人的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vAlign w:val="center"/>
          </w:tcPr>
          <w:p>
            <w:r>
              <w:t>3.5.8</w:t>
            </w:r>
          </w:p>
        </w:tc>
        <w:tc>
          <w:tcPr>
            <w:tcW w:w="6660" w:type="dxa"/>
            <w:tcBorders>
              <w:top w:val="single" w:color="auto" w:sz="2" w:space="0"/>
              <w:bottom w:val="single" w:color="auto" w:sz="2" w:space="0"/>
            </w:tcBorders>
          </w:tcPr>
          <w:p>
            <w:r>
              <w:rPr>
                <w:rFonts w:hint="eastAsia"/>
              </w:rPr>
              <w:t>室内线路及灯具安全高度低于</w:t>
            </w:r>
            <w:r>
              <w:t>2.4m</w:t>
            </w:r>
            <w:r>
              <w:rPr>
                <w:rFonts w:hint="eastAsia"/>
              </w:rPr>
              <w:t>未使用安全电压供电的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bottom w:val="single" w:color="auto" w:sz="2" w:space="0"/>
            </w:tcBorders>
            <w:vAlign w:val="center"/>
          </w:tcPr>
          <w:p>
            <w:r>
              <w:t>3.5.9</w:t>
            </w:r>
          </w:p>
        </w:tc>
        <w:tc>
          <w:tcPr>
            <w:tcW w:w="6660" w:type="dxa"/>
            <w:tcBorders>
              <w:top w:val="single" w:color="auto" w:sz="2" w:space="0"/>
              <w:bottom w:val="single" w:color="auto" w:sz="2" w:space="0"/>
            </w:tcBorders>
          </w:tcPr>
          <w:p>
            <w:r>
              <w:rPr>
                <w:rFonts w:hint="eastAsia"/>
              </w:rPr>
              <w:t>潮湿作业环境中未使用</w:t>
            </w:r>
            <w:r>
              <w:t>36v</w:t>
            </w:r>
            <w:r>
              <w:rPr>
                <w:rFonts w:hint="eastAsia"/>
              </w:rPr>
              <w:t>以下安全电压照明灯具的、手持照明灯未使用</w:t>
            </w:r>
            <w:r>
              <w:t>36v</w:t>
            </w:r>
            <w:r>
              <w:rPr>
                <w:rFonts w:hint="eastAsia"/>
              </w:rPr>
              <w:t>及以下电源供电</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008" w:type="dxa"/>
            <w:tcBorders>
              <w:top w:val="single" w:color="auto" w:sz="2" w:space="0"/>
              <w:bottom w:val="single" w:color="auto" w:sz="2" w:space="0"/>
            </w:tcBorders>
            <w:vAlign w:val="center"/>
          </w:tcPr>
          <w:p>
            <w:r>
              <w:t>3.5.10</w:t>
            </w:r>
          </w:p>
        </w:tc>
        <w:tc>
          <w:tcPr>
            <w:tcW w:w="6660" w:type="dxa"/>
            <w:tcBorders>
              <w:top w:val="single" w:color="auto" w:sz="2" w:space="0"/>
              <w:bottom w:val="single" w:color="auto" w:sz="2" w:space="0"/>
            </w:tcBorders>
          </w:tcPr>
          <w:p>
            <w:r>
              <w:rPr>
                <w:rFonts w:hint="eastAsia"/>
              </w:rPr>
              <w:t>电线老化、破皮、未按规范包扎的、电线私拉乱接、无过路保护的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008" w:type="dxa"/>
            <w:tcBorders>
              <w:top w:val="single" w:color="auto" w:sz="2" w:space="0"/>
              <w:bottom w:val="single" w:color="auto" w:sz="2" w:space="0"/>
            </w:tcBorders>
            <w:vAlign w:val="center"/>
          </w:tcPr>
          <w:p>
            <w:r>
              <w:t>3.5.11</w:t>
            </w:r>
          </w:p>
        </w:tc>
        <w:tc>
          <w:tcPr>
            <w:tcW w:w="6660" w:type="dxa"/>
            <w:tcBorders>
              <w:top w:val="single" w:color="auto" w:sz="2" w:space="0"/>
              <w:bottom w:val="single" w:color="auto" w:sz="2" w:space="0"/>
            </w:tcBorders>
          </w:tcPr>
          <w:p>
            <w:r>
              <w:rPr>
                <w:rFonts w:hint="eastAsia"/>
              </w:rPr>
              <w:t>电杆、横担、架空线路不符合施工规范要求</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008" w:type="dxa"/>
            <w:tcBorders>
              <w:top w:val="single" w:color="auto" w:sz="2" w:space="0"/>
              <w:bottom w:val="single" w:color="auto" w:sz="2" w:space="0"/>
            </w:tcBorders>
            <w:vAlign w:val="center"/>
          </w:tcPr>
          <w:p>
            <w:r>
              <w:t>3.5.12</w:t>
            </w:r>
          </w:p>
        </w:tc>
        <w:tc>
          <w:tcPr>
            <w:tcW w:w="6660" w:type="dxa"/>
            <w:tcBorders>
              <w:top w:val="single" w:color="auto" w:sz="2" w:space="0"/>
              <w:bottom w:val="single" w:color="auto" w:sz="2" w:space="0"/>
            </w:tcBorders>
          </w:tcPr>
          <w:p>
            <w:r>
              <w:rPr>
                <w:rFonts w:hint="eastAsia"/>
              </w:rPr>
              <w:t>无用电管理档案、无接地极阻值摇测记录、电工巡视维修记录或填写不真实的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008" w:type="dxa"/>
            <w:tcBorders>
              <w:top w:val="single" w:color="auto" w:sz="2" w:space="0"/>
            </w:tcBorders>
            <w:vAlign w:val="center"/>
          </w:tcPr>
          <w:p>
            <w:r>
              <w:t>4</w:t>
            </w:r>
          </w:p>
        </w:tc>
        <w:tc>
          <w:tcPr>
            <w:tcW w:w="6660" w:type="dxa"/>
            <w:tcBorders>
              <w:top w:val="single" w:color="auto" w:sz="2" w:space="0"/>
            </w:tcBorders>
          </w:tcPr>
          <w:p>
            <w:r>
              <w:rPr>
                <w:rFonts w:hint="eastAsia"/>
              </w:rPr>
              <w:t>消防安全与危险品管理</w:t>
            </w:r>
          </w:p>
        </w:tc>
        <w:tc>
          <w:tcPr>
            <w:tcW w:w="720" w:type="dxa"/>
            <w:tcBorders>
              <w:top w:val="single" w:color="auto" w:sz="2" w:space="0"/>
            </w:tcBorders>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4.1</w:t>
            </w:r>
          </w:p>
        </w:tc>
        <w:tc>
          <w:tcPr>
            <w:tcW w:w="6660" w:type="dxa"/>
            <w:tcBorders>
              <w:top w:val="single" w:color="auto" w:sz="2" w:space="0"/>
            </w:tcBorders>
          </w:tcPr>
          <w:p>
            <w:r>
              <w:rPr>
                <w:rFonts w:hint="eastAsia"/>
              </w:rPr>
              <w:t>未制定消防安全管理规章制度或规章制度不健全的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4.2</w:t>
            </w:r>
          </w:p>
        </w:tc>
        <w:tc>
          <w:tcPr>
            <w:tcW w:w="6660" w:type="dxa"/>
            <w:tcBorders>
              <w:top w:val="single" w:color="auto" w:sz="2" w:space="0"/>
            </w:tcBorders>
          </w:tcPr>
          <w:p>
            <w:r>
              <w:rPr>
                <w:rFonts w:hint="eastAsia"/>
              </w:rPr>
              <w:t>未制定各工种用火、用电、使用易燃材料等各项消防安全操作规程的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4.3</w:t>
            </w:r>
          </w:p>
        </w:tc>
        <w:tc>
          <w:tcPr>
            <w:tcW w:w="6660" w:type="dxa"/>
            <w:tcBorders>
              <w:top w:val="single" w:color="auto" w:sz="2" w:space="0"/>
            </w:tcBorders>
          </w:tcPr>
          <w:p>
            <w:r>
              <w:rPr>
                <w:rFonts w:hint="eastAsia"/>
              </w:rPr>
              <w:t>未健全消防安全网络（配备专职或兼职消防员），并报备的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4.4</w:t>
            </w:r>
          </w:p>
        </w:tc>
        <w:tc>
          <w:tcPr>
            <w:tcW w:w="6660" w:type="dxa"/>
            <w:tcBorders>
              <w:top w:val="single" w:color="auto" w:sz="2" w:space="0"/>
            </w:tcBorders>
          </w:tcPr>
          <w:p>
            <w:r>
              <w:rPr>
                <w:rFonts w:hint="eastAsia"/>
              </w:rPr>
              <w:t>无专（兼）职义务消防队，或消防队员未掌握基本消防知识和操作技能的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4.5</w:t>
            </w:r>
          </w:p>
        </w:tc>
        <w:tc>
          <w:tcPr>
            <w:tcW w:w="6660" w:type="dxa"/>
            <w:tcBorders>
              <w:top w:val="single" w:color="auto" w:sz="2" w:space="0"/>
            </w:tcBorders>
          </w:tcPr>
          <w:p>
            <w:r>
              <w:rPr>
                <w:rFonts w:hint="eastAsia"/>
              </w:rPr>
              <w:t>未制定灭火和应急疏散预案并开展消防应急演练的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4.6</w:t>
            </w:r>
          </w:p>
        </w:tc>
        <w:tc>
          <w:tcPr>
            <w:tcW w:w="6660" w:type="dxa"/>
            <w:tcBorders>
              <w:top w:val="single" w:color="auto" w:sz="2" w:space="0"/>
            </w:tcBorders>
          </w:tcPr>
          <w:p>
            <w:r>
              <w:rPr>
                <w:rFonts w:hint="eastAsia"/>
              </w:rPr>
              <w:t>未组织开展各类防火检查，并及时采取措施整改发现的隐患、问题的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4.7</w:t>
            </w:r>
          </w:p>
        </w:tc>
        <w:tc>
          <w:tcPr>
            <w:tcW w:w="6660" w:type="dxa"/>
            <w:tcBorders>
              <w:top w:val="single" w:color="auto" w:sz="2" w:space="0"/>
            </w:tcBorders>
          </w:tcPr>
          <w:p>
            <w:r>
              <w:rPr>
                <w:rFonts w:hint="eastAsia"/>
              </w:rPr>
              <w:t>对重大消防安全隐患未能及时整改、处理的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4.8</w:t>
            </w:r>
          </w:p>
        </w:tc>
        <w:tc>
          <w:tcPr>
            <w:tcW w:w="6660" w:type="dxa"/>
            <w:tcBorders>
              <w:top w:val="single" w:color="auto" w:sz="2" w:space="0"/>
            </w:tcBorders>
          </w:tcPr>
          <w:p>
            <w:r>
              <w:rPr>
                <w:rFonts w:hint="eastAsia"/>
              </w:rPr>
              <w:t>未建立消防安全管理台帐或台帐缺失的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4.9</w:t>
            </w:r>
          </w:p>
        </w:tc>
        <w:tc>
          <w:tcPr>
            <w:tcW w:w="6660" w:type="dxa"/>
            <w:tcBorders>
              <w:top w:val="single" w:color="auto" w:sz="2" w:space="0"/>
            </w:tcBorders>
          </w:tcPr>
          <w:p>
            <w:r>
              <w:rPr>
                <w:rFonts w:hint="eastAsia"/>
              </w:rPr>
              <w:t>未组织开展消防安全知识教育培训，施工人员不了解本岗位防火措施、遇险报警、初期扑救及自救逃生的知识和技能的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4.10</w:t>
            </w:r>
          </w:p>
        </w:tc>
        <w:tc>
          <w:tcPr>
            <w:tcW w:w="6660" w:type="dxa"/>
            <w:tcBorders>
              <w:top w:val="single" w:color="auto" w:sz="2" w:space="0"/>
            </w:tcBorders>
          </w:tcPr>
          <w:p>
            <w:r>
              <w:rPr>
                <w:rFonts w:hint="eastAsia"/>
              </w:rPr>
              <w:t>施工现场未设置必要足够安全疏散指示标志、防火禁烟标志机场火警电话的</w:t>
            </w:r>
          </w:p>
        </w:tc>
        <w:tc>
          <w:tcPr>
            <w:tcW w:w="720" w:type="dxa"/>
            <w:tcBorders>
              <w:top w:val="single" w:color="auto" w:sz="2" w:space="0"/>
            </w:tcBorders>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4.11</w:t>
            </w:r>
          </w:p>
        </w:tc>
        <w:tc>
          <w:tcPr>
            <w:tcW w:w="6660" w:type="dxa"/>
          </w:tcPr>
          <w:p>
            <w:r>
              <w:rPr>
                <w:rFonts w:hint="eastAsia"/>
              </w:rPr>
              <w:t>重点消防部位无人看护或巡视、无消防警示标志牌，值守巡视人员脱岗或不履行职责的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4.12</w:t>
            </w:r>
          </w:p>
        </w:tc>
        <w:tc>
          <w:tcPr>
            <w:tcW w:w="6660" w:type="dxa"/>
            <w:tcBorders>
              <w:top w:val="single" w:color="auto" w:sz="2" w:space="0"/>
            </w:tcBorders>
          </w:tcPr>
          <w:p>
            <w:r>
              <w:rPr>
                <w:rFonts w:hint="eastAsia"/>
              </w:rPr>
              <w:t>易燃、易爆物品不按规定进行分类存放或管理不善、无人看护、管理的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4.13</w:t>
            </w:r>
          </w:p>
        </w:tc>
        <w:tc>
          <w:tcPr>
            <w:tcW w:w="6660" w:type="dxa"/>
          </w:tcPr>
          <w:p>
            <w:r>
              <w:rPr>
                <w:rFonts w:hint="eastAsia"/>
              </w:rPr>
              <w:t>未设或侵占疏散通道、安全出口、消防通道，或通道出口不畅通、应急照明不符合规定的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4.14</w:t>
            </w:r>
          </w:p>
        </w:tc>
        <w:tc>
          <w:tcPr>
            <w:tcW w:w="6660" w:type="dxa"/>
          </w:tcPr>
          <w:p>
            <w:r>
              <w:rPr>
                <w:rFonts w:hint="eastAsia"/>
              </w:rPr>
              <w:t>工地现场未设置消火水源（消火栓）或消火水源不齐全、不合理，不能满足消防要求的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top w:val="single" w:color="auto" w:sz="2" w:space="0"/>
              <w:bottom w:val="single" w:color="auto" w:sz="2" w:space="0"/>
            </w:tcBorders>
            <w:vAlign w:val="center"/>
          </w:tcPr>
          <w:p>
            <w:r>
              <w:t>4.15</w:t>
            </w:r>
          </w:p>
        </w:tc>
        <w:tc>
          <w:tcPr>
            <w:tcW w:w="6660" w:type="dxa"/>
            <w:tcBorders>
              <w:top w:val="single" w:color="auto" w:sz="2" w:space="0"/>
              <w:bottom w:val="single" w:color="auto" w:sz="2" w:space="0"/>
            </w:tcBorders>
          </w:tcPr>
          <w:p>
            <w:r>
              <w:rPr>
                <w:rFonts w:hint="eastAsia"/>
              </w:rPr>
              <w:t>工地现场灭火器、灭火砂、水桶、铁锹等消防设施、器材配置不全、不足、失效，或被遮挡影响使用，或被挪作他用的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4.16</w:t>
            </w:r>
          </w:p>
        </w:tc>
        <w:tc>
          <w:tcPr>
            <w:tcW w:w="6660" w:type="dxa"/>
          </w:tcPr>
          <w:p>
            <w:r>
              <w:rPr>
                <w:rFonts w:hint="eastAsia"/>
              </w:rPr>
              <w:t>灭火器材无专人维护、保养、检查和登记管理的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4.17</w:t>
            </w:r>
          </w:p>
        </w:tc>
        <w:tc>
          <w:tcPr>
            <w:tcW w:w="6660" w:type="dxa"/>
          </w:tcPr>
          <w:p>
            <w:r>
              <w:rPr>
                <w:rFonts w:hint="eastAsia"/>
              </w:rPr>
              <w:t>违章关闭消防设施、切断电源或挪用消防灭火器材的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4.18</w:t>
            </w:r>
          </w:p>
        </w:tc>
        <w:tc>
          <w:tcPr>
            <w:tcW w:w="6660" w:type="dxa"/>
          </w:tcPr>
          <w:p>
            <w:r>
              <w:rPr>
                <w:rFonts w:hint="eastAsia"/>
              </w:rPr>
              <w:t>动火作业未经机场公安消防管理部门审查批准的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vAlign w:val="center"/>
          </w:tcPr>
          <w:p>
            <w:r>
              <w:t>4.19</w:t>
            </w:r>
          </w:p>
        </w:tc>
        <w:tc>
          <w:tcPr>
            <w:tcW w:w="6660" w:type="dxa"/>
            <w:tcBorders>
              <w:top w:val="single" w:color="auto" w:sz="2" w:space="0"/>
            </w:tcBorders>
          </w:tcPr>
          <w:p>
            <w:r>
              <w:rPr>
                <w:rFonts w:hint="eastAsia"/>
              </w:rPr>
              <w:t>施工现场未及时清理地面可燃物，动火作业未清理地面可燃物的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4.20</w:t>
            </w:r>
          </w:p>
        </w:tc>
        <w:tc>
          <w:tcPr>
            <w:tcW w:w="6660" w:type="dxa"/>
          </w:tcPr>
          <w:p>
            <w:r>
              <w:rPr>
                <w:rFonts w:hint="eastAsia"/>
              </w:rPr>
              <w:t>动火作业无接火盆、现场无看火人、灭火器材配备不足、过期、失效的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4.21</w:t>
            </w:r>
          </w:p>
        </w:tc>
        <w:tc>
          <w:tcPr>
            <w:tcW w:w="6660" w:type="dxa"/>
          </w:tcPr>
          <w:p>
            <w:r>
              <w:rPr>
                <w:rFonts w:hint="eastAsia"/>
              </w:rPr>
              <w:t>动火作业火花隔层溅落未采取有效安全措施的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r>
              <w:t>4.22</w:t>
            </w:r>
          </w:p>
        </w:tc>
        <w:tc>
          <w:tcPr>
            <w:tcW w:w="6660" w:type="dxa"/>
            <w:tcBorders>
              <w:top w:val="single" w:color="auto" w:sz="2" w:space="0"/>
            </w:tcBorders>
          </w:tcPr>
          <w:p>
            <w:r>
              <w:rPr>
                <w:rFonts w:hint="eastAsia"/>
              </w:rPr>
              <w:t>气瓶无标准色标，无防震圈和防护帽的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4.23</w:t>
            </w:r>
          </w:p>
        </w:tc>
        <w:tc>
          <w:tcPr>
            <w:tcW w:w="6660" w:type="dxa"/>
          </w:tcPr>
          <w:p>
            <w:r>
              <w:rPr>
                <w:rFonts w:hint="eastAsia"/>
              </w:rPr>
              <w:t>气瓶横放或气瓶间距小于</w:t>
            </w:r>
            <w:r>
              <w:t>5</w:t>
            </w:r>
            <w:r>
              <w:rPr>
                <w:rFonts w:hint="eastAsia"/>
              </w:rPr>
              <w:t>米、距明火小于</w:t>
            </w:r>
            <w:r>
              <w:t>10</w:t>
            </w:r>
            <w:r>
              <w:rPr>
                <w:rFonts w:hint="eastAsia"/>
              </w:rPr>
              <w:t>米又无隔离措施的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4.24</w:t>
            </w:r>
          </w:p>
        </w:tc>
        <w:tc>
          <w:tcPr>
            <w:tcW w:w="6660" w:type="dxa"/>
          </w:tcPr>
          <w:p>
            <w:r>
              <w:rPr>
                <w:rFonts w:hint="eastAsia"/>
              </w:rPr>
              <w:t>乙炔瓶使用或存放时平放或不按规定存放的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4.25</w:t>
            </w:r>
          </w:p>
        </w:tc>
        <w:tc>
          <w:tcPr>
            <w:tcW w:w="6660" w:type="dxa"/>
          </w:tcPr>
          <w:p>
            <w:r>
              <w:rPr>
                <w:rFonts w:hint="eastAsia"/>
              </w:rPr>
              <w:t>发生其它违反国家消防法律法规，消防安全管理规章制度现象的</w:t>
            </w:r>
          </w:p>
        </w:tc>
        <w:tc>
          <w:tcPr>
            <w:tcW w:w="720" w:type="dxa"/>
            <w:vAlign w:val="center"/>
          </w:tcPr>
          <w:p>
            <w:r>
              <w:rPr>
                <w:rFonts w:hint="eastAsia"/>
              </w:rPr>
              <w:t>协议</w:t>
            </w:r>
          </w:p>
        </w:tc>
        <w:tc>
          <w:tcPr>
            <w:tcW w:w="1440" w:type="dxa"/>
            <w:tcBorders>
              <w:top w:val="single" w:color="auto" w:sz="2" w:space="0"/>
              <w:bottom w:val="single" w:color="auto" w:sz="2" w:space="0"/>
            </w:tcBorders>
            <w:vAlign w:val="center"/>
          </w:tcPr>
          <w:p>
            <w:r>
              <w:rPr>
                <w:rFonts w:hint="eastAsia"/>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w:t>
            </w:r>
          </w:p>
        </w:tc>
        <w:tc>
          <w:tcPr>
            <w:tcW w:w="6660" w:type="dxa"/>
            <w:tcBorders>
              <w:bottom w:val="single" w:color="auto" w:sz="2" w:space="0"/>
            </w:tcBorders>
          </w:tcPr>
          <w:p>
            <w:r>
              <w:rPr>
                <w:rFonts w:hint="eastAsia"/>
              </w:rPr>
              <w:t>文明施工</w:t>
            </w:r>
          </w:p>
        </w:tc>
        <w:tc>
          <w:tcPr>
            <w:tcW w:w="720" w:type="dxa"/>
            <w:tcBorders>
              <w:bottom w:val="single" w:color="auto" w:sz="2" w:space="0"/>
            </w:tcBorders>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w:t>
            </w:r>
          </w:p>
        </w:tc>
        <w:tc>
          <w:tcPr>
            <w:tcW w:w="6660" w:type="dxa"/>
            <w:tcBorders>
              <w:bottom w:val="single" w:color="auto" w:sz="2" w:space="0"/>
            </w:tcBorders>
          </w:tcPr>
          <w:p>
            <w:r>
              <w:rPr>
                <w:rFonts w:hint="eastAsia"/>
              </w:rPr>
              <w:t>施工工地未按照投标承诺实行标化管理的要求进行建设和管理的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5.2</w:t>
            </w:r>
          </w:p>
        </w:tc>
        <w:tc>
          <w:tcPr>
            <w:tcW w:w="6660" w:type="dxa"/>
            <w:tcBorders>
              <w:bottom w:val="single" w:color="auto" w:sz="2" w:space="0"/>
            </w:tcBorders>
          </w:tcPr>
          <w:p>
            <w:r>
              <w:rPr>
                <w:rFonts w:hint="eastAsia"/>
              </w:rPr>
              <w:t>施工现场未建立生活设施、管理制度和日常检查、考核制度。</w:t>
            </w:r>
            <w:r>
              <w:t xml:space="preserve"> </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08" w:type="dxa"/>
            <w:tcBorders>
              <w:bottom w:val="single" w:color="auto" w:sz="2" w:space="0"/>
            </w:tcBorders>
            <w:vAlign w:val="center"/>
          </w:tcPr>
          <w:p>
            <w:r>
              <w:t>5.3</w:t>
            </w:r>
          </w:p>
        </w:tc>
        <w:tc>
          <w:tcPr>
            <w:tcW w:w="6660" w:type="dxa"/>
            <w:tcBorders>
              <w:bottom w:val="single" w:color="auto" w:sz="2" w:space="0"/>
            </w:tcBorders>
          </w:tcPr>
          <w:p>
            <w:r>
              <w:rPr>
                <w:rFonts w:hint="eastAsia"/>
              </w:rPr>
              <w:t>建筑材料、构件、料具堆放零乱，堆放不齐，未标名品、种型的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5.4</w:t>
            </w:r>
          </w:p>
        </w:tc>
        <w:tc>
          <w:tcPr>
            <w:tcW w:w="6660" w:type="dxa"/>
            <w:tcBorders>
              <w:bottom w:val="single" w:color="auto" w:sz="2" w:space="0"/>
            </w:tcBorders>
          </w:tcPr>
          <w:p>
            <w:r>
              <w:rPr>
                <w:rFonts w:hint="eastAsia"/>
              </w:rPr>
              <w:t>工地道路不做硬化处理，工地地面无绿化，道面任意占用、工地内道路不畅通的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5.5</w:t>
            </w:r>
          </w:p>
        </w:tc>
        <w:tc>
          <w:tcPr>
            <w:tcW w:w="6660" w:type="dxa"/>
            <w:tcBorders>
              <w:bottom w:val="single" w:color="auto" w:sz="2" w:space="0"/>
            </w:tcBorders>
          </w:tcPr>
          <w:p>
            <w:r>
              <w:rPr>
                <w:rFonts w:hint="eastAsia"/>
              </w:rPr>
              <w:t>施工现场无排水设施或排水不全、不通畅的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5.6</w:t>
            </w:r>
          </w:p>
        </w:tc>
        <w:tc>
          <w:tcPr>
            <w:tcW w:w="6660" w:type="dxa"/>
            <w:tcBorders>
              <w:bottom w:val="single" w:color="auto" w:sz="2" w:space="0"/>
            </w:tcBorders>
          </w:tcPr>
          <w:p>
            <w:r>
              <w:rPr>
                <w:rFonts w:hint="eastAsia"/>
              </w:rPr>
              <w:t>无防止泥浆、污水、废水外流或堵塞下水道和排水河道措施的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5.7</w:t>
            </w:r>
          </w:p>
        </w:tc>
        <w:tc>
          <w:tcPr>
            <w:tcW w:w="6660" w:type="dxa"/>
            <w:tcBorders>
              <w:bottom w:val="single" w:color="auto" w:sz="2" w:space="0"/>
            </w:tcBorders>
          </w:tcPr>
          <w:p>
            <w:r>
              <w:rPr>
                <w:rFonts w:hint="eastAsia"/>
              </w:rPr>
              <w:t>工地地面（楼层面）存在积水、积雪现象的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5.8</w:t>
            </w:r>
          </w:p>
        </w:tc>
        <w:tc>
          <w:tcPr>
            <w:tcW w:w="6660" w:type="dxa"/>
            <w:tcBorders>
              <w:bottom w:val="single" w:color="auto" w:sz="2" w:space="0"/>
            </w:tcBorders>
          </w:tcPr>
          <w:p>
            <w:r>
              <w:rPr>
                <w:rFonts w:hint="eastAsia"/>
              </w:rPr>
              <w:t>施工现场、周围的建筑和生活垃圾不及时清扫、清运和处理或现场焚烧垃圾、有毒有害物质的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5.9</w:t>
            </w:r>
          </w:p>
        </w:tc>
        <w:tc>
          <w:tcPr>
            <w:tcW w:w="6660" w:type="dxa"/>
            <w:tcBorders>
              <w:bottom w:val="single" w:color="auto" w:sz="2" w:space="0"/>
            </w:tcBorders>
          </w:tcPr>
          <w:p>
            <w:r>
              <w:rPr>
                <w:rFonts w:hint="eastAsia"/>
              </w:rPr>
              <w:t>施工现场临时厕所设置不足或不符合卫生要求的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5.10</w:t>
            </w:r>
          </w:p>
        </w:tc>
        <w:tc>
          <w:tcPr>
            <w:tcW w:w="6660" w:type="dxa"/>
            <w:tcBorders>
              <w:bottom w:val="single" w:color="auto" w:sz="2" w:space="0"/>
            </w:tcBorders>
          </w:tcPr>
          <w:p>
            <w:r>
              <w:rPr>
                <w:rFonts w:hint="eastAsia"/>
              </w:rPr>
              <w:t>施工人员随地大小便的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5.11</w:t>
            </w:r>
          </w:p>
        </w:tc>
        <w:tc>
          <w:tcPr>
            <w:tcW w:w="6660" w:type="dxa"/>
            <w:tcBorders>
              <w:bottom w:val="single" w:color="auto" w:sz="2" w:space="0"/>
            </w:tcBorders>
          </w:tcPr>
          <w:p>
            <w:r>
              <w:rPr>
                <w:rFonts w:hint="eastAsia"/>
              </w:rPr>
              <w:t>未做到工完场地清的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5.12</w:t>
            </w:r>
          </w:p>
        </w:tc>
        <w:tc>
          <w:tcPr>
            <w:tcW w:w="6660" w:type="dxa"/>
            <w:tcBorders>
              <w:bottom w:val="single" w:color="auto" w:sz="2" w:space="0"/>
            </w:tcBorders>
          </w:tcPr>
          <w:p>
            <w:r>
              <w:rPr>
                <w:rFonts w:hint="eastAsia"/>
              </w:rPr>
              <w:t>不按规定高度、材质及美观要求设置工地围挡、围墙的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5.13</w:t>
            </w:r>
          </w:p>
        </w:tc>
        <w:tc>
          <w:tcPr>
            <w:tcW w:w="6660" w:type="dxa"/>
            <w:tcBorders>
              <w:bottom w:val="single" w:color="auto" w:sz="2" w:space="0"/>
            </w:tcBorders>
          </w:tcPr>
          <w:p>
            <w:r>
              <w:rPr>
                <w:rFonts w:hint="eastAsia"/>
              </w:rPr>
              <w:t>不按规定对工地现场实施封闭管理的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5.14</w:t>
            </w:r>
          </w:p>
        </w:tc>
        <w:tc>
          <w:tcPr>
            <w:tcW w:w="6660" w:type="dxa"/>
            <w:tcBorders>
              <w:bottom w:val="single" w:color="auto" w:sz="2" w:space="0"/>
            </w:tcBorders>
          </w:tcPr>
          <w:p>
            <w:r>
              <w:rPr>
                <w:rFonts w:hint="eastAsia"/>
              </w:rPr>
              <w:t>无门卫和无门卫制度，或门卫制度执行不严格，存在人员、车辆无证任意进出的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5.15</w:t>
            </w:r>
          </w:p>
        </w:tc>
        <w:tc>
          <w:tcPr>
            <w:tcW w:w="6660" w:type="dxa"/>
            <w:tcBorders>
              <w:bottom w:val="single" w:color="auto" w:sz="2" w:space="0"/>
            </w:tcBorders>
          </w:tcPr>
          <w:p>
            <w:r>
              <w:rPr>
                <w:rFonts w:hint="eastAsia"/>
              </w:rPr>
              <w:t>现场未按安全标志总平面图设置安全标志的，或安全标志、警示标志残缺不全的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r>
              <w:t>5.16</w:t>
            </w:r>
          </w:p>
        </w:tc>
        <w:tc>
          <w:tcPr>
            <w:tcW w:w="6660" w:type="dxa"/>
            <w:tcBorders>
              <w:bottom w:val="single" w:color="auto" w:sz="2" w:space="0"/>
            </w:tcBorders>
          </w:tcPr>
          <w:p>
            <w:r>
              <w:rPr>
                <w:rFonts w:hint="eastAsia"/>
              </w:rPr>
              <w:t>夜间施工照明设施不足、无现场管理员和安全员看护，存在安全隐患的</w:t>
            </w:r>
          </w:p>
        </w:tc>
        <w:tc>
          <w:tcPr>
            <w:tcW w:w="720" w:type="dxa"/>
            <w:tcBorders>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w:t>
            </w:r>
          </w:p>
        </w:tc>
        <w:tc>
          <w:tcPr>
            <w:tcW w:w="6660" w:type="dxa"/>
          </w:tcPr>
          <w:p>
            <w:r>
              <w:rPr>
                <w:rFonts w:hint="eastAsia"/>
              </w:rPr>
              <w:t>临时宿舍管理</w:t>
            </w:r>
          </w:p>
        </w:tc>
        <w:tc>
          <w:tcPr>
            <w:tcW w:w="720" w:type="dxa"/>
            <w:vAlign w:val="center"/>
          </w:tcPr>
          <w:p/>
        </w:tc>
        <w:tc>
          <w:tcPr>
            <w:tcW w:w="1440" w:type="dxa"/>
            <w:tcBorders>
              <w:top w:val="single" w:color="auto" w:sz="2" w:space="0"/>
              <w:bottom w:val="single" w:color="auto" w:sz="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w:t>
            </w:r>
          </w:p>
        </w:tc>
        <w:tc>
          <w:tcPr>
            <w:tcW w:w="6660" w:type="dxa"/>
          </w:tcPr>
          <w:p>
            <w:r>
              <w:rPr>
                <w:rFonts w:hint="eastAsia"/>
              </w:rPr>
              <w:t>宿舍区管理制度不健全，未落实日常管理责任人</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6.2</w:t>
            </w:r>
          </w:p>
        </w:tc>
        <w:tc>
          <w:tcPr>
            <w:tcW w:w="6660" w:type="dxa"/>
          </w:tcPr>
          <w:p>
            <w:r>
              <w:rPr>
                <w:rFonts w:hint="eastAsia"/>
              </w:rPr>
              <w:t>宿舍区无专（兼）职治安、防火、卫生管理监督巡视员</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6.3</w:t>
            </w:r>
          </w:p>
        </w:tc>
        <w:tc>
          <w:tcPr>
            <w:tcW w:w="6660" w:type="dxa"/>
          </w:tcPr>
          <w:p>
            <w:r>
              <w:rPr>
                <w:rFonts w:hint="eastAsia"/>
              </w:rPr>
              <w:t>宿舍区未实行封闭管理，留宿外来人员无登记制度、存在男女混居现象的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6.4</w:t>
            </w:r>
          </w:p>
        </w:tc>
        <w:tc>
          <w:tcPr>
            <w:tcW w:w="6660" w:type="dxa"/>
          </w:tcPr>
          <w:p>
            <w:r>
              <w:rPr>
                <w:rFonts w:hint="eastAsia"/>
              </w:rPr>
              <w:t>在尚未竣工的建筑物内设置临设的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6.5</w:t>
            </w:r>
          </w:p>
        </w:tc>
        <w:tc>
          <w:tcPr>
            <w:tcW w:w="6660" w:type="dxa"/>
          </w:tcPr>
          <w:p>
            <w:r>
              <w:rPr>
                <w:rFonts w:hint="eastAsia"/>
              </w:rPr>
              <w:t>临时宿舍、设施未经验收合格投入使用的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6.6</w:t>
            </w:r>
          </w:p>
        </w:tc>
        <w:tc>
          <w:tcPr>
            <w:tcW w:w="6660" w:type="dxa"/>
          </w:tcPr>
          <w:p>
            <w:r>
              <w:rPr>
                <w:rFonts w:hint="eastAsia"/>
              </w:rPr>
              <w:t>临时宿舍、设施无抗大风（</w:t>
            </w:r>
            <w:r>
              <w:t>10</w:t>
            </w:r>
            <w:r>
              <w:rPr>
                <w:rFonts w:hint="eastAsia"/>
              </w:rPr>
              <w:t>级以上）、防雷击措施的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6.7</w:t>
            </w:r>
          </w:p>
        </w:tc>
        <w:tc>
          <w:tcPr>
            <w:tcW w:w="6660" w:type="dxa"/>
          </w:tcPr>
          <w:p>
            <w:r>
              <w:rPr>
                <w:rFonts w:hint="eastAsia"/>
              </w:rPr>
              <w:t>宿舍区消防器材配备不足或失效的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6.8</w:t>
            </w:r>
          </w:p>
        </w:tc>
        <w:tc>
          <w:tcPr>
            <w:tcW w:w="6660" w:type="dxa"/>
          </w:tcPr>
          <w:p>
            <w:r>
              <w:rPr>
                <w:rFonts w:hint="eastAsia"/>
              </w:rPr>
              <w:t>宿舍内未设置独立的漏电、短路保护器和足够数量的安全插座，存在私拉乱接电线现象的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008" w:type="dxa"/>
            <w:vAlign w:val="center"/>
          </w:tcPr>
          <w:p>
            <w:r>
              <w:t>6.9</w:t>
            </w:r>
          </w:p>
        </w:tc>
        <w:tc>
          <w:tcPr>
            <w:tcW w:w="6660" w:type="dxa"/>
          </w:tcPr>
          <w:p>
            <w:r>
              <w:rPr>
                <w:rFonts w:hint="eastAsia"/>
              </w:rPr>
              <w:t>宿舍内（包括值班室）违规使用大功率电器的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6.10</w:t>
            </w:r>
          </w:p>
        </w:tc>
        <w:tc>
          <w:tcPr>
            <w:tcW w:w="6660" w:type="dxa"/>
          </w:tcPr>
          <w:p>
            <w:r>
              <w:rPr>
                <w:rFonts w:hint="eastAsia"/>
              </w:rPr>
              <w:t>宿舍内混杂堆放工具、用具、易燃易爆或有毒物品的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6.11</w:t>
            </w:r>
          </w:p>
        </w:tc>
        <w:tc>
          <w:tcPr>
            <w:tcW w:w="6660" w:type="dxa"/>
          </w:tcPr>
          <w:p>
            <w:r>
              <w:rPr>
                <w:rFonts w:hint="eastAsia"/>
              </w:rPr>
              <w:t>宿舍内垃圾无人清扫，生活用品放置零乱的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6.12</w:t>
            </w:r>
          </w:p>
        </w:tc>
        <w:tc>
          <w:tcPr>
            <w:tcW w:w="6660" w:type="dxa"/>
          </w:tcPr>
          <w:p>
            <w:r>
              <w:rPr>
                <w:rFonts w:hint="eastAsia"/>
              </w:rPr>
              <w:t>无卫生防病宣传教育</w:t>
            </w:r>
            <w:r>
              <w:t>,</w:t>
            </w:r>
            <w:r>
              <w:rPr>
                <w:rFonts w:hint="eastAsia"/>
              </w:rPr>
              <w:t>或无保健医药箱、急救器材、急救措施和经培训的急救人员的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6.13</w:t>
            </w:r>
          </w:p>
        </w:tc>
        <w:tc>
          <w:tcPr>
            <w:tcW w:w="6660" w:type="dxa"/>
          </w:tcPr>
          <w:p>
            <w:r>
              <w:rPr>
                <w:rFonts w:hint="eastAsia"/>
              </w:rPr>
              <w:t>食堂卫生管理制度不全，管理不善，设施不全，卫生不符合要求，未按要求设置足够数量开水炉、电热水器或饮用水保温桶等基本生活设施的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200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6.14</w:t>
            </w:r>
          </w:p>
        </w:tc>
        <w:tc>
          <w:tcPr>
            <w:tcW w:w="6660" w:type="dxa"/>
          </w:tcPr>
          <w:p>
            <w:r>
              <w:rPr>
                <w:rFonts w:hint="eastAsia"/>
              </w:rPr>
              <w:t>宿舍区未提供为作业人员晾晒衣物的场地和设施</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50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008" w:type="dxa"/>
            <w:tcBorders>
              <w:top w:val="single" w:color="auto" w:sz="2" w:space="0"/>
            </w:tcBorders>
            <w:vAlign w:val="center"/>
          </w:tcPr>
          <w:p>
            <w:r>
              <w:t>6.15</w:t>
            </w:r>
          </w:p>
        </w:tc>
        <w:tc>
          <w:tcPr>
            <w:tcW w:w="6660" w:type="dxa"/>
            <w:tcBorders>
              <w:top w:val="single" w:color="auto" w:sz="2" w:space="0"/>
            </w:tcBorders>
          </w:tcPr>
          <w:p>
            <w:r>
              <w:rPr>
                <w:rFonts w:hint="eastAsia"/>
              </w:rPr>
              <w:t>宿舍区未设置水冲式厕所和符合要求淋浴室的</w:t>
            </w:r>
          </w:p>
        </w:tc>
        <w:tc>
          <w:tcPr>
            <w:tcW w:w="720" w:type="dxa"/>
            <w:tcBorders>
              <w:top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bottom w:val="single" w:color="auto" w:sz="2" w:space="0"/>
            </w:tcBorders>
            <w:vAlign w:val="center"/>
          </w:tcPr>
          <w:p>
            <w:r>
              <w:t>6.16</w:t>
            </w:r>
          </w:p>
        </w:tc>
        <w:tc>
          <w:tcPr>
            <w:tcW w:w="6660" w:type="dxa"/>
            <w:tcBorders>
              <w:top w:val="single" w:color="auto" w:sz="2" w:space="0"/>
              <w:bottom w:val="single" w:color="auto" w:sz="2" w:space="0"/>
            </w:tcBorders>
          </w:tcPr>
          <w:p>
            <w:r>
              <w:rPr>
                <w:rFonts w:hint="eastAsia"/>
              </w:rPr>
              <w:t>宿舍生活区未设置施工人员学习娱乐场所的</w:t>
            </w:r>
          </w:p>
        </w:tc>
        <w:tc>
          <w:tcPr>
            <w:tcW w:w="720" w:type="dxa"/>
            <w:tcBorders>
              <w:top w:val="single" w:color="auto" w:sz="2" w:space="0"/>
              <w:bottom w:val="single" w:color="auto" w:sz="2" w:space="0"/>
            </w:tcBorders>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6.17</w:t>
            </w:r>
          </w:p>
        </w:tc>
        <w:tc>
          <w:tcPr>
            <w:tcW w:w="6660" w:type="dxa"/>
          </w:tcPr>
          <w:p>
            <w:r>
              <w:rPr>
                <w:rFonts w:hint="eastAsia"/>
              </w:rPr>
              <w:t>宿舍区墙壁屋顶不严密、门窗不齐全，或通风效果差的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6.18</w:t>
            </w:r>
          </w:p>
        </w:tc>
        <w:tc>
          <w:tcPr>
            <w:tcW w:w="6660" w:type="dxa"/>
          </w:tcPr>
          <w:p>
            <w:r>
              <w:rPr>
                <w:rFonts w:hint="eastAsia"/>
              </w:rPr>
              <w:t>宿舍无保暖、防暑、防蚊虫叮咬措施的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100</w:t>
            </w:r>
            <w:r>
              <w:rPr>
                <w:rFonts w:hint="eastAsia"/>
              </w:rPr>
              <w:t>元</w:t>
            </w:r>
            <w:r>
              <w:t>/</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r>
              <w:t>6.19</w:t>
            </w:r>
          </w:p>
        </w:tc>
        <w:tc>
          <w:tcPr>
            <w:tcW w:w="6660" w:type="dxa"/>
          </w:tcPr>
          <w:p>
            <w:r>
              <w:rPr>
                <w:rFonts w:hint="eastAsia"/>
              </w:rPr>
              <w:t>宿舍生活区、大门口及周围毗邻区域垃圾未装容器，垃圾清扫、清运不及时、排水不畅，环境卫生不符合要求的</w:t>
            </w:r>
          </w:p>
        </w:tc>
        <w:tc>
          <w:tcPr>
            <w:tcW w:w="720" w:type="dxa"/>
            <w:vAlign w:val="center"/>
          </w:tcPr>
          <w:p>
            <w:r>
              <w:rPr>
                <w:rFonts w:hint="eastAsia"/>
              </w:rPr>
              <w:t>建标</w:t>
            </w:r>
          </w:p>
        </w:tc>
        <w:tc>
          <w:tcPr>
            <w:tcW w:w="1440" w:type="dxa"/>
            <w:tcBorders>
              <w:top w:val="single" w:color="auto" w:sz="2" w:space="0"/>
              <w:bottom w:val="single" w:color="auto" w:sz="2" w:space="0"/>
            </w:tcBorders>
            <w:vAlign w:val="center"/>
          </w:tcPr>
          <w:p>
            <w:r>
              <w:t>300</w:t>
            </w:r>
            <w:r>
              <w:rPr>
                <w:rFonts w:hint="eastAsia"/>
              </w:rPr>
              <w:t>元</w:t>
            </w:r>
            <w:r>
              <w:t>/</w:t>
            </w:r>
            <w:r>
              <w:rPr>
                <w:rFonts w:hint="eastAsia"/>
              </w:rPr>
              <w:t>项</w:t>
            </w:r>
          </w:p>
        </w:tc>
      </w:tr>
    </w:tbl>
    <w:p/>
    <w:p/>
    <w:p/>
    <w:p>
      <w:pPr>
        <w:jc w:val="center"/>
      </w:pPr>
      <w:r>
        <w:br w:type="page"/>
      </w:r>
      <w:r>
        <w:rPr>
          <w:rFonts w:hint="eastAsia"/>
        </w:rPr>
        <w:t>安全隐患整改通知书</w:t>
      </w:r>
    </w:p>
    <w:p>
      <w:r>
        <w:t xml:space="preserve">                                            </w:t>
      </w:r>
      <w:r>
        <w:rPr>
          <w:rFonts w:hint="eastAsia"/>
        </w:rPr>
        <w:t>基建（安）第</w:t>
      </w:r>
      <w:r>
        <w:t xml:space="preserve">   </w:t>
      </w:r>
      <w:r>
        <w:rPr>
          <w:rFonts w:hint="eastAsia"/>
        </w:rPr>
        <w:t>号</w:t>
      </w:r>
    </w:p>
    <w:tbl>
      <w:tblPr>
        <w:tblStyle w:val="52"/>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r>
              <w:rPr>
                <w:rFonts w:hint="eastAsia"/>
              </w:rPr>
              <w:t>工程名称</w:t>
            </w:r>
          </w:p>
        </w:tc>
        <w:tc>
          <w:tcPr>
            <w:tcW w:w="2730" w:type="dxa"/>
            <w:vAlign w:val="center"/>
          </w:tcPr>
          <w:p/>
        </w:tc>
        <w:tc>
          <w:tcPr>
            <w:tcW w:w="2250" w:type="dxa"/>
            <w:vAlign w:val="center"/>
          </w:tcPr>
          <w:p>
            <w:r>
              <w:rPr>
                <w:rFonts w:hint="eastAsia"/>
              </w:rPr>
              <w:t>责任施工项目部</w:t>
            </w:r>
          </w:p>
        </w:tc>
        <w:tc>
          <w:tcPr>
            <w:tcW w:w="2473"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r>
              <w:rPr>
                <w:rFonts w:hint="eastAsia"/>
              </w:rPr>
              <w:t>责任监理项目部</w:t>
            </w:r>
          </w:p>
        </w:tc>
        <w:tc>
          <w:tcPr>
            <w:tcW w:w="2730" w:type="dxa"/>
            <w:vAlign w:val="center"/>
          </w:tcPr>
          <w:p/>
        </w:tc>
        <w:tc>
          <w:tcPr>
            <w:tcW w:w="2250" w:type="dxa"/>
            <w:vAlign w:val="center"/>
          </w:tcPr>
          <w:p>
            <w:r>
              <w:rPr>
                <w:rFonts w:hint="eastAsia"/>
              </w:rPr>
              <w:t>责任人（甲方）</w:t>
            </w:r>
          </w:p>
        </w:tc>
        <w:tc>
          <w:tcPr>
            <w:tcW w:w="2473"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vAlign w:val="center"/>
          </w:tcPr>
          <w:p>
            <w:r>
              <w:rPr>
                <w:rFonts w:hint="eastAsia"/>
              </w:rPr>
              <w:t>序号</w:t>
            </w:r>
          </w:p>
        </w:tc>
        <w:tc>
          <w:tcPr>
            <w:tcW w:w="4095" w:type="dxa"/>
            <w:gridSpan w:val="2"/>
            <w:vAlign w:val="center"/>
          </w:tcPr>
          <w:p>
            <w:r>
              <w:rPr>
                <w:rFonts w:hint="eastAsia"/>
              </w:rPr>
              <w:t>存在的安全隐患</w:t>
            </w:r>
          </w:p>
        </w:tc>
        <w:tc>
          <w:tcPr>
            <w:tcW w:w="3300" w:type="dxa"/>
            <w:gridSpan w:val="2"/>
            <w:vAlign w:val="center"/>
          </w:tcPr>
          <w:p>
            <w:r>
              <w:rPr>
                <w:rFonts w:hint="eastAsia"/>
              </w:rPr>
              <w:t>整改建议</w:t>
            </w:r>
          </w:p>
        </w:tc>
        <w:tc>
          <w:tcPr>
            <w:tcW w:w="1423" w:type="dxa"/>
            <w:vAlign w:val="center"/>
          </w:tcPr>
          <w:p>
            <w:r>
              <w:rPr>
                <w:rFonts w:hint="eastAsia"/>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jc w:val="center"/>
        </w:trPr>
        <w:tc>
          <w:tcPr>
            <w:tcW w:w="841" w:type="dxa"/>
          </w:tcPr>
          <w:p/>
        </w:tc>
        <w:tc>
          <w:tcPr>
            <w:tcW w:w="4095" w:type="dxa"/>
            <w:gridSpan w:val="2"/>
          </w:tcPr>
          <w:p/>
        </w:tc>
        <w:tc>
          <w:tcPr>
            <w:tcW w:w="3300" w:type="dxa"/>
            <w:gridSpan w:val="2"/>
          </w:tcPr>
          <w:p/>
        </w:tc>
        <w:tc>
          <w:tcPr>
            <w:tcW w:w="142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tcPr>
          <w:p>
            <w:r>
              <w:rPr>
                <w:rFonts w:hint="eastAsia"/>
              </w:rPr>
              <w:t>责任单位项目部（签章）：</w:t>
            </w:r>
          </w:p>
        </w:tc>
        <w:tc>
          <w:tcPr>
            <w:tcW w:w="4723" w:type="dxa"/>
            <w:gridSpan w:val="3"/>
          </w:tcPr>
          <w:p>
            <w:r>
              <w:rPr>
                <w:rFonts w:hint="eastAsia"/>
              </w:rPr>
              <w:t>检查人员（签字）：</w:t>
            </w:r>
          </w:p>
          <w:p/>
          <w:p>
            <w:r>
              <w:rPr>
                <w:rFonts w:hint="eastAsia"/>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tcPr>
          <w:p>
            <w:r>
              <w:t xml:space="preserve">                           </w:t>
            </w:r>
          </w:p>
          <w:p>
            <w:r>
              <w:rPr>
                <w:rFonts w:hint="eastAsia"/>
              </w:rPr>
              <w:t>检查部门（签章）</w:t>
            </w:r>
          </w:p>
          <w:p>
            <w:r>
              <w:t xml:space="preserve">                                          </w:t>
            </w:r>
          </w:p>
          <w:p>
            <w:r>
              <w:rPr>
                <w:rFonts w:hint="eastAsia"/>
              </w:rPr>
              <w:t>二○　　年　　月　　　日</w:t>
            </w:r>
          </w:p>
        </w:tc>
      </w:tr>
    </w:tbl>
    <w:p>
      <w:r>
        <w:rPr>
          <w:rFonts w:hint="eastAsia"/>
        </w:rPr>
        <w:t>注：</w:t>
      </w:r>
      <w:r>
        <w:t>1</w:t>
      </w:r>
      <w:r>
        <w:rPr>
          <w:rFonts w:hint="eastAsia"/>
        </w:rPr>
        <w:t>、施工项目部收到本通知单后，须在指定时限内完成整改，并递交《施工安全隐患整改回复单》；</w:t>
      </w:r>
      <w:r>
        <w:t>2</w:t>
      </w:r>
      <w:r>
        <w:rPr>
          <w:rFonts w:hint="eastAsia"/>
        </w:rPr>
        <w:t>、本通知书一式三份，检查人员、责任施工项目部、责任监理项目部各持一份。</w:t>
      </w:r>
      <w:r>
        <w:t>3</w:t>
      </w:r>
      <w:r>
        <w:rPr>
          <w:rFonts w:hint="eastAsia"/>
        </w:rPr>
        <w:t>、表格中的签章是指签字或盖章。</w:t>
      </w:r>
    </w:p>
    <w:p>
      <w:pPr>
        <w:jc w:val="center"/>
      </w:pPr>
      <w:r>
        <w:br w:type="page"/>
      </w:r>
      <w:r>
        <w:rPr>
          <w:rFonts w:hint="eastAsia"/>
        </w:rPr>
        <w:t>安全文明施工工作联系单（处罚）</w:t>
      </w:r>
    </w:p>
    <w:p>
      <w:r>
        <w:rPr>
          <w:rFonts w:hint="eastAsia"/>
        </w:rPr>
        <w:t>基建（安）第</w:t>
      </w:r>
      <w:r>
        <w:t xml:space="preserve">   </w:t>
      </w:r>
      <w:r>
        <w:rPr>
          <w:rFonts w:hint="eastAsia"/>
        </w:rPr>
        <w:t>号</w:t>
      </w:r>
    </w:p>
    <w:tbl>
      <w:tblPr>
        <w:tblStyle w:val="52"/>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vAlign w:val="center"/>
          </w:tcPr>
          <w:p>
            <w:r>
              <w:rPr>
                <w:rFonts w:hint="eastAsia"/>
              </w:rPr>
              <w:t>责任单位项目部</w:t>
            </w:r>
          </w:p>
        </w:tc>
        <w:tc>
          <w:tcPr>
            <w:tcW w:w="7258"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vAlign w:val="center"/>
          </w:tcPr>
          <w:p>
            <w:r>
              <w:rPr>
                <w:rFonts w:hint="eastAsia"/>
              </w:rPr>
              <w:t>整改通知书编号</w:t>
            </w:r>
          </w:p>
        </w:tc>
        <w:tc>
          <w:tcPr>
            <w:tcW w:w="8353" w:type="dxa"/>
            <w:gridSpan w:val="6"/>
            <w:vAlign w:val="center"/>
          </w:tcPr>
          <w:p>
            <w:r>
              <w:rPr>
                <w:rFonts w:hint="eastAsia"/>
              </w:rPr>
              <w:t>处</w:t>
            </w:r>
            <w:r>
              <w:t xml:space="preserve">   </w:t>
            </w:r>
            <w:r>
              <w:rPr>
                <w:rFonts w:hint="eastAsia"/>
              </w:rPr>
              <w:t>罚</w:t>
            </w:r>
            <w:r>
              <w:t xml:space="preserve">    </w:t>
            </w:r>
            <w:r>
              <w:rPr>
                <w:rFonts w:hint="eastAsia"/>
              </w:rPr>
              <w:t>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vAlign w:val="center"/>
          </w:tcPr>
          <w:p/>
        </w:tc>
        <w:tc>
          <w:tcPr>
            <w:tcW w:w="1967" w:type="dxa"/>
            <w:gridSpan w:val="4"/>
            <w:vAlign w:val="center"/>
          </w:tcPr>
          <w:p>
            <w:r>
              <w:rPr>
                <w:rFonts w:hint="eastAsia"/>
              </w:rPr>
              <w:t>处罚数额（元）</w:t>
            </w:r>
          </w:p>
        </w:tc>
        <w:tc>
          <w:tcPr>
            <w:tcW w:w="6386" w:type="dxa"/>
            <w:gridSpan w:val="2"/>
            <w:vAlign w:val="center"/>
          </w:tcPr>
          <w:p>
            <w:r>
              <w:rPr>
                <w:rFonts w:hint="eastAsia"/>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vAlign w:val="center"/>
          </w:tcPr>
          <w:p/>
        </w:tc>
        <w:tc>
          <w:tcPr>
            <w:tcW w:w="1967" w:type="dxa"/>
            <w:gridSpan w:val="4"/>
            <w:vAlign w:val="center"/>
          </w:tcPr>
          <w:p/>
        </w:tc>
        <w:tc>
          <w:tcPr>
            <w:tcW w:w="6386"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vAlign w:val="center"/>
          </w:tcPr>
          <w:p>
            <w:r>
              <w:rPr>
                <w:rFonts w:hint="eastAsia"/>
              </w:rPr>
              <w:t>处罚合计（元）</w:t>
            </w:r>
          </w:p>
        </w:tc>
        <w:tc>
          <w:tcPr>
            <w:tcW w:w="1440" w:type="dxa"/>
            <w:gridSpan w:val="3"/>
            <w:vAlign w:val="center"/>
          </w:tcPr>
          <w:p/>
        </w:tc>
        <w:tc>
          <w:tcPr>
            <w:tcW w:w="3148" w:type="dxa"/>
            <w:vAlign w:val="center"/>
          </w:tcPr>
          <w:p>
            <w:r>
              <w:rPr>
                <w:rFonts w:hint="eastAsia"/>
              </w:rPr>
              <w:t>检查人员</w:t>
            </w:r>
          </w:p>
        </w:tc>
        <w:tc>
          <w:tcPr>
            <w:tcW w:w="323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tcPr>
          <w:p>
            <w:r>
              <w:rPr>
                <w:rFonts w:hint="eastAsia"/>
              </w:rPr>
              <w:t>责任施工项目部（签章）</w:t>
            </w:r>
          </w:p>
        </w:tc>
        <w:tc>
          <w:tcPr>
            <w:tcW w:w="3252" w:type="dxa"/>
            <w:gridSpan w:val="2"/>
          </w:tcPr>
          <w:p>
            <w:r>
              <w:rPr>
                <w:rFonts w:hint="eastAsia"/>
              </w:rPr>
              <w:t>责任监理项目部（签章）</w:t>
            </w:r>
          </w:p>
          <w:p/>
          <w:p/>
          <w:p/>
          <w:p/>
        </w:tc>
        <w:tc>
          <w:tcPr>
            <w:tcW w:w="3238" w:type="dxa"/>
          </w:tcPr>
          <w:p>
            <w:r>
              <w:rPr>
                <w:rFonts w:hint="eastAsia"/>
              </w:rPr>
              <w:t>签发部门（签章）</w:t>
            </w:r>
          </w:p>
          <w:p/>
          <w:p/>
          <w:p>
            <w:r>
              <w:rPr>
                <w:rFonts w:hint="eastAsia"/>
              </w:rPr>
              <w:t>二○</w:t>
            </w:r>
            <w:r>
              <w:t xml:space="preserve">   </w:t>
            </w:r>
            <w:r>
              <w:rPr>
                <w:rFonts w:hint="eastAsia"/>
              </w:rPr>
              <w:t>年</w:t>
            </w:r>
            <w:r>
              <w:t xml:space="preserve">   </w:t>
            </w:r>
            <w:r>
              <w:rPr>
                <w:rFonts w:hint="eastAsia"/>
              </w:rPr>
              <w:t>月</w:t>
            </w:r>
            <w:r>
              <w:t xml:space="preserve">    </w:t>
            </w:r>
            <w:r>
              <w:rPr>
                <w:rFonts w:hint="eastAsia"/>
              </w:rPr>
              <w:t>日</w:t>
            </w:r>
          </w:p>
        </w:tc>
      </w:tr>
    </w:tbl>
    <w:p>
      <w:pPr>
        <w:rPr>
          <w:rFonts w:ascii="宋体" w:hAnsi="宋体"/>
          <w:b/>
          <w:sz w:val="22"/>
        </w:rPr>
      </w:pPr>
      <w:r>
        <w:rPr>
          <w:rFonts w:hint="eastAsia"/>
        </w:rPr>
        <w:t>注：</w:t>
      </w:r>
      <w:r>
        <w:t>1</w:t>
      </w:r>
      <w:r>
        <w:rPr>
          <w:rFonts w:hint="eastAsia"/>
        </w:rPr>
        <w:t>、本扣分通知单一式四份，信导部、签发人、责任施工项目部和责任监理项目部各持一份。</w:t>
      </w:r>
      <w:r>
        <w:t>2</w:t>
      </w:r>
      <w:r>
        <w:rPr>
          <w:rFonts w:hint="eastAsia"/>
        </w:rPr>
        <w:t>、表格中的签章是指签字或盖章。</w:t>
      </w:r>
    </w:p>
    <w:p>
      <w:pPr>
        <w:widowControl/>
        <w:jc w:val="center"/>
        <w:rPr>
          <w:rFonts w:ascii="Calibri" w:hAnsi="Calibri" w:eastAsia="黑体" w:cs="Calibri"/>
          <w:kern w:val="0"/>
          <w:sz w:val="32"/>
        </w:rPr>
      </w:pPr>
      <w:r>
        <w:rPr>
          <w:rFonts w:ascii="宋体" w:hAnsi="宋体"/>
          <w:b/>
          <w:sz w:val="22"/>
        </w:rPr>
        <w:br w:type="page"/>
      </w:r>
      <w:bookmarkEnd w:id="160"/>
      <w:bookmarkEnd w:id="161"/>
      <w:bookmarkStart w:id="162" w:name="_Toc321925456"/>
      <w:bookmarkStart w:id="163" w:name="_Toc448002987"/>
      <w:bookmarkStart w:id="164"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62"/>
      <w:bookmarkEnd w:id="163"/>
    </w:p>
    <w:p>
      <w:pPr>
        <w:pStyle w:val="29"/>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否决投标处理</w:t>
      </w:r>
      <w:r>
        <w:rPr>
          <w:rFonts w:ascii="宋体" w:hAnsi="宋体" w:cs="Calibri"/>
          <w:b/>
          <w:bCs/>
          <w:kern w:val="0"/>
          <w:sz w:val="22"/>
          <w:szCs w:val="22"/>
        </w:rPr>
        <w:t>，</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9"/>
        <w:adjustRightInd w:val="0"/>
        <w:snapToGrid w:val="0"/>
        <w:spacing w:line="360" w:lineRule="exact"/>
        <w:ind w:firstLine="440" w:firstLineChars="200"/>
        <w:rPr>
          <w:rFonts w:hAnsi="宋体"/>
          <w:bCs/>
        </w:rPr>
      </w:pPr>
      <w:r>
        <w:rPr>
          <w:rFonts w:hint="eastAsia" w:hAnsi="宋体"/>
          <w:sz w:val="22"/>
          <w:szCs w:val="22"/>
        </w:rPr>
        <w:t>报价评分应在投标报价响应招标文件要求的基础上，评价基准价的计算方式为：</w:t>
      </w:r>
      <w:r>
        <w:rPr>
          <w:rFonts w:hint="eastAsia" w:hAnsi="宋体"/>
          <w:b/>
          <w:sz w:val="22"/>
          <w:szCs w:val="22"/>
        </w:rPr>
        <w:t>（1）若有效评标价少于三家（含）时，报价平均值与最低价的平均值作为基准价。（2）若有效评标价大于三家时，报价的平均值与次低价的平均值作为基准价。</w:t>
      </w:r>
    </w:p>
    <w:p>
      <w:pPr>
        <w:pStyle w:val="29"/>
        <w:adjustRightInd w:val="0"/>
        <w:snapToGrid w:val="0"/>
        <w:spacing w:line="360" w:lineRule="exact"/>
        <w:ind w:firstLine="440" w:firstLineChars="200"/>
        <w:rPr>
          <w:rFonts w:hAnsi="宋体" w:cs="Calibri"/>
          <w:sz w:val="22"/>
          <w:szCs w:val="22"/>
        </w:rPr>
      </w:pPr>
    </w:p>
    <w:tbl>
      <w:tblPr>
        <w:tblStyle w:val="5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vAlign w:val="center"/>
          </w:tcPr>
          <w:p>
            <w:pPr>
              <w:snapToGrid w:val="0"/>
              <w:jc w:val="center"/>
              <w:rPr>
                <w:rFonts w:ascii="宋体" w:hAnsi="宋体"/>
                <w:szCs w:val="21"/>
              </w:rPr>
            </w:pPr>
            <w:r>
              <w:rPr>
                <w:rFonts w:hint="eastAsia" w:ascii="宋体" w:hAnsi="宋体"/>
                <w:szCs w:val="21"/>
              </w:rPr>
              <w:t>评审因素子项</w:t>
            </w:r>
          </w:p>
        </w:tc>
        <w:tc>
          <w:tcPr>
            <w:tcW w:w="5132" w:type="dxa"/>
            <w:vAlign w:val="center"/>
          </w:tcPr>
          <w:p>
            <w:pPr>
              <w:snapToGrid w:val="0"/>
              <w:jc w:val="center"/>
              <w:rPr>
                <w:rFonts w:ascii="宋体" w:hAnsi="宋体"/>
                <w:szCs w:val="21"/>
              </w:rPr>
            </w:pPr>
            <w:r>
              <w:rPr>
                <w:rFonts w:hint="eastAsia" w:ascii="宋体" w:hAnsi="宋体"/>
                <w:szCs w:val="21"/>
              </w:rPr>
              <w:t>评分标准</w:t>
            </w:r>
          </w:p>
        </w:tc>
        <w:tc>
          <w:tcPr>
            <w:tcW w:w="1276" w:type="dxa"/>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vAlign w:val="center"/>
          </w:tcPr>
          <w:p>
            <w:pPr>
              <w:snapToGrid w:val="0"/>
              <w:jc w:val="center"/>
              <w:rPr>
                <w:rFonts w:ascii="宋体" w:hAnsi="宋体"/>
                <w:szCs w:val="21"/>
              </w:rPr>
            </w:pPr>
            <w:r>
              <w:rPr>
                <w:rFonts w:hint="eastAsia" w:ascii="宋体" w:hAnsi="宋体"/>
                <w:szCs w:val="21"/>
              </w:rPr>
              <w:t>商务评分</w:t>
            </w:r>
          </w:p>
          <w:p>
            <w:pPr>
              <w:snapToGrid w:val="0"/>
              <w:jc w:val="center"/>
              <w:rPr>
                <w:rFonts w:ascii="宋体" w:hAnsi="宋体"/>
                <w:szCs w:val="21"/>
              </w:rPr>
            </w:pPr>
            <w:r>
              <w:rPr>
                <w:rFonts w:hint="eastAsia" w:ascii="宋体" w:hAnsi="宋体"/>
                <w:szCs w:val="21"/>
              </w:rPr>
              <w:t>（</w:t>
            </w:r>
            <w:r>
              <w:rPr>
                <w:rFonts w:hint="eastAsia" w:ascii="宋体" w:hAnsi="宋体"/>
                <w:bCs/>
                <w:szCs w:val="21"/>
              </w:rPr>
              <w:t>满分</w:t>
            </w:r>
            <w:r>
              <w:rPr>
                <w:rFonts w:ascii="宋体" w:hAnsi="宋体"/>
                <w:bCs/>
                <w:szCs w:val="21"/>
              </w:rPr>
              <w:t>60</w:t>
            </w:r>
            <w:r>
              <w:rPr>
                <w:rFonts w:hint="eastAsia" w:ascii="宋体" w:hAnsi="宋体"/>
                <w:bCs/>
                <w:szCs w:val="21"/>
              </w:rPr>
              <w:t>分）</w:t>
            </w:r>
          </w:p>
        </w:tc>
        <w:tc>
          <w:tcPr>
            <w:tcW w:w="1701" w:type="dxa"/>
            <w:vAlign w:val="center"/>
          </w:tcPr>
          <w:p>
            <w:pPr>
              <w:snapToGrid w:val="0"/>
              <w:jc w:val="center"/>
              <w:rPr>
                <w:rFonts w:ascii="宋体" w:hAnsi="宋体"/>
                <w:szCs w:val="21"/>
              </w:rPr>
            </w:pPr>
            <w:r>
              <w:rPr>
                <w:rFonts w:hint="eastAsia" w:ascii="宋体" w:hAnsi="宋体"/>
                <w:szCs w:val="21"/>
              </w:rPr>
              <w:t>投标报价</w:t>
            </w:r>
          </w:p>
          <w:p>
            <w:pPr>
              <w:snapToGrid w:val="0"/>
              <w:jc w:val="center"/>
              <w:rPr>
                <w:rFonts w:ascii="宋体" w:hAnsi="宋体"/>
                <w:szCs w:val="21"/>
              </w:rPr>
            </w:pPr>
            <w:r>
              <w:rPr>
                <w:rFonts w:hint="eastAsia" w:ascii="宋体" w:hAnsi="宋体"/>
                <w:szCs w:val="21"/>
              </w:rPr>
              <w:t>（</w:t>
            </w:r>
            <w:r>
              <w:rPr>
                <w:rFonts w:ascii="宋体" w:hAnsi="宋体"/>
                <w:szCs w:val="21"/>
              </w:rPr>
              <w:t>60</w:t>
            </w:r>
            <w:r>
              <w:rPr>
                <w:rFonts w:hint="eastAsia" w:ascii="宋体" w:hAnsi="宋体"/>
                <w:szCs w:val="21"/>
              </w:rPr>
              <w:t>分）</w:t>
            </w:r>
          </w:p>
        </w:tc>
        <w:tc>
          <w:tcPr>
            <w:tcW w:w="5132" w:type="dxa"/>
            <w:vAlign w:val="center"/>
          </w:tcPr>
          <w:p>
            <w:pPr>
              <w:snapToGrid w:val="0"/>
              <w:jc w:val="left"/>
              <w:rPr>
                <w:rFonts w:ascii="宋体" w:hAnsi="宋体"/>
                <w:szCs w:val="21"/>
              </w:rPr>
            </w:pPr>
            <w:r>
              <w:rPr>
                <w:rFonts w:hint="eastAsia" w:ascii="宋体" w:hAnsi="宋体"/>
                <w:szCs w:val="21"/>
              </w:rPr>
              <w:t>与基准价相等的为满分</w:t>
            </w:r>
            <w:r>
              <w:rPr>
                <w:rFonts w:ascii="宋体" w:hAnsi="宋体"/>
                <w:szCs w:val="21"/>
              </w:rPr>
              <w:t>60</w:t>
            </w:r>
            <w:r>
              <w:rPr>
                <w:rFonts w:hint="eastAsia" w:ascii="宋体" w:hAnsi="宋体"/>
                <w:szCs w:val="21"/>
              </w:rPr>
              <w:t>分。</w:t>
            </w:r>
          </w:p>
          <w:p>
            <w:pPr>
              <w:snapToGrid w:val="0"/>
              <w:jc w:val="left"/>
              <w:rPr>
                <w:rFonts w:ascii="宋体" w:hAnsi="宋体"/>
                <w:szCs w:val="21"/>
              </w:rPr>
            </w:pPr>
            <w:r>
              <w:rPr>
                <w:rFonts w:hint="eastAsia" w:ascii="宋体" w:hAnsi="宋体"/>
                <w:szCs w:val="21"/>
              </w:rPr>
              <w:t>投标总价每高于基准价1</w:t>
            </w:r>
            <w:r>
              <w:rPr>
                <w:rFonts w:ascii="宋体" w:hAnsi="宋体"/>
                <w:szCs w:val="21"/>
              </w:rPr>
              <w:t>%,</w:t>
            </w:r>
            <w:r>
              <w:rPr>
                <w:rFonts w:hint="eastAsia" w:ascii="宋体" w:hAnsi="宋体"/>
                <w:szCs w:val="21"/>
              </w:rPr>
              <w:t>扣1分；</w:t>
            </w:r>
          </w:p>
          <w:p>
            <w:pPr>
              <w:snapToGrid w:val="0"/>
              <w:jc w:val="left"/>
              <w:rPr>
                <w:rFonts w:ascii="宋体" w:hAnsi="宋体"/>
                <w:szCs w:val="21"/>
              </w:rPr>
            </w:pPr>
            <w:r>
              <w:rPr>
                <w:rFonts w:hint="eastAsia" w:ascii="宋体" w:hAnsi="宋体"/>
                <w:szCs w:val="21"/>
              </w:rPr>
              <w:t>投标总价每低于基准价1%，扣0.5分。</w:t>
            </w:r>
          </w:p>
          <w:p>
            <w:pPr>
              <w:snapToGrid w:val="0"/>
              <w:jc w:val="left"/>
              <w:rPr>
                <w:rFonts w:ascii="宋体" w:hAnsi="宋体"/>
                <w:szCs w:val="21"/>
              </w:rPr>
            </w:pPr>
            <w:r>
              <w:rPr>
                <w:rFonts w:hint="eastAsia" w:ascii="宋体" w:hAnsi="宋体"/>
                <w:bCs/>
                <w:szCs w:val="21"/>
              </w:rPr>
              <w:t>投标报价分扣分至</w:t>
            </w:r>
            <w:r>
              <w:rPr>
                <w:rFonts w:ascii="宋体" w:hAnsi="宋体"/>
                <w:bCs/>
                <w:szCs w:val="21"/>
              </w:rPr>
              <w:t>30</w:t>
            </w:r>
            <w:r>
              <w:rPr>
                <w:rFonts w:hint="eastAsia" w:ascii="宋体" w:hAnsi="宋体"/>
                <w:bCs/>
                <w:szCs w:val="21"/>
              </w:rPr>
              <w:t>分止。</w:t>
            </w:r>
          </w:p>
        </w:tc>
        <w:tc>
          <w:tcPr>
            <w:tcW w:w="1276" w:type="dxa"/>
            <w:vAlign w:val="center"/>
          </w:tcPr>
          <w:p>
            <w:pPr>
              <w:snapToGrid w:val="0"/>
              <w:jc w:val="center"/>
              <w:rPr>
                <w:rFonts w:ascii="宋体" w:hAnsi="宋体"/>
                <w:b/>
                <w:szCs w:val="21"/>
              </w:rPr>
            </w:pPr>
            <w:r>
              <w:rPr>
                <w:rFonts w:ascii="宋体" w:hAnsi="宋体"/>
                <w:b/>
                <w:szCs w:val="21"/>
              </w:rPr>
              <w:t>30</w:t>
            </w:r>
            <w:r>
              <w:rPr>
                <w:rFonts w:hint="eastAsia" w:ascii="宋体" w:hAnsi="宋体"/>
                <w:b/>
                <w:szCs w:val="21"/>
              </w:rPr>
              <w:t>-</w:t>
            </w:r>
            <w:r>
              <w:rPr>
                <w:rFonts w:ascii="宋体" w:hAnsi="宋体"/>
                <w:b/>
                <w:szCs w:val="21"/>
              </w:rPr>
              <w:t>60</w:t>
            </w:r>
            <w:r>
              <w:rPr>
                <w:rFonts w:hint="eastAsia" w:ascii="宋体" w:hAnsi="宋体"/>
                <w:b/>
                <w:szCs w:val="21"/>
              </w:rPr>
              <w:t>分</w:t>
            </w:r>
          </w:p>
        </w:tc>
      </w:tr>
    </w:tbl>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   0-40分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2"/>
        <w:tblW w:w="9531"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702"/>
        <w:gridCol w:w="50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4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评审因素子项</w:t>
            </w:r>
          </w:p>
        </w:tc>
        <w:tc>
          <w:tcPr>
            <w:tcW w:w="50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94" w:type="dxa"/>
            <w:vMerge w:val="restart"/>
            <w:vAlign w:val="center"/>
          </w:tcPr>
          <w:p>
            <w:pPr>
              <w:snapToGrid w:val="0"/>
              <w:jc w:val="center"/>
              <w:rPr>
                <w:rFonts w:ascii="宋体" w:hAnsi="宋体"/>
                <w:szCs w:val="21"/>
              </w:rPr>
            </w:pPr>
            <w:r>
              <w:rPr>
                <w:rFonts w:hint="eastAsia" w:ascii="宋体" w:hAnsi="宋体"/>
                <w:szCs w:val="21"/>
              </w:rPr>
              <w:t>技术标评分（满分</w:t>
            </w:r>
            <w:r>
              <w:rPr>
                <w:rFonts w:hint="eastAsia" w:ascii="宋体" w:hAnsi="宋体"/>
                <w:bCs/>
                <w:szCs w:val="21"/>
              </w:rPr>
              <w:t>33分）</w:t>
            </w:r>
          </w:p>
        </w:tc>
        <w:tc>
          <w:tcPr>
            <w:tcW w:w="1702" w:type="dxa"/>
            <w:tcBorders>
              <w:bottom w:val="single" w:color="auto" w:sz="4" w:space="0"/>
            </w:tcBorders>
            <w:vAlign w:val="center"/>
          </w:tcPr>
          <w:p>
            <w:pPr>
              <w:snapToGrid w:val="0"/>
              <w:jc w:val="center"/>
              <w:rPr>
                <w:rFonts w:ascii="宋体" w:hAnsi="宋体"/>
                <w:color w:val="000000"/>
                <w:szCs w:val="21"/>
              </w:rPr>
            </w:pPr>
            <w:r>
              <w:rPr>
                <w:rFonts w:ascii="宋体" w:hAnsi="宋体"/>
                <w:sz w:val="22"/>
              </w:rPr>
              <w:t>主要性能指标满足招标要求的程度</w:t>
            </w:r>
          </w:p>
        </w:tc>
        <w:tc>
          <w:tcPr>
            <w:tcW w:w="5059" w:type="dxa"/>
            <w:tcBorders>
              <w:bottom w:val="single" w:color="auto" w:sz="4" w:space="0"/>
            </w:tcBorders>
            <w:vAlign w:val="center"/>
          </w:tcPr>
          <w:p>
            <w:pPr>
              <w:widowControl/>
              <w:jc w:val="left"/>
              <w:rPr>
                <w:rFonts w:ascii="宋体" w:hAnsi="宋体"/>
                <w:color w:val="000000"/>
                <w:szCs w:val="21"/>
              </w:rPr>
            </w:pPr>
            <w:r>
              <w:rPr>
                <w:rFonts w:ascii="宋体" w:hAnsi="宋体"/>
              </w:rPr>
              <w:t>根据投标产品的性能</w:t>
            </w:r>
            <w:r>
              <w:rPr>
                <w:rFonts w:hint="eastAsia" w:ascii="宋体" w:hAnsi="宋体"/>
              </w:rPr>
              <w:t>参数</w:t>
            </w:r>
            <w:r>
              <w:rPr>
                <w:rFonts w:ascii="宋体" w:hAnsi="宋体"/>
              </w:rPr>
              <w:t>是否符合招标文件的要求及符合程度</w:t>
            </w:r>
            <w:r>
              <w:rPr>
                <w:rFonts w:hint="eastAsia" w:ascii="宋体" w:hAnsi="宋体"/>
              </w:rPr>
              <w:t xml:space="preserve">，由评委横向比较打分。 </w:t>
            </w:r>
          </w:p>
        </w:tc>
        <w:tc>
          <w:tcPr>
            <w:tcW w:w="1276" w:type="dxa"/>
            <w:tcBorders>
              <w:bottom w:val="single" w:color="auto" w:sz="4" w:space="0"/>
            </w:tcBorders>
            <w:vAlign w:val="center"/>
          </w:tcPr>
          <w:p>
            <w:pPr>
              <w:snapToGrid w:val="0"/>
              <w:rPr>
                <w:rFonts w:ascii="宋体" w:hAnsi="宋体"/>
                <w:b/>
                <w:szCs w:val="21"/>
              </w:rPr>
            </w:pPr>
            <w:r>
              <w:rPr>
                <w:rFonts w:hint="eastAsia" w:ascii="宋体" w:hAnsi="宋体"/>
                <w:b/>
                <w:szCs w:val="21"/>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94" w:type="dxa"/>
            <w:vMerge w:val="continue"/>
            <w:vAlign w:val="center"/>
          </w:tcPr>
          <w:p>
            <w:pPr>
              <w:snapToGrid w:val="0"/>
              <w:jc w:val="center"/>
              <w:rPr>
                <w:rFonts w:ascii="宋体" w:hAnsi="宋体"/>
                <w:szCs w:val="21"/>
              </w:rPr>
            </w:pPr>
          </w:p>
        </w:tc>
        <w:tc>
          <w:tcPr>
            <w:tcW w:w="1702" w:type="dxa"/>
            <w:tcBorders>
              <w:bottom w:val="single" w:color="auto" w:sz="4" w:space="0"/>
            </w:tcBorders>
            <w:vAlign w:val="center"/>
          </w:tcPr>
          <w:p>
            <w:pPr>
              <w:snapToGrid w:val="0"/>
              <w:jc w:val="center"/>
              <w:rPr>
                <w:rFonts w:ascii="宋体" w:hAnsi="宋体"/>
                <w:sz w:val="22"/>
              </w:rPr>
            </w:pPr>
            <w:r>
              <w:rPr>
                <w:rFonts w:hint="eastAsia" w:ascii="宋体" w:hAnsi="宋体" w:cs="Tahoma"/>
              </w:rPr>
              <w:t>设备选型</w:t>
            </w:r>
          </w:p>
        </w:tc>
        <w:tc>
          <w:tcPr>
            <w:tcW w:w="5059" w:type="dxa"/>
            <w:tcBorders>
              <w:bottom w:val="single" w:color="auto" w:sz="4" w:space="0"/>
            </w:tcBorders>
            <w:vAlign w:val="center"/>
          </w:tcPr>
          <w:p>
            <w:pPr>
              <w:jc w:val="left"/>
              <w:rPr>
                <w:rFonts w:ascii="宋体" w:hAnsi="宋体"/>
                <w:color w:val="000000"/>
                <w:szCs w:val="21"/>
              </w:rPr>
            </w:pPr>
            <w:r>
              <w:rPr>
                <w:rFonts w:hint="eastAsia" w:ascii="宋体" w:hAnsi="宋体"/>
                <w:szCs w:val="21"/>
              </w:rPr>
              <w:t>投标人提供设备外观彩色图片。</w:t>
            </w:r>
            <w:r>
              <w:rPr>
                <w:rFonts w:hint="eastAsia" w:ascii="宋体" w:hAnsi="宋体"/>
              </w:rPr>
              <w:t>外形美观得体，契合杭州机场氛围得3分，外观得体，基本契合杭州机场氛围得</w:t>
            </w:r>
            <w:r>
              <w:rPr>
                <w:rFonts w:ascii="宋体" w:hAnsi="宋体"/>
              </w:rPr>
              <w:t>2</w:t>
            </w:r>
            <w:r>
              <w:rPr>
                <w:rFonts w:hint="eastAsia" w:ascii="宋体" w:hAnsi="宋体"/>
              </w:rPr>
              <w:t>分，外观一般得1分，外观不美观不得分。</w:t>
            </w:r>
          </w:p>
        </w:tc>
        <w:tc>
          <w:tcPr>
            <w:tcW w:w="1276" w:type="dxa"/>
            <w:tcBorders>
              <w:bottom w:val="single" w:color="auto" w:sz="4" w:space="0"/>
            </w:tcBorders>
            <w:vAlign w:val="center"/>
          </w:tcPr>
          <w:p>
            <w:pPr>
              <w:snapToGrid w:val="0"/>
              <w:rPr>
                <w:rFonts w:ascii="宋体" w:hAnsi="宋体"/>
                <w:b/>
                <w:szCs w:val="21"/>
              </w:rPr>
            </w:pPr>
            <w:r>
              <w:rPr>
                <w:rFonts w:hint="eastAsia" w:ascii="宋体" w:hAnsi="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94" w:type="dxa"/>
            <w:vMerge w:val="continue"/>
            <w:vAlign w:val="center"/>
          </w:tcPr>
          <w:p>
            <w:pPr>
              <w:snapToGrid w:val="0"/>
              <w:jc w:val="center"/>
              <w:rPr>
                <w:rFonts w:ascii="宋体" w:hAnsi="宋体"/>
                <w:szCs w:val="21"/>
              </w:rPr>
            </w:pPr>
          </w:p>
        </w:tc>
        <w:tc>
          <w:tcPr>
            <w:tcW w:w="1702" w:type="dxa"/>
            <w:vAlign w:val="center"/>
          </w:tcPr>
          <w:p>
            <w:pPr>
              <w:jc w:val="center"/>
              <w:rPr>
                <w:rFonts w:ascii="宋体" w:hAnsi="宋体"/>
                <w:szCs w:val="21"/>
              </w:rPr>
            </w:pPr>
            <w:r>
              <w:rPr>
                <w:rFonts w:hint="eastAsia" w:ascii="宋体" w:hAnsi="宋体"/>
                <w:szCs w:val="21"/>
              </w:rPr>
              <w:t>技术方案与培训</w:t>
            </w:r>
          </w:p>
        </w:tc>
        <w:tc>
          <w:tcPr>
            <w:tcW w:w="5059" w:type="dxa"/>
            <w:vAlign w:val="center"/>
          </w:tcPr>
          <w:p>
            <w:pPr>
              <w:snapToGrid w:val="0"/>
              <w:jc w:val="left"/>
              <w:rPr>
                <w:rFonts w:ascii="宋体" w:hAnsi="宋体"/>
                <w:szCs w:val="21"/>
              </w:rPr>
            </w:pPr>
            <w:r>
              <w:rPr>
                <w:rFonts w:hint="eastAsia" w:ascii="宋体" w:hAnsi="宋体"/>
                <w:szCs w:val="21"/>
              </w:rPr>
              <w:t>根据投标方案与需求的吻合程度，包括方案的科学性、先进性、完整性以及合理性等，根据有无基础维护操作培训，由评委横向比较打分</w:t>
            </w:r>
            <w:r>
              <w:rPr>
                <w:rFonts w:hint="eastAsia" w:ascii="宋体" w:hAnsi="宋体"/>
                <w:color w:val="000000"/>
                <w:szCs w:val="21"/>
              </w:rPr>
              <w:t>。</w:t>
            </w:r>
          </w:p>
        </w:tc>
        <w:tc>
          <w:tcPr>
            <w:tcW w:w="1276" w:type="dxa"/>
            <w:vAlign w:val="center"/>
          </w:tcPr>
          <w:p>
            <w:pPr>
              <w:snapToGrid w:val="0"/>
              <w:rPr>
                <w:rFonts w:ascii="宋体" w:hAnsi="宋体"/>
                <w:b/>
                <w:szCs w:val="21"/>
              </w:rPr>
            </w:pPr>
            <w:r>
              <w:rPr>
                <w:rFonts w:hint="eastAsia" w:ascii="宋体" w:hAnsi="宋体"/>
                <w:b/>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494" w:type="dxa"/>
            <w:vMerge w:val="continue"/>
            <w:vAlign w:val="center"/>
          </w:tcPr>
          <w:p>
            <w:pPr>
              <w:snapToGrid w:val="0"/>
              <w:jc w:val="center"/>
              <w:rPr>
                <w:rFonts w:ascii="宋体" w:hAnsi="宋体"/>
                <w:szCs w:val="21"/>
              </w:rPr>
            </w:pPr>
          </w:p>
        </w:tc>
        <w:tc>
          <w:tcPr>
            <w:tcW w:w="1702" w:type="dxa"/>
            <w:vAlign w:val="center"/>
          </w:tcPr>
          <w:p>
            <w:pPr>
              <w:snapToGrid w:val="0"/>
              <w:jc w:val="center"/>
              <w:rPr>
                <w:rFonts w:ascii="宋体" w:hAnsi="宋体"/>
                <w:color w:val="000000"/>
                <w:szCs w:val="21"/>
              </w:rPr>
            </w:pPr>
            <w:r>
              <w:rPr>
                <w:rFonts w:hint="eastAsia" w:ascii="宋体" w:hAnsi="宋体"/>
                <w:szCs w:val="21"/>
              </w:rPr>
              <w:t>质保、售后服务</w:t>
            </w:r>
          </w:p>
        </w:tc>
        <w:tc>
          <w:tcPr>
            <w:tcW w:w="5059" w:type="dxa"/>
            <w:vAlign w:val="center"/>
          </w:tcPr>
          <w:p>
            <w:pPr>
              <w:numPr>
                <w:ilvl w:val="0"/>
                <w:numId w:val="10"/>
              </w:numPr>
              <w:snapToGrid w:val="0"/>
              <w:jc w:val="left"/>
              <w:rPr>
                <w:rFonts w:ascii="宋体" w:hAnsi="宋体"/>
                <w:szCs w:val="21"/>
              </w:rPr>
            </w:pPr>
            <w:r>
              <w:rPr>
                <w:rFonts w:hint="eastAsia" w:ascii="宋体" w:hAnsi="宋体"/>
                <w:szCs w:val="21"/>
              </w:rPr>
              <w:t>对投标人提供的质保服务时间，</w:t>
            </w:r>
            <w:r>
              <w:rPr>
                <w:rFonts w:hint="eastAsia" w:ascii="宋体" w:hAnsi="宋体"/>
                <w:color w:val="000000"/>
                <w:szCs w:val="21"/>
              </w:rPr>
              <w:t>由评委横向比较打分。</w:t>
            </w:r>
            <w:r>
              <w:rPr>
                <w:rFonts w:hint="eastAsia" w:ascii="宋体" w:hAnsi="宋体"/>
              </w:rPr>
              <w:t>（0-3分）</w:t>
            </w:r>
          </w:p>
          <w:p>
            <w:pPr>
              <w:numPr>
                <w:ilvl w:val="0"/>
                <w:numId w:val="10"/>
              </w:numPr>
              <w:snapToGrid w:val="0"/>
              <w:jc w:val="left"/>
              <w:rPr>
                <w:rFonts w:ascii="宋体" w:hAnsi="宋体"/>
                <w:color w:val="000000"/>
                <w:szCs w:val="21"/>
              </w:rPr>
            </w:pPr>
            <w:r>
              <w:rPr>
                <w:rFonts w:hint="eastAsia" w:ascii="宋体" w:hAnsi="宋体"/>
                <w:szCs w:val="21"/>
              </w:rPr>
              <w:t>对售后服务方案、售后服务体系响应时间进行横向比较。</w:t>
            </w:r>
            <w:r>
              <w:rPr>
                <w:rFonts w:hint="eastAsia" w:ascii="宋体" w:hAnsi="宋体"/>
              </w:rPr>
              <w:t>（0-5分）</w:t>
            </w:r>
          </w:p>
          <w:p>
            <w:pPr>
              <w:numPr>
                <w:ilvl w:val="0"/>
                <w:numId w:val="10"/>
              </w:numPr>
              <w:snapToGrid w:val="0"/>
              <w:jc w:val="left"/>
              <w:rPr>
                <w:rFonts w:ascii="宋体" w:hAnsi="宋体"/>
                <w:color w:val="000000"/>
                <w:szCs w:val="21"/>
              </w:rPr>
            </w:pPr>
            <w:r>
              <w:rPr>
                <w:rFonts w:hint="eastAsia" w:ascii="宋体" w:hAnsi="宋体"/>
                <w:szCs w:val="21"/>
              </w:rPr>
              <w:t>投标人对于本项目服务承诺的可行性、完整性和服务承诺落实的保障措施等情况</w:t>
            </w:r>
            <w:r>
              <w:rPr>
                <w:rFonts w:hint="eastAsia" w:ascii="宋体" w:hAnsi="宋体"/>
              </w:rPr>
              <w:t>（0-2分）</w:t>
            </w:r>
            <w:r>
              <w:rPr>
                <w:rFonts w:hint="eastAsia" w:ascii="宋体" w:hAnsi="宋体"/>
                <w:szCs w:val="21"/>
              </w:rPr>
              <w:t xml:space="preserve"> </w:t>
            </w:r>
          </w:p>
        </w:tc>
        <w:tc>
          <w:tcPr>
            <w:tcW w:w="1276" w:type="dxa"/>
            <w:vAlign w:val="center"/>
          </w:tcPr>
          <w:p>
            <w:pPr>
              <w:snapToGrid w:val="0"/>
              <w:rPr>
                <w:rFonts w:ascii="宋体" w:hAnsi="宋体"/>
                <w:b/>
                <w:szCs w:val="21"/>
              </w:rPr>
            </w:pPr>
            <w:r>
              <w:rPr>
                <w:rFonts w:hint="eastAsia" w:ascii="宋体" w:hAnsi="宋体"/>
                <w:b/>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trPr>
        <w:tc>
          <w:tcPr>
            <w:tcW w:w="1494" w:type="dxa"/>
            <w:vMerge w:val="restart"/>
            <w:vAlign w:val="center"/>
          </w:tcPr>
          <w:p>
            <w:pPr>
              <w:snapToGrid w:val="0"/>
              <w:jc w:val="center"/>
              <w:rPr>
                <w:rFonts w:ascii="宋体" w:hAnsi="宋体"/>
                <w:szCs w:val="21"/>
              </w:rPr>
            </w:pPr>
            <w:r>
              <w:rPr>
                <w:rFonts w:hint="eastAsia" w:ascii="宋体" w:hAnsi="宋体"/>
                <w:sz w:val="22"/>
              </w:rPr>
              <w:t>资信评分（满分7分）</w:t>
            </w:r>
          </w:p>
        </w:tc>
        <w:tc>
          <w:tcPr>
            <w:tcW w:w="1702" w:type="dxa"/>
            <w:vAlign w:val="center"/>
          </w:tcPr>
          <w:p>
            <w:pPr>
              <w:snapToGrid w:val="0"/>
              <w:jc w:val="center"/>
              <w:rPr>
                <w:rFonts w:ascii="宋体" w:hAnsi="宋体"/>
                <w:sz w:val="22"/>
              </w:rPr>
            </w:pPr>
            <w:r>
              <w:rPr>
                <w:rFonts w:hint="eastAsia" w:ascii="宋体" w:hAnsi="宋体"/>
                <w:sz w:val="22"/>
              </w:rPr>
              <w:t>FSC-LCD模块产品证书、得奖情况</w:t>
            </w:r>
          </w:p>
        </w:tc>
        <w:tc>
          <w:tcPr>
            <w:tcW w:w="5059" w:type="dxa"/>
            <w:vAlign w:val="center"/>
          </w:tcPr>
          <w:p>
            <w:pPr>
              <w:snapToGrid w:val="0"/>
              <w:jc w:val="left"/>
              <w:rPr>
                <w:rFonts w:ascii="宋体" w:hAnsi="宋体"/>
                <w:szCs w:val="21"/>
              </w:rPr>
            </w:pPr>
            <w:r>
              <w:rPr>
                <w:rFonts w:hint="eastAsia" w:ascii="宋体" w:hAnsi="宋体"/>
                <w:szCs w:val="21"/>
              </w:rPr>
              <w:t>由评委横向比较后进行评分，</w:t>
            </w:r>
            <w:r>
              <w:rPr>
                <w:rFonts w:hint="eastAsia" w:ascii="宋体" w:hAnsi="宋体"/>
                <w:color w:val="000000"/>
                <w:szCs w:val="21"/>
              </w:rPr>
              <w:t>评价为一般的得1分，优良以上的得2分，较差的不得分。</w:t>
            </w:r>
          </w:p>
        </w:tc>
        <w:tc>
          <w:tcPr>
            <w:tcW w:w="1276" w:type="dxa"/>
            <w:vAlign w:val="center"/>
          </w:tcPr>
          <w:p>
            <w:pPr>
              <w:snapToGrid w:val="0"/>
              <w:rPr>
                <w:rFonts w:ascii="宋体" w:hAnsi="宋体"/>
                <w:b/>
                <w:szCs w:val="21"/>
              </w:rPr>
            </w:pPr>
            <w:r>
              <w:rPr>
                <w:rFonts w:hint="eastAsia" w:ascii="宋体" w:hAnsi="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trPr>
        <w:tc>
          <w:tcPr>
            <w:tcW w:w="1494" w:type="dxa"/>
            <w:vMerge w:val="continue"/>
            <w:vAlign w:val="center"/>
          </w:tcPr>
          <w:p>
            <w:pPr>
              <w:snapToGrid w:val="0"/>
              <w:jc w:val="center"/>
              <w:rPr>
                <w:rFonts w:ascii="宋体" w:hAnsi="宋体"/>
                <w:sz w:val="22"/>
              </w:rPr>
            </w:pPr>
          </w:p>
        </w:tc>
        <w:tc>
          <w:tcPr>
            <w:tcW w:w="1702" w:type="dxa"/>
            <w:vAlign w:val="center"/>
          </w:tcPr>
          <w:p>
            <w:pPr>
              <w:snapToGrid w:val="0"/>
              <w:jc w:val="center"/>
              <w:rPr>
                <w:rFonts w:ascii="宋体" w:hAnsi="宋体"/>
                <w:sz w:val="22"/>
              </w:rPr>
            </w:pPr>
            <w:r>
              <w:rPr>
                <w:rFonts w:hint="eastAsia" w:ascii="宋体" w:hAnsi="宋体"/>
                <w:szCs w:val="21"/>
              </w:rPr>
              <w:t>业绩</w:t>
            </w:r>
          </w:p>
        </w:tc>
        <w:tc>
          <w:tcPr>
            <w:tcW w:w="5059" w:type="dxa"/>
            <w:vAlign w:val="center"/>
          </w:tcPr>
          <w:p>
            <w:pPr>
              <w:pStyle w:val="29"/>
              <w:adjustRightInd w:val="0"/>
              <w:snapToGrid w:val="0"/>
              <w:spacing w:line="360" w:lineRule="exact"/>
              <w:rPr>
                <w:rFonts w:hAnsi="宋体"/>
              </w:rPr>
            </w:pPr>
            <w:r>
              <w:rPr>
                <w:rFonts w:hint="eastAsia" w:hAnsi="宋体" w:eastAsiaTheme="minorEastAsia" w:cstheme="minorBidi"/>
                <w:kern w:val="2"/>
                <w:sz w:val="24"/>
              </w:rPr>
              <w:t>投标人提供FSC-LCD</w:t>
            </w:r>
            <w:r>
              <w:rPr>
                <w:rFonts w:hint="eastAsia" w:cs="Arial" w:asciiTheme="minorEastAsia" w:hAnsiTheme="minorEastAsia"/>
                <w:sz w:val="22"/>
                <w:szCs w:val="22"/>
              </w:rPr>
              <w:t>模块</w:t>
            </w:r>
            <w:r>
              <w:rPr>
                <w:rFonts w:hint="eastAsia" w:hAnsi="宋体" w:eastAsiaTheme="minorEastAsia" w:cstheme="minorBidi"/>
                <w:kern w:val="2"/>
                <w:sz w:val="24"/>
              </w:rPr>
              <w:t>制造商的大屏应用项目业绩：金额大于1000万（含），每个业绩得2分；金额</w:t>
            </w:r>
            <w:r>
              <w:rPr>
                <w:rFonts w:hAnsi="宋体" w:eastAsiaTheme="minorEastAsia" w:cstheme="minorBidi"/>
                <w:kern w:val="2"/>
                <w:sz w:val="24"/>
              </w:rPr>
              <w:t>500</w:t>
            </w:r>
            <w:r>
              <w:rPr>
                <w:rFonts w:hint="eastAsia" w:hAnsi="宋体" w:eastAsiaTheme="minorEastAsia" w:cstheme="minorBidi"/>
                <w:kern w:val="2"/>
                <w:sz w:val="24"/>
              </w:rPr>
              <w:t>万（含）至1</w:t>
            </w:r>
            <w:r>
              <w:rPr>
                <w:rFonts w:hAnsi="宋体" w:eastAsiaTheme="minorEastAsia" w:cstheme="minorBidi"/>
                <w:kern w:val="2"/>
                <w:sz w:val="24"/>
              </w:rPr>
              <w:t>000</w:t>
            </w:r>
            <w:r>
              <w:rPr>
                <w:rFonts w:hint="eastAsia" w:hAnsi="宋体" w:eastAsiaTheme="minorEastAsia" w:cstheme="minorBidi"/>
                <w:kern w:val="2"/>
                <w:sz w:val="24"/>
              </w:rPr>
              <w:t>万（不含），每个业绩得</w:t>
            </w:r>
            <w:r>
              <w:rPr>
                <w:rFonts w:hAnsi="宋体" w:eastAsiaTheme="minorEastAsia" w:cstheme="minorBidi"/>
                <w:kern w:val="2"/>
                <w:sz w:val="24"/>
              </w:rPr>
              <w:t>0.5</w:t>
            </w:r>
            <w:r>
              <w:rPr>
                <w:rFonts w:hint="eastAsia" w:hAnsi="宋体" w:eastAsiaTheme="minorEastAsia" w:cstheme="minorBidi"/>
                <w:kern w:val="2"/>
                <w:sz w:val="24"/>
              </w:rPr>
              <w:t>分。同一业绩不重复计分，本项最高分为</w:t>
            </w:r>
            <w:r>
              <w:rPr>
                <w:rFonts w:hAnsi="宋体" w:eastAsiaTheme="minorEastAsia" w:cstheme="minorBidi"/>
                <w:kern w:val="2"/>
                <w:sz w:val="24"/>
              </w:rPr>
              <w:t>5</w:t>
            </w:r>
            <w:r>
              <w:rPr>
                <w:rFonts w:hint="eastAsia" w:hAnsi="宋体" w:eastAsiaTheme="minorEastAsia" w:cstheme="minorBidi"/>
                <w:kern w:val="2"/>
                <w:sz w:val="24"/>
              </w:rPr>
              <w:t>分。（需提供合同复印件并加盖投标人公章作为证明材料，原件备查）</w:t>
            </w:r>
          </w:p>
        </w:tc>
        <w:tc>
          <w:tcPr>
            <w:tcW w:w="1276" w:type="dxa"/>
            <w:vAlign w:val="center"/>
          </w:tcPr>
          <w:p>
            <w:pPr>
              <w:snapToGrid w:val="0"/>
              <w:rPr>
                <w:rFonts w:ascii="宋体" w:hAnsi="宋体"/>
                <w:b/>
                <w:szCs w:val="21"/>
              </w:rPr>
            </w:pPr>
            <w:r>
              <w:rPr>
                <w:rFonts w:hint="eastAsia" w:ascii="宋体" w:hAnsi="宋体"/>
                <w:b/>
                <w:szCs w:val="21"/>
              </w:rPr>
              <w:t>0-5分</w:t>
            </w:r>
          </w:p>
        </w:tc>
      </w:tr>
    </w:tbl>
    <w:p>
      <w:pPr>
        <w:pStyle w:val="29"/>
        <w:adjustRightInd w:val="0"/>
        <w:snapToGrid w:val="0"/>
        <w:spacing w:line="360" w:lineRule="exact"/>
        <w:ind w:firstLine="440" w:firstLineChars="200"/>
        <w:rPr>
          <w:rFonts w:hAnsi="宋体" w:cs="Calibri"/>
          <w:sz w:val="22"/>
          <w:szCs w:val="22"/>
        </w:rPr>
      </w:pPr>
    </w:p>
    <w:p>
      <w:pPr>
        <w:pStyle w:val="29"/>
        <w:adjustRightInd w:val="0"/>
        <w:snapToGrid w:val="0"/>
        <w:spacing w:line="360" w:lineRule="exact"/>
        <w:ind w:firstLine="440" w:firstLineChars="200"/>
        <w:rPr>
          <w:rFonts w:hAnsi="宋体" w:cs="Calibri"/>
          <w:sz w:val="22"/>
          <w:szCs w:val="22"/>
        </w:rPr>
      </w:pPr>
    </w:p>
    <w:p>
      <w:pPr>
        <w:pStyle w:val="29"/>
        <w:spacing w:line="360" w:lineRule="exact"/>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推荐得分最高、次高的投标人为中标候选人（如果得分相同则按投标人报价从低到高顺序推荐为中标候选人，如果投标报价也相同，则抽签决定）。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48"/>
      </w:pPr>
      <w:bookmarkStart w:id="165" w:name="_Toc321925457"/>
      <w:r>
        <w:t>第</w:t>
      </w:r>
      <w:r>
        <w:rPr>
          <w:rFonts w:hint="eastAsia"/>
        </w:rPr>
        <w:t>六</w:t>
      </w:r>
      <w:r>
        <w:t>章  投标文件格式</w:t>
      </w:r>
      <w:bookmarkEnd w:id="164"/>
      <w:bookmarkEnd w:id="165"/>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66" w:name="_Toc171421958"/>
      <w:r>
        <w:rPr>
          <w:rFonts w:cs="Calibri"/>
          <w:color w:val="000000"/>
        </w:rPr>
        <w:t>封面</w:t>
      </w:r>
      <w:bookmarkEnd w:id="16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11"/>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167" w:name="_Toc133214102"/>
      <w:bookmarkStart w:id="168" w:name="_Toc133214309"/>
      <w:bookmarkStart w:id="169" w:name="_Toc133470542"/>
      <w:bookmarkStart w:id="170" w:name="_Toc137373398"/>
      <w:bookmarkStart w:id="171" w:name="_Toc144265958"/>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29"/>
        <w:spacing w:after="120" w:afterLines="50" w:line="360" w:lineRule="auto"/>
        <w:jc w:val="center"/>
        <w:rPr>
          <w:rFonts w:hAnsi="宋体" w:cs="宋体"/>
        </w:rPr>
      </w:pPr>
    </w:p>
    <w:p>
      <w:pPr>
        <w:pStyle w:val="29"/>
        <w:numPr>
          <w:ilvl w:val="1"/>
          <w:numId w:val="1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1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9"/>
        <w:numPr>
          <w:ilvl w:val="1"/>
          <w:numId w:val="1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67"/>
    <w:bookmarkEnd w:id="168"/>
    <w:bookmarkEnd w:id="169"/>
    <w:bookmarkEnd w:id="170"/>
    <w:bookmarkEnd w:id="171"/>
    <w:p>
      <w:pPr>
        <w:snapToGrid w:val="0"/>
        <w:spacing w:before="120" w:beforeLines="50" w:line="360" w:lineRule="exact"/>
        <w:ind w:left="1134"/>
        <w:rPr>
          <w:rFonts w:ascii="宋体" w:hAnsi="宋体" w:cs="宋体"/>
          <w:sz w:val="22"/>
        </w:rPr>
      </w:pPr>
      <w:r>
        <w:rPr>
          <w:rFonts w:hint="eastAsia" w:ascii="宋体" w:hAnsi="宋体" w:cs="宋体"/>
          <w:sz w:val="22"/>
        </w:rPr>
        <w:t>(1)投标报价表</w:t>
      </w:r>
    </w:p>
    <w:p>
      <w:pPr>
        <w:snapToGrid w:val="0"/>
        <w:spacing w:before="120" w:beforeLines="50" w:line="360" w:lineRule="exact"/>
        <w:ind w:left="1134"/>
        <w:rPr>
          <w:rFonts w:ascii="宋体" w:hAnsi="宋体" w:cs="宋体"/>
          <w:sz w:val="22"/>
        </w:rPr>
      </w:pPr>
      <w:r>
        <w:rPr>
          <w:rFonts w:hint="eastAsia" w:ascii="宋体" w:hAnsi="宋体" w:cs="宋体"/>
          <w:sz w:val="22"/>
        </w:rPr>
        <w:t>(2)</w:t>
      </w:r>
      <w:r>
        <w:rPr>
          <w:rFonts w:hint="eastAsia"/>
        </w:rPr>
        <w:t xml:space="preserve"> </w:t>
      </w:r>
      <w:r>
        <w:rPr>
          <w:rFonts w:hint="eastAsia" w:ascii="宋体" w:hAnsi="宋体" w:cs="宋体"/>
          <w:sz w:val="22"/>
        </w:rPr>
        <w:t>质保期（8年）外，质保服务报价表</w:t>
      </w:r>
    </w:p>
    <w:p>
      <w:pPr>
        <w:snapToGrid w:val="0"/>
        <w:spacing w:before="120" w:beforeLines="50" w:line="360" w:lineRule="exact"/>
        <w:ind w:left="1134"/>
        <w:rPr>
          <w:rFonts w:ascii="宋体" w:hAnsi="宋体" w:cs="宋体"/>
          <w:sz w:val="22"/>
        </w:rPr>
        <w:sectPr>
          <w:footerReference r:id="rId7" w:type="first"/>
          <w:pgSz w:w="11906" w:h="16838"/>
          <w:pgMar w:top="1134" w:right="1247" w:bottom="1134" w:left="1247" w:header="851" w:footer="992" w:gutter="0"/>
          <w:cols w:space="720" w:num="1"/>
          <w:docGrid w:linePitch="312" w:charSpace="0"/>
        </w:sectPr>
      </w:pPr>
    </w:p>
    <w:p>
      <w:pPr>
        <w:spacing w:line="440" w:lineRule="exact"/>
        <w:jc w:val="center"/>
        <w:rPr>
          <w:rFonts w:eastAsia="黑体" w:cs="Calibri"/>
          <w:sz w:val="32"/>
          <w:szCs w:val="32"/>
        </w:rPr>
      </w:pPr>
      <w:r>
        <w:rPr>
          <w:rFonts w:eastAsia="黑体" w:cs="Calibri"/>
          <w:sz w:val="32"/>
          <w:szCs w:val="32"/>
        </w:rPr>
        <w:t>4.1</w:t>
      </w:r>
      <w:r>
        <w:rPr>
          <w:rFonts w:hint="eastAsia" w:eastAsia="黑体" w:cs="Calibri"/>
          <w:sz w:val="32"/>
          <w:szCs w:val="32"/>
        </w:rPr>
        <w:t>投标报价表</w:t>
      </w:r>
    </w:p>
    <w:p>
      <w:pPr>
        <w:spacing w:line="360" w:lineRule="auto"/>
        <w:rPr>
          <w:rFonts w:ascii="宋体" w:hAnsi="宋体" w:cs="宋体"/>
          <w:bCs/>
          <w:sz w:val="22"/>
        </w:rPr>
      </w:pPr>
    </w:p>
    <w:tbl>
      <w:tblPr>
        <w:tblStyle w:val="52"/>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内容名称</w:t>
            </w:r>
          </w:p>
        </w:tc>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kern w:val="0"/>
                <w:sz w:val="20"/>
              </w:rPr>
            </w:pPr>
            <w:r>
              <w:rPr>
                <w:rFonts w:hint="eastAsia" w:ascii="宋体" w:hAnsi="宋体" w:cs="宋体"/>
                <w:b/>
                <w:bCs/>
                <w:kern w:val="0"/>
                <w:sz w:val="20"/>
              </w:rPr>
              <w:t>合价（元，不含税）</w:t>
            </w:r>
          </w:p>
        </w:tc>
        <w:tc>
          <w:tcPr>
            <w:tcW w:w="185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kern w:val="0"/>
                <w:sz w:val="20"/>
              </w:rPr>
            </w:pPr>
            <w:r>
              <w:rPr>
                <w:rFonts w:hint="eastAsia" w:ascii="宋体" w:hAnsi="宋体" w:cs="宋体"/>
                <w:b/>
                <w:bCs/>
                <w:kern w:val="0"/>
                <w:sz w:val="20"/>
              </w:rPr>
              <w:t>增值税税率</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8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7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Times New Roman"/>
                <w:b/>
                <w:bCs/>
                <w:kern w:val="0"/>
                <w:sz w:val="21"/>
                <w:szCs w:val="21"/>
              </w:rPr>
            </w:pPr>
          </w:p>
        </w:tc>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szCs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8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7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Times New Roman"/>
                <w:b/>
                <w:bCs/>
                <w:kern w:val="0"/>
                <w:sz w:val="21"/>
                <w:szCs w:val="21"/>
              </w:rPr>
            </w:pPr>
          </w:p>
        </w:tc>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szCs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8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7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Times New Roman"/>
                <w:b/>
                <w:bCs/>
                <w:kern w:val="0"/>
                <w:sz w:val="21"/>
                <w:szCs w:val="21"/>
              </w:rPr>
            </w:pPr>
          </w:p>
        </w:tc>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szCs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8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7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5</w:t>
            </w:r>
          </w:p>
        </w:tc>
        <w:tc>
          <w:tcPr>
            <w:tcW w:w="1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Times New Roman"/>
                <w:b/>
                <w:bCs/>
                <w:kern w:val="0"/>
                <w:sz w:val="21"/>
                <w:szCs w:val="21"/>
              </w:rPr>
            </w:pPr>
          </w:p>
        </w:tc>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szCs w:val="22"/>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8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7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6</w:t>
            </w:r>
          </w:p>
        </w:tc>
        <w:tc>
          <w:tcPr>
            <w:tcW w:w="1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8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7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ascii="宋体" w:hAnsi="宋体" w:cs="宋体"/>
                <w:b/>
                <w:bCs/>
                <w:kern w:val="0"/>
                <w:sz w:val="20"/>
              </w:rPr>
              <w:t>…</w:t>
            </w:r>
          </w:p>
        </w:tc>
        <w:tc>
          <w:tcPr>
            <w:tcW w:w="1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8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7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质保服务</w:t>
            </w:r>
          </w:p>
        </w:tc>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年</w:t>
            </w: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8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7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2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8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7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64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63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85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c>
          <w:tcPr>
            <w:tcW w:w="17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税金（元）</w:t>
            </w:r>
          </w:p>
        </w:tc>
        <w:tc>
          <w:tcPr>
            <w:tcW w:w="12310"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kern w:val="0"/>
                <w:sz w:val="20"/>
              </w:rPr>
            </w:pPr>
            <w:r>
              <w:rPr>
                <w:rFonts w:hint="eastAsia" w:ascii="宋体" w:hAnsi="宋体" w:cs="宋体"/>
                <w:b/>
                <w:bCs/>
                <w:kern w:val="0"/>
                <w:sz w:val="20"/>
              </w:rPr>
              <w:t>价税合计（元）</w:t>
            </w:r>
          </w:p>
        </w:tc>
        <w:tc>
          <w:tcPr>
            <w:tcW w:w="12310"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kern w:val="0"/>
                <w:sz w:val="20"/>
              </w:rPr>
            </w:pPr>
            <w:r>
              <w:rPr>
                <w:rFonts w:hint="eastAsia" w:ascii="宋体" w:hAnsi="宋体" w:cs="宋体"/>
                <w:b/>
                <w:bCs/>
                <w:kern w:val="0"/>
                <w:sz w:val="20"/>
              </w:rPr>
              <w:t>人民币大写     元，¥   .00</w:t>
            </w:r>
          </w:p>
        </w:tc>
      </w:tr>
    </w:tbl>
    <w:p>
      <w:pPr>
        <w:widowControl/>
        <w:spacing w:line="300" w:lineRule="auto"/>
        <w:rPr>
          <w:rFonts w:ascii="宋体" w:hAnsi="宋体" w:cs="宋体"/>
          <w:sz w:val="22"/>
          <w:szCs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4"/>
        </w:numPr>
        <w:tabs>
          <w:tab w:val="left" w:pos="284"/>
        </w:tabs>
        <w:adjustRightInd w:val="0"/>
        <w:snapToGrid w:val="0"/>
        <w:spacing w:line="300" w:lineRule="auto"/>
        <w:ind w:left="284" w:hanging="284"/>
        <w:jc w:val="left"/>
        <w:rPr>
          <w:rFonts w:ascii="Calibri" w:hAnsi="Calibri" w:cs="Calibri"/>
          <w:b/>
          <w:sz w:val="21"/>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napToGrid w:val="0"/>
        <w:spacing w:before="120" w:beforeLines="50" w:line="360" w:lineRule="exact"/>
        <w:ind w:left="1134"/>
        <w:rPr>
          <w:rFonts w:ascii="宋体" w:hAnsi="宋体" w:cs="宋体"/>
          <w:sz w:val="22"/>
        </w:rPr>
        <w:sectPr>
          <w:pgSz w:w="16838" w:h="11906" w:orient="landscape"/>
          <w:pgMar w:top="1247" w:right="1134" w:bottom="1247" w:left="1134" w:header="851" w:footer="992" w:gutter="0"/>
          <w:cols w:space="720" w:num="1"/>
          <w:docGrid w:linePitch="312" w:charSpace="0"/>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ascii="宋体" w:hAnsi="宋体" w:cs="宋体"/>
          <w:b/>
          <w:sz w:val="32"/>
          <w:szCs w:val="32"/>
        </w:rPr>
        <w:t>4.2</w:t>
      </w:r>
      <w:r>
        <w:rPr>
          <w:rFonts w:hint="eastAsia" w:ascii="宋体" w:hAnsi="宋体" w:cs="宋体"/>
          <w:b/>
          <w:sz w:val="32"/>
          <w:szCs w:val="32"/>
        </w:rPr>
        <w:t>质保期外，质保服务报价表</w:t>
      </w:r>
    </w:p>
    <w:tbl>
      <w:tblPr>
        <w:tblStyle w:val="52"/>
        <w:tblpPr w:leftFromText="180" w:rightFromText="180" w:vertAnchor="text" w:tblpY="1"/>
        <w:tblOverlap w:val="never"/>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4292"/>
        <w:gridCol w:w="255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9" w:hRule="atLeast"/>
        </w:trPr>
        <w:tc>
          <w:tcPr>
            <w:tcW w:w="120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429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服务名称</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每年报价（元，含税）</w:t>
            </w:r>
          </w:p>
        </w:tc>
        <w:tc>
          <w:tcPr>
            <w:tcW w:w="184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9" w:hRule="atLeast"/>
        </w:trPr>
        <w:tc>
          <w:tcPr>
            <w:tcW w:w="1204" w:type="dxa"/>
            <w:vMerge w:val="continue"/>
            <w:shd w:val="clear" w:color="auto" w:fill="auto"/>
            <w:vAlign w:val="center"/>
          </w:tcPr>
          <w:p>
            <w:pPr>
              <w:widowControl/>
              <w:jc w:val="center"/>
              <w:rPr>
                <w:rFonts w:ascii="宋体" w:hAnsi="宋体" w:cs="宋体"/>
                <w:b/>
                <w:bCs/>
                <w:kern w:val="0"/>
                <w:sz w:val="20"/>
              </w:rPr>
            </w:pPr>
          </w:p>
        </w:tc>
        <w:tc>
          <w:tcPr>
            <w:tcW w:w="4292" w:type="dxa"/>
            <w:vMerge w:val="continue"/>
            <w:shd w:val="clear" w:color="auto" w:fill="auto"/>
            <w:vAlign w:val="center"/>
          </w:tcPr>
          <w:p>
            <w:pPr>
              <w:widowControl/>
              <w:jc w:val="left"/>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1842"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20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4292" w:type="dxa"/>
            <w:shd w:val="clear" w:color="000000" w:fill="FFFFFF"/>
            <w:vAlign w:val="center"/>
          </w:tcPr>
          <w:p>
            <w:pPr>
              <w:widowControl/>
              <w:jc w:val="center"/>
              <w:rPr>
                <w:rFonts w:ascii="宋体" w:hAnsi="宋体" w:cs="宋体"/>
                <w:b/>
                <w:bCs/>
                <w:kern w:val="0"/>
                <w:sz w:val="20"/>
              </w:rPr>
            </w:pPr>
          </w:p>
        </w:tc>
        <w:tc>
          <w:tcPr>
            <w:tcW w:w="2552" w:type="dxa"/>
            <w:shd w:val="clear" w:color="000000" w:fill="FFFFFF"/>
            <w:vAlign w:val="center"/>
          </w:tcPr>
          <w:p>
            <w:pPr>
              <w:widowControl/>
              <w:snapToGrid w:val="0"/>
              <w:rPr>
                <w:rFonts w:ascii="宋体" w:hAnsi="宋体"/>
                <w:b/>
                <w:bCs/>
                <w:kern w:val="0"/>
                <w:sz w:val="22"/>
              </w:rPr>
            </w:pPr>
          </w:p>
        </w:tc>
        <w:tc>
          <w:tcPr>
            <w:tcW w:w="1842" w:type="dxa"/>
            <w:shd w:val="clear" w:color="000000" w:fill="FFFFFF"/>
            <w:vAlign w:val="center"/>
          </w:tcPr>
          <w:p>
            <w:pPr>
              <w:widowControl/>
              <w:jc w:val="center"/>
              <w:rPr>
                <w:rFonts w:ascii="宋体" w:hAnsi="宋体" w:cs="宋体"/>
                <w:b/>
                <w:bCs/>
                <w:kern w:val="0"/>
                <w:sz w:val="20"/>
              </w:rPr>
            </w:pPr>
          </w:p>
        </w:tc>
      </w:tr>
    </w:tbl>
    <w:p>
      <w:pPr>
        <w:spacing w:line="360" w:lineRule="auto"/>
        <w:rPr>
          <w:rFonts w:ascii="宋体" w:hAnsi="宋体" w:cs="宋体"/>
          <w:b/>
          <w:sz w:val="22"/>
        </w:rPr>
      </w:pPr>
      <w:r>
        <w:rPr>
          <w:rFonts w:hint="eastAsia" w:ascii="宋体" w:hAnsi="宋体" w:cs="宋体"/>
          <w:b/>
          <w:sz w:val="22"/>
        </w:rPr>
        <w:t>其中，备品备件报价：</w:t>
      </w:r>
    </w:p>
    <w:tbl>
      <w:tblPr>
        <w:tblStyle w:val="52"/>
        <w:tblpPr w:leftFromText="180" w:rightFromText="180" w:vertAnchor="text" w:tblpY="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94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单位(元，含税)</w:t>
            </w:r>
          </w:p>
        </w:tc>
        <w:tc>
          <w:tcPr>
            <w:tcW w:w="943"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94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94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94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94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94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94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94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943"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943"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b/>
          <w:sz w:val="32"/>
          <w:szCs w:val="32"/>
        </w:rPr>
      </w:pPr>
      <w:r>
        <w:rPr>
          <w:rFonts w:hint="eastAsia" w:ascii="宋体" w:hAnsi="宋体" w:cs="宋体"/>
          <w:b/>
          <w:sz w:val="22"/>
        </w:rPr>
        <w:t>注：质保期</w:t>
      </w:r>
      <w:r>
        <w:rPr>
          <w:rFonts w:ascii="宋体" w:hAnsi="宋体" w:cs="宋体"/>
          <w:b/>
          <w:sz w:val="22"/>
        </w:rPr>
        <w:t>满后</w:t>
      </w:r>
      <w:r>
        <w:rPr>
          <w:rFonts w:hint="eastAsia" w:ascii="宋体" w:hAnsi="宋体" w:cs="宋体"/>
          <w:b/>
          <w:sz w:val="22"/>
        </w:rPr>
        <w:t>，为保证设备正常运行</w:t>
      </w:r>
      <w:r>
        <w:rPr>
          <w:rFonts w:ascii="宋体" w:hAnsi="宋体" w:cs="宋体"/>
          <w:b/>
          <w:sz w:val="22"/>
        </w:rPr>
        <w:t>所需的备品、备件，</w:t>
      </w:r>
      <w:r>
        <w:rPr>
          <w:rFonts w:hint="eastAsia" w:ascii="宋体" w:hAnsi="宋体" w:cs="宋体"/>
          <w:b/>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6"/>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widowControl/>
        <w:jc w:val="left"/>
        <w:rPr>
          <w:rFonts w:ascii="宋体" w:hAnsi="宋体" w:cs="Calibri"/>
          <w:sz w:val="22"/>
        </w:rPr>
      </w:pPr>
      <w:r>
        <w:rPr>
          <w:rFonts w:ascii="宋体" w:hAnsi="宋体" w:cs="Calibri"/>
          <w:sz w:val="22"/>
        </w:rPr>
        <w:br w:type="page"/>
      </w:r>
    </w:p>
    <w:p>
      <w:pPr>
        <w:overflowPunct w:val="0"/>
        <w:autoSpaceDE w:val="0"/>
        <w:autoSpaceDN w:val="0"/>
        <w:rPr>
          <w:rFonts w:ascii="宋体" w:hAnsi="宋体" w:cs="Calibri"/>
          <w:sz w:val="22"/>
        </w:rPr>
      </w:pPr>
      <w:r>
        <w:rPr>
          <w:rFonts w:hint="eastAsia" w:ascii="宋体" w:hAnsi="宋体" w:cs="Calibri"/>
          <w:sz w:val="22"/>
        </w:rPr>
        <w:t>（1）具有独立法人资格，持有有效营业执照，注册资本500万元（含）以上 (提供营业执照复印件，原件备查)；</w:t>
      </w:r>
    </w:p>
    <w:p>
      <w:pPr>
        <w:widowControl/>
        <w:jc w:val="left"/>
        <w:rPr>
          <w:rFonts w:ascii="宋体" w:hAnsi="宋体" w:cs="Calibri"/>
          <w:sz w:val="22"/>
        </w:rPr>
      </w:pPr>
      <w:r>
        <w:rPr>
          <w:rFonts w:ascii="宋体" w:hAnsi="宋体" w:cs="Calibri"/>
          <w:sz w:val="22"/>
        </w:rPr>
        <w:br w:type="page"/>
      </w:r>
    </w:p>
    <w:p>
      <w:pPr>
        <w:spacing w:line="360" w:lineRule="auto"/>
        <w:jc w:val="center"/>
        <w:rPr>
          <w:rFonts w:ascii="宋体" w:hAnsi="宋体" w:cs="Calibri"/>
          <w:sz w:val="22"/>
        </w:rPr>
      </w:pPr>
    </w:p>
    <w:p>
      <w:pPr>
        <w:tabs>
          <w:tab w:val="left" w:pos="1545"/>
        </w:tabs>
        <w:spacing w:line="360" w:lineRule="auto"/>
        <w:rPr>
          <w:rFonts w:ascii="宋体" w:hAnsi="宋体" w:cs="Calibri"/>
          <w:sz w:val="22"/>
        </w:rPr>
      </w:pPr>
      <w:r>
        <w:rPr>
          <w:rFonts w:hint="eastAsia" w:ascii="宋体" w:hAnsi="宋体" w:cs="Calibri"/>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jc w:val="left"/>
        <w:rPr>
          <w:rFonts w:ascii="宋体" w:hAnsi="宋体" w:cs="Calibri"/>
          <w:sz w:val="22"/>
        </w:rPr>
      </w:pPr>
      <w:r>
        <w:rPr>
          <w:rFonts w:ascii="宋体" w:hAnsi="宋体" w:cs="Calibri"/>
          <w:sz w:val="22"/>
        </w:rPr>
        <w:br w:type="page"/>
      </w:r>
    </w:p>
    <w:p>
      <w:pPr>
        <w:tabs>
          <w:tab w:val="left" w:pos="1545"/>
        </w:tabs>
        <w:spacing w:line="360" w:lineRule="auto"/>
        <w:rPr>
          <w:rFonts w:ascii="宋体" w:hAnsi="宋体" w:cs="Calibri"/>
          <w:sz w:val="22"/>
        </w:rPr>
      </w:pPr>
      <w:r>
        <w:rPr>
          <w:rFonts w:hint="eastAsia" w:ascii="宋体" w:hAnsi="宋体" w:cs="Calibri"/>
          <w:sz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jc w:val="left"/>
        <w:rPr>
          <w:rFonts w:ascii="宋体" w:hAnsi="宋体" w:cs="Calibri"/>
          <w:sz w:val="22"/>
        </w:rPr>
      </w:pPr>
      <w:r>
        <w:rPr>
          <w:rFonts w:ascii="宋体" w:hAnsi="宋体" w:cs="Calibri"/>
          <w:sz w:val="22"/>
        </w:rPr>
        <w:br w:type="page"/>
      </w:r>
    </w:p>
    <w:p>
      <w:pPr>
        <w:tabs>
          <w:tab w:val="left" w:pos="1545"/>
        </w:tabs>
        <w:spacing w:line="360" w:lineRule="auto"/>
        <w:rPr>
          <w:rFonts w:ascii="宋体" w:hAnsi="宋体" w:cs="Calibri"/>
          <w:sz w:val="22"/>
        </w:rPr>
      </w:pPr>
      <w:r>
        <w:rPr>
          <w:rFonts w:hint="eastAsia" w:ascii="宋体" w:hAnsi="宋体" w:cs="Calibri"/>
          <w:sz w:val="22"/>
        </w:rPr>
        <w:t>（4）投标人具有一般纳税人资格，可提供增值税专用发票（需提供税务机关出具的一般纳税人资格认定相关证明材料复印件并加盖投标人公章作为证明材料，原件备查）。</w:t>
      </w:r>
    </w:p>
    <w:p>
      <w:pPr>
        <w:widowControl/>
        <w:jc w:val="left"/>
        <w:rPr>
          <w:rFonts w:ascii="宋体" w:hAnsi="宋体" w:cs="Calibri"/>
          <w:sz w:val="22"/>
        </w:rPr>
      </w:pPr>
      <w:r>
        <w:rPr>
          <w:rFonts w:ascii="宋体" w:hAnsi="宋体" w:cs="Calibri"/>
          <w:sz w:val="22"/>
        </w:rPr>
        <w:br w:type="page"/>
      </w:r>
    </w:p>
    <w:p>
      <w:pPr>
        <w:tabs>
          <w:tab w:val="left" w:pos="1545"/>
        </w:tabs>
        <w:spacing w:line="360" w:lineRule="auto"/>
        <w:rPr>
          <w:rFonts w:ascii="宋体" w:hAnsi="宋体" w:cs="Calibri"/>
          <w:sz w:val="22"/>
        </w:rPr>
      </w:pPr>
      <w:r>
        <w:rPr>
          <w:rFonts w:hint="eastAsia" w:ascii="宋体" w:hAnsi="宋体" w:cs="Calibri"/>
          <w:sz w:val="22"/>
        </w:rPr>
        <w:t>（5）投标人提供的FSC-LCD模块制造商需在国内具有FSC-LCD大屏销售业绩，且至少有1个大屏金额在500万元人民币以上（不含）。（需提供合同复印件并加盖投标人公章作为证明材料，原件备查）</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投标产品销售业绩一览表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b/>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b/>
          <w:kern w:val="0"/>
          <w:szCs w:val="21"/>
        </w:rPr>
        <w:t>附业绩的销售合同。</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widowControl/>
        <w:jc w:val="left"/>
        <w:rPr>
          <w:rFonts w:ascii="宋体" w:hAnsi="宋体" w:cs="宋体"/>
          <w:b/>
          <w:sz w:val="32"/>
          <w:szCs w:val="32"/>
        </w:rPr>
      </w:pPr>
      <w:r>
        <w:rPr>
          <w:rFonts w:ascii="宋体" w:hAnsi="宋体" w:cs="宋体"/>
          <w:b/>
          <w:sz w:val="32"/>
          <w:szCs w:val="32"/>
        </w:rPr>
        <w:br w:type="page"/>
      </w:r>
    </w:p>
    <w:p>
      <w:pPr>
        <w:tabs>
          <w:tab w:val="left" w:pos="1545"/>
        </w:tabs>
        <w:spacing w:line="360" w:lineRule="auto"/>
        <w:rPr>
          <w:rFonts w:ascii="宋体" w:hAnsi="宋体" w:cs="Calibri"/>
          <w:sz w:val="22"/>
        </w:rPr>
      </w:pPr>
      <w:r>
        <w:rPr>
          <w:rFonts w:hint="eastAsia" w:ascii="宋体" w:hAnsi="宋体" w:cs="Calibri"/>
          <w:sz w:val="22"/>
        </w:rPr>
        <w:t>（6）投标人若为代理商的，代理商需具有招标设备制造商的授权书。</w:t>
      </w:r>
    </w:p>
    <w:p>
      <w:pPr>
        <w:tabs>
          <w:tab w:val="left" w:pos="1545"/>
        </w:tabs>
        <w:spacing w:line="360" w:lineRule="auto"/>
        <w:rPr>
          <w:rFonts w:ascii="宋体" w:hAnsi="宋体" w:cs="Calibri"/>
          <w:sz w:val="22"/>
        </w:rPr>
      </w:pPr>
    </w:p>
    <w:p>
      <w:pPr>
        <w:spacing w:line="360" w:lineRule="auto"/>
        <w:jc w:val="center"/>
        <w:rPr>
          <w:rFonts w:ascii="宋体" w:hAnsi="宋体" w:cs="宋体"/>
          <w:b/>
          <w:sz w:val="32"/>
          <w:szCs w:val="32"/>
        </w:rPr>
      </w:pPr>
      <w:r>
        <w:rPr>
          <w:rFonts w:hint="eastAsia" w:ascii="宋体" w:hAnsi="宋体" w:cs="宋体"/>
          <w:b/>
          <w:sz w:val="32"/>
          <w:szCs w:val="32"/>
        </w:rPr>
        <w:t>制造商资格声明</w:t>
      </w:r>
    </w:p>
    <w:p>
      <w:pPr>
        <w:numPr>
          <w:ilvl w:val="0"/>
          <w:numId w:val="15"/>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12"/>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19"/>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0"/>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ascii="宋体" w:hAnsi="宋体" w:cs="宋体"/>
          <w:b/>
          <w:sz w:val="32"/>
          <w:szCs w:val="32"/>
        </w:rPr>
        <w:t>设备制造商的授权书</w:t>
      </w: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pStyle w:val="29"/>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9"/>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r>
              <w:rPr>
                <w:rFonts w:hAnsi="宋体"/>
                <w:kern w:val="2"/>
                <w:sz w:val="21"/>
              </w:rPr>
              <w:t>序号</w:t>
            </w:r>
          </w:p>
        </w:tc>
        <w:tc>
          <w:tcPr>
            <w:tcW w:w="900" w:type="dxa"/>
            <w:vAlign w:val="center"/>
          </w:tcPr>
          <w:p>
            <w:pPr>
              <w:pStyle w:val="29"/>
              <w:adjustRightInd w:val="0"/>
              <w:snapToGrid w:val="0"/>
              <w:jc w:val="center"/>
              <w:rPr>
                <w:rFonts w:hAnsi="宋体"/>
                <w:kern w:val="2"/>
                <w:sz w:val="21"/>
              </w:rPr>
            </w:pPr>
            <w:r>
              <w:rPr>
                <w:rFonts w:hAnsi="宋体"/>
                <w:kern w:val="2"/>
                <w:sz w:val="21"/>
              </w:rPr>
              <w:t>内容</w:t>
            </w:r>
          </w:p>
        </w:tc>
        <w:tc>
          <w:tcPr>
            <w:tcW w:w="3510" w:type="dxa"/>
            <w:vAlign w:val="center"/>
          </w:tcPr>
          <w:p>
            <w:pPr>
              <w:pStyle w:val="29"/>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29"/>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29"/>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bl>
    <w:p>
      <w:pPr>
        <w:pStyle w:val="29"/>
        <w:adjustRightInd w:val="0"/>
        <w:snapToGrid w:val="0"/>
        <w:spacing w:line="560" w:lineRule="exact"/>
        <w:rPr>
          <w:rFonts w:hAnsi="宋体"/>
          <w:bCs/>
          <w:sz w:val="24"/>
          <w:szCs w:val="24"/>
        </w:rPr>
      </w:pPr>
    </w:p>
    <w:p>
      <w:pPr>
        <w:pStyle w:val="29"/>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widowControl/>
        <w:jc w:val="left"/>
        <w:rPr>
          <w:rFonts w:ascii="宋体" w:hAnsi="宋体" w:eastAsia="宋体" w:cs="Times New Roman"/>
          <w:bCs/>
          <w:kern w:val="0"/>
        </w:rPr>
      </w:pPr>
      <w:r>
        <w:rPr>
          <w:rFonts w:hAnsi="宋体"/>
          <w:bCs/>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 xml:space="preserve">八、系统设备供货范围（包括设备数量、型号规格、产地、品牌），进口零部件详细清单（需说明产地、品牌） </w:t>
      </w: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 xml:space="preserve">九、技术参数、结构及性能特点等产品技术规格书 </w:t>
      </w: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十、主要原材料及部件性能和生产厂家</w:t>
      </w: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十一、产品制造、安装、验收标准和验收方法</w:t>
      </w: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十二、现场指导、调试</w:t>
      </w: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十三、产品的技术服务和售后服务的内容、措施、承诺</w:t>
      </w: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十四、提供详细的培训计划，包括培训内容、培训时间、培训人数等</w:t>
      </w: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十五、关于质量保证期的说明</w:t>
      </w: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十六、优惠条件：投标人承诺给予用户的其他优惠条款，包括付款条件、培训服务、质量保证期等方面的优惠</w:t>
      </w:r>
    </w:p>
    <w:p>
      <w:pPr>
        <w:widowControl/>
        <w:jc w:val="left"/>
        <w:rPr>
          <w:rFonts w:ascii="Calibri" w:hAnsi="Calibri" w:eastAsia="黑体" w:cs="Calibri"/>
          <w:color w:val="000000"/>
          <w:sz w:val="32"/>
          <w:szCs w:val="32"/>
        </w:rPr>
      </w:pPr>
      <w:r>
        <w:rPr>
          <w:rFonts w:ascii="Calibri" w:hAnsi="Calibri" w:eastAsia="黑体" w:cs="Calibri"/>
          <w:color w:val="000000"/>
          <w:sz w:val="32"/>
          <w:szCs w:val="32"/>
        </w:rPr>
        <w:br w:type="page"/>
      </w:r>
    </w:p>
    <w:p>
      <w:pPr>
        <w:spacing w:line="440" w:lineRule="exact"/>
        <w:jc w:val="center"/>
        <w:rPr>
          <w:rFonts w:ascii="Calibri" w:hAnsi="Calibri" w:eastAsia="黑体" w:cs="Calibri"/>
          <w:color w:val="000000"/>
          <w:sz w:val="32"/>
          <w:szCs w:val="3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十七、投标人认为应该提供的其他材料</w:t>
      </w:r>
    </w:p>
    <w:p>
      <w:pPr>
        <w:widowControl/>
        <w:jc w:val="left"/>
        <w:rPr>
          <w:rFonts w:ascii="宋体" w:hAnsi="宋体" w:eastAsia="宋体" w:cs="Times New Roman"/>
          <w:bCs/>
          <w:kern w:val="0"/>
        </w:rPr>
      </w:pPr>
      <w:r>
        <w:rPr>
          <w:rFonts w:ascii="Calibri" w:hAnsi="Calibri" w:eastAsia="黑体" w:cs="Calibri"/>
          <w:color w:val="000000"/>
          <w:sz w:val="32"/>
          <w:szCs w:val="32"/>
        </w:rPr>
        <w:br w:type="page"/>
      </w:r>
    </w:p>
    <w:p>
      <w:pPr>
        <w:spacing w:line="440" w:lineRule="exact"/>
        <w:jc w:val="center"/>
        <w:rPr>
          <w:rFonts w:eastAsia="黑体" w:cs="Calibri"/>
          <w:sz w:val="32"/>
          <w:szCs w:val="32"/>
        </w:rPr>
      </w:pPr>
      <w:r>
        <w:rPr>
          <w:rFonts w:hint="eastAsia" w:eastAsia="黑体" w:cs="Calibri"/>
          <w:sz w:val="32"/>
          <w:szCs w:val="32"/>
        </w:rPr>
        <w:t>十八、廉洁自律承诺书</w:t>
      </w:r>
    </w:p>
    <w:p>
      <w:pPr>
        <w:topLinePunct/>
        <w:jc w:val="center"/>
        <w:rPr>
          <w:rFonts w:ascii="宋体" w:hAnsi="宋体" w:eastAsia="宋体" w:cs="Times New Roman"/>
          <w:b/>
          <w:sz w:val="32"/>
          <w:szCs w:val="21"/>
        </w:rPr>
      </w:pPr>
    </w:p>
    <w:p>
      <w:pPr>
        <w:spacing w:line="276" w:lineRule="auto"/>
        <w:jc w:val="center"/>
        <w:rPr>
          <w:rFonts w:ascii="宋体" w:hAnsi="宋体"/>
          <w:b/>
          <w:kern w:val="0"/>
          <w:szCs w:val="21"/>
        </w:rPr>
      </w:pPr>
      <w:r>
        <w:rPr>
          <w:rFonts w:hint="eastAsia" w:ascii="宋体" w:hAnsi="宋体"/>
          <w:b/>
          <w:kern w:val="0"/>
          <w:szCs w:val="21"/>
        </w:rPr>
        <w:t>杭州萧山国际机场有限公司廉洁自律承诺书</w:t>
      </w:r>
    </w:p>
    <w:p>
      <w:pPr>
        <w:spacing w:line="276" w:lineRule="auto"/>
        <w:jc w:val="center"/>
        <w:rPr>
          <w:rFonts w:ascii="宋体" w:hAnsi="宋体"/>
          <w:kern w:val="0"/>
          <w:szCs w:val="21"/>
        </w:rPr>
      </w:pPr>
    </w:p>
    <w:p>
      <w:pPr>
        <w:spacing w:line="276" w:lineRule="auto"/>
        <w:jc w:val="left"/>
        <w:rPr>
          <w:rFonts w:ascii="宋体" w:hAnsi="宋体"/>
          <w:sz w:val="21"/>
          <w:szCs w:val="21"/>
        </w:rPr>
      </w:pPr>
      <w:r>
        <w:rPr>
          <w:rFonts w:hint="eastAsia" w:ascii="宋体" w:hAnsi="宋体"/>
          <w:szCs w:val="21"/>
        </w:rPr>
        <w:t>杭州萧山国际机场有限公司：</w:t>
      </w:r>
    </w:p>
    <w:p>
      <w:pPr>
        <w:spacing w:line="276" w:lineRule="auto"/>
        <w:ind w:firstLine="48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8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8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8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8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8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8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8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8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8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8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8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8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80" w:firstLineChars="200"/>
        <w:jc w:val="left"/>
        <w:rPr>
          <w:rFonts w:ascii="宋体" w:hAnsi="宋体"/>
          <w:szCs w:val="21"/>
        </w:rPr>
      </w:pPr>
    </w:p>
    <w:p>
      <w:pPr>
        <w:spacing w:line="276" w:lineRule="auto"/>
        <w:ind w:firstLine="48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80" w:firstLineChars="200"/>
        <w:jc w:val="left"/>
        <w:rPr>
          <w:rFonts w:ascii="宋体" w:hAnsi="宋体"/>
          <w:szCs w:val="21"/>
        </w:rPr>
      </w:pPr>
      <w:r>
        <w:rPr>
          <w:rFonts w:hint="eastAsia" w:ascii="宋体" w:hAnsi="宋体"/>
          <w:szCs w:val="21"/>
        </w:rPr>
        <w:t xml:space="preserve">法定代表人 ：                    </w:t>
      </w:r>
    </w:p>
    <w:p>
      <w:pPr>
        <w:spacing w:line="276" w:lineRule="auto"/>
        <w:ind w:firstLine="480" w:firstLineChars="200"/>
        <w:jc w:val="left"/>
        <w:rPr>
          <w:rFonts w:ascii="宋体" w:hAnsi="宋体"/>
          <w:szCs w:val="21"/>
        </w:rPr>
      </w:pPr>
      <w:r>
        <w:rPr>
          <w:rFonts w:hint="eastAsia" w:ascii="宋体" w:hAnsi="宋体"/>
          <w:szCs w:val="21"/>
        </w:rPr>
        <w:t xml:space="preserve">或                            </w:t>
      </w:r>
    </w:p>
    <w:p>
      <w:pPr>
        <w:spacing w:line="276" w:lineRule="auto"/>
        <w:ind w:firstLine="480" w:firstLineChars="200"/>
        <w:jc w:val="left"/>
        <w:rPr>
          <w:rFonts w:ascii="宋体" w:hAnsi="宋体"/>
          <w:szCs w:val="21"/>
        </w:rPr>
      </w:pPr>
      <w:r>
        <w:rPr>
          <w:rFonts w:hint="eastAsia" w:ascii="宋体" w:hAnsi="宋体"/>
          <w:szCs w:val="21"/>
        </w:rPr>
        <w:t xml:space="preserve">委托代理人：                   </w:t>
      </w:r>
    </w:p>
    <w:p>
      <w:pPr>
        <w:spacing w:line="276" w:lineRule="auto"/>
        <w:ind w:firstLine="480" w:firstLineChars="200"/>
        <w:jc w:val="left"/>
        <w:rPr>
          <w:rFonts w:ascii="宋体" w:hAnsi="宋体"/>
          <w:szCs w:val="21"/>
        </w:rPr>
      </w:pPr>
    </w:p>
    <w:p>
      <w:pPr>
        <w:spacing w:line="276" w:lineRule="auto"/>
        <w:ind w:firstLine="480" w:firstLineChars="200"/>
        <w:jc w:val="left"/>
        <w:rPr>
          <w:rFonts w:ascii="Calibri" w:hAnsi="Calibri" w:eastAsia="黑体" w:cs="Calibri"/>
          <w:color w:val="000000"/>
          <w:sz w:val="32"/>
          <w:szCs w:val="32"/>
        </w:rPr>
      </w:pPr>
      <w:r>
        <w:rPr>
          <w:rFonts w:hint="eastAsia" w:ascii="宋体" w:hAnsi="宋体"/>
          <w:szCs w:val="21"/>
        </w:rPr>
        <w:t xml:space="preserve">                           年     月     日</w:t>
      </w:r>
    </w:p>
    <w:p/>
    <w:sectPr>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docPartObj>
        <w:docPartGallery w:val="autotext"/>
      </w:docPartObj>
    </w:sdtPr>
    <w:sdtContent>
      <w:p>
        <w:pPr>
          <w:pStyle w:val="34"/>
          <w:jc w:val="center"/>
        </w:pPr>
        <w:r>
          <w:fldChar w:fldCharType="begin"/>
        </w:r>
        <w:r>
          <w:instrText xml:space="preserve"> PAGE   \* MERGEFORMAT </w:instrText>
        </w:r>
        <w:r>
          <w:fldChar w:fldCharType="separate"/>
        </w:r>
        <w:r>
          <w:rPr>
            <w:lang w:val="zh-CN"/>
          </w:rPr>
          <w:t>15</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杭州萧山国际机场LCD大屏采购项目招标文件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7"/>
    <w:multiLevelType w:val="multilevel"/>
    <w:tmpl w:val="00000017"/>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4C945A90"/>
    <w:multiLevelType w:val="singleLevel"/>
    <w:tmpl w:val="4C945A90"/>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16">
    <w:nsid w:val="5784260F"/>
    <w:multiLevelType w:val="multilevel"/>
    <w:tmpl w:val="5784260F"/>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D634FCF"/>
    <w:multiLevelType w:val="singleLevel"/>
    <w:tmpl w:val="5D634FCF"/>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8">
    <w:nsid w:val="5E7922F1"/>
    <w:multiLevelType w:val="multilevel"/>
    <w:tmpl w:val="5E7922F1"/>
    <w:lvl w:ilvl="0" w:tentative="0">
      <w:start w:val="1"/>
      <w:numFmt w:val="decimal"/>
      <w:lvlText w:val="%1."/>
      <w:lvlJc w:val="left"/>
      <w:pPr>
        <w:ind w:left="465" w:hanging="360"/>
      </w:pPr>
      <w:rPr>
        <w:rFonts w:asciiTheme="minorHAnsi" w:hAnsiTheme="minorHAnsi" w:eastAsiaTheme="minorEastAsia" w:cstheme="minorBidi"/>
      </w:rPr>
    </w:lvl>
    <w:lvl w:ilvl="1" w:tentative="0">
      <w:start w:val="3"/>
      <w:numFmt w:val="decimal"/>
      <w:isLgl/>
      <w:lvlText w:val="%1.%2"/>
      <w:lvlJc w:val="left"/>
      <w:pPr>
        <w:ind w:left="495" w:hanging="390"/>
      </w:pPr>
      <w:rPr>
        <w:rFonts w:hint="default" w:ascii="Calibri" w:hAnsi="Calibri"/>
      </w:rPr>
    </w:lvl>
    <w:lvl w:ilvl="2" w:tentative="0">
      <w:start w:val="1"/>
      <w:numFmt w:val="decimal"/>
      <w:isLgl/>
      <w:lvlText w:val="%1.%2.%3"/>
      <w:lvlJc w:val="left"/>
      <w:pPr>
        <w:ind w:left="825" w:hanging="720"/>
      </w:pPr>
      <w:rPr>
        <w:rFonts w:hint="default" w:ascii="Calibri" w:hAnsi="Calibri"/>
      </w:rPr>
    </w:lvl>
    <w:lvl w:ilvl="3" w:tentative="0">
      <w:start w:val="1"/>
      <w:numFmt w:val="decimal"/>
      <w:isLgl/>
      <w:lvlText w:val="%1.%2.%3.%4"/>
      <w:lvlJc w:val="left"/>
      <w:pPr>
        <w:ind w:left="825" w:hanging="720"/>
      </w:pPr>
      <w:rPr>
        <w:rFonts w:hint="default" w:ascii="Calibri" w:hAnsi="Calibri"/>
      </w:rPr>
    </w:lvl>
    <w:lvl w:ilvl="4" w:tentative="0">
      <w:start w:val="1"/>
      <w:numFmt w:val="decimal"/>
      <w:isLgl/>
      <w:lvlText w:val="%1.%2.%3.%4.%5"/>
      <w:lvlJc w:val="left"/>
      <w:pPr>
        <w:ind w:left="1185" w:hanging="1080"/>
      </w:pPr>
      <w:rPr>
        <w:rFonts w:hint="default" w:ascii="Calibri" w:hAnsi="Calibri"/>
      </w:rPr>
    </w:lvl>
    <w:lvl w:ilvl="5" w:tentative="0">
      <w:start w:val="1"/>
      <w:numFmt w:val="decimal"/>
      <w:isLgl/>
      <w:lvlText w:val="%1.%2.%3.%4.%5.%6"/>
      <w:lvlJc w:val="left"/>
      <w:pPr>
        <w:ind w:left="1185" w:hanging="1080"/>
      </w:pPr>
      <w:rPr>
        <w:rFonts w:hint="default" w:ascii="Calibri" w:hAnsi="Calibri"/>
      </w:rPr>
    </w:lvl>
    <w:lvl w:ilvl="6" w:tentative="0">
      <w:start w:val="1"/>
      <w:numFmt w:val="decimal"/>
      <w:isLgl/>
      <w:lvlText w:val="%1.%2.%3.%4.%5.%6.%7"/>
      <w:lvlJc w:val="left"/>
      <w:pPr>
        <w:ind w:left="1545" w:hanging="1440"/>
      </w:pPr>
      <w:rPr>
        <w:rFonts w:hint="default" w:ascii="Calibri" w:hAnsi="Calibri"/>
      </w:rPr>
    </w:lvl>
    <w:lvl w:ilvl="7" w:tentative="0">
      <w:start w:val="1"/>
      <w:numFmt w:val="decimal"/>
      <w:isLgl/>
      <w:lvlText w:val="%1.%2.%3.%4.%5.%6.%7.%8"/>
      <w:lvlJc w:val="left"/>
      <w:pPr>
        <w:ind w:left="1545" w:hanging="1440"/>
      </w:pPr>
      <w:rPr>
        <w:rFonts w:hint="default" w:ascii="Calibri" w:hAnsi="Calibri"/>
      </w:rPr>
    </w:lvl>
    <w:lvl w:ilvl="8" w:tentative="0">
      <w:start w:val="1"/>
      <w:numFmt w:val="decimal"/>
      <w:isLgl/>
      <w:lvlText w:val="%1.%2.%3.%4.%5.%6.%7.%8.%9"/>
      <w:lvlJc w:val="left"/>
      <w:pPr>
        <w:ind w:left="1545" w:hanging="1440"/>
      </w:pPr>
      <w:rPr>
        <w:rFonts w:hint="default" w:ascii="Calibri" w:hAnsi="Calibri"/>
      </w:rPr>
    </w:lvl>
  </w:abstractNum>
  <w:abstractNum w:abstractNumId="19">
    <w:nsid w:val="5FA34892"/>
    <w:multiLevelType w:val="multilevel"/>
    <w:tmpl w:val="5FA348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D216299"/>
    <w:multiLevelType w:val="multilevel"/>
    <w:tmpl w:val="6D2162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4"/>
  </w:num>
  <w:num w:numId="2">
    <w:abstractNumId w:val="15"/>
  </w:num>
  <w:num w:numId="3">
    <w:abstractNumId w:val="17"/>
  </w:num>
  <w:num w:numId="4">
    <w:abstractNumId w:val="21"/>
  </w:num>
  <w:num w:numId="5">
    <w:abstractNumId w:val="19"/>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20"/>
  </w:num>
  <w:num w:numId="11">
    <w:abstractNumId w:val="13"/>
  </w:num>
  <w:num w:numId="12">
    <w:abstractNumId w:val="12"/>
  </w:num>
  <w:num w:numId="13">
    <w:abstractNumId w:val="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5"/>
  </w:num>
  <w:num w:numId="18">
    <w:abstractNumId w:val="0"/>
  </w:num>
  <w:num w:numId="19">
    <w:abstractNumId w:val="3"/>
  </w:num>
  <w:num w:numId="20">
    <w:abstractNumId w:val="11"/>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25192"/>
    <w:rsid w:val="6A961000"/>
    <w:rsid w:val="7D4658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nhideWhenUsed="0" w:uiPriority="0" w:semiHidden="0"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nhideWhenUsed="0" w:uiPriority="0" w:semiHidden="0" w:name="List"/>
    <w:lsdException w:uiPriority="0"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59"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semiHidden/>
    <w:unhideWhenUsed/>
    <w:uiPriority w:val="1"/>
  </w:style>
  <w:style w:type="table" w:default="1" w:styleId="52">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eastAsia="宋体" w:cs="Times New Roman"/>
      <w:sz w:val="21"/>
    </w:rPr>
  </w:style>
  <w:style w:type="paragraph" w:styleId="12">
    <w:name w:val="toc 7"/>
    <w:basedOn w:val="1"/>
    <w:next w:val="1"/>
    <w:uiPriority w:val="0"/>
    <w:pPr>
      <w:ind w:left="1260"/>
      <w:jc w:val="left"/>
    </w:pPr>
    <w:rPr>
      <w:rFonts w:ascii="Times New Roman" w:hAnsi="Times New Roman" w:eastAsia="宋体" w:cs="Times New Roman"/>
      <w:sz w:val="20"/>
      <w:szCs w:val="20"/>
    </w:rPr>
  </w:style>
  <w:style w:type="paragraph" w:styleId="13">
    <w:name w:val="table of authorities"/>
    <w:basedOn w:val="1"/>
    <w:next w:val="1"/>
    <w:uiPriority w:val="0"/>
    <w:pPr>
      <w:ind w:left="420" w:leftChars="200"/>
    </w:pPr>
    <w:rPr>
      <w:rFonts w:ascii="Times New Roman" w:hAnsi="Times New Roman" w:eastAsia="宋体" w:cs="Times New Roman"/>
      <w:sz w:val="21"/>
    </w:rPr>
  </w:style>
  <w:style w:type="paragraph" w:styleId="14">
    <w:name w:val="Normal Indent"/>
    <w:basedOn w:val="1"/>
    <w:uiPriority w:val="0"/>
    <w:pPr>
      <w:ind w:firstLine="420"/>
    </w:pPr>
    <w:rPr>
      <w:rFonts w:ascii="Times New Roman" w:hAnsi="Times New Roman" w:eastAsia="宋体" w:cs="Times New Roman"/>
      <w:sz w:val="21"/>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uiPriority w:val="0"/>
    <w:pPr>
      <w:ind w:left="800" w:leftChars="800"/>
    </w:pPr>
    <w:rPr>
      <w:rFonts w:ascii="Times New Roman" w:hAnsi="Times New Roman" w:eastAsia="宋体" w:cs="Times New Roman"/>
      <w:sz w:val="21"/>
    </w:rPr>
  </w:style>
  <w:style w:type="paragraph" w:styleId="17">
    <w:name w:val="List Bullet"/>
    <w:basedOn w:val="1"/>
    <w:semiHidden/>
    <w:unhideWhenUsed/>
    <w:uiPriority w:val="0"/>
    <w:pPr>
      <w:numPr>
        <w:ilvl w:val="0"/>
        <w:numId w:val="2"/>
      </w:numPr>
    </w:pPr>
  </w:style>
  <w:style w:type="paragraph" w:styleId="18">
    <w:name w:val="Document Map"/>
    <w:basedOn w:val="1"/>
    <w:link w:val="71"/>
    <w:uiPriority w:val="0"/>
    <w:pPr>
      <w:shd w:val="clear" w:color="auto" w:fill="000080"/>
    </w:pPr>
    <w:rPr>
      <w:rFonts w:ascii="Times New Roman" w:hAnsi="Times New Roman" w:eastAsia="宋体" w:cs="Times New Roman"/>
      <w:kern w:val="0"/>
      <w:sz w:val="20"/>
    </w:rPr>
  </w:style>
  <w:style w:type="paragraph" w:styleId="19">
    <w:name w:val="annotation text"/>
    <w:basedOn w:val="1"/>
    <w:link w:val="103"/>
    <w:semiHidden/>
    <w:unhideWhenUsed/>
    <w:uiPriority w:val="99"/>
    <w:pPr>
      <w:jc w:val="left"/>
    </w:pPr>
  </w:style>
  <w:style w:type="paragraph" w:styleId="20">
    <w:name w:val="Body Text 3"/>
    <w:basedOn w:val="1"/>
    <w:link w:val="83"/>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106"/>
    <w:unhideWhenUsed/>
    <w:uiPriority w:val="0"/>
    <w:pPr>
      <w:spacing w:after="120"/>
    </w:pPr>
  </w:style>
  <w:style w:type="paragraph" w:styleId="22">
    <w:name w:val="Body Text Indent"/>
    <w:basedOn w:val="1"/>
    <w:link w:val="79"/>
    <w:uiPriority w:val="0"/>
    <w:pPr>
      <w:ind w:firstLine="560" w:firstLineChars="200"/>
    </w:pPr>
    <w:rPr>
      <w:rFonts w:ascii="宋体" w:hAnsi="宋体" w:eastAsia="宋体" w:cs="Times New Roman"/>
      <w:kern w:val="0"/>
      <w:sz w:val="28"/>
      <w:szCs w:val="28"/>
    </w:rPr>
  </w:style>
  <w:style w:type="paragraph" w:styleId="23">
    <w:name w:val="List 2"/>
    <w:basedOn w:val="1"/>
    <w:uiPriority w:val="0"/>
    <w:pPr>
      <w:ind w:left="100" w:leftChars="200" w:hanging="200" w:hangingChars="200"/>
    </w:pPr>
    <w:rPr>
      <w:rFonts w:ascii="Times New Roman" w:hAnsi="Times New Roman" w:eastAsia="宋体" w:cs="Times New Roman"/>
      <w:sz w:val="21"/>
    </w:rPr>
  </w:style>
  <w:style w:type="paragraph" w:styleId="24">
    <w:name w:val="List Continue"/>
    <w:basedOn w:val="1"/>
    <w:uiPriority w:val="0"/>
    <w:pPr>
      <w:spacing w:after="120"/>
      <w:ind w:left="420" w:leftChars="200"/>
    </w:pPr>
    <w:rPr>
      <w:rFonts w:ascii="Times New Roman" w:hAnsi="Times New Roman" w:eastAsia="宋体" w:cs="Times New Roman"/>
      <w:sz w:val="21"/>
    </w:rPr>
  </w:style>
  <w:style w:type="paragraph" w:styleId="25">
    <w:name w:val="Block Text"/>
    <w:basedOn w:val="1"/>
    <w:uiPriority w:val="0"/>
    <w:pPr>
      <w:spacing w:before="120" w:after="120" w:line="360" w:lineRule="auto"/>
      <w:ind w:left="525" w:right="202"/>
    </w:pPr>
    <w:rPr>
      <w:rFonts w:ascii="宋体" w:hAnsi="宋体" w:eastAsia="宋体" w:cs="Times New Roman"/>
      <w:spacing w:val="-4"/>
    </w:rPr>
  </w:style>
  <w:style w:type="paragraph" w:styleId="26">
    <w:name w:val="List Bullet 2"/>
    <w:basedOn w:val="1"/>
    <w:semiHidden/>
    <w:unhideWhenUsed/>
    <w:uiPriority w:val="0"/>
    <w:pPr>
      <w:numPr>
        <w:ilvl w:val="0"/>
        <w:numId w:val="3"/>
      </w:numPr>
    </w:pPr>
  </w:style>
  <w:style w:type="paragraph" w:styleId="27">
    <w:name w:val="toc 5"/>
    <w:basedOn w:val="1"/>
    <w:next w:val="1"/>
    <w:uiPriority w:val="0"/>
    <w:pPr>
      <w:ind w:left="840"/>
      <w:jc w:val="left"/>
    </w:pPr>
    <w:rPr>
      <w:rFonts w:ascii="Times New Roman" w:hAnsi="Times New Roman" w:eastAsia="宋体" w:cs="Times New Roman"/>
      <w:sz w:val="20"/>
      <w:szCs w:val="20"/>
    </w:rPr>
  </w:style>
  <w:style w:type="paragraph" w:styleId="28">
    <w:name w:val="toc 3"/>
    <w:basedOn w:val="1"/>
    <w:next w:val="1"/>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4"/>
    <w:qFormat/>
    <w:uiPriority w:val="0"/>
    <w:rPr>
      <w:rFonts w:ascii="宋体" w:hAnsi="Courier New" w:eastAsia="宋体" w:cs="Times New Roman"/>
      <w:kern w:val="0"/>
      <w:sz w:val="20"/>
      <w:szCs w:val="21"/>
    </w:rPr>
  </w:style>
  <w:style w:type="paragraph" w:styleId="30">
    <w:name w:val="toc 8"/>
    <w:basedOn w:val="1"/>
    <w:next w:val="1"/>
    <w:uiPriority w:val="0"/>
    <w:pPr>
      <w:ind w:left="1470"/>
      <w:jc w:val="left"/>
    </w:pPr>
    <w:rPr>
      <w:rFonts w:ascii="Times New Roman" w:hAnsi="Times New Roman" w:eastAsia="宋体" w:cs="Times New Roman"/>
      <w:sz w:val="20"/>
      <w:szCs w:val="20"/>
    </w:rPr>
  </w:style>
  <w:style w:type="paragraph" w:styleId="31">
    <w:name w:val="Date"/>
    <w:basedOn w:val="1"/>
    <w:next w:val="1"/>
    <w:link w:val="68"/>
    <w:uiPriority w:val="0"/>
    <w:pPr>
      <w:ind w:left="100" w:leftChars="2500"/>
    </w:pPr>
    <w:rPr>
      <w:rFonts w:ascii="Times New Roman" w:hAnsi="Times New Roman" w:eastAsia="宋体" w:cs="Times New Roman"/>
      <w:kern w:val="0"/>
      <w:sz w:val="20"/>
    </w:rPr>
  </w:style>
  <w:style w:type="paragraph" w:styleId="32">
    <w:name w:val="Body Text Indent 2"/>
    <w:basedOn w:val="1"/>
    <w:link w:val="94"/>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69"/>
    <w:semiHidden/>
    <w:uiPriority w:val="0"/>
    <w:rPr>
      <w:rFonts w:ascii="Times New Roman" w:hAnsi="Times New Roman" w:eastAsia="宋体" w:cs="Times New Roman"/>
      <w:kern w:val="0"/>
      <w:sz w:val="18"/>
      <w:szCs w:val="18"/>
    </w:rPr>
  </w:style>
  <w:style w:type="paragraph" w:styleId="34">
    <w:name w:val="footer"/>
    <w:basedOn w:val="1"/>
    <w:link w:val="87"/>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6"/>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uiPriority w:val="39"/>
    <w:pPr>
      <w:adjustRightInd w:val="0"/>
      <w:snapToGrid w:val="0"/>
    </w:pPr>
    <w:rPr>
      <w:rFonts w:ascii="Times New Roman" w:hAnsi="Times New Roman" w:eastAsia="仿宋" w:cs="Times New Roman"/>
      <w:sz w:val="21"/>
    </w:rPr>
  </w:style>
  <w:style w:type="paragraph" w:styleId="37">
    <w:name w:val="toc 4"/>
    <w:basedOn w:val="1"/>
    <w:next w:val="1"/>
    <w:uiPriority w:val="0"/>
    <w:pPr>
      <w:ind w:left="630"/>
      <w:jc w:val="left"/>
    </w:pPr>
    <w:rPr>
      <w:rFonts w:ascii="楷体_GB2312" w:hAnsi="Times New Roman" w:eastAsia="楷体_GB2312" w:cs="Times New Roman"/>
      <w:sz w:val="28"/>
      <w:szCs w:val="20"/>
    </w:rPr>
  </w:style>
  <w:style w:type="paragraph" w:styleId="38">
    <w:name w:val="List"/>
    <w:basedOn w:val="1"/>
    <w:uiPriority w:val="0"/>
    <w:pPr>
      <w:ind w:left="200" w:hanging="200" w:hangingChars="200"/>
    </w:pPr>
    <w:rPr>
      <w:rFonts w:ascii="Times New Roman" w:hAnsi="Times New Roman" w:eastAsia="宋体" w:cs="Times New Roman"/>
      <w:sz w:val="21"/>
    </w:rPr>
  </w:style>
  <w:style w:type="paragraph" w:styleId="39">
    <w:name w:val="toc 6"/>
    <w:basedOn w:val="1"/>
    <w:next w:val="1"/>
    <w:uiPriority w:val="0"/>
    <w:pPr>
      <w:ind w:left="1050"/>
      <w:jc w:val="left"/>
    </w:pPr>
    <w:rPr>
      <w:rFonts w:ascii="Times New Roman" w:hAnsi="Times New Roman" w:eastAsia="宋体" w:cs="Times New Roman"/>
      <w:sz w:val="20"/>
      <w:szCs w:val="20"/>
    </w:rPr>
  </w:style>
  <w:style w:type="paragraph" w:styleId="40">
    <w:name w:val="Body Text Indent 3"/>
    <w:basedOn w:val="1"/>
    <w:link w:val="89"/>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uiPriority w:val="0"/>
    <w:pPr>
      <w:ind w:left="1680"/>
      <w:jc w:val="left"/>
    </w:pPr>
    <w:rPr>
      <w:rFonts w:ascii="Times New Roman" w:hAnsi="Times New Roman" w:eastAsia="宋体" w:cs="Times New Roman"/>
      <w:sz w:val="20"/>
      <w:szCs w:val="20"/>
    </w:rPr>
  </w:style>
  <w:style w:type="paragraph" w:styleId="43">
    <w:name w:val="Body Text 2"/>
    <w:basedOn w:val="1"/>
    <w:link w:val="70"/>
    <w:unhideWhenUsed/>
    <w:uiPriority w:val="0"/>
    <w:pPr>
      <w:spacing w:after="120" w:line="480" w:lineRule="auto"/>
    </w:pPr>
    <w:rPr>
      <w:rFonts w:ascii="Times New Roman" w:hAnsi="Times New Roman" w:eastAsia="宋体" w:cs="Times New Roman"/>
      <w:kern w:val="0"/>
      <w:sz w:val="20"/>
    </w:rPr>
  </w:style>
  <w:style w:type="paragraph" w:styleId="44">
    <w:name w:val="List 4"/>
    <w:basedOn w:val="1"/>
    <w:uiPriority w:val="0"/>
    <w:pPr>
      <w:ind w:left="100" w:leftChars="600" w:hanging="200" w:hangingChars="200"/>
    </w:pPr>
    <w:rPr>
      <w:rFonts w:ascii="Times New Roman" w:hAnsi="Times New Roman" w:eastAsia="宋体" w:cs="Times New Roman"/>
      <w:sz w:val="21"/>
    </w:rPr>
  </w:style>
  <w:style w:type="paragraph" w:styleId="45">
    <w:name w:val="List Continue 2"/>
    <w:basedOn w:val="1"/>
    <w:uiPriority w:val="0"/>
    <w:pPr>
      <w:spacing w:after="120"/>
      <w:ind w:left="840" w:leftChars="400"/>
    </w:pPr>
    <w:rPr>
      <w:rFonts w:ascii="Times New Roman" w:hAnsi="Times New Roman" w:eastAsia="宋体" w:cs="Times New Roman"/>
      <w:sz w:val="21"/>
    </w:rPr>
  </w:style>
  <w:style w:type="paragraph" w:styleId="46">
    <w:name w:val="Normal (Web)"/>
    <w:basedOn w:val="1"/>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uiPriority w:val="0"/>
    <w:pPr>
      <w:adjustRightInd w:val="0"/>
      <w:snapToGrid w:val="0"/>
      <w:jc w:val="center"/>
    </w:pPr>
    <w:rPr>
      <w:rFonts w:ascii="Times New Roman" w:hAnsi="Times New Roman" w:eastAsia="宋体" w:cs="Times New Roman"/>
      <w:sz w:val="21"/>
      <w:szCs w:val="20"/>
    </w:rPr>
  </w:style>
  <w:style w:type="paragraph" w:styleId="48">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95"/>
    <w:semiHidden/>
    <w:uiPriority w:val="0"/>
    <w:rPr>
      <w:rFonts w:ascii="Times New Roman" w:hAnsi="Times New Roman" w:eastAsia="宋体" w:cs="Times New Roman"/>
      <w:b/>
      <w:bCs/>
      <w:kern w:val="0"/>
      <w:sz w:val="20"/>
    </w:rPr>
  </w:style>
  <w:style w:type="paragraph" w:styleId="50">
    <w:name w:val="Body Text First Indent"/>
    <w:basedOn w:val="21"/>
    <w:link w:val="90"/>
    <w:uiPriority w:val="0"/>
    <w:pPr>
      <w:ind w:firstLine="420" w:firstLineChars="100"/>
    </w:pPr>
    <w:rPr>
      <w:rFonts w:ascii="Times New Roman" w:hAnsi="Times New Roman" w:eastAsia="宋体" w:cs="Times New Roman"/>
      <w:kern w:val="0"/>
      <w:sz w:val="20"/>
    </w:rPr>
  </w:style>
  <w:style w:type="paragraph" w:styleId="51">
    <w:name w:val="Body Text First Indent 2"/>
    <w:basedOn w:val="22"/>
    <w:link w:val="78"/>
    <w:uiPriority w:val="0"/>
    <w:pPr>
      <w:spacing w:after="120"/>
      <w:ind w:left="420" w:leftChars="200" w:firstLine="420"/>
    </w:pPr>
    <w:rPr>
      <w:szCs w:val="24"/>
    </w:rPr>
  </w:style>
  <w:style w:type="character" w:styleId="54">
    <w:name w:val="Strong"/>
    <w:qFormat/>
    <w:uiPriority w:val="0"/>
    <w:rPr>
      <w:rFonts w:asciiTheme="minorHAnsi" w:hAnsiTheme="minorHAnsi" w:eastAsiaTheme="minorEastAsia" w:cstheme="minorBidi"/>
      <w:b/>
      <w:bCs/>
      <w:kern w:val="2"/>
      <w:sz w:val="24"/>
      <w:szCs w:val="24"/>
      <w:lang w:val="en-US" w:eastAsia="zh-CN" w:bidi="ar-SA"/>
    </w:rPr>
  </w:style>
  <w:style w:type="character" w:styleId="55">
    <w:name w:val="page number"/>
    <w:basedOn w:val="53"/>
    <w:uiPriority w:val="0"/>
    <w:rPr>
      <w:rFonts w:asciiTheme="minorHAnsi" w:hAnsiTheme="minorHAnsi" w:eastAsiaTheme="minorEastAsia" w:cstheme="minorBidi"/>
      <w:kern w:val="2"/>
      <w:sz w:val="24"/>
      <w:szCs w:val="24"/>
      <w:lang w:val="en-US" w:eastAsia="zh-CN" w:bidi="ar-SA"/>
    </w:rPr>
  </w:style>
  <w:style w:type="character" w:styleId="56">
    <w:name w:val="FollowedHyperlink"/>
    <w:unhideWhenUsed/>
    <w:uiPriority w:val="99"/>
    <w:rPr>
      <w:rFonts w:asciiTheme="minorHAnsi" w:hAnsiTheme="minorHAnsi" w:eastAsiaTheme="minorEastAsia" w:cstheme="minorBidi"/>
      <w:color w:val="800080"/>
      <w:kern w:val="2"/>
      <w:sz w:val="24"/>
      <w:szCs w:val="24"/>
      <w:u w:val="single"/>
      <w:lang w:val="en-US" w:eastAsia="zh-CN" w:bidi="ar-SA"/>
    </w:rPr>
  </w:style>
  <w:style w:type="character" w:styleId="57">
    <w:name w:val="Hyperlink"/>
    <w:uiPriority w:val="99"/>
    <w:rPr>
      <w:rFonts w:asciiTheme="minorHAnsi" w:hAnsiTheme="minorHAnsi" w:eastAsiaTheme="minorEastAsia" w:cstheme="minorBidi"/>
      <w:color w:val="0000FF"/>
      <w:kern w:val="2"/>
      <w:sz w:val="24"/>
      <w:szCs w:val="24"/>
      <w:u w:val="single"/>
      <w:lang w:val="en-US" w:eastAsia="zh-CN" w:bidi="ar-SA"/>
    </w:rPr>
  </w:style>
  <w:style w:type="character" w:styleId="58">
    <w:name w:val="annotation reference"/>
    <w:semiHidden/>
    <w:uiPriority w:val="99"/>
    <w:rPr>
      <w:rFonts w:asciiTheme="minorHAnsi" w:hAnsiTheme="minorHAnsi" w:eastAsiaTheme="minorEastAsia" w:cstheme="minorBidi"/>
      <w:kern w:val="2"/>
      <w:sz w:val="21"/>
      <w:szCs w:val="21"/>
      <w:lang w:val="en-US" w:eastAsia="zh-CN" w:bidi="ar-SA"/>
    </w:rPr>
  </w:style>
  <w:style w:type="character" w:customStyle="1" w:styleId="59">
    <w:name w:val="标题 1 字符"/>
    <w:basedOn w:val="53"/>
    <w:link w:val="2"/>
    <w:uiPriority w:val="0"/>
    <w:rPr>
      <w:rFonts w:ascii="Times New Roman" w:hAnsi="Times New Roman" w:eastAsia="宋体" w:cs="Times New Roman"/>
      <w:b/>
      <w:bCs/>
      <w:kern w:val="44"/>
      <w:sz w:val="30"/>
      <w:szCs w:val="44"/>
      <w:lang w:val="en-US" w:eastAsia="zh-CN" w:bidi="ar-SA"/>
    </w:rPr>
  </w:style>
  <w:style w:type="character" w:customStyle="1" w:styleId="60">
    <w:name w:val="标题 2 字符"/>
    <w:basedOn w:val="53"/>
    <w:link w:val="3"/>
    <w:uiPriority w:val="0"/>
    <w:rPr>
      <w:rFonts w:ascii="Arial" w:hAnsi="Arial" w:eastAsia="宋体" w:cs="Times New Roman"/>
      <w:b/>
      <w:bCs/>
      <w:kern w:val="0"/>
      <w:sz w:val="28"/>
      <w:szCs w:val="32"/>
      <w:lang w:val="en-US" w:eastAsia="zh-CN" w:bidi="ar-SA"/>
    </w:rPr>
  </w:style>
  <w:style w:type="character" w:customStyle="1" w:styleId="61">
    <w:name w:val="标题 3 字符"/>
    <w:basedOn w:val="53"/>
    <w:link w:val="4"/>
    <w:uiPriority w:val="0"/>
    <w:rPr>
      <w:rFonts w:ascii="宋体" w:hAnsi="Times New Roman" w:eastAsia="宋体" w:cs="Times New Roman"/>
      <w:b/>
      <w:kern w:val="0"/>
      <w:sz w:val="28"/>
      <w:szCs w:val="20"/>
      <w:lang w:val="en-US" w:eastAsia="zh-CN" w:bidi="ar-SA"/>
    </w:rPr>
  </w:style>
  <w:style w:type="character" w:customStyle="1" w:styleId="62">
    <w:name w:val="标题 4 字符"/>
    <w:basedOn w:val="53"/>
    <w:link w:val="5"/>
    <w:uiPriority w:val="0"/>
    <w:rPr>
      <w:rFonts w:ascii="Arial" w:hAnsi="Arial" w:eastAsia="黑体" w:cs="Times New Roman"/>
      <w:b/>
      <w:bCs/>
      <w:kern w:val="0"/>
      <w:sz w:val="28"/>
      <w:szCs w:val="28"/>
      <w:lang w:val="en-US" w:eastAsia="zh-CN" w:bidi="ar-SA"/>
    </w:rPr>
  </w:style>
  <w:style w:type="character" w:customStyle="1" w:styleId="63">
    <w:name w:val="标题 5 字符"/>
    <w:basedOn w:val="53"/>
    <w:link w:val="6"/>
    <w:uiPriority w:val="0"/>
    <w:rPr>
      <w:rFonts w:ascii="Times New Roman" w:hAnsi="Times New Roman" w:eastAsia="宋体" w:cs="Times New Roman"/>
      <w:b/>
      <w:bCs/>
      <w:kern w:val="0"/>
      <w:sz w:val="28"/>
      <w:szCs w:val="28"/>
      <w:lang w:val="en-US" w:eastAsia="zh-CN" w:bidi="ar-SA"/>
    </w:rPr>
  </w:style>
  <w:style w:type="character" w:customStyle="1" w:styleId="64">
    <w:name w:val="标题 6 字符"/>
    <w:basedOn w:val="53"/>
    <w:link w:val="7"/>
    <w:uiPriority w:val="0"/>
    <w:rPr>
      <w:rFonts w:ascii="Arial" w:hAnsi="Arial" w:eastAsia="黑体" w:cs="Times New Roman"/>
      <w:b/>
      <w:bCs/>
      <w:kern w:val="0"/>
      <w:sz w:val="24"/>
      <w:szCs w:val="24"/>
      <w:lang w:val="en-US" w:eastAsia="zh-CN" w:bidi="ar-SA"/>
    </w:rPr>
  </w:style>
  <w:style w:type="character" w:customStyle="1" w:styleId="65">
    <w:name w:val="标题 7 字符"/>
    <w:basedOn w:val="53"/>
    <w:link w:val="8"/>
    <w:uiPriority w:val="0"/>
    <w:rPr>
      <w:rFonts w:ascii="Times New Roman" w:hAnsi="Times New Roman" w:eastAsia="宋体" w:cs="Times New Roman"/>
      <w:b/>
      <w:bCs/>
      <w:kern w:val="0"/>
      <w:sz w:val="24"/>
      <w:szCs w:val="24"/>
      <w:lang w:val="en-US" w:eastAsia="zh-CN" w:bidi="ar-SA"/>
    </w:rPr>
  </w:style>
  <w:style w:type="character" w:customStyle="1" w:styleId="66">
    <w:name w:val="标题 8 字符"/>
    <w:basedOn w:val="53"/>
    <w:link w:val="9"/>
    <w:uiPriority w:val="0"/>
    <w:rPr>
      <w:rFonts w:ascii="Arial" w:hAnsi="Arial" w:eastAsia="黑体" w:cs="Times New Roman"/>
      <w:kern w:val="0"/>
      <w:sz w:val="24"/>
      <w:szCs w:val="24"/>
      <w:lang w:val="en-US" w:eastAsia="zh-CN" w:bidi="ar-SA"/>
    </w:rPr>
  </w:style>
  <w:style w:type="character" w:customStyle="1" w:styleId="67">
    <w:name w:val="标题 9 字符"/>
    <w:basedOn w:val="53"/>
    <w:link w:val="10"/>
    <w:uiPriority w:val="0"/>
    <w:rPr>
      <w:rFonts w:ascii="Arial" w:hAnsi="Arial" w:eastAsia="黑体" w:cs="Times New Roman"/>
      <w:kern w:val="0"/>
      <w:sz w:val="20"/>
      <w:szCs w:val="21"/>
      <w:lang w:val="en-US" w:eastAsia="zh-CN" w:bidi="ar-SA"/>
    </w:rPr>
  </w:style>
  <w:style w:type="character" w:customStyle="1" w:styleId="68">
    <w:name w:val="日期 字符"/>
    <w:link w:val="31"/>
    <w:uiPriority w:val="0"/>
    <w:rPr>
      <w:rFonts w:ascii="Times New Roman" w:hAnsi="Times New Roman" w:eastAsia="宋体" w:cs="Times New Roman"/>
      <w:kern w:val="0"/>
      <w:sz w:val="20"/>
      <w:szCs w:val="24"/>
      <w:lang w:val="en-US" w:eastAsia="zh-CN" w:bidi="ar-SA"/>
    </w:rPr>
  </w:style>
  <w:style w:type="character" w:customStyle="1" w:styleId="69">
    <w:name w:val="批注框文本 字符"/>
    <w:link w:val="33"/>
    <w:semiHidden/>
    <w:uiPriority w:val="0"/>
    <w:rPr>
      <w:rFonts w:ascii="Times New Roman" w:hAnsi="Times New Roman" w:eastAsia="宋体" w:cs="Times New Roman"/>
      <w:kern w:val="0"/>
      <w:sz w:val="18"/>
      <w:szCs w:val="18"/>
      <w:lang w:val="en-US" w:eastAsia="zh-CN" w:bidi="ar-SA"/>
    </w:rPr>
  </w:style>
  <w:style w:type="character" w:customStyle="1" w:styleId="70">
    <w:name w:val="正文文本 2 字符"/>
    <w:link w:val="43"/>
    <w:uiPriority w:val="0"/>
    <w:rPr>
      <w:rFonts w:ascii="Times New Roman" w:hAnsi="Times New Roman" w:eastAsia="宋体" w:cs="Times New Roman"/>
      <w:kern w:val="0"/>
      <w:sz w:val="20"/>
      <w:szCs w:val="24"/>
      <w:lang w:val="en-US" w:eastAsia="zh-CN" w:bidi="ar-SA"/>
    </w:rPr>
  </w:style>
  <w:style w:type="character" w:customStyle="1" w:styleId="71">
    <w:name w:val="文档结构图 字符"/>
    <w:link w:val="18"/>
    <w:uiPriority w:val="0"/>
    <w:rPr>
      <w:rFonts w:ascii="Times New Roman" w:hAnsi="Times New Roman" w:eastAsia="宋体" w:cs="Times New Roman"/>
      <w:kern w:val="0"/>
      <w:sz w:val="20"/>
      <w:szCs w:val="24"/>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73">
    <w:name w:val="Char Char"/>
    <w:uiPriority w:val="0"/>
    <w:rPr>
      <w:rFonts w:ascii="宋体" w:hAnsi="Courier New" w:eastAsia="宋体" w:cs="Courier New"/>
      <w:kern w:val="2"/>
      <w:sz w:val="21"/>
      <w:szCs w:val="21"/>
      <w:lang w:val="en-US" w:eastAsia="zh-CN" w:bidi="ar-SA"/>
    </w:rPr>
  </w:style>
  <w:style w:type="character" w:customStyle="1" w:styleId="74">
    <w:name w:val="纯文本 字符"/>
    <w:link w:val="29"/>
    <w:uiPriority w:val="0"/>
    <w:rPr>
      <w:rFonts w:ascii="宋体" w:hAnsi="Courier New" w:eastAsia="宋体" w:cs="Times New Roman"/>
      <w:kern w:val="0"/>
      <w:sz w:val="20"/>
      <w:szCs w:val="21"/>
      <w:lang w:val="en-US" w:eastAsia="zh-CN" w:bidi="ar-SA"/>
    </w:rPr>
  </w:style>
  <w:style w:type="character" w:customStyle="1" w:styleId="75">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76">
    <w:name w:val="Char Char3"/>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78">
    <w:name w:val="正文文本首行缩进 2 字符"/>
    <w:link w:val="51"/>
    <w:uiPriority w:val="0"/>
    <w:rPr>
      <w:rFonts w:asciiTheme="minorHAnsi" w:hAnsiTheme="minorHAnsi" w:eastAsiaTheme="minorEastAsia" w:cstheme="minorBidi"/>
      <w:kern w:val="2"/>
      <w:sz w:val="24"/>
      <w:szCs w:val="24"/>
      <w:lang w:val="en-US" w:eastAsia="zh-CN" w:bidi="ar-SA"/>
    </w:rPr>
  </w:style>
  <w:style w:type="character" w:customStyle="1" w:styleId="79">
    <w:name w:val="正文文本缩进 字符"/>
    <w:link w:val="22"/>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82">
    <w:name w:val="zbggmain style9"/>
    <w:basedOn w:val="53"/>
    <w:uiPriority w:val="0"/>
    <w:rPr>
      <w:rFonts w:asciiTheme="minorHAnsi" w:hAnsiTheme="minorHAnsi" w:eastAsiaTheme="minorEastAsia" w:cstheme="minorBidi"/>
      <w:kern w:val="2"/>
      <w:sz w:val="24"/>
      <w:szCs w:val="24"/>
      <w:lang w:val="en-US" w:eastAsia="zh-CN" w:bidi="ar-SA"/>
    </w:rPr>
  </w:style>
  <w:style w:type="character" w:customStyle="1" w:styleId="83">
    <w:name w:val="正文文本 3 字符"/>
    <w:link w:val="20"/>
    <w:uiPriority w:val="0"/>
    <w:rPr>
      <w:rFonts w:ascii="Times New Roman" w:hAnsi="Times New Roman" w:eastAsia="宋体" w:cs="Times New Roman"/>
      <w:kern w:val="0"/>
      <w:sz w:val="16"/>
      <w:szCs w:val="16"/>
      <w:lang w:val="en-US" w:eastAsia="zh-CN" w:bidi="ar-SA"/>
    </w:rPr>
  </w:style>
  <w:style w:type="character" w:customStyle="1" w:styleId="84">
    <w:name w:val="px1233"/>
    <w:basedOn w:val="53"/>
    <w:uiPriority w:val="0"/>
    <w:rPr>
      <w:rFonts w:asciiTheme="minorHAnsi" w:hAnsiTheme="minorHAnsi" w:eastAsiaTheme="minorEastAsia" w:cstheme="minorBidi"/>
      <w:kern w:val="2"/>
      <w:sz w:val="24"/>
      <w:szCs w:val="24"/>
      <w:lang w:val="en-US" w:eastAsia="zh-CN" w:bidi="ar-SA"/>
    </w:rPr>
  </w:style>
  <w:style w:type="character" w:customStyle="1" w:styleId="85">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86">
    <w:name w:val="页眉 字符"/>
    <w:link w:val="35"/>
    <w:uiPriority w:val="0"/>
    <w:rPr>
      <w:rFonts w:ascii="Times New Roman" w:hAnsi="Times New Roman" w:eastAsia="宋体" w:cs="Times New Roman"/>
      <w:kern w:val="0"/>
      <w:sz w:val="18"/>
      <w:szCs w:val="20"/>
      <w:lang w:val="en-US" w:eastAsia="zh-CN" w:bidi="ar-SA"/>
    </w:rPr>
  </w:style>
  <w:style w:type="character" w:customStyle="1" w:styleId="87">
    <w:name w:val="页脚 字符"/>
    <w:link w:val="34"/>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89">
    <w:name w:val="正文文本缩进 3 字符"/>
    <w:link w:val="40"/>
    <w:uiPriority w:val="0"/>
    <w:rPr>
      <w:rFonts w:ascii="Times New Roman" w:hAnsi="Times New Roman" w:eastAsia="宋体" w:cs="Times New Roman"/>
      <w:kern w:val="0"/>
      <w:sz w:val="16"/>
      <w:szCs w:val="16"/>
      <w:lang w:val="en-US" w:eastAsia="zh-CN" w:bidi="ar-SA"/>
    </w:rPr>
  </w:style>
  <w:style w:type="character" w:customStyle="1" w:styleId="90">
    <w:name w:val="正文文本首行缩进 字符"/>
    <w:basedOn w:val="91"/>
    <w:link w:val="50"/>
    <w:uiPriority w:val="0"/>
    <w:rPr>
      <w:rFonts w:ascii="Times New Roman" w:hAnsi="Times New Roman" w:eastAsia="宋体" w:cs="Times New Roman"/>
      <w:kern w:val="0"/>
      <w:sz w:val="20"/>
    </w:rPr>
  </w:style>
  <w:style w:type="character" w:customStyle="1" w:styleId="91">
    <w:name w:val="正文文本字符"/>
    <w:uiPriority w:val="0"/>
    <w:rPr>
      <w:rFonts w:ascii="Times New Roman" w:hAnsi="Times New Roman" w:eastAsia="宋体" w:cs="Times New Roman"/>
      <w:kern w:val="0"/>
      <w:sz w:val="20"/>
      <w:szCs w:val="24"/>
      <w:lang w:val="en-US" w:eastAsia="zh-CN" w:bidi="ar-SA"/>
    </w:rPr>
  </w:style>
  <w:style w:type="character" w:customStyle="1" w:styleId="92">
    <w:name w:val="Char Char2"/>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94">
    <w:name w:val="正文文本缩进 2 字符"/>
    <w:link w:val="32"/>
    <w:uiPriority w:val="0"/>
    <w:rPr>
      <w:rFonts w:ascii="Times New Roman" w:hAnsi="Times New Roman" w:eastAsia="宋体" w:cs="Times New Roman"/>
      <w:kern w:val="0"/>
      <w:sz w:val="20"/>
      <w:szCs w:val="24"/>
      <w:lang w:val="en-US" w:eastAsia="zh-CN" w:bidi="ar-SA"/>
    </w:rPr>
  </w:style>
  <w:style w:type="character" w:customStyle="1" w:styleId="95">
    <w:name w:val="批注主题 字符"/>
    <w:link w:val="49"/>
    <w:semiHidden/>
    <w:uiPriority w:val="0"/>
    <w:rPr>
      <w:rFonts w:ascii="Times New Roman" w:hAnsi="Times New Roman" w:eastAsia="宋体" w:cs="Times New Roman"/>
      <w:b/>
      <w:bCs/>
      <w:kern w:val="0"/>
      <w:sz w:val="20"/>
      <w:szCs w:val="24"/>
      <w:lang w:val="en-US" w:eastAsia="zh-CN" w:bidi="ar-SA"/>
    </w:rPr>
  </w:style>
  <w:style w:type="character" w:customStyle="1" w:styleId="96">
    <w:name w:val="标题 字符"/>
    <w:link w:val="48"/>
    <w:uiPriority w:val="0"/>
    <w:rPr>
      <w:rFonts w:ascii="Cambria" w:hAnsi="Cambria" w:eastAsia="黑体" w:cs="Times New Roman"/>
      <w:b/>
      <w:bCs/>
      <w:kern w:val="0"/>
      <w:sz w:val="32"/>
      <w:szCs w:val="32"/>
      <w:lang w:val="en-US" w:eastAsia="zh-CN" w:bidi="ar-SA"/>
    </w:rPr>
  </w:style>
  <w:style w:type="paragraph" w:customStyle="1" w:styleId="97">
    <w:name w:val="样式1"/>
    <w:basedOn w:val="5"/>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uiPriority w:val="0"/>
    <w:rPr>
      <w:rFonts w:ascii="Times New Roman" w:hAnsi="Times New Roman" w:eastAsia="宋体" w:cs="Times New Roman"/>
      <w:sz w:val="21"/>
    </w:rPr>
  </w:style>
  <w:style w:type="paragraph" w:customStyle="1" w:styleId="99">
    <w:name w:val="Char Char Char Char Char Char"/>
    <w:basedOn w:val="1"/>
    <w:uiPriority w:val="0"/>
    <w:rPr>
      <w:rFonts w:ascii="Times New Roman" w:hAnsi="Times New Roman" w:eastAsia="宋体" w:cs="Times New Roman"/>
      <w:sz w:val="21"/>
    </w:rPr>
  </w:style>
  <w:style w:type="character" w:customStyle="1" w:styleId="100">
    <w:name w:val="批注框文本字符1"/>
    <w:basedOn w:val="53"/>
    <w:semiHidden/>
    <w:uiPriority w:val="99"/>
    <w:rPr>
      <w:rFonts w:ascii="Heiti SC Light" w:eastAsia="Heiti SC Light" w:hAnsiTheme="minorHAnsi" w:cstheme="minorBidi"/>
      <w:kern w:val="2"/>
      <w:sz w:val="18"/>
      <w:szCs w:val="18"/>
      <w:lang w:val="en-US" w:eastAsia="zh-CN" w:bidi="ar-SA"/>
    </w:rPr>
  </w:style>
  <w:style w:type="character" w:customStyle="1" w:styleId="101">
    <w:name w:val="日期字符1"/>
    <w:basedOn w:val="53"/>
    <w:semiHidden/>
    <w:uiPriority w:val="99"/>
    <w:rPr>
      <w:rFonts w:asciiTheme="minorHAnsi" w:hAnsiTheme="minorHAnsi" w:eastAsiaTheme="minorEastAsia" w:cstheme="minorBidi"/>
      <w:kern w:val="2"/>
      <w:sz w:val="24"/>
      <w:szCs w:val="24"/>
      <w:lang w:val="en-US" w:eastAsia="zh-CN" w:bidi="ar-SA"/>
    </w:rPr>
  </w:style>
  <w:style w:type="character" w:customStyle="1" w:styleId="102">
    <w:name w:val="纯文本字符1"/>
    <w:basedOn w:val="53"/>
    <w:semiHidden/>
    <w:uiPriority w:val="99"/>
    <w:rPr>
      <w:rFonts w:ascii="宋体" w:hAnsi="Courier" w:eastAsia="宋体" w:cstheme="minorBidi"/>
      <w:kern w:val="2"/>
      <w:sz w:val="24"/>
      <w:szCs w:val="24"/>
      <w:lang w:val="en-US" w:eastAsia="zh-CN" w:bidi="ar-SA"/>
    </w:rPr>
  </w:style>
  <w:style w:type="character" w:customStyle="1" w:styleId="103">
    <w:name w:val="批注文字 字符"/>
    <w:basedOn w:val="53"/>
    <w:link w:val="19"/>
    <w:semiHidden/>
    <w:uiPriority w:val="99"/>
    <w:rPr>
      <w:rFonts w:asciiTheme="minorHAnsi" w:hAnsiTheme="minorHAnsi" w:eastAsiaTheme="minorEastAsia" w:cstheme="minorBidi"/>
      <w:kern w:val="2"/>
      <w:sz w:val="24"/>
      <w:szCs w:val="24"/>
      <w:lang w:val="en-US" w:eastAsia="zh-CN" w:bidi="ar-SA"/>
    </w:rPr>
  </w:style>
  <w:style w:type="character" w:customStyle="1" w:styleId="104">
    <w:name w:val="批注主题字符1"/>
    <w:basedOn w:val="103"/>
    <w:semiHidden/>
    <w:uiPriority w:val="99"/>
    <w:rPr>
      <w:b/>
      <w:bCs/>
    </w:rPr>
  </w:style>
  <w:style w:type="paragraph" w:customStyle="1" w:styleId="105">
    <w:name w:val="Char Char Char Char"/>
    <w:basedOn w:val="1"/>
    <w:uiPriority w:val="0"/>
    <w:rPr>
      <w:rFonts w:ascii="Times New Roman" w:hAnsi="Times New Roman" w:eastAsia="宋体" w:cs="Times New Roman"/>
      <w:sz w:val="21"/>
    </w:rPr>
  </w:style>
  <w:style w:type="character" w:customStyle="1" w:styleId="106">
    <w:name w:val="正文文本 字符"/>
    <w:basedOn w:val="53"/>
    <w:link w:val="21"/>
    <w:semiHidden/>
    <w:uiPriority w:val="99"/>
    <w:rPr>
      <w:rFonts w:asciiTheme="minorHAnsi" w:hAnsiTheme="minorHAnsi" w:eastAsiaTheme="minorEastAsia" w:cstheme="minorBidi"/>
      <w:kern w:val="2"/>
      <w:sz w:val="24"/>
      <w:szCs w:val="24"/>
      <w:lang w:val="en-US" w:eastAsia="zh-CN" w:bidi="ar-SA"/>
    </w:rPr>
  </w:style>
  <w:style w:type="character" w:customStyle="1" w:styleId="107">
    <w:name w:val="正文首行缩进字符1"/>
    <w:basedOn w:val="106"/>
    <w:semiHidden/>
    <w:uiPriority w:val="99"/>
  </w:style>
  <w:style w:type="character" w:customStyle="1" w:styleId="108">
    <w:name w:val="正文文本缩进 3字符1"/>
    <w:basedOn w:val="53"/>
    <w:semiHidden/>
    <w:uiPriority w:val="99"/>
    <w:rPr>
      <w:rFonts w:asciiTheme="minorHAnsi" w:hAnsiTheme="minorHAnsi" w:eastAsiaTheme="minorEastAsia" w:cstheme="minorBidi"/>
      <w:kern w:val="2"/>
      <w:sz w:val="16"/>
      <w:szCs w:val="16"/>
      <w:lang w:val="en-US" w:eastAsia="zh-CN" w:bidi="ar-SA"/>
    </w:rPr>
  </w:style>
  <w:style w:type="paragraph" w:customStyle="1" w:styleId="109">
    <w:name w:val="p0"/>
    <w:basedOn w:val="1"/>
    <w:uiPriority w:val="0"/>
    <w:pPr>
      <w:widowControl/>
    </w:pPr>
    <w:rPr>
      <w:rFonts w:ascii="Times New Roman" w:hAnsi="Times New Roman" w:eastAsia="宋体" w:cs="Times New Roman"/>
      <w:kern w:val="0"/>
      <w:sz w:val="21"/>
      <w:szCs w:val="21"/>
    </w:rPr>
  </w:style>
  <w:style w:type="character" w:customStyle="1" w:styleId="110">
    <w:name w:val="文档结构图 字符1"/>
    <w:basedOn w:val="53"/>
    <w:semiHidden/>
    <w:uiPriority w:val="99"/>
    <w:rPr>
      <w:rFonts w:ascii="Heiti SC Light" w:eastAsia="Heiti SC Light" w:hAnsiTheme="minorHAnsi" w:cstheme="minorBidi"/>
      <w:kern w:val="2"/>
      <w:sz w:val="24"/>
      <w:szCs w:val="24"/>
      <w:lang w:val="en-US" w:eastAsia="zh-CN" w:bidi="ar-SA"/>
    </w:rPr>
  </w:style>
  <w:style w:type="character" w:customStyle="1" w:styleId="111">
    <w:name w:val="正文文本 3字符1"/>
    <w:basedOn w:val="53"/>
    <w:semiHidden/>
    <w:uiPriority w:val="99"/>
    <w:rPr>
      <w:rFonts w:asciiTheme="minorHAnsi" w:hAnsiTheme="minorHAnsi" w:eastAsiaTheme="minorEastAsia" w:cstheme="minorBidi"/>
      <w:kern w:val="2"/>
      <w:sz w:val="16"/>
      <w:szCs w:val="16"/>
      <w:lang w:val="en-US" w:eastAsia="zh-CN" w:bidi="ar-SA"/>
    </w:rPr>
  </w:style>
  <w:style w:type="character" w:customStyle="1" w:styleId="112">
    <w:name w:val="正文文本缩进字符1"/>
    <w:basedOn w:val="53"/>
    <w:semiHidden/>
    <w:uiPriority w:val="99"/>
    <w:rPr>
      <w:rFonts w:asciiTheme="minorHAnsi" w:hAnsiTheme="minorHAnsi" w:eastAsiaTheme="minorEastAsia" w:cstheme="minorBidi"/>
      <w:kern w:val="2"/>
      <w:sz w:val="24"/>
      <w:szCs w:val="24"/>
      <w:lang w:val="en-US" w:eastAsia="zh-CN" w:bidi="ar-SA"/>
    </w:rPr>
  </w:style>
  <w:style w:type="character" w:customStyle="1" w:styleId="113">
    <w:name w:val="正文文本缩进 2字符1"/>
    <w:basedOn w:val="53"/>
    <w:semiHidden/>
    <w:uiPriority w:val="99"/>
    <w:rPr>
      <w:rFonts w:asciiTheme="minorHAnsi" w:hAnsiTheme="minorHAnsi" w:eastAsiaTheme="minorEastAsia" w:cstheme="minorBidi"/>
      <w:kern w:val="2"/>
      <w:sz w:val="24"/>
      <w:szCs w:val="24"/>
      <w:lang w:val="en-US" w:eastAsia="zh-CN" w:bidi="ar-SA"/>
    </w:rPr>
  </w:style>
  <w:style w:type="paragraph" w:customStyle="1" w:styleId="114">
    <w:name w:val="Legal 3"/>
    <w:basedOn w:val="115"/>
    <w:next w:val="115"/>
    <w:uiPriority w:val="0"/>
    <w:pPr>
      <w:spacing w:after="120"/>
    </w:pPr>
    <w:rPr>
      <w:rFonts w:cs="Times New Roman"/>
      <w:color w:val="auto"/>
    </w:rPr>
  </w:style>
  <w:style w:type="paragraph" w:customStyle="1" w:styleId="115">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6">
    <w:name w:val="页脚字符1"/>
    <w:basedOn w:val="53"/>
    <w:semiHidden/>
    <w:uiPriority w:val="99"/>
    <w:rPr>
      <w:rFonts w:asciiTheme="minorHAnsi" w:hAnsiTheme="minorHAnsi" w:eastAsiaTheme="minorEastAsia" w:cstheme="minorBidi"/>
      <w:kern w:val="2"/>
      <w:sz w:val="18"/>
      <w:szCs w:val="18"/>
      <w:lang w:val="en-US" w:eastAsia="zh-CN" w:bidi="ar-SA"/>
    </w:rPr>
  </w:style>
  <w:style w:type="character" w:customStyle="1" w:styleId="117">
    <w:name w:val="正文首行缩进 2字符1"/>
    <w:basedOn w:val="112"/>
    <w:semiHidden/>
    <w:uiPriority w:val="99"/>
  </w:style>
  <w:style w:type="character" w:customStyle="1" w:styleId="118">
    <w:name w:val="页眉字符1"/>
    <w:basedOn w:val="53"/>
    <w:semiHidden/>
    <w:uiPriority w:val="99"/>
    <w:rPr>
      <w:rFonts w:asciiTheme="minorHAnsi" w:hAnsiTheme="minorHAnsi" w:eastAsiaTheme="minorEastAsia" w:cstheme="minorBidi"/>
      <w:kern w:val="2"/>
      <w:sz w:val="18"/>
      <w:szCs w:val="18"/>
      <w:lang w:val="en-US" w:eastAsia="zh-CN" w:bidi="ar-SA"/>
    </w:rPr>
  </w:style>
  <w:style w:type="character" w:customStyle="1" w:styleId="119">
    <w:name w:val="正文文本 2字符1"/>
    <w:basedOn w:val="53"/>
    <w:semiHidden/>
    <w:uiPriority w:val="99"/>
    <w:rPr>
      <w:rFonts w:asciiTheme="minorHAnsi" w:hAnsiTheme="minorHAnsi" w:eastAsiaTheme="minorEastAsia" w:cstheme="minorBidi"/>
      <w:kern w:val="2"/>
      <w:sz w:val="24"/>
      <w:szCs w:val="24"/>
      <w:lang w:val="en-US" w:eastAsia="zh-CN" w:bidi="ar-SA"/>
    </w:rPr>
  </w:style>
  <w:style w:type="character" w:customStyle="1" w:styleId="120">
    <w:name w:val="标题字符1"/>
    <w:basedOn w:val="53"/>
    <w:uiPriority w:val="10"/>
    <w:rPr>
      <w:rFonts w:eastAsia="宋体" w:asciiTheme="majorHAnsi" w:hAnsiTheme="majorHAnsi" w:cstheme="majorBidi"/>
      <w:b/>
      <w:bCs/>
      <w:kern w:val="2"/>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21"/>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uiPriority w:val="0"/>
    <w:rPr>
      <w:rFonts w:ascii="仿宋_GB2312" w:hAnsi="Times New Roman" w:eastAsia="仿宋_GB2312" w:cs="Times New Roman"/>
      <w:b/>
      <w:sz w:val="32"/>
      <w:szCs w:val="32"/>
    </w:rPr>
  </w:style>
  <w:style w:type="paragraph" w:customStyle="1" w:styleId="125">
    <w:name w:val="Char4 Char Char Char"/>
    <w:basedOn w:val="18"/>
    <w:uiPriority w:val="0"/>
    <w:rPr>
      <w:rFonts w:ascii="Tahoma" w:hAnsi="Tahoma"/>
      <w:sz w:val="24"/>
    </w:rPr>
  </w:style>
  <w:style w:type="paragraph" w:customStyle="1" w:styleId="126">
    <w:name w:val="表内文字"/>
    <w:basedOn w:val="1"/>
    <w:uiPriority w:val="0"/>
    <w:pPr>
      <w:widowControl/>
      <w:ind w:firstLine="120" w:firstLineChars="50"/>
    </w:pPr>
    <w:rPr>
      <w:rFonts w:ascii="宋体" w:hAnsi="宋体" w:eastAsia="宋体" w:cs="Times New Roman"/>
      <w:szCs w:val="20"/>
    </w:rPr>
  </w:style>
  <w:style w:type="paragraph" w:customStyle="1" w:styleId="127">
    <w:name w:val="Char Char Char"/>
    <w:basedOn w:val="1"/>
    <w:uiPriority w:val="0"/>
    <w:pPr>
      <w:ind w:firstLine="360" w:firstLineChars="150"/>
    </w:pPr>
    <w:rPr>
      <w:rFonts w:ascii="Tahoma" w:hAnsi="Tahoma" w:eastAsia="宋体" w:cs="Times New Roman"/>
      <w:szCs w:val="20"/>
    </w:rPr>
  </w:style>
  <w:style w:type="paragraph" w:customStyle="1" w:styleId="128">
    <w:name w:val="样式 样式1 + 首行缩进:  2 字符"/>
    <w:basedOn w:val="1"/>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uiPriority w:val="0"/>
    <w:pPr>
      <w:spacing w:after="120"/>
    </w:pPr>
    <w:rPr>
      <w:rFonts w:cs="Times New Roman"/>
      <w:color w:val="auto"/>
    </w:rPr>
  </w:style>
  <w:style w:type="paragraph" w:customStyle="1" w:styleId="130">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uiPriority w:val="0"/>
    <w:pPr>
      <w:spacing w:after="120"/>
    </w:pPr>
    <w:rPr>
      <w:rFonts w:cs="Times New Roman"/>
      <w:color w:val="auto"/>
    </w:rPr>
  </w:style>
  <w:style w:type="paragraph" w:customStyle="1" w:styleId="134">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21"/>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uiPriority w:val="0"/>
    <w:rPr>
      <w:rFonts w:ascii="仿宋_GB2312" w:hAnsi="Times New Roman" w:eastAsia="仿宋_GB2312" w:cs="Times New Roman"/>
      <w:b/>
      <w:sz w:val="32"/>
      <w:szCs w:val="32"/>
    </w:rPr>
  </w:style>
  <w:style w:type="paragraph" w:customStyle="1" w:styleId="13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uiPriority w:val="0"/>
    <w:pPr>
      <w:widowControl/>
      <w:spacing w:line="360" w:lineRule="auto"/>
      <w:ind w:left="-2" w:firstLine="2"/>
      <w:jc w:val="left"/>
    </w:pPr>
    <w:rPr>
      <w:rFonts w:ascii="宋体" w:hAnsi="宋体" w:eastAsia="宋体" w:cs="宋体"/>
      <w:kern w:val="0"/>
      <w:sz w:val="30"/>
      <w:szCs w:val="30"/>
    </w:rPr>
  </w:style>
  <w:style w:type="character" w:customStyle="1" w:styleId="139">
    <w:name w:val="标题 Char"/>
    <w:uiPriority w:val="0"/>
    <w:rPr>
      <w:rFonts w:ascii="Arial" w:hAnsi="Arial" w:eastAsiaTheme="minorEastAsia" w:cstheme="minorBidi"/>
      <w:b/>
      <w:bCs/>
      <w:kern w:val="2"/>
      <w:sz w:val="32"/>
      <w:szCs w:val="32"/>
      <w:lang w:val="en-US" w:eastAsia="zh-CN" w:bidi="ar-SA"/>
    </w:rPr>
  </w:style>
  <w:style w:type="paragraph" w:styleId="140">
    <w:name w:val="List Paragraph"/>
    <w:basedOn w:val="1"/>
    <w:qFormat/>
    <w:uiPriority w:val="34"/>
    <w:pPr>
      <w:ind w:firstLine="420" w:firstLineChars="200"/>
    </w:pPr>
    <w:rPr>
      <w:rFonts w:ascii="Calibri" w:hAnsi="Calibri" w:eastAsia="宋体" w:cs="Times New Roman"/>
      <w:sz w:val="21"/>
      <w:szCs w:val="22"/>
    </w:rPr>
  </w:style>
  <w:style w:type="paragraph" w:customStyle="1" w:styleId="141">
    <w:name w:val="样式 文档正文 + 四号 首行缩进:  2 字符 段前: 0.25 行"/>
    <w:basedOn w:val="1"/>
    <w:uiPriority w:val="0"/>
    <w:pPr>
      <w:snapToGrid w:val="0"/>
      <w:spacing w:line="360" w:lineRule="auto"/>
      <w:ind w:firstLine="560" w:firstLineChars="200"/>
      <w:jc w:val="left"/>
    </w:pPr>
    <w:rPr>
      <w:rFonts w:ascii="Arial" w:hAnsi="Arial" w:eastAsia="宋体" w:cs="Times New Roman"/>
      <w:szCs w:val="20"/>
    </w:rPr>
  </w:style>
  <w:style w:type="paragraph" w:customStyle="1" w:styleId="142">
    <w:name w:val="a"/>
    <w:basedOn w:val="1"/>
    <w:uiPriority w:val="0"/>
    <w:pPr>
      <w:widowControl/>
      <w:spacing w:line="360" w:lineRule="auto"/>
      <w:ind w:firstLine="200"/>
    </w:pPr>
    <w:rPr>
      <w:rFonts w:ascii="Times New Roman" w:hAnsi="Times New Roman" w:eastAsia="宋体" w:cs="Times New Roman"/>
      <w:color w:val="000000"/>
      <w:kern w:val="0"/>
    </w:rPr>
  </w:style>
  <w:style w:type="paragraph" w:customStyle="1" w:styleId="14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小正文"/>
    <w:basedOn w:val="124"/>
    <w:qFormat/>
    <w:uiPriority w:val="0"/>
    <w:pPr>
      <w:spacing w:line="560" w:lineRule="exact"/>
      <w:ind w:firstLine="560" w:firstLineChars="200"/>
      <w:jc w:val="left"/>
    </w:pPr>
    <w:rPr>
      <w:rFonts w:hAnsi="宋体"/>
      <w:b w:val="0"/>
      <w:sz w:val="28"/>
      <w:szCs w:val="28"/>
    </w:rPr>
  </w:style>
  <w:style w:type="character" w:styleId="145">
    <w:name w:val="Placeholder Text"/>
    <w:basedOn w:val="53"/>
    <w:semiHidden/>
    <w:uiPriority w:val="99"/>
    <w:rPr>
      <w:rFonts w:asciiTheme="minorHAnsi" w:hAnsiTheme="minorHAnsi" w:eastAsiaTheme="minorEastAsia" w:cstheme="minorBidi"/>
      <w:color w:val="808080"/>
      <w:kern w:val="2"/>
      <w:sz w:val="24"/>
      <w:szCs w:val="24"/>
      <w:lang w:val="en-US" w:eastAsia="zh-CN" w:bidi="ar-SA"/>
    </w:rPr>
  </w:style>
  <w:style w:type="character" w:customStyle="1" w:styleId="146">
    <w:name w:val="纯文本 字符1"/>
    <w:semiHidden/>
    <w:locked/>
    <w:uiPriority w:val="0"/>
    <w:rPr>
      <w:rFonts w:ascii="宋体" w:hAnsi="Courier New" w:eastAsia="宋体"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73</Pages>
  <Words>7426</Words>
  <Characters>42333</Characters>
  <Lines>352</Lines>
  <Paragraphs>99</Paragraphs>
  <TotalTime>52</TotalTime>
  <ScaleCrop>false</ScaleCrop>
  <LinksUpToDate>false</LinksUpToDate>
  <CharactersWithSpaces>49660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dcterms:modified xsi:type="dcterms:W3CDTF">2019-08-14T05:39:19Z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